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val="en-US" w:eastAsia="zh-CN"/>
        </w:rPr>
      </w:pPr>
      <w:r>
        <w:rPr>
          <w:rFonts w:hint="eastAsia"/>
          <w:b/>
          <w:bCs/>
          <w:sz w:val="28"/>
          <w:szCs w:val="28"/>
        </w:rPr>
        <w:t>盐城工业职业技术学院信息与安全学院</w:t>
      </w:r>
      <w:r>
        <w:rPr>
          <w:rFonts w:hint="eastAsia"/>
          <w:b/>
          <w:bCs/>
          <w:sz w:val="28"/>
          <w:szCs w:val="28"/>
          <w:lang w:val="en-US" w:eastAsia="zh-CN"/>
        </w:rPr>
        <w:t>LED显示屏</w:t>
      </w:r>
      <w:r>
        <w:rPr>
          <w:rFonts w:hint="eastAsia"/>
          <w:b/>
          <w:bCs/>
          <w:sz w:val="28"/>
          <w:szCs w:val="28"/>
        </w:rPr>
        <w:t>询价</w:t>
      </w:r>
      <w:r>
        <w:rPr>
          <w:rFonts w:hint="eastAsia"/>
          <w:b/>
          <w:bCs/>
          <w:sz w:val="28"/>
          <w:szCs w:val="28"/>
          <w:lang w:val="en-US" w:eastAsia="zh-CN"/>
        </w:rPr>
        <w:t>报价表</w:t>
      </w:r>
    </w:p>
    <w:tbl>
      <w:tblPr>
        <w:tblStyle w:val="3"/>
        <w:tblW w:w="13734" w:type="dxa"/>
        <w:jc w:val="center"/>
        <w:tblLayout w:type="fixed"/>
        <w:tblCellMar>
          <w:top w:w="0" w:type="dxa"/>
          <w:left w:w="0" w:type="dxa"/>
          <w:bottom w:w="0" w:type="dxa"/>
          <w:right w:w="0" w:type="dxa"/>
        </w:tblCellMar>
      </w:tblPr>
      <w:tblGrid>
        <w:gridCol w:w="705"/>
        <w:gridCol w:w="1200"/>
        <w:gridCol w:w="5375"/>
        <w:gridCol w:w="1291"/>
        <w:gridCol w:w="1065"/>
        <w:gridCol w:w="1029"/>
        <w:gridCol w:w="861"/>
        <w:gridCol w:w="915"/>
        <w:gridCol w:w="1293"/>
      </w:tblGrid>
      <w:tr>
        <w:tblPrEx>
          <w:tblCellMar>
            <w:top w:w="0" w:type="dxa"/>
            <w:left w:w="0" w:type="dxa"/>
            <w:bottom w:w="0" w:type="dxa"/>
            <w:right w:w="0" w:type="dxa"/>
          </w:tblCellMar>
        </w:tblPrEx>
        <w:trPr>
          <w:trHeight w:val="90" w:hRule="atLeast"/>
          <w:jc w:val="center"/>
        </w:trPr>
        <w:tc>
          <w:tcPr>
            <w:tcW w:w="13734" w:type="dxa"/>
            <w:gridSpan w:val="9"/>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b/>
                <w:color w:val="000000" w:themeColor="text1"/>
                <w:sz w:val="22"/>
                <w14:textFill>
                  <w14:solidFill>
                    <w14:schemeClr w14:val="tx1"/>
                  </w14:solidFill>
                </w14:textFill>
              </w:rPr>
            </w:pPr>
            <w:r>
              <w:rPr>
                <w:rFonts w:hint="eastAsia" w:ascii="宋体" w:hAnsi="宋体" w:cs="宋体"/>
                <w:b/>
                <w:color w:val="000000" w:themeColor="text1"/>
                <w:kern w:val="0"/>
                <w:sz w:val="22"/>
                <w14:textFill>
                  <w14:solidFill>
                    <w14:schemeClr w14:val="tx1"/>
                  </w14:solidFill>
                </w14:textFill>
              </w:rPr>
              <w:t>室内全彩P1.875（2.64m×1.68m=4.44㎡）</w:t>
            </w:r>
          </w:p>
        </w:tc>
      </w:tr>
      <w:tr>
        <w:tblPrEx>
          <w:tblCellMar>
            <w:top w:w="0" w:type="dxa"/>
            <w:left w:w="0" w:type="dxa"/>
            <w:bottom w:w="0" w:type="dxa"/>
            <w:right w:w="0" w:type="dxa"/>
          </w:tblCellMar>
        </w:tblPrEx>
        <w:trPr>
          <w:trHeight w:val="429" w:hRule="atLeast"/>
          <w:jc w:val="center"/>
        </w:trPr>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序号</w:t>
            </w:r>
          </w:p>
        </w:tc>
        <w:tc>
          <w:tcPr>
            <w:tcW w:w="12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设备名称</w:t>
            </w:r>
          </w:p>
        </w:tc>
        <w:tc>
          <w:tcPr>
            <w:tcW w:w="53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技术要求</w:t>
            </w:r>
          </w:p>
        </w:tc>
        <w:tc>
          <w:tcPr>
            <w:tcW w:w="12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推荐品牌</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数量</w:t>
            </w:r>
          </w:p>
        </w:tc>
        <w:tc>
          <w:tcPr>
            <w:tcW w:w="10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单位</w:t>
            </w:r>
          </w:p>
        </w:tc>
        <w:tc>
          <w:tcPr>
            <w:tcW w:w="8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eastAsiaTheme="minorEastAsia"/>
                <w:b/>
                <w:color w:val="000000" w:themeColor="text1"/>
                <w:kern w:val="0"/>
                <w:lang w:val="en-US" w:eastAsia="zh-CN"/>
                <w14:textFill>
                  <w14:solidFill>
                    <w14:schemeClr w14:val="tx1"/>
                  </w14:solidFill>
                </w14:textFill>
              </w:rPr>
            </w:pPr>
            <w:r>
              <w:rPr>
                <w:rFonts w:hint="eastAsia" w:ascii="宋体" w:hAnsi="宋体" w:cs="宋体"/>
                <w:b/>
                <w:color w:val="000000" w:themeColor="text1"/>
                <w:kern w:val="0"/>
                <w:lang w:val="en-US" w:eastAsia="zh-CN"/>
                <w14:textFill>
                  <w14:solidFill>
                    <w14:schemeClr w14:val="tx1"/>
                  </w14:solidFill>
                </w14:textFill>
              </w:rPr>
              <w:t>品牌</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eastAsiaTheme="minorEastAsia"/>
                <w:b/>
                <w:color w:val="000000" w:themeColor="text1"/>
                <w:kern w:val="0"/>
                <w:lang w:val="en-US" w:eastAsia="zh-CN"/>
                <w14:textFill>
                  <w14:solidFill>
                    <w14:schemeClr w14:val="tx1"/>
                  </w14:solidFill>
                </w14:textFill>
              </w:rPr>
            </w:pPr>
            <w:r>
              <w:rPr>
                <w:rFonts w:hint="eastAsia" w:ascii="宋体" w:hAnsi="宋体" w:cs="宋体"/>
                <w:b/>
                <w:color w:val="000000" w:themeColor="text1"/>
                <w:kern w:val="0"/>
                <w:lang w:val="en-US" w:eastAsia="zh-CN"/>
                <w14:textFill>
                  <w14:solidFill>
                    <w14:schemeClr w14:val="tx1"/>
                  </w14:solidFill>
                </w14:textFill>
              </w:rPr>
              <w:t>单价（元）</w:t>
            </w:r>
          </w:p>
        </w:tc>
        <w:tc>
          <w:tcPr>
            <w:tcW w:w="12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eastAsiaTheme="minorEastAsia"/>
                <w:b/>
                <w:color w:val="000000" w:themeColor="text1"/>
                <w:kern w:val="0"/>
                <w:lang w:val="en-US" w:eastAsia="zh-CN"/>
                <w14:textFill>
                  <w14:solidFill>
                    <w14:schemeClr w14:val="tx1"/>
                  </w14:solidFill>
                </w14:textFill>
              </w:rPr>
            </w:pPr>
            <w:r>
              <w:rPr>
                <w:rFonts w:hint="eastAsia" w:ascii="宋体" w:hAnsi="宋体" w:cs="宋体"/>
                <w:b/>
                <w:color w:val="000000" w:themeColor="text1"/>
                <w:kern w:val="0"/>
                <w:lang w:val="en-US" w:eastAsia="zh-CN"/>
                <w14:textFill>
                  <w14:solidFill>
                    <w14:schemeClr w14:val="tx1"/>
                  </w14:solidFill>
                </w14:textFill>
              </w:rPr>
              <w:t>总价（元）</w:t>
            </w:r>
          </w:p>
        </w:tc>
      </w:tr>
      <w:tr>
        <w:tblPrEx>
          <w:tblCellMar>
            <w:top w:w="0" w:type="dxa"/>
            <w:left w:w="0" w:type="dxa"/>
            <w:bottom w:w="0" w:type="dxa"/>
            <w:right w:w="0"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1</w:t>
            </w:r>
          </w:p>
        </w:tc>
        <w:tc>
          <w:tcPr>
            <w:tcW w:w="12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室内显示屏</w:t>
            </w:r>
          </w:p>
        </w:tc>
        <w:tc>
          <w:tcPr>
            <w:tcW w:w="53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w:t>
            </w:r>
            <w:r>
              <w:rPr>
                <w:rFonts w:hint="eastAsia" w:ascii="宋体" w:hAnsi="宋体" w:cs="宋体"/>
                <w:color w:val="000000" w:themeColor="text1"/>
                <w:kern w:val="0"/>
                <w14:textFill>
                  <w14:solidFill>
                    <w14:schemeClr w14:val="tx1"/>
                  </w14:solidFill>
                </w14:textFill>
              </w:rPr>
              <w:t xml:space="preserve">像素点间距 ≤1.875mm </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2、输入电压 4.8-5.5V</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3、像素构成：1R1G1B</w:t>
            </w:r>
          </w:p>
          <w:p>
            <w:pPr>
              <w:widowControl/>
              <w:jc w:val="left"/>
              <w:textAlignment w:val="center"/>
              <w:rPr>
                <w:rFonts w:ascii="宋体" w:hAnsi="宋体" w:cs="宋体"/>
                <w:strike/>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 xml:space="preserve">4、单元板功率 ≤30W </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5、套件材料 聚碳酸脂PC+GF 料</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6、最大电流 5.7A±0.3A 铜螺母 M3</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7、结构特点：灯驱合一</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 xml:space="preserve">8、像素密度 284444Dots/㎡ </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9、驱动方式 1/32 扫恒流驱动</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 xml:space="preserve">10、灯管类型 SMD1515 </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sz w:val="24"/>
                <w:szCs w:val="24"/>
                <w14:textFill>
                  <w14:solidFill>
                    <w14:schemeClr w14:val="tx1"/>
                  </w14:solidFill>
                </w14:textFill>
              </w:rPr>
              <w:t>11、</w:t>
            </w:r>
            <w:r>
              <w:rPr>
                <w:rFonts w:hint="eastAsia" w:ascii="宋体" w:hAnsi="宋体" w:cs="宋体"/>
                <w:color w:val="000000" w:themeColor="text1"/>
                <w:kern w:val="0"/>
                <w14:textFill>
                  <w14:solidFill>
                    <w14:schemeClr w14:val="tx1"/>
                  </w14:solidFill>
                </w14:textFill>
              </w:rPr>
              <w:t>色温：3000-9000K可调</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sz w:val="24"/>
                <w:szCs w:val="24"/>
                <w14:textFill>
                  <w14:solidFill>
                    <w14:schemeClr w14:val="tx1"/>
                  </w14:solidFill>
                </w14:textFill>
              </w:rPr>
              <w:t>12、</w:t>
            </w:r>
            <w:r>
              <w:rPr>
                <w:rFonts w:hint="eastAsia" w:ascii="宋体" w:hAnsi="宋体" w:cs="宋体"/>
                <w:color w:val="000000" w:themeColor="text1"/>
                <w:kern w:val="0"/>
                <w14:textFill>
                  <w14:solidFill>
                    <w14:schemeClr w14:val="tx1"/>
                  </w14:solidFill>
                </w14:textFill>
              </w:rPr>
              <w:t>对比度：高达 3588:1</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 xml:space="preserve">13、单元板分辨率 128*128=16384Dots  </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sz w:val="24"/>
                <w:szCs w:val="24"/>
                <w14:textFill>
                  <w14:solidFill>
                    <w14:schemeClr w14:val="tx1"/>
                  </w14:solidFill>
                </w14:textFill>
              </w:rPr>
              <w:t>14、</w:t>
            </w:r>
            <w:r>
              <w:rPr>
                <w:rFonts w:hint="eastAsia" w:ascii="宋体" w:hAnsi="宋体" w:cs="宋体"/>
                <w:color w:val="000000" w:themeColor="text1"/>
                <w:kern w:val="0"/>
                <w14:textFill>
                  <w14:solidFill>
                    <w14:schemeClr w14:val="tx1"/>
                  </w14:solidFill>
                </w14:textFill>
              </w:rPr>
              <w:t>亮度 ≥550cd/㎡</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15、亮度均匀性 ＞0.95</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16、屏体水平视角 140±10 度 屏体垂直视角 140±10°</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17、配电功率（每平方最大功率÷78％÷85％） 769W/m2</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 xml:space="preserve">18、灰度等级 红、绿、蓝 14-16bits </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 xml:space="preserve">19、显示颜色 16777216 种 </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 xml:space="preserve">20、换帧频率 ≥60 帧/秒 </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21、刷新频率 ≥3840HZ(全灰度场）</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22、控制方式：计算机控制，逐点一一对应，视频同步实时显示</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23、亮度调节：256 级手动/自动</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24、输入信号HDMI输入,支持视频PAL/NTSC制式自适应，支持DVI/VGA输入、支持复合视频信号、支持USB输入、支持IP输入</w:t>
            </w:r>
          </w:p>
        </w:tc>
        <w:tc>
          <w:tcPr>
            <w:tcW w:w="12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海佳、艾比森、洲明、三思、华夏、海康威视，威谷</w:t>
            </w:r>
            <w:bookmarkStart w:id="0" w:name="_GoBack"/>
            <w:bookmarkEnd w:id="0"/>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4.44</w:t>
            </w:r>
          </w:p>
        </w:tc>
        <w:tc>
          <w:tcPr>
            <w:tcW w:w="10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w:t>
            </w:r>
          </w:p>
        </w:tc>
        <w:tc>
          <w:tcPr>
            <w:tcW w:w="8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c>
          <w:tcPr>
            <w:tcW w:w="12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r>
      <w:tr>
        <w:tblPrEx>
          <w:tblCellMar>
            <w:top w:w="0" w:type="dxa"/>
            <w:left w:w="0" w:type="dxa"/>
            <w:bottom w:w="0" w:type="dxa"/>
            <w:right w:w="0" w:type="dxa"/>
          </w:tblCellMar>
        </w:tblPrEx>
        <w:trPr>
          <w:trHeight w:val="837" w:hRule="atLeast"/>
          <w:jc w:val="center"/>
        </w:trPr>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2</w:t>
            </w:r>
          </w:p>
        </w:tc>
        <w:tc>
          <w:tcPr>
            <w:tcW w:w="12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接收卡</w:t>
            </w:r>
          </w:p>
        </w:tc>
        <w:tc>
          <w:tcPr>
            <w:tcW w:w="53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1、集成16 个标准HUB75 接口，免接HUB 板，支持16组、32组多种数据模式。</w:t>
            </w:r>
          </w:p>
          <w:p>
            <w:pPr>
              <w:widowControl/>
              <w:jc w:val="left"/>
              <w:textAlignment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2、采用千兆网口,可以连接PC 端。</w:t>
            </w:r>
          </w:p>
          <w:p>
            <w:pPr>
              <w:widowControl/>
              <w:jc w:val="left"/>
              <w:textAlignment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3、支持接收卡预存画面设置。</w:t>
            </w:r>
          </w:p>
          <w:p>
            <w:pPr>
              <w:widowControl/>
              <w:jc w:val="left"/>
              <w:textAlignment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4、支持温度、电压、网线通讯和视频源信号状态检测。</w:t>
            </w:r>
          </w:p>
          <w:p>
            <w:pPr>
              <w:widowControl/>
              <w:jc w:val="left"/>
              <w:textAlignment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5、支持亮度色度校正;</w:t>
            </w:r>
          </w:p>
          <w:p>
            <w:pPr>
              <w:widowControl/>
              <w:jc w:val="left"/>
              <w:textAlignment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6、提供逐点亮度、色度校正发；</w:t>
            </w:r>
          </w:p>
          <w:p>
            <w:pPr>
              <w:widowControl/>
              <w:jc w:val="left"/>
              <w:textAlignment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7、提供EMC接收卡嵌入式软件;</w:t>
            </w:r>
          </w:p>
          <w:p>
            <w:pPr>
              <w:widowControl/>
              <w:jc w:val="left"/>
              <w:textAlignment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8、提供单灯检测;</w:t>
            </w:r>
          </w:p>
          <w:p>
            <w:pPr>
              <w:widowControl/>
              <w:jc w:val="left"/>
              <w:textAlignment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9、为LED显示屏出现故障时，能第一时间得到通知，及时排查，需提供智能LED运行状态监控系统及控制方法</w:t>
            </w:r>
          </w:p>
        </w:tc>
        <w:tc>
          <w:tcPr>
            <w:tcW w:w="12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诺瓦、创凯、卡莱特</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14</w:t>
            </w:r>
          </w:p>
        </w:tc>
        <w:tc>
          <w:tcPr>
            <w:tcW w:w="10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台</w:t>
            </w:r>
          </w:p>
        </w:tc>
        <w:tc>
          <w:tcPr>
            <w:tcW w:w="8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c>
          <w:tcPr>
            <w:tcW w:w="12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r>
      <w:tr>
        <w:tblPrEx>
          <w:tblCellMar>
            <w:top w:w="0" w:type="dxa"/>
            <w:left w:w="0" w:type="dxa"/>
            <w:bottom w:w="0" w:type="dxa"/>
            <w:right w:w="0"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3</w:t>
            </w:r>
          </w:p>
        </w:tc>
        <w:tc>
          <w:tcPr>
            <w:tcW w:w="12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视频处理器</w:t>
            </w:r>
          </w:p>
        </w:tc>
        <w:tc>
          <w:tcPr>
            <w:tcW w:w="53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1、支持不少于5路输入接口,包括：HDMI、DVI、VGA、USB播放、CVBS、扩展子卡等，支持本项目所投所有设备的接入。 </w:t>
            </w:r>
          </w:p>
          <w:p>
            <w:pPr>
              <w:widowControl/>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2、支持窗口位置、大小调整及窗口截取功能。 </w:t>
            </w:r>
          </w:p>
          <w:p>
            <w:pPr>
              <w:widowControl/>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3、扩展子卡安装后支持使用鼠标或键盘进行控制和手机电脑等无线投屏。 </w:t>
            </w:r>
          </w:p>
          <w:p>
            <w:pPr>
              <w:widowControl/>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4、支持输入源一键切换。</w:t>
            </w:r>
          </w:p>
          <w:p>
            <w:pPr>
              <w:widowControl/>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5、支持外置独立音频。 </w:t>
            </w:r>
          </w:p>
          <w:p>
            <w:pPr>
              <w:widowControl/>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6、支持 DVI、HDMI 的输入分辨率预设及自定义调节。 </w:t>
            </w:r>
          </w:p>
          <w:p>
            <w:pPr>
              <w:widowControl/>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7、支持画面一键全屏缩放、点对点显示、自定义缩放等缩放模式。 </w:t>
            </w:r>
          </w:p>
          <w:p>
            <w:pPr>
              <w:widowControl/>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8、支持快捷点屏，简单操作即可完成屏体配置。 </w:t>
            </w:r>
          </w:p>
          <w:p>
            <w:pPr>
              <w:widowControl/>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9、支持不少于4 个网口输出</w:t>
            </w:r>
          </w:p>
          <w:p>
            <w:pPr>
              <w:widowControl/>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10、支持创建不少于6 个用户场景作为模板保存，可直接调用，方便使用。</w:t>
            </w:r>
          </w:p>
          <w:p>
            <w:pPr>
              <w:widowControl/>
              <w:jc w:val="left"/>
              <w:textAlignment w:val="center"/>
              <w:rPr>
                <w:rFonts w:ascii="宋体" w:hAnsi="宋体" w:cs="宋体"/>
                <w:strike/>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11、支持屏体参数调整，例如亮度、Gamma等。 </w:t>
            </w:r>
          </w:p>
        </w:tc>
        <w:tc>
          <w:tcPr>
            <w:tcW w:w="12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诺瓦、创凯、卡莱特</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1</w:t>
            </w:r>
          </w:p>
        </w:tc>
        <w:tc>
          <w:tcPr>
            <w:tcW w:w="10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台</w:t>
            </w:r>
          </w:p>
        </w:tc>
        <w:tc>
          <w:tcPr>
            <w:tcW w:w="8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c>
          <w:tcPr>
            <w:tcW w:w="12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r>
      <w:tr>
        <w:tblPrEx>
          <w:tblCellMar>
            <w:top w:w="0" w:type="dxa"/>
            <w:left w:w="0" w:type="dxa"/>
            <w:bottom w:w="0" w:type="dxa"/>
            <w:right w:w="0" w:type="dxa"/>
          </w:tblCellMar>
        </w:tblPrEx>
        <w:trPr>
          <w:trHeight w:val="864" w:hRule="atLeast"/>
          <w:jc w:val="center"/>
        </w:trPr>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4</w:t>
            </w:r>
          </w:p>
        </w:tc>
        <w:tc>
          <w:tcPr>
            <w:tcW w:w="12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无线投屏器</w:t>
            </w:r>
          </w:p>
        </w:tc>
        <w:tc>
          <w:tcPr>
            <w:tcW w:w="53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1"/>
              </w:numPr>
              <w:jc w:val="left"/>
              <w:textAlignment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USB无线传屏，支持windows和mac电脑，仅通过USB口，同时完成传输和供电，无线传屏至接收端。一键传屏，无需安装软件。支持对usb传屏器所插电脑的触摸反控。</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2、支持主流操作系统通过WIFI的无线传屏；</w:t>
            </w:r>
          </w:p>
          <w:p>
            <w:pPr>
              <w:widowControl/>
              <w:jc w:val="left"/>
              <w:textAlignment w:val="center"/>
              <w:rPr>
                <w:rFonts w:ascii="宋体" w:hAnsi="宋体" w:cs="宋体"/>
                <w:strike/>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3、接收端内置两个wifi模块，一个用于产生热点用于传屏，另外一个用于连接办公室网络；</w:t>
            </w:r>
          </w:p>
          <w:p>
            <w:pPr>
              <w:widowControl/>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4、接收端内置蓝牙模块，安卓手机在镜像投屏时，可以上网播放在线视频或者在线音乐并能传屏传声音。</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5，具备USB接口≥3， HDMI输出口≥1，RG-45网口≥1，音频输出口≥1；</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6、接收端具备联网自动升级功能；</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7、具备多种投屏模式，满足各种场合需求，抢占模式和独占模式可以随意切换，可以设置动态投屏码防止投屏事故。可设置竖屏模式，方便手机竖屏满屏传屏。</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8、内置批注功能，能对传屏画面进行实时批注，并保存本地，u盘或者手机二维码分享多种选择。</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9，提供管理员客户端软件，通过管理员客户端软件可以方便控制投屏端的操作</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11、自动重启功能:内置实时时钟模块，确保无互联网状态下，系统时间仍能正常运行，并能在凌晨无投屏状态时自动重启，确保设备365天7x24小时不掉电仍能有效运行。</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12，兼容miracast和widi功能，接收端运行内置特定程序后，可以支持安卓手机的miracast投屏和笔记本的widi投屏，无需安卓软件。</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13、支持手机扫码投屏功能，微信，支付宝扫一扫直接进入镜像投屏状态；</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15、接收主机支持HDMI 2.0 4k</w:t>
            </w:r>
            <w:r>
              <w:rPr>
                <w:rFonts w:ascii="宋体" w:hAnsi="宋体" w:cs="宋体"/>
                <w:color w:val="000000" w:themeColor="text1"/>
                <w:kern w:val="0"/>
                <w14:textFill>
                  <w14:solidFill>
                    <w14:schemeClr w14:val="tx1"/>
                  </w14:solidFill>
                </w14:textFill>
              </w:rPr>
              <w:t xml:space="preserve"> </w:t>
            </w:r>
            <w:r>
              <w:rPr>
                <w:rFonts w:hint="eastAsia" w:ascii="宋体" w:hAnsi="宋体" w:cs="宋体"/>
                <w:color w:val="000000" w:themeColor="text1"/>
                <w:kern w:val="0"/>
                <w14:textFill>
                  <w14:solidFill>
                    <w14:schemeClr w14:val="tx1"/>
                  </w14:solidFill>
                </w14:textFill>
              </w:rPr>
              <w:t>60HZ输出</w:t>
            </w:r>
            <w:r>
              <w:rPr>
                <w:rFonts w:hint="eastAsia" w:ascii="宋体" w:hAnsi="宋体" w:cs="宋体"/>
                <w:color w:val="000000" w:themeColor="text1"/>
                <w:kern w:val="0"/>
                <w14:textFill>
                  <w14:solidFill>
                    <w14:schemeClr w14:val="tx1"/>
                  </w14:solidFill>
                </w14:textFill>
              </w:rPr>
              <w:br w:type="textWrapping"/>
            </w:r>
            <w:r>
              <w:rPr>
                <w:rFonts w:hint="eastAsia" w:ascii="宋体" w:hAnsi="宋体" w:cs="宋体"/>
                <w:color w:val="000000" w:themeColor="text1"/>
                <w:kern w:val="0"/>
                <w14:textFill>
                  <w14:solidFill>
                    <w14:schemeClr w14:val="tx1"/>
                  </w14:solidFill>
                </w14:textFill>
              </w:rPr>
              <w:t>16、支持显示1/2画面。</w:t>
            </w:r>
          </w:p>
        </w:tc>
        <w:tc>
          <w:tcPr>
            <w:tcW w:w="12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Quickshare、宝疆、美誉</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1</w:t>
            </w:r>
          </w:p>
        </w:tc>
        <w:tc>
          <w:tcPr>
            <w:tcW w:w="10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台</w:t>
            </w:r>
          </w:p>
        </w:tc>
        <w:tc>
          <w:tcPr>
            <w:tcW w:w="8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c>
          <w:tcPr>
            <w:tcW w:w="12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r>
      <w:tr>
        <w:tblPrEx>
          <w:tblCellMar>
            <w:top w:w="0" w:type="dxa"/>
            <w:left w:w="0" w:type="dxa"/>
            <w:bottom w:w="0" w:type="dxa"/>
            <w:right w:w="0" w:type="dxa"/>
          </w:tblCellMar>
        </w:tblPrEx>
        <w:trPr>
          <w:trHeight w:val="864" w:hRule="atLeast"/>
          <w:jc w:val="center"/>
        </w:trPr>
        <w:tc>
          <w:tcPr>
            <w:tcW w:w="19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eastAsiaTheme="minorEastAsia"/>
                <w:b/>
                <w:color w:val="000000" w:themeColor="text1"/>
                <w:kern w:val="0"/>
                <w:lang w:val="en-US" w:eastAsia="zh-CN"/>
                <w14:textFill>
                  <w14:solidFill>
                    <w14:schemeClr w14:val="tx1"/>
                  </w14:solidFill>
                </w14:textFill>
              </w:rPr>
            </w:pPr>
            <w:r>
              <w:rPr>
                <w:rFonts w:hint="eastAsia" w:ascii="宋体" w:hAnsi="宋体" w:cs="宋体"/>
                <w:b/>
                <w:color w:val="000000" w:themeColor="text1"/>
                <w:kern w:val="0"/>
                <w:lang w:val="en-US" w:eastAsia="zh-CN"/>
                <w14:textFill>
                  <w14:solidFill>
                    <w14:schemeClr w14:val="tx1"/>
                  </w14:solidFill>
                </w14:textFill>
              </w:rPr>
              <w:t>合计</w:t>
            </w:r>
          </w:p>
        </w:tc>
        <w:tc>
          <w:tcPr>
            <w:tcW w:w="10536"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宋体" w:hAnsi="宋体" w:cs="宋体" w:eastAsiaTheme="minorEastAsia"/>
                <w:color w:val="000000" w:themeColor="text1"/>
                <w:kern w:val="0"/>
                <w:lang w:val="en-US" w:eastAsia="zh-CN"/>
                <w14:textFill>
                  <w14:solidFill>
                    <w14:schemeClr w14:val="tx1"/>
                  </w14:solidFill>
                </w14:textFill>
              </w:rPr>
            </w:pPr>
            <w:r>
              <w:rPr>
                <w:rFonts w:hint="eastAsia" w:ascii="宋体" w:hAnsi="宋体" w:cs="宋体"/>
                <w:color w:val="000000" w:themeColor="text1"/>
                <w:kern w:val="0"/>
                <w:lang w:val="en-US" w:eastAsia="zh-CN"/>
                <w14:textFill>
                  <w14:solidFill>
                    <w14:schemeClr w14:val="tx1"/>
                  </w14:solidFill>
                </w14:textFill>
              </w:rPr>
              <w:t>投标报价     小写：          大写：</w:t>
            </w:r>
          </w:p>
        </w:tc>
        <w:tc>
          <w:tcPr>
            <w:tcW w:w="12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r>
      <w:tr>
        <w:tblPrEx>
          <w:tblCellMar>
            <w:top w:w="0" w:type="dxa"/>
            <w:left w:w="0" w:type="dxa"/>
            <w:bottom w:w="0" w:type="dxa"/>
            <w:right w:w="0" w:type="dxa"/>
          </w:tblCellMar>
        </w:tblPrEx>
        <w:trPr>
          <w:trHeight w:val="864" w:hRule="atLeast"/>
          <w:jc w:val="center"/>
        </w:trPr>
        <w:tc>
          <w:tcPr>
            <w:tcW w:w="19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eastAsiaTheme="minorEastAsia"/>
                <w:b/>
                <w:color w:val="000000" w:themeColor="text1"/>
                <w:kern w:val="0"/>
                <w:lang w:val="en-US" w:eastAsia="zh-CN"/>
                <w14:textFill>
                  <w14:solidFill>
                    <w14:schemeClr w14:val="tx1"/>
                  </w14:solidFill>
                </w14:textFill>
              </w:rPr>
            </w:pPr>
            <w:r>
              <w:rPr>
                <w:rFonts w:hint="eastAsia" w:ascii="宋体" w:hAnsi="宋体" w:cs="宋体"/>
                <w:b/>
                <w:color w:val="000000" w:themeColor="text1"/>
                <w:kern w:val="0"/>
                <w:lang w:val="en-US" w:eastAsia="zh-CN"/>
                <w14:textFill>
                  <w14:solidFill>
                    <w14:schemeClr w14:val="tx1"/>
                  </w14:solidFill>
                </w14:textFill>
              </w:rPr>
              <w:t>质保期</w:t>
            </w:r>
          </w:p>
        </w:tc>
        <w:tc>
          <w:tcPr>
            <w:tcW w:w="10536"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c>
          <w:tcPr>
            <w:tcW w:w="12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themeColor="text1"/>
                <w:kern w:val="0"/>
                <w14:textFill>
                  <w14:solidFill>
                    <w14:schemeClr w14:val="tx1"/>
                  </w14:solidFill>
                </w14:textFill>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val="0"/>
          <w:bCs w:val="0"/>
          <w:i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b w:val="0"/>
          <w:bCs w:val="0"/>
          <w:i w:val="0"/>
          <w:caps w:val="0"/>
          <w:color w:val="000000" w:themeColor="text1"/>
          <w:spacing w:val="0"/>
          <w:sz w:val="24"/>
          <w:szCs w:val="24"/>
          <w:shd w:val="clear" w:fill="FFFFFF"/>
          <w:lang w:val="en-US" w:eastAsia="zh-CN"/>
          <w14:textFill>
            <w14:solidFill>
              <w14:schemeClr w14:val="tx1"/>
            </w14:solidFill>
          </w14:textFill>
        </w:rPr>
        <w:t>1、报价须包括所有运费、安装费、人工费、税费和管理费等所有费用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val="0"/>
          <w:bCs w:val="0"/>
          <w:i w:val="0"/>
          <w:caps w:val="0"/>
          <w:color w:val="000000" w:themeColor="text1"/>
          <w:spacing w:val="0"/>
          <w:sz w:val="24"/>
          <w:szCs w:val="24"/>
          <w:u w:val="none"/>
          <w:shd w:val="clear" w:fill="FFFFFF"/>
          <w:lang w:val="en-US" w:eastAsia="zh-CN"/>
          <w14:textFill>
            <w14:solidFill>
              <w14:schemeClr w14:val="tx1"/>
            </w14:solidFill>
          </w14:textFill>
        </w:rPr>
      </w:pPr>
      <w:r>
        <w:rPr>
          <w:rFonts w:hint="eastAsia" w:ascii="宋体" w:hAnsi="宋体" w:eastAsia="宋体" w:cs="宋体"/>
          <w:b w:val="0"/>
          <w:bCs w:val="0"/>
          <w:i w:val="0"/>
          <w:caps w:val="0"/>
          <w:color w:val="000000" w:themeColor="text1"/>
          <w:spacing w:val="0"/>
          <w:sz w:val="24"/>
          <w:szCs w:val="24"/>
          <w:shd w:val="clear" w:fill="FFFFFF"/>
          <w:lang w:val="en-US" w:eastAsia="zh-CN"/>
          <w14:textFill>
            <w14:solidFill>
              <w14:schemeClr w14:val="tx1"/>
            </w14:solidFill>
          </w14:textFill>
        </w:rPr>
        <w:t>2、提供原厂三年以上免费质保和完善的售后服务。</w:t>
      </w:r>
      <w:r>
        <w:rPr>
          <w:rFonts w:hint="eastAsia" w:hAnsi="宋体" w:cs="宋体"/>
          <w:color w:val="000000" w:themeColor="text1"/>
          <w:sz w:val="24"/>
          <w:szCs w:val="24"/>
          <w:u w:val="none"/>
          <w14:textFill>
            <w14:solidFill>
              <w14:schemeClr w14:val="tx1"/>
            </w14:solidFill>
          </w14:textFill>
        </w:rPr>
        <w:t>质保期内提供24小时免费上门维修服务，质保期后提供维修维护服务。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val="0"/>
          <w:bCs w:val="0"/>
          <w:i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b w:val="0"/>
          <w:bCs w:val="0"/>
          <w:i w:val="0"/>
          <w:caps w:val="0"/>
          <w:color w:val="000000" w:themeColor="text1"/>
          <w:spacing w:val="0"/>
          <w:sz w:val="24"/>
          <w:szCs w:val="24"/>
          <w:shd w:val="clear" w:fill="FFFFFF"/>
          <w:lang w:val="en-US" w:eastAsia="zh-CN"/>
          <w14:textFill>
            <w14:solidFill>
              <w14:schemeClr w14:val="tx1"/>
            </w14:solidFill>
          </w14:textFill>
        </w:rPr>
        <w:t>3、</w:t>
      </w:r>
      <w:r>
        <w:rPr>
          <w:rFonts w:hint="eastAsia" w:ascii="宋体" w:hAnsi="宋体" w:eastAsia="宋体" w:cs="宋体"/>
          <w:b w:val="0"/>
          <w:bCs w:val="0"/>
          <w:i w:val="0"/>
          <w:caps w:val="0"/>
          <w:color w:val="FF0000"/>
          <w:spacing w:val="0"/>
          <w:sz w:val="24"/>
          <w:szCs w:val="24"/>
          <w:shd w:val="clear" w:fill="FFFFFF"/>
          <w:lang w:val="en-US" w:eastAsia="zh-CN"/>
        </w:rPr>
        <w:t>乙方在收到中标通知书后7个工作日内须提供原厂至少三年质保函原件，否则取消中标资格。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eastAsia"/>
          <w:b/>
          <w:bCs/>
          <w:sz w:val="24"/>
          <w:szCs w:val="24"/>
          <w:lang w:val="en-US" w:eastAsia="zh-CN"/>
        </w:rPr>
      </w:pPr>
      <w:r>
        <w:rPr>
          <w:rFonts w:hint="eastAsia"/>
          <w:b/>
          <w:bCs/>
          <w:sz w:val="24"/>
          <w:szCs w:val="24"/>
          <w:lang w:val="en-US" w:eastAsia="zh-CN"/>
        </w:rPr>
        <w:t>法人或授权代表：（签字）                             报价人：   （单位公章）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lang w:val="en-US" w:eastAsia="zh-CN"/>
        </w:rPr>
      </w:pPr>
      <w:r>
        <w:rPr>
          <w:rFonts w:hint="eastAsia"/>
          <w:b/>
          <w:bCs/>
          <w:sz w:val="24"/>
          <w:szCs w:val="24"/>
          <w:lang w:val="en-US" w:eastAsia="zh-CN"/>
        </w:rPr>
        <w:t xml:space="preserve">          2020年7月日</w:t>
      </w:r>
      <w:r>
        <w:rPr>
          <w:rFonts w:hint="eastAsia"/>
          <w:lang w:val="en-US" w:eastAsia="zh-CN"/>
        </w:rPr>
        <w:t xml:space="preserve">                       </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20A3E5"/>
    <w:multiLevelType w:val="singleLevel"/>
    <w:tmpl w:val="9320A3E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24753E"/>
    <w:rsid w:val="1A786ED4"/>
    <w:rsid w:val="1DDD26DE"/>
    <w:rsid w:val="26336C6A"/>
    <w:rsid w:val="28716613"/>
    <w:rsid w:val="31566F76"/>
    <w:rsid w:val="322370CB"/>
    <w:rsid w:val="3A24753E"/>
    <w:rsid w:val="3E267AE6"/>
    <w:rsid w:val="40391F64"/>
    <w:rsid w:val="458F7D44"/>
    <w:rsid w:val="49A46647"/>
    <w:rsid w:val="4D972DE1"/>
    <w:rsid w:val="566B0FFA"/>
    <w:rsid w:val="61985D6B"/>
    <w:rsid w:val="6C11443E"/>
    <w:rsid w:val="740D74B4"/>
    <w:rsid w:val="754A658D"/>
    <w:rsid w:val="760705EF"/>
    <w:rsid w:val="764F6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2020-07-03T07:32:00Z</dcterms:created>
  <dc:creator>赵萌</dc:creator>
  <cp:lastModifiedBy>赵萌</cp:lastModifiedBy>
  <dcterms:modified xsi:type="dcterms:W3CDTF">2020-07-08T01:01:04Z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