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b/>
          <w:sz w:val="84"/>
        </w:rPr>
      </w:pPr>
      <w:r>
        <w:rPr>
          <w:rFonts w:hint="eastAsia" w:ascii="宋体" w:hAnsi="宋体" w:cs="宋体"/>
          <w:b/>
          <w:sz w:val="84"/>
        </w:rPr>
        <w:t>招 标 文 件</w:t>
      </w:r>
    </w:p>
    <w:p>
      <w:pP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rPr>
      </w:pPr>
      <w:r>
        <w:rPr>
          <w:rFonts w:hint="eastAsia" w:ascii="宋体" w:hAnsi="宋体" w:cs="宋体"/>
          <w:b/>
          <w:sz w:val="36"/>
        </w:rPr>
        <w:t>项目编号：2020-006S</w:t>
      </w: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szCs w:val="36"/>
        </w:rPr>
      </w:pPr>
      <w:r>
        <w:rPr>
          <w:rFonts w:hint="eastAsia" w:ascii="宋体" w:hAnsi="宋体" w:cs="宋体"/>
          <w:b/>
          <w:sz w:val="36"/>
          <w:szCs w:val="36"/>
        </w:rPr>
        <w:t>项目名称：盐城工业职业技术学院信息与安全学院多媒体教学</w:t>
      </w:r>
      <w:r>
        <w:rPr>
          <w:rFonts w:hint="eastAsia" w:ascii="宋体" w:hAnsi="宋体" w:cs="宋体"/>
          <w:b/>
          <w:sz w:val="36"/>
          <w:szCs w:val="36"/>
          <w:lang w:val="en-US" w:eastAsia="zh-CN"/>
        </w:rPr>
        <w:t>设备</w:t>
      </w:r>
      <w:r>
        <w:rPr>
          <w:rFonts w:hint="eastAsia" w:ascii="宋体" w:hAnsi="宋体" w:cs="宋体"/>
          <w:b/>
          <w:sz w:val="36"/>
          <w:szCs w:val="36"/>
        </w:rPr>
        <w:t xml:space="preserve">项目 </w:t>
      </w: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jc w:val="center"/>
        <w:rPr>
          <w:rFonts w:ascii="宋体" w:hAnsi="宋体" w:cs="宋体"/>
          <w:bCs/>
          <w:sz w:val="36"/>
          <w:szCs w:val="36"/>
        </w:rPr>
      </w:pPr>
      <w:r>
        <w:rPr>
          <w:rFonts w:hint="eastAsia" w:ascii="宋体" w:hAnsi="宋体" w:cs="宋体"/>
          <w:bCs/>
          <w:sz w:val="36"/>
          <w:szCs w:val="36"/>
        </w:rPr>
        <w:t>盐城工业职业技术学院</w:t>
      </w:r>
    </w:p>
    <w:p>
      <w:pPr>
        <w:jc w:val="center"/>
        <w:rPr>
          <w:rFonts w:ascii="宋体" w:hAnsi="宋体" w:cs="宋体"/>
          <w:sz w:val="36"/>
          <w:szCs w:val="36"/>
        </w:rPr>
      </w:pPr>
      <w:r>
        <w:rPr>
          <w:rFonts w:hint="eastAsia" w:ascii="宋体" w:hAnsi="宋体" w:cs="宋体"/>
          <w:sz w:val="36"/>
          <w:szCs w:val="36"/>
        </w:rPr>
        <w:t>江苏双清工程造价咨询有限公司</w:t>
      </w:r>
    </w:p>
    <w:p>
      <w:pPr>
        <w:jc w:val="center"/>
        <w:rPr>
          <w:rFonts w:ascii="宋体" w:hAnsi="宋体" w:cs="宋体"/>
          <w:sz w:val="36"/>
          <w:szCs w:val="36"/>
        </w:rPr>
      </w:pPr>
      <w:r>
        <w:rPr>
          <w:rFonts w:hint="eastAsia" w:ascii="宋体" w:hAnsi="宋体" w:cs="宋体"/>
          <w:sz w:val="36"/>
          <w:szCs w:val="36"/>
        </w:rPr>
        <w:t xml:space="preserve"> 2020年</w:t>
      </w:r>
      <w:r>
        <w:rPr>
          <w:rFonts w:hint="eastAsia" w:ascii="宋体" w:hAnsi="宋体" w:cs="宋体"/>
          <w:sz w:val="36"/>
          <w:szCs w:val="36"/>
          <w:lang w:val="en-US" w:eastAsia="zh-CN"/>
        </w:rPr>
        <w:t>6</w:t>
      </w:r>
      <w:r>
        <w:rPr>
          <w:rFonts w:hint="eastAsia" w:ascii="宋体" w:hAnsi="宋体" w:cs="宋体"/>
          <w:sz w:val="36"/>
          <w:szCs w:val="36"/>
        </w:rPr>
        <w:t>月</w:t>
      </w:r>
      <w:r>
        <w:rPr>
          <w:rFonts w:hint="eastAsia" w:ascii="宋体" w:hAnsi="宋体" w:cs="宋体"/>
          <w:sz w:val="36"/>
          <w:szCs w:val="36"/>
          <w:lang w:val="en-US" w:eastAsia="zh-CN"/>
        </w:rPr>
        <w:t>10</w:t>
      </w:r>
      <w:r>
        <w:rPr>
          <w:rFonts w:hint="eastAsia" w:ascii="宋体" w:hAnsi="宋体" w:cs="宋体"/>
          <w:sz w:val="36"/>
          <w:szCs w:val="36"/>
        </w:rPr>
        <w:t>日</w:t>
      </w:r>
    </w:p>
    <w:p>
      <w:pPr>
        <w:spacing w:line="480" w:lineRule="auto"/>
        <w:jc w:val="center"/>
        <w:outlineLvl w:val="0"/>
        <w:rPr>
          <w:rFonts w:ascii="宋体" w:hAnsi="宋体" w:cs="宋体"/>
          <w:b/>
          <w:sz w:val="44"/>
        </w:rPr>
        <w:sectPr>
          <w:headerReference r:id="rId3" w:type="default"/>
          <w:footerReference r:id="rId4" w:type="default"/>
          <w:footerReference r:id="rId5" w:type="even"/>
          <w:pgSz w:w="11906" w:h="16838"/>
          <w:pgMar w:top="1418" w:right="1588" w:bottom="1418" w:left="1365" w:header="851" w:footer="907" w:gutter="0"/>
          <w:pgNumType w:fmt="numberInDash" w:start="0"/>
          <w:cols w:space="720" w:num="1"/>
          <w:docGrid w:type="lines" w:linePitch="290" w:charSpace="0"/>
        </w:sectPr>
      </w:pPr>
      <w:bookmarkStart w:id="0" w:name="_Toc120614210"/>
      <w:bookmarkStart w:id="1" w:name="_Toc513029200"/>
      <w:bookmarkStart w:id="2" w:name="_Toc479757206"/>
      <w:bookmarkStart w:id="3" w:name="_Toc523127445"/>
      <w:bookmarkStart w:id="4" w:name="_Toc16938516"/>
      <w:bookmarkStart w:id="5" w:name="_Toc20823272"/>
    </w:p>
    <w:p>
      <w:pPr>
        <w:spacing w:line="480" w:lineRule="auto"/>
        <w:jc w:val="center"/>
        <w:outlineLvl w:val="0"/>
        <w:rPr>
          <w:rFonts w:ascii="宋体" w:hAnsi="宋体" w:cs="宋体"/>
          <w:b/>
          <w:sz w:val="44"/>
        </w:rPr>
      </w:pPr>
      <w:r>
        <w:rPr>
          <w:rFonts w:hint="eastAsia" w:ascii="宋体" w:hAnsi="宋体" w:cs="宋体"/>
          <w:b/>
          <w:sz w:val="44"/>
        </w:rPr>
        <w:t>总  目  录</w:t>
      </w:r>
    </w:p>
    <w:p>
      <w:pPr>
        <w:spacing w:line="480" w:lineRule="auto"/>
        <w:rPr>
          <w:rFonts w:ascii="宋体" w:hAnsi="宋体" w:cs="宋体"/>
          <w:b/>
          <w:sz w:val="28"/>
        </w:rPr>
      </w:pPr>
    </w:p>
    <w:p>
      <w:pPr>
        <w:numPr>
          <w:ilvl w:val="0"/>
          <w:numId w:val="4"/>
        </w:numPr>
        <w:spacing w:line="480" w:lineRule="auto"/>
        <w:outlineLvl w:val="0"/>
        <w:rPr>
          <w:rFonts w:ascii="宋体" w:hAnsi="宋体" w:cs="宋体"/>
          <w:sz w:val="32"/>
        </w:rPr>
      </w:pPr>
      <w:r>
        <w:rPr>
          <w:rFonts w:hint="eastAsia" w:ascii="宋体" w:hAnsi="宋体" w:cs="宋体"/>
          <w:sz w:val="36"/>
        </w:rPr>
        <w:t xml:space="preserve">招标公告…………………………………… </w:t>
      </w:r>
    </w:p>
    <w:p>
      <w:pPr>
        <w:numPr>
          <w:ilvl w:val="0"/>
          <w:numId w:val="4"/>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  </w:t>
      </w:r>
    </w:p>
    <w:p>
      <w:pPr>
        <w:numPr>
          <w:ilvl w:val="0"/>
          <w:numId w:val="4"/>
        </w:numPr>
        <w:spacing w:line="480" w:lineRule="auto"/>
        <w:outlineLvl w:val="0"/>
        <w:rPr>
          <w:rFonts w:ascii="宋体" w:hAnsi="宋体" w:cs="宋体"/>
          <w:sz w:val="36"/>
        </w:rPr>
      </w:pPr>
      <w:r>
        <w:rPr>
          <w:rFonts w:hint="eastAsia" w:ascii="宋体" w:hAnsi="宋体" w:cs="宋体"/>
          <w:sz w:val="36"/>
        </w:rPr>
        <w:t>合同条款及格式……………………………</w:t>
      </w:r>
    </w:p>
    <w:p>
      <w:pPr>
        <w:numPr>
          <w:ilvl w:val="0"/>
          <w:numId w:val="4"/>
        </w:numPr>
        <w:spacing w:line="480" w:lineRule="auto"/>
        <w:outlineLvl w:val="0"/>
        <w:rPr>
          <w:rFonts w:ascii="宋体" w:hAnsi="宋体" w:cs="宋体"/>
          <w:sz w:val="36"/>
        </w:rPr>
      </w:pPr>
      <w:r>
        <w:rPr>
          <w:rFonts w:hint="eastAsia" w:ascii="宋体" w:hAnsi="宋体" w:cs="宋体"/>
          <w:sz w:val="36"/>
        </w:rPr>
        <w:t>项目需求……………………………………</w:t>
      </w:r>
    </w:p>
    <w:p>
      <w:pPr>
        <w:numPr>
          <w:ilvl w:val="0"/>
          <w:numId w:val="4"/>
        </w:numPr>
        <w:spacing w:line="480" w:lineRule="auto"/>
        <w:outlineLvl w:val="0"/>
        <w:rPr>
          <w:rFonts w:ascii="宋体" w:hAns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4"/>
        </w:numPr>
        <w:spacing w:line="480" w:lineRule="auto"/>
        <w:outlineLvl w:val="0"/>
        <w:rPr>
          <w:rFonts w:ascii="宋体" w:hAnsi="宋体" w:cs="宋体"/>
          <w:sz w:val="36"/>
        </w:rPr>
      </w:pPr>
      <w:r>
        <w:rPr>
          <w:rFonts w:hint="eastAsia" w:ascii="宋体" w:hAnsi="宋体" w:cs="宋体"/>
          <w:sz w:val="36"/>
        </w:rPr>
        <w:t>投标文件格式………………………………</w:t>
      </w:r>
    </w:p>
    <w:p>
      <w:pPr>
        <w:pStyle w:val="3"/>
        <w:rPr>
          <w:rFonts w:ascii="宋体" w:hAnsi="宋体" w:eastAsia="宋体" w:cs="宋体"/>
          <w:bCs/>
          <w:sz w:val="44"/>
        </w:rPr>
      </w:pPr>
    </w:p>
    <w:p>
      <w:pPr>
        <w:pStyle w:val="3"/>
        <w:rPr>
          <w:rFonts w:ascii="宋体" w:hAnsi="宋体" w:eastAsia="宋体" w:cs="宋体"/>
          <w:bCs/>
          <w:sz w:val="44"/>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jc w:val="both"/>
        <w:rPr>
          <w:rFonts w:ascii="宋体" w:hAnsi="宋体" w:eastAsia="宋体" w:cs="宋体"/>
          <w:sz w:val="21"/>
          <w:szCs w:val="21"/>
        </w:rPr>
      </w:pPr>
    </w:p>
    <w:p>
      <w:pPr>
        <w:rPr>
          <w:rFonts w:ascii="宋体" w:hAnsi="宋体" w:cs="宋体"/>
        </w:rPr>
      </w:pPr>
    </w:p>
    <w:p>
      <w:pPr>
        <w:rPr>
          <w:rFonts w:ascii="宋体" w:hAnsi="宋体" w:cs="宋体"/>
        </w:rPr>
      </w:pPr>
    </w:p>
    <w:p>
      <w:pPr>
        <w:pStyle w:val="3"/>
        <w:rPr>
          <w:rFonts w:ascii="宋体" w:hAnsi="宋体" w:eastAsia="宋体" w:cs="宋体"/>
          <w:bCs/>
          <w:sz w:val="44"/>
          <w:szCs w:val="44"/>
        </w:rPr>
      </w:pPr>
      <w:r>
        <w:rPr>
          <w:rFonts w:hint="eastAsia" w:ascii="宋体" w:hAnsi="宋体" w:eastAsia="宋体" w:cs="宋体"/>
          <w:sz w:val="44"/>
          <w:szCs w:val="44"/>
        </w:rPr>
        <w:t xml:space="preserve">第一章  </w:t>
      </w:r>
      <w:bookmarkEnd w:id="0"/>
      <w:r>
        <w:rPr>
          <w:rFonts w:hint="eastAsia" w:ascii="宋体" w:hAnsi="宋体" w:eastAsia="宋体" w:cs="宋体"/>
          <w:sz w:val="44"/>
          <w:szCs w:val="44"/>
        </w:rPr>
        <w:t>招标公告</w:t>
      </w:r>
    </w:p>
    <w:p>
      <w:pPr>
        <w:tabs>
          <w:tab w:val="left" w:pos="900"/>
        </w:tabs>
        <w:spacing w:line="500" w:lineRule="exact"/>
        <w:ind w:firstLine="480" w:firstLineChars="200"/>
        <w:rPr>
          <w:rFonts w:ascii="宋体" w:hAnsi="宋体" w:cs="宋体"/>
          <w:sz w:val="24"/>
        </w:rPr>
      </w:pPr>
      <w:r>
        <w:rPr>
          <w:rFonts w:hint="eastAsia" w:ascii="宋体" w:hAnsi="宋体" w:cs="宋体"/>
          <w:sz w:val="24"/>
        </w:rPr>
        <w:t>根据盐城工业职业技术学院下达的采购计划，江苏双清工程造价咨询有限公司受盐城工业职业技术学院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的委托，决定就其所需的</w:t>
      </w:r>
      <w:r>
        <w:rPr>
          <w:rFonts w:hint="eastAsia" w:ascii="宋体" w:hAnsi="宋体" w:cs="宋体"/>
          <w:bCs/>
          <w:sz w:val="24"/>
        </w:rPr>
        <w:t>信息与安全学院多媒体教学</w:t>
      </w:r>
      <w:r>
        <w:rPr>
          <w:rFonts w:hint="eastAsia" w:ascii="宋体" w:hAnsi="宋体" w:cs="宋体"/>
          <w:bCs/>
          <w:sz w:val="24"/>
          <w:lang w:val="en-US" w:eastAsia="zh-CN"/>
        </w:rPr>
        <w:t>设备</w:t>
      </w:r>
      <w:r>
        <w:rPr>
          <w:rFonts w:hint="eastAsia" w:ascii="宋体" w:hAnsi="宋体" w:cs="宋体"/>
          <w:bCs/>
          <w:sz w:val="24"/>
        </w:rPr>
        <w:t>项目</w:t>
      </w:r>
      <w:r>
        <w:rPr>
          <w:rFonts w:hint="eastAsia" w:ascii="宋体" w:hAnsi="宋体" w:cs="宋体"/>
          <w:sz w:val="24"/>
        </w:rPr>
        <w:t>进行公开招标采购，现欢迎符合相关条件的合格供应商投标。</w:t>
      </w:r>
    </w:p>
    <w:p>
      <w:pPr>
        <w:tabs>
          <w:tab w:val="left" w:pos="900"/>
        </w:tabs>
        <w:spacing w:line="500" w:lineRule="exact"/>
        <w:ind w:firstLine="482" w:firstLineChars="200"/>
        <w:rPr>
          <w:rFonts w:ascii="宋体" w:hAnsi="宋体" w:cs="宋体"/>
          <w:sz w:val="24"/>
        </w:rPr>
      </w:pPr>
      <w:r>
        <w:rPr>
          <w:rFonts w:hint="eastAsia" w:ascii="宋体" w:hAnsi="宋体" w:cs="宋体"/>
          <w:b/>
          <w:bCs/>
          <w:sz w:val="24"/>
        </w:rPr>
        <w:t>一、招标项目名称及编号</w:t>
      </w:r>
    </w:p>
    <w:p>
      <w:pPr>
        <w:tabs>
          <w:tab w:val="left" w:pos="900"/>
        </w:tabs>
        <w:spacing w:line="500" w:lineRule="exact"/>
        <w:ind w:firstLine="480" w:firstLineChars="200"/>
        <w:rPr>
          <w:rFonts w:ascii="宋体" w:hAnsi="宋体" w:cs="宋体"/>
          <w:sz w:val="24"/>
        </w:rPr>
      </w:pPr>
      <w:r>
        <w:rPr>
          <w:rFonts w:hint="eastAsia" w:ascii="宋体" w:hAnsi="宋体" w:cs="宋体"/>
          <w:sz w:val="24"/>
        </w:rPr>
        <w:t>项目名称：盐城工业职业技术学院信息与安全学院多媒体教学</w:t>
      </w:r>
      <w:r>
        <w:rPr>
          <w:rFonts w:hint="eastAsia" w:ascii="宋体" w:hAnsi="宋体" w:cs="宋体"/>
          <w:sz w:val="24"/>
          <w:lang w:val="en-US" w:eastAsia="zh-CN"/>
        </w:rPr>
        <w:t>设备</w:t>
      </w:r>
      <w:r>
        <w:rPr>
          <w:rFonts w:hint="eastAsia" w:ascii="宋体" w:hAnsi="宋体" w:cs="宋体"/>
          <w:sz w:val="24"/>
        </w:rPr>
        <w:t>项目</w:t>
      </w:r>
    </w:p>
    <w:p>
      <w:pPr>
        <w:tabs>
          <w:tab w:val="left" w:pos="900"/>
        </w:tabs>
        <w:spacing w:line="500" w:lineRule="exact"/>
        <w:ind w:firstLine="480" w:firstLineChars="200"/>
        <w:rPr>
          <w:rFonts w:ascii="宋体" w:hAnsi="宋体" w:cs="宋体"/>
          <w:sz w:val="24"/>
        </w:rPr>
      </w:pPr>
      <w:r>
        <w:rPr>
          <w:rFonts w:hint="eastAsia" w:ascii="宋体" w:hAnsi="宋体" w:cs="宋体"/>
          <w:sz w:val="24"/>
        </w:rPr>
        <w:t>标书编号：2020-006S</w:t>
      </w:r>
    </w:p>
    <w:p>
      <w:pPr>
        <w:tabs>
          <w:tab w:val="left" w:pos="900"/>
        </w:tabs>
        <w:spacing w:line="500" w:lineRule="exact"/>
        <w:ind w:firstLine="482" w:firstLineChars="200"/>
        <w:rPr>
          <w:rFonts w:ascii="宋体" w:hAnsi="宋体" w:cs="宋体"/>
          <w:sz w:val="24"/>
        </w:rPr>
      </w:pPr>
      <w:r>
        <w:rPr>
          <w:rFonts w:hint="eastAsia" w:ascii="宋体" w:hAnsi="宋体" w:cs="宋体"/>
          <w:b/>
          <w:bCs/>
          <w:sz w:val="24"/>
        </w:rPr>
        <w:t>二、招标项目（简要说明）及预算金额</w:t>
      </w:r>
    </w:p>
    <w:p>
      <w:pPr>
        <w:tabs>
          <w:tab w:val="left" w:pos="900"/>
        </w:tabs>
        <w:spacing w:line="500" w:lineRule="exact"/>
        <w:ind w:firstLine="480" w:firstLineChars="200"/>
        <w:rPr>
          <w:rFonts w:ascii="宋体" w:hAnsi="宋体" w:cs="宋体"/>
          <w:sz w:val="24"/>
        </w:rPr>
      </w:pPr>
      <w:r>
        <w:rPr>
          <w:rFonts w:hint="eastAsia" w:ascii="宋体" w:hAnsi="宋体" w:cs="宋体"/>
          <w:sz w:val="24"/>
        </w:rPr>
        <w:t>1、招标范围及内容：盐城工业职业技术学院信息与安全学院多媒体教学系统的设计、制作、相关设备材料的采购、供应、运输、线路敷设、安装、调试、验收交付、售前售后等伴随服务。具体详见工程量清单，招标人保留对上述招标范围进行适当调整的权利。</w:t>
      </w:r>
    </w:p>
    <w:p>
      <w:pPr>
        <w:tabs>
          <w:tab w:val="left" w:pos="900"/>
        </w:tabs>
        <w:spacing w:line="500" w:lineRule="exact"/>
        <w:ind w:firstLine="480" w:firstLineChars="200"/>
        <w:rPr>
          <w:rFonts w:ascii="宋体" w:hAnsi="宋体" w:cs="宋体"/>
          <w:sz w:val="24"/>
        </w:rPr>
      </w:pPr>
      <w:r>
        <w:rPr>
          <w:rFonts w:hint="eastAsia" w:ascii="宋体" w:hAnsi="宋体" w:cs="宋体"/>
          <w:sz w:val="24"/>
        </w:rPr>
        <w:t>2、预算价约10万元；投标人的投标报价不得超过预算价。</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三、供应商资格要求</w:t>
      </w:r>
    </w:p>
    <w:p>
      <w:pPr>
        <w:snapToGrid w:val="0"/>
        <w:spacing w:line="500" w:lineRule="exact"/>
        <w:ind w:firstLine="480" w:firstLineChars="200"/>
        <w:rPr>
          <w:rFonts w:ascii="宋体" w:hAnsi="宋体" w:cs="宋体"/>
          <w:sz w:val="24"/>
        </w:rPr>
      </w:pPr>
      <w:r>
        <w:rPr>
          <w:rFonts w:hint="eastAsia" w:ascii="宋体" w:hAnsi="宋体" w:cs="宋体"/>
          <w:sz w:val="24"/>
        </w:rPr>
        <w:t>（一）符合政府采购法第二十二条第一款规定的条件，并提供下列材料：</w:t>
      </w:r>
    </w:p>
    <w:p>
      <w:pPr>
        <w:snapToGrid w:val="0"/>
        <w:spacing w:line="500" w:lineRule="exact"/>
        <w:ind w:firstLine="480" w:firstLineChars="200"/>
        <w:rPr>
          <w:rFonts w:ascii="宋体" w:hAnsi="宋体" w:cs="宋体"/>
          <w:sz w:val="24"/>
        </w:rPr>
      </w:pPr>
      <w:r>
        <w:rPr>
          <w:rFonts w:hint="eastAsia" w:ascii="宋体" w:hAnsi="宋体" w:cs="宋体"/>
          <w:sz w:val="24"/>
        </w:rPr>
        <w:t>1、法人或者其他组织的营业执照等证明文件，自然人的身份证明；</w:t>
      </w:r>
    </w:p>
    <w:p>
      <w:pPr>
        <w:snapToGrid w:val="0"/>
        <w:spacing w:line="500" w:lineRule="exact"/>
        <w:ind w:firstLine="480" w:firstLineChars="200"/>
        <w:rPr>
          <w:rFonts w:ascii="宋体" w:hAnsi="宋体" w:cs="宋体"/>
          <w:sz w:val="24"/>
        </w:rPr>
      </w:pPr>
      <w:r>
        <w:rPr>
          <w:rFonts w:hint="eastAsia" w:ascii="宋体" w:hAnsi="宋体" w:cs="宋体"/>
          <w:sz w:val="24"/>
        </w:rPr>
        <w:t>2、上一年度的财务报表（成立不满一年不需提供）；</w:t>
      </w:r>
    </w:p>
    <w:p>
      <w:pPr>
        <w:snapToGrid w:val="0"/>
        <w:spacing w:line="500" w:lineRule="exact"/>
        <w:ind w:firstLine="480" w:firstLineChars="200"/>
        <w:rPr>
          <w:rFonts w:ascii="宋体" w:hAnsi="宋体" w:cs="宋体"/>
          <w:sz w:val="24"/>
        </w:rPr>
      </w:pPr>
      <w:r>
        <w:rPr>
          <w:rFonts w:hint="eastAsia" w:ascii="宋体" w:hAnsi="宋体" w:cs="宋体"/>
          <w:sz w:val="24"/>
        </w:rPr>
        <w:t>3、依法缴纳税收和社会保障资金的相关材料；</w:t>
      </w:r>
    </w:p>
    <w:p>
      <w:pPr>
        <w:snapToGrid w:val="0"/>
        <w:spacing w:line="500" w:lineRule="exact"/>
        <w:ind w:firstLine="480" w:firstLineChars="200"/>
        <w:rPr>
          <w:rFonts w:ascii="宋体" w:hAnsi="宋体" w:cs="宋体"/>
          <w:sz w:val="24"/>
        </w:rPr>
      </w:pPr>
      <w:r>
        <w:rPr>
          <w:rFonts w:hint="eastAsia" w:ascii="宋体" w:hAnsi="宋体" w:cs="宋体"/>
          <w:sz w:val="24"/>
        </w:rPr>
        <w:t>4、具备履行合同所必需的设备和专业技术能力的书面声明；</w:t>
      </w:r>
    </w:p>
    <w:p>
      <w:pPr>
        <w:snapToGrid w:val="0"/>
        <w:spacing w:line="500" w:lineRule="exact"/>
        <w:ind w:firstLine="480" w:firstLineChars="200"/>
        <w:rPr>
          <w:rFonts w:ascii="宋体" w:hAnsi="宋体" w:cs="宋体"/>
          <w:sz w:val="24"/>
        </w:rPr>
      </w:pPr>
      <w:r>
        <w:rPr>
          <w:rFonts w:hint="eastAsia" w:ascii="宋体" w:hAnsi="宋体" w:cs="宋体"/>
          <w:sz w:val="24"/>
        </w:rPr>
        <w:t>5、参加政府采购活动前3年内在经营活动中没有重大违法记录的书面声明；</w:t>
      </w:r>
    </w:p>
    <w:p>
      <w:pPr>
        <w:spacing w:line="500" w:lineRule="exact"/>
        <w:ind w:firstLine="480" w:firstLineChars="200"/>
        <w:rPr>
          <w:rFonts w:ascii="宋体" w:hAnsi="宋体" w:cs="宋体"/>
          <w:bCs/>
          <w:sz w:val="24"/>
          <w:u w:val="single"/>
        </w:rPr>
      </w:pPr>
      <w:r>
        <w:rPr>
          <w:rFonts w:hint="eastAsia" w:ascii="宋体" w:hAnsi="宋体" w:cs="宋体"/>
          <w:bCs/>
          <w:sz w:val="24"/>
        </w:rPr>
        <w:t>（二）其他资格条件：</w:t>
      </w:r>
    </w:p>
    <w:p>
      <w:pPr>
        <w:snapToGrid w:val="0"/>
        <w:spacing w:line="500" w:lineRule="exact"/>
        <w:ind w:firstLine="480" w:firstLineChars="200"/>
        <w:rPr>
          <w:rFonts w:ascii="宋体" w:hAnsi="宋体" w:cs="宋体"/>
          <w:sz w:val="24"/>
        </w:rPr>
      </w:pPr>
      <w:r>
        <w:rPr>
          <w:rFonts w:hint="eastAsia" w:ascii="宋体" w:hAnsi="宋体" w:cs="宋体"/>
          <w:sz w:val="24"/>
        </w:rPr>
        <w:t>1、未被“信用中国”网站（www.creditchina.gov.cn）列入失信被执行人、重大税收违法案件当事人名单、政府采购严重失信行为记录名单。</w:t>
      </w:r>
    </w:p>
    <w:p>
      <w:pPr>
        <w:spacing w:line="500" w:lineRule="exact"/>
        <w:ind w:firstLine="480" w:firstLineChars="200"/>
        <w:rPr>
          <w:rFonts w:ascii="宋体" w:hAnsi="宋体" w:cs="宋体"/>
          <w:bCs/>
          <w:sz w:val="24"/>
        </w:rPr>
      </w:pPr>
      <w:r>
        <w:rPr>
          <w:rFonts w:hint="eastAsia" w:ascii="宋体" w:hAnsi="宋体" w:cs="宋体"/>
          <w:bCs/>
          <w:sz w:val="24"/>
        </w:rPr>
        <w:t>（三）本项目</w:t>
      </w:r>
      <w:r>
        <w:rPr>
          <w:rFonts w:hint="eastAsia" w:ascii="宋体" w:hAnsi="宋体" w:cs="宋体"/>
          <w:bCs/>
          <w:sz w:val="24"/>
          <w:u w:val="single"/>
        </w:rPr>
        <w:t>不接受</w:t>
      </w:r>
      <w:r>
        <w:rPr>
          <w:rFonts w:hint="eastAsia" w:ascii="宋体" w:hAnsi="宋体" w:cs="宋体"/>
          <w:bCs/>
          <w:sz w:val="24"/>
        </w:rPr>
        <w:t>联合体投标；</w:t>
      </w:r>
    </w:p>
    <w:p>
      <w:pPr>
        <w:spacing w:line="500" w:lineRule="exact"/>
        <w:ind w:firstLine="482" w:firstLineChars="200"/>
        <w:rPr>
          <w:rFonts w:ascii="宋体" w:hAnsi="宋体" w:cs="宋体"/>
          <w:b/>
          <w:bCs/>
          <w:sz w:val="24"/>
          <w:szCs w:val="24"/>
        </w:rPr>
      </w:pPr>
      <w:r>
        <w:rPr>
          <w:rFonts w:hint="eastAsia" w:ascii="宋体" w:hAnsi="宋体" w:cs="宋体"/>
          <w:b/>
          <w:bCs/>
          <w:sz w:val="24"/>
        </w:rPr>
        <w:t>四、</w:t>
      </w:r>
      <w:r>
        <w:rPr>
          <w:rFonts w:hint="eastAsia" w:ascii="宋体" w:hAnsi="宋体" w:cs="宋体"/>
          <w:b/>
          <w:bCs/>
          <w:sz w:val="24"/>
          <w:szCs w:val="24"/>
        </w:rPr>
        <w:t>招标文件提供信息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现金交纳），供应商如确定参加投标，请如实填写参与《投标确认函》（格式自拟）并在投标文件截止时间三天前按要求送达或邮件回复（邮箱号码：</w:t>
      </w:r>
      <w:r>
        <w:fldChar w:fldCharType="begin"/>
      </w:r>
      <w:r>
        <w:instrText xml:space="preserve"> HYPERLINK "mailto:310920981@qq.com" </w:instrText>
      </w:r>
      <w:r>
        <w:fldChar w:fldCharType="separate"/>
      </w:r>
      <w:r>
        <w:rPr>
          <w:rStyle w:val="55"/>
          <w:rFonts w:hint="default" w:ascii="宋体" w:hAnsi="宋体" w:eastAsia="宋体" w:cs="宋体"/>
          <w:color w:val="auto"/>
          <w:sz w:val="24"/>
        </w:rPr>
        <w:t>310920981@qq.com</w:t>
      </w:r>
      <w:r>
        <w:rPr>
          <w:rStyle w:val="55"/>
          <w:rFonts w:hint="default" w:ascii="宋体" w:hAnsi="宋体" w:eastAsia="宋体" w:cs="宋体"/>
          <w:color w:val="auto"/>
          <w:sz w:val="24"/>
        </w:rPr>
        <w:fldChar w:fldCharType="end"/>
      </w:r>
      <w:r>
        <w:rPr>
          <w:rFonts w:hint="eastAsia" w:ascii="宋体" w:hAnsi="宋体" w:cs="宋体"/>
          <w:sz w:val="24"/>
        </w:rPr>
        <w:t>）。</w:t>
      </w:r>
    </w:p>
    <w:p>
      <w:pPr>
        <w:tabs>
          <w:tab w:val="left" w:pos="900"/>
        </w:tabs>
        <w:spacing w:line="500" w:lineRule="exact"/>
        <w:ind w:firstLine="480" w:firstLineChars="200"/>
        <w:rPr>
          <w:rFonts w:ascii="宋体" w:hAnsi="宋体" w:cs="宋体"/>
          <w:sz w:val="24"/>
        </w:rPr>
      </w:pPr>
      <w:r>
        <w:rPr>
          <w:rFonts w:hint="eastAsia" w:ascii="宋体" w:hAnsi="宋体" w:cs="宋体"/>
          <w:sz w:val="24"/>
        </w:rPr>
        <w:t>有关本次招标的事项若存在变动或修改，敬请及时关注“盐城市政府采购网”和“盐城工业职业技术学院招标采购网”发布的信息更正公告。</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五、投标文件接收信息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投标文件接收时间：2020年6月</w:t>
      </w:r>
      <w:r>
        <w:rPr>
          <w:rFonts w:hint="eastAsia" w:ascii="宋体" w:hAnsi="宋体" w:cs="宋体"/>
          <w:sz w:val="24"/>
          <w:lang w:val="en-US" w:eastAsia="zh-CN"/>
        </w:rPr>
        <w:t>30</w:t>
      </w:r>
      <w:r>
        <w:rPr>
          <w:rFonts w:hint="eastAsia" w:ascii="宋体" w:hAnsi="宋体" w:cs="宋体"/>
          <w:sz w:val="24"/>
        </w:rPr>
        <w:t>日14：30时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投标文件接收截止时间：2020年6月</w:t>
      </w:r>
      <w:r>
        <w:rPr>
          <w:rFonts w:hint="eastAsia" w:ascii="宋体" w:hAnsi="宋体" w:cs="宋体"/>
          <w:sz w:val="24"/>
          <w:lang w:val="en-US" w:eastAsia="zh-CN"/>
        </w:rPr>
        <w:t>30</w:t>
      </w:r>
      <w:r>
        <w:rPr>
          <w:rFonts w:hint="eastAsia" w:ascii="宋体" w:hAnsi="宋体" w:cs="宋体"/>
          <w:sz w:val="24"/>
        </w:rPr>
        <w:t>日15：00时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投标文件接收地点：盐城工业职业技术学院（盐城市解放南路285号）后勤服务中心四楼402开标室。</w:t>
      </w:r>
    </w:p>
    <w:p>
      <w:pPr>
        <w:tabs>
          <w:tab w:val="left" w:pos="900"/>
        </w:tabs>
        <w:spacing w:line="500" w:lineRule="exact"/>
        <w:ind w:firstLine="480" w:firstLineChars="200"/>
        <w:rPr>
          <w:rFonts w:ascii="宋体" w:hAnsi="宋体" w:cs="宋体"/>
          <w:sz w:val="24"/>
        </w:rPr>
      </w:pPr>
      <w:r>
        <w:rPr>
          <w:rFonts w:hint="eastAsia" w:ascii="宋体" w:hAnsi="宋体" w:cs="宋体"/>
          <w:sz w:val="24"/>
        </w:rPr>
        <w:t>六、开标有关信息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开标时间：2020年6月</w:t>
      </w:r>
      <w:r>
        <w:rPr>
          <w:rFonts w:hint="eastAsia" w:ascii="宋体" w:hAnsi="宋体" w:cs="宋体"/>
          <w:sz w:val="24"/>
          <w:lang w:val="en-US" w:eastAsia="zh-CN"/>
        </w:rPr>
        <w:t>30</w:t>
      </w:r>
      <w:r>
        <w:rPr>
          <w:rFonts w:hint="eastAsia" w:ascii="宋体" w:hAnsi="宋体" w:cs="宋体"/>
          <w:sz w:val="24"/>
        </w:rPr>
        <w:t>日15：00时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开标地点：盐城工业职业技术学院（盐城市解放南路285号）后勤服务中心四楼402开标室。</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七、本次招标联系事项</w:t>
      </w:r>
    </w:p>
    <w:p>
      <w:pPr>
        <w:tabs>
          <w:tab w:val="left" w:pos="900"/>
        </w:tabs>
        <w:spacing w:line="500" w:lineRule="exact"/>
        <w:ind w:firstLine="480" w:firstLineChars="200"/>
        <w:rPr>
          <w:rFonts w:ascii="宋体" w:hAnsi="宋体" w:cs="宋体"/>
          <w:sz w:val="24"/>
        </w:rPr>
      </w:pPr>
      <w:r>
        <w:rPr>
          <w:rFonts w:hint="eastAsia" w:ascii="宋体" w:hAnsi="宋体" w:cs="宋体"/>
          <w:sz w:val="24"/>
        </w:rPr>
        <w:t>（一）采购人项目联系人：王国军，联系电话：88583938；</w:t>
      </w:r>
    </w:p>
    <w:p>
      <w:pPr>
        <w:tabs>
          <w:tab w:val="left" w:pos="900"/>
        </w:tabs>
        <w:spacing w:line="500" w:lineRule="exact"/>
        <w:ind w:firstLine="480" w:firstLineChars="200"/>
        <w:rPr>
          <w:rFonts w:ascii="宋体" w:hAnsi="宋体" w:cs="宋体"/>
          <w:sz w:val="24"/>
        </w:rPr>
      </w:pPr>
      <w:r>
        <w:rPr>
          <w:rFonts w:hint="eastAsia" w:ascii="宋体" w:hAnsi="宋体" w:cs="宋体"/>
          <w:sz w:val="24"/>
        </w:rPr>
        <w:t>采购人招标联系人：赵萌，联系电话：0518-88588707；</w:t>
      </w:r>
    </w:p>
    <w:p>
      <w:pPr>
        <w:tabs>
          <w:tab w:val="left" w:pos="900"/>
        </w:tabs>
        <w:spacing w:line="500" w:lineRule="exact"/>
        <w:ind w:firstLine="480" w:firstLineChars="200"/>
        <w:rPr>
          <w:rFonts w:ascii="宋体" w:hAnsi="宋体" w:cs="宋体"/>
          <w:sz w:val="24"/>
        </w:rPr>
      </w:pPr>
      <w:r>
        <w:rPr>
          <w:rFonts w:hint="eastAsia" w:ascii="宋体" w:hAnsi="宋体" w:cs="宋体"/>
          <w:sz w:val="24"/>
        </w:rPr>
        <w:t>采购人地址：盐城工业职业技术学院后勤服务中心四楼405室；</w:t>
      </w:r>
    </w:p>
    <w:p>
      <w:pPr>
        <w:tabs>
          <w:tab w:val="left" w:pos="900"/>
        </w:tabs>
        <w:spacing w:line="500" w:lineRule="exact"/>
        <w:ind w:firstLine="480" w:firstLineChars="200"/>
        <w:rPr>
          <w:rFonts w:ascii="宋体" w:hAnsi="宋体" w:cs="宋体"/>
          <w:sz w:val="24"/>
        </w:rPr>
      </w:pPr>
      <w:r>
        <w:rPr>
          <w:rFonts w:hint="eastAsia" w:ascii="宋体" w:hAnsi="宋体" w:cs="宋体"/>
          <w:sz w:val="24"/>
        </w:rPr>
        <w:t>（二）采购代理机构联系人：尤鸿望， 联系电话：0515-88200316；</w:t>
      </w:r>
    </w:p>
    <w:p>
      <w:pPr>
        <w:tabs>
          <w:tab w:val="left" w:pos="900"/>
        </w:tabs>
        <w:spacing w:line="500" w:lineRule="exact"/>
        <w:ind w:firstLine="480" w:firstLineChars="200"/>
        <w:rPr>
          <w:rFonts w:ascii="宋体" w:hAnsi="宋体" w:cs="宋体"/>
          <w:sz w:val="24"/>
        </w:rPr>
      </w:pPr>
      <w:r>
        <w:rPr>
          <w:rFonts w:hint="eastAsia" w:ascii="宋体" w:hAnsi="宋体" w:cs="宋体"/>
          <w:sz w:val="24"/>
        </w:rPr>
        <w:t xml:space="preserve">采购代理机构联系地址：盐城市紫薇广场C区7楼。 </w:t>
      </w:r>
    </w:p>
    <w:p>
      <w:pPr>
        <w:spacing w:line="500" w:lineRule="exact"/>
        <w:ind w:firstLine="482" w:firstLineChars="200"/>
        <w:rPr>
          <w:rFonts w:ascii="宋体" w:hAnsi="宋体" w:cs="宋体"/>
          <w:b/>
          <w:sz w:val="24"/>
        </w:rPr>
      </w:pPr>
      <w:r>
        <w:rPr>
          <w:rFonts w:hint="eastAsia" w:ascii="宋体" w:hAnsi="宋体" w:cs="宋体"/>
          <w:b/>
          <w:sz w:val="24"/>
        </w:rPr>
        <w:t>八、投标文件制作份数要求</w:t>
      </w:r>
    </w:p>
    <w:p>
      <w:pPr>
        <w:spacing w:line="500" w:lineRule="exact"/>
        <w:ind w:firstLine="480" w:firstLineChars="200"/>
        <w:rPr>
          <w:rFonts w:ascii="宋体" w:hAnsi="宋体" w:cs="宋体"/>
          <w:sz w:val="24"/>
        </w:rPr>
      </w:pPr>
      <w:r>
        <w:rPr>
          <w:rFonts w:hint="eastAsia" w:ascii="宋体" w:hAnsi="宋体" w:cs="宋体"/>
          <w:sz w:val="24"/>
        </w:rPr>
        <w:t>正本份数：1份，副本份数：4份。</w:t>
      </w:r>
    </w:p>
    <w:p>
      <w:pPr>
        <w:spacing w:line="500" w:lineRule="exact"/>
        <w:ind w:firstLine="482" w:firstLineChars="200"/>
        <w:rPr>
          <w:rFonts w:ascii="宋体" w:hAnsi="宋体" w:cs="宋体"/>
          <w:b/>
          <w:bCs/>
          <w:sz w:val="24"/>
        </w:rPr>
      </w:pPr>
      <w:r>
        <w:rPr>
          <w:rFonts w:hint="eastAsia" w:ascii="宋体" w:hAnsi="宋体" w:cs="宋体"/>
          <w:b/>
          <w:bCs/>
          <w:sz w:val="24"/>
        </w:rPr>
        <w:t>九、本次招标投标保证金</w:t>
      </w:r>
    </w:p>
    <w:p>
      <w:pPr>
        <w:spacing w:line="500" w:lineRule="exact"/>
        <w:ind w:firstLine="480" w:firstLineChars="200"/>
        <w:outlineLvl w:val="1"/>
        <w:rPr>
          <w:rFonts w:ascii="宋体" w:hAnsi="宋体" w:cs="宋体"/>
          <w:sz w:val="24"/>
        </w:rPr>
      </w:pPr>
      <w:r>
        <w:rPr>
          <w:rFonts w:hint="eastAsia" w:ascii="宋体" w:hAnsi="宋体" w:cs="宋体"/>
          <w:sz w:val="24"/>
        </w:rPr>
        <w:t>本次投标收取保证金。本次投标保证金金额为人民币</w:t>
      </w:r>
      <w:r>
        <w:rPr>
          <w:rFonts w:hint="eastAsia" w:ascii="宋体" w:hAnsi="宋体" w:cs="宋体"/>
          <w:sz w:val="24"/>
          <w:u w:val="single"/>
        </w:rPr>
        <w:t>贰仟元整</w:t>
      </w:r>
      <w:r>
        <w:rPr>
          <w:rFonts w:hint="eastAsia" w:ascii="宋体" w:hAnsi="宋体" w:cs="宋体"/>
          <w:sz w:val="24"/>
        </w:rPr>
        <w:t>，投标保证金必须在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pPr>
        <w:spacing w:line="500" w:lineRule="exact"/>
        <w:ind w:firstLine="482" w:firstLineChars="200"/>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sz w:val="24"/>
        </w:rPr>
        <w:t>江苏双清工程造价咨询有限公司，开户行：中国银行股份有限公司盐城分行，账号：513158208001</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，各投标人将有效银行本票（或银行汇票）原件带至开标现场交工作人员核验，未按上述要求交纳投标保证金的，</w:t>
      </w:r>
      <w:r>
        <w:rPr>
          <w:rFonts w:hint="eastAsia" w:ascii="宋体" w:hAnsi="宋体" w:cs="宋体"/>
          <w:sz w:val="24"/>
        </w:rPr>
        <w:t>将被视为非响应性投标而予以拒绝。</w:t>
      </w:r>
    </w:p>
    <w:p>
      <w:pPr>
        <w:spacing w:line="500" w:lineRule="exact"/>
        <w:ind w:firstLine="480" w:firstLineChars="200"/>
        <w:outlineLvl w:val="1"/>
        <w:rPr>
          <w:rFonts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outlineLvl w:val="1"/>
        <w:rPr>
          <w:rFonts w:ascii="宋体" w:hAnsi="宋体" w:cs="宋体"/>
          <w:kern w:val="0"/>
          <w:sz w:val="24"/>
        </w:rPr>
      </w:pPr>
    </w:p>
    <w:p>
      <w:pPr>
        <w:spacing w:line="500" w:lineRule="exact"/>
        <w:ind w:firstLine="480" w:firstLineChars="200"/>
        <w:outlineLvl w:val="1"/>
        <w:rPr>
          <w:rFonts w:ascii="宋体" w:hAnsi="宋体" w:cs="宋体"/>
          <w:kern w:val="0"/>
          <w:sz w:val="24"/>
        </w:rPr>
      </w:pPr>
    </w:p>
    <w:p>
      <w:pPr>
        <w:spacing w:line="500" w:lineRule="exact"/>
        <w:ind w:firstLine="480" w:firstLineChars="200"/>
        <w:rPr>
          <w:rFonts w:ascii="宋体" w:hAnsi="宋体" w:cs="宋体"/>
          <w:sz w:val="24"/>
        </w:rPr>
      </w:pPr>
    </w:p>
    <w:p>
      <w:pPr>
        <w:spacing w:line="500" w:lineRule="exact"/>
        <w:ind w:firstLine="480" w:firstLineChars="200"/>
        <w:jc w:val="right"/>
        <w:rPr>
          <w:rFonts w:ascii="宋体" w:hAnsi="宋体" w:cs="宋体"/>
          <w:sz w:val="24"/>
        </w:rPr>
      </w:pPr>
      <w:r>
        <w:rPr>
          <w:rFonts w:hint="eastAsia" w:ascii="宋体" w:hAnsi="宋体" w:cs="宋体"/>
          <w:sz w:val="24"/>
          <w:szCs w:val="24"/>
        </w:rPr>
        <w:t xml:space="preserve">                                        盐城工业职业技术学院</w:t>
      </w:r>
      <w:r>
        <w:rPr>
          <w:rFonts w:hint="eastAsia" w:ascii="宋体" w:hAnsi="宋体" w:cs="宋体"/>
          <w:sz w:val="24"/>
        </w:rPr>
        <w:t xml:space="preserve">                        </w:t>
      </w:r>
    </w:p>
    <w:p>
      <w:pPr>
        <w:spacing w:line="500" w:lineRule="exact"/>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szCs w:val="24"/>
        </w:rPr>
        <w:t>江苏双清工程造价咨询有限公司</w:t>
      </w:r>
      <w:r>
        <w:rPr>
          <w:rFonts w:hint="eastAsia" w:ascii="宋体" w:hAnsi="宋体" w:cs="宋体"/>
          <w:sz w:val="24"/>
        </w:rPr>
        <w:t xml:space="preserve">                                             </w:t>
      </w:r>
    </w:p>
    <w:p>
      <w:pPr>
        <w:spacing w:line="500" w:lineRule="exact"/>
        <w:ind w:firstLine="480" w:firstLineChars="200"/>
        <w:jc w:val="right"/>
        <w:rPr>
          <w:rFonts w:ascii="宋体" w:hAnsi="宋体" w:cs="宋体"/>
          <w:sz w:val="24"/>
        </w:rPr>
      </w:pPr>
      <w:r>
        <w:rPr>
          <w:rFonts w:hint="eastAsia" w:ascii="宋体" w:hAnsi="宋体" w:cs="宋体"/>
          <w:sz w:val="24"/>
        </w:rPr>
        <w:t>2020年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10</w:t>
      </w:r>
      <w:bookmarkStart w:id="185" w:name="_GoBack"/>
      <w:bookmarkEnd w:id="185"/>
      <w:r>
        <w:rPr>
          <w:rFonts w:hint="eastAsia" w:ascii="宋体" w:hAnsi="宋体" w:cs="宋体"/>
          <w:sz w:val="24"/>
        </w:rPr>
        <w:t>日</w:t>
      </w:r>
    </w:p>
    <w:p>
      <w:pPr>
        <w:jc w:val="center"/>
        <w:rPr>
          <w:rFonts w:ascii="宋体" w:hAnsi="宋体" w:cs="宋体"/>
        </w:rPr>
      </w:pPr>
      <w:bookmarkStart w:id="6" w:name="_Toc120614211"/>
      <w:r>
        <w:rPr>
          <w:rFonts w:hint="eastAsia" w:ascii="宋体" w:hAnsi="宋体" w:cs="宋体"/>
        </w:rPr>
        <w:br w:type="page"/>
      </w:r>
    </w:p>
    <w:p>
      <w:pPr>
        <w:pStyle w:val="4"/>
        <w:rPr>
          <w:rFonts w:ascii="宋体" w:hAnsi="宋体" w:eastAsia="宋体" w:cs="宋体"/>
          <w:b w:val="0"/>
          <w:bCs w:val="0"/>
        </w:rPr>
      </w:pPr>
      <w:r>
        <w:rPr>
          <w:rFonts w:hint="eastAsia" w:ascii="宋体" w:hAnsi="宋体" w:eastAsia="宋体" w:cs="宋体"/>
        </w:rPr>
        <w:t xml:space="preserve">第二章  </w:t>
      </w:r>
      <w:bookmarkEnd w:id="1"/>
      <w:bookmarkEnd w:id="2"/>
      <w:bookmarkEnd w:id="3"/>
      <w:bookmarkEnd w:id="4"/>
      <w:bookmarkEnd w:id="5"/>
      <w:bookmarkEnd w:id="6"/>
      <w:bookmarkStart w:id="7" w:name="_Toc120614213"/>
      <w:bookmarkStart w:id="8" w:name="_Toc20823274"/>
      <w:bookmarkStart w:id="9" w:name="_Toc16938518"/>
      <w:bookmarkStart w:id="10" w:name="_Toc513029202"/>
      <w:r>
        <w:rPr>
          <w:rFonts w:hint="eastAsia" w:ascii="宋体" w:hAnsi="宋体" w:eastAsia="宋体" w:cs="宋体"/>
        </w:rPr>
        <w:t>投标人须知</w:t>
      </w:r>
      <w:bookmarkEnd w:id="7"/>
      <w:bookmarkEnd w:id="8"/>
      <w:bookmarkEnd w:id="9"/>
      <w:bookmarkEnd w:id="10"/>
    </w:p>
    <w:p>
      <w:pPr>
        <w:pStyle w:val="6"/>
        <w:spacing w:before="0" w:after="0" w:line="440" w:lineRule="exact"/>
        <w:ind w:firstLine="643" w:firstLineChars="200"/>
        <w:rPr>
          <w:rFonts w:ascii="宋体" w:hAnsi="宋体" w:cs="宋体"/>
        </w:rPr>
      </w:pPr>
      <w:bookmarkStart w:id="11" w:name="_Toc16938519"/>
      <w:bookmarkStart w:id="12" w:name="_Toc20823275"/>
      <w:bookmarkStart w:id="13" w:name="_Toc120614214"/>
      <w:bookmarkStart w:id="14" w:name="_Toc513029203"/>
      <w:r>
        <w:rPr>
          <w:rFonts w:hint="eastAsia" w:ascii="宋体" w:hAnsi="宋体" w:cs="宋体"/>
        </w:rPr>
        <w:t>一、总则</w:t>
      </w:r>
      <w:bookmarkEnd w:id="11"/>
      <w:bookmarkEnd w:id="12"/>
      <w:bookmarkEnd w:id="13"/>
      <w:bookmarkEnd w:id="14"/>
    </w:p>
    <w:p>
      <w:pPr>
        <w:pStyle w:val="2"/>
        <w:spacing w:before="0" w:after="0" w:line="440" w:lineRule="exact"/>
        <w:ind w:firstLine="560" w:firstLineChars="200"/>
        <w:rPr>
          <w:rFonts w:ascii="宋体" w:hAnsi="宋体" w:eastAsia="宋体" w:cs="宋体"/>
          <w:b w:val="0"/>
          <w:bCs w:val="0"/>
        </w:rPr>
      </w:pPr>
      <w:bookmarkStart w:id="15" w:name="_Hlt16619475"/>
      <w:bookmarkEnd w:id="15"/>
      <w:bookmarkStart w:id="16" w:name="_Toc458694821"/>
      <w:bookmarkStart w:id="17" w:name="_Toc16938520"/>
      <w:bookmarkStart w:id="18" w:name="_Toc20823276"/>
      <w:bookmarkStart w:id="19" w:name="_Toc513029204"/>
      <w:r>
        <w:rPr>
          <w:rFonts w:hint="eastAsia" w:ascii="宋体" w:hAnsi="宋体" w:eastAsia="宋体" w:cs="宋体"/>
          <w:b w:val="0"/>
          <w:bCs w:val="0"/>
        </w:rPr>
        <w:t>1</w:t>
      </w:r>
      <w:bookmarkEnd w:id="16"/>
      <w:r>
        <w:rPr>
          <w:rFonts w:hint="eastAsia" w:ascii="宋体" w:hAnsi="宋体" w:eastAsia="宋体" w:cs="宋体"/>
          <w:b w:val="0"/>
          <w:bCs w:val="0"/>
        </w:rPr>
        <w:t>、招标方式</w:t>
      </w:r>
      <w:bookmarkEnd w:id="17"/>
      <w:bookmarkEnd w:id="18"/>
      <w:bookmarkEnd w:id="19"/>
    </w:p>
    <w:p>
      <w:pPr>
        <w:spacing w:line="44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pPr>
        <w:pStyle w:val="2"/>
        <w:spacing w:before="0" w:after="0" w:line="440" w:lineRule="exact"/>
        <w:ind w:firstLine="560" w:firstLineChars="200"/>
        <w:rPr>
          <w:rFonts w:ascii="宋体" w:hAnsi="宋体" w:eastAsia="宋体" w:cs="宋体"/>
          <w:b w:val="0"/>
          <w:bCs w:val="0"/>
        </w:rPr>
      </w:pPr>
      <w:bookmarkStart w:id="20" w:name="_Toc20823277"/>
      <w:bookmarkStart w:id="21" w:name="_Toc16938521"/>
      <w:bookmarkStart w:id="22" w:name="_Toc513029205"/>
      <w:r>
        <w:rPr>
          <w:rFonts w:hint="eastAsia" w:ascii="宋体" w:hAnsi="宋体" w:eastAsia="宋体" w:cs="宋体"/>
          <w:b w:val="0"/>
          <w:bCs w:val="0"/>
        </w:rPr>
        <w:t>2、合格的投标人</w:t>
      </w:r>
      <w:bookmarkEnd w:id="20"/>
      <w:bookmarkEnd w:id="21"/>
      <w:bookmarkEnd w:id="22"/>
    </w:p>
    <w:p>
      <w:pPr>
        <w:spacing w:line="44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pPr>
        <w:spacing w:line="44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p>
    <w:p>
      <w:pPr>
        <w:pStyle w:val="2"/>
        <w:spacing w:before="0" w:after="0" w:line="440" w:lineRule="exact"/>
        <w:ind w:firstLine="560" w:firstLineChars="200"/>
        <w:rPr>
          <w:rFonts w:ascii="宋体" w:hAnsi="宋体" w:eastAsia="宋体" w:cs="宋体"/>
          <w:b w:val="0"/>
          <w:bCs w:val="0"/>
        </w:rPr>
      </w:pPr>
      <w:bookmarkStart w:id="23" w:name="_Toc513029206"/>
      <w:bookmarkStart w:id="24" w:name="_Toc20823278"/>
      <w:bookmarkStart w:id="25" w:name="_Toc16938522"/>
      <w:r>
        <w:rPr>
          <w:rFonts w:hint="eastAsia" w:ascii="宋体" w:hAnsi="宋体" w:eastAsia="宋体" w:cs="宋体"/>
          <w:b w:val="0"/>
          <w:bCs w:val="0"/>
        </w:rPr>
        <w:t>3、适用法律</w:t>
      </w:r>
      <w:bookmarkEnd w:id="23"/>
      <w:bookmarkEnd w:id="24"/>
      <w:bookmarkEnd w:id="25"/>
    </w:p>
    <w:p>
      <w:pPr>
        <w:spacing w:line="440" w:lineRule="exact"/>
        <w:ind w:firstLine="480" w:firstLineChars="200"/>
        <w:rPr>
          <w:rFonts w:ascii="宋体" w:hAnsi="宋体" w:cs="宋体"/>
          <w:sz w:val="24"/>
        </w:rPr>
      </w:pPr>
      <w:r>
        <w:rPr>
          <w:rFonts w:hint="eastAsia" w:ascii="宋体" w:hAnsi="宋体" w:cs="宋体"/>
          <w:sz w:val="24"/>
        </w:rPr>
        <w:t>3.1 本次招标及由此产生的合同受中华人民共和国有关的法律法规制约和保护。</w:t>
      </w:r>
    </w:p>
    <w:p>
      <w:pPr>
        <w:pStyle w:val="2"/>
        <w:spacing w:before="0" w:after="0" w:line="440" w:lineRule="exact"/>
        <w:ind w:firstLine="560" w:firstLineChars="200"/>
        <w:rPr>
          <w:rFonts w:ascii="宋体" w:hAnsi="宋体" w:eastAsia="宋体" w:cs="宋体"/>
          <w:b w:val="0"/>
          <w:bCs w:val="0"/>
        </w:rPr>
      </w:pPr>
      <w:bookmarkStart w:id="26" w:name="_Toc16938523"/>
      <w:bookmarkStart w:id="27" w:name="_Toc20823279"/>
      <w:bookmarkStart w:id="28" w:name="_Toc513029207"/>
      <w:bookmarkStart w:id="29" w:name="_Toc462564067"/>
      <w:r>
        <w:rPr>
          <w:rFonts w:hint="eastAsia" w:ascii="宋体" w:hAnsi="宋体" w:eastAsia="宋体" w:cs="宋体"/>
          <w:b w:val="0"/>
          <w:bCs w:val="0"/>
        </w:rPr>
        <w:t>4、投标费用</w:t>
      </w:r>
      <w:bookmarkEnd w:id="26"/>
      <w:bookmarkEnd w:id="27"/>
      <w:bookmarkEnd w:id="28"/>
      <w:bookmarkEnd w:id="29"/>
    </w:p>
    <w:p>
      <w:pPr>
        <w:spacing w:line="440" w:lineRule="exact"/>
        <w:ind w:firstLine="480" w:firstLineChars="200"/>
        <w:rPr>
          <w:rFonts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sz w:val="24"/>
        </w:rPr>
      </w:pPr>
      <w:r>
        <w:rPr>
          <w:rFonts w:hint="eastAsia" w:ascii="宋体" w:hAnsi="宋体" w:cs="宋体"/>
          <w:sz w:val="24"/>
        </w:rPr>
        <w:t>4.2本项目中标人与采购人签订合同前，须向采购代理机构支付招标代理服务费，收费标准按中标价的1.5%×42%计取（如低于3000元的直接按3000元计取）；上述费用由各投标人在投标时自行综合考虑分摊含进投标报价中，且不得单列。</w:t>
      </w:r>
    </w:p>
    <w:p>
      <w:pPr>
        <w:pStyle w:val="2"/>
        <w:spacing w:before="0" w:after="0" w:line="440" w:lineRule="exact"/>
        <w:ind w:firstLine="602" w:firstLineChars="200"/>
        <w:rPr>
          <w:rFonts w:ascii="宋体" w:hAnsi="宋体" w:eastAsia="宋体" w:cs="宋体"/>
          <w:b w:val="0"/>
          <w:bCs w:val="0"/>
        </w:rPr>
      </w:pPr>
      <w:r>
        <w:rPr>
          <w:rFonts w:hint="eastAsia" w:ascii="宋体" w:hAnsi="宋体" w:eastAsia="宋体" w:cs="宋体"/>
          <w:sz w:val="30"/>
        </w:rPr>
        <w:t>5、</w:t>
      </w:r>
      <w:r>
        <w:rPr>
          <w:rFonts w:hint="eastAsia" w:ascii="宋体" w:hAnsi="宋体" w:eastAsia="宋体" w:cs="宋体"/>
          <w:b w:val="0"/>
          <w:bCs w:val="0"/>
        </w:rPr>
        <w:t>招标文件的约束力</w:t>
      </w:r>
    </w:p>
    <w:p>
      <w:pPr>
        <w:spacing w:line="440" w:lineRule="exact"/>
        <w:ind w:firstLine="480" w:firstLineChars="200"/>
        <w:rPr>
          <w:rFonts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6、招标文件的解释</w:t>
      </w:r>
    </w:p>
    <w:p>
      <w:pPr>
        <w:spacing w:line="440" w:lineRule="exact"/>
        <w:ind w:firstLine="480" w:firstLineChars="200"/>
        <w:rPr>
          <w:rFonts w:ascii="宋体" w:hAnsi="宋体" w:cs="宋体"/>
          <w:bCs/>
          <w:sz w:val="24"/>
          <w:szCs w:val="24"/>
        </w:rPr>
      </w:pPr>
      <w:r>
        <w:rPr>
          <w:rFonts w:hint="eastAsia" w:ascii="宋体" w:hAnsi="宋体" w:cs="宋体"/>
          <w:bCs/>
          <w:sz w:val="24"/>
          <w:szCs w:val="24"/>
        </w:rPr>
        <w:t>6.1 本招标文件由采购人或采购代理机构负责解释。</w:t>
      </w:r>
    </w:p>
    <w:p>
      <w:pPr>
        <w:pStyle w:val="6"/>
        <w:spacing w:before="0" w:after="0" w:line="440" w:lineRule="exact"/>
        <w:ind w:firstLine="643" w:firstLineChars="200"/>
        <w:rPr>
          <w:rFonts w:ascii="宋体" w:hAnsi="宋体" w:cs="宋体"/>
        </w:rPr>
      </w:pPr>
      <w:bookmarkStart w:id="30" w:name="_Toc20823281"/>
      <w:bookmarkStart w:id="31" w:name="_Toc513029209"/>
      <w:bookmarkStart w:id="32" w:name="_Toc16938525"/>
      <w:bookmarkStart w:id="33" w:name="_Toc120614215"/>
      <w:r>
        <w:rPr>
          <w:rFonts w:hint="eastAsia" w:ascii="宋体" w:hAnsi="宋体" w:cs="宋体"/>
        </w:rPr>
        <w:t>二、招标文件</w:t>
      </w:r>
      <w:bookmarkEnd w:id="30"/>
      <w:bookmarkEnd w:id="31"/>
      <w:bookmarkEnd w:id="32"/>
      <w:bookmarkEnd w:id="33"/>
    </w:p>
    <w:p>
      <w:pPr>
        <w:pStyle w:val="2"/>
        <w:spacing w:before="0" w:after="0" w:line="440" w:lineRule="exact"/>
        <w:ind w:firstLine="560" w:firstLineChars="200"/>
        <w:rPr>
          <w:rFonts w:ascii="宋体" w:hAnsi="宋体" w:eastAsia="宋体" w:cs="宋体"/>
          <w:b w:val="0"/>
          <w:bCs w:val="0"/>
        </w:rPr>
      </w:pPr>
      <w:bookmarkStart w:id="34" w:name="_Toc513029210"/>
      <w:bookmarkStart w:id="35" w:name="_Toc20823282"/>
      <w:bookmarkStart w:id="36" w:name="_Toc16938526"/>
      <w:r>
        <w:rPr>
          <w:rFonts w:hint="eastAsia" w:ascii="宋体" w:hAnsi="宋体" w:eastAsia="宋体" w:cs="宋体"/>
          <w:b w:val="0"/>
          <w:bCs w:val="0"/>
        </w:rPr>
        <w:t>7、招标文件构成</w:t>
      </w:r>
      <w:bookmarkEnd w:id="34"/>
      <w:bookmarkEnd w:id="35"/>
      <w:bookmarkEnd w:id="36"/>
    </w:p>
    <w:p>
      <w:pPr>
        <w:spacing w:line="440" w:lineRule="exact"/>
        <w:ind w:firstLine="480" w:firstLineChars="200"/>
        <w:rPr>
          <w:rFonts w:ascii="宋体" w:hAnsi="宋体" w:cs="宋体"/>
          <w:sz w:val="24"/>
        </w:rPr>
      </w:pPr>
      <w:r>
        <w:rPr>
          <w:rFonts w:hint="eastAsia" w:ascii="宋体" w:hAnsi="宋体" w:cs="宋体"/>
          <w:bCs/>
          <w:sz w:val="24"/>
        </w:rPr>
        <w:t>7.1</w:t>
      </w:r>
      <w:r>
        <w:rPr>
          <w:rFonts w:hint="eastAsia" w:ascii="宋体" w:hAnsi="宋体" w:cs="宋体"/>
          <w:sz w:val="24"/>
        </w:rPr>
        <w:t xml:space="preserve"> 招标文件有以下部分组成：</w:t>
      </w:r>
    </w:p>
    <w:p>
      <w:pPr>
        <w:spacing w:line="440" w:lineRule="exact"/>
        <w:ind w:firstLine="480" w:firstLineChars="200"/>
        <w:rPr>
          <w:rFonts w:ascii="宋体" w:hAnsi="宋体" w:cs="宋体"/>
          <w:sz w:val="24"/>
          <w:szCs w:val="24"/>
        </w:rPr>
      </w:pPr>
      <w:r>
        <w:rPr>
          <w:rFonts w:hint="eastAsia" w:ascii="宋体" w:hAnsi="宋体" w:cs="宋体"/>
          <w:sz w:val="24"/>
          <w:szCs w:val="24"/>
        </w:rPr>
        <w:t>（1）招标公告</w:t>
      </w:r>
    </w:p>
    <w:p>
      <w:pPr>
        <w:spacing w:line="440" w:lineRule="exact"/>
        <w:ind w:firstLine="480" w:firstLineChars="200"/>
        <w:rPr>
          <w:rFonts w:ascii="宋体" w:hAnsi="宋体" w:cs="宋体"/>
          <w:sz w:val="24"/>
          <w:szCs w:val="24"/>
        </w:rPr>
      </w:pPr>
      <w:r>
        <w:rPr>
          <w:rFonts w:hint="eastAsia" w:ascii="宋体" w:hAnsi="宋体" w:cs="宋体"/>
          <w:sz w:val="24"/>
          <w:szCs w:val="24"/>
        </w:rPr>
        <w:t>（2）投标人须知</w:t>
      </w:r>
    </w:p>
    <w:p>
      <w:pPr>
        <w:spacing w:line="440" w:lineRule="exact"/>
        <w:ind w:firstLine="480" w:firstLineChars="200"/>
        <w:rPr>
          <w:rFonts w:ascii="宋体" w:hAnsi="宋体" w:cs="宋体"/>
          <w:sz w:val="24"/>
          <w:szCs w:val="24"/>
        </w:rPr>
      </w:pPr>
      <w:r>
        <w:rPr>
          <w:rFonts w:hint="eastAsia" w:ascii="宋体" w:hAnsi="宋体" w:cs="宋体"/>
          <w:sz w:val="24"/>
          <w:szCs w:val="24"/>
        </w:rPr>
        <w:t>（3）合同条款及格式</w:t>
      </w:r>
    </w:p>
    <w:p>
      <w:pPr>
        <w:spacing w:line="440" w:lineRule="exact"/>
        <w:ind w:firstLine="480" w:firstLineChars="200"/>
        <w:rPr>
          <w:rFonts w:ascii="宋体" w:hAnsi="宋体" w:cs="宋体"/>
          <w:sz w:val="24"/>
          <w:szCs w:val="24"/>
        </w:rPr>
      </w:pPr>
      <w:r>
        <w:rPr>
          <w:rFonts w:hint="eastAsia" w:ascii="宋体" w:hAnsi="宋体" w:cs="宋体"/>
          <w:sz w:val="24"/>
          <w:szCs w:val="24"/>
        </w:rPr>
        <w:t>（4）项目需求</w:t>
      </w:r>
    </w:p>
    <w:p>
      <w:pPr>
        <w:spacing w:line="440" w:lineRule="exact"/>
        <w:ind w:firstLine="480" w:firstLineChars="200"/>
        <w:rPr>
          <w:rFonts w:ascii="宋体" w:hAnsi="宋体" w:cs="宋体"/>
          <w:sz w:val="24"/>
          <w:szCs w:val="24"/>
        </w:rPr>
      </w:pPr>
      <w:r>
        <w:rPr>
          <w:rFonts w:hint="eastAsia" w:ascii="宋体" w:hAnsi="宋体" w:cs="宋体"/>
          <w:sz w:val="24"/>
          <w:szCs w:val="24"/>
        </w:rPr>
        <w:t>（5）评标方法与评标标准</w:t>
      </w:r>
    </w:p>
    <w:p>
      <w:pPr>
        <w:spacing w:line="440" w:lineRule="exact"/>
        <w:ind w:firstLine="480" w:firstLineChars="200"/>
        <w:rPr>
          <w:rFonts w:ascii="宋体" w:hAnsi="宋体" w:cs="宋体"/>
          <w:sz w:val="24"/>
          <w:szCs w:val="24"/>
        </w:rPr>
      </w:pPr>
      <w:r>
        <w:rPr>
          <w:rFonts w:hint="eastAsia" w:ascii="宋体" w:hAnsi="宋体" w:cs="宋体"/>
          <w:sz w:val="24"/>
          <w:szCs w:val="24"/>
        </w:rPr>
        <w:t>（6）投标文件格式</w:t>
      </w:r>
    </w:p>
    <w:p>
      <w:pPr>
        <w:spacing w:line="440" w:lineRule="exact"/>
        <w:ind w:firstLine="480" w:firstLineChars="200"/>
        <w:rPr>
          <w:rFonts w:ascii="宋体" w:hAnsi="宋体" w:cs="宋体"/>
          <w:sz w:val="24"/>
        </w:rPr>
      </w:pPr>
      <w:r>
        <w:rPr>
          <w:rFonts w:hint="eastAsia" w:ascii="宋体" w:hAnsi="宋体" w:cs="宋体"/>
          <w:sz w:val="24"/>
        </w:rPr>
        <w:t>请仔细检查招标文件是否齐全，如有缺漏请立即与</w:t>
      </w:r>
      <w:r>
        <w:rPr>
          <w:rFonts w:hint="eastAsia" w:ascii="宋体" w:hAnsi="宋体" w:cs="宋体"/>
          <w:sz w:val="24"/>
          <w:szCs w:val="24"/>
        </w:rPr>
        <w:t>采购人或采购代理机构</w:t>
      </w:r>
      <w:r>
        <w:rPr>
          <w:rFonts w:hint="eastAsia" w:ascii="宋体" w:hAnsi="宋体" w:cs="宋体"/>
          <w:sz w:val="24"/>
        </w:rPr>
        <w:t>联系解决。</w:t>
      </w:r>
    </w:p>
    <w:p>
      <w:pPr>
        <w:spacing w:line="440" w:lineRule="exact"/>
        <w:ind w:firstLine="480" w:firstLineChars="200"/>
        <w:rPr>
          <w:rFonts w:ascii="宋体" w:hAnsi="宋体" w:cs="宋体"/>
          <w:sz w:val="24"/>
        </w:rPr>
      </w:pPr>
      <w:r>
        <w:rPr>
          <w:rFonts w:hint="eastAsia" w:ascii="宋体" w:hAnsi="宋体" w:cs="宋体"/>
          <w:bCs/>
          <w:sz w:val="24"/>
        </w:rPr>
        <w:t>7.2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560" w:firstLineChars="200"/>
        <w:rPr>
          <w:rFonts w:ascii="宋体" w:hAnsi="宋体" w:eastAsia="宋体" w:cs="宋体"/>
          <w:b w:val="0"/>
          <w:bCs w:val="0"/>
        </w:rPr>
      </w:pPr>
      <w:bookmarkStart w:id="37" w:name="_Toc462564070"/>
      <w:bookmarkStart w:id="38" w:name="_Toc513029211"/>
      <w:bookmarkStart w:id="39" w:name="_Toc16938527"/>
      <w:bookmarkStart w:id="40" w:name="_Toc20823283"/>
      <w:r>
        <w:rPr>
          <w:rFonts w:hint="eastAsia" w:ascii="宋体" w:hAnsi="宋体" w:eastAsia="宋体" w:cs="宋体"/>
          <w:b w:val="0"/>
          <w:bCs w:val="0"/>
        </w:rPr>
        <w:t>8、招标文件的</w:t>
      </w:r>
      <w:bookmarkEnd w:id="37"/>
      <w:bookmarkEnd w:id="38"/>
      <w:bookmarkEnd w:id="39"/>
      <w:bookmarkEnd w:id="40"/>
      <w:r>
        <w:rPr>
          <w:rFonts w:hint="eastAsia" w:ascii="宋体" w:hAnsi="宋体" w:eastAsia="宋体" w:cs="宋体"/>
          <w:b w:val="0"/>
          <w:bCs w:val="0"/>
        </w:rPr>
        <w:t>询问</w:t>
      </w:r>
    </w:p>
    <w:p>
      <w:pPr>
        <w:spacing w:line="440" w:lineRule="exact"/>
        <w:ind w:firstLine="480" w:firstLineChars="200"/>
        <w:rPr>
          <w:rFonts w:ascii="宋体" w:hAnsi="宋体" w:cs="宋体"/>
          <w:sz w:val="24"/>
          <w:szCs w:val="24"/>
        </w:rPr>
      </w:pPr>
      <w:r>
        <w:rPr>
          <w:rFonts w:hint="eastAsia" w:ascii="宋体" w:hAnsi="宋体" w:cs="宋体"/>
          <w:bCs/>
          <w:sz w:val="24"/>
        </w:rPr>
        <w:t>8.1</w:t>
      </w:r>
      <w:r>
        <w:rPr>
          <w:rFonts w:hint="eastAsia" w:ascii="宋体" w:hAnsi="宋体" w:cs="宋体"/>
          <w:sz w:val="24"/>
        </w:rPr>
        <w:t xml:space="preserve"> 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w:t>
      </w:r>
      <w:r>
        <w:rPr>
          <w:rFonts w:hint="eastAsia" w:ascii="宋体" w:hAnsi="宋体" w:cs="宋体"/>
          <w:sz w:val="24"/>
        </w:rPr>
        <w:t>按招标公告中的通讯地址，向采购代理机构或采购人提出。</w:t>
      </w:r>
    </w:p>
    <w:p>
      <w:pPr>
        <w:pStyle w:val="2"/>
        <w:spacing w:before="0" w:after="0" w:line="440" w:lineRule="exact"/>
        <w:ind w:firstLine="560" w:firstLineChars="200"/>
        <w:rPr>
          <w:rFonts w:ascii="宋体" w:hAnsi="宋体" w:eastAsia="宋体" w:cs="宋体"/>
          <w:b w:val="0"/>
          <w:bCs w:val="0"/>
        </w:rPr>
      </w:pPr>
      <w:bookmarkStart w:id="41" w:name="_Toc20823284"/>
      <w:bookmarkStart w:id="42" w:name="_Toc513029212"/>
      <w:bookmarkStart w:id="43" w:name="_Toc462564071"/>
      <w:bookmarkStart w:id="44" w:name="_Toc16938528"/>
      <w:r>
        <w:rPr>
          <w:rFonts w:hint="eastAsia" w:ascii="宋体" w:hAnsi="宋体" w:eastAsia="宋体" w:cs="宋体"/>
          <w:b w:val="0"/>
          <w:bCs w:val="0"/>
        </w:rPr>
        <w:t>9、招标文件的修改</w:t>
      </w:r>
      <w:bookmarkEnd w:id="41"/>
      <w:bookmarkEnd w:id="42"/>
      <w:bookmarkEnd w:id="43"/>
      <w:bookmarkEnd w:id="44"/>
    </w:p>
    <w:p>
      <w:pPr>
        <w:spacing w:line="440" w:lineRule="exact"/>
        <w:ind w:firstLine="480" w:firstLineChars="200"/>
        <w:rPr>
          <w:rFonts w:ascii="宋体" w:hAnsi="宋体" w:cs="宋体"/>
          <w:sz w:val="24"/>
        </w:rPr>
      </w:pPr>
      <w:r>
        <w:rPr>
          <w:rFonts w:hint="eastAsia" w:ascii="宋体" w:hAnsi="宋体" w:cs="宋体"/>
          <w:bCs/>
          <w:sz w:val="24"/>
        </w:rPr>
        <w:t>9.1</w:t>
      </w:r>
      <w:r>
        <w:rPr>
          <w:rFonts w:hint="eastAsia" w:ascii="宋体" w:hAnsi="宋体" w:cs="宋体"/>
          <w:sz w:val="24"/>
        </w:rPr>
        <w:t xml:space="preserve"> 在投标截止时间三天前，采购人或采购代理机构可以对招标文件进行修改。</w:t>
      </w:r>
    </w:p>
    <w:p>
      <w:pPr>
        <w:spacing w:line="440" w:lineRule="exact"/>
        <w:ind w:firstLine="480" w:firstLineChars="200"/>
        <w:rPr>
          <w:rFonts w:ascii="宋体" w:hAnsi="宋体" w:cs="宋体"/>
          <w:sz w:val="28"/>
        </w:rPr>
      </w:pPr>
      <w:r>
        <w:rPr>
          <w:rFonts w:hint="eastAsia" w:ascii="宋体" w:hAnsi="宋体" w:cs="宋体"/>
          <w:bCs/>
          <w:sz w:val="24"/>
        </w:rPr>
        <w:t>9.2</w:t>
      </w:r>
      <w:r>
        <w:rPr>
          <w:rFonts w:hint="eastAsia" w:ascii="宋体" w:hAnsi="宋体" w:cs="宋体"/>
          <w:sz w:val="24"/>
        </w:rPr>
        <w:t>采购人</w:t>
      </w:r>
      <w:r>
        <w:rPr>
          <w:rFonts w:hint="eastAsia" w:ascii="宋体" w:hAnsi="宋体" w:cs="宋体"/>
          <w:sz w:val="24"/>
          <w:szCs w:val="24"/>
        </w:rPr>
        <w:t>有权依法</w:t>
      </w:r>
      <w:r>
        <w:rPr>
          <w:rFonts w:hint="eastAsia" w:ascii="宋体" w:hAnsi="宋体" w:cs="宋体"/>
          <w:sz w:val="24"/>
        </w:rPr>
        <w:t>推迟投标截止日期和开标日期。</w:t>
      </w:r>
    </w:p>
    <w:p>
      <w:pPr>
        <w:spacing w:line="440" w:lineRule="exact"/>
        <w:ind w:firstLine="480" w:firstLineChars="200"/>
        <w:rPr>
          <w:rFonts w:ascii="宋体" w:hAnsi="宋体" w:cs="宋体"/>
          <w:sz w:val="24"/>
        </w:rPr>
      </w:pPr>
      <w:r>
        <w:rPr>
          <w:rFonts w:hint="eastAsia" w:ascii="宋体" w:hAnsi="宋体" w:cs="宋体"/>
          <w:bCs/>
          <w:sz w:val="24"/>
        </w:rPr>
        <w:t>9.3</w:t>
      </w:r>
      <w:r>
        <w:rPr>
          <w:rFonts w:hint="eastAsia" w:ascii="宋体" w:hAnsi="宋体" w:cs="宋体"/>
          <w:sz w:val="24"/>
        </w:rPr>
        <w:t>招标文件的修改将在</w:t>
      </w:r>
      <w:r>
        <w:rPr>
          <w:rFonts w:hint="eastAsia" w:ascii="宋体" w:hAnsi="宋体" w:cs="宋体"/>
          <w:bCs/>
          <w:sz w:val="24"/>
        </w:rPr>
        <w:t>“盐城市政府采购网”和“盐城工业职业技术学院招标采购网”</w:t>
      </w:r>
      <w:r>
        <w:rPr>
          <w:rFonts w:hint="eastAsia" w:ascii="宋体" w:hAnsi="宋体" w:cs="宋体"/>
          <w:sz w:val="24"/>
        </w:rPr>
        <w:t>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pPr>
        <w:pStyle w:val="6"/>
        <w:spacing w:before="0" w:after="0" w:line="440" w:lineRule="exact"/>
        <w:ind w:firstLine="643" w:firstLineChars="200"/>
        <w:rPr>
          <w:rFonts w:ascii="宋体" w:hAnsi="宋体" w:cs="宋体"/>
        </w:rPr>
      </w:pPr>
      <w:bookmarkStart w:id="45" w:name="_Toc513029213"/>
      <w:bookmarkStart w:id="46" w:name="_Toc462564072"/>
      <w:bookmarkStart w:id="47" w:name="_Toc16938529"/>
      <w:bookmarkStart w:id="48" w:name="_Toc120614216"/>
      <w:bookmarkStart w:id="49" w:name="_Toc20823285"/>
      <w:r>
        <w:rPr>
          <w:rFonts w:hint="eastAsia" w:ascii="宋体" w:hAnsi="宋体" w:cs="宋体"/>
        </w:rPr>
        <w:t>三、投标文件的编制</w:t>
      </w:r>
      <w:bookmarkEnd w:id="45"/>
      <w:bookmarkEnd w:id="46"/>
      <w:bookmarkEnd w:id="47"/>
      <w:bookmarkEnd w:id="48"/>
      <w:bookmarkEnd w:id="49"/>
    </w:p>
    <w:p>
      <w:pPr>
        <w:pStyle w:val="2"/>
        <w:spacing w:before="0" w:after="0" w:line="440" w:lineRule="exact"/>
        <w:ind w:firstLine="560" w:firstLineChars="200"/>
        <w:rPr>
          <w:rFonts w:ascii="宋体" w:hAnsi="宋体" w:eastAsia="宋体" w:cs="宋体"/>
          <w:bCs w:val="0"/>
        </w:rPr>
      </w:pPr>
      <w:bookmarkStart w:id="50" w:name="_Toc20823286"/>
      <w:bookmarkStart w:id="51" w:name="_Toc513029214"/>
      <w:bookmarkStart w:id="52" w:name="_Toc16938530"/>
      <w:bookmarkStart w:id="53" w:name="_Toc462564073"/>
      <w:r>
        <w:rPr>
          <w:rFonts w:hint="eastAsia" w:ascii="宋体" w:hAnsi="宋体" w:eastAsia="宋体" w:cs="宋体"/>
          <w:b w:val="0"/>
          <w:bCs w:val="0"/>
        </w:rPr>
        <w:t>10、投标文件的语言及度量衡单位</w:t>
      </w:r>
      <w:bookmarkEnd w:id="50"/>
      <w:bookmarkEnd w:id="51"/>
      <w:bookmarkEnd w:id="52"/>
      <w:bookmarkEnd w:id="53"/>
    </w:p>
    <w:p>
      <w:pPr>
        <w:spacing w:line="440" w:lineRule="exact"/>
        <w:ind w:firstLine="480" w:firstLineChars="200"/>
        <w:rPr>
          <w:rFonts w:ascii="宋体" w:hAnsi="宋体" w:cs="宋体"/>
          <w:sz w:val="24"/>
        </w:rPr>
      </w:pPr>
      <w:r>
        <w:rPr>
          <w:rFonts w:hint="eastAsia" w:ascii="宋体" w:hAnsi="宋体" w:cs="宋体"/>
          <w:bCs/>
          <w:sz w:val="24"/>
        </w:rPr>
        <w:t>10.1</w:t>
      </w:r>
      <w:r>
        <w:rPr>
          <w:rFonts w:hint="eastAsia" w:ascii="宋体" w:hAnsi="宋体" w:cs="宋体"/>
          <w:sz w:val="24"/>
        </w:rPr>
        <w:t xml:space="preserve"> 投标人提交的投标文件以及投标人与采购人或采购代理机构就有关投标的所有来往通知、函件和文件均应使用</w:t>
      </w:r>
      <w:r>
        <w:rPr>
          <w:rFonts w:hint="eastAsia" w:ascii="宋体" w:hAnsi="宋体" w:cs="宋体"/>
          <w:b/>
          <w:bCs/>
          <w:sz w:val="24"/>
        </w:rPr>
        <w:t>简体中文</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bCs/>
          <w:sz w:val="24"/>
        </w:rPr>
        <w:t>10.2</w:t>
      </w:r>
      <w:r>
        <w:rPr>
          <w:rFonts w:hint="eastAsia" w:ascii="宋体" w:hAnsi="宋体" w:cs="宋体"/>
          <w:sz w:val="24"/>
        </w:rPr>
        <w:t xml:space="preserve"> 除技术性能另有规定外，投标文件所使用的度量衡单位，均须采用国家法定计量单位。</w:t>
      </w:r>
    </w:p>
    <w:p>
      <w:pPr>
        <w:pStyle w:val="2"/>
        <w:spacing w:before="0" w:after="0" w:line="440" w:lineRule="exact"/>
        <w:ind w:firstLine="560" w:firstLineChars="200"/>
        <w:rPr>
          <w:rFonts w:ascii="宋体" w:hAnsi="宋体" w:eastAsia="宋体" w:cs="宋体"/>
          <w:b w:val="0"/>
          <w:bCs w:val="0"/>
        </w:rPr>
      </w:pPr>
      <w:bookmarkStart w:id="54" w:name="_Toc16938531"/>
      <w:bookmarkStart w:id="55" w:name="_Toc513029215"/>
      <w:bookmarkStart w:id="56" w:name="_Toc462564074"/>
      <w:bookmarkStart w:id="57" w:name="_Toc20823287"/>
      <w:r>
        <w:rPr>
          <w:rFonts w:hint="eastAsia" w:ascii="宋体" w:hAnsi="宋体" w:eastAsia="宋体" w:cs="宋体"/>
          <w:b w:val="0"/>
          <w:bCs w:val="0"/>
        </w:rPr>
        <w:t>11、投标文件构成</w:t>
      </w:r>
      <w:bookmarkEnd w:id="54"/>
      <w:bookmarkEnd w:id="55"/>
      <w:bookmarkEnd w:id="56"/>
      <w:bookmarkEnd w:id="57"/>
    </w:p>
    <w:p>
      <w:pPr>
        <w:spacing w:line="440" w:lineRule="exact"/>
        <w:ind w:firstLine="480" w:firstLineChars="200"/>
        <w:rPr>
          <w:rFonts w:ascii="宋体" w:hAnsi="宋体" w:cs="宋体"/>
          <w:sz w:val="24"/>
        </w:rPr>
      </w:pPr>
      <w:r>
        <w:rPr>
          <w:rFonts w:hint="eastAsia" w:ascii="宋体" w:hAnsi="宋体" w:cs="宋体"/>
          <w:bCs/>
          <w:sz w:val="24"/>
        </w:rPr>
        <w:t>11.1</w:t>
      </w:r>
      <w:r>
        <w:rPr>
          <w:rFonts w:hint="eastAsia" w:ascii="宋体" w:hAnsi="宋体" w:cs="宋体"/>
          <w:sz w:val="24"/>
        </w:rPr>
        <w:t xml:space="preserve"> 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hAnsi="宋体" w:cs="宋体"/>
          <w:sz w:val="24"/>
        </w:rPr>
      </w:pPr>
      <w:r>
        <w:rPr>
          <w:rFonts w:hint="eastAsia" w:ascii="宋体" w:hAnsi="宋体" w:cs="宋体"/>
          <w:sz w:val="24"/>
        </w:rPr>
        <w:t>11.2</w:t>
      </w:r>
      <w:r>
        <w:rPr>
          <w:rFonts w:hint="eastAsia" w:ascii="宋体" w:hAnsi="宋体" w:cs="宋体"/>
          <w:b/>
          <w:sz w:val="24"/>
        </w:rPr>
        <w:t xml:space="preserve"> </w:t>
      </w:r>
      <w:r>
        <w:rPr>
          <w:rFonts w:hint="eastAsia" w:ascii="宋体" w:hAnsi="宋体" w:cs="宋体"/>
          <w:sz w:val="24"/>
        </w:rPr>
        <w:t>投标人应将投标文件按顺序装订成册，并编制投标文件资料目录。</w:t>
      </w:r>
    </w:p>
    <w:p>
      <w:pPr>
        <w:pStyle w:val="2"/>
        <w:spacing w:before="0" w:after="0" w:line="440" w:lineRule="exact"/>
        <w:ind w:firstLine="560" w:firstLineChars="200"/>
        <w:rPr>
          <w:rFonts w:ascii="宋体" w:hAnsi="宋体" w:eastAsia="宋体" w:cs="宋体"/>
          <w:b w:val="0"/>
          <w:bCs w:val="0"/>
        </w:rPr>
      </w:pPr>
      <w:bookmarkStart w:id="58" w:name="_Hlt26670360"/>
      <w:bookmarkEnd w:id="58"/>
      <w:bookmarkStart w:id="59" w:name="_Hlt26668975"/>
      <w:bookmarkEnd w:id="59"/>
      <w:bookmarkStart w:id="60" w:name="_Hlt26954838"/>
      <w:bookmarkEnd w:id="60"/>
      <w:bookmarkStart w:id="61" w:name="_Toc14577357"/>
      <w:bookmarkStart w:id="62" w:name="_Toc49090509"/>
      <w:bookmarkStart w:id="63" w:name="_Toc513029219"/>
      <w:bookmarkStart w:id="64" w:name="_Toc14577354"/>
      <w:bookmarkStart w:id="65" w:name="_Toc49090507"/>
      <w:bookmarkStart w:id="66" w:name="_Toc513029216"/>
      <w:r>
        <w:rPr>
          <w:rFonts w:hint="eastAsia" w:ascii="宋体" w:hAnsi="宋体" w:eastAsia="宋体" w:cs="宋体"/>
          <w:b w:val="0"/>
          <w:bCs w:val="0"/>
        </w:rPr>
        <w:t>12、证明投标人资格及符合招标文件规定的文件</w:t>
      </w:r>
      <w:bookmarkEnd w:id="61"/>
      <w:bookmarkEnd w:id="62"/>
      <w:bookmarkEnd w:id="63"/>
    </w:p>
    <w:p>
      <w:pPr>
        <w:spacing w:line="440" w:lineRule="exact"/>
        <w:ind w:firstLine="480" w:firstLineChars="200"/>
        <w:rPr>
          <w:rFonts w:ascii="宋体" w:hAnsi="宋体" w:cs="宋体"/>
          <w:sz w:val="24"/>
        </w:rPr>
      </w:pPr>
      <w:r>
        <w:rPr>
          <w:rFonts w:hint="eastAsia" w:ascii="宋体" w:hAnsi="宋体" w:cs="宋体"/>
          <w:sz w:val="24"/>
        </w:rPr>
        <w:t>12.1</w:t>
      </w:r>
      <w:bookmarkStart w:id="67" w:name="_Hlt26668999"/>
      <w:bookmarkEnd w:id="67"/>
      <w:r>
        <w:rPr>
          <w:rFonts w:hint="eastAsia" w:ascii="宋体" w:hAnsi="宋体" w:cs="宋体"/>
          <w:sz w:val="24"/>
        </w:rPr>
        <w:t>投标人应按要求提交资格证明文件及符合招标文件规定的文件。</w:t>
      </w:r>
    </w:p>
    <w:p>
      <w:pPr>
        <w:spacing w:line="440" w:lineRule="exact"/>
        <w:ind w:firstLine="480" w:firstLineChars="200"/>
        <w:rPr>
          <w:rFonts w:ascii="宋体" w:hAnsi="宋体" w:cs="宋体"/>
          <w:sz w:val="24"/>
        </w:rPr>
      </w:pPr>
      <w:r>
        <w:rPr>
          <w:rFonts w:hint="eastAsia" w:ascii="宋体" w:hAnsi="宋体" w:cs="宋体"/>
          <w:sz w:val="24"/>
        </w:rPr>
        <w:t>12.2投标人应提交证明其有资格参加投标和中标后有能力独立履行合同的文件。</w:t>
      </w:r>
    </w:p>
    <w:p>
      <w:pPr>
        <w:spacing w:line="440" w:lineRule="exact"/>
        <w:ind w:firstLine="480" w:firstLineChars="200"/>
        <w:rPr>
          <w:rFonts w:ascii="宋体" w:hAnsi="宋体" w:cs="宋体"/>
          <w:sz w:val="24"/>
        </w:rPr>
      </w:pPr>
      <w:r>
        <w:rPr>
          <w:rFonts w:hint="eastAsia" w:ascii="宋体" w:hAnsi="宋体" w:cs="宋体"/>
          <w:sz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sz w:val="24"/>
          <w:szCs w:val="24"/>
        </w:rPr>
      </w:pPr>
      <w:r>
        <w:rPr>
          <w:rFonts w:hint="eastAsia" w:ascii="宋体" w:hAnsi="宋体" w:cs="宋体"/>
          <w:sz w:val="24"/>
          <w:szCs w:val="24"/>
        </w:rPr>
        <w:t>12.4投标人应提交根据合同要求提供的证明产品质量合格以及符合招标文件规定的证明文件。</w:t>
      </w:r>
    </w:p>
    <w:p>
      <w:pPr>
        <w:spacing w:line="440" w:lineRule="exact"/>
        <w:ind w:firstLine="480" w:firstLineChars="200"/>
        <w:rPr>
          <w:rFonts w:ascii="宋体" w:hAnsi="宋体" w:cs="宋体"/>
          <w:sz w:val="24"/>
          <w:szCs w:val="24"/>
        </w:rPr>
      </w:pPr>
      <w:r>
        <w:rPr>
          <w:rFonts w:hint="eastAsia" w:ascii="宋体" w:hAnsi="宋体" w:cs="宋体"/>
          <w:sz w:val="24"/>
          <w:szCs w:val="24"/>
        </w:rPr>
        <w:t>12.5证明投标人所提供货物与招标文件的要求相一致的文件可以是手册、图纸、文字资料和数据</w:t>
      </w:r>
      <w:r>
        <w:rPr>
          <w:rFonts w:hint="eastAsia" w:ascii="宋体" w:hAnsi="宋体" w:cs="宋体"/>
          <w:bCs/>
          <w:sz w:val="24"/>
        </w:rPr>
        <w:t>。</w:t>
      </w:r>
    </w:p>
    <w:bookmarkEnd w:id="64"/>
    <w:bookmarkEnd w:id="65"/>
    <w:bookmarkEnd w:id="66"/>
    <w:p>
      <w:pPr>
        <w:pStyle w:val="2"/>
        <w:spacing w:before="0" w:after="0" w:line="440" w:lineRule="exact"/>
        <w:ind w:firstLine="560" w:firstLineChars="200"/>
        <w:rPr>
          <w:rFonts w:ascii="宋体" w:hAnsi="宋体" w:eastAsia="宋体" w:cs="宋体"/>
          <w:b w:val="0"/>
          <w:bCs w:val="0"/>
        </w:rPr>
      </w:pPr>
      <w:bookmarkStart w:id="68" w:name="_Toc14577355"/>
      <w:bookmarkStart w:id="69" w:name="_Toc49090508"/>
      <w:r>
        <w:rPr>
          <w:rFonts w:hint="eastAsia" w:ascii="宋体" w:hAnsi="宋体" w:eastAsia="宋体" w:cs="宋体"/>
          <w:b w:val="0"/>
          <w:bCs w:val="0"/>
        </w:rPr>
        <w:t>13、供货一览表和投标配置与分项报价</w:t>
      </w:r>
      <w:bookmarkEnd w:id="68"/>
      <w:bookmarkStart w:id="70" w:name="_Hlt26670373"/>
      <w:bookmarkEnd w:id="70"/>
      <w:r>
        <w:rPr>
          <w:rFonts w:hint="eastAsia" w:ascii="宋体" w:hAnsi="宋体" w:eastAsia="宋体" w:cs="宋体"/>
          <w:b w:val="0"/>
          <w:bCs w:val="0"/>
        </w:rPr>
        <w:t>表</w:t>
      </w:r>
      <w:bookmarkEnd w:id="69"/>
    </w:p>
    <w:p>
      <w:pPr>
        <w:spacing w:line="440" w:lineRule="exact"/>
        <w:ind w:firstLine="480" w:firstLineChars="200"/>
        <w:rPr>
          <w:rFonts w:ascii="宋体" w:hAnsi="宋体" w:cs="宋体"/>
          <w:bCs/>
          <w:sz w:val="24"/>
        </w:rPr>
      </w:pPr>
      <w:r>
        <w:rPr>
          <w:rFonts w:hint="eastAsia" w:ascii="宋体" w:hAnsi="宋体" w:cs="宋体"/>
          <w:bCs/>
          <w:sz w:val="24"/>
        </w:rPr>
        <w:t>13.1</w:t>
      </w:r>
      <w:r>
        <w:rPr>
          <w:rFonts w:hint="eastAsia" w:ascii="宋体" w:hAnsi="宋体" w:cs="宋体"/>
          <w:sz w:val="24"/>
        </w:rPr>
        <w:t xml:space="preserve"> 投</w:t>
      </w:r>
      <w:bookmarkStart w:id="71" w:name="_Hlt26954840"/>
      <w:bookmarkEnd w:id="71"/>
      <w:r>
        <w:rPr>
          <w:rFonts w:hint="eastAsia" w:ascii="宋体" w:hAnsi="宋体" w:cs="宋体"/>
          <w:sz w:val="24"/>
        </w:rPr>
        <w:t>标人应按照招标文件规定格式填报供货一览表、投标配置与分项报价表</w:t>
      </w:r>
      <w:bookmarkStart w:id="72" w:name="_Hlt26670399"/>
      <w:bookmarkEnd w:id="72"/>
      <w:r>
        <w:rPr>
          <w:rFonts w:hint="eastAsia" w:ascii="宋体" w:hAnsi="宋体" w:cs="宋体"/>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sz w:val="24"/>
        </w:rPr>
      </w:pPr>
      <w:r>
        <w:rPr>
          <w:rFonts w:hint="eastAsia" w:ascii="宋体" w:hAnsi="宋体" w:cs="宋体"/>
          <w:bCs/>
          <w:sz w:val="24"/>
        </w:rPr>
        <w:t>13.2</w:t>
      </w:r>
      <w:r>
        <w:rPr>
          <w:rFonts w:hint="eastAsia" w:ascii="宋体" w:hAnsi="宋体" w:cs="宋体"/>
          <w:sz w:val="24"/>
        </w:rPr>
        <w:t xml:space="preserve"> 标的物</w:t>
      </w:r>
    </w:p>
    <w:p>
      <w:pPr>
        <w:spacing w:line="440" w:lineRule="exact"/>
        <w:ind w:firstLine="480" w:firstLineChars="200"/>
        <w:rPr>
          <w:rFonts w:ascii="宋体" w:hAns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pPr>
        <w:spacing w:line="440" w:lineRule="exact"/>
        <w:ind w:firstLine="480" w:firstLineChars="200"/>
        <w:rPr>
          <w:rFonts w:ascii="宋体" w:hAnsi="宋体" w:cs="宋体"/>
          <w:bCs/>
          <w:sz w:val="24"/>
        </w:rPr>
      </w:pPr>
      <w:r>
        <w:rPr>
          <w:rFonts w:hint="eastAsia" w:ascii="宋体" w:hAnsi="宋体" w:cs="宋体"/>
          <w:sz w:val="24"/>
        </w:rPr>
        <w:t>13.3</w:t>
      </w:r>
      <w:r>
        <w:rPr>
          <w:rFonts w:hint="eastAsia" w:ascii="宋体" w:hAnsi="宋体" w:cs="宋体"/>
          <w:bCs/>
          <w:sz w:val="24"/>
        </w:rPr>
        <w:t>有关费用处理</w:t>
      </w:r>
    </w:p>
    <w:p>
      <w:pPr>
        <w:spacing w:line="440" w:lineRule="exact"/>
        <w:ind w:firstLine="480" w:firstLineChars="200"/>
        <w:rPr>
          <w:rFonts w:ascii="宋体" w:hAns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sz w:val="24"/>
        </w:rPr>
      </w:pPr>
      <w:r>
        <w:rPr>
          <w:rFonts w:hint="eastAsia" w:ascii="宋体" w:hAnsi="宋体" w:cs="宋体"/>
          <w:sz w:val="24"/>
        </w:rPr>
        <w:t>13.4</w:t>
      </w:r>
      <w:r>
        <w:rPr>
          <w:rFonts w:hint="eastAsia" w:ascii="宋体" w:hAnsi="宋体" w:cs="宋体"/>
          <w:bCs/>
          <w:sz w:val="24"/>
        </w:rPr>
        <w:t>其它费用处理</w:t>
      </w:r>
    </w:p>
    <w:p>
      <w:pPr>
        <w:spacing w:line="440" w:lineRule="exact"/>
        <w:ind w:firstLine="480" w:firstLineChars="200"/>
        <w:rPr>
          <w:rFonts w:ascii="宋体" w:hAnsi="宋体" w:cs="宋体"/>
          <w:bCs/>
          <w:sz w:val="24"/>
        </w:rPr>
      </w:pPr>
      <w:r>
        <w:rPr>
          <w:rFonts w:hint="eastAsia" w:ascii="宋体" w:hAnsi="宋体" w:cs="宋体"/>
          <w:bCs/>
          <w:sz w:val="24"/>
        </w:rPr>
        <w:t>招标文件未列明，而投标人认为必需的费用也需列入报价。</w:t>
      </w:r>
    </w:p>
    <w:p>
      <w:pPr>
        <w:spacing w:line="440" w:lineRule="exact"/>
        <w:ind w:firstLine="480" w:firstLineChars="200"/>
        <w:rPr>
          <w:rFonts w:ascii="宋体" w:hAnsi="宋体" w:cs="宋体"/>
          <w:bCs/>
          <w:sz w:val="24"/>
        </w:rPr>
      </w:pPr>
      <w:r>
        <w:rPr>
          <w:rFonts w:hint="eastAsia" w:ascii="宋体" w:hAnsi="宋体" w:cs="宋体"/>
          <w:sz w:val="24"/>
        </w:rPr>
        <w:t>13.5</w:t>
      </w:r>
      <w:r>
        <w:rPr>
          <w:rFonts w:hint="eastAsia" w:ascii="宋体" w:hAnsi="宋体" w:cs="宋体"/>
          <w:bCs/>
          <w:sz w:val="24"/>
        </w:rPr>
        <w:t>投标货币</w:t>
      </w:r>
    </w:p>
    <w:p>
      <w:pPr>
        <w:spacing w:line="440" w:lineRule="exact"/>
        <w:ind w:firstLine="480" w:firstLineChars="200"/>
        <w:rPr>
          <w:rFonts w:ascii="宋体" w:hAns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pPr>
        <w:spacing w:line="440" w:lineRule="exact"/>
        <w:ind w:firstLine="480" w:firstLineChars="200"/>
        <w:rPr>
          <w:rFonts w:ascii="宋体" w:hAnsi="宋体" w:cs="宋体"/>
          <w:sz w:val="24"/>
        </w:rPr>
      </w:pPr>
      <w:r>
        <w:rPr>
          <w:rFonts w:hint="eastAsia" w:ascii="宋体" w:hAnsi="宋体" w:cs="宋体"/>
          <w:sz w:val="24"/>
        </w:rPr>
        <w:t>13.6</w:t>
      </w:r>
      <w:r>
        <w:rPr>
          <w:rFonts w:hint="eastAsia" w:ascii="宋体" w:hAnsi="宋体" w:cs="宋体"/>
          <w:bCs/>
          <w:sz w:val="24"/>
        </w:rPr>
        <w:t xml:space="preserve"> 投标配置与分项报价表上的价格应按下列方式分开填写</w:t>
      </w:r>
      <w:r>
        <w:rPr>
          <w:rFonts w:hint="eastAsia" w:ascii="宋体" w:hAnsi="宋体" w:cs="宋体"/>
          <w:sz w:val="24"/>
        </w:rPr>
        <w:t>：</w:t>
      </w:r>
    </w:p>
    <w:p>
      <w:pPr>
        <w:spacing w:line="440" w:lineRule="exact"/>
        <w:ind w:firstLine="480" w:firstLineChars="200"/>
        <w:rPr>
          <w:rFonts w:ascii="宋体" w:hAnsi="宋体" w:cs="宋体"/>
          <w:bCs/>
          <w:sz w:val="24"/>
        </w:rPr>
      </w:pPr>
      <w:bookmarkStart w:id="73" w:name="_Hlt26670403"/>
      <w:bookmarkEnd w:id="73"/>
      <w:bookmarkStart w:id="74" w:name="_Hlt26670425"/>
      <w:bookmarkEnd w:id="74"/>
      <w:bookmarkStart w:id="75" w:name="_Hlt26668983"/>
      <w:bookmarkEnd w:id="75"/>
      <w:bookmarkStart w:id="76" w:name="_Hlt26954844"/>
      <w:bookmarkEnd w:id="76"/>
      <w:bookmarkStart w:id="77" w:name="_Hlt26954842"/>
      <w:bookmarkEnd w:id="77"/>
      <w:r>
        <w:rPr>
          <w:rFonts w:hint="eastAsia" w:ascii="宋体" w:hAnsi="宋体" w:cs="宋体"/>
          <w:bCs/>
          <w:sz w:val="24"/>
        </w:rPr>
        <w:t>（1）</w:t>
      </w:r>
      <w:r>
        <w:rPr>
          <w:rFonts w:hint="eastAsia" w:ascii="宋体" w:hAnsi="宋体" w:cs="宋体"/>
          <w:sz w:val="24"/>
        </w:rPr>
        <w:t>项目总价：包括</w:t>
      </w:r>
      <w:r>
        <w:rPr>
          <w:rFonts w:hint="eastAsia" w:ascii="宋体" w:hAnsi="宋体" w:cs="宋体"/>
          <w:bCs/>
          <w:sz w:val="24"/>
        </w:rPr>
        <w:t>买方需求的货物价格</w:t>
      </w:r>
      <w:r>
        <w:rPr>
          <w:rFonts w:hint="eastAsia" w:ascii="宋体" w:hAnsi="宋体" w:cs="宋体"/>
          <w:sz w:val="24"/>
        </w:rPr>
        <w:t>、</w:t>
      </w:r>
      <w:r>
        <w:rPr>
          <w:rFonts w:hint="eastAsia" w:ascii="宋体" w:hAnsi="宋体" w:cs="宋体"/>
          <w:bCs/>
          <w:sz w:val="24"/>
        </w:rPr>
        <w:t>质量保证费用、培训费用及售后服务费用，项目在指定地点、环境交付、安装、调试、验收所需费用和所有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pPr>
        <w:spacing w:line="44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项目单价按投标配置及分项报价表中要求填报。</w:t>
      </w:r>
      <w:bookmarkStart w:id="78" w:name="_Hlt26954731"/>
      <w:bookmarkEnd w:id="78"/>
      <w:bookmarkStart w:id="79" w:name="_Hlt26954846"/>
      <w:bookmarkEnd w:id="79"/>
      <w:bookmarkStart w:id="80" w:name="_Hlt26670486"/>
      <w:bookmarkEnd w:id="80"/>
      <w:bookmarkStart w:id="81" w:name="_Hlt26670482"/>
      <w:bookmarkEnd w:id="81"/>
      <w:bookmarkStart w:id="82" w:name="_Hlt26954848"/>
      <w:bookmarkEnd w:id="82"/>
    </w:p>
    <w:p>
      <w:pPr>
        <w:spacing w:line="440" w:lineRule="exact"/>
        <w:ind w:firstLine="560" w:firstLineChars="200"/>
        <w:rPr>
          <w:rFonts w:ascii="宋体" w:hAnsi="宋体" w:cs="宋体"/>
          <w:bCs/>
          <w:sz w:val="24"/>
        </w:rPr>
      </w:pPr>
      <w:r>
        <w:rPr>
          <w:rFonts w:hint="eastAsia" w:ascii="宋体" w:hAnsi="宋体" w:cs="宋体"/>
          <w:bCs/>
          <w:sz w:val="28"/>
          <w:szCs w:val="28"/>
        </w:rPr>
        <w:t>14</w:t>
      </w:r>
      <w:r>
        <w:rPr>
          <w:rFonts w:hint="eastAsia" w:ascii="宋体" w:hAnsi="宋体" w:cs="宋体"/>
          <w:b/>
          <w:bCs/>
        </w:rPr>
        <w:t>、</w:t>
      </w:r>
      <w:r>
        <w:rPr>
          <w:rFonts w:hint="eastAsia" w:ascii="宋体" w:hAnsi="宋体" w:cs="宋体"/>
          <w:sz w:val="28"/>
          <w:szCs w:val="28"/>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bCs/>
          <w:sz w:val="24"/>
          <w:lang w:val="zh-CN"/>
        </w:rPr>
        <w:t>14.1</w:t>
      </w:r>
      <w:r>
        <w:rPr>
          <w:rFonts w:hint="eastAsia" w:ascii="宋体" w:hAnsi="宋体" w:cs="宋体"/>
          <w:sz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14.3 培训计划；</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14.5 投标人认为需要的其他技术文件或说明。</w:t>
      </w:r>
    </w:p>
    <w:p>
      <w:pPr>
        <w:tabs>
          <w:tab w:val="left" w:pos="1035"/>
        </w:tabs>
        <w:autoSpaceDE w:val="0"/>
        <w:autoSpaceDN w:val="0"/>
        <w:adjustRightInd w:val="0"/>
        <w:spacing w:line="440" w:lineRule="exact"/>
        <w:ind w:firstLine="560" w:firstLineChars="200"/>
        <w:rPr>
          <w:rFonts w:ascii="宋体" w:hAnsi="宋体" w:cs="宋体"/>
          <w:bCs/>
          <w:sz w:val="24"/>
          <w:lang w:val="zh-CN"/>
        </w:rPr>
      </w:pPr>
      <w:r>
        <w:rPr>
          <w:rFonts w:hint="eastAsia" w:ascii="宋体" w:hAnsi="宋体" w:cs="宋体"/>
          <w:bCs/>
          <w:sz w:val="28"/>
          <w:szCs w:val="28"/>
        </w:rPr>
        <w:t>15、服务承诺及售后服务机构、人员的情况介绍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bCs/>
          <w:sz w:val="24"/>
          <w:lang w:val="zh-CN"/>
        </w:rPr>
      </w:pPr>
      <w:r>
        <w:rPr>
          <w:rFonts w:hint="eastAsia" w:ascii="宋体" w:hAnsi="宋体" w:cs="宋体"/>
          <w:bCs/>
          <w:sz w:val="24"/>
          <w:szCs w:val="24"/>
        </w:rPr>
        <w:t>15、1投标人的服务承诺应按不低于招标文件中商务要求的标准。</w:t>
      </w:r>
    </w:p>
    <w:p>
      <w:pPr>
        <w:spacing w:line="440" w:lineRule="exact"/>
        <w:ind w:firstLine="480" w:firstLineChars="200"/>
        <w:rPr>
          <w:rFonts w:ascii="宋体" w:hAnsi="宋体" w:cs="宋体"/>
          <w:sz w:val="24"/>
          <w:szCs w:val="24"/>
        </w:rPr>
      </w:pPr>
      <w:r>
        <w:rPr>
          <w:rFonts w:hint="eastAsia" w:ascii="宋体" w:hAnsi="宋体" w:cs="宋体"/>
          <w:bCs/>
          <w:sz w:val="24"/>
          <w:szCs w:val="24"/>
        </w:rPr>
        <w:t>15、2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560" w:firstLineChars="200"/>
        <w:rPr>
          <w:rFonts w:ascii="宋体" w:hAnsi="宋体" w:eastAsia="宋体" w:cs="宋体"/>
          <w:b w:val="0"/>
          <w:bCs w:val="0"/>
        </w:rPr>
      </w:pPr>
      <w:bookmarkStart w:id="83" w:name="_Toc49090510"/>
      <w:bookmarkStart w:id="84" w:name="_Toc14577359"/>
      <w:r>
        <w:rPr>
          <w:rFonts w:hint="eastAsia" w:ascii="宋体" w:hAnsi="宋体" w:eastAsia="宋体" w:cs="宋体"/>
          <w:b w:val="0"/>
          <w:bCs w:val="0"/>
        </w:rPr>
        <w:t>16、投标函和开标一览表</w:t>
      </w:r>
    </w:p>
    <w:p>
      <w:pPr>
        <w:spacing w:line="440" w:lineRule="exact"/>
        <w:ind w:firstLine="480" w:firstLineChars="200"/>
        <w:rPr>
          <w:rFonts w:ascii="宋体" w:hAnsi="宋体" w:cs="宋体"/>
          <w:sz w:val="24"/>
        </w:rPr>
      </w:pPr>
      <w:r>
        <w:rPr>
          <w:rFonts w:hint="eastAsia" w:ascii="宋体" w:hAnsi="宋体" w:cs="宋体"/>
          <w:bCs/>
          <w:sz w:val="24"/>
        </w:rPr>
        <w:t>16.1</w:t>
      </w:r>
      <w:r>
        <w:rPr>
          <w:rFonts w:hint="eastAsia" w:ascii="宋体" w:hAnsi="宋体" w:cs="宋体"/>
          <w:sz w:val="24"/>
        </w:rPr>
        <w:t xml:space="preserve"> 投标人应按照招标文件中提供的格式完整、正确填写投标函、开标一览表。</w:t>
      </w:r>
    </w:p>
    <w:p>
      <w:pPr>
        <w:spacing w:line="440" w:lineRule="exact"/>
        <w:ind w:firstLine="480" w:firstLineChars="200"/>
        <w:rPr>
          <w:rFonts w:ascii="宋体" w:hAnsi="宋体" w:cs="宋体"/>
          <w:sz w:val="24"/>
        </w:rPr>
      </w:pPr>
      <w:r>
        <w:rPr>
          <w:rFonts w:hint="eastAsia" w:ascii="宋体" w:hAnsi="宋体" w:cs="宋体"/>
          <w:bCs/>
          <w:sz w:val="24"/>
        </w:rPr>
        <w:t>16.2</w:t>
      </w:r>
      <w:r>
        <w:rPr>
          <w:rFonts w:hint="eastAsia" w:ascii="宋体" w:hAnsi="宋体" w:cs="宋体"/>
          <w:sz w:val="24"/>
        </w:rPr>
        <w:t xml:space="preserve"> </w:t>
      </w:r>
      <w:r>
        <w:rPr>
          <w:rFonts w:hint="eastAsia" w:ascii="宋体" w:hAnsi="宋体" w:cs="宋体"/>
          <w:bCs/>
          <w:sz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pPr>
        <w:pStyle w:val="2"/>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17、投标保证金</w:t>
      </w:r>
      <w:bookmarkEnd w:id="83"/>
      <w:bookmarkEnd w:id="84"/>
    </w:p>
    <w:p>
      <w:pPr>
        <w:spacing w:line="440" w:lineRule="exact"/>
        <w:ind w:firstLine="480" w:firstLineChars="200"/>
        <w:rPr>
          <w:rFonts w:ascii="宋体" w:hAnsi="宋体" w:cs="宋体"/>
          <w:bCs/>
          <w:sz w:val="24"/>
        </w:rPr>
      </w:pPr>
      <w:r>
        <w:rPr>
          <w:rFonts w:hint="eastAsia" w:ascii="宋体" w:hAnsi="宋体" w:cs="宋体"/>
          <w:sz w:val="24"/>
        </w:rPr>
        <w:t>17.1</w:t>
      </w:r>
      <w:r>
        <w:rPr>
          <w:rFonts w:hint="eastAsia" w:ascii="宋体" w:hAnsi="宋体" w:cs="宋体"/>
          <w:bCs/>
          <w:sz w:val="24"/>
        </w:rPr>
        <w:t xml:space="preserve"> 投标人提交的投标保证金必须在投标截止时间前送达，并作为其投标的组成部分。</w:t>
      </w:r>
    </w:p>
    <w:p>
      <w:pPr>
        <w:spacing w:line="440" w:lineRule="exact"/>
        <w:ind w:firstLine="480" w:firstLineChars="200"/>
        <w:rPr>
          <w:rFonts w:ascii="宋体" w:hAnsi="宋体" w:cs="宋体"/>
          <w:bCs/>
          <w:sz w:val="24"/>
          <w:szCs w:val="24"/>
        </w:rPr>
      </w:pPr>
      <w:r>
        <w:rPr>
          <w:rFonts w:hint="eastAsia" w:ascii="宋体" w:hAnsi="宋体" w:cs="宋体"/>
          <w:sz w:val="24"/>
        </w:rPr>
        <w:t>17.2</w:t>
      </w:r>
      <w:r>
        <w:rPr>
          <w:rFonts w:hint="eastAsia" w:ascii="宋体" w:hAnsi="宋体" w:cs="宋体"/>
          <w:bCs/>
          <w:sz w:val="24"/>
        </w:rPr>
        <w:t>在开标时，对于未按要求提交投标保证金的投标无效，</w:t>
      </w:r>
      <w:r>
        <w:rPr>
          <w:rFonts w:hint="eastAsia" w:ascii="宋体" w:hAnsi="宋体" w:cs="宋体"/>
          <w:sz w:val="24"/>
        </w:rPr>
        <w:t>采购人或采购代理机构</w:t>
      </w:r>
      <w:r>
        <w:rPr>
          <w:rFonts w:hint="eastAsia" w:ascii="宋体" w:hAnsi="宋体" w:cs="宋体"/>
          <w:bCs/>
          <w:sz w:val="24"/>
        </w:rPr>
        <w:t>拒绝接收其投标文件。</w:t>
      </w:r>
    </w:p>
    <w:p>
      <w:pPr>
        <w:spacing w:line="440" w:lineRule="exact"/>
        <w:ind w:firstLine="480" w:firstLineChars="200"/>
        <w:rPr>
          <w:rFonts w:ascii="宋体" w:hAnsi="宋体" w:cs="宋体"/>
          <w:sz w:val="24"/>
        </w:rPr>
      </w:pPr>
      <w:r>
        <w:rPr>
          <w:rFonts w:hint="eastAsia" w:ascii="宋体" w:hAnsi="宋体" w:cs="宋体"/>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hAnsi="宋体" w:cs="宋体"/>
          <w:bCs/>
          <w:sz w:val="24"/>
        </w:rPr>
      </w:pPr>
      <w:r>
        <w:rPr>
          <w:rFonts w:hint="eastAsia" w:ascii="宋体" w:hAnsi="宋体" w:cs="宋体"/>
          <w:bCs/>
          <w:sz w:val="24"/>
        </w:rPr>
        <w:t>未中标的投标人的投标保证金，将在中标通知书发出之日起5个工作内退还，不计利息。</w:t>
      </w:r>
    </w:p>
    <w:p>
      <w:pPr>
        <w:spacing w:line="440" w:lineRule="exact"/>
        <w:ind w:firstLine="480" w:firstLineChars="200"/>
        <w:rPr>
          <w:rFonts w:ascii="宋体" w:hAnsi="宋体" w:cs="宋体"/>
          <w:bCs/>
          <w:sz w:val="24"/>
        </w:rPr>
      </w:pPr>
      <w:r>
        <w:rPr>
          <w:rFonts w:hint="eastAsia" w:ascii="宋体" w:hAnsi="宋体" w:cs="宋体"/>
          <w:sz w:val="24"/>
        </w:rPr>
        <w:t>17.4</w:t>
      </w:r>
      <w:r>
        <w:rPr>
          <w:rFonts w:hint="eastAsia" w:ascii="宋体" w:hAnsi="宋体" w:cs="宋体"/>
          <w:bCs/>
          <w:sz w:val="24"/>
        </w:rPr>
        <w:t>签订合同时，中标人须向采购人交纳履约保证金,于合同履行后无息退还。</w:t>
      </w:r>
    </w:p>
    <w:p>
      <w:pPr>
        <w:spacing w:line="440" w:lineRule="exact"/>
        <w:ind w:firstLine="482" w:firstLineChars="200"/>
        <w:rPr>
          <w:rFonts w:ascii="宋体" w:hAnsi="宋体" w:cs="宋体"/>
          <w:b/>
          <w:bCs/>
          <w:sz w:val="24"/>
        </w:rPr>
      </w:pPr>
      <w:r>
        <w:rPr>
          <w:rFonts w:hint="eastAsia" w:ascii="宋体" w:hAnsi="宋体" w:cs="宋体"/>
          <w:b/>
          <w:sz w:val="24"/>
        </w:rPr>
        <w:t>17.5</w:t>
      </w:r>
      <w:r>
        <w:rPr>
          <w:rFonts w:hint="eastAsia" w:ascii="宋体" w:hAnsi="宋体" w:cs="宋体"/>
          <w:b/>
          <w:bCs/>
          <w:sz w:val="24"/>
        </w:rPr>
        <w:t xml:space="preserve"> 下列任何情况发生时，投标保证金将不予退还：</w:t>
      </w:r>
    </w:p>
    <w:p>
      <w:pPr>
        <w:spacing w:line="440" w:lineRule="exact"/>
        <w:ind w:firstLine="480" w:firstLineChars="200"/>
        <w:rPr>
          <w:rFonts w:ascii="宋体" w:hAnsi="宋体" w:cs="宋体"/>
          <w:bCs/>
          <w:sz w:val="24"/>
        </w:rPr>
      </w:pPr>
      <w:r>
        <w:rPr>
          <w:rFonts w:hint="eastAsia" w:ascii="宋体" w:hAnsi="宋体" w:cs="宋体"/>
          <w:bCs/>
          <w:sz w:val="24"/>
        </w:rPr>
        <w:t>（1）投标人在投标有效期内撤回其投标；</w:t>
      </w:r>
    </w:p>
    <w:p>
      <w:pPr>
        <w:spacing w:line="440" w:lineRule="exact"/>
        <w:ind w:firstLine="480" w:firstLineChars="200"/>
        <w:rPr>
          <w:rFonts w:ascii="宋体" w:hAnsi="宋体" w:cs="宋体"/>
          <w:bCs/>
          <w:sz w:val="24"/>
        </w:rPr>
      </w:pPr>
      <w:r>
        <w:rPr>
          <w:rFonts w:hint="eastAsia" w:ascii="宋体" w:hAnsi="宋体" w:cs="宋体"/>
          <w:bCs/>
          <w:sz w:val="24"/>
        </w:rPr>
        <w:t>（2）投标人提供的有关资料、资格证明文件被确认是不真实的；</w:t>
      </w:r>
    </w:p>
    <w:p>
      <w:pPr>
        <w:spacing w:line="440" w:lineRule="exact"/>
        <w:ind w:firstLine="480" w:firstLineChars="200"/>
        <w:rPr>
          <w:rFonts w:ascii="宋体" w:hAnsi="宋体" w:cs="宋体"/>
          <w:sz w:val="24"/>
          <w:szCs w:val="24"/>
        </w:rPr>
      </w:pPr>
      <w:r>
        <w:rPr>
          <w:rFonts w:hint="eastAsia" w:ascii="宋体" w:hAnsi="宋体" w:cs="宋体"/>
          <w:sz w:val="24"/>
          <w:szCs w:val="24"/>
        </w:rPr>
        <w:t>（3） 投标人之间被证实有串通（统一哄抬价格）、欺诈行为；</w:t>
      </w:r>
    </w:p>
    <w:p>
      <w:pPr>
        <w:spacing w:line="440" w:lineRule="exact"/>
        <w:ind w:firstLine="480" w:firstLineChars="200"/>
        <w:rPr>
          <w:rFonts w:ascii="宋体" w:hAnsi="宋体" w:cs="宋体"/>
          <w:sz w:val="24"/>
          <w:szCs w:val="24"/>
        </w:rPr>
      </w:pPr>
      <w:r>
        <w:rPr>
          <w:rFonts w:hint="eastAsia" w:ascii="宋体" w:hAnsi="宋体" w:cs="宋体"/>
          <w:sz w:val="24"/>
          <w:szCs w:val="24"/>
        </w:rPr>
        <w:t>（4） 投标人被证明有妨碍其他人公平竞争、损害</w:t>
      </w:r>
      <w:r>
        <w:rPr>
          <w:rFonts w:hint="eastAsia" w:ascii="宋体" w:hAnsi="宋体" w:cs="宋体"/>
          <w:sz w:val="24"/>
        </w:rPr>
        <w:t>采购人或采购代理机构</w:t>
      </w:r>
      <w:r>
        <w:rPr>
          <w:rFonts w:hint="eastAsia" w:ascii="宋体" w:hAnsi="宋体" w:cs="宋体"/>
          <w:sz w:val="24"/>
          <w:szCs w:val="24"/>
        </w:rPr>
        <w:t>或者其他投标人合法权益的；</w:t>
      </w:r>
    </w:p>
    <w:p>
      <w:pPr>
        <w:pStyle w:val="2"/>
        <w:spacing w:before="0" w:after="0" w:line="440" w:lineRule="exact"/>
        <w:ind w:firstLine="560" w:firstLineChars="200"/>
        <w:rPr>
          <w:rFonts w:ascii="宋体" w:hAnsi="宋体" w:eastAsia="宋体" w:cs="宋体"/>
          <w:b w:val="0"/>
          <w:bCs w:val="0"/>
        </w:rPr>
      </w:pPr>
      <w:bookmarkStart w:id="85" w:name="_Hlt26954850"/>
      <w:bookmarkEnd w:id="85"/>
      <w:bookmarkStart w:id="86" w:name="_Hlt26670489"/>
      <w:bookmarkEnd w:id="86"/>
      <w:bookmarkStart w:id="87" w:name="_Hlt26954734"/>
      <w:bookmarkEnd w:id="87"/>
      <w:bookmarkStart w:id="88" w:name="_Toc49090511"/>
      <w:bookmarkStart w:id="89" w:name="_Toc14577360"/>
      <w:r>
        <w:rPr>
          <w:rFonts w:hint="eastAsia" w:ascii="宋体" w:hAnsi="宋体" w:eastAsia="宋体" w:cs="宋体"/>
          <w:b w:val="0"/>
          <w:bCs w:val="0"/>
        </w:rPr>
        <w:t>18、投标有效期</w:t>
      </w:r>
      <w:bookmarkEnd w:id="88"/>
      <w:bookmarkEnd w:id="89"/>
    </w:p>
    <w:p>
      <w:pPr>
        <w:spacing w:line="440" w:lineRule="exact"/>
        <w:ind w:firstLine="480" w:firstLineChars="200"/>
        <w:rPr>
          <w:rFonts w:ascii="宋体" w:hAnsi="宋体" w:cs="宋体"/>
          <w:bCs/>
          <w:sz w:val="24"/>
        </w:rPr>
      </w:pPr>
      <w:r>
        <w:rPr>
          <w:rFonts w:hint="eastAsia" w:ascii="宋体" w:hAnsi="宋体" w:cs="宋体"/>
          <w:sz w:val="24"/>
        </w:rPr>
        <w:t>18.1</w:t>
      </w:r>
      <w:r>
        <w:rPr>
          <w:rFonts w:hint="eastAsia" w:ascii="宋体" w:hAnsi="宋体" w:cs="宋体"/>
          <w:bCs/>
          <w:sz w:val="24"/>
        </w:rPr>
        <w:t xml:space="preserve"> 投标有效期为规定的开标之日后</w:t>
      </w:r>
      <w:r>
        <w:rPr>
          <w:rFonts w:hint="eastAsia" w:ascii="宋体" w:hAnsi="宋体" w:cs="宋体"/>
          <w:b/>
          <w:sz w:val="24"/>
          <w:u w:val="single"/>
        </w:rPr>
        <w:t>六十（60）天</w:t>
      </w:r>
      <w:r>
        <w:rPr>
          <w:rFonts w:hint="eastAsia" w:ascii="宋体" w:hAnsi="宋体" w:cs="宋体"/>
          <w:bCs/>
          <w:sz w:val="24"/>
        </w:rPr>
        <w:t>。投标有效期比规定短的将被视为非响应性投标而予以拒绝。</w:t>
      </w:r>
    </w:p>
    <w:p>
      <w:pPr>
        <w:spacing w:line="440" w:lineRule="exact"/>
        <w:ind w:firstLine="480" w:firstLineChars="200"/>
        <w:rPr>
          <w:rFonts w:ascii="宋体" w:hAnsi="宋体" w:cs="宋体"/>
          <w:bCs/>
          <w:sz w:val="24"/>
        </w:rPr>
      </w:pPr>
      <w:r>
        <w:rPr>
          <w:rFonts w:hint="eastAsia" w:ascii="宋体" w:hAnsi="宋体" w:cs="宋体"/>
          <w:sz w:val="24"/>
        </w:rPr>
        <w:t>18.2</w:t>
      </w:r>
      <w:r>
        <w:rPr>
          <w:rFonts w:hint="eastAsia" w:ascii="宋体" w:hAnsi="宋体" w:cs="宋体"/>
          <w:bCs/>
          <w:sz w:val="24"/>
        </w:rPr>
        <w:t xml:space="preserve"> 在特殊情况下，</w:t>
      </w:r>
      <w:r>
        <w:rPr>
          <w:rFonts w:hint="eastAsia" w:ascii="宋体" w:hAnsi="宋体" w:cs="宋体"/>
          <w:sz w:val="24"/>
        </w:rPr>
        <w:t>采购人或采购代理机构</w:t>
      </w:r>
      <w:r>
        <w:rPr>
          <w:rFonts w:hint="eastAsia" w:ascii="宋体" w:hAnsi="宋体" w:cs="宋体"/>
          <w:bCs/>
          <w:sz w:val="24"/>
        </w:rPr>
        <w:t>于原投标有效期满之前，可向投标人提出延长投标有效期的要求。这种要求与答复均应采用书面形式。投标人可以拒绝</w:t>
      </w:r>
      <w:r>
        <w:rPr>
          <w:rFonts w:hint="eastAsia" w:ascii="宋体" w:hAnsi="宋体" w:cs="宋体"/>
          <w:sz w:val="24"/>
        </w:rPr>
        <w:t>采购人或采购代理机构</w:t>
      </w:r>
      <w:r>
        <w:rPr>
          <w:rFonts w:hint="eastAsia" w:ascii="宋体" w:hAnsi="宋体" w:cs="宋体"/>
          <w:bCs/>
          <w:sz w:val="24"/>
        </w:rPr>
        <w:t>的这一要求而放弃投标，</w:t>
      </w:r>
      <w:r>
        <w:rPr>
          <w:rFonts w:hint="eastAsia" w:ascii="宋体" w:hAnsi="宋体" w:cs="宋体"/>
          <w:sz w:val="24"/>
        </w:rPr>
        <w:t>采购人或采购代理机构</w:t>
      </w:r>
      <w:r>
        <w:rPr>
          <w:rFonts w:hint="eastAsia" w:ascii="宋体" w:hAnsi="宋体" w:cs="宋体"/>
          <w:sz w:val="24"/>
          <w:szCs w:val="24"/>
        </w:rPr>
        <w:t>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pPr>
        <w:pStyle w:val="2"/>
        <w:spacing w:before="0" w:after="0" w:line="440" w:lineRule="exact"/>
        <w:ind w:firstLine="560" w:firstLineChars="200"/>
        <w:rPr>
          <w:rFonts w:ascii="宋体" w:hAnsi="宋体" w:eastAsia="宋体" w:cs="宋体"/>
          <w:b w:val="0"/>
          <w:bCs w:val="0"/>
        </w:rPr>
      </w:pPr>
      <w:bookmarkStart w:id="90" w:name="_Hlt26954739"/>
      <w:bookmarkEnd w:id="90"/>
      <w:bookmarkStart w:id="91" w:name="_Hlt26954852"/>
      <w:bookmarkEnd w:id="91"/>
      <w:bookmarkStart w:id="92" w:name="_Toc14577361"/>
      <w:bookmarkStart w:id="93" w:name="_Toc49090512"/>
      <w:r>
        <w:rPr>
          <w:rFonts w:hint="eastAsia" w:ascii="宋体" w:hAnsi="宋体" w:eastAsia="宋体" w:cs="宋体"/>
          <w:b w:val="0"/>
          <w:bCs w:val="0"/>
        </w:rPr>
        <w:t>19、投标文件份数和签署</w:t>
      </w:r>
      <w:bookmarkEnd w:id="92"/>
      <w:bookmarkEnd w:id="93"/>
    </w:p>
    <w:p>
      <w:pPr>
        <w:spacing w:line="440" w:lineRule="exact"/>
        <w:ind w:firstLine="480" w:firstLineChars="200"/>
        <w:rPr>
          <w:rFonts w:ascii="宋体" w:hAnsi="宋体" w:cs="宋体"/>
          <w:bCs/>
          <w:sz w:val="24"/>
        </w:rPr>
      </w:pPr>
      <w:r>
        <w:rPr>
          <w:rFonts w:hint="eastAsia" w:ascii="宋体" w:hAnsi="宋体" w:cs="宋体"/>
          <w:sz w:val="24"/>
        </w:rPr>
        <w:t>19.1</w:t>
      </w:r>
      <w:r>
        <w:rPr>
          <w:rFonts w:hint="eastAsia" w:ascii="宋体" w:hAnsi="宋体" w:cs="宋体"/>
          <w:b/>
          <w:sz w:val="24"/>
        </w:rPr>
        <w:t xml:space="preserve"> </w:t>
      </w:r>
      <w:r>
        <w:rPr>
          <w:rFonts w:hint="eastAsia" w:ascii="宋体" w:hAnsi="宋体" w:cs="宋体"/>
          <w:bCs/>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sz w:val="24"/>
        </w:rPr>
      </w:pPr>
      <w:r>
        <w:rPr>
          <w:rFonts w:hint="eastAsia" w:ascii="宋体" w:hAnsi="宋体" w:cs="宋体"/>
          <w:sz w:val="24"/>
        </w:rPr>
        <w:t>19.2</w:t>
      </w:r>
      <w:r>
        <w:rPr>
          <w:rFonts w:hint="eastAsia" w:ascii="宋体" w:hAnsi="宋体" w:cs="宋体"/>
          <w:b/>
          <w:sz w:val="24"/>
        </w:rPr>
        <w:t xml:space="preserve"> </w:t>
      </w:r>
      <w:r>
        <w:rPr>
          <w:rFonts w:hint="eastAsia" w:ascii="宋体" w:hAnsi="宋体" w:cs="宋体"/>
          <w:sz w:val="24"/>
        </w:rPr>
        <w:t>投标文件正本中，</w:t>
      </w:r>
      <w:r>
        <w:rPr>
          <w:rFonts w:hint="eastAsia" w:ascii="宋体" w:hAnsi="宋体" w:cs="宋体"/>
          <w:bCs/>
          <w:sz w:val="24"/>
        </w:rPr>
        <w:t>招标文件要求必须提供原件的按照要求提供，文</w:t>
      </w:r>
      <w:r>
        <w:rPr>
          <w:rFonts w:hint="eastAsia" w:ascii="宋体" w:hAnsi="宋体" w:cs="宋体"/>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sz w:val="24"/>
        </w:rPr>
      </w:pPr>
      <w:r>
        <w:rPr>
          <w:rFonts w:hint="eastAsia" w:ascii="宋体" w:hAnsi="宋体" w:cs="宋体"/>
          <w:sz w:val="24"/>
        </w:rPr>
        <w:t>19.3</w:t>
      </w:r>
      <w:r>
        <w:rPr>
          <w:rFonts w:hint="eastAsia" w:ascii="宋体" w:hAnsi="宋体" w:cs="宋体"/>
          <w:bCs/>
          <w:sz w:val="24"/>
        </w:rPr>
        <w:t xml:space="preserve"> 除投标人对错处做必要修改外，投标文件不得行间插字、涂改或增删。如有修改错漏处，必须由投标文件签署人签字或盖章。</w:t>
      </w:r>
    </w:p>
    <w:p>
      <w:pPr>
        <w:pStyle w:val="6"/>
        <w:spacing w:before="0" w:after="0" w:line="440" w:lineRule="exact"/>
        <w:ind w:firstLine="643" w:firstLineChars="200"/>
        <w:rPr>
          <w:rFonts w:ascii="宋体" w:hAnsi="宋体" w:cs="宋体"/>
        </w:rPr>
      </w:pPr>
      <w:bookmarkStart w:id="94" w:name="_Toc120614217"/>
      <w:bookmarkStart w:id="95" w:name="_Toc513029224"/>
      <w:bookmarkStart w:id="96" w:name="_Toc16938540"/>
      <w:bookmarkStart w:id="97" w:name="_Toc20823296"/>
      <w:r>
        <w:rPr>
          <w:rFonts w:hint="eastAsia" w:ascii="宋体" w:hAnsi="宋体" w:cs="宋体"/>
        </w:rPr>
        <w:t>四、投标文件的递交</w:t>
      </w:r>
      <w:bookmarkEnd w:id="94"/>
      <w:bookmarkEnd w:id="95"/>
      <w:bookmarkEnd w:id="96"/>
      <w:bookmarkEnd w:id="97"/>
    </w:p>
    <w:p>
      <w:pPr>
        <w:pStyle w:val="2"/>
        <w:spacing w:before="0" w:after="0" w:line="440" w:lineRule="exact"/>
        <w:ind w:firstLine="560" w:firstLineChars="200"/>
        <w:rPr>
          <w:rFonts w:ascii="宋体" w:hAnsi="宋体" w:eastAsia="宋体" w:cs="宋体"/>
          <w:b w:val="0"/>
          <w:bCs w:val="0"/>
        </w:rPr>
      </w:pPr>
      <w:bookmarkStart w:id="98" w:name="_Toc20823297"/>
      <w:bookmarkStart w:id="99" w:name="_Toc462564084"/>
      <w:bookmarkStart w:id="100" w:name="_Toc16938541"/>
      <w:bookmarkStart w:id="101" w:name="_Toc513029225"/>
      <w:r>
        <w:rPr>
          <w:rFonts w:hint="eastAsia" w:ascii="宋体" w:hAnsi="宋体" w:eastAsia="宋体" w:cs="宋体"/>
          <w:b w:val="0"/>
          <w:bCs w:val="0"/>
        </w:rPr>
        <w:t>20、投标文件的密封和标记</w:t>
      </w:r>
      <w:bookmarkEnd w:id="98"/>
      <w:bookmarkEnd w:id="99"/>
      <w:bookmarkEnd w:id="100"/>
      <w:bookmarkEnd w:id="101"/>
    </w:p>
    <w:p>
      <w:pPr>
        <w:spacing w:line="440" w:lineRule="exact"/>
        <w:ind w:firstLine="480" w:firstLineChars="200"/>
        <w:rPr>
          <w:rFonts w:ascii="宋体" w:hAnsi="宋体" w:cs="宋体"/>
          <w:bCs/>
          <w:sz w:val="24"/>
        </w:rPr>
      </w:pPr>
      <w:r>
        <w:rPr>
          <w:rFonts w:hint="eastAsia" w:ascii="宋体" w:hAnsi="宋体" w:cs="宋体"/>
          <w:sz w:val="24"/>
        </w:rPr>
        <w:t>20.1</w:t>
      </w:r>
      <w:r>
        <w:rPr>
          <w:rFonts w:hint="eastAsia" w:ascii="宋体" w:hAnsi="宋体" w:cs="宋体"/>
          <w:bCs/>
          <w:sz w:val="24"/>
        </w:rPr>
        <w:t>投标人应将投标文件正本和所有副本密封，不论投标人中标与否，投标文件均不退回。</w:t>
      </w:r>
    </w:p>
    <w:p>
      <w:pPr>
        <w:spacing w:line="440" w:lineRule="exact"/>
        <w:ind w:firstLine="480" w:firstLineChars="200"/>
        <w:rPr>
          <w:rFonts w:ascii="宋体" w:hAnsi="宋体" w:cs="宋体"/>
          <w:bCs/>
          <w:sz w:val="24"/>
        </w:rPr>
      </w:pPr>
      <w:r>
        <w:rPr>
          <w:rFonts w:hint="eastAsia" w:ascii="宋体" w:hAnsi="宋体" w:cs="宋体"/>
          <w:sz w:val="24"/>
        </w:rPr>
        <w:t>20.2</w:t>
      </w:r>
      <w:r>
        <w:rPr>
          <w:rFonts w:hint="eastAsia" w:ascii="宋体" w:hAnsi="宋体" w:cs="宋体"/>
          <w:bCs/>
          <w:sz w:val="24"/>
        </w:rPr>
        <w:t xml:space="preserve"> 密封的投标文件应：</w:t>
      </w:r>
    </w:p>
    <w:p>
      <w:pPr>
        <w:spacing w:line="440" w:lineRule="exact"/>
        <w:ind w:firstLine="480" w:firstLineChars="200"/>
        <w:rPr>
          <w:rFonts w:ascii="宋体" w:hAnsi="宋体" w:cs="宋体"/>
          <w:bCs/>
          <w:sz w:val="24"/>
        </w:rPr>
      </w:pPr>
      <w:r>
        <w:rPr>
          <w:rFonts w:hint="eastAsia" w:ascii="宋体" w:hAnsi="宋体" w:cs="宋体"/>
          <w:bCs/>
          <w:sz w:val="24"/>
        </w:rPr>
        <w:t>20.2.1 注明投标人名称，如因标注不清而产生的后果由投标人自负。按招标公告中注明的地址送达；</w:t>
      </w:r>
    </w:p>
    <w:p>
      <w:pPr>
        <w:spacing w:line="440" w:lineRule="exact"/>
        <w:ind w:firstLine="480" w:firstLineChars="200"/>
        <w:rPr>
          <w:rFonts w:ascii="宋体" w:hAnsi="宋体" w:cs="宋体"/>
          <w:bCs/>
          <w:sz w:val="24"/>
        </w:rPr>
      </w:pPr>
      <w:r>
        <w:rPr>
          <w:rFonts w:hint="eastAsia" w:ascii="宋体" w:hAnsi="宋体" w:cs="宋体"/>
          <w:bCs/>
          <w:sz w:val="24"/>
        </w:rPr>
        <w:t>20.2.2  注明投标项目名称、标书编号及分包号。</w:t>
      </w:r>
    </w:p>
    <w:p>
      <w:pPr>
        <w:spacing w:line="440" w:lineRule="exact"/>
        <w:ind w:firstLine="480" w:firstLineChars="200"/>
        <w:rPr>
          <w:rFonts w:ascii="宋体" w:hAnsi="宋体" w:cs="宋体"/>
          <w:bCs/>
          <w:sz w:val="24"/>
        </w:rPr>
      </w:pPr>
      <w:r>
        <w:rPr>
          <w:rFonts w:hint="eastAsia" w:ascii="宋体" w:hAnsi="宋体" w:cs="宋体"/>
          <w:sz w:val="24"/>
        </w:rPr>
        <w:t>20.2.3</w:t>
      </w:r>
      <w:r>
        <w:rPr>
          <w:rFonts w:hint="eastAsia" w:ascii="宋体" w:hAnsi="宋体" w:cs="宋体"/>
          <w:bCs/>
          <w:sz w:val="24"/>
        </w:rPr>
        <w:t xml:space="preserve">  未按要求密封和加写标记，</w:t>
      </w:r>
      <w:r>
        <w:rPr>
          <w:rFonts w:hint="eastAsia" w:ascii="宋体" w:hAnsi="宋体" w:cs="宋体"/>
          <w:sz w:val="24"/>
        </w:rPr>
        <w:t>采购人或采购代理机构</w:t>
      </w:r>
      <w:r>
        <w:rPr>
          <w:rFonts w:hint="eastAsia" w:ascii="宋体" w:hAnsi="宋体" w:cs="宋体"/>
          <w:bCs/>
          <w:sz w:val="24"/>
        </w:rPr>
        <w:t>对误投或过早启封概不负责。对由此造成提前开封的投标文件，</w:t>
      </w:r>
      <w:r>
        <w:rPr>
          <w:rFonts w:hint="eastAsia" w:ascii="宋体" w:hAnsi="宋体" w:cs="宋体"/>
          <w:sz w:val="24"/>
        </w:rPr>
        <w:t>采购人或采购代理机构</w:t>
      </w:r>
      <w:r>
        <w:rPr>
          <w:rFonts w:hint="eastAsia" w:ascii="宋体" w:hAnsi="宋体" w:cs="宋体"/>
          <w:bCs/>
          <w:sz w:val="24"/>
        </w:rPr>
        <w:t>将予以拒绝，作无效投标处理。</w:t>
      </w:r>
    </w:p>
    <w:p>
      <w:pPr>
        <w:pStyle w:val="2"/>
        <w:spacing w:before="0" w:after="0" w:line="440" w:lineRule="exact"/>
        <w:ind w:firstLine="560" w:firstLineChars="200"/>
        <w:rPr>
          <w:rFonts w:ascii="宋体" w:hAnsi="宋体" w:eastAsia="宋体" w:cs="宋体"/>
          <w:b w:val="0"/>
          <w:bCs w:val="0"/>
        </w:rPr>
      </w:pPr>
      <w:bookmarkStart w:id="102" w:name="_Toc20823298"/>
      <w:bookmarkStart w:id="103" w:name="_Toc16938542"/>
      <w:bookmarkStart w:id="104" w:name="_Toc513029226"/>
      <w:r>
        <w:rPr>
          <w:rFonts w:hint="eastAsia" w:ascii="宋体" w:hAnsi="宋体" w:eastAsia="宋体" w:cs="宋体"/>
          <w:b w:val="0"/>
          <w:bCs w:val="0"/>
        </w:rPr>
        <w:t>21、投标截止日期</w:t>
      </w:r>
      <w:bookmarkEnd w:id="102"/>
      <w:bookmarkEnd w:id="103"/>
      <w:bookmarkEnd w:id="104"/>
    </w:p>
    <w:p>
      <w:pPr>
        <w:spacing w:line="440" w:lineRule="exact"/>
        <w:ind w:firstLine="480" w:firstLineChars="200"/>
        <w:rPr>
          <w:rFonts w:ascii="宋体" w:hAnsi="宋体" w:cs="宋体"/>
          <w:bCs/>
          <w:sz w:val="24"/>
        </w:rPr>
      </w:pPr>
      <w:r>
        <w:rPr>
          <w:rFonts w:hint="eastAsia" w:ascii="宋体" w:hAnsi="宋体" w:cs="宋体"/>
          <w:sz w:val="24"/>
        </w:rPr>
        <w:t>21.1</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收到投标文件的时间不得迟于招标公告中规定的截止时间。</w:t>
      </w:r>
    </w:p>
    <w:p>
      <w:pPr>
        <w:spacing w:line="440" w:lineRule="exact"/>
        <w:ind w:firstLine="480" w:firstLineChars="200"/>
        <w:rPr>
          <w:rFonts w:ascii="宋体" w:hAnsi="宋体" w:cs="宋体"/>
          <w:bCs/>
          <w:sz w:val="24"/>
        </w:rPr>
      </w:pPr>
      <w:r>
        <w:rPr>
          <w:rFonts w:hint="eastAsia" w:ascii="宋体" w:hAnsi="宋体" w:cs="宋体"/>
          <w:sz w:val="24"/>
        </w:rPr>
        <w:t>21.2</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560" w:firstLineChars="200"/>
        <w:rPr>
          <w:rFonts w:ascii="宋体" w:hAnsi="宋体" w:eastAsia="宋体" w:cs="宋体"/>
          <w:b w:val="0"/>
          <w:bCs w:val="0"/>
        </w:rPr>
      </w:pPr>
      <w:bookmarkStart w:id="105" w:name="_Toc20823299"/>
      <w:bookmarkStart w:id="106" w:name="_Toc513029227"/>
      <w:bookmarkStart w:id="107" w:name="_Toc16938543"/>
      <w:r>
        <w:rPr>
          <w:rFonts w:hint="eastAsia" w:ascii="宋体" w:hAnsi="宋体" w:eastAsia="宋体" w:cs="宋体"/>
          <w:b w:val="0"/>
          <w:bCs w:val="0"/>
        </w:rPr>
        <w:t>22、迟交的投标文件</w:t>
      </w:r>
      <w:bookmarkEnd w:id="105"/>
      <w:bookmarkEnd w:id="106"/>
      <w:bookmarkEnd w:id="107"/>
    </w:p>
    <w:p>
      <w:pPr>
        <w:spacing w:line="440" w:lineRule="exact"/>
        <w:ind w:firstLine="480" w:firstLineChars="200"/>
        <w:rPr>
          <w:rFonts w:ascii="宋体" w:hAnsi="宋体" w:cs="宋体"/>
          <w:bCs/>
          <w:sz w:val="24"/>
        </w:rPr>
      </w:pPr>
      <w:r>
        <w:rPr>
          <w:rFonts w:hint="eastAsia" w:ascii="宋体" w:hAnsi="宋体" w:cs="宋体"/>
          <w:sz w:val="24"/>
        </w:rPr>
        <w:t>22.1</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拒绝接收在其规定的投标截止时间后递交的任何投标文件。</w:t>
      </w:r>
    </w:p>
    <w:p>
      <w:pPr>
        <w:pStyle w:val="2"/>
        <w:spacing w:before="0" w:after="0" w:line="440" w:lineRule="exact"/>
        <w:ind w:firstLine="560" w:firstLineChars="200"/>
        <w:rPr>
          <w:rFonts w:ascii="宋体" w:hAnsi="宋体" w:eastAsia="宋体" w:cs="宋体"/>
          <w:b w:val="0"/>
          <w:bCs w:val="0"/>
        </w:rPr>
      </w:pPr>
      <w:bookmarkStart w:id="108" w:name="_Toc16938544"/>
      <w:bookmarkStart w:id="109" w:name="_Toc513029228"/>
      <w:bookmarkStart w:id="110" w:name="_Toc20823300"/>
      <w:r>
        <w:rPr>
          <w:rFonts w:hint="eastAsia" w:ascii="宋体" w:hAnsi="宋体" w:eastAsia="宋体" w:cs="宋体"/>
          <w:b w:val="0"/>
          <w:bCs w:val="0"/>
        </w:rPr>
        <w:t>23、投标文件的修改和撤回</w:t>
      </w:r>
      <w:bookmarkEnd w:id="108"/>
      <w:bookmarkEnd w:id="109"/>
      <w:bookmarkEnd w:id="110"/>
    </w:p>
    <w:p>
      <w:pPr>
        <w:spacing w:line="440" w:lineRule="exact"/>
        <w:ind w:firstLine="480" w:firstLineChars="200"/>
        <w:rPr>
          <w:rFonts w:ascii="宋体" w:hAnsi="宋体" w:cs="宋体"/>
          <w:sz w:val="24"/>
          <w:szCs w:val="24"/>
        </w:rPr>
      </w:pPr>
      <w:r>
        <w:rPr>
          <w:rFonts w:hint="eastAsia" w:ascii="宋体" w:hAnsi="宋体" w:cs="宋体"/>
          <w:sz w:val="24"/>
        </w:rPr>
        <w:t>23.1</w:t>
      </w:r>
      <w:r>
        <w:rPr>
          <w:rFonts w:hint="eastAsia" w:ascii="宋体" w:hAnsi="宋体" w:cs="宋体"/>
          <w:bCs/>
          <w:sz w:val="24"/>
        </w:rPr>
        <w:t xml:space="preserve"> 投标人在递交投标文件后，可以修改或撤回其投标文件，但这种修改和撤回，必须在规定的投标截止时间前，以书面形式</w:t>
      </w:r>
      <w:r>
        <w:rPr>
          <w:rFonts w:hint="eastAsia" w:ascii="宋体" w:hAnsi="宋体" w:cs="宋体"/>
          <w:sz w:val="24"/>
          <w:szCs w:val="24"/>
        </w:rPr>
        <w:t>通知</w:t>
      </w:r>
      <w:r>
        <w:rPr>
          <w:rFonts w:hint="eastAsia" w:ascii="宋体" w:hAnsi="宋体" w:cs="宋体"/>
          <w:sz w:val="24"/>
        </w:rPr>
        <w:t>采购人或采购代理机构</w:t>
      </w:r>
      <w:r>
        <w:rPr>
          <w:rFonts w:hint="eastAsia" w:ascii="宋体" w:hAnsi="宋体" w:cs="宋体"/>
          <w:sz w:val="24"/>
          <w:szCs w:val="24"/>
        </w:rPr>
        <w:t>，修改或撤回其投标文件。</w:t>
      </w:r>
    </w:p>
    <w:p>
      <w:pPr>
        <w:spacing w:line="440" w:lineRule="exact"/>
        <w:ind w:firstLine="480" w:firstLineChars="200"/>
        <w:rPr>
          <w:rFonts w:ascii="宋体" w:hAnsi="宋体" w:cs="宋体"/>
          <w:sz w:val="24"/>
          <w:szCs w:val="24"/>
        </w:rPr>
      </w:pPr>
      <w:r>
        <w:rPr>
          <w:rFonts w:hint="eastAsia" w:ascii="宋体" w:hAnsi="宋体" w:cs="宋体"/>
          <w:sz w:val="24"/>
        </w:rPr>
        <w:t>23.2</w:t>
      </w:r>
      <w:r>
        <w:rPr>
          <w:rFonts w:hint="eastAsia" w:ascii="宋体" w:hAnsi="宋体" w:cs="宋体"/>
          <w:bCs/>
          <w:sz w:val="24"/>
        </w:rPr>
        <w:t xml:space="preserve"> 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w:t>
      </w:r>
      <w:r>
        <w:rPr>
          <w:rFonts w:hint="eastAsia" w:ascii="宋体" w:hAnsi="宋体" w:cs="宋体"/>
          <w:sz w:val="24"/>
        </w:rPr>
        <w:t>采购人或采购代理机构</w:t>
      </w:r>
      <w:r>
        <w:rPr>
          <w:rFonts w:hint="eastAsia" w:ascii="宋体" w:hAnsi="宋体" w:cs="宋体"/>
          <w:sz w:val="24"/>
          <w:szCs w:val="24"/>
        </w:rPr>
        <w:t>。</w:t>
      </w:r>
    </w:p>
    <w:p>
      <w:pPr>
        <w:spacing w:line="440" w:lineRule="exact"/>
        <w:ind w:firstLine="480" w:firstLineChars="200"/>
        <w:rPr>
          <w:rFonts w:ascii="宋体" w:hAnsi="宋体" w:cs="宋体"/>
          <w:bCs/>
          <w:sz w:val="24"/>
        </w:rPr>
      </w:pPr>
      <w:r>
        <w:rPr>
          <w:rFonts w:hint="eastAsia" w:ascii="宋体" w:hAnsi="宋体" w:cs="宋体"/>
          <w:sz w:val="24"/>
        </w:rPr>
        <w:t>23.3</w:t>
      </w:r>
      <w:r>
        <w:rPr>
          <w:rFonts w:hint="eastAsia" w:ascii="宋体" w:hAnsi="宋体" w:cs="宋体"/>
          <w:bCs/>
          <w:sz w:val="24"/>
        </w:rPr>
        <w:t xml:space="preserve"> 在投标截止时间之后，投标人不得对其投标文件作任何修改。</w:t>
      </w:r>
    </w:p>
    <w:p>
      <w:pPr>
        <w:spacing w:line="440" w:lineRule="exact"/>
        <w:ind w:firstLine="480" w:firstLineChars="200"/>
        <w:rPr>
          <w:rFonts w:ascii="宋体" w:hAnsi="宋体" w:cs="宋体"/>
          <w:bCs/>
          <w:sz w:val="24"/>
        </w:rPr>
      </w:pPr>
      <w:r>
        <w:rPr>
          <w:rFonts w:hint="eastAsia" w:ascii="宋体" w:hAnsi="宋体" w:cs="宋体"/>
          <w:sz w:val="24"/>
        </w:rPr>
        <w:t>23.4</w:t>
      </w:r>
      <w:r>
        <w:rPr>
          <w:rFonts w:hint="eastAsia" w:ascii="宋体" w:hAnsi="宋体" w:cs="宋体"/>
          <w:bCs/>
          <w:sz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643" w:firstLineChars="200"/>
        <w:rPr>
          <w:rFonts w:ascii="宋体" w:hAnsi="宋体" w:cs="宋体"/>
        </w:rPr>
      </w:pPr>
      <w:bookmarkStart w:id="111" w:name="_Toc20823301"/>
      <w:bookmarkStart w:id="112" w:name="_Toc120614218"/>
      <w:bookmarkStart w:id="113" w:name="_Toc16938545"/>
      <w:bookmarkStart w:id="114" w:name="_Toc513029229"/>
      <w:r>
        <w:rPr>
          <w:rFonts w:hint="eastAsia" w:ascii="宋体" w:hAnsi="宋体" w:cs="宋体"/>
        </w:rPr>
        <w:t>五、开标与评标</w:t>
      </w:r>
      <w:bookmarkEnd w:id="111"/>
      <w:bookmarkEnd w:id="112"/>
      <w:bookmarkEnd w:id="113"/>
      <w:bookmarkEnd w:id="114"/>
    </w:p>
    <w:p>
      <w:pPr>
        <w:pStyle w:val="2"/>
        <w:spacing w:before="0" w:after="0" w:line="440" w:lineRule="exact"/>
        <w:ind w:firstLine="560" w:firstLineChars="200"/>
        <w:rPr>
          <w:rFonts w:ascii="宋体" w:hAnsi="宋体" w:eastAsia="宋体" w:cs="宋体"/>
          <w:b w:val="0"/>
          <w:bCs w:val="0"/>
        </w:rPr>
      </w:pPr>
      <w:bookmarkStart w:id="115" w:name="_Toc513029230"/>
      <w:bookmarkStart w:id="116" w:name="_Toc16938546"/>
      <w:bookmarkStart w:id="117" w:name="_Toc20823302"/>
      <w:r>
        <w:rPr>
          <w:rFonts w:hint="eastAsia" w:ascii="宋体" w:hAnsi="宋体" w:eastAsia="宋体" w:cs="宋体"/>
          <w:b w:val="0"/>
          <w:bCs w:val="0"/>
        </w:rPr>
        <w:t>24、开标</w:t>
      </w:r>
      <w:bookmarkEnd w:id="115"/>
      <w:bookmarkEnd w:id="116"/>
      <w:bookmarkEnd w:id="117"/>
    </w:p>
    <w:p>
      <w:pPr>
        <w:spacing w:line="440" w:lineRule="exact"/>
        <w:ind w:firstLine="480" w:firstLineChars="200"/>
        <w:rPr>
          <w:rFonts w:ascii="宋体" w:hAnsi="宋体" w:cs="宋体"/>
          <w:sz w:val="24"/>
          <w:szCs w:val="24"/>
        </w:rPr>
      </w:pPr>
      <w:r>
        <w:rPr>
          <w:rFonts w:hint="eastAsia" w:ascii="宋体" w:hAnsi="宋体" w:cs="宋体"/>
          <w:sz w:val="24"/>
        </w:rPr>
        <w:t>24.1</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hAnsi="宋体" w:cs="宋体"/>
          <w:sz w:val="24"/>
          <w:szCs w:val="24"/>
        </w:rPr>
      </w:pPr>
      <w:r>
        <w:rPr>
          <w:rFonts w:hint="eastAsia" w:ascii="宋体" w:hAnsi="宋体" w:cs="宋体"/>
          <w:bCs/>
          <w:sz w:val="24"/>
          <w:szCs w:val="24"/>
        </w:rPr>
        <w:t>24.2</w:t>
      </w:r>
      <w:r>
        <w:rPr>
          <w:rFonts w:hint="eastAsia" w:ascii="宋体" w:hAnsi="宋体" w:cs="宋体"/>
          <w:sz w:val="24"/>
          <w:szCs w:val="24"/>
        </w:rPr>
        <w:t>开标仪式由采购人或采购代理机构组织，采购人代表、公证员（必要时）、监管代表、投标人代表等参加。</w:t>
      </w:r>
    </w:p>
    <w:p>
      <w:pPr>
        <w:spacing w:line="440" w:lineRule="exact"/>
        <w:ind w:firstLine="480" w:firstLineChars="200"/>
        <w:rPr>
          <w:rFonts w:ascii="宋体" w:hAnsi="宋体" w:cs="宋体"/>
          <w:bCs/>
          <w:sz w:val="24"/>
        </w:rPr>
      </w:pPr>
      <w:r>
        <w:rPr>
          <w:rFonts w:hint="eastAsia" w:ascii="宋体" w:hAnsi="宋体" w:cs="宋体"/>
          <w:sz w:val="24"/>
        </w:rPr>
        <w:t>24.3</w:t>
      </w:r>
      <w:r>
        <w:rPr>
          <w:rFonts w:hint="eastAsia" w:ascii="宋体" w:hAnsi="宋体" w:cs="宋体"/>
          <w:b/>
          <w:sz w:val="24"/>
        </w:rPr>
        <w:t xml:space="preserve"> </w:t>
      </w:r>
      <w:r>
        <w:rPr>
          <w:rFonts w:hint="eastAsia" w:ascii="宋体" w:hAnsi="宋体" w:cs="宋体"/>
          <w:bCs/>
          <w:sz w:val="24"/>
        </w:rPr>
        <w:t>按照规定同意撤回的投标将不予开封。</w:t>
      </w:r>
    </w:p>
    <w:p>
      <w:pPr>
        <w:spacing w:line="440" w:lineRule="exact"/>
        <w:ind w:firstLine="480" w:firstLineChars="200"/>
        <w:rPr>
          <w:rFonts w:ascii="宋体" w:hAnsi="宋体" w:cs="宋体"/>
          <w:sz w:val="24"/>
          <w:szCs w:val="24"/>
        </w:rPr>
      </w:pPr>
      <w:r>
        <w:rPr>
          <w:rFonts w:hint="eastAsia" w:ascii="宋体" w:hAnsi="宋体" w:cs="宋体"/>
          <w:sz w:val="24"/>
          <w:szCs w:val="24"/>
        </w:rPr>
        <w:t>24.4 开标时请监委或投标人代表查验投标文件密封情况，确认无误后，</w:t>
      </w:r>
      <w:r>
        <w:rPr>
          <w:rFonts w:hint="eastAsia" w:ascii="宋体" w:hAnsi="宋体" w:cs="宋体"/>
          <w:sz w:val="24"/>
        </w:rPr>
        <w:t>采购代理机构</w:t>
      </w:r>
      <w:r>
        <w:rPr>
          <w:rFonts w:hint="eastAsia" w:ascii="宋体" w:hAnsi="宋体" w:cs="宋体"/>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sz w:val="24"/>
          <w:szCs w:val="24"/>
        </w:rPr>
      </w:pPr>
      <w:r>
        <w:rPr>
          <w:rFonts w:hint="eastAsia" w:ascii="宋体" w:hAnsi="宋体" w:cs="宋体"/>
          <w:sz w:val="24"/>
          <w:szCs w:val="24"/>
        </w:rPr>
        <w:t>24.5 采购人或采购代理机构将指定专人负责开标记录并存档备查。</w:t>
      </w:r>
    </w:p>
    <w:p>
      <w:pPr>
        <w:spacing w:line="440" w:lineRule="exact"/>
        <w:ind w:firstLine="480" w:firstLineChars="200"/>
        <w:rPr>
          <w:rFonts w:ascii="宋体" w:hAnsi="宋体" w:cs="宋体"/>
          <w:sz w:val="24"/>
          <w:szCs w:val="24"/>
        </w:rPr>
      </w:pPr>
      <w:r>
        <w:rPr>
          <w:rFonts w:hint="eastAsia" w:ascii="宋体" w:hAnsi="宋体" w:cs="宋体"/>
          <w:sz w:val="24"/>
          <w:szCs w:val="24"/>
        </w:rPr>
        <w:t>24.6 投标人在报价时不允许采用选择性报价，否则将被视为无效投标。</w:t>
      </w:r>
    </w:p>
    <w:p>
      <w:pPr>
        <w:pStyle w:val="2"/>
        <w:spacing w:before="0" w:after="0" w:line="440" w:lineRule="exact"/>
        <w:ind w:firstLine="560" w:firstLineChars="200"/>
        <w:rPr>
          <w:rFonts w:ascii="宋体" w:hAnsi="宋体" w:eastAsia="宋体" w:cs="宋体"/>
          <w:b w:val="0"/>
          <w:bCs w:val="0"/>
        </w:rPr>
      </w:pPr>
      <w:bookmarkStart w:id="118" w:name="_Toc16938547"/>
      <w:bookmarkStart w:id="119" w:name="_Toc20823303"/>
      <w:bookmarkStart w:id="120" w:name="_Toc513029231"/>
      <w:r>
        <w:rPr>
          <w:rFonts w:hint="eastAsia" w:ascii="宋体" w:hAnsi="宋体" w:eastAsia="宋体" w:cs="宋体"/>
          <w:b w:val="0"/>
          <w:bCs w:val="0"/>
        </w:rPr>
        <w:t>25、资格审查</w:t>
      </w:r>
    </w:p>
    <w:p>
      <w:pPr>
        <w:widowControl/>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25.1</w:t>
      </w:r>
      <w:r>
        <w:rPr>
          <w:rFonts w:hint="eastAsia" w:ascii="宋体" w:hAnsi="宋体" w:cs="宋体"/>
          <w:b/>
          <w:sz w:val="24"/>
          <w:szCs w:val="24"/>
        </w:rPr>
        <w:t>开标结束后，采购人或采购代理机构应当依法对投标人的资格进行审查。</w:t>
      </w:r>
      <w:r>
        <w:rPr>
          <w:rFonts w:hint="eastAsia" w:ascii="宋体" w:hAnsi="宋体" w:cs="宋体"/>
          <w:sz w:val="24"/>
          <w:szCs w:val="24"/>
        </w:rPr>
        <w:t>（财政部87号令第44条规定）</w:t>
      </w:r>
    </w:p>
    <w:p>
      <w:pPr>
        <w:widowControl/>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合格投标人不足3家的，不得评标。</w:t>
      </w:r>
    </w:p>
    <w:p>
      <w:pPr>
        <w:pStyle w:val="2"/>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26、评标委员会</w:t>
      </w:r>
    </w:p>
    <w:p>
      <w:pPr>
        <w:spacing w:line="440" w:lineRule="exact"/>
        <w:ind w:firstLine="480" w:firstLineChars="200"/>
        <w:rPr>
          <w:rFonts w:ascii="宋体" w:hAnsi="宋体" w:cs="宋体"/>
          <w:b/>
          <w:sz w:val="24"/>
          <w:szCs w:val="24"/>
        </w:rPr>
      </w:pPr>
      <w:r>
        <w:rPr>
          <w:rFonts w:hint="eastAsia" w:ascii="宋体" w:hAnsi="宋体" w:cs="宋体"/>
          <w:sz w:val="24"/>
          <w:szCs w:val="24"/>
        </w:rPr>
        <w:t>26.1</w:t>
      </w:r>
      <w:r>
        <w:rPr>
          <w:rFonts w:hint="eastAsia" w:ascii="宋体" w:hAnsi="宋体" w:cs="宋体"/>
          <w:b/>
          <w:sz w:val="24"/>
          <w:szCs w:val="24"/>
        </w:rPr>
        <w:t xml:space="preserve"> </w:t>
      </w:r>
      <w:r>
        <w:rPr>
          <w:rFonts w:hint="eastAsia" w:ascii="宋体" w:hAnsi="宋体" w:cs="宋体"/>
          <w:sz w:val="24"/>
          <w:szCs w:val="24"/>
        </w:rPr>
        <w:t>资格审查通过后，采购人或采购代理机构将组织评标委员会（以下简称评委会）进行评标。</w:t>
      </w:r>
    </w:p>
    <w:p>
      <w:pPr>
        <w:spacing w:line="440" w:lineRule="exact"/>
        <w:ind w:firstLine="480" w:firstLineChars="200"/>
        <w:rPr>
          <w:rFonts w:ascii="宋体" w:hAnsi="宋体" w:cs="宋体"/>
          <w:sz w:val="24"/>
          <w:szCs w:val="24"/>
        </w:rPr>
      </w:pPr>
      <w:r>
        <w:rPr>
          <w:rFonts w:hint="eastAsia" w:ascii="宋体" w:hAnsi="宋体" w:cs="宋体"/>
          <w:sz w:val="24"/>
          <w:szCs w:val="24"/>
        </w:rPr>
        <w:t>26.2 评委会由采购人代表和有关技术、经济等方面的专家组成，且人员构成符合政府采购有关规定。</w:t>
      </w:r>
    </w:p>
    <w:p>
      <w:pPr>
        <w:spacing w:line="440" w:lineRule="exact"/>
        <w:ind w:firstLine="480" w:firstLineChars="200"/>
        <w:rPr>
          <w:rFonts w:ascii="宋体" w:hAnsi="宋体" w:cs="宋体"/>
          <w:sz w:val="24"/>
          <w:szCs w:val="24"/>
        </w:rPr>
      </w:pPr>
      <w:r>
        <w:rPr>
          <w:rFonts w:hint="eastAsia" w:ascii="宋体" w:hAnsi="宋体" w:cs="宋体"/>
          <w:sz w:val="24"/>
          <w:szCs w:val="24"/>
        </w:rPr>
        <w:t>26.3评委会独立工作，负责评审所有投标文件并确定中标侯选人。</w:t>
      </w:r>
    </w:p>
    <w:p>
      <w:pPr>
        <w:pStyle w:val="2"/>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27、评标过程的保密与公正</w:t>
      </w:r>
    </w:p>
    <w:bookmarkEnd w:id="118"/>
    <w:bookmarkEnd w:id="119"/>
    <w:bookmarkEnd w:id="120"/>
    <w:p>
      <w:pPr>
        <w:spacing w:line="440" w:lineRule="exact"/>
        <w:ind w:firstLine="480" w:firstLineChars="200"/>
        <w:rPr>
          <w:rFonts w:ascii="宋体" w:hAnsi="宋体" w:cs="宋体"/>
          <w:bCs/>
          <w:sz w:val="24"/>
        </w:rPr>
      </w:pPr>
      <w:r>
        <w:rPr>
          <w:rFonts w:hint="eastAsia" w:ascii="宋体" w:hAnsi="宋体" w:cs="宋体"/>
          <w:sz w:val="24"/>
        </w:rPr>
        <w:t>27.1</w:t>
      </w:r>
      <w:r>
        <w:rPr>
          <w:rFonts w:hint="eastAsia" w:ascii="宋体" w:hAnsi="宋体" w:cs="宋体"/>
          <w:bCs/>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hAnsi="宋体" w:cs="宋体"/>
          <w:sz w:val="24"/>
          <w:szCs w:val="24"/>
        </w:rPr>
      </w:pPr>
      <w:r>
        <w:rPr>
          <w:rFonts w:hint="eastAsia" w:ascii="宋体" w:hAnsi="宋体" w:cs="宋体"/>
          <w:sz w:val="24"/>
        </w:rPr>
        <w:t>27.2</w:t>
      </w:r>
      <w:r>
        <w:rPr>
          <w:rFonts w:hint="eastAsia" w:ascii="宋体" w:hAnsi="宋体" w:cs="宋体"/>
          <w:sz w:val="24"/>
          <w:szCs w:val="24"/>
        </w:rPr>
        <w:t>在评标过程中，投标人不得以任何行为影响评标过程，否则其投标文件将被作为无效投标文件。</w:t>
      </w:r>
    </w:p>
    <w:p>
      <w:pPr>
        <w:pStyle w:val="2"/>
        <w:spacing w:before="0" w:after="0" w:line="440" w:lineRule="exact"/>
        <w:ind w:firstLine="560" w:firstLineChars="200"/>
        <w:rPr>
          <w:rFonts w:ascii="宋体" w:hAnsi="宋体" w:eastAsia="宋体" w:cs="宋体"/>
          <w:b w:val="0"/>
          <w:bCs w:val="0"/>
        </w:rPr>
      </w:pPr>
      <w:bookmarkStart w:id="121" w:name="_Toc513029232"/>
      <w:bookmarkStart w:id="122" w:name="_Toc20823304"/>
      <w:bookmarkStart w:id="123" w:name="_Toc16938548"/>
      <w:r>
        <w:rPr>
          <w:rFonts w:hint="eastAsia" w:ascii="宋体" w:hAnsi="宋体" w:eastAsia="宋体" w:cs="宋体"/>
          <w:b w:val="0"/>
          <w:bCs w:val="0"/>
        </w:rPr>
        <w:t>28、投标的澄清</w:t>
      </w:r>
      <w:bookmarkEnd w:id="121"/>
      <w:bookmarkEnd w:id="122"/>
      <w:bookmarkEnd w:id="123"/>
    </w:p>
    <w:p>
      <w:pPr>
        <w:spacing w:line="440" w:lineRule="exact"/>
        <w:ind w:firstLine="480" w:firstLineChars="200"/>
        <w:rPr>
          <w:rFonts w:ascii="宋体" w:hAnsi="宋体" w:cs="宋体"/>
          <w:sz w:val="24"/>
          <w:szCs w:val="24"/>
        </w:rPr>
      </w:pPr>
      <w:r>
        <w:rPr>
          <w:rFonts w:hint="eastAsia" w:ascii="宋体" w:hAnsi="宋体" w:cs="宋体"/>
          <w:sz w:val="24"/>
          <w:szCs w:val="24"/>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sz w:val="24"/>
          <w:szCs w:val="24"/>
        </w:rPr>
      </w:pPr>
      <w:r>
        <w:rPr>
          <w:rFonts w:hint="eastAsia" w:ascii="宋体" w:hAnsi="宋体" w:cs="宋体"/>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sz w:val="24"/>
          <w:szCs w:val="24"/>
        </w:rPr>
      </w:pPr>
      <w:r>
        <w:rPr>
          <w:rFonts w:hint="eastAsia" w:ascii="宋体" w:hAnsi="宋体" w:cs="宋体"/>
          <w:sz w:val="24"/>
          <w:szCs w:val="24"/>
        </w:rPr>
        <w:t>28.3 接到评委会澄清要求的投标人如未按规定做出澄清，其风险由投标人自行承担。</w:t>
      </w:r>
    </w:p>
    <w:p>
      <w:pPr>
        <w:pStyle w:val="2"/>
        <w:spacing w:before="0" w:after="0" w:line="440" w:lineRule="exact"/>
        <w:ind w:firstLine="560" w:firstLineChars="200"/>
        <w:rPr>
          <w:rFonts w:ascii="宋体" w:hAnsi="宋体" w:eastAsia="宋体" w:cs="宋体"/>
          <w:b w:val="0"/>
          <w:bCs w:val="0"/>
        </w:rPr>
      </w:pPr>
      <w:bookmarkStart w:id="124" w:name="_Toc20823305"/>
      <w:bookmarkStart w:id="125" w:name="_Toc513029233"/>
      <w:bookmarkStart w:id="126" w:name="_Toc16938549"/>
      <w:r>
        <w:rPr>
          <w:rFonts w:hint="eastAsia" w:ascii="宋体" w:hAnsi="宋体" w:eastAsia="宋体" w:cs="宋体"/>
          <w:b w:val="0"/>
          <w:bCs w:val="0"/>
        </w:rPr>
        <w:t>29、对投标文件的审</w:t>
      </w:r>
      <w:bookmarkEnd w:id="124"/>
      <w:bookmarkEnd w:id="125"/>
      <w:bookmarkEnd w:id="126"/>
      <w:r>
        <w:rPr>
          <w:rFonts w:hint="eastAsia" w:ascii="宋体" w:hAnsi="宋体" w:eastAsia="宋体" w:cs="宋体"/>
          <w:b w:val="0"/>
          <w:bCs w:val="0"/>
        </w:rPr>
        <w:t>查</w:t>
      </w:r>
    </w:p>
    <w:p>
      <w:pPr>
        <w:spacing w:line="440" w:lineRule="exact"/>
        <w:ind w:firstLine="480" w:firstLineChars="200"/>
        <w:rPr>
          <w:rFonts w:ascii="宋体" w:hAnsi="宋体" w:cs="宋体"/>
          <w:bCs/>
          <w:sz w:val="24"/>
        </w:rPr>
      </w:pPr>
      <w:r>
        <w:rPr>
          <w:rFonts w:hint="eastAsia" w:ascii="宋体" w:hAnsi="宋体" w:cs="宋体"/>
          <w:sz w:val="24"/>
        </w:rPr>
        <w:t>29.1</w:t>
      </w:r>
      <w:r>
        <w:rPr>
          <w:rFonts w:hint="eastAsia" w:ascii="宋体" w:hAnsi="宋体" w:cs="宋体"/>
          <w:bCs/>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sz w:val="24"/>
          <w:szCs w:val="24"/>
        </w:rPr>
      </w:pPr>
      <w:r>
        <w:rPr>
          <w:rFonts w:hint="eastAsia" w:ascii="宋体" w:hAnsi="宋体" w:cs="宋体"/>
          <w:sz w:val="24"/>
        </w:rPr>
        <w:t>29.2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rPr>
        <w:t>评委决定投标文件的响应性只根据投标文件本身的内容，而不寻求外部的证据。</w:t>
      </w:r>
    </w:p>
    <w:p>
      <w:pPr>
        <w:spacing w:line="440" w:lineRule="exact"/>
        <w:ind w:firstLine="480" w:firstLineChars="200"/>
        <w:rPr>
          <w:rFonts w:ascii="宋体" w:hAnsi="宋体" w:cs="宋体"/>
          <w:bCs/>
          <w:sz w:val="24"/>
        </w:rPr>
      </w:pPr>
      <w:r>
        <w:rPr>
          <w:rFonts w:hint="eastAsia" w:ascii="宋体" w:hAnsi="宋体" w:cs="宋体"/>
          <w:sz w:val="24"/>
        </w:rPr>
        <w:t>29.3</w:t>
      </w:r>
      <w:r>
        <w:rPr>
          <w:rFonts w:hint="eastAsia" w:ascii="宋体" w:hAnsi="宋体" w:cs="宋体"/>
          <w:bCs/>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sz w:val="24"/>
        </w:rPr>
      </w:pPr>
      <w:r>
        <w:rPr>
          <w:rFonts w:hint="eastAsia" w:ascii="宋体" w:hAnsi="宋体" w:cs="宋体"/>
          <w:sz w:val="24"/>
        </w:rPr>
        <w:t>29.4</w:t>
      </w:r>
      <w:r>
        <w:rPr>
          <w:rFonts w:hint="eastAsia" w:ascii="宋体" w:hAnsi="宋体" w:cs="宋体"/>
          <w:bCs/>
          <w:sz w:val="24"/>
        </w:rPr>
        <w:t>评委会将对确定为实质性响应的投标进行进一步审核，对投标文件中大小写金额不一致等问题的评审原则如下：</w:t>
      </w:r>
    </w:p>
    <w:p>
      <w:pPr>
        <w:spacing w:line="440" w:lineRule="exact"/>
        <w:ind w:firstLine="480" w:firstLineChars="200"/>
        <w:rPr>
          <w:rFonts w:ascii="宋体" w:hAnsi="宋体" w:cs="宋体"/>
          <w:bCs/>
          <w:sz w:val="24"/>
        </w:rPr>
      </w:pPr>
      <w:r>
        <w:rPr>
          <w:rFonts w:hint="eastAsia" w:ascii="宋体" w:hAnsi="宋体" w:cs="宋体"/>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hAnsi="宋体" w:cs="宋体"/>
          <w:bCs/>
          <w:sz w:val="24"/>
        </w:rPr>
      </w:pPr>
      <w:r>
        <w:rPr>
          <w:rFonts w:hint="eastAsia" w:ascii="宋体" w:hAnsi="宋体" w:cs="宋体"/>
          <w:sz w:val="24"/>
        </w:rPr>
        <w:t>29.5</w:t>
      </w:r>
      <w:r>
        <w:rPr>
          <w:rFonts w:hint="eastAsia" w:ascii="宋体" w:hAnsi="宋体" w:cs="宋体"/>
          <w:bCs/>
          <w:sz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hAnsi="宋体" w:cs="宋体"/>
          <w:bCs/>
          <w:sz w:val="24"/>
        </w:rPr>
      </w:pPr>
      <w:r>
        <w:rPr>
          <w:rFonts w:hint="eastAsia" w:ascii="宋体" w:hAnsi="宋体" w:cs="宋体"/>
          <w:sz w:val="24"/>
        </w:rPr>
        <w:t>29.6</w:t>
      </w:r>
      <w:r>
        <w:rPr>
          <w:rFonts w:hint="eastAsia" w:ascii="宋体" w:hAnsi="宋体" w:cs="宋体"/>
          <w:bCs/>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hAnsi="宋体" w:cs="宋体"/>
          <w:sz w:val="24"/>
        </w:rPr>
      </w:pPr>
      <w:r>
        <w:rPr>
          <w:rFonts w:hint="eastAsia" w:ascii="宋体" w:hAnsi="宋体" w:cs="宋体"/>
          <w:sz w:val="24"/>
        </w:rPr>
        <w:t>29.7</w:t>
      </w:r>
      <w:r>
        <w:rPr>
          <w:rFonts w:hint="eastAsia" w:ascii="宋体" w:hAnsi="宋体" w:cs="宋体"/>
          <w:b/>
          <w:sz w:val="24"/>
        </w:rPr>
        <w:t>采用最低评标价法的采购项目，</w:t>
      </w:r>
      <w:r>
        <w:rPr>
          <w:rFonts w:hint="eastAsia" w:ascii="宋体" w:hAnsi="宋体" w:cs="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sz w:val="24"/>
        </w:rPr>
      </w:pPr>
      <w:r>
        <w:rPr>
          <w:rFonts w:hint="eastAsia" w:ascii="宋体" w:hAnsi="宋体" w:cs="宋体"/>
          <w:b/>
          <w:sz w:val="24"/>
        </w:rPr>
        <w:t>使用综合评分法的采购项目，</w:t>
      </w:r>
      <w:r>
        <w:rPr>
          <w:rFonts w:hint="eastAsia" w:ascii="宋体" w:hAnsi="宋体" w:cs="宋体"/>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sz w:val="24"/>
        </w:rPr>
      </w:pPr>
      <w:r>
        <w:rPr>
          <w:rFonts w:hint="eastAsia" w:ascii="宋体" w:hAnsi="宋体" w:cs="宋体"/>
          <w:b/>
          <w:sz w:val="24"/>
        </w:rPr>
        <w:t>非单一产品采购项目，</w:t>
      </w:r>
      <w:r>
        <w:rPr>
          <w:rFonts w:hint="eastAsia" w:ascii="宋体" w:hAnsi="宋体" w:cs="宋体"/>
          <w:sz w:val="24"/>
        </w:rPr>
        <w:t>采购人应当根据采购项目技术构成、产品价格比重等合理确定核心产品，并在招标文件中载明。多家投标人提供的核心产品品牌相同的，按前两款规定处理。(87号令第31条)</w:t>
      </w:r>
    </w:p>
    <w:p>
      <w:pPr>
        <w:spacing w:line="440" w:lineRule="exact"/>
        <w:ind w:firstLine="480" w:firstLineChars="200"/>
        <w:rPr>
          <w:rFonts w:ascii="宋体" w:hAnsi="宋体" w:cs="宋体"/>
          <w:b/>
          <w:sz w:val="24"/>
        </w:rPr>
      </w:pPr>
      <w:r>
        <w:rPr>
          <w:rFonts w:hint="eastAsia" w:ascii="宋体" w:hAnsi="宋体" w:cs="宋体"/>
          <w:sz w:val="24"/>
        </w:rPr>
        <w:t>29.8</w:t>
      </w:r>
      <w:r>
        <w:rPr>
          <w:rFonts w:hint="eastAsia" w:ascii="宋体" w:hAnsi="宋体" w:cs="宋体"/>
          <w:b/>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2"/>
        <w:spacing w:before="0" w:after="0" w:line="440" w:lineRule="exact"/>
        <w:ind w:firstLine="560" w:firstLineChars="200"/>
        <w:rPr>
          <w:rFonts w:ascii="宋体" w:hAnsi="宋体" w:eastAsia="宋体" w:cs="宋体"/>
          <w:b w:val="0"/>
          <w:bCs w:val="0"/>
        </w:rPr>
      </w:pPr>
      <w:bookmarkStart w:id="127" w:name="_Toc513029234"/>
      <w:bookmarkStart w:id="128" w:name="_Toc16938550"/>
      <w:bookmarkStart w:id="129" w:name="_Toc20823306"/>
      <w:r>
        <w:rPr>
          <w:rFonts w:hint="eastAsia" w:ascii="宋体" w:hAnsi="宋体" w:eastAsia="宋体" w:cs="宋体"/>
          <w:b w:val="0"/>
          <w:bCs w:val="0"/>
        </w:rPr>
        <w:t>30、</w:t>
      </w:r>
      <w:bookmarkEnd w:id="127"/>
      <w:bookmarkEnd w:id="128"/>
      <w:bookmarkEnd w:id="129"/>
      <w:r>
        <w:rPr>
          <w:rFonts w:hint="eastAsia" w:ascii="宋体" w:hAnsi="宋体" w:eastAsia="宋体" w:cs="宋体"/>
          <w:b w:val="0"/>
          <w:bCs w:val="0"/>
        </w:rPr>
        <w:t>无效投标条款和废标条款</w:t>
      </w:r>
    </w:p>
    <w:p>
      <w:pPr>
        <w:spacing w:line="440" w:lineRule="exact"/>
        <w:ind w:firstLine="480" w:firstLineChars="200"/>
        <w:rPr>
          <w:rFonts w:ascii="宋体" w:hAnsi="宋体" w:cs="宋体"/>
          <w:bCs/>
          <w:sz w:val="24"/>
        </w:rPr>
      </w:pPr>
      <w:bookmarkStart w:id="130" w:name="_Toc513029235"/>
      <w:bookmarkStart w:id="131" w:name="_Toc16938551"/>
      <w:bookmarkStart w:id="132" w:name="_Toc20823307"/>
      <w:r>
        <w:rPr>
          <w:rFonts w:hint="eastAsia" w:ascii="宋体" w:hAnsi="宋体" w:cs="宋体"/>
          <w:bCs/>
          <w:sz w:val="24"/>
        </w:rPr>
        <w:t>30.1无效投标条款</w:t>
      </w:r>
    </w:p>
    <w:p>
      <w:pPr>
        <w:spacing w:line="440" w:lineRule="exact"/>
        <w:ind w:firstLine="480" w:firstLineChars="200"/>
        <w:rPr>
          <w:rFonts w:ascii="宋体" w:hAnsi="宋体" w:cs="宋体"/>
          <w:bCs/>
          <w:sz w:val="24"/>
        </w:rPr>
      </w:pPr>
      <w:r>
        <w:rPr>
          <w:rFonts w:hint="eastAsia" w:ascii="宋体" w:hAnsi="宋体" w:cs="宋体"/>
          <w:bCs/>
          <w:sz w:val="24"/>
        </w:rPr>
        <w:t>30.1.1未按要求交纳投标保证金的；</w:t>
      </w:r>
    </w:p>
    <w:p>
      <w:pPr>
        <w:spacing w:line="440" w:lineRule="exact"/>
        <w:ind w:firstLine="480" w:firstLineChars="200"/>
        <w:rPr>
          <w:rFonts w:ascii="宋体" w:hAnsi="宋体" w:cs="宋体"/>
          <w:bCs/>
          <w:sz w:val="24"/>
        </w:rPr>
      </w:pPr>
      <w:r>
        <w:rPr>
          <w:rFonts w:hint="eastAsia" w:ascii="宋体" w:hAnsi="宋体" w:cs="宋体"/>
          <w:bCs/>
          <w:sz w:val="24"/>
        </w:rPr>
        <w:t>30.1.2未按照招标文件规定要求密封、签署、盖章的；</w:t>
      </w:r>
    </w:p>
    <w:p>
      <w:pPr>
        <w:spacing w:line="440" w:lineRule="exact"/>
        <w:ind w:firstLine="480" w:firstLineChars="200"/>
        <w:rPr>
          <w:rFonts w:ascii="宋体" w:hAnsi="宋体" w:cs="宋体"/>
          <w:bCs/>
          <w:sz w:val="24"/>
        </w:rPr>
      </w:pPr>
      <w:r>
        <w:rPr>
          <w:rFonts w:hint="eastAsia" w:ascii="宋体" w:hAnsi="宋体" w:cs="宋体"/>
          <w:bCs/>
          <w:sz w:val="24"/>
        </w:rPr>
        <w:t>30.1.3投标人在报价时采用选择性报价；</w:t>
      </w:r>
    </w:p>
    <w:p>
      <w:pPr>
        <w:spacing w:line="440" w:lineRule="exact"/>
        <w:ind w:firstLine="480" w:firstLineChars="200"/>
        <w:rPr>
          <w:rFonts w:ascii="宋体" w:hAnsi="宋体" w:cs="宋体"/>
          <w:bCs/>
          <w:sz w:val="24"/>
        </w:rPr>
      </w:pPr>
      <w:r>
        <w:rPr>
          <w:rFonts w:hint="eastAsia" w:ascii="宋体" w:hAnsi="宋体" w:cs="宋体"/>
          <w:bCs/>
          <w:sz w:val="24"/>
        </w:rPr>
        <w:t>30.1.4投标人不具备招标文件中规定资格要求的；</w:t>
      </w:r>
    </w:p>
    <w:p>
      <w:pPr>
        <w:spacing w:line="440" w:lineRule="exact"/>
        <w:ind w:firstLine="480" w:firstLineChars="200"/>
        <w:rPr>
          <w:rFonts w:ascii="宋体" w:hAnsi="宋体" w:cs="宋体"/>
          <w:bCs/>
          <w:sz w:val="24"/>
        </w:rPr>
      </w:pPr>
      <w:r>
        <w:rPr>
          <w:rFonts w:hint="eastAsia" w:ascii="宋体" w:hAnsi="宋体" w:cs="宋体"/>
          <w:bCs/>
          <w:sz w:val="24"/>
        </w:rPr>
        <w:t>30.1.5投标人的报价超过了采购预算的；</w:t>
      </w:r>
    </w:p>
    <w:p>
      <w:pPr>
        <w:spacing w:line="440" w:lineRule="exact"/>
        <w:ind w:firstLine="480" w:firstLineChars="200"/>
        <w:rPr>
          <w:rFonts w:ascii="宋体" w:hAnsi="宋体" w:cs="宋体"/>
          <w:bCs/>
          <w:i/>
          <w:sz w:val="24"/>
          <w:u w:val="single"/>
        </w:rPr>
      </w:pPr>
      <w:r>
        <w:rPr>
          <w:rFonts w:hint="eastAsia" w:ascii="宋体" w:hAnsi="宋体" w:cs="宋体"/>
          <w:bCs/>
          <w:sz w:val="24"/>
        </w:rPr>
        <w:t>30.1.6未通过符合性检查的；</w:t>
      </w:r>
    </w:p>
    <w:p>
      <w:pPr>
        <w:spacing w:line="440" w:lineRule="exact"/>
        <w:ind w:firstLine="480" w:firstLineChars="200"/>
        <w:rPr>
          <w:rFonts w:ascii="宋体" w:hAnsi="宋体" w:cs="宋体"/>
          <w:bCs/>
          <w:sz w:val="24"/>
        </w:rPr>
      </w:pPr>
      <w:r>
        <w:rPr>
          <w:rFonts w:hint="eastAsia" w:ascii="宋体" w:hAnsi="宋体" w:cs="宋体"/>
          <w:bCs/>
          <w:sz w:val="24"/>
        </w:rPr>
        <w:t>30.1.7不符合招标文件中规定的其他实质性要求和条件的；</w:t>
      </w:r>
    </w:p>
    <w:p>
      <w:pPr>
        <w:spacing w:line="440" w:lineRule="exact"/>
        <w:ind w:firstLine="480" w:firstLineChars="200"/>
        <w:rPr>
          <w:rFonts w:ascii="宋体" w:hAnsi="宋体" w:cs="宋体"/>
          <w:bCs/>
          <w:sz w:val="24"/>
        </w:rPr>
      </w:pPr>
      <w:r>
        <w:rPr>
          <w:rFonts w:hint="eastAsia" w:ascii="宋体" w:hAnsi="宋体" w:cs="宋体"/>
          <w:bCs/>
          <w:sz w:val="24"/>
        </w:rPr>
        <w:t>30.1.8 投标人串通投标；</w:t>
      </w:r>
    </w:p>
    <w:p>
      <w:pPr>
        <w:spacing w:line="440" w:lineRule="exact"/>
        <w:ind w:firstLine="480" w:firstLineChars="200"/>
        <w:rPr>
          <w:rFonts w:ascii="宋体" w:hAnsi="宋体" w:cs="宋体"/>
          <w:bCs/>
          <w:sz w:val="24"/>
        </w:rPr>
      </w:pPr>
      <w:r>
        <w:rPr>
          <w:rFonts w:hint="eastAsia" w:ascii="宋体" w:hAnsi="宋体" w:cs="宋体"/>
          <w:bCs/>
          <w:sz w:val="24"/>
        </w:rPr>
        <w:t>30.1.9其他法律、法规及本招标文件规定的属无效投标的情形。</w:t>
      </w:r>
    </w:p>
    <w:p>
      <w:pPr>
        <w:spacing w:line="440" w:lineRule="exact"/>
        <w:ind w:firstLine="480" w:firstLineChars="200"/>
        <w:rPr>
          <w:rFonts w:ascii="宋体" w:hAnsi="宋体" w:cs="宋体"/>
          <w:bCs/>
          <w:sz w:val="24"/>
        </w:rPr>
      </w:pPr>
      <w:r>
        <w:rPr>
          <w:rFonts w:hint="eastAsia" w:ascii="宋体" w:hAnsi="宋体" w:cs="宋体"/>
          <w:bCs/>
          <w:sz w:val="24"/>
        </w:rPr>
        <w:t xml:space="preserve">30.2废标条款：                                                                                                                                                                                                                                                                                                                                                                                                                                                                                                                                                                                                                                                                                                                                                                                                                                                                                                                                                                                                                                                                                                                                                                                                                                                                                                                                                                                                                                                                         </w:t>
      </w:r>
    </w:p>
    <w:p>
      <w:pPr>
        <w:spacing w:line="440" w:lineRule="exact"/>
        <w:ind w:firstLine="480" w:firstLineChars="200"/>
        <w:rPr>
          <w:rFonts w:ascii="宋体" w:hAnsi="宋体" w:cs="宋体"/>
          <w:bCs/>
          <w:sz w:val="24"/>
        </w:rPr>
      </w:pPr>
      <w:r>
        <w:rPr>
          <w:rFonts w:hint="eastAsia" w:ascii="宋体" w:hAnsi="宋体" w:cs="宋体"/>
          <w:bCs/>
          <w:sz w:val="24"/>
        </w:rPr>
        <w:t>30.2.1符合专业条件的供应商或者对招标文件作实质响应的供应商不足三家的；</w:t>
      </w:r>
    </w:p>
    <w:p>
      <w:pPr>
        <w:spacing w:line="440" w:lineRule="exact"/>
        <w:ind w:firstLine="480" w:firstLineChars="200"/>
        <w:rPr>
          <w:rFonts w:ascii="宋体" w:hAnsi="宋体" w:cs="宋体"/>
          <w:bCs/>
          <w:sz w:val="24"/>
        </w:rPr>
      </w:pPr>
      <w:r>
        <w:rPr>
          <w:rFonts w:hint="eastAsia" w:ascii="宋体" w:hAnsi="宋体" w:cs="宋体"/>
          <w:bCs/>
          <w:sz w:val="24"/>
        </w:rPr>
        <w:t>30.2.2出现影响采购公正的违法、违规行为的；</w:t>
      </w:r>
    </w:p>
    <w:p>
      <w:pPr>
        <w:spacing w:line="440" w:lineRule="exact"/>
        <w:ind w:firstLine="480" w:firstLineChars="200"/>
        <w:rPr>
          <w:rFonts w:ascii="宋体" w:hAnsi="宋体" w:cs="宋体"/>
          <w:bCs/>
          <w:sz w:val="24"/>
        </w:rPr>
      </w:pPr>
      <w:r>
        <w:rPr>
          <w:rFonts w:hint="eastAsia" w:ascii="宋体" w:hAnsi="宋体" w:cs="宋体"/>
          <w:bCs/>
          <w:sz w:val="24"/>
        </w:rPr>
        <w:t>30.2.3因重大变故，采购任务取消的；</w:t>
      </w:r>
    </w:p>
    <w:p>
      <w:pPr>
        <w:spacing w:line="440" w:lineRule="exact"/>
        <w:ind w:firstLine="480" w:firstLineChars="200"/>
        <w:rPr>
          <w:rFonts w:ascii="宋体" w:hAnsi="宋体" w:cs="宋体"/>
          <w:bCs/>
          <w:sz w:val="24"/>
        </w:rPr>
      </w:pPr>
      <w:r>
        <w:rPr>
          <w:rFonts w:hint="eastAsia" w:ascii="宋体" w:hAnsi="宋体" w:cs="宋体"/>
          <w:bCs/>
          <w:sz w:val="24"/>
        </w:rPr>
        <w:t>30.2.4评标委员会认定招标文件存在歧义、 重大缺陷导致评审工作无法进行。</w:t>
      </w:r>
    </w:p>
    <w:p>
      <w:pPr>
        <w:spacing w:line="440" w:lineRule="exact"/>
        <w:ind w:firstLine="480" w:firstLineChars="200"/>
        <w:rPr>
          <w:rFonts w:ascii="宋体" w:hAnsi="宋体" w:cs="宋体"/>
          <w:bCs/>
          <w:sz w:val="24"/>
        </w:rPr>
      </w:pPr>
      <w:r>
        <w:rPr>
          <w:rFonts w:hint="eastAsia" w:ascii="宋体" w:hAnsi="宋体" w:cs="宋体"/>
          <w:bCs/>
          <w:sz w:val="24"/>
        </w:rPr>
        <w:t>30.3 投标截止时间结束后参加投标的供应商不足三家的处理：</w:t>
      </w:r>
    </w:p>
    <w:p>
      <w:pPr>
        <w:spacing w:line="440" w:lineRule="exact"/>
        <w:ind w:firstLine="480" w:firstLineChars="200"/>
        <w:rPr>
          <w:rFonts w:ascii="宋体" w:hAnsi="宋体" w:cs="宋体"/>
          <w:bCs/>
          <w:sz w:val="24"/>
        </w:rPr>
      </w:pPr>
      <w:r>
        <w:rPr>
          <w:rFonts w:hint="eastAsia" w:ascii="宋体" w:hAnsi="宋体" w:cs="宋体"/>
          <w:bCs/>
          <w:sz w:val="24"/>
        </w:rPr>
        <w:t>30.3.1如出现投标截止时间结束后参加投标的供应商或者在评标期间对招标文件做出实质响应的供应商不足三家情况，按财政部第八十七号令第四十三条的规定执行。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643" w:firstLineChars="200"/>
        <w:rPr>
          <w:rFonts w:ascii="宋体" w:hAnsi="宋体" w:cs="宋体"/>
        </w:rPr>
      </w:pPr>
      <w:bookmarkStart w:id="133" w:name="_Toc120614219"/>
      <w:r>
        <w:rPr>
          <w:rFonts w:hint="eastAsia" w:ascii="宋体" w:hAnsi="宋体" w:cs="宋体"/>
        </w:rPr>
        <w:t>六、</w:t>
      </w:r>
      <w:bookmarkEnd w:id="130"/>
      <w:bookmarkEnd w:id="131"/>
      <w:bookmarkEnd w:id="132"/>
      <w:r>
        <w:rPr>
          <w:rFonts w:hint="eastAsia" w:ascii="宋体" w:hAnsi="宋体" w:cs="宋体"/>
        </w:rPr>
        <w:t>定标</w:t>
      </w:r>
      <w:bookmarkEnd w:id="133"/>
    </w:p>
    <w:p>
      <w:pPr>
        <w:pStyle w:val="2"/>
        <w:spacing w:before="0" w:after="0" w:line="440" w:lineRule="exact"/>
        <w:ind w:firstLine="600" w:firstLineChars="200"/>
        <w:rPr>
          <w:rFonts w:ascii="宋体" w:hAnsi="宋体" w:eastAsia="宋体" w:cs="宋体"/>
          <w:b w:val="0"/>
          <w:sz w:val="30"/>
          <w:szCs w:val="30"/>
        </w:rPr>
      </w:pPr>
      <w:bookmarkStart w:id="134" w:name="_Toc513029238"/>
      <w:bookmarkStart w:id="135" w:name="_Toc16938554"/>
      <w:bookmarkStart w:id="136" w:name="_Toc20823310"/>
      <w:r>
        <w:rPr>
          <w:rFonts w:hint="eastAsia" w:ascii="宋体" w:hAnsi="宋体" w:eastAsia="宋体" w:cs="宋体"/>
          <w:b w:val="0"/>
          <w:sz w:val="30"/>
          <w:szCs w:val="30"/>
        </w:rPr>
        <w:t>31、</w:t>
      </w:r>
      <w:bookmarkEnd w:id="134"/>
      <w:r>
        <w:rPr>
          <w:rFonts w:hint="eastAsia" w:ascii="宋体" w:hAnsi="宋体" w:eastAsia="宋体" w:cs="宋体"/>
          <w:b w:val="0"/>
          <w:sz w:val="30"/>
          <w:szCs w:val="30"/>
        </w:rPr>
        <w:t>确定</w:t>
      </w:r>
      <w:bookmarkEnd w:id="135"/>
      <w:bookmarkEnd w:id="136"/>
      <w:r>
        <w:rPr>
          <w:rFonts w:hint="eastAsia" w:ascii="宋体" w:hAnsi="宋体" w:eastAsia="宋体" w:cs="宋体"/>
          <w:b w:val="0"/>
          <w:sz w:val="30"/>
          <w:szCs w:val="30"/>
        </w:rPr>
        <w:t>中标单位</w:t>
      </w:r>
    </w:p>
    <w:p>
      <w:pPr>
        <w:spacing w:line="440" w:lineRule="exact"/>
        <w:ind w:firstLine="480" w:firstLineChars="200"/>
        <w:rPr>
          <w:rFonts w:ascii="宋体" w:hAnsi="宋体" w:cs="宋体"/>
          <w:bCs/>
          <w:sz w:val="24"/>
        </w:rPr>
      </w:pPr>
      <w:r>
        <w:rPr>
          <w:rFonts w:hint="eastAsia" w:ascii="宋体" w:hAnsi="宋体" w:cs="宋体"/>
          <w:bCs/>
          <w:sz w:val="24"/>
        </w:rPr>
        <w:t>31.1评委会根据本招标文件规定评标方法与评标标准向采购人推荐出中标候选人。</w:t>
      </w:r>
    </w:p>
    <w:p>
      <w:pPr>
        <w:spacing w:line="440" w:lineRule="exact"/>
        <w:ind w:firstLine="480" w:firstLineChars="200"/>
        <w:rPr>
          <w:rFonts w:ascii="宋体" w:hAnsi="宋体" w:cs="宋体"/>
          <w:bCs/>
          <w:sz w:val="24"/>
        </w:rPr>
      </w:pPr>
      <w:r>
        <w:rPr>
          <w:rFonts w:hint="eastAsia" w:ascii="宋体" w:hAnsi="宋体" w:cs="宋体"/>
          <w:bCs/>
          <w:sz w:val="24"/>
        </w:rPr>
        <w:t>31.2 采购人应根据评委会推荐的中标候选人确定中标供应商。</w:t>
      </w:r>
    </w:p>
    <w:p>
      <w:pPr>
        <w:spacing w:line="440" w:lineRule="exact"/>
        <w:ind w:firstLine="480" w:firstLineChars="200"/>
        <w:rPr>
          <w:rFonts w:ascii="宋体" w:hAnsi="宋体" w:cs="宋体"/>
          <w:sz w:val="24"/>
          <w:szCs w:val="24"/>
        </w:rPr>
      </w:pPr>
      <w:r>
        <w:rPr>
          <w:rFonts w:hint="eastAsia" w:ascii="宋体" w:hAnsi="宋体" w:cs="宋体"/>
          <w:bCs/>
          <w:sz w:val="24"/>
          <w:szCs w:val="24"/>
        </w:rPr>
        <w:t>31.3</w:t>
      </w:r>
      <w:r>
        <w:rPr>
          <w:rFonts w:hint="eastAsia" w:ascii="宋体" w:hAnsi="宋体" w:cs="宋体"/>
          <w:sz w:val="24"/>
          <w:szCs w:val="24"/>
        </w:rPr>
        <w:t>采购人或采购代理机构将在</w:t>
      </w:r>
      <w:r>
        <w:rPr>
          <w:rFonts w:hint="eastAsia" w:ascii="宋体" w:hAnsi="宋体" w:cs="宋体"/>
          <w:bCs/>
          <w:sz w:val="24"/>
        </w:rPr>
        <w:t>“盐城市政府采购网”和“盐城工业职业技术学院招标采购网”</w:t>
      </w:r>
      <w:r>
        <w:rPr>
          <w:rFonts w:hint="eastAsia" w:ascii="宋体" w:hAnsi="宋体" w:cs="宋体"/>
          <w:sz w:val="24"/>
          <w:szCs w:val="24"/>
        </w:rPr>
        <w:t>发布中标公告，公告期限为1个工作日。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31.4若有充分证据证明，中标供应商出现下列情况之一的，一经查实，将被取消中标资格：</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31.4.1提供虚假材料谋取中标的；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31.4.2向采购人、采购代理机构行贿或者提供其他不正当利益的；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31.4.3恶意竞争，投标总报价明显低于其自身合理成本且又无法提供证明的；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31.4.4属于本文件规定的无效条件，但在评标过程中又未被评委会发现的；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31.4.5与采购人或者其他供应商恶意串通的；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31.4.6采取不正当手段诋毁、排挤其他供应商的；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31.4.7不符合法律、法规的规定的。</w:t>
      </w:r>
      <w:bookmarkStart w:id="137" w:name="_Toc200451960"/>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w:t>
      </w:r>
      <w:r>
        <w:rPr>
          <w:rFonts w:hint="eastAsia" w:ascii="宋体" w:hAnsi="宋体" w:cs="宋体"/>
        </w:rPr>
        <w:t xml:space="preserve"> </w:t>
      </w:r>
      <w:r>
        <w:rPr>
          <w:rFonts w:hint="eastAsia" w:ascii="宋体" w:hAnsi="宋体" w:cs="宋体"/>
          <w:kern w:val="0"/>
          <w:sz w:val="24"/>
          <w:szCs w:val="24"/>
        </w:rPr>
        <w:t>有下列情形之一的，属于恶意串通：</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31.5.1</w:t>
      </w:r>
      <w:r>
        <w:rPr>
          <w:rFonts w:hint="eastAsia" w:ascii="宋体" w:hAnsi="宋体" w:cs="宋体"/>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31.5.2</w:t>
      </w:r>
      <w:r>
        <w:rPr>
          <w:rFonts w:hint="eastAsia" w:ascii="宋体" w:hAnsi="宋体" w:cs="宋体"/>
          <w:kern w:val="0"/>
          <w:sz w:val="24"/>
          <w:szCs w:val="24"/>
        </w:rPr>
        <w:t>供应商按照采购人或者采购代理机构的授意撤换、修改投标文件；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31.5.3</w:t>
      </w:r>
      <w:r>
        <w:rPr>
          <w:rFonts w:hint="eastAsia" w:ascii="宋体" w:hAnsi="宋体" w:cs="宋体"/>
          <w:kern w:val="0"/>
          <w:sz w:val="24"/>
          <w:szCs w:val="24"/>
        </w:rPr>
        <w:t>供应商之间协商报价、技术方案等投标文件的实质性内容；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31.5.4</w:t>
      </w:r>
      <w:r>
        <w:rPr>
          <w:rFonts w:hint="eastAsia" w:ascii="宋体" w:hAnsi="宋体" w:cs="宋体"/>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31.5.5</w:t>
      </w:r>
      <w:r>
        <w:rPr>
          <w:rFonts w:hint="eastAsia" w:ascii="宋体" w:hAnsi="宋体" w:cs="宋体"/>
          <w:kern w:val="0"/>
          <w:sz w:val="24"/>
          <w:szCs w:val="24"/>
        </w:rPr>
        <w:t>供应商之间事先约定由某一特定供应商中标；</w:t>
      </w:r>
    </w:p>
    <w:p>
      <w:pPr>
        <w:snapToGrid w:val="0"/>
        <w:spacing w:line="440" w:lineRule="exact"/>
        <w:ind w:firstLine="480" w:firstLineChars="200"/>
        <w:rPr>
          <w:rFonts w:ascii="宋体" w:hAnsi="宋体" w:cs="宋体"/>
          <w:kern w:val="0"/>
          <w:sz w:val="24"/>
          <w:szCs w:val="24"/>
        </w:rPr>
      </w:pPr>
      <w:r>
        <w:rPr>
          <w:rFonts w:hint="eastAsia" w:ascii="宋体" w:hAnsi="宋体" w:cs="宋体"/>
          <w:sz w:val="24"/>
          <w:szCs w:val="24"/>
        </w:rPr>
        <w:t>31.5.6</w:t>
      </w:r>
      <w:r>
        <w:rPr>
          <w:rFonts w:hint="eastAsia" w:ascii="宋体" w:hAnsi="宋体" w:cs="宋体"/>
          <w:kern w:val="0"/>
          <w:sz w:val="24"/>
          <w:szCs w:val="24"/>
        </w:rPr>
        <w:t>供应商之间商定部分供应商放弃参加政府采购活动或者放弃中标；</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31.5.7</w:t>
      </w:r>
      <w:r>
        <w:rPr>
          <w:rFonts w:hint="eastAsia" w:ascii="宋体" w:hAnsi="宋体" w:cs="宋体"/>
          <w:kern w:val="0"/>
          <w:sz w:val="24"/>
          <w:szCs w:val="24"/>
        </w:rPr>
        <w:t>供应商与采购人或者采购代理机构之间、供应商相互之间，为谋求特定供应商中标或者排斥其他供应商的其他串通行为。</w:t>
      </w:r>
    </w:p>
    <w:p>
      <w:pPr>
        <w:pStyle w:val="2"/>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32、质疑处理</w:t>
      </w:r>
      <w:bookmarkEnd w:id="137"/>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32.1.2</w:t>
      </w:r>
      <w:r>
        <w:rPr>
          <w:rFonts w:hint="eastAsia" w:ascii="宋体" w:hAnsi="宋体" w:cs="宋体"/>
          <w:kern w:val="0"/>
          <w:sz w:val="24"/>
          <w:szCs w:val="24"/>
        </w:rPr>
        <w:t>对采购过程提出质疑的，为各采购程序环节结束之日；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32.2质疑必须以参加投标供应商法定代表人或</w:t>
      </w:r>
      <w:r>
        <w:rPr>
          <w:rFonts w:hint="eastAsia" w:ascii="宋体" w:hAnsi="宋体" w:cs="宋体"/>
          <w:sz w:val="24"/>
        </w:rPr>
        <w:t>授权委托人（被授权人）</w:t>
      </w:r>
      <w:r>
        <w:rPr>
          <w:rFonts w:hint="eastAsia" w:ascii="宋体" w:hAnsi="宋体" w:cs="宋体"/>
          <w:sz w:val="24"/>
          <w:szCs w:val="24"/>
        </w:rPr>
        <w:t>（投标文件中所确定的）原件送达的方式提交，未按上述要求提交的质疑函（含传真、电子邮件等），采购人或采购代理机构有权不予受理。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32.4质疑函应当包括下列内容：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32.4.1质疑投标人的名称、地址、邮编、联系人、联系电话；</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32.4.2具体的质疑事项及明确的请求；</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32.4.3认为自己合法权益受到损害或可能受到损害的相关证据材料；</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32.4.4提起质疑的日期；</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32.6质疑人应当在法定质疑期限内进行补正并重新提交质疑函，拒不补正或者在法定期限内未重新提交质疑函的，为无效质疑，采购人或采购代理机构有权不予受理。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2"/>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33、中标通知书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33.l</w:t>
      </w:r>
      <w:r>
        <w:rPr>
          <w:rFonts w:hint="eastAsia" w:ascii="宋体" w:hAnsi="宋体" w:cs="宋体"/>
          <w:b/>
          <w:sz w:val="24"/>
          <w:szCs w:val="24"/>
        </w:rPr>
        <w:t xml:space="preserve"> </w:t>
      </w:r>
      <w:r>
        <w:rPr>
          <w:rFonts w:hint="eastAsia" w:ascii="宋体" w:hAnsi="宋体" w:cs="宋体"/>
          <w:sz w:val="24"/>
          <w:szCs w:val="24"/>
        </w:rPr>
        <w:t>中标结果确定后，采购人或采购代理机构将向中标供应商发出中标通知书。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33.2 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33.3中标通知书将是合同的一个组成部分。对采购人和中标供应商均具有法律效力。中标通知书发出后，采购人改变中标结果的，或者中标供应商放弃中标项目的，应当依法承担法律责任。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643" w:firstLineChars="200"/>
        <w:rPr>
          <w:rFonts w:ascii="宋体" w:hAnsi="宋体" w:cs="宋体"/>
        </w:rPr>
      </w:pPr>
      <w:bookmarkStart w:id="138" w:name="_Toc120614220"/>
      <w:bookmarkStart w:id="139" w:name="_Toc20823308"/>
      <w:bookmarkStart w:id="140" w:name="_Toc16938552"/>
      <w:bookmarkStart w:id="141" w:name="_Toc513029236"/>
      <w:r>
        <w:rPr>
          <w:rFonts w:hint="eastAsia" w:ascii="宋体" w:hAnsi="宋体" w:cs="宋体"/>
        </w:rPr>
        <w:t>七、合同</w:t>
      </w:r>
      <w:bookmarkEnd w:id="138"/>
      <w:r>
        <w:rPr>
          <w:rFonts w:hint="eastAsia" w:ascii="宋体" w:hAnsi="宋体" w:cs="宋体"/>
        </w:rPr>
        <w:t>签订相关事项</w:t>
      </w:r>
    </w:p>
    <w:bookmarkEnd w:id="139"/>
    <w:bookmarkEnd w:id="140"/>
    <w:bookmarkEnd w:id="141"/>
    <w:p>
      <w:pPr>
        <w:pStyle w:val="2"/>
        <w:spacing w:before="0" w:after="0" w:line="440" w:lineRule="exact"/>
        <w:ind w:firstLine="600" w:firstLineChars="200"/>
        <w:rPr>
          <w:rFonts w:ascii="宋体" w:hAnsi="宋体" w:eastAsia="宋体" w:cs="宋体"/>
          <w:b w:val="0"/>
          <w:sz w:val="30"/>
          <w:szCs w:val="30"/>
        </w:rPr>
      </w:pPr>
      <w:bookmarkStart w:id="142" w:name="_Toc16938553"/>
      <w:bookmarkStart w:id="143" w:name="_Toc20823309"/>
      <w:bookmarkStart w:id="144" w:name="_Toc513029237"/>
      <w:r>
        <w:rPr>
          <w:rFonts w:hint="eastAsia" w:ascii="宋体" w:hAnsi="宋体" w:eastAsia="宋体" w:cs="宋体"/>
          <w:b w:val="0"/>
          <w:sz w:val="30"/>
          <w:szCs w:val="30"/>
        </w:rPr>
        <w:t>34. 签订合同</w:t>
      </w:r>
    </w:p>
    <w:p>
      <w:pPr>
        <w:snapToGrid w:val="0"/>
        <w:spacing w:line="440" w:lineRule="exact"/>
        <w:ind w:firstLine="480" w:firstLineChars="200"/>
        <w:rPr>
          <w:rFonts w:ascii="宋体" w:hAnsi="宋体" w:cs="宋体"/>
          <w:sz w:val="24"/>
          <w:szCs w:val="24"/>
        </w:rPr>
      </w:pPr>
      <w:r>
        <w:rPr>
          <w:rFonts w:hint="eastAsia" w:ascii="宋体" w:hAnsi="宋体" w:cs="宋体"/>
          <w:bCs/>
          <w:sz w:val="24"/>
          <w:szCs w:val="24"/>
        </w:rPr>
        <w:t>34</w:t>
      </w:r>
      <w:r>
        <w:rPr>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34.2</w:t>
      </w:r>
      <w:r>
        <w:rPr>
          <w:rFonts w:hint="eastAsia" w:ascii="宋体" w:hAnsi="宋体" w:cs="宋体"/>
          <w:b/>
          <w:sz w:val="24"/>
          <w:szCs w:val="24"/>
        </w:rPr>
        <w:t xml:space="preserve"> </w:t>
      </w:r>
      <w:r>
        <w:rPr>
          <w:rFonts w:hint="eastAsia" w:ascii="宋体" w:hAnsi="宋体" w:cs="宋体"/>
          <w:sz w:val="24"/>
          <w:szCs w:val="24"/>
        </w:rPr>
        <w:t>招标文件、中标供应商的投标文件及招标过程中有关澄清、承诺文件均应作为合同附件。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35、货物和服务的追加、减少和添购。</w:t>
      </w:r>
    </w:p>
    <w:p>
      <w:pPr>
        <w:spacing w:line="440" w:lineRule="exact"/>
        <w:ind w:firstLine="480" w:firstLineChars="200"/>
        <w:rPr>
          <w:rFonts w:ascii="宋体" w:hAnsi="宋体" w:cs="宋体"/>
          <w:sz w:val="24"/>
          <w:szCs w:val="24"/>
        </w:rPr>
      </w:pPr>
      <w:r>
        <w:rPr>
          <w:rFonts w:hint="eastAsia" w:ascii="宋体" w:hAnsi="宋体" w:cs="宋体"/>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sz w:val="24"/>
          <w:szCs w:val="24"/>
        </w:rPr>
      </w:pPr>
      <w:r>
        <w:rPr>
          <w:rFonts w:hint="eastAsia" w:ascii="宋体" w:hAnsi="宋体" w:cs="宋体"/>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bookmarkEnd w:id="142"/>
    <w:bookmarkEnd w:id="143"/>
    <w:bookmarkEnd w:id="144"/>
    <w:p>
      <w:pPr>
        <w:tabs>
          <w:tab w:val="left" w:pos="900"/>
        </w:tabs>
        <w:spacing w:line="440" w:lineRule="exact"/>
        <w:ind w:firstLine="600" w:firstLineChars="200"/>
        <w:rPr>
          <w:rFonts w:ascii="宋体" w:hAnsi="宋体" w:cs="宋体"/>
          <w:bCs/>
          <w:sz w:val="30"/>
          <w:szCs w:val="30"/>
        </w:rPr>
      </w:pPr>
      <w:bookmarkStart w:id="145" w:name="_Toc16938558"/>
      <w:bookmarkStart w:id="146" w:name="_Toc513029242"/>
      <w:bookmarkStart w:id="147" w:name="_Toc479757207"/>
      <w:bookmarkStart w:id="148" w:name="_Toc20823314"/>
      <w:bookmarkStart w:id="149" w:name="_Toc120614221"/>
      <w:r>
        <w:rPr>
          <w:rFonts w:hint="eastAsia" w:ascii="宋体" w:hAnsi="宋体" w:cs="宋体"/>
          <w:bCs/>
          <w:sz w:val="30"/>
          <w:szCs w:val="30"/>
        </w:rPr>
        <w:t>36、履约保证金</w:t>
      </w:r>
    </w:p>
    <w:p>
      <w:pPr>
        <w:tabs>
          <w:tab w:val="left" w:pos="900"/>
        </w:tabs>
        <w:spacing w:line="440" w:lineRule="exact"/>
        <w:ind w:firstLine="480" w:firstLineChars="200"/>
        <w:rPr>
          <w:rFonts w:ascii="宋体" w:hAnsi="宋体" w:cs="宋体"/>
          <w:sz w:val="24"/>
        </w:rPr>
      </w:pPr>
      <w:r>
        <w:rPr>
          <w:rFonts w:hint="eastAsia" w:ascii="宋体" w:hAnsi="宋体" w:cs="宋体"/>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sz w:val="24"/>
        </w:rPr>
      </w:pPr>
    </w:p>
    <w:p>
      <w:pPr>
        <w:pStyle w:val="3"/>
        <w:ind w:firstLine="1767" w:firstLineChars="400"/>
        <w:jc w:val="both"/>
        <w:rPr>
          <w:rFonts w:ascii="宋体" w:hAnsi="宋体" w:eastAsia="宋体" w:cs="宋体"/>
          <w:b/>
          <w:sz w:val="44"/>
        </w:rPr>
      </w:pPr>
      <w:r>
        <w:rPr>
          <w:rFonts w:hint="eastAsia" w:ascii="宋体" w:hAnsi="宋体" w:eastAsia="宋体" w:cs="宋体"/>
          <w:b/>
          <w:sz w:val="44"/>
        </w:rPr>
        <w:br w:type="page"/>
      </w:r>
      <w:r>
        <w:rPr>
          <w:rFonts w:hint="eastAsia" w:ascii="宋体" w:hAnsi="宋体" w:eastAsia="宋体" w:cs="宋体"/>
          <w:b/>
          <w:sz w:val="44"/>
        </w:rPr>
        <w:t>第三章  合同条款及</w:t>
      </w:r>
      <w:bookmarkEnd w:id="145"/>
      <w:bookmarkEnd w:id="146"/>
      <w:bookmarkEnd w:id="147"/>
      <w:bookmarkEnd w:id="148"/>
      <w:bookmarkEnd w:id="149"/>
      <w:r>
        <w:rPr>
          <w:rFonts w:hint="eastAsia" w:ascii="宋体" w:hAnsi="宋体" w:eastAsia="宋体" w:cs="宋体"/>
          <w:b/>
          <w:sz w:val="44"/>
        </w:rPr>
        <w:t>格式</w:t>
      </w:r>
    </w:p>
    <w:p>
      <w:pPr>
        <w:pStyle w:val="6"/>
        <w:spacing w:before="0" w:after="0" w:line="460" w:lineRule="exact"/>
        <w:jc w:val="center"/>
        <w:rPr>
          <w:rFonts w:ascii="宋体" w:hAnsi="宋体" w:cs="宋体"/>
        </w:rPr>
      </w:pPr>
      <w:bookmarkStart w:id="150" w:name="_Toc16938559"/>
      <w:bookmarkStart w:id="151" w:name="_Toc20823315"/>
      <w:bookmarkStart w:id="152" w:name="_Toc513029243"/>
    </w:p>
    <w:bookmarkEnd w:id="150"/>
    <w:bookmarkEnd w:id="151"/>
    <w:bookmarkEnd w:id="152"/>
    <w:p>
      <w:pPr>
        <w:spacing w:line="440" w:lineRule="exact"/>
        <w:ind w:firstLine="480" w:firstLineChars="200"/>
        <w:rPr>
          <w:rFonts w:ascii="宋体" w:hAnsi="宋体" w:cs="宋体"/>
          <w:bCs/>
          <w:sz w:val="24"/>
        </w:rPr>
      </w:pPr>
      <w:bookmarkStart w:id="153" w:name="_Hlt16619350"/>
      <w:bookmarkStart w:id="154" w:name="_Toc16938590"/>
      <w:bookmarkStart w:id="155" w:name="_Toc20823346"/>
      <w:bookmarkStart w:id="156" w:name="_Toc120614244"/>
      <w:bookmarkStart w:id="157" w:name="_Toc479757211"/>
      <w:bookmarkStart w:id="158" w:name="_Toc462564139"/>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rPr>
      </w:pPr>
    </w:p>
    <w:p>
      <w:pPr>
        <w:snapToGrid w:val="0"/>
        <w:spacing w:line="440" w:lineRule="exact"/>
        <w:ind w:firstLine="602" w:firstLineChars="200"/>
        <w:jc w:val="center"/>
        <w:outlineLvl w:val="0"/>
        <w:rPr>
          <w:rFonts w:ascii="宋体" w:hAnsi="宋体" w:cs="宋体"/>
          <w:b/>
          <w:bCs/>
          <w:sz w:val="30"/>
          <w:szCs w:val="20"/>
        </w:rPr>
      </w:pPr>
      <w:r>
        <w:rPr>
          <w:rFonts w:hint="eastAsia" w:ascii="宋体" w:hAnsi="宋体" w:cs="宋体"/>
          <w:b/>
          <w:sz w:val="30"/>
        </w:rPr>
        <w:t>政府采购合同</w:t>
      </w:r>
    </w:p>
    <w:p>
      <w:pPr>
        <w:pStyle w:val="22"/>
        <w:snapToGrid w:val="0"/>
        <w:spacing w:line="500" w:lineRule="exact"/>
        <w:ind w:firstLine="480" w:firstLineChars="200"/>
        <w:jc w:val="left"/>
        <w:rPr>
          <w:rFonts w:hAnsi="宋体" w:cs="宋体"/>
          <w:sz w:val="24"/>
          <w:szCs w:val="24"/>
        </w:rPr>
      </w:pPr>
      <w:r>
        <w:rPr>
          <w:rFonts w:hint="eastAsia" w:hAnsi="宋体" w:cs="宋体"/>
          <w:sz w:val="24"/>
          <w:szCs w:val="24"/>
        </w:rPr>
        <w:t>项目名称：</w:t>
      </w:r>
      <w:r>
        <w:rPr>
          <w:rFonts w:hint="eastAsia" w:hAnsi="宋体" w:cs="宋体"/>
          <w:sz w:val="24"/>
          <w:szCs w:val="24"/>
          <w:u w:val="single"/>
        </w:rPr>
        <w:t>盐城工业职业技术学院信息与安全学院多媒体教学</w:t>
      </w:r>
      <w:r>
        <w:rPr>
          <w:rFonts w:hint="eastAsia" w:hAnsi="宋体" w:cs="宋体"/>
          <w:sz w:val="24"/>
          <w:szCs w:val="24"/>
          <w:u w:val="single"/>
          <w:lang w:val="en-US" w:eastAsia="zh-CN"/>
        </w:rPr>
        <w:t>设备</w:t>
      </w:r>
      <w:r>
        <w:rPr>
          <w:rFonts w:hint="eastAsia" w:hAnsi="宋体" w:cs="宋体"/>
          <w:sz w:val="24"/>
          <w:szCs w:val="24"/>
        </w:rPr>
        <w:t>项目</w:t>
      </w:r>
    </w:p>
    <w:p>
      <w:pPr>
        <w:pStyle w:val="22"/>
        <w:snapToGrid w:val="0"/>
        <w:spacing w:line="500" w:lineRule="exact"/>
        <w:ind w:firstLine="480" w:firstLineChars="200"/>
        <w:jc w:val="left"/>
        <w:rPr>
          <w:rFonts w:hAnsi="宋体" w:cs="宋体"/>
          <w:sz w:val="24"/>
          <w:szCs w:val="24"/>
        </w:rPr>
      </w:pPr>
      <w:r>
        <w:rPr>
          <w:rFonts w:hint="eastAsia" w:hAnsi="宋体" w:cs="宋体"/>
          <w:sz w:val="24"/>
          <w:szCs w:val="24"/>
        </w:rPr>
        <w:t>项目编号：</w:t>
      </w:r>
      <w:r>
        <w:rPr>
          <w:rFonts w:hint="eastAsia" w:hAnsi="宋体" w:cs="宋体"/>
          <w:sz w:val="24"/>
          <w:szCs w:val="24"/>
          <w:u w:val="single"/>
        </w:rPr>
        <w:t>2020-006S</w:t>
      </w:r>
    </w:p>
    <w:p>
      <w:pPr>
        <w:pStyle w:val="22"/>
        <w:snapToGrid w:val="0"/>
        <w:spacing w:line="500" w:lineRule="exact"/>
        <w:ind w:firstLine="480" w:firstLineChars="200"/>
        <w:rPr>
          <w:rFonts w:hAnsi="宋体" w:cs="宋体"/>
          <w:sz w:val="24"/>
          <w:szCs w:val="24"/>
        </w:rPr>
      </w:pPr>
      <w:r>
        <w:rPr>
          <w:rFonts w:hint="eastAsia" w:hAnsi="宋体" w:cs="宋体"/>
          <w:sz w:val="24"/>
          <w:szCs w:val="24"/>
        </w:rPr>
        <w:t>甲方：（买方）</w:t>
      </w:r>
      <w:r>
        <w:rPr>
          <w:rFonts w:hint="eastAsia" w:hAnsi="宋体" w:cs="宋体"/>
          <w:sz w:val="24"/>
          <w:szCs w:val="24"/>
          <w:u w:val="single"/>
        </w:rPr>
        <w:t>盐城工业职业技术学院</w:t>
      </w:r>
    </w:p>
    <w:p>
      <w:pPr>
        <w:pStyle w:val="22"/>
        <w:snapToGrid w:val="0"/>
        <w:spacing w:line="500" w:lineRule="exact"/>
        <w:ind w:firstLine="480" w:firstLineChars="200"/>
        <w:rPr>
          <w:rFonts w:hAnsi="宋体" w:cs="宋体"/>
          <w:sz w:val="24"/>
          <w:szCs w:val="24"/>
        </w:rPr>
      </w:pPr>
      <w:r>
        <w:rPr>
          <w:rFonts w:hint="eastAsia" w:hAnsi="宋体" w:cs="宋体"/>
          <w:sz w:val="24"/>
          <w:szCs w:val="24"/>
        </w:rPr>
        <w:t>乙方：（卖方）</w:t>
      </w:r>
      <w:r>
        <w:rPr>
          <w:rFonts w:hint="eastAsia" w:hAnsi="宋体" w:cs="宋体"/>
          <w:sz w:val="24"/>
          <w:szCs w:val="24"/>
          <w:u w:val="single"/>
        </w:rPr>
        <w:t xml:space="preserve">                    </w:t>
      </w:r>
    </w:p>
    <w:p>
      <w:pPr>
        <w:spacing w:line="500" w:lineRule="exact"/>
        <w:ind w:firstLine="480" w:firstLineChars="200"/>
        <w:rPr>
          <w:rFonts w:ascii="宋体" w:hAnsi="宋体" w:cs="宋体"/>
          <w:b/>
          <w:sz w:val="24"/>
          <w:szCs w:val="24"/>
        </w:rPr>
      </w:pPr>
      <w:r>
        <w:rPr>
          <w:rFonts w:hint="eastAsia" w:ascii="宋体" w:hAnsi="宋体" w:cs="宋体"/>
          <w:sz w:val="24"/>
          <w:szCs w:val="24"/>
        </w:rPr>
        <w:t>甲、乙双方根据</w:t>
      </w:r>
      <w:r>
        <w:rPr>
          <w:rFonts w:hint="eastAsia" w:ascii="宋体" w:hAnsi="宋体" w:cs="宋体"/>
          <w:sz w:val="24"/>
          <w:szCs w:val="24"/>
          <w:u w:val="single"/>
        </w:rPr>
        <w:t>盐城工业职业技术学院信息与安全学院多媒体教学</w:t>
      </w:r>
      <w:r>
        <w:rPr>
          <w:rFonts w:hint="eastAsia" w:ascii="宋体" w:hAnsi="宋体" w:cs="宋体"/>
          <w:sz w:val="24"/>
          <w:szCs w:val="24"/>
          <w:u w:val="single"/>
          <w:lang w:val="en-US" w:eastAsia="zh-CN"/>
        </w:rPr>
        <w:t>设备</w:t>
      </w:r>
      <w:r>
        <w:rPr>
          <w:rFonts w:hint="eastAsia" w:ascii="宋体" w:hAnsi="宋体" w:cs="宋体"/>
          <w:sz w:val="24"/>
          <w:szCs w:val="24"/>
        </w:rPr>
        <w:t>项目公开招标的结果，签署本合同。</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一、项目内容</w:t>
      </w:r>
    </w:p>
    <w:p>
      <w:pPr>
        <w:pStyle w:val="22"/>
        <w:snapToGrid w:val="0"/>
        <w:spacing w:line="500" w:lineRule="exact"/>
        <w:ind w:firstLine="480" w:firstLineChars="200"/>
        <w:rPr>
          <w:rFonts w:hAnsi="宋体" w:cs="宋体"/>
          <w:sz w:val="24"/>
          <w:szCs w:val="24"/>
        </w:rPr>
      </w:pPr>
      <w:r>
        <w:rPr>
          <w:rFonts w:hint="eastAsia" w:hAnsi="宋体" w:cs="宋体"/>
          <w:sz w:val="24"/>
          <w:szCs w:val="24"/>
        </w:rPr>
        <w:t>1.1 项目名称：</w:t>
      </w:r>
      <w:r>
        <w:rPr>
          <w:rFonts w:hint="eastAsia" w:hAnsi="宋体" w:cs="宋体"/>
          <w:sz w:val="24"/>
          <w:szCs w:val="24"/>
          <w:u w:val="single"/>
        </w:rPr>
        <w:t>盐城工业职业技术学院信息与安全学院多媒体教学</w:t>
      </w:r>
      <w:r>
        <w:rPr>
          <w:rFonts w:hint="eastAsia" w:hAnsi="宋体" w:cs="宋体"/>
          <w:sz w:val="24"/>
          <w:szCs w:val="24"/>
          <w:u w:val="single"/>
          <w:lang w:val="en-US" w:eastAsia="zh-CN"/>
        </w:rPr>
        <w:t>设备</w:t>
      </w:r>
      <w:r>
        <w:rPr>
          <w:rFonts w:hint="eastAsia" w:hAnsi="宋体" w:cs="宋体"/>
          <w:sz w:val="24"/>
          <w:szCs w:val="24"/>
        </w:rPr>
        <w:t>项目。</w:t>
      </w:r>
    </w:p>
    <w:p>
      <w:pPr>
        <w:pStyle w:val="22"/>
        <w:snapToGrid w:val="0"/>
        <w:spacing w:line="500" w:lineRule="exact"/>
        <w:ind w:firstLine="480" w:firstLineChars="200"/>
        <w:rPr>
          <w:rFonts w:hAnsi="宋体" w:cs="宋体"/>
          <w:sz w:val="24"/>
          <w:szCs w:val="24"/>
        </w:rPr>
      </w:pPr>
      <w:r>
        <w:rPr>
          <w:rFonts w:hint="eastAsia" w:hAnsi="宋体" w:cs="宋体"/>
          <w:sz w:val="24"/>
          <w:szCs w:val="24"/>
        </w:rPr>
        <w:t>1.2 型号规格及其他要求：</w:t>
      </w:r>
      <w:r>
        <w:rPr>
          <w:rFonts w:hint="eastAsia" w:hAnsi="宋体" w:cs="宋体"/>
          <w:sz w:val="24"/>
          <w:szCs w:val="24"/>
          <w:u w:val="single"/>
        </w:rPr>
        <w:t>详按项目需求</w:t>
      </w:r>
      <w:r>
        <w:rPr>
          <w:rFonts w:hint="eastAsia" w:hAnsi="宋体" w:cs="宋体"/>
          <w:sz w:val="24"/>
          <w:szCs w:val="24"/>
        </w:rPr>
        <w:t>。</w:t>
      </w:r>
    </w:p>
    <w:p>
      <w:pPr>
        <w:pStyle w:val="22"/>
        <w:snapToGrid w:val="0"/>
        <w:spacing w:line="500" w:lineRule="exact"/>
        <w:ind w:firstLine="480" w:firstLineChars="200"/>
        <w:rPr>
          <w:rFonts w:hAnsi="宋体" w:cs="宋体"/>
          <w:sz w:val="24"/>
          <w:szCs w:val="24"/>
        </w:rPr>
      </w:pPr>
      <w:r>
        <w:rPr>
          <w:rFonts w:hint="eastAsia" w:hAnsi="宋体" w:cs="宋体"/>
          <w:sz w:val="24"/>
          <w:szCs w:val="24"/>
        </w:rPr>
        <w:t>1.3 数量（单位）：</w:t>
      </w:r>
      <w:r>
        <w:rPr>
          <w:rFonts w:hint="eastAsia" w:hAnsi="宋体" w:cs="宋体"/>
          <w:sz w:val="24"/>
          <w:szCs w:val="24"/>
          <w:u w:val="single"/>
        </w:rPr>
        <w:t>详按项目需求</w:t>
      </w:r>
      <w:r>
        <w:rPr>
          <w:rFonts w:hint="eastAsia" w:hAnsi="宋体" w:cs="宋体"/>
          <w:sz w:val="24"/>
          <w:szCs w:val="24"/>
        </w:rPr>
        <w:t>。</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二、合同金额</w:t>
      </w:r>
    </w:p>
    <w:p>
      <w:pPr>
        <w:pStyle w:val="22"/>
        <w:snapToGrid w:val="0"/>
        <w:spacing w:line="500" w:lineRule="exact"/>
        <w:ind w:firstLine="480" w:firstLineChars="200"/>
        <w:rPr>
          <w:rFonts w:hAnsi="宋体" w:cs="宋体"/>
          <w:sz w:val="24"/>
          <w:szCs w:val="24"/>
        </w:rPr>
      </w:pPr>
      <w:r>
        <w:rPr>
          <w:rFonts w:hint="eastAsia" w:hAnsi="宋体" w:cs="宋体"/>
          <w:sz w:val="24"/>
          <w:szCs w:val="24"/>
        </w:rPr>
        <w:t>2.1 本合同金额为（大写）：________元（_______________元）人民币或其他币种。</w:t>
      </w:r>
    </w:p>
    <w:p>
      <w:pPr>
        <w:spacing w:line="500" w:lineRule="exact"/>
        <w:ind w:firstLine="480" w:firstLineChars="200"/>
        <w:rPr>
          <w:rFonts w:ascii="宋体" w:hAnsi="宋体" w:cs="宋体"/>
          <w:bCs/>
          <w:sz w:val="24"/>
        </w:rPr>
      </w:pPr>
      <w:r>
        <w:rPr>
          <w:rFonts w:hint="eastAsia" w:ascii="宋体" w:hAnsi="宋体" w:cs="宋体"/>
          <w:bCs/>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三、技术资料</w:t>
      </w:r>
    </w:p>
    <w:p>
      <w:pPr>
        <w:spacing w:line="50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3.1乙方应按招标文件规定的时间向甲方提供使用货物和服务的有关技术资料。</w:t>
      </w:r>
    </w:p>
    <w:p>
      <w:pPr>
        <w:spacing w:line="500" w:lineRule="exact"/>
        <w:ind w:firstLine="480" w:firstLineChars="200"/>
        <w:rPr>
          <w:rFonts w:ascii="宋体" w:hAnsi="宋体" w:cs="宋体"/>
          <w:bCs/>
          <w:sz w:val="24"/>
        </w:rPr>
      </w:pPr>
      <w:r>
        <w:rPr>
          <w:rFonts w:hint="eastAsia"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四、知识产权</w:t>
      </w:r>
    </w:p>
    <w:p>
      <w:pPr>
        <w:spacing w:line="500" w:lineRule="exact"/>
        <w:ind w:firstLine="480" w:firstLineChars="200"/>
        <w:rPr>
          <w:rFonts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500" w:lineRule="exact"/>
        <w:ind w:firstLine="482" w:firstLineChars="200"/>
        <w:rPr>
          <w:rFonts w:hAnsi="宋体" w:cs="宋体"/>
          <w:sz w:val="24"/>
          <w:szCs w:val="24"/>
          <w:u w:val="single"/>
        </w:rPr>
      </w:pPr>
      <w:r>
        <w:rPr>
          <w:rFonts w:hint="eastAsia" w:hAnsi="宋体" w:cs="宋体"/>
          <w:b/>
          <w:sz w:val="24"/>
          <w:szCs w:val="24"/>
        </w:rPr>
        <w:t>五、产权担保</w:t>
      </w:r>
    </w:p>
    <w:p>
      <w:pPr>
        <w:pStyle w:val="22"/>
        <w:snapToGrid w:val="0"/>
        <w:spacing w:line="500" w:lineRule="exact"/>
        <w:ind w:firstLine="480" w:firstLineChars="200"/>
        <w:rPr>
          <w:rFonts w:hAnsi="宋体" w:cs="宋体"/>
          <w:sz w:val="24"/>
          <w:szCs w:val="24"/>
          <w:u w:val="single"/>
        </w:rPr>
      </w:pPr>
      <w:r>
        <w:rPr>
          <w:rFonts w:hint="eastAsia" w:hAnsi="宋体" w:cs="宋体"/>
          <w:sz w:val="24"/>
          <w:szCs w:val="24"/>
        </w:rPr>
        <w:t>5.1乙方保证所交付的货物</w:t>
      </w:r>
      <w:r>
        <w:rPr>
          <w:rFonts w:hint="eastAsia" w:hAnsi="宋体" w:cs="宋体"/>
          <w:bCs/>
          <w:sz w:val="24"/>
        </w:rPr>
        <w:t>和服务</w:t>
      </w:r>
      <w:r>
        <w:rPr>
          <w:rFonts w:hint="eastAsia" w:hAnsi="宋体" w:cs="宋体"/>
          <w:sz w:val="24"/>
          <w:szCs w:val="24"/>
        </w:rPr>
        <w:t>的所有权完全属于乙方且无任何抵押、查封等产权瑕疵。</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六、履约保证金</w:t>
      </w:r>
    </w:p>
    <w:p>
      <w:pPr>
        <w:pStyle w:val="22"/>
        <w:snapToGrid w:val="0"/>
        <w:spacing w:line="500" w:lineRule="exact"/>
        <w:ind w:firstLine="480" w:firstLineChars="200"/>
        <w:rPr>
          <w:rFonts w:hAnsi="宋体" w:cs="宋体"/>
          <w:sz w:val="24"/>
          <w:szCs w:val="24"/>
        </w:rPr>
      </w:pPr>
      <w:r>
        <w:rPr>
          <w:rFonts w:hint="eastAsia" w:hAnsi="宋体" w:cs="宋体"/>
          <w:sz w:val="24"/>
          <w:szCs w:val="24"/>
        </w:rPr>
        <w:t>6.1乙方交纳人民币______元作为本合同的履约保证金（合同金额的5%）。</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七、转包或分包</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7.3如有转让和未经甲方同意的分包行为，甲方有权给予终止合同。</w:t>
      </w:r>
    </w:p>
    <w:p>
      <w:pPr>
        <w:pStyle w:val="22"/>
        <w:snapToGrid w:val="0"/>
        <w:spacing w:line="500" w:lineRule="exact"/>
        <w:ind w:firstLine="482" w:firstLineChars="200"/>
        <w:rPr>
          <w:rFonts w:hAnsi="宋体" w:cs="宋体"/>
          <w:sz w:val="24"/>
          <w:szCs w:val="24"/>
        </w:rPr>
      </w:pPr>
      <w:r>
        <w:rPr>
          <w:rFonts w:hint="eastAsia" w:hAnsi="宋体" w:cs="宋体"/>
          <w:b/>
          <w:sz w:val="24"/>
          <w:szCs w:val="24"/>
        </w:rPr>
        <w:t>八、质保期</w:t>
      </w:r>
    </w:p>
    <w:p>
      <w:pPr>
        <w:pStyle w:val="22"/>
        <w:snapToGrid w:val="0"/>
        <w:spacing w:line="500" w:lineRule="exact"/>
        <w:ind w:firstLine="480" w:firstLineChars="200"/>
        <w:rPr>
          <w:rFonts w:hAnsi="宋体" w:cs="宋体"/>
          <w:color w:val="0000FF"/>
          <w:sz w:val="24"/>
          <w:szCs w:val="24"/>
          <w:u w:val="single"/>
        </w:rPr>
      </w:pPr>
      <w:r>
        <w:rPr>
          <w:rFonts w:hint="eastAsia" w:hAnsi="宋体" w:cs="宋体"/>
          <w:sz w:val="24"/>
          <w:szCs w:val="24"/>
        </w:rPr>
        <w:t xml:space="preserve">8.1 </w:t>
      </w:r>
      <w:r>
        <w:rPr>
          <w:rFonts w:hint="eastAsia" w:hAnsi="宋体" w:cs="宋体"/>
          <w:color w:val="0000FF"/>
          <w:sz w:val="24"/>
          <w:szCs w:val="24"/>
          <w:u w:val="single"/>
        </w:rPr>
        <w:t>本项目整套系统至少三年（如投标时承诺多于三年的按投标承诺执行）免费质保（上门服务），质保期内提供24小时免费上门维修服务，质保期后提供维修维护服务。（乙方在收到中标通知书后7个工作日内须提供原厂至少三年质保函原件，否则取消中标资格）</w:t>
      </w:r>
    </w:p>
    <w:p>
      <w:pPr>
        <w:pStyle w:val="22"/>
        <w:snapToGrid w:val="0"/>
        <w:spacing w:line="500" w:lineRule="exact"/>
        <w:ind w:firstLine="480" w:firstLineChars="200"/>
        <w:rPr>
          <w:rFonts w:hAnsi="宋体" w:cs="宋体"/>
          <w:sz w:val="24"/>
          <w:szCs w:val="24"/>
        </w:rPr>
      </w:pPr>
      <w:r>
        <w:rPr>
          <w:rFonts w:hint="eastAsia" w:hAnsi="宋体" w:cs="宋体"/>
          <w:color w:val="0000FF"/>
          <w:sz w:val="24"/>
          <w:szCs w:val="24"/>
          <w:u w:val="single"/>
        </w:rPr>
        <w:t>8.2质保期自交货验收合格之日起计。</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九、交货期、交货方式及交货地点</w:t>
      </w:r>
    </w:p>
    <w:p>
      <w:pPr>
        <w:pStyle w:val="22"/>
        <w:snapToGrid w:val="0"/>
        <w:spacing w:line="500" w:lineRule="exact"/>
        <w:ind w:firstLine="480" w:firstLineChars="200"/>
        <w:rPr>
          <w:rFonts w:hAnsi="宋体" w:cs="宋体"/>
          <w:bCs/>
          <w:sz w:val="24"/>
          <w:szCs w:val="24"/>
        </w:rPr>
      </w:pPr>
      <w:r>
        <w:rPr>
          <w:rFonts w:hint="eastAsia" w:hAnsi="宋体" w:cs="宋体"/>
          <w:bCs/>
          <w:sz w:val="24"/>
          <w:szCs w:val="24"/>
        </w:rPr>
        <w:t>9.1 交货期：</w:t>
      </w:r>
      <w:r>
        <w:rPr>
          <w:rFonts w:hint="eastAsia" w:hAnsi="宋体" w:cs="宋体"/>
          <w:sz w:val="24"/>
          <w:szCs w:val="24"/>
          <w:u w:val="single"/>
          <w:lang w:eastAsia="zh-TW"/>
        </w:rPr>
        <w:t>签订合同后30天</w:t>
      </w:r>
      <w:r>
        <w:rPr>
          <w:rFonts w:hint="eastAsia" w:hAnsi="宋体" w:cs="宋体"/>
          <w:sz w:val="24"/>
          <w:szCs w:val="24"/>
          <w:u w:val="single"/>
        </w:rPr>
        <w:t>完成安装调试（如甲方需要延时交付，可另行约定时间）。</w:t>
      </w:r>
    </w:p>
    <w:p>
      <w:pPr>
        <w:pStyle w:val="22"/>
        <w:snapToGrid w:val="0"/>
        <w:spacing w:line="500" w:lineRule="exact"/>
        <w:ind w:firstLine="480" w:firstLineChars="200"/>
        <w:rPr>
          <w:rFonts w:hAnsi="宋体" w:cs="宋体"/>
          <w:bCs/>
          <w:sz w:val="24"/>
          <w:szCs w:val="24"/>
        </w:rPr>
      </w:pPr>
      <w:r>
        <w:rPr>
          <w:rFonts w:hint="eastAsia" w:hAnsi="宋体" w:cs="宋体"/>
          <w:bCs/>
          <w:sz w:val="24"/>
          <w:szCs w:val="24"/>
        </w:rPr>
        <w:t>9.2 交货方式：</w:t>
      </w:r>
      <w:r>
        <w:rPr>
          <w:rFonts w:hint="eastAsia" w:hAnsi="宋体" w:cs="宋体"/>
          <w:sz w:val="24"/>
          <w:szCs w:val="24"/>
          <w:u w:val="single"/>
          <w:lang w:eastAsia="zh-TW"/>
        </w:rPr>
        <w:t>送货上门、安装与调试</w:t>
      </w:r>
      <w:r>
        <w:rPr>
          <w:rFonts w:hint="eastAsia" w:hAnsi="宋体" w:cs="宋体"/>
          <w:sz w:val="24"/>
          <w:szCs w:val="24"/>
          <w:u w:val="single"/>
        </w:rPr>
        <w:t>。</w:t>
      </w:r>
    </w:p>
    <w:p>
      <w:pPr>
        <w:pStyle w:val="22"/>
        <w:snapToGrid w:val="0"/>
        <w:spacing w:line="500" w:lineRule="exact"/>
        <w:ind w:firstLine="480" w:firstLineChars="200"/>
        <w:rPr>
          <w:rFonts w:hAnsi="宋体" w:cs="宋体"/>
          <w:sz w:val="24"/>
          <w:szCs w:val="24"/>
          <w:u w:val="single"/>
        </w:rPr>
      </w:pPr>
      <w:r>
        <w:rPr>
          <w:rFonts w:hint="eastAsia" w:hAnsi="宋体" w:cs="宋体"/>
          <w:bCs/>
          <w:sz w:val="24"/>
          <w:szCs w:val="24"/>
        </w:rPr>
        <w:t>9.3 交货地点：</w:t>
      </w:r>
      <w:r>
        <w:rPr>
          <w:rFonts w:hint="eastAsia" w:hAnsi="宋体" w:cs="宋体"/>
          <w:sz w:val="24"/>
          <w:szCs w:val="24"/>
          <w:u w:val="single"/>
          <w:lang w:eastAsia="zh-TW"/>
        </w:rPr>
        <w:t>甲方指定地点。</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十、货款支付</w:t>
      </w:r>
    </w:p>
    <w:p>
      <w:pPr>
        <w:pStyle w:val="39"/>
        <w:spacing w:before="0" w:beforeAutospacing="0" w:after="0" w:afterAutospacing="0"/>
        <w:ind w:firstLine="480" w:firstLineChars="200"/>
        <w:rPr>
          <w:b/>
          <w:bCs/>
          <w:sz w:val="28"/>
          <w:szCs w:val="28"/>
        </w:rPr>
      </w:pPr>
      <w:r>
        <w:rPr>
          <w:rFonts w:hint="eastAsia"/>
        </w:rPr>
        <w:t>10.1 付款方式：</w:t>
      </w:r>
      <w:r>
        <w:rPr>
          <w:rFonts w:hint="eastAsia"/>
          <w:kern w:val="2"/>
          <w:u w:val="single"/>
          <w:lang w:eastAsia="zh-TW"/>
        </w:rPr>
        <w:t>招标范围内容全部完成并经安装调试、培训结束，验收合格后付总价的90%；余款一年后根据售后服务情况付总价的5%。质保期满后根据售后服务情况付总价的5%。</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十一、税费</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11.1本合同执行中相关的一切税费均由乙方负担。</w:t>
      </w:r>
    </w:p>
    <w:p>
      <w:pPr>
        <w:pStyle w:val="22"/>
        <w:snapToGrid w:val="0"/>
        <w:spacing w:line="500" w:lineRule="exact"/>
        <w:ind w:firstLine="482" w:firstLineChars="200"/>
        <w:rPr>
          <w:rFonts w:hAnsi="宋体" w:cs="宋体"/>
          <w:sz w:val="24"/>
          <w:szCs w:val="24"/>
        </w:rPr>
      </w:pPr>
      <w:r>
        <w:rPr>
          <w:rFonts w:hint="eastAsia" w:hAnsi="宋体" w:cs="宋体"/>
          <w:b/>
          <w:sz w:val="24"/>
          <w:szCs w:val="24"/>
        </w:rPr>
        <w:t>十二、质量保证及售后服务</w:t>
      </w:r>
    </w:p>
    <w:p>
      <w:pPr>
        <w:spacing w:line="500" w:lineRule="exact"/>
        <w:ind w:firstLine="480" w:firstLineChars="200"/>
        <w:rPr>
          <w:rFonts w:ascii="宋体" w:hAnsi="宋体" w:cs="宋体"/>
          <w:sz w:val="24"/>
          <w:szCs w:val="24"/>
        </w:rPr>
      </w:pPr>
      <w:r>
        <w:rPr>
          <w:rFonts w:hint="eastAsia" w:ascii="宋体" w:hAnsi="宋体" w:cs="宋体"/>
          <w:sz w:val="24"/>
          <w:szCs w:val="24"/>
        </w:rPr>
        <w:t>12.1 乙方应按招标文件规定的货物性能、技术要求、质量标准向甲方提供未经使用的全新产品</w:t>
      </w:r>
      <w:r>
        <w:rPr>
          <w:rFonts w:hint="eastAsia" w:ascii="宋体" w:hAnsi="宋体" w:cs="宋体"/>
          <w:bCs/>
          <w:sz w:val="24"/>
        </w:rPr>
        <w:t>和服务</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12.2 乙方提供的货物</w:t>
      </w:r>
      <w:r>
        <w:rPr>
          <w:rFonts w:hint="eastAsia" w:ascii="宋体" w:hAnsi="宋体" w:cs="宋体"/>
          <w:bCs/>
          <w:sz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spacing w:line="500" w:lineRule="exact"/>
        <w:ind w:firstLine="480" w:firstLineChars="200"/>
        <w:rPr>
          <w:rFonts w:ascii="宋体" w:hAnsi="宋体" w:cs="宋体"/>
          <w:sz w:val="24"/>
          <w:szCs w:val="24"/>
        </w:rPr>
      </w:pPr>
      <w:r>
        <w:rPr>
          <w:rFonts w:hint="eastAsia" w:ascii="宋体" w:hAnsi="宋体" w:cs="宋体"/>
          <w:sz w:val="24"/>
          <w:szCs w:val="24"/>
        </w:rPr>
        <w:t>⑴更换：由乙方承担所发生的全部费用。</w:t>
      </w:r>
    </w:p>
    <w:p>
      <w:pPr>
        <w:spacing w:line="500" w:lineRule="exact"/>
        <w:ind w:firstLine="480" w:firstLineChars="200"/>
        <w:rPr>
          <w:rFonts w:ascii="宋体" w:hAnsi="宋体" w:cs="宋体"/>
          <w:sz w:val="24"/>
          <w:szCs w:val="24"/>
        </w:rPr>
      </w:pPr>
      <w:r>
        <w:rPr>
          <w:rFonts w:hint="eastAsia" w:ascii="宋体" w:hAnsi="宋体" w:cs="宋体"/>
          <w:sz w:val="24"/>
          <w:szCs w:val="24"/>
        </w:rPr>
        <w:t>⑵贬值处理：由甲乙双方合议定价。</w:t>
      </w:r>
    </w:p>
    <w:p>
      <w:pPr>
        <w:spacing w:line="500" w:lineRule="exact"/>
        <w:ind w:firstLine="480" w:firstLineChars="200"/>
        <w:rPr>
          <w:rFonts w:ascii="宋体" w:hAnsi="宋体" w:cs="宋体"/>
          <w:sz w:val="24"/>
          <w:szCs w:val="24"/>
        </w:rPr>
      </w:pPr>
      <w:r>
        <w:rPr>
          <w:rFonts w:hint="eastAsia" w:ascii="宋体" w:hAnsi="宋体" w:cs="宋体"/>
          <w:sz w:val="24"/>
          <w:szCs w:val="24"/>
        </w:rPr>
        <w:t>⑶退货处理：乙方应退还甲方支付的合同款，同时应承担该货物</w:t>
      </w:r>
      <w:r>
        <w:rPr>
          <w:rFonts w:hint="eastAsia" w:ascii="宋体" w:hAnsi="宋体" w:cs="宋体"/>
          <w:bCs/>
          <w:sz w:val="24"/>
        </w:rPr>
        <w:t>和服务</w:t>
      </w:r>
      <w:r>
        <w:rPr>
          <w:rFonts w:hint="eastAsia" w:ascii="宋体" w:hAnsi="宋体" w:cs="宋体"/>
          <w:sz w:val="24"/>
          <w:szCs w:val="24"/>
        </w:rPr>
        <w:t>的直接费用（运输、保险、检验、货款利息及银行手续费等）。</w:t>
      </w:r>
    </w:p>
    <w:p>
      <w:pPr>
        <w:spacing w:line="500" w:lineRule="exact"/>
        <w:ind w:firstLine="480" w:firstLineChars="200"/>
        <w:rPr>
          <w:rFonts w:ascii="宋体" w:hAnsi="宋体" w:cs="宋体"/>
          <w:bCs/>
          <w:color w:val="0000FF"/>
          <w:sz w:val="24"/>
        </w:rPr>
      </w:pPr>
      <w:r>
        <w:rPr>
          <w:rFonts w:hint="eastAsia" w:ascii="宋体" w:hAnsi="宋体" w:cs="宋体"/>
          <w:bCs/>
          <w:color w:val="0000FF"/>
          <w:sz w:val="24"/>
        </w:rPr>
        <w:t>12.3 在质保期内，乙方应对货物和服务出现的质量及安全问题负责处理解决并承担一切费用，提供7*24小时免费上门维修服务，并在接到甲方通知后在60分钟内响应，第二自然日到达现场提供免费上门维修服务。</w:t>
      </w:r>
    </w:p>
    <w:p>
      <w:pPr>
        <w:spacing w:line="500" w:lineRule="exact"/>
        <w:ind w:firstLine="480" w:firstLineChars="200"/>
        <w:rPr>
          <w:rFonts w:ascii="宋体" w:hAnsi="宋体" w:cs="宋体"/>
          <w:sz w:val="24"/>
          <w:szCs w:val="24"/>
        </w:rPr>
      </w:pPr>
      <w:r>
        <w:rPr>
          <w:rFonts w:hint="eastAsia" w:ascii="宋体" w:hAnsi="宋体" w:cs="宋体"/>
          <w:sz w:val="24"/>
          <w:szCs w:val="24"/>
        </w:rPr>
        <w:t>12.4乙方须向甲方免费提供培训服务，确保使用者完全会使用及操作为止。</w:t>
      </w:r>
    </w:p>
    <w:p>
      <w:pPr>
        <w:spacing w:line="500" w:lineRule="exact"/>
        <w:ind w:firstLine="480" w:firstLineChars="200"/>
        <w:rPr>
          <w:rFonts w:ascii="宋体" w:hAnsi="宋体" w:cs="宋体"/>
          <w:sz w:val="24"/>
          <w:szCs w:val="24"/>
        </w:rPr>
      </w:pPr>
      <w:r>
        <w:rPr>
          <w:rFonts w:hint="eastAsia" w:ascii="宋体" w:hAnsi="宋体" w:cs="宋体"/>
          <w:sz w:val="24"/>
          <w:szCs w:val="24"/>
        </w:rPr>
        <w:t>12.5上述的货物免费保修期，因人为因素出现的故障不在免费保修范围内。超过保修期的机器设备，终生维修，维修时只收部件成本费。</w:t>
      </w:r>
    </w:p>
    <w:p>
      <w:pPr>
        <w:spacing w:line="500" w:lineRule="exact"/>
        <w:ind w:firstLine="480" w:firstLineChars="200"/>
        <w:rPr>
          <w:rFonts w:ascii="宋体" w:hAnsi="宋体" w:cs="宋体"/>
          <w:sz w:val="24"/>
          <w:szCs w:val="24"/>
        </w:rPr>
      </w:pPr>
      <w:r>
        <w:rPr>
          <w:rFonts w:hint="eastAsia" w:ascii="宋体" w:hAnsi="宋体" w:cs="宋体"/>
          <w:sz w:val="24"/>
          <w:szCs w:val="24"/>
        </w:rPr>
        <w:t>12.6乙方提供的产品必须是满足招标方要求的全新现货。产品质量稳定且符合国家和有关部门质量检测标准及相关要求。如果投标货物实行生产许可证制度，应有生产许可证。</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十三、调试和验收</w:t>
      </w:r>
    </w:p>
    <w:p>
      <w:pPr>
        <w:spacing w:line="500" w:lineRule="exact"/>
        <w:ind w:firstLine="480" w:firstLineChars="200"/>
        <w:rPr>
          <w:rFonts w:ascii="宋体" w:hAnsi="宋体" w:cs="宋体"/>
          <w:sz w:val="24"/>
          <w:szCs w:val="24"/>
        </w:rPr>
      </w:pPr>
      <w:r>
        <w:rPr>
          <w:rFonts w:hint="eastAsia" w:ascii="宋体" w:hAnsi="宋体" w:cs="宋体"/>
          <w:sz w:val="24"/>
          <w:szCs w:val="24"/>
        </w:rPr>
        <w:t>13.1 甲方对乙方提交的货物</w:t>
      </w:r>
      <w:r>
        <w:rPr>
          <w:rFonts w:hint="eastAsia" w:ascii="宋体" w:hAnsi="宋体" w:cs="宋体"/>
          <w:bCs/>
          <w:sz w:val="24"/>
        </w:rPr>
        <w:t>和服务</w:t>
      </w:r>
      <w:r>
        <w:rPr>
          <w:rFonts w:hint="eastAsia" w:ascii="宋体" w:hAnsi="宋体" w:cs="宋体"/>
          <w:sz w:val="24"/>
          <w:szCs w:val="24"/>
        </w:rPr>
        <w:t>依据招标文件上的技术规格要求和国家有关质量标准进行现场初步验收，外观、说明书符合招标文件技术要求的，给予签收，初步验收不合格的不予签收。</w:t>
      </w:r>
    </w:p>
    <w:p>
      <w:pPr>
        <w:spacing w:line="500" w:lineRule="exact"/>
        <w:ind w:firstLine="480" w:firstLineChars="200"/>
        <w:rPr>
          <w:rFonts w:ascii="宋体" w:hAnsi="宋体" w:cs="宋体"/>
          <w:sz w:val="24"/>
          <w:szCs w:val="24"/>
        </w:rPr>
      </w:pPr>
      <w:r>
        <w:rPr>
          <w:rFonts w:hint="eastAsia" w:ascii="宋体" w:hAnsi="宋体" w:cs="宋体"/>
          <w:sz w:val="24"/>
          <w:szCs w:val="24"/>
        </w:rPr>
        <w:t>13.2 乙方交付前应对产品作出全面检查和对验收文件进行整理，并列出清单，作为甲方验收和使用的技术条件依据，检验的结果应一并交甲方。</w:t>
      </w:r>
    </w:p>
    <w:p>
      <w:pPr>
        <w:spacing w:line="500" w:lineRule="exact"/>
        <w:ind w:firstLine="480" w:firstLineChars="200"/>
        <w:rPr>
          <w:rFonts w:ascii="宋体" w:hAnsi="宋体" w:cs="宋体"/>
          <w:sz w:val="24"/>
          <w:szCs w:val="24"/>
        </w:rPr>
      </w:pPr>
      <w:r>
        <w:rPr>
          <w:rFonts w:hint="eastAsia" w:ascii="宋体" w:hAnsi="宋体" w:cs="宋体"/>
          <w:sz w:val="24"/>
          <w:szCs w:val="24"/>
        </w:rPr>
        <w:t>13.3 甲方对乙方提供的货物</w:t>
      </w:r>
      <w:r>
        <w:rPr>
          <w:rFonts w:hint="eastAsia" w:ascii="宋体" w:hAnsi="宋体" w:cs="宋体"/>
          <w:bCs/>
          <w:sz w:val="24"/>
        </w:rPr>
        <w:t>和服务</w:t>
      </w:r>
      <w:r>
        <w:rPr>
          <w:rFonts w:hint="eastAsia" w:ascii="宋体" w:hAnsi="宋体" w:cs="宋体"/>
          <w:sz w:val="24"/>
          <w:szCs w:val="24"/>
        </w:rPr>
        <w:t>在使用前进行调试时，乙方需负责安装并培训甲方的使用操作人员，并协助甲方一起调试，直到符合技术要求，甲方才做最终验收。</w:t>
      </w:r>
    </w:p>
    <w:p>
      <w:pPr>
        <w:spacing w:line="500" w:lineRule="exact"/>
        <w:ind w:firstLine="480" w:firstLineChars="200"/>
        <w:rPr>
          <w:rFonts w:ascii="宋体" w:hAnsi="宋体" w:cs="宋体"/>
          <w:sz w:val="24"/>
          <w:szCs w:val="24"/>
        </w:rPr>
      </w:pPr>
      <w:r>
        <w:rPr>
          <w:rFonts w:hint="eastAsia" w:ascii="宋体" w:hAnsi="宋体" w:cs="宋体"/>
          <w:sz w:val="24"/>
          <w:szCs w:val="24"/>
        </w:rPr>
        <w:t>13.4 对技术复杂的货物</w:t>
      </w:r>
      <w:r>
        <w:rPr>
          <w:rFonts w:hint="eastAsia" w:ascii="宋体" w:hAnsi="宋体" w:cs="宋体"/>
          <w:bCs/>
          <w:sz w:val="24"/>
        </w:rPr>
        <w:t>和服务</w:t>
      </w:r>
      <w:r>
        <w:rPr>
          <w:rFonts w:hint="eastAsia" w:ascii="宋体" w:hAnsi="宋体" w:cs="宋体"/>
          <w:sz w:val="24"/>
          <w:szCs w:val="24"/>
        </w:rPr>
        <w:t>，甲方可请国家认可的专业检测机构参与初步验收及最终验收，并由其出具质量检测报告。</w:t>
      </w:r>
    </w:p>
    <w:p>
      <w:pPr>
        <w:spacing w:line="500" w:lineRule="exact"/>
        <w:ind w:firstLine="480" w:firstLineChars="200"/>
        <w:rPr>
          <w:rFonts w:ascii="宋体" w:hAnsi="宋体" w:cs="宋体"/>
          <w:sz w:val="24"/>
          <w:szCs w:val="24"/>
        </w:rPr>
      </w:pPr>
      <w:r>
        <w:rPr>
          <w:rFonts w:hint="eastAsia" w:ascii="宋体" w:hAnsi="宋体" w:cs="宋体"/>
          <w:sz w:val="24"/>
          <w:szCs w:val="24"/>
        </w:rPr>
        <w:t>13.5 验收时乙方必须在现场，验收完毕后作出验收结果报告；验收费用由甲乙双方协商解决。</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十四、货物包装、发运及运输</w:t>
      </w:r>
    </w:p>
    <w:p>
      <w:pPr>
        <w:spacing w:line="500" w:lineRule="exact"/>
        <w:ind w:firstLine="480" w:firstLineChars="200"/>
        <w:rPr>
          <w:rFonts w:ascii="宋体" w:hAnsi="宋体" w:cs="宋体"/>
          <w:sz w:val="24"/>
          <w:szCs w:val="24"/>
        </w:rPr>
      </w:pPr>
      <w:r>
        <w:rPr>
          <w:rFonts w:hint="eastAsia" w:ascii="宋体" w:hAnsi="宋体" w:cs="宋体"/>
          <w:sz w:val="24"/>
          <w:szCs w:val="24"/>
        </w:rPr>
        <w:t>14.1 乙方应在货物发运前对其进行满足运输距离、防潮、防震、防锈和防破损装卸等要求包装，以保证货物安全运达甲方指定地点。</w:t>
      </w:r>
    </w:p>
    <w:p>
      <w:pPr>
        <w:spacing w:line="500" w:lineRule="exact"/>
        <w:ind w:firstLine="480" w:firstLineChars="200"/>
        <w:rPr>
          <w:rFonts w:ascii="宋体" w:hAnsi="宋体" w:cs="宋体"/>
          <w:sz w:val="24"/>
          <w:szCs w:val="24"/>
        </w:rPr>
      </w:pPr>
      <w:r>
        <w:rPr>
          <w:rFonts w:hint="eastAsia" w:ascii="宋体" w:hAnsi="宋体" w:cs="宋体"/>
          <w:sz w:val="24"/>
          <w:szCs w:val="24"/>
        </w:rPr>
        <w:t>14.2 使用说明书、质量检验证明书、随配附件和工具以及清单一并附于货物内。</w:t>
      </w:r>
    </w:p>
    <w:p>
      <w:pPr>
        <w:spacing w:line="500" w:lineRule="exact"/>
        <w:ind w:firstLine="480" w:firstLineChars="200"/>
        <w:rPr>
          <w:rFonts w:ascii="宋体" w:hAnsi="宋体" w:cs="宋体"/>
          <w:sz w:val="24"/>
          <w:szCs w:val="24"/>
        </w:rPr>
      </w:pPr>
      <w:r>
        <w:rPr>
          <w:rFonts w:hint="eastAsia" w:ascii="宋体" w:hAnsi="宋体" w:cs="宋体"/>
          <w:sz w:val="24"/>
          <w:szCs w:val="24"/>
        </w:rPr>
        <w:t>14.3 乙方在货物发运手续办理完毕后24小时内或货到甲方48小时前通知甲方，以准备接货。</w:t>
      </w:r>
    </w:p>
    <w:p>
      <w:pPr>
        <w:spacing w:line="500" w:lineRule="exact"/>
        <w:ind w:firstLine="480" w:firstLineChars="200"/>
        <w:rPr>
          <w:rFonts w:ascii="宋体" w:hAnsi="宋体" w:cs="宋体"/>
          <w:sz w:val="24"/>
          <w:szCs w:val="24"/>
        </w:rPr>
      </w:pPr>
      <w:r>
        <w:rPr>
          <w:rFonts w:hint="eastAsia" w:ascii="宋体" w:hAnsi="宋体" w:cs="宋体"/>
          <w:sz w:val="24"/>
          <w:szCs w:val="24"/>
        </w:rPr>
        <w:t>14.4 货物</w:t>
      </w:r>
      <w:r>
        <w:rPr>
          <w:rFonts w:hint="eastAsia" w:ascii="宋体" w:hAnsi="宋体" w:cs="宋体"/>
          <w:bCs/>
          <w:sz w:val="24"/>
        </w:rPr>
        <w:t>和服务</w:t>
      </w:r>
      <w:r>
        <w:rPr>
          <w:rFonts w:hint="eastAsia" w:ascii="宋体" w:hAnsi="宋体" w:cs="宋体"/>
          <w:sz w:val="24"/>
          <w:szCs w:val="24"/>
        </w:rPr>
        <w:t>在交付甲方前发生的风险均由乙方负责。</w:t>
      </w:r>
    </w:p>
    <w:p>
      <w:pPr>
        <w:spacing w:line="500" w:lineRule="exact"/>
        <w:ind w:firstLine="480" w:firstLineChars="200"/>
        <w:rPr>
          <w:rFonts w:ascii="宋体" w:hAnsi="宋体" w:cs="宋体"/>
          <w:sz w:val="24"/>
          <w:szCs w:val="24"/>
        </w:rPr>
      </w:pPr>
      <w:r>
        <w:rPr>
          <w:rFonts w:hint="eastAsia" w:ascii="宋体" w:hAnsi="宋体" w:cs="宋体"/>
          <w:sz w:val="24"/>
          <w:szCs w:val="24"/>
        </w:rPr>
        <w:t>14.5 货物在规定的交付期限内由乙方送达甲方指定的地点视为交付，乙方同时需通知甲方货物已送达。</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十五、违约责任</w:t>
      </w:r>
    </w:p>
    <w:p>
      <w:pPr>
        <w:spacing w:line="500" w:lineRule="exact"/>
        <w:ind w:firstLine="480" w:firstLineChars="200"/>
        <w:rPr>
          <w:rFonts w:ascii="宋体" w:hAnsi="宋体" w:cs="宋体"/>
          <w:sz w:val="24"/>
          <w:szCs w:val="24"/>
        </w:rPr>
      </w:pPr>
      <w:r>
        <w:rPr>
          <w:rFonts w:hint="eastAsia" w:ascii="宋体" w:hAnsi="宋体" w:cs="宋体"/>
          <w:sz w:val="24"/>
          <w:szCs w:val="24"/>
        </w:rPr>
        <w:t>15.1 甲方无正当理由拒收货物</w:t>
      </w:r>
      <w:r>
        <w:rPr>
          <w:rFonts w:hint="eastAsia" w:ascii="宋体" w:hAnsi="宋体" w:cs="宋体"/>
          <w:bCs/>
          <w:sz w:val="24"/>
        </w:rPr>
        <w:t>和服务</w:t>
      </w:r>
      <w:r>
        <w:rPr>
          <w:rFonts w:hint="eastAsia" w:ascii="宋体" w:hAnsi="宋体" w:cs="宋体"/>
          <w:sz w:val="24"/>
          <w:szCs w:val="24"/>
        </w:rPr>
        <w:t>的，甲方向乙方偿付拒收货款总值的百分之五违约金。</w:t>
      </w:r>
    </w:p>
    <w:p>
      <w:pPr>
        <w:spacing w:line="500" w:lineRule="exact"/>
        <w:ind w:firstLine="480" w:firstLineChars="200"/>
        <w:rPr>
          <w:rFonts w:ascii="宋体" w:hAnsi="宋体" w:cs="宋体"/>
          <w:sz w:val="24"/>
          <w:szCs w:val="24"/>
        </w:rPr>
      </w:pPr>
      <w:r>
        <w:rPr>
          <w:rFonts w:hint="eastAsia" w:ascii="宋体" w:hAnsi="宋体" w:cs="宋体"/>
          <w:sz w:val="24"/>
          <w:szCs w:val="24"/>
        </w:rPr>
        <w:t>15.2 甲方无故逾期验收和办理合同款支付手续的,甲方应按逾期付款总额每日万分之五向乙方支付违约金。</w:t>
      </w:r>
    </w:p>
    <w:p>
      <w:pPr>
        <w:spacing w:line="500" w:lineRule="exact"/>
        <w:ind w:firstLine="480" w:firstLineChars="200"/>
        <w:rPr>
          <w:rFonts w:ascii="宋体" w:hAnsi="宋体" w:cs="宋体"/>
          <w:sz w:val="24"/>
          <w:szCs w:val="24"/>
        </w:rPr>
      </w:pPr>
      <w:r>
        <w:rPr>
          <w:rFonts w:hint="eastAsia" w:ascii="宋体" w:hAnsi="宋体" w:cs="宋体"/>
          <w:sz w:val="24"/>
          <w:szCs w:val="24"/>
        </w:rPr>
        <w:t>15.3 乙方逾期交付货物</w:t>
      </w:r>
      <w:r>
        <w:rPr>
          <w:rFonts w:hint="eastAsia" w:ascii="宋体" w:hAnsi="宋体" w:cs="宋体"/>
          <w:bCs/>
          <w:sz w:val="24"/>
        </w:rPr>
        <w:t>和服务</w:t>
      </w:r>
      <w:r>
        <w:rPr>
          <w:rFonts w:hint="eastAsia" w:ascii="宋体" w:hAnsi="宋体" w:cs="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500" w:lineRule="exact"/>
        <w:ind w:firstLine="480" w:firstLineChars="200"/>
        <w:rPr>
          <w:rFonts w:ascii="宋体" w:hAnsi="宋体" w:cs="宋体"/>
          <w:sz w:val="24"/>
          <w:szCs w:val="24"/>
        </w:rPr>
      </w:pPr>
      <w:r>
        <w:rPr>
          <w:rFonts w:hint="eastAsia" w:ascii="宋体" w:hAnsi="宋体" w:cs="宋体"/>
          <w:sz w:val="24"/>
          <w:szCs w:val="24"/>
        </w:rPr>
        <w:t>15.4 乙方所交的货物</w:t>
      </w:r>
      <w:r>
        <w:rPr>
          <w:rFonts w:hint="eastAsia" w:ascii="宋体" w:hAnsi="宋体" w:cs="宋体"/>
          <w:bCs/>
          <w:sz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rPr>
        <w:t>和服务</w:t>
      </w:r>
      <w:r>
        <w:rPr>
          <w:rFonts w:hint="eastAsia" w:ascii="宋体" w:hAnsi="宋体" w:cs="宋体"/>
          <w:sz w:val="24"/>
          <w:szCs w:val="24"/>
        </w:rPr>
        <w:t>的，甲方可单方面解除合同。</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十六、不可抗力事件处理</w:t>
      </w:r>
    </w:p>
    <w:p>
      <w:pPr>
        <w:spacing w:line="500" w:lineRule="exact"/>
        <w:ind w:firstLine="480" w:firstLineChars="200"/>
        <w:rPr>
          <w:rFonts w:ascii="宋体" w:hAnsi="宋体" w:cs="宋体"/>
          <w:sz w:val="24"/>
          <w:szCs w:val="24"/>
        </w:rPr>
      </w:pPr>
      <w:r>
        <w:rPr>
          <w:rFonts w:hint="eastAsia" w:ascii="宋体" w:hAnsi="宋体" w:cs="宋体"/>
          <w:sz w:val="24"/>
          <w:szCs w:val="24"/>
        </w:rPr>
        <w:t>16.1 在合同有效期内，任何一方因不可抗力事件导致不能履行合同，则合同履行期可延长，其延长期与不可抗力影响期相同。</w:t>
      </w:r>
    </w:p>
    <w:p>
      <w:pPr>
        <w:spacing w:line="500" w:lineRule="exact"/>
        <w:ind w:firstLine="480" w:firstLineChars="200"/>
        <w:rPr>
          <w:rFonts w:ascii="宋体" w:hAnsi="宋体" w:cs="宋体"/>
          <w:sz w:val="24"/>
          <w:szCs w:val="24"/>
        </w:rPr>
      </w:pPr>
      <w:r>
        <w:rPr>
          <w:rFonts w:hint="eastAsia" w:ascii="宋体" w:hAnsi="宋体" w:cs="宋体"/>
          <w:sz w:val="24"/>
          <w:szCs w:val="24"/>
        </w:rPr>
        <w:t>16.2 不可抗力事件发生后，应立即通知对方，并寄送有关权威机构出具的证明。</w:t>
      </w:r>
    </w:p>
    <w:p>
      <w:pPr>
        <w:spacing w:line="500" w:lineRule="exact"/>
        <w:ind w:firstLine="480" w:firstLineChars="200"/>
        <w:rPr>
          <w:rFonts w:ascii="宋体" w:hAnsi="宋体" w:cs="宋体"/>
          <w:sz w:val="24"/>
          <w:szCs w:val="24"/>
        </w:rPr>
      </w:pPr>
      <w:r>
        <w:rPr>
          <w:rFonts w:hint="eastAsia" w:ascii="宋体" w:hAnsi="宋体" w:cs="宋体"/>
          <w:sz w:val="24"/>
          <w:szCs w:val="24"/>
        </w:rPr>
        <w:t>16.3 不可抗力事件延续120天以上，双方应通过友好协商，确定是否继续履行合同。</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十七、诉讼</w:t>
      </w:r>
    </w:p>
    <w:p>
      <w:pPr>
        <w:spacing w:line="500" w:lineRule="exact"/>
        <w:ind w:firstLine="480" w:firstLineChars="200"/>
        <w:rPr>
          <w:rFonts w:ascii="宋体" w:hAnsi="宋体" w:cs="宋体"/>
          <w:sz w:val="24"/>
          <w:szCs w:val="24"/>
        </w:rPr>
      </w:pPr>
      <w:r>
        <w:rPr>
          <w:rFonts w:hint="eastAsia" w:ascii="宋体" w:hAnsi="宋体" w:cs="宋体"/>
          <w:sz w:val="24"/>
          <w:szCs w:val="24"/>
        </w:rPr>
        <w:t>17.1 双方在执行合同中所发生的一切争议，应通过协商解决。如协商不成，可向合同签订地法院起诉，合同签订地在此约定为盐城市。</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十八、合同生效及其它</w:t>
      </w:r>
    </w:p>
    <w:p>
      <w:pPr>
        <w:spacing w:line="500" w:lineRule="exact"/>
        <w:ind w:firstLine="480" w:firstLineChars="200"/>
        <w:rPr>
          <w:rFonts w:ascii="宋体" w:hAnsi="宋体" w:cs="宋体"/>
          <w:sz w:val="24"/>
          <w:szCs w:val="24"/>
        </w:rPr>
      </w:pPr>
      <w:r>
        <w:rPr>
          <w:rFonts w:hint="eastAsia" w:ascii="宋体" w:hAnsi="宋体" w:cs="宋体"/>
          <w:sz w:val="24"/>
          <w:szCs w:val="24"/>
        </w:rPr>
        <w:t>18.1 合同经双方法定代表人或授权委托代表人签字并加盖单位公章后生效。</w:t>
      </w:r>
    </w:p>
    <w:p>
      <w:pPr>
        <w:spacing w:line="500" w:lineRule="exact"/>
        <w:ind w:firstLine="480" w:firstLineChars="200"/>
        <w:rPr>
          <w:rFonts w:ascii="宋体" w:hAnsi="宋体" w:cs="宋体"/>
          <w:sz w:val="24"/>
          <w:szCs w:val="24"/>
        </w:rPr>
      </w:pPr>
      <w:r>
        <w:rPr>
          <w:rFonts w:hint="eastAsia" w:ascii="宋体" w:hAnsi="宋体" w:cs="宋体"/>
          <w:sz w:val="24"/>
          <w:szCs w:val="24"/>
        </w:rPr>
        <w:t>18.2本合同未尽事宜，遵照《合同法》有关条文执行。</w:t>
      </w:r>
    </w:p>
    <w:p>
      <w:pPr>
        <w:spacing w:line="500" w:lineRule="exact"/>
        <w:ind w:firstLine="480" w:firstLineChars="200"/>
        <w:rPr>
          <w:rFonts w:ascii="宋体" w:hAnsi="宋体" w:cs="宋体"/>
          <w:sz w:val="24"/>
          <w:szCs w:val="24"/>
        </w:rPr>
      </w:pPr>
      <w:r>
        <w:rPr>
          <w:rFonts w:hint="eastAsia" w:ascii="宋体" w:hAnsi="宋体" w:cs="宋体"/>
          <w:sz w:val="24"/>
          <w:szCs w:val="24"/>
        </w:rPr>
        <w:t>18.3 本合同正本一式二份，副本一式六份，具有同等法律效力。</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w:t>
      </w:r>
    </w:p>
    <w:p>
      <w:pPr>
        <w:pStyle w:val="22"/>
        <w:snapToGrid w:val="0"/>
        <w:spacing w:line="500" w:lineRule="exact"/>
        <w:ind w:firstLine="720" w:firstLineChars="300"/>
        <w:rPr>
          <w:rFonts w:hAnsi="宋体" w:cs="宋体"/>
          <w:sz w:val="24"/>
          <w:szCs w:val="24"/>
        </w:rPr>
      </w:pPr>
      <w:r>
        <w:rPr>
          <w:rFonts w:hint="eastAsia" w:hAnsi="宋体" w:cs="宋体"/>
          <w:sz w:val="24"/>
          <w:szCs w:val="24"/>
        </w:rPr>
        <w:t xml:space="preserve">甲方：                                   乙方： </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地址：                                   地址： </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法定代表人或授权代表：                   法定代表人或授权代表：</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采购单位负责人：</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联系电话：                               联系电话：</w:t>
      </w:r>
    </w:p>
    <w:p>
      <w:pPr>
        <w:pStyle w:val="22"/>
        <w:snapToGrid w:val="0"/>
        <w:spacing w:line="500" w:lineRule="exact"/>
        <w:jc w:val="right"/>
        <w:rPr>
          <w:rFonts w:hAnsi="宋体" w:cs="宋体"/>
          <w:b/>
          <w:sz w:val="44"/>
        </w:rPr>
        <w:sectPr>
          <w:footerReference r:id="rId6" w:type="default"/>
          <w:pgSz w:w="11906" w:h="16838"/>
          <w:pgMar w:top="1418" w:right="1588" w:bottom="1418" w:left="1365" w:header="851" w:footer="907" w:gutter="0"/>
          <w:pgNumType w:fmt="numberInDash" w:start="1"/>
          <w:cols w:space="720" w:num="1"/>
          <w:docGrid w:type="lines" w:linePitch="290" w:charSpace="0"/>
        </w:sectPr>
      </w:pPr>
      <w:r>
        <w:rPr>
          <w:rFonts w:hint="eastAsia" w:hAnsi="宋体" w:cs="宋体"/>
        </w:rPr>
        <w:t xml:space="preserve">                                        </w:t>
      </w:r>
      <w:r>
        <w:rPr>
          <w:rFonts w:hint="eastAsia" w:hAnsi="宋体" w:cs="宋体"/>
          <w:sz w:val="24"/>
          <w:szCs w:val="24"/>
        </w:rPr>
        <w:t xml:space="preserve">  签订日期：      年  月  日</w:t>
      </w:r>
    </w:p>
    <w:p>
      <w:pPr>
        <w:pStyle w:val="3"/>
        <w:rPr>
          <w:rFonts w:ascii="宋体" w:hAnsi="宋体" w:eastAsia="宋体" w:cs="宋体"/>
          <w:b/>
          <w:sz w:val="44"/>
        </w:rPr>
      </w:pPr>
      <w:r>
        <w:rPr>
          <w:rFonts w:hint="eastAsia" w:ascii="宋体" w:hAnsi="宋体" w:eastAsia="宋体" w:cs="宋体"/>
          <w:b/>
          <w:sz w:val="44"/>
        </w:rPr>
        <w:t>第</w:t>
      </w:r>
      <w:bookmarkEnd w:id="153"/>
      <w:r>
        <w:rPr>
          <w:rFonts w:hint="eastAsia" w:ascii="宋体" w:hAnsi="宋体" w:eastAsia="宋体" w:cs="宋体"/>
          <w:b/>
          <w:sz w:val="44"/>
        </w:rPr>
        <w:t>四章 项目需求</w:t>
      </w:r>
      <w:bookmarkEnd w:id="154"/>
      <w:bookmarkEnd w:id="155"/>
      <w:bookmarkEnd w:id="156"/>
      <w:bookmarkStart w:id="159" w:name="_Toc49090575"/>
      <w:bookmarkStart w:id="160" w:name="_Toc120614281"/>
      <w:bookmarkStart w:id="161" w:name="_Toc26554093"/>
    </w:p>
    <w:p>
      <w:pPr>
        <w:pStyle w:val="39"/>
        <w:spacing w:before="0" w:beforeAutospacing="0" w:after="0" w:afterAutospacing="0" w:line="440" w:lineRule="exact"/>
        <w:ind w:firstLine="482" w:firstLineChars="200"/>
        <w:rPr>
          <w:b/>
          <w:bCs/>
          <w:kern w:val="2"/>
        </w:rPr>
      </w:pPr>
      <w:r>
        <w:rPr>
          <w:rFonts w:hint="eastAsia"/>
          <w:b/>
          <w:bCs/>
          <w:kern w:val="2"/>
        </w:rPr>
        <w:t>一、项目用途、预期效果或要求</w:t>
      </w:r>
    </w:p>
    <w:p>
      <w:pPr>
        <w:pStyle w:val="39"/>
        <w:spacing w:before="0" w:beforeAutospacing="0" w:after="0" w:afterAutospacing="0" w:line="440" w:lineRule="exact"/>
        <w:ind w:firstLine="480" w:firstLineChars="200"/>
        <w:rPr>
          <w:kern w:val="2"/>
        </w:rPr>
      </w:pPr>
      <w:r>
        <w:rPr>
          <w:rFonts w:hint="eastAsia"/>
          <w:kern w:val="2"/>
        </w:rPr>
        <w:t>本项目是网络安全实验室建设的一项内容，通过购买多媒体设备，完善网络安全实验室功能，包括多媒体教室音视频设备的设计、制作、运输、线路敷设、安装、调试并安装等内容。</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二、招标工程量清单</w:t>
      </w:r>
    </w:p>
    <w:tbl>
      <w:tblPr>
        <w:tblStyle w:val="44"/>
        <w:tblW w:w="9206" w:type="dxa"/>
        <w:tblInd w:w="0" w:type="dxa"/>
        <w:tblLayout w:type="fixed"/>
        <w:tblCellMar>
          <w:top w:w="0" w:type="dxa"/>
          <w:left w:w="0" w:type="dxa"/>
          <w:bottom w:w="0" w:type="dxa"/>
          <w:right w:w="0" w:type="dxa"/>
        </w:tblCellMar>
      </w:tblPr>
      <w:tblGrid>
        <w:gridCol w:w="581"/>
        <w:gridCol w:w="1844"/>
        <w:gridCol w:w="3734"/>
        <w:gridCol w:w="602"/>
        <w:gridCol w:w="889"/>
        <w:gridCol w:w="1556"/>
      </w:tblGrid>
      <w:tr>
        <w:tblPrEx>
          <w:tblCellMar>
            <w:top w:w="0" w:type="dxa"/>
            <w:left w:w="0" w:type="dxa"/>
            <w:bottom w:w="0" w:type="dxa"/>
            <w:right w:w="0" w:type="dxa"/>
          </w:tblCellMar>
        </w:tblPrEx>
        <w:trPr>
          <w:trHeight w:val="649" w:hRule="atLeast"/>
        </w:trPr>
        <w:tc>
          <w:tcPr>
            <w:tcW w:w="581" w:type="dxa"/>
            <w:tcBorders>
              <w:top w:val="single" w:color="000000" w:sz="4" w:space="0"/>
              <w:left w:val="single" w:color="000000" w:sz="4" w:space="0"/>
              <w:bottom w:val="single" w:color="000000" w:sz="4" w:space="0"/>
              <w:right w:val="single" w:color="000000" w:sz="4" w:space="0"/>
            </w:tcBorders>
            <w:shd w:val="clear" w:color="auto" w:fill="96BDF0"/>
            <w:tcMar>
              <w:top w:w="15" w:type="dxa"/>
              <w:left w:w="15" w:type="dxa"/>
              <w:right w:w="15" w:type="dxa"/>
            </w:tcMar>
            <w:vAlign w:val="center"/>
          </w:tcPr>
          <w:p>
            <w:pPr>
              <w:widowControl/>
              <w:jc w:val="center"/>
              <w:textAlignment w:val="center"/>
              <w:rPr>
                <w:rFonts w:ascii="宋体" w:hAnsi="宋体" w:cs="宋体"/>
                <w:b/>
                <w:color w:val="FF0000"/>
                <w:sz w:val="20"/>
                <w:szCs w:val="20"/>
              </w:rPr>
            </w:pPr>
            <w:r>
              <w:rPr>
                <w:rFonts w:hint="eastAsia" w:ascii="宋体" w:hAnsi="宋体" w:cs="宋体"/>
                <w:b/>
                <w:color w:val="FF0000"/>
                <w:kern w:val="0"/>
                <w:sz w:val="20"/>
                <w:szCs w:val="20"/>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96BDF0"/>
            <w:tcMar>
              <w:top w:w="15" w:type="dxa"/>
              <w:left w:w="15" w:type="dxa"/>
              <w:right w:w="15" w:type="dxa"/>
            </w:tcMar>
            <w:vAlign w:val="center"/>
          </w:tcPr>
          <w:p>
            <w:pPr>
              <w:widowControl/>
              <w:jc w:val="center"/>
              <w:textAlignment w:val="center"/>
              <w:rPr>
                <w:rFonts w:ascii="宋体" w:hAnsi="宋体" w:cs="宋体"/>
                <w:b/>
                <w:color w:val="FF0000"/>
                <w:sz w:val="20"/>
                <w:szCs w:val="20"/>
              </w:rPr>
            </w:pPr>
            <w:r>
              <w:rPr>
                <w:rFonts w:hint="eastAsia" w:ascii="宋体" w:hAnsi="宋体" w:cs="宋体"/>
                <w:b/>
                <w:color w:val="FF0000"/>
                <w:kern w:val="0"/>
                <w:sz w:val="20"/>
                <w:szCs w:val="20"/>
              </w:rPr>
              <w:t>名称</w:t>
            </w:r>
          </w:p>
        </w:tc>
        <w:tc>
          <w:tcPr>
            <w:tcW w:w="3734" w:type="dxa"/>
            <w:tcBorders>
              <w:top w:val="single" w:color="000000" w:sz="4" w:space="0"/>
              <w:left w:val="single" w:color="000000" w:sz="4" w:space="0"/>
              <w:bottom w:val="single" w:color="000000" w:sz="4" w:space="0"/>
              <w:right w:val="single" w:color="000000" w:sz="4" w:space="0"/>
            </w:tcBorders>
            <w:shd w:val="clear" w:color="auto" w:fill="96BDF0"/>
            <w:tcMar>
              <w:top w:w="15" w:type="dxa"/>
              <w:left w:w="15" w:type="dxa"/>
              <w:right w:w="15" w:type="dxa"/>
            </w:tcMar>
            <w:vAlign w:val="center"/>
          </w:tcPr>
          <w:p>
            <w:pPr>
              <w:widowControl/>
              <w:jc w:val="center"/>
              <w:textAlignment w:val="center"/>
              <w:rPr>
                <w:rFonts w:ascii="宋体" w:hAnsi="宋体" w:cs="宋体"/>
                <w:b/>
                <w:color w:val="FF0000"/>
                <w:sz w:val="20"/>
                <w:szCs w:val="20"/>
              </w:rPr>
            </w:pPr>
            <w:r>
              <w:rPr>
                <w:rFonts w:hint="eastAsia" w:ascii="宋体" w:hAnsi="宋体" w:cs="宋体"/>
                <w:b/>
                <w:color w:val="FF0000"/>
                <w:kern w:val="0"/>
                <w:sz w:val="20"/>
                <w:szCs w:val="20"/>
              </w:rPr>
              <w:t>产品参数</w:t>
            </w:r>
          </w:p>
        </w:tc>
        <w:tc>
          <w:tcPr>
            <w:tcW w:w="602" w:type="dxa"/>
            <w:tcBorders>
              <w:top w:val="single" w:color="000000" w:sz="4" w:space="0"/>
              <w:left w:val="single" w:color="000000" w:sz="4" w:space="0"/>
              <w:bottom w:val="single" w:color="000000" w:sz="4" w:space="0"/>
              <w:right w:val="single" w:color="000000" w:sz="4" w:space="0"/>
            </w:tcBorders>
            <w:shd w:val="clear" w:color="auto" w:fill="96BDF0"/>
            <w:tcMar>
              <w:top w:w="15" w:type="dxa"/>
              <w:left w:w="15" w:type="dxa"/>
              <w:right w:w="15" w:type="dxa"/>
            </w:tcMar>
            <w:vAlign w:val="center"/>
          </w:tcPr>
          <w:p>
            <w:pPr>
              <w:widowControl/>
              <w:jc w:val="center"/>
              <w:textAlignment w:val="center"/>
              <w:rPr>
                <w:rFonts w:ascii="宋体" w:hAnsi="宋体" w:cs="宋体"/>
                <w:b/>
                <w:color w:val="FF0000"/>
                <w:sz w:val="20"/>
                <w:szCs w:val="20"/>
              </w:rPr>
            </w:pPr>
            <w:r>
              <w:rPr>
                <w:rFonts w:hint="eastAsia" w:ascii="宋体" w:hAnsi="宋体" w:cs="宋体"/>
                <w:b/>
                <w:color w:val="FF0000"/>
                <w:kern w:val="0"/>
                <w:sz w:val="20"/>
                <w:szCs w:val="20"/>
              </w:rPr>
              <w:t>数量</w:t>
            </w:r>
          </w:p>
        </w:tc>
        <w:tc>
          <w:tcPr>
            <w:tcW w:w="889" w:type="dxa"/>
            <w:tcBorders>
              <w:top w:val="single" w:color="000000" w:sz="4" w:space="0"/>
              <w:left w:val="single" w:color="000000" w:sz="4" w:space="0"/>
              <w:bottom w:val="single" w:color="000000" w:sz="4" w:space="0"/>
              <w:right w:val="single" w:color="000000" w:sz="4" w:space="0"/>
            </w:tcBorders>
            <w:shd w:val="clear" w:color="auto" w:fill="96BDF0"/>
            <w:tcMar>
              <w:top w:w="15" w:type="dxa"/>
              <w:left w:w="15" w:type="dxa"/>
              <w:right w:w="15" w:type="dxa"/>
            </w:tcMar>
            <w:vAlign w:val="center"/>
          </w:tcPr>
          <w:p>
            <w:pPr>
              <w:widowControl/>
              <w:jc w:val="center"/>
              <w:textAlignment w:val="center"/>
              <w:rPr>
                <w:rFonts w:ascii="宋体" w:hAnsi="宋体" w:cs="宋体"/>
                <w:b/>
                <w:color w:val="FF0000"/>
                <w:sz w:val="20"/>
                <w:szCs w:val="20"/>
              </w:rPr>
            </w:pPr>
            <w:r>
              <w:rPr>
                <w:rFonts w:hint="eastAsia" w:ascii="宋体" w:hAnsi="宋体" w:cs="宋体"/>
                <w:b/>
                <w:color w:val="FF0000"/>
                <w:kern w:val="0"/>
                <w:sz w:val="20"/>
                <w:szCs w:val="20"/>
              </w:rPr>
              <w:t>单位</w:t>
            </w:r>
          </w:p>
        </w:tc>
        <w:tc>
          <w:tcPr>
            <w:tcW w:w="1556" w:type="dxa"/>
            <w:tcBorders>
              <w:top w:val="single" w:color="000000" w:sz="4" w:space="0"/>
              <w:left w:val="single" w:color="000000" w:sz="4" w:space="0"/>
              <w:bottom w:val="single" w:color="000000" w:sz="4" w:space="0"/>
              <w:right w:val="single" w:color="000000" w:sz="4" w:space="0"/>
            </w:tcBorders>
            <w:shd w:val="clear" w:color="auto" w:fill="96BDF0"/>
            <w:tcMar>
              <w:top w:w="15" w:type="dxa"/>
              <w:left w:w="15" w:type="dxa"/>
              <w:right w:w="15" w:type="dxa"/>
            </w:tcMar>
            <w:vAlign w:val="center"/>
          </w:tcPr>
          <w:p>
            <w:pPr>
              <w:widowControl/>
              <w:jc w:val="center"/>
              <w:textAlignment w:val="center"/>
              <w:rPr>
                <w:rFonts w:ascii="宋体" w:hAnsi="宋体" w:cs="宋体"/>
                <w:b/>
                <w:color w:val="FF0000"/>
                <w:sz w:val="20"/>
                <w:szCs w:val="20"/>
              </w:rPr>
            </w:pPr>
            <w:r>
              <w:rPr>
                <w:rFonts w:hint="eastAsia" w:ascii="宋体" w:hAnsi="宋体" w:cs="宋体"/>
                <w:b/>
                <w:color w:val="FF0000"/>
                <w:kern w:val="0"/>
                <w:sz w:val="20"/>
                <w:szCs w:val="20"/>
              </w:rPr>
              <w:t>推荐品牌</w:t>
            </w:r>
          </w:p>
        </w:tc>
      </w:tr>
      <w:tr>
        <w:tblPrEx>
          <w:tblCellMar>
            <w:top w:w="0" w:type="dxa"/>
            <w:left w:w="0" w:type="dxa"/>
            <w:bottom w:w="0" w:type="dxa"/>
            <w:right w:w="0" w:type="dxa"/>
          </w:tblCellMar>
        </w:tblPrEx>
        <w:trPr>
          <w:trHeight w:val="6148" w:hRule="atLeast"/>
        </w:trPr>
        <w:tc>
          <w:tcPr>
            <w:tcW w:w="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1</w:t>
            </w:r>
          </w:p>
        </w:tc>
        <w:tc>
          <w:tcPr>
            <w:tcW w:w="18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数字无线教学扩声系统控制盒</w:t>
            </w:r>
          </w:p>
        </w:tc>
        <w:tc>
          <w:tcPr>
            <w:tcW w:w="3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FF0000"/>
                <w:kern w:val="0"/>
                <w:sz w:val="20"/>
                <w:szCs w:val="20"/>
              </w:rPr>
            </w:pPr>
            <w:r>
              <w:rPr>
                <w:rFonts w:hint="eastAsia" w:ascii="宋体" w:hAnsi="宋体" w:cs="宋体"/>
                <w:color w:val="FF0000"/>
                <w:kern w:val="0"/>
                <w:sz w:val="20"/>
                <w:szCs w:val="20"/>
              </w:rPr>
              <w:t>★1.麦克风在不同教室之间使用，无需对频，即开即用，简单方便；</w:t>
            </w:r>
            <w:r>
              <w:rPr>
                <w:rFonts w:hint="eastAsia" w:ascii="宋体" w:hAnsi="宋体" w:cs="宋体"/>
                <w:color w:val="FF0000"/>
                <w:kern w:val="0"/>
                <w:sz w:val="20"/>
                <w:szCs w:val="20"/>
              </w:rPr>
              <w:br w:type="textWrapping"/>
            </w:r>
            <w:r>
              <w:rPr>
                <w:rFonts w:ascii="宋体" w:hAnsi="宋体" w:cs="宋体"/>
                <w:color w:val="FF0000"/>
                <w:kern w:val="0"/>
                <w:sz w:val="20"/>
                <w:szCs w:val="20"/>
              </w:rPr>
              <w:t>2</w:t>
            </w:r>
            <w:r>
              <w:rPr>
                <w:rFonts w:hint="eastAsia" w:ascii="宋体" w:hAnsi="宋体" w:cs="宋体"/>
                <w:color w:val="FF0000"/>
                <w:kern w:val="0"/>
                <w:sz w:val="20"/>
                <w:szCs w:val="20"/>
              </w:rPr>
              <w:t>.具有啸叫抑制、频点选择、话筒低切等功能，可通过拨码开关设置；</w:t>
            </w:r>
            <w:r>
              <w:rPr>
                <w:rFonts w:hint="eastAsia" w:ascii="宋体" w:hAnsi="宋体" w:cs="宋体"/>
                <w:color w:val="FF0000"/>
                <w:kern w:val="0"/>
                <w:sz w:val="20"/>
                <w:szCs w:val="20"/>
              </w:rPr>
              <w:br w:type="textWrapping"/>
            </w:r>
            <w:r>
              <w:rPr>
                <w:rFonts w:ascii="宋体" w:hAnsi="宋体" w:cs="宋体"/>
                <w:color w:val="FF0000"/>
                <w:kern w:val="0"/>
                <w:sz w:val="20"/>
                <w:szCs w:val="20"/>
              </w:rPr>
              <w:t>3</w:t>
            </w:r>
            <w:r>
              <w:rPr>
                <w:rFonts w:hint="eastAsia" w:ascii="宋体" w:hAnsi="宋体" w:cs="宋体"/>
                <w:color w:val="FF0000"/>
                <w:kern w:val="0"/>
                <w:sz w:val="20"/>
                <w:szCs w:val="20"/>
              </w:rPr>
              <w:t>.≥2路USB接口，一路USB口用于连接麦克风充电座，一路通过USB线连接到电脑，可配合数字红外无线麦克风实现PPT翻页功能；</w:t>
            </w:r>
            <w:r>
              <w:rPr>
                <w:rFonts w:hint="eastAsia" w:ascii="宋体" w:hAnsi="宋体" w:cs="宋体"/>
                <w:color w:val="FF0000"/>
                <w:kern w:val="0"/>
                <w:sz w:val="20"/>
                <w:szCs w:val="20"/>
              </w:rPr>
              <w:br w:type="textWrapping"/>
            </w:r>
            <w:r>
              <w:rPr>
                <w:rFonts w:ascii="宋体" w:hAnsi="宋体" w:cs="宋体"/>
                <w:color w:val="FF0000"/>
                <w:kern w:val="0"/>
                <w:sz w:val="20"/>
                <w:szCs w:val="20"/>
              </w:rPr>
              <w:t>4</w:t>
            </w:r>
            <w:r>
              <w:rPr>
                <w:rFonts w:hint="eastAsia" w:ascii="宋体" w:hAnsi="宋体" w:cs="宋体"/>
                <w:color w:val="FF0000"/>
                <w:kern w:val="0"/>
                <w:sz w:val="20"/>
                <w:szCs w:val="20"/>
              </w:rPr>
              <w:t>.≥2路线路输入，每路输入音量大小可独立调节；≥1路线路输出；</w:t>
            </w:r>
          </w:p>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5</w:t>
            </w:r>
            <w:r>
              <w:rPr>
                <w:rFonts w:hint="eastAsia" w:ascii="宋体" w:hAnsi="宋体" w:cs="宋体"/>
                <w:color w:val="FF0000"/>
                <w:kern w:val="0"/>
                <w:sz w:val="20"/>
                <w:szCs w:val="20"/>
              </w:rPr>
              <w:t>.≥2个RJ45接口，用于连接数字红外接收器，可配2个无线麦克风；</w:t>
            </w:r>
          </w:p>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6</w:t>
            </w:r>
            <w:r>
              <w:rPr>
                <w:rFonts w:hint="eastAsia" w:ascii="宋体" w:hAnsi="宋体" w:cs="宋体"/>
                <w:color w:val="FF0000"/>
                <w:kern w:val="0"/>
                <w:sz w:val="20"/>
                <w:szCs w:val="20"/>
              </w:rPr>
              <w:t>.内置功放，可直接连接音箱，输出功率≥60 W×2只（8 Ω）；</w:t>
            </w:r>
          </w:p>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7</w:t>
            </w:r>
            <w:r>
              <w:rPr>
                <w:rFonts w:hint="eastAsia" w:ascii="宋体" w:hAnsi="宋体" w:cs="宋体"/>
                <w:color w:val="FF0000"/>
                <w:kern w:val="0"/>
                <w:sz w:val="20"/>
                <w:szCs w:val="20"/>
              </w:rPr>
              <w:t>.为了更清楚的表现出主体声音，需具有线路声音自动衰减功能开关，即麦克风有声音触发时，背景声音降低；</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8.技术参数频率响应麦克风-主机：50Hz～20kHz；信噪比（麦克风-主机）≥85 dBA；总谐波失真（麦克风-主机）≤0.06%；动态范围（麦克风-主机）≥90 dB；</w:t>
            </w:r>
          </w:p>
          <w:p>
            <w:pPr>
              <w:widowControl/>
              <w:jc w:val="left"/>
              <w:textAlignment w:val="center"/>
              <w:rPr>
                <w:rFonts w:ascii="宋体" w:hAnsi="宋体" w:cs="宋体"/>
                <w:color w:val="FF0000"/>
                <w:kern w:val="0"/>
                <w:sz w:val="20"/>
                <w:szCs w:val="20"/>
              </w:rPr>
            </w:pPr>
            <w:r>
              <w:rPr>
                <w:rFonts w:hint="eastAsia" w:ascii="宋体" w:hAnsi="宋体" w:cs="宋体"/>
                <w:color w:val="FF0000"/>
                <w:sz w:val="20"/>
                <w:szCs w:val="20"/>
              </w:rPr>
              <w:t>9.系统要求采用数字红外音频传输及控制技术，红外传输副载波符合IEC 61603-7标准，</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4</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台</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TAIDEN、</w:t>
            </w:r>
            <w:r>
              <w:rPr>
                <w:rFonts w:ascii="宋体" w:hAnsi="宋体" w:cs="宋体"/>
                <w:color w:val="FF0000"/>
                <w:kern w:val="0"/>
                <w:sz w:val="20"/>
                <w:szCs w:val="20"/>
              </w:rPr>
              <w:t>NEW SOUND</w:t>
            </w:r>
            <w:r>
              <w:rPr>
                <w:rFonts w:hint="eastAsia" w:ascii="宋体" w:hAnsi="宋体" w:cs="宋体"/>
                <w:color w:val="FF0000"/>
                <w:kern w:val="0"/>
                <w:sz w:val="20"/>
                <w:szCs w:val="20"/>
              </w:rPr>
              <w:t>、</w:t>
            </w:r>
            <w:r>
              <w:rPr>
                <w:rFonts w:ascii="宋体" w:hAnsi="宋体" w:cs="宋体"/>
                <w:color w:val="FF0000"/>
                <w:kern w:val="0"/>
                <w:sz w:val="20"/>
                <w:szCs w:val="20"/>
              </w:rPr>
              <w:t>Tenxen</w:t>
            </w:r>
          </w:p>
        </w:tc>
      </w:tr>
      <w:tr>
        <w:tblPrEx>
          <w:tblCellMar>
            <w:top w:w="0" w:type="dxa"/>
            <w:left w:w="0" w:type="dxa"/>
            <w:bottom w:w="0" w:type="dxa"/>
            <w:right w:w="0" w:type="dxa"/>
          </w:tblCellMar>
        </w:tblPrEx>
        <w:trPr>
          <w:trHeight w:val="1760" w:hRule="atLeast"/>
        </w:trPr>
        <w:tc>
          <w:tcPr>
            <w:tcW w:w="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2</w:t>
            </w:r>
          </w:p>
        </w:tc>
        <w:tc>
          <w:tcPr>
            <w:tcW w:w="18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数字接收器</w:t>
            </w:r>
          </w:p>
        </w:tc>
        <w:tc>
          <w:tcPr>
            <w:tcW w:w="3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FF0000"/>
                <w:kern w:val="0"/>
                <w:sz w:val="20"/>
                <w:szCs w:val="20"/>
              </w:rPr>
            </w:pPr>
            <w:r>
              <w:rPr>
                <w:rFonts w:hint="eastAsia" w:ascii="宋体" w:hAnsi="宋体" w:cs="宋体"/>
                <w:color w:val="FF0000"/>
                <w:kern w:val="0"/>
                <w:sz w:val="20"/>
                <w:szCs w:val="20"/>
              </w:rPr>
              <w:t xml:space="preserve">1.数字红外音频传输及控制技术； </w:t>
            </w:r>
          </w:p>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2</w:t>
            </w:r>
            <w:r>
              <w:rPr>
                <w:rFonts w:hint="eastAsia" w:ascii="宋体" w:hAnsi="宋体" w:cs="宋体"/>
                <w:color w:val="FF0000"/>
                <w:kern w:val="0"/>
                <w:sz w:val="20"/>
                <w:szCs w:val="20"/>
              </w:rPr>
              <w:t>.接收频点可调；</w:t>
            </w:r>
          </w:p>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3</w:t>
            </w:r>
            <w:r>
              <w:rPr>
                <w:rFonts w:hint="eastAsia" w:ascii="宋体" w:hAnsi="宋体" w:cs="宋体"/>
                <w:color w:val="FF0000"/>
                <w:kern w:val="0"/>
                <w:sz w:val="20"/>
                <w:szCs w:val="20"/>
              </w:rPr>
              <w:t xml:space="preserve">.接收角度：垂直：150° (±75°)，水平：360°; </w:t>
            </w:r>
          </w:p>
          <w:p>
            <w:pPr>
              <w:widowControl/>
              <w:jc w:val="left"/>
              <w:textAlignment w:val="center"/>
              <w:rPr>
                <w:rFonts w:ascii="宋体" w:hAnsi="宋体" w:cs="宋体"/>
                <w:color w:val="FF0000"/>
                <w:sz w:val="20"/>
                <w:szCs w:val="20"/>
              </w:rPr>
            </w:pPr>
            <w:r>
              <w:rPr>
                <w:rFonts w:ascii="宋体" w:hAnsi="宋体" w:cs="宋体"/>
                <w:color w:val="FF0000"/>
                <w:kern w:val="0"/>
                <w:sz w:val="20"/>
                <w:szCs w:val="20"/>
              </w:rPr>
              <w:t>4</w:t>
            </w:r>
            <w:r>
              <w:rPr>
                <w:rFonts w:hint="eastAsia" w:ascii="宋体" w:hAnsi="宋体" w:cs="宋体"/>
                <w:color w:val="FF0000"/>
                <w:kern w:val="0"/>
                <w:sz w:val="20"/>
                <w:szCs w:val="20"/>
              </w:rPr>
              <w:t>.直视距离：≥25 m；≥1个RJ45接口，用于连接RJ45延长网线；</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4</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个</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TAIDEN、</w:t>
            </w:r>
            <w:r>
              <w:rPr>
                <w:rFonts w:ascii="宋体" w:hAnsi="宋体" w:cs="宋体"/>
                <w:color w:val="FF0000"/>
                <w:kern w:val="0"/>
                <w:sz w:val="20"/>
                <w:szCs w:val="20"/>
              </w:rPr>
              <w:t>NEW SOUND</w:t>
            </w:r>
            <w:r>
              <w:rPr>
                <w:rFonts w:hint="eastAsia" w:ascii="宋体" w:hAnsi="宋体" w:cs="宋体"/>
                <w:color w:val="FF0000"/>
                <w:kern w:val="0"/>
                <w:sz w:val="20"/>
                <w:szCs w:val="20"/>
              </w:rPr>
              <w:t>、</w:t>
            </w:r>
            <w:r>
              <w:rPr>
                <w:rFonts w:ascii="宋体" w:hAnsi="宋体" w:cs="宋体"/>
                <w:color w:val="FF0000"/>
                <w:kern w:val="0"/>
                <w:sz w:val="20"/>
                <w:szCs w:val="20"/>
              </w:rPr>
              <w:t>Tenxen</w:t>
            </w:r>
          </w:p>
        </w:tc>
      </w:tr>
      <w:tr>
        <w:tblPrEx>
          <w:tblCellMar>
            <w:top w:w="0" w:type="dxa"/>
            <w:left w:w="0" w:type="dxa"/>
            <w:bottom w:w="0" w:type="dxa"/>
            <w:right w:w="0" w:type="dxa"/>
          </w:tblCellMar>
        </w:tblPrEx>
        <w:trPr>
          <w:trHeight w:val="649" w:hRule="atLeast"/>
        </w:trPr>
        <w:tc>
          <w:tcPr>
            <w:tcW w:w="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3</w:t>
            </w:r>
          </w:p>
        </w:tc>
        <w:tc>
          <w:tcPr>
            <w:tcW w:w="18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数字无线麦克风</w:t>
            </w:r>
          </w:p>
        </w:tc>
        <w:tc>
          <w:tcPr>
            <w:tcW w:w="3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1</w:t>
            </w:r>
            <w:r>
              <w:rPr>
                <w:rFonts w:hint="eastAsia" w:ascii="宋体" w:hAnsi="宋体" w:cs="宋体"/>
                <w:color w:val="FF0000"/>
                <w:kern w:val="0"/>
                <w:sz w:val="20"/>
                <w:szCs w:val="20"/>
              </w:rPr>
              <w:t>.需具有麦克风音量调节、话筒频点设定及话筒灵敏度设置；</w:t>
            </w:r>
          </w:p>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2</w:t>
            </w:r>
            <w:r>
              <w:rPr>
                <w:rFonts w:hint="eastAsia" w:ascii="宋体" w:hAnsi="宋体" w:cs="宋体"/>
                <w:color w:val="FF0000"/>
                <w:kern w:val="0"/>
                <w:sz w:val="20"/>
                <w:szCs w:val="20"/>
              </w:rPr>
              <w:t>.需支持发言者在设定时间内无发言时，自动关闭红外信号发射，从而达到省电目的；</w:t>
            </w:r>
          </w:p>
          <w:p>
            <w:pPr>
              <w:widowControl/>
              <w:jc w:val="left"/>
              <w:textAlignment w:val="center"/>
              <w:rPr>
                <w:rFonts w:ascii="宋体" w:hAnsi="宋体" w:cs="宋体"/>
                <w:color w:val="FF0000"/>
                <w:kern w:val="0"/>
                <w:sz w:val="20"/>
                <w:szCs w:val="20"/>
              </w:rPr>
            </w:pPr>
            <w:r>
              <w:rPr>
                <w:rFonts w:hint="eastAsia" w:ascii="宋体" w:hAnsi="宋体" w:cs="宋体"/>
                <w:color w:val="FF0000"/>
                <w:kern w:val="0"/>
                <w:sz w:val="20"/>
                <w:szCs w:val="20"/>
              </w:rPr>
              <w:t>3</w:t>
            </w:r>
            <w:r>
              <w:rPr>
                <w:rFonts w:ascii="宋体" w:hAnsi="宋体" w:cs="宋体"/>
                <w:color w:val="FF0000"/>
                <w:kern w:val="0"/>
                <w:sz w:val="20"/>
                <w:szCs w:val="20"/>
              </w:rPr>
              <w:t>.</w:t>
            </w:r>
            <w:r>
              <w:rPr>
                <w:rFonts w:hint="eastAsia" w:ascii="宋体" w:hAnsi="宋体" w:cs="宋体"/>
                <w:color w:val="FF0000"/>
                <w:kern w:val="0"/>
                <w:sz w:val="20"/>
                <w:szCs w:val="20"/>
              </w:rPr>
              <w:t>为了满足互动教学，需支持开启PTT功能，按住一键开启话筒，松开后话筒即关闭；</w:t>
            </w:r>
          </w:p>
          <w:p>
            <w:pPr>
              <w:widowControl/>
              <w:jc w:val="left"/>
              <w:textAlignment w:val="center"/>
              <w:rPr>
                <w:rFonts w:ascii="宋体" w:hAnsi="宋体" w:cs="宋体"/>
                <w:color w:val="FF0000"/>
                <w:kern w:val="0"/>
                <w:sz w:val="20"/>
                <w:szCs w:val="20"/>
              </w:rPr>
            </w:pPr>
            <w:r>
              <w:rPr>
                <w:rFonts w:hint="eastAsia" w:ascii="宋体" w:hAnsi="宋体" w:cs="宋体"/>
                <w:color w:val="FF0000"/>
                <w:kern w:val="0"/>
                <w:sz w:val="20"/>
                <w:szCs w:val="20"/>
              </w:rPr>
              <w:t>4</w:t>
            </w:r>
            <w:r>
              <w:rPr>
                <w:rFonts w:ascii="宋体" w:hAnsi="宋体" w:cs="宋体"/>
                <w:color w:val="FF0000"/>
                <w:kern w:val="0"/>
                <w:sz w:val="20"/>
                <w:szCs w:val="20"/>
              </w:rPr>
              <w:t>.</w:t>
            </w:r>
            <w:r>
              <w:rPr>
                <w:rFonts w:hint="eastAsia" w:ascii="宋体" w:hAnsi="宋体" w:cs="宋体"/>
                <w:color w:val="FF0000"/>
                <w:kern w:val="0"/>
                <w:sz w:val="20"/>
                <w:szCs w:val="20"/>
              </w:rPr>
              <w:t>频率响应 50 Hz ~ 20 kHz，动态范围不低于90db(提供相关检测报告复印件并加盖公章)；</w:t>
            </w:r>
          </w:p>
          <w:p>
            <w:pPr>
              <w:widowControl/>
              <w:jc w:val="left"/>
              <w:textAlignment w:val="center"/>
              <w:rPr>
                <w:rFonts w:ascii="宋体" w:hAnsi="宋体" w:cs="宋体"/>
                <w:color w:val="FF0000"/>
                <w:kern w:val="0"/>
                <w:sz w:val="20"/>
                <w:szCs w:val="20"/>
              </w:rPr>
            </w:pPr>
            <w:r>
              <w:rPr>
                <w:rFonts w:hint="eastAsia" w:ascii="宋体" w:hAnsi="宋体" w:cs="宋体"/>
                <w:color w:val="FF0000"/>
                <w:kern w:val="0"/>
                <w:sz w:val="20"/>
                <w:szCs w:val="20"/>
              </w:rPr>
              <w:t>5</w:t>
            </w:r>
            <w:r>
              <w:rPr>
                <w:rFonts w:ascii="宋体" w:hAnsi="宋体" w:cs="宋体"/>
                <w:color w:val="FF0000"/>
                <w:kern w:val="0"/>
                <w:sz w:val="20"/>
                <w:szCs w:val="20"/>
              </w:rPr>
              <w:t>.</w:t>
            </w:r>
            <w:r>
              <w:rPr>
                <w:rFonts w:hint="eastAsia" w:ascii="宋体" w:hAnsi="宋体" w:cs="宋体"/>
                <w:color w:val="FF0000"/>
                <w:kern w:val="0"/>
                <w:sz w:val="20"/>
                <w:szCs w:val="20"/>
              </w:rPr>
              <w:t>具备对灯光的抗干扰性(提供相关检测报告复印件并加盖公章)；</w:t>
            </w:r>
          </w:p>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6.</w:t>
            </w:r>
            <w:r>
              <w:rPr>
                <w:rFonts w:hint="eastAsia" w:ascii="宋体" w:hAnsi="宋体" w:cs="宋体"/>
                <w:color w:val="FF0000"/>
                <w:kern w:val="0"/>
                <w:sz w:val="20"/>
                <w:szCs w:val="20"/>
              </w:rPr>
              <w:t>辐射距离不小于12米(提供相关检测报告复印件并加盖公章)；</w:t>
            </w:r>
          </w:p>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7</w:t>
            </w:r>
            <w:r>
              <w:rPr>
                <w:rFonts w:hint="eastAsia" w:ascii="宋体" w:hAnsi="宋体" w:cs="宋体"/>
                <w:color w:val="FF0000"/>
                <w:kern w:val="0"/>
                <w:sz w:val="20"/>
                <w:szCs w:val="20"/>
              </w:rPr>
              <w:t>.轻巧美观，多种使用方式灵活选择：可手持、颈挂或置于上衣口袋；</w:t>
            </w:r>
          </w:p>
          <w:p>
            <w:pPr>
              <w:widowControl/>
              <w:jc w:val="left"/>
              <w:textAlignment w:val="center"/>
              <w:rPr>
                <w:rFonts w:ascii="宋体" w:hAnsi="宋体" w:cs="宋体"/>
                <w:color w:val="FF0000"/>
                <w:sz w:val="20"/>
                <w:szCs w:val="20"/>
              </w:rPr>
            </w:pPr>
            <w:r>
              <w:rPr>
                <w:rFonts w:ascii="宋体" w:hAnsi="宋体" w:cs="宋体"/>
                <w:color w:val="FF0000"/>
                <w:kern w:val="0"/>
                <w:sz w:val="20"/>
                <w:szCs w:val="20"/>
              </w:rPr>
              <w:t>8</w:t>
            </w:r>
            <w:r>
              <w:rPr>
                <w:rFonts w:hint="eastAsia" w:ascii="宋体" w:hAnsi="宋体" w:cs="宋体"/>
                <w:color w:val="FF0000"/>
                <w:kern w:val="0"/>
                <w:sz w:val="20"/>
                <w:szCs w:val="20"/>
              </w:rPr>
              <w:t>.需支持USB口充电（兼容手机充电器）或插入充电座充电;</w:t>
            </w:r>
            <w:r>
              <w:rPr>
                <w:rFonts w:ascii="宋体" w:hAnsi="宋体" w:cs="宋体"/>
                <w:color w:val="FF0000"/>
                <w:sz w:val="20"/>
                <w:szCs w:val="20"/>
              </w:rPr>
              <w:t xml:space="preserve"> </w:t>
            </w:r>
          </w:p>
          <w:p>
            <w:pPr>
              <w:widowControl/>
              <w:jc w:val="left"/>
              <w:textAlignment w:val="center"/>
              <w:rPr>
                <w:rFonts w:ascii="宋体" w:hAnsi="宋体" w:cs="宋体"/>
                <w:color w:val="FF0000"/>
                <w:sz w:val="20"/>
                <w:szCs w:val="20"/>
              </w:rPr>
            </w:pPr>
            <w:r>
              <w:rPr>
                <w:rFonts w:hint="eastAsia" w:ascii="宋体" w:hAnsi="宋体" w:cs="宋体"/>
                <w:color w:val="FF0000"/>
                <w:sz w:val="20"/>
                <w:szCs w:val="20"/>
              </w:rPr>
              <w:t>9.配同一品牌电源适配器和充电座</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4</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支</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TAIDEN、</w:t>
            </w:r>
            <w:r>
              <w:rPr>
                <w:rFonts w:ascii="宋体" w:hAnsi="宋体" w:cs="宋体"/>
                <w:color w:val="FF0000"/>
                <w:kern w:val="0"/>
                <w:sz w:val="20"/>
                <w:szCs w:val="20"/>
              </w:rPr>
              <w:t>NEW SOUND</w:t>
            </w:r>
            <w:r>
              <w:rPr>
                <w:rFonts w:hint="eastAsia" w:ascii="宋体" w:hAnsi="宋体" w:cs="宋体"/>
                <w:color w:val="FF0000"/>
                <w:kern w:val="0"/>
                <w:sz w:val="20"/>
                <w:szCs w:val="20"/>
              </w:rPr>
              <w:t>、</w:t>
            </w:r>
            <w:r>
              <w:rPr>
                <w:rFonts w:ascii="宋体" w:hAnsi="宋体" w:cs="宋体"/>
                <w:color w:val="FF0000"/>
                <w:kern w:val="0"/>
                <w:sz w:val="20"/>
                <w:szCs w:val="20"/>
              </w:rPr>
              <w:t>Tenxen</w:t>
            </w:r>
          </w:p>
        </w:tc>
      </w:tr>
      <w:tr>
        <w:tblPrEx>
          <w:tblCellMar>
            <w:top w:w="0" w:type="dxa"/>
            <w:left w:w="0" w:type="dxa"/>
            <w:bottom w:w="0" w:type="dxa"/>
            <w:right w:w="0" w:type="dxa"/>
          </w:tblCellMar>
        </w:tblPrEx>
        <w:trPr>
          <w:trHeight w:val="1676" w:hRule="atLeast"/>
        </w:trPr>
        <w:tc>
          <w:tcPr>
            <w:tcW w:w="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4</w:t>
            </w:r>
          </w:p>
        </w:tc>
        <w:tc>
          <w:tcPr>
            <w:tcW w:w="18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壁挂式音箱</w:t>
            </w:r>
          </w:p>
        </w:tc>
        <w:tc>
          <w:tcPr>
            <w:tcW w:w="3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FF0000"/>
                <w:sz w:val="20"/>
                <w:szCs w:val="20"/>
              </w:rPr>
            </w:pPr>
            <w:r>
              <w:rPr>
                <w:rFonts w:hint="eastAsia" w:ascii="宋体" w:hAnsi="宋体" w:cs="宋体"/>
                <w:color w:val="FF0000"/>
                <w:sz w:val="20"/>
                <w:szCs w:val="20"/>
              </w:rPr>
              <w:t>1.两路低音反射式扬声系统，高强度注膜树脂壳体；</w:t>
            </w:r>
          </w:p>
          <w:p>
            <w:pPr>
              <w:widowControl/>
              <w:jc w:val="left"/>
              <w:textAlignment w:val="center"/>
              <w:rPr>
                <w:rFonts w:ascii="宋体" w:hAnsi="宋体" w:cs="宋体"/>
                <w:color w:val="FF0000"/>
                <w:sz w:val="20"/>
                <w:szCs w:val="20"/>
              </w:rPr>
            </w:pPr>
            <w:r>
              <w:rPr>
                <w:rFonts w:hint="eastAsia" w:ascii="宋体" w:hAnsi="宋体" w:cs="宋体"/>
                <w:color w:val="FF0000"/>
                <w:sz w:val="20"/>
                <w:szCs w:val="20"/>
              </w:rPr>
              <w:t>2.技术参数要求：频率响应： 65 Hz-20 kHz；定阻输入：8 Ω；额定功率：≥40 W；灵敏度：≥90dB；</w:t>
            </w:r>
          </w:p>
          <w:p>
            <w:pPr>
              <w:widowControl/>
              <w:jc w:val="left"/>
              <w:textAlignment w:val="center"/>
              <w:rPr>
                <w:rFonts w:ascii="宋体" w:hAnsi="宋体" w:cs="宋体"/>
                <w:strike/>
                <w:color w:val="FF0000"/>
                <w:sz w:val="20"/>
                <w:szCs w:val="20"/>
              </w:rPr>
            </w:pPr>
            <w:r>
              <w:rPr>
                <w:rFonts w:hint="eastAsia" w:ascii="宋体" w:hAnsi="宋体" w:cs="宋体"/>
                <w:color w:val="FF0000"/>
                <w:sz w:val="20"/>
                <w:szCs w:val="20"/>
              </w:rPr>
              <w:t>3.可垂直及水平安装，配备安装支架；</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12</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只</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TAIDEN、</w:t>
            </w:r>
            <w:r>
              <w:rPr>
                <w:rFonts w:ascii="宋体" w:hAnsi="宋体" w:cs="宋体"/>
                <w:color w:val="FF0000"/>
                <w:kern w:val="0"/>
                <w:sz w:val="20"/>
                <w:szCs w:val="20"/>
              </w:rPr>
              <w:t>NEW SOUND</w:t>
            </w:r>
            <w:r>
              <w:rPr>
                <w:rFonts w:hint="eastAsia" w:ascii="宋体" w:hAnsi="宋体" w:cs="宋体"/>
                <w:color w:val="FF0000"/>
                <w:kern w:val="0"/>
                <w:sz w:val="20"/>
                <w:szCs w:val="20"/>
              </w:rPr>
              <w:t>、</w:t>
            </w:r>
            <w:r>
              <w:rPr>
                <w:rFonts w:ascii="宋体" w:hAnsi="宋体" w:cs="宋体"/>
                <w:color w:val="FF0000"/>
                <w:kern w:val="0"/>
                <w:sz w:val="20"/>
                <w:szCs w:val="20"/>
              </w:rPr>
              <w:t>Tenxen</w:t>
            </w:r>
          </w:p>
        </w:tc>
      </w:tr>
      <w:tr>
        <w:tblPrEx>
          <w:tblCellMar>
            <w:top w:w="0" w:type="dxa"/>
            <w:left w:w="0" w:type="dxa"/>
            <w:bottom w:w="0" w:type="dxa"/>
            <w:right w:w="0" w:type="dxa"/>
          </w:tblCellMar>
        </w:tblPrEx>
        <w:trPr>
          <w:trHeight w:val="1237" w:hRule="atLeast"/>
        </w:trPr>
        <w:tc>
          <w:tcPr>
            <w:tcW w:w="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5</w:t>
            </w:r>
          </w:p>
        </w:tc>
        <w:tc>
          <w:tcPr>
            <w:tcW w:w="18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投影机</w:t>
            </w:r>
          </w:p>
        </w:tc>
        <w:tc>
          <w:tcPr>
            <w:tcW w:w="3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FF0000"/>
                <w:sz w:val="20"/>
                <w:szCs w:val="20"/>
              </w:rPr>
            </w:pPr>
            <w:r>
              <w:rPr>
                <w:rFonts w:hint="eastAsia" w:ascii="宋体" w:hAnsi="宋体" w:cs="宋体"/>
                <w:color w:val="FF0000"/>
                <w:kern w:val="0"/>
                <w:sz w:val="20"/>
                <w:szCs w:val="20"/>
              </w:rPr>
              <w:t>★</w:t>
            </w:r>
            <w:r>
              <w:rPr>
                <w:rFonts w:ascii="宋体" w:hAnsi="宋体" w:cs="宋体"/>
                <w:color w:val="FF0000"/>
                <w:kern w:val="0"/>
                <w:sz w:val="20"/>
                <w:szCs w:val="20"/>
              </w:rPr>
              <w:t>≥</w:t>
            </w:r>
            <w:r>
              <w:rPr>
                <w:rFonts w:hint="eastAsia" w:ascii="宋体" w:hAnsi="宋体" w:cs="宋体"/>
                <w:color w:val="FF0000"/>
                <w:kern w:val="0"/>
                <w:sz w:val="20"/>
                <w:szCs w:val="20"/>
              </w:rPr>
              <w:t>3500流明高色彩亮度，</w:t>
            </w:r>
            <w:r>
              <w:rPr>
                <w:rFonts w:ascii="宋体" w:hAnsi="宋体" w:cs="宋体"/>
                <w:color w:val="FF0000"/>
                <w:kern w:val="0"/>
                <w:sz w:val="20"/>
                <w:szCs w:val="20"/>
              </w:rPr>
              <w:t>≥</w:t>
            </w:r>
            <w:r>
              <w:rPr>
                <w:rFonts w:hint="eastAsia" w:ascii="宋体" w:hAnsi="宋体" w:cs="宋体"/>
                <w:color w:val="FF0000"/>
                <w:kern w:val="0"/>
                <w:sz w:val="20"/>
                <w:szCs w:val="20"/>
              </w:rPr>
              <w:t>14,000:1高对比度；双屏幕拼接，超宽屏互动*6</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约60cm距离（广角）投影100寸大画面*2；ECO模式下灯泡使用寿命10,000小时；空气过滤网使用寿命10,000小时；6点手指+2点互动笔灵敏精准互动*5；双HDMI接口，双VGA接口，支持无线连接</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1</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台</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Calibri" w:cs="宋体"/>
                <w:color w:val="FF0000"/>
                <w:sz w:val="20"/>
                <w:szCs w:val="20"/>
              </w:rPr>
            </w:pPr>
            <w:r>
              <w:rPr>
                <w:rFonts w:hint="eastAsia" w:ascii="宋体" w:hAnsi="宋体" w:cs="宋体"/>
                <w:color w:val="FF0000"/>
                <w:sz w:val="20"/>
                <w:szCs w:val="20"/>
              </w:rPr>
              <w:t>松下、爱普生、索尼</w:t>
            </w:r>
          </w:p>
        </w:tc>
      </w:tr>
      <w:tr>
        <w:tblPrEx>
          <w:tblCellMar>
            <w:top w:w="0" w:type="dxa"/>
            <w:left w:w="0" w:type="dxa"/>
            <w:bottom w:w="0" w:type="dxa"/>
            <w:right w:w="0" w:type="dxa"/>
          </w:tblCellMar>
        </w:tblPrEx>
        <w:trPr>
          <w:trHeight w:val="649" w:hRule="atLeast"/>
        </w:trPr>
        <w:tc>
          <w:tcPr>
            <w:tcW w:w="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6</w:t>
            </w:r>
          </w:p>
        </w:tc>
        <w:tc>
          <w:tcPr>
            <w:tcW w:w="18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投影机</w:t>
            </w:r>
          </w:p>
        </w:tc>
        <w:tc>
          <w:tcPr>
            <w:tcW w:w="3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FF0000"/>
                <w:kern w:val="0"/>
                <w:sz w:val="20"/>
                <w:szCs w:val="20"/>
              </w:rPr>
            </w:pPr>
            <w:r>
              <w:rPr>
                <w:rFonts w:ascii="宋体" w:hAnsi="宋体" w:cs="宋体"/>
                <w:color w:val="FF0000"/>
                <w:kern w:val="0"/>
                <w:sz w:val="20"/>
                <w:szCs w:val="20"/>
              </w:rPr>
              <w:t>≥</w:t>
            </w:r>
            <w:r>
              <w:rPr>
                <w:rFonts w:hint="eastAsia" w:ascii="宋体" w:hAnsi="宋体" w:cs="宋体"/>
                <w:color w:val="FF0000"/>
                <w:kern w:val="0"/>
                <w:sz w:val="20"/>
                <w:szCs w:val="20"/>
              </w:rPr>
              <w:t>4200流明、分辨率</w:t>
            </w:r>
            <w:r>
              <w:rPr>
                <w:rFonts w:ascii="宋体" w:hAnsi="宋体" w:cs="宋体"/>
                <w:color w:val="FF0000"/>
                <w:kern w:val="0"/>
                <w:sz w:val="20"/>
                <w:szCs w:val="20"/>
              </w:rPr>
              <w:t>≥</w:t>
            </w:r>
            <w:r>
              <w:rPr>
                <w:rFonts w:hint="eastAsia" w:ascii="宋体" w:hAnsi="宋体" w:cs="宋体"/>
                <w:color w:val="FF0000"/>
                <w:kern w:val="0"/>
                <w:sz w:val="20"/>
                <w:szCs w:val="20"/>
              </w:rPr>
              <w:t>1280*800</w:t>
            </w:r>
          </w:p>
          <w:p>
            <w:pPr>
              <w:widowControl/>
              <w:jc w:val="left"/>
              <w:textAlignment w:val="center"/>
              <w:rPr>
                <w:rFonts w:ascii="宋体" w:hAnsi="宋体" w:cs="宋体"/>
                <w:color w:val="FF0000"/>
                <w:kern w:val="0"/>
                <w:sz w:val="20"/>
                <w:szCs w:val="20"/>
              </w:rPr>
            </w:pPr>
            <w:r>
              <w:rPr>
                <w:rFonts w:hint="eastAsia" w:ascii="宋体" w:hAnsi="宋体" w:cs="宋体"/>
                <w:color w:val="FF0000"/>
                <w:kern w:val="0"/>
                <w:sz w:val="20"/>
                <w:szCs w:val="20"/>
              </w:rPr>
              <w:t>屏幕比例：16:10</w:t>
            </w:r>
          </w:p>
          <w:p>
            <w:pPr>
              <w:widowControl/>
              <w:jc w:val="left"/>
              <w:textAlignment w:val="center"/>
              <w:rPr>
                <w:rFonts w:ascii="宋体" w:hAnsi="宋体" w:cs="宋体"/>
                <w:color w:val="FF0000"/>
                <w:kern w:val="0"/>
                <w:sz w:val="20"/>
                <w:szCs w:val="20"/>
              </w:rPr>
            </w:pPr>
            <w:r>
              <w:rPr>
                <w:rFonts w:hint="eastAsia" w:ascii="宋体" w:hAnsi="宋体" w:cs="宋体"/>
                <w:color w:val="FF0000"/>
                <w:kern w:val="0"/>
                <w:sz w:val="20"/>
                <w:szCs w:val="20"/>
              </w:rPr>
              <w:t>双HDMI接口，双VGA接口，支持无线连接</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2</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台</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sz w:val="20"/>
                <w:szCs w:val="20"/>
              </w:rPr>
              <w:t>松下、爱普生、索尼</w:t>
            </w:r>
          </w:p>
        </w:tc>
      </w:tr>
      <w:tr>
        <w:tblPrEx>
          <w:tblCellMar>
            <w:top w:w="0" w:type="dxa"/>
            <w:left w:w="0" w:type="dxa"/>
            <w:bottom w:w="0" w:type="dxa"/>
            <w:right w:w="0" w:type="dxa"/>
          </w:tblCellMar>
        </w:tblPrEx>
        <w:trPr>
          <w:trHeight w:val="649" w:hRule="atLeast"/>
        </w:trPr>
        <w:tc>
          <w:tcPr>
            <w:tcW w:w="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7</w:t>
            </w:r>
          </w:p>
        </w:tc>
        <w:tc>
          <w:tcPr>
            <w:tcW w:w="18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白板</w:t>
            </w:r>
          </w:p>
        </w:tc>
        <w:tc>
          <w:tcPr>
            <w:tcW w:w="3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FF0000"/>
                <w:sz w:val="20"/>
                <w:szCs w:val="20"/>
              </w:rPr>
            </w:pPr>
            <w:r>
              <w:rPr>
                <w:rFonts w:hint="eastAsia" w:ascii="宋体" w:hAnsi="宋体" w:cs="宋体"/>
                <w:color w:val="FF0000"/>
                <w:kern w:val="0"/>
                <w:sz w:val="20"/>
                <w:szCs w:val="20"/>
              </w:rPr>
              <w:t>1.2米*4米、铝蜂板夹层、表面为搪瓷。</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3</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块</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育才、广昌、广顺通</w:t>
            </w:r>
          </w:p>
        </w:tc>
      </w:tr>
      <w:tr>
        <w:tblPrEx>
          <w:tblCellMar>
            <w:top w:w="0" w:type="dxa"/>
            <w:left w:w="0" w:type="dxa"/>
            <w:bottom w:w="0" w:type="dxa"/>
            <w:right w:w="0" w:type="dxa"/>
          </w:tblCellMar>
        </w:tblPrEx>
        <w:trPr>
          <w:trHeight w:val="3092" w:hRule="atLeast"/>
        </w:trPr>
        <w:tc>
          <w:tcPr>
            <w:tcW w:w="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8</w:t>
            </w:r>
          </w:p>
        </w:tc>
        <w:tc>
          <w:tcPr>
            <w:tcW w:w="18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86寸交互式一体机</w:t>
            </w:r>
          </w:p>
        </w:tc>
        <w:tc>
          <w:tcPr>
            <w:tcW w:w="3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5"/>
              </w:numPr>
              <w:jc w:val="left"/>
              <w:textAlignment w:val="center"/>
              <w:rPr>
                <w:rFonts w:ascii="宋体" w:hAnsi="宋体" w:cs="宋体"/>
                <w:color w:val="FF0000"/>
                <w:kern w:val="0"/>
                <w:sz w:val="20"/>
                <w:szCs w:val="20"/>
              </w:rPr>
            </w:pPr>
            <w:r>
              <w:rPr>
                <w:rFonts w:hint="eastAsia" w:ascii="宋体" w:hAnsi="宋体" w:cs="宋体"/>
                <w:color w:val="FF0000"/>
                <w:kern w:val="0"/>
                <w:sz w:val="20"/>
                <w:szCs w:val="20"/>
              </w:rPr>
              <w:t>显示模块及整机性能</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★1、LED液晶屏体：A规屏，显示尺寸≥86英寸，显示比例16:9，物理分辨率：3840×2160。</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2、屏体亮度≥400cd/M2,色彩覆盖率不低于NTSC 85%，对比度≥4000：1，最大可视角度≥178度。</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3、整机外壳采用金属材质，屏幕采用4mm防眩钢化玻璃保护，表面硬度不低于莫氏8级，透光率不低于93%，雾度≤8%。</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4、整机具备抗强光干扰性能，在400K LUX照度的光照下保证书写功能正常。</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5、整机提供隐藏式前置输入接口，接口不少于1路前置HDMI接口及3路前置双通道USB3.0接口（Windows和Android系统均能被识别，无需分区）</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6、交互平板整机须具备电脑还原按键</w:t>
            </w:r>
            <w:r>
              <w:rPr>
                <w:rFonts w:hint="eastAsia" w:ascii="宋体" w:hAnsi="宋体" w:cs="宋体"/>
                <w:strike/>
                <w:color w:val="FF0000"/>
                <w:kern w:val="0"/>
                <w:sz w:val="20"/>
                <w:szCs w:val="20"/>
              </w:rPr>
              <w:t>，</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7、为保证信号不遮挡，屏体正面前置2.4G、5G双频WiFi和蓝牙信号接发装置，Windows及Android均可实现无线上网功能。</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8、采用感应技术，在双系统下均支持10点触控及同时书写，触摸分辨率：≥32768*32768；定位精度：≤±0.1mm；触摸高度≤3mm；最小识别直径≤3mm。</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9、交互平板具备笔槽设计，且正面具备≥15W扬声器*2。</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10、只需一根网线，即可满足windows和Android双系统的上网功能需求。</w:t>
            </w:r>
          </w:p>
          <w:p>
            <w:pPr>
              <w:widowControl/>
              <w:jc w:val="left"/>
              <w:textAlignment w:val="center"/>
              <w:rPr>
                <w:rFonts w:ascii="宋体" w:hAnsi="宋体" w:cs="宋体"/>
                <w:color w:val="FF0000"/>
                <w:sz w:val="20"/>
                <w:szCs w:val="20"/>
              </w:rPr>
            </w:pPr>
            <w:r>
              <w:rPr>
                <w:rFonts w:hint="eastAsia" w:ascii="宋体" w:hAnsi="宋体" w:cs="宋体"/>
                <w:color w:val="FF0000"/>
                <w:kern w:val="0"/>
                <w:sz w:val="20"/>
                <w:szCs w:val="20"/>
              </w:rPr>
              <w:t>11、所投产品具备智能护眼功能，可自主选择护眼书写、护眼智能光控等多种护眼模式。</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12、交互平板具有悬浮菜单，</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13、内置安卓系统，CPU≥四核，主板具备ROM≥16G, RAM不小于2G, 安卓系统版本不低于6.0；整机具备Type-C输入接口≥1个、双通道USB输入接口≥1个</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 xml:space="preserve"> 14、无需借助PC，整机可一键进行硬件自检，包括对系统内存、存储、屏温、触摸系统、光感系统、内置电脑等进行状态提示、及故障提示。</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15、所投产品可通过多指长按屏幕部分达到息屏及唤醒功能。</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★16、所投产品标配书写笔具备两种笔头直径，无需切换菜单，可自动识别粗细笔记，方便教师板书及批注重点。</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 xml:space="preserve">17、交互平板具有防雷击、防静电、抗撞击、防火、防腐蚀、防辐射、防划伤、触摸屏防遮挡等安全保护。 </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18、具备供电保护模块，在插拔式电脑未锁定的情况下，不给插拔式电脑供电。</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19、1、内置插拔式模块化电脑，采用Intel通用80pin接口,易拆卸维修。CPU≥Intel酷睿I5</w:t>
            </w:r>
            <w:r>
              <w:rPr>
                <w:rFonts w:ascii="宋体" w:hAnsi="宋体" w:cs="宋体"/>
                <w:color w:val="FF0000"/>
                <w:kern w:val="0"/>
                <w:sz w:val="20"/>
                <w:szCs w:val="20"/>
              </w:rPr>
              <w:t xml:space="preserve"> </w:t>
            </w:r>
            <w:r>
              <w:rPr>
                <w:rFonts w:hint="eastAsia" w:ascii="宋体" w:hAnsi="宋体" w:cs="宋体"/>
                <w:color w:val="FF0000"/>
                <w:kern w:val="0"/>
                <w:sz w:val="20"/>
                <w:szCs w:val="20"/>
              </w:rPr>
              <w:t>8400处理器；内存：≥8G DDR4；硬盘：≥256G SSD；具备≥6个USB接口（USB3.0接口≥3）；具有独立非外扩展的视频输出接口：≥1路HDMI ；≥1路DP等；标配正版Windows 10 Professional专业版(64位）操作系统及正版 Office Pro Plus 2016 专业版办公软件。配移动支架。</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1</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台</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希沃，正宇视讯，鸿合</w:t>
            </w:r>
          </w:p>
        </w:tc>
      </w:tr>
    </w:tbl>
    <w:p>
      <w:pPr>
        <w:pStyle w:val="22"/>
        <w:snapToGrid w:val="0"/>
        <w:spacing w:line="440" w:lineRule="exact"/>
        <w:jc w:val="center"/>
        <w:rPr>
          <w:rFonts w:hAnsi="宋体" w:cs="宋体"/>
          <w:bCs/>
          <w:sz w:val="44"/>
        </w:rPr>
      </w:pPr>
      <w:r>
        <w:rPr>
          <w:rFonts w:hAnsi="宋体" w:cs="宋体"/>
          <w:b/>
          <w:bCs/>
          <w:sz w:val="44"/>
        </w:rPr>
        <w:br w:type="page"/>
      </w:r>
      <w:r>
        <w:rPr>
          <w:rFonts w:hint="eastAsia" w:hAnsi="宋体" w:cs="宋体"/>
          <w:b/>
          <w:bCs/>
          <w:sz w:val="44"/>
        </w:rPr>
        <w:t>第五章</w:t>
      </w:r>
      <w:r>
        <w:rPr>
          <w:rFonts w:hint="eastAsia" w:hAnsi="宋体" w:cs="宋体"/>
          <w:bCs/>
          <w:sz w:val="44"/>
        </w:rPr>
        <w:t xml:space="preserve">  </w:t>
      </w:r>
      <w:r>
        <w:rPr>
          <w:rFonts w:hint="eastAsia" w:hAnsi="宋体" w:cs="宋体"/>
          <w:b/>
          <w:bCs/>
          <w:sz w:val="44"/>
        </w:rPr>
        <w:t>评标方法与评标标准</w:t>
      </w:r>
    </w:p>
    <w:p>
      <w:pPr>
        <w:rPr>
          <w:rFonts w:ascii="宋体" w:hAnsi="宋体" w:cs="宋体"/>
        </w:rPr>
      </w:pPr>
    </w:p>
    <w:p>
      <w:pPr>
        <w:snapToGrid w:val="0"/>
        <w:rPr>
          <w:rFonts w:ascii="宋体" w:hAnsi="宋体" w:cs="宋体"/>
          <w:b/>
          <w:bCs/>
          <w:sz w:val="24"/>
          <w:szCs w:val="24"/>
        </w:rPr>
      </w:pPr>
      <w:r>
        <w:rPr>
          <w:rFonts w:hint="eastAsia" w:ascii="宋体" w:hAnsi="宋体" w:cs="宋体"/>
          <w:b/>
          <w:bCs/>
          <w:sz w:val="24"/>
          <w:szCs w:val="24"/>
        </w:rPr>
        <w:t>一、评标方法与定标原则</w:t>
      </w:r>
    </w:p>
    <w:p>
      <w:pPr>
        <w:snapToGrid w:val="0"/>
        <w:ind w:firstLine="480" w:firstLineChars="200"/>
        <w:rPr>
          <w:rFonts w:ascii="宋体" w:hAnsi="宋体" w:cs="宋体"/>
          <w:bCs/>
          <w:sz w:val="24"/>
          <w:szCs w:val="24"/>
        </w:rPr>
      </w:pPr>
      <w:r>
        <w:rPr>
          <w:rFonts w:hint="eastAsia" w:ascii="宋体" w:hAnsi="宋体" w:cs="宋体"/>
          <w:bCs/>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rPr>
          <w:rFonts w:ascii="宋体" w:hAnsi="宋体" w:cs="宋体"/>
          <w:b/>
          <w:bCs/>
          <w:sz w:val="24"/>
          <w:szCs w:val="24"/>
        </w:rPr>
      </w:pPr>
      <w:r>
        <w:rPr>
          <w:rFonts w:hint="eastAsia" w:ascii="宋体" w:hAnsi="宋体" w:cs="宋体"/>
          <w:b/>
          <w:bCs/>
          <w:sz w:val="24"/>
          <w:szCs w:val="24"/>
        </w:rPr>
        <w:t>二、评标标准</w:t>
      </w:r>
    </w:p>
    <w:p>
      <w:pPr>
        <w:snapToGrid w:val="0"/>
        <w:ind w:firstLine="480" w:firstLineChars="200"/>
        <w:rPr>
          <w:rFonts w:ascii="宋体" w:hAnsi="宋体" w:cs="宋体"/>
          <w:bCs/>
          <w:sz w:val="24"/>
          <w:szCs w:val="24"/>
        </w:rPr>
      </w:pPr>
      <w:r>
        <w:rPr>
          <w:rFonts w:hint="eastAsia" w:ascii="宋体" w:hAnsi="宋体" w:cs="宋体"/>
          <w:bCs/>
          <w:sz w:val="24"/>
          <w:szCs w:val="24"/>
        </w:rPr>
        <w:t>本项目评分总分值为100分。</w:t>
      </w:r>
    </w:p>
    <w:tbl>
      <w:tblPr>
        <w:tblStyle w:val="44"/>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1185"/>
        <w:gridCol w:w="625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810" w:type="dxa"/>
            <w:shd w:val="clear" w:color="auto" w:fill="FFFFFF"/>
            <w:noWrap/>
            <w:tcMar>
              <w:top w:w="15" w:type="dxa"/>
              <w:left w:w="15" w:type="dxa"/>
              <w:right w:w="15" w:type="dxa"/>
            </w:tcMar>
            <w:vAlign w:val="center"/>
          </w:tcPr>
          <w:p>
            <w:pPr>
              <w:widowControl/>
              <w:jc w:val="center"/>
              <w:textAlignment w:val="center"/>
              <w:rPr>
                <w:rFonts w:ascii="宋体" w:hAnsi="宋体" w:cs="宋体"/>
                <w:b/>
                <w:color w:val="FF0000"/>
                <w:sz w:val="24"/>
                <w:szCs w:val="24"/>
              </w:rPr>
            </w:pPr>
            <w:r>
              <w:rPr>
                <w:rFonts w:hint="eastAsia" w:ascii="宋体" w:hAnsi="宋体" w:cs="宋体"/>
                <w:b/>
                <w:color w:val="FF0000"/>
                <w:kern w:val="0"/>
                <w:sz w:val="24"/>
                <w:szCs w:val="24"/>
              </w:rPr>
              <w:t>序号</w:t>
            </w:r>
          </w:p>
        </w:tc>
        <w:tc>
          <w:tcPr>
            <w:tcW w:w="1185" w:type="dxa"/>
            <w:shd w:val="clear" w:color="auto" w:fill="FFFFFF"/>
            <w:noWrap/>
            <w:tcMar>
              <w:top w:w="15" w:type="dxa"/>
              <w:left w:w="15" w:type="dxa"/>
              <w:right w:w="15" w:type="dxa"/>
            </w:tcMar>
            <w:vAlign w:val="center"/>
          </w:tcPr>
          <w:p>
            <w:pPr>
              <w:widowControl/>
              <w:jc w:val="center"/>
              <w:textAlignment w:val="center"/>
              <w:rPr>
                <w:rFonts w:ascii="宋体" w:hAnsi="宋体" w:cs="宋体"/>
                <w:b/>
                <w:color w:val="FF0000"/>
                <w:sz w:val="24"/>
                <w:szCs w:val="24"/>
              </w:rPr>
            </w:pPr>
            <w:r>
              <w:rPr>
                <w:rFonts w:hint="eastAsia" w:ascii="宋体" w:hAnsi="宋体" w:cs="宋体"/>
                <w:b/>
                <w:color w:val="FF0000"/>
                <w:kern w:val="0"/>
                <w:sz w:val="24"/>
                <w:szCs w:val="24"/>
              </w:rPr>
              <w:t>评审因素</w:t>
            </w:r>
          </w:p>
        </w:tc>
        <w:tc>
          <w:tcPr>
            <w:tcW w:w="6258" w:type="dxa"/>
            <w:shd w:val="clear" w:color="auto" w:fill="FFFFFF"/>
            <w:noWrap/>
            <w:tcMar>
              <w:top w:w="15" w:type="dxa"/>
              <w:left w:w="15" w:type="dxa"/>
              <w:right w:w="15" w:type="dxa"/>
            </w:tcMar>
            <w:vAlign w:val="center"/>
          </w:tcPr>
          <w:p>
            <w:pPr>
              <w:widowControl/>
              <w:jc w:val="center"/>
              <w:textAlignment w:val="center"/>
              <w:rPr>
                <w:rFonts w:ascii="宋体" w:hAnsi="宋体" w:cs="宋体"/>
                <w:b/>
                <w:color w:val="FF0000"/>
                <w:sz w:val="24"/>
                <w:szCs w:val="24"/>
              </w:rPr>
            </w:pPr>
            <w:r>
              <w:rPr>
                <w:rFonts w:hint="eastAsia" w:ascii="宋体" w:hAnsi="宋体" w:cs="宋体"/>
                <w:b/>
                <w:color w:val="FF0000"/>
                <w:kern w:val="0"/>
                <w:sz w:val="24"/>
                <w:szCs w:val="24"/>
              </w:rPr>
              <w:t>评分标准说明</w:t>
            </w:r>
          </w:p>
        </w:tc>
        <w:tc>
          <w:tcPr>
            <w:tcW w:w="709" w:type="dxa"/>
            <w:shd w:val="clear" w:color="auto" w:fill="FFFFFF"/>
            <w:noWrap/>
            <w:tcMar>
              <w:top w:w="15" w:type="dxa"/>
              <w:left w:w="15" w:type="dxa"/>
              <w:right w:w="15" w:type="dxa"/>
            </w:tcMar>
            <w:vAlign w:val="center"/>
          </w:tcPr>
          <w:p>
            <w:pPr>
              <w:widowControl/>
              <w:jc w:val="center"/>
              <w:textAlignment w:val="center"/>
              <w:rPr>
                <w:rFonts w:ascii="宋体" w:hAnsi="宋体" w:cs="宋体"/>
                <w:b/>
                <w:color w:val="FF0000"/>
                <w:sz w:val="24"/>
                <w:szCs w:val="24"/>
              </w:rPr>
            </w:pPr>
            <w:r>
              <w:rPr>
                <w:rFonts w:hint="eastAsia" w:ascii="宋体" w:hAnsi="宋体" w:cs="宋体"/>
                <w:b/>
                <w:color w:val="FF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810" w:type="dxa"/>
            <w:vMerge w:val="restart"/>
            <w:shd w:val="clear" w:color="auto" w:fill="FFFFFF"/>
            <w:noWrap/>
            <w:tcMar>
              <w:top w:w="15" w:type="dxa"/>
              <w:left w:w="15" w:type="dxa"/>
              <w:right w:w="15" w:type="dxa"/>
            </w:tcMar>
            <w:vAlign w:val="center"/>
          </w:tcPr>
          <w:p>
            <w:pPr>
              <w:widowControl/>
              <w:jc w:val="center"/>
              <w:textAlignment w:val="center"/>
              <w:rPr>
                <w:rFonts w:ascii="宋体" w:hAnsi="宋体" w:cs="宋体"/>
                <w:color w:val="FF0000"/>
                <w:sz w:val="24"/>
                <w:szCs w:val="24"/>
              </w:rPr>
            </w:pPr>
            <w:r>
              <w:rPr>
                <w:rFonts w:hint="eastAsia" w:ascii="宋体" w:hAnsi="宋体" w:cs="宋体"/>
                <w:color w:val="FF0000"/>
                <w:kern w:val="0"/>
                <w:sz w:val="24"/>
                <w:szCs w:val="24"/>
              </w:rPr>
              <w:t>1</w:t>
            </w:r>
          </w:p>
        </w:tc>
        <w:tc>
          <w:tcPr>
            <w:tcW w:w="1185" w:type="dxa"/>
            <w:vMerge w:val="restart"/>
            <w:shd w:val="clear" w:color="auto" w:fill="FFFFFF"/>
            <w:noWrap/>
            <w:tcMar>
              <w:top w:w="15" w:type="dxa"/>
              <w:left w:w="15" w:type="dxa"/>
              <w:right w:w="15" w:type="dxa"/>
            </w:tcMar>
            <w:vAlign w:val="center"/>
          </w:tcPr>
          <w:p>
            <w:pPr>
              <w:widowControl/>
              <w:jc w:val="center"/>
              <w:textAlignment w:val="center"/>
              <w:rPr>
                <w:rFonts w:ascii="宋体" w:hAnsi="宋体" w:cs="宋体"/>
                <w:color w:val="FF0000"/>
                <w:kern w:val="0"/>
                <w:sz w:val="24"/>
                <w:szCs w:val="24"/>
              </w:rPr>
            </w:pPr>
            <w:r>
              <w:rPr>
                <w:rFonts w:hint="eastAsia" w:ascii="宋体" w:hAnsi="宋体" w:cs="宋体"/>
                <w:color w:val="FF0000"/>
                <w:kern w:val="0"/>
                <w:sz w:val="24"/>
                <w:szCs w:val="24"/>
              </w:rPr>
              <w:t>投标报价</w:t>
            </w:r>
          </w:p>
          <w:p>
            <w:pPr>
              <w:widowControl/>
              <w:jc w:val="center"/>
              <w:textAlignment w:val="center"/>
              <w:rPr>
                <w:rFonts w:ascii="宋体" w:hAnsi="宋体" w:cs="宋体"/>
                <w:color w:val="FF0000"/>
                <w:sz w:val="24"/>
                <w:szCs w:val="24"/>
              </w:rPr>
            </w:pPr>
            <w:r>
              <w:rPr>
                <w:rFonts w:hint="eastAsia" w:ascii="宋体" w:hAnsi="宋体" w:cs="宋体"/>
                <w:color w:val="FF0000"/>
                <w:kern w:val="0"/>
                <w:sz w:val="24"/>
                <w:szCs w:val="24"/>
              </w:rPr>
              <w:t>（60分）</w:t>
            </w:r>
          </w:p>
        </w:tc>
        <w:tc>
          <w:tcPr>
            <w:tcW w:w="6258" w:type="dxa"/>
            <w:vMerge w:val="restart"/>
            <w:shd w:val="clear" w:color="auto" w:fill="FFFFFF"/>
            <w:noWrap/>
            <w:tcMar>
              <w:top w:w="15" w:type="dxa"/>
              <w:left w:w="15" w:type="dxa"/>
              <w:right w:w="15" w:type="dxa"/>
            </w:tcMar>
            <w:vAlign w:val="center"/>
          </w:tcPr>
          <w:p>
            <w:pPr>
              <w:widowControl/>
              <w:textAlignment w:val="center"/>
              <w:rPr>
                <w:rFonts w:ascii="宋体" w:hAnsi="宋体" w:cs="宋体"/>
                <w:color w:val="FF0000"/>
                <w:sz w:val="24"/>
                <w:szCs w:val="24"/>
              </w:rPr>
            </w:pPr>
            <w:r>
              <w:rPr>
                <w:rFonts w:hint="eastAsia" w:ascii="宋体" w:hAnsi="宋体" w:cs="宋体"/>
                <w:color w:val="FF0000"/>
                <w:sz w:val="24"/>
                <w:szCs w:val="24"/>
              </w:rPr>
              <w:t>采用低价优先法计算，即满足招标文件要求且投标报价最低的投标报价为评标基准价，其价格为满分60分，其他投标人的报价统一按照下列公式计算：投标报价得分=(评标基准价/投标报价)×60，计算分数时四舍五入取小数点后两位。</w:t>
            </w:r>
          </w:p>
        </w:tc>
        <w:tc>
          <w:tcPr>
            <w:tcW w:w="709" w:type="dxa"/>
            <w:vMerge w:val="restart"/>
            <w:shd w:val="clear" w:color="auto" w:fill="FFFFFF"/>
            <w:noWrap/>
            <w:tcMar>
              <w:top w:w="15" w:type="dxa"/>
              <w:left w:w="15" w:type="dxa"/>
              <w:right w:w="15" w:type="dxa"/>
            </w:tcMar>
            <w:vAlign w:val="center"/>
          </w:tcPr>
          <w:p>
            <w:pPr>
              <w:widowControl/>
              <w:jc w:val="center"/>
              <w:textAlignment w:val="center"/>
              <w:rPr>
                <w:rFonts w:ascii="宋体" w:hAnsi="宋体" w:cs="宋体"/>
                <w:color w:val="FF0000"/>
                <w:sz w:val="24"/>
                <w:szCs w:val="24"/>
              </w:rPr>
            </w:pPr>
            <w:r>
              <w:rPr>
                <w:rFonts w:hint="eastAsia" w:ascii="宋体" w:hAnsi="宋体" w:cs="宋体"/>
                <w:color w:val="FF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810" w:type="dxa"/>
            <w:vMerge w:val="continue"/>
            <w:shd w:val="clear" w:color="auto" w:fill="FFFFFF"/>
            <w:noWrap/>
            <w:tcMar>
              <w:top w:w="15" w:type="dxa"/>
              <w:left w:w="15" w:type="dxa"/>
              <w:right w:w="15" w:type="dxa"/>
            </w:tcMar>
            <w:vAlign w:val="center"/>
          </w:tcPr>
          <w:p>
            <w:pPr>
              <w:jc w:val="center"/>
              <w:rPr>
                <w:rFonts w:ascii="宋体" w:hAnsi="宋体" w:cs="宋体"/>
                <w:color w:val="FF0000"/>
                <w:sz w:val="24"/>
                <w:szCs w:val="24"/>
              </w:rPr>
            </w:pPr>
          </w:p>
        </w:tc>
        <w:tc>
          <w:tcPr>
            <w:tcW w:w="1185" w:type="dxa"/>
            <w:vMerge w:val="continue"/>
            <w:shd w:val="clear" w:color="auto" w:fill="FFFFFF"/>
            <w:noWrap/>
            <w:tcMar>
              <w:top w:w="15" w:type="dxa"/>
              <w:left w:w="15" w:type="dxa"/>
              <w:right w:w="15" w:type="dxa"/>
            </w:tcMar>
            <w:vAlign w:val="center"/>
          </w:tcPr>
          <w:p>
            <w:pPr>
              <w:jc w:val="center"/>
              <w:rPr>
                <w:rFonts w:ascii="宋体" w:hAnsi="宋体" w:cs="宋体"/>
                <w:color w:val="FF0000"/>
                <w:sz w:val="24"/>
                <w:szCs w:val="24"/>
              </w:rPr>
            </w:pPr>
          </w:p>
        </w:tc>
        <w:tc>
          <w:tcPr>
            <w:tcW w:w="6258" w:type="dxa"/>
            <w:vMerge w:val="continue"/>
            <w:shd w:val="clear" w:color="auto" w:fill="FFFFFF"/>
            <w:noWrap/>
            <w:tcMar>
              <w:top w:w="15" w:type="dxa"/>
              <w:left w:w="15" w:type="dxa"/>
              <w:right w:w="15" w:type="dxa"/>
            </w:tcMar>
            <w:vAlign w:val="center"/>
          </w:tcPr>
          <w:p>
            <w:pPr>
              <w:rPr>
                <w:rFonts w:ascii="宋体" w:hAnsi="宋体" w:cs="宋体"/>
                <w:color w:val="FF0000"/>
                <w:sz w:val="24"/>
                <w:szCs w:val="24"/>
              </w:rPr>
            </w:pPr>
          </w:p>
        </w:tc>
        <w:tc>
          <w:tcPr>
            <w:tcW w:w="709" w:type="dxa"/>
            <w:vMerge w:val="continue"/>
            <w:shd w:val="clear" w:color="auto" w:fill="FFFFFF"/>
            <w:noWrap/>
            <w:tcMar>
              <w:top w:w="15" w:type="dxa"/>
              <w:left w:w="15" w:type="dxa"/>
              <w:right w:w="15" w:type="dxa"/>
            </w:tcMar>
            <w:vAlign w:val="center"/>
          </w:tcPr>
          <w:p>
            <w:pPr>
              <w:jc w:val="center"/>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7" w:hRule="atLeast"/>
          <w:jc w:val="center"/>
        </w:trPr>
        <w:tc>
          <w:tcPr>
            <w:tcW w:w="810" w:type="dxa"/>
            <w:shd w:val="clear" w:color="auto" w:fill="FFFFFF"/>
            <w:noWrap/>
            <w:tcMar>
              <w:top w:w="15" w:type="dxa"/>
              <w:left w:w="15" w:type="dxa"/>
              <w:right w:w="15" w:type="dxa"/>
            </w:tcMar>
            <w:vAlign w:val="center"/>
          </w:tcPr>
          <w:p>
            <w:pPr>
              <w:widowControl/>
              <w:jc w:val="center"/>
              <w:textAlignment w:val="center"/>
              <w:rPr>
                <w:rFonts w:ascii="宋体" w:hAnsi="宋体" w:cs="宋体"/>
                <w:color w:val="FF0000"/>
                <w:sz w:val="24"/>
                <w:szCs w:val="24"/>
              </w:rPr>
            </w:pPr>
            <w:r>
              <w:rPr>
                <w:rFonts w:hint="eastAsia" w:ascii="宋体" w:hAnsi="宋体" w:cs="宋体"/>
                <w:color w:val="FF0000"/>
                <w:kern w:val="0"/>
                <w:sz w:val="24"/>
                <w:szCs w:val="24"/>
              </w:rPr>
              <w:t>2</w:t>
            </w:r>
          </w:p>
        </w:tc>
        <w:tc>
          <w:tcPr>
            <w:tcW w:w="1185" w:type="dxa"/>
            <w:shd w:val="clear" w:color="auto" w:fill="FFFFFF"/>
            <w:noWrap/>
            <w:tcMar>
              <w:top w:w="15" w:type="dxa"/>
              <w:left w:w="15" w:type="dxa"/>
              <w:right w:w="15" w:type="dxa"/>
            </w:tcMar>
            <w:vAlign w:val="center"/>
          </w:tcPr>
          <w:p>
            <w:pPr>
              <w:widowControl/>
              <w:jc w:val="center"/>
              <w:textAlignment w:val="center"/>
              <w:rPr>
                <w:rFonts w:ascii="宋体" w:hAnsi="宋体" w:cs="宋体"/>
                <w:color w:val="FF0000"/>
                <w:sz w:val="24"/>
                <w:szCs w:val="24"/>
              </w:rPr>
            </w:pPr>
            <w:r>
              <w:rPr>
                <w:rFonts w:hint="eastAsia" w:ascii="宋体" w:hAnsi="宋体" w:cs="宋体"/>
                <w:color w:val="FF0000"/>
                <w:kern w:val="0"/>
                <w:sz w:val="24"/>
                <w:szCs w:val="24"/>
              </w:rPr>
              <w:t>技术参数（30分）</w:t>
            </w:r>
          </w:p>
        </w:tc>
        <w:tc>
          <w:tcPr>
            <w:tcW w:w="6258" w:type="dxa"/>
            <w:shd w:val="clear" w:color="auto" w:fill="FFFFFF"/>
            <w:noWrap/>
            <w:tcMar>
              <w:top w:w="15" w:type="dxa"/>
              <w:left w:w="15" w:type="dxa"/>
              <w:right w:w="15" w:type="dxa"/>
            </w:tcMar>
            <w:vAlign w:val="center"/>
          </w:tcPr>
          <w:p>
            <w:pPr>
              <w:widowControl/>
              <w:rPr>
                <w:rFonts w:ascii="宋体" w:hAnsi="宋体" w:cs="宋体"/>
                <w:color w:val="FF0000"/>
                <w:kern w:val="0"/>
                <w:sz w:val="24"/>
                <w:szCs w:val="24"/>
              </w:rPr>
            </w:pPr>
            <w:r>
              <w:rPr>
                <w:rFonts w:hint="eastAsia" w:ascii="宋体" w:hAnsi="宋体" w:cs="宋体"/>
                <w:color w:val="FF0000"/>
                <w:kern w:val="0"/>
                <w:sz w:val="24"/>
                <w:szCs w:val="24"/>
              </w:rPr>
              <w:t>根据投标文件中的技术偏离表对招标文件技术指标要求的响应状况综合打分，（投标人需如实填写所投产品参数，复制招标文件参数而又无相关资料证实的，评标委员会有权做负偏离处理。参数指标需提供对应符合功能的所投产品的界面截图、说明书、检测报告或产品彩页等。</w:t>
            </w:r>
          </w:p>
          <w:p>
            <w:pPr>
              <w:widowControl/>
              <w:rPr>
                <w:rFonts w:ascii="宋体" w:hAnsi="宋体" w:cs="宋体"/>
                <w:color w:val="FF0000"/>
                <w:kern w:val="0"/>
                <w:sz w:val="24"/>
                <w:szCs w:val="24"/>
              </w:rPr>
            </w:pPr>
            <w:r>
              <w:rPr>
                <w:rFonts w:hint="eastAsia" w:ascii="宋体" w:hAnsi="宋体" w:cs="宋体"/>
                <w:color w:val="FF0000"/>
                <w:kern w:val="0"/>
                <w:sz w:val="24"/>
                <w:szCs w:val="24"/>
              </w:rPr>
              <w:t>1、所投产品技术指标全部满足得30分。</w:t>
            </w:r>
          </w:p>
          <w:p>
            <w:pPr>
              <w:widowControl/>
              <w:rPr>
                <w:rFonts w:ascii="宋体" w:hAnsi="宋体" w:cs="宋体"/>
                <w:color w:val="FF0000"/>
                <w:kern w:val="0"/>
                <w:sz w:val="24"/>
                <w:szCs w:val="24"/>
              </w:rPr>
            </w:pPr>
            <w:r>
              <w:rPr>
                <w:rFonts w:hint="eastAsia" w:ascii="宋体" w:hAnsi="宋体" w:cs="宋体"/>
                <w:color w:val="FF0000"/>
                <w:kern w:val="0"/>
                <w:sz w:val="24"/>
                <w:szCs w:val="24"/>
              </w:rPr>
              <w:t>2、加★为关键指标，如出现负偏离，每项扣3分。</w:t>
            </w:r>
          </w:p>
          <w:p>
            <w:pPr>
              <w:widowControl/>
              <w:rPr>
                <w:rFonts w:ascii="宋体" w:hAnsi="宋体" w:cs="宋体"/>
                <w:color w:val="FF0000"/>
                <w:kern w:val="0"/>
                <w:sz w:val="24"/>
                <w:szCs w:val="24"/>
              </w:rPr>
            </w:pPr>
            <w:r>
              <w:rPr>
                <w:rFonts w:hint="eastAsia" w:ascii="宋体" w:hAnsi="宋体" w:cs="宋体"/>
                <w:color w:val="FF0000"/>
                <w:kern w:val="0"/>
                <w:sz w:val="24"/>
                <w:szCs w:val="24"/>
              </w:rPr>
              <w:t>3、所投设备的其他非实质性能指标负偏离，每项扣</w:t>
            </w:r>
            <w:r>
              <w:rPr>
                <w:rFonts w:ascii="宋体" w:hAnsi="宋体" w:cs="宋体"/>
                <w:color w:val="FF0000"/>
                <w:kern w:val="0"/>
                <w:sz w:val="24"/>
                <w:szCs w:val="24"/>
              </w:rPr>
              <w:t>1</w:t>
            </w:r>
            <w:r>
              <w:rPr>
                <w:rFonts w:hint="eastAsia" w:ascii="宋体" w:hAnsi="宋体" w:cs="宋体"/>
                <w:color w:val="FF0000"/>
                <w:kern w:val="0"/>
                <w:sz w:val="24"/>
                <w:szCs w:val="24"/>
              </w:rPr>
              <w:t>分。</w:t>
            </w:r>
          </w:p>
          <w:p>
            <w:pPr>
              <w:widowControl/>
              <w:textAlignment w:val="center"/>
              <w:rPr>
                <w:rFonts w:ascii="宋体" w:hAnsi="宋体" w:cs="宋体"/>
                <w:color w:val="FF0000"/>
                <w:sz w:val="24"/>
                <w:szCs w:val="24"/>
                <w:highlight w:val="yellow"/>
              </w:rPr>
            </w:pPr>
            <w:r>
              <w:rPr>
                <w:rFonts w:hint="eastAsia" w:ascii="宋体" w:hAnsi="宋体" w:cs="宋体"/>
                <w:b/>
                <w:color w:val="FF0000"/>
                <w:kern w:val="0"/>
                <w:sz w:val="24"/>
                <w:szCs w:val="24"/>
              </w:rPr>
              <w:t>以上所有分数扣完为止。</w:t>
            </w:r>
          </w:p>
        </w:tc>
        <w:tc>
          <w:tcPr>
            <w:tcW w:w="709" w:type="dxa"/>
            <w:shd w:val="clear" w:color="auto" w:fill="FFFFFF"/>
            <w:noWrap/>
            <w:tcMar>
              <w:top w:w="15" w:type="dxa"/>
              <w:left w:w="15" w:type="dxa"/>
              <w:right w:w="15" w:type="dxa"/>
            </w:tcMar>
            <w:vAlign w:val="center"/>
          </w:tcPr>
          <w:p>
            <w:pPr>
              <w:widowControl/>
              <w:jc w:val="center"/>
              <w:textAlignment w:val="center"/>
              <w:rPr>
                <w:rFonts w:ascii="宋体" w:hAnsi="宋体" w:cs="宋体"/>
                <w:color w:val="FF0000"/>
                <w:sz w:val="24"/>
                <w:szCs w:val="24"/>
              </w:rPr>
            </w:pPr>
            <w:r>
              <w:rPr>
                <w:rFonts w:hint="eastAsia" w:ascii="宋体" w:hAnsi="宋体" w:cs="宋体"/>
                <w:color w:val="FF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810" w:type="dxa"/>
            <w:vMerge w:val="restart"/>
            <w:shd w:val="clear" w:color="auto" w:fill="FFFFFF"/>
            <w:noWrap/>
            <w:tcMar>
              <w:top w:w="15" w:type="dxa"/>
              <w:left w:w="15" w:type="dxa"/>
              <w:right w:w="15" w:type="dxa"/>
            </w:tcMar>
            <w:vAlign w:val="center"/>
          </w:tcPr>
          <w:p>
            <w:pPr>
              <w:widowControl/>
              <w:jc w:val="center"/>
              <w:textAlignment w:val="center"/>
              <w:rPr>
                <w:rFonts w:ascii="宋体" w:hAnsi="宋体" w:cs="宋体"/>
                <w:color w:val="FF0000"/>
                <w:sz w:val="24"/>
                <w:szCs w:val="24"/>
              </w:rPr>
            </w:pPr>
            <w:r>
              <w:rPr>
                <w:rFonts w:hint="eastAsia" w:ascii="宋体" w:hAnsi="宋体" w:cs="宋体"/>
                <w:color w:val="FF0000"/>
                <w:kern w:val="0"/>
                <w:sz w:val="24"/>
                <w:szCs w:val="24"/>
              </w:rPr>
              <w:t>3</w:t>
            </w:r>
          </w:p>
        </w:tc>
        <w:tc>
          <w:tcPr>
            <w:tcW w:w="1185" w:type="dxa"/>
            <w:vMerge w:val="restart"/>
            <w:shd w:val="clear" w:color="auto" w:fill="FFFFFF"/>
            <w:noWrap/>
            <w:tcMar>
              <w:top w:w="15" w:type="dxa"/>
              <w:left w:w="15" w:type="dxa"/>
              <w:right w:w="15" w:type="dxa"/>
            </w:tcMar>
            <w:vAlign w:val="center"/>
          </w:tcPr>
          <w:p>
            <w:pPr>
              <w:widowControl/>
              <w:jc w:val="center"/>
              <w:textAlignment w:val="center"/>
              <w:rPr>
                <w:rFonts w:ascii="宋体" w:hAnsi="宋体" w:cs="宋体"/>
                <w:color w:val="FF0000"/>
                <w:sz w:val="24"/>
                <w:szCs w:val="24"/>
              </w:rPr>
            </w:pPr>
            <w:r>
              <w:rPr>
                <w:rFonts w:hint="eastAsia" w:ascii="宋体" w:hAnsi="宋体" w:cs="宋体"/>
                <w:color w:val="FF0000"/>
                <w:kern w:val="0"/>
                <w:sz w:val="24"/>
                <w:szCs w:val="24"/>
              </w:rPr>
              <w:t>售后服务（10分）</w:t>
            </w:r>
          </w:p>
        </w:tc>
        <w:tc>
          <w:tcPr>
            <w:tcW w:w="6258" w:type="dxa"/>
            <w:shd w:val="clear" w:color="auto" w:fill="FFFFFF"/>
            <w:noWrap/>
            <w:tcMar>
              <w:top w:w="15" w:type="dxa"/>
              <w:left w:w="15" w:type="dxa"/>
              <w:right w:w="15" w:type="dxa"/>
            </w:tcMar>
            <w:vAlign w:val="center"/>
          </w:tcPr>
          <w:p>
            <w:pPr>
              <w:widowControl/>
              <w:rPr>
                <w:rFonts w:ascii="宋体" w:hAnsi="宋体" w:cs="宋体"/>
                <w:color w:val="FF0000"/>
                <w:sz w:val="24"/>
                <w:szCs w:val="24"/>
              </w:rPr>
            </w:pPr>
            <w:r>
              <w:rPr>
                <w:rFonts w:hint="eastAsia" w:hAnsi="宋体" w:cs="宋体"/>
                <w:color w:val="FF0000"/>
                <w:sz w:val="24"/>
                <w:szCs w:val="24"/>
              </w:rPr>
              <w:t>1、提供完善的培训及方案的得3分，未提供不得分。</w:t>
            </w:r>
          </w:p>
        </w:tc>
        <w:tc>
          <w:tcPr>
            <w:tcW w:w="709" w:type="dxa"/>
            <w:shd w:val="clear" w:color="auto" w:fill="FFFFFF"/>
            <w:noWrap/>
            <w:tcMar>
              <w:top w:w="15" w:type="dxa"/>
              <w:left w:w="15" w:type="dxa"/>
              <w:right w:w="15" w:type="dxa"/>
            </w:tcMar>
            <w:vAlign w:val="center"/>
          </w:tcPr>
          <w:p>
            <w:pPr>
              <w:widowControl/>
              <w:jc w:val="center"/>
              <w:textAlignment w:val="center"/>
              <w:rPr>
                <w:rFonts w:ascii="宋体" w:hAnsi="宋体" w:cs="宋体"/>
                <w:color w:val="FF0000"/>
                <w:sz w:val="24"/>
                <w:szCs w:val="24"/>
              </w:rPr>
            </w:pPr>
            <w:r>
              <w:rPr>
                <w:rFonts w:hint="eastAsia" w:ascii="宋体" w:hAnsi="宋体" w:cs="宋体"/>
                <w:color w:val="FF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810" w:type="dxa"/>
            <w:vMerge w:val="continue"/>
            <w:shd w:val="clear" w:color="auto" w:fill="FFFFFF"/>
            <w:noWrap/>
            <w:tcMar>
              <w:top w:w="15" w:type="dxa"/>
              <w:left w:w="15" w:type="dxa"/>
              <w:right w:w="15" w:type="dxa"/>
            </w:tcMar>
            <w:vAlign w:val="center"/>
          </w:tcPr>
          <w:p>
            <w:pPr>
              <w:jc w:val="center"/>
              <w:rPr>
                <w:rFonts w:ascii="宋体" w:hAnsi="宋体" w:cs="宋体"/>
                <w:color w:val="FF0000"/>
                <w:sz w:val="24"/>
                <w:szCs w:val="24"/>
              </w:rPr>
            </w:pPr>
          </w:p>
        </w:tc>
        <w:tc>
          <w:tcPr>
            <w:tcW w:w="1185" w:type="dxa"/>
            <w:vMerge w:val="continue"/>
            <w:shd w:val="clear" w:color="auto" w:fill="FFFFFF"/>
            <w:noWrap/>
            <w:tcMar>
              <w:top w:w="15" w:type="dxa"/>
              <w:left w:w="15" w:type="dxa"/>
              <w:right w:w="15" w:type="dxa"/>
            </w:tcMar>
            <w:vAlign w:val="center"/>
          </w:tcPr>
          <w:p>
            <w:pPr>
              <w:jc w:val="center"/>
              <w:rPr>
                <w:rFonts w:ascii="宋体" w:hAnsi="宋体" w:cs="宋体"/>
                <w:color w:val="FF0000"/>
                <w:sz w:val="24"/>
                <w:szCs w:val="24"/>
              </w:rPr>
            </w:pPr>
          </w:p>
        </w:tc>
        <w:tc>
          <w:tcPr>
            <w:tcW w:w="6258" w:type="dxa"/>
            <w:shd w:val="clear" w:color="auto" w:fill="FFFFFF"/>
            <w:noWrap/>
            <w:tcMar>
              <w:top w:w="15" w:type="dxa"/>
              <w:left w:w="15" w:type="dxa"/>
              <w:right w:w="15" w:type="dxa"/>
            </w:tcMar>
            <w:vAlign w:val="center"/>
          </w:tcPr>
          <w:p>
            <w:pPr>
              <w:widowControl/>
              <w:textAlignment w:val="center"/>
              <w:rPr>
                <w:rFonts w:ascii="宋体" w:hAnsi="宋体" w:cs="宋体"/>
                <w:color w:val="FF0000"/>
                <w:sz w:val="24"/>
                <w:szCs w:val="24"/>
              </w:rPr>
            </w:pPr>
            <w:r>
              <w:rPr>
                <w:rFonts w:hint="eastAsia" w:hAnsi="宋体" w:cs="宋体"/>
                <w:color w:val="FF0000"/>
                <w:sz w:val="24"/>
                <w:szCs w:val="24"/>
              </w:rPr>
              <w:t>2、提供原厂三年质保和完善的售后服务得基本分3分，在此基础上每增加壹年再得2分；本项最多得7分。</w:t>
            </w:r>
          </w:p>
        </w:tc>
        <w:tc>
          <w:tcPr>
            <w:tcW w:w="709" w:type="dxa"/>
            <w:shd w:val="clear" w:color="auto" w:fill="FFFFFF"/>
            <w:noWrap/>
            <w:tcMar>
              <w:top w:w="15" w:type="dxa"/>
              <w:left w:w="15" w:type="dxa"/>
              <w:right w:w="15" w:type="dxa"/>
            </w:tcMar>
            <w:vAlign w:val="center"/>
          </w:tcPr>
          <w:p>
            <w:pPr>
              <w:widowControl/>
              <w:jc w:val="center"/>
              <w:textAlignment w:val="center"/>
              <w:rPr>
                <w:rFonts w:ascii="宋体" w:hAnsi="宋体" w:cs="宋体"/>
                <w:color w:val="FF0000"/>
                <w:sz w:val="24"/>
                <w:szCs w:val="24"/>
              </w:rPr>
            </w:pPr>
            <w:r>
              <w:rPr>
                <w:rFonts w:hint="eastAsia" w:ascii="宋体" w:hAnsi="宋体" w:cs="宋体"/>
                <w:color w:val="FF0000"/>
                <w:kern w:val="0"/>
                <w:sz w:val="24"/>
                <w:szCs w:val="24"/>
              </w:rPr>
              <w:t>7</w:t>
            </w:r>
          </w:p>
        </w:tc>
      </w:tr>
    </w:tbl>
    <w:p>
      <w:pPr>
        <w:snapToGrid w:val="0"/>
        <w:ind w:firstLine="480" w:firstLineChars="200"/>
        <w:rPr>
          <w:rFonts w:ascii="宋体" w:hAnsi="宋体" w:cs="宋体"/>
          <w:bCs/>
          <w:sz w:val="24"/>
          <w:szCs w:val="24"/>
        </w:rPr>
      </w:pPr>
      <w:r>
        <w:rPr>
          <w:rFonts w:hint="eastAsia" w:ascii="宋体" w:hAnsi="宋体" w:cs="宋体"/>
          <w:bCs/>
          <w:sz w:val="24"/>
          <w:szCs w:val="24"/>
        </w:rPr>
        <w:t xml:space="preserve">说明： </w:t>
      </w:r>
    </w:p>
    <w:p>
      <w:pPr>
        <w:snapToGrid w:val="0"/>
        <w:ind w:firstLine="420" w:firstLineChars="200"/>
        <w:rPr>
          <w:rFonts w:ascii="宋体" w:hAnsi="宋体" w:cs="宋体"/>
          <w:szCs w:val="20"/>
        </w:rPr>
      </w:pPr>
      <w:r>
        <w:rPr>
          <w:rFonts w:hint="eastAsia" w:ascii="宋体" w:hAnsi="宋体" w:cs="宋体"/>
          <w:szCs w:val="20"/>
        </w:rPr>
        <w:t>1、若供应商提供虚假资料，一经查实取消其中标候选人资格，并向相关主管部门汇报。</w:t>
      </w:r>
    </w:p>
    <w:p>
      <w:pPr>
        <w:snapToGrid w:val="0"/>
        <w:ind w:firstLine="420" w:firstLineChars="200"/>
        <w:rPr>
          <w:rFonts w:ascii="宋体" w:hAnsi="宋体" w:cs="宋体"/>
          <w:szCs w:val="20"/>
        </w:rPr>
      </w:pPr>
      <w:r>
        <w:rPr>
          <w:rFonts w:hint="eastAsia" w:ascii="宋体" w:hAnsi="宋体" w:cs="宋体"/>
          <w:szCs w:val="20"/>
        </w:rPr>
        <w:t>2、中标单位不得转包、分包，如果发现有转包、分包情况，则取消其中标候选人资格，并向相关主管部门汇报。</w:t>
      </w:r>
    </w:p>
    <w:p>
      <w:pPr>
        <w:snapToGrid w:val="0"/>
        <w:ind w:firstLine="420" w:firstLineChars="200"/>
        <w:rPr>
          <w:rFonts w:ascii="宋体" w:hAnsi="宋体" w:cs="宋体"/>
          <w:szCs w:val="20"/>
        </w:rPr>
      </w:pPr>
      <w:r>
        <w:rPr>
          <w:rFonts w:hint="eastAsia" w:ascii="宋体" w:hAnsi="宋体" w:cs="宋体"/>
          <w:szCs w:val="20"/>
          <w:lang w:val="zh-CN"/>
        </w:rPr>
        <w:t>3、中标公告期内，中标单位需向采购单位提供产品相关证明文件原件以供审核，如有不实采购人有权取消其中标资格。</w:t>
      </w:r>
    </w:p>
    <w:p>
      <w:pPr>
        <w:pStyle w:val="3"/>
        <w:rPr>
          <w:rFonts w:ascii="宋体" w:hAnsi="宋体" w:eastAsia="宋体" w:cs="宋体"/>
          <w:bCs/>
          <w:sz w:val="44"/>
        </w:rPr>
      </w:pPr>
    </w:p>
    <w:p>
      <w:pPr>
        <w:pStyle w:val="3"/>
        <w:rPr>
          <w:rFonts w:ascii="宋体" w:hAnsi="宋体" w:eastAsia="宋体" w:cs="宋体"/>
          <w:bCs/>
          <w:sz w:val="44"/>
        </w:rPr>
      </w:pPr>
    </w:p>
    <w:p>
      <w:pPr>
        <w:rPr>
          <w:rFonts w:ascii="宋体" w:hAnsi="宋体" w:cs="宋体"/>
          <w:bCs/>
          <w:sz w:val="44"/>
        </w:rPr>
      </w:pPr>
      <w:r>
        <w:rPr>
          <w:rFonts w:hint="eastAsia" w:ascii="宋体" w:hAnsi="宋体" w:cs="宋体"/>
          <w:bCs/>
          <w:sz w:val="44"/>
        </w:rPr>
        <w:br w:type="page"/>
      </w:r>
    </w:p>
    <w:p>
      <w:pPr>
        <w:pStyle w:val="3"/>
        <w:rPr>
          <w:rFonts w:ascii="宋体" w:hAnsi="宋体" w:eastAsia="宋体" w:cs="宋体"/>
          <w:bCs/>
          <w:sz w:val="44"/>
        </w:rPr>
      </w:pPr>
      <w:r>
        <w:rPr>
          <w:rFonts w:hint="eastAsia" w:ascii="宋体" w:hAnsi="宋体" w:eastAsia="宋体" w:cs="宋体"/>
          <w:bCs/>
          <w:sz w:val="44"/>
        </w:rPr>
        <w:t>第六章  投标</w:t>
      </w:r>
      <w:bookmarkEnd w:id="159"/>
      <w:bookmarkEnd w:id="160"/>
      <w:bookmarkEnd w:id="161"/>
      <w:r>
        <w:rPr>
          <w:rFonts w:hint="eastAsia" w:ascii="宋体" w:hAnsi="宋体" w:eastAsia="宋体" w:cs="宋体"/>
          <w:bCs/>
          <w:sz w:val="44"/>
        </w:rPr>
        <w:t xml:space="preserve">文件格式 </w:t>
      </w:r>
    </w:p>
    <w:p>
      <w:pPr>
        <w:jc w:val="right"/>
        <w:rPr>
          <w:rFonts w:ascii="宋体" w:hAnsi="宋体" w:cs="宋体"/>
          <w:b/>
          <w:sz w:val="36"/>
        </w:rPr>
      </w:pPr>
      <w:bookmarkStart w:id="162" w:name="_Hlt26671244"/>
      <w:bookmarkEnd w:id="162"/>
      <w:bookmarkStart w:id="163" w:name="_Hlt26955039"/>
      <w:bookmarkEnd w:id="163"/>
      <w:bookmarkStart w:id="164" w:name="_Toc26554094"/>
      <w:bookmarkStart w:id="165" w:name="_Toc120614282"/>
      <w:bookmarkStart w:id="166" w:name="_Toc49090576"/>
    </w:p>
    <w:p>
      <w:pPr>
        <w:jc w:val="right"/>
        <w:rPr>
          <w:rFonts w:ascii="宋体" w:hAnsi="宋体" w:cs="宋体"/>
          <w:b/>
          <w:sz w:val="72"/>
        </w:rPr>
      </w:pPr>
      <w:r>
        <w:rPr>
          <w:rFonts w:hint="eastAsia" w:ascii="宋体" w:hAnsi="宋体" w:cs="宋体"/>
          <w:b/>
          <w:sz w:val="36"/>
        </w:rPr>
        <w:t>（正或副本）</w:t>
      </w:r>
    </w:p>
    <w:p>
      <w:pPr>
        <w:jc w:val="center"/>
        <w:rPr>
          <w:rFonts w:ascii="宋体" w:hAnsi="宋体" w:cs="宋体"/>
          <w:b/>
          <w:sz w:val="72"/>
        </w:rPr>
      </w:pPr>
    </w:p>
    <w:p>
      <w:pPr>
        <w:jc w:val="center"/>
        <w:rPr>
          <w:rFonts w:ascii="宋体" w:hAnsi="宋体" w:cs="宋体"/>
          <w:b/>
          <w:sz w:val="72"/>
        </w:rPr>
      </w:pPr>
      <w:r>
        <w:rPr>
          <w:rFonts w:hint="eastAsia" w:ascii="宋体" w:hAnsi="宋体" w:cs="宋体"/>
          <w:b/>
          <w:sz w:val="72"/>
        </w:rPr>
        <w:t>投  标  文  件</w:t>
      </w:r>
    </w:p>
    <w:p>
      <w:pPr>
        <w:ind w:firstLine="1084" w:firstLineChars="300"/>
        <w:jc w:val="center"/>
        <w:rPr>
          <w:rFonts w:ascii="宋体" w:hAnsi="宋体" w:cs="宋体"/>
          <w:b/>
          <w:sz w:val="36"/>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1084" w:firstLineChars="300"/>
        <w:rPr>
          <w:rFonts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1084" w:firstLineChars="300"/>
        <w:rPr>
          <w:rFonts w:ascii="宋体" w:hAnsi="宋体" w:cs="宋体"/>
          <w:b/>
          <w:sz w:val="36"/>
          <w:u w:val="single"/>
        </w:rPr>
      </w:pPr>
      <w:r>
        <w:rPr>
          <w:rFonts w:hint="eastAsia" w:ascii="宋体" w:hAnsi="宋体" w:cs="宋体"/>
          <w:b/>
          <w:sz w:val="36"/>
        </w:rPr>
        <w:t>招 标 编 号：</w:t>
      </w:r>
      <w:r>
        <w:rPr>
          <w:rFonts w:hint="eastAsia" w:ascii="宋体" w:hAnsi="宋体" w:cs="宋体"/>
          <w:b/>
          <w:sz w:val="36"/>
          <w:u w:val="single"/>
        </w:rPr>
        <w:t xml:space="preserve">               </w:t>
      </w:r>
    </w:p>
    <w:p>
      <w:pPr>
        <w:rPr>
          <w:rFonts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ascii="宋体" w:hAnsi="宋体" w:cs="宋体"/>
          <w:b/>
          <w:bCs/>
          <w:sz w:val="32"/>
          <w:szCs w:val="32"/>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jc w:val="center"/>
        <w:rPr>
          <w:rFonts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ascii="宋体" w:hAnsi="宋体" w:cs="宋体"/>
          <w:b/>
          <w:sz w:val="30"/>
          <w:szCs w:val="30"/>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0"/>
              <w:shd w:val="clear" w:color="auto" w:fill="FFFFFF"/>
              <w:spacing w:line="265" w:lineRule="atLeast"/>
              <w:ind w:left="420"/>
              <w:jc w:val="center"/>
              <w:rPr>
                <w:rFonts w:ascii="宋体" w:hAnsi="宋体" w:cs="宋体"/>
                <w:b/>
                <w:bCs/>
                <w:lang w:eastAsia="zh-CN"/>
              </w:rPr>
            </w:pPr>
            <w:r>
              <w:rPr>
                <w:rFonts w:hint="eastAsia" w:ascii="宋体" w:hAnsi="宋体" w:cs="宋体"/>
                <w:b/>
              </w:rPr>
              <w:t>评分项目</w:t>
            </w:r>
          </w:p>
        </w:tc>
        <w:tc>
          <w:tcPr>
            <w:tcW w:w="3570" w:type="dxa"/>
          </w:tcPr>
          <w:p>
            <w:pPr>
              <w:jc w:val="center"/>
              <w:rPr>
                <w:rFonts w:ascii="宋体" w:hAnsi="宋体" w:cs="宋体"/>
                <w:b/>
              </w:rPr>
            </w:pPr>
            <w:r>
              <w:rPr>
                <w:rFonts w:hint="eastAsia" w:ascii="宋体" w:hAnsi="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80"/>
              <w:shd w:val="clear" w:color="auto" w:fill="FFFFFF"/>
              <w:spacing w:line="265" w:lineRule="atLeast"/>
              <w:ind w:left="420"/>
              <w:jc w:val="both"/>
              <w:rPr>
                <w:rFonts w:ascii="宋体" w:hAnsi="宋体" w:cs="宋体"/>
                <w:b/>
                <w:lang w:eastAsia="zh-CN"/>
              </w:rPr>
            </w:pPr>
          </w:p>
        </w:tc>
        <w:tc>
          <w:tcPr>
            <w:tcW w:w="3570" w:type="dxa"/>
          </w:tcPr>
          <w:p>
            <w:pPr>
              <w:rPr>
                <w:rFonts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80"/>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80"/>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80"/>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0"/>
              <w:shd w:val="clear" w:color="auto" w:fill="FFFFFF"/>
              <w:spacing w:line="265" w:lineRule="atLeast"/>
              <w:ind w:left="420"/>
              <w:rPr>
                <w:rFonts w:ascii="宋体" w:hAnsi="宋体" w:cs="宋体"/>
                <w:b/>
                <w:bCs/>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0"/>
              <w:shd w:val="clear" w:color="auto" w:fill="FFFFFF"/>
              <w:spacing w:line="265" w:lineRule="atLeast"/>
              <w:ind w:left="420"/>
              <w:rPr>
                <w:rFonts w:ascii="宋体" w:hAnsi="宋体" w:cs="宋体"/>
                <w:b/>
                <w:bCs/>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80"/>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80"/>
              <w:shd w:val="clear" w:color="auto" w:fill="FFFFFF"/>
              <w:spacing w:line="265" w:lineRule="atLeast"/>
              <w:ind w:left="0" w:firstLine="480" w:firstLineChars="200"/>
              <w:rPr>
                <w:rFonts w:ascii="宋体" w:hAnsi="宋体" w:cs="宋体"/>
                <w:szCs w:val="21"/>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80"/>
              <w:shd w:val="clear" w:color="auto" w:fill="FFFFFF"/>
              <w:spacing w:line="265" w:lineRule="atLeast"/>
              <w:ind w:left="0" w:firstLine="480" w:firstLineChars="200"/>
              <w:rPr>
                <w:rFonts w:ascii="宋体" w:hAnsi="宋体" w:cs="宋体"/>
                <w:lang w:eastAsia="zh-CN"/>
              </w:rPr>
            </w:pPr>
          </w:p>
        </w:tc>
        <w:tc>
          <w:tcPr>
            <w:tcW w:w="3570" w:type="dxa"/>
            <w:tcBorders>
              <w:bottom w:val="single" w:color="auto" w:sz="4" w:space="0"/>
            </w:tcBorders>
          </w:tcPr>
          <w:p>
            <w:pPr>
              <w:rPr>
                <w:rFonts w:ascii="宋体" w:hAnsi="宋体" w:cs="宋体"/>
              </w:rPr>
            </w:pPr>
          </w:p>
        </w:tc>
      </w:tr>
    </w:tbl>
    <w:p>
      <w:pPr>
        <w:rPr>
          <w:rFonts w:ascii="宋体" w:hAnsi="宋体" w:cs="宋体"/>
        </w:rPr>
      </w:pPr>
    </w:p>
    <w:p>
      <w:pPr>
        <w:ind w:firstLine="1084" w:firstLineChars="300"/>
        <w:jc w:val="center"/>
        <w:rPr>
          <w:rFonts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hAnsi="宋体" w:cs="宋体"/>
          <w:b/>
          <w:bCs/>
          <w:sz w:val="32"/>
          <w:szCs w:val="32"/>
        </w:rPr>
      </w:pP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hAnsi="宋体" w:cs="宋体"/>
          <w:bCs/>
          <w:sz w:val="24"/>
        </w:rPr>
      </w:pPr>
      <w:r>
        <w:rPr>
          <w:rFonts w:hint="eastAsia" w:ascii="宋体" w:hAnsi="宋体" w:cs="宋体"/>
          <w:sz w:val="24"/>
        </w:rPr>
        <w:t>三、符合性检查响应对照表</w:t>
      </w:r>
    </w:p>
    <w:p>
      <w:pPr>
        <w:ind w:firstLine="480" w:firstLineChars="200"/>
        <w:rPr>
          <w:rFonts w:ascii="宋体" w:hAnsi="宋体" w:cs="宋体"/>
          <w:sz w:val="24"/>
        </w:rPr>
      </w:pPr>
      <w:r>
        <w:rPr>
          <w:rFonts w:hint="eastAsia" w:ascii="宋体" w:hAnsi="宋体" w:cs="宋体"/>
          <w:sz w:val="24"/>
        </w:rPr>
        <w:t>四、投标函</w:t>
      </w:r>
    </w:p>
    <w:p>
      <w:pPr>
        <w:ind w:firstLine="480" w:firstLineChars="200"/>
        <w:rPr>
          <w:rFonts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hAnsi="宋体" w:cs="宋体"/>
          <w:sz w:val="24"/>
        </w:rPr>
      </w:pPr>
      <w:r>
        <w:rPr>
          <w:rFonts w:hint="eastAsia" w:ascii="宋体" w:hAnsi="宋体" w:cs="宋体"/>
          <w:sz w:val="24"/>
        </w:rPr>
        <w:t>六、投标配置与分项报价表</w:t>
      </w:r>
    </w:p>
    <w:p>
      <w:pPr>
        <w:ind w:firstLine="480" w:firstLineChars="200"/>
        <w:rPr>
          <w:rFonts w:ascii="宋体" w:hAns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八、商务条款响应及偏离表</w:t>
      </w:r>
    </w:p>
    <w:p>
      <w:pPr>
        <w:spacing w:line="560" w:lineRule="exact"/>
        <w:ind w:firstLine="480" w:firstLineChars="200"/>
        <w:rPr>
          <w:rFonts w:ascii="宋体" w:hAnsi="宋体" w:cs="宋体"/>
          <w:sz w:val="24"/>
        </w:rPr>
      </w:pPr>
      <w:r>
        <w:rPr>
          <w:rFonts w:hint="eastAsia" w:ascii="宋体" w:hAnsi="宋体" w:cs="宋体"/>
          <w:sz w:val="24"/>
        </w:rPr>
        <w:t>九、技术方案、服务承诺、培训承诺等</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napToGrid w:val="0"/>
        <w:spacing w:before="50" w:after="50"/>
        <w:jc w:val="center"/>
        <w:rPr>
          <w:rFonts w:ascii="宋体" w:hAnsi="宋体" w:cs="宋体"/>
          <w:b/>
          <w:bCs/>
          <w:sz w:val="32"/>
          <w:szCs w:val="32"/>
        </w:rPr>
      </w:pPr>
      <w:r>
        <w:rPr>
          <w:rFonts w:hint="eastAsia" w:ascii="宋体" w:hAns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hAnsi="宋体" w:cs="宋体"/>
          <w:i/>
          <w:szCs w:val="24"/>
          <w:u w:val="single"/>
        </w:rPr>
      </w:pPr>
    </w:p>
    <w:p>
      <w:pPr>
        <w:snapToGrid w:val="0"/>
        <w:spacing w:before="50" w:after="50"/>
        <w:rPr>
          <w:rFonts w:ascii="宋体" w:hAnsi="宋体" w:cs="宋体"/>
          <w:sz w:val="24"/>
          <w:szCs w:val="20"/>
        </w:rPr>
      </w:pPr>
      <w:r>
        <w:rPr>
          <w:rFonts w:hint="eastAsia" w:ascii="宋体" w:hAnsi="宋体" w:cs="宋体"/>
          <w:sz w:val="44"/>
        </w:rPr>
        <w:t xml:space="preserve"> </w:t>
      </w:r>
      <w:r>
        <w:rPr>
          <w:rFonts w:hint="eastAsia" w:ascii="宋体" w:hAnsi="宋体" w:cs="宋体"/>
          <w:b/>
          <w:bCs/>
          <w:sz w:val="24"/>
        </w:rPr>
        <w:t>1、实质性资格证明文件目录</w:t>
      </w:r>
    </w:p>
    <w:p>
      <w:pPr>
        <w:snapToGrid w:val="0"/>
        <w:spacing w:line="360" w:lineRule="auto"/>
        <w:ind w:firstLine="480" w:firstLineChars="200"/>
        <w:rPr>
          <w:rFonts w:ascii="宋体" w:hAnsi="宋体" w:cs="宋体"/>
          <w:sz w:val="24"/>
        </w:rPr>
      </w:pPr>
      <w:r>
        <w:rPr>
          <w:rFonts w:hint="eastAsia" w:ascii="宋体" w:hAnsi="宋体" w:cs="宋体"/>
          <w:sz w:val="24"/>
        </w:rPr>
        <w:t>文件1  法人或者其他组织的营业执照等证明文件，自然人的身份证明（复印件）</w:t>
      </w:r>
    </w:p>
    <w:p>
      <w:pPr>
        <w:snapToGrid w:val="0"/>
        <w:spacing w:line="360" w:lineRule="auto"/>
        <w:ind w:firstLine="480" w:firstLineChars="200"/>
        <w:rPr>
          <w:rFonts w:ascii="宋体" w:hAnsi="宋体" w:cs="宋体"/>
          <w:sz w:val="24"/>
        </w:rPr>
      </w:pPr>
      <w:r>
        <w:rPr>
          <w:rFonts w:hint="eastAsia" w:ascii="宋体" w:hAnsi="宋体" w:cs="宋体"/>
          <w:sz w:val="24"/>
        </w:rPr>
        <w:t>文件2  上一年度财务状况报告（复印件，成立不满一年不需提供）</w:t>
      </w:r>
    </w:p>
    <w:p>
      <w:pPr>
        <w:snapToGrid w:val="0"/>
        <w:spacing w:line="360" w:lineRule="auto"/>
        <w:ind w:firstLine="480" w:firstLineChars="200"/>
        <w:rPr>
          <w:rFonts w:ascii="宋体" w:hAnsi="宋体" w:cs="宋体"/>
          <w:sz w:val="24"/>
        </w:rPr>
      </w:pPr>
      <w:r>
        <w:rPr>
          <w:rFonts w:hint="eastAsia" w:ascii="宋体" w:hAnsi="宋体" w:cs="宋体"/>
          <w:sz w:val="24"/>
        </w:rPr>
        <w:t>文件3  依法缴纳税收和社会保障资金的相关材料（复印件）</w:t>
      </w:r>
    </w:p>
    <w:p>
      <w:pPr>
        <w:snapToGrid w:val="0"/>
        <w:spacing w:line="360" w:lineRule="auto"/>
        <w:ind w:firstLine="480" w:firstLineChars="200"/>
        <w:rPr>
          <w:rFonts w:ascii="宋体" w:hAnsi="宋体" w:cs="宋体"/>
          <w:sz w:val="24"/>
        </w:rPr>
      </w:pPr>
      <w:r>
        <w:rPr>
          <w:rFonts w:hint="eastAsia" w:ascii="宋体" w:hAnsi="宋体" w:cs="宋体"/>
          <w:sz w:val="24"/>
        </w:rPr>
        <w:t>文件4  具备履行合同所必需的设备和专业技术能力证明材料</w:t>
      </w:r>
    </w:p>
    <w:p>
      <w:pPr>
        <w:snapToGrid w:val="0"/>
        <w:spacing w:line="360" w:lineRule="auto"/>
        <w:ind w:firstLine="480" w:firstLineChars="200"/>
        <w:rPr>
          <w:rFonts w:ascii="宋体" w:hAnsi="宋体" w:cs="宋体"/>
          <w:sz w:val="24"/>
        </w:rPr>
      </w:pPr>
      <w:r>
        <w:rPr>
          <w:rFonts w:hint="eastAsia" w:ascii="宋体" w:hAnsi="宋体" w:cs="宋体"/>
          <w:sz w:val="24"/>
        </w:rPr>
        <w:t>文件5  参加政府采购活动前 3 年内在经营活动中没有重大违法记录的书面声明</w:t>
      </w:r>
    </w:p>
    <w:p>
      <w:pPr>
        <w:snapToGrid w:val="0"/>
        <w:spacing w:line="360" w:lineRule="auto"/>
        <w:ind w:firstLine="480" w:firstLineChars="200"/>
        <w:rPr>
          <w:rFonts w:ascii="宋体" w:hAnsi="宋体" w:cs="宋体"/>
          <w:sz w:val="24"/>
        </w:rPr>
      </w:pPr>
      <w:r>
        <w:rPr>
          <w:rFonts w:hint="eastAsia" w:ascii="宋体" w:hAnsi="宋体" w:cs="宋体"/>
          <w:sz w:val="24"/>
        </w:rPr>
        <w:t>文件6  法人授权书</w:t>
      </w:r>
    </w:p>
    <w:p>
      <w:pPr>
        <w:snapToGrid w:val="0"/>
        <w:spacing w:line="360" w:lineRule="auto"/>
        <w:ind w:firstLine="480" w:firstLineChars="200"/>
        <w:rPr>
          <w:rFonts w:ascii="宋体" w:hAnsi="宋体" w:cs="宋体"/>
          <w:sz w:val="24"/>
        </w:rPr>
      </w:pPr>
      <w:r>
        <w:rPr>
          <w:rFonts w:hint="eastAsia" w:ascii="宋体" w:hAnsi="宋体" w:cs="宋体"/>
          <w:sz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6"/>
        <w:jc w:val="center"/>
        <w:rPr>
          <w:rFonts w:ascii="宋体" w:hAns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ascii="宋体" w:hAns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hAnsi="宋体" w:cs="宋体"/>
          <w:bCs/>
          <w:sz w:val="24"/>
        </w:rPr>
      </w:pPr>
    </w:p>
    <w:p>
      <w:pPr>
        <w:spacing w:line="460" w:lineRule="exact"/>
        <w:ind w:firstLine="492"/>
        <w:rPr>
          <w:rFonts w:ascii="宋体" w:hAnsi="宋体" w:cs="宋体"/>
          <w:bCs/>
          <w:sz w:val="24"/>
        </w:rPr>
      </w:pPr>
    </w:p>
    <w:p>
      <w:pPr>
        <w:spacing w:line="460" w:lineRule="exact"/>
        <w:ind w:firstLine="492"/>
        <w:rPr>
          <w:rFonts w:ascii="宋体" w:hAnsi="宋体" w:cs="宋体"/>
          <w:bCs/>
          <w:sz w:val="24"/>
        </w:rPr>
      </w:pP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r>
        <w:rPr>
          <w:rFonts w:hint="eastAsia" w:ascii="宋体" w:hAnsi="宋体" w:cs="宋体"/>
          <w:bCs/>
          <w:sz w:val="24"/>
        </w:rPr>
        <w:t xml:space="preserve">                                     </w:t>
      </w:r>
    </w:p>
    <w:p>
      <w:pPr>
        <w:spacing w:line="460" w:lineRule="exac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______</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pStyle w:val="6"/>
        <w:jc w:val="center"/>
        <w:rPr>
          <w:rFonts w:ascii="宋体" w:hAnsi="宋体" w:cs="宋体"/>
          <w:sz w:val="24"/>
          <w:szCs w:val="24"/>
        </w:rPr>
      </w:pPr>
      <w:r>
        <w:rPr>
          <w:rFonts w:hint="eastAsia" w:ascii="宋体" w:hAnsi="宋体" w:cs="宋体"/>
        </w:rPr>
        <w:br w:type="page"/>
      </w:r>
      <w:r>
        <w:rPr>
          <w:rFonts w:hint="eastAsia" w:ascii="宋体" w:hAnsi="宋体" w:cs="宋体"/>
          <w:sz w:val="24"/>
          <w:szCs w:val="24"/>
        </w:rPr>
        <w:t>参加政府采购活动前 3 年内在经营活动中没有重大违法记录的书面声明</w:t>
      </w:r>
    </w:p>
    <w:p>
      <w:pPr>
        <w:spacing w:line="460" w:lineRule="exact"/>
        <w:rPr>
          <w:rFonts w:ascii="宋体" w:hAnsi="宋体" w:cs="宋体"/>
          <w:b/>
          <w:bCs/>
          <w:sz w:val="44"/>
          <w:szCs w:val="44"/>
        </w:rPr>
      </w:pPr>
      <w:r>
        <w:rPr>
          <w:rFonts w:hint="eastAsia" w:ascii="宋体" w:hAnsi="宋体" w:cs="宋体"/>
          <w:b/>
          <w:bCs/>
          <w:sz w:val="24"/>
        </w:rPr>
        <w:t xml:space="preserve">                       </w:t>
      </w:r>
      <w:r>
        <w:rPr>
          <w:rFonts w:hint="eastAsia" w:ascii="宋体" w:hAnsi="宋体" w:cs="宋体"/>
          <w:b/>
          <w:bCs/>
          <w:sz w:val="44"/>
          <w:szCs w:val="44"/>
        </w:rPr>
        <w:t xml:space="preserve">   </w:t>
      </w:r>
    </w:p>
    <w:p>
      <w:pPr>
        <w:spacing w:line="460" w:lineRule="exact"/>
        <w:rPr>
          <w:rFonts w:ascii="宋体" w:hAnsi="宋体" w:cs="宋体"/>
          <w:b/>
          <w:bCs/>
          <w:sz w:val="44"/>
          <w:szCs w:val="44"/>
        </w:rPr>
      </w:pPr>
      <w:r>
        <w:rPr>
          <w:rFonts w:hint="eastAsia" w:ascii="宋体" w:hAnsi="宋体" w:cs="宋体"/>
          <w:b/>
          <w:bCs/>
          <w:sz w:val="44"/>
          <w:szCs w:val="44"/>
        </w:rPr>
        <w:t xml:space="preserve">                   声  明</w:t>
      </w:r>
    </w:p>
    <w:p>
      <w:pPr>
        <w:spacing w:line="460" w:lineRule="exact"/>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r>
        <w:rPr>
          <w:rFonts w:hint="eastAsia" w:ascii="宋体" w:hAnsi="宋体" w:cs="宋体"/>
          <w:bCs/>
          <w:sz w:val="24"/>
        </w:rPr>
        <w:t xml:space="preserve">                                      授权代表签字：</w:t>
      </w:r>
      <w:r>
        <w:rPr>
          <w:rFonts w:hint="eastAsia" w:ascii="宋体" w:hAnsi="宋体" w:cs="宋体"/>
          <w:bCs/>
          <w:sz w:val="24"/>
          <w:u w:val="single"/>
        </w:rPr>
        <w:t>_______________________</w:t>
      </w:r>
    </w:p>
    <w:p>
      <w:pPr>
        <w:spacing w:line="460" w:lineRule="exac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______</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pStyle w:val="6"/>
        <w:jc w:val="center"/>
        <w:rPr>
          <w:rFonts w:ascii="宋体" w:hAnsi="宋体" w:cs="宋体"/>
          <w:sz w:val="24"/>
          <w:szCs w:val="24"/>
        </w:rPr>
      </w:pPr>
      <w:r>
        <w:rPr>
          <w:rFonts w:hint="eastAsia" w:ascii="宋体" w:hAnsi="宋体" w:cs="宋体"/>
          <w:sz w:val="24"/>
          <w:szCs w:val="24"/>
        </w:rPr>
        <w:t>法人授权书</w:t>
      </w:r>
    </w:p>
    <w:p>
      <w:pPr>
        <w:pStyle w:val="82"/>
        <w:ind w:firstLine="480"/>
        <w:rPr>
          <w:rFonts w:ascii="宋体" w:hAnsi="宋体" w:cs="宋体"/>
          <w:sz w:val="24"/>
          <w:szCs w:val="24"/>
        </w:rPr>
      </w:pPr>
      <w:r>
        <w:rPr>
          <w:rFonts w:hint="eastAsia" w:ascii="宋体" w:hAnsi="宋体" w:cs="宋体"/>
          <w:sz w:val="24"/>
          <w:szCs w:val="24"/>
        </w:rPr>
        <w:t>本授权书声明：____________（供应商名称）授权________________（被授权人的姓名）为我方就</w:t>
      </w:r>
      <w:r>
        <w:rPr>
          <w:rFonts w:hint="eastAsia" w:ascii="宋体" w:hAnsi="宋体" w:cs="宋体"/>
          <w:sz w:val="24"/>
          <w:szCs w:val="24"/>
          <w:u w:val="single"/>
        </w:rPr>
        <w:t xml:space="preserve">            </w:t>
      </w:r>
      <w:r>
        <w:rPr>
          <w:rFonts w:hint="eastAsia" w:ascii="宋体" w:hAnsi="宋体" w:cs="宋体"/>
          <w:sz w:val="24"/>
          <w:szCs w:val="24"/>
        </w:rPr>
        <w:t>号项目采购活动的合法代理人，以本公司名义全权处理一切与该项目采购有关的事务。</w:t>
      </w:r>
    </w:p>
    <w:p>
      <w:pPr>
        <w:pStyle w:val="82"/>
        <w:ind w:firstLine="480"/>
        <w:rPr>
          <w:rFonts w:ascii="宋体" w:hAnsi="宋体" w:cs="宋体"/>
          <w:sz w:val="24"/>
          <w:szCs w:val="24"/>
        </w:rPr>
      </w:pPr>
      <w:r>
        <w:rPr>
          <w:rFonts w:hint="eastAsia" w:ascii="宋体" w:hAnsi="宋体" w:cs="宋体"/>
          <w:sz w:val="24"/>
          <w:szCs w:val="24"/>
        </w:rPr>
        <w:t>本授权书于______年____月____日起生效，特此声明。</w:t>
      </w:r>
    </w:p>
    <w:p>
      <w:pPr>
        <w:pStyle w:val="82"/>
        <w:ind w:firstLine="0" w:firstLineChars="0"/>
        <w:rPr>
          <w:rFonts w:ascii="宋体" w:hAnsi="宋体" w:cs="宋体"/>
          <w:sz w:val="24"/>
          <w:szCs w:val="24"/>
        </w:rPr>
      </w:pPr>
      <w:r>
        <w:rPr>
          <w:rFonts w:hint="eastAsia" w:ascii="宋体" w:hAnsi="宋体" w:cs="宋体"/>
          <w:sz w:val="24"/>
          <w:szCs w:val="24"/>
        </w:rPr>
        <w:t xml:space="preserve">          代理人（被授权人）：_______________________</w:t>
      </w:r>
    </w:p>
    <w:p>
      <w:pPr>
        <w:pStyle w:val="82"/>
        <w:ind w:firstLine="0" w:firstLineChars="0"/>
        <w:rPr>
          <w:rFonts w:ascii="宋体" w:hAnsi="宋体" w:cs="宋体"/>
          <w:sz w:val="24"/>
          <w:szCs w:val="24"/>
        </w:rPr>
      </w:pPr>
      <w:r>
        <w:rPr>
          <w:rFonts w:hint="eastAsia" w:ascii="宋体" w:hAnsi="宋体" w:cs="宋体"/>
          <w:sz w:val="24"/>
          <w:szCs w:val="24"/>
        </w:rPr>
        <w:t xml:space="preserve">         </w:t>
      </w:r>
    </w:p>
    <w:p>
      <w:pPr>
        <w:pStyle w:val="82"/>
        <w:ind w:firstLine="0" w:firstLineChars="0"/>
        <w:rPr>
          <w:rFonts w:ascii="宋体" w:hAnsi="宋体" w:cs="宋体"/>
          <w:sz w:val="24"/>
          <w:szCs w:val="24"/>
        </w:rPr>
      </w:pPr>
      <w:r>
        <w:rPr>
          <w:rFonts w:hint="eastAsia" w:ascii="宋体" w:hAnsi="宋体" w:cs="宋体"/>
          <w:sz w:val="24"/>
          <w:szCs w:val="24"/>
        </w:rPr>
        <w:t xml:space="preserve">          单位名称：_____________________________________</w:t>
      </w:r>
    </w:p>
    <w:p>
      <w:pPr>
        <w:pStyle w:val="82"/>
        <w:ind w:firstLine="480"/>
        <w:rPr>
          <w:rFonts w:ascii="宋体" w:hAnsi="宋体" w:cs="宋体"/>
          <w:sz w:val="24"/>
          <w:szCs w:val="24"/>
        </w:rPr>
      </w:pPr>
    </w:p>
    <w:p>
      <w:pPr>
        <w:pStyle w:val="82"/>
        <w:ind w:firstLine="0" w:firstLineChars="0"/>
        <w:rPr>
          <w:rFonts w:ascii="宋体" w:hAnsi="宋体" w:cs="宋体"/>
          <w:sz w:val="24"/>
          <w:szCs w:val="24"/>
        </w:rPr>
      </w:pPr>
      <w:r>
        <w:rPr>
          <w:rFonts w:hint="eastAsia" w:ascii="宋体" w:hAnsi="宋体" w:cs="宋体"/>
          <w:sz w:val="24"/>
          <w:szCs w:val="24"/>
        </w:rPr>
        <w:t xml:space="preserve">          授权单位盖章：_________________________________</w:t>
      </w:r>
    </w:p>
    <w:p>
      <w:pPr>
        <w:pStyle w:val="82"/>
        <w:ind w:firstLine="480"/>
        <w:rPr>
          <w:rFonts w:ascii="宋体" w:hAnsi="宋体" w:cs="宋体"/>
          <w:sz w:val="24"/>
          <w:szCs w:val="24"/>
        </w:rPr>
      </w:pPr>
      <w:r>
        <w:rPr>
          <w:rFonts w:hint="eastAsia" w:ascii="宋体" w:hAnsi="宋体" w:cs="宋体"/>
          <w:sz w:val="24"/>
          <w:szCs w:val="24"/>
        </w:rPr>
        <w:t xml:space="preserve">      单位名称：_____________________________________</w:t>
      </w:r>
    </w:p>
    <w:p>
      <w:pPr>
        <w:pStyle w:val="82"/>
        <w:ind w:firstLine="480"/>
        <w:rPr>
          <w:rFonts w:ascii="宋体" w:hAnsi="宋体" w:cs="宋体"/>
          <w:sz w:val="24"/>
          <w:szCs w:val="24"/>
          <w:u w:val="single"/>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pStyle w:val="82"/>
        <w:ind w:firstLine="480"/>
        <w:rPr>
          <w:rFonts w:ascii="宋体" w:hAnsi="宋体" w:cs="宋体"/>
          <w:sz w:val="24"/>
          <w:szCs w:val="24"/>
        </w:rPr>
      </w:pPr>
      <w:r>
        <w:rPr>
          <w:rFonts w:hint="eastAsia" w:ascii="宋体" w:hAnsi="宋体" w:cs="宋体"/>
          <w:sz w:val="24"/>
          <w:szCs w:val="24"/>
        </w:rPr>
        <w:t xml:space="preserve">      日期：                    </w:t>
      </w:r>
    </w:p>
    <w:p>
      <w:pPr>
        <w:pStyle w:val="6"/>
        <w:rPr>
          <w:rFonts w:ascii="宋体" w:hAnsi="宋体" w:cs="宋体"/>
        </w:rPr>
      </w:pPr>
      <w:bookmarkStart w:id="167" w:name="_格式3__银行出具的资信证明"/>
      <w:bookmarkEnd w:id="167"/>
      <w:bookmarkStart w:id="168" w:name="_Hlt26671380"/>
      <w:bookmarkEnd w:id="168"/>
      <w:bookmarkStart w:id="169" w:name="_Hlt26955070"/>
      <w:bookmarkEnd w:id="169"/>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spacing w:line="460" w:lineRule="exact"/>
        <w:rPr>
          <w:rFonts w:ascii="宋体" w:hAnsi="宋体" w:cs="宋体"/>
          <w:bCs/>
          <w:sz w:val="24"/>
        </w:rPr>
      </w:pPr>
    </w:p>
    <w:p>
      <w:pPr>
        <w:spacing w:line="460" w:lineRule="exact"/>
        <w:rPr>
          <w:rFonts w:ascii="宋体" w:hAnsi="宋体" w:cs="宋体"/>
          <w:bCs/>
          <w:sz w:val="24"/>
        </w:rPr>
      </w:pPr>
    </w:p>
    <w:p>
      <w:pPr>
        <w:snapToGrid w:val="0"/>
        <w:spacing w:before="50" w:after="5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sz w:val="32"/>
          <w:szCs w:val="32"/>
        </w:rPr>
        <w:t>二、资格性审查响应对照表（格式）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hAns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b/>
              </w:rPr>
            </w:pPr>
            <w:r>
              <w:rPr>
                <w:rFonts w:hint="eastAsia" w:ascii="宋体" w:hAnsi="宋体" w:cs="宋体"/>
                <w:b/>
              </w:rPr>
              <w:t>1</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b/>
              </w:rPr>
            </w:pPr>
          </w:p>
        </w:tc>
        <w:tc>
          <w:tcPr>
            <w:tcW w:w="1785" w:type="dxa"/>
            <w:vAlign w:val="center"/>
          </w:tcPr>
          <w:p>
            <w:pP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rPr>
            </w:pPr>
            <w:r>
              <w:rPr>
                <w:rFonts w:hint="eastAsia" w:ascii="宋体" w:hAnsi="宋体" w:cs="宋体"/>
              </w:rPr>
              <w:t>2</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rPr>
            </w:pPr>
            <w:r>
              <w:rPr>
                <w:rFonts w:hint="eastAsia" w:ascii="宋体" w:hAnsi="宋体" w:cs="宋体"/>
              </w:rPr>
              <w:t>3</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s="宋体"/>
              </w:rPr>
            </w:pPr>
            <w:r>
              <w:rPr>
                <w:rFonts w:hint="eastAsia" w:ascii="宋体" w:hAnsi="宋体" w:cs="宋体"/>
              </w:rPr>
              <w:t>4</w:t>
            </w:r>
          </w:p>
        </w:tc>
        <w:tc>
          <w:tcPr>
            <w:tcW w:w="5447" w:type="dxa"/>
            <w:vAlign w:val="center"/>
          </w:tcPr>
          <w:p>
            <w:pPr>
              <w:spacing w:line="360" w:lineRule="auto"/>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s="宋体"/>
              </w:rPr>
            </w:pPr>
            <w:r>
              <w:rPr>
                <w:rFonts w:hint="eastAsia" w:ascii="宋体" w:hAnsi="宋体" w:cs="宋体"/>
              </w:rPr>
              <w:t>5</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s="宋体"/>
              </w:rPr>
            </w:pPr>
            <w:r>
              <w:rPr>
                <w:rFonts w:hint="eastAsia" w:ascii="宋体" w:hAnsi="宋体" w:cs="宋体"/>
              </w:rPr>
              <w:t>6</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s="宋体"/>
              </w:rPr>
            </w:pPr>
            <w:r>
              <w:rPr>
                <w:rFonts w:hint="eastAsia" w:ascii="宋体" w:hAnsi="宋体" w:cs="宋体"/>
              </w:rPr>
              <w:t>7</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bl>
    <w:p>
      <w:pPr>
        <w:spacing w:line="440" w:lineRule="exact"/>
        <w:ind w:firstLine="480" w:firstLineChars="200"/>
        <w:rPr>
          <w:rFonts w:ascii="宋体" w:hAnsi="宋体" w:cs="宋体"/>
          <w:sz w:val="24"/>
        </w:rPr>
      </w:pPr>
    </w:p>
    <w:bookmarkEnd w:id="164"/>
    <w:bookmarkEnd w:id="165"/>
    <w:bookmarkEnd w:id="166"/>
    <w:p>
      <w:pPr>
        <w:snapToGrid w:val="0"/>
        <w:spacing w:before="50" w:after="50"/>
        <w:rPr>
          <w:rFonts w:ascii="宋体" w:hAnsi="宋体" w:cs="宋体"/>
          <w:sz w:val="44"/>
        </w:rPr>
      </w:pPr>
      <w:r>
        <w:rPr>
          <w:rFonts w:hint="eastAsia" w:ascii="宋体" w:hAnsi="宋体" w:cs="宋体"/>
          <w:sz w:val="44"/>
        </w:rPr>
        <w:t xml:space="preserve"> </w:t>
      </w: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三、符合性检查响应对照表（格式）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hAnsi="宋体" w:cs="宋体"/>
                <w:b/>
              </w:rPr>
            </w:pPr>
            <w:r>
              <w:rPr>
                <w:rFonts w:hint="eastAsia" w:ascii="宋体" w:hAnsi="宋体" w:cs="宋体"/>
                <w:b/>
              </w:rPr>
              <w:t>符合性检查响应内容</w:t>
            </w:r>
          </w:p>
        </w:tc>
        <w:tc>
          <w:tcPr>
            <w:tcW w:w="1680" w:type="dxa"/>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b/>
              </w:rPr>
            </w:pPr>
            <w:r>
              <w:rPr>
                <w:rFonts w:hint="eastAsia" w:ascii="宋体" w:hAnsi="宋体" w:cs="宋体"/>
                <w:b/>
              </w:rPr>
              <w:t>1</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b/>
              </w:rPr>
            </w:pPr>
          </w:p>
        </w:tc>
        <w:tc>
          <w:tcPr>
            <w:tcW w:w="1785" w:type="dxa"/>
            <w:vAlign w:val="center"/>
          </w:tcPr>
          <w:p>
            <w:pP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rPr>
            </w:pPr>
            <w:r>
              <w:rPr>
                <w:rFonts w:hint="eastAsia" w:ascii="宋体" w:hAnsi="宋体" w:cs="宋体"/>
              </w:rPr>
              <w:t>2</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rPr>
            </w:pPr>
            <w:r>
              <w:rPr>
                <w:rFonts w:hint="eastAsia" w:ascii="宋体" w:hAnsi="宋体" w:cs="宋体"/>
              </w:rPr>
              <w:t>3</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s="宋体"/>
              </w:rPr>
            </w:pPr>
            <w:r>
              <w:rPr>
                <w:rFonts w:hint="eastAsia" w:ascii="宋体" w:hAnsi="宋体" w:cs="宋体"/>
              </w:rPr>
              <w:t>4</w:t>
            </w:r>
          </w:p>
        </w:tc>
        <w:tc>
          <w:tcPr>
            <w:tcW w:w="5447" w:type="dxa"/>
            <w:vAlign w:val="center"/>
          </w:tcPr>
          <w:p>
            <w:pPr>
              <w:spacing w:line="360" w:lineRule="auto"/>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s="宋体"/>
              </w:rPr>
            </w:pPr>
            <w:r>
              <w:rPr>
                <w:rFonts w:hint="eastAsia" w:ascii="宋体" w:hAnsi="宋体" w:cs="宋体"/>
              </w:rPr>
              <w:t>5</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s="宋体"/>
              </w:rPr>
            </w:pPr>
            <w:r>
              <w:rPr>
                <w:rFonts w:hint="eastAsia" w:ascii="宋体" w:hAnsi="宋体" w:cs="宋体"/>
              </w:rPr>
              <w:t>6</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s="宋体"/>
              </w:rPr>
            </w:pPr>
            <w:r>
              <w:rPr>
                <w:rFonts w:hint="eastAsia" w:ascii="宋体" w:hAnsi="宋体" w:cs="宋体"/>
              </w:rPr>
              <w:t>7</w:t>
            </w:r>
          </w:p>
        </w:tc>
        <w:tc>
          <w:tcPr>
            <w:tcW w:w="5447" w:type="dxa"/>
            <w:vAlign w:val="center"/>
          </w:tcPr>
          <w:p>
            <w:pPr>
              <w:snapToGrid w:val="0"/>
              <w:spacing w:line="590" w:lineRule="atLeast"/>
              <w:rPr>
                <w:rFonts w:ascii="宋体" w:hAnsi="宋体" w:cs="宋体"/>
                <w:iCs/>
                <w:sz w:val="24"/>
                <w:szCs w:val="24"/>
              </w:rPr>
            </w:pPr>
            <w:r>
              <w:rPr>
                <w:rFonts w:hint="eastAsia" w:ascii="宋体" w:hAnsi="宋体" w:cs="宋体"/>
                <w:iCs/>
                <w:sz w:val="24"/>
                <w:szCs w:val="24"/>
              </w:rPr>
              <w:t>招标文件中的其他实质性要求</w:t>
            </w:r>
          </w:p>
        </w:tc>
        <w:tc>
          <w:tcPr>
            <w:tcW w:w="1680" w:type="dxa"/>
            <w:vAlign w:val="center"/>
          </w:tcPr>
          <w:p>
            <w:pPr>
              <w:rPr>
                <w:rFonts w:ascii="宋体" w:hAnsi="宋体" w:cs="宋体"/>
              </w:rPr>
            </w:pPr>
          </w:p>
        </w:tc>
        <w:tc>
          <w:tcPr>
            <w:tcW w:w="1785" w:type="dxa"/>
            <w:vAlign w:val="center"/>
          </w:tcPr>
          <w:p>
            <w:pPr>
              <w:rPr>
                <w:rFonts w:ascii="宋体" w:hAnsi="宋体" w:cs="宋体"/>
              </w:rPr>
            </w:pPr>
          </w:p>
        </w:tc>
      </w:tr>
    </w:tbl>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32"/>
          <w:szCs w:val="32"/>
        </w:rPr>
      </w:pPr>
      <w:r>
        <w:rPr>
          <w:rFonts w:hint="eastAsia" w:ascii="宋体" w:hAnsi="宋体" w:cs="宋体"/>
          <w:sz w:val="32"/>
          <w:szCs w:val="32"/>
        </w:rPr>
        <w:t xml:space="preserve">           </w:t>
      </w:r>
      <w:bookmarkStart w:id="170" w:name="_Toc120614284"/>
    </w:p>
    <w:p>
      <w:pPr>
        <w:snapToGrid w:val="0"/>
        <w:spacing w:before="50" w:after="50"/>
        <w:rPr>
          <w:rFonts w:ascii="宋体" w:hAnsi="宋体" w:cs="宋体"/>
          <w:sz w:val="24"/>
          <w:szCs w:val="24"/>
        </w:rPr>
      </w:pPr>
    </w:p>
    <w:p>
      <w:pPr>
        <w:snapToGrid w:val="0"/>
        <w:spacing w:before="50" w:after="50"/>
        <w:jc w:val="center"/>
        <w:rPr>
          <w:rFonts w:ascii="宋体" w:hAnsi="宋体" w:cs="宋体"/>
          <w:sz w:val="32"/>
          <w:szCs w:val="32"/>
        </w:rPr>
      </w:pPr>
      <w:r>
        <w:rPr>
          <w:rFonts w:hint="eastAsia" w:ascii="宋体" w:hAnsi="宋体" w:cs="宋体"/>
          <w:sz w:val="32"/>
          <w:szCs w:val="32"/>
        </w:rPr>
        <w:t>四、投标函（格式）</w:t>
      </w:r>
    </w:p>
    <w:p>
      <w:pPr>
        <w:pStyle w:val="91"/>
        <w:spacing w:before="0" w:after="0" w:line="420" w:lineRule="exact"/>
        <w:ind w:firstLine="0"/>
        <w:rPr>
          <w:rFonts w:ascii="宋体" w:hAnsi="宋体" w:cs="宋体"/>
          <w:kern w:val="2"/>
          <w:szCs w:val="21"/>
        </w:rPr>
      </w:pPr>
      <w:r>
        <w:rPr>
          <w:rFonts w:hint="eastAsia" w:ascii="宋体" w:hAnsi="宋体" w:cs="宋体"/>
          <w:kern w:val="2"/>
          <w:szCs w:val="21"/>
        </w:rPr>
        <w:t>致：</w:t>
      </w:r>
      <w:r>
        <w:rPr>
          <w:rFonts w:hint="eastAsia" w:ascii="宋体" w:hAnsi="宋体" w:cs="宋体"/>
          <w:kern w:val="2"/>
          <w:szCs w:val="21"/>
          <w:u w:val="single"/>
        </w:rPr>
        <w:t>盐城工业职业技术学院</w:t>
      </w:r>
    </w:p>
    <w:p>
      <w:pPr>
        <w:pStyle w:val="91"/>
        <w:spacing w:before="0" w:after="0" w:line="420" w:lineRule="exact"/>
        <w:ind w:firstLineChars="200"/>
        <w:rPr>
          <w:rFonts w:ascii="宋体" w:hAnsi="宋体" w:cs="宋体"/>
          <w:kern w:val="2"/>
          <w:szCs w:val="21"/>
        </w:rPr>
      </w:pPr>
      <w:r>
        <w:rPr>
          <w:rFonts w:hint="eastAsia" w:ascii="宋体" w:hAnsi="宋体" w:cs="宋体"/>
          <w:kern w:val="2"/>
          <w:szCs w:val="21"/>
        </w:rPr>
        <w:t>根据贵方的</w:t>
      </w:r>
      <w:r>
        <w:rPr>
          <w:rFonts w:hint="eastAsia" w:ascii="宋体" w:hAnsi="宋体" w:cs="宋体"/>
          <w:b/>
          <w:sz w:val="36"/>
          <w:u w:val="single"/>
        </w:rPr>
        <w:t xml:space="preserve">           </w:t>
      </w:r>
      <w:r>
        <w:rPr>
          <w:rFonts w:hint="eastAsia" w:ascii="宋体" w:hAnsi="宋体" w:cs="宋体"/>
          <w:kern w:val="2"/>
          <w:szCs w:val="21"/>
        </w:rPr>
        <w:t>号招标文件，正式授权下述签字人_________________(姓名)代表我方______________（投标人的名称），全权处理本次项目投标的有关事宜。</w:t>
      </w:r>
    </w:p>
    <w:p>
      <w:pPr>
        <w:pStyle w:val="91"/>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91"/>
        <w:spacing w:before="0" w:after="0" w:line="420" w:lineRule="exact"/>
        <w:rPr>
          <w:rFonts w:ascii="宋体" w:hAnsi="宋体" w:cs="宋体"/>
          <w:kern w:val="2"/>
          <w:szCs w:val="21"/>
        </w:rPr>
      </w:pPr>
      <w:r>
        <w:rPr>
          <w:rFonts w:hint="eastAsia" w:ascii="宋体" w:hAnsi="宋体" w:cs="宋体"/>
          <w:kern w:val="2"/>
          <w:szCs w:val="21"/>
        </w:rPr>
        <w:t>1.按招标文件规定的各项要求，向买方提供所需货物与服务。</w:t>
      </w:r>
    </w:p>
    <w:p>
      <w:pPr>
        <w:pStyle w:val="91"/>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91"/>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3.我们已详细审核全部招标文件及其有效补充文件，我们知道必须放弃提出含糊不清或误解问题的权利。</w:t>
      </w:r>
    </w:p>
    <w:p>
      <w:pPr>
        <w:pStyle w:val="91"/>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91"/>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5.如果在开标后规定的投标有效期内撤回投标或中标后拒绝签订合同，我们的投标保证金可不予退还。</w:t>
      </w:r>
    </w:p>
    <w:p>
      <w:pPr>
        <w:pStyle w:val="91"/>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91"/>
        <w:spacing w:before="0" w:after="0" w:line="420" w:lineRule="exact"/>
        <w:rPr>
          <w:rFonts w:ascii="宋体" w:hAnsi="宋体" w:cs="宋体"/>
          <w:kern w:val="2"/>
          <w:szCs w:val="21"/>
        </w:rPr>
      </w:pPr>
      <w:r>
        <w:rPr>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91"/>
        <w:spacing w:before="0" w:after="0" w:line="420" w:lineRule="exact"/>
        <w:ind w:left="425" w:firstLine="0"/>
        <w:rPr>
          <w:rFonts w:ascii="宋体" w:hAnsi="宋体" w:cs="宋体"/>
          <w:kern w:val="2"/>
          <w:szCs w:val="21"/>
        </w:rPr>
      </w:pPr>
      <w:r>
        <w:rPr>
          <w:rFonts w:hint="eastAsia" w:ascii="宋体" w:hAnsi="宋体" w:cs="宋体"/>
          <w:kern w:val="2"/>
          <w:szCs w:val="21"/>
        </w:rPr>
        <w:t>8.与本投标有关的正式通讯地址为：</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152" w:afterLines="50"/>
        <w:jc w:val="left"/>
        <w:rPr>
          <w:rFonts w:ascii="宋体" w:hAnsi="宋体" w:cs="宋体"/>
          <w:sz w:val="24"/>
          <w:szCs w:val="20"/>
        </w:rPr>
      </w:pPr>
      <w:r>
        <w:rPr>
          <w:rFonts w:hint="eastAsia" w:ascii="宋体" w:hAnsi="宋体" w:cs="宋体"/>
          <w:sz w:val="44"/>
        </w:rPr>
        <w:t xml:space="preserve">          </w:t>
      </w: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五、开标一览表（格式）</w:t>
      </w:r>
    </w:p>
    <w:p>
      <w:pPr>
        <w:snapToGrid w:val="0"/>
        <w:spacing w:before="50" w:after="50"/>
        <w:jc w:val="center"/>
        <w:rPr>
          <w:rFonts w:ascii="宋体" w:hAnsi="宋体" w:cs="宋体"/>
          <w:sz w:val="32"/>
          <w:szCs w:val="32"/>
        </w:rPr>
      </w:pPr>
    </w:p>
    <w:tbl>
      <w:tblPr>
        <w:tblStyle w:val="4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编 号</w:t>
            </w:r>
          </w:p>
        </w:tc>
        <w:tc>
          <w:tcPr>
            <w:tcW w:w="7016" w:type="dxa"/>
            <w:vAlign w:val="center"/>
          </w:tcPr>
          <w:p>
            <w:pPr>
              <w:pStyle w:val="4"/>
              <w:jc w:val="both"/>
              <w:rPr>
                <w:rFonts w:ascii="宋体" w:hAnsi="宋体" w:eastAsia="宋体" w:cs="宋体"/>
                <w:sz w:val="28"/>
                <w:szCs w:val="28"/>
                <w:u w:val="single"/>
              </w:rPr>
            </w:pPr>
            <w:r>
              <w:rPr>
                <w:rFonts w:hint="eastAsia" w:ascii="宋体" w:hAnsi="宋体" w:eastAsia="宋体" w:cs="宋体"/>
                <w:sz w:val="28"/>
                <w:szCs w:val="28"/>
                <w:u w:val="single"/>
              </w:rPr>
              <w:t xml:space="preserve">2020-006S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名 称</w:t>
            </w:r>
          </w:p>
        </w:tc>
        <w:tc>
          <w:tcPr>
            <w:tcW w:w="7016" w:type="dxa"/>
            <w:vAlign w:val="center"/>
          </w:tcPr>
          <w:p>
            <w:pPr>
              <w:pStyle w:val="4"/>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716" w:type="dxa"/>
            <w:gridSpan w:val="2"/>
            <w:vAlign w:val="center"/>
          </w:tcPr>
          <w:p>
            <w:pPr>
              <w:rPr>
                <w:rFonts w:ascii="宋体" w:hAnsi="宋体" w:cs="宋体"/>
                <w:szCs w:val="28"/>
              </w:rPr>
            </w:pPr>
            <w:r>
              <w:rPr>
                <w:rFonts w:hint="eastAsia" w:ascii="宋体" w:hAnsi="宋体" w:cs="宋体"/>
                <w:b/>
                <w:bCs/>
                <w:szCs w:val="28"/>
              </w:rPr>
              <w:t>项目投标报价：（大写）</w:t>
            </w:r>
            <w:r>
              <w:rPr>
                <w:rFonts w:hint="eastAsia" w:ascii="宋体" w:hAnsi="宋体" w:cs="宋体"/>
                <w:b/>
                <w:bCs/>
                <w:szCs w:val="28"/>
                <w:u w:val="single"/>
              </w:rPr>
              <w:t xml:space="preserve">                       </w:t>
            </w:r>
            <w:r>
              <w:rPr>
                <w:rFonts w:hint="eastAsia" w:ascii="宋体" w:hAnsi="宋体" w:cs="宋体"/>
                <w:b/>
                <w:bCs/>
                <w:szCs w:val="28"/>
              </w:rPr>
              <w:t>，小写：</w:t>
            </w:r>
            <w:r>
              <w:rPr>
                <w:rFonts w:hint="eastAsia" w:ascii="宋体" w:hAnsi="宋体" w:cs="宋体"/>
                <w:b/>
                <w:bCs/>
                <w:szCs w:val="28"/>
                <w:u w:val="single"/>
              </w:rPr>
              <w:t xml:space="preserve">                     </w:t>
            </w:r>
            <w:r>
              <w:rPr>
                <w:rFonts w:hint="eastAsia" w:ascii="宋体" w:hAnsi="宋体" w:cs="宋体"/>
                <w:b/>
                <w:bCs/>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716" w:type="dxa"/>
            <w:gridSpan w:val="2"/>
            <w:vAlign w:val="center"/>
          </w:tcPr>
          <w:p>
            <w:pPr>
              <w:rPr>
                <w:rFonts w:ascii="宋体" w:hAnsi="宋体" w:cs="宋体"/>
                <w:b/>
                <w:bCs/>
                <w:szCs w:val="28"/>
              </w:rPr>
            </w:pPr>
            <w:r>
              <w:rPr>
                <w:rFonts w:hint="eastAsia" w:ascii="宋体" w:hAnsi="宋体" w:cs="宋体"/>
                <w:b/>
                <w:bCs/>
                <w:szCs w:val="28"/>
              </w:rPr>
              <w:t xml:space="preserve">质保期：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9716" w:type="dxa"/>
            <w:gridSpan w:val="2"/>
            <w:vAlign w:val="center"/>
          </w:tcPr>
          <w:p>
            <w:pPr>
              <w:rPr>
                <w:rFonts w:ascii="宋体" w:hAnsi="宋体" w:cs="宋体"/>
                <w:b/>
                <w:bCs/>
                <w:szCs w:val="28"/>
              </w:rPr>
            </w:pPr>
            <w:r>
              <w:rPr>
                <w:rFonts w:hint="eastAsia" w:ascii="宋体" w:hAnsi="宋体" w:cs="宋体"/>
                <w:b/>
                <w:bCs/>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9716" w:type="dxa"/>
            <w:gridSpan w:val="2"/>
            <w:vAlign w:val="center"/>
          </w:tcPr>
          <w:p>
            <w:pPr>
              <w:rPr>
                <w:rFonts w:ascii="宋体" w:hAnsi="宋体" w:cs="宋体"/>
                <w:b/>
                <w:bCs/>
                <w:szCs w:val="28"/>
              </w:rPr>
            </w:pPr>
            <w:r>
              <w:rPr>
                <w:rFonts w:hint="eastAsia" w:ascii="宋体" w:hAnsi="宋体" w:cs="宋体"/>
                <w:b/>
                <w:bCs/>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716" w:type="dxa"/>
            <w:gridSpan w:val="2"/>
            <w:vAlign w:val="center"/>
          </w:tcPr>
          <w:p>
            <w:pPr>
              <w:rPr>
                <w:rFonts w:ascii="宋体" w:hAnsi="宋体" w:cs="宋体"/>
                <w:szCs w:val="28"/>
              </w:rPr>
            </w:pPr>
            <w:r>
              <w:rPr>
                <w:rFonts w:hint="eastAsia" w:ascii="宋体" w:hAnsi="宋体" w:cs="宋体"/>
                <w:szCs w:val="28"/>
              </w:rPr>
              <w:t>保证金形式：</w:t>
            </w:r>
          </w:p>
        </w:tc>
      </w:tr>
    </w:tbl>
    <w:p>
      <w:pPr>
        <w:spacing w:line="180" w:lineRule="atLeast"/>
        <w:rPr>
          <w:rFonts w:ascii="宋体" w:hAnsi="宋体" w:cs="宋体"/>
          <w:szCs w:val="28"/>
        </w:rPr>
      </w:pPr>
      <w:r>
        <w:rPr>
          <w:rFonts w:hint="eastAsia" w:ascii="宋体" w:hAnsi="宋体" w:cs="宋体"/>
          <w:szCs w:val="28"/>
        </w:rPr>
        <w:t>填写说明：</w:t>
      </w:r>
    </w:p>
    <w:p>
      <w:pPr>
        <w:numPr>
          <w:ilvl w:val="0"/>
          <w:numId w:val="6"/>
        </w:numPr>
        <w:rPr>
          <w:rFonts w:ascii="宋体" w:hAnsi="宋体" w:cs="宋体"/>
          <w:sz w:val="24"/>
        </w:rPr>
      </w:pPr>
      <w:r>
        <w:rPr>
          <w:rFonts w:hint="eastAsia" w:ascii="宋体" w:hAnsi="宋体" w:cs="宋体"/>
          <w:sz w:val="24"/>
        </w:rPr>
        <w:t>开标一览表不得填报选择性报价，否则将作为无效投标；</w:t>
      </w:r>
    </w:p>
    <w:p>
      <w:pPr>
        <w:numPr>
          <w:ilvl w:val="0"/>
          <w:numId w:val="6"/>
        </w:numPr>
        <w:rPr>
          <w:rFonts w:ascii="宋体" w:hAnsi="宋体" w:cs="宋体"/>
          <w:sz w:val="24"/>
        </w:rPr>
      </w:pPr>
      <w:r>
        <w:rPr>
          <w:rFonts w:hint="eastAsia" w:ascii="宋体" w:hAnsi="宋体" w:cs="宋体"/>
          <w:sz w:val="24"/>
        </w:rPr>
        <w:t>开标一览表中报价与投标分项明细报价表中不符时，以开标一览表为准。</w:t>
      </w:r>
    </w:p>
    <w:p>
      <w:pPr>
        <w:ind w:firstLine="2640" w:firstLineChars="600"/>
        <w:rPr>
          <w:rFonts w:ascii="宋体" w:hAnsi="宋体" w:cs="宋体"/>
          <w:sz w:val="44"/>
        </w:rPr>
      </w:pPr>
    </w:p>
    <w:p>
      <w:pPr>
        <w:ind w:firstLine="480"/>
        <w:rPr>
          <w:rFonts w:ascii="宋体" w:hAnsi="宋体" w:cs="宋体"/>
          <w:sz w:val="24"/>
        </w:rPr>
      </w:pPr>
    </w:p>
    <w:p>
      <w:pPr>
        <w:ind w:firstLine="480"/>
        <w:rPr>
          <w:rFonts w:ascii="宋体" w:hAnsi="宋体" w:cs="宋体"/>
          <w:sz w:val="24"/>
        </w:rPr>
      </w:pPr>
    </w:p>
    <w:p>
      <w:pPr>
        <w:ind w:firstLine="480"/>
        <w:jc w:val="right"/>
        <w:rPr>
          <w:rFonts w:ascii="宋体" w:hAnsi="宋体" w:cs="宋体"/>
          <w:sz w:val="24"/>
        </w:rPr>
      </w:pPr>
      <w:r>
        <w:rPr>
          <w:rFonts w:hint="eastAsia" w:ascii="宋体" w:hAnsi="宋体" w:cs="宋体"/>
          <w:bCs/>
          <w:sz w:val="24"/>
        </w:rPr>
        <w:t>供应商名称（公章）：</w:t>
      </w:r>
    </w:p>
    <w:p>
      <w:pPr>
        <w:ind w:firstLine="480"/>
        <w:rPr>
          <w:rFonts w:ascii="宋体" w:hAnsi="宋体" w:cs="宋体"/>
          <w:sz w:val="24"/>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六、投标产品配置及分项报价表（格式）</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1</w:t>
            </w:r>
          </w:p>
        </w:tc>
        <w:tc>
          <w:tcPr>
            <w:tcW w:w="2369" w:type="dxa"/>
            <w:vAlign w:val="center"/>
          </w:tcPr>
          <w:p>
            <w:pPr>
              <w:jc w:val="center"/>
              <w:rPr>
                <w:rFonts w:ascii="宋体" w:hAnsi="宋体" w:cs="宋体"/>
                <w:sz w:val="24"/>
                <w:szCs w:val="24"/>
              </w:rPr>
            </w:pPr>
            <w:r>
              <w:rPr>
                <w:rFonts w:hint="eastAsia" w:ascii="宋体" w:hAnsi="宋体" w:cs="宋体"/>
                <w:sz w:val="24"/>
                <w:szCs w:val="24"/>
              </w:rPr>
              <w:t>2</w:t>
            </w:r>
          </w:p>
        </w:tc>
        <w:tc>
          <w:tcPr>
            <w:tcW w:w="1442" w:type="dxa"/>
            <w:vAlign w:val="center"/>
          </w:tcPr>
          <w:p>
            <w:pPr>
              <w:jc w:val="center"/>
              <w:rPr>
                <w:rFonts w:ascii="宋体" w:hAnsi="宋体" w:cs="宋体"/>
                <w:sz w:val="24"/>
                <w:szCs w:val="24"/>
              </w:rPr>
            </w:pPr>
            <w:r>
              <w:rPr>
                <w:rFonts w:hint="eastAsia" w:ascii="宋体" w:hAnsi="宋体" w:cs="宋体"/>
                <w:sz w:val="24"/>
                <w:szCs w:val="24"/>
              </w:rPr>
              <w:t>3</w:t>
            </w:r>
          </w:p>
        </w:tc>
        <w:tc>
          <w:tcPr>
            <w:tcW w:w="2781"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货物名称及规格、型号</w:t>
            </w:r>
          </w:p>
        </w:tc>
        <w:tc>
          <w:tcPr>
            <w:tcW w:w="2369" w:type="dxa"/>
            <w:vAlign w:val="center"/>
          </w:tcPr>
          <w:p>
            <w:pPr>
              <w:jc w:val="center"/>
              <w:rPr>
                <w:rFonts w:ascii="宋体" w:hAnsi="宋体" w:cs="宋体"/>
                <w:sz w:val="24"/>
                <w:szCs w:val="24"/>
              </w:rPr>
            </w:pPr>
            <w:r>
              <w:rPr>
                <w:rFonts w:hint="eastAsia" w:ascii="宋体" w:hAnsi="宋体" w:cs="宋体"/>
                <w:sz w:val="24"/>
                <w:szCs w:val="24"/>
              </w:rPr>
              <w:t>数量</w:t>
            </w:r>
          </w:p>
        </w:tc>
        <w:tc>
          <w:tcPr>
            <w:tcW w:w="1442" w:type="dxa"/>
            <w:vAlign w:val="center"/>
          </w:tcPr>
          <w:p>
            <w:pPr>
              <w:jc w:val="center"/>
              <w:rPr>
                <w:rFonts w:ascii="宋体" w:hAnsi="宋体" w:cs="宋体"/>
                <w:sz w:val="24"/>
                <w:szCs w:val="24"/>
              </w:rPr>
            </w:pPr>
            <w:r>
              <w:rPr>
                <w:rFonts w:hint="eastAsia" w:ascii="宋体" w:hAnsi="宋体" w:cs="宋体"/>
                <w:sz w:val="24"/>
                <w:szCs w:val="24"/>
              </w:rPr>
              <w:t>单价</w:t>
            </w:r>
          </w:p>
        </w:tc>
        <w:tc>
          <w:tcPr>
            <w:tcW w:w="2781" w:type="dxa"/>
            <w:vAlign w:val="center"/>
          </w:tcPr>
          <w:p>
            <w:pPr>
              <w:jc w:val="center"/>
              <w:rPr>
                <w:rFonts w:ascii="宋体" w:hAns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合计</w:t>
            </w:r>
          </w:p>
        </w:tc>
        <w:tc>
          <w:tcPr>
            <w:tcW w:w="6592" w:type="dxa"/>
            <w:gridSpan w:val="3"/>
          </w:tcPr>
          <w:p>
            <w:pPr>
              <w:rPr>
                <w:rFonts w:ascii="宋体" w:hAnsi="宋体" w:cs="宋体"/>
                <w:sz w:val="24"/>
                <w:szCs w:val="24"/>
              </w:rPr>
            </w:pPr>
            <w:r>
              <w:rPr>
                <w:rFonts w:hint="eastAsia" w:ascii="宋体" w:hAnsi="宋体" w:cs="宋体"/>
                <w:sz w:val="24"/>
                <w:szCs w:val="24"/>
              </w:rPr>
              <w:t xml:space="preserve"> </w:t>
            </w:r>
          </w:p>
        </w:tc>
      </w:tr>
    </w:tbl>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法定代表人或授权代表签字：</w:t>
      </w:r>
    </w:p>
    <w:p>
      <w:pPr>
        <w:spacing w:line="360" w:lineRule="auto"/>
        <w:rPr>
          <w:rFonts w:ascii="宋体" w:hAnsi="宋体" w:cs="宋体"/>
          <w:sz w:val="24"/>
        </w:rPr>
      </w:pPr>
      <w:r>
        <w:rPr>
          <w:rFonts w:hint="eastAsia" w:ascii="宋体" w:hAnsi="宋体" w:cs="宋体"/>
          <w:sz w:val="24"/>
        </w:rPr>
        <w:t>1、此表可以根据需要自行增减行数。</w:t>
      </w: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sectPr>
          <w:pgSz w:w="11906" w:h="16838"/>
          <w:pgMar w:top="1417" w:right="1587" w:bottom="1417" w:left="1366" w:header="851" w:footer="907" w:gutter="0"/>
          <w:pgNumType w:fmt="numberInDash"/>
          <w:cols w:space="720" w:num="1"/>
          <w:docGrid w:type="lines" w:linePitch="304" w:charSpace="0"/>
        </w:sectPr>
      </w:pPr>
    </w:p>
    <w:p>
      <w:pPr>
        <w:snapToGrid w:val="0"/>
        <w:spacing w:before="50" w:after="50"/>
        <w:jc w:val="center"/>
        <w:rPr>
          <w:rFonts w:ascii="宋体" w:hAnsi="宋体" w:cs="宋体"/>
          <w:sz w:val="32"/>
          <w:szCs w:val="32"/>
        </w:rPr>
      </w:pPr>
      <w:r>
        <w:rPr>
          <w:rFonts w:hint="eastAsia" w:ascii="宋体" w:hAnsi="宋体" w:cs="宋体"/>
          <w:sz w:val="32"/>
          <w:szCs w:val="32"/>
        </w:rPr>
        <w:t>七、技术参数响应及偏离表（如有）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sz w:val="24"/>
                <w:szCs w:val="24"/>
              </w:rPr>
            </w:pPr>
            <w:r>
              <w:rPr>
                <w:rFonts w:hint="eastAsia" w:ascii="宋体" w:hAnsi="宋体" w:cs="宋体"/>
                <w:sz w:val="24"/>
                <w:szCs w:val="24"/>
              </w:rPr>
              <w:t>序号</w:t>
            </w:r>
          </w:p>
        </w:tc>
        <w:tc>
          <w:tcPr>
            <w:tcW w:w="2852" w:type="dxa"/>
            <w:vAlign w:val="center"/>
          </w:tcPr>
          <w:p>
            <w:pPr>
              <w:rPr>
                <w:rFonts w:ascii="宋体" w:hAnsi="宋体" w:cs="宋体"/>
                <w:sz w:val="24"/>
                <w:szCs w:val="24"/>
              </w:rPr>
            </w:pPr>
            <w:r>
              <w:rPr>
                <w:rFonts w:hint="eastAsia" w:ascii="宋体" w:hAnsi="宋体" w:cs="宋体"/>
                <w:sz w:val="24"/>
                <w:szCs w:val="24"/>
              </w:rPr>
              <w:t>招标要求</w:t>
            </w:r>
          </w:p>
        </w:tc>
        <w:tc>
          <w:tcPr>
            <w:tcW w:w="2852" w:type="dxa"/>
            <w:vAlign w:val="center"/>
          </w:tcPr>
          <w:p>
            <w:pPr>
              <w:rPr>
                <w:rFonts w:ascii="宋体" w:hAnsi="宋体" w:cs="宋体"/>
                <w:sz w:val="24"/>
                <w:szCs w:val="24"/>
              </w:rPr>
            </w:pPr>
            <w:r>
              <w:rPr>
                <w:rFonts w:hint="eastAsia" w:ascii="宋体" w:hAnsi="宋体" w:cs="宋体"/>
                <w:sz w:val="24"/>
                <w:szCs w:val="24"/>
              </w:rPr>
              <w:t>投标响应</w:t>
            </w:r>
          </w:p>
        </w:tc>
        <w:tc>
          <w:tcPr>
            <w:tcW w:w="1308" w:type="dxa"/>
            <w:vAlign w:val="center"/>
          </w:tcPr>
          <w:p>
            <w:pPr>
              <w:rPr>
                <w:rFonts w:ascii="宋体" w:hAnsi="宋体" w:cs="宋体"/>
                <w:sz w:val="24"/>
                <w:szCs w:val="24"/>
              </w:rPr>
            </w:pPr>
            <w:r>
              <w:rPr>
                <w:rFonts w:hint="eastAsia" w:ascii="宋体" w:hAnsi="宋体" w:cs="宋体"/>
                <w:sz w:val="24"/>
                <w:szCs w:val="24"/>
              </w:rPr>
              <w:t>超出、符合或偏离</w:t>
            </w:r>
          </w:p>
        </w:tc>
        <w:tc>
          <w:tcPr>
            <w:tcW w:w="1173" w:type="dxa"/>
            <w:vAlign w:val="center"/>
          </w:tcPr>
          <w:p>
            <w:pPr>
              <w:jc w:val="center"/>
              <w:rPr>
                <w:rFonts w:ascii="宋体" w:hAns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bl>
    <w:p>
      <w:pPr>
        <w:rPr>
          <w:rFonts w:ascii="宋体" w:hAnsi="宋体" w:cs="宋体"/>
          <w:sz w:val="24"/>
          <w:szCs w:val="24"/>
        </w:rPr>
      </w:pPr>
      <w:r>
        <w:rPr>
          <w:rFonts w:hint="eastAsia" w:ascii="宋体" w:hAnsi="宋体" w:cs="宋体"/>
          <w:sz w:val="24"/>
          <w:szCs w:val="24"/>
        </w:rPr>
        <w:t>法定代表人或授权代表签字：</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注：1、按照基本技术要求详细填列。</w:t>
      </w:r>
    </w:p>
    <w:p>
      <w:pPr>
        <w:ind w:firstLine="480" w:firstLineChars="200"/>
        <w:rPr>
          <w:rFonts w:ascii="宋体" w:hAnsi="宋体" w:cs="宋体"/>
          <w:sz w:val="24"/>
          <w:szCs w:val="24"/>
        </w:rPr>
      </w:pPr>
      <w:r>
        <w:rPr>
          <w:rFonts w:hint="eastAsia" w:ascii="宋体" w:hAnsi="宋体" w:cs="宋体"/>
          <w:sz w:val="24"/>
          <w:szCs w:val="24"/>
        </w:rPr>
        <w:t>2、行数不够，可自行添加。</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rPr>
          <w:rFonts w:ascii="宋体" w:hAnsi="宋体" w:cs="宋体"/>
          <w:sz w:val="32"/>
        </w:rPr>
      </w:pPr>
    </w:p>
    <w:bookmarkEnd w:id="170"/>
    <w:p>
      <w:pPr>
        <w:snapToGrid w:val="0"/>
        <w:spacing w:before="50" w:after="50"/>
        <w:jc w:val="center"/>
        <w:rPr>
          <w:rFonts w:ascii="宋体" w:hAnsi="宋体" w:cs="宋体"/>
          <w:sz w:val="32"/>
          <w:szCs w:val="32"/>
        </w:rPr>
      </w:pPr>
      <w:bookmarkStart w:id="171" w:name="_Hlt26955054"/>
      <w:bookmarkEnd w:id="171"/>
      <w:r>
        <w:rPr>
          <w:rFonts w:hint="eastAsia" w:ascii="宋体" w:hAnsi="宋体" w:cs="宋体"/>
          <w:sz w:val="32"/>
          <w:szCs w:val="32"/>
        </w:rPr>
        <w:t>八、商务条款响应及偏离表（如有）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合同签订后</w:t>
            </w:r>
            <w:r>
              <w:rPr>
                <w:rFonts w:hint="eastAsia" w:ascii="宋体" w:hAnsi="宋体" w:cs="宋体"/>
                <w:sz w:val="24"/>
                <w:u w:val="single"/>
              </w:rPr>
              <w:t xml:space="preserve">     </w:t>
            </w:r>
            <w:r>
              <w:rPr>
                <w:rFonts w:hint="eastAsia" w:ascii="宋体" w:hAnsi="宋体" w:cs="宋体"/>
                <w:sz w:val="24"/>
              </w:rPr>
              <w:t>天内</w:t>
            </w:r>
            <w:r>
              <w:rPr>
                <w:rFonts w:hint="eastAsia" w:ascii="宋体" w:hAnsi="宋体" w:cs="宋体"/>
                <w:sz w:val="24"/>
                <w:u w:val="single"/>
              </w:rPr>
              <w:t xml:space="preserve"> </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p>
          <w:p>
            <w:pPr>
              <w:snapToGrid w:val="0"/>
              <w:spacing w:before="152"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p>
          <w:p>
            <w:pPr>
              <w:snapToGrid w:val="0"/>
              <w:spacing w:before="152"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bl>
    <w:p>
      <w:pPr>
        <w:rPr>
          <w:rFonts w:ascii="宋体" w:hAnsi="宋体" w:cs="宋体"/>
          <w:sz w:val="24"/>
          <w:szCs w:val="24"/>
        </w:rPr>
      </w:pPr>
      <w:r>
        <w:rPr>
          <w:rFonts w:hint="eastAsia" w:ascii="宋体" w:hAnsi="宋体" w:cs="宋体"/>
          <w:sz w:val="24"/>
          <w:szCs w:val="24"/>
        </w:rPr>
        <w:t>法定代表人或授权代表签字：</w:t>
      </w:r>
    </w:p>
    <w:p>
      <w:pPr>
        <w:pStyle w:val="5"/>
        <w:ind w:firstLine="0"/>
        <w:rPr>
          <w:rFonts w:ascii="宋体" w:hAnsi="宋体" w:cs="宋体"/>
          <w:sz w:val="24"/>
        </w:rPr>
      </w:pPr>
      <w:bookmarkStart w:id="172" w:name="_Hlt26671374"/>
      <w:bookmarkEnd w:id="172"/>
      <w:bookmarkStart w:id="173" w:name="_Hlt26955056"/>
      <w:bookmarkEnd w:id="173"/>
      <w:bookmarkStart w:id="174" w:name="_Hlt26671372"/>
      <w:bookmarkEnd w:id="174"/>
      <w:bookmarkStart w:id="175" w:name="_Hlt26671343"/>
      <w:bookmarkEnd w:id="175"/>
      <w:bookmarkStart w:id="176" w:name="_Hlt26955064"/>
      <w:bookmarkEnd w:id="176"/>
      <w:bookmarkStart w:id="177" w:name="_Hlt26580838"/>
      <w:bookmarkEnd w:id="177"/>
      <w:bookmarkStart w:id="178" w:name="_Hlt26782999"/>
      <w:bookmarkEnd w:id="178"/>
      <w:bookmarkStart w:id="179" w:name="_Hlt26609391"/>
      <w:bookmarkEnd w:id="179"/>
      <w:bookmarkStart w:id="180" w:name="_Hlt26955066"/>
      <w:bookmarkEnd w:id="180"/>
      <w:bookmarkStart w:id="181" w:name="_Hlt24879081"/>
      <w:bookmarkEnd w:id="181"/>
      <w:bookmarkStart w:id="182" w:name="_Hlt26609389"/>
      <w:bookmarkEnd w:id="182"/>
      <w:bookmarkStart w:id="183" w:name="_Toc462564146"/>
    </w:p>
    <w:p>
      <w:pPr>
        <w:pStyle w:val="5"/>
        <w:ind w:firstLine="0"/>
        <w:rPr>
          <w:rFonts w:ascii="宋体" w:hAnsi="宋体" w:cs="宋体"/>
          <w:sz w:val="24"/>
        </w:rPr>
      </w:pPr>
    </w:p>
    <w:p>
      <w:pPr>
        <w:snapToGrid w:val="0"/>
        <w:spacing w:before="50" w:after="50"/>
        <w:jc w:val="center"/>
        <w:rPr>
          <w:rFonts w:ascii="宋体" w:hAnsi="宋体" w:cs="宋体"/>
          <w:sz w:val="32"/>
          <w:szCs w:val="32"/>
        </w:rPr>
      </w:pPr>
      <w:r>
        <w:rPr>
          <w:rFonts w:hint="eastAsia" w:ascii="宋体" w:hAnsi="宋体" w:cs="宋体"/>
          <w:sz w:val="32"/>
          <w:szCs w:val="32"/>
        </w:rPr>
        <w:t>九、技术方案、服务承诺、培训承诺等</w:t>
      </w:r>
      <w:bookmarkEnd w:id="157"/>
      <w:bookmarkEnd w:id="158"/>
      <w:bookmarkEnd w:id="183"/>
      <w:bookmarkStart w:id="184" w:name="_格式2__法定代表人授权书"/>
      <w:bookmarkEnd w:id="184"/>
    </w:p>
    <w:sectPr>
      <w:pgSz w:w="11906" w:h="16838"/>
      <w:pgMar w:top="1417" w:right="1587" w:bottom="1417" w:left="1366" w:header="851" w:footer="907" w:gutter="0"/>
      <w:pgNumType w:fmt="numberInDash"/>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b/>
        <w:i/>
      </w:rPr>
    </w:pPr>
    <w:r>
      <w:rPr>
        <w:sz w:val="20"/>
      </w:rPr>
      <w:pict>
        <v:shape id="_x0000_s3073" o:spid="_x0000_s3073"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v:textbox>
        </v:shape>
      </w:pict>
    </w: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b/>
        <w:i/>
      </w:rPr>
    </w:pPr>
    <w:r>
      <w:rPr>
        <w:sz w:val="20"/>
      </w:rPr>
      <w:pict>
        <v:shape id="_x0000_s3074" o:spid="_x0000_s3074"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w:r>
    <w:r>
      <w:rPr>
        <w:b/>
        <w:i/>
        <w:kern w:val="0"/>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隶书"/>
        <w:color w:val="FF0000"/>
        <w:spacing w:val="40"/>
        <w:sz w:val="21"/>
        <w:szCs w:val="21"/>
      </w:rPr>
    </w:pPr>
    <w:r>
      <w:rPr>
        <w:rFonts w:hint="eastAsia" w:eastAsia="隶书"/>
        <w:color w:val="FF0000"/>
        <w:spacing w:val="40"/>
        <w:sz w:val="21"/>
        <w:szCs w:val="21"/>
      </w:rPr>
      <w:t>2020-006S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96"/>
      <w:lvlText w:val="附录%1."/>
      <w:lvlJc w:val="left"/>
      <w:pPr>
        <w:tabs>
          <w:tab w:val="left" w:pos="907"/>
        </w:tabs>
        <w:ind w:left="907" w:hanging="907"/>
      </w:pPr>
      <w:rPr>
        <w:rFonts w:hint="eastAsia"/>
      </w:rPr>
    </w:lvl>
  </w:abstractNum>
  <w:abstractNum w:abstractNumId="1">
    <w:nsid w:val="220298FE"/>
    <w:multiLevelType w:val="singleLevel"/>
    <w:tmpl w:val="220298FE"/>
    <w:lvl w:ilvl="0" w:tentative="0">
      <w:start w:val="1"/>
      <w:numFmt w:val="chineseCounting"/>
      <w:suff w:val="nothing"/>
      <w:lvlText w:val="%1、"/>
      <w:lvlJc w:val="left"/>
      <w:rPr>
        <w:rFonts w:hint="eastAsia"/>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lvl>
  </w:abstractNum>
  <w:abstractNum w:abstractNumId="3">
    <w:nsid w:val="420C153B"/>
    <w:multiLevelType w:val="multilevel"/>
    <w:tmpl w:val="420C153B"/>
    <w:lvl w:ilvl="0" w:tentative="0">
      <w:start w:val="1"/>
      <w:numFmt w:val="decimal"/>
      <w:pStyle w:val="9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mirrorMargins w:val="1"/>
  <w:attachedTemplate r:id="rId1"/>
  <w:documentProtection w:enforcement="0"/>
  <w:defaultTabStop w:val="425"/>
  <w:drawingGridHorizontalSpacing w:val="210"/>
  <w:drawingGridVerticalSpacing w:val="15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22AF1"/>
    <w:rsid w:val="000021F1"/>
    <w:rsid w:val="0000257C"/>
    <w:rsid w:val="00003DC7"/>
    <w:rsid w:val="00004B67"/>
    <w:rsid w:val="00005139"/>
    <w:rsid w:val="000060F7"/>
    <w:rsid w:val="000065F6"/>
    <w:rsid w:val="00006B61"/>
    <w:rsid w:val="00006BCB"/>
    <w:rsid w:val="00012B1C"/>
    <w:rsid w:val="00013BD5"/>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180F"/>
    <w:rsid w:val="00062851"/>
    <w:rsid w:val="00062C51"/>
    <w:rsid w:val="0006657E"/>
    <w:rsid w:val="00066E0B"/>
    <w:rsid w:val="0007132E"/>
    <w:rsid w:val="00071631"/>
    <w:rsid w:val="00072A72"/>
    <w:rsid w:val="00073884"/>
    <w:rsid w:val="00073CD4"/>
    <w:rsid w:val="00076A17"/>
    <w:rsid w:val="000824BA"/>
    <w:rsid w:val="00082C5C"/>
    <w:rsid w:val="00082F11"/>
    <w:rsid w:val="000833E7"/>
    <w:rsid w:val="0008366C"/>
    <w:rsid w:val="000837A2"/>
    <w:rsid w:val="00084B83"/>
    <w:rsid w:val="00085AAC"/>
    <w:rsid w:val="00090BB5"/>
    <w:rsid w:val="000939A7"/>
    <w:rsid w:val="00094732"/>
    <w:rsid w:val="00094CD5"/>
    <w:rsid w:val="00095042"/>
    <w:rsid w:val="000956B3"/>
    <w:rsid w:val="00096A17"/>
    <w:rsid w:val="000A2569"/>
    <w:rsid w:val="000A2FC6"/>
    <w:rsid w:val="000A41F7"/>
    <w:rsid w:val="000A5684"/>
    <w:rsid w:val="000A5C24"/>
    <w:rsid w:val="000B1517"/>
    <w:rsid w:val="000B4987"/>
    <w:rsid w:val="000B5CB9"/>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0CE"/>
    <w:rsid w:val="00116899"/>
    <w:rsid w:val="00116C9B"/>
    <w:rsid w:val="00116CC8"/>
    <w:rsid w:val="001209A8"/>
    <w:rsid w:val="00120B27"/>
    <w:rsid w:val="001216F8"/>
    <w:rsid w:val="0012335D"/>
    <w:rsid w:val="00126079"/>
    <w:rsid w:val="0012671B"/>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240A"/>
    <w:rsid w:val="0015339B"/>
    <w:rsid w:val="0015366A"/>
    <w:rsid w:val="001539B3"/>
    <w:rsid w:val="001542EE"/>
    <w:rsid w:val="00155193"/>
    <w:rsid w:val="001553EC"/>
    <w:rsid w:val="00155CB8"/>
    <w:rsid w:val="001569DC"/>
    <w:rsid w:val="00157965"/>
    <w:rsid w:val="00161885"/>
    <w:rsid w:val="00162263"/>
    <w:rsid w:val="00163DB6"/>
    <w:rsid w:val="00163ED5"/>
    <w:rsid w:val="001649C7"/>
    <w:rsid w:val="00164ABA"/>
    <w:rsid w:val="0016506B"/>
    <w:rsid w:val="00165A5A"/>
    <w:rsid w:val="00167B47"/>
    <w:rsid w:val="001705EF"/>
    <w:rsid w:val="0017062E"/>
    <w:rsid w:val="00170855"/>
    <w:rsid w:val="00170B99"/>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4EC"/>
    <w:rsid w:val="001A0F57"/>
    <w:rsid w:val="001A121B"/>
    <w:rsid w:val="001A16F7"/>
    <w:rsid w:val="001A2217"/>
    <w:rsid w:val="001A2797"/>
    <w:rsid w:val="001A2E68"/>
    <w:rsid w:val="001A5BDF"/>
    <w:rsid w:val="001A7B31"/>
    <w:rsid w:val="001B2DEF"/>
    <w:rsid w:val="001B5050"/>
    <w:rsid w:val="001B7E61"/>
    <w:rsid w:val="001C14B1"/>
    <w:rsid w:val="001C373D"/>
    <w:rsid w:val="001C5C56"/>
    <w:rsid w:val="001C5F27"/>
    <w:rsid w:val="001C6BCC"/>
    <w:rsid w:val="001D01DB"/>
    <w:rsid w:val="001D1657"/>
    <w:rsid w:val="001D2224"/>
    <w:rsid w:val="001D4A32"/>
    <w:rsid w:val="001D6423"/>
    <w:rsid w:val="001D6B89"/>
    <w:rsid w:val="001D6E74"/>
    <w:rsid w:val="001E13DE"/>
    <w:rsid w:val="001E1981"/>
    <w:rsid w:val="001E2637"/>
    <w:rsid w:val="001E45B5"/>
    <w:rsid w:val="001E61A6"/>
    <w:rsid w:val="001E7571"/>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16F8"/>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4FD3"/>
    <w:rsid w:val="002561D3"/>
    <w:rsid w:val="00256269"/>
    <w:rsid w:val="002601E8"/>
    <w:rsid w:val="00260723"/>
    <w:rsid w:val="002607A3"/>
    <w:rsid w:val="00260BB7"/>
    <w:rsid w:val="00262FF0"/>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29C"/>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41D3"/>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4A50"/>
    <w:rsid w:val="00314CE0"/>
    <w:rsid w:val="003161E0"/>
    <w:rsid w:val="00320AF9"/>
    <w:rsid w:val="00321FDF"/>
    <w:rsid w:val="0032284B"/>
    <w:rsid w:val="00322C31"/>
    <w:rsid w:val="003235E4"/>
    <w:rsid w:val="0032383B"/>
    <w:rsid w:val="00324629"/>
    <w:rsid w:val="00324942"/>
    <w:rsid w:val="00325F10"/>
    <w:rsid w:val="0033180A"/>
    <w:rsid w:val="00332BD1"/>
    <w:rsid w:val="00334A04"/>
    <w:rsid w:val="00335ED9"/>
    <w:rsid w:val="00340404"/>
    <w:rsid w:val="00341B1F"/>
    <w:rsid w:val="00342232"/>
    <w:rsid w:val="00342F58"/>
    <w:rsid w:val="00344A42"/>
    <w:rsid w:val="00345847"/>
    <w:rsid w:val="00345904"/>
    <w:rsid w:val="00346DB2"/>
    <w:rsid w:val="00351E99"/>
    <w:rsid w:val="00351F3B"/>
    <w:rsid w:val="00352805"/>
    <w:rsid w:val="00352E10"/>
    <w:rsid w:val="003531D3"/>
    <w:rsid w:val="003579BC"/>
    <w:rsid w:val="00361414"/>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1BAB"/>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793"/>
    <w:rsid w:val="003C7AE5"/>
    <w:rsid w:val="003D10D2"/>
    <w:rsid w:val="003D137A"/>
    <w:rsid w:val="003D1E45"/>
    <w:rsid w:val="003D2006"/>
    <w:rsid w:val="003D300E"/>
    <w:rsid w:val="003D430B"/>
    <w:rsid w:val="003D647D"/>
    <w:rsid w:val="003D6DC4"/>
    <w:rsid w:val="003D7B1B"/>
    <w:rsid w:val="003E01CB"/>
    <w:rsid w:val="003E01D7"/>
    <w:rsid w:val="003E11C1"/>
    <w:rsid w:val="003E15AA"/>
    <w:rsid w:val="003E2BFA"/>
    <w:rsid w:val="003E3C34"/>
    <w:rsid w:val="003E46E0"/>
    <w:rsid w:val="003E5F8D"/>
    <w:rsid w:val="003E744E"/>
    <w:rsid w:val="003E7467"/>
    <w:rsid w:val="003F0E5A"/>
    <w:rsid w:val="003F1E50"/>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7B4"/>
    <w:rsid w:val="00420952"/>
    <w:rsid w:val="00420ECB"/>
    <w:rsid w:val="0042200D"/>
    <w:rsid w:val="00422355"/>
    <w:rsid w:val="00423691"/>
    <w:rsid w:val="004248EB"/>
    <w:rsid w:val="00426DC2"/>
    <w:rsid w:val="00427452"/>
    <w:rsid w:val="00427744"/>
    <w:rsid w:val="004278D2"/>
    <w:rsid w:val="00427D01"/>
    <w:rsid w:val="00431297"/>
    <w:rsid w:val="00431ADA"/>
    <w:rsid w:val="00433227"/>
    <w:rsid w:val="00434521"/>
    <w:rsid w:val="00435338"/>
    <w:rsid w:val="00435C59"/>
    <w:rsid w:val="0043640B"/>
    <w:rsid w:val="00436A23"/>
    <w:rsid w:val="00437A7F"/>
    <w:rsid w:val="00440C79"/>
    <w:rsid w:val="00441801"/>
    <w:rsid w:val="00441954"/>
    <w:rsid w:val="00441A24"/>
    <w:rsid w:val="00442C53"/>
    <w:rsid w:val="0044338F"/>
    <w:rsid w:val="004433DB"/>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9CC"/>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D7"/>
    <w:rsid w:val="005000FE"/>
    <w:rsid w:val="00500D41"/>
    <w:rsid w:val="00502660"/>
    <w:rsid w:val="00503685"/>
    <w:rsid w:val="00503FF3"/>
    <w:rsid w:val="005046FA"/>
    <w:rsid w:val="00504FB2"/>
    <w:rsid w:val="00505733"/>
    <w:rsid w:val="00506B42"/>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C69"/>
    <w:rsid w:val="00541D5A"/>
    <w:rsid w:val="00542A4C"/>
    <w:rsid w:val="00542B57"/>
    <w:rsid w:val="005448F9"/>
    <w:rsid w:val="0054527E"/>
    <w:rsid w:val="00545C97"/>
    <w:rsid w:val="00546111"/>
    <w:rsid w:val="0054631A"/>
    <w:rsid w:val="005474A7"/>
    <w:rsid w:val="00551078"/>
    <w:rsid w:val="005528D7"/>
    <w:rsid w:val="0055319A"/>
    <w:rsid w:val="00553290"/>
    <w:rsid w:val="00553A93"/>
    <w:rsid w:val="00553E41"/>
    <w:rsid w:val="00556ACF"/>
    <w:rsid w:val="00557A2E"/>
    <w:rsid w:val="005619A4"/>
    <w:rsid w:val="00563148"/>
    <w:rsid w:val="00564925"/>
    <w:rsid w:val="00565404"/>
    <w:rsid w:val="00565E6C"/>
    <w:rsid w:val="005663BA"/>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357B"/>
    <w:rsid w:val="00595052"/>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EAC"/>
    <w:rsid w:val="005D74B4"/>
    <w:rsid w:val="005D7B35"/>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4B1"/>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515D"/>
    <w:rsid w:val="00617A49"/>
    <w:rsid w:val="00617E8B"/>
    <w:rsid w:val="00622901"/>
    <w:rsid w:val="00624406"/>
    <w:rsid w:val="0062494A"/>
    <w:rsid w:val="006253F1"/>
    <w:rsid w:val="006264B1"/>
    <w:rsid w:val="00630DAC"/>
    <w:rsid w:val="00630E1C"/>
    <w:rsid w:val="006319BA"/>
    <w:rsid w:val="00635980"/>
    <w:rsid w:val="00635F47"/>
    <w:rsid w:val="00636D4C"/>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56E2"/>
    <w:rsid w:val="00697A44"/>
    <w:rsid w:val="006A0505"/>
    <w:rsid w:val="006A40D6"/>
    <w:rsid w:val="006A46FB"/>
    <w:rsid w:val="006A6A8C"/>
    <w:rsid w:val="006B0BFF"/>
    <w:rsid w:val="006B1F13"/>
    <w:rsid w:val="006B21C1"/>
    <w:rsid w:val="006B31B9"/>
    <w:rsid w:val="006B60FB"/>
    <w:rsid w:val="006C2552"/>
    <w:rsid w:val="006C3351"/>
    <w:rsid w:val="006C3AAD"/>
    <w:rsid w:val="006C4BEC"/>
    <w:rsid w:val="006C6A72"/>
    <w:rsid w:val="006D253D"/>
    <w:rsid w:val="006D3461"/>
    <w:rsid w:val="006D3599"/>
    <w:rsid w:val="006D4BF1"/>
    <w:rsid w:val="006D5CEE"/>
    <w:rsid w:val="006D6E90"/>
    <w:rsid w:val="006E04C0"/>
    <w:rsid w:val="006E1F31"/>
    <w:rsid w:val="006E288A"/>
    <w:rsid w:val="006E4B96"/>
    <w:rsid w:val="006E4D62"/>
    <w:rsid w:val="006F11BC"/>
    <w:rsid w:val="006F1C73"/>
    <w:rsid w:val="006F2513"/>
    <w:rsid w:val="006F2C72"/>
    <w:rsid w:val="006F39A6"/>
    <w:rsid w:val="006F3A2A"/>
    <w:rsid w:val="006F3F3A"/>
    <w:rsid w:val="006F531B"/>
    <w:rsid w:val="006F603C"/>
    <w:rsid w:val="006F693C"/>
    <w:rsid w:val="006F6C13"/>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26D9"/>
    <w:rsid w:val="007544E5"/>
    <w:rsid w:val="0075607C"/>
    <w:rsid w:val="007565CD"/>
    <w:rsid w:val="00761B03"/>
    <w:rsid w:val="00762D54"/>
    <w:rsid w:val="00762E7D"/>
    <w:rsid w:val="007656B3"/>
    <w:rsid w:val="00766122"/>
    <w:rsid w:val="00766753"/>
    <w:rsid w:val="00766F33"/>
    <w:rsid w:val="00767BF4"/>
    <w:rsid w:val="00770411"/>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6419"/>
    <w:rsid w:val="007C6BFD"/>
    <w:rsid w:val="007D0549"/>
    <w:rsid w:val="007D2B49"/>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40CE"/>
    <w:rsid w:val="0081717A"/>
    <w:rsid w:val="00817230"/>
    <w:rsid w:val="008179F9"/>
    <w:rsid w:val="00817EC4"/>
    <w:rsid w:val="00820E2E"/>
    <w:rsid w:val="00821B77"/>
    <w:rsid w:val="008220F7"/>
    <w:rsid w:val="00822AF1"/>
    <w:rsid w:val="008249BE"/>
    <w:rsid w:val="00824A0D"/>
    <w:rsid w:val="00824BC4"/>
    <w:rsid w:val="00824F16"/>
    <w:rsid w:val="00825E64"/>
    <w:rsid w:val="00826376"/>
    <w:rsid w:val="00830B78"/>
    <w:rsid w:val="00831C73"/>
    <w:rsid w:val="00831ED5"/>
    <w:rsid w:val="00834CDA"/>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81711"/>
    <w:rsid w:val="008832F8"/>
    <w:rsid w:val="00883536"/>
    <w:rsid w:val="008858D1"/>
    <w:rsid w:val="00885EA5"/>
    <w:rsid w:val="00887614"/>
    <w:rsid w:val="0088773B"/>
    <w:rsid w:val="00887A46"/>
    <w:rsid w:val="008925CC"/>
    <w:rsid w:val="00892845"/>
    <w:rsid w:val="00892AFD"/>
    <w:rsid w:val="008931CC"/>
    <w:rsid w:val="00893375"/>
    <w:rsid w:val="0089490E"/>
    <w:rsid w:val="00894B3D"/>
    <w:rsid w:val="0089637E"/>
    <w:rsid w:val="00897744"/>
    <w:rsid w:val="008A26E2"/>
    <w:rsid w:val="008A397D"/>
    <w:rsid w:val="008A51F4"/>
    <w:rsid w:val="008A63E4"/>
    <w:rsid w:val="008A65F1"/>
    <w:rsid w:val="008A7C60"/>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2607"/>
    <w:rsid w:val="008E369E"/>
    <w:rsid w:val="008E4CA2"/>
    <w:rsid w:val="008E5AF8"/>
    <w:rsid w:val="008E6062"/>
    <w:rsid w:val="008E7329"/>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692B"/>
    <w:rsid w:val="0099727E"/>
    <w:rsid w:val="009A058E"/>
    <w:rsid w:val="009A12C4"/>
    <w:rsid w:val="009A36A4"/>
    <w:rsid w:val="009A4019"/>
    <w:rsid w:val="009A4BB3"/>
    <w:rsid w:val="009A530D"/>
    <w:rsid w:val="009A6363"/>
    <w:rsid w:val="009B0B41"/>
    <w:rsid w:val="009B1E73"/>
    <w:rsid w:val="009B2DCD"/>
    <w:rsid w:val="009B7A54"/>
    <w:rsid w:val="009B7D11"/>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0C5B"/>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42456"/>
    <w:rsid w:val="00A438FE"/>
    <w:rsid w:val="00A4415C"/>
    <w:rsid w:val="00A46EE5"/>
    <w:rsid w:val="00A515A5"/>
    <w:rsid w:val="00A51940"/>
    <w:rsid w:val="00A5420C"/>
    <w:rsid w:val="00A545B6"/>
    <w:rsid w:val="00A55DAE"/>
    <w:rsid w:val="00A5773C"/>
    <w:rsid w:val="00A57A14"/>
    <w:rsid w:val="00A60B81"/>
    <w:rsid w:val="00A630D8"/>
    <w:rsid w:val="00A63510"/>
    <w:rsid w:val="00A63532"/>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90378"/>
    <w:rsid w:val="00A911C5"/>
    <w:rsid w:val="00A92DAF"/>
    <w:rsid w:val="00A932DB"/>
    <w:rsid w:val="00A967A2"/>
    <w:rsid w:val="00A96BE6"/>
    <w:rsid w:val="00A97664"/>
    <w:rsid w:val="00AA1E45"/>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1523"/>
    <w:rsid w:val="00AE17D6"/>
    <w:rsid w:val="00AE2971"/>
    <w:rsid w:val="00AE2AF0"/>
    <w:rsid w:val="00AE3657"/>
    <w:rsid w:val="00AE3DE8"/>
    <w:rsid w:val="00AE5954"/>
    <w:rsid w:val="00AE5977"/>
    <w:rsid w:val="00AE5C2B"/>
    <w:rsid w:val="00AE6164"/>
    <w:rsid w:val="00AE6616"/>
    <w:rsid w:val="00AE6F19"/>
    <w:rsid w:val="00AE7655"/>
    <w:rsid w:val="00AF3C23"/>
    <w:rsid w:val="00AF5109"/>
    <w:rsid w:val="00AF52B6"/>
    <w:rsid w:val="00AF68BD"/>
    <w:rsid w:val="00B01B10"/>
    <w:rsid w:val="00B02AB0"/>
    <w:rsid w:val="00B04E8A"/>
    <w:rsid w:val="00B10B2B"/>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563"/>
    <w:rsid w:val="00B35DF2"/>
    <w:rsid w:val="00B35EE6"/>
    <w:rsid w:val="00B36FE3"/>
    <w:rsid w:val="00B37C3B"/>
    <w:rsid w:val="00B423E7"/>
    <w:rsid w:val="00B42595"/>
    <w:rsid w:val="00B4311C"/>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735D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A6A"/>
    <w:rsid w:val="00BA3CBD"/>
    <w:rsid w:val="00BA4130"/>
    <w:rsid w:val="00BA42CD"/>
    <w:rsid w:val="00BA4971"/>
    <w:rsid w:val="00BA7D72"/>
    <w:rsid w:val="00BB0753"/>
    <w:rsid w:val="00BB18F2"/>
    <w:rsid w:val="00BB2C25"/>
    <w:rsid w:val="00BB3CAB"/>
    <w:rsid w:val="00BB3DBA"/>
    <w:rsid w:val="00BB43C6"/>
    <w:rsid w:val="00BB7602"/>
    <w:rsid w:val="00BC2661"/>
    <w:rsid w:val="00BC3ACB"/>
    <w:rsid w:val="00BC4133"/>
    <w:rsid w:val="00BC576C"/>
    <w:rsid w:val="00BD22EB"/>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46F"/>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5255"/>
    <w:rsid w:val="00C26D1F"/>
    <w:rsid w:val="00C302D0"/>
    <w:rsid w:val="00C3032B"/>
    <w:rsid w:val="00C30F62"/>
    <w:rsid w:val="00C319A5"/>
    <w:rsid w:val="00C32A3E"/>
    <w:rsid w:val="00C34AAA"/>
    <w:rsid w:val="00C4009F"/>
    <w:rsid w:val="00C42A82"/>
    <w:rsid w:val="00C42B1B"/>
    <w:rsid w:val="00C439B6"/>
    <w:rsid w:val="00C46772"/>
    <w:rsid w:val="00C47053"/>
    <w:rsid w:val="00C47119"/>
    <w:rsid w:val="00C5319A"/>
    <w:rsid w:val="00C53413"/>
    <w:rsid w:val="00C539E6"/>
    <w:rsid w:val="00C56C1A"/>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82E"/>
    <w:rsid w:val="00CD3A22"/>
    <w:rsid w:val="00CD4C0A"/>
    <w:rsid w:val="00CD4DF5"/>
    <w:rsid w:val="00CD5F79"/>
    <w:rsid w:val="00CE0001"/>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2C54"/>
    <w:rsid w:val="00D13FFA"/>
    <w:rsid w:val="00D17568"/>
    <w:rsid w:val="00D17776"/>
    <w:rsid w:val="00D20E60"/>
    <w:rsid w:val="00D23157"/>
    <w:rsid w:val="00D23991"/>
    <w:rsid w:val="00D23ADD"/>
    <w:rsid w:val="00D24774"/>
    <w:rsid w:val="00D25267"/>
    <w:rsid w:val="00D25334"/>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6E21"/>
    <w:rsid w:val="00D679B9"/>
    <w:rsid w:val="00D679E6"/>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708C"/>
    <w:rsid w:val="00DC0D67"/>
    <w:rsid w:val="00DC1868"/>
    <w:rsid w:val="00DC3032"/>
    <w:rsid w:val="00DC3248"/>
    <w:rsid w:val="00DC5456"/>
    <w:rsid w:val="00DC6099"/>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04A3"/>
    <w:rsid w:val="00DF04F0"/>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4178"/>
    <w:rsid w:val="00E045E8"/>
    <w:rsid w:val="00E046E7"/>
    <w:rsid w:val="00E049B2"/>
    <w:rsid w:val="00E0586F"/>
    <w:rsid w:val="00E05C4C"/>
    <w:rsid w:val="00E069B3"/>
    <w:rsid w:val="00E06CA9"/>
    <w:rsid w:val="00E06F34"/>
    <w:rsid w:val="00E07FCD"/>
    <w:rsid w:val="00E10EC6"/>
    <w:rsid w:val="00E12F79"/>
    <w:rsid w:val="00E132A6"/>
    <w:rsid w:val="00E15484"/>
    <w:rsid w:val="00E1552E"/>
    <w:rsid w:val="00E16597"/>
    <w:rsid w:val="00E167C1"/>
    <w:rsid w:val="00E16D48"/>
    <w:rsid w:val="00E20F22"/>
    <w:rsid w:val="00E216DE"/>
    <w:rsid w:val="00E22142"/>
    <w:rsid w:val="00E2234F"/>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6C6"/>
    <w:rsid w:val="00E41D2A"/>
    <w:rsid w:val="00E42F35"/>
    <w:rsid w:val="00E4480C"/>
    <w:rsid w:val="00E4542F"/>
    <w:rsid w:val="00E45622"/>
    <w:rsid w:val="00E51BC3"/>
    <w:rsid w:val="00E540F0"/>
    <w:rsid w:val="00E55D96"/>
    <w:rsid w:val="00E56672"/>
    <w:rsid w:val="00E568F2"/>
    <w:rsid w:val="00E608D4"/>
    <w:rsid w:val="00E60FDB"/>
    <w:rsid w:val="00E616DC"/>
    <w:rsid w:val="00E61ECC"/>
    <w:rsid w:val="00E6218F"/>
    <w:rsid w:val="00E644DA"/>
    <w:rsid w:val="00E64F4B"/>
    <w:rsid w:val="00E6792B"/>
    <w:rsid w:val="00E71425"/>
    <w:rsid w:val="00E71D1A"/>
    <w:rsid w:val="00E71F88"/>
    <w:rsid w:val="00E729DC"/>
    <w:rsid w:val="00E752BF"/>
    <w:rsid w:val="00E75FA0"/>
    <w:rsid w:val="00E772E6"/>
    <w:rsid w:val="00E80C7D"/>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1A9D"/>
    <w:rsid w:val="00EA2217"/>
    <w:rsid w:val="00EA2767"/>
    <w:rsid w:val="00EA38E9"/>
    <w:rsid w:val="00EA56B7"/>
    <w:rsid w:val="00EA5D39"/>
    <w:rsid w:val="00EA6298"/>
    <w:rsid w:val="00EA768F"/>
    <w:rsid w:val="00EB1143"/>
    <w:rsid w:val="00EB2789"/>
    <w:rsid w:val="00EB4180"/>
    <w:rsid w:val="00EB52B6"/>
    <w:rsid w:val="00EB52D2"/>
    <w:rsid w:val="00EB721A"/>
    <w:rsid w:val="00EC1B66"/>
    <w:rsid w:val="00EC2DC6"/>
    <w:rsid w:val="00EC5511"/>
    <w:rsid w:val="00EC5930"/>
    <w:rsid w:val="00EC6508"/>
    <w:rsid w:val="00EC689A"/>
    <w:rsid w:val="00EC77F3"/>
    <w:rsid w:val="00ED0855"/>
    <w:rsid w:val="00ED10BC"/>
    <w:rsid w:val="00ED1115"/>
    <w:rsid w:val="00ED1EA3"/>
    <w:rsid w:val="00ED2B34"/>
    <w:rsid w:val="00ED45F2"/>
    <w:rsid w:val="00ED5F16"/>
    <w:rsid w:val="00ED64F6"/>
    <w:rsid w:val="00ED6BBC"/>
    <w:rsid w:val="00EE2A56"/>
    <w:rsid w:val="00EE2F55"/>
    <w:rsid w:val="00EE4775"/>
    <w:rsid w:val="00EE533C"/>
    <w:rsid w:val="00EE61AB"/>
    <w:rsid w:val="00EF1390"/>
    <w:rsid w:val="00EF205B"/>
    <w:rsid w:val="00EF2926"/>
    <w:rsid w:val="00EF3F43"/>
    <w:rsid w:val="00EF5CEE"/>
    <w:rsid w:val="00F00797"/>
    <w:rsid w:val="00F020C5"/>
    <w:rsid w:val="00F026F8"/>
    <w:rsid w:val="00F02D71"/>
    <w:rsid w:val="00F02DA0"/>
    <w:rsid w:val="00F037A1"/>
    <w:rsid w:val="00F03D0B"/>
    <w:rsid w:val="00F0416A"/>
    <w:rsid w:val="00F04417"/>
    <w:rsid w:val="00F05385"/>
    <w:rsid w:val="00F053AC"/>
    <w:rsid w:val="00F07DBB"/>
    <w:rsid w:val="00F110C3"/>
    <w:rsid w:val="00F118A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0E44"/>
    <w:rsid w:val="00F624D8"/>
    <w:rsid w:val="00F64E04"/>
    <w:rsid w:val="00F65A4E"/>
    <w:rsid w:val="00F67E04"/>
    <w:rsid w:val="00F7258A"/>
    <w:rsid w:val="00F72D18"/>
    <w:rsid w:val="00F73F6F"/>
    <w:rsid w:val="00F7451A"/>
    <w:rsid w:val="00F74655"/>
    <w:rsid w:val="00F75623"/>
    <w:rsid w:val="00F810CE"/>
    <w:rsid w:val="00F817D4"/>
    <w:rsid w:val="00F820A6"/>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1B5"/>
    <w:rsid w:val="00FA34F4"/>
    <w:rsid w:val="00FA4460"/>
    <w:rsid w:val="00FA4EB4"/>
    <w:rsid w:val="00FA6239"/>
    <w:rsid w:val="00FA6763"/>
    <w:rsid w:val="00FA6A26"/>
    <w:rsid w:val="00FA7DEC"/>
    <w:rsid w:val="00FB0532"/>
    <w:rsid w:val="00FB1BFB"/>
    <w:rsid w:val="00FB1E1E"/>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4F71"/>
    <w:rsid w:val="00FE543B"/>
    <w:rsid w:val="00FF15C6"/>
    <w:rsid w:val="00FF1BC1"/>
    <w:rsid w:val="00FF2264"/>
    <w:rsid w:val="00FF2980"/>
    <w:rsid w:val="00FF4E6C"/>
    <w:rsid w:val="00FF6EF0"/>
    <w:rsid w:val="00FF77E8"/>
    <w:rsid w:val="014821C6"/>
    <w:rsid w:val="01576ABD"/>
    <w:rsid w:val="01812AFE"/>
    <w:rsid w:val="018B6571"/>
    <w:rsid w:val="019B1D94"/>
    <w:rsid w:val="019B7755"/>
    <w:rsid w:val="01EB5578"/>
    <w:rsid w:val="023422F4"/>
    <w:rsid w:val="03724FEE"/>
    <w:rsid w:val="03C422C7"/>
    <w:rsid w:val="03FA3183"/>
    <w:rsid w:val="048242F0"/>
    <w:rsid w:val="04883724"/>
    <w:rsid w:val="049D7172"/>
    <w:rsid w:val="049F5EF2"/>
    <w:rsid w:val="04E974DA"/>
    <w:rsid w:val="04F7089D"/>
    <w:rsid w:val="05041983"/>
    <w:rsid w:val="0534701B"/>
    <w:rsid w:val="05461627"/>
    <w:rsid w:val="056B76BE"/>
    <w:rsid w:val="058F3BA2"/>
    <w:rsid w:val="05D519A7"/>
    <w:rsid w:val="05FB1C69"/>
    <w:rsid w:val="06433AEB"/>
    <w:rsid w:val="06696BCC"/>
    <w:rsid w:val="067E63E6"/>
    <w:rsid w:val="070F651D"/>
    <w:rsid w:val="0770126C"/>
    <w:rsid w:val="077C5B46"/>
    <w:rsid w:val="08033467"/>
    <w:rsid w:val="081B329A"/>
    <w:rsid w:val="083E12E4"/>
    <w:rsid w:val="087D7AAF"/>
    <w:rsid w:val="08A66DB8"/>
    <w:rsid w:val="091B5416"/>
    <w:rsid w:val="094238A8"/>
    <w:rsid w:val="09BB152A"/>
    <w:rsid w:val="09F053C5"/>
    <w:rsid w:val="0A7F0777"/>
    <w:rsid w:val="0ABD6A6C"/>
    <w:rsid w:val="0ACE1FD4"/>
    <w:rsid w:val="0AD25B65"/>
    <w:rsid w:val="0AFC04FA"/>
    <w:rsid w:val="0B3D117D"/>
    <w:rsid w:val="0B5B0956"/>
    <w:rsid w:val="0B615276"/>
    <w:rsid w:val="0C2B3041"/>
    <w:rsid w:val="0C2F3001"/>
    <w:rsid w:val="0C484FED"/>
    <w:rsid w:val="0C800921"/>
    <w:rsid w:val="0CBE0CFB"/>
    <w:rsid w:val="0D346416"/>
    <w:rsid w:val="0D392285"/>
    <w:rsid w:val="0D5F453C"/>
    <w:rsid w:val="0D94264E"/>
    <w:rsid w:val="0E605569"/>
    <w:rsid w:val="0E734F17"/>
    <w:rsid w:val="0E873196"/>
    <w:rsid w:val="0E8914FD"/>
    <w:rsid w:val="0EC56C10"/>
    <w:rsid w:val="0F182F7D"/>
    <w:rsid w:val="0F1D5CF6"/>
    <w:rsid w:val="0F675C91"/>
    <w:rsid w:val="0F821AAA"/>
    <w:rsid w:val="0FC36169"/>
    <w:rsid w:val="0FF57B36"/>
    <w:rsid w:val="10071104"/>
    <w:rsid w:val="1139398C"/>
    <w:rsid w:val="116C7B32"/>
    <w:rsid w:val="11D70660"/>
    <w:rsid w:val="11EE0AA9"/>
    <w:rsid w:val="133468D7"/>
    <w:rsid w:val="134F7328"/>
    <w:rsid w:val="136F13DE"/>
    <w:rsid w:val="1391283A"/>
    <w:rsid w:val="13997BF1"/>
    <w:rsid w:val="13C8452A"/>
    <w:rsid w:val="14953F46"/>
    <w:rsid w:val="14E31443"/>
    <w:rsid w:val="14EB4496"/>
    <w:rsid w:val="157210B5"/>
    <w:rsid w:val="159C7D85"/>
    <w:rsid w:val="15B06D07"/>
    <w:rsid w:val="15C604B3"/>
    <w:rsid w:val="164F0E68"/>
    <w:rsid w:val="167F4EF3"/>
    <w:rsid w:val="169B155F"/>
    <w:rsid w:val="174710BA"/>
    <w:rsid w:val="17604597"/>
    <w:rsid w:val="17F34B63"/>
    <w:rsid w:val="181333F0"/>
    <w:rsid w:val="182D2D90"/>
    <w:rsid w:val="18401F66"/>
    <w:rsid w:val="187A40C2"/>
    <w:rsid w:val="18830F49"/>
    <w:rsid w:val="188B53A8"/>
    <w:rsid w:val="18B50FD8"/>
    <w:rsid w:val="19CF0D58"/>
    <w:rsid w:val="19DA1365"/>
    <w:rsid w:val="1A2C25A2"/>
    <w:rsid w:val="1A3A36BE"/>
    <w:rsid w:val="1A6E1B0B"/>
    <w:rsid w:val="1A803546"/>
    <w:rsid w:val="1B187039"/>
    <w:rsid w:val="1B1D61C5"/>
    <w:rsid w:val="1B295F9F"/>
    <w:rsid w:val="1B63518C"/>
    <w:rsid w:val="1B923D78"/>
    <w:rsid w:val="1B997F1D"/>
    <w:rsid w:val="1C193B93"/>
    <w:rsid w:val="1C400C83"/>
    <w:rsid w:val="1C796734"/>
    <w:rsid w:val="1CE1373B"/>
    <w:rsid w:val="1CFF2ABB"/>
    <w:rsid w:val="1D0A4A67"/>
    <w:rsid w:val="1D12680E"/>
    <w:rsid w:val="1D270BA4"/>
    <w:rsid w:val="1D506DF7"/>
    <w:rsid w:val="1D6046DD"/>
    <w:rsid w:val="1DF934E6"/>
    <w:rsid w:val="1E6132AA"/>
    <w:rsid w:val="1F2332A4"/>
    <w:rsid w:val="1F397219"/>
    <w:rsid w:val="1F4829E7"/>
    <w:rsid w:val="1FD8712F"/>
    <w:rsid w:val="1FF43B28"/>
    <w:rsid w:val="201A0395"/>
    <w:rsid w:val="20656268"/>
    <w:rsid w:val="20D76DBF"/>
    <w:rsid w:val="21961CCF"/>
    <w:rsid w:val="21C70C5A"/>
    <w:rsid w:val="21D90E22"/>
    <w:rsid w:val="21FC2C02"/>
    <w:rsid w:val="2245413D"/>
    <w:rsid w:val="226544A2"/>
    <w:rsid w:val="22731DC0"/>
    <w:rsid w:val="22C012FC"/>
    <w:rsid w:val="23AE15CF"/>
    <w:rsid w:val="24153844"/>
    <w:rsid w:val="24452780"/>
    <w:rsid w:val="2476735E"/>
    <w:rsid w:val="24BB5EC8"/>
    <w:rsid w:val="24EE1A24"/>
    <w:rsid w:val="25370F70"/>
    <w:rsid w:val="25AD24BA"/>
    <w:rsid w:val="260955B5"/>
    <w:rsid w:val="26B26CAF"/>
    <w:rsid w:val="26D05974"/>
    <w:rsid w:val="26E04F08"/>
    <w:rsid w:val="27BB4DBE"/>
    <w:rsid w:val="27E00021"/>
    <w:rsid w:val="28527B50"/>
    <w:rsid w:val="286E4962"/>
    <w:rsid w:val="286F3CA8"/>
    <w:rsid w:val="28750548"/>
    <w:rsid w:val="28AD3B3F"/>
    <w:rsid w:val="28B571EC"/>
    <w:rsid w:val="28BA35E1"/>
    <w:rsid w:val="28CE0E04"/>
    <w:rsid w:val="292F0EBE"/>
    <w:rsid w:val="294B60C7"/>
    <w:rsid w:val="29631B3B"/>
    <w:rsid w:val="29B23CF2"/>
    <w:rsid w:val="2A3C67A3"/>
    <w:rsid w:val="2A7F04BA"/>
    <w:rsid w:val="2A8E0150"/>
    <w:rsid w:val="2AD36FC6"/>
    <w:rsid w:val="2B0B7C1E"/>
    <w:rsid w:val="2B2646E3"/>
    <w:rsid w:val="2B287800"/>
    <w:rsid w:val="2B3D64A8"/>
    <w:rsid w:val="2B4760F0"/>
    <w:rsid w:val="2B67117E"/>
    <w:rsid w:val="2B8F5049"/>
    <w:rsid w:val="2BAE54D0"/>
    <w:rsid w:val="2BFD78FE"/>
    <w:rsid w:val="2C2C27D0"/>
    <w:rsid w:val="2C4D5AB6"/>
    <w:rsid w:val="2CB86E7B"/>
    <w:rsid w:val="2CC1525D"/>
    <w:rsid w:val="2CFD4C45"/>
    <w:rsid w:val="2D153425"/>
    <w:rsid w:val="2DB5222C"/>
    <w:rsid w:val="2DEA4E74"/>
    <w:rsid w:val="2E0F0208"/>
    <w:rsid w:val="2E155F8F"/>
    <w:rsid w:val="2E68132B"/>
    <w:rsid w:val="2E8A0D4B"/>
    <w:rsid w:val="2EAE11CA"/>
    <w:rsid w:val="2F025ABF"/>
    <w:rsid w:val="2F324314"/>
    <w:rsid w:val="2F4F008F"/>
    <w:rsid w:val="2FB00721"/>
    <w:rsid w:val="300B1D1C"/>
    <w:rsid w:val="30267ABC"/>
    <w:rsid w:val="30735F86"/>
    <w:rsid w:val="307F5F48"/>
    <w:rsid w:val="31980836"/>
    <w:rsid w:val="31EE6AA5"/>
    <w:rsid w:val="32686C53"/>
    <w:rsid w:val="32713E4D"/>
    <w:rsid w:val="32B44AEC"/>
    <w:rsid w:val="33057C0C"/>
    <w:rsid w:val="3319092F"/>
    <w:rsid w:val="33420677"/>
    <w:rsid w:val="33AF653A"/>
    <w:rsid w:val="34231F71"/>
    <w:rsid w:val="34385D3A"/>
    <w:rsid w:val="34C9440B"/>
    <w:rsid w:val="34E60A44"/>
    <w:rsid w:val="34F7603D"/>
    <w:rsid w:val="3514229D"/>
    <w:rsid w:val="352855F9"/>
    <w:rsid w:val="35582A1F"/>
    <w:rsid w:val="35724C62"/>
    <w:rsid w:val="35843EDA"/>
    <w:rsid w:val="35972735"/>
    <w:rsid w:val="35E67CB4"/>
    <w:rsid w:val="35EF58C2"/>
    <w:rsid w:val="36D839EB"/>
    <w:rsid w:val="36FD13A5"/>
    <w:rsid w:val="370D5872"/>
    <w:rsid w:val="372E2058"/>
    <w:rsid w:val="3762697B"/>
    <w:rsid w:val="37A70734"/>
    <w:rsid w:val="37FD65F4"/>
    <w:rsid w:val="38674A31"/>
    <w:rsid w:val="38BA4900"/>
    <w:rsid w:val="38E847DE"/>
    <w:rsid w:val="395313AE"/>
    <w:rsid w:val="395D4C49"/>
    <w:rsid w:val="39643681"/>
    <w:rsid w:val="399033E4"/>
    <w:rsid w:val="3CDB55A7"/>
    <w:rsid w:val="3CE82FBB"/>
    <w:rsid w:val="3D83088D"/>
    <w:rsid w:val="3DDD70C8"/>
    <w:rsid w:val="3E486B35"/>
    <w:rsid w:val="3E6F6022"/>
    <w:rsid w:val="3E965FE6"/>
    <w:rsid w:val="3EF56989"/>
    <w:rsid w:val="3FA95E49"/>
    <w:rsid w:val="3FAC52B4"/>
    <w:rsid w:val="3FCA3651"/>
    <w:rsid w:val="3FE25458"/>
    <w:rsid w:val="3FF53731"/>
    <w:rsid w:val="400820E4"/>
    <w:rsid w:val="405C1B2B"/>
    <w:rsid w:val="40CF5B8C"/>
    <w:rsid w:val="412313AB"/>
    <w:rsid w:val="413D03AD"/>
    <w:rsid w:val="418B3855"/>
    <w:rsid w:val="41A73CF2"/>
    <w:rsid w:val="41EA15A1"/>
    <w:rsid w:val="425C17DB"/>
    <w:rsid w:val="43457CD0"/>
    <w:rsid w:val="43597A08"/>
    <w:rsid w:val="43CF10BB"/>
    <w:rsid w:val="43D344C2"/>
    <w:rsid w:val="43EB1976"/>
    <w:rsid w:val="44251122"/>
    <w:rsid w:val="442F03C7"/>
    <w:rsid w:val="448A15AC"/>
    <w:rsid w:val="4499034E"/>
    <w:rsid w:val="44AF5BC5"/>
    <w:rsid w:val="44BA45A0"/>
    <w:rsid w:val="45633C56"/>
    <w:rsid w:val="4565137E"/>
    <w:rsid w:val="45673B80"/>
    <w:rsid w:val="457C4D73"/>
    <w:rsid w:val="45B12ADE"/>
    <w:rsid w:val="45B70603"/>
    <w:rsid w:val="45C546EB"/>
    <w:rsid w:val="45CB2529"/>
    <w:rsid w:val="463456AD"/>
    <w:rsid w:val="46494644"/>
    <w:rsid w:val="4676656D"/>
    <w:rsid w:val="4686149D"/>
    <w:rsid w:val="47057118"/>
    <w:rsid w:val="47114604"/>
    <w:rsid w:val="4746519E"/>
    <w:rsid w:val="47A81F57"/>
    <w:rsid w:val="47C63D61"/>
    <w:rsid w:val="480E5787"/>
    <w:rsid w:val="482D462B"/>
    <w:rsid w:val="483917D8"/>
    <w:rsid w:val="48583545"/>
    <w:rsid w:val="48EA5D7C"/>
    <w:rsid w:val="48F86DB3"/>
    <w:rsid w:val="490E0776"/>
    <w:rsid w:val="4959101C"/>
    <w:rsid w:val="495A3810"/>
    <w:rsid w:val="496D7A4E"/>
    <w:rsid w:val="4A6F292F"/>
    <w:rsid w:val="4AC971AB"/>
    <w:rsid w:val="4B176D40"/>
    <w:rsid w:val="4B21138C"/>
    <w:rsid w:val="4B3E39BE"/>
    <w:rsid w:val="4B512132"/>
    <w:rsid w:val="4B84142F"/>
    <w:rsid w:val="4B8514E2"/>
    <w:rsid w:val="4B8E6482"/>
    <w:rsid w:val="4B935F5E"/>
    <w:rsid w:val="4BA86C77"/>
    <w:rsid w:val="4BAD343B"/>
    <w:rsid w:val="4BD55E88"/>
    <w:rsid w:val="4C31669B"/>
    <w:rsid w:val="4CA131F5"/>
    <w:rsid w:val="4CBB0C0F"/>
    <w:rsid w:val="4CBB3F66"/>
    <w:rsid w:val="4CD67C25"/>
    <w:rsid w:val="4CE0356B"/>
    <w:rsid w:val="4CEA266D"/>
    <w:rsid w:val="4D203025"/>
    <w:rsid w:val="4D3A2816"/>
    <w:rsid w:val="4D49627C"/>
    <w:rsid w:val="4D575196"/>
    <w:rsid w:val="4D5B136F"/>
    <w:rsid w:val="4DB13B51"/>
    <w:rsid w:val="4E052FF3"/>
    <w:rsid w:val="4E581414"/>
    <w:rsid w:val="4E867C57"/>
    <w:rsid w:val="4EAC42BA"/>
    <w:rsid w:val="4EC61722"/>
    <w:rsid w:val="4EF25A56"/>
    <w:rsid w:val="4EFD2979"/>
    <w:rsid w:val="4F0339E9"/>
    <w:rsid w:val="4F5805B7"/>
    <w:rsid w:val="4FA56852"/>
    <w:rsid w:val="4FD447CA"/>
    <w:rsid w:val="4FE76125"/>
    <w:rsid w:val="500E069D"/>
    <w:rsid w:val="501F3C56"/>
    <w:rsid w:val="504B0D2A"/>
    <w:rsid w:val="507D7F69"/>
    <w:rsid w:val="50844A28"/>
    <w:rsid w:val="508732A4"/>
    <w:rsid w:val="50924E1C"/>
    <w:rsid w:val="50D37123"/>
    <w:rsid w:val="50FE65AF"/>
    <w:rsid w:val="5148664F"/>
    <w:rsid w:val="51517F82"/>
    <w:rsid w:val="51582AB0"/>
    <w:rsid w:val="51715B7D"/>
    <w:rsid w:val="51B35D06"/>
    <w:rsid w:val="52120754"/>
    <w:rsid w:val="521E5D3E"/>
    <w:rsid w:val="523772A8"/>
    <w:rsid w:val="52A16AF5"/>
    <w:rsid w:val="52EB691E"/>
    <w:rsid w:val="533C4101"/>
    <w:rsid w:val="53406D6E"/>
    <w:rsid w:val="5360758D"/>
    <w:rsid w:val="53810B7D"/>
    <w:rsid w:val="538D4CEF"/>
    <w:rsid w:val="540A3C2D"/>
    <w:rsid w:val="549827E2"/>
    <w:rsid w:val="54BE3E50"/>
    <w:rsid w:val="552C4074"/>
    <w:rsid w:val="55543506"/>
    <w:rsid w:val="55E73DD8"/>
    <w:rsid w:val="56745163"/>
    <w:rsid w:val="56D468E6"/>
    <w:rsid w:val="572802DD"/>
    <w:rsid w:val="57594DCD"/>
    <w:rsid w:val="575F7647"/>
    <w:rsid w:val="57A57069"/>
    <w:rsid w:val="58335AF0"/>
    <w:rsid w:val="5846248E"/>
    <w:rsid w:val="58AF4978"/>
    <w:rsid w:val="58C033CE"/>
    <w:rsid w:val="599300A4"/>
    <w:rsid w:val="59AD2397"/>
    <w:rsid w:val="59B97E0C"/>
    <w:rsid w:val="59F97904"/>
    <w:rsid w:val="5A0A5659"/>
    <w:rsid w:val="5A134E1A"/>
    <w:rsid w:val="5A2A6C76"/>
    <w:rsid w:val="5B3062C5"/>
    <w:rsid w:val="5B383293"/>
    <w:rsid w:val="5B440500"/>
    <w:rsid w:val="5B5B4D97"/>
    <w:rsid w:val="5BC67E37"/>
    <w:rsid w:val="5C030C23"/>
    <w:rsid w:val="5C52377A"/>
    <w:rsid w:val="5C6952DC"/>
    <w:rsid w:val="5C712215"/>
    <w:rsid w:val="5C7448D6"/>
    <w:rsid w:val="5CCD0D34"/>
    <w:rsid w:val="5D962792"/>
    <w:rsid w:val="5E630A1D"/>
    <w:rsid w:val="5ECF64BA"/>
    <w:rsid w:val="5EF46448"/>
    <w:rsid w:val="5F1F4156"/>
    <w:rsid w:val="5F2A67AD"/>
    <w:rsid w:val="5F7161D6"/>
    <w:rsid w:val="5F8616F3"/>
    <w:rsid w:val="5FD52B2C"/>
    <w:rsid w:val="5FEA4A16"/>
    <w:rsid w:val="5FF34205"/>
    <w:rsid w:val="60291D7E"/>
    <w:rsid w:val="603A3320"/>
    <w:rsid w:val="603A68D6"/>
    <w:rsid w:val="608C273A"/>
    <w:rsid w:val="60AE539B"/>
    <w:rsid w:val="60C335BA"/>
    <w:rsid w:val="61667C5A"/>
    <w:rsid w:val="61723B8F"/>
    <w:rsid w:val="61EE3191"/>
    <w:rsid w:val="621E5DAE"/>
    <w:rsid w:val="622861EC"/>
    <w:rsid w:val="6242262E"/>
    <w:rsid w:val="62524694"/>
    <w:rsid w:val="62B21AEC"/>
    <w:rsid w:val="62EA62F1"/>
    <w:rsid w:val="63325F0C"/>
    <w:rsid w:val="634214E5"/>
    <w:rsid w:val="634B5F3E"/>
    <w:rsid w:val="63565D6A"/>
    <w:rsid w:val="6378506D"/>
    <w:rsid w:val="640338E0"/>
    <w:rsid w:val="64044454"/>
    <w:rsid w:val="642433C4"/>
    <w:rsid w:val="644249F5"/>
    <w:rsid w:val="646F071B"/>
    <w:rsid w:val="64A46032"/>
    <w:rsid w:val="64F879AA"/>
    <w:rsid w:val="652F753D"/>
    <w:rsid w:val="65D57E79"/>
    <w:rsid w:val="65EE0A1B"/>
    <w:rsid w:val="665145F9"/>
    <w:rsid w:val="66694B58"/>
    <w:rsid w:val="66763EF6"/>
    <w:rsid w:val="667F3A40"/>
    <w:rsid w:val="668B50DD"/>
    <w:rsid w:val="668C4063"/>
    <w:rsid w:val="66C07DED"/>
    <w:rsid w:val="66F3192B"/>
    <w:rsid w:val="67BF47BB"/>
    <w:rsid w:val="67C859BD"/>
    <w:rsid w:val="67DA6F1C"/>
    <w:rsid w:val="6866484B"/>
    <w:rsid w:val="687B707C"/>
    <w:rsid w:val="68D839EB"/>
    <w:rsid w:val="68F84692"/>
    <w:rsid w:val="696D2D10"/>
    <w:rsid w:val="697911DE"/>
    <w:rsid w:val="69D542DE"/>
    <w:rsid w:val="69EC1515"/>
    <w:rsid w:val="6A0C3B38"/>
    <w:rsid w:val="6A23352E"/>
    <w:rsid w:val="6A744960"/>
    <w:rsid w:val="6AB47C8D"/>
    <w:rsid w:val="6AB60508"/>
    <w:rsid w:val="6B3A5606"/>
    <w:rsid w:val="6B3D4289"/>
    <w:rsid w:val="6B442B79"/>
    <w:rsid w:val="6BD805F0"/>
    <w:rsid w:val="6BFF0A16"/>
    <w:rsid w:val="6C3A7B26"/>
    <w:rsid w:val="6C4344DE"/>
    <w:rsid w:val="6C510782"/>
    <w:rsid w:val="6CAB0A3F"/>
    <w:rsid w:val="6CB56DF3"/>
    <w:rsid w:val="6CC61C13"/>
    <w:rsid w:val="6CC75E5E"/>
    <w:rsid w:val="6D176B70"/>
    <w:rsid w:val="6DB73D87"/>
    <w:rsid w:val="6DC7653D"/>
    <w:rsid w:val="6DD8272B"/>
    <w:rsid w:val="6DE01A51"/>
    <w:rsid w:val="6E074004"/>
    <w:rsid w:val="6E1663AA"/>
    <w:rsid w:val="6E274297"/>
    <w:rsid w:val="6E460411"/>
    <w:rsid w:val="6E555BD4"/>
    <w:rsid w:val="6EA6109E"/>
    <w:rsid w:val="6EFA1DB6"/>
    <w:rsid w:val="6F103B49"/>
    <w:rsid w:val="6F4604CF"/>
    <w:rsid w:val="6F8C2264"/>
    <w:rsid w:val="6FAD27B0"/>
    <w:rsid w:val="6FC578B1"/>
    <w:rsid w:val="6FD1164D"/>
    <w:rsid w:val="6FED7A2D"/>
    <w:rsid w:val="700159C0"/>
    <w:rsid w:val="70025E0A"/>
    <w:rsid w:val="716909C9"/>
    <w:rsid w:val="718E5DDD"/>
    <w:rsid w:val="71D030CF"/>
    <w:rsid w:val="71E1607F"/>
    <w:rsid w:val="729D0A6D"/>
    <w:rsid w:val="72ED71AA"/>
    <w:rsid w:val="738F1F88"/>
    <w:rsid w:val="73E65C40"/>
    <w:rsid w:val="74250B23"/>
    <w:rsid w:val="74566356"/>
    <w:rsid w:val="74680933"/>
    <w:rsid w:val="74A661CE"/>
    <w:rsid w:val="759006C1"/>
    <w:rsid w:val="75D22AB2"/>
    <w:rsid w:val="76307C12"/>
    <w:rsid w:val="76481DD7"/>
    <w:rsid w:val="769F7B3A"/>
    <w:rsid w:val="76CB632A"/>
    <w:rsid w:val="771C5405"/>
    <w:rsid w:val="773658B5"/>
    <w:rsid w:val="77B40252"/>
    <w:rsid w:val="77DB461E"/>
    <w:rsid w:val="785315EB"/>
    <w:rsid w:val="785D2536"/>
    <w:rsid w:val="78B20803"/>
    <w:rsid w:val="793B5309"/>
    <w:rsid w:val="79804242"/>
    <w:rsid w:val="79964FD8"/>
    <w:rsid w:val="79A66571"/>
    <w:rsid w:val="79C81A99"/>
    <w:rsid w:val="79FA523C"/>
    <w:rsid w:val="7A005074"/>
    <w:rsid w:val="7A71796A"/>
    <w:rsid w:val="7AA4445D"/>
    <w:rsid w:val="7B295638"/>
    <w:rsid w:val="7B467F15"/>
    <w:rsid w:val="7B691D31"/>
    <w:rsid w:val="7BD5612D"/>
    <w:rsid w:val="7C3C54A2"/>
    <w:rsid w:val="7C9C3DC1"/>
    <w:rsid w:val="7CBF2D2E"/>
    <w:rsid w:val="7CC6252B"/>
    <w:rsid w:val="7CFA4262"/>
    <w:rsid w:val="7D351F2C"/>
    <w:rsid w:val="7D79150D"/>
    <w:rsid w:val="7D8A0E2F"/>
    <w:rsid w:val="7DD45885"/>
    <w:rsid w:val="7DE70BA0"/>
    <w:rsid w:val="7DEE756A"/>
    <w:rsid w:val="7E3257B0"/>
    <w:rsid w:val="7E4457C7"/>
    <w:rsid w:val="7E516435"/>
    <w:rsid w:val="7ED22D81"/>
    <w:rsid w:val="7F003DB1"/>
    <w:rsid w:val="7FBE59C7"/>
    <w:rsid w:val="7FDA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70"/>
    <w:qFormat/>
    <w:uiPriority w:val="0"/>
    <w:pPr>
      <w:keepNext/>
      <w:keepLines/>
      <w:spacing w:before="260" w:after="260" w:line="416" w:lineRule="auto"/>
      <w:outlineLvl w:val="2"/>
    </w:pPr>
    <w:rPr>
      <w:b/>
      <w:bCs/>
      <w:sz w:val="32"/>
      <w:szCs w:val="32"/>
    </w:rPr>
  </w:style>
  <w:style w:type="paragraph" w:styleId="2">
    <w:name w:val="heading 4"/>
    <w:basedOn w:val="1"/>
    <w:next w:val="1"/>
    <w:link w:val="7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5"/>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link w:val="78"/>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5"/>
    <w:next w:val="15"/>
    <w:semiHidden/>
    <w:qFormat/>
    <w:uiPriority w:val="0"/>
    <w:rPr>
      <w:b/>
      <w:bCs/>
    </w:rPr>
  </w:style>
  <w:style w:type="paragraph" w:styleId="42">
    <w:name w:val="Body Text First Indent"/>
    <w:basedOn w:val="1"/>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qFormat/>
    <w:uiPriority w:val="0"/>
    <w:pPr>
      <w:spacing w:line="360" w:lineRule="auto"/>
      <w:ind w:firstLine="420" w:firstLineChars="200"/>
    </w:pPr>
    <w:rPr>
      <w:rFonts w:ascii="宋体" w:hAnsi="宋体" w:eastAsia="宋体"/>
      <w:sz w:val="21"/>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rFonts w:ascii="仿宋_GB2312" w:eastAsia="仿宋_GB2312" w:cs="仿宋_GB2312"/>
      <w:color w:val="7A4EA7"/>
      <w:u w:val="none"/>
    </w:rPr>
  </w:style>
  <w:style w:type="character" w:styleId="50">
    <w:name w:val="Emphasis"/>
    <w:basedOn w:val="46"/>
    <w:qFormat/>
    <w:uiPriority w:val="0"/>
  </w:style>
  <w:style w:type="character" w:styleId="51">
    <w:name w:val="HTML Definition"/>
    <w:basedOn w:val="46"/>
    <w:qFormat/>
    <w:uiPriority w:val="0"/>
  </w:style>
  <w:style w:type="character" w:styleId="52">
    <w:name w:val="HTML Typewriter"/>
    <w:basedOn w:val="46"/>
    <w:qFormat/>
    <w:uiPriority w:val="0"/>
    <w:rPr>
      <w:rFonts w:hint="default" w:ascii="monospace" w:hAnsi="monospace" w:eastAsia="monospace" w:cs="monospace"/>
      <w:sz w:val="20"/>
    </w:rPr>
  </w:style>
  <w:style w:type="character" w:styleId="53">
    <w:name w:val="HTML Acronym"/>
    <w:basedOn w:val="46"/>
    <w:qFormat/>
    <w:uiPriority w:val="0"/>
  </w:style>
  <w:style w:type="character" w:styleId="54">
    <w:name w:val="HTML Variable"/>
    <w:basedOn w:val="46"/>
    <w:qFormat/>
    <w:uiPriority w:val="0"/>
  </w:style>
  <w:style w:type="character" w:styleId="55">
    <w:name w:val="Hyperlink"/>
    <w:qFormat/>
    <w:uiPriority w:val="0"/>
    <w:rPr>
      <w:rFonts w:hint="eastAsia" w:ascii="仿宋_GB2312" w:eastAsia="仿宋_GB2312" w:cs="仿宋_GB2312"/>
      <w:color w:val="7A4EA7"/>
      <w:u w:val="none"/>
    </w:rPr>
  </w:style>
  <w:style w:type="character" w:styleId="56">
    <w:name w:val="HTML Code"/>
    <w:basedOn w:val="46"/>
    <w:qFormat/>
    <w:uiPriority w:val="0"/>
    <w:rPr>
      <w:rFonts w:hint="default" w:ascii="monospace" w:hAnsi="monospace" w:eastAsia="monospace" w:cs="monospace"/>
      <w:sz w:val="20"/>
    </w:rPr>
  </w:style>
  <w:style w:type="character" w:styleId="57">
    <w:name w:val="annotation reference"/>
    <w:semiHidden/>
    <w:qFormat/>
    <w:uiPriority w:val="0"/>
    <w:rPr>
      <w:sz w:val="21"/>
      <w:szCs w:val="21"/>
    </w:rPr>
  </w:style>
  <w:style w:type="character" w:styleId="58">
    <w:name w:val="HTML Cite"/>
    <w:basedOn w:val="46"/>
    <w:qFormat/>
    <w:uiPriority w:val="0"/>
  </w:style>
  <w:style w:type="character" w:styleId="59">
    <w:name w:val="HTML Keyboard"/>
    <w:basedOn w:val="46"/>
    <w:qFormat/>
    <w:uiPriority w:val="0"/>
    <w:rPr>
      <w:rFonts w:hint="default" w:ascii="monospace" w:hAnsi="monospace" w:eastAsia="monospace" w:cs="monospace"/>
      <w:sz w:val="20"/>
    </w:rPr>
  </w:style>
  <w:style w:type="character" w:styleId="60">
    <w:name w:val="HTML Sample"/>
    <w:basedOn w:val="46"/>
    <w:qFormat/>
    <w:uiPriority w:val="0"/>
    <w:rPr>
      <w:rFonts w:ascii="monospace" w:hAnsi="monospace" w:eastAsia="monospace" w:cs="monospace"/>
    </w:rPr>
  </w:style>
  <w:style w:type="character" w:customStyle="1" w:styleId="61">
    <w:name w:val="二级目录 Char"/>
    <w:link w:val="62"/>
    <w:qFormat/>
    <w:uiPriority w:val="0"/>
    <w:rPr>
      <w:rFonts w:ascii="Times New Roman" w:hAnsi="Times New Roman"/>
      <w:b/>
      <w:kern w:val="2"/>
      <w:sz w:val="30"/>
      <w:szCs w:val="28"/>
    </w:rPr>
  </w:style>
  <w:style w:type="paragraph" w:customStyle="1" w:styleId="62">
    <w:name w:val="二级目录"/>
    <w:next w:val="1"/>
    <w:link w:val="61"/>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63">
    <w:name w:val="font61"/>
    <w:qFormat/>
    <w:uiPriority w:val="0"/>
    <w:rPr>
      <w:rFonts w:hint="eastAsia" w:ascii="宋体" w:hAnsi="宋体" w:eastAsia="宋体" w:cs="宋体"/>
      <w:color w:val="000000"/>
      <w:sz w:val="18"/>
      <w:szCs w:val="18"/>
      <w:u w:val="none"/>
    </w:rPr>
  </w:style>
  <w:style w:type="character" w:customStyle="1" w:styleId="64">
    <w:name w:val="font81"/>
    <w:qFormat/>
    <w:uiPriority w:val="0"/>
    <w:rPr>
      <w:rFonts w:hint="eastAsia" w:ascii="宋体" w:hAnsi="宋体" w:eastAsia="宋体" w:cs="宋体"/>
      <w:b/>
      <w:color w:val="000000"/>
      <w:sz w:val="24"/>
      <w:szCs w:val="24"/>
      <w:u w:val="single"/>
    </w:rPr>
  </w:style>
  <w:style w:type="character" w:customStyle="1" w:styleId="65">
    <w:name w:val="正文缩进 Char"/>
    <w:link w:val="5"/>
    <w:qFormat/>
    <w:uiPriority w:val="0"/>
    <w:rPr>
      <w:kern w:val="2"/>
      <w:sz w:val="21"/>
      <w:szCs w:val="21"/>
    </w:rPr>
  </w:style>
  <w:style w:type="character" w:customStyle="1" w:styleId="66">
    <w:name w:val="HTML 预设格式 Char"/>
    <w:link w:val="38"/>
    <w:qFormat/>
    <w:uiPriority w:val="0"/>
    <w:rPr>
      <w:rFonts w:ascii="黑体" w:hAnsi="Courier New" w:eastAsia="黑体"/>
    </w:rPr>
  </w:style>
  <w:style w:type="character" w:customStyle="1" w:styleId="67">
    <w:name w:val="font5 Char"/>
    <w:qFormat/>
    <w:uiPriority w:val="0"/>
    <w:rPr>
      <w:rFonts w:ascii="宋体" w:hAnsi="宋体" w:eastAsia="宋体"/>
      <w:sz w:val="28"/>
      <w:szCs w:val="28"/>
      <w:lang w:val="en-US" w:eastAsia="zh-CN" w:bidi="ar-SA"/>
    </w:rPr>
  </w:style>
  <w:style w:type="character" w:customStyle="1" w:styleId="68">
    <w:name w:val="font21"/>
    <w:qFormat/>
    <w:uiPriority w:val="0"/>
    <w:rPr>
      <w:rFonts w:hint="eastAsia" w:ascii="宋体" w:hAnsi="宋体" w:eastAsia="宋体" w:cs="宋体"/>
      <w:b/>
      <w:color w:val="000000"/>
      <w:sz w:val="24"/>
      <w:szCs w:val="24"/>
      <w:u w:val="none"/>
    </w:rPr>
  </w:style>
  <w:style w:type="character" w:customStyle="1" w:styleId="69">
    <w:name w:val="font41"/>
    <w:qFormat/>
    <w:uiPriority w:val="0"/>
    <w:rPr>
      <w:rFonts w:hint="eastAsia" w:ascii="宋体" w:hAnsi="宋体" w:eastAsia="宋体" w:cs="宋体"/>
      <w:color w:val="000000"/>
      <w:sz w:val="18"/>
      <w:szCs w:val="18"/>
      <w:u w:val="none"/>
    </w:rPr>
  </w:style>
  <w:style w:type="character" w:customStyle="1" w:styleId="70">
    <w:name w:val="标题 3 Char"/>
    <w:link w:val="6"/>
    <w:qFormat/>
    <w:uiPriority w:val="0"/>
    <w:rPr>
      <w:rFonts w:eastAsia="宋体"/>
      <w:b/>
      <w:bCs/>
      <w:kern w:val="2"/>
      <w:sz w:val="32"/>
      <w:szCs w:val="32"/>
      <w:lang w:val="en-US" w:eastAsia="zh-CN" w:bidi="ar-SA"/>
    </w:rPr>
  </w:style>
  <w:style w:type="character" w:customStyle="1" w:styleId="71">
    <w:name w:val="apple-converted-space"/>
    <w:qFormat/>
    <w:uiPriority w:val="0"/>
  </w:style>
  <w:style w:type="character" w:customStyle="1" w:styleId="72">
    <w:name w:val="font51"/>
    <w:qFormat/>
    <w:uiPriority w:val="0"/>
    <w:rPr>
      <w:rFonts w:hint="default" w:ascii="Times New Roman" w:hAnsi="Times New Roman" w:cs="Times New Roman"/>
      <w:color w:val="000000"/>
      <w:sz w:val="18"/>
      <w:szCs w:val="18"/>
      <w:u w:val="none"/>
    </w:rPr>
  </w:style>
  <w:style w:type="character" w:customStyle="1" w:styleId="73">
    <w:name w:val="font01"/>
    <w:qFormat/>
    <w:uiPriority w:val="0"/>
    <w:rPr>
      <w:rFonts w:hint="eastAsia" w:ascii="宋体" w:hAnsi="宋体" w:eastAsia="宋体" w:cs="宋体"/>
      <w:color w:val="000000"/>
      <w:sz w:val="20"/>
      <w:szCs w:val="20"/>
      <w:u w:val="none"/>
    </w:rPr>
  </w:style>
  <w:style w:type="character" w:customStyle="1" w:styleId="74">
    <w:name w:val="qowt-font2"/>
    <w:qFormat/>
    <w:uiPriority w:val="0"/>
  </w:style>
  <w:style w:type="character" w:customStyle="1" w:styleId="75">
    <w:name w:val="标题 4 Char"/>
    <w:link w:val="2"/>
    <w:qFormat/>
    <w:uiPriority w:val="0"/>
    <w:rPr>
      <w:rFonts w:ascii="Arial" w:hAnsi="Arial" w:eastAsia="黑体" w:cs="Arial"/>
      <w:b/>
      <w:bCs/>
      <w:kern w:val="2"/>
      <w:sz w:val="28"/>
      <w:szCs w:val="28"/>
    </w:rPr>
  </w:style>
  <w:style w:type="character" w:customStyle="1" w:styleId="76">
    <w:name w:val="HTML 预设格式 Char1"/>
    <w:qFormat/>
    <w:uiPriority w:val="0"/>
    <w:rPr>
      <w:rFonts w:ascii="Courier New" w:hAnsi="Courier New" w:cs="Courier New"/>
      <w:kern w:val="2"/>
    </w:rPr>
  </w:style>
  <w:style w:type="character" w:customStyle="1" w:styleId="77">
    <w:name w:val="font11"/>
    <w:qFormat/>
    <w:uiPriority w:val="0"/>
    <w:rPr>
      <w:rFonts w:hint="default" w:ascii="Times New Roman" w:hAnsi="Times New Roman" w:cs="Times New Roman"/>
      <w:color w:val="000000"/>
      <w:sz w:val="18"/>
      <w:szCs w:val="18"/>
      <w:u w:val="none"/>
    </w:rPr>
  </w:style>
  <w:style w:type="character" w:customStyle="1" w:styleId="78">
    <w:name w:val="纯文本 Char"/>
    <w:link w:val="22"/>
    <w:qFormat/>
    <w:uiPriority w:val="0"/>
    <w:rPr>
      <w:rFonts w:ascii="宋体" w:hAnsi="Courier New" w:cs="Courier New"/>
      <w:kern w:val="2"/>
      <w:sz w:val="21"/>
      <w:szCs w:val="21"/>
    </w:rPr>
  </w:style>
  <w:style w:type="character" w:customStyle="1" w:styleId="79">
    <w:name w:val="列出段落 Char"/>
    <w:link w:val="80"/>
    <w:qFormat/>
    <w:locked/>
    <w:uiPriority w:val="0"/>
    <w:rPr>
      <w:rFonts w:ascii="Calibri" w:hAnsi="Calibri"/>
      <w:sz w:val="24"/>
      <w:szCs w:val="24"/>
      <w:lang w:eastAsia="en-US" w:bidi="en-US"/>
    </w:rPr>
  </w:style>
  <w:style w:type="paragraph" w:customStyle="1" w:styleId="80">
    <w:name w:val="列出段落1"/>
    <w:basedOn w:val="1"/>
    <w:link w:val="79"/>
    <w:qFormat/>
    <w:uiPriority w:val="0"/>
    <w:pPr>
      <w:widowControl/>
      <w:ind w:left="720"/>
      <w:contextualSpacing/>
      <w:jc w:val="left"/>
    </w:pPr>
    <w:rPr>
      <w:kern w:val="0"/>
      <w:sz w:val="24"/>
      <w:szCs w:val="24"/>
      <w:lang w:eastAsia="en-US" w:bidi="en-US"/>
    </w:rPr>
  </w:style>
  <w:style w:type="character" w:customStyle="1" w:styleId="81">
    <w:name w:val="页眉 Char"/>
    <w:link w:val="28"/>
    <w:qFormat/>
    <w:uiPriority w:val="99"/>
    <w:rPr>
      <w:kern w:val="2"/>
      <w:sz w:val="18"/>
      <w:szCs w:val="18"/>
    </w:rPr>
  </w:style>
  <w:style w:type="paragraph" w:customStyle="1" w:styleId="82">
    <w:name w:val="Char"/>
    <w:basedOn w:val="1"/>
    <w:qFormat/>
    <w:uiPriority w:val="0"/>
    <w:pPr>
      <w:tabs>
        <w:tab w:val="left" w:pos="360"/>
      </w:tabs>
      <w:ind w:firstLine="200" w:firstLineChars="200"/>
    </w:pPr>
    <w:rPr>
      <w:sz w:val="28"/>
      <w:szCs w:val="30"/>
    </w:rPr>
  </w:style>
  <w:style w:type="paragraph" w:customStyle="1" w:styleId="83">
    <w:name w:val="table_1stline"/>
    <w:basedOn w:val="1"/>
    <w:qFormat/>
    <w:uiPriority w:val="0"/>
    <w:pPr>
      <w:widowControl/>
      <w:spacing w:before="120"/>
      <w:jc w:val="left"/>
    </w:pPr>
    <w:rPr>
      <w:bCs/>
      <w:kern w:val="0"/>
      <w:sz w:val="20"/>
      <w:szCs w:val="20"/>
      <w:lang w:val="de-DE" w:eastAsia="de-DE"/>
    </w:rPr>
  </w:style>
  <w:style w:type="paragraph" w:styleId="84">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8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_Style 2"/>
    <w:basedOn w:val="1"/>
    <w:qFormat/>
    <w:uiPriority w:val="0"/>
    <w:pPr>
      <w:ind w:firstLine="420" w:firstLineChars="200"/>
    </w:pPr>
    <w:rPr>
      <w:kern w:val="0"/>
      <w:sz w:val="24"/>
      <w:szCs w:val="20"/>
    </w:rPr>
  </w:style>
  <w:style w:type="paragraph" w:customStyle="1" w:styleId="8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Char1"/>
    <w:basedOn w:val="14"/>
    <w:qFormat/>
    <w:uiPriority w:val="0"/>
    <w:rPr>
      <w:rFonts w:ascii="Tahoma" w:hAnsi="Tahoma"/>
      <w:sz w:val="24"/>
      <w:szCs w:val="24"/>
    </w:rPr>
  </w:style>
  <w:style w:type="paragraph" w:customStyle="1" w:styleId="90">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样式1"/>
    <w:basedOn w:val="1"/>
    <w:qFormat/>
    <w:uiPriority w:val="0"/>
    <w:pPr>
      <w:numPr>
        <w:ilvl w:val="0"/>
        <w:numId w:val="2"/>
      </w:numPr>
      <w:adjustRightInd w:val="0"/>
      <w:textAlignment w:val="baseline"/>
    </w:pPr>
    <w:rPr>
      <w:rFonts w:ascii="宋体" w:hAnsi="宋体"/>
      <w:kern w:val="0"/>
    </w:rPr>
  </w:style>
  <w:style w:type="paragraph" w:customStyle="1" w:styleId="9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9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6">
    <w:name w:val="附录1"/>
    <w:qFormat/>
    <w:uiPriority w:val="0"/>
    <w:pPr>
      <w:numPr>
        <w:ilvl w:val="0"/>
        <w:numId w:val="3"/>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7">
    <w:name w:val="Char Char Char Char"/>
    <w:basedOn w:val="14"/>
    <w:qFormat/>
    <w:uiPriority w:val="0"/>
    <w:pPr>
      <w:adjustRightInd w:val="0"/>
      <w:snapToGrid w:val="0"/>
      <w:spacing w:line="360" w:lineRule="auto"/>
    </w:pPr>
    <w:rPr>
      <w:rFonts w:ascii="Tahoma" w:hAnsi="Tahoma"/>
      <w:sz w:val="24"/>
      <w:szCs w:val="24"/>
    </w:rPr>
  </w:style>
  <w:style w:type="paragraph" w:customStyle="1" w:styleId="9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9">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3">
    <w:name w:val="4"/>
    <w:basedOn w:val="1"/>
    <w:next w:val="33"/>
    <w:qFormat/>
    <w:uiPriority w:val="0"/>
    <w:pPr>
      <w:spacing w:line="360" w:lineRule="auto"/>
      <w:ind w:firstLine="420"/>
    </w:pPr>
    <w:rPr>
      <w:color w:val="FF0000"/>
      <w:sz w:val="24"/>
      <w:szCs w:val="24"/>
    </w:rPr>
  </w:style>
  <w:style w:type="paragraph" w:customStyle="1" w:styleId="10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Body Text(ch)"/>
    <w:basedOn w:val="1"/>
    <w:next w:val="17"/>
    <w:qFormat/>
    <w:uiPriority w:val="0"/>
    <w:pPr>
      <w:spacing w:after="120"/>
    </w:pPr>
    <w:rPr>
      <w:rFonts w:ascii="宋体" w:hAnsi="Arial"/>
      <w:bCs/>
      <w:iCs/>
      <w:szCs w:val="24"/>
    </w:rPr>
  </w:style>
  <w:style w:type="paragraph" w:customStyle="1" w:styleId="106">
    <w:name w:val="Char Char Char Char Char Char Char Char Char Char"/>
    <w:basedOn w:val="1"/>
    <w:qFormat/>
    <w:uiPriority w:val="0"/>
    <w:pPr>
      <w:adjustRightInd w:val="0"/>
      <w:spacing w:line="360" w:lineRule="auto"/>
    </w:pPr>
    <w:rPr>
      <w:kern w:val="0"/>
      <w:sz w:val="24"/>
      <w:szCs w:val="20"/>
    </w:rPr>
  </w:style>
  <w:style w:type="paragraph" w:styleId="10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9">
    <w:name w:val="Char Char Char Char1"/>
    <w:basedOn w:val="14"/>
    <w:qFormat/>
    <w:uiPriority w:val="0"/>
    <w:pPr>
      <w:adjustRightInd w:val="0"/>
      <w:snapToGrid w:val="0"/>
      <w:spacing w:line="360" w:lineRule="auto"/>
    </w:pPr>
    <w:rPr>
      <w:rFonts w:ascii="Tahoma" w:hAnsi="Tahoma"/>
      <w:sz w:val="24"/>
      <w:szCs w:val="24"/>
    </w:rPr>
  </w:style>
  <w:style w:type="paragraph" w:customStyle="1" w:styleId="110">
    <w:name w:val="table_lines"/>
    <w:basedOn w:val="1"/>
    <w:qFormat/>
    <w:uiPriority w:val="0"/>
    <w:pPr>
      <w:widowControl/>
      <w:jc w:val="left"/>
    </w:pPr>
    <w:rPr>
      <w:kern w:val="0"/>
      <w:sz w:val="20"/>
      <w:szCs w:val="20"/>
      <w:lang w:val="de-DE" w:eastAsia="de-DE"/>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character" w:customStyle="1" w:styleId="115">
    <w:name w:val="hover"/>
    <w:basedOn w:val="46"/>
    <w:qFormat/>
    <w:uiPriority w:val="0"/>
    <w:rPr>
      <w:shd w:val="clear" w:color="auto" w:fill="EEEEEE"/>
    </w:rPr>
  </w:style>
  <w:style w:type="character" w:customStyle="1" w:styleId="116">
    <w:name w:val="old"/>
    <w:basedOn w:val="46"/>
    <w:qFormat/>
    <w:uiPriority w:val="0"/>
    <w:rPr>
      <w:color w:val="999999"/>
    </w:rPr>
  </w:style>
  <w:style w:type="character" w:customStyle="1" w:styleId="117">
    <w:name w:val="glyphicon"/>
    <w:basedOn w:val="46"/>
    <w:qFormat/>
    <w:uiPriority w:val="0"/>
  </w:style>
  <w:style w:type="character" w:customStyle="1" w:styleId="118">
    <w:name w:val="hour_am"/>
    <w:basedOn w:val="46"/>
    <w:qFormat/>
    <w:uiPriority w:val="0"/>
  </w:style>
  <w:style w:type="character" w:customStyle="1" w:styleId="119">
    <w:name w:val="hour_pm"/>
    <w:basedOn w:val="46"/>
    <w:qFormat/>
    <w:uiPriority w:val="0"/>
  </w:style>
  <w:style w:type="character" w:customStyle="1" w:styleId="120">
    <w:name w:val="hover1"/>
    <w:basedOn w:val="46"/>
    <w:qFormat/>
    <w:uiPriority w:val="0"/>
    <w:rPr>
      <w:shd w:val="clear" w:color="auto" w:fill="EEEEE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42</Pages>
  <Words>3584</Words>
  <Characters>20431</Characters>
  <Lines>170</Lines>
  <Paragraphs>47</Paragraphs>
  <TotalTime>11</TotalTime>
  <ScaleCrop>false</ScaleCrop>
  <LinksUpToDate>false</LinksUpToDate>
  <CharactersWithSpaces>23968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2019-12-20T08:34:00Z</dcterms:created>
  <dc:creator>政府采购中心</dc:creator>
  <cp:lastModifiedBy>典当灵魂</cp:lastModifiedBy>
  <cp:lastPrinted>2019-09-26T06:38:00Z</cp:lastPrinted>
  <dcterms:modified xsi:type="dcterms:W3CDTF">2020-06-10T03:24:17Z</dcterms:modified>
  <dc:title>江苏卫生信息系统业务软件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