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44"/>
          <w:color w:val="auto"/>
          <w:sz w:val="36"/>
          <w:szCs w:val="21"/>
        </w:rPr>
      </w:pPr>
    </w:p>
    <w:p>
      <w:pPr>
        <w:rPr>
          <w:rStyle w:val="44"/>
          <w:rFonts w:ascii="宋体" w:hAnsi="宋体"/>
          <w:color w:val="auto"/>
          <w:sz w:val="36"/>
        </w:rPr>
      </w:pPr>
    </w:p>
    <w:p>
      <w:pPr>
        <w:jc w:val="center"/>
        <w:rPr>
          <w:rStyle w:val="44"/>
          <w:rFonts w:ascii="宋体" w:hAnsi="宋体"/>
          <w:b/>
          <w:color w:val="auto"/>
          <w:sz w:val="84"/>
        </w:rPr>
      </w:pPr>
      <w:r>
        <w:rPr>
          <w:rStyle w:val="44"/>
          <w:rFonts w:hint="eastAsia" w:ascii="宋体" w:hAnsi="宋体"/>
          <w:b/>
          <w:color w:val="auto"/>
          <w:sz w:val="84"/>
        </w:rPr>
        <w:t>招标文件</w:t>
      </w:r>
    </w:p>
    <w:p>
      <w:pPr>
        <w:rPr>
          <w:rStyle w:val="44"/>
          <w:rFonts w:ascii="宋体" w:hAnsi="宋体"/>
          <w:b/>
          <w:color w:val="auto"/>
          <w:sz w:val="32"/>
        </w:rPr>
      </w:pPr>
    </w:p>
    <w:p>
      <w:pPr>
        <w:jc w:val="center"/>
        <w:rPr>
          <w:rStyle w:val="44"/>
          <w:rFonts w:ascii="宋体" w:hAnsi="宋体"/>
          <w:b/>
          <w:color w:val="auto"/>
          <w:sz w:val="32"/>
        </w:rPr>
      </w:pPr>
    </w:p>
    <w:p>
      <w:pPr>
        <w:pStyle w:val="24"/>
        <w:rPr>
          <w:color w:val="auto"/>
        </w:rPr>
      </w:pPr>
    </w:p>
    <w:p>
      <w:pPr>
        <w:jc w:val="center"/>
        <w:rPr>
          <w:rStyle w:val="44"/>
          <w:rFonts w:ascii="宋体" w:hAnsi="宋体"/>
          <w:b/>
          <w:color w:val="auto"/>
          <w:sz w:val="32"/>
        </w:rPr>
      </w:pPr>
    </w:p>
    <w:p>
      <w:pPr>
        <w:jc w:val="center"/>
        <w:rPr>
          <w:rStyle w:val="44"/>
          <w:rFonts w:ascii="宋体" w:hAnsi="宋体"/>
          <w:b/>
          <w:color w:val="auto"/>
          <w:sz w:val="32"/>
        </w:rPr>
      </w:pPr>
    </w:p>
    <w:p>
      <w:pPr>
        <w:ind w:firstLine="723" w:firstLineChars="200"/>
        <w:rPr>
          <w:rStyle w:val="44"/>
          <w:rFonts w:ascii="宋体" w:hAnsi="宋体"/>
          <w:b/>
          <w:color w:val="auto"/>
          <w:sz w:val="36"/>
        </w:rPr>
      </w:pPr>
      <w:r>
        <w:rPr>
          <w:rStyle w:val="44"/>
          <w:rFonts w:hint="eastAsia" w:ascii="宋体" w:hAnsi="宋体"/>
          <w:b/>
          <w:color w:val="auto"/>
          <w:sz w:val="36"/>
        </w:rPr>
        <w:t>项目编号：2023-0</w:t>
      </w:r>
      <w:r>
        <w:rPr>
          <w:rStyle w:val="44"/>
          <w:rFonts w:hint="eastAsia" w:ascii="宋体" w:hAnsi="宋体"/>
          <w:b/>
          <w:color w:val="auto"/>
          <w:sz w:val="36"/>
          <w:lang w:val="en-US" w:eastAsia="zh-CN"/>
        </w:rPr>
        <w:t>11</w:t>
      </w:r>
      <w:r>
        <w:rPr>
          <w:rStyle w:val="44"/>
          <w:rFonts w:hint="eastAsia" w:ascii="宋体" w:hAnsi="宋体"/>
          <w:b/>
          <w:color w:val="auto"/>
          <w:sz w:val="36"/>
        </w:rPr>
        <w:t>W</w:t>
      </w:r>
    </w:p>
    <w:p>
      <w:pPr>
        <w:jc w:val="center"/>
        <w:rPr>
          <w:rStyle w:val="44"/>
          <w:rFonts w:ascii="宋体" w:hAnsi="宋体"/>
          <w:b/>
          <w:color w:val="auto"/>
          <w:sz w:val="32"/>
        </w:rPr>
      </w:pPr>
    </w:p>
    <w:p>
      <w:pPr>
        <w:jc w:val="center"/>
        <w:rPr>
          <w:rStyle w:val="44"/>
          <w:rFonts w:ascii="宋体" w:hAnsi="宋体"/>
          <w:b/>
          <w:color w:val="auto"/>
          <w:sz w:val="32"/>
        </w:rPr>
      </w:pPr>
    </w:p>
    <w:p>
      <w:pPr>
        <w:spacing w:line="360" w:lineRule="auto"/>
        <w:jc w:val="center"/>
        <w:rPr>
          <w:rStyle w:val="44"/>
          <w:rFonts w:ascii="宋体" w:hAnsi="宋体"/>
          <w:b/>
          <w:color w:val="auto"/>
          <w:sz w:val="36"/>
          <w:szCs w:val="36"/>
        </w:rPr>
      </w:pPr>
      <w:r>
        <w:rPr>
          <w:rStyle w:val="44"/>
          <w:rFonts w:hint="eastAsia" w:ascii="宋体" w:hAnsi="宋体"/>
          <w:b/>
          <w:color w:val="auto"/>
          <w:sz w:val="36"/>
          <w:szCs w:val="36"/>
        </w:rPr>
        <w:t>项目名称：盐城工业职业技术学院物业管理服务（保洁）</w:t>
      </w:r>
    </w:p>
    <w:p>
      <w:pPr>
        <w:pStyle w:val="24"/>
        <w:ind w:firstLine="0" w:firstLineChars="0"/>
        <w:rPr>
          <w:rStyle w:val="44"/>
          <w:b/>
          <w:color w:val="auto"/>
          <w:sz w:val="32"/>
          <w:szCs w:val="21"/>
        </w:rPr>
      </w:pPr>
    </w:p>
    <w:p>
      <w:pPr>
        <w:pStyle w:val="24"/>
        <w:ind w:firstLine="643"/>
        <w:rPr>
          <w:rStyle w:val="44"/>
          <w:b/>
          <w:color w:val="auto"/>
          <w:sz w:val="32"/>
          <w:szCs w:val="21"/>
        </w:rPr>
      </w:pPr>
    </w:p>
    <w:p>
      <w:pPr>
        <w:pStyle w:val="104"/>
        <w:rPr>
          <w:rStyle w:val="44"/>
          <w:rFonts w:ascii="宋体" w:hAnsi="宋体" w:eastAsia="宋体"/>
          <w:b/>
          <w:color w:val="auto"/>
          <w:sz w:val="32"/>
        </w:rPr>
      </w:pPr>
    </w:p>
    <w:p>
      <w:pPr>
        <w:pStyle w:val="104"/>
        <w:rPr>
          <w:rStyle w:val="44"/>
          <w:rFonts w:ascii="宋体" w:hAnsi="宋体" w:eastAsia="宋体"/>
          <w:b/>
          <w:color w:val="auto"/>
          <w:sz w:val="32"/>
        </w:rPr>
      </w:pPr>
    </w:p>
    <w:p>
      <w:pPr>
        <w:spacing w:after="290" w:afterLines="100" w:line="360" w:lineRule="auto"/>
        <w:ind w:firstLine="1080" w:firstLineChars="300"/>
        <w:rPr>
          <w:rStyle w:val="44"/>
          <w:rFonts w:ascii="宋体" w:hAnsi="宋体"/>
          <w:bCs/>
          <w:color w:val="auto"/>
          <w:sz w:val="36"/>
          <w:szCs w:val="36"/>
        </w:rPr>
      </w:pPr>
      <w:r>
        <w:rPr>
          <w:rStyle w:val="44"/>
          <w:rFonts w:hint="eastAsia" w:ascii="宋体" w:hAnsi="宋体"/>
          <w:bCs/>
          <w:color w:val="auto"/>
          <w:sz w:val="36"/>
          <w:szCs w:val="36"/>
        </w:rPr>
        <w:t>采购人：盐城工业职业技术学院</w:t>
      </w:r>
    </w:p>
    <w:p>
      <w:pPr>
        <w:pStyle w:val="2"/>
        <w:spacing w:line="360" w:lineRule="auto"/>
        <w:ind w:left="0" w:leftChars="0" w:right="0" w:rightChars="0" w:firstLine="1080" w:firstLineChars="300"/>
        <w:rPr>
          <w:rStyle w:val="44"/>
          <w:rFonts w:ascii="宋体" w:hAnsi="宋体"/>
          <w:bCs/>
          <w:color w:val="auto"/>
          <w:sz w:val="36"/>
          <w:szCs w:val="36"/>
        </w:rPr>
      </w:pPr>
      <w:r>
        <w:rPr>
          <w:rStyle w:val="44"/>
          <w:rFonts w:hint="eastAsia" w:ascii="宋体" w:hAnsi="宋体"/>
          <w:bCs/>
          <w:color w:val="auto"/>
          <w:sz w:val="36"/>
          <w:szCs w:val="36"/>
        </w:rPr>
        <w:t>代理人：江苏伟业项目管理有限公司</w:t>
      </w:r>
    </w:p>
    <w:p>
      <w:pPr>
        <w:jc w:val="center"/>
        <w:rPr>
          <w:rStyle w:val="44"/>
          <w:rFonts w:ascii="宋体" w:hAnsi="宋体"/>
          <w:color w:val="auto"/>
          <w:sz w:val="36"/>
          <w:szCs w:val="36"/>
        </w:rPr>
      </w:pPr>
    </w:p>
    <w:p>
      <w:pPr>
        <w:jc w:val="center"/>
        <w:rPr>
          <w:rStyle w:val="44"/>
          <w:rFonts w:ascii="宋体" w:hAnsi="宋体"/>
          <w:color w:val="auto"/>
          <w:sz w:val="36"/>
          <w:szCs w:val="36"/>
        </w:rPr>
      </w:pPr>
      <w:r>
        <w:rPr>
          <w:rStyle w:val="44"/>
          <w:rFonts w:hint="eastAsia" w:ascii="宋体" w:hAnsi="宋体"/>
          <w:color w:val="auto"/>
          <w:sz w:val="36"/>
          <w:szCs w:val="36"/>
        </w:rPr>
        <w:t>2023年5月2</w:t>
      </w:r>
      <w:r>
        <w:rPr>
          <w:rStyle w:val="44"/>
          <w:rFonts w:hint="eastAsia" w:ascii="宋体" w:hAnsi="宋体"/>
          <w:color w:val="auto"/>
          <w:sz w:val="36"/>
          <w:szCs w:val="36"/>
          <w:lang w:val="en-US" w:eastAsia="zh-CN"/>
        </w:rPr>
        <w:t>5</w:t>
      </w:r>
      <w:r>
        <w:rPr>
          <w:rStyle w:val="44"/>
          <w:rFonts w:hint="eastAsia" w:ascii="宋体" w:hAnsi="宋体"/>
          <w:color w:val="auto"/>
          <w:sz w:val="36"/>
          <w:szCs w:val="36"/>
        </w:rPr>
        <w:t>日</w:t>
      </w:r>
    </w:p>
    <w:p>
      <w:pPr>
        <w:spacing w:line="480" w:lineRule="auto"/>
        <w:rPr>
          <w:rStyle w:val="44"/>
          <w:rFonts w:ascii="宋体" w:hAnsi="宋体"/>
          <w:color w:val="auto"/>
        </w:rPr>
      </w:pPr>
    </w:p>
    <w:p>
      <w:pPr>
        <w:pStyle w:val="24"/>
        <w:rPr>
          <w:color w:val="auto"/>
        </w:rPr>
      </w:pPr>
    </w:p>
    <w:p>
      <w:pPr>
        <w:pStyle w:val="23"/>
        <w:ind w:firstLine="210"/>
        <w:rPr>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start="1"/>
          <w:cols w:space="720" w:num="1"/>
          <w:titlePg/>
          <w:docGrid w:type="lines" w:linePitch="290" w:charSpace="0"/>
        </w:sectPr>
      </w:pPr>
    </w:p>
    <w:p>
      <w:pPr>
        <w:spacing w:line="480" w:lineRule="auto"/>
        <w:jc w:val="center"/>
        <w:rPr>
          <w:rStyle w:val="44"/>
          <w:rFonts w:ascii="宋体" w:hAnsi="宋体"/>
          <w:b/>
          <w:color w:val="auto"/>
          <w:sz w:val="44"/>
        </w:rPr>
      </w:pPr>
      <w:r>
        <w:rPr>
          <w:rStyle w:val="44"/>
          <w:rFonts w:hint="eastAsia" w:ascii="宋体" w:hAnsi="宋体"/>
          <w:b/>
          <w:color w:val="auto"/>
          <w:sz w:val="44"/>
        </w:rPr>
        <w:t>总目录</w:t>
      </w:r>
    </w:p>
    <w:p>
      <w:pPr>
        <w:spacing w:line="480" w:lineRule="auto"/>
        <w:rPr>
          <w:rStyle w:val="44"/>
          <w:rFonts w:ascii="宋体" w:hAnsi="宋体"/>
          <w:b/>
          <w:color w:val="auto"/>
          <w:sz w:val="28"/>
        </w:rPr>
      </w:pPr>
    </w:p>
    <w:p>
      <w:pPr>
        <w:jc w:val="center"/>
        <w:rPr>
          <w:color w:val="auto"/>
        </w:rPr>
      </w:pP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"_Toc9360" </w:instrText>
      </w:r>
      <w:r>
        <w:rPr>
          <w:color w:val="auto"/>
        </w:rPr>
        <w:fldChar w:fldCharType="separate"/>
      </w:r>
      <w:r>
        <w:rPr>
          <w:rFonts w:hint="eastAsia" w:ascii="宋体" w:hAnsi="宋体" w:cs="宋体"/>
          <w:b/>
          <w:bCs/>
          <w:color w:val="auto"/>
          <w:sz w:val="32"/>
          <w:szCs w:val="32"/>
        </w:rPr>
        <w:t>第一章</w:t>
      </w:r>
      <w:r>
        <w:rPr>
          <w:rFonts w:hint="eastAsia" w:ascii="宋体" w:hAnsi="宋体" w:cs="宋体"/>
          <w:color w:val="auto"/>
          <w:sz w:val="32"/>
          <w:szCs w:val="32"/>
        </w:rPr>
        <w:t>招标公告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_Toc9360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 HYPERLINK \l "_Toc10276" </w:instrText>
      </w:r>
      <w:r>
        <w:rPr>
          <w:color w:val="auto"/>
        </w:rPr>
        <w:fldChar w:fldCharType="separate"/>
      </w:r>
      <w:r>
        <w:rPr>
          <w:rFonts w:hint="eastAsia" w:ascii="宋体" w:hAnsi="宋体" w:cs="宋体"/>
          <w:b/>
          <w:bCs/>
          <w:color w:val="auto"/>
          <w:sz w:val="32"/>
          <w:szCs w:val="32"/>
        </w:rPr>
        <w:t>第二章</w:t>
      </w:r>
      <w:r>
        <w:rPr>
          <w:rFonts w:hint="eastAsia" w:ascii="宋体" w:hAnsi="宋体" w:cs="宋体"/>
          <w:color w:val="auto"/>
          <w:sz w:val="32"/>
          <w:szCs w:val="32"/>
        </w:rPr>
        <w:t>投标人须知</w:t>
      </w:r>
      <w:r>
        <w:rPr>
          <w:rFonts w:hint="eastAsia" w:ascii="宋体" w:hAnsi="宋体" w:cs="宋体"/>
          <w:color w:val="auto"/>
          <w:sz w:val="32"/>
          <w:szCs w:val="32"/>
        </w:rPr>
        <w:tab/>
      </w:r>
      <w:r>
        <w:rPr>
          <w:rFonts w:hint="eastAsia" w:ascii="宋体" w:hAnsi="宋体" w:cs="宋体"/>
          <w:color w:val="auto"/>
          <w:sz w:val="32"/>
          <w:szCs w:val="32"/>
        </w:rPr>
        <w:t>5</w:t>
      </w:r>
      <w:r>
        <w:rPr>
          <w:rFonts w:hint="eastAsia" w:ascii="宋体" w:hAnsi="宋体" w:cs="宋体"/>
          <w:color w:val="auto"/>
          <w:sz w:val="32"/>
          <w:szCs w:val="32"/>
        </w:rPr>
        <w:fldChar w:fldCharType="end"/>
      </w: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 HYPERLINK \l "_Toc20864" </w:instrText>
      </w:r>
      <w:r>
        <w:rPr>
          <w:color w:val="auto"/>
        </w:rPr>
        <w:fldChar w:fldCharType="separate"/>
      </w:r>
      <w:r>
        <w:rPr>
          <w:rFonts w:hint="eastAsia" w:ascii="宋体" w:hAnsi="宋体" w:cs="宋体"/>
          <w:b/>
          <w:bCs/>
          <w:color w:val="auto"/>
          <w:sz w:val="32"/>
          <w:szCs w:val="32"/>
        </w:rPr>
        <w:t>第三章</w:t>
      </w:r>
      <w:r>
        <w:rPr>
          <w:rFonts w:hint="eastAsia" w:ascii="宋体" w:hAnsi="宋体" w:cs="宋体"/>
          <w:color w:val="auto"/>
          <w:sz w:val="32"/>
          <w:szCs w:val="32"/>
        </w:rPr>
        <w:t>合同条款及格式</w:t>
      </w:r>
      <w:r>
        <w:rPr>
          <w:rFonts w:hint="eastAsia" w:ascii="宋体" w:hAnsi="宋体" w:cs="宋体"/>
          <w:color w:val="auto"/>
          <w:sz w:val="32"/>
          <w:szCs w:val="32"/>
        </w:rPr>
        <w:tab/>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cs="宋体"/>
          <w:color w:val="auto"/>
          <w:sz w:val="32"/>
          <w:szCs w:val="32"/>
        </w:rPr>
        <w:t>8</w:t>
      </w: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 HYPERLINK \l "_Toc29144" </w:instrText>
      </w:r>
      <w:r>
        <w:rPr>
          <w:color w:val="auto"/>
        </w:rPr>
        <w:fldChar w:fldCharType="separate"/>
      </w:r>
      <w:r>
        <w:rPr>
          <w:rFonts w:hint="eastAsia" w:ascii="宋体" w:hAnsi="宋体" w:cs="宋体"/>
          <w:b/>
          <w:bCs/>
          <w:color w:val="auto"/>
          <w:sz w:val="32"/>
          <w:szCs w:val="32"/>
        </w:rPr>
        <w:t>第四章</w:t>
      </w:r>
      <w:r>
        <w:rPr>
          <w:rFonts w:hint="eastAsia" w:ascii="宋体" w:hAnsi="宋体" w:cs="宋体"/>
          <w:color w:val="auto"/>
          <w:sz w:val="32"/>
          <w:szCs w:val="32"/>
        </w:rPr>
        <w:t>项目需求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_Toc29144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lang w:val="en-US" w:eastAsia="zh-CN"/>
        </w:rPr>
        <w:t>6</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 HYPERLINK \l "_Toc20858" </w:instrText>
      </w:r>
      <w:r>
        <w:rPr>
          <w:color w:val="auto"/>
        </w:rPr>
        <w:fldChar w:fldCharType="separate"/>
      </w:r>
      <w:r>
        <w:rPr>
          <w:rFonts w:hint="eastAsia" w:ascii="宋体" w:hAnsi="宋体" w:cs="宋体"/>
          <w:b/>
          <w:bCs/>
          <w:color w:val="auto"/>
          <w:sz w:val="32"/>
          <w:szCs w:val="32"/>
        </w:rPr>
        <w:t>第五章</w:t>
      </w:r>
      <w:r>
        <w:rPr>
          <w:rFonts w:hint="eastAsia" w:ascii="宋体" w:hAnsi="宋体" w:cs="宋体"/>
          <w:color w:val="auto"/>
          <w:sz w:val="32"/>
          <w:szCs w:val="32"/>
        </w:rPr>
        <w:t>评标方法与评标标准</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_Toc20858 \h </w:instrText>
      </w:r>
      <w:r>
        <w:rPr>
          <w:rFonts w:hint="eastAsia" w:ascii="宋体" w:hAnsi="宋体" w:cs="宋体"/>
          <w:color w:val="auto"/>
          <w:sz w:val="32"/>
          <w:szCs w:val="32"/>
        </w:rPr>
        <w:fldChar w:fldCharType="separate"/>
      </w:r>
      <w:r>
        <w:rPr>
          <w:rFonts w:hint="eastAsia" w:ascii="宋体" w:hAnsi="宋体" w:cs="宋体"/>
          <w:color w:val="auto"/>
          <w:sz w:val="32"/>
          <w:szCs w:val="32"/>
        </w:rPr>
        <w:t>3</w:t>
      </w:r>
      <w:r>
        <w:rPr>
          <w:rFonts w:hint="eastAsia" w:ascii="宋体" w:hAnsi="宋体" w:cs="宋体"/>
          <w:color w:val="auto"/>
          <w:sz w:val="32"/>
          <w:szCs w:val="32"/>
          <w:lang w:val="en-US" w:eastAsia="zh-CN"/>
        </w:rPr>
        <w:t>4</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162"/>
        <w:tabs>
          <w:tab w:val="right" w:leader="dot" w:pos="8306"/>
        </w:tabs>
        <w:rPr>
          <w:rFonts w:ascii="宋体" w:hAnsi="宋体" w:cs="宋体"/>
          <w:color w:val="auto"/>
          <w:sz w:val="32"/>
          <w:szCs w:val="32"/>
        </w:rPr>
      </w:pPr>
      <w:r>
        <w:rPr>
          <w:color w:val="auto"/>
        </w:rPr>
        <w:fldChar w:fldCharType="begin"/>
      </w:r>
      <w:r>
        <w:rPr>
          <w:color w:val="auto"/>
        </w:rPr>
        <w:instrText xml:space="preserve"> HYPERLINK \l "_Toc28357" </w:instrText>
      </w:r>
      <w:r>
        <w:rPr>
          <w:color w:val="auto"/>
        </w:rPr>
        <w:fldChar w:fldCharType="separate"/>
      </w:r>
      <w:r>
        <w:rPr>
          <w:rFonts w:hint="eastAsia" w:ascii="宋体" w:hAnsi="宋体" w:cs="宋体"/>
          <w:b/>
          <w:bCs/>
          <w:color w:val="auto"/>
          <w:sz w:val="32"/>
          <w:szCs w:val="32"/>
        </w:rPr>
        <w:t>第六章</w:t>
      </w:r>
      <w:r>
        <w:rPr>
          <w:rFonts w:hint="eastAsia" w:ascii="宋体" w:hAnsi="宋体" w:cs="宋体"/>
          <w:color w:val="auto"/>
          <w:sz w:val="32"/>
          <w:szCs w:val="32"/>
        </w:rPr>
        <w:t>投标文件格式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_Toc28357 \h </w:instrText>
      </w:r>
      <w:r>
        <w:rPr>
          <w:rFonts w:hint="eastAsia" w:ascii="宋体" w:hAnsi="宋体" w:cs="宋体"/>
          <w:color w:val="auto"/>
          <w:sz w:val="32"/>
          <w:szCs w:val="32"/>
        </w:rPr>
        <w:fldChar w:fldCharType="separate"/>
      </w:r>
      <w:r>
        <w:rPr>
          <w:rFonts w:hint="eastAsia" w:ascii="宋体" w:hAnsi="宋体" w:cs="宋体"/>
          <w:color w:val="auto"/>
          <w:sz w:val="32"/>
          <w:szCs w:val="32"/>
        </w:rPr>
        <w:t>3</w:t>
      </w:r>
      <w:r>
        <w:rPr>
          <w:rFonts w:hint="eastAsia" w:ascii="宋体" w:hAnsi="宋体" w:cs="宋体"/>
          <w:color w:val="auto"/>
          <w:sz w:val="32"/>
          <w:szCs w:val="32"/>
          <w:lang w:val="en-US" w:eastAsia="zh-CN"/>
        </w:rPr>
        <w:t>7</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162"/>
        <w:tabs>
          <w:tab w:val="right" w:leader="dot" w:pos="8306"/>
        </w:tabs>
        <w:rPr>
          <w:color w:val="auto"/>
        </w:rPr>
      </w:pPr>
    </w:p>
    <w:p>
      <w:pPr>
        <w:rPr>
          <w:color w:val="auto"/>
        </w:rPr>
      </w:pPr>
      <w:r>
        <w:rPr>
          <w:color w:val="auto"/>
        </w:rPr>
        <w:fldChar w:fldCharType="end"/>
      </w:r>
    </w:p>
    <w:p>
      <w:pPr>
        <w:pStyle w:val="34"/>
        <w:outlineLvl w:val="0"/>
        <w:rPr>
          <w:rStyle w:val="44"/>
          <w:rFonts w:ascii="宋体" w:hAnsi="宋体" w:eastAsia="宋体"/>
          <w:b/>
          <w:bCs/>
          <w:color w:val="auto"/>
          <w:sz w:val="44"/>
          <w:szCs w:val="44"/>
        </w:rPr>
      </w:pPr>
      <w:bookmarkStart w:id="0" w:name="_Toc9360"/>
    </w:p>
    <w:p>
      <w:pPr>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23"/>
        <w:ind w:firstLine="442"/>
        <w:rPr>
          <w:rStyle w:val="44"/>
          <w:rFonts w:ascii="宋体" w:hAnsi="宋体"/>
          <w:b/>
          <w:bCs/>
          <w:color w:val="auto"/>
          <w:sz w:val="44"/>
          <w:szCs w:val="44"/>
        </w:rPr>
      </w:pPr>
    </w:p>
    <w:p>
      <w:pPr>
        <w:pStyle w:val="34"/>
        <w:outlineLvl w:val="0"/>
        <w:rPr>
          <w:rStyle w:val="44"/>
          <w:rFonts w:ascii="宋体" w:hAnsi="宋体" w:eastAsia="宋体"/>
          <w:b/>
          <w:bCs/>
          <w:color w:val="auto"/>
          <w:sz w:val="44"/>
          <w:szCs w:val="44"/>
        </w:rPr>
      </w:pPr>
      <w:r>
        <w:rPr>
          <w:rStyle w:val="44"/>
          <w:rFonts w:hint="eastAsia" w:ascii="宋体" w:hAnsi="宋体" w:eastAsia="宋体"/>
          <w:b/>
          <w:bCs/>
          <w:color w:val="auto"/>
          <w:sz w:val="44"/>
          <w:szCs w:val="44"/>
        </w:rPr>
        <w:t>第一章招标公告</w:t>
      </w:r>
      <w:bookmarkEnd w:id="0"/>
    </w:p>
    <w:p>
      <w:pPr>
        <w:spacing w:line="360" w:lineRule="auto"/>
        <w:jc w:val="center"/>
        <w:rPr>
          <w:rStyle w:val="44"/>
          <w:rFonts w:ascii="宋体" w:hAnsi="宋体" w:eastAsia="宋体"/>
          <w:b/>
          <w:bCs/>
          <w:color w:val="auto"/>
        </w:rPr>
      </w:pPr>
      <w:r>
        <w:rPr>
          <w:rStyle w:val="44"/>
          <w:rFonts w:hint="eastAsia" w:ascii="宋体" w:hAnsi="宋体"/>
          <w:b/>
          <w:bCs/>
          <w:color w:val="auto"/>
          <w:sz w:val="32"/>
          <w:szCs w:val="32"/>
        </w:rPr>
        <w:t>盐城工业职业技术学院物业管理服务（保洁）</w:t>
      </w:r>
      <w:r>
        <w:rPr>
          <w:rStyle w:val="44"/>
          <w:rFonts w:hint="eastAsia" w:ascii="宋体" w:hAnsi="宋体" w:eastAsia="宋体"/>
          <w:b/>
          <w:bCs/>
          <w:color w:val="auto"/>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olor w:val="auto"/>
          <w:sz w:val="24"/>
          <w:szCs w:val="24"/>
        </w:rPr>
      </w:pPr>
      <w:r>
        <w:rPr>
          <w:rStyle w:val="44"/>
          <w:rFonts w:hint="eastAsia" w:ascii="宋体" w:hAnsi="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olor w:val="auto"/>
          <w:sz w:val="24"/>
          <w:szCs w:val="24"/>
        </w:rPr>
      </w:pPr>
      <w:r>
        <w:rPr>
          <w:rStyle w:val="44"/>
          <w:rFonts w:hint="eastAsia" w:ascii="宋体" w:hAnsi="宋体"/>
          <w:bCs/>
          <w:color w:val="auto"/>
          <w:sz w:val="24"/>
          <w:szCs w:val="24"/>
          <w:u w:val="single" w:color="000000"/>
        </w:rPr>
        <w:t>盐城工业职业技术学院物业管理服务（保洁）</w:t>
      </w:r>
      <w:r>
        <w:rPr>
          <w:rStyle w:val="44"/>
          <w:rFonts w:hint="eastAsia" w:ascii="宋体" w:hAnsi="宋体"/>
          <w:bCs/>
          <w:color w:val="auto"/>
          <w:sz w:val="24"/>
          <w:szCs w:val="24"/>
        </w:rPr>
        <w:t>的潜在投标人应在“</w:t>
      </w:r>
      <w:r>
        <w:rPr>
          <w:rStyle w:val="44"/>
          <w:rFonts w:hint="eastAsia" w:ascii="宋体" w:hAnsi="宋体"/>
          <w:bCs/>
          <w:color w:val="auto"/>
          <w:sz w:val="24"/>
          <w:szCs w:val="24"/>
          <w:u w:val="single"/>
        </w:rPr>
        <w:t>江苏省政府采购网或盐城市政府采购网或盐城工业职业技术学院招标采购网”</w:t>
      </w:r>
      <w:r>
        <w:rPr>
          <w:rStyle w:val="44"/>
          <w:rFonts w:hint="eastAsia" w:ascii="宋体" w:hAnsi="宋体"/>
          <w:bCs/>
          <w:color w:val="auto"/>
          <w:sz w:val="24"/>
          <w:szCs w:val="24"/>
        </w:rPr>
        <w:t>获</w:t>
      </w:r>
      <w:r>
        <w:rPr>
          <w:rStyle w:val="44"/>
          <w:rFonts w:hint="eastAsia" w:ascii="宋体" w:hAnsi="宋体"/>
          <w:color w:val="auto"/>
          <w:sz w:val="24"/>
          <w:szCs w:val="24"/>
        </w:rPr>
        <w:t>取招标文件，并于</w:t>
      </w:r>
      <w:r>
        <w:rPr>
          <w:rStyle w:val="44"/>
          <w:rFonts w:hint="eastAsia" w:ascii="宋体" w:hAnsi="宋体"/>
          <w:color w:val="auto"/>
          <w:sz w:val="24"/>
          <w:szCs w:val="24"/>
          <w:u w:val="single" w:color="000000"/>
        </w:rPr>
        <w:t>2023</w:t>
      </w:r>
      <w:r>
        <w:rPr>
          <w:rStyle w:val="44"/>
          <w:rFonts w:hint="eastAsia" w:ascii="宋体" w:hAnsi="宋体"/>
          <w:bCs/>
          <w:color w:val="auto"/>
          <w:sz w:val="24"/>
          <w:szCs w:val="24"/>
          <w:u w:val="single" w:color="000000"/>
        </w:rPr>
        <w:t>年</w:t>
      </w:r>
      <w:r>
        <w:rPr>
          <w:rStyle w:val="44"/>
          <w:rFonts w:hint="eastAsia" w:ascii="宋体" w:hAnsi="宋体"/>
          <w:bCs/>
          <w:color w:val="auto"/>
          <w:sz w:val="24"/>
          <w:szCs w:val="24"/>
          <w:u w:val="single" w:color="000000"/>
          <w:lang w:val="en-US" w:eastAsia="zh-CN"/>
        </w:rPr>
        <w:t>6</w:t>
      </w:r>
      <w:r>
        <w:rPr>
          <w:rStyle w:val="44"/>
          <w:rFonts w:hint="eastAsia" w:ascii="宋体" w:hAnsi="宋体"/>
          <w:bCs/>
          <w:color w:val="auto"/>
          <w:sz w:val="24"/>
          <w:szCs w:val="24"/>
          <w:u w:val="single" w:color="000000"/>
        </w:rPr>
        <w:t>月</w:t>
      </w:r>
      <w:r>
        <w:rPr>
          <w:rStyle w:val="44"/>
          <w:rFonts w:hint="eastAsia" w:ascii="宋体" w:hAnsi="宋体"/>
          <w:bCs/>
          <w:color w:val="auto"/>
          <w:sz w:val="24"/>
          <w:szCs w:val="24"/>
          <w:u w:val="single" w:color="000000"/>
          <w:lang w:val="en-US" w:eastAsia="zh-CN"/>
        </w:rPr>
        <w:t>15</w:t>
      </w:r>
      <w:r>
        <w:rPr>
          <w:rStyle w:val="44"/>
          <w:rFonts w:hint="eastAsia" w:ascii="宋体" w:hAnsi="宋体"/>
          <w:bCs/>
          <w:color w:val="auto"/>
          <w:sz w:val="24"/>
          <w:szCs w:val="24"/>
          <w:u w:val="single" w:color="000000"/>
        </w:rPr>
        <w:t>日9点00分（</w:t>
      </w:r>
      <w:r>
        <w:rPr>
          <w:rStyle w:val="44"/>
          <w:rFonts w:hint="eastAsia" w:ascii="宋体" w:hAnsi="宋体"/>
          <w:bCs/>
          <w:color w:val="auto"/>
          <w:sz w:val="24"/>
          <w:szCs w:val="24"/>
        </w:rPr>
        <w:t>北京时间）前递交投标文件</w:t>
      </w:r>
      <w:r>
        <w:rPr>
          <w:rStyle w:val="44"/>
          <w:rFonts w:hint="eastAsia" w:ascii="宋体" w:hAnsi="宋体"/>
          <w:color w:val="auto"/>
          <w:sz w:val="24"/>
          <w:szCs w:val="24"/>
        </w:rPr>
        <w:t>。</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一、项目基本情况</w:t>
      </w:r>
    </w:p>
    <w:p>
      <w:pPr>
        <w:widowControl w:val="0"/>
        <w:adjustRightInd w:val="0"/>
        <w:snapToGrid w:val="0"/>
        <w:spacing w:line="360" w:lineRule="auto"/>
        <w:ind w:firstLine="480" w:firstLineChars="200"/>
        <w:rPr>
          <w:rStyle w:val="44"/>
          <w:rFonts w:hint="eastAsia" w:ascii="宋体" w:hAnsi="宋体" w:eastAsia="宋体"/>
          <w:color w:val="auto"/>
          <w:sz w:val="24"/>
          <w:szCs w:val="24"/>
          <w:highlight w:val="none"/>
          <w:lang w:eastAsia="zh-CN"/>
        </w:rPr>
      </w:pPr>
      <w:r>
        <w:rPr>
          <w:rStyle w:val="44"/>
          <w:rFonts w:hint="eastAsia" w:ascii="宋体" w:hAnsi="宋体"/>
          <w:color w:val="auto"/>
          <w:sz w:val="24"/>
          <w:szCs w:val="24"/>
        </w:rPr>
        <w:t>项目编号：</w:t>
      </w:r>
      <w:r>
        <w:rPr>
          <w:rStyle w:val="44"/>
          <w:rFonts w:hint="eastAsia" w:ascii="宋体" w:hAnsi="宋体"/>
          <w:color w:val="auto"/>
          <w:sz w:val="24"/>
          <w:szCs w:val="24"/>
          <w:highlight w:val="none"/>
        </w:rPr>
        <w:t>202</w:t>
      </w:r>
      <w:r>
        <w:rPr>
          <w:rStyle w:val="44"/>
          <w:rFonts w:hint="eastAsia" w:ascii="宋体" w:hAnsi="宋体"/>
          <w:color w:val="auto"/>
          <w:sz w:val="24"/>
          <w:szCs w:val="24"/>
          <w:highlight w:val="none"/>
          <w:lang w:val="en-US" w:eastAsia="zh-CN"/>
        </w:rPr>
        <w:t>3</w:t>
      </w:r>
      <w:r>
        <w:rPr>
          <w:rStyle w:val="44"/>
          <w:rFonts w:hint="eastAsia" w:ascii="宋体" w:hAnsi="宋体"/>
          <w:color w:val="auto"/>
          <w:sz w:val="24"/>
          <w:szCs w:val="24"/>
          <w:highlight w:val="none"/>
        </w:rPr>
        <w:t>-</w:t>
      </w:r>
      <w:r>
        <w:rPr>
          <w:rStyle w:val="44"/>
          <w:rFonts w:hint="eastAsia" w:ascii="宋体" w:hAnsi="宋体"/>
          <w:color w:val="auto"/>
          <w:sz w:val="24"/>
          <w:szCs w:val="24"/>
          <w:highlight w:val="none"/>
          <w:lang w:eastAsia="zh-CN"/>
        </w:rPr>
        <w:t>011W</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项目名称：盐城工业职业技术学院物业管理服务（保洁）</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项目最高限价：136万元/年，投标人报价超过限价，作无效标处理。</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采购需求：盐城工业职业技术学院物业管理服务（保洁）项目，具体详见项目需求，招标人保留对上述招标范围进行适当调整的权利。</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合同履行期限：两年，合同按年签订，第一次服务合同结束后，满意率达85%则续签下一次服务合同，否则采购人有权终止合同，重新组织招标。</w:t>
      </w:r>
    </w:p>
    <w:p>
      <w:pPr>
        <w:pStyle w:val="34"/>
        <w:widowControl w:val="0"/>
        <w:tabs>
          <w:tab w:val="left" w:pos="0"/>
          <w:tab w:val="left" w:pos="3165"/>
          <w:tab w:val="center" w:pos="4153"/>
        </w:tabs>
        <w:adjustRightInd w:val="0"/>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二、投标人的资格要求：</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（1）法人或者其他组织的营业执照等证明文件，自然人的身份证明；</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（2）上一年度（2022年）的财务报表（成立不满一年不需提供）；</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（3）依法缴纳税收和社会保障资金的相关材料，依法免税或不需要缴纳社会保障资金的，应提供相应文件证明材料；</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（4）具备履行合同所必需的设备和专业技术能力的书面声明；</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（5）参加政府采购活动前3年内在经营活动中没有重大违法记录的书面声明；</w:t>
      </w:r>
    </w:p>
    <w:p>
      <w:pPr>
        <w:adjustRightInd w:val="0"/>
        <w:snapToGrid w:val="0"/>
        <w:spacing w:line="336" w:lineRule="auto"/>
        <w:ind w:firstLine="480" w:firstLineChars="200"/>
        <w:rPr>
          <w:rStyle w:val="44"/>
          <w:rFonts w:ascii="宋体" w:hAnsi="宋体"/>
          <w:color w:val="auto"/>
          <w:sz w:val="24"/>
          <w:szCs w:val="24"/>
        </w:rPr>
      </w:pPr>
      <w:r>
        <w:rPr>
          <w:rStyle w:val="44"/>
          <w:rFonts w:hint="eastAsia" w:ascii="宋体" w:hAnsi="宋体"/>
          <w:color w:val="auto"/>
          <w:sz w:val="24"/>
          <w:szCs w:val="24"/>
        </w:rPr>
        <w:t>2.落实政府采购政策需满足的资格要求：</w:t>
      </w:r>
      <w:r>
        <w:rPr>
          <w:rStyle w:val="44"/>
          <w:rFonts w:hint="eastAsia" w:ascii="宋体" w:hAnsi="宋体"/>
          <w:b w:val="0"/>
          <w:bCs w:val="0"/>
          <w:color w:val="auto"/>
          <w:sz w:val="24"/>
          <w:szCs w:val="24"/>
        </w:rPr>
        <w:t>本项目专门面向中小</w:t>
      </w:r>
      <w:r>
        <w:rPr>
          <w:rStyle w:val="44"/>
          <w:rFonts w:hint="eastAsia" w:ascii="宋体" w:hAnsi="宋体"/>
          <w:b w:val="0"/>
          <w:bCs w:val="0"/>
          <w:color w:val="auto"/>
          <w:sz w:val="24"/>
          <w:szCs w:val="24"/>
          <w:lang w:val="en-US" w:eastAsia="zh-CN"/>
        </w:rPr>
        <w:t>微</w:t>
      </w:r>
      <w:r>
        <w:rPr>
          <w:rStyle w:val="44"/>
          <w:rFonts w:hint="eastAsia" w:ascii="宋体" w:hAnsi="宋体"/>
          <w:b w:val="0"/>
          <w:bCs w:val="0"/>
          <w:color w:val="auto"/>
          <w:sz w:val="24"/>
          <w:szCs w:val="24"/>
        </w:rPr>
        <w:t>企业采购的项目，投标供应商必须为中小微企业，不接受非中小微企业参与本项目的投标。</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3.本项目的特定资格要求：</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(1)投标人须具有独立企业法人资质。</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(2)投标人拟派遣的项目经理须具有专科及以上学历，提供相关证书。</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投标人授权委托人和拟派遣项目经理必须为投标人本单位正式职工，投标时必须提供授权委托人和拟派遣项目经理在投标人所在地人社部门出具的开标前6个月个人在该单位参保缴费清单（如提供的是养老保险手册，须附有效期内的缴费清单；如提供的是劳动保险部门证明，须有名单并注明缴费起止时间，同时加盖劳动保险部门有效章印。投标人也可提供印有企业注册所在地的社会保险管理中心参保缴费证明电子专用章的社保缴费清单、人员社保卡号和参保缴费证明验证码。事业单位人员不需要提供本条所需资料，但需提供人社部门出具的该单位及上述人员事业性质证明）。</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(4)未被列入“信用中国”网站（www.creditchina.gov.cn）失信被执行人名单、重大税收违法案件当事人名单和中国政府采购网（www.ccgp.gov.cn）政府采购严重违法失信行为记录名单。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(5)本项目不接受联合体投标。招标人谢绝联合体和杜绝挂靠单位参与本项目的投标，中标后不得以任何方式进行转包与分包。</w:t>
      </w:r>
    </w:p>
    <w:p>
      <w:pPr>
        <w:widowControl w:val="0"/>
        <w:adjustRightInd w:val="0"/>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(6)投标人单位负责人为同一人或者存在直接控股、管理关系的不同投标人，不得参加同一标段投标活动。</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三、获取招标文件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时间：自公告之日起至投标截止时间前1日</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地点：</w:t>
      </w:r>
      <w:r>
        <w:rPr>
          <w:rStyle w:val="44"/>
          <w:rFonts w:hint="eastAsia" w:ascii="宋体" w:hAnsi="宋体"/>
          <w:bCs/>
          <w:color w:val="auto"/>
          <w:sz w:val="24"/>
          <w:szCs w:val="24"/>
        </w:rPr>
        <w:t>江苏省政府采购网或盐城市政府采购网或盐城工业职业技术学院招标采购网</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方式：符合资格要求的投标人可自行下载采购文件，采购文件见</w:t>
      </w:r>
      <w:r>
        <w:rPr>
          <w:rStyle w:val="44"/>
          <w:rFonts w:hint="eastAsia" w:ascii="宋体" w:hAnsi="宋体"/>
          <w:bCs/>
          <w:color w:val="auto"/>
          <w:sz w:val="24"/>
          <w:szCs w:val="24"/>
        </w:rPr>
        <w:t>江苏省政府采购网或盐城市政府采购网或盐城工业职业技术学院招标采购网</w:t>
      </w:r>
      <w:r>
        <w:rPr>
          <w:rStyle w:val="44"/>
          <w:rFonts w:hint="eastAsia" w:ascii="宋体" w:hAnsi="宋体"/>
          <w:color w:val="auto"/>
          <w:sz w:val="24"/>
          <w:szCs w:val="24"/>
        </w:rPr>
        <w:t>本公告附件。</w:t>
      </w:r>
    </w:p>
    <w:p>
      <w:pPr>
        <w:adjustRightInd w:val="0"/>
        <w:snapToGrid w:val="0"/>
        <w:spacing w:line="360" w:lineRule="auto"/>
        <w:ind w:firstLine="480" w:firstLineChars="200"/>
        <w:rPr>
          <w:rStyle w:val="44"/>
          <w:rFonts w:ascii="宋体" w:hAnsi="宋体"/>
          <w:color w:val="auto"/>
          <w:sz w:val="24"/>
          <w:szCs w:val="24"/>
        </w:rPr>
      </w:pPr>
      <w:r>
        <w:rPr>
          <w:rFonts w:hint="eastAsia" w:ascii="宋体" w:hAnsi="宋体"/>
          <w:bCs/>
          <w:color w:val="auto"/>
          <w:sz w:val="24"/>
          <w:szCs w:val="24"/>
        </w:rPr>
        <w:t>报名时间及地点：本公告发布后凡具备上述资格条件，并自愿参加本项目投标的投标人应于2023年</w:t>
      </w:r>
      <w:r>
        <w:rPr>
          <w:rFonts w:hint="eastAsia" w:ascii="宋体" w:hAnsi="宋体"/>
          <w:bCs/>
          <w:color w:val="auto"/>
          <w:sz w:val="24"/>
          <w:szCs w:val="24"/>
          <w:lang w:val="en-US" w:eastAsia="zh-CN"/>
        </w:rPr>
        <w:t>5</w:t>
      </w:r>
      <w:r>
        <w:rPr>
          <w:rFonts w:hint="eastAsia" w:ascii="宋体" w:hAnsi="宋体"/>
          <w:bCs/>
          <w:color w:val="auto"/>
          <w:sz w:val="24"/>
          <w:szCs w:val="24"/>
        </w:rPr>
        <w:t>月</w:t>
      </w:r>
      <w:r>
        <w:rPr>
          <w:rFonts w:hint="eastAsia" w:ascii="宋体" w:hAnsi="宋体"/>
          <w:bCs/>
          <w:color w:val="auto"/>
          <w:sz w:val="24"/>
          <w:szCs w:val="24"/>
          <w:lang w:val="en-US" w:eastAsia="zh-CN"/>
        </w:rPr>
        <w:t>26</w:t>
      </w:r>
      <w:r>
        <w:rPr>
          <w:rFonts w:hint="eastAsia" w:ascii="宋体" w:hAnsi="宋体"/>
          <w:bCs/>
          <w:color w:val="auto"/>
          <w:sz w:val="24"/>
          <w:szCs w:val="24"/>
        </w:rPr>
        <w:t>日至2023年</w:t>
      </w:r>
      <w:r>
        <w:rPr>
          <w:rFonts w:hint="eastAsia" w:ascii="宋体" w:hAnsi="宋体"/>
          <w:bCs/>
          <w:color w:val="auto"/>
          <w:sz w:val="24"/>
          <w:szCs w:val="24"/>
          <w:lang w:val="en-US" w:eastAsia="zh-CN"/>
        </w:rPr>
        <w:t>6</w:t>
      </w:r>
      <w:r>
        <w:rPr>
          <w:rFonts w:hint="eastAsia" w:ascii="宋体" w:hAnsi="宋体"/>
          <w:bCs/>
          <w:color w:val="auto"/>
          <w:sz w:val="24"/>
          <w:szCs w:val="24"/>
        </w:rPr>
        <w:t>月</w:t>
      </w:r>
      <w:r>
        <w:rPr>
          <w:rFonts w:hint="eastAsia" w:ascii="宋体" w:hAnsi="宋体"/>
          <w:bCs/>
          <w:color w:val="auto"/>
          <w:sz w:val="24"/>
          <w:szCs w:val="24"/>
          <w:lang w:val="en-US" w:eastAsia="zh-CN"/>
        </w:rPr>
        <w:t>9</w:t>
      </w:r>
      <w:r>
        <w:rPr>
          <w:rFonts w:hint="eastAsia" w:ascii="宋体" w:hAnsi="宋体"/>
          <w:bCs/>
          <w:color w:val="auto"/>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售价：人民币500元，售后不退。</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四、提交投标文件截止时间、开标时间和地点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时间：</w:t>
      </w:r>
      <w:r>
        <w:rPr>
          <w:rStyle w:val="44"/>
          <w:rFonts w:hint="eastAsia" w:ascii="宋体" w:hAnsi="宋体"/>
          <w:color w:val="auto"/>
          <w:sz w:val="24"/>
          <w:szCs w:val="24"/>
          <w:u w:val="single" w:color="000000"/>
        </w:rPr>
        <w:t>2023</w:t>
      </w:r>
      <w:r>
        <w:rPr>
          <w:rStyle w:val="44"/>
          <w:rFonts w:hint="eastAsia" w:ascii="宋体" w:hAnsi="宋体"/>
          <w:bCs/>
          <w:color w:val="auto"/>
          <w:sz w:val="24"/>
          <w:szCs w:val="24"/>
          <w:u w:val="single" w:color="000000"/>
        </w:rPr>
        <w:t>年</w:t>
      </w:r>
      <w:r>
        <w:rPr>
          <w:rStyle w:val="44"/>
          <w:rFonts w:hint="eastAsia" w:ascii="宋体" w:hAnsi="宋体"/>
          <w:bCs/>
          <w:color w:val="auto"/>
          <w:sz w:val="24"/>
          <w:szCs w:val="24"/>
          <w:u w:val="single" w:color="000000"/>
          <w:lang w:val="en-US" w:eastAsia="zh-CN"/>
        </w:rPr>
        <w:t>6</w:t>
      </w:r>
      <w:r>
        <w:rPr>
          <w:rStyle w:val="44"/>
          <w:rFonts w:hint="eastAsia" w:ascii="宋体" w:hAnsi="宋体"/>
          <w:bCs/>
          <w:color w:val="auto"/>
          <w:sz w:val="24"/>
          <w:szCs w:val="24"/>
          <w:u w:val="single" w:color="000000"/>
        </w:rPr>
        <w:t>月</w:t>
      </w:r>
      <w:r>
        <w:rPr>
          <w:rStyle w:val="44"/>
          <w:rFonts w:hint="eastAsia" w:ascii="宋体" w:hAnsi="宋体"/>
          <w:bCs/>
          <w:color w:val="auto"/>
          <w:sz w:val="24"/>
          <w:szCs w:val="24"/>
          <w:u w:val="single" w:color="000000"/>
          <w:lang w:val="en-US" w:eastAsia="zh-CN"/>
        </w:rPr>
        <w:t>15</w:t>
      </w:r>
      <w:r>
        <w:rPr>
          <w:rStyle w:val="44"/>
          <w:rFonts w:hint="eastAsia" w:ascii="宋体" w:hAnsi="宋体"/>
          <w:bCs/>
          <w:color w:val="auto"/>
          <w:sz w:val="24"/>
          <w:szCs w:val="24"/>
          <w:u w:val="single" w:color="000000"/>
        </w:rPr>
        <w:t>日9点00分</w:t>
      </w:r>
      <w:r>
        <w:rPr>
          <w:rStyle w:val="44"/>
          <w:rFonts w:hint="eastAsia" w:ascii="宋体" w:hAnsi="宋体"/>
          <w:color w:val="auto"/>
          <w:sz w:val="24"/>
          <w:szCs w:val="24"/>
        </w:rPr>
        <w:t>（北京时间）</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地点：盐城工业职业技术学院（盐城市解放南路285号）南食堂四楼402开标室。</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五、公告期限</w:t>
      </w:r>
    </w:p>
    <w:p>
      <w:pPr>
        <w:snapToGrid w:val="0"/>
        <w:spacing w:line="360" w:lineRule="auto"/>
        <w:ind w:firstLine="480" w:firstLineChars="200"/>
        <w:rPr>
          <w:rStyle w:val="44"/>
          <w:rFonts w:ascii="宋体" w:hAnsi="宋体"/>
          <w:color w:val="auto"/>
          <w:kern w:val="0"/>
          <w:sz w:val="24"/>
          <w:szCs w:val="24"/>
        </w:rPr>
      </w:pPr>
      <w:r>
        <w:rPr>
          <w:rStyle w:val="44"/>
          <w:rFonts w:hint="eastAsia" w:ascii="宋体" w:hAnsi="宋体"/>
          <w:color w:val="auto"/>
          <w:kern w:val="0"/>
          <w:sz w:val="24"/>
          <w:szCs w:val="24"/>
        </w:rPr>
        <w:t>自本公告发布之日起5个工作日。</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六、其他补充事宜</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b/>
          <w:bCs/>
          <w:color w:val="auto"/>
          <w:sz w:val="24"/>
        </w:rPr>
      </w:pPr>
      <w:r>
        <w:rPr>
          <w:rFonts w:hint="eastAsia" w:ascii="宋体" w:hAnsi="宋体"/>
          <w:b/>
          <w:bCs/>
          <w:color w:val="auto"/>
          <w:sz w:val="24"/>
        </w:rPr>
        <w:t>七、本项目投标保证金</w:t>
      </w:r>
    </w:p>
    <w:p>
      <w:pPr>
        <w:pStyle w:val="34"/>
        <w:tabs>
          <w:tab w:val="left" w:pos="0"/>
          <w:tab w:val="left" w:pos="3165"/>
          <w:tab w:val="center" w:pos="4153"/>
        </w:tabs>
        <w:snapToGrid w:val="0"/>
        <w:spacing w:line="360" w:lineRule="auto"/>
        <w:ind w:firstLine="480" w:firstLineChars="200"/>
        <w:jc w:val="left"/>
        <w:rPr>
          <w:rStyle w:val="44"/>
          <w:rFonts w:ascii="宋体" w:hAnsi="宋体" w:eastAsia="宋体"/>
          <w:color w:val="auto"/>
          <w:sz w:val="24"/>
          <w:szCs w:val="24"/>
        </w:rPr>
      </w:pPr>
      <w:r>
        <w:rPr>
          <w:rStyle w:val="44"/>
          <w:rFonts w:hint="eastAsia" w:ascii="宋体" w:hAnsi="宋体" w:eastAsia="宋体"/>
          <w:color w:val="auto"/>
          <w:sz w:val="24"/>
          <w:szCs w:val="24"/>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b/>
          <w:bCs/>
          <w:color w:val="auto"/>
          <w:sz w:val="24"/>
          <w:szCs w:val="24"/>
        </w:rPr>
      </w:pPr>
      <w:r>
        <w:rPr>
          <w:rStyle w:val="44"/>
          <w:rFonts w:hint="eastAsia" w:ascii="宋体" w:hAnsi="宋体" w:eastAsia="宋体"/>
          <w:b/>
          <w:bCs/>
          <w:color w:val="auto"/>
          <w:sz w:val="24"/>
          <w:szCs w:val="24"/>
        </w:rPr>
        <w:t>八、对本次招标提出询问，请按以下方式联系。</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1.采购人信息</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名称：盐城工业职业技术学院</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地址：盐城市解放南路285号</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联系人：赵老师</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联系电话：0515-88588707</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2.采购代理机构信息</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名称：江苏伟业项目管理有限公司</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地址：盐城市金融城四号楼1103</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联系人：周鹏</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联系电话：13024494996</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3.项目联系方式</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项目负责人：</w:t>
      </w:r>
      <w:r>
        <w:rPr>
          <w:rStyle w:val="44"/>
          <w:rFonts w:hint="eastAsia" w:ascii="宋体" w:hAnsi="宋体"/>
          <w:color w:val="auto"/>
          <w:sz w:val="24"/>
          <w:szCs w:val="24"/>
          <w:lang w:val="en-US" w:eastAsia="zh-CN"/>
        </w:rPr>
        <w:t>高老师</w:t>
      </w:r>
      <w:r>
        <w:rPr>
          <w:rStyle w:val="44"/>
          <w:rFonts w:hint="eastAsia" w:ascii="宋体" w:hAnsi="宋体"/>
          <w:color w:val="auto"/>
          <w:sz w:val="24"/>
          <w:szCs w:val="24"/>
        </w:rPr>
        <w:t xml:space="preserve"> </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联系电话： 18262393599</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对项目需求部分的询问、质疑请向使用部门提出，询问、质疑由项目联系人负责答复。</w:t>
      </w:r>
    </w:p>
    <w:p>
      <w:pPr>
        <w:snapToGrid w:val="0"/>
        <w:spacing w:line="360" w:lineRule="auto"/>
        <w:ind w:firstLine="480" w:firstLineChars="200"/>
        <w:rPr>
          <w:rStyle w:val="44"/>
          <w:rFonts w:ascii="宋体" w:hAnsi="宋体"/>
          <w:color w:val="auto"/>
          <w:sz w:val="24"/>
          <w:szCs w:val="24"/>
        </w:rPr>
      </w:pPr>
    </w:p>
    <w:p>
      <w:pPr>
        <w:pStyle w:val="35"/>
        <w:spacing w:before="0" w:after="0" w:line="240" w:lineRule="auto"/>
        <w:jc w:val="both"/>
        <w:outlineLvl w:val="0"/>
        <w:rPr>
          <w:rStyle w:val="44"/>
          <w:rFonts w:hint="eastAsia" w:ascii="宋体" w:hAnsi="宋体" w:eastAsia="宋体" w:cs="宋体"/>
          <w:color w:val="auto"/>
        </w:rPr>
      </w:pPr>
      <w:bookmarkStart w:id="1" w:name="_Toc10276"/>
    </w:p>
    <w:p>
      <w:pPr>
        <w:pStyle w:val="36"/>
        <w:rPr>
          <w:rFonts w:hint="eastAsia"/>
        </w:rPr>
      </w:pPr>
    </w:p>
    <w:p>
      <w:pPr>
        <w:pStyle w:val="35"/>
        <w:spacing w:before="0" w:after="0" w:line="240" w:lineRule="auto"/>
        <w:outlineLvl w:val="0"/>
        <w:rPr>
          <w:rStyle w:val="44"/>
          <w:rFonts w:ascii="宋体" w:hAnsi="宋体" w:eastAsia="宋体" w:cs="宋体"/>
          <w:b w:val="0"/>
          <w:bCs w:val="0"/>
          <w:color w:val="auto"/>
        </w:rPr>
      </w:pPr>
      <w:r>
        <w:rPr>
          <w:rStyle w:val="44"/>
          <w:rFonts w:hint="eastAsia" w:ascii="宋体" w:hAnsi="宋体" w:eastAsia="宋体" w:cs="宋体"/>
          <w:color w:val="auto"/>
        </w:rPr>
        <w:t>第二章投标人须知</w:t>
      </w:r>
      <w:bookmarkEnd w:id="1"/>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一、总则</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1、招标方式</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2、合格的投标人</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2.1满足招标公告中供应商的资格要求的规定。</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2.2 满足本文件实质性条款的规定。</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3、适用法律</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4、投标费用</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4.1</w:t>
      </w:r>
      <w:r>
        <w:rPr>
          <w:rStyle w:val="44"/>
          <w:rFonts w:hint="eastAsia" w:ascii="宋体" w:hAnsi="宋体"/>
          <w:color w:val="auto"/>
          <w:sz w:val="24"/>
          <w:szCs w:val="24"/>
        </w:rPr>
        <w:t>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4.2本项目中标人与采购人签订合同前领取中标通知书时须向采购代理机构支付招标代理服务费，招标代理收费标准×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5、招标文件的约束力</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5.1</w:t>
      </w:r>
      <w:r>
        <w:rPr>
          <w:rStyle w:val="44"/>
          <w:rFonts w:hint="eastAsia" w:ascii="宋体" w:hAnsi="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6、招标文件的解释</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二、招标文件</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7、招标文件构成</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7.1</w:t>
      </w:r>
      <w:r>
        <w:rPr>
          <w:rStyle w:val="44"/>
          <w:rFonts w:hint="eastAsia" w:ascii="宋体" w:hAnsi="宋体"/>
          <w:color w:val="auto"/>
          <w:sz w:val="24"/>
          <w:szCs w:val="24"/>
        </w:rPr>
        <w:t>招标文件有以下部分组成：</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（1）招标公告</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（2）投标人须知</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（3）合同条款及格式</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（4）项目需求</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（5）评标方法与评标标准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（6）投标文件格式</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7.2</w:t>
      </w:r>
      <w:r>
        <w:rPr>
          <w:rStyle w:val="44"/>
          <w:rFonts w:hint="eastAsia" w:ascii="宋体" w:hAnsi="宋体"/>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8、招标文件的询问</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8.1</w:t>
      </w:r>
      <w:r>
        <w:rPr>
          <w:rStyle w:val="44"/>
          <w:rFonts w:hint="eastAsia" w:ascii="宋体" w:hAnsi="宋体"/>
          <w:color w:val="auto"/>
          <w:sz w:val="24"/>
          <w:szCs w:val="24"/>
        </w:rPr>
        <w:t>任何要求对招标文件进行询问的投标人，应在投标截止日期</w:t>
      </w:r>
      <w:r>
        <w:rPr>
          <w:rStyle w:val="44"/>
          <w:rFonts w:hint="eastAsia" w:ascii="宋体" w:hAnsi="宋体"/>
          <w:b/>
          <w:color w:val="auto"/>
          <w:sz w:val="24"/>
          <w:szCs w:val="24"/>
        </w:rPr>
        <w:t>十日</w:t>
      </w:r>
      <w:r>
        <w:rPr>
          <w:rStyle w:val="44"/>
          <w:rFonts w:hint="eastAsia" w:ascii="宋体" w:hAnsi="宋体"/>
          <w:color w:val="auto"/>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9、招标文件的修改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9.1</w:t>
      </w:r>
      <w:r>
        <w:rPr>
          <w:rStyle w:val="44"/>
          <w:rFonts w:hint="eastAsia" w:ascii="宋体" w:hAnsi="宋体"/>
          <w:color w:val="auto"/>
          <w:sz w:val="24"/>
          <w:szCs w:val="24"/>
        </w:rPr>
        <w:t>在投标截止时间前，采购人或采购代理机构可以对招标文件进行修改。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9.2</w:t>
      </w:r>
      <w:r>
        <w:rPr>
          <w:rStyle w:val="44"/>
          <w:rFonts w:hint="eastAsia" w:ascii="宋体" w:hAnsi="宋体"/>
          <w:color w:val="auto"/>
          <w:sz w:val="24"/>
          <w:szCs w:val="24"/>
        </w:rPr>
        <w:t>采购人或采购代理机构有权依法推迟投标截止日期和开标日期。</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9.3</w:t>
      </w:r>
      <w:r>
        <w:rPr>
          <w:rStyle w:val="44"/>
          <w:rFonts w:hint="eastAsia" w:ascii="宋体" w:hAnsi="宋体"/>
          <w:color w:val="auto"/>
          <w:sz w:val="24"/>
          <w:szCs w:val="24"/>
        </w:rPr>
        <w:t>招标文件的修改将在</w:t>
      </w:r>
      <w:r>
        <w:rPr>
          <w:rStyle w:val="44"/>
          <w:rFonts w:hint="eastAsia" w:ascii="宋体" w:hAnsi="宋体"/>
          <w:bCs/>
          <w:color w:val="auto"/>
          <w:sz w:val="24"/>
          <w:szCs w:val="24"/>
        </w:rPr>
        <w:t>江苏省政府采购网或盐城市政府采购网或盐城工业职业技术学院招标采购网</w:t>
      </w:r>
      <w:r>
        <w:rPr>
          <w:rStyle w:val="44"/>
          <w:rFonts w:hint="eastAsia" w:ascii="宋体" w:hAnsi="宋体"/>
          <w:color w:val="auto"/>
          <w:sz w:val="24"/>
          <w:szCs w:val="24"/>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三、投标文件的编制</w:t>
      </w:r>
    </w:p>
    <w:p>
      <w:pPr>
        <w:pStyle w:val="38"/>
        <w:snapToGrid w:val="0"/>
        <w:spacing w:before="0" w:after="0" w:line="360" w:lineRule="auto"/>
        <w:ind w:firstLine="480" w:firstLineChars="200"/>
        <w:rPr>
          <w:rStyle w:val="44"/>
          <w:rFonts w:ascii="宋体" w:hAnsi="宋体"/>
          <w:bCs/>
          <w:color w:val="auto"/>
          <w:sz w:val="24"/>
          <w:szCs w:val="24"/>
        </w:rPr>
      </w:pPr>
      <w:r>
        <w:rPr>
          <w:rStyle w:val="44"/>
          <w:rFonts w:hint="eastAsia" w:ascii="宋体" w:hAnsi="宋体"/>
          <w:b w:val="0"/>
          <w:bCs/>
          <w:color w:val="auto"/>
          <w:sz w:val="24"/>
          <w:szCs w:val="24"/>
        </w:rPr>
        <w:t>10、投标文件的语言及度量衡单位</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10.1</w:t>
      </w:r>
      <w:r>
        <w:rPr>
          <w:rStyle w:val="44"/>
          <w:rFonts w:hint="eastAsia" w:ascii="宋体" w:hAnsi="宋体"/>
          <w:color w:val="auto"/>
          <w:sz w:val="24"/>
          <w:szCs w:val="24"/>
        </w:rPr>
        <w:t>投标人提交的投标文件以及投标人与采购人或采购代理机构就有关投标的所有来往通知、函件和文件均应使用</w:t>
      </w:r>
      <w:r>
        <w:rPr>
          <w:rStyle w:val="44"/>
          <w:rFonts w:hint="eastAsia" w:ascii="宋体" w:hAnsi="宋体"/>
          <w:b/>
          <w:bCs/>
          <w:color w:val="auto"/>
          <w:sz w:val="24"/>
          <w:szCs w:val="24"/>
        </w:rPr>
        <w:t>简体中文</w:t>
      </w:r>
      <w:r>
        <w:rPr>
          <w:rStyle w:val="44"/>
          <w:rFonts w:hint="eastAsia" w:ascii="宋体" w:hAnsi="宋体"/>
          <w:color w:val="auto"/>
          <w:sz w:val="24"/>
          <w:szCs w:val="24"/>
        </w:rPr>
        <w:t>。</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10.2</w:t>
      </w:r>
      <w:r>
        <w:rPr>
          <w:rStyle w:val="44"/>
          <w:rFonts w:hint="eastAsia" w:ascii="宋体" w:hAnsi="宋体"/>
          <w:color w:val="auto"/>
          <w:sz w:val="24"/>
          <w:szCs w:val="24"/>
        </w:rPr>
        <w:t>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11、投标文件构成</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11.1</w:t>
      </w:r>
      <w:r>
        <w:rPr>
          <w:rStyle w:val="44"/>
          <w:rFonts w:hint="eastAsia" w:ascii="宋体" w:hAnsi="宋体"/>
          <w:color w:val="auto"/>
          <w:sz w:val="24"/>
          <w:szCs w:val="24"/>
        </w:rPr>
        <w:t>投标人编写的投标文件应包括资信证明文件、投标函、开标一览表等部分；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12、证明投标人资格及符合招标文件规定的文件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12.1投标人应按要求提交资格证明文件及符合招标文件规定的文件。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12.5证明投标人所提供货物及服务与招标文件的要求相一致的文件可以是手册、图纸、文字资料和数据</w:t>
      </w:r>
      <w:r>
        <w:rPr>
          <w:rStyle w:val="44"/>
          <w:rFonts w:hint="eastAsia" w:ascii="宋体" w:hAnsi="宋体"/>
          <w:bCs/>
          <w:color w:val="auto"/>
          <w:sz w:val="24"/>
          <w:szCs w:val="24"/>
        </w:rPr>
        <w:t>。</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13、供货一览表和投标配置与分项报价表</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13.1</w:t>
      </w:r>
      <w:r>
        <w:rPr>
          <w:rStyle w:val="44"/>
          <w:rFonts w:hint="eastAsia" w:ascii="宋体" w:hAnsi="宋体"/>
          <w:color w:val="auto"/>
          <w:sz w:val="24"/>
          <w:szCs w:val="24"/>
        </w:rPr>
        <w:t>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13.2</w:t>
      </w:r>
      <w:r>
        <w:rPr>
          <w:rStyle w:val="44"/>
          <w:rFonts w:hint="eastAsia" w:ascii="宋体" w:hAnsi="宋体"/>
          <w:color w:val="auto"/>
          <w:sz w:val="24"/>
          <w:szCs w:val="24"/>
        </w:rPr>
        <w:t>标的物</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采购人需求的货物供应、安装，调试及有关技术服务等</w:t>
      </w:r>
      <w:r>
        <w:rPr>
          <w:rStyle w:val="44"/>
          <w:rFonts w:hint="eastAsia" w:ascii="宋体" w:hAnsi="宋体"/>
          <w:color w:val="auto"/>
          <w:sz w:val="24"/>
          <w:szCs w:val="24"/>
        </w:rPr>
        <w:t>。</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13.3有关费用处理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13.4</w:t>
      </w:r>
      <w:r>
        <w:rPr>
          <w:rStyle w:val="44"/>
          <w:rFonts w:hint="eastAsia" w:ascii="宋体" w:hAnsi="宋体"/>
          <w:bCs/>
          <w:color w:val="auto"/>
          <w:sz w:val="24"/>
          <w:szCs w:val="24"/>
        </w:rPr>
        <w:t>其它费用处理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招标文件未列明，而投标人认为必需的费用也需列入报价。</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13.5</w:t>
      </w:r>
      <w:r>
        <w:rPr>
          <w:rStyle w:val="44"/>
          <w:rFonts w:hint="eastAsia" w:ascii="宋体" w:hAnsi="宋体"/>
          <w:bCs/>
          <w:color w:val="auto"/>
          <w:sz w:val="24"/>
          <w:szCs w:val="24"/>
        </w:rPr>
        <w:t>投标货币</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投标文件中的货物</w:t>
      </w:r>
      <w:r>
        <w:rPr>
          <w:rStyle w:val="44"/>
          <w:rFonts w:hint="eastAsia" w:ascii="宋体" w:hAnsi="宋体"/>
          <w:color w:val="auto"/>
          <w:sz w:val="24"/>
          <w:szCs w:val="24"/>
        </w:rPr>
        <w:t>及服务</w:t>
      </w:r>
      <w:r>
        <w:rPr>
          <w:rStyle w:val="44"/>
          <w:rFonts w:hint="eastAsia" w:ascii="宋体" w:hAnsi="宋体"/>
          <w:bCs/>
          <w:color w:val="auto"/>
          <w:sz w:val="24"/>
          <w:szCs w:val="24"/>
        </w:rPr>
        <w:t>单价和总价无特殊规定的采用人民币报价，以元为单位标注。</w:t>
      </w:r>
      <w:r>
        <w:rPr>
          <w:rStyle w:val="44"/>
          <w:rFonts w:hint="eastAsia" w:ascii="宋体" w:hAnsi="宋体"/>
          <w:color w:val="auto"/>
          <w:sz w:val="24"/>
          <w:szCs w:val="24"/>
        </w:rPr>
        <w:t>招标文件中另有规定的按规定执行。</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13.6</w:t>
      </w:r>
      <w:r>
        <w:rPr>
          <w:rStyle w:val="44"/>
          <w:rFonts w:hint="eastAsia" w:ascii="宋体" w:hAnsi="宋体"/>
          <w:bCs/>
          <w:color w:val="auto"/>
          <w:sz w:val="24"/>
          <w:szCs w:val="24"/>
        </w:rPr>
        <w:t>投标配置与分项报价表上的价格应按下列方式分开填写</w:t>
      </w:r>
      <w:r>
        <w:rPr>
          <w:rStyle w:val="44"/>
          <w:rFonts w:hint="eastAsia" w:ascii="宋体" w:hAnsi="宋体"/>
          <w:color w:val="auto"/>
          <w:sz w:val="24"/>
          <w:szCs w:val="24"/>
        </w:rPr>
        <w:t>：</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 xml:space="preserve">13.6.1 </w:t>
      </w:r>
      <w:r>
        <w:rPr>
          <w:rStyle w:val="44"/>
          <w:rFonts w:hint="eastAsia" w:ascii="宋体" w:hAnsi="宋体"/>
          <w:color w:val="auto"/>
          <w:sz w:val="24"/>
          <w:szCs w:val="24"/>
        </w:rPr>
        <w:t>项目总价：本次招标项目投标人根据现场实际情况、招标人提供的项目需求、自身实力、结合市场行情按一年服务期报价，此报价应包括为完成招标文件及项目需求中的所有内容。</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13.6.2</w:t>
      </w:r>
      <w:r>
        <w:rPr>
          <w:rStyle w:val="44"/>
          <w:rFonts w:hint="eastAsia" w:ascii="宋体" w:hAnsi="宋体"/>
          <w:bCs/>
          <w:color w:val="auto"/>
          <w:sz w:val="24"/>
          <w:szCs w:val="24"/>
        </w:rPr>
        <w:t>项目单价按投标配置及分项报价表中要求填报。</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14</w:t>
      </w:r>
      <w:r>
        <w:rPr>
          <w:rStyle w:val="44"/>
          <w:rFonts w:hint="eastAsia" w:ascii="宋体" w:hAnsi="宋体"/>
          <w:b/>
          <w:bCs/>
          <w:color w:val="auto"/>
          <w:sz w:val="24"/>
          <w:szCs w:val="24"/>
        </w:rPr>
        <w:t>、</w:t>
      </w:r>
      <w:r>
        <w:rPr>
          <w:rStyle w:val="44"/>
          <w:rFonts w:hint="eastAsia" w:ascii="宋体" w:hAnsi="宋体"/>
          <w:color w:val="auto"/>
          <w:sz w:val="24"/>
          <w:szCs w:val="24"/>
        </w:rPr>
        <w:t>技术参数响应及偏离表、商务条款响应及偏离表及投标货物说明</w:t>
      </w:r>
    </w:p>
    <w:p>
      <w:pPr>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bCs/>
          <w:color w:val="auto"/>
          <w:sz w:val="24"/>
          <w:szCs w:val="24"/>
          <w:lang w:val="zh-CN"/>
        </w:rPr>
        <w:t>14.1</w:t>
      </w:r>
      <w:r>
        <w:rPr>
          <w:rStyle w:val="44"/>
          <w:rFonts w:hint="eastAsia" w:ascii="宋体" w:hAnsi="宋体"/>
          <w:color w:val="auto"/>
          <w:sz w:val="24"/>
          <w:szCs w:val="24"/>
          <w:lang w:val="zh-CN"/>
        </w:rPr>
        <w:t>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color w:val="auto"/>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color w:val="auto"/>
          <w:sz w:val="24"/>
          <w:szCs w:val="24"/>
          <w:lang w:val="zh-CN"/>
        </w:rPr>
        <w:t>14.3 培训计划；</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bCs/>
          <w:color w:val="auto"/>
          <w:sz w:val="24"/>
          <w:szCs w:val="24"/>
        </w:rPr>
        <w:t>1</w:t>
      </w:r>
      <w:r>
        <w:rPr>
          <w:rStyle w:val="44"/>
          <w:rFonts w:hint="eastAsia" w:ascii="宋体" w:hAnsi="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olor w:val="auto"/>
          <w:sz w:val="24"/>
          <w:szCs w:val="24"/>
          <w:lang w:val="zh-CN"/>
        </w:rPr>
      </w:pPr>
      <w:r>
        <w:rPr>
          <w:rStyle w:val="44"/>
          <w:rFonts w:hint="eastAsia" w:ascii="宋体" w:hAnsi="宋体"/>
          <w:bCs/>
          <w:color w:val="auto"/>
          <w:sz w:val="24"/>
          <w:szCs w:val="24"/>
        </w:rPr>
        <w:t>15.1</w:t>
      </w:r>
      <w:r>
        <w:rPr>
          <w:rStyle w:val="44"/>
          <w:rFonts w:hint="eastAsia" w:ascii="宋体" w:hAnsi="宋体"/>
          <w:color w:val="auto"/>
          <w:sz w:val="24"/>
          <w:szCs w:val="24"/>
        </w:rPr>
        <w:t>投标人的服务承诺应按不低于招标文件中商务要求的标准。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15.2</w:t>
      </w:r>
      <w:r>
        <w:rPr>
          <w:rStyle w:val="44"/>
          <w:rFonts w:hint="eastAsia" w:ascii="宋体" w:hAnsi="宋体"/>
          <w:color w:val="auto"/>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16、投标函和开标一览表</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16.1</w:t>
      </w:r>
      <w:r>
        <w:rPr>
          <w:rStyle w:val="44"/>
          <w:rFonts w:hint="eastAsia" w:ascii="宋体" w:hAnsi="宋体"/>
          <w:color w:val="auto"/>
          <w:sz w:val="24"/>
          <w:szCs w:val="24"/>
        </w:rPr>
        <w:t>投标人应按照招标文件中提供的格式完整、正确填写投标函、开标一览表。</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16.2开标一览表中的价格应与投标文件中投标配置与分项报价表中的价格一致，如不一致，</w:t>
      </w:r>
      <w:r>
        <w:rPr>
          <w:rStyle w:val="44"/>
          <w:rFonts w:hint="eastAsia" w:ascii="宋体" w:hAnsi="宋体"/>
          <w:color w:val="auto"/>
          <w:sz w:val="24"/>
          <w:szCs w:val="24"/>
        </w:rPr>
        <w:t>不作为无效投标处理</w:t>
      </w:r>
      <w:r>
        <w:rPr>
          <w:rStyle w:val="44"/>
          <w:rFonts w:hint="eastAsia" w:ascii="宋体" w:hAnsi="宋体"/>
          <w:bCs/>
          <w:color w:val="auto"/>
          <w:sz w:val="24"/>
          <w:szCs w:val="24"/>
        </w:rPr>
        <w:t>，但评标时按开标一览表中价格为准</w:t>
      </w:r>
      <w:r>
        <w:rPr>
          <w:rStyle w:val="44"/>
          <w:rFonts w:hint="eastAsia" w:ascii="宋体" w:hAnsi="宋体"/>
          <w:b/>
          <w:bCs/>
          <w:color w:val="auto"/>
          <w:sz w:val="24"/>
          <w:szCs w:val="24"/>
        </w:rPr>
        <w:t>。</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17、投标有效期</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17.1</w:t>
      </w:r>
      <w:r>
        <w:rPr>
          <w:rStyle w:val="44"/>
          <w:rFonts w:hint="eastAsia" w:ascii="宋体" w:hAnsi="宋体"/>
          <w:bCs/>
          <w:color w:val="auto"/>
          <w:sz w:val="24"/>
          <w:szCs w:val="24"/>
        </w:rPr>
        <w:t>投标有效期为采购人或采购代理机构规定的开标之日后</w:t>
      </w:r>
      <w:r>
        <w:rPr>
          <w:rStyle w:val="44"/>
          <w:rFonts w:hint="eastAsia" w:ascii="宋体" w:hAnsi="宋体"/>
          <w:b/>
          <w:color w:val="auto"/>
          <w:sz w:val="24"/>
          <w:szCs w:val="24"/>
          <w:u w:val="single" w:color="000000"/>
        </w:rPr>
        <w:t>六十（60）天</w:t>
      </w:r>
      <w:r>
        <w:rPr>
          <w:rStyle w:val="44"/>
          <w:rFonts w:hint="eastAsia" w:ascii="宋体" w:hAnsi="宋体"/>
          <w:bCs/>
          <w:color w:val="auto"/>
          <w:sz w:val="24"/>
          <w:szCs w:val="24"/>
        </w:rPr>
        <w:t>。投标有效期比规定短的将被视为非响应性投标而予以拒绝。</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17.2</w:t>
      </w:r>
      <w:r>
        <w:rPr>
          <w:rStyle w:val="44"/>
          <w:rFonts w:hint="eastAsia" w:ascii="宋体" w:hAnsi="宋体"/>
          <w:bCs/>
          <w:color w:val="auto"/>
          <w:sz w:val="24"/>
          <w:szCs w:val="24"/>
        </w:rPr>
        <w:t>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olor w:val="auto"/>
          <w:sz w:val="24"/>
          <w:szCs w:val="24"/>
        </w:rPr>
        <w:t>。</w:t>
      </w:r>
      <w:r>
        <w:rPr>
          <w:rStyle w:val="44"/>
          <w:rFonts w:hint="eastAsia" w:ascii="宋体" w:hAnsi="宋体"/>
          <w:bCs/>
          <w:color w:val="auto"/>
          <w:sz w:val="24"/>
          <w:szCs w:val="24"/>
        </w:rPr>
        <w:t>同意延长投标有效期的投标人既不能要求也不允许修改其投标文件。</w:t>
      </w:r>
      <w:r>
        <w:rPr>
          <w:rStyle w:val="44"/>
          <w:rFonts w:hint="eastAsia" w:ascii="宋体" w:hAnsi="宋体"/>
          <w:color w:val="auto"/>
          <w:sz w:val="24"/>
          <w:szCs w:val="24"/>
        </w:rPr>
        <w:t>受投标有效期约束的所有权利与义务均延长至新的有效期</w:t>
      </w:r>
      <w:r>
        <w:rPr>
          <w:rStyle w:val="44"/>
          <w:rFonts w:hint="eastAsia" w:ascii="宋体" w:hAnsi="宋体"/>
          <w:bCs/>
          <w:color w:val="auto"/>
          <w:sz w:val="24"/>
          <w:szCs w:val="24"/>
        </w:rPr>
        <w:t>。</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18、投标文件份数和签署</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18.1</w:t>
      </w:r>
      <w:r>
        <w:rPr>
          <w:rStyle w:val="44"/>
          <w:rFonts w:hint="eastAsia" w:ascii="宋体" w:hAnsi="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18.2投标文件正本中，</w:t>
      </w:r>
      <w:r>
        <w:rPr>
          <w:rStyle w:val="44"/>
          <w:rFonts w:hint="eastAsia" w:ascii="宋体" w:hAnsi="宋体"/>
          <w:bCs/>
          <w:color w:val="auto"/>
          <w:sz w:val="24"/>
          <w:szCs w:val="24"/>
        </w:rPr>
        <w:t>招标文件要求必须提供原件的按照要求提供，文</w:t>
      </w:r>
      <w:r>
        <w:rPr>
          <w:rStyle w:val="44"/>
          <w:rFonts w:hint="eastAsia" w:ascii="宋体" w:hAnsi="宋体"/>
          <w:color w:val="auto"/>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18.3</w:t>
      </w:r>
      <w:r>
        <w:rPr>
          <w:rStyle w:val="44"/>
          <w:rFonts w:hint="eastAsia" w:ascii="宋体" w:hAnsi="宋体"/>
          <w:bCs/>
          <w:color w:val="auto"/>
          <w:sz w:val="24"/>
          <w:szCs w:val="24"/>
        </w:rPr>
        <w:t>除投标人对错处做必要修改外，投标文件不得行间插字、涂改或增删。如有修改错漏处，必须由投标文件签署人签字或盖章。</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四、投标文件的递交</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19、投标文件的密封和标记</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19.1</w:t>
      </w:r>
      <w:r>
        <w:rPr>
          <w:rStyle w:val="44"/>
          <w:rFonts w:hint="eastAsia" w:ascii="宋体" w:hAnsi="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19.2</w:t>
      </w:r>
      <w:r>
        <w:rPr>
          <w:rStyle w:val="44"/>
          <w:rFonts w:hint="eastAsia" w:ascii="宋体" w:hAnsi="宋体"/>
          <w:bCs/>
          <w:color w:val="auto"/>
          <w:sz w:val="24"/>
          <w:szCs w:val="24"/>
        </w:rPr>
        <w:t>密封的投标文件应：</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19.2.2  注明投标项目名称、标书编号及包号。</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19.2.3</w:t>
      </w:r>
      <w:r>
        <w:rPr>
          <w:rStyle w:val="44"/>
          <w:rFonts w:hint="eastAsia" w:ascii="宋体" w:hAnsi="宋体"/>
          <w:bCs/>
          <w:color w:val="auto"/>
          <w:sz w:val="24"/>
          <w:szCs w:val="24"/>
        </w:rPr>
        <w:t>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20、投标截止日期</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20.1</w:t>
      </w:r>
      <w:r>
        <w:rPr>
          <w:rStyle w:val="44"/>
          <w:rFonts w:hint="eastAsia" w:ascii="宋体" w:hAnsi="宋体"/>
          <w:bCs/>
          <w:color w:val="auto"/>
          <w:sz w:val="24"/>
          <w:szCs w:val="24"/>
        </w:rPr>
        <w:t>采购人和采购代理机构收到投标文件的时间不得迟于招标公告中规定的截止时间。</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20.2</w:t>
      </w:r>
      <w:r>
        <w:rPr>
          <w:rStyle w:val="44"/>
          <w:rFonts w:hint="eastAsia" w:ascii="宋体" w:hAnsi="宋体"/>
          <w:bCs/>
          <w:color w:val="auto"/>
          <w:sz w:val="24"/>
          <w:szCs w:val="24"/>
        </w:rPr>
        <w:t>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21、迟交的投标文件</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21.1</w:t>
      </w:r>
      <w:r>
        <w:rPr>
          <w:rStyle w:val="44"/>
          <w:rFonts w:hint="eastAsia" w:ascii="宋体" w:hAnsi="宋体"/>
          <w:bCs/>
          <w:color w:val="auto"/>
          <w:sz w:val="24"/>
          <w:szCs w:val="24"/>
        </w:rPr>
        <w:t>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22、投标文件的修改和撤回</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22.1</w:t>
      </w:r>
      <w:r>
        <w:rPr>
          <w:rStyle w:val="44"/>
          <w:rFonts w:hint="eastAsia" w:ascii="宋体" w:hAnsi="宋体"/>
          <w:bCs/>
          <w:color w:val="auto"/>
          <w:sz w:val="24"/>
          <w:szCs w:val="24"/>
        </w:rPr>
        <w:t>投标人在递交投标文件后，可以修改或撤回其投标文件，但这种修改和撤回，必须在规定的投标截止时间前，以书面形式</w:t>
      </w:r>
      <w:r>
        <w:rPr>
          <w:rStyle w:val="44"/>
          <w:rFonts w:hint="eastAsia" w:ascii="宋体" w:hAnsi="宋体"/>
          <w:color w:val="auto"/>
          <w:sz w:val="24"/>
          <w:szCs w:val="24"/>
        </w:rPr>
        <w:t>通知采购人或采购代理机构，修改或撤回其投标文件。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22.2</w:t>
      </w:r>
      <w:r>
        <w:rPr>
          <w:rStyle w:val="44"/>
          <w:rFonts w:hint="eastAsia" w:ascii="宋体" w:hAnsi="宋体"/>
          <w:bCs/>
          <w:color w:val="auto"/>
          <w:sz w:val="24"/>
          <w:szCs w:val="24"/>
        </w:rPr>
        <w:t>投标人的修改或撤回文件应按规定进行编制、密封、标记和发送，并应在封套上加注“修改”或“撤回”字样。</w:t>
      </w:r>
      <w:r>
        <w:rPr>
          <w:rStyle w:val="44"/>
          <w:rFonts w:hint="eastAsia" w:ascii="宋体" w:hAnsi="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22.3</w:t>
      </w:r>
      <w:r>
        <w:rPr>
          <w:rStyle w:val="44"/>
          <w:rFonts w:hint="eastAsia" w:ascii="宋体" w:hAnsi="宋体"/>
          <w:bCs/>
          <w:color w:val="auto"/>
          <w:sz w:val="24"/>
          <w:szCs w:val="24"/>
        </w:rPr>
        <w:t>在投标截止时间之后，投标人不得对其投标文件作任何修改。</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22.4</w:t>
      </w:r>
      <w:r>
        <w:rPr>
          <w:rStyle w:val="44"/>
          <w:rFonts w:hint="eastAsia" w:ascii="宋体" w:hAnsi="宋体"/>
          <w:bCs/>
          <w:color w:val="auto"/>
          <w:sz w:val="24"/>
          <w:szCs w:val="24"/>
        </w:rPr>
        <w:t>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五、开标与评标</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23、开标</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23.1</w:t>
      </w:r>
      <w:r>
        <w:rPr>
          <w:rStyle w:val="44"/>
          <w:rFonts w:hint="eastAsia" w:ascii="宋体" w:hAnsi="宋体"/>
          <w:bCs/>
          <w:color w:val="auto"/>
          <w:sz w:val="24"/>
          <w:szCs w:val="24"/>
        </w:rPr>
        <w:t>采购人和采购代理机构将在招标公告中规定的时间和地点组织公开开标</w:t>
      </w:r>
      <w:r>
        <w:rPr>
          <w:rStyle w:val="44"/>
          <w:rFonts w:hint="eastAsia" w:ascii="宋体" w:hAnsi="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23.2</w:t>
      </w:r>
      <w:r>
        <w:rPr>
          <w:rStyle w:val="44"/>
          <w:rFonts w:hint="eastAsia" w:ascii="宋体" w:hAnsi="宋体"/>
          <w:color w:val="auto"/>
          <w:sz w:val="24"/>
          <w:szCs w:val="24"/>
        </w:rPr>
        <w:t>开标仪式由采购人或采购代理机构组织，采购人代表</w:t>
      </w:r>
      <w:r>
        <w:rPr>
          <w:rStyle w:val="44"/>
          <w:rFonts w:hint="eastAsia" w:ascii="宋体" w:hAnsi="宋体"/>
          <w:b/>
          <w:color w:val="auto"/>
          <w:sz w:val="24"/>
          <w:szCs w:val="24"/>
        </w:rPr>
        <w:t>(需提供单位授权函)</w:t>
      </w:r>
      <w:r>
        <w:rPr>
          <w:rStyle w:val="44"/>
          <w:rFonts w:hint="eastAsia" w:ascii="宋体" w:hAnsi="宋体"/>
          <w:color w:val="auto"/>
          <w:sz w:val="24"/>
          <w:szCs w:val="24"/>
        </w:rPr>
        <w:t>、监管代表、投标人代表等参加。</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23.3</w:t>
      </w:r>
      <w:r>
        <w:rPr>
          <w:rStyle w:val="44"/>
          <w:rFonts w:hint="eastAsia" w:ascii="宋体" w:hAnsi="宋体"/>
          <w:bCs/>
          <w:color w:val="auto"/>
          <w:sz w:val="24"/>
          <w:szCs w:val="24"/>
        </w:rPr>
        <w:t>按照规定同意撤回的投标将不予开封。</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24、资格审查</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24.1</w:t>
      </w:r>
      <w:r>
        <w:rPr>
          <w:rStyle w:val="44"/>
          <w:rFonts w:hint="eastAsia" w:ascii="宋体" w:hAnsi="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合格投标人不足3家的，不得评标。</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25、评标委员会</w:t>
      </w:r>
    </w:p>
    <w:p>
      <w:pPr>
        <w:snapToGrid w:val="0"/>
        <w:spacing w:line="360" w:lineRule="auto"/>
        <w:ind w:firstLine="480" w:firstLineChars="200"/>
        <w:rPr>
          <w:rStyle w:val="44"/>
          <w:rFonts w:ascii="宋体" w:hAnsi="宋体"/>
          <w:b/>
          <w:color w:val="auto"/>
          <w:sz w:val="24"/>
          <w:szCs w:val="24"/>
        </w:rPr>
      </w:pPr>
      <w:r>
        <w:rPr>
          <w:rStyle w:val="44"/>
          <w:rFonts w:hint="eastAsia" w:ascii="宋体" w:hAnsi="宋体"/>
          <w:color w:val="auto"/>
          <w:sz w:val="24"/>
          <w:szCs w:val="24"/>
        </w:rPr>
        <w:t>25.1资格审查通过后，采购人将组织评标委员会（以下简称评委会）进行评标。</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25.3评委会独立工作，负责评审所有投标文件并确定中标候选人。</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26、评标过程的保密与公正</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26.1</w:t>
      </w:r>
      <w:r>
        <w:rPr>
          <w:rStyle w:val="44"/>
          <w:rFonts w:hint="eastAsia" w:ascii="宋体" w:hAnsi="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26.3在评标期间，采购人或采购代理机构将设专门人员与投标人联系。</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27、投标的澄清</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28、对投标文件的评审</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28.1</w:t>
      </w:r>
      <w:r>
        <w:rPr>
          <w:rStyle w:val="44"/>
          <w:rFonts w:hint="eastAsia" w:ascii="宋体" w:hAnsi="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28.3</w:t>
      </w:r>
      <w:r>
        <w:rPr>
          <w:rStyle w:val="44"/>
          <w:rFonts w:hint="eastAsia" w:ascii="宋体" w:hAnsi="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28.4</w:t>
      </w:r>
      <w:r>
        <w:rPr>
          <w:rStyle w:val="44"/>
          <w:rFonts w:hint="eastAsia" w:ascii="宋体" w:hAnsi="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（2）大写金额和小写金额不一致的，以大写金额为准。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（4）总价金额与按单价汇总金额不一致的，以单价金额计算结果为准。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同时出现两种以上错误的，按照前款规定的顺序修正。</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28.5</w:t>
      </w:r>
      <w:r>
        <w:rPr>
          <w:rStyle w:val="44"/>
          <w:rFonts w:hint="eastAsia" w:ascii="宋体" w:hAnsi="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color w:val="auto"/>
          <w:sz w:val="24"/>
          <w:szCs w:val="24"/>
        </w:rPr>
        <w:t>28.6</w:t>
      </w:r>
      <w:r>
        <w:rPr>
          <w:rStyle w:val="44"/>
          <w:rFonts w:hint="eastAsia" w:ascii="宋体" w:hAnsi="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28.7</w:t>
      </w:r>
      <w:r>
        <w:rPr>
          <w:rStyle w:val="44"/>
          <w:rFonts w:hint="eastAsia" w:ascii="宋体" w:hAnsi="宋体"/>
          <w:b/>
          <w:color w:val="auto"/>
          <w:sz w:val="24"/>
          <w:szCs w:val="24"/>
        </w:rPr>
        <w:t>采用最低评标价法的采购项目，</w:t>
      </w:r>
      <w:r>
        <w:rPr>
          <w:rStyle w:val="44"/>
          <w:rFonts w:hint="eastAsia" w:ascii="宋体" w:hAnsi="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olor w:val="auto"/>
          <w:sz w:val="24"/>
          <w:szCs w:val="24"/>
        </w:rPr>
      </w:pPr>
      <w:r>
        <w:rPr>
          <w:rStyle w:val="44"/>
          <w:rFonts w:hint="eastAsia" w:ascii="宋体" w:hAnsi="宋体"/>
          <w:b/>
          <w:color w:val="auto"/>
          <w:sz w:val="24"/>
          <w:szCs w:val="24"/>
        </w:rPr>
        <w:t>使用综合评分法的采购项目，</w:t>
      </w:r>
      <w:r>
        <w:rPr>
          <w:rStyle w:val="44"/>
          <w:rFonts w:hint="eastAsia" w:ascii="宋体" w:hAnsi="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olor w:val="auto"/>
          <w:sz w:val="24"/>
          <w:szCs w:val="24"/>
        </w:rPr>
      </w:pPr>
      <w:r>
        <w:rPr>
          <w:rStyle w:val="44"/>
          <w:rFonts w:hint="eastAsia" w:ascii="宋体" w:hAnsi="宋体"/>
          <w:b/>
          <w:color w:val="auto"/>
          <w:sz w:val="24"/>
          <w:szCs w:val="24"/>
        </w:rPr>
        <w:t>非单一产品采购项目，</w:t>
      </w:r>
      <w:r>
        <w:rPr>
          <w:rStyle w:val="44"/>
          <w:rFonts w:hint="eastAsia" w:ascii="宋体" w:hAnsi="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b w:val="0"/>
          <w:bCs/>
          <w:color w:val="auto"/>
          <w:sz w:val="24"/>
          <w:szCs w:val="24"/>
        </w:rPr>
      </w:pPr>
      <w:r>
        <w:rPr>
          <w:rStyle w:val="44"/>
          <w:rFonts w:hint="eastAsia" w:ascii="宋体" w:hAnsi="宋体"/>
          <w:b w:val="0"/>
          <w:bCs/>
          <w:color w:val="auto"/>
          <w:sz w:val="24"/>
          <w:szCs w:val="24"/>
        </w:rPr>
        <w:t>29、无效投标条款和废标条款</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29.1无效投标条款</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29.1.1未按要求交纳投标保证金的（本项目无要求）；</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29.1.2未按照招标文件规定要求密封、签署、盖章的；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29.1.3投标人在报价时采用选择性报价；</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29.1.4投标人不具备招标文件中规定资格要求的；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29.1.5投标人的报价超过了采购预算或最高限价的；</w:t>
      </w:r>
    </w:p>
    <w:p>
      <w:pPr>
        <w:snapToGrid w:val="0"/>
        <w:spacing w:line="360" w:lineRule="auto"/>
        <w:ind w:firstLine="480" w:firstLineChars="200"/>
        <w:rPr>
          <w:rStyle w:val="44"/>
          <w:rFonts w:ascii="宋体" w:hAnsi="宋体"/>
          <w:bCs/>
          <w:i/>
          <w:color w:val="auto"/>
          <w:sz w:val="24"/>
          <w:szCs w:val="24"/>
          <w:u w:val="single" w:color="000000"/>
        </w:rPr>
      </w:pPr>
      <w:r>
        <w:rPr>
          <w:rStyle w:val="44"/>
          <w:rFonts w:hint="eastAsia" w:ascii="宋体" w:hAnsi="宋体"/>
          <w:bCs/>
          <w:color w:val="auto"/>
          <w:sz w:val="24"/>
          <w:szCs w:val="24"/>
        </w:rPr>
        <w:t>29.1.6未通过符合性检查的；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29.1.7不符合招标文件中规定的其他实质性要求和条件的；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29.1.8 投标人串通投标；</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29.1.9  投标文件含有采购人不能接受的附加条件的。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29.1.11其他法律、法规及本招标文件规定的属无效投标的情形。</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29.2废标条款：</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29.2.2出现影响采购公正的违法、违规行为的；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29.2.3因重大变故，采购任务取消的；</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29.2.4评标委员会认定招标文件存在歧义、重大缺陷导致评审工作无法进行。</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29.3 投标截止时间结束后参加投标的供应商不足三家的处理：</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六、定标</w:t>
      </w:r>
    </w:p>
    <w:p>
      <w:pPr>
        <w:pStyle w:val="38"/>
        <w:snapToGrid w:val="0"/>
        <w:spacing w:before="0" w:after="0" w:line="360" w:lineRule="auto"/>
        <w:ind w:firstLine="480" w:firstLineChars="200"/>
        <w:rPr>
          <w:rStyle w:val="44"/>
          <w:rFonts w:ascii="宋体" w:hAnsi="宋体"/>
          <w:b w:val="0"/>
          <w:color w:val="auto"/>
          <w:sz w:val="24"/>
          <w:szCs w:val="24"/>
        </w:rPr>
      </w:pPr>
      <w:r>
        <w:rPr>
          <w:rStyle w:val="44"/>
          <w:rFonts w:hint="eastAsia" w:ascii="宋体" w:hAnsi="宋体"/>
          <w:b w:val="0"/>
          <w:color w:val="auto"/>
          <w:sz w:val="24"/>
          <w:szCs w:val="24"/>
        </w:rPr>
        <w:t>30、确定中标单位</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30.2 采购人应根据评委会推荐的中标候选人确定中标供应商。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30.3采购人</w:t>
      </w:r>
      <w:r>
        <w:rPr>
          <w:rStyle w:val="44"/>
          <w:rFonts w:hint="eastAsia" w:ascii="宋体" w:hAnsi="宋体"/>
          <w:color w:val="auto"/>
          <w:sz w:val="24"/>
          <w:szCs w:val="24"/>
        </w:rPr>
        <w:t>将在</w:t>
      </w:r>
      <w:r>
        <w:rPr>
          <w:rStyle w:val="44"/>
          <w:rFonts w:hint="eastAsia" w:ascii="宋体" w:hAnsi="宋体"/>
          <w:bCs/>
          <w:color w:val="auto"/>
          <w:sz w:val="24"/>
          <w:szCs w:val="24"/>
        </w:rPr>
        <w:t>江苏省政府采购网或盐城市政府采购网或盐城工业职业技术学院招标采购网</w:t>
      </w:r>
      <w:r>
        <w:rPr>
          <w:rStyle w:val="44"/>
          <w:rFonts w:hint="eastAsia" w:ascii="宋体" w:hAnsi="宋体"/>
          <w:color w:val="auto"/>
          <w:sz w:val="24"/>
          <w:szCs w:val="24"/>
        </w:rPr>
        <w:t>发布中标公告，公告期限为1个工作日。</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30</w:t>
      </w:r>
      <w:r>
        <w:rPr>
          <w:rStyle w:val="44"/>
          <w:rFonts w:hint="eastAsia" w:ascii="宋体" w:hAnsi="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30</w:t>
      </w:r>
      <w:r>
        <w:rPr>
          <w:rStyle w:val="44"/>
          <w:rFonts w:hint="eastAsia" w:ascii="宋体" w:hAnsi="宋体"/>
          <w:color w:val="auto"/>
          <w:sz w:val="24"/>
          <w:szCs w:val="24"/>
        </w:rPr>
        <w:t>.4.1提供虚假材料谋取中标的；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30</w:t>
      </w:r>
      <w:r>
        <w:rPr>
          <w:rStyle w:val="44"/>
          <w:rFonts w:hint="eastAsia" w:ascii="宋体" w:hAnsi="宋体"/>
          <w:color w:val="auto"/>
          <w:sz w:val="24"/>
          <w:szCs w:val="24"/>
        </w:rPr>
        <w:t>.4.2向采购人或采购代理机构行贿或者提供其他不正当利益的；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30</w:t>
      </w:r>
      <w:r>
        <w:rPr>
          <w:rStyle w:val="44"/>
          <w:rFonts w:hint="eastAsia" w:ascii="宋体" w:hAnsi="宋体"/>
          <w:color w:val="auto"/>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30.4.5与采购人或者其他供应商恶意串通的；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30.4.6采取不正当手段诋毁、排挤其他供应商的；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30.4.7不符合法律、法规的规定的。</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 xml:space="preserve">30.5. </w:t>
      </w:r>
      <w:r>
        <w:rPr>
          <w:rStyle w:val="44"/>
          <w:rFonts w:hint="eastAsia" w:ascii="宋体" w:hAnsi="宋体"/>
          <w:color w:val="auto"/>
          <w:kern w:val="0"/>
          <w:sz w:val="24"/>
          <w:szCs w:val="24"/>
        </w:rPr>
        <w:t>有下列情形之一的，视为投标人串通投标，投标无效：</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30.5.1不同投标人的投标文件由同一单位或者个人编制。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30.5.2不同投标人委托同一单位或者个人办理投标事宜。</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30.5.4不同投标人的投标文件异常一致或者投标报价呈规律性差异。</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b w:val="0"/>
          <w:color w:val="auto"/>
          <w:sz w:val="24"/>
          <w:szCs w:val="24"/>
        </w:rPr>
      </w:pPr>
      <w:r>
        <w:rPr>
          <w:rStyle w:val="44"/>
          <w:rFonts w:hint="eastAsia" w:ascii="宋体" w:hAnsi="宋体"/>
          <w:b w:val="0"/>
          <w:color w:val="auto"/>
          <w:sz w:val="24"/>
          <w:szCs w:val="24"/>
        </w:rPr>
        <w:t>31、质疑处理</w:t>
      </w:r>
      <w:r>
        <w:rPr>
          <w:rStyle w:val="44"/>
          <w:rFonts w:hint="eastAsia" w:ascii="宋体" w:hAnsi="宋体"/>
          <w:b w:val="0"/>
          <w:color w:val="auto"/>
          <w:sz w:val="24"/>
          <w:szCs w:val="24"/>
        </w:rPr>
        <w:tab/>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31.1参加投标供应商认为招标文件、采购过程和中标结果使自己的权益受到损害的，可以在知道或应知其权益受到损害之日起七个工作日内，上述应知其权益受到损害之日，是指：</w:t>
      </w:r>
    </w:p>
    <w:p>
      <w:pPr>
        <w:snapToGrid w:val="0"/>
        <w:spacing w:line="360" w:lineRule="auto"/>
        <w:ind w:firstLine="480" w:firstLineChars="200"/>
        <w:rPr>
          <w:rStyle w:val="44"/>
          <w:rFonts w:ascii="宋体" w:hAnsi="宋体"/>
          <w:color w:val="auto"/>
          <w:kern w:val="0"/>
          <w:sz w:val="24"/>
          <w:szCs w:val="24"/>
        </w:rPr>
      </w:pPr>
      <w:r>
        <w:rPr>
          <w:rStyle w:val="44"/>
          <w:rFonts w:hint="eastAsia" w:ascii="宋体" w:hAnsi="宋体"/>
          <w:color w:val="auto"/>
          <w:sz w:val="24"/>
          <w:szCs w:val="24"/>
        </w:rPr>
        <w:t>31.1.1</w:t>
      </w:r>
      <w:r>
        <w:rPr>
          <w:rStyle w:val="44"/>
          <w:rFonts w:hint="eastAsia" w:ascii="宋体" w:hAnsi="宋体"/>
          <w:color w:val="auto"/>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4"/>
          <w:rFonts w:ascii="宋体" w:hAnsi="宋体"/>
          <w:color w:val="auto"/>
          <w:kern w:val="0"/>
          <w:sz w:val="24"/>
          <w:szCs w:val="24"/>
        </w:rPr>
      </w:pPr>
      <w:r>
        <w:rPr>
          <w:rStyle w:val="44"/>
          <w:rFonts w:hint="eastAsia" w:ascii="宋体" w:hAnsi="宋体"/>
          <w:color w:val="auto"/>
          <w:sz w:val="24"/>
          <w:szCs w:val="24"/>
        </w:rPr>
        <w:t>31.1.2</w:t>
      </w:r>
      <w:r>
        <w:rPr>
          <w:rStyle w:val="44"/>
          <w:rFonts w:hint="eastAsia" w:ascii="宋体" w:hAnsi="宋体"/>
          <w:color w:val="auto"/>
          <w:kern w:val="0"/>
          <w:sz w:val="24"/>
          <w:szCs w:val="24"/>
        </w:rPr>
        <w:t>对采购过程提出质疑的，为各采购程序环节结束之日；</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31.1.3</w:t>
      </w:r>
      <w:r>
        <w:rPr>
          <w:rStyle w:val="44"/>
          <w:rFonts w:hint="eastAsia" w:ascii="宋体" w:hAnsi="宋体"/>
          <w:color w:val="auto"/>
          <w:kern w:val="0"/>
          <w:sz w:val="24"/>
          <w:szCs w:val="24"/>
        </w:rPr>
        <w:t>对中标结果提出质疑的，为中标结果公告期限届满之日。</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31.2质疑必须按《政府采购法》、《政府采购法实施条例》及《江苏省政府采购供应商监督管理暂行办法》的相关规定提交。</w:t>
      </w:r>
      <w:r>
        <w:rPr>
          <w:rStyle w:val="44"/>
          <w:rFonts w:hint="eastAsia" w:ascii="宋体" w:hAnsi="宋体"/>
          <w:b/>
          <w:bCs/>
          <w:color w:val="auto"/>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未按上述要求提交的质疑函（含传真、电子邮件等）采购人和采购代理机构有权不予受理。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31.4质疑函应当包括下列内容：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31.4.1质疑投标人的名称、地址、邮编、联系人、联系电话；</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31.4.2具体的质疑事项及明确的请求；</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31.4.3认为自己合法权益受到损害或可能受到损害的相关证据材料；</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31.4.4提起质疑的日期；</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b w:val="0"/>
          <w:color w:val="auto"/>
          <w:sz w:val="24"/>
          <w:szCs w:val="24"/>
        </w:rPr>
      </w:pPr>
      <w:r>
        <w:rPr>
          <w:rStyle w:val="44"/>
          <w:rFonts w:hint="eastAsia" w:ascii="宋体" w:hAnsi="宋体"/>
          <w:b w:val="0"/>
          <w:color w:val="auto"/>
          <w:sz w:val="24"/>
          <w:szCs w:val="24"/>
        </w:rPr>
        <w:t>32、中标通知书</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32.l中标结果确定后，采购人将向中标供应商发出中标通知书。</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七、合同签订相关事项</w:t>
      </w:r>
    </w:p>
    <w:p>
      <w:pPr>
        <w:pStyle w:val="38"/>
        <w:snapToGrid w:val="0"/>
        <w:spacing w:before="0" w:after="0" w:line="360" w:lineRule="auto"/>
        <w:ind w:firstLine="480" w:firstLineChars="200"/>
        <w:rPr>
          <w:rStyle w:val="44"/>
          <w:rFonts w:ascii="宋体" w:hAnsi="宋体"/>
          <w:b w:val="0"/>
          <w:color w:val="auto"/>
          <w:sz w:val="24"/>
          <w:szCs w:val="24"/>
        </w:rPr>
      </w:pPr>
      <w:r>
        <w:rPr>
          <w:rStyle w:val="44"/>
          <w:rFonts w:hint="eastAsia" w:ascii="宋体" w:hAnsi="宋体"/>
          <w:b w:val="0"/>
          <w:color w:val="auto"/>
          <w:sz w:val="24"/>
          <w:szCs w:val="24"/>
        </w:rPr>
        <w:t>33. 签订合同</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bCs/>
          <w:color w:val="auto"/>
          <w:sz w:val="24"/>
          <w:szCs w:val="24"/>
        </w:rPr>
        <w:t>33</w:t>
      </w:r>
      <w:r>
        <w:rPr>
          <w:rStyle w:val="44"/>
          <w:rFonts w:hint="eastAsia" w:ascii="宋体" w:hAnsi="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b w:val="0"/>
          <w:color w:val="auto"/>
          <w:sz w:val="24"/>
          <w:szCs w:val="24"/>
        </w:rPr>
      </w:pPr>
      <w:r>
        <w:rPr>
          <w:rStyle w:val="44"/>
          <w:rFonts w:hint="eastAsia" w:ascii="宋体" w:hAnsi="宋体"/>
          <w:b w:val="0"/>
          <w:color w:val="auto"/>
          <w:sz w:val="24"/>
          <w:szCs w:val="24"/>
        </w:rPr>
        <w:t>34、货物和服务的追加、减少和添购。</w:t>
      </w:r>
    </w:p>
    <w:p>
      <w:pPr>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b/>
          <w:color w:val="auto"/>
          <w:sz w:val="24"/>
          <w:szCs w:val="24"/>
        </w:rPr>
      </w:pPr>
      <w:r>
        <w:rPr>
          <w:rStyle w:val="44"/>
          <w:rFonts w:hint="eastAsia" w:ascii="宋体" w:hAnsi="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bCs/>
          <w:color w:val="auto"/>
          <w:sz w:val="24"/>
          <w:szCs w:val="24"/>
        </w:rPr>
      </w:pPr>
      <w:r>
        <w:rPr>
          <w:rStyle w:val="44"/>
          <w:rFonts w:hint="eastAsia" w:ascii="宋体" w:hAnsi="宋体"/>
          <w:bCs/>
          <w:color w:val="auto"/>
          <w:sz w:val="24"/>
          <w:szCs w:val="24"/>
        </w:rPr>
        <w:t>35、履约保证金</w:t>
      </w:r>
    </w:p>
    <w:p>
      <w:pPr>
        <w:tabs>
          <w:tab w:val="left" w:pos="900"/>
        </w:tabs>
        <w:snapToGrid w:val="0"/>
        <w:spacing w:line="360" w:lineRule="auto"/>
        <w:ind w:firstLine="480" w:firstLineChars="200"/>
        <w:rPr>
          <w:rStyle w:val="44"/>
          <w:rFonts w:ascii="宋体" w:hAnsi="宋体"/>
          <w:color w:val="auto"/>
          <w:sz w:val="24"/>
          <w:szCs w:val="24"/>
        </w:rPr>
      </w:pPr>
      <w:r>
        <w:rPr>
          <w:rStyle w:val="44"/>
          <w:rFonts w:hint="eastAsia" w:ascii="宋体" w:hAnsi="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2" w:firstLineChars="200"/>
        <w:rPr>
          <w:rStyle w:val="44"/>
          <w:rFonts w:ascii="宋体" w:hAnsi="宋体"/>
          <w:b/>
          <w:bCs/>
          <w:color w:val="auto"/>
          <w:sz w:val="24"/>
          <w:szCs w:val="24"/>
        </w:rPr>
      </w:pPr>
      <w:r>
        <w:rPr>
          <w:rStyle w:val="44"/>
          <w:rFonts w:hint="eastAsia" w:ascii="宋体" w:hAnsi="宋体"/>
          <w:b/>
          <w:bCs/>
          <w:color w:val="auto"/>
          <w:sz w:val="24"/>
          <w:szCs w:val="24"/>
        </w:rPr>
        <w:t>八、其他</w:t>
      </w:r>
    </w:p>
    <w:p>
      <w:pPr>
        <w:snapToGrid w:val="0"/>
        <w:spacing w:line="360" w:lineRule="auto"/>
        <w:ind w:firstLine="482" w:firstLineChars="200"/>
        <w:rPr>
          <w:rStyle w:val="44"/>
          <w:rFonts w:ascii="宋体" w:hAnsi="宋体"/>
          <w:b/>
          <w:color w:val="auto"/>
          <w:sz w:val="44"/>
          <w:szCs w:val="28"/>
        </w:rPr>
      </w:pPr>
      <w:r>
        <w:rPr>
          <w:rStyle w:val="44"/>
          <w:rFonts w:hint="eastAsia" w:ascii="宋体" w:hAnsi="宋体"/>
          <w:b/>
          <w:color w:val="auto"/>
          <w:sz w:val="24"/>
          <w:szCs w:val="24"/>
        </w:rPr>
        <w:t>37、样品：</w:t>
      </w:r>
      <w:r>
        <w:rPr>
          <w:rStyle w:val="44"/>
          <w:rFonts w:hint="eastAsia" w:ascii="宋体" w:hAnsi="宋体"/>
          <w:color w:val="auto"/>
          <w:sz w:val="24"/>
          <w:szCs w:val="24"/>
        </w:rPr>
        <w:t>无</w:t>
      </w:r>
    </w:p>
    <w:p>
      <w:pPr>
        <w:rPr>
          <w:rStyle w:val="44"/>
          <w:rFonts w:ascii="宋体" w:hAnsi="宋体"/>
          <w:b/>
          <w:color w:val="auto"/>
          <w:sz w:val="44"/>
        </w:rPr>
      </w:pPr>
    </w:p>
    <w:p>
      <w:pPr>
        <w:pStyle w:val="24"/>
        <w:ind w:firstLine="883"/>
        <w:rPr>
          <w:rStyle w:val="44"/>
          <w:b/>
          <w:color w:val="auto"/>
          <w:sz w:val="44"/>
          <w:szCs w:val="21"/>
        </w:rPr>
      </w:pPr>
    </w:p>
    <w:p>
      <w:pPr>
        <w:rPr>
          <w:rStyle w:val="44"/>
          <w:b/>
          <w:color w:val="auto"/>
          <w:sz w:val="44"/>
        </w:rPr>
      </w:pPr>
    </w:p>
    <w:p>
      <w:pPr>
        <w:pStyle w:val="2"/>
        <w:ind w:left="1470" w:right="1470"/>
        <w:rPr>
          <w:rStyle w:val="44"/>
          <w:b/>
          <w:color w:val="auto"/>
          <w:sz w:val="44"/>
        </w:rPr>
      </w:pPr>
    </w:p>
    <w:p>
      <w:pPr>
        <w:pStyle w:val="34"/>
        <w:jc w:val="both"/>
        <w:outlineLvl w:val="0"/>
        <w:rPr>
          <w:rStyle w:val="44"/>
          <w:rFonts w:hint="eastAsia" w:ascii="宋体" w:hAnsi="宋体" w:eastAsia="宋体"/>
          <w:b/>
          <w:color w:val="auto"/>
          <w:sz w:val="44"/>
        </w:rPr>
      </w:pPr>
      <w:bookmarkStart w:id="2" w:name="_Toc20864"/>
    </w:p>
    <w:p>
      <w:pPr>
        <w:rPr>
          <w:rStyle w:val="44"/>
          <w:rFonts w:hint="eastAsia" w:ascii="宋体" w:hAnsi="宋体" w:eastAsia="宋体"/>
          <w:b/>
          <w:color w:val="auto"/>
          <w:sz w:val="44"/>
        </w:rPr>
      </w:pPr>
    </w:p>
    <w:p>
      <w:pPr>
        <w:pStyle w:val="2"/>
        <w:rPr>
          <w:rFonts w:hint="eastAsia"/>
        </w:rPr>
      </w:pPr>
    </w:p>
    <w:p>
      <w:pPr>
        <w:pStyle w:val="34"/>
        <w:jc w:val="center"/>
        <w:outlineLvl w:val="0"/>
        <w:rPr>
          <w:rStyle w:val="44"/>
          <w:rFonts w:ascii="宋体" w:hAnsi="宋体" w:eastAsia="宋体"/>
          <w:b/>
          <w:color w:val="auto"/>
          <w:sz w:val="44"/>
        </w:rPr>
      </w:pPr>
      <w:r>
        <w:rPr>
          <w:rStyle w:val="44"/>
          <w:rFonts w:hint="eastAsia" w:ascii="宋体" w:hAnsi="宋体" w:eastAsia="宋体"/>
          <w:b/>
          <w:color w:val="auto"/>
          <w:sz w:val="44"/>
        </w:rPr>
        <w:t>第三章合同条款及格式</w:t>
      </w:r>
      <w:bookmarkEnd w:id="2"/>
    </w:p>
    <w:p>
      <w:pPr>
        <w:spacing w:line="440" w:lineRule="exact"/>
        <w:ind w:firstLine="480" w:firstLineChars="200"/>
        <w:rPr>
          <w:rStyle w:val="44"/>
          <w:rFonts w:ascii="宋体" w:hAnsi="宋体"/>
          <w:bCs/>
          <w:color w:val="auto"/>
          <w:sz w:val="24"/>
        </w:rPr>
      </w:pPr>
      <w:r>
        <w:rPr>
          <w:rStyle w:val="44"/>
          <w:rFonts w:hint="eastAsia" w:ascii="宋体" w:hAnsi="宋体"/>
          <w:bCs/>
          <w:color w:val="auto"/>
          <w:sz w:val="24"/>
        </w:rPr>
        <w:t>以下为中标后签定本项目合同的通用条款，中标供应商不得提出实质性的修改，关于专用条款将由采购人与中标供应商结合本项目具体情况协商后签订。</w:t>
      </w:r>
    </w:p>
    <w:p>
      <w:pPr>
        <w:spacing w:line="360" w:lineRule="auto"/>
        <w:jc w:val="center"/>
        <w:rPr>
          <w:rFonts w:ascii="宋体" w:hAnsi="宋体"/>
          <w:b/>
          <w:bCs/>
          <w:color w:val="auto"/>
          <w:kern w:val="0"/>
          <w:sz w:val="28"/>
          <w:szCs w:val="28"/>
        </w:rPr>
      </w:pPr>
      <w:r>
        <w:rPr>
          <w:rFonts w:hint="eastAsia" w:ascii="宋体" w:hAnsi="宋体"/>
          <w:b/>
          <w:bCs/>
          <w:color w:val="auto"/>
          <w:kern w:val="0"/>
          <w:sz w:val="28"/>
          <w:szCs w:val="28"/>
        </w:rPr>
        <w:t>合同协议书</w:t>
      </w:r>
    </w:p>
    <w:p>
      <w:pPr>
        <w:adjustRightInd w:val="0"/>
        <w:snapToGrid w:val="0"/>
        <w:spacing w:line="360" w:lineRule="auto"/>
        <w:ind w:firstLine="480" w:firstLineChars="200"/>
        <w:rPr>
          <w:rFonts w:ascii="宋体" w:hAnsi="宋体"/>
          <w:color w:val="auto"/>
          <w:sz w:val="24"/>
          <w:szCs w:val="24"/>
          <w:u w:val="single"/>
        </w:rPr>
      </w:pPr>
      <w:r>
        <w:rPr>
          <w:rFonts w:hint="eastAsia" w:ascii="宋体" w:hAnsi="宋体"/>
          <w:color w:val="auto"/>
          <w:sz w:val="24"/>
          <w:szCs w:val="24"/>
        </w:rPr>
        <w:t>项目名称：</w:t>
      </w:r>
      <w:r>
        <w:rPr>
          <w:rFonts w:hint="eastAsia" w:ascii="宋体" w:hAnsi="宋体"/>
          <w:color w:val="auto"/>
          <w:sz w:val="24"/>
          <w:szCs w:val="24"/>
          <w:u w:val="single"/>
        </w:rPr>
        <w:t>盐城工业职业技术学院物业管理服务（保洁）</w:t>
      </w:r>
    </w:p>
    <w:p>
      <w:pPr>
        <w:adjustRightInd w:val="0"/>
        <w:snapToGrid w:val="0"/>
        <w:spacing w:line="360" w:lineRule="auto"/>
        <w:ind w:firstLine="480" w:firstLineChars="200"/>
        <w:rPr>
          <w:rFonts w:hint="eastAsia" w:ascii="宋体" w:hAnsi="宋体" w:eastAsia="宋体"/>
          <w:b/>
          <w:bCs/>
          <w:color w:val="auto"/>
          <w:sz w:val="24"/>
          <w:szCs w:val="24"/>
          <w:lang w:eastAsia="zh-CN"/>
        </w:rPr>
      </w:pPr>
      <w:r>
        <w:rPr>
          <w:rFonts w:hint="eastAsia" w:ascii="宋体" w:hAnsi="宋体"/>
          <w:color w:val="auto"/>
          <w:sz w:val="24"/>
          <w:szCs w:val="24"/>
        </w:rPr>
        <w:t>项目编号：</w:t>
      </w:r>
      <w:r>
        <w:rPr>
          <w:rFonts w:hint="eastAsia" w:ascii="宋体" w:hAnsi="宋体"/>
          <w:bCs/>
          <w:color w:val="auto"/>
          <w:sz w:val="24"/>
          <w:szCs w:val="24"/>
          <w:u w:val="single"/>
        </w:rPr>
        <w:t>202</w:t>
      </w:r>
      <w:r>
        <w:rPr>
          <w:rFonts w:hint="eastAsia" w:ascii="宋体" w:hAnsi="宋体"/>
          <w:bCs/>
          <w:color w:val="auto"/>
          <w:sz w:val="24"/>
          <w:szCs w:val="24"/>
          <w:u w:val="single"/>
          <w:lang w:val="en-US" w:eastAsia="zh-CN"/>
        </w:rPr>
        <w:t>3</w:t>
      </w:r>
      <w:r>
        <w:rPr>
          <w:rFonts w:hint="eastAsia" w:ascii="宋体" w:hAnsi="宋体"/>
          <w:bCs/>
          <w:color w:val="auto"/>
          <w:sz w:val="24"/>
          <w:szCs w:val="24"/>
          <w:u w:val="single"/>
        </w:rPr>
        <w:t>-</w:t>
      </w:r>
      <w:r>
        <w:rPr>
          <w:rFonts w:hint="eastAsia" w:ascii="宋体" w:hAnsi="宋体"/>
          <w:bCs/>
          <w:color w:val="auto"/>
          <w:sz w:val="24"/>
          <w:szCs w:val="24"/>
          <w:u w:val="single"/>
          <w:lang w:eastAsia="zh-CN"/>
        </w:rPr>
        <w:t>011W</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招标单位：</w:t>
      </w:r>
      <w:r>
        <w:rPr>
          <w:rFonts w:hint="eastAsia" w:ascii="宋体" w:hAnsi="宋体"/>
          <w:bCs/>
          <w:color w:val="auto"/>
          <w:sz w:val="24"/>
          <w:szCs w:val="24"/>
          <w:u w:val="single"/>
        </w:rPr>
        <w:t>盐城工业职业技术学院</w:t>
      </w:r>
      <w:r>
        <w:rPr>
          <w:rFonts w:hint="eastAsia" w:ascii="宋体" w:hAnsi="宋体"/>
          <w:color w:val="auto"/>
          <w:sz w:val="24"/>
          <w:szCs w:val="24"/>
        </w:rPr>
        <w:t>（以下简称甲方）</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中标单位：（以下简称乙方）</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根据《中华人民共和国民法典》、《政府采购法》、《物业管理条例》和《江苏省物业管理条例》及有关规定，为明确甲、乙双方在</w:t>
      </w:r>
      <w:r>
        <w:rPr>
          <w:rFonts w:hint="eastAsia" w:ascii="宋体" w:hAnsi="宋体"/>
          <w:bCs/>
          <w:color w:val="auto"/>
          <w:sz w:val="24"/>
          <w:szCs w:val="24"/>
          <w:u w:val="single"/>
        </w:rPr>
        <w:t>盐城工业职业技术学院</w:t>
      </w:r>
      <w:r>
        <w:rPr>
          <w:rFonts w:hint="eastAsia" w:ascii="宋体" w:hAnsi="宋体"/>
          <w:color w:val="auto"/>
          <w:sz w:val="24"/>
          <w:szCs w:val="24"/>
          <w:u w:val="single"/>
        </w:rPr>
        <w:t>物业管理服务（保洁）</w:t>
      </w:r>
      <w:r>
        <w:rPr>
          <w:rFonts w:hint="eastAsia" w:ascii="宋体" w:hAnsi="宋体"/>
          <w:color w:val="auto"/>
          <w:sz w:val="24"/>
          <w:szCs w:val="24"/>
          <w:u w:val="none"/>
        </w:rPr>
        <w:t>项目</w:t>
      </w:r>
      <w:r>
        <w:rPr>
          <w:rFonts w:hint="eastAsia" w:ascii="宋体" w:hAnsi="宋体"/>
          <w:color w:val="auto"/>
          <w:sz w:val="24"/>
          <w:szCs w:val="24"/>
        </w:rPr>
        <w:t>中的权利、义务和经济责任，经甲、乙双方协商同意签订本合同。</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一、项目名称：</w:t>
      </w:r>
      <w:r>
        <w:rPr>
          <w:rFonts w:hint="eastAsia" w:ascii="宋体" w:hAnsi="宋体"/>
          <w:bCs/>
          <w:color w:val="auto"/>
          <w:sz w:val="24"/>
          <w:szCs w:val="24"/>
        </w:rPr>
        <w:t>盐城工业职业技术学院校园保洁项目</w:t>
      </w:r>
      <w:r>
        <w:rPr>
          <w:rFonts w:hint="eastAsia" w:ascii="宋体" w:hAnsi="宋体"/>
          <w:b/>
          <w:color w:val="auto"/>
          <w:sz w:val="24"/>
          <w:szCs w:val="24"/>
        </w:rPr>
        <w:t>。</w:t>
      </w:r>
    </w:p>
    <w:p>
      <w:pPr>
        <w:adjustRightInd w:val="0"/>
        <w:snapToGrid w:val="0"/>
        <w:spacing w:line="360" w:lineRule="auto"/>
        <w:ind w:firstLine="482" w:firstLineChars="200"/>
        <w:outlineLvl w:val="1"/>
        <w:rPr>
          <w:rFonts w:ascii="宋体" w:hAnsi="宋体"/>
          <w:bCs/>
          <w:color w:val="auto"/>
          <w:sz w:val="24"/>
          <w:szCs w:val="24"/>
        </w:rPr>
      </w:pPr>
      <w:r>
        <w:rPr>
          <w:rFonts w:hint="eastAsia" w:ascii="宋体" w:hAnsi="宋体"/>
          <w:b/>
          <w:color w:val="auto"/>
          <w:sz w:val="24"/>
          <w:szCs w:val="24"/>
        </w:rPr>
        <w:t>二、项目地点：</w:t>
      </w:r>
      <w:r>
        <w:rPr>
          <w:rFonts w:hint="eastAsia" w:ascii="宋体" w:hAnsi="宋体"/>
          <w:bCs/>
          <w:color w:val="auto"/>
          <w:sz w:val="24"/>
          <w:szCs w:val="24"/>
        </w:rPr>
        <w:t>盐城市职教园区（盐城市解放南路285号）。学院占地近588亩，在校师生员工10000多人，建筑面积21万多平方米。</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三</w:t>
      </w:r>
      <w:r>
        <w:rPr>
          <w:rFonts w:hint="eastAsia"/>
          <w:b/>
          <w:color w:val="auto"/>
        </w:rPr>
        <w:t>、</w:t>
      </w:r>
      <w:r>
        <w:rPr>
          <w:rFonts w:hint="eastAsia" w:ascii="宋体" w:hAnsi="宋体"/>
          <w:b/>
          <w:color w:val="auto"/>
          <w:sz w:val="24"/>
          <w:szCs w:val="24"/>
        </w:rPr>
        <w:t>采购范围及内容：</w:t>
      </w:r>
      <w:r>
        <w:rPr>
          <w:rFonts w:hint="eastAsia" w:ascii="宋体" w:hAnsi="宋体"/>
          <w:color w:val="auto"/>
          <w:sz w:val="24"/>
        </w:rPr>
        <w:t>采购主要为盐城工业职业技术学院保洁服务工作，具体详见招标文件项目需求</w:t>
      </w:r>
      <w:r>
        <w:rPr>
          <w:rFonts w:hint="eastAsia" w:ascii="宋体" w:hAnsi="宋体"/>
          <w:color w:val="auto"/>
          <w:sz w:val="24"/>
          <w:szCs w:val="24"/>
        </w:rPr>
        <w:t>。</w:t>
      </w:r>
    </w:p>
    <w:p>
      <w:pPr>
        <w:tabs>
          <w:tab w:val="left" w:pos="632"/>
          <w:tab w:val="left" w:pos="2828"/>
        </w:tabs>
        <w:adjustRightInd w:val="0"/>
        <w:snapToGrid w:val="0"/>
        <w:spacing w:line="360" w:lineRule="auto"/>
        <w:ind w:firstLine="482" w:firstLineChars="200"/>
        <w:rPr>
          <w:rFonts w:ascii="宋体" w:hAnsi="宋体"/>
          <w:b/>
          <w:color w:val="auto"/>
          <w:sz w:val="24"/>
          <w:szCs w:val="24"/>
        </w:rPr>
      </w:pPr>
      <w:r>
        <w:rPr>
          <w:rFonts w:hint="eastAsia" w:ascii="宋体" w:hAnsi="宋体"/>
          <w:b/>
          <w:color w:val="auto"/>
          <w:sz w:val="24"/>
          <w:szCs w:val="24"/>
        </w:rPr>
        <w:t>四、服务要求和服务标准</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详见招标文件</w:t>
      </w:r>
      <w:r>
        <w:rPr>
          <w:rFonts w:hint="eastAsia" w:ascii="宋体" w:hAnsi="宋体"/>
          <w:color w:val="auto"/>
          <w:sz w:val="24"/>
        </w:rPr>
        <w:t>项目需求。</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五、保洁服务费用及支付方式</w:t>
      </w:r>
    </w:p>
    <w:p>
      <w:pPr>
        <w:tabs>
          <w:tab w:val="left" w:pos="632"/>
          <w:tab w:val="left" w:pos="2828"/>
        </w:tabs>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5.1 保洁服务费用人民币总价为    元/年。</w:t>
      </w:r>
    </w:p>
    <w:p>
      <w:pPr>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5.2 </w:t>
      </w:r>
      <w:r>
        <w:rPr>
          <w:rFonts w:hint="eastAsia" w:ascii="宋体" w:hAnsi="宋体"/>
          <w:color w:val="auto"/>
          <w:sz w:val="24"/>
          <w:szCs w:val="24"/>
        </w:rPr>
        <w:t>全年各项物业服务费合计人民币/年；结算方式按季度结算，每个季度支付乙方。在按时、按质完成服务任务,经职能部门考核合格，下一季度上旬，结清上一季度的物业管理费。乙方需向甲方提供正规发票。</w:t>
      </w:r>
    </w:p>
    <w:p>
      <w:pPr>
        <w:tabs>
          <w:tab w:val="left" w:pos="632"/>
          <w:tab w:val="left" w:pos="2828"/>
        </w:tabs>
        <w:adjustRightInd w:val="0"/>
        <w:snapToGrid w:val="0"/>
        <w:spacing w:line="360" w:lineRule="auto"/>
        <w:ind w:firstLine="480" w:firstLineChars="200"/>
        <w:rPr>
          <w:rFonts w:ascii="宋体" w:hAnsi="宋体"/>
          <w:b/>
          <w:bCs/>
          <w:color w:val="auto"/>
          <w:sz w:val="24"/>
          <w:szCs w:val="24"/>
        </w:rPr>
      </w:pPr>
      <w:r>
        <w:rPr>
          <w:rFonts w:hint="eastAsia" w:ascii="宋体" w:hAnsi="宋体"/>
          <w:color w:val="auto"/>
          <w:sz w:val="24"/>
          <w:szCs w:val="24"/>
        </w:rPr>
        <w:t>注：按以上付款，无任何银行利息，一律通过银行结转。</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六、乙方必须按时发放服务人员工资，如造成特别严重后果或不良影响的，甲方可立即解除合同，有权从履约保证金中得到补偿，并追究相关责任。</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七、服务期限</w:t>
      </w:r>
    </w:p>
    <w:p>
      <w:pPr>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7.1 服务期限：贰年，合同按年签订，第一次服务合同结束后，满意率达85%则续签下一次服务合同，否则采购人有权终止合同，重新组织招标。</w:t>
      </w:r>
    </w:p>
    <w:p>
      <w:pPr>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起止时间：2023年  月  日-2024年  月  日</w:t>
      </w:r>
    </w:p>
    <w:p>
      <w:pPr>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7.2 乙方在接到甲方书面通知之日起七日内，派有关人员至校区提供保洁服务。</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八、保洁要求</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8.1 服务费的支付依据《盐城工业职业技术学院物业管理考核细则》等文件逐月考核、奖惩。乙方必须认真组织物管服务人员学习《盐城工业职业技术学院物业管理考核细则》，学校将据此每月对服务工作进行考核督查及测评，满意率不达标的，限期整改，直至解除合同，同时考核督查中发现的问题按考核办法扣除一定数量的费用或作为处罚。</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8.2 乙方在发放服务人员工资时，应结合服务单位对服务人员服务情况的考核情况。</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九、甲方的权利义务</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 甲方权利：</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9.1.1 审定乙方拟定的年度保洁服务计划和方案；</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9.1.2 甲方有权对乙方的保洁服务工作和投标书、承诺书、考核标准、合同履行情况进行监督检查，考核、监督乙方管理工作的实施及相关制度和《投标文件》执行情况，对发现的问题，乙方应及时整改，针对乙方未达标或考核不合格的情况提出整改要求并扣除相应的保洁服务费用；甲方下达整改通知后，乙方逾期仍达不到承诺目标，甲方有权视情节对乙方实施处罚，直至终止合同；</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9.1.3 在合同履行期间，如乙方中途无故退出或发生责任事故，给甲方带来不良影响的，或者因乙方工作不力，严重影响甲方正常工作秩序的，甲方有权终止本合同，并要求乙方给予经济赔偿；</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9.1.4对拒绝、不服从或抵触甲方领导指挥的乙方使用人员，甲方有权要求乙方进行调换，否则甲方有权终止本合同，并对乙方进行经济处罚；</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9.1.5监督、指导乙方人员在区域内的一切行为和活动；乙方聘用的保洁服务人员进场前应征求甲方的意见。如甲方或服务单位对个别保洁服务人员不满意，乙方应予以调换。</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9.1.7依据相关法律、法规规定享有的其他权利。</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9.2 甲方义务：</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9.2.1 甲方应向乙方移交保洁服务所必需的资料。</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9.2.2 按照合同约定按时足额支付保洁服务费；</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9.2.3 协助乙方做好保洁服务工作和宣传教育、文化活动；</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9.2.4 协助乙方规范对区域内人员违反法规、规章的行为；</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9.2.5 协调、配合乙方共同处理本合同生效前发生的相关遗留问题；</w:t>
      </w:r>
    </w:p>
    <w:p>
      <w:pPr>
        <w:tabs>
          <w:tab w:val="left" w:pos="632"/>
          <w:tab w:val="left" w:pos="2828"/>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9.2.6 法律、法规规定的其他义务。</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十、乙方的权利义务</w:t>
      </w:r>
    </w:p>
    <w:p>
      <w:pPr>
        <w:tabs>
          <w:tab w:val="left" w:pos="210"/>
          <w:tab w:val="left" w:pos="420"/>
          <w:tab w:val="left" w:pos="640"/>
        </w:tabs>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10.1 乙方权利：</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10.1.1 按照国家和有关物业管理、保洁服务的技术标准、行业规范以及本服务合同进行管理，提供专业化的服务；</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10.1.2 按照本合同和有关规定向甲方收取保洁服务费用；</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10.1.3 根据甲方授权，制定必要的规章制度，并以有效方式督促辖区内人员遵守；</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10.1.4 根据甲方授权，采取规劝、警告等措施制止区域内人员违反公众管理制度的行为；</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10.1.5 依照法律、法规规定和本合同约定享有的其他权利。</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 乙方义务：</w:t>
      </w:r>
    </w:p>
    <w:p>
      <w:pPr>
        <w:tabs>
          <w:tab w:val="left" w:pos="210"/>
          <w:tab w:val="left" w:pos="420"/>
          <w:tab w:val="left" w:pos="640"/>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10.2.1 全面贯彻执行国家物业管理、保洁服务的法规、政策，全面遵守《招标文件》的要求，执行《投标文件》的承诺，接受甲方的检查、考核和监督，接受相关部门的监督和指导。</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10.2.2 及时向甲方通告本区域内有关保洁服务的重大事项，及时处理投诉，接受甲方的监督管理；</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10.2.3 在承接保洁服务时，应当对物业共用部位、共用设施设备进行查验，并做好书面记录和签认工作；</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10.2.4 结合本保洁服务区域的实际情况，编制年度管理等计划经甲方批准后组织实施；</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10.2.5 协助做好本保洁服务区域内的安全防范工作，发生安全事故时，在采取应急措施的同时，及时向有关行政管理部门报告，保护好现场、协助做好救助工作；在维护公共秩序时，要履行职责，不得侵害公民的合法权益；</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10.2.6 本合同终止或出现本合同约定终止情形时，乙方应当在接到通知七日内将物业管理用房和保洁服务相关资料、物件、设施及时如数地移交给甲方并撤出前委托管理区域，不得以任何理由拒绝或拖延；</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10.2.7法律、法规规定的其他义务。</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十一、违约赔偿</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11.1 若因房屋建筑质量，设备设施质量或安装技术等原因，达不到使用功能，造成重大安全事故的，其直接原因以法定机构或行业主管部门的鉴定为准，甲乙双方应依此作为对责任方进行追责的依据，其责任方将承担相应赔偿责任。</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11.2 甲方不履行本合同约定的义务，乙方可要求甲方履行，由此造成乙方或第三方的损失，甲方应承担相应的责任；</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11.3 乙方违反本合同约定，乙方如发生将本保洁服务转包、转让、违规出现违法现象或在履行合约单方中途退出的，甲方将中止本合同，不予退还履约保证金并有权追究乙方其它责任；</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11.4 乙方应严格履行合同的约定，若因乙方导致合同不能正常履行或无故单方解除合同，则应承担合同价10%的违约金和由此造成的后果，给甲方造成的损失，应赔偿相应损失。</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十二、不可抗力</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12.1 如果甲、乙双方中任何一方由于战争、严重火灾、水灾、台风和地震以及其他经甲、乙双方同意属于不可抗力的事故，致使合同履行受阻时，履行合同的期限应予延长，延长的期限应相当于事故所影响的时间。</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12.2 受事故影响的一方应在不可抗力的事故发生后尽快以电报或电传通知另一方。如果不可抗力影响时间延续120天以上的，甲、乙双方应通过友好协商在合理的时间内达成进一步履行合同的协议。</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十三、履约保证金</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13.1 本项目履约保证金为合同价的5%，即人民币</w:t>
      </w:r>
      <w:r>
        <w:rPr>
          <w:rFonts w:hint="eastAsia" w:ascii="宋体" w:hAnsi="宋体"/>
          <w:color w:val="auto"/>
          <w:sz w:val="24"/>
          <w:szCs w:val="24"/>
          <w:u w:val="single"/>
        </w:rPr>
        <w:t>（¥：）</w:t>
      </w:r>
      <w:r>
        <w:rPr>
          <w:rFonts w:hint="eastAsia" w:ascii="宋体" w:hAnsi="宋体"/>
          <w:color w:val="auto"/>
          <w:sz w:val="24"/>
          <w:szCs w:val="24"/>
        </w:rPr>
        <w:t>，于本项目结束后无息退还。</w:t>
      </w:r>
      <w:r>
        <w:rPr>
          <w:rFonts w:hint="eastAsia" w:ascii="宋体" w:hAnsi="宋体"/>
          <w:bCs/>
          <w:color w:val="auto"/>
          <w:sz w:val="24"/>
          <w:szCs w:val="24"/>
        </w:rPr>
        <w:t>在签订合同前，中标人须向采购人交纳履约保证金（以转帐或电汇或网汇形式汇转至采购人指定帐户）。履约保证金用以约束中标人在合同履行中的行为，弥补合同执行中由于自身行为可能给采购人带来的各种损失。</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13.2 如乙方未能履行合同规定的任何义务，甲方有权从履约保证金中得到补偿。</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十四、争议</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十五、违约终止合同</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15.1 甲方在乙方违约的情况下，如果：</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15.1.1 如果乙方未能履行合同规定的其他义务，乙方在收到甲方发出的违约通知后15天内，或经甲方书面认可延长的时间内未能纠正其过失。甲方可向乙方发出书面通知，终止部分或全部合同。在这种情况下，并不影响甲方向乙方提出的索赔。</w:t>
      </w:r>
    </w:p>
    <w:p>
      <w:pPr>
        <w:tabs>
          <w:tab w:val="left" w:pos="632"/>
          <w:tab w:val="left" w:pos="2828"/>
        </w:tabs>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15.2 在甲方根据上述第16.1条规定，终止了全部或部分合同，甲方可以依其认为适当的条件和方法购买与未履行类似的服务，乙方应对购买类似服务所超出的费用负责。而且乙方还应继续执行合同中未终止的部分。</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十六、转包和分包</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16.1 甲方不允许乙方将本项目转包给任何第三方。否则，甲方有权终止合同，乙方的履约保证金将不予退还。转包造成甲方损失的，乙方应承担相应赔偿责任，从到期的合同款中扣除。</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16.2 未经甲方同意，乙方也不得采用分包的形式履行合同，否则，甲方有权终止合同，乙方的履约保证金将不予退还。分包造成甲方损失的，乙方应承担相应赔偿责任，从合同款中扣除。</w:t>
      </w:r>
    </w:p>
    <w:p>
      <w:pPr>
        <w:adjustRightInd w:val="0"/>
        <w:snapToGrid w:val="0"/>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十七、其他</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17.1 本项目招标文件和乙方的投标文件中（以及投标时承诺）被甲方认可的部分为本合同的不可分割的组成部分，与本合同具有同样效力。</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17.2 乙方自行协调解决本项目实施过程中发生的各种矛盾，甲方不承担任何费用和责任，服务期不顺延；乙方已到项目现场踏勘以充分了解项目位置、情况、道路及任何其他影响承包价的情况，任何因忽视或误解项目情况而导致的索赔不被批准。</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17.3 乙方在服务过程中必须确保安全，如造成各种人身伤害、财产损失或其他事故，均由乙方负责处理和经济赔偿，甲方不承担任何责任。</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17.5 本合同期满后，乙方达到了约定管理目标且使用人反映良好，在招标时同等条件下，乙方拥有优先续约权。</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17.6 合同修改：欲对合同条款进行任何改动，均须由甲、乙双方协商一致，并签署书面的合同修改书。若未协商一致并形成书面文件的，则继续履行本合同约定。</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17.7 合同期满本合同自然终止。双方如续订合同，应在本合同期满60日前向对方提出书面意见。</w:t>
      </w:r>
    </w:p>
    <w:p>
      <w:pPr>
        <w:adjustRightInd w:val="0"/>
        <w:snapToGrid w:val="0"/>
        <w:spacing w:line="360" w:lineRule="auto"/>
        <w:ind w:firstLine="480" w:firstLineChars="200"/>
        <w:rPr>
          <w:rFonts w:ascii="宋体" w:hAnsi="宋体"/>
          <w:b/>
          <w:color w:val="auto"/>
          <w:sz w:val="24"/>
          <w:szCs w:val="24"/>
        </w:rPr>
      </w:pPr>
      <w:r>
        <w:rPr>
          <w:rFonts w:hint="eastAsia" w:ascii="宋体" w:hAnsi="宋体"/>
          <w:color w:val="auto"/>
          <w:sz w:val="24"/>
          <w:szCs w:val="24"/>
        </w:rPr>
        <w:t>17.8 如因乙方未及时为保洁服务人员办理保险等劳动用工相关手续或违反相关规定的，责任均由乙方承担，与甲方无关。</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17.9本合同一式拾份，以中文书写，甲方执捌份、乙方执贰份，经甲、乙双方签字盖章后生效。</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合同签订时间：</w:t>
      </w:r>
      <w:r>
        <w:rPr>
          <w:rFonts w:hint="eastAsia" w:ascii="宋体" w:hAnsi="宋体"/>
          <w:color w:val="auto"/>
          <w:sz w:val="24"/>
          <w:szCs w:val="24"/>
          <w:u w:val="single"/>
        </w:rPr>
        <w:t>2023年 月 日</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签订地点：</w:t>
      </w:r>
      <w:r>
        <w:rPr>
          <w:rFonts w:hint="eastAsia" w:ascii="宋体" w:hAnsi="宋体"/>
          <w:color w:val="auto"/>
          <w:sz w:val="24"/>
          <w:szCs w:val="24"/>
          <w:u w:val="single"/>
        </w:rPr>
        <w:t>盐城工业职业技术学院</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甲方：（盖章）：                 乙方：（盖章）：</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单位地址：                       单位地址：</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法定代表人（签章）：             法定代表人（签章）：</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委托代理人（签字）：             委托代理人（签字）：</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电话：                           电话：</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开户银行：                       开户银行：</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帐号：                           帐号：</w:t>
      </w:r>
    </w:p>
    <w:p>
      <w:pPr>
        <w:pStyle w:val="2"/>
        <w:ind w:left="1470" w:right="1470"/>
        <w:rPr>
          <w:color w:val="auto"/>
        </w:rPr>
      </w:pPr>
    </w:p>
    <w:p>
      <w:pPr>
        <w:jc w:val="center"/>
        <w:rPr>
          <w:b/>
          <w:bCs/>
          <w:color w:val="auto"/>
          <w:sz w:val="36"/>
          <w:szCs w:val="36"/>
        </w:rPr>
      </w:pPr>
      <w:bookmarkStart w:id="3" w:name="_Toc29144"/>
    </w:p>
    <w:p>
      <w:pPr>
        <w:jc w:val="center"/>
        <w:rPr>
          <w:b/>
          <w:bCs/>
          <w:color w:val="auto"/>
          <w:sz w:val="36"/>
          <w:szCs w:val="36"/>
        </w:rPr>
      </w:pPr>
    </w:p>
    <w:p>
      <w:pPr>
        <w:jc w:val="center"/>
        <w:rPr>
          <w:b/>
          <w:bCs/>
          <w:color w:val="auto"/>
          <w:sz w:val="36"/>
          <w:szCs w:val="36"/>
        </w:rPr>
      </w:pPr>
    </w:p>
    <w:p>
      <w:pPr>
        <w:jc w:val="center"/>
        <w:rPr>
          <w:b/>
          <w:bCs/>
          <w:color w:val="auto"/>
          <w:sz w:val="36"/>
          <w:szCs w:val="36"/>
        </w:rPr>
      </w:pPr>
      <w:r>
        <w:rPr>
          <w:rFonts w:hint="eastAsia"/>
          <w:b/>
          <w:bCs/>
          <w:color w:val="auto"/>
          <w:sz w:val="36"/>
          <w:szCs w:val="36"/>
        </w:rPr>
        <w:t>盐城工业职业技术学院物业管理服务考核办法</w:t>
      </w:r>
    </w:p>
    <w:p>
      <w:pPr>
        <w:tabs>
          <w:tab w:val="left" w:pos="3148"/>
        </w:tabs>
        <w:spacing w:line="500" w:lineRule="exact"/>
        <w:jc w:val="left"/>
        <w:rPr>
          <w:rFonts w:ascii="宋体" w:hAnsi="宋体"/>
          <w:b/>
          <w:bCs/>
          <w:color w:val="auto"/>
          <w:sz w:val="24"/>
        </w:rPr>
      </w:pPr>
    </w:p>
    <w:p>
      <w:pPr>
        <w:tabs>
          <w:tab w:val="left" w:pos="3148"/>
        </w:tabs>
        <w:spacing w:line="500" w:lineRule="exact"/>
        <w:jc w:val="left"/>
        <w:rPr>
          <w:rFonts w:ascii="宋体" w:hAnsi="宋体"/>
          <w:color w:val="auto"/>
          <w:sz w:val="24"/>
        </w:rPr>
      </w:pPr>
      <w:r>
        <w:rPr>
          <w:rFonts w:hint="eastAsia" w:ascii="宋体" w:hAnsi="宋体"/>
          <w:b/>
          <w:bCs/>
          <w:color w:val="auto"/>
          <w:sz w:val="24"/>
        </w:rPr>
        <w:t>一、人员配备及岗位设置方面</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乙方必须满足《服务岗位与最少配备人员数量一览表》中相关要求，提供岗位设置人员各岗位名单及身份证复印件（原件核对）和健康证明复印件（原件核对），每少一人（或不符合条件的）甲方按投标报价分析表中相应人员和岗位扣减，并保留继续追偿的权利。</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项目经理须在综合考核部门签到，少一次，违约金50元扣减，项目经理上班须在班在岗，缺岗缺位的每次违约金50元/次。</w:t>
      </w:r>
    </w:p>
    <w:p>
      <w:pPr>
        <w:tabs>
          <w:tab w:val="left" w:pos="3148"/>
        </w:tabs>
        <w:spacing w:line="500" w:lineRule="exact"/>
        <w:jc w:val="left"/>
        <w:rPr>
          <w:rFonts w:ascii="宋体" w:hAnsi="宋体"/>
          <w:b/>
          <w:bCs/>
          <w:color w:val="auto"/>
          <w:sz w:val="24"/>
        </w:rPr>
      </w:pPr>
      <w:r>
        <w:rPr>
          <w:rFonts w:hint="eastAsia" w:ascii="宋体" w:hAnsi="宋体"/>
          <w:b/>
          <w:bCs/>
          <w:color w:val="auto"/>
          <w:sz w:val="24"/>
        </w:rPr>
        <w:t>二、服务质量考核奖罚</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1、乙方按学校的标准要求做好各项工作，如因乙方原因影响了校方的检查评比成绩，校方有权对乙方处以1000元以上2000元以下的违约金扣减。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2、规定的打扫量以天为计量的每少一次违约金20元扣减。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3、规定的打扫量以周为计量的每少一次违约金100元扣减。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4、规定的打扫量以月为计量的每少一次违约金200元扣减。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5、未按规定时间完成的视情节违约金10-100元扣减。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6、所属范围内出现长流水的每次违约金10元扣减。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7、打扫保洁未达到质量标准的视情节违约金10-50元/次扣减，卫生间保洁记录未张贴或未及时填写每处违约金30-50元。</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8、承担所属范围内公物的管理责任，自然损坏要及时报修，不作为的每例违约金10元扣减。人为损坏的视情节扣罚。</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9、内部管理制度明确，层级清晰，台帐资料齐备，否则视情节违约金100-500元扣减。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10、人员变动报甲方同意并备案，提供相应证件，否则违约金100元/人扣减，并责令清退。</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11、乙方应充分考虑甲方各种突击性检查的实际情况，并考虑所产生的工作量和相关费用，甲方一般不予考虑。</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12、乙方保证工作时间根据季节、学校要求经甲方允许可适当调整，但不得少于规定时间。中午、假日必须安排打扫、保洁，否则视情节违约金50-100元扣减。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13、人员脱岗、迟到的每次违约金30元扣减，旷职的双倍扣除当日工资。</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14、上班时间私自整理垃圾变卖的每次违约金100元以上扣减。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15、工作期间工作服装不规范的每次每人违约金10元扣减。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16、学期测评满意率低于85%的视情节违约金1000-5000元扣减。</w:t>
      </w:r>
    </w:p>
    <w:p>
      <w:pPr>
        <w:tabs>
          <w:tab w:val="left" w:pos="3148"/>
        </w:tabs>
        <w:spacing w:line="500" w:lineRule="exact"/>
        <w:ind w:firstLine="570"/>
        <w:jc w:val="left"/>
        <w:rPr>
          <w:rFonts w:ascii="宋体" w:hAnsi="宋体"/>
          <w:color w:val="auto"/>
          <w:sz w:val="24"/>
        </w:rPr>
      </w:pPr>
      <w:r>
        <w:rPr>
          <w:rFonts w:hint="eastAsia" w:ascii="宋体" w:hAnsi="宋体"/>
          <w:color w:val="auto"/>
          <w:sz w:val="24"/>
        </w:rPr>
        <w:t>17、工作期间捡拾贵重物品，必须拾金不昧上交保卫处。未上交私自据为己有，一经查实，违约金500元/次扣减。</w:t>
      </w:r>
    </w:p>
    <w:p>
      <w:pPr>
        <w:tabs>
          <w:tab w:val="left" w:pos="3148"/>
        </w:tabs>
        <w:spacing w:line="500" w:lineRule="exact"/>
        <w:ind w:firstLine="570"/>
        <w:jc w:val="left"/>
        <w:rPr>
          <w:rFonts w:ascii="宋体" w:hAnsi="宋体"/>
          <w:color w:val="auto"/>
          <w:sz w:val="24"/>
        </w:rPr>
      </w:pPr>
      <w:r>
        <w:rPr>
          <w:rFonts w:hint="eastAsia" w:ascii="宋体" w:hAnsi="宋体"/>
          <w:color w:val="auto"/>
          <w:kern w:val="0"/>
          <w:sz w:val="24"/>
          <w:szCs w:val="24"/>
        </w:rPr>
        <w:t>18、违约金从物业管理费中扣除。</w:t>
      </w:r>
    </w:p>
    <w:p>
      <w:pPr>
        <w:pStyle w:val="2"/>
        <w:ind w:left="1470" w:right="1470"/>
        <w:rPr>
          <w:rFonts w:ascii="宋体" w:hAnsi="宋体"/>
          <w:color w:val="auto"/>
          <w:kern w:val="0"/>
          <w:sz w:val="24"/>
        </w:rPr>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p>
    <w:p>
      <w:pPr>
        <w:pStyle w:val="34"/>
        <w:spacing w:line="360" w:lineRule="auto"/>
        <w:outlineLvl w:val="0"/>
        <w:rPr>
          <w:rStyle w:val="44"/>
          <w:rFonts w:ascii="宋体" w:hAnsi="宋体" w:eastAsia="宋体"/>
          <w:b/>
          <w:color w:val="auto"/>
          <w:sz w:val="24"/>
          <w:szCs w:val="24"/>
        </w:rPr>
      </w:pPr>
      <w:r>
        <w:rPr>
          <w:rStyle w:val="44"/>
          <w:rFonts w:hint="eastAsia" w:ascii="宋体" w:hAnsi="宋体" w:eastAsia="宋体"/>
          <w:b/>
          <w:color w:val="auto"/>
          <w:sz w:val="44"/>
        </w:rPr>
        <w:t>第四章</w:t>
      </w:r>
      <w:r>
        <w:rPr>
          <w:rStyle w:val="44"/>
          <w:rFonts w:hint="eastAsia" w:ascii="宋体" w:hAnsi="宋体" w:eastAsia="宋体"/>
          <w:b/>
          <w:color w:val="auto"/>
          <w:sz w:val="44"/>
          <w:lang w:val="en-US" w:eastAsia="zh-CN"/>
        </w:rPr>
        <w:t xml:space="preserve"> </w:t>
      </w:r>
      <w:r>
        <w:rPr>
          <w:rStyle w:val="44"/>
          <w:rFonts w:hint="eastAsia" w:ascii="宋体" w:hAnsi="宋体" w:eastAsia="宋体"/>
          <w:b/>
          <w:color w:val="auto"/>
          <w:sz w:val="44"/>
        </w:rPr>
        <w:t>项目需求</w:t>
      </w:r>
      <w:bookmarkEnd w:id="3"/>
    </w:p>
    <w:p>
      <w:pPr>
        <w:adjustRightInd w:val="0"/>
        <w:snapToGrid w:val="0"/>
        <w:spacing w:line="360" w:lineRule="auto"/>
        <w:ind w:firstLine="560" w:firstLineChars="200"/>
        <w:rPr>
          <w:rFonts w:ascii="黑体" w:hAnsi="宋体" w:eastAsia="黑体"/>
          <w:color w:val="auto"/>
          <w:sz w:val="28"/>
          <w:szCs w:val="28"/>
        </w:rPr>
      </w:pPr>
      <w:r>
        <w:rPr>
          <w:rFonts w:hint="eastAsia" w:ascii="黑体" w:hAnsi="宋体" w:eastAsia="黑体"/>
          <w:color w:val="auto"/>
          <w:sz w:val="28"/>
          <w:szCs w:val="28"/>
        </w:rPr>
        <w:t>一、项目概况</w:t>
      </w:r>
    </w:p>
    <w:p>
      <w:pPr>
        <w:spacing w:line="360" w:lineRule="auto"/>
        <w:ind w:firstLine="480" w:firstLineChars="200"/>
        <w:rPr>
          <w:rFonts w:ascii="宋体" w:hAnsi="宋体"/>
          <w:color w:val="auto"/>
          <w:kern w:val="0"/>
          <w:sz w:val="24"/>
        </w:rPr>
      </w:pPr>
      <w:r>
        <w:rPr>
          <w:rFonts w:hint="eastAsia" w:ascii="宋体" w:hAnsi="宋体"/>
          <w:color w:val="auto"/>
          <w:kern w:val="0"/>
          <w:sz w:val="24"/>
        </w:rPr>
        <w:t>盐城工业职业技术学院是一所省属公办普通高等学校，学校</w:t>
      </w:r>
      <w:r>
        <w:rPr>
          <w:rFonts w:hint="eastAsia" w:ascii="宋体" w:hAnsi="宋体"/>
          <w:color w:val="auto"/>
          <w:sz w:val="24"/>
        </w:rPr>
        <w:t>校区坐落在盐城市职教园区（盐城市解放南路285号）。学院占地588亩，在校师生员工10000人，建筑面积21多万平方米。</w:t>
      </w:r>
    </w:p>
    <w:p>
      <w:pPr>
        <w:pStyle w:val="2"/>
        <w:ind w:left="0" w:leftChars="0" w:right="1470" w:firstLine="560" w:firstLineChars="200"/>
        <w:rPr>
          <w:rFonts w:ascii="黑体" w:hAnsi="宋体" w:eastAsia="黑体"/>
          <w:color w:val="auto"/>
          <w:sz w:val="28"/>
          <w:szCs w:val="28"/>
        </w:rPr>
      </w:pPr>
      <w:r>
        <w:rPr>
          <w:rFonts w:hint="eastAsia" w:ascii="黑体" w:hAnsi="宋体" w:eastAsia="黑体"/>
          <w:color w:val="auto"/>
          <w:sz w:val="28"/>
          <w:szCs w:val="28"/>
        </w:rPr>
        <w:t>二、项目要求</w:t>
      </w:r>
    </w:p>
    <w:p>
      <w:pPr>
        <w:spacing w:line="360" w:lineRule="auto"/>
        <w:ind w:firstLine="1200" w:firstLineChars="500"/>
        <w:rPr>
          <w:rFonts w:ascii="宋体" w:hAnsi="宋体"/>
          <w:color w:val="auto"/>
          <w:kern w:val="0"/>
          <w:sz w:val="24"/>
        </w:rPr>
      </w:pPr>
      <w:r>
        <w:rPr>
          <w:rFonts w:hint="eastAsia" w:ascii="宋体" w:hAnsi="宋体"/>
          <w:color w:val="auto"/>
          <w:kern w:val="0"/>
          <w:sz w:val="24"/>
        </w:rPr>
        <w:t>岗位设置、人员配备及相关工作量</w:t>
      </w:r>
    </w:p>
    <w:tbl>
      <w:tblPr>
        <w:tblStyle w:val="25"/>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2"/>
        <w:gridCol w:w="1668"/>
        <w:gridCol w:w="986"/>
        <w:gridCol w:w="1215"/>
        <w:gridCol w:w="1020"/>
        <w:gridCol w:w="187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2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岗位</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最少配备</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人数</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学历要求</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性别</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要求</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年龄要求</w:t>
            </w: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trPr>
        <w:tc>
          <w:tcPr>
            <w:tcW w:w="2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项目经理</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1</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专科及以上</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kern w:val="0"/>
                <w:sz w:val="21"/>
                <w:szCs w:val="21"/>
              </w:rPr>
            </w:pPr>
            <w:r>
              <w:rPr>
                <w:rFonts w:hint="eastAsia" w:ascii="宋体" w:hAnsi="宋体"/>
                <w:color w:val="auto"/>
                <w:kern w:val="0"/>
                <w:sz w:val="21"/>
                <w:szCs w:val="21"/>
              </w:rPr>
              <w:t>男女不限</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kern w:val="0"/>
                <w:sz w:val="21"/>
                <w:szCs w:val="21"/>
              </w:rPr>
            </w:pPr>
            <w:r>
              <w:rPr>
                <w:rFonts w:hint="eastAsia" w:ascii="宋体" w:hAnsi="宋体"/>
                <w:color w:val="auto"/>
                <w:kern w:val="0"/>
                <w:sz w:val="21"/>
                <w:szCs w:val="21"/>
              </w:rPr>
              <w:t>男性：55周岁以下</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kern w:val="0"/>
                <w:sz w:val="21"/>
                <w:szCs w:val="21"/>
              </w:rPr>
            </w:pPr>
            <w:r>
              <w:rPr>
                <w:rFonts w:hint="eastAsia" w:ascii="宋体" w:hAnsi="宋体"/>
                <w:color w:val="auto"/>
                <w:kern w:val="0"/>
                <w:sz w:val="21"/>
                <w:szCs w:val="21"/>
              </w:rPr>
              <w:t>女性：50周岁以下</w:t>
            </w: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7" w:hRule="atLeast"/>
        </w:trPr>
        <w:tc>
          <w:tcPr>
            <w:tcW w:w="592"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保</w:t>
            </w:r>
          </w:p>
          <w:p>
            <w:pPr>
              <w:pStyle w:val="2"/>
              <w:keepNext w:val="0"/>
              <w:keepLines w:val="0"/>
              <w:pageBreakBefore w:val="0"/>
              <w:widowControl/>
              <w:kinsoku/>
              <w:wordWrap/>
              <w:overflowPunct/>
              <w:topLinePunct w:val="0"/>
              <w:autoSpaceDE/>
              <w:autoSpaceDN/>
              <w:bidi w:val="0"/>
              <w:adjustRightInd/>
              <w:snapToGrid/>
              <w:spacing w:after="0" w:line="360" w:lineRule="exact"/>
              <w:ind w:left="1470" w:right="1470"/>
              <w:rPr>
                <w:color w:val="auto"/>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洁</w:t>
            </w:r>
          </w:p>
          <w:p>
            <w:pPr>
              <w:pStyle w:val="2"/>
              <w:keepNext w:val="0"/>
              <w:keepLines w:val="0"/>
              <w:pageBreakBefore w:val="0"/>
              <w:widowControl/>
              <w:kinsoku/>
              <w:wordWrap/>
              <w:overflowPunct/>
              <w:topLinePunct w:val="0"/>
              <w:autoSpaceDE/>
              <w:autoSpaceDN/>
              <w:bidi w:val="0"/>
              <w:adjustRightInd/>
              <w:snapToGrid/>
              <w:spacing w:after="0" w:line="360" w:lineRule="exact"/>
              <w:ind w:left="1470" w:right="1470"/>
              <w:rPr>
                <w:color w:val="auto"/>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员</w:t>
            </w: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外场（含看台）</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9</w:t>
            </w:r>
          </w:p>
        </w:tc>
        <w:tc>
          <w:tcPr>
            <w:tcW w:w="1215"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初中及以上</w:t>
            </w:r>
          </w:p>
        </w:tc>
        <w:tc>
          <w:tcPr>
            <w:tcW w:w="10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olor w:val="auto"/>
                <w:sz w:val="21"/>
                <w:szCs w:val="21"/>
              </w:rPr>
            </w:pPr>
            <w:r>
              <w:rPr>
                <w:rFonts w:hint="eastAsia" w:ascii="宋体" w:hAnsi="宋体"/>
                <w:color w:val="auto"/>
                <w:sz w:val="21"/>
                <w:szCs w:val="21"/>
              </w:rPr>
              <w:t>男女不限</w:t>
            </w:r>
          </w:p>
        </w:tc>
        <w:tc>
          <w:tcPr>
            <w:tcW w:w="1875"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sz w:val="21"/>
                <w:szCs w:val="21"/>
              </w:rPr>
            </w:pPr>
            <w:r>
              <w:rPr>
                <w:rFonts w:hint="eastAsia" w:ascii="宋体" w:hAnsi="宋体"/>
                <w:color w:val="auto"/>
                <w:kern w:val="0"/>
                <w:sz w:val="21"/>
                <w:szCs w:val="21"/>
              </w:rPr>
              <w:t>保洁人员可以安排退休人员，扶持下岗再就业人员，但最大年龄不得超过：男:60周岁，女:60周岁。相关人员投标人统筹考虑。</w:t>
            </w: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体育中心</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olor w:val="auto"/>
                <w:kern w:val="0"/>
                <w:sz w:val="21"/>
                <w:szCs w:val="21"/>
              </w:rPr>
            </w:pPr>
            <w:r>
              <w:rPr>
                <w:rFonts w:hint="eastAsia" w:ascii="宋体" w:hAnsi="宋体"/>
                <w:color w:val="auto"/>
                <w:kern w:val="0"/>
                <w:sz w:val="21"/>
                <w:szCs w:val="21"/>
              </w:rPr>
              <w:t>教学楼</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(含流动教室）</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10</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艺术组团</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经贸组团</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机电组团</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工业中心</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大学生活动中心</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2</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创业园</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kern w:val="0"/>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药健组团</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纺服组团</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2</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图文中心</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sz w:val="21"/>
                <w:szCs w:val="21"/>
              </w:rPr>
              <w:t>6</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r>
              <w:rPr>
                <w:rFonts w:hint="eastAsia" w:ascii="宋体" w:hAnsi="宋体"/>
                <w:color w:val="auto"/>
                <w:sz w:val="21"/>
                <w:szCs w:val="21"/>
              </w:rPr>
              <w:t>其中2人年龄不超过48周岁，除常规工作外，还要从事会务服务、报纸发放等工作。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rPr>
        <w:tc>
          <w:tcPr>
            <w:tcW w:w="59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color w:val="auto"/>
                <w:sz w:val="21"/>
                <w:szCs w:val="21"/>
              </w:rPr>
            </w:pP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olor w:val="auto"/>
                <w:sz w:val="21"/>
                <w:szCs w:val="21"/>
                <w:lang w:val="en-US" w:eastAsia="zh-CN"/>
              </w:rPr>
            </w:pPr>
            <w:r>
              <w:rPr>
                <w:rFonts w:hint="eastAsia" w:ascii="宋体" w:hAnsi="宋体"/>
                <w:color w:val="auto"/>
                <w:kern w:val="0"/>
                <w:sz w:val="21"/>
                <w:szCs w:val="21"/>
                <w:lang w:val="en-US" w:eastAsia="zh-CN"/>
              </w:rPr>
              <w:t>C-10办公楼</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1</w:t>
            </w:r>
          </w:p>
        </w:tc>
        <w:tc>
          <w:tcPr>
            <w:tcW w:w="121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2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小计</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38</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020"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875"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1" w:hRule="atLeast"/>
        </w:trPr>
        <w:tc>
          <w:tcPr>
            <w:tcW w:w="2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olor w:val="auto"/>
                <w:sz w:val="21"/>
                <w:szCs w:val="21"/>
              </w:rPr>
            </w:pPr>
            <w:r>
              <w:rPr>
                <w:rFonts w:hint="eastAsia" w:ascii="宋体" w:hAnsi="宋体"/>
                <w:color w:val="auto"/>
                <w:kern w:val="0"/>
                <w:sz w:val="21"/>
                <w:szCs w:val="21"/>
              </w:rPr>
              <w:t>打扫保洁范围</w:t>
            </w:r>
          </w:p>
        </w:tc>
        <w:tc>
          <w:tcPr>
            <w:tcW w:w="5096"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sz w:val="21"/>
                <w:szCs w:val="21"/>
              </w:rPr>
            </w:pPr>
            <w:r>
              <w:rPr>
                <w:rFonts w:hint="eastAsia" w:ascii="宋体" w:hAnsi="宋体"/>
                <w:color w:val="auto"/>
                <w:kern w:val="0"/>
                <w:sz w:val="21"/>
                <w:szCs w:val="21"/>
              </w:rPr>
              <w:t>除学生宿舍、青年教师周转公寓、食堂内部、公共浴室内部外，其他所有建筑组团公共区域及厕所，校园内部所有道路广场、运动场；图文中心院领导办公室、会议室、接待室等保洁；校园内所有水面垃圾及漂浮物；校内各建筑物外立面的乱贴、乱画等“牛皮癣”的清除；配合绿化季节性树叶落叶清理及所有场地杂草清除；学院重大活动、迎接各种活动检查等特殊时段的环境整治保洁。其中公共教学组团流动教室约91间的保洁，各组团流动教室保洁，</w:t>
            </w:r>
            <w:r>
              <w:rPr>
                <w:rFonts w:hint="eastAsia"/>
                <w:color w:val="auto"/>
                <w:sz w:val="21"/>
                <w:szCs w:val="21"/>
              </w:rPr>
              <w:t>铁军文化广场房屋内部、外部卫生保洁及纺服学院广场方鼎正常保洁，除宿舍区域的电梯、厕所、垃圾桶区域每日消毒并做好记录等工作</w:t>
            </w:r>
            <w:r>
              <w:rPr>
                <w:rFonts w:hint="eastAsia" w:ascii="宋体" w:hAnsi="宋体"/>
                <w:color w:val="auto"/>
                <w:kern w:val="0"/>
                <w:sz w:val="21"/>
                <w:szCs w:val="21"/>
              </w:rPr>
              <w:t>。</w:t>
            </w:r>
          </w:p>
        </w:tc>
        <w:tc>
          <w:tcPr>
            <w:tcW w:w="191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color w:val="auto"/>
                <w:sz w:val="21"/>
                <w:szCs w:val="21"/>
              </w:rPr>
            </w:pPr>
            <w:r>
              <w:rPr>
                <w:rFonts w:hint="eastAsia" w:ascii="宋体" w:hAnsi="宋体"/>
                <w:color w:val="auto"/>
                <w:kern w:val="0"/>
                <w:sz w:val="21"/>
                <w:szCs w:val="21"/>
              </w:rPr>
              <w:t>由投标人根据保洁工作量配备人员与设备</w:t>
            </w:r>
          </w:p>
        </w:tc>
      </w:tr>
    </w:tbl>
    <w:p>
      <w:pPr>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备注: 由于招标单位是学校，有寒暑假，假期间工作人员（不含项目经理）不低于20人，人员使用上有弹性，报价时应在全年人员费用支出与企业利润等方面统筹考虑。</w:t>
      </w:r>
    </w:p>
    <w:p>
      <w:pPr>
        <w:adjustRightInd w:val="0"/>
        <w:snapToGrid w:val="0"/>
        <w:spacing w:line="360" w:lineRule="auto"/>
        <w:ind w:firstLine="482" w:firstLineChars="200"/>
        <w:rPr>
          <w:rFonts w:ascii="宋体" w:hAnsi="宋体"/>
          <w:b/>
          <w:color w:val="auto"/>
          <w:kern w:val="0"/>
          <w:sz w:val="24"/>
        </w:rPr>
      </w:pPr>
      <w:r>
        <w:rPr>
          <w:rFonts w:hint="eastAsia" w:ascii="宋体" w:hAnsi="宋体"/>
          <w:b/>
          <w:bCs/>
          <w:color w:val="auto"/>
          <w:kern w:val="0"/>
          <w:sz w:val="24"/>
        </w:rPr>
        <w:t>学生在校期间，项目负责人须在校，必须根据上表配置所需服务人员，不得减少岗位人数，所有服务人员必须服从学校管理，节假日及特殊时期严格遵守岗位职责并承担一定的学校勤务工作，各岗位具体勤务工作由学校合理分工制定。</w:t>
      </w:r>
    </w:p>
    <w:p>
      <w:pPr>
        <w:snapToGrid w:val="0"/>
        <w:spacing w:line="460" w:lineRule="exact"/>
        <w:ind w:firstLine="562" w:firstLineChars="200"/>
        <w:rPr>
          <w:rFonts w:ascii="楷体" w:hAnsi="楷体" w:eastAsia="楷体"/>
          <w:b/>
          <w:color w:val="auto"/>
          <w:kern w:val="0"/>
          <w:sz w:val="28"/>
          <w:szCs w:val="28"/>
        </w:rPr>
      </w:pPr>
      <w:r>
        <w:rPr>
          <w:rFonts w:hint="eastAsia" w:ascii="楷体" w:hAnsi="楷体" w:eastAsia="楷体"/>
          <w:b/>
          <w:color w:val="auto"/>
          <w:kern w:val="0"/>
          <w:sz w:val="28"/>
          <w:szCs w:val="28"/>
        </w:rPr>
        <w:t>1.物业服务标准和要求</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1.1保洁服务标准</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1.1.1地面：硬质地面台阶及其接缝洁净，上蜡光亮，地毯清洁、无污点和霉坏，踢脚线等地方无积尘、杂物、污渍，广场砖、车库地面干净，花基、花坛内无烟头、杂物，绿化牌、庭园灯干净、光亮。</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1.1.2墙面：大理石、瓷片、砖干净、明亮、无污迹。</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1.1.3玻璃：门、窗、镜面、玻璃围栏、外墙幕玻，触摸屏洁净透亮。</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1.1.4金属制品：如电房门、梯门、支架、热水器、消防门、烟灰缸、水龙头、不锈钢栏杆等光亮无锈迹和污迹。</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1.1.5天花：光管、指示牌、光管盘、灯罩等设施干净无尘，无蜘蛛网。</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1.1.6洗手间：皂盒、厕兜水箱等设施干净、无损坏，洗手间内无异味，便器、洗手盆、尿斗无水锈，台面干净无水迹，常规消毒有记录。</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1.1.7开水间：垃圾桶、门边柜、茶渣柜干净无异味。</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1.1.8厅堂：烟缸、废纸及垃圾桶内的其他脏物按规定及时清除，接待台等设施干净无杂物。</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1.1.9垃圾清运：垃圾日产日清，垃圾清运后散落地面的垃圾要清扫干净，每周将垃圾桶内外清洗一到二次，做好垃圾分类及常规消毒工作。</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1.2保洁服务要求：</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079"/>
        <w:gridCol w:w="569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清洁范围</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清洁内容</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10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各</w:t>
            </w:r>
          </w:p>
          <w:p>
            <w:pPr>
              <w:snapToGrid w:val="0"/>
              <w:spacing w:line="460" w:lineRule="exact"/>
              <w:jc w:val="center"/>
              <w:rPr>
                <w:rFonts w:ascii="宋体" w:hAnsi="宋体"/>
                <w:color w:val="auto"/>
                <w:kern w:val="0"/>
              </w:rPr>
            </w:pPr>
            <w:r>
              <w:rPr>
                <w:rFonts w:hint="eastAsia" w:ascii="宋体" w:hAnsi="宋体"/>
                <w:color w:val="auto"/>
                <w:kern w:val="0"/>
              </w:rPr>
              <w:t>大</w:t>
            </w:r>
          </w:p>
          <w:p>
            <w:pPr>
              <w:snapToGrid w:val="0"/>
              <w:spacing w:line="460" w:lineRule="exact"/>
              <w:jc w:val="center"/>
              <w:rPr>
                <w:rFonts w:ascii="宋体" w:hAnsi="宋体"/>
                <w:color w:val="auto"/>
                <w:kern w:val="0"/>
              </w:rPr>
            </w:pPr>
            <w:r>
              <w:rPr>
                <w:rFonts w:hint="eastAsia" w:ascii="宋体" w:hAnsi="宋体"/>
                <w:color w:val="auto"/>
                <w:kern w:val="0"/>
              </w:rPr>
              <w:t>楼</w:t>
            </w:r>
          </w:p>
          <w:p>
            <w:pPr>
              <w:snapToGrid w:val="0"/>
              <w:spacing w:line="460" w:lineRule="exact"/>
              <w:jc w:val="center"/>
              <w:rPr>
                <w:rFonts w:ascii="宋体" w:hAnsi="宋体"/>
                <w:color w:val="auto"/>
                <w:kern w:val="0"/>
              </w:rPr>
            </w:pPr>
            <w:r>
              <w:rPr>
                <w:rFonts w:hint="eastAsia" w:ascii="宋体" w:hAnsi="宋体"/>
                <w:color w:val="auto"/>
                <w:kern w:val="0"/>
              </w:rPr>
              <w:t>内</w:t>
            </w:r>
          </w:p>
          <w:p>
            <w:pPr>
              <w:snapToGrid w:val="0"/>
              <w:spacing w:line="460" w:lineRule="exact"/>
              <w:jc w:val="center"/>
              <w:rPr>
                <w:rFonts w:ascii="宋体" w:hAnsi="宋体"/>
                <w:color w:val="auto"/>
                <w:kern w:val="0"/>
              </w:rPr>
            </w:pPr>
            <w:r>
              <w:rPr>
                <w:rFonts w:hint="eastAsia" w:ascii="宋体" w:hAnsi="宋体"/>
                <w:color w:val="auto"/>
                <w:kern w:val="0"/>
              </w:rPr>
              <w:t>部</w:t>
            </w:r>
          </w:p>
          <w:p>
            <w:pPr>
              <w:snapToGrid w:val="0"/>
              <w:spacing w:line="460" w:lineRule="exact"/>
              <w:jc w:val="center"/>
              <w:rPr>
                <w:rFonts w:ascii="宋体" w:hAnsi="宋体"/>
                <w:color w:val="auto"/>
                <w:kern w:val="0"/>
              </w:rPr>
            </w:pPr>
            <w:r>
              <w:rPr>
                <w:rFonts w:hint="eastAsia" w:ascii="宋体" w:hAnsi="宋体"/>
                <w:color w:val="auto"/>
                <w:kern w:val="0"/>
              </w:rPr>
              <w:t>分</w:t>
            </w: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入</w:t>
            </w:r>
          </w:p>
          <w:p>
            <w:pPr>
              <w:snapToGrid w:val="0"/>
              <w:spacing w:line="460" w:lineRule="exact"/>
              <w:jc w:val="center"/>
              <w:rPr>
                <w:rFonts w:ascii="宋体" w:hAnsi="宋体"/>
                <w:color w:val="auto"/>
                <w:kern w:val="0"/>
              </w:rPr>
            </w:pPr>
            <w:r>
              <w:rPr>
                <w:rFonts w:hint="eastAsia" w:ascii="宋体" w:hAnsi="宋体"/>
                <w:color w:val="auto"/>
                <w:kern w:val="0"/>
              </w:rPr>
              <w:t>口</w:t>
            </w:r>
          </w:p>
          <w:p>
            <w:pPr>
              <w:snapToGrid w:val="0"/>
              <w:spacing w:line="460" w:lineRule="exact"/>
              <w:jc w:val="center"/>
              <w:rPr>
                <w:rFonts w:ascii="宋体" w:hAnsi="宋体"/>
                <w:color w:val="auto"/>
                <w:kern w:val="0"/>
              </w:rPr>
            </w:pPr>
            <w:r>
              <w:rPr>
                <w:rFonts w:hint="eastAsia" w:ascii="宋体" w:hAnsi="宋体"/>
                <w:color w:val="auto"/>
                <w:kern w:val="0"/>
              </w:rPr>
              <w:t>大</w:t>
            </w:r>
          </w:p>
          <w:p>
            <w:pPr>
              <w:snapToGrid w:val="0"/>
              <w:spacing w:line="460" w:lineRule="exact"/>
              <w:jc w:val="center"/>
              <w:rPr>
                <w:rFonts w:ascii="宋体" w:hAnsi="宋体"/>
                <w:color w:val="auto"/>
                <w:kern w:val="0"/>
              </w:rPr>
            </w:pPr>
            <w:r>
              <w:rPr>
                <w:rFonts w:hint="eastAsia" w:ascii="宋体" w:hAnsi="宋体"/>
                <w:color w:val="auto"/>
                <w:kern w:val="0"/>
              </w:rPr>
              <w:t>堂</w:t>
            </w:r>
          </w:p>
        </w:tc>
        <w:tc>
          <w:tcPr>
            <w:tcW w:w="5691"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ascii="宋体" w:hAnsi="宋体"/>
                <w:color w:val="auto"/>
                <w:kern w:val="0"/>
              </w:rPr>
            </w:pPr>
            <w:r>
              <w:rPr>
                <w:rFonts w:hint="eastAsia" w:ascii="宋体" w:hAnsi="宋体"/>
                <w:color w:val="auto"/>
                <w:kern w:val="0"/>
              </w:rPr>
              <w:t>1.清扫及洗刷大堂入口地台及梯级</w:t>
            </w:r>
          </w:p>
          <w:p>
            <w:pPr>
              <w:snapToGrid w:val="0"/>
              <w:spacing w:line="460" w:lineRule="exact"/>
              <w:jc w:val="left"/>
              <w:rPr>
                <w:rFonts w:ascii="宋体" w:hAnsi="宋体"/>
                <w:color w:val="auto"/>
                <w:kern w:val="0"/>
              </w:rPr>
            </w:pPr>
            <w:r>
              <w:rPr>
                <w:rFonts w:hint="eastAsia" w:ascii="宋体" w:hAnsi="宋体"/>
                <w:color w:val="auto"/>
                <w:kern w:val="0"/>
              </w:rPr>
              <w:t>2.大堂地板、台阶推尘</w:t>
            </w:r>
          </w:p>
          <w:p>
            <w:pPr>
              <w:snapToGrid w:val="0"/>
              <w:spacing w:line="460" w:lineRule="exact"/>
              <w:jc w:val="left"/>
              <w:rPr>
                <w:rFonts w:ascii="宋体" w:hAnsi="宋体"/>
                <w:color w:val="auto"/>
                <w:kern w:val="0"/>
              </w:rPr>
            </w:pPr>
            <w:r>
              <w:rPr>
                <w:rFonts w:hint="eastAsia" w:ascii="宋体" w:hAnsi="宋体"/>
                <w:color w:val="auto"/>
                <w:kern w:val="0"/>
              </w:rPr>
              <w:t>3.清洁大堂玻璃门、窗及附属设施</w:t>
            </w:r>
          </w:p>
          <w:p>
            <w:pPr>
              <w:snapToGrid w:val="0"/>
              <w:spacing w:line="460" w:lineRule="exact"/>
              <w:jc w:val="left"/>
              <w:rPr>
                <w:rFonts w:ascii="宋体" w:hAnsi="宋体"/>
                <w:color w:val="auto"/>
                <w:kern w:val="0"/>
              </w:rPr>
            </w:pPr>
            <w:r>
              <w:rPr>
                <w:rFonts w:hint="eastAsia" w:ascii="宋体" w:hAnsi="宋体"/>
                <w:color w:val="auto"/>
                <w:kern w:val="0"/>
              </w:rPr>
              <w:t>4.墙脚线、墙面清洁、无蜘蛛网、无积尘</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kern w:val="0"/>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公</w:t>
            </w:r>
          </w:p>
          <w:p>
            <w:pPr>
              <w:snapToGrid w:val="0"/>
              <w:spacing w:line="460" w:lineRule="exact"/>
              <w:jc w:val="center"/>
              <w:rPr>
                <w:rFonts w:ascii="宋体" w:hAnsi="宋体"/>
                <w:color w:val="auto"/>
                <w:kern w:val="0"/>
              </w:rPr>
            </w:pPr>
            <w:r>
              <w:rPr>
                <w:rFonts w:hint="eastAsia" w:ascii="宋体" w:hAnsi="宋体"/>
                <w:color w:val="auto"/>
                <w:kern w:val="0"/>
              </w:rPr>
              <w:t>共</w:t>
            </w:r>
          </w:p>
          <w:p>
            <w:pPr>
              <w:snapToGrid w:val="0"/>
              <w:spacing w:line="460" w:lineRule="exact"/>
              <w:jc w:val="center"/>
              <w:rPr>
                <w:rFonts w:ascii="宋体" w:hAnsi="宋体"/>
                <w:color w:val="auto"/>
                <w:kern w:val="0"/>
              </w:rPr>
            </w:pPr>
            <w:r>
              <w:rPr>
                <w:rFonts w:hint="eastAsia" w:ascii="宋体" w:hAnsi="宋体"/>
                <w:color w:val="auto"/>
                <w:kern w:val="0"/>
              </w:rPr>
              <w:t>区</w:t>
            </w:r>
          </w:p>
          <w:p>
            <w:pPr>
              <w:snapToGrid w:val="0"/>
              <w:spacing w:line="460" w:lineRule="exact"/>
              <w:jc w:val="center"/>
              <w:rPr>
                <w:rFonts w:ascii="宋体" w:hAnsi="宋体"/>
                <w:color w:val="auto"/>
                <w:kern w:val="0"/>
              </w:rPr>
            </w:pPr>
            <w:r>
              <w:rPr>
                <w:rFonts w:hint="eastAsia" w:ascii="宋体" w:hAnsi="宋体"/>
                <w:color w:val="auto"/>
                <w:kern w:val="0"/>
              </w:rPr>
              <w:t>域</w:t>
            </w:r>
          </w:p>
        </w:tc>
        <w:tc>
          <w:tcPr>
            <w:tcW w:w="5691"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color w:val="auto"/>
              </w:rPr>
            </w:pPr>
            <w:r>
              <w:rPr>
                <w:rFonts w:hint="eastAsia"/>
                <w:color w:val="auto"/>
              </w:rPr>
              <w:t>1.走廊、过道推尘、</w:t>
            </w:r>
            <w:r>
              <w:rPr>
                <w:rFonts w:hint="eastAsia" w:ascii="宋体" w:hAnsi="宋体"/>
                <w:color w:val="auto"/>
                <w:kern w:val="0"/>
              </w:rPr>
              <w:t>无蜘蛛网、无积尘</w:t>
            </w:r>
          </w:p>
          <w:p>
            <w:pPr>
              <w:snapToGrid w:val="0"/>
              <w:spacing w:line="460" w:lineRule="exact"/>
              <w:jc w:val="left"/>
              <w:rPr>
                <w:color w:val="auto"/>
              </w:rPr>
            </w:pPr>
            <w:r>
              <w:rPr>
                <w:rFonts w:hint="eastAsia"/>
                <w:color w:val="auto"/>
              </w:rPr>
              <w:t>2.清洁门、窗、框、栏杆、扶手、电梯</w:t>
            </w:r>
          </w:p>
          <w:p>
            <w:pPr>
              <w:snapToGrid w:val="0"/>
              <w:spacing w:line="460" w:lineRule="exact"/>
              <w:jc w:val="left"/>
              <w:rPr>
                <w:color w:val="auto"/>
              </w:rPr>
            </w:pPr>
            <w:r>
              <w:rPr>
                <w:rFonts w:hint="eastAsia"/>
                <w:color w:val="auto"/>
              </w:rPr>
              <w:t>3.清洁空调风口、照明灯罩</w:t>
            </w:r>
          </w:p>
          <w:p>
            <w:pPr>
              <w:snapToGrid w:val="0"/>
              <w:spacing w:line="460" w:lineRule="exact"/>
              <w:jc w:val="left"/>
              <w:rPr>
                <w:color w:val="auto"/>
              </w:rPr>
            </w:pPr>
            <w:r>
              <w:rPr>
                <w:rFonts w:hint="eastAsia"/>
                <w:color w:val="auto"/>
              </w:rPr>
              <w:t>4.清洁垃圾箱、烟灰缸及花池内外表面</w:t>
            </w:r>
          </w:p>
          <w:p>
            <w:pPr>
              <w:snapToGrid w:val="0"/>
              <w:spacing w:line="460" w:lineRule="exact"/>
              <w:jc w:val="left"/>
              <w:rPr>
                <w:color w:val="auto"/>
              </w:rPr>
            </w:pPr>
            <w:r>
              <w:rPr>
                <w:rFonts w:hint="eastAsia"/>
                <w:color w:val="auto"/>
              </w:rPr>
              <w:t>5.收集、清理所有垃圾箱、烟灰缸及花池内的垃圾</w:t>
            </w:r>
          </w:p>
          <w:p>
            <w:pPr>
              <w:snapToGrid w:val="0"/>
              <w:spacing w:line="460" w:lineRule="exact"/>
              <w:jc w:val="left"/>
              <w:rPr>
                <w:color w:val="auto"/>
              </w:rPr>
            </w:pPr>
            <w:r>
              <w:rPr>
                <w:rFonts w:hint="eastAsia"/>
                <w:color w:val="auto"/>
              </w:rPr>
              <w:t>6.电梯内、外部清洁保养及每日消毒，并做消毒记录</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kern w:val="0"/>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卫</w:t>
            </w:r>
          </w:p>
          <w:p>
            <w:pPr>
              <w:snapToGrid w:val="0"/>
              <w:spacing w:line="460" w:lineRule="exact"/>
              <w:jc w:val="center"/>
              <w:rPr>
                <w:rFonts w:ascii="宋体" w:hAnsi="宋体"/>
                <w:color w:val="auto"/>
                <w:kern w:val="0"/>
              </w:rPr>
            </w:pPr>
            <w:r>
              <w:rPr>
                <w:rFonts w:hint="eastAsia" w:ascii="宋体" w:hAnsi="宋体"/>
                <w:color w:val="auto"/>
                <w:kern w:val="0"/>
              </w:rPr>
              <w:t>生</w:t>
            </w:r>
          </w:p>
          <w:p>
            <w:pPr>
              <w:snapToGrid w:val="0"/>
              <w:spacing w:line="460" w:lineRule="exact"/>
              <w:jc w:val="center"/>
              <w:rPr>
                <w:rFonts w:ascii="宋体" w:hAnsi="宋体"/>
                <w:color w:val="auto"/>
                <w:kern w:val="0"/>
              </w:rPr>
            </w:pPr>
            <w:r>
              <w:rPr>
                <w:rFonts w:hint="eastAsia" w:ascii="宋体" w:hAnsi="宋体"/>
                <w:color w:val="auto"/>
                <w:kern w:val="0"/>
              </w:rPr>
              <w:t>间</w:t>
            </w:r>
          </w:p>
        </w:tc>
        <w:tc>
          <w:tcPr>
            <w:tcW w:w="5691"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ascii="宋体" w:hAnsi="宋体"/>
                <w:color w:val="auto"/>
                <w:kern w:val="0"/>
              </w:rPr>
            </w:pPr>
            <w:r>
              <w:rPr>
                <w:rFonts w:hint="eastAsia" w:ascii="宋体" w:hAnsi="宋体"/>
                <w:color w:val="auto"/>
                <w:kern w:val="0"/>
              </w:rPr>
              <w:t>1.用清洁剂清洗马桶（蹲便器、小便斗、小便池）</w:t>
            </w:r>
          </w:p>
          <w:p>
            <w:pPr>
              <w:snapToGrid w:val="0"/>
              <w:spacing w:line="460" w:lineRule="exact"/>
              <w:jc w:val="left"/>
              <w:rPr>
                <w:rFonts w:ascii="宋体" w:hAnsi="宋体"/>
                <w:color w:val="auto"/>
                <w:kern w:val="0"/>
              </w:rPr>
            </w:pPr>
            <w:r>
              <w:rPr>
                <w:rFonts w:hint="eastAsia" w:ascii="宋体" w:hAnsi="宋体"/>
                <w:color w:val="auto"/>
                <w:kern w:val="0"/>
              </w:rPr>
              <w:t>2.清洁门、窗、框</w:t>
            </w:r>
          </w:p>
          <w:p>
            <w:pPr>
              <w:snapToGrid w:val="0"/>
              <w:spacing w:line="460" w:lineRule="exact"/>
              <w:jc w:val="left"/>
              <w:rPr>
                <w:rFonts w:ascii="宋体" w:hAnsi="宋体"/>
                <w:color w:val="auto"/>
                <w:kern w:val="0"/>
              </w:rPr>
            </w:pPr>
            <w:r>
              <w:rPr>
                <w:rFonts w:hint="eastAsia" w:ascii="宋体" w:hAnsi="宋体"/>
                <w:color w:val="auto"/>
                <w:kern w:val="0"/>
              </w:rPr>
              <w:t>3.冲洗及擦净马桶（蹲便器、小便斗、小便池）</w:t>
            </w:r>
          </w:p>
          <w:p>
            <w:pPr>
              <w:snapToGrid w:val="0"/>
              <w:spacing w:line="460" w:lineRule="exact"/>
              <w:jc w:val="left"/>
              <w:rPr>
                <w:rFonts w:ascii="宋体" w:hAnsi="宋体"/>
                <w:color w:val="auto"/>
                <w:kern w:val="0"/>
              </w:rPr>
            </w:pPr>
            <w:r>
              <w:rPr>
                <w:rFonts w:hint="eastAsia" w:ascii="宋体" w:hAnsi="宋体"/>
                <w:color w:val="auto"/>
                <w:kern w:val="0"/>
              </w:rPr>
              <w:t>4.擦净卫生间内镜面、面池及地面拖干</w:t>
            </w:r>
          </w:p>
          <w:p>
            <w:pPr>
              <w:snapToGrid w:val="0"/>
              <w:spacing w:line="460" w:lineRule="exact"/>
              <w:jc w:val="left"/>
              <w:rPr>
                <w:rFonts w:ascii="宋体" w:hAnsi="宋体"/>
                <w:color w:val="auto"/>
                <w:kern w:val="0"/>
              </w:rPr>
            </w:pPr>
            <w:r>
              <w:rPr>
                <w:rFonts w:hint="eastAsia" w:ascii="宋体" w:hAnsi="宋体"/>
                <w:color w:val="auto"/>
                <w:kern w:val="0"/>
              </w:rPr>
              <w:t>5.天花板用灯罩表面除尘，排气扇清洁、无蜘蛛网、无积尘</w:t>
            </w:r>
          </w:p>
          <w:p>
            <w:pPr>
              <w:snapToGrid w:val="0"/>
              <w:spacing w:line="460" w:lineRule="exact"/>
              <w:jc w:val="left"/>
              <w:rPr>
                <w:rFonts w:ascii="宋体" w:hAnsi="宋体"/>
                <w:color w:val="auto"/>
                <w:kern w:val="0"/>
              </w:rPr>
            </w:pPr>
            <w:r>
              <w:rPr>
                <w:rFonts w:hint="eastAsia" w:ascii="宋体" w:hAnsi="宋体"/>
                <w:color w:val="auto"/>
                <w:kern w:val="0"/>
              </w:rPr>
              <w:t>6.检查和添加（更换）电池、垃圾袋及洗手液等</w:t>
            </w:r>
          </w:p>
          <w:p>
            <w:pPr>
              <w:snapToGrid w:val="0"/>
              <w:spacing w:line="460" w:lineRule="exact"/>
              <w:jc w:val="left"/>
              <w:rPr>
                <w:rFonts w:ascii="宋体" w:hAnsi="宋体"/>
                <w:color w:val="auto"/>
                <w:kern w:val="0"/>
              </w:rPr>
            </w:pPr>
            <w:r>
              <w:rPr>
                <w:rFonts w:hint="eastAsia" w:ascii="宋体" w:hAnsi="宋体"/>
                <w:color w:val="auto"/>
                <w:kern w:val="0"/>
              </w:rPr>
              <w:t>7.清理垃圾篓及卫生间每日消毒，</w:t>
            </w:r>
            <w:r>
              <w:rPr>
                <w:rFonts w:hint="eastAsia"/>
                <w:color w:val="auto"/>
              </w:rPr>
              <w:t>并做消毒记录</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kern w:val="0"/>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楼梯</w:t>
            </w:r>
          </w:p>
        </w:tc>
        <w:tc>
          <w:tcPr>
            <w:tcW w:w="5691"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ascii="宋体" w:hAnsi="宋体"/>
                <w:color w:val="auto"/>
                <w:kern w:val="0"/>
              </w:rPr>
            </w:pPr>
            <w:r>
              <w:rPr>
                <w:rFonts w:hint="eastAsia" w:ascii="宋体" w:hAnsi="宋体"/>
                <w:color w:val="auto"/>
                <w:kern w:val="0"/>
              </w:rPr>
              <w:t>1.清洁各档层楼梯</w:t>
            </w:r>
          </w:p>
          <w:p>
            <w:pPr>
              <w:snapToGrid w:val="0"/>
              <w:spacing w:line="460" w:lineRule="exact"/>
              <w:jc w:val="left"/>
              <w:rPr>
                <w:rFonts w:ascii="宋体" w:hAnsi="宋体"/>
                <w:color w:val="auto"/>
                <w:kern w:val="0"/>
              </w:rPr>
            </w:pPr>
            <w:r>
              <w:rPr>
                <w:rFonts w:hint="eastAsia" w:ascii="宋体" w:hAnsi="宋体"/>
                <w:color w:val="auto"/>
                <w:kern w:val="0"/>
              </w:rPr>
              <w:t>2.扶手和栏杆抛光</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kern w:val="0"/>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会议（报告）厅、大礼堂</w:t>
            </w:r>
          </w:p>
        </w:tc>
        <w:tc>
          <w:tcPr>
            <w:tcW w:w="5691"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ascii="宋体" w:hAnsi="宋体"/>
                <w:color w:val="auto"/>
                <w:kern w:val="0"/>
              </w:rPr>
            </w:pPr>
            <w:r>
              <w:rPr>
                <w:rFonts w:hint="eastAsia" w:ascii="宋体" w:hAnsi="宋体"/>
                <w:color w:val="auto"/>
                <w:kern w:val="0"/>
              </w:rPr>
              <w:t>1.门、框、窗台、地板、舞台清洁</w:t>
            </w:r>
          </w:p>
          <w:p>
            <w:pPr>
              <w:snapToGrid w:val="0"/>
              <w:spacing w:line="460" w:lineRule="exact"/>
              <w:jc w:val="left"/>
              <w:rPr>
                <w:rFonts w:ascii="宋体" w:hAnsi="宋体"/>
                <w:color w:val="auto"/>
                <w:kern w:val="0"/>
              </w:rPr>
            </w:pPr>
            <w:r>
              <w:rPr>
                <w:rFonts w:hint="eastAsia" w:ascii="宋体" w:hAnsi="宋体"/>
                <w:color w:val="auto"/>
                <w:kern w:val="0"/>
              </w:rPr>
              <w:t>2.茶几、桌子、台面、讲台、椅子（沙发）等清洁</w:t>
            </w:r>
          </w:p>
          <w:p>
            <w:pPr>
              <w:snapToGrid w:val="0"/>
              <w:spacing w:line="460" w:lineRule="exact"/>
              <w:jc w:val="left"/>
              <w:rPr>
                <w:rFonts w:ascii="宋体" w:hAnsi="宋体"/>
                <w:color w:val="auto"/>
                <w:kern w:val="0"/>
              </w:rPr>
            </w:pPr>
            <w:r>
              <w:rPr>
                <w:rFonts w:hint="eastAsia" w:ascii="宋体" w:hAnsi="宋体"/>
                <w:color w:val="auto"/>
                <w:kern w:val="0"/>
              </w:rPr>
              <w:t>3.墙面、踢脚线保洁</w:t>
            </w:r>
          </w:p>
          <w:p>
            <w:pPr>
              <w:snapToGrid w:val="0"/>
              <w:spacing w:line="460" w:lineRule="exact"/>
              <w:jc w:val="left"/>
              <w:rPr>
                <w:rFonts w:ascii="宋体" w:hAnsi="宋体"/>
                <w:color w:val="auto"/>
                <w:kern w:val="0"/>
              </w:rPr>
            </w:pPr>
            <w:r>
              <w:rPr>
                <w:rFonts w:hint="eastAsia" w:ascii="宋体" w:hAnsi="宋体"/>
                <w:color w:val="auto"/>
                <w:kern w:val="0"/>
              </w:rPr>
              <w:t>4.其它设备表面清理</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公共教室</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rPr>
            </w:pPr>
            <w:r>
              <w:rPr>
                <w:rFonts w:ascii="宋体" w:hAnsi="宋体"/>
                <w:color w:val="auto"/>
              </w:rPr>
              <w:t>1.</w:t>
            </w:r>
            <w:r>
              <w:rPr>
                <w:rFonts w:hint="eastAsia" w:ascii="宋体" w:hAnsi="宋体"/>
                <w:color w:val="auto"/>
              </w:rPr>
              <w:t>根据学期课表、课程调整通知、临时教学任务或活动通知以及学生自修的需要，按时开关教室。</w:t>
            </w:r>
          </w:p>
          <w:p>
            <w:pPr>
              <w:spacing w:line="460" w:lineRule="exact"/>
              <w:jc w:val="left"/>
              <w:rPr>
                <w:rFonts w:ascii="宋体" w:hAnsi="宋体"/>
                <w:color w:val="auto"/>
              </w:rPr>
            </w:pPr>
            <w:r>
              <w:rPr>
                <w:rFonts w:ascii="宋体" w:hAnsi="宋体"/>
                <w:color w:val="auto"/>
              </w:rPr>
              <w:t>2.</w:t>
            </w:r>
            <w:r>
              <w:rPr>
                <w:rFonts w:hint="eastAsia" w:ascii="宋体" w:hAnsi="宋体"/>
                <w:color w:val="auto"/>
              </w:rPr>
              <w:t>对教室及其设施日常管理和监护，对教学设施设备及时督查和报修，确保公共教室的桌、椅、门、窗、水、电设施正常使用。</w:t>
            </w:r>
          </w:p>
          <w:p>
            <w:pPr>
              <w:spacing w:line="460" w:lineRule="exact"/>
              <w:jc w:val="left"/>
              <w:rPr>
                <w:rFonts w:ascii="宋体" w:hAnsi="宋体"/>
                <w:color w:val="auto"/>
              </w:rPr>
            </w:pPr>
            <w:r>
              <w:rPr>
                <w:rFonts w:ascii="宋体" w:hAnsi="宋体"/>
                <w:color w:val="auto"/>
              </w:rPr>
              <w:t>3.</w:t>
            </w:r>
            <w:r>
              <w:rPr>
                <w:rFonts w:hint="eastAsia" w:ascii="宋体" w:hAnsi="宋体"/>
                <w:color w:val="auto"/>
              </w:rPr>
              <w:t>做好公共教室的卫生打扫保洁工作，提供整洁优美的教学环境。</w:t>
            </w:r>
          </w:p>
          <w:p>
            <w:pPr>
              <w:spacing w:line="460" w:lineRule="exact"/>
              <w:jc w:val="left"/>
              <w:rPr>
                <w:rFonts w:ascii="宋体" w:hAnsi="宋体"/>
                <w:color w:val="auto"/>
              </w:rPr>
            </w:pPr>
            <w:r>
              <w:rPr>
                <w:rFonts w:ascii="宋体" w:hAnsi="宋体"/>
                <w:color w:val="auto"/>
              </w:rPr>
              <w:t>4.</w:t>
            </w:r>
            <w:r>
              <w:rPr>
                <w:rFonts w:hint="eastAsia" w:ascii="宋体" w:hAnsi="宋体"/>
                <w:color w:val="auto"/>
              </w:rPr>
              <w:t>根据教学安排，按时开关教室、灯和其它教学设备，确保教学活动正常进行</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szCs w:val="24"/>
              </w:rPr>
            </w:pPr>
            <w:r>
              <w:rPr>
                <w:rFonts w:hint="eastAsia" w:ascii="宋体" w:hAnsi="宋体"/>
                <w:color w:val="auto"/>
                <w:kern w:val="0"/>
              </w:rPr>
              <w:t>工具间</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olor w:val="auto"/>
                <w:szCs w:val="24"/>
              </w:rPr>
            </w:pPr>
            <w:r>
              <w:rPr>
                <w:rFonts w:hint="eastAsia" w:ascii="宋体" w:hAnsi="宋体" w:cs="Times New Roman"/>
                <w:color w:val="auto"/>
                <w:szCs w:val="24"/>
              </w:rPr>
              <w:t>工具间用于存放保洁工具及用品，不得在工具间内存放废品、易燃易爆物品。保持工具间地面干净整洁。</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olor w:val="auto"/>
                <w:kern w:val="0"/>
              </w:rPr>
            </w:pPr>
            <w:r>
              <w:rPr>
                <w:rFonts w:hint="eastAsia" w:ascii="宋体" w:hAnsi="宋体"/>
                <w:color w:val="auto"/>
                <w:kern w:val="0"/>
              </w:rPr>
              <w:t>外场</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left"/>
              <w:rPr>
                <w:color w:val="auto"/>
              </w:rPr>
            </w:pPr>
            <w:r>
              <w:rPr>
                <w:rFonts w:hint="eastAsia"/>
                <w:color w:val="auto"/>
              </w:rPr>
              <w:t>1. 做好外围的卫生打扫保洁工作，提供整洁优美的教学生活环境。</w:t>
            </w:r>
          </w:p>
          <w:p>
            <w:pPr>
              <w:spacing w:line="460" w:lineRule="exact"/>
              <w:jc w:val="left"/>
              <w:rPr>
                <w:color w:val="auto"/>
              </w:rPr>
            </w:pPr>
            <w:r>
              <w:rPr>
                <w:rFonts w:hint="eastAsia"/>
                <w:color w:val="auto"/>
              </w:rPr>
              <w:t>2.做好路面卫生无死角，白色垃圾及所有水面垃圾及漂浮物巡查清理。</w:t>
            </w:r>
          </w:p>
          <w:p>
            <w:pPr>
              <w:spacing w:line="460" w:lineRule="exact"/>
              <w:jc w:val="left"/>
              <w:rPr>
                <w:color w:val="auto"/>
              </w:rPr>
            </w:pPr>
            <w:r>
              <w:rPr>
                <w:rFonts w:hint="eastAsia"/>
                <w:color w:val="auto"/>
              </w:rPr>
              <w:t>3.做好铁军文化广场房屋内部外部卫生保洁及纺服学院广场鼎正常保养，垃圾桶区域每日消毒工作，并做消毒记录。</w:t>
            </w: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宋体" w:hAnsi="宋体"/>
                <w:color w:val="auto"/>
                <w:kern w:val="0"/>
              </w:rPr>
            </w:pPr>
            <w:r>
              <w:rPr>
                <w:rFonts w:hint="eastAsia" w:ascii="宋体" w:hAnsi="宋体"/>
                <w:color w:val="auto"/>
                <w:kern w:val="0"/>
              </w:rPr>
              <w:t>清洁每天不少于2次，其余时间</w:t>
            </w:r>
            <w:r>
              <w:rPr>
                <w:rFonts w:hint="eastAsia" w:ascii="宋体" w:hAnsi="宋体"/>
                <w:color w:val="auto"/>
              </w:rPr>
              <w:t>巡查拾捡清理</w:t>
            </w:r>
          </w:p>
        </w:tc>
      </w:tr>
    </w:tbl>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1.3各投标人对本项目人员配置自行设定，但不得低于上述人员配置最低要求，未达到最低配置要求的作无效投标处理。</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1.4项目经理及工作人员参加学院一天四次考勤，服从学院安排，特殊情况随叫随到，无故缺勤累积超过一周的，采购人有权解除合同。项目经理不得兼职管理其他物业，项目经理未经采购人同意，不得更换，如更换，视为中标人违约，处以1万元以上、两万元以下的违约金。</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1.5中标所有员工须均无违法纪录，良好素质，无重大疾病和传染病，标方须制定相应的岗位职责，统一着装挂牌上岗。</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1.6中标后签订合同前中标人须提供所有项目人员的名册（姓名、性别、岗位、身份证号码、手机号码）和健康证明给采购人备案，未经采购人许可，不得随意更换用工人员。经采购人同意拟更换的项目人员必须先向采购人办理备案手续。</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1.7中标单位须为员工购买社会保险及意外伤害险。中标方所属员工在工作时间以内和以外发生的违法行为、受到伤害时，都由中标方自行负责，学校不承担任何责任和费用。</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1.8中标单位的管理服务人员统一着装、佩戴标志，行为规范，服务主动、热情；中标单位制定完善的物业管理方案，对物业员工进行严格管理、严格监控，要求员工文明作业，文明用语，在办公区、教学区保持安静。</w:t>
      </w:r>
    </w:p>
    <w:p>
      <w:pPr>
        <w:snapToGrid w:val="0"/>
        <w:spacing w:line="460" w:lineRule="exact"/>
        <w:ind w:firstLine="480" w:firstLineChars="200"/>
        <w:rPr>
          <w:rFonts w:ascii="宋体" w:hAnsi="宋体" w:cs="Times New Roman"/>
          <w:color w:val="auto"/>
          <w:kern w:val="0"/>
          <w:sz w:val="24"/>
        </w:rPr>
      </w:pPr>
      <w:r>
        <w:rPr>
          <w:rFonts w:hint="eastAsia" w:ascii="宋体" w:hAnsi="宋体" w:cs="Times New Roman"/>
          <w:color w:val="auto"/>
          <w:kern w:val="0"/>
          <w:sz w:val="24"/>
        </w:rPr>
        <w:t>1.9电动自卸三轮垃圾运输车、保洁工具、工人劳保用品、工作服由中标单位自行购买。</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2.0保洁人员应有意识将垃圾进行分类，不得在工作时间捡拾饮料瓶等。</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2.1学校长假、合同期间内综合考虑员工调休。中午应有必要人员在岗保洁。保洁人员在上午课前1小时至下午放学后1小时内均应足额在班在岗，确保环境整洁。确因双休、长假人员要减少、调休的必须由项目经理书面报招标人允许同意。周六、周日及假期期间不得降低服务标准和质量。</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2.2在早、中、晚、放假等自修、辅导（上课）等时间物业单位要按照公共教室和专业场所相关要求提供服务。</w:t>
      </w:r>
    </w:p>
    <w:p>
      <w:pPr>
        <w:snapToGrid w:val="0"/>
        <w:spacing w:line="460" w:lineRule="exact"/>
        <w:ind w:firstLine="480" w:firstLineChars="200"/>
        <w:rPr>
          <w:rFonts w:ascii="宋体" w:hAnsi="宋体"/>
          <w:color w:val="auto"/>
          <w:kern w:val="0"/>
          <w:sz w:val="24"/>
        </w:rPr>
      </w:pPr>
      <w:r>
        <w:rPr>
          <w:rFonts w:hint="eastAsia" w:ascii="宋体" w:hAnsi="宋体"/>
          <w:color w:val="auto"/>
          <w:kern w:val="0"/>
          <w:sz w:val="24"/>
        </w:rPr>
        <w:t>2.3不得以任何方式、任何关系使用在校学生充当公司物业人员。</w:t>
      </w:r>
    </w:p>
    <w:p>
      <w:pPr>
        <w:pStyle w:val="21"/>
        <w:spacing w:line="520" w:lineRule="exact"/>
        <w:ind w:left="0" w:firstLine="480" w:firstLineChars="200"/>
        <w:rPr>
          <w:rFonts w:ascii="宋体" w:hAnsi="宋体"/>
          <w:color w:val="auto"/>
          <w:kern w:val="0"/>
          <w:sz w:val="24"/>
        </w:rPr>
      </w:pPr>
      <w:r>
        <w:rPr>
          <w:rFonts w:hint="eastAsia" w:ascii="宋体" w:hAnsi="宋体"/>
          <w:color w:val="auto"/>
          <w:kern w:val="0"/>
          <w:sz w:val="24"/>
        </w:rPr>
        <w:t>2.4</w:t>
      </w:r>
      <w:r>
        <w:rPr>
          <w:rFonts w:hint="eastAsia" w:ascii="宋体" w:hAnsi="宋体" w:eastAsia="宋体" w:cs="Times New Roman"/>
          <w:color w:val="auto"/>
          <w:kern w:val="0"/>
          <w:sz w:val="24"/>
          <w:szCs w:val="24"/>
        </w:rPr>
        <w:t>服务人员须服从学校管理，校方安排的短期加班或活动不另行增加费用如：招生咨询会、毕业生双选会、新生体检、田径运动会、迎新生晚会、组织各种考试、省市各类检查、图文中心一楼大厅花草定期浇灌、纺服学院广场鼎定期喷漆及擦洗、所有电梯、厕所、垃圾桶区域每日清洁消毒等工作。（含周末、假日)临时性杂项工作必须服从招标人调度、安排。</w:t>
      </w:r>
    </w:p>
    <w:p>
      <w:pPr>
        <w:spacing w:line="460" w:lineRule="exact"/>
        <w:ind w:firstLine="480" w:firstLineChars="200"/>
        <w:rPr>
          <w:rFonts w:ascii="宋体" w:hAnsi="宋体"/>
          <w:color w:val="auto"/>
          <w:kern w:val="0"/>
          <w:sz w:val="24"/>
        </w:rPr>
      </w:pPr>
      <w:r>
        <w:rPr>
          <w:rFonts w:hint="eastAsia" w:ascii="宋体" w:hAnsi="宋体"/>
          <w:color w:val="auto"/>
          <w:kern w:val="0"/>
          <w:sz w:val="24"/>
        </w:rPr>
        <w:t>2.5依据《盐城工业职业技术学院物业管理考核细则》逐月考核、奖惩。考核细则附后。</w:t>
      </w: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rPr>
      </w:pPr>
    </w:p>
    <w:p>
      <w:pPr>
        <w:pStyle w:val="2"/>
        <w:ind w:left="0" w:leftChars="0" w:right="1470" w:firstLine="560" w:firstLineChars="200"/>
        <w:rPr>
          <w:rFonts w:hint="eastAsia" w:ascii="黑体" w:hAnsi="宋体" w:eastAsia="黑体"/>
          <w:color w:val="auto"/>
          <w:sz w:val="28"/>
          <w:szCs w:val="28"/>
          <w:lang w:eastAsia="zh-CN"/>
        </w:rPr>
      </w:pPr>
      <w:r>
        <w:rPr>
          <w:rFonts w:hint="eastAsia" w:ascii="黑体" w:hAnsi="宋体" w:eastAsia="黑体"/>
          <w:color w:val="auto"/>
          <w:sz w:val="28"/>
          <w:szCs w:val="28"/>
        </w:rPr>
        <w:t>三、</w:t>
      </w:r>
      <w:r>
        <w:rPr>
          <w:rFonts w:hint="eastAsia" w:ascii="黑体" w:hAnsi="宋体" w:eastAsia="黑体"/>
          <w:color w:val="auto"/>
          <w:sz w:val="28"/>
          <w:szCs w:val="28"/>
          <w:lang w:val="en-US" w:eastAsia="zh-CN"/>
        </w:rPr>
        <w:t>特别提醒</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1.本项目报价方式为“固定总价报价”，各投标人根据招标内容及技术服务规范要求在服务期限内报出总价。</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3.由投标人法定代表人或委托代理人签署的《开标一览表》作为项目最终结算的依据。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4.最低报价不能作为中标的保证。</w:t>
      </w:r>
    </w:p>
    <w:p>
      <w:pPr>
        <w:adjustRightInd w:val="0"/>
        <w:snapToGrid w:val="0"/>
        <w:spacing w:line="360" w:lineRule="auto"/>
        <w:ind w:firstLine="480" w:firstLineChars="200"/>
        <w:rPr>
          <w:rFonts w:ascii="宋体" w:hAnsi="宋体"/>
          <w:color w:val="auto"/>
          <w:szCs w:val="28"/>
        </w:rPr>
      </w:pPr>
      <w:r>
        <w:rPr>
          <w:rFonts w:hint="eastAsia" w:ascii="宋体" w:hAnsi="宋体"/>
          <w:color w:val="auto"/>
          <w:sz w:val="24"/>
        </w:rPr>
        <w:t>5.如出现不合理的报价，经评标委员会评审报价低于其企业成本或明显高于市场价格的，作废标处理。</w:t>
      </w:r>
    </w:p>
    <w:p>
      <w:pPr>
        <w:adjustRightInd w:val="0"/>
        <w:snapToGrid w:val="0"/>
        <w:spacing w:line="360" w:lineRule="auto"/>
        <w:ind w:firstLine="480" w:firstLineChars="200"/>
        <w:rPr>
          <w:rFonts w:ascii="宋体" w:hAnsi="宋体" w:cs="楷体"/>
          <w:color w:val="auto"/>
          <w:sz w:val="24"/>
        </w:rPr>
      </w:pPr>
      <w:r>
        <w:rPr>
          <w:rFonts w:hint="eastAsia" w:ascii="宋体" w:hAnsi="宋体" w:cs="楷体"/>
          <w:color w:val="auto"/>
          <w:sz w:val="24"/>
        </w:rPr>
        <w:t>6.本次招标最高限价为人民币136万元/年，超过限价的投标均为无效投标。同时本项目反对不正当竞争（恶意低价或哄抬高价）。投标人须提供报价明细表，该表应包括所有人员工资及节假日加班费等补助、社保费、区域清洁费、办公费、固定资产折旧费、法定税费及公众责任保险费和合理利润外，还应包括：管理、劳务、培训、体检、国家法定假日加班、高温补助、服装、保修、特殊岗位补贴、宣传服务、风险、税金及政策性文件规定等各项应有费用，以及为完成招标文件规定服务工作所涉及到的一切相关费用，并结合服务方案说明经费计算的合理性。如投标报价明显低于成本，而投标人又不能作出合理说明及提供相关证明材料的，其投标将被视为未实质性响应的投标。</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（1）用于保洁的日常易耗品、设备实施、劳动工具、清洁剂、消毒剂等由投标人购置并承担费用。</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（2）所有人员的工作服装和相关装备（含通讯、保洁用器械等）等由投标人购置并承担费用。</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（3）各投标人自行根据招标人提供的服务内容、招标文件及答疑文件等资料要求，并根据市场行情、结合自身公司实力、管理水平等因素，按要求进行报价。</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（4）服务人员须服从学校管理，校方安排的短期加班或活动不另行增加费用。</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 xml:space="preserve">7.服务期限：两年，合同按年签订，第一次服务合同结束后，满意率达85%则续签下一次服务合同，否则采购人有权终止合同，重新组织招标。 投标报价的单位为人民币(元)/年。如果未能按合同、招标投标文件履约的，中止合同，履约保证金不予退还，并不支付服务期间的物业服务费用。招标方有权终止合同的履行，受托单位应承担相应的完全责任，包括赔偿因此而给本单位及第三人带来的相应损失。合同期满后根据合同履行情况不再进行续聘或重新选聘物业服务企业，退出本物业管理时必须向本单位移交全套档案资料等，经本单位验收合格，并完成与后续物业服务企业的衔接后，方可退出，同时无息退还履约保证金余额。合同提前终止或期满退出的，15日内必须与本单位及后续物业管理企业的完成交接、衔接工作。 </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8.投标单位选派的管理经理需有大专以上学历水平，品德高尚，具有较强的管理经验与沟通能力，了解学生现状和特点，具备思想政治与身心健康的辅导能力。</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lang w:val="en-US" w:eastAsia="zh-CN"/>
        </w:rPr>
        <w:t>9</w:t>
      </w:r>
      <w:r>
        <w:rPr>
          <w:color w:val="auto"/>
          <w:sz w:val="24"/>
          <w:szCs w:val="24"/>
        </w:rPr>
        <w:t>.</w:t>
      </w:r>
      <w:r>
        <w:rPr>
          <w:rFonts w:hint="eastAsia"/>
          <w:color w:val="auto"/>
          <w:sz w:val="24"/>
          <w:szCs w:val="24"/>
        </w:rPr>
        <w:t>人员工资及相关费用测算相关说明（以下相关费用全部包含在报价中，如不按下列内容进行报价，将被定义为非实质性响应招标文件）：</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①投标人须严格遵守和执行《中华人民共和国劳动法》、盐城市劳动用工和社会保险管理规定、盐城市最低工资标准等相关法律法规，合同期中发生的一切事故、纠纷由中标人承担，采购人不承担任何责任。</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fldChar w:fldCharType="begin"/>
      </w:r>
      <w:r>
        <w:rPr>
          <w:rFonts w:hint="eastAsia"/>
          <w:color w:val="auto"/>
          <w:sz w:val="24"/>
          <w:szCs w:val="24"/>
        </w:rPr>
        <w:instrText xml:space="preserve"> = 2 \* GB3 \* MERGEFORMAT </w:instrText>
      </w:r>
      <w:r>
        <w:rPr>
          <w:rFonts w:hint="eastAsia"/>
          <w:color w:val="auto"/>
          <w:sz w:val="24"/>
          <w:szCs w:val="24"/>
        </w:rPr>
        <w:fldChar w:fldCharType="separate"/>
      </w:r>
      <w:r>
        <w:rPr>
          <w:color w:val="auto"/>
          <w:sz w:val="24"/>
          <w:szCs w:val="24"/>
        </w:rPr>
        <w:t>②</w:t>
      </w:r>
      <w:r>
        <w:rPr>
          <w:rFonts w:hint="eastAsia"/>
          <w:color w:val="auto"/>
          <w:sz w:val="24"/>
          <w:szCs w:val="24"/>
        </w:rPr>
        <w:fldChar w:fldCharType="end"/>
      </w:r>
      <w:r>
        <w:rPr>
          <w:rFonts w:hint="eastAsia"/>
          <w:color w:val="auto"/>
          <w:sz w:val="24"/>
          <w:szCs w:val="24"/>
        </w:rPr>
        <w:t>不须缴纳社会保险的工作人员必须给予缴纳商业保险。</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fldChar w:fldCharType="begin"/>
      </w:r>
      <w:r>
        <w:rPr>
          <w:rFonts w:hint="eastAsia"/>
          <w:color w:val="auto"/>
          <w:sz w:val="24"/>
          <w:szCs w:val="24"/>
        </w:rPr>
        <w:instrText xml:space="preserve"> = 3 \* GB3 \* MERGEFORMAT </w:instrText>
      </w:r>
      <w:r>
        <w:rPr>
          <w:rFonts w:hint="eastAsia"/>
          <w:color w:val="auto"/>
          <w:sz w:val="24"/>
          <w:szCs w:val="24"/>
        </w:rPr>
        <w:fldChar w:fldCharType="separate"/>
      </w:r>
      <w:r>
        <w:rPr>
          <w:color w:val="auto"/>
          <w:sz w:val="24"/>
          <w:szCs w:val="24"/>
        </w:rPr>
        <w:t>③</w:t>
      </w:r>
      <w:r>
        <w:rPr>
          <w:rFonts w:hint="eastAsia"/>
          <w:color w:val="auto"/>
          <w:sz w:val="24"/>
          <w:szCs w:val="24"/>
        </w:rPr>
        <w:fldChar w:fldCharType="end"/>
      </w:r>
      <w:r>
        <w:rPr>
          <w:rFonts w:hint="eastAsia"/>
          <w:color w:val="auto"/>
          <w:sz w:val="24"/>
          <w:szCs w:val="24"/>
        </w:rPr>
        <w:t>由于招标单位是学校，有寒暑假，人员使用上有弹性，在此期间项目经理全年在岗，其余保洁人员（不含项目经理）不低于20人，报价时应在全年人员费用支出与企业利润等方面统筹考虑。</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fldChar w:fldCharType="begin"/>
      </w:r>
      <w:r>
        <w:rPr>
          <w:rFonts w:hint="eastAsia"/>
          <w:color w:val="auto"/>
          <w:sz w:val="24"/>
          <w:szCs w:val="24"/>
        </w:rPr>
        <w:instrText xml:space="preserve"> = 4 \* GB3 \* MERGEFORMAT </w:instrText>
      </w:r>
      <w:r>
        <w:rPr>
          <w:rFonts w:hint="eastAsia"/>
          <w:color w:val="auto"/>
          <w:sz w:val="24"/>
          <w:szCs w:val="24"/>
        </w:rPr>
        <w:fldChar w:fldCharType="separate"/>
      </w:r>
      <w:r>
        <w:rPr>
          <w:color w:val="auto"/>
          <w:sz w:val="24"/>
          <w:szCs w:val="24"/>
        </w:rPr>
        <w:t>④</w:t>
      </w:r>
      <w:r>
        <w:rPr>
          <w:rFonts w:hint="eastAsia"/>
          <w:color w:val="auto"/>
          <w:sz w:val="24"/>
          <w:szCs w:val="24"/>
        </w:rPr>
        <w:fldChar w:fldCharType="end"/>
      </w:r>
      <w:r>
        <w:rPr>
          <w:rFonts w:hint="eastAsia"/>
          <w:color w:val="auto"/>
          <w:sz w:val="24"/>
          <w:szCs w:val="24"/>
        </w:rPr>
        <w:t>投标文件递交前如国家行政主管部门出台新政策，以行政主管部门规定为准,投标文件须予以响应，否则作废标处理，后果自负。</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fldChar w:fldCharType="begin"/>
      </w:r>
      <w:r>
        <w:rPr>
          <w:rFonts w:hint="eastAsia"/>
          <w:color w:val="auto"/>
          <w:sz w:val="24"/>
          <w:szCs w:val="24"/>
        </w:rPr>
        <w:instrText xml:space="preserve"> = 5 \* GB3 \* MERGEFORMAT </w:instrText>
      </w:r>
      <w:r>
        <w:rPr>
          <w:rFonts w:hint="eastAsia"/>
          <w:color w:val="auto"/>
          <w:sz w:val="24"/>
          <w:szCs w:val="24"/>
        </w:rPr>
        <w:fldChar w:fldCharType="separate"/>
      </w:r>
      <w:r>
        <w:rPr>
          <w:color w:val="auto"/>
          <w:sz w:val="24"/>
          <w:szCs w:val="24"/>
        </w:rPr>
        <w:t>⑤</w:t>
      </w:r>
      <w:r>
        <w:rPr>
          <w:rFonts w:hint="eastAsia"/>
          <w:color w:val="auto"/>
          <w:sz w:val="24"/>
          <w:szCs w:val="24"/>
        </w:rPr>
        <w:fldChar w:fldCharType="end"/>
      </w:r>
      <w:r>
        <w:rPr>
          <w:rFonts w:hint="eastAsia"/>
          <w:color w:val="auto"/>
          <w:sz w:val="24"/>
          <w:szCs w:val="24"/>
        </w:rPr>
        <w:t>有部分岗位超时，投标人必须按照有关法律法规充分考虑加班费，节假日加班人员数不得低于采购人要求，采购人不再另外支付人员的其它任何费用。员工福利、员工生病住院慰问等费用组成，投标人自行考虑。</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fldChar w:fldCharType="begin"/>
      </w:r>
      <w:r>
        <w:rPr>
          <w:rFonts w:hint="eastAsia"/>
          <w:color w:val="auto"/>
          <w:sz w:val="24"/>
          <w:szCs w:val="24"/>
        </w:rPr>
        <w:instrText xml:space="preserve"> = 6 \* GB3 \* MERGEFORMAT </w:instrText>
      </w:r>
      <w:r>
        <w:rPr>
          <w:rFonts w:hint="eastAsia"/>
          <w:color w:val="auto"/>
          <w:sz w:val="24"/>
          <w:szCs w:val="24"/>
        </w:rPr>
        <w:fldChar w:fldCharType="separate"/>
      </w:r>
      <w:r>
        <w:rPr>
          <w:color w:val="auto"/>
          <w:sz w:val="24"/>
          <w:szCs w:val="24"/>
        </w:rPr>
        <w:t>⑥</w:t>
      </w:r>
      <w:r>
        <w:rPr>
          <w:rFonts w:hint="eastAsia"/>
          <w:color w:val="auto"/>
          <w:sz w:val="24"/>
          <w:szCs w:val="24"/>
        </w:rPr>
        <w:fldChar w:fldCharType="end"/>
      </w:r>
      <w:r>
        <w:rPr>
          <w:rFonts w:hint="eastAsia"/>
          <w:color w:val="auto"/>
          <w:sz w:val="24"/>
          <w:szCs w:val="24"/>
        </w:rPr>
        <w:t>由于各类活动、突击迎检、节假日期间等因素导致的费用，不论这些因素是可预测或不可预测的，均已包含在投标报价中。</w:t>
      </w:r>
    </w:p>
    <w:p>
      <w:pPr>
        <w:keepNext w:val="0"/>
        <w:keepLines w:val="0"/>
        <w:pageBreakBefore w:val="0"/>
        <w:widowControl/>
        <w:kinsoku/>
        <w:wordWrap/>
        <w:overflowPunct/>
        <w:topLinePunct w:val="0"/>
        <w:autoSpaceDE/>
        <w:autoSpaceDN/>
        <w:bidi w:val="0"/>
        <w:adjustRightInd/>
        <w:snapToGrid/>
        <w:ind w:firstLine="480" w:firstLineChars="200"/>
        <w:textAlignment w:val="baseline"/>
        <w:rPr>
          <w:color w:val="auto"/>
          <w:sz w:val="24"/>
          <w:szCs w:val="24"/>
        </w:rPr>
      </w:pPr>
      <w:r>
        <w:rPr>
          <w:rFonts w:hint="eastAsia"/>
          <w:color w:val="auto"/>
          <w:sz w:val="24"/>
          <w:szCs w:val="24"/>
        </w:rPr>
        <w:t>对于超出招标文件的其他临时性服务项目，由甲乙双方协商解决。</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color w:val="auto"/>
          <w:sz w:val="24"/>
          <w:szCs w:val="24"/>
        </w:rPr>
        <w:sectPr>
          <w:footerReference r:id="rId11" w:type="first"/>
          <w:headerReference r:id="rId9" w:type="default"/>
          <w:footerReference r:id="rId10" w:type="default"/>
          <w:pgSz w:w="11906" w:h="16838"/>
          <w:pgMar w:top="1417" w:right="1587" w:bottom="1417" w:left="1366" w:header="851" w:footer="907" w:gutter="0"/>
          <w:cols w:space="0" w:num="1"/>
          <w:titlePg/>
          <w:docGrid w:type="lines" w:linePitch="298" w:charSpace="0"/>
        </w:sectPr>
      </w:pPr>
      <w:bookmarkStart w:id="4" w:name="_Toc20858"/>
    </w:p>
    <w:p>
      <w:pPr>
        <w:pStyle w:val="87"/>
        <w:spacing w:before="290" w:after="290"/>
        <w:jc w:val="center"/>
        <w:outlineLvl w:val="0"/>
        <w:rPr>
          <w:rStyle w:val="44"/>
          <w:color w:val="auto"/>
        </w:rPr>
      </w:pPr>
      <w:r>
        <w:rPr>
          <w:rStyle w:val="44"/>
          <w:rFonts w:hint="eastAsia"/>
          <w:b/>
          <w:color w:val="auto"/>
          <w:sz w:val="44"/>
        </w:rPr>
        <w:t>第五章 评标方法与评标标准</w:t>
      </w:r>
      <w:bookmarkEnd w:id="4"/>
    </w:p>
    <w:p>
      <w:pPr>
        <w:snapToGrid w:val="0"/>
        <w:spacing w:line="500" w:lineRule="exact"/>
        <w:ind w:firstLine="482" w:firstLineChars="200"/>
        <w:rPr>
          <w:rStyle w:val="44"/>
          <w:rFonts w:ascii="宋体" w:hAnsi="宋体"/>
          <w:b/>
          <w:bCs/>
          <w:color w:val="auto"/>
          <w:sz w:val="24"/>
          <w:szCs w:val="24"/>
        </w:rPr>
      </w:pPr>
      <w:r>
        <w:rPr>
          <w:rStyle w:val="44"/>
          <w:rFonts w:hint="eastAsia" w:ascii="宋体" w:hAnsi="宋体"/>
          <w:b/>
          <w:bCs/>
          <w:color w:val="auto"/>
          <w:sz w:val="24"/>
          <w:szCs w:val="24"/>
        </w:rPr>
        <w:t>一、评标方法与定标原则</w:t>
      </w:r>
    </w:p>
    <w:p>
      <w:pPr>
        <w:snapToGrid w:val="0"/>
        <w:spacing w:line="500" w:lineRule="exact"/>
        <w:ind w:firstLine="480" w:firstLineChars="200"/>
        <w:rPr>
          <w:rStyle w:val="44"/>
          <w:rFonts w:ascii="宋体" w:hAnsi="宋体"/>
          <w:bCs/>
          <w:color w:val="auto"/>
          <w:sz w:val="24"/>
          <w:szCs w:val="24"/>
        </w:rPr>
      </w:pPr>
      <w:r>
        <w:rPr>
          <w:rFonts w:hint="eastAsia" w:ascii="宋体" w:hAnsi="宋体"/>
          <w:bCs/>
          <w:color w:val="auto"/>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2"/>
        <w:adjustRightInd w:val="0"/>
        <w:snapToGrid w:val="0"/>
        <w:spacing w:before="0" w:beforeAutospacing="0" w:after="0" w:afterAutospacing="0" w:line="360" w:lineRule="auto"/>
        <w:ind w:firstLine="482" w:firstLineChars="200"/>
        <w:rPr>
          <w:rFonts w:hint="eastAsia" w:eastAsia="宋体"/>
          <w:b/>
          <w:bCs/>
          <w:color w:val="auto"/>
          <w:lang w:eastAsia="zh-CN"/>
        </w:rPr>
      </w:pPr>
      <w:r>
        <w:rPr>
          <w:rFonts w:hint="eastAsia"/>
          <w:b/>
          <w:bCs/>
          <w:color w:val="auto"/>
        </w:rPr>
        <w:t>政府采购政策功能落实</w:t>
      </w:r>
      <w:r>
        <w:rPr>
          <w:rFonts w:hint="eastAsia"/>
          <w:b/>
          <w:bCs/>
          <w:color w:val="auto"/>
          <w:lang w:eastAsia="zh-CN"/>
        </w:rPr>
        <w:t>：</w:t>
      </w:r>
    </w:p>
    <w:p>
      <w:pPr>
        <w:snapToGrid w:val="0"/>
        <w:spacing w:line="360" w:lineRule="auto"/>
        <w:ind w:firstLine="482" w:firstLineChars="200"/>
        <w:rPr>
          <w:rFonts w:ascii="宋体" w:hAnsi="宋体"/>
          <w:b/>
          <w:color w:val="auto"/>
          <w:sz w:val="24"/>
          <w:szCs w:val="24"/>
        </w:rPr>
      </w:pPr>
      <w:r>
        <w:rPr>
          <w:rFonts w:hint="eastAsia" w:ascii="宋体" w:hAnsi="宋体"/>
          <w:b/>
          <w:color w:val="auto"/>
          <w:sz w:val="24"/>
          <w:szCs w:val="24"/>
        </w:rPr>
        <w:t>本次采购标的所属行业为</w:t>
      </w:r>
      <w:r>
        <w:rPr>
          <w:rFonts w:hint="eastAsia" w:ascii="宋体" w:hAnsi="宋体"/>
          <w:b/>
          <w:color w:val="auto"/>
          <w:sz w:val="24"/>
          <w:szCs w:val="24"/>
          <w:u w:val="single"/>
        </w:rPr>
        <w:t xml:space="preserve">  物业管理  </w:t>
      </w:r>
      <w:r>
        <w:rPr>
          <w:rFonts w:hint="eastAsia" w:ascii="宋体" w:hAnsi="宋体"/>
          <w:b/>
          <w:color w:val="auto"/>
          <w:sz w:val="24"/>
          <w:szCs w:val="24"/>
        </w:rPr>
        <w:t>，根据《工业和信息化部、国家统计局、国家发展和改革委员会、财政部关于印发中小企业划型标准规定的通知》（工信部联企业[2011]300号）规定的划分标准填写；</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1、小微型企业价格扣除</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（1）本项目对小型和微型企业产品给予10%的扣除价格，用扣除后的价格参与评审。</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（2）供应商需按照采购文件的要求提供相应的《企业声明函》。</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（4）</w:t>
      </w:r>
      <w:r>
        <w:rPr>
          <w:rFonts w:hint="eastAsia" w:ascii="宋体" w:hAnsi="宋体"/>
          <w:color w:val="auto"/>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2、残疾人福利单位价格扣除</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3、监狱和戒毒企业价格扣除</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4、残疾人福利单位、监狱企业属于小型、微型企业的，不重复享受政策。</w:t>
      </w:r>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5、★符合本采购文件优先采购“环境标志产品”或“节能产品”的；必须提供“环境标志产品”或“节能产品”证明，否则不予认可。</w:t>
      </w:r>
    </w:p>
    <w:p>
      <w:pPr>
        <w:snapToGrid w:val="0"/>
        <w:spacing w:line="360" w:lineRule="auto"/>
        <w:ind w:firstLine="480" w:firstLineChars="200"/>
        <w:rPr>
          <w:rStyle w:val="44"/>
          <w:rFonts w:ascii="宋体" w:hAnsi="宋体"/>
          <w:b/>
          <w:color w:val="auto"/>
          <w:sz w:val="24"/>
          <w:szCs w:val="24"/>
        </w:rPr>
      </w:pPr>
      <w:r>
        <w:rPr>
          <w:rFonts w:hint="eastAsia" w:ascii="宋体" w:hAnsi="宋体"/>
          <w:bCs/>
          <w:color w:val="auto"/>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4"/>
          <w:rFonts w:ascii="宋体" w:hAnsi="宋体"/>
          <w:color w:val="auto"/>
        </w:rPr>
      </w:pPr>
      <w:r>
        <w:rPr>
          <w:rStyle w:val="44"/>
          <w:rFonts w:hint="eastAsia" w:ascii="宋体" w:hAnsi="宋体"/>
          <w:b/>
          <w:color w:val="auto"/>
          <w:sz w:val="24"/>
          <w:szCs w:val="24"/>
        </w:rPr>
        <w:t>二、评标标准</w:t>
      </w:r>
    </w:p>
    <w:p>
      <w:pPr>
        <w:snapToGrid w:val="0"/>
        <w:spacing w:line="440" w:lineRule="exact"/>
        <w:ind w:firstLine="480" w:firstLineChars="200"/>
        <w:rPr>
          <w:rFonts w:ascii="宋体" w:hAnsi="宋体"/>
          <w:snapToGrid w:val="0"/>
          <w:color w:val="auto"/>
          <w:kern w:val="0"/>
          <w:sz w:val="24"/>
          <w:szCs w:val="24"/>
        </w:rPr>
      </w:pPr>
      <w:r>
        <w:rPr>
          <w:rFonts w:hint="eastAsia" w:ascii="宋体" w:hAnsi="宋体"/>
          <w:snapToGrid w:val="0"/>
          <w:color w:val="auto"/>
          <w:kern w:val="0"/>
          <w:sz w:val="24"/>
          <w:szCs w:val="24"/>
        </w:rPr>
        <w:t>本项目评分总分值为100分。</w:t>
      </w:r>
    </w:p>
    <w:tbl>
      <w:tblPr>
        <w:tblStyle w:val="25"/>
        <w:tblW w:w="9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7"/>
        <w:gridCol w:w="984"/>
        <w:gridCol w:w="6288"/>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auto"/>
              </w:rPr>
            </w:pPr>
            <w:r>
              <w:rPr>
                <w:rFonts w:hint="eastAsia" w:ascii="宋体" w:hAnsi="宋体"/>
                <w:color w:val="auto"/>
              </w:rPr>
              <w:t>内容</w:t>
            </w:r>
          </w:p>
        </w:tc>
        <w:tc>
          <w:tcPr>
            <w:tcW w:w="727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auto"/>
              </w:rPr>
            </w:pPr>
            <w:r>
              <w:rPr>
                <w:rFonts w:hint="eastAsia" w:ascii="宋体" w:hAnsi="宋体"/>
                <w:color w:val="auto"/>
              </w:rPr>
              <w:t>评审标准</w:t>
            </w:r>
          </w:p>
        </w:tc>
        <w:tc>
          <w:tcPr>
            <w:tcW w:w="10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auto"/>
              </w:rPr>
            </w:pPr>
            <w:r>
              <w:rPr>
                <w:rFonts w:hint="eastAsia" w:ascii="宋体" w:hAnsi="宋体"/>
                <w:color w:val="auto"/>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olor w:val="auto"/>
              </w:rPr>
            </w:pPr>
            <w:r>
              <w:rPr>
                <w:rFonts w:hint="eastAsia" w:ascii="宋体" w:hAnsi="宋体"/>
                <w:b/>
                <w:color w:val="auto"/>
              </w:rPr>
              <w:t>报价</w:t>
            </w:r>
          </w:p>
          <w:p>
            <w:pPr>
              <w:adjustRightInd w:val="0"/>
              <w:snapToGrid w:val="0"/>
              <w:jc w:val="center"/>
              <w:rPr>
                <w:rFonts w:ascii="宋体" w:hAnsi="宋体"/>
                <w:color w:val="auto"/>
              </w:rPr>
            </w:pPr>
            <w:r>
              <w:rPr>
                <w:rFonts w:hint="eastAsia" w:ascii="宋体" w:hAnsi="宋体"/>
                <w:b/>
                <w:color w:val="auto"/>
              </w:rPr>
              <w:t>（50分）</w:t>
            </w:r>
          </w:p>
          <w:p>
            <w:pPr>
              <w:pStyle w:val="2"/>
              <w:adjustRightInd w:val="0"/>
              <w:snapToGrid w:val="0"/>
              <w:spacing w:after="0"/>
              <w:ind w:left="0" w:leftChars="0" w:right="0" w:rightChars="0"/>
              <w:rPr>
                <w:rFonts w:ascii="宋体" w:hAnsi="宋体"/>
                <w:color w:val="auto"/>
              </w:rPr>
            </w:pPr>
          </w:p>
        </w:tc>
        <w:tc>
          <w:tcPr>
            <w:tcW w:w="727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420" w:firstLineChars="200"/>
              <w:rPr>
                <w:color w:val="auto"/>
              </w:rPr>
            </w:pPr>
            <w:r>
              <w:rPr>
                <w:rFonts w:hint="eastAsia"/>
                <w:color w:val="auto"/>
              </w:rPr>
              <w:t>价格分统一采用低价优先法计算，即满足招标文件要求且投标价格最低的投标报价为评标基准价，其价格分为满分。其他投标人的价格分统一按照下列公式计算：</w:t>
            </w:r>
          </w:p>
          <w:p>
            <w:pPr>
              <w:pStyle w:val="2"/>
              <w:adjustRightInd w:val="0"/>
              <w:snapToGrid w:val="0"/>
              <w:spacing w:after="0"/>
              <w:ind w:left="0" w:leftChars="0" w:right="0" w:rightChars="0" w:firstLine="420" w:firstLineChars="200"/>
              <w:rPr>
                <w:color w:val="auto"/>
              </w:rPr>
            </w:pPr>
            <w:r>
              <w:rPr>
                <w:rFonts w:hint="eastAsia"/>
                <w:color w:val="auto"/>
              </w:rPr>
              <w:t>投标报价得分=(评标基准价／投标报价)×50，小数点后保留2位。</w:t>
            </w:r>
          </w:p>
        </w:tc>
        <w:tc>
          <w:tcPr>
            <w:tcW w:w="10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bCs/>
                <w:color w:val="auto"/>
              </w:rPr>
            </w:pPr>
            <w:r>
              <w:rPr>
                <w:rFonts w:hint="eastAsia" w:ascii="宋体" w:hAnsi="宋体"/>
                <w:bCs/>
                <w:color w:val="auto"/>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b/>
                <w:color w:val="auto"/>
              </w:rPr>
              <w:t>商务</w:t>
            </w:r>
          </w:p>
          <w:p>
            <w:pPr>
              <w:adjustRightInd w:val="0"/>
              <w:snapToGrid w:val="0"/>
              <w:jc w:val="center"/>
              <w:rPr>
                <w:rFonts w:ascii="宋体" w:hAnsi="宋体"/>
                <w:b/>
                <w:color w:val="auto"/>
              </w:rPr>
            </w:pPr>
            <w:r>
              <w:rPr>
                <w:rFonts w:hint="eastAsia" w:ascii="宋体" w:hAnsi="宋体"/>
                <w:b/>
                <w:color w:val="auto"/>
              </w:rPr>
              <w:t>（</w:t>
            </w:r>
            <w:r>
              <w:rPr>
                <w:rFonts w:ascii="宋体" w:hAnsi="宋体"/>
                <w:b/>
                <w:color w:val="auto"/>
              </w:rPr>
              <w:t>18</w:t>
            </w:r>
            <w:r>
              <w:rPr>
                <w:rFonts w:hint="eastAsia" w:ascii="宋体" w:hAnsi="宋体"/>
                <w:b/>
                <w:color w:val="auto"/>
              </w:rPr>
              <w:t>分）</w:t>
            </w:r>
          </w:p>
        </w:tc>
        <w:tc>
          <w:tcPr>
            <w:tcW w:w="984"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bCs/>
                <w:color w:val="auto"/>
              </w:rPr>
            </w:pPr>
            <w:r>
              <w:rPr>
                <w:rFonts w:hint="eastAsia" w:ascii="宋体" w:hAnsi="宋体"/>
                <w:color w:val="auto"/>
              </w:rPr>
              <w:t>类似业绩</w:t>
            </w:r>
          </w:p>
        </w:tc>
        <w:tc>
          <w:tcPr>
            <w:tcW w:w="6288" w:type="dxa"/>
            <w:tcBorders>
              <w:top w:val="single" w:color="000000"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投标人近五年（2018年1月1日）以来每具有一项类似物业服务业绩，有一年得1分。</w:t>
            </w:r>
          </w:p>
          <w:p>
            <w:pPr>
              <w:adjustRightInd w:val="0"/>
              <w:snapToGrid w:val="0"/>
              <w:rPr>
                <w:rFonts w:ascii="宋体" w:hAnsi="宋体"/>
                <w:color w:val="auto"/>
              </w:rPr>
            </w:pPr>
            <w:r>
              <w:rPr>
                <w:rFonts w:hint="eastAsia" w:ascii="宋体" w:hAnsi="宋体"/>
                <w:color w:val="auto"/>
              </w:rPr>
              <w:t>注：1.本项最高得分为6分；</w:t>
            </w:r>
          </w:p>
          <w:p>
            <w:pPr>
              <w:adjustRightInd w:val="0"/>
              <w:snapToGrid w:val="0"/>
              <w:ind w:firstLine="420" w:firstLineChars="200"/>
              <w:rPr>
                <w:rFonts w:ascii="宋体" w:hAnsi="宋体"/>
                <w:color w:val="auto"/>
              </w:rPr>
            </w:pPr>
            <w:r>
              <w:rPr>
                <w:rFonts w:hint="eastAsia" w:ascii="宋体" w:hAnsi="宋体"/>
                <w:color w:val="auto"/>
              </w:rPr>
              <w:t>2.业绩得分按年计算。如类似物业服务合同期限为1年的得1分，合同期限为2年的得2分，以此类推，下同；</w:t>
            </w:r>
          </w:p>
          <w:p>
            <w:pPr>
              <w:adjustRightInd w:val="0"/>
              <w:snapToGrid w:val="0"/>
              <w:ind w:firstLine="420" w:firstLineChars="200"/>
              <w:jc w:val="left"/>
              <w:rPr>
                <w:rFonts w:hint="eastAsia" w:ascii="宋体" w:hAnsi="宋体"/>
                <w:color w:val="auto"/>
              </w:rPr>
            </w:pPr>
            <w:r>
              <w:rPr>
                <w:rFonts w:hint="eastAsia" w:ascii="宋体" w:hAnsi="宋体"/>
                <w:color w:val="auto"/>
              </w:rPr>
              <w:t>3.类似项目</w:t>
            </w:r>
            <w:r>
              <w:rPr>
                <w:rFonts w:hint="eastAsia" w:ascii="宋体" w:hAnsi="宋体"/>
                <w:color w:val="auto"/>
                <w:lang w:val="en-US" w:eastAsia="zh-CN"/>
              </w:rPr>
              <w:t>包括但不限于对</w:t>
            </w:r>
            <w:r>
              <w:rPr>
                <w:rFonts w:hint="eastAsia" w:ascii="宋体" w:hAnsi="宋体"/>
                <w:color w:val="auto"/>
              </w:rPr>
              <w:t>外开放、服务性、公益性的物业服务项目。</w:t>
            </w:r>
          </w:p>
          <w:p>
            <w:pPr>
              <w:adjustRightInd w:val="0"/>
              <w:snapToGrid w:val="0"/>
              <w:ind w:firstLine="420" w:firstLineChars="200"/>
              <w:jc w:val="left"/>
              <w:rPr>
                <w:rFonts w:ascii="宋体" w:hAnsi="宋体"/>
                <w:color w:val="auto"/>
              </w:rPr>
            </w:pPr>
            <w:r>
              <w:rPr>
                <w:rFonts w:hint="eastAsia" w:ascii="宋体" w:hAnsi="宋体"/>
                <w:color w:val="auto"/>
              </w:rPr>
              <w:t>提供</w:t>
            </w:r>
            <w:r>
              <w:rPr>
                <w:rFonts w:hint="eastAsia" w:ascii="宋体" w:hAnsi="宋体"/>
                <w:color w:val="auto"/>
                <w:lang w:val="en-US" w:eastAsia="zh-CN"/>
              </w:rPr>
              <w:t>中标通知书、</w:t>
            </w:r>
            <w:r>
              <w:rPr>
                <w:rFonts w:hint="eastAsia" w:ascii="宋体" w:hAnsi="宋体"/>
                <w:color w:val="auto"/>
              </w:rPr>
              <w:t>合同</w:t>
            </w:r>
            <w:r>
              <w:rPr>
                <w:rFonts w:hint="eastAsia" w:ascii="宋体" w:hAnsi="宋体"/>
                <w:color w:val="auto"/>
                <w:lang w:val="en-US" w:eastAsia="zh-CN"/>
              </w:rPr>
              <w:t>及甲方服务满意评价复印件</w:t>
            </w:r>
            <w:r>
              <w:rPr>
                <w:rFonts w:hint="eastAsia" w:ascii="宋体" w:hAnsi="宋体"/>
                <w:color w:val="auto"/>
              </w:rPr>
              <w:t>，原件备查。</w:t>
            </w:r>
          </w:p>
        </w:tc>
        <w:tc>
          <w:tcPr>
            <w:tcW w:w="1050"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Cs/>
                <w:color w:val="auto"/>
              </w:rPr>
            </w:pPr>
            <w:r>
              <w:rPr>
                <w:rFonts w:hint="eastAsia" w:ascii="宋体" w:hAnsi="宋体"/>
                <w:bCs/>
                <w:color w:val="auto"/>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jc w:val="center"/>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获奖</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投标人近五年（2018年1月1日）以来，有类似物业服务项目获得国家级主管部门表彰的得3分，有省级（直辖市、自治区）主管部门表彰的得2分，有地（市）级主管部门表彰的得1分。</w:t>
            </w:r>
          </w:p>
          <w:p>
            <w:pPr>
              <w:adjustRightInd w:val="0"/>
              <w:snapToGrid w:val="0"/>
              <w:rPr>
                <w:rFonts w:ascii="宋体" w:hAnsi="宋体"/>
                <w:color w:val="auto"/>
              </w:rPr>
            </w:pPr>
            <w:r>
              <w:rPr>
                <w:rFonts w:hint="eastAsia" w:ascii="宋体" w:hAnsi="宋体"/>
                <w:color w:val="auto"/>
              </w:rPr>
              <w:t>注：1.本项最高得分为6分；</w:t>
            </w:r>
          </w:p>
          <w:p>
            <w:pPr>
              <w:adjustRightInd w:val="0"/>
              <w:snapToGrid w:val="0"/>
              <w:ind w:firstLine="420" w:firstLineChars="200"/>
              <w:rPr>
                <w:rFonts w:ascii="宋体" w:hAnsi="宋体"/>
                <w:color w:val="auto"/>
              </w:rPr>
            </w:pPr>
            <w:r>
              <w:rPr>
                <w:rFonts w:hint="eastAsia" w:ascii="宋体" w:hAnsi="宋体"/>
                <w:color w:val="auto"/>
              </w:rPr>
              <w:t>2.提供由证书复印件，原件备查；</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Cs/>
                <w:color w:val="auto"/>
              </w:rPr>
            </w:pPr>
            <w:r>
              <w:rPr>
                <w:rFonts w:hint="eastAsia" w:ascii="宋体" w:hAnsi="宋体"/>
                <w:bCs/>
                <w:color w:val="auto"/>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jc w:val="center"/>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资质</w:t>
            </w:r>
          </w:p>
          <w:p>
            <w:pPr>
              <w:adjustRightInd w:val="0"/>
              <w:snapToGrid w:val="0"/>
              <w:jc w:val="center"/>
              <w:rPr>
                <w:rFonts w:ascii="宋体" w:hAnsi="宋体"/>
                <w:color w:val="auto"/>
              </w:rPr>
            </w:pPr>
            <w:r>
              <w:rPr>
                <w:rFonts w:hint="eastAsia" w:ascii="宋体" w:hAnsi="宋体"/>
                <w:color w:val="auto"/>
              </w:rPr>
              <w:t>信誉</w:t>
            </w:r>
          </w:p>
          <w:p>
            <w:pPr>
              <w:adjustRightInd w:val="0"/>
              <w:snapToGrid w:val="0"/>
              <w:jc w:val="center"/>
              <w:rPr>
                <w:rFonts w:ascii="宋体" w:hAnsi="宋体"/>
                <w:color w:val="auto"/>
              </w:rPr>
            </w:pP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ind w:firstLine="420" w:firstLineChars="200"/>
              <w:rPr>
                <w:rFonts w:ascii="宋体" w:hAnsi="宋体"/>
                <w:color w:val="auto"/>
              </w:rPr>
            </w:pPr>
            <w:r>
              <w:rPr>
                <w:rFonts w:hint="eastAsia" w:ascii="宋体" w:hAnsi="宋体"/>
                <w:color w:val="auto"/>
              </w:rPr>
              <w:t>取得ISO9001质量管理体系认证证书，得1分；</w:t>
            </w:r>
          </w:p>
          <w:p>
            <w:pPr>
              <w:adjustRightInd w:val="0"/>
              <w:snapToGrid w:val="0"/>
              <w:spacing w:line="300" w:lineRule="exact"/>
              <w:ind w:firstLine="420" w:firstLineChars="200"/>
              <w:rPr>
                <w:rFonts w:ascii="宋体" w:hAnsi="宋体"/>
                <w:color w:val="auto"/>
              </w:rPr>
            </w:pPr>
            <w:r>
              <w:rPr>
                <w:rFonts w:hint="eastAsia" w:ascii="宋体" w:hAnsi="宋体"/>
                <w:color w:val="auto"/>
              </w:rPr>
              <w:t>取得ISO14001环境管理体系认证证书，得1分；</w:t>
            </w:r>
          </w:p>
          <w:p>
            <w:pPr>
              <w:adjustRightInd w:val="0"/>
              <w:snapToGrid w:val="0"/>
              <w:spacing w:line="300" w:lineRule="exact"/>
              <w:ind w:firstLine="420" w:firstLineChars="200"/>
              <w:rPr>
                <w:rFonts w:ascii="宋体" w:hAnsi="宋体"/>
                <w:color w:val="auto"/>
              </w:rPr>
            </w:pPr>
            <w:r>
              <w:rPr>
                <w:rFonts w:hint="eastAsia" w:ascii="宋体" w:hAnsi="宋体"/>
                <w:color w:val="auto"/>
              </w:rPr>
              <w:t>取得OHSAS18001职业安全健康管理体系认证证书，得1分；</w:t>
            </w:r>
          </w:p>
          <w:p>
            <w:pPr>
              <w:adjustRightInd w:val="0"/>
              <w:snapToGrid w:val="0"/>
              <w:spacing w:line="300" w:lineRule="exact"/>
              <w:ind w:firstLine="420" w:firstLineChars="200"/>
              <w:rPr>
                <w:rFonts w:ascii="宋体" w:hAnsi="宋体"/>
                <w:color w:val="auto"/>
              </w:rPr>
            </w:pPr>
            <w:r>
              <w:rPr>
                <w:rFonts w:hint="eastAsia" w:ascii="宋体" w:hAnsi="宋体"/>
                <w:color w:val="auto"/>
              </w:rPr>
              <w:t>★ISO9001质量管理体系认证证书、ISO14001环境管理体系认证证书、OHSAS18001职业安全健康管理体系认证证书，响应文件中必须提供在中国国家认证认可监督管理委员会官网查验的截图，否则不予认可。</w:t>
            </w:r>
          </w:p>
          <w:p>
            <w:pPr>
              <w:adjustRightInd w:val="0"/>
              <w:snapToGrid w:val="0"/>
              <w:spacing w:line="300" w:lineRule="exact"/>
              <w:ind w:firstLine="200"/>
              <w:rPr>
                <w:rFonts w:ascii="宋体" w:hAnsi="宋体"/>
                <w:color w:val="auto"/>
              </w:rPr>
            </w:pPr>
            <w:r>
              <w:rPr>
                <w:rFonts w:hint="eastAsia" w:ascii="宋体" w:hAnsi="宋体"/>
                <w:color w:val="auto"/>
              </w:rPr>
              <w:t>注：1.本项最高得分为3分。</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Cs/>
                <w:color w:val="auto"/>
              </w:rPr>
            </w:pPr>
            <w:r>
              <w:rPr>
                <w:rFonts w:hint="eastAsia" w:ascii="宋体" w:hAnsi="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jc w:val="center"/>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派驻项目经理业绩</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ind w:firstLine="420" w:firstLineChars="200"/>
              <w:rPr>
                <w:rFonts w:ascii="宋体" w:hAnsi="宋体"/>
                <w:color w:val="auto"/>
              </w:rPr>
            </w:pPr>
            <w:r>
              <w:rPr>
                <w:rFonts w:hint="eastAsia" w:ascii="宋体" w:hAnsi="宋体"/>
                <w:color w:val="auto"/>
              </w:rPr>
              <w:t>投标人拟派驻项目经理投标人近五年（2018年1月1日）以来每具有一项类似物业服务业绩，有一年得1分。</w:t>
            </w:r>
          </w:p>
          <w:p>
            <w:pPr>
              <w:adjustRightInd w:val="0"/>
              <w:snapToGrid w:val="0"/>
              <w:spacing w:line="300" w:lineRule="exact"/>
              <w:rPr>
                <w:rFonts w:ascii="宋体" w:hAnsi="宋体"/>
                <w:color w:val="auto"/>
              </w:rPr>
            </w:pPr>
            <w:r>
              <w:rPr>
                <w:rFonts w:hint="eastAsia" w:ascii="宋体" w:hAnsi="宋体"/>
                <w:color w:val="auto"/>
              </w:rPr>
              <w:t>注：1.本项最高得分为3分；</w:t>
            </w:r>
          </w:p>
          <w:p>
            <w:pPr>
              <w:adjustRightInd w:val="0"/>
              <w:snapToGrid w:val="0"/>
              <w:spacing w:line="300" w:lineRule="exact"/>
              <w:ind w:firstLine="420" w:firstLineChars="200"/>
              <w:rPr>
                <w:color w:val="auto"/>
              </w:rPr>
            </w:pPr>
            <w:r>
              <w:rPr>
                <w:rFonts w:hint="eastAsia" w:ascii="宋体" w:hAnsi="宋体"/>
                <w:color w:val="auto"/>
              </w:rPr>
              <w:t>2.项目经理业绩得分按年计算。如类似物业服务合同期限为1年的得1分，合同期限为2年的得2分，以此类推；提供合同复印件</w:t>
            </w:r>
            <w:r>
              <w:rPr>
                <w:rFonts w:hint="eastAsia" w:ascii="宋体" w:hAnsi="宋体"/>
                <w:color w:val="auto"/>
                <w:lang w:eastAsia="zh-CN"/>
              </w:rPr>
              <w:t>（</w:t>
            </w:r>
            <w:r>
              <w:rPr>
                <w:rFonts w:hint="eastAsia" w:ascii="宋体" w:hAnsi="宋体"/>
                <w:color w:val="auto"/>
                <w:lang w:val="en-US" w:eastAsia="zh-CN"/>
              </w:rPr>
              <w:t>如合同中未出现项目经理信息，则还需提供甲方证明材料</w:t>
            </w:r>
            <w:r>
              <w:rPr>
                <w:rFonts w:hint="eastAsia" w:ascii="宋体" w:hAnsi="宋体"/>
                <w:color w:val="auto"/>
                <w:lang w:eastAsia="zh-CN"/>
              </w:rPr>
              <w:t>）</w:t>
            </w:r>
            <w:r>
              <w:rPr>
                <w:rFonts w:hint="eastAsia" w:ascii="宋体" w:hAnsi="宋体"/>
                <w:color w:val="auto"/>
              </w:rPr>
              <w:t>，原件备查。以此类推，下同。</w:t>
            </w:r>
            <w:bookmarkStart w:id="35" w:name="_GoBack"/>
            <w:r>
              <w:rPr>
                <w:rFonts w:hint="eastAsia" w:ascii="宋体" w:hAnsi="宋体"/>
                <w:color w:val="000000" w:themeColor="text1"/>
                <w14:textFill>
                  <w14:solidFill>
                    <w14:schemeClr w14:val="tx1"/>
                  </w14:solidFill>
                </w14:textFill>
              </w:rPr>
              <w:t>（注：投标人业绩与项目经理业绩不同时计分）</w:t>
            </w:r>
            <w:bookmarkEnd w:id="35"/>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olor w:val="auto"/>
              </w:rPr>
            </w:pPr>
            <w:r>
              <w:rPr>
                <w:rFonts w:hint="eastAsia" w:ascii="宋体" w:hAnsi="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restart"/>
            <w:tcBorders>
              <w:top w:val="single" w:color="auto" w:sz="4" w:space="0"/>
              <w:left w:val="single" w:color="000000"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b/>
                <w:color w:val="auto"/>
              </w:rPr>
              <w:t>技术</w:t>
            </w:r>
          </w:p>
          <w:p>
            <w:pPr>
              <w:adjustRightInd w:val="0"/>
              <w:snapToGrid w:val="0"/>
              <w:jc w:val="center"/>
              <w:rPr>
                <w:rFonts w:ascii="宋体" w:hAnsi="宋体"/>
                <w:b/>
                <w:color w:val="auto"/>
              </w:rPr>
            </w:pPr>
            <w:r>
              <w:rPr>
                <w:rFonts w:hint="eastAsia" w:ascii="宋体" w:hAnsi="宋体"/>
                <w:b/>
                <w:color w:val="auto"/>
              </w:rPr>
              <w:t>（</w:t>
            </w:r>
            <w:r>
              <w:rPr>
                <w:rFonts w:ascii="宋体" w:hAnsi="宋体"/>
                <w:b/>
                <w:color w:val="auto"/>
              </w:rPr>
              <w:t>32</w:t>
            </w:r>
            <w:r>
              <w:rPr>
                <w:rFonts w:hint="eastAsia" w:ascii="宋体" w:hAnsi="宋体"/>
                <w:b/>
                <w:color w:val="auto"/>
              </w:rPr>
              <w:t>分）</w:t>
            </w:r>
          </w:p>
        </w:tc>
        <w:tc>
          <w:tcPr>
            <w:tcW w:w="984" w:type="dxa"/>
            <w:tcBorders>
              <w:top w:val="single" w:color="000000" w:sz="4" w:space="0"/>
              <w:left w:val="single" w:color="000000"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整体</w:t>
            </w:r>
          </w:p>
          <w:p>
            <w:pPr>
              <w:adjustRightInd w:val="0"/>
              <w:snapToGrid w:val="0"/>
              <w:jc w:val="center"/>
              <w:rPr>
                <w:rFonts w:ascii="宋体" w:hAnsi="宋体"/>
                <w:bCs/>
                <w:color w:val="auto"/>
              </w:rPr>
            </w:pPr>
            <w:r>
              <w:rPr>
                <w:rFonts w:hint="eastAsia" w:ascii="宋体" w:hAnsi="宋体"/>
                <w:color w:val="auto"/>
              </w:rPr>
              <w:t>方案</w:t>
            </w:r>
          </w:p>
        </w:tc>
        <w:tc>
          <w:tcPr>
            <w:tcW w:w="6288" w:type="dxa"/>
            <w:tcBorders>
              <w:top w:val="single" w:color="000000"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主要对服务方案的针对性、科学性、独创性进行评价。</w:t>
            </w:r>
          </w:p>
          <w:p>
            <w:pPr>
              <w:adjustRightInd w:val="0"/>
              <w:snapToGrid w:val="0"/>
              <w:ind w:firstLine="420" w:firstLineChars="200"/>
              <w:rPr>
                <w:rFonts w:ascii="宋体" w:hAnsi="宋体"/>
                <w:bCs/>
                <w:color w:val="auto"/>
              </w:rPr>
            </w:pPr>
            <w:r>
              <w:rPr>
                <w:rFonts w:hint="eastAsia" w:ascii="宋体" w:hAnsi="宋体"/>
                <w:color w:val="auto"/>
              </w:rPr>
              <w:t>优：5（含）-6分；良：3（含）-4分；一般：1（含）-2分</w:t>
            </w:r>
          </w:p>
        </w:tc>
        <w:tc>
          <w:tcPr>
            <w:tcW w:w="1050" w:type="dxa"/>
            <w:tcBorders>
              <w:left w:val="single" w:color="000000" w:sz="4" w:space="0"/>
              <w:bottom w:val="single" w:color="auto" w:sz="4" w:space="0"/>
              <w:right w:val="single" w:color="000000" w:sz="4" w:space="0"/>
            </w:tcBorders>
            <w:vAlign w:val="center"/>
          </w:tcPr>
          <w:p>
            <w:pPr>
              <w:adjustRightInd w:val="0"/>
              <w:snapToGrid w:val="0"/>
              <w:jc w:val="center"/>
              <w:rPr>
                <w:rFonts w:ascii="宋体" w:hAnsi="宋体"/>
                <w:bCs/>
                <w:color w:val="auto"/>
              </w:rPr>
            </w:pPr>
            <w:r>
              <w:rPr>
                <w:rFonts w:hint="eastAsia" w:ascii="宋体" w:hAnsi="宋体"/>
                <w:color w:val="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rPr>
                <w:rFonts w:ascii="宋体" w:hAnsi="宋体"/>
                <w:b/>
                <w:color w:val="auto"/>
              </w:rPr>
            </w:pPr>
          </w:p>
        </w:tc>
        <w:tc>
          <w:tcPr>
            <w:tcW w:w="984"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机构</w:t>
            </w:r>
          </w:p>
          <w:p>
            <w:pPr>
              <w:adjustRightInd w:val="0"/>
              <w:snapToGrid w:val="0"/>
              <w:jc w:val="center"/>
              <w:rPr>
                <w:rFonts w:ascii="宋体" w:hAnsi="宋体"/>
                <w:color w:val="auto"/>
              </w:rPr>
            </w:pPr>
            <w:r>
              <w:rPr>
                <w:rFonts w:hint="eastAsia" w:ascii="宋体" w:hAnsi="宋体"/>
                <w:color w:val="auto"/>
              </w:rPr>
              <w:t>制度</w:t>
            </w:r>
          </w:p>
          <w:p>
            <w:pPr>
              <w:adjustRightInd w:val="0"/>
              <w:snapToGrid w:val="0"/>
              <w:jc w:val="center"/>
              <w:rPr>
                <w:rFonts w:ascii="宋体" w:hAnsi="宋体"/>
                <w:bCs/>
                <w:color w:val="auto"/>
              </w:rPr>
            </w:pPr>
            <w:r>
              <w:rPr>
                <w:rFonts w:hint="eastAsia" w:ascii="宋体" w:hAnsi="宋体"/>
                <w:color w:val="auto"/>
              </w:rPr>
              <w:t>培训</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投标人须根据招标人要求进行组织机构设置，制定针对本项目的物业服务管理规章制度、岗位职责、人员培训管理方案。</w:t>
            </w:r>
          </w:p>
          <w:p>
            <w:pPr>
              <w:adjustRightInd w:val="0"/>
              <w:snapToGrid w:val="0"/>
              <w:ind w:firstLine="420" w:firstLineChars="200"/>
              <w:rPr>
                <w:rFonts w:ascii="宋体" w:hAnsi="宋体"/>
                <w:bCs/>
                <w:color w:val="auto"/>
              </w:rPr>
            </w:pPr>
            <w:r>
              <w:rPr>
                <w:rFonts w:hint="eastAsia" w:ascii="宋体" w:hAnsi="宋体"/>
                <w:color w:val="auto"/>
              </w:rPr>
              <w:t>优：4（含）-3分；良：2（含）-3分；一般：1（含）-2分</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color w:va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应急</w:t>
            </w:r>
          </w:p>
          <w:p>
            <w:pPr>
              <w:adjustRightInd w:val="0"/>
              <w:snapToGrid w:val="0"/>
              <w:jc w:val="center"/>
              <w:rPr>
                <w:rFonts w:ascii="宋体" w:hAnsi="宋体"/>
                <w:bCs/>
                <w:color w:val="auto"/>
              </w:rPr>
            </w:pPr>
            <w:r>
              <w:rPr>
                <w:rFonts w:hint="eastAsia" w:ascii="宋体" w:hAnsi="宋体"/>
                <w:color w:val="auto"/>
              </w:rPr>
              <w:t>预案</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根据招标方的物业管理内容和要求，结合物业服务管理范围能考虑到各种突发事件，并建立突发事件反应预案，以便在突发事件发生时，能第一时间赶到现场，并井然有序地处理突发事件，在最大限度内控制事态的发展。</w:t>
            </w:r>
          </w:p>
          <w:p>
            <w:pPr>
              <w:adjustRightInd w:val="0"/>
              <w:snapToGrid w:val="0"/>
              <w:ind w:firstLine="420" w:firstLineChars="200"/>
              <w:rPr>
                <w:rFonts w:ascii="宋体" w:hAnsi="宋体"/>
                <w:bCs/>
                <w:color w:val="auto"/>
              </w:rPr>
            </w:pPr>
            <w:r>
              <w:rPr>
                <w:rFonts w:hint="eastAsia" w:ascii="宋体" w:hAnsi="宋体"/>
                <w:color w:val="auto"/>
              </w:rPr>
              <w:t>优：4（含）-5分；良：2（含）-3分；一般：1（含）-2分</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color w:val="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投入</w:t>
            </w:r>
          </w:p>
          <w:p>
            <w:pPr>
              <w:adjustRightInd w:val="0"/>
              <w:snapToGrid w:val="0"/>
              <w:jc w:val="center"/>
              <w:rPr>
                <w:rFonts w:ascii="宋体" w:hAnsi="宋体"/>
                <w:bCs/>
                <w:color w:val="auto"/>
              </w:rPr>
            </w:pPr>
            <w:r>
              <w:rPr>
                <w:rFonts w:hint="eastAsia" w:ascii="宋体" w:hAnsi="宋体"/>
                <w:color w:val="auto"/>
              </w:rPr>
              <w:t>设备、人员费用</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投标人须根据招标文件的要求配备相应的设施设备，人员配置、人员保险须列详细清单。</w:t>
            </w:r>
          </w:p>
          <w:p>
            <w:pPr>
              <w:adjustRightInd w:val="0"/>
              <w:snapToGrid w:val="0"/>
              <w:ind w:firstLine="420" w:firstLineChars="200"/>
              <w:rPr>
                <w:rFonts w:ascii="宋体" w:hAnsi="宋体"/>
                <w:bCs/>
                <w:color w:val="auto"/>
              </w:rPr>
            </w:pPr>
            <w:r>
              <w:rPr>
                <w:rFonts w:hint="eastAsia" w:ascii="宋体" w:hAnsi="宋体"/>
                <w:color w:val="auto"/>
              </w:rPr>
              <w:t>优：4（含）-5分；良：3（含）-4分；一般：1（含）-2分</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color w:val="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vMerge w:val="continue"/>
            <w:tcBorders>
              <w:left w:val="single" w:color="000000" w:sz="4" w:space="0"/>
              <w:right w:val="single" w:color="000000" w:sz="4" w:space="0"/>
            </w:tcBorders>
            <w:vAlign w:val="center"/>
          </w:tcPr>
          <w:p>
            <w:pPr>
              <w:adjustRightInd w:val="0"/>
              <w:snapToGrid w:val="0"/>
              <w:rPr>
                <w:rFonts w:ascii="宋体" w:hAnsi="宋体"/>
                <w:b/>
                <w:color w:val="auto"/>
              </w:rPr>
            </w:pPr>
          </w:p>
        </w:tc>
        <w:tc>
          <w:tcPr>
            <w:tcW w:w="98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olor w:val="auto"/>
              </w:rPr>
            </w:pPr>
            <w:r>
              <w:rPr>
                <w:rFonts w:hint="eastAsia" w:ascii="宋体" w:hAnsi="宋体"/>
                <w:color w:val="auto"/>
              </w:rPr>
              <w:t>述标</w:t>
            </w:r>
          </w:p>
          <w:p>
            <w:pPr>
              <w:adjustRightInd w:val="0"/>
              <w:snapToGrid w:val="0"/>
              <w:jc w:val="center"/>
              <w:rPr>
                <w:rFonts w:ascii="宋体" w:hAnsi="宋体"/>
                <w:bCs/>
                <w:color w:val="auto"/>
              </w:rPr>
            </w:pPr>
            <w:r>
              <w:rPr>
                <w:rFonts w:hint="eastAsia" w:ascii="宋体" w:hAnsi="宋体"/>
                <w:color w:val="auto"/>
              </w:rPr>
              <w:t>答辩</w:t>
            </w:r>
          </w:p>
        </w:tc>
        <w:tc>
          <w:tcPr>
            <w:tcW w:w="6288" w:type="dxa"/>
            <w:tcBorders>
              <w:top w:val="single" w:color="auto" w:sz="4" w:space="0"/>
              <w:left w:val="single" w:color="auto" w:sz="4" w:space="0"/>
              <w:bottom w:val="single" w:color="auto" w:sz="4" w:space="0"/>
              <w:right w:val="single" w:color="000000" w:sz="4" w:space="0"/>
            </w:tcBorders>
            <w:vAlign w:val="center"/>
          </w:tcPr>
          <w:p>
            <w:pPr>
              <w:adjustRightInd w:val="0"/>
              <w:snapToGrid w:val="0"/>
              <w:ind w:firstLine="420" w:firstLineChars="200"/>
              <w:rPr>
                <w:rFonts w:ascii="宋体" w:hAnsi="宋体"/>
                <w:color w:val="auto"/>
              </w:rPr>
            </w:pPr>
            <w:r>
              <w:rPr>
                <w:rFonts w:hint="eastAsia" w:ascii="宋体" w:hAnsi="宋体"/>
                <w:color w:val="auto"/>
              </w:rPr>
              <w:t>1.述标：投标人拟派驻本项目的项目负责人对服务方案进行阐述，时间不超过3分钟。评委根据其阐述思路是否清晰、语言是否简练、表达是否流畅等进行评分。优：5（含）-6分；良：3（含）-4分；一般：1（含）-2分</w:t>
            </w:r>
          </w:p>
          <w:p>
            <w:pPr>
              <w:adjustRightInd w:val="0"/>
              <w:snapToGrid w:val="0"/>
              <w:ind w:firstLine="420" w:firstLineChars="200"/>
              <w:rPr>
                <w:rFonts w:ascii="宋体" w:hAnsi="宋体"/>
                <w:color w:val="auto"/>
              </w:rPr>
            </w:pPr>
            <w:r>
              <w:rPr>
                <w:rFonts w:hint="eastAsia" w:ascii="宋体" w:hAnsi="宋体"/>
                <w:color w:val="auto"/>
              </w:rPr>
              <w:t>2.答辩：投标人拟派驻本项目的项目负责人针对评委提出的问题进行答辩。评委根据其阐述思路是否清晰、语言是否简练、表达是否流畅等进行评分。优：5（含）-6分；良：3（含）-4分；一般：1（含）-2分</w:t>
            </w:r>
          </w:p>
          <w:p>
            <w:pPr>
              <w:adjustRightInd w:val="0"/>
              <w:snapToGrid w:val="0"/>
              <w:ind w:firstLine="420"/>
              <w:rPr>
                <w:rFonts w:ascii="宋体" w:hAnsi="宋体"/>
                <w:color w:val="auto"/>
              </w:rPr>
            </w:pPr>
            <w:r>
              <w:rPr>
                <w:rFonts w:hint="eastAsia" w:ascii="宋体" w:hAnsi="宋体"/>
                <w:color w:val="auto"/>
              </w:rPr>
              <w:t>3.述标及答辩的项目负责人携带居民身份证供评委审验。</w:t>
            </w:r>
          </w:p>
          <w:p>
            <w:pPr>
              <w:adjustRightInd w:val="0"/>
              <w:snapToGrid w:val="0"/>
              <w:ind w:firstLine="420" w:firstLineChars="200"/>
              <w:rPr>
                <w:rFonts w:ascii="宋体" w:hAnsi="宋体"/>
                <w:bCs/>
                <w:color w:val="auto"/>
              </w:rPr>
            </w:pPr>
            <w:r>
              <w:rPr>
                <w:rFonts w:hint="eastAsia" w:ascii="宋体" w:hAnsi="宋体"/>
                <w:color w:val="auto"/>
              </w:rPr>
              <w:t>4.参加答辩的项目负责人必须为拟派驻本项目的项目负责人，否则本项不得分。</w:t>
            </w:r>
          </w:p>
        </w:tc>
        <w:tc>
          <w:tcPr>
            <w:tcW w:w="1050"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b/>
                <w:color w:val="auto"/>
              </w:rPr>
            </w:pPr>
            <w:r>
              <w:rPr>
                <w:rFonts w:hint="eastAsia" w:ascii="宋体" w:hAnsi="宋体"/>
                <w:color w:val="auto"/>
              </w:rPr>
              <w:t>12</w:t>
            </w:r>
          </w:p>
        </w:tc>
      </w:tr>
    </w:tbl>
    <w:p>
      <w:pPr>
        <w:spacing w:before="121" w:line="321" w:lineRule="auto"/>
        <w:ind w:left="774" w:right="6374"/>
        <w:rPr>
          <w:rFonts w:ascii="宋体" w:hAnsi="宋体"/>
          <w:color w:val="auto"/>
        </w:rPr>
      </w:pPr>
    </w:p>
    <w:p>
      <w:pPr>
        <w:pStyle w:val="34"/>
        <w:jc w:val="both"/>
        <w:rPr>
          <w:rStyle w:val="44"/>
          <w:rFonts w:ascii="宋体" w:hAnsi="宋体" w:eastAsia="宋体"/>
          <w:b/>
          <w:color w:val="auto"/>
          <w:sz w:val="44"/>
        </w:rPr>
      </w:pPr>
    </w:p>
    <w:p>
      <w:pPr>
        <w:rPr>
          <w:rStyle w:val="44"/>
          <w:rFonts w:ascii="宋体" w:hAnsi="宋体"/>
          <w:b/>
          <w:color w:val="auto"/>
          <w:sz w:val="44"/>
        </w:rPr>
      </w:pPr>
    </w:p>
    <w:p>
      <w:pPr>
        <w:pStyle w:val="2"/>
        <w:ind w:left="1470" w:right="1470"/>
        <w:rPr>
          <w:rStyle w:val="44"/>
          <w:rFonts w:ascii="宋体" w:hAnsi="宋体"/>
          <w:b/>
          <w:color w:val="auto"/>
          <w:sz w:val="44"/>
        </w:rPr>
      </w:pPr>
    </w:p>
    <w:p>
      <w:pPr>
        <w:pStyle w:val="2"/>
        <w:ind w:left="1470" w:right="1470"/>
        <w:rPr>
          <w:rStyle w:val="44"/>
          <w:rFonts w:ascii="宋体" w:hAnsi="宋体"/>
          <w:b/>
          <w:color w:val="auto"/>
          <w:sz w:val="44"/>
        </w:rPr>
      </w:pPr>
    </w:p>
    <w:p>
      <w:pPr>
        <w:pStyle w:val="34"/>
        <w:outlineLvl w:val="0"/>
        <w:rPr>
          <w:rStyle w:val="44"/>
          <w:rFonts w:ascii="宋体" w:hAnsi="宋体" w:eastAsia="宋体"/>
          <w:b/>
          <w:color w:val="auto"/>
          <w:sz w:val="44"/>
        </w:rPr>
      </w:pPr>
      <w:bookmarkStart w:id="5" w:name="_Toc28357"/>
      <w:r>
        <w:rPr>
          <w:rStyle w:val="44"/>
          <w:rFonts w:hint="eastAsia" w:ascii="宋体" w:hAnsi="宋体" w:eastAsia="宋体"/>
          <w:b/>
          <w:color w:val="auto"/>
          <w:sz w:val="44"/>
        </w:rPr>
        <w:t>第六章投标文件格式</w:t>
      </w:r>
      <w:bookmarkEnd w:id="5"/>
    </w:p>
    <w:p>
      <w:pPr>
        <w:jc w:val="center"/>
        <w:rPr>
          <w:rStyle w:val="44"/>
          <w:rFonts w:ascii="宋体" w:hAnsi="宋体"/>
          <w:b/>
          <w:color w:val="auto"/>
          <w:sz w:val="72"/>
        </w:rPr>
      </w:pPr>
    </w:p>
    <w:p>
      <w:pPr>
        <w:jc w:val="center"/>
        <w:outlineLvl w:val="0"/>
        <w:rPr>
          <w:rStyle w:val="44"/>
          <w:rFonts w:ascii="宋体" w:hAnsi="宋体"/>
          <w:b/>
          <w:color w:val="auto"/>
          <w:sz w:val="72"/>
        </w:rPr>
      </w:pPr>
      <w:bookmarkStart w:id="6" w:name="_Toc10174"/>
      <w:bookmarkStart w:id="7" w:name="_Toc26413"/>
      <w:r>
        <w:rPr>
          <w:rStyle w:val="44"/>
          <w:rFonts w:hint="eastAsia" w:ascii="宋体" w:hAnsi="宋体"/>
          <w:b/>
          <w:color w:val="auto"/>
          <w:sz w:val="72"/>
        </w:rPr>
        <w:t>投标文件</w:t>
      </w:r>
      <w:bookmarkEnd w:id="6"/>
      <w:bookmarkEnd w:id="7"/>
    </w:p>
    <w:p>
      <w:pPr>
        <w:jc w:val="center"/>
        <w:outlineLvl w:val="0"/>
        <w:rPr>
          <w:rStyle w:val="44"/>
          <w:rFonts w:ascii="宋体" w:hAnsi="宋体"/>
          <w:b/>
          <w:color w:val="auto"/>
          <w:sz w:val="72"/>
        </w:rPr>
      </w:pPr>
      <w:bookmarkStart w:id="8" w:name="_Toc14840"/>
      <w:bookmarkStart w:id="9" w:name="_Toc17655"/>
      <w:r>
        <w:rPr>
          <w:rStyle w:val="44"/>
          <w:rFonts w:hint="eastAsia" w:ascii="宋体" w:hAnsi="宋体"/>
          <w:b/>
          <w:color w:val="auto"/>
          <w:sz w:val="36"/>
        </w:rPr>
        <w:t>（正或副本）</w:t>
      </w:r>
      <w:bookmarkEnd w:id="8"/>
      <w:bookmarkEnd w:id="9"/>
    </w:p>
    <w:p>
      <w:pPr>
        <w:jc w:val="center"/>
        <w:rPr>
          <w:rStyle w:val="44"/>
          <w:rFonts w:ascii="宋体" w:hAnsi="宋体"/>
          <w:b/>
          <w:color w:val="auto"/>
          <w:sz w:val="72"/>
        </w:rPr>
      </w:pPr>
    </w:p>
    <w:p>
      <w:pPr>
        <w:jc w:val="center"/>
        <w:rPr>
          <w:rStyle w:val="44"/>
          <w:rFonts w:ascii="宋体" w:hAnsi="宋体"/>
          <w:b/>
          <w:color w:val="auto"/>
          <w:sz w:val="36"/>
        </w:rPr>
      </w:pPr>
    </w:p>
    <w:p>
      <w:pPr>
        <w:jc w:val="center"/>
        <w:rPr>
          <w:rStyle w:val="44"/>
          <w:rFonts w:ascii="宋体" w:hAnsi="宋体"/>
          <w:b/>
          <w:color w:val="auto"/>
          <w:sz w:val="36"/>
        </w:rPr>
      </w:pPr>
    </w:p>
    <w:p>
      <w:pPr>
        <w:jc w:val="center"/>
        <w:rPr>
          <w:rStyle w:val="44"/>
          <w:rFonts w:ascii="宋体" w:hAnsi="宋体"/>
          <w:b/>
          <w:color w:val="auto"/>
          <w:sz w:val="36"/>
        </w:rPr>
      </w:pPr>
    </w:p>
    <w:p>
      <w:pPr>
        <w:ind w:firstLine="1084" w:firstLineChars="300"/>
        <w:outlineLvl w:val="0"/>
        <w:rPr>
          <w:rStyle w:val="44"/>
          <w:rFonts w:ascii="宋体" w:hAnsi="宋体"/>
          <w:b/>
          <w:color w:val="auto"/>
          <w:sz w:val="36"/>
        </w:rPr>
      </w:pPr>
      <w:bookmarkStart w:id="10" w:name="_Toc8567"/>
      <w:bookmarkStart w:id="11" w:name="_Toc15556"/>
      <w:r>
        <w:rPr>
          <w:rStyle w:val="44"/>
          <w:rFonts w:hint="eastAsia" w:ascii="宋体" w:hAnsi="宋体"/>
          <w:b/>
          <w:color w:val="auto"/>
          <w:sz w:val="36"/>
        </w:rPr>
        <w:t>项目名称：</w:t>
      </w:r>
      <w:bookmarkEnd w:id="10"/>
      <w:bookmarkEnd w:id="11"/>
    </w:p>
    <w:p>
      <w:pPr>
        <w:ind w:firstLine="1084" w:firstLineChars="300"/>
        <w:outlineLvl w:val="0"/>
        <w:rPr>
          <w:rStyle w:val="44"/>
          <w:rFonts w:ascii="宋体" w:hAnsi="宋体"/>
          <w:b/>
          <w:color w:val="auto"/>
          <w:sz w:val="36"/>
          <w:u w:val="single" w:color="000000"/>
        </w:rPr>
      </w:pPr>
      <w:bookmarkStart w:id="12" w:name="_Toc20815"/>
      <w:bookmarkStart w:id="13" w:name="_Toc29989"/>
      <w:r>
        <w:rPr>
          <w:rStyle w:val="44"/>
          <w:rFonts w:hint="eastAsia" w:ascii="宋体" w:hAnsi="宋体"/>
          <w:b/>
          <w:color w:val="auto"/>
          <w:sz w:val="36"/>
        </w:rPr>
        <w:t>招标编号：</w:t>
      </w:r>
      <w:bookmarkEnd w:id="12"/>
      <w:bookmarkEnd w:id="13"/>
    </w:p>
    <w:p>
      <w:pPr>
        <w:ind w:firstLine="1084" w:firstLineChars="300"/>
        <w:outlineLvl w:val="0"/>
        <w:rPr>
          <w:rStyle w:val="44"/>
          <w:rFonts w:ascii="宋体" w:hAnsi="宋体"/>
          <w:b/>
          <w:color w:val="auto"/>
          <w:sz w:val="36"/>
          <w:u w:val="single" w:color="000000"/>
        </w:rPr>
      </w:pPr>
      <w:bookmarkStart w:id="14" w:name="_Toc550"/>
      <w:bookmarkStart w:id="15" w:name="_Toc15597"/>
      <w:r>
        <w:rPr>
          <w:rStyle w:val="44"/>
          <w:rFonts w:hint="eastAsia" w:ascii="宋体" w:hAnsi="宋体"/>
          <w:b/>
          <w:color w:val="auto"/>
          <w:sz w:val="36"/>
        </w:rPr>
        <w:t>投标人名称：</w:t>
      </w:r>
      <w:bookmarkEnd w:id="14"/>
      <w:bookmarkEnd w:id="15"/>
    </w:p>
    <w:p>
      <w:pPr>
        <w:ind w:firstLine="1084" w:firstLineChars="300"/>
        <w:outlineLvl w:val="0"/>
        <w:rPr>
          <w:rStyle w:val="44"/>
          <w:rFonts w:ascii="宋体" w:hAnsi="宋体"/>
          <w:b/>
          <w:color w:val="auto"/>
          <w:sz w:val="36"/>
        </w:rPr>
      </w:pPr>
      <w:bookmarkStart w:id="16" w:name="_Toc3937"/>
      <w:bookmarkStart w:id="17" w:name="_Toc26387"/>
      <w:r>
        <w:rPr>
          <w:rStyle w:val="44"/>
          <w:rFonts w:hint="eastAsia" w:ascii="宋体" w:hAnsi="宋体"/>
          <w:b/>
          <w:color w:val="auto"/>
          <w:sz w:val="36"/>
        </w:rPr>
        <w:t>日期：</w:t>
      </w:r>
      <w:bookmarkEnd w:id="16"/>
      <w:bookmarkEnd w:id="17"/>
    </w:p>
    <w:p>
      <w:pPr>
        <w:spacing w:line="440" w:lineRule="exact"/>
        <w:jc w:val="center"/>
        <w:rPr>
          <w:rStyle w:val="44"/>
          <w:rFonts w:ascii="宋体" w:hAnsi="宋体"/>
          <w:b/>
          <w:bCs/>
          <w:color w:val="auto"/>
          <w:sz w:val="32"/>
          <w:szCs w:val="32"/>
        </w:rPr>
      </w:pPr>
    </w:p>
    <w:p>
      <w:pPr>
        <w:spacing w:line="440" w:lineRule="exact"/>
        <w:ind w:firstLine="480" w:firstLineChars="200"/>
        <w:rPr>
          <w:rStyle w:val="44"/>
          <w:rFonts w:ascii="宋体" w:hAnsi="宋体"/>
          <w:color w:val="auto"/>
          <w:sz w:val="24"/>
        </w:rPr>
      </w:pPr>
    </w:p>
    <w:p>
      <w:pPr>
        <w:spacing w:line="440" w:lineRule="exact"/>
        <w:ind w:firstLine="480" w:firstLineChars="200"/>
        <w:rPr>
          <w:rStyle w:val="44"/>
          <w:rFonts w:ascii="宋体" w:hAnsi="宋体"/>
          <w:color w:val="auto"/>
          <w:sz w:val="24"/>
        </w:rPr>
      </w:pPr>
    </w:p>
    <w:p>
      <w:pPr>
        <w:spacing w:line="440" w:lineRule="exact"/>
        <w:rPr>
          <w:rStyle w:val="44"/>
          <w:rFonts w:ascii="宋体" w:hAnsi="宋体"/>
          <w:color w:val="auto"/>
          <w:sz w:val="24"/>
        </w:rPr>
      </w:pPr>
    </w:p>
    <w:p>
      <w:pPr>
        <w:pStyle w:val="6"/>
        <w:rPr>
          <w:rStyle w:val="44"/>
          <w:rFonts w:ascii="宋体" w:hAnsi="宋体" w:eastAsia="宋体"/>
          <w:b w:val="0"/>
          <w:color w:val="auto"/>
          <w:sz w:val="24"/>
          <w:szCs w:val="21"/>
        </w:rPr>
      </w:pPr>
    </w:p>
    <w:p>
      <w:pPr>
        <w:rPr>
          <w:color w:val="auto"/>
        </w:rPr>
      </w:pPr>
    </w:p>
    <w:p>
      <w:pPr>
        <w:rPr>
          <w:color w:val="auto"/>
        </w:rPr>
      </w:pPr>
    </w:p>
    <w:p>
      <w:pPr>
        <w:rPr>
          <w:rStyle w:val="44"/>
          <w:rFonts w:ascii="宋体" w:hAnsi="宋体"/>
          <w:color w:val="auto"/>
          <w:sz w:val="24"/>
        </w:rPr>
      </w:pPr>
    </w:p>
    <w:p>
      <w:pPr>
        <w:pStyle w:val="24"/>
        <w:rPr>
          <w:color w:val="auto"/>
        </w:rPr>
      </w:pPr>
    </w:p>
    <w:p>
      <w:pPr>
        <w:spacing w:line="440" w:lineRule="exact"/>
        <w:jc w:val="center"/>
        <w:outlineLvl w:val="0"/>
        <w:rPr>
          <w:rFonts w:ascii="宋体" w:hAnsi="宋体"/>
          <w:b/>
          <w:color w:val="auto"/>
          <w:sz w:val="30"/>
          <w:szCs w:val="30"/>
        </w:rPr>
      </w:pPr>
      <w:bookmarkStart w:id="18" w:name="_Toc1766"/>
      <w:bookmarkStart w:id="19" w:name="_Toc17998"/>
      <w:r>
        <w:rPr>
          <w:rFonts w:hint="eastAsia" w:ascii="宋体" w:hAnsi="宋体"/>
          <w:b/>
          <w:color w:val="auto"/>
          <w:sz w:val="30"/>
          <w:szCs w:val="30"/>
        </w:rPr>
        <w:t>评分索引表</w:t>
      </w:r>
      <w:bookmarkEnd w:id="18"/>
    </w:p>
    <w:p>
      <w:pPr>
        <w:spacing w:line="440" w:lineRule="exact"/>
        <w:jc w:val="center"/>
        <w:rPr>
          <w:rFonts w:ascii="宋体" w:hAnsi="宋体"/>
          <w:b/>
          <w:color w:val="auto"/>
          <w:sz w:val="30"/>
          <w:szCs w:val="30"/>
        </w:rPr>
      </w:pPr>
    </w:p>
    <w:tbl>
      <w:tblPr>
        <w:tblStyle w:val="25"/>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3125"/>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05" w:type="dxa"/>
          </w:tcPr>
          <w:p>
            <w:pPr>
              <w:pStyle w:val="163"/>
              <w:shd w:val="clear" w:color="auto" w:fill="FFFFFF"/>
              <w:spacing w:line="265" w:lineRule="atLeast"/>
              <w:ind w:left="420"/>
              <w:jc w:val="center"/>
              <w:rPr>
                <w:rFonts w:ascii="宋体" w:hAnsi="宋体"/>
                <w:b/>
                <w:bCs/>
                <w:color w:val="auto"/>
                <w:lang w:eastAsia="zh-CN"/>
              </w:rPr>
            </w:pPr>
            <w:r>
              <w:rPr>
                <w:rFonts w:hint="eastAsia" w:ascii="宋体" w:hAnsi="宋体"/>
                <w:b/>
                <w:color w:val="auto"/>
              </w:rPr>
              <w:t>评分项目</w:t>
            </w:r>
          </w:p>
        </w:tc>
        <w:tc>
          <w:tcPr>
            <w:tcW w:w="3125" w:type="dxa"/>
          </w:tcPr>
          <w:p>
            <w:pPr>
              <w:jc w:val="center"/>
              <w:rPr>
                <w:rFonts w:ascii="宋体" w:hAnsi="宋体"/>
                <w:b/>
                <w:color w:val="auto"/>
              </w:rPr>
            </w:pPr>
            <w:r>
              <w:rPr>
                <w:rFonts w:hint="eastAsia" w:ascii="宋体" w:hAnsi="宋体"/>
                <w:b/>
                <w:color w:val="auto"/>
                <w:kern w:val="0"/>
                <w:sz w:val="24"/>
                <w:lang w:bidi="en-US"/>
              </w:rPr>
              <w:t>在投标文件中的页码位置</w:t>
            </w:r>
          </w:p>
        </w:tc>
        <w:tc>
          <w:tcPr>
            <w:tcW w:w="1741" w:type="dxa"/>
          </w:tcPr>
          <w:p>
            <w:pPr>
              <w:jc w:val="center"/>
              <w:rPr>
                <w:rFonts w:ascii="宋体" w:hAnsi="宋体"/>
                <w:b/>
                <w:color w:val="auto"/>
                <w:kern w:val="0"/>
                <w:sz w:val="24"/>
                <w:lang w:bidi="en-US"/>
              </w:rPr>
            </w:pPr>
            <w:r>
              <w:rPr>
                <w:rFonts w:hint="eastAsia" w:ascii="宋体" w:hAnsi="宋体"/>
                <w:b/>
                <w:color w:val="auto"/>
                <w:kern w:val="0"/>
                <w:sz w:val="24"/>
                <w:lang w:bidi="en-US"/>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105" w:type="dxa"/>
          </w:tcPr>
          <w:p>
            <w:pPr>
              <w:pStyle w:val="163"/>
              <w:shd w:val="clear" w:color="auto" w:fill="FFFFFF"/>
              <w:spacing w:line="265" w:lineRule="atLeast"/>
              <w:ind w:left="420"/>
              <w:jc w:val="both"/>
              <w:rPr>
                <w:rFonts w:ascii="宋体" w:hAnsi="宋体"/>
                <w:b/>
                <w:color w:val="auto"/>
                <w:lang w:eastAsia="zh-CN"/>
              </w:rPr>
            </w:pPr>
          </w:p>
        </w:tc>
        <w:tc>
          <w:tcPr>
            <w:tcW w:w="3125" w:type="dxa"/>
          </w:tcPr>
          <w:p>
            <w:pPr>
              <w:rPr>
                <w:rFonts w:ascii="宋体" w:hAnsi="宋体"/>
                <w:b/>
                <w:color w:val="auto"/>
                <w:kern w:val="0"/>
                <w:sz w:val="24"/>
                <w:lang w:bidi="en-US"/>
              </w:rPr>
            </w:pPr>
          </w:p>
        </w:tc>
        <w:tc>
          <w:tcPr>
            <w:tcW w:w="1741" w:type="dxa"/>
          </w:tcPr>
          <w:p>
            <w:pPr>
              <w:rPr>
                <w:rFonts w:ascii="宋体" w:hAnsi="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30" w:type="dxa"/>
            <w:gridSpan w:val="2"/>
          </w:tcPr>
          <w:p>
            <w:pPr>
              <w:pStyle w:val="163"/>
              <w:shd w:val="clear" w:color="auto" w:fill="FFFFFF"/>
              <w:spacing w:line="265" w:lineRule="atLeast"/>
              <w:ind w:left="420"/>
              <w:jc w:val="both"/>
              <w:rPr>
                <w:rFonts w:ascii="宋体" w:hAnsi="宋体"/>
                <w:color w:val="auto"/>
                <w:lang w:eastAsia="zh-CN"/>
              </w:rPr>
            </w:pPr>
          </w:p>
        </w:tc>
        <w:tc>
          <w:tcPr>
            <w:tcW w:w="1741" w:type="dxa"/>
          </w:tcPr>
          <w:p>
            <w:pPr>
              <w:pStyle w:val="163"/>
              <w:shd w:val="clear" w:color="auto" w:fill="FFFFFF"/>
              <w:spacing w:line="265" w:lineRule="atLeast"/>
              <w:ind w:left="420"/>
              <w:jc w:val="both"/>
              <w:rPr>
                <w:rFonts w:ascii="宋体" w:hAnsi="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230" w:type="dxa"/>
            <w:gridSpan w:val="2"/>
          </w:tcPr>
          <w:p>
            <w:pPr>
              <w:pStyle w:val="163"/>
              <w:shd w:val="clear" w:color="auto" w:fill="FFFFFF"/>
              <w:spacing w:line="265" w:lineRule="atLeast"/>
              <w:ind w:left="420"/>
              <w:jc w:val="both"/>
              <w:rPr>
                <w:rFonts w:ascii="宋体" w:hAnsi="宋体"/>
                <w:color w:val="auto"/>
                <w:lang w:eastAsia="zh-CN"/>
              </w:rPr>
            </w:pPr>
          </w:p>
        </w:tc>
        <w:tc>
          <w:tcPr>
            <w:tcW w:w="1741" w:type="dxa"/>
          </w:tcPr>
          <w:p>
            <w:pPr>
              <w:pStyle w:val="163"/>
              <w:shd w:val="clear" w:color="auto" w:fill="FFFFFF"/>
              <w:spacing w:line="265" w:lineRule="atLeast"/>
              <w:ind w:left="420"/>
              <w:jc w:val="both"/>
              <w:rPr>
                <w:rFonts w:ascii="宋体" w:hAnsi="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30" w:type="dxa"/>
            <w:gridSpan w:val="2"/>
          </w:tcPr>
          <w:p>
            <w:pPr>
              <w:pStyle w:val="163"/>
              <w:shd w:val="clear" w:color="auto" w:fill="FFFFFF"/>
              <w:spacing w:line="265" w:lineRule="atLeast"/>
              <w:ind w:left="420"/>
              <w:jc w:val="both"/>
              <w:rPr>
                <w:rFonts w:ascii="宋体" w:hAnsi="宋体"/>
                <w:b/>
                <w:color w:val="auto"/>
                <w:lang w:eastAsia="zh-CN"/>
              </w:rPr>
            </w:pPr>
          </w:p>
        </w:tc>
        <w:tc>
          <w:tcPr>
            <w:tcW w:w="1741" w:type="dxa"/>
          </w:tcPr>
          <w:p>
            <w:pPr>
              <w:pStyle w:val="163"/>
              <w:shd w:val="clear" w:color="auto" w:fill="FFFFFF"/>
              <w:spacing w:line="265" w:lineRule="atLeast"/>
              <w:ind w:left="420"/>
              <w:jc w:val="both"/>
              <w:rPr>
                <w:rFonts w:ascii="宋体" w:hAnsi="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05" w:type="dxa"/>
          </w:tcPr>
          <w:p>
            <w:pPr>
              <w:pStyle w:val="163"/>
              <w:shd w:val="clear" w:color="auto" w:fill="FFFFFF"/>
              <w:spacing w:line="265" w:lineRule="atLeast"/>
              <w:ind w:left="420"/>
              <w:rPr>
                <w:rFonts w:ascii="宋体" w:hAnsi="宋体"/>
                <w:b/>
                <w:bCs/>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05" w:type="dxa"/>
          </w:tcPr>
          <w:p>
            <w:pPr>
              <w:pStyle w:val="163"/>
              <w:shd w:val="clear" w:color="auto" w:fill="FFFFFF"/>
              <w:spacing w:line="265" w:lineRule="atLeast"/>
              <w:ind w:left="420"/>
              <w:rPr>
                <w:rFonts w:ascii="宋体" w:hAnsi="宋体"/>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05" w:type="dxa"/>
          </w:tcPr>
          <w:p>
            <w:pPr>
              <w:pStyle w:val="163"/>
              <w:shd w:val="clear" w:color="auto" w:fill="FFFFFF"/>
              <w:spacing w:line="265" w:lineRule="atLeast"/>
              <w:ind w:left="420"/>
              <w:rPr>
                <w:rFonts w:ascii="宋体" w:hAnsi="宋体"/>
                <w:b/>
                <w:bCs/>
                <w:color w:val="auto"/>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230" w:type="dxa"/>
            <w:gridSpan w:val="2"/>
          </w:tcPr>
          <w:p>
            <w:pPr>
              <w:pStyle w:val="163"/>
              <w:shd w:val="clear" w:color="auto" w:fill="FFFFFF"/>
              <w:spacing w:line="265" w:lineRule="atLeast"/>
              <w:ind w:left="420"/>
              <w:jc w:val="both"/>
              <w:rPr>
                <w:rFonts w:ascii="宋体" w:hAnsi="宋体"/>
                <w:b/>
                <w:color w:val="auto"/>
                <w:lang w:eastAsia="zh-CN"/>
              </w:rPr>
            </w:pPr>
          </w:p>
        </w:tc>
        <w:tc>
          <w:tcPr>
            <w:tcW w:w="1741" w:type="dxa"/>
          </w:tcPr>
          <w:p>
            <w:pPr>
              <w:pStyle w:val="163"/>
              <w:shd w:val="clear" w:color="auto" w:fill="FFFFFF"/>
              <w:spacing w:line="265" w:lineRule="atLeast"/>
              <w:ind w:left="420"/>
              <w:jc w:val="both"/>
              <w:rPr>
                <w:rFonts w:ascii="宋体" w:hAnsi="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05" w:type="dxa"/>
          </w:tcPr>
          <w:p>
            <w:pPr>
              <w:pStyle w:val="163"/>
              <w:shd w:val="clear" w:color="auto" w:fill="FFFFFF"/>
              <w:spacing w:line="265" w:lineRule="atLeast"/>
              <w:ind w:left="0" w:firstLine="480" w:firstLineChars="200"/>
              <w:rPr>
                <w:rFonts w:ascii="宋体" w:hAnsi="宋体"/>
                <w:color w:val="auto"/>
                <w:szCs w:val="21"/>
                <w:lang w:eastAsia="zh-CN"/>
              </w:rPr>
            </w:pPr>
          </w:p>
        </w:tc>
        <w:tc>
          <w:tcPr>
            <w:tcW w:w="3125" w:type="dxa"/>
          </w:tcPr>
          <w:p>
            <w:pPr>
              <w:rPr>
                <w:rFonts w:ascii="宋体" w:hAnsi="宋体"/>
                <w:color w:val="auto"/>
              </w:rPr>
            </w:pPr>
          </w:p>
        </w:tc>
        <w:tc>
          <w:tcPr>
            <w:tcW w:w="1741"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05" w:type="dxa"/>
            <w:tcBorders>
              <w:bottom w:val="single" w:color="auto" w:sz="4" w:space="0"/>
            </w:tcBorders>
          </w:tcPr>
          <w:p>
            <w:pPr>
              <w:pStyle w:val="163"/>
              <w:shd w:val="clear" w:color="auto" w:fill="FFFFFF"/>
              <w:spacing w:line="265" w:lineRule="atLeast"/>
              <w:ind w:left="0" w:firstLine="480" w:firstLineChars="200"/>
              <w:rPr>
                <w:rFonts w:ascii="宋体" w:hAnsi="宋体"/>
                <w:color w:val="auto"/>
                <w:lang w:eastAsia="zh-CN"/>
              </w:rPr>
            </w:pPr>
          </w:p>
        </w:tc>
        <w:tc>
          <w:tcPr>
            <w:tcW w:w="3125" w:type="dxa"/>
            <w:tcBorders>
              <w:bottom w:val="single" w:color="auto" w:sz="4" w:space="0"/>
            </w:tcBorders>
          </w:tcPr>
          <w:p>
            <w:pPr>
              <w:rPr>
                <w:rFonts w:ascii="宋体" w:hAnsi="宋体"/>
                <w:color w:val="auto"/>
              </w:rPr>
            </w:pPr>
          </w:p>
        </w:tc>
        <w:tc>
          <w:tcPr>
            <w:tcW w:w="1741" w:type="dxa"/>
            <w:tcBorders>
              <w:bottom w:val="single" w:color="auto" w:sz="4" w:space="0"/>
            </w:tcBorders>
          </w:tcPr>
          <w:p>
            <w:pPr>
              <w:rPr>
                <w:rFonts w:ascii="宋体" w:hAnsi="宋体"/>
                <w:color w:val="auto"/>
              </w:rPr>
            </w:pPr>
          </w:p>
        </w:tc>
      </w:tr>
    </w:tbl>
    <w:p>
      <w:pPr>
        <w:rPr>
          <w:rFonts w:ascii="宋体" w:hAnsi="宋体"/>
          <w:color w:val="auto"/>
        </w:rPr>
      </w:pPr>
    </w:p>
    <w:p>
      <w:pPr>
        <w:snapToGrid w:val="0"/>
        <w:spacing w:before="50" w:after="50"/>
        <w:jc w:val="center"/>
        <w:outlineLvl w:val="0"/>
        <w:rPr>
          <w:rStyle w:val="44"/>
          <w:rFonts w:ascii="宋体" w:hAnsi="宋体"/>
          <w:b/>
          <w:bCs/>
          <w:color w:val="auto"/>
          <w:sz w:val="32"/>
          <w:szCs w:val="32"/>
        </w:rPr>
      </w:pPr>
      <w:r>
        <w:rPr>
          <w:rFonts w:hint="eastAsia" w:ascii="宋体" w:hAnsi="宋体"/>
          <w:b/>
          <w:color w:val="auto"/>
          <w:sz w:val="36"/>
          <w:u w:val="single"/>
        </w:rPr>
        <w:br w:type="page"/>
      </w:r>
      <w:bookmarkStart w:id="20" w:name="_Toc20200"/>
      <w:r>
        <w:rPr>
          <w:rStyle w:val="44"/>
          <w:rFonts w:hint="eastAsia" w:ascii="宋体" w:hAnsi="宋体"/>
          <w:color w:val="auto"/>
          <w:sz w:val="32"/>
          <w:szCs w:val="32"/>
        </w:rPr>
        <w:t>一、</w:t>
      </w:r>
      <w:r>
        <w:rPr>
          <w:rStyle w:val="44"/>
          <w:rFonts w:hint="eastAsia" w:ascii="宋体" w:hAnsi="宋体"/>
          <w:b/>
          <w:bCs/>
          <w:color w:val="auto"/>
          <w:sz w:val="32"/>
          <w:szCs w:val="32"/>
        </w:rPr>
        <w:t>资信证明文件要求</w:t>
      </w:r>
      <w:bookmarkEnd w:id="19"/>
      <w:bookmarkEnd w:id="20"/>
    </w:p>
    <w:p>
      <w:pPr>
        <w:snapToGrid w:val="0"/>
        <w:spacing w:before="50" w:after="50"/>
        <w:rPr>
          <w:rStyle w:val="44"/>
          <w:rFonts w:ascii="宋体" w:hAnsi="宋体"/>
          <w:i/>
          <w:color w:val="auto"/>
          <w:szCs w:val="24"/>
          <w:u w:val="single" w:color="000000"/>
        </w:rPr>
      </w:pPr>
    </w:p>
    <w:p>
      <w:pPr>
        <w:snapToGrid w:val="0"/>
        <w:spacing w:line="500" w:lineRule="exact"/>
        <w:ind w:firstLine="482" w:firstLineChars="200"/>
        <w:rPr>
          <w:rStyle w:val="44"/>
          <w:rFonts w:ascii="宋体" w:hAnsi="宋体"/>
          <w:color w:val="auto"/>
          <w:sz w:val="24"/>
          <w:szCs w:val="20"/>
        </w:rPr>
      </w:pPr>
      <w:r>
        <w:rPr>
          <w:rStyle w:val="44"/>
          <w:rFonts w:hint="eastAsia" w:ascii="宋体" w:hAnsi="宋体"/>
          <w:b/>
          <w:bCs/>
          <w:color w:val="auto"/>
          <w:sz w:val="24"/>
        </w:rPr>
        <w:t>1、实质性资格证明文件目录</w:t>
      </w:r>
    </w:p>
    <w:p>
      <w:pPr>
        <w:snapToGrid w:val="0"/>
        <w:spacing w:line="500" w:lineRule="exact"/>
        <w:ind w:firstLine="480" w:firstLineChars="200"/>
        <w:jc w:val="left"/>
        <w:rPr>
          <w:rStyle w:val="44"/>
          <w:rFonts w:ascii="宋体" w:hAnsi="宋体"/>
          <w:color w:val="auto"/>
          <w:sz w:val="24"/>
          <w:szCs w:val="24"/>
        </w:rPr>
      </w:pPr>
      <w:r>
        <w:rPr>
          <w:rStyle w:val="44"/>
          <w:rFonts w:hint="eastAsia" w:ascii="宋体" w:hAnsi="宋体"/>
          <w:color w:val="auto"/>
          <w:sz w:val="24"/>
          <w:szCs w:val="24"/>
        </w:rPr>
        <w:t>（1）法人或者其他组织的营业执照等证明文件，自然人的身份证明；</w:t>
      </w:r>
      <w:r>
        <w:rPr>
          <w:rStyle w:val="44"/>
          <w:rFonts w:hint="eastAsia" w:ascii="宋体" w:hAnsi="宋体"/>
          <w:color w:val="auto"/>
          <w:sz w:val="24"/>
          <w:szCs w:val="24"/>
        </w:rPr>
        <w:br w:type="textWrapping"/>
      </w:r>
      <w:r>
        <w:rPr>
          <w:rStyle w:val="44"/>
          <w:rFonts w:hint="eastAsia" w:ascii="宋体" w:hAnsi="宋体"/>
          <w:color w:val="auto"/>
          <w:sz w:val="24"/>
          <w:szCs w:val="24"/>
        </w:rPr>
        <w:t>　　（2）上一年度（2022年）的财务报表（成立不满一年不需提供）；</w:t>
      </w:r>
    </w:p>
    <w:p>
      <w:pPr>
        <w:snapToGrid w:val="0"/>
        <w:spacing w:line="500" w:lineRule="exact"/>
        <w:ind w:firstLine="480" w:firstLineChars="200"/>
        <w:jc w:val="left"/>
        <w:rPr>
          <w:rStyle w:val="44"/>
          <w:rFonts w:ascii="宋体" w:hAnsi="宋体"/>
          <w:color w:val="auto"/>
          <w:sz w:val="24"/>
          <w:szCs w:val="24"/>
        </w:rPr>
      </w:pPr>
      <w:r>
        <w:rPr>
          <w:rStyle w:val="44"/>
          <w:rFonts w:hint="eastAsia" w:ascii="宋体" w:hAnsi="宋体"/>
          <w:color w:val="auto"/>
          <w:sz w:val="24"/>
          <w:szCs w:val="24"/>
        </w:rPr>
        <w:t>（3）依法缴纳税收和社会保障资金的相关材料；</w:t>
      </w:r>
    </w:p>
    <w:p>
      <w:pPr>
        <w:snapToGrid w:val="0"/>
        <w:spacing w:line="500" w:lineRule="exact"/>
        <w:ind w:firstLine="480" w:firstLineChars="200"/>
        <w:jc w:val="left"/>
        <w:rPr>
          <w:rStyle w:val="44"/>
          <w:rFonts w:ascii="宋体" w:hAnsi="宋体"/>
          <w:color w:val="auto"/>
          <w:sz w:val="24"/>
          <w:szCs w:val="24"/>
        </w:rPr>
      </w:pPr>
      <w:r>
        <w:rPr>
          <w:rStyle w:val="44"/>
          <w:rFonts w:hint="eastAsia" w:ascii="宋体" w:hAnsi="宋体"/>
          <w:color w:val="auto"/>
          <w:sz w:val="24"/>
          <w:szCs w:val="24"/>
        </w:rPr>
        <w:t>（4）具备履行合同所必需的设备和专业技术能力的书面声明；</w:t>
      </w:r>
      <w:r>
        <w:rPr>
          <w:rStyle w:val="44"/>
          <w:rFonts w:hint="eastAsia" w:ascii="宋体" w:hAnsi="宋体"/>
          <w:color w:val="auto"/>
          <w:sz w:val="24"/>
          <w:szCs w:val="24"/>
        </w:rPr>
        <w:br w:type="textWrapping"/>
      </w:r>
      <w:r>
        <w:rPr>
          <w:rStyle w:val="44"/>
          <w:rFonts w:hint="eastAsia" w:ascii="宋体" w:hAnsi="宋体"/>
          <w:color w:val="auto"/>
          <w:sz w:val="24"/>
          <w:szCs w:val="24"/>
        </w:rPr>
        <w:t>　　（5）参加政府采购活动前3年内在经营活动中没有重大违法记录的书面声明；</w:t>
      </w:r>
    </w:p>
    <w:p>
      <w:pPr>
        <w:snapToGrid w:val="0"/>
        <w:spacing w:line="500" w:lineRule="exact"/>
        <w:ind w:firstLine="480" w:firstLineChars="200"/>
        <w:jc w:val="left"/>
        <w:rPr>
          <w:rStyle w:val="44"/>
          <w:rFonts w:ascii="宋体" w:hAnsi="宋体"/>
          <w:color w:val="auto"/>
          <w:sz w:val="24"/>
          <w:szCs w:val="24"/>
        </w:rPr>
      </w:pPr>
      <w:r>
        <w:rPr>
          <w:rStyle w:val="44"/>
          <w:rFonts w:hint="eastAsia" w:ascii="宋体" w:hAnsi="宋体"/>
          <w:color w:val="auto"/>
          <w:sz w:val="24"/>
          <w:szCs w:val="24"/>
        </w:rPr>
        <w:t>（6）法人授权书</w:t>
      </w:r>
    </w:p>
    <w:p>
      <w:pPr>
        <w:snapToGrid w:val="0"/>
        <w:spacing w:line="500" w:lineRule="exact"/>
        <w:ind w:firstLine="480" w:firstLineChars="200"/>
        <w:jc w:val="left"/>
        <w:rPr>
          <w:rStyle w:val="44"/>
          <w:rFonts w:ascii="宋体" w:hAnsi="宋体"/>
          <w:color w:val="auto"/>
          <w:sz w:val="24"/>
          <w:szCs w:val="24"/>
        </w:rPr>
      </w:pPr>
      <w:r>
        <w:rPr>
          <w:rStyle w:val="44"/>
          <w:rFonts w:hint="eastAsia" w:ascii="宋体" w:hAnsi="宋体"/>
          <w:color w:val="auto"/>
          <w:sz w:val="24"/>
          <w:szCs w:val="24"/>
        </w:rPr>
        <w:t>（7）招标文件中规定要求提供的证明材料和投标人认为需要提供的其他材料</w:t>
      </w:r>
    </w:p>
    <w:p>
      <w:pPr>
        <w:pStyle w:val="36"/>
        <w:spacing w:line="240" w:lineRule="atLeast"/>
        <w:rPr>
          <w:rStyle w:val="44"/>
          <w:rFonts w:ascii="宋体" w:hAnsi="宋体"/>
          <w:b/>
          <w:bCs/>
          <w:color w:val="auto"/>
          <w:sz w:val="24"/>
        </w:rPr>
      </w:pPr>
    </w:p>
    <w:p>
      <w:pPr>
        <w:pStyle w:val="36"/>
        <w:spacing w:line="240" w:lineRule="atLeast"/>
        <w:rPr>
          <w:rStyle w:val="44"/>
          <w:rFonts w:ascii="宋体" w:hAnsi="宋体"/>
          <w:b/>
          <w:bCs/>
          <w:color w:val="auto"/>
          <w:sz w:val="24"/>
        </w:rPr>
      </w:pPr>
    </w:p>
    <w:p>
      <w:pPr>
        <w:pStyle w:val="36"/>
        <w:spacing w:line="240" w:lineRule="atLeast"/>
        <w:rPr>
          <w:rStyle w:val="44"/>
          <w:rFonts w:ascii="宋体" w:hAnsi="宋体"/>
          <w:b/>
          <w:bCs/>
          <w:color w:val="auto"/>
          <w:sz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6"/>
        <w:spacing w:line="240" w:lineRule="atLeast"/>
        <w:rPr>
          <w:rStyle w:val="44"/>
          <w:rFonts w:ascii="宋体" w:hAnsi="宋体"/>
          <w:color w:val="auto"/>
          <w:sz w:val="24"/>
          <w:szCs w:val="24"/>
        </w:rPr>
      </w:pPr>
    </w:p>
    <w:p>
      <w:pPr>
        <w:pStyle w:val="37"/>
        <w:jc w:val="center"/>
        <w:rPr>
          <w:rStyle w:val="44"/>
          <w:rFonts w:ascii="宋体" w:hAnsi="宋体" w:cs="宋体"/>
          <w:b w:val="0"/>
          <w:bCs w:val="0"/>
          <w:color w:val="auto"/>
          <w:sz w:val="28"/>
          <w:szCs w:val="28"/>
        </w:rPr>
      </w:pPr>
      <w:r>
        <w:rPr>
          <w:rStyle w:val="44"/>
          <w:rFonts w:hint="eastAsia" w:ascii="宋体" w:hAnsi="宋体" w:cs="宋体"/>
          <w:color w:val="auto"/>
          <w:sz w:val="28"/>
          <w:szCs w:val="28"/>
        </w:rPr>
        <w:t>具备履行合同所必需的设备和专业技术能力的书面声明</w:t>
      </w:r>
    </w:p>
    <w:p>
      <w:pPr>
        <w:spacing w:line="460" w:lineRule="exact"/>
        <w:ind w:firstLine="492"/>
        <w:rPr>
          <w:rStyle w:val="44"/>
          <w:rFonts w:ascii="宋体" w:hAnsi="宋体"/>
          <w:bCs/>
          <w:color w:val="auto"/>
          <w:sz w:val="28"/>
          <w:szCs w:val="28"/>
        </w:rPr>
      </w:pPr>
      <w:r>
        <w:rPr>
          <w:rStyle w:val="44"/>
          <w:rFonts w:hint="eastAsia" w:ascii="宋体" w:hAnsi="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bCs/>
          <w:color w:val="auto"/>
          <w:sz w:val="28"/>
          <w:szCs w:val="28"/>
        </w:rPr>
      </w:pPr>
      <w:r>
        <w:rPr>
          <w:rStyle w:val="44"/>
          <w:rFonts w:hint="eastAsia" w:ascii="宋体" w:hAnsi="宋体"/>
          <w:bCs/>
          <w:color w:val="auto"/>
          <w:sz w:val="28"/>
          <w:szCs w:val="28"/>
        </w:rPr>
        <w:t>主要设备有：。</w:t>
      </w:r>
    </w:p>
    <w:p>
      <w:pPr>
        <w:spacing w:line="460" w:lineRule="exact"/>
        <w:ind w:firstLine="492"/>
        <w:rPr>
          <w:rStyle w:val="44"/>
          <w:rFonts w:ascii="宋体" w:hAnsi="宋体"/>
          <w:bCs/>
          <w:color w:val="auto"/>
          <w:sz w:val="28"/>
          <w:szCs w:val="28"/>
        </w:rPr>
      </w:pPr>
      <w:r>
        <w:rPr>
          <w:rStyle w:val="44"/>
          <w:rFonts w:hint="eastAsia" w:ascii="宋体" w:hAnsi="宋体"/>
          <w:bCs/>
          <w:color w:val="auto"/>
          <w:sz w:val="28"/>
          <w:szCs w:val="28"/>
        </w:rPr>
        <w:t>主要专业技术能力有：。</w:t>
      </w:r>
    </w:p>
    <w:p>
      <w:pPr>
        <w:spacing w:line="460" w:lineRule="exact"/>
        <w:ind w:firstLine="492"/>
        <w:rPr>
          <w:rStyle w:val="44"/>
          <w:rFonts w:ascii="宋体" w:hAnsi="宋体"/>
          <w:bCs/>
          <w:color w:val="auto"/>
          <w:sz w:val="28"/>
          <w:szCs w:val="28"/>
        </w:rPr>
      </w:pPr>
    </w:p>
    <w:p>
      <w:pPr>
        <w:spacing w:line="460" w:lineRule="exact"/>
        <w:ind w:firstLine="492"/>
        <w:rPr>
          <w:rStyle w:val="44"/>
          <w:rFonts w:ascii="宋体" w:hAnsi="宋体"/>
          <w:bCs/>
          <w:color w:val="auto"/>
          <w:sz w:val="28"/>
          <w:szCs w:val="28"/>
        </w:rPr>
      </w:pPr>
    </w:p>
    <w:p>
      <w:pPr>
        <w:spacing w:line="460" w:lineRule="exact"/>
        <w:ind w:firstLine="492"/>
        <w:rPr>
          <w:rStyle w:val="44"/>
          <w:rFonts w:ascii="宋体" w:hAnsi="宋体"/>
          <w:bCs/>
          <w:color w:val="auto"/>
          <w:sz w:val="28"/>
          <w:szCs w:val="28"/>
        </w:rPr>
      </w:pPr>
    </w:p>
    <w:p>
      <w:pPr>
        <w:spacing w:line="460" w:lineRule="exact"/>
        <w:rPr>
          <w:rStyle w:val="44"/>
          <w:rFonts w:ascii="宋体" w:hAnsi="宋体"/>
          <w:bCs/>
          <w:color w:val="auto"/>
          <w:sz w:val="28"/>
          <w:szCs w:val="28"/>
        </w:rPr>
      </w:pPr>
      <w:r>
        <w:rPr>
          <w:rStyle w:val="44"/>
          <w:rFonts w:hint="eastAsia" w:ascii="宋体" w:hAnsi="宋体"/>
          <w:bCs/>
          <w:color w:val="auto"/>
          <w:sz w:val="28"/>
          <w:szCs w:val="28"/>
        </w:rPr>
        <w:t>供应商名称（公章）：</w:t>
      </w:r>
    </w:p>
    <w:p>
      <w:pPr>
        <w:spacing w:line="460" w:lineRule="exact"/>
        <w:rPr>
          <w:rStyle w:val="44"/>
          <w:rFonts w:ascii="宋体" w:hAnsi="宋体"/>
          <w:bCs/>
          <w:color w:val="auto"/>
          <w:sz w:val="28"/>
          <w:szCs w:val="28"/>
        </w:rPr>
      </w:pPr>
    </w:p>
    <w:p>
      <w:pPr>
        <w:spacing w:line="460" w:lineRule="exact"/>
        <w:jc w:val="right"/>
        <w:rPr>
          <w:rStyle w:val="44"/>
          <w:rFonts w:ascii="宋体" w:hAnsi="宋体"/>
          <w:bCs/>
          <w:color w:val="auto"/>
          <w:sz w:val="28"/>
          <w:szCs w:val="28"/>
        </w:rPr>
      </w:pPr>
      <w:r>
        <w:rPr>
          <w:rStyle w:val="44"/>
          <w:rFonts w:hint="eastAsia" w:ascii="宋体" w:hAnsi="宋体"/>
          <w:bCs/>
          <w:color w:val="auto"/>
          <w:sz w:val="28"/>
          <w:szCs w:val="28"/>
        </w:rPr>
        <w:t>日期：</w:t>
      </w:r>
      <w:r>
        <w:rPr>
          <w:rStyle w:val="44"/>
          <w:rFonts w:hint="eastAsia" w:ascii="宋体" w:hAnsi="宋体"/>
          <w:bCs/>
          <w:color w:val="auto"/>
          <w:sz w:val="28"/>
          <w:szCs w:val="28"/>
          <w:u w:val="single"/>
        </w:rPr>
        <w:t xml:space="preserve"> </w:t>
      </w:r>
      <w:r>
        <w:rPr>
          <w:rStyle w:val="44"/>
          <w:rFonts w:ascii="宋体" w:hAnsi="宋体"/>
          <w:bCs/>
          <w:color w:val="auto"/>
          <w:sz w:val="28"/>
          <w:szCs w:val="28"/>
          <w:u w:val="single"/>
        </w:rPr>
        <w:t xml:space="preserve">     </w:t>
      </w:r>
      <w:r>
        <w:rPr>
          <w:rStyle w:val="44"/>
          <w:rFonts w:hint="eastAsia" w:ascii="宋体" w:hAnsi="宋体"/>
          <w:bCs/>
          <w:color w:val="auto"/>
          <w:sz w:val="28"/>
          <w:szCs w:val="28"/>
          <w:u w:val="single" w:color="000000"/>
        </w:rPr>
        <w:t xml:space="preserve">年 </w:t>
      </w:r>
      <w:r>
        <w:rPr>
          <w:rStyle w:val="44"/>
          <w:rFonts w:ascii="宋体" w:hAnsi="宋体"/>
          <w:bCs/>
          <w:color w:val="auto"/>
          <w:sz w:val="28"/>
          <w:szCs w:val="28"/>
          <w:u w:val="single" w:color="000000"/>
        </w:rPr>
        <w:t xml:space="preserve">  </w:t>
      </w:r>
      <w:r>
        <w:rPr>
          <w:rStyle w:val="44"/>
          <w:rFonts w:hint="eastAsia" w:ascii="宋体" w:hAnsi="宋体"/>
          <w:bCs/>
          <w:color w:val="auto"/>
          <w:sz w:val="28"/>
          <w:szCs w:val="28"/>
          <w:u w:val="single" w:color="000000"/>
        </w:rPr>
        <w:t xml:space="preserve">月 </w:t>
      </w:r>
      <w:r>
        <w:rPr>
          <w:rStyle w:val="44"/>
          <w:rFonts w:ascii="宋体" w:hAnsi="宋体"/>
          <w:bCs/>
          <w:color w:val="auto"/>
          <w:sz w:val="28"/>
          <w:szCs w:val="28"/>
          <w:u w:val="single" w:color="000000"/>
        </w:rPr>
        <w:t xml:space="preserve">  </w:t>
      </w:r>
      <w:r>
        <w:rPr>
          <w:rStyle w:val="44"/>
          <w:rFonts w:hint="eastAsia" w:ascii="宋体" w:hAnsi="宋体"/>
          <w:bCs/>
          <w:color w:val="auto"/>
          <w:sz w:val="28"/>
          <w:szCs w:val="28"/>
          <w:u w:val="single" w:color="000000"/>
        </w:rPr>
        <w:t>日</w:t>
      </w:r>
    </w:p>
    <w:p>
      <w:pPr>
        <w:pStyle w:val="37"/>
        <w:jc w:val="center"/>
        <w:rPr>
          <w:rStyle w:val="44"/>
          <w:rFonts w:ascii="宋体" w:hAnsi="宋体" w:cs="宋体"/>
          <w:color w:val="auto"/>
          <w:sz w:val="28"/>
          <w:szCs w:val="28"/>
        </w:rPr>
      </w:pPr>
      <w:r>
        <w:rPr>
          <w:rStyle w:val="44"/>
          <w:rFonts w:hint="eastAsia" w:ascii="宋体" w:hAnsi="宋体" w:cs="宋体"/>
          <w:color w:val="auto"/>
          <w:sz w:val="28"/>
          <w:szCs w:val="28"/>
        </w:rPr>
        <w:br w:type="page"/>
      </w:r>
      <w:r>
        <w:rPr>
          <w:rStyle w:val="44"/>
          <w:rFonts w:hint="eastAsia" w:ascii="宋体" w:hAnsi="宋体" w:cs="宋体"/>
          <w:color w:val="auto"/>
          <w:sz w:val="28"/>
          <w:szCs w:val="28"/>
        </w:rPr>
        <w:t>参加政府采购活动前 3 年内在经营活动中没有重大违法记录的书面声明</w:t>
      </w:r>
    </w:p>
    <w:p>
      <w:pPr>
        <w:spacing w:line="460" w:lineRule="exact"/>
        <w:rPr>
          <w:rStyle w:val="44"/>
          <w:rFonts w:ascii="宋体" w:hAnsi="宋体"/>
          <w:b/>
          <w:bCs/>
          <w:color w:val="auto"/>
          <w:sz w:val="28"/>
          <w:szCs w:val="28"/>
        </w:rPr>
      </w:pPr>
    </w:p>
    <w:p>
      <w:pPr>
        <w:jc w:val="center"/>
        <w:rPr>
          <w:rStyle w:val="44"/>
          <w:rFonts w:ascii="宋体" w:hAnsi="宋体"/>
          <w:b/>
          <w:bCs/>
          <w:color w:val="auto"/>
          <w:sz w:val="44"/>
          <w:szCs w:val="44"/>
        </w:rPr>
      </w:pPr>
      <w:r>
        <w:rPr>
          <w:rStyle w:val="44"/>
          <w:rFonts w:hint="eastAsia" w:ascii="宋体" w:hAnsi="宋体"/>
          <w:b/>
          <w:bCs/>
          <w:color w:val="auto"/>
          <w:sz w:val="44"/>
          <w:szCs w:val="44"/>
        </w:rPr>
        <w:t>声明</w:t>
      </w:r>
    </w:p>
    <w:p>
      <w:pPr>
        <w:spacing w:line="460" w:lineRule="exact"/>
        <w:rPr>
          <w:rStyle w:val="44"/>
          <w:rFonts w:ascii="宋体" w:hAnsi="宋体"/>
          <w:bCs/>
          <w:color w:val="auto"/>
          <w:sz w:val="28"/>
          <w:szCs w:val="28"/>
        </w:rPr>
      </w:pPr>
      <w:r>
        <w:rPr>
          <w:rStyle w:val="44"/>
          <w:rFonts w:hint="eastAsia" w:ascii="宋体" w:hAnsi="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4"/>
          <w:rFonts w:ascii="宋体" w:hAnsi="宋体"/>
          <w:bCs/>
          <w:color w:val="auto"/>
          <w:sz w:val="28"/>
          <w:szCs w:val="28"/>
        </w:rPr>
      </w:pPr>
    </w:p>
    <w:p>
      <w:pPr>
        <w:spacing w:line="460" w:lineRule="exact"/>
        <w:ind w:firstLine="3640" w:firstLineChars="1300"/>
        <w:rPr>
          <w:rStyle w:val="44"/>
          <w:rFonts w:ascii="宋体" w:hAnsi="宋体"/>
          <w:bCs/>
          <w:color w:val="auto"/>
          <w:sz w:val="28"/>
          <w:szCs w:val="28"/>
        </w:rPr>
      </w:pPr>
      <w:r>
        <w:rPr>
          <w:rStyle w:val="44"/>
          <w:rFonts w:hint="eastAsia" w:ascii="宋体" w:hAnsi="宋体"/>
          <w:bCs/>
          <w:color w:val="auto"/>
          <w:sz w:val="28"/>
          <w:szCs w:val="28"/>
        </w:rPr>
        <w:t>供应商名称（公章）：</w:t>
      </w:r>
    </w:p>
    <w:p>
      <w:pPr>
        <w:spacing w:line="460" w:lineRule="exact"/>
        <w:ind w:firstLine="3640" w:firstLineChars="1300"/>
        <w:rPr>
          <w:rStyle w:val="44"/>
          <w:rFonts w:ascii="宋体" w:hAnsi="宋体"/>
          <w:bCs/>
          <w:color w:val="auto"/>
          <w:sz w:val="28"/>
          <w:szCs w:val="28"/>
        </w:rPr>
      </w:pPr>
      <w:r>
        <w:rPr>
          <w:rStyle w:val="44"/>
          <w:rFonts w:hint="eastAsia" w:ascii="宋体" w:hAnsi="宋体"/>
          <w:bCs/>
          <w:color w:val="auto"/>
          <w:sz w:val="28"/>
          <w:szCs w:val="28"/>
        </w:rPr>
        <w:t>授权代表签字：</w:t>
      </w:r>
      <w:r>
        <w:rPr>
          <w:rStyle w:val="44"/>
          <w:rFonts w:hint="eastAsia" w:ascii="宋体" w:hAnsi="宋体"/>
          <w:bCs/>
          <w:color w:val="auto"/>
          <w:sz w:val="28"/>
          <w:szCs w:val="28"/>
          <w:u w:val="single" w:color="000000"/>
        </w:rPr>
        <w:t>____________________</w:t>
      </w:r>
    </w:p>
    <w:p>
      <w:pPr>
        <w:spacing w:line="460" w:lineRule="exact"/>
        <w:jc w:val="right"/>
        <w:rPr>
          <w:rStyle w:val="44"/>
          <w:rFonts w:ascii="宋体" w:hAnsi="宋体"/>
          <w:bCs/>
          <w:color w:val="auto"/>
          <w:sz w:val="28"/>
          <w:szCs w:val="28"/>
        </w:rPr>
      </w:pPr>
      <w:r>
        <w:rPr>
          <w:rStyle w:val="44"/>
          <w:rFonts w:hint="eastAsia" w:ascii="宋体" w:hAnsi="宋体"/>
          <w:bCs/>
          <w:color w:val="auto"/>
          <w:sz w:val="28"/>
          <w:szCs w:val="28"/>
        </w:rPr>
        <w:t>日期：</w:t>
      </w:r>
      <w:r>
        <w:rPr>
          <w:rStyle w:val="44"/>
          <w:rFonts w:hint="eastAsia" w:ascii="宋体" w:hAnsi="宋体"/>
          <w:bCs/>
          <w:color w:val="auto"/>
          <w:sz w:val="28"/>
          <w:szCs w:val="28"/>
          <w:u w:val="single" w:color="000000"/>
        </w:rPr>
        <w:t xml:space="preserve">______年 </w:t>
      </w:r>
      <w:r>
        <w:rPr>
          <w:rStyle w:val="44"/>
          <w:rFonts w:ascii="宋体" w:hAnsi="宋体"/>
          <w:bCs/>
          <w:color w:val="auto"/>
          <w:sz w:val="28"/>
          <w:szCs w:val="28"/>
          <w:u w:val="single" w:color="000000"/>
        </w:rPr>
        <w:t xml:space="preserve">  </w:t>
      </w:r>
      <w:r>
        <w:rPr>
          <w:rStyle w:val="44"/>
          <w:rFonts w:hint="eastAsia" w:ascii="宋体" w:hAnsi="宋体"/>
          <w:bCs/>
          <w:color w:val="auto"/>
          <w:sz w:val="28"/>
          <w:szCs w:val="28"/>
          <w:u w:val="single" w:color="000000"/>
        </w:rPr>
        <w:t xml:space="preserve">月 </w:t>
      </w:r>
      <w:r>
        <w:rPr>
          <w:rStyle w:val="44"/>
          <w:rFonts w:ascii="宋体" w:hAnsi="宋体"/>
          <w:bCs/>
          <w:color w:val="auto"/>
          <w:sz w:val="28"/>
          <w:szCs w:val="28"/>
          <w:u w:val="single" w:color="000000"/>
        </w:rPr>
        <w:t xml:space="preserve">   </w:t>
      </w:r>
      <w:r>
        <w:rPr>
          <w:rStyle w:val="44"/>
          <w:rFonts w:hint="eastAsia" w:ascii="宋体" w:hAnsi="宋体"/>
          <w:bCs/>
          <w:color w:val="auto"/>
          <w:sz w:val="28"/>
          <w:szCs w:val="28"/>
          <w:u w:val="single" w:color="000000"/>
        </w:rPr>
        <w:t>日</w:t>
      </w: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8"/>
          <w:szCs w:val="28"/>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pStyle w:val="6"/>
        <w:rPr>
          <w:color w:val="auto"/>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pStyle w:val="24"/>
        <w:rPr>
          <w:color w:val="auto"/>
        </w:rPr>
      </w:pPr>
    </w:p>
    <w:p>
      <w:pPr>
        <w:spacing w:line="460" w:lineRule="exact"/>
        <w:rPr>
          <w:rStyle w:val="44"/>
          <w:rFonts w:ascii="宋体" w:hAnsi="宋体"/>
          <w:bCs/>
          <w:color w:val="auto"/>
          <w:sz w:val="24"/>
        </w:rPr>
      </w:pPr>
    </w:p>
    <w:p>
      <w:pPr>
        <w:spacing w:line="460" w:lineRule="exact"/>
        <w:rPr>
          <w:rStyle w:val="44"/>
          <w:rFonts w:ascii="宋体" w:hAnsi="宋体"/>
          <w:bCs/>
          <w:color w:val="auto"/>
          <w:sz w:val="24"/>
        </w:rPr>
      </w:pPr>
    </w:p>
    <w:p>
      <w:pPr>
        <w:pStyle w:val="5"/>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23"/>
        <w:ind w:firstLine="280"/>
        <w:rPr>
          <w:rFonts w:ascii="宋体" w:hAnsi="宋体"/>
          <w:color w:val="auto"/>
          <w:sz w:val="28"/>
          <w:szCs w:val="22"/>
        </w:rPr>
      </w:pPr>
    </w:p>
    <w:p>
      <w:pPr>
        <w:snapToGrid w:val="0"/>
        <w:spacing w:line="480" w:lineRule="exact"/>
        <w:ind w:firstLine="560" w:firstLineChars="200"/>
        <w:jc w:val="left"/>
        <w:rPr>
          <w:rStyle w:val="44"/>
          <w:rFonts w:ascii="宋体" w:hAnsi="宋体"/>
          <w:color w:val="auto"/>
          <w:sz w:val="28"/>
          <w:szCs w:val="28"/>
        </w:rPr>
      </w:pPr>
      <w:r>
        <w:rPr>
          <w:rFonts w:hint="eastAsia" w:ascii="宋体" w:hAnsi="宋体"/>
          <w:color w:val="auto"/>
          <w:sz w:val="28"/>
          <w:szCs w:val="22"/>
        </w:rPr>
        <w:t>日期：年月日</w:t>
      </w:r>
    </w:p>
    <w:p>
      <w:pPr>
        <w:pStyle w:val="37"/>
        <w:jc w:val="center"/>
        <w:rPr>
          <w:rStyle w:val="44"/>
          <w:rFonts w:ascii="宋体" w:hAnsi="宋体" w:cs="宋体"/>
          <w:color w:val="auto"/>
          <w:sz w:val="28"/>
          <w:szCs w:val="28"/>
        </w:rPr>
      </w:pPr>
      <w:r>
        <w:rPr>
          <w:rStyle w:val="44"/>
          <w:rFonts w:hint="eastAsia" w:ascii="宋体" w:hAnsi="宋体" w:cs="宋体"/>
          <w:color w:val="auto"/>
          <w:sz w:val="28"/>
          <w:szCs w:val="28"/>
        </w:rPr>
        <w:t>法人授权书</w:t>
      </w:r>
    </w:p>
    <w:p>
      <w:pPr>
        <w:pStyle w:val="115"/>
        <w:ind w:firstLine="560"/>
        <w:rPr>
          <w:rStyle w:val="44"/>
          <w:rFonts w:ascii="宋体" w:hAnsi="宋体"/>
          <w:color w:val="auto"/>
          <w:szCs w:val="28"/>
        </w:rPr>
      </w:pPr>
      <w:r>
        <w:rPr>
          <w:rStyle w:val="44"/>
          <w:rFonts w:hint="eastAsia" w:ascii="宋体" w:hAnsi="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5"/>
        <w:ind w:firstLine="560"/>
        <w:rPr>
          <w:rStyle w:val="44"/>
          <w:rFonts w:ascii="宋体" w:hAnsi="宋体"/>
          <w:color w:val="auto"/>
          <w:szCs w:val="28"/>
        </w:rPr>
      </w:pPr>
      <w:r>
        <w:rPr>
          <w:rStyle w:val="44"/>
          <w:rFonts w:hint="eastAsia" w:ascii="宋体" w:hAnsi="宋体"/>
          <w:color w:val="auto"/>
          <w:szCs w:val="28"/>
        </w:rPr>
        <w:t>本授权书于______年____月____日起生效，特此声明。</w:t>
      </w:r>
    </w:p>
    <w:p>
      <w:pPr>
        <w:pStyle w:val="115"/>
        <w:ind w:firstLineChars="0"/>
        <w:rPr>
          <w:rStyle w:val="44"/>
          <w:rFonts w:ascii="宋体" w:hAnsi="宋体"/>
          <w:color w:val="auto"/>
          <w:szCs w:val="28"/>
        </w:rPr>
      </w:pPr>
      <w:r>
        <w:rPr>
          <w:rStyle w:val="44"/>
          <w:rFonts w:hint="eastAsia" w:ascii="宋体" w:hAnsi="宋体"/>
          <w:color w:val="auto"/>
          <w:szCs w:val="28"/>
        </w:rPr>
        <w:t>代理人（被授权人）：_______________________</w:t>
      </w:r>
    </w:p>
    <w:p>
      <w:pPr>
        <w:pStyle w:val="115"/>
        <w:ind w:firstLineChars="0"/>
        <w:rPr>
          <w:rStyle w:val="44"/>
          <w:rFonts w:ascii="宋体" w:hAnsi="宋体"/>
          <w:color w:val="auto"/>
          <w:szCs w:val="28"/>
        </w:rPr>
      </w:pPr>
    </w:p>
    <w:p>
      <w:pPr>
        <w:pStyle w:val="115"/>
        <w:ind w:firstLineChars="0"/>
        <w:rPr>
          <w:rStyle w:val="44"/>
          <w:rFonts w:ascii="宋体" w:hAnsi="宋体"/>
          <w:color w:val="auto"/>
          <w:szCs w:val="28"/>
        </w:rPr>
      </w:pPr>
      <w:r>
        <w:rPr>
          <w:rStyle w:val="44"/>
          <w:rFonts w:hint="eastAsia" w:ascii="宋体" w:hAnsi="宋体"/>
          <w:color w:val="auto"/>
          <w:szCs w:val="28"/>
        </w:rPr>
        <w:t>单位名称：_____________________________________</w:t>
      </w:r>
    </w:p>
    <w:p>
      <w:pPr>
        <w:pStyle w:val="115"/>
        <w:ind w:firstLine="560"/>
        <w:rPr>
          <w:rStyle w:val="44"/>
          <w:rFonts w:ascii="宋体" w:hAnsi="宋体"/>
          <w:color w:val="auto"/>
          <w:szCs w:val="28"/>
        </w:rPr>
      </w:pPr>
    </w:p>
    <w:p>
      <w:pPr>
        <w:pStyle w:val="115"/>
        <w:ind w:firstLineChars="0"/>
        <w:rPr>
          <w:rStyle w:val="44"/>
          <w:rFonts w:ascii="宋体" w:hAnsi="宋体"/>
          <w:color w:val="auto"/>
          <w:szCs w:val="28"/>
        </w:rPr>
      </w:pPr>
      <w:r>
        <w:rPr>
          <w:rStyle w:val="44"/>
          <w:rFonts w:hint="eastAsia" w:ascii="宋体" w:hAnsi="宋体"/>
          <w:color w:val="auto"/>
          <w:szCs w:val="28"/>
        </w:rPr>
        <w:t>授权单位盖章：_________________________________</w:t>
      </w:r>
    </w:p>
    <w:p>
      <w:pPr>
        <w:pStyle w:val="115"/>
        <w:ind w:firstLine="560"/>
        <w:rPr>
          <w:rStyle w:val="44"/>
          <w:rFonts w:ascii="宋体" w:hAnsi="宋体"/>
          <w:color w:val="auto"/>
          <w:szCs w:val="28"/>
        </w:rPr>
      </w:pPr>
      <w:r>
        <w:rPr>
          <w:rStyle w:val="44"/>
          <w:rFonts w:hint="eastAsia" w:ascii="宋体" w:hAnsi="宋体"/>
          <w:color w:val="auto"/>
          <w:szCs w:val="28"/>
        </w:rPr>
        <w:t>单位名称：_____________________________________</w:t>
      </w:r>
    </w:p>
    <w:p>
      <w:pPr>
        <w:pStyle w:val="115"/>
        <w:ind w:firstLine="560"/>
        <w:rPr>
          <w:rStyle w:val="44"/>
          <w:rFonts w:ascii="宋体" w:hAnsi="宋体"/>
          <w:color w:val="auto"/>
          <w:szCs w:val="28"/>
          <w:u w:val="single" w:color="000000"/>
        </w:rPr>
      </w:pPr>
      <w:r>
        <w:rPr>
          <w:rStyle w:val="44"/>
          <w:rFonts w:hint="eastAsia" w:ascii="宋体" w:hAnsi="宋体"/>
          <w:color w:val="auto"/>
          <w:szCs w:val="28"/>
        </w:rPr>
        <w:t>地址：_____________________________________</w:t>
      </w:r>
    </w:p>
    <w:p>
      <w:pPr>
        <w:pStyle w:val="115"/>
        <w:ind w:firstLine="560"/>
        <w:rPr>
          <w:rStyle w:val="44"/>
          <w:rFonts w:ascii="宋体" w:hAnsi="宋体"/>
          <w:color w:val="auto"/>
          <w:szCs w:val="28"/>
        </w:rPr>
      </w:pPr>
      <w:r>
        <w:rPr>
          <w:rStyle w:val="44"/>
          <w:rFonts w:hint="eastAsia" w:ascii="宋体" w:hAnsi="宋体"/>
          <w:color w:val="auto"/>
          <w:szCs w:val="28"/>
        </w:rPr>
        <w:t xml:space="preserve">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4"/>
          <w:rFonts w:ascii="宋体" w:hAnsi="宋体"/>
          <w:color w:val="auto"/>
          <w:sz w:val="32"/>
          <w:szCs w:val="32"/>
        </w:rPr>
      </w:pPr>
    </w:p>
    <w:p>
      <w:pPr>
        <w:snapToGrid w:val="0"/>
        <w:spacing w:before="50" w:after="50"/>
        <w:jc w:val="center"/>
        <w:rPr>
          <w:rStyle w:val="44"/>
          <w:rFonts w:ascii="宋体" w:hAnsi="宋体"/>
          <w:color w:val="auto"/>
          <w:sz w:val="32"/>
          <w:szCs w:val="32"/>
        </w:rPr>
      </w:pPr>
    </w:p>
    <w:p>
      <w:pPr>
        <w:pStyle w:val="6"/>
        <w:rPr>
          <w:color w:val="auto"/>
        </w:rPr>
      </w:pPr>
    </w:p>
    <w:p>
      <w:pPr>
        <w:snapToGrid w:val="0"/>
        <w:spacing w:before="50" w:after="50"/>
        <w:jc w:val="center"/>
        <w:outlineLvl w:val="0"/>
        <w:rPr>
          <w:rStyle w:val="44"/>
          <w:rFonts w:ascii="宋体" w:hAnsi="宋体"/>
          <w:color w:val="auto"/>
          <w:sz w:val="32"/>
          <w:szCs w:val="32"/>
        </w:rPr>
      </w:pPr>
      <w:bookmarkStart w:id="21" w:name="_Toc24970"/>
      <w:bookmarkStart w:id="22" w:name="_Toc1698"/>
      <w:r>
        <w:rPr>
          <w:rStyle w:val="44"/>
          <w:rFonts w:hint="eastAsia" w:ascii="宋体" w:hAnsi="宋体"/>
          <w:color w:val="auto"/>
          <w:sz w:val="32"/>
          <w:szCs w:val="32"/>
        </w:rPr>
        <w:t>二、资格性审查响应对照表（格式）</w:t>
      </w:r>
      <w:bookmarkEnd w:id="21"/>
      <w:bookmarkEnd w:id="22"/>
    </w:p>
    <w:p>
      <w:pPr>
        <w:ind w:firstLine="309"/>
        <w:rPr>
          <w:rStyle w:val="44"/>
          <w:rFonts w:ascii="宋体" w:hAnsi="宋体"/>
          <w:color w:val="auto"/>
          <w:sz w:val="24"/>
          <w:szCs w:val="24"/>
        </w:rPr>
      </w:pPr>
      <w:r>
        <w:rPr>
          <w:rStyle w:val="44"/>
          <w:rFonts w:hint="eastAsia" w:ascii="宋体" w:hAnsi="宋体"/>
          <w:color w:val="auto"/>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是否响应</w:t>
            </w:r>
          </w:p>
          <w:p>
            <w:pPr>
              <w:snapToGrid w:val="0"/>
              <w:spacing w:line="240" w:lineRule="atLeast"/>
              <w:jc w:val="center"/>
              <w:rPr>
                <w:rStyle w:val="44"/>
                <w:rFonts w:ascii="宋体" w:hAnsi="宋体"/>
                <w:b/>
                <w:color w:val="auto"/>
              </w:rPr>
            </w:pPr>
            <w:r>
              <w:rPr>
                <w:rStyle w:val="44"/>
                <w:rFonts w:hint="eastAsia" w:ascii="宋体" w:hAnsi="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投标文件中的</w:t>
            </w:r>
          </w:p>
          <w:p>
            <w:pPr>
              <w:snapToGrid w:val="0"/>
              <w:spacing w:line="240" w:lineRule="atLeast"/>
              <w:jc w:val="center"/>
              <w:rPr>
                <w:rStyle w:val="44"/>
                <w:rFonts w:ascii="宋体" w:hAnsi="宋体"/>
                <w:b/>
                <w:color w:val="auto"/>
              </w:rPr>
            </w:pPr>
            <w:r>
              <w:rPr>
                <w:rStyle w:val="44"/>
                <w:rFonts w:hint="eastAsia" w:ascii="宋体" w:hAnsi="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r>
              <w:rPr>
                <w:rStyle w:val="44"/>
                <w:rFonts w:hint="eastAsia" w:ascii="宋体" w:hAnsi="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bl>
    <w:p>
      <w:pPr>
        <w:spacing w:line="440" w:lineRule="exact"/>
        <w:ind w:firstLine="480" w:firstLineChars="200"/>
        <w:rPr>
          <w:rStyle w:val="44"/>
          <w:rFonts w:ascii="宋体" w:hAnsi="宋体"/>
          <w:color w:val="auto"/>
          <w:sz w:val="24"/>
        </w:rPr>
      </w:pPr>
    </w:p>
    <w:p>
      <w:pPr>
        <w:snapToGrid w:val="0"/>
        <w:spacing w:before="50" w:after="50"/>
        <w:rPr>
          <w:rStyle w:val="44"/>
          <w:rFonts w:ascii="宋体" w:hAnsi="宋体"/>
          <w:color w:val="auto"/>
          <w:sz w:val="44"/>
        </w:rPr>
      </w:pPr>
    </w:p>
    <w:p>
      <w:pPr>
        <w:snapToGrid w:val="0"/>
        <w:spacing w:before="50" w:after="50"/>
        <w:rPr>
          <w:rStyle w:val="44"/>
          <w:rFonts w:ascii="宋体" w:hAnsi="宋体"/>
          <w:color w:val="auto"/>
          <w:sz w:val="44"/>
        </w:rPr>
      </w:pPr>
    </w:p>
    <w:p>
      <w:pPr>
        <w:snapToGrid w:val="0"/>
        <w:spacing w:before="50" w:after="50"/>
        <w:rPr>
          <w:rStyle w:val="44"/>
          <w:rFonts w:ascii="宋体" w:hAnsi="宋体"/>
          <w:color w:val="auto"/>
          <w:sz w:val="44"/>
        </w:rPr>
      </w:pPr>
    </w:p>
    <w:p>
      <w:pPr>
        <w:snapToGrid w:val="0"/>
        <w:spacing w:before="50" w:after="50"/>
        <w:jc w:val="center"/>
        <w:rPr>
          <w:rStyle w:val="44"/>
          <w:rFonts w:ascii="宋体" w:hAnsi="宋体"/>
          <w:color w:val="auto"/>
          <w:sz w:val="32"/>
          <w:szCs w:val="32"/>
        </w:rPr>
      </w:pPr>
    </w:p>
    <w:p>
      <w:pPr>
        <w:snapToGrid w:val="0"/>
        <w:spacing w:before="50" w:after="50"/>
        <w:jc w:val="center"/>
        <w:outlineLvl w:val="0"/>
        <w:rPr>
          <w:rStyle w:val="44"/>
          <w:rFonts w:ascii="宋体" w:hAnsi="宋体"/>
          <w:color w:val="auto"/>
          <w:sz w:val="32"/>
          <w:szCs w:val="32"/>
        </w:rPr>
      </w:pPr>
      <w:bookmarkStart w:id="23" w:name="_Toc12095"/>
      <w:bookmarkStart w:id="24" w:name="_Toc7652"/>
      <w:r>
        <w:rPr>
          <w:rStyle w:val="44"/>
          <w:rFonts w:hint="eastAsia" w:ascii="宋体" w:hAnsi="宋体"/>
          <w:color w:val="auto"/>
          <w:sz w:val="32"/>
          <w:szCs w:val="32"/>
        </w:rPr>
        <w:t>三、符合性检查响应对照表（格式）</w:t>
      </w:r>
      <w:bookmarkEnd w:id="23"/>
      <w:bookmarkEnd w:id="24"/>
    </w:p>
    <w:p>
      <w:pPr>
        <w:ind w:firstLine="309"/>
        <w:rPr>
          <w:rStyle w:val="44"/>
          <w:rFonts w:ascii="宋体" w:hAnsi="宋体"/>
          <w:color w:val="auto"/>
          <w:sz w:val="24"/>
          <w:szCs w:val="24"/>
        </w:rPr>
      </w:pPr>
      <w:r>
        <w:rPr>
          <w:rStyle w:val="44"/>
          <w:rFonts w:hint="eastAsia" w:ascii="宋体" w:hAnsi="宋体"/>
          <w:color w:val="auto"/>
          <w:sz w:val="24"/>
          <w:szCs w:val="24"/>
        </w:rPr>
        <w:t>投标人全称（加盖公章）：</w:t>
      </w:r>
    </w:p>
    <w:tbl>
      <w:tblPr>
        <w:tblStyle w:val="25"/>
        <w:tblW w:w="85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4882"/>
        <w:gridCol w:w="150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序号</w:t>
            </w:r>
          </w:p>
        </w:tc>
        <w:tc>
          <w:tcPr>
            <w:tcW w:w="488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符合性检查响应内容</w:t>
            </w:r>
          </w:p>
        </w:tc>
        <w:tc>
          <w:tcPr>
            <w:tcW w:w="150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是否响应</w:t>
            </w:r>
          </w:p>
          <w:p>
            <w:pPr>
              <w:snapToGrid w:val="0"/>
              <w:spacing w:line="240" w:lineRule="atLeast"/>
              <w:jc w:val="center"/>
              <w:rPr>
                <w:rStyle w:val="44"/>
                <w:rFonts w:ascii="宋体" w:hAnsi="宋体"/>
                <w:b/>
                <w:color w:val="auto"/>
              </w:rPr>
            </w:pPr>
            <w:r>
              <w:rPr>
                <w:rStyle w:val="44"/>
                <w:rFonts w:hint="eastAsia" w:ascii="宋体" w:hAnsi="宋体"/>
                <w:b/>
                <w:color w:val="auto"/>
              </w:rPr>
              <w:t>（填是或者否）</w:t>
            </w:r>
          </w:p>
        </w:tc>
        <w:tc>
          <w:tcPr>
            <w:tcW w:w="15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auto"/>
              </w:rPr>
            </w:pPr>
            <w:r>
              <w:rPr>
                <w:rStyle w:val="44"/>
                <w:rFonts w:hint="eastAsia" w:ascii="宋体" w:hAnsi="宋体"/>
                <w:b/>
                <w:color w:val="auto"/>
              </w:rPr>
              <w:t>投标文件中的</w:t>
            </w:r>
          </w:p>
          <w:p>
            <w:pPr>
              <w:snapToGrid w:val="0"/>
              <w:spacing w:line="240" w:lineRule="atLeast"/>
              <w:jc w:val="center"/>
              <w:rPr>
                <w:rStyle w:val="44"/>
                <w:rFonts w:ascii="宋体" w:hAnsi="宋体"/>
                <w:b/>
                <w:color w:val="auto"/>
              </w:rPr>
            </w:pPr>
            <w:r>
              <w:rPr>
                <w:rStyle w:val="44"/>
                <w:rFonts w:hint="eastAsia" w:ascii="宋体" w:hAnsi="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r>
              <w:rPr>
                <w:rStyle w:val="44"/>
                <w:rFonts w:hint="eastAsia" w:ascii="宋体" w:hAnsi="宋体"/>
                <w:b/>
                <w:color w:val="auto"/>
              </w:rPr>
              <w:t>1</w:t>
            </w:r>
          </w:p>
        </w:tc>
        <w:tc>
          <w:tcPr>
            <w:tcW w:w="48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2</w:t>
            </w:r>
          </w:p>
        </w:tc>
        <w:tc>
          <w:tcPr>
            <w:tcW w:w="48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3</w:t>
            </w:r>
          </w:p>
        </w:tc>
        <w:tc>
          <w:tcPr>
            <w:tcW w:w="48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4</w:t>
            </w:r>
          </w:p>
        </w:tc>
        <w:tc>
          <w:tcPr>
            <w:tcW w:w="48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5</w:t>
            </w:r>
          </w:p>
        </w:tc>
        <w:tc>
          <w:tcPr>
            <w:tcW w:w="4882"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6</w:t>
            </w:r>
          </w:p>
        </w:tc>
        <w:tc>
          <w:tcPr>
            <w:tcW w:w="4882"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exact"/>
        </w:trPr>
        <w:tc>
          <w:tcPr>
            <w:tcW w:w="578"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r>
              <w:rPr>
                <w:rStyle w:val="44"/>
                <w:rFonts w:hint="eastAsia" w:ascii="宋体" w:hAnsi="宋体"/>
                <w:color w:val="auto"/>
              </w:rPr>
              <w:t>7</w:t>
            </w:r>
          </w:p>
        </w:tc>
        <w:tc>
          <w:tcPr>
            <w:tcW w:w="4882"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auto"/>
                <w:sz w:val="24"/>
                <w:szCs w:val="24"/>
              </w:rPr>
            </w:pPr>
            <w:r>
              <w:rPr>
                <w:rStyle w:val="44"/>
                <w:rFonts w:hint="eastAsia" w:ascii="宋体" w:hAnsi="宋体"/>
                <w:iCs/>
                <w:color w:val="auto"/>
                <w:sz w:val="24"/>
                <w:szCs w:val="24"/>
              </w:rPr>
              <w:t>招标文件中的其他实质性要求</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c>
          <w:tcPr>
            <w:tcW w:w="1599"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auto"/>
              </w:rPr>
            </w:pPr>
          </w:p>
        </w:tc>
      </w:tr>
    </w:tbl>
    <w:p>
      <w:pPr>
        <w:snapToGrid w:val="0"/>
        <w:spacing w:before="50" w:after="50"/>
        <w:rPr>
          <w:rStyle w:val="44"/>
          <w:rFonts w:ascii="宋体" w:hAnsi="宋体"/>
          <w:color w:val="auto"/>
          <w:sz w:val="44"/>
        </w:rPr>
      </w:pPr>
    </w:p>
    <w:p>
      <w:pPr>
        <w:snapToGrid w:val="0"/>
        <w:spacing w:before="50" w:after="50"/>
        <w:rPr>
          <w:rStyle w:val="44"/>
          <w:rFonts w:ascii="宋体" w:hAnsi="宋体"/>
          <w:color w:val="auto"/>
          <w:sz w:val="44"/>
        </w:rPr>
      </w:pPr>
    </w:p>
    <w:p>
      <w:pPr>
        <w:pStyle w:val="6"/>
        <w:rPr>
          <w:color w:val="auto"/>
        </w:rPr>
      </w:pPr>
    </w:p>
    <w:p>
      <w:pPr>
        <w:rPr>
          <w:color w:val="auto"/>
        </w:rPr>
      </w:pPr>
    </w:p>
    <w:p>
      <w:pPr>
        <w:snapToGrid w:val="0"/>
        <w:spacing w:before="50" w:after="50"/>
        <w:rPr>
          <w:rStyle w:val="44"/>
          <w:rFonts w:ascii="宋体" w:hAnsi="宋体"/>
          <w:color w:val="auto"/>
          <w:sz w:val="44"/>
        </w:rPr>
      </w:pPr>
    </w:p>
    <w:p>
      <w:pPr>
        <w:jc w:val="left"/>
        <w:textAlignment w:val="auto"/>
        <w:rPr>
          <w:rStyle w:val="44"/>
          <w:rFonts w:ascii="宋体" w:hAnsi="宋体"/>
          <w:color w:val="auto"/>
          <w:sz w:val="24"/>
          <w:szCs w:val="24"/>
        </w:rPr>
      </w:pPr>
      <w:r>
        <w:rPr>
          <w:rStyle w:val="44"/>
          <w:rFonts w:ascii="宋体" w:hAnsi="宋体"/>
          <w:color w:val="auto"/>
          <w:sz w:val="24"/>
          <w:szCs w:val="24"/>
        </w:rPr>
        <w:br w:type="page"/>
      </w:r>
    </w:p>
    <w:p>
      <w:pPr>
        <w:snapToGrid w:val="0"/>
        <w:spacing w:before="50" w:after="50"/>
        <w:rPr>
          <w:rStyle w:val="44"/>
          <w:rFonts w:ascii="宋体" w:hAnsi="宋体"/>
          <w:color w:val="auto"/>
          <w:sz w:val="24"/>
          <w:szCs w:val="24"/>
        </w:rPr>
      </w:pPr>
    </w:p>
    <w:p>
      <w:pPr>
        <w:snapToGrid w:val="0"/>
        <w:spacing w:before="50" w:after="50"/>
        <w:jc w:val="center"/>
        <w:outlineLvl w:val="0"/>
        <w:rPr>
          <w:rStyle w:val="44"/>
          <w:rFonts w:ascii="宋体" w:hAnsi="宋体"/>
          <w:color w:val="auto"/>
          <w:sz w:val="32"/>
          <w:szCs w:val="32"/>
        </w:rPr>
      </w:pPr>
      <w:bookmarkStart w:id="25" w:name="_Toc5053"/>
      <w:bookmarkStart w:id="26" w:name="_Toc18771"/>
      <w:r>
        <w:rPr>
          <w:rStyle w:val="44"/>
          <w:rFonts w:hint="eastAsia" w:ascii="宋体" w:hAnsi="宋体"/>
          <w:color w:val="auto"/>
          <w:sz w:val="32"/>
          <w:szCs w:val="32"/>
        </w:rPr>
        <w:t>四、投标函（格式）</w:t>
      </w:r>
      <w:bookmarkEnd w:id="25"/>
      <w:bookmarkEnd w:id="26"/>
    </w:p>
    <w:p>
      <w:pPr>
        <w:pStyle w:val="130"/>
        <w:spacing w:before="0" w:after="0" w:line="420" w:lineRule="exact"/>
        <w:ind w:firstLine="0"/>
        <w:rPr>
          <w:rStyle w:val="44"/>
          <w:rFonts w:ascii="宋体" w:hAnsi="宋体"/>
          <w:color w:val="auto"/>
          <w:kern w:val="2"/>
          <w:szCs w:val="21"/>
        </w:rPr>
      </w:pPr>
      <w:r>
        <w:rPr>
          <w:rStyle w:val="44"/>
          <w:rFonts w:hint="eastAsia" w:ascii="宋体" w:hAnsi="宋体"/>
          <w:color w:val="auto"/>
          <w:kern w:val="2"/>
          <w:szCs w:val="21"/>
        </w:rPr>
        <w:t>致：</w:t>
      </w:r>
      <w:r>
        <w:rPr>
          <w:rStyle w:val="44"/>
          <w:rFonts w:hint="eastAsia" w:ascii="宋体" w:hAnsi="宋体"/>
          <w:color w:val="auto"/>
          <w:kern w:val="2"/>
          <w:szCs w:val="21"/>
          <w:u w:val="single" w:color="000000"/>
        </w:rPr>
        <w:t>盐城工业职业技术学院</w:t>
      </w:r>
    </w:p>
    <w:p>
      <w:pPr>
        <w:pStyle w:val="130"/>
        <w:spacing w:before="0" w:after="0" w:line="420" w:lineRule="exact"/>
        <w:ind w:firstLineChars="200"/>
        <w:rPr>
          <w:rStyle w:val="44"/>
          <w:rFonts w:ascii="宋体" w:hAnsi="宋体"/>
          <w:color w:val="auto"/>
          <w:kern w:val="2"/>
          <w:szCs w:val="21"/>
        </w:rPr>
      </w:pPr>
      <w:r>
        <w:rPr>
          <w:rStyle w:val="44"/>
          <w:rFonts w:hint="eastAsia" w:ascii="宋体" w:hAnsi="宋体"/>
          <w:color w:val="auto"/>
          <w:kern w:val="2"/>
          <w:szCs w:val="21"/>
        </w:rPr>
        <w:t>根据贵方的</w:t>
      </w:r>
      <w:r>
        <w:rPr>
          <w:rStyle w:val="44"/>
          <w:rFonts w:hint="eastAsia" w:ascii="宋体" w:hAnsi="宋体"/>
          <w:color w:val="auto"/>
          <w:kern w:val="2"/>
          <w:szCs w:val="21"/>
          <w:u w:val="single"/>
        </w:rPr>
        <w:t xml:space="preserve">      </w:t>
      </w:r>
      <w:r>
        <w:rPr>
          <w:rStyle w:val="44"/>
          <w:rFonts w:hint="eastAsia" w:ascii="宋体" w:hAnsi="宋体"/>
          <w:color w:val="auto"/>
          <w:kern w:val="2"/>
          <w:szCs w:val="21"/>
          <w:u w:val="single" w:color="000000"/>
        </w:rPr>
        <w:t>号</w:t>
      </w:r>
      <w:r>
        <w:rPr>
          <w:rStyle w:val="44"/>
          <w:rFonts w:hint="eastAsia" w:ascii="宋体" w:hAnsi="宋体"/>
          <w:color w:val="auto"/>
          <w:kern w:val="2"/>
          <w:szCs w:val="21"/>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宋体" w:hAnsi="宋体"/>
          <w:color w:val="auto"/>
          <w:kern w:val="2"/>
          <w:szCs w:val="21"/>
        </w:rPr>
      </w:pPr>
      <w:r>
        <w:rPr>
          <w:rStyle w:val="44"/>
          <w:rFonts w:hint="eastAsia" w:ascii="宋体" w:hAnsi="宋体"/>
          <w:color w:val="auto"/>
          <w:kern w:val="2"/>
          <w:szCs w:val="21"/>
        </w:rPr>
        <w:t>据此函，__________签字人兹宣布同意如下：</w:t>
      </w:r>
    </w:p>
    <w:p>
      <w:pPr>
        <w:pStyle w:val="130"/>
        <w:spacing w:before="0" w:after="0" w:line="420" w:lineRule="exact"/>
        <w:rPr>
          <w:rStyle w:val="44"/>
          <w:rFonts w:ascii="宋体" w:hAnsi="宋体"/>
          <w:color w:val="auto"/>
          <w:kern w:val="2"/>
          <w:szCs w:val="21"/>
        </w:rPr>
      </w:pPr>
      <w:r>
        <w:rPr>
          <w:rStyle w:val="44"/>
          <w:rFonts w:hint="eastAsia" w:ascii="宋体" w:hAnsi="宋体"/>
          <w:color w:val="auto"/>
          <w:kern w:val="2"/>
          <w:szCs w:val="21"/>
        </w:rPr>
        <w:t>1.按招标文件规定的各项要求，向买方提供所需货物与服务。</w:t>
      </w:r>
    </w:p>
    <w:p>
      <w:pPr>
        <w:pStyle w:val="130"/>
        <w:spacing w:before="0" w:after="0" w:line="420" w:lineRule="exact"/>
        <w:ind w:firstLineChars="200"/>
        <w:rPr>
          <w:rStyle w:val="44"/>
          <w:rFonts w:ascii="宋体" w:hAnsi="宋体"/>
          <w:color w:val="auto"/>
          <w:kern w:val="2"/>
          <w:szCs w:val="21"/>
        </w:rPr>
      </w:pPr>
      <w:r>
        <w:rPr>
          <w:rStyle w:val="44"/>
          <w:rFonts w:hint="eastAsia" w:ascii="宋体" w:hAnsi="宋体"/>
          <w:color w:val="auto"/>
          <w:kern w:val="2"/>
          <w:szCs w:val="21"/>
        </w:rPr>
        <w:t>2.我们完全理解贵方不一定将合同授予最低报价的投标人。</w:t>
      </w:r>
    </w:p>
    <w:p>
      <w:pPr>
        <w:pStyle w:val="130"/>
        <w:spacing w:before="0" w:after="0" w:line="420" w:lineRule="exact"/>
        <w:ind w:firstLineChars="200"/>
        <w:rPr>
          <w:rStyle w:val="44"/>
          <w:rFonts w:ascii="宋体" w:hAnsi="宋体"/>
          <w:color w:val="auto"/>
          <w:kern w:val="2"/>
          <w:szCs w:val="21"/>
        </w:rPr>
      </w:pPr>
      <w:r>
        <w:rPr>
          <w:rStyle w:val="44"/>
          <w:rFonts w:hint="eastAsia" w:ascii="宋体" w:hAnsi="宋体"/>
          <w:color w:val="auto"/>
          <w:kern w:val="2"/>
          <w:szCs w:val="21"/>
        </w:rPr>
        <w:t>3.我们已详细审核全部招标文件及其有效补充文件，我们知道必须放弃提出含糊不清或误解问题的权利。</w:t>
      </w:r>
    </w:p>
    <w:p>
      <w:pPr>
        <w:pStyle w:val="130"/>
        <w:spacing w:before="0" w:after="0" w:line="420" w:lineRule="exact"/>
        <w:rPr>
          <w:rStyle w:val="44"/>
          <w:rFonts w:ascii="宋体" w:hAnsi="宋体"/>
          <w:color w:val="auto"/>
          <w:kern w:val="2"/>
          <w:szCs w:val="21"/>
        </w:rPr>
      </w:pPr>
      <w:r>
        <w:rPr>
          <w:rStyle w:val="44"/>
          <w:rFonts w:hint="eastAsia" w:ascii="宋体" w:hAnsi="宋体"/>
          <w:color w:val="auto"/>
          <w:kern w:val="2"/>
          <w:szCs w:val="21"/>
        </w:rPr>
        <w:t>4.我们同意从规定的开标日期起遵循本投标文件，并在规定的投标有效期期满之前均具有约束力。</w:t>
      </w:r>
    </w:p>
    <w:p>
      <w:pPr>
        <w:pStyle w:val="130"/>
        <w:spacing w:before="0" w:after="0" w:line="420" w:lineRule="exact"/>
        <w:rPr>
          <w:rStyle w:val="44"/>
          <w:rFonts w:ascii="宋体" w:hAnsi="宋体"/>
          <w:color w:val="auto"/>
          <w:kern w:val="2"/>
          <w:szCs w:val="21"/>
        </w:rPr>
      </w:pPr>
      <w:r>
        <w:rPr>
          <w:rStyle w:val="44"/>
          <w:rFonts w:hint="eastAsia" w:ascii="宋体" w:hAnsi="宋体"/>
          <w:color w:val="auto"/>
          <w:kern w:val="2"/>
          <w:szCs w:val="21"/>
        </w:rPr>
        <w:t>5.如果在开标后规定的投标有效期内撤回投标或中标后拒绝签订合同，则按照国家相关法律法规受到相应处罚。</w:t>
      </w:r>
    </w:p>
    <w:p>
      <w:pPr>
        <w:pStyle w:val="130"/>
        <w:spacing w:before="0" w:after="0" w:line="420" w:lineRule="exact"/>
        <w:rPr>
          <w:rStyle w:val="44"/>
          <w:rFonts w:ascii="宋体" w:hAnsi="宋体"/>
          <w:color w:val="auto"/>
          <w:kern w:val="2"/>
          <w:szCs w:val="21"/>
        </w:rPr>
      </w:pPr>
      <w:r>
        <w:rPr>
          <w:rStyle w:val="44"/>
          <w:rFonts w:hint="eastAsia" w:ascii="宋体" w:hAnsi="宋体"/>
          <w:color w:val="auto"/>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宋体" w:hAnsi="宋体"/>
          <w:color w:val="auto"/>
          <w:kern w:val="2"/>
          <w:szCs w:val="21"/>
        </w:rPr>
      </w:pPr>
      <w:r>
        <w:rPr>
          <w:rStyle w:val="44"/>
          <w:rFonts w:hint="eastAsia" w:ascii="宋体" w:hAnsi="宋体"/>
          <w:color w:val="auto"/>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宋体" w:hAnsi="宋体"/>
          <w:color w:val="auto"/>
          <w:kern w:val="2"/>
          <w:szCs w:val="21"/>
        </w:rPr>
      </w:pPr>
      <w:r>
        <w:rPr>
          <w:rStyle w:val="44"/>
          <w:rFonts w:hint="eastAsia" w:ascii="宋体" w:hAnsi="宋体"/>
          <w:color w:val="auto"/>
          <w:kern w:val="2"/>
          <w:szCs w:val="21"/>
        </w:rPr>
        <w:t>8.与本投标有关的正式通讯地址为：</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地址：</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邮编：</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电话：</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传真：</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投标人开户行：</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账户：</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投标人授权代表姓名（签字）：</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投标人名称（公章）：</w:t>
      </w:r>
    </w:p>
    <w:p>
      <w:pPr>
        <w:pStyle w:val="130"/>
        <w:spacing w:before="0" w:after="0" w:line="420" w:lineRule="exact"/>
        <w:ind w:left="420" w:leftChars="200" w:firstLineChars="200"/>
        <w:rPr>
          <w:rStyle w:val="44"/>
          <w:rFonts w:ascii="宋体" w:hAnsi="宋体"/>
          <w:color w:val="auto"/>
          <w:kern w:val="2"/>
          <w:szCs w:val="21"/>
        </w:rPr>
      </w:pPr>
      <w:r>
        <w:rPr>
          <w:rStyle w:val="44"/>
          <w:rFonts w:hint="eastAsia" w:ascii="宋体" w:hAnsi="宋体"/>
          <w:color w:val="auto"/>
          <w:kern w:val="2"/>
          <w:szCs w:val="21"/>
        </w:rPr>
        <w:t>日期：________年____月____日</w:t>
      </w:r>
    </w:p>
    <w:p>
      <w:pPr>
        <w:snapToGrid w:val="0"/>
        <w:spacing w:before="50" w:after="145"/>
        <w:jc w:val="left"/>
        <w:rPr>
          <w:rStyle w:val="44"/>
          <w:rFonts w:ascii="宋体" w:hAnsi="宋体"/>
          <w:color w:val="auto"/>
          <w:sz w:val="24"/>
          <w:szCs w:val="20"/>
        </w:rPr>
      </w:pPr>
    </w:p>
    <w:p>
      <w:pPr>
        <w:jc w:val="center"/>
        <w:rPr>
          <w:rStyle w:val="44"/>
          <w:rFonts w:ascii="宋体" w:hAnsi="宋体"/>
          <w:b/>
          <w:color w:val="auto"/>
          <w:sz w:val="32"/>
          <w:szCs w:val="32"/>
        </w:rPr>
      </w:pPr>
    </w:p>
    <w:p>
      <w:pPr>
        <w:pStyle w:val="24"/>
        <w:rPr>
          <w:color w:val="auto"/>
        </w:rPr>
      </w:pPr>
    </w:p>
    <w:p>
      <w:pPr>
        <w:snapToGrid w:val="0"/>
        <w:spacing w:before="50" w:after="50"/>
        <w:rPr>
          <w:rStyle w:val="44"/>
          <w:rFonts w:ascii="宋体" w:hAnsi="宋体"/>
          <w:color w:val="auto"/>
          <w:sz w:val="32"/>
          <w:szCs w:val="32"/>
        </w:rPr>
      </w:pPr>
    </w:p>
    <w:p>
      <w:pPr>
        <w:pStyle w:val="6"/>
        <w:rPr>
          <w:color w:val="auto"/>
        </w:rPr>
      </w:pPr>
    </w:p>
    <w:p>
      <w:pPr>
        <w:snapToGrid w:val="0"/>
        <w:spacing w:before="50" w:after="50"/>
        <w:jc w:val="center"/>
        <w:outlineLvl w:val="0"/>
        <w:rPr>
          <w:rStyle w:val="44"/>
          <w:rFonts w:ascii="宋体" w:hAnsi="宋体"/>
          <w:color w:val="auto"/>
          <w:sz w:val="32"/>
          <w:szCs w:val="32"/>
        </w:rPr>
      </w:pPr>
      <w:bookmarkStart w:id="27" w:name="_Toc3373"/>
      <w:bookmarkStart w:id="28" w:name="_Toc23178"/>
      <w:r>
        <w:rPr>
          <w:rStyle w:val="44"/>
          <w:rFonts w:hint="eastAsia" w:ascii="宋体" w:hAnsi="宋体"/>
          <w:color w:val="auto"/>
          <w:sz w:val="32"/>
          <w:szCs w:val="32"/>
        </w:rPr>
        <w:t>五、开标一览表（格式）</w:t>
      </w:r>
      <w:bookmarkEnd w:id="27"/>
      <w:bookmarkEnd w:id="28"/>
    </w:p>
    <w:p>
      <w:pPr>
        <w:snapToGrid w:val="0"/>
        <w:spacing w:before="50" w:after="50"/>
        <w:jc w:val="center"/>
        <w:rPr>
          <w:rStyle w:val="44"/>
          <w:rFonts w:ascii="宋体" w:hAnsi="宋体"/>
          <w:color w:val="auto"/>
          <w:sz w:val="32"/>
          <w:szCs w:val="32"/>
        </w:rPr>
      </w:pPr>
    </w:p>
    <w:tbl>
      <w:tblPr>
        <w:tblStyle w:val="25"/>
        <w:tblW w:w="87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0"/>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4" w:hRule="atLeast"/>
        </w:trPr>
        <w:tc>
          <w:tcPr>
            <w:tcW w:w="262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4"/>
                <w:rFonts w:ascii="宋体" w:hAnsi="宋体"/>
                <w:b/>
                <w:bCs/>
                <w:color w:val="auto"/>
                <w:szCs w:val="28"/>
              </w:rPr>
            </w:pPr>
            <w:r>
              <w:rPr>
                <w:rStyle w:val="44"/>
                <w:rFonts w:hint="eastAsia" w:ascii="宋体" w:hAnsi="宋体"/>
                <w:b/>
                <w:bCs/>
                <w:color w:val="auto"/>
                <w:szCs w:val="28"/>
              </w:rPr>
              <w:t>项目编号</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4" w:hRule="atLeast"/>
        </w:trPr>
        <w:tc>
          <w:tcPr>
            <w:tcW w:w="262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4"/>
                <w:rFonts w:ascii="宋体" w:hAnsi="宋体"/>
                <w:b/>
                <w:bCs/>
                <w:color w:val="auto"/>
                <w:szCs w:val="28"/>
              </w:rPr>
            </w:pPr>
            <w:r>
              <w:rPr>
                <w:rStyle w:val="44"/>
                <w:rFonts w:hint="eastAsia" w:ascii="宋体" w:hAnsi="宋体"/>
                <w:b/>
                <w:bCs/>
                <w:color w:val="auto"/>
                <w:szCs w:val="28"/>
              </w:rPr>
              <w:t>项目名称</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35"/>
              <w:rPr>
                <w:rStyle w:val="44"/>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8714"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b/>
                <w:bCs/>
                <w:color w:val="auto"/>
                <w:szCs w:val="28"/>
              </w:rPr>
            </w:pPr>
            <w:r>
              <w:rPr>
                <w:rStyle w:val="44"/>
                <w:rFonts w:hint="eastAsia" w:ascii="宋体" w:hAnsi="宋体"/>
                <w:b/>
                <w:bCs/>
                <w:color w:val="auto"/>
                <w:szCs w:val="28"/>
              </w:rPr>
              <w:t>项目投标报价：（大写）      /年，小写：      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8714"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b/>
                <w:bCs/>
                <w:color w:val="auto"/>
                <w:szCs w:val="28"/>
              </w:rPr>
            </w:pPr>
            <w:r>
              <w:rPr>
                <w:rStyle w:val="44"/>
                <w:rFonts w:hint="eastAsia" w:ascii="宋体" w:hAnsi="宋体"/>
                <w:b/>
                <w:bCs/>
                <w:color w:val="auto"/>
                <w:szCs w:val="28"/>
              </w:rPr>
              <w:t>是否提供《中小企业声明函》：</w:t>
            </w:r>
            <w:r>
              <w:rPr>
                <w:rStyle w:val="44"/>
                <w:rFonts w:hint="eastAsia" w:ascii="宋体" w:hAnsi="宋体"/>
                <w:b/>
                <w:bCs/>
                <w:color w:val="auto"/>
                <w:szCs w:val="28"/>
              </w:rPr>
              <w:sym w:font="Wingdings 2" w:char="00A3"/>
            </w:r>
            <w:r>
              <w:rPr>
                <w:rStyle w:val="44"/>
                <w:rFonts w:hint="eastAsia" w:ascii="宋体" w:hAnsi="宋体"/>
                <w:b/>
                <w:bCs/>
                <w:color w:val="auto"/>
                <w:szCs w:val="28"/>
              </w:rPr>
              <w:t>是</w:t>
            </w:r>
            <w:r>
              <w:rPr>
                <w:rStyle w:val="44"/>
                <w:rFonts w:hint="eastAsia" w:ascii="宋体" w:hAnsi="宋体"/>
                <w:b/>
                <w:bCs/>
                <w:color w:val="auto"/>
                <w:szCs w:val="28"/>
              </w:rPr>
              <w:sym w:font="Wingdings 2" w:char="00A3"/>
            </w:r>
            <w:r>
              <w:rPr>
                <w:rStyle w:val="44"/>
                <w:rFonts w:hint="eastAsia" w:ascii="宋体" w:hAnsi="宋体"/>
                <w:b/>
                <w:bCs/>
                <w:color w:val="auto"/>
                <w:szCs w:val="28"/>
              </w:rPr>
              <w:t>否；见（）页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7" w:hRule="atLeast"/>
        </w:trPr>
        <w:tc>
          <w:tcPr>
            <w:tcW w:w="8714"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b/>
                <w:bCs/>
                <w:color w:val="auto"/>
                <w:szCs w:val="28"/>
              </w:rPr>
            </w:pPr>
            <w:r>
              <w:rPr>
                <w:rStyle w:val="44"/>
                <w:rFonts w:hint="eastAsia" w:ascii="宋体" w:hAnsi="宋体"/>
                <w:b/>
                <w:bCs/>
                <w:color w:val="auto"/>
                <w:szCs w:val="28"/>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2" w:hRule="atLeast"/>
        </w:trPr>
        <w:tc>
          <w:tcPr>
            <w:tcW w:w="8714"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b/>
                <w:bCs/>
                <w:color w:val="auto"/>
                <w:szCs w:val="28"/>
              </w:rPr>
            </w:pPr>
            <w:r>
              <w:rPr>
                <w:rStyle w:val="44"/>
                <w:rFonts w:hint="eastAsia" w:ascii="宋体" w:hAnsi="宋体"/>
                <w:b/>
                <w:bCs/>
                <w:color w:val="auto"/>
                <w:szCs w:val="28"/>
              </w:rPr>
              <w:t>合同履行期限：</w:t>
            </w:r>
          </w:p>
        </w:tc>
      </w:tr>
    </w:tbl>
    <w:p>
      <w:pPr>
        <w:spacing w:line="240" w:lineRule="atLeast"/>
        <w:rPr>
          <w:rStyle w:val="44"/>
          <w:rFonts w:ascii="宋体" w:hAnsi="宋体"/>
          <w:color w:val="auto"/>
          <w:szCs w:val="28"/>
        </w:rPr>
      </w:pPr>
    </w:p>
    <w:p>
      <w:pPr>
        <w:spacing w:line="240" w:lineRule="atLeast"/>
        <w:rPr>
          <w:rStyle w:val="44"/>
          <w:rFonts w:ascii="宋体" w:hAnsi="宋体"/>
          <w:color w:val="auto"/>
          <w:szCs w:val="28"/>
        </w:rPr>
      </w:pPr>
      <w:r>
        <w:rPr>
          <w:rStyle w:val="44"/>
          <w:rFonts w:hint="eastAsia" w:ascii="宋体" w:hAnsi="宋体"/>
          <w:color w:val="auto"/>
          <w:szCs w:val="28"/>
        </w:rPr>
        <w:t>填写说明：</w:t>
      </w:r>
    </w:p>
    <w:p>
      <w:pPr>
        <w:numPr>
          <w:ilvl w:val="0"/>
          <w:numId w:val="4"/>
        </w:numPr>
        <w:rPr>
          <w:rStyle w:val="44"/>
          <w:rFonts w:ascii="宋体" w:hAnsi="宋体"/>
          <w:color w:val="auto"/>
          <w:sz w:val="24"/>
        </w:rPr>
      </w:pPr>
      <w:r>
        <w:rPr>
          <w:rStyle w:val="44"/>
          <w:rFonts w:hint="eastAsia" w:ascii="宋体" w:hAnsi="宋体"/>
          <w:color w:val="auto"/>
          <w:sz w:val="24"/>
        </w:rPr>
        <w:t>开标一览表不得填报选择性报价，否则将作为无效投标；</w:t>
      </w:r>
    </w:p>
    <w:p>
      <w:pPr>
        <w:numPr>
          <w:ilvl w:val="0"/>
          <w:numId w:val="4"/>
        </w:numPr>
        <w:rPr>
          <w:rStyle w:val="44"/>
          <w:rFonts w:ascii="宋体" w:hAnsi="宋体"/>
          <w:color w:val="auto"/>
          <w:sz w:val="24"/>
        </w:rPr>
      </w:pPr>
      <w:r>
        <w:rPr>
          <w:rStyle w:val="44"/>
          <w:rFonts w:hint="eastAsia" w:ascii="宋体" w:hAnsi="宋体"/>
          <w:color w:val="auto"/>
          <w:sz w:val="24"/>
        </w:rPr>
        <w:t>开标一览表中报价与投标分项明细报价表中不符时时，以开标一览表为准；</w:t>
      </w:r>
    </w:p>
    <w:p>
      <w:pPr>
        <w:ind w:firstLine="2640" w:firstLineChars="600"/>
        <w:rPr>
          <w:rStyle w:val="44"/>
          <w:rFonts w:ascii="宋体" w:hAnsi="宋体"/>
          <w:color w:val="auto"/>
          <w:sz w:val="44"/>
        </w:rPr>
      </w:pPr>
    </w:p>
    <w:p>
      <w:pPr>
        <w:ind w:firstLine="480"/>
        <w:rPr>
          <w:rStyle w:val="44"/>
          <w:rFonts w:ascii="宋体" w:hAnsi="宋体"/>
          <w:color w:val="auto"/>
          <w:sz w:val="24"/>
        </w:rPr>
      </w:pPr>
    </w:p>
    <w:p>
      <w:pPr>
        <w:ind w:firstLine="480"/>
        <w:rPr>
          <w:rStyle w:val="44"/>
          <w:rFonts w:ascii="宋体" w:hAnsi="宋体"/>
          <w:color w:val="auto"/>
          <w:sz w:val="24"/>
        </w:rPr>
      </w:pPr>
    </w:p>
    <w:p>
      <w:pPr>
        <w:ind w:firstLine="480"/>
        <w:jc w:val="center"/>
        <w:rPr>
          <w:rStyle w:val="44"/>
          <w:rFonts w:ascii="宋体" w:hAnsi="宋体"/>
          <w:color w:val="auto"/>
          <w:sz w:val="24"/>
        </w:rPr>
      </w:pPr>
      <w:r>
        <w:rPr>
          <w:rStyle w:val="44"/>
          <w:rFonts w:hint="eastAsia" w:ascii="宋体" w:hAnsi="宋体"/>
          <w:bCs/>
          <w:color w:val="auto"/>
          <w:sz w:val="24"/>
        </w:rPr>
        <w:t>供应商名称（公章）：</w:t>
      </w:r>
    </w:p>
    <w:p>
      <w:pPr>
        <w:ind w:firstLine="480"/>
        <w:jc w:val="center"/>
        <w:rPr>
          <w:rStyle w:val="44"/>
          <w:rFonts w:ascii="宋体" w:hAnsi="宋体"/>
          <w:color w:val="auto"/>
          <w:sz w:val="24"/>
        </w:rPr>
      </w:pPr>
      <w:r>
        <w:rPr>
          <w:rStyle w:val="44"/>
          <w:rFonts w:hint="eastAsia" w:ascii="宋体" w:hAnsi="宋体"/>
          <w:color w:val="auto"/>
          <w:sz w:val="24"/>
        </w:rPr>
        <w:t>日期：年月日</w:t>
      </w: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snapToGrid w:val="0"/>
        <w:spacing w:before="50" w:after="50"/>
        <w:jc w:val="center"/>
        <w:rPr>
          <w:rFonts w:ascii="宋体" w:hAnsi="宋体"/>
          <w:color w:val="auto"/>
          <w:sz w:val="32"/>
          <w:szCs w:val="32"/>
        </w:rPr>
      </w:pPr>
      <w:r>
        <w:rPr>
          <w:rFonts w:hint="eastAsia" w:ascii="宋体" w:hAnsi="宋体"/>
          <w:color w:val="auto"/>
          <w:sz w:val="32"/>
          <w:szCs w:val="32"/>
        </w:rPr>
        <w:t>六、投标人员分项报价表（格式）</w:t>
      </w:r>
    </w:p>
    <w:p>
      <w:pPr>
        <w:rPr>
          <w:rFonts w:ascii="宋体" w:hAnsi="宋体"/>
          <w:color w:val="auto"/>
          <w:sz w:val="24"/>
          <w:szCs w:val="24"/>
        </w:rPr>
      </w:pPr>
      <w:r>
        <w:rPr>
          <w:rFonts w:hint="eastAsia" w:ascii="宋体" w:hAnsi="宋体"/>
          <w:color w:val="auto"/>
          <w:sz w:val="24"/>
          <w:szCs w:val="24"/>
        </w:rPr>
        <w:t>投标人全称（加盖公章）：</w:t>
      </w:r>
    </w:p>
    <w:tbl>
      <w:tblPr>
        <w:tblStyle w:val="25"/>
        <w:tblpPr w:leftFromText="180" w:rightFromText="180" w:vertAnchor="text" w:horzAnchor="page" w:tblpXSpec="center" w:tblpY="301"/>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35"/>
        <w:gridCol w:w="699"/>
        <w:gridCol w:w="747"/>
        <w:gridCol w:w="870"/>
        <w:gridCol w:w="910"/>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77" w:type="dxa"/>
            <w:vAlign w:val="center"/>
          </w:tcPr>
          <w:p>
            <w:pPr>
              <w:jc w:val="center"/>
              <w:rPr>
                <w:rFonts w:ascii="宋体" w:hAnsi="宋体"/>
                <w:color w:val="auto"/>
                <w:kern w:val="0"/>
              </w:rPr>
            </w:pPr>
            <w:r>
              <w:rPr>
                <w:rFonts w:hint="eastAsia" w:ascii="宋体" w:hAnsi="宋体"/>
                <w:color w:val="auto"/>
                <w:kern w:val="0"/>
              </w:rPr>
              <w:t>序号</w:t>
            </w:r>
          </w:p>
        </w:tc>
        <w:tc>
          <w:tcPr>
            <w:tcW w:w="3035" w:type="dxa"/>
            <w:vAlign w:val="center"/>
          </w:tcPr>
          <w:p>
            <w:pPr>
              <w:jc w:val="center"/>
              <w:rPr>
                <w:rFonts w:ascii="宋体" w:hAnsi="宋体"/>
                <w:color w:val="auto"/>
                <w:kern w:val="0"/>
              </w:rPr>
            </w:pPr>
            <w:r>
              <w:rPr>
                <w:rFonts w:hint="eastAsia" w:ascii="宋体" w:hAnsi="宋体"/>
                <w:color w:val="auto"/>
                <w:kern w:val="0"/>
              </w:rPr>
              <w:t>费用名称</w:t>
            </w:r>
          </w:p>
        </w:tc>
        <w:tc>
          <w:tcPr>
            <w:tcW w:w="699" w:type="dxa"/>
            <w:vAlign w:val="center"/>
          </w:tcPr>
          <w:p>
            <w:pPr>
              <w:jc w:val="center"/>
              <w:rPr>
                <w:rFonts w:ascii="宋体" w:hAnsi="宋体"/>
                <w:color w:val="auto"/>
                <w:kern w:val="0"/>
              </w:rPr>
            </w:pPr>
            <w:r>
              <w:rPr>
                <w:rFonts w:hint="eastAsia" w:ascii="宋体" w:hAnsi="宋体"/>
                <w:color w:val="auto"/>
                <w:kern w:val="0"/>
              </w:rPr>
              <w:t>单位</w:t>
            </w:r>
          </w:p>
        </w:tc>
        <w:tc>
          <w:tcPr>
            <w:tcW w:w="747" w:type="dxa"/>
            <w:vAlign w:val="center"/>
          </w:tcPr>
          <w:p>
            <w:pPr>
              <w:jc w:val="center"/>
              <w:rPr>
                <w:rFonts w:ascii="宋体" w:hAnsi="宋体"/>
                <w:color w:val="auto"/>
                <w:kern w:val="0"/>
              </w:rPr>
            </w:pPr>
            <w:r>
              <w:rPr>
                <w:rFonts w:hint="eastAsia" w:ascii="宋体" w:hAnsi="宋体"/>
                <w:color w:val="auto"/>
                <w:kern w:val="0"/>
              </w:rPr>
              <w:t>数量</w:t>
            </w:r>
          </w:p>
        </w:tc>
        <w:tc>
          <w:tcPr>
            <w:tcW w:w="870" w:type="dxa"/>
            <w:vAlign w:val="center"/>
          </w:tcPr>
          <w:p>
            <w:pPr>
              <w:jc w:val="center"/>
              <w:rPr>
                <w:rFonts w:ascii="宋体" w:hAnsi="宋体"/>
                <w:color w:val="auto"/>
                <w:kern w:val="0"/>
              </w:rPr>
            </w:pPr>
            <w:r>
              <w:rPr>
                <w:rFonts w:hint="eastAsia" w:ascii="宋体" w:hAnsi="宋体"/>
                <w:color w:val="auto"/>
                <w:kern w:val="0"/>
              </w:rPr>
              <w:t>单价（元）</w:t>
            </w:r>
          </w:p>
        </w:tc>
        <w:tc>
          <w:tcPr>
            <w:tcW w:w="910" w:type="dxa"/>
            <w:vAlign w:val="center"/>
          </w:tcPr>
          <w:p>
            <w:pPr>
              <w:jc w:val="center"/>
              <w:rPr>
                <w:rFonts w:ascii="宋体" w:hAnsi="宋体"/>
                <w:color w:val="auto"/>
                <w:kern w:val="0"/>
              </w:rPr>
            </w:pPr>
            <w:r>
              <w:rPr>
                <w:rFonts w:hint="eastAsia" w:ascii="宋体" w:hAnsi="宋体"/>
                <w:color w:val="auto"/>
                <w:kern w:val="0"/>
              </w:rPr>
              <w:t xml:space="preserve"> 总价 （元）</w:t>
            </w:r>
          </w:p>
        </w:tc>
        <w:tc>
          <w:tcPr>
            <w:tcW w:w="1922" w:type="dxa"/>
            <w:vAlign w:val="center"/>
          </w:tcPr>
          <w:p>
            <w:pPr>
              <w:jc w:val="center"/>
              <w:rPr>
                <w:rFonts w:ascii="宋体" w:hAnsi="宋体"/>
                <w:color w:val="auto"/>
                <w:kern w:val="0"/>
              </w:rPr>
            </w:pPr>
            <w:r>
              <w:rPr>
                <w:rFonts w:hint="eastAsia" w:ascii="宋体" w:hAnsi="宋体"/>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77" w:type="dxa"/>
            <w:vAlign w:val="center"/>
          </w:tcPr>
          <w:p>
            <w:pPr>
              <w:jc w:val="center"/>
              <w:rPr>
                <w:rFonts w:ascii="宋体" w:hAnsi="宋体"/>
                <w:b/>
                <w:color w:val="auto"/>
                <w:kern w:val="0"/>
              </w:rPr>
            </w:pPr>
            <w:r>
              <w:rPr>
                <w:rFonts w:hint="eastAsia" w:ascii="宋体" w:hAnsi="宋体"/>
                <w:b/>
                <w:color w:val="auto"/>
                <w:kern w:val="0"/>
              </w:rPr>
              <w:t>1</w:t>
            </w:r>
          </w:p>
        </w:tc>
        <w:tc>
          <w:tcPr>
            <w:tcW w:w="3035" w:type="dxa"/>
            <w:vAlign w:val="center"/>
          </w:tcPr>
          <w:p>
            <w:pPr>
              <w:jc w:val="left"/>
              <w:rPr>
                <w:rFonts w:ascii="宋体" w:hAnsi="宋体"/>
                <w:b/>
                <w:color w:val="auto"/>
                <w:kern w:val="0"/>
              </w:rPr>
            </w:pPr>
          </w:p>
        </w:tc>
        <w:tc>
          <w:tcPr>
            <w:tcW w:w="2316" w:type="dxa"/>
            <w:gridSpan w:val="3"/>
            <w:vAlign w:val="center"/>
          </w:tcPr>
          <w:p>
            <w:pPr>
              <w:jc w:val="center"/>
              <w:rPr>
                <w:rFonts w:ascii="宋体" w:hAnsi="宋体"/>
                <w:b/>
                <w:color w:val="auto"/>
                <w:kern w:val="0"/>
              </w:rPr>
            </w:pPr>
            <w:r>
              <w:rPr>
                <w:rFonts w:hint="eastAsia" w:ascii="宋体" w:hAnsi="宋体"/>
                <w:b/>
                <w:color w:val="auto"/>
                <w:kern w:val="0"/>
              </w:rPr>
              <w:t>（以下合计）</w:t>
            </w:r>
          </w:p>
        </w:tc>
        <w:tc>
          <w:tcPr>
            <w:tcW w:w="910" w:type="dxa"/>
            <w:vAlign w:val="center"/>
          </w:tcPr>
          <w:p>
            <w:pPr>
              <w:jc w:val="center"/>
              <w:rPr>
                <w:rFonts w:ascii="宋体" w:hAnsi="宋体"/>
                <w:b/>
                <w:color w:val="auto"/>
                <w:kern w:val="0"/>
              </w:rPr>
            </w:pPr>
            <w:r>
              <w:rPr>
                <w:rFonts w:hint="eastAsia" w:ascii="宋体" w:hAnsi="宋体"/>
                <w:b/>
                <w:color w:val="auto"/>
                <w:kern w:val="0"/>
              </w:rPr>
              <w:t xml:space="preserve"> </w:t>
            </w:r>
          </w:p>
        </w:tc>
        <w:tc>
          <w:tcPr>
            <w:tcW w:w="1922" w:type="dxa"/>
            <w:vAlign w:val="center"/>
          </w:tcPr>
          <w:p>
            <w:pPr>
              <w:jc w:val="center"/>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restart"/>
            <w:vAlign w:val="center"/>
          </w:tcPr>
          <w:p>
            <w:pPr>
              <w:spacing w:line="400" w:lineRule="exact"/>
              <w:jc w:val="center"/>
              <w:rPr>
                <w:rFonts w:ascii="宋体" w:hAnsi="宋体"/>
                <w:color w:val="auto"/>
                <w:kern w:val="0"/>
              </w:rPr>
            </w:pPr>
            <w:r>
              <w:rPr>
                <w:rFonts w:hint="eastAsia" w:ascii="宋体" w:hAnsi="宋体"/>
                <w:color w:val="auto"/>
                <w:kern w:val="0"/>
              </w:rPr>
              <w:t>　</w:t>
            </w: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077" w:type="dxa"/>
            <w:vMerge w:val="continue"/>
            <w:vAlign w:val="center"/>
          </w:tcPr>
          <w:p>
            <w:pPr>
              <w:spacing w:line="400" w:lineRule="exact"/>
              <w:jc w:val="left"/>
              <w:rPr>
                <w:rFonts w:ascii="宋体" w:hAnsi="宋体"/>
                <w:color w:val="auto"/>
                <w:kern w:val="0"/>
              </w:rPr>
            </w:pPr>
          </w:p>
        </w:tc>
        <w:tc>
          <w:tcPr>
            <w:tcW w:w="3035" w:type="dxa"/>
            <w:vAlign w:val="center"/>
          </w:tcPr>
          <w:p>
            <w:pPr>
              <w:jc w:val="left"/>
              <w:rPr>
                <w:rFonts w:ascii="宋体" w:hAnsi="宋体"/>
                <w:color w:val="auto"/>
                <w:kern w:val="0"/>
              </w:rPr>
            </w:pPr>
            <w:r>
              <w:rPr>
                <w:rFonts w:ascii="宋体" w:hAnsi="宋体"/>
                <w:color w:val="auto"/>
                <w:kern w:val="0"/>
              </w:rPr>
              <w:t>……</w:t>
            </w: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77" w:type="dxa"/>
            <w:vMerge w:val="continue"/>
            <w:vAlign w:val="center"/>
          </w:tcPr>
          <w:p>
            <w:pPr>
              <w:spacing w:line="400" w:lineRule="exact"/>
              <w:jc w:val="left"/>
              <w:rPr>
                <w:rFonts w:ascii="宋体" w:hAnsi="宋体"/>
                <w:color w:val="auto"/>
                <w:kern w:val="0"/>
              </w:rPr>
            </w:pPr>
          </w:p>
        </w:tc>
        <w:tc>
          <w:tcPr>
            <w:tcW w:w="3035" w:type="dxa"/>
            <w:vAlign w:val="center"/>
          </w:tcPr>
          <w:p>
            <w:pPr>
              <w:jc w:val="left"/>
              <w:rPr>
                <w:rFonts w:ascii="宋体" w:hAnsi="宋体"/>
                <w:color w:val="auto"/>
                <w:kern w:val="0"/>
              </w:rPr>
            </w:pPr>
            <w:r>
              <w:rPr>
                <w:rFonts w:ascii="宋体" w:hAnsi="宋体"/>
                <w:color w:val="auto"/>
                <w:kern w:val="0"/>
              </w:rPr>
              <w:t>……</w:t>
            </w: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077" w:type="dxa"/>
            <w:vMerge w:val="continue"/>
            <w:vAlign w:val="center"/>
          </w:tcPr>
          <w:p>
            <w:pPr>
              <w:spacing w:line="400" w:lineRule="exact"/>
              <w:jc w:val="left"/>
              <w:rPr>
                <w:rFonts w:ascii="宋体" w:hAnsi="宋体"/>
                <w:color w:val="auto"/>
                <w:kern w:val="0"/>
              </w:rPr>
            </w:pPr>
          </w:p>
        </w:tc>
        <w:tc>
          <w:tcPr>
            <w:tcW w:w="3035" w:type="dxa"/>
            <w:vAlign w:val="center"/>
          </w:tcPr>
          <w:p>
            <w:pPr>
              <w:jc w:val="left"/>
              <w:rPr>
                <w:rFonts w:ascii="宋体" w:hAnsi="宋体"/>
                <w:color w:val="auto"/>
                <w:kern w:val="0"/>
              </w:rPr>
            </w:pPr>
            <w:r>
              <w:rPr>
                <w:rFonts w:ascii="宋体" w:hAnsi="宋体"/>
                <w:color w:val="auto"/>
                <w:kern w:val="0"/>
              </w:rPr>
              <w:t>……</w:t>
            </w: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77" w:type="dxa"/>
            <w:vMerge w:val="continue"/>
            <w:vAlign w:val="center"/>
          </w:tcPr>
          <w:p>
            <w:pPr>
              <w:spacing w:line="400" w:lineRule="exact"/>
              <w:jc w:val="left"/>
              <w:rPr>
                <w:rFonts w:ascii="宋体" w:hAnsi="宋体"/>
                <w:color w:val="auto"/>
                <w:kern w:val="0"/>
              </w:rPr>
            </w:pPr>
          </w:p>
        </w:tc>
        <w:tc>
          <w:tcPr>
            <w:tcW w:w="3035" w:type="dxa"/>
            <w:vAlign w:val="center"/>
          </w:tcPr>
          <w:p>
            <w:pPr>
              <w:jc w:val="left"/>
              <w:rPr>
                <w:rFonts w:ascii="宋体" w:hAnsi="宋体"/>
                <w:color w:val="auto"/>
                <w:kern w:val="0"/>
              </w:rPr>
            </w:pPr>
            <w:r>
              <w:rPr>
                <w:rFonts w:ascii="宋体" w:hAnsi="宋体"/>
                <w:color w:val="auto"/>
                <w:kern w:val="0"/>
              </w:rPr>
              <w:t>……</w:t>
            </w: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77" w:type="dxa"/>
            <w:vMerge w:val="continue"/>
            <w:vAlign w:val="center"/>
          </w:tcPr>
          <w:p>
            <w:pPr>
              <w:spacing w:line="400" w:lineRule="exact"/>
              <w:jc w:val="left"/>
              <w:rPr>
                <w:rFonts w:ascii="宋体" w:hAnsi="宋体"/>
                <w:color w:val="auto"/>
                <w:kern w:val="0"/>
              </w:rPr>
            </w:pPr>
          </w:p>
        </w:tc>
        <w:tc>
          <w:tcPr>
            <w:tcW w:w="3035" w:type="dxa"/>
            <w:vAlign w:val="center"/>
          </w:tcPr>
          <w:p>
            <w:pPr>
              <w:jc w:val="left"/>
              <w:rPr>
                <w:rFonts w:ascii="宋体" w:hAnsi="宋体"/>
                <w:color w:val="auto"/>
                <w:kern w:val="0"/>
              </w:rPr>
            </w:pPr>
            <w:r>
              <w:rPr>
                <w:rFonts w:ascii="宋体" w:hAnsi="宋体"/>
                <w:color w:val="auto"/>
                <w:kern w:val="0"/>
              </w:rPr>
              <w:t>……</w:t>
            </w: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Align w:val="center"/>
          </w:tcPr>
          <w:p>
            <w:pPr>
              <w:jc w:val="center"/>
              <w:rPr>
                <w:rFonts w:ascii="宋体" w:hAnsi="宋体"/>
                <w:b/>
                <w:color w:val="auto"/>
                <w:kern w:val="0"/>
              </w:rPr>
            </w:pPr>
            <w:r>
              <w:rPr>
                <w:rFonts w:hint="eastAsia" w:ascii="宋体" w:hAnsi="宋体"/>
                <w:b/>
                <w:color w:val="auto"/>
                <w:kern w:val="0"/>
              </w:rPr>
              <w:t>2</w:t>
            </w:r>
          </w:p>
        </w:tc>
        <w:tc>
          <w:tcPr>
            <w:tcW w:w="3035" w:type="dxa"/>
            <w:vAlign w:val="center"/>
          </w:tcPr>
          <w:p>
            <w:pPr>
              <w:jc w:val="left"/>
              <w:rPr>
                <w:rFonts w:ascii="宋体" w:hAnsi="宋体"/>
                <w:b/>
                <w:color w:val="auto"/>
                <w:kern w:val="0"/>
              </w:rPr>
            </w:pPr>
          </w:p>
        </w:tc>
        <w:tc>
          <w:tcPr>
            <w:tcW w:w="2316" w:type="dxa"/>
            <w:gridSpan w:val="3"/>
            <w:vAlign w:val="center"/>
          </w:tcPr>
          <w:p>
            <w:pPr>
              <w:jc w:val="center"/>
              <w:rPr>
                <w:rFonts w:ascii="宋体" w:hAnsi="宋体"/>
                <w:b/>
                <w:color w:val="auto"/>
                <w:kern w:val="0"/>
              </w:rPr>
            </w:pPr>
            <w:r>
              <w:rPr>
                <w:rFonts w:hint="eastAsia" w:ascii="宋体" w:hAnsi="宋体"/>
                <w:b/>
                <w:color w:val="auto"/>
                <w:kern w:val="0"/>
              </w:rPr>
              <w:t>（以下合计）</w:t>
            </w:r>
          </w:p>
        </w:tc>
        <w:tc>
          <w:tcPr>
            <w:tcW w:w="910" w:type="dxa"/>
            <w:vAlign w:val="center"/>
          </w:tcPr>
          <w:p>
            <w:pPr>
              <w:jc w:val="center"/>
              <w:rPr>
                <w:rFonts w:ascii="宋体" w:hAnsi="宋体"/>
                <w:b/>
                <w:color w:val="auto"/>
                <w:kern w:val="0"/>
              </w:rPr>
            </w:pPr>
          </w:p>
        </w:tc>
        <w:tc>
          <w:tcPr>
            <w:tcW w:w="1922" w:type="dxa"/>
            <w:vAlign w:val="center"/>
          </w:tcPr>
          <w:p>
            <w:pPr>
              <w:jc w:val="center"/>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restart"/>
            <w:vAlign w:val="center"/>
          </w:tcPr>
          <w:p>
            <w:pPr>
              <w:jc w:val="center"/>
              <w:rPr>
                <w:rFonts w:ascii="宋体" w:hAnsi="宋体"/>
                <w:color w:val="auto"/>
                <w:kern w:val="0"/>
              </w:rPr>
            </w:pPr>
            <w:r>
              <w:rPr>
                <w:rFonts w:hint="eastAsia" w:ascii="宋体" w:hAnsi="宋体"/>
                <w:color w:val="auto"/>
                <w:kern w:val="0"/>
              </w:rPr>
              <w:t>　</w:t>
            </w:r>
          </w:p>
        </w:tc>
        <w:tc>
          <w:tcPr>
            <w:tcW w:w="3035" w:type="dxa"/>
            <w:vAlign w:val="center"/>
          </w:tcPr>
          <w:p>
            <w:pPr>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continue"/>
            <w:vAlign w:val="center"/>
          </w:tcPr>
          <w:p>
            <w:pPr>
              <w:jc w:val="left"/>
              <w:rPr>
                <w:rFonts w:ascii="宋体" w:hAnsi="宋体"/>
                <w:color w:val="auto"/>
                <w:kern w:val="0"/>
              </w:rPr>
            </w:pPr>
          </w:p>
        </w:tc>
        <w:tc>
          <w:tcPr>
            <w:tcW w:w="3035" w:type="dxa"/>
            <w:vAlign w:val="center"/>
          </w:tcPr>
          <w:p>
            <w:pPr>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continue"/>
            <w:vAlign w:val="center"/>
          </w:tcPr>
          <w:p>
            <w:pPr>
              <w:jc w:val="left"/>
              <w:rPr>
                <w:rFonts w:ascii="宋体" w:hAnsi="宋体"/>
                <w:color w:val="auto"/>
                <w:kern w:val="0"/>
              </w:rPr>
            </w:pP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continue"/>
            <w:vAlign w:val="center"/>
          </w:tcPr>
          <w:p>
            <w:pPr>
              <w:jc w:val="left"/>
              <w:rPr>
                <w:rFonts w:ascii="宋体" w:hAnsi="宋体"/>
                <w:color w:val="auto"/>
                <w:kern w:val="0"/>
              </w:rPr>
            </w:pP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continue"/>
            <w:vAlign w:val="center"/>
          </w:tcPr>
          <w:p>
            <w:pPr>
              <w:jc w:val="left"/>
              <w:rPr>
                <w:rFonts w:ascii="宋体" w:hAnsi="宋体"/>
                <w:color w:val="auto"/>
                <w:kern w:val="0"/>
              </w:rPr>
            </w:pP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77" w:type="dxa"/>
            <w:vMerge w:val="continue"/>
            <w:vAlign w:val="center"/>
          </w:tcPr>
          <w:p>
            <w:pPr>
              <w:jc w:val="left"/>
              <w:rPr>
                <w:rFonts w:ascii="宋体" w:hAnsi="宋体"/>
                <w:color w:val="auto"/>
                <w:kern w:val="0"/>
              </w:rPr>
            </w:pP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77" w:type="dxa"/>
            <w:vMerge w:val="continue"/>
            <w:vAlign w:val="center"/>
          </w:tcPr>
          <w:p>
            <w:pPr>
              <w:jc w:val="left"/>
              <w:rPr>
                <w:rFonts w:ascii="宋体" w:hAnsi="宋体"/>
                <w:color w:val="auto"/>
                <w:kern w:val="0"/>
              </w:rPr>
            </w:pPr>
          </w:p>
        </w:tc>
        <w:tc>
          <w:tcPr>
            <w:tcW w:w="3035" w:type="dxa"/>
            <w:vAlign w:val="center"/>
          </w:tcPr>
          <w:p>
            <w:pPr>
              <w:jc w:val="left"/>
              <w:rPr>
                <w:rFonts w:ascii="宋体" w:hAnsi="宋体"/>
                <w:color w:val="auto"/>
                <w:kern w:val="0"/>
              </w:rPr>
            </w:pPr>
          </w:p>
        </w:tc>
        <w:tc>
          <w:tcPr>
            <w:tcW w:w="699" w:type="dxa"/>
            <w:vAlign w:val="center"/>
          </w:tcPr>
          <w:p>
            <w:pPr>
              <w:jc w:val="center"/>
              <w:rPr>
                <w:rFonts w:ascii="宋体" w:hAnsi="宋体"/>
                <w:color w:val="auto"/>
                <w:kern w:val="0"/>
              </w:rPr>
            </w:pPr>
          </w:p>
        </w:tc>
        <w:tc>
          <w:tcPr>
            <w:tcW w:w="747" w:type="dxa"/>
            <w:vAlign w:val="center"/>
          </w:tcPr>
          <w:p>
            <w:pPr>
              <w:jc w:val="center"/>
              <w:rPr>
                <w:rFonts w:ascii="宋体" w:hAnsi="宋体"/>
                <w:color w:val="auto"/>
                <w:kern w:val="0"/>
              </w:rPr>
            </w:pPr>
          </w:p>
        </w:tc>
        <w:tc>
          <w:tcPr>
            <w:tcW w:w="870" w:type="dxa"/>
            <w:vAlign w:val="center"/>
          </w:tcPr>
          <w:p>
            <w:pPr>
              <w:jc w:val="center"/>
              <w:rPr>
                <w:rFonts w:ascii="宋体" w:hAnsi="宋体"/>
                <w:color w:val="auto"/>
                <w:kern w:val="0"/>
              </w:rPr>
            </w:pPr>
          </w:p>
        </w:tc>
        <w:tc>
          <w:tcPr>
            <w:tcW w:w="910" w:type="dxa"/>
            <w:vAlign w:val="center"/>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7" w:type="dxa"/>
            <w:vAlign w:val="center"/>
          </w:tcPr>
          <w:p>
            <w:pPr>
              <w:jc w:val="center"/>
              <w:rPr>
                <w:rFonts w:ascii="宋体" w:hAnsi="宋体"/>
                <w:b/>
                <w:color w:val="auto"/>
                <w:kern w:val="0"/>
              </w:rPr>
            </w:pPr>
            <w:r>
              <w:rPr>
                <w:rFonts w:ascii="宋体" w:hAnsi="宋体"/>
                <w:b/>
                <w:color w:val="auto"/>
                <w:kern w:val="0"/>
              </w:rPr>
              <w:t>3</w:t>
            </w:r>
          </w:p>
        </w:tc>
        <w:tc>
          <w:tcPr>
            <w:tcW w:w="3035" w:type="dxa"/>
            <w:vAlign w:val="center"/>
          </w:tcPr>
          <w:p>
            <w:pPr>
              <w:jc w:val="left"/>
              <w:rPr>
                <w:rFonts w:ascii="宋体" w:hAnsi="宋体"/>
                <w:b/>
                <w:color w:val="auto"/>
                <w:kern w:val="0"/>
              </w:rPr>
            </w:pPr>
          </w:p>
        </w:tc>
        <w:tc>
          <w:tcPr>
            <w:tcW w:w="699" w:type="dxa"/>
            <w:vAlign w:val="center"/>
          </w:tcPr>
          <w:p>
            <w:pPr>
              <w:jc w:val="center"/>
              <w:rPr>
                <w:rFonts w:ascii="宋体" w:hAnsi="宋体"/>
                <w:b/>
                <w:color w:val="auto"/>
                <w:kern w:val="0"/>
              </w:rPr>
            </w:pPr>
          </w:p>
        </w:tc>
        <w:tc>
          <w:tcPr>
            <w:tcW w:w="747" w:type="dxa"/>
            <w:vAlign w:val="center"/>
          </w:tcPr>
          <w:p>
            <w:pPr>
              <w:jc w:val="center"/>
              <w:rPr>
                <w:rFonts w:ascii="宋体" w:hAnsi="宋体"/>
                <w:b/>
                <w:color w:val="auto"/>
                <w:kern w:val="0"/>
              </w:rPr>
            </w:pPr>
          </w:p>
        </w:tc>
        <w:tc>
          <w:tcPr>
            <w:tcW w:w="870" w:type="dxa"/>
            <w:vAlign w:val="center"/>
          </w:tcPr>
          <w:p>
            <w:pPr>
              <w:jc w:val="left"/>
              <w:rPr>
                <w:rFonts w:ascii="宋体" w:hAnsi="宋体"/>
                <w:b/>
                <w:color w:val="auto"/>
                <w:kern w:val="0"/>
              </w:rPr>
            </w:pPr>
          </w:p>
        </w:tc>
        <w:tc>
          <w:tcPr>
            <w:tcW w:w="910" w:type="dxa"/>
            <w:vAlign w:val="center"/>
          </w:tcPr>
          <w:p>
            <w:pPr>
              <w:jc w:val="left"/>
              <w:rPr>
                <w:rFonts w:ascii="宋体" w:hAnsi="宋体"/>
                <w:b/>
                <w:color w:val="auto"/>
                <w:kern w:val="0"/>
              </w:rPr>
            </w:pPr>
          </w:p>
        </w:tc>
        <w:tc>
          <w:tcPr>
            <w:tcW w:w="1922" w:type="dxa"/>
            <w:vAlign w:val="center"/>
          </w:tcPr>
          <w:p>
            <w:pPr>
              <w:jc w:val="left"/>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7" w:type="dxa"/>
            <w:vAlign w:val="center"/>
          </w:tcPr>
          <w:p>
            <w:pPr>
              <w:jc w:val="center"/>
              <w:rPr>
                <w:rFonts w:ascii="宋体" w:hAnsi="宋体"/>
                <w:b/>
                <w:color w:val="auto"/>
                <w:kern w:val="0"/>
              </w:rPr>
            </w:pPr>
            <w:r>
              <w:rPr>
                <w:rFonts w:ascii="宋体" w:hAnsi="宋体"/>
                <w:b/>
                <w:color w:val="auto"/>
                <w:kern w:val="0"/>
              </w:rPr>
              <w:t>4</w:t>
            </w:r>
          </w:p>
        </w:tc>
        <w:tc>
          <w:tcPr>
            <w:tcW w:w="3035" w:type="dxa"/>
            <w:vAlign w:val="center"/>
          </w:tcPr>
          <w:p>
            <w:pPr>
              <w:jc w:val="left"/>
              <w:rPr>
                <w:rFonts w:ascii="宋体" w:hAnsi="宋体"/>
                <w:b/>
                <w:color w:val="auto"/>
                <w:kern w:val="0"/>
              </w:rPr>
            </w:pPr>
          </w:p>
        </w:tc>
        <w:tc>
          <w:tcPr>
            <w:tcW w:w="699" w:type="dxa"/>
            <w:vAlign w:val="center"/>
          </w:tcPr>
          <w:p>
            <w:pPr>
              <w:jc w:val="center"/>
              <w:rPr>
                <w:rFonts w:ascii="宋体" w:hAnsi="宋体"/>
                <w:b/>
                <w:color w:val="auto"/>
                <w:kern w:val="0"/>
              </w:rPr>
            </w:pPr>
          </w:p>
        </w:tc>
        <w:tc>
          <w:tcPr>
            <w:tcW w:w="747" w:type="dxa"/>
            <w:vAlign w:val="center"/>
          </w:tcPr>
          <w:p>
            <w:pPr>
              <w:jc w:val="center"/>
              <w:rPr>
                <w:rFonts w:ascii="宋体" w:hAnsi="宋体"/>
                <w:b/>
                <w:color w:val="auto"/>
                <w:kern w:val="0"/>
              </w:rPr>
            </w:pPr>
          </w:p>
        </w:tc>
        <w:tc>
          <w:tcPr>
            <w:tcW w:w="870" w:type="dxa"/>
            <w:vAlign w:val="center"/>
          </w:tcPr>
          <w:p>
            <w:pPr>
              <w:jc w:val="left"/>
              <w:rPr>
                <w:rFonts w:ascii="宋体" w:hAnsi="宋体"/>
                <w:b/>
                <w:color w:val="auto"/>
                <w:kern w:val="0"/>
              </w:rPr>
            </w:pPr>
          </w:p>
        </w:tc>
        <w:tc>
          <w:tcPr>
            <w:tcW w:w="910" w:type="dxa"/>
            <w:vAlign w:val="center"/>
          </w:tcPr>
          <w:p>
            <w:pPr>
              <w:jc w:val="left"/>
              <w:rPr>
                <w:rFonts w:ascii="宋体" w:hAnsi="宋体"/>
                <w:b/>
                <w:color w:val="auto"/>
                <w:kern w:val="0"/>
              </w:rPr>
            </w:pPr>
          </w:p>
        </w:tc>
        <w:tc>
          <w:tcPr>
            <w:tcW w:w="1922" w:type="dxa"/>
            <w:vAlign w:val="center"/>
          </w:tcPr>
          <w:p>
            <w:pPr>
              <w:jc w:val="left"/>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7" w:type="dxa"/>
            <w:vAlign w:val="center"/>
          </w:tcPr>
          <w:p>
            <w:pPr>
              <w:jc w:val="center"/>
              <w:rPr>
                <w:rFonts w:ascii="宋体" w:hAnsi="宋体"/>
                <w:b/>
                <w:color w:val="auto"/>
                <w:kern w:val="0"/>
              </w:rPr>
            </w:pPr>
            <w:r>
              <w:rPr>
                <w:rFonts w:ascii="宋体" w:hAnsi="宋体"/>
                <w:b/>
                <w:color w:val="auto"/>
                <w:kern w:val="0"/>
              </w:rPr>
              <w:t>5</w:t>
            </w:r>
          </w:p>
        </w:tc>
        <w:tc>
          <w:tcPr>
            <w:tcW w:w="3035" w:type="dxa"/>
            <w:vAlign w:val="center"/>
          </w:tcPr>
          <w:p>
            <w:pPr>
              <w:jc w:val="left"/>
              <w:rPr>
                <w:rFonts w:ascii="宋体" w:hAnsi="宋体"/>
                <w:b/>
                <w:color w:val="auto"/>
                <w:kern w:val="0"/>
              </w:rPr>
            </w:pPr>
          </w:p>
        </w:tc>
        <w:tc>
          <w:tcPr>
            <w:tcW w:w="699" w:type="dxa"/>
            <w:vAlign w:val="center"/>
          </w:tcPr>
          <w:p>
            <w:pPr>
              <w:jc w:val="center"/>
              <w:rPr>
                <w:rFonts w:ascii="宋体" w:hAnsi="宋体"/>
                <w:b/>
                <w:color w:val="auto"/>
                <w:kern w:val="0"/>
              </w:rPr>
            </w:pPr>
          </w:p>
        </w:tc>
        <w:tc>
          <w:tcPr>
            <w:tcW w:w="747" w:type="dxa"/>
            <w:vAlign w:val="center"/>
          </w:tcPr>
          <w:p>
            <w:pPr>
              <w:jc w:val="center"/>
              <w:rPr>
                <w:rFonts w:ascii="宋体" w:hAnsi="宋体"/>
                <w:b/>
                <w:color w:val="auto"/>
                <w:kern w:val="0"/>
              </w:rPr>
            </w:pPr>
          </w:p>
        </w:tc>
        <w:tc>
          <w:tcPr>
            <w:tcW w:w="870" w:type="dxa"/>
            <w:vAlign w:val="center"/>
          </w:tcPr>
          <w:p>
            <w:pPr>
              <w:jc w:val="center"/>
              <w:rPr>
                <w:rFonts w:ascii="宋体" w:hAnsi="宋体"/>
                <w:b/>
                <w:color w:val="auto"/>
                <w:kern w:val="0"/>
              </w:rPr>
            </w:pPr>
          </w:p>
        </w:tc>
        <w:tc>
          <w:tcPr>
            <w:tcW w:w="910" w:type="dxa"/>
            <w:vAlign w:val="center"/>
          </w:tcPr>
          <w:p>
            <w:pPr>
              <w:jc w:val="left"/>
              <w:rPr>
                <w:rFonts w:ascii="宋体" w:hAnsi="宋体"/>
                <w:b/>
                <w:color w:val="auto"/>
                <w:kern w:val="0"/>
              </w:rPr>
            </w:pPr>
          </w:p>
        </w:tc>
        <w:tc>
          <w:tcPr>
            <w:tcW w:w="1922" w:type="dxa"/>
            <w:vAlign w:val="center"/>
          </w:tcPr>
          <w:p>
            <w:pPr>
              <w:jc w:val="left"/>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7" w:type="dxa"/>
            <w:vAlign w:val="center"/>
          </w:tcPr>
          <w:p>
            <w:pPr>
              <w:jc w:val="center"/>
              <w:rPr>
                <w:rFonts w:ascii="宋体" w:hAnsi="宋体"/>
                <w:b/>
                <w:color w:val="auto"/>
                <w:kern w:val="0"/>
              </w:rPr>
            </w:pPr>
            <w:r>
              <w:rPr>
                <w:rFonts w:hint="eastAsia" w:ascii="宋体" w:hAnsi="宋体"/>
                <w:b/>
                <w:color w:val="auto"/>
                <w:kern w:val="0"/>
              </w:rPr>
              <w:t>…</w:t>
            </w:r>
          </w:p>
        </w:tc>
        <w:tc>
          <w:tcPr>
            <w:tcW w:w="3035" w:type="dxa"/>
            <w:vAlign w:val="center"/>
          </w:tcPr>
          <w:p>
            <w:pPr>
              <w:jc w:val="left"/>
              <w:rPr>
                <w:rFonts w:ascii="宋体" w:hAnsi="宋体"/>
                <w:b/>
                <w:color w:val="auto"/>
                <w:kern w:val="0"/>
              </w:rPr>
            </w:pPr>
          </w:p>
        </w:tc>
        <w:tc>
          <w:tcPr>
            <w:tcW w:w="699" w:type="dxa"/>
            <w:vAlign w:val="center"/>
          </w:tcPr>
          <w:p>
            <w:pPr>
              <w:jc w:val="center"/>
              <w:rPr>
                <w:rFonts w:ascii="宋体" w:hAnsi="宋体"/>
                <w:b/>
                <w:color w:val="auto"/>
                <w:kern w:val="0"/>
              </w:rPr>
            </w:pPr>
          </w:p>
        </w:tc>
        <w:tc>
          <w:tcPr>
            <w:tcW w:w="747" w:type="dxa"/>
            <w:vAlign w:val="center"/>
          </w:tcPr>
          <w:p>
            <w:pPr>
              <w:jc w:val="center"/>
              <w:rPr>
                <w:rFonts w:ascii="宋体" w:hAnsi="宋体"/>
                <w:b/>
                <w:color w:val="auto"/>
                <w:kern w:val="0"/>
              </w:rPr>
            </w:pPr>
          </w:p>
        </w:tc>
        <w:tc>
          <w:tcPr>
            <w:tcW w:w="870" w:type="dxa"/>
            <w:vAlign w:val="center"/>
          </w:tcPr>
          <w:p>
            <w:pPr>
              <w:jc w:val="center"/>
              <w:rPr>
                <w:rFonts w:ascii="宋体" w:hAnsi="宋体"/>
                <w:b/>
                <w:color w:val="auto"/>
                <w:kern w:val="0"/>
              </w:rPr>
            </w:pPr>
          </w:p>
        </w:tc>
        <w:tc>
          <w:tcPr>
            <w:tcW w:w="910" w:type="dxa"/>
            <w:vAlign w:val="center"/>
          </w:tcPr>
          <w:p>
            <w:pPr>
              <w:jc w:val="left"/>
              <w:rPr>
                <w:rFonts w:ascii="宋体" w:hAnsi="宋体"/>
                <w:b/>
                <w:color w:val="auto"/>
                <w:kern w:val="0"/>
              </w:rPr>
            </w:pPr>
          </w:p>
        </w:tc>
        <w:tc>
          <w:tcPr>
            <w:tcW w:w="1922" w:type="dxa"/>
            <w:vAlign w:val="center"/>
          </w:tcPr>
          <w:p>
            <w:pPr>
              <w:jc w:val="left"/>
              <w:rPr>
                <w:rFonts w:ascii="宋体" w:hAnsi="宋体"/>
                <w:b/>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77" w:type="dxa"/>
            <w:vAlign w:val="center"/>
          </w:tcPr>
          <w:p>
            <w:pPr>
              <w:jc w:val="center"/>
              <w:rPr>
                <w:rFonts w:ascii="宋体" w:hAnsi="宋体"/>
                <w:b/>
                <w:color w:val="auto"/>
                <w:kern w:val="0"/>
              </w:rPr>
            </w:pPr>
            <w:r>
              <w:rPr>
                <w:rFonts w:hint="eastAsia" w:ascii="宋体" w:hAnsi="宋体"/>
                <w:b/>
                <w:color w:val="auto"/>
                <w:kern w:val="0"/>
              </w:rPr>
              <w:t>…</w:t>
            </w:r>
          </w:p>
        </w:tc>
        <w:tc>
          <w:tcPr>
            <w:tcW w:w="3035" w:type="dxa"/>
            <w:vAlign w:val="center"/>
          </w:tcPr>
          <w:p>
            <w:pPr>
              <w:jc w:val="left"/>
              <w:rPr>
                <w:rFonts w:ascii="宋体" w:hAnsi="宋体"/>
                <w:b/>
                <w:color w:val="auto"/>
                <w:kern w:val="0"/>
              </w:rPr>
            </w:pPr>
            <w:r>
              <w:rPr>
                <w:rFonts w:hint="eastAsia" w:ascii="宋体" w:hAnsi="宋体"/>
                <w:b/>
                <w:color w:val="auto"/>
                <w:kern w:val="0"/>
              </w:rPr>
              <w:t>法定税费</w:t>
            </w:r>
          </w:p>
        </w:tc>
        <w:tc>
          <w:tcPr>
            <w:tcW w:w="699" w:type="dxa"/>
            <w:vAlign w:val="center"/>
          </w:tcPr>
          <w:p>
            <w:pPr>
              <w:jc w:val="center"/>
              <w:rPr>
                <w:rFonts w:ascii="宋体" w:hAnsi="宋体"/>
                <w:b/>
                <w:color w:val="auto"/>
                <w:kern w:val="0"/>
              </w:rPr>
            </w:pPr>
          </w:p>
        </w:tc>
        <w:tc>
          <w:tcPr>
            <w:tcW w:w="747" w:type="dxa"/>
            <w:vAlign w:val="center"/>
          </w:tcPr>
          <w:p>
            <w:pPr>
              <w:jc w:val="center"/>
              <w:rPr>
                <w:rFonts w:ascii="宋体" w:hAnsi="宋体"/>
                <w:b/>
                <w:color w:val="auto"/>
                <w:kern w:val="0"/>
              </w:rPr>
            </w:pPr>
          </w:p>
        </w:tc>
        <w:tc>
          <w:tcPr>
            <w:tcW w:w="870" w:type="dxa"/>
            <w:vAlign w:val="center"/>
          </w:tcPr>
          <w:p>
            <w:pPr>
              <w:jc w:val="center"/>
              <w:rPr>
                <w:rFonts w:ascii="宋体" w:hAnsi="宋体"/>
                <w:b/>
                <w:color w:val="auto"/>
                <w:kern w:val="0"/>
              </w:rPr>
            </w:pPr>
          </w:p>
        </w:tc>
        <w:tc>
          <w:tcPr>
            <w:tcW w:w="910" w:type="dxa"/>
            <w:vAlign w:val="center"/>
          </w:tcPr>
          <w:p>
            <w:pPr>
              <w:jc w:val="left"/>
              <w:rPr>
                <w:rFonts w:ascii="宋体" w:hAnsi="宋体"/>
                <w:b/>
                <w:color w:val="auto"/>
                <w:kern w:val="0"/>
              </w:rPr>
            </w:pPr>
          </w:p>
        </w:tc>
        <w:tc>
          <w:tcPr>
            <w:tcW w:w="1922" w:type="dxa"/>
            <w:vAlign w:val="center"/>
          </w:tcPr>
          <w:p>
            <w:pPr>
              <w:jc w:val="left"/>
              <w:rPr>
                <w:rFonts w:hint="default" w:ascii="宋体" w:hAnsi="宋体" w:eastAsia="宋体"/>
                <w:b/>
                <w:color w:val="auto"/>
                <w:kern w:val="0"/>
                <w:lang w:val="en-US" w:eastAsia="zh-CN"/>
              </w:rPr>
            </w:pPr>
            <w:r>
              <w:rPr>
                <w:rFonts w:hint="eastAsia" w:ascii="宋体" w:hAnsi="宋体"/>
                <w:b/>
                <w:color w:val="auto"/>
                <w:kern w:val="0"/>
              </w:rPr>
              <w:t>税率以投标截止日前一个月份【或前一个季度】的发票</w:t>
            </w:r>
            <w:r>
              <w:rPr>
                <w:rFonts w:hint="eastAsia" w:ascii="宋体" w:hAnsi="宋体"/>
                <w:b/>
                <w:color w:val="auto"/>
                <w:kern w:val="0"/>
                <w:lang w:val="en-US" w:eastAsia="zh-CN"/>
              </w:rPr>
              <w:t>税率</w:t>
            </w:r>
            <w:r>
              <w:rPr>
                <w:rFonts w:hint="eastAsia" w:ascii="宋体" w:hAnsi="宋体"/>
                <w:b/>
                <w:color w:val="auto"/>
                <w:kern w:val="0"/>
              </w:rPr>
              <w:t>为准，提供复印件，否则报价无效。</w:t>
            </w:r>
            <w:r>
              <w:rPr>
                <w:rFonts w:hint="eastAsia" w:ascii="宋体" w:hAnsi="宋体"/>
                <w:b/>
                <w:color w:val="auto"/>
                <w:kern w:val="0"/>
                <w:lang w:val="en-US" w:eastAsia="zh-CN"/>
              </w:rPr>
              <w:t>如提供虚假材料，作废标处理，责任自负。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112" w:type="dxa"/>
            <w:gridSpan w:val="2"/>
            <w:vAlign w:val="center"/>
          </w:tcPr>
          <w:p>
            <w:pPr>
              <w:jc w:val="center"/>
              <w:rPr>
                <w:rFonts w:ascii="宋体" w:hAnsi="宋体"/>
                <w:b/>
                <w:color w:val="auto"/>
                <w:kern w:val="0"/>
              </w:rPr>
            </w:pPr>
            <w:r>
              <w:rPr>
                <w:rFonts w:hint="eastAsia" w:ascii="宋体" w:hAnsi="宋体"/>
                <w:b/>
                <w:color w:val="auto"/>
                <w:kern w:val="0"/>
              </w:rPr>
              <w:t>投标报价（1+2+3+…）</w:t>
            </w:r>
          </w:p>
        </w:tc>
        <w:tc>
          <w:tcPr>
            <w:tcW w:w="3226" w:type="dxa"/>
            <w:gridSpan w:val="4"/>
          </w:tcPr>
          <w:p>
            <w:pPr>
              <w:jc w:val="center"/>
              <w:rPr>
                <w:rFonts w:ascii="宋体" w:hAnsi="宋体"/>
                <w:color w:val="auto"/>
                <w:kern w:val="0"/>
              </w:rPr>
            </w:pPr>
          </w:p>
        </w:tc>
        <w:tc>
          <w:tcPr>
            <w:tcW w:w="1922" w:type="dxa"/>
            <w:vAlign w:val="center"/>
          </w:tcPr>
          <w:p>
            <w:pPr>
              <w:jc w:val="center"/>
              <w:rPr>
                <w:rFonts w:ascii="宋体" w:hAnsi="宋体"/>
                <w:color w:val="auto"/>
                <w:kern w:val="0"/>
              </w:rPr>
            </w:pPr>
          </w:p>
        </w:tc>
      </w:tr>
    </w:tbl>
    <w:p>
      <w:pPr>
        <w:ind w:firstLine="420" w:firstLineChars="200"/>
        <w:jc w:val="center"/>
        <w:textAlignment w:val="center"/>
        <w:rPr>
          <w:rFonts w:ascii="宋体" w:hAnsi="宋体"/>
          <w:color w:val="auto"/>
          <w:kern w:val="0"/>
        </w:rPr>
      </w:pPr>
    </w:p>
    <w:p>
      <w:pPr>
        <w:adjustRightInd w:val="0"/>
        <w:snapToGrid w:val="0"/>
        <w:spacing w:line="360" w:lineRule="auto"/>
        <w:ind w:firstLine="420" w:firstLineChars="200"/>
        <w:rPr>
          <w:rFonts w:ascii="宋体" w:hAnsi="宋体"/>
          <w:color w:val="auto"/>
          <w:kern w:val="0"/>
        </w:rPr>
      </w:pPr>
    </w:p>
    <w:p>
      <w:pPr>
        <w:adjustRightInd w:val="0"/>
        <w:snapToGrid w:val="0"/>
        <w:spacing w:line="360" w:lineRule="auto"/>
        <w:ind w:firstLine="420" w:firstLineChars="200"/>
        <w:rPr>
          <w:rFonts w:ascii="宋体" w:hAnsi="宋体"/>
          <w:color w:val="auto"/>
          <w:kern w:val="0"/>
        </w:rPr>
      </w:pPr>
      <w:r>
        <w:rPr>
          <w:rFonts w:hint="eastAsia" w:ascii="宋体" w:hAnsi="宋体"/>
          <w:color w:val="auto"/>
          <w:kern w:val="0"/>
        </w:rPr>
        <w:t>备注：1.投标报价按一年报价，应是投标人负责为完成本次招标范围内的全部工作内容的价格体现。投标报价的价格组成包括(但不限于):为完成本项目招标范围内保洁所需的保洁人员及管理人员的工资(含日常工资、工资性津贴、福利费、劳动保护费、应由投标人交纳的社保及养老金等各项保险费、法定假日和双休日及夜间计划等一切加班费用)、 办公及保洁养护设备购置及折旧费、日常保洁所需工具及其保洁等耗材、公用设备设施日常维修及保养的人工费、安全巡护管理费、投标所需的各项目费用、国家政策性文件调整所涉及的相关费用、不可预见费(应充分考虑所有风险、责任等)、管理费、利润、税费等所有费用。国家法定节假日及遇到举办大型活动、庆祝活动、双休日需安排人员加班进行无间断保洁，加班费用全部包含在此次投标总报价当中，由中标人自行按国家有关法律法规的规定支付，与招标人无关。合同履约期内不再附加其他任何费用。</w:t>
      </w:r>
    </w:p>
    <w:p>
      <w:pPr>
        <w:adjustRightInd w:val="0"/>
        <w:snapToGrid w:val="0"/>
        <w:spacing w:line="360" w:lineRule="auto"/>
        <w:ind w:firstLine="420" w:firstLineChars="200"/>
        <w:rPr>
          <w:rFonts w:ascii="宋体" w:hAnsi="宋体"/>
          <w:color w:val="auto"/>
          <w:kern w:val="0"/>
        </w:rPr>
      </w:pPr>
      <w:r>
        <w:rPr>
          <w:rFonts w:hint="eastAsia" w:ascii="宋体" w:hAnsi="宋体"/>
          <w:color w:val="auto"/>
          <w:kern w:val="0"/>
        </w:rPr>
        <w:t>2.由于招标单位是学校，有寒暑假，人员使用上有弹性，报价时应在全年人员费用支出与企业利润等方面统筹考虑。</w:t>
      </w:r>
    </w:p>
    <w:p>
      <w:pPr>
        <w:adjustRightInd w:val="0"/>
        <w:snapToGrid w:val="0"/>
        <w:spacing w:line="360" w:lineRule="auto"/>
        <w:ind w:firstLine="420" w:firstLineChars="200"/>
        <w:rPr>
          <w:rFonts w:ascii="宋体" w:hAnsi="宋体"/>
          <w:color w:val="auto"/>
          <w:kern w:val="0"/>
        </w:rPr>
      </w:pPr>
      <w:r>
        <w:rPr>
          <w:rFonts w:hint="eastAsia" w:ascii="宋体" w:hAnsi="宋体"/>
          <w:color w:val="auto"/>
          <w:kern w:val="0"/>
        </w:rPr>
        <w:t>学生在校期间，项目负责人须在校，必须根据上表配置所需服务人员，不得减少岗位人数，所有服务人员必须服从学校管理，节假日及特殊时期严格遵守岗位职责并承担一定的学校勤务工作，各岗位具体勤务工作由学校合理分工制定。</w:t>
      </w:r>
    </w:p>
    <w:p>
      <w:pPr>
        <w:spacing w:line="360" w:lineRule="auto"/>
        <w:ind w:firstLine="420" w:firstLineChars="200"/>
        <w:jc w:val="left"/>
        <w:textAlignment w:val="center"/>
        <w:rPr>
          <w:rFonts w:ascii="宋体" w:hAnsi="宋体"/>
          <w:color w:val="auto"/>
          <w:kern w:val="0"/>
        </w:rPr>
      </w:pPr>
    </w:p>
    <w:p>
      <w:pPr>
        <w:rPr>
          <w:rFonts w:ascii="宋体" w:hAnsi="宋体"/>
          <w:color w:val="auto"/>
          <w:sz w:val="22"/>
          <w:szCs w:val="20"/>
        </w:rPr>
      </w:pPr>
    </w:p>
    <w:p>
      <w:pPr>
        <w:ind w:firstLine="4800" w:firstLineChars="2000"/>
        <w:rPr>
          <w:rFonts w:ascii="宋体" w:hAnsi="宋体"/>
          <w:color w:val="auto"/>
          <w:sz w:val="24"/>
          <w:szCs w:val="24"/>
        </w:rPr>
      </w:pPr>
      <w:r>
        <w:rPr>
          <w:rFonts w:hint="eastAsia" w:ascii="宋体" w:hAnsi="宋体"/>
          <w:color w:val="auto"/>
          <w:sz w:val="24"/>
          <w:szCs w:val="24"/>
        </w:rPr>
        <w:t>投标单位（盖 章）：</w:t>
      </w:r>
    </w:p>
    <w:p>
      <w:pPr>
        <w:spacing w:line="360" w:lineRule="auto"/>
        <w:ind w:firstLine="2640" w:firstLineChars="1100"/>
        <w:rPr>
          <w:rFonts w:ascii="宋体" w:hAnsi="宋体"/>
          <w:color w:val="auto"/>
          <w:sz w:val="24"/>
        </w:rPr>
      </w:pPr>
      <w:r>
        <w:rPr>
          <w:rFonts w:hint="eastAsia" w:ascii="宋体" w:hAnsi="宋体"/>
          <w:color w:val="auto"/>
          <w:sz w:val="24"/>
        </w:rPr>
        <w:t>法定代表人或委托代理人（签字或盖章）：</w:t>
      </w:r>
    </w:p>
    <w:p>
      <w:pPr>
        <w:pStyle w:val="145"/>
        <w:rPr>
          <w:rFonts w:ascii="宋体" w:hAnsi="宋体" w:cs="宋体"/>
          <w:color w:val="auto"/>
        </w:rPr>
      </w:pP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pStyle w:val="2"/>
        <w:ind w:left="1470" w:right="1470"/>
        <w:rPr>
          <w:rStyle w:val="44"/>
          <w:rFonts w:ascii="宋体" w:hAnsi="宋体"/>
          <w:color w:val="auto"/>
          <w:sz w:val="24"/>
        </w:rPr>
      </w:pPr>
    </w:p>
    <w:p>
      <w:pPr>
        <w:pStyle w:val="24"/>
        <w:rPr>
          <w:color w:val="auto"/>
        </w:rPr>
      </w:pPr>
    </w:p>
    <w:p>
      <w:pPr>
        <w:rPr>
          <w:color w:val="auto"/>
        </w:rPr>
      </w:pPr>
      <w:r>
        <w:rPr>
          <w:color w:val="auto"/>
        </w:rPr>
        <w:br w:type="page"/>
      </w:r>
    </w:p>
    <w:p>
      <w:pPr>
        <w:snapToGrid w:val="0"/>
        <w:spacing w:before="50" w:after="50"/>
        <w:jc w:val="center"/>
        <w:rPr>
          <w:rFonts w:ascii="黑体" w:eastAsia="黑体"/>
          <w:color w:val="auto"/>
          <w:sz w:val="32"/>
          <w:szCs w:val="32"/>
        </w:rPr>
      </w:pPr>
      <w:bookmarkStart w:id="29" w:name="_Toc30796"/>
    </w:p>
    <w:p>
      <w:pPr>
        <w:pStyle w:val="22"/>
        <w:shd w:val="clear" w:color="auto" w:fill="FFFFFF"/>
        <w:spacing w:before="0" w:beforeAutospacing="0" w:after="0" w:afterAutospacing="0" w:line="560" w:lineRule="atLeast"/>
        <w:jc w:val="both"/>
        <w:rPr>
          <w:b/>
          <w:color w:val="auto"/>
          <w:shd w:val="clear" w:color="auto" w:fill="FFFFFF"/>
        </w:rPr>
      </w:pPr>
      <w:r>
        <w:rPr>
          <w:rFonts w:hint="eastAsia"/>
          <w:b/>
          <w:color w:val="auto"/>
          <w:shd w:val="clear" w:color="auto" w:fill="FFFFFF"/>
        </w:rPr>
        <w:t>附1</w:t>
      </w:r>
    </w:p>
    <w:p>
      <w:pPr>
        <w:spacing w:line="360" w:lineRule="auto"/>
        <w:jc w:val="center"/>
        <w:rPr>
          <w:rFonts w:ascii="宋体" w:hAnsi="宋体"/>
          <w:b/>
          <w:bCs/>
          <w:color w:val="auto"/>
          <w:sz w:val="24"/>
          <w:szCs w:val="24"/>
        </w:rPr>
      </w:pPr>
      <w:r>
        <w:rPr>
          <w:rFonts w:hint="eastAsia" w:ascii="宋体" w:hAnsi="宋体"/>
          <w:b/>
          <w:bCs/>
          <w:color w:val="auto"/>
          <w:sz w:val="24"/>
          <w:szCs w:val="24"/>
        </w:rPr>
        <w:t>中小企业声明函（服务）</w:t>
      </w:r>
    </w:p>
    <w:p>
      <w:pPr>
        <w:spacing w:line="360" w:lineRule="auto"/>
        <w:rPr>
          <w:rFonts w:ascii="宋体" w:hAnsi="宋体"/>
          <w:b/>
          <w:bCs/>
          <w:color w:val="auto"/>
          <w:sz w:val="24"/>
          <w:szCs w:val="24"/>
        </w:rPr>
      </w:pP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本公司郑重声明，根据《政府采购促进中小企业发展管理办法》（财库﹝2020﹞46 号）的规定，本公司参加</w:t>
      </w:r>
      <w:r>
        <w:rPr>
          <w:rFonts w:hint="eastAsia" w:ascii="宋体" w:hAnsi="宋体"/>
          <w:i/>
          <w:iCs/>
          <w:color w:val="auto"/>
          <w:sz w:val="24"/>
          <w:szCs w:val="24"/>
          <w:u w:val="single"/>
        </w:rPr>
        <w:t>（单位名称）</w:t>
      </w:r>
      <w:r>
        <w:rPr>
          <w:rFonts w:hint="eastAsia" w:ascii="宋体" w:hAnsi="宋体"/>
          <w:color w:val="auto"/>
          <w:sz w:val="24"/>
          <w:szCs w:val="24"/>
        </w:rPr>
        <w:t>的</w:t>
      </w:r>
      <w:r>
        <w:rPr>
          <w:rFonts w:hint="eastAsia" w:ascii="宋体" w:hAnsi="宋体"/>
          <w:i/>
          <w:iCs/>
          <w:color w:val="auto"/>
          <w:sz w:val="24"/>
          <w:szCs w:val="24"/>
          <w:u w:val="single"/>
        </w:rPr>
        <w:t>（项目名称）</w:t>
      </w:r>
      <w:r>
        <w:rPr>
          <w:rFonts w:hint="eastAsia" w:ascii="宋体" w:hAnsi="宋体"/>
          <w:color w:val="auto"/>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i/>
          <w:iCs/>
          <w:color w:val="auto"/>
          <w:sz w:val="24"/>
          <w:szCs w:val="24"/>
          <w:u w:val="single"/>
        </w:rPr>
        <w:t>（标的名称）</w:t>
      </w:r>
      <w:r>
        <w:rPr>
          <w:rFonts w:hint="eastAsia" w:ascii="宋体" w:hAnsi="宋体"/>
          <w:color w:val="auto"/>
          <w:sz w:val="24"/>
          <w:szCs w:val="24"/>
        </w:rPr>
        <w:t>，属于</w:t>
      </w:r>
      <w:r>
        <w:rPr>
          <w:rFonts w:hint="eastAsia" w:ascii="宋体" w:hAnsi="宋体"/>
          <w:i/>
          <w:iCs/>
          <w:color w:val="auto"/>
          <w:sz w:val="24"/>
          <w:szCs w:val="24"/>
          <w:u w:val="single"/>
        </w:rPr>
        <w:t>（采购文件中明确的所属行业）</w:t>
      </w:r>
      <w:r>
        <w:rPr>
          <w:rFonts w:hint="eastAsia" w:ascii="宋体" w:hAnsi="宋体"/>
          <w:color w:val="auto"/>
          <w:sz w:val="24"/>
          <w:szCs w:val="24"/>
        </w:rPr>
        <w:t>行业；承接企业为</w:t>
      </w:r>
      <w:r>
        <w:rPr>
          <w:rFonts w:hint="eastAsia" w:ascii="宋体" w:hAnsi="宋体"/>
          <w:i/>
          <w:iCs/>
          <w:color w:val="auto"/>
          <w:sz w:val="24"/>
          <w:szCs w:val="24"/>
          <w:u w:val="single"/>
        </w:rPr>
        <w:t>（企业名称）</w:t>
      </w:r>
      <w:r>
        <w:rPr>
          <w:rFonts w:hint="eastAsia" w:ascii="宋体" w:hAnsi="宋体"/>
          <w:color w:val="auto"/>
          <w:sz w:val="24"/>
          <w:szCs w:val="24"/>
        </w:rPr>
        <w:t>，从业人员</w:t>
      </w:r>
      <w:r>
        <w:rPr>
          <w:rFonts w:hint="eastAsia" w:ascii="宋体" w:hAnsi="宋体"/>
          <w:i/>
          <w:iCs/>
          <w:color w:val="auto"/>
          <w:sz w:val="24"/>
          <w:szCs w:val="24"/>
          <w:u w:val="single"/>
        </w:rPr>
        <w:t xml:space="preserve">   人</w:t>
      </w:r>
      <w:r>
        <w:rPr>
          <w:rFonts w:hint="eastAsia" w:ascii="宋体" w:hAnsi="宋体"/>
          <w:color w:val="auto"/>
          <w:sz w:val="24"/>
          <w:szCs w:val="24"/>
        </w:rPr>
        <w:t>，营业收入为</w:t>
      </w:r>
      <w:r>
        <w:rPr>
          <w:rFonts w:hint="eastAsia" w:ascii="宋体" w:hAnsi="宋体"/>
          <w:i/>
          <w:iCs/>
          <w:color w:val="auto"/>
          <w:sz w:val="24"/>
          <w:szCs w:val="24"/>
          <w:u w:val="single"/>
        </w:rPr>
        <w:t xml:space="preserve">    万元</w:t>
      </w:r>
      <w:r>
        <w:rPr>
          <w:rFonts w:hint="eastAsia" w:ascii="宋体" w:hAnsi="宋体"/>
          <w:color w:val="auto"/>
          <w:sz w:val="24"/>
          <w:szCs w:val="24"/>
        </w:rPr>
        <w:t>，资产总额为</w:t>
      </w:r>
      <w:r>
        <w:rPr>
          <w:rFonts w:hint="eastAsia" w:ascii="宋体" w:hAnsi="宋体"/>
          <w:i/>
          <w:iCs/>
          <w:color w:val="auto"/>
          <w:sz w:val="24"/>
          <w:szCs w:val="24"/>
          <w:u w:val="single"/>
        </w:rPr>
        <w:t xml:space="preserve">   万元</w:t>
      </w:r>
      <w:r>
        <w:rPr>
          <w:rFonts w:hint="eastAsia" w:ascii="宋体" w:hAnsi="宋体"/>
          <w:color w:val="auto"/>
          <w:sz w:val="24"/>
          <w:szCs w:val="24"/>
        </w:rPr>
        <w:t>，属于</w:t>
      </w:r>
      <w:r>
        <w:rPr>
          <w:rFonts w:hint="eastAsia" w:ascii="宋体" w:hAnsi="宋体"/>
          <w:i/>
          <w:iCs/>
          <w:color w:val="auto"/>
          <w:sz w:val="24"/>
          <w:szCs w:val="24"/>
          <w:u w:val="single"/>
        </w:rPr>
        <w:t>（中型企业、小型企业、微型企业）</w:t>
      </w:r>
      <w:r>
        <w:rPr>
          <w:rFonts w:hint="eastAsia" w:ascii="宋体" w:hAnsi="宋体"/>
          <w:color w:val="auto"/>
          <w:sz w:val="24"/>
          <w:szCs w:val="24"/>
        </w:rPr>
        <w:t>；</w:t>
      </w:r>
    </w:p>
    <w:p>
      <w:pPr>
        <w:numPr>
          <w:ilvl w:val="0"/>
          <w:numId w:val="5"/>
        </w:numPr>
        <w:spacing w:line="360" w:lineRule="auto"/>
        <w:ind w:firstLine="480" w:firstLineChars="200"/>
        <w:jc w:val="left"/>
        <w:rPr>
          <w:rFonts w:ascii="宋体" w:hAnsi="宋体"/>
          <w:color w:val="auto"/>
          <w:sz w:val="24"/>
          <w:szCs w:val="24"/>
        </w:rPr>
      </w:pPr>
      <w:r>
        <w:rPr>
          <w:rFonts w:hint="eastAsia" w:ascii="宋体" w:hAnsi="宋体"/>
          <w:i/>
          <w:iCs/>
          <w:color w:val="auto"/>
          <w:sz w:val="24"/>
          <w:szCs w:val="24"/>
          <w:u w:val="single"/>
        </w:rPr>
        <w:t>（标的名称）</w:t>
      </w:r>
      <w:r>
        <w:rPr>
          <w:rFonts w:hint="eastAsia" w:ascii="宋体" w:hAnsi="宋体"/>
          <w:color w:val="auto"/>
          <w:sz w:val="24"/>
          <w:szCs w:val="24"/>
        </w:rPr>
        <w:t>，属于</w:t>
      </w:r>
      <w:r>
        <w:rPr>
          <w:rFonts w:hint="eastAsia" w:ascii="宋体" w:hAnsi="宋体"/>
          <w:i/>
          <w:iCs/>
          <w:color w:val="auto"/>
          <w:sz w:val="24"/>
          <w:szCs w:val="24"/>
          <w:u w:val="single"/>
        </w:rPr>
        <w:t>（采购文件中明确的所属行业）</w:t>
      </w:r>
      <w:r>
        <w:rPr>
          <w:rFonts w:hint="eastAsia" w:ascii="宋体" w:hAnsi="宋体"/>
          <w:color w:val="auto"/>
          <w:sz w:val="24"/>
          <w:szCs w:val="24"/>
        </w:rPr>
        <w:t>行业；承接企业为</w:t>
      </w:r>
      <w:r>
        <w:rPr>
          <w:rFonts w:hint="eastAsia" w:ascii="宋体" w:hAnsi="宋体"/>
          <w:i/>
          <w:iCs/>
          <w:color w:val="auto"/>
          <w:sz w:val="24"/>
          <w:szCs w:val="24"/>
          <w:u w:val="single"/>
        </w:rPr>
        <w:t>（企业名称）</w:t>
      </w:r>
      <w:r>
        <w:rPr>
          <w:rFonts w:hint="eastAsia" w:ascii="宋体" w:hAnsi="宋体"/>
          <w:color w:val="auto"/>
          <w:sz w:val="24"/>
          <w:szCs w:val="24"/>
        </w:rPr>
        <w:t>，从业人员人，营业收入为万元，资产总额为万元，属于</w:t>
      </w:r>
      <w:r>
        <w:rPr>
          <w:rFonts w:hint="eastAsia" w:ascii="宋体" w:hAnsi="宋体"/>
          <w:i/>
          <w:iCs/>
          <w:color w:val="auto"/>
          <w:sz w:val="24"/>
          <w:szCs w:val="24"/>
          <w:u w:val="single"/>
        </w:rPr>
        <w:t>（中型企业、小型企业、微型企业）</w:t>
      </w:r>
      <w:r>
        <w:rPr>
          <w:rFonts w:hint="eastAsia" w:ascii="宋体" w:hAnsi="宋体"/>
          <w:color w:val="auto"/>
          <w:sz w:val="24"/>
          <w:szCs w:val="24"/>
        </w:rPr>
        <w:t>；</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本企业对上述声明内容的真实性负责。如有虚假，将依法承担相应责任。</w:t>
      </w:r>
    </w:p>
    <w:p>
      <w:pPr>
        <w:spacing w:line="360" w:lineRule="auto"/>
        <w:ind w:firstLine="480" w:firstLineChars="200"/>
        <w:jc w:val="left"/>
        <w:rPr>
          <w:rFonts w:ascii="宋体" w:hAnsi="宋体"/>
          <w:color w:val="auto"/>
          <w:sz w:val="24"/>
          <w:szCs w:val="24"/>
        </w:rPr>
      </w:pPr>
    </w:p>
    <w:p>
      <w:pPr>
        <w:spacing w:line="360" w:lineRule="auto"/>
        <w:ind w:firstLine="4080" w:firstLineChars="1700"/>
        <w:jc w:val="left"/>
        <w:rPr>
          <w:rFonts w:ascii="宋体" w:hAnsi="宋体"/>
          <w:color w:val="auto"/>
          <w:sz w:val="24"/>
          <w:szCs w:val="24"/>
        </w:rPr>
      </w:pPr>
      <w:r>
        <w:rPr>
          <w:rFonts w:hint="eastAsia" w:ascii="宋体" w:hAnsi="宋体"/>
          <w:color w:val="auto"/>
          <w:sz w:val="24"/>
          <w:szCs w:val="24"/>
        </w:rPr>
        <w:t>企业名称（盖章）：</w:t>
      </w:r>
    </w:p>
    <w:p>
      <w:pPr>
        <w:spacing w:line="360" w:lineRule="auto"/>
        <w:ind w:firstLine="4080" w:firstLineChars="1700"/>
        <w:jc w:val="left"/>
        <w:rPr>
          <w:rFonts w:ascii="宋体" w:hAnsi="宋体"/>
          <w:color w:val="auto"/>
          <w:sz w:val="24"/>
          <w:szCs w:val="24"/>
        </w:rPr>
      </w:pPr>
      <w:r>
        <w:rPr>
          <w:rFonts w:hint="eastAsia" w:ascii="宋体" w:hAnsi="宋体"/>
          <w:color w:val="auto"/>
          <w:sz w:val="24"/>
          <w:szCs w:val="24"/>
        </w:rPr>
        <w:t>日期：</w:t>
      </w:r>
    </w:p>
    <w:p>
      <w:pPr>
        <w:spacing w:line="360" w:lineRule="auto"/>
        <w:jc w:val="center"/>
        <w:rPr>
          <w:rFonts w:ascii="宋体" w:hAnsi="宋体"/>
          <w:b/>
          <w:bCs/>
          <w:color w:val="auto"/>
        </w:rPr>
      </w:pPr>
    </w:p>
    <w:bookmarkEnd w:id="29"/>
    <w:p>
      <w:pPr>
        <w:wordWrap w:val="0"/>
        <w:spacing w:line="480" w:lineRule="auto"/>
        <w:jc w:val="right"/>
        <w:rPr>
          <w:rFonts w:ascii="宋体" w:hAnsi="宋体"/>
          <w:color w:val="auto"/>
        </w:rPr>
      </w:pPr>
      <w:bookmarkStart w:id="30" w:name="_Toc25472"/>
    </w:p>
    <w:p>
      <w:pPr>
        <w:spacing w:line="360" w:lineRule="auto"/>
        <w:jc w:val="center"/>
        <w:outlineLvl w:val="0"/>
        <w:rPr>
          <w:b/>
          <w:color w:val="auto"/>
          <w:sz w:val="30"/>
          <w:szCs w:val="30"/>
        </w:rPr>
      </w:pPr>
      <w:bookmarkStart w:id="31" w:name="_Toc15592"/>
      <w:r>
        <w:rPr>
          <w:rFonts w:hint="eastAsia" w:ascii="宋体" w:hAnsi="宋体"/>
          <w:b/>
          <w:color w:val="auto"/>
          <w:sz w:val="30"/>
          <w:szCs w:val="30"/>
        </w:rPr>
        <w:t>七、主要管理人员表（表格可拓展）</w:t>
      </w:r>
      <w:bookmarkEnd w:id="31"/>
    </w:p>
    <w:p>
      <w:pPr>
        <w:spacing w:line="360" w:lineRule="auto"/>
        <w:jc w:val="center"/>
        <w:rPr>
          <w:b/>
          <w:color w:val="auto"/>
          <w:sz w:val="30"/>
          <w:szCs w:val="30"/>
        </w:rPr>
      </w:pPr>
    </w:p>
    <w:tbl>
      <w:tblPr>
        <w:tblStyle w:val="25"/>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53"/>
        <w:gridCol w:w="1411"/>
        <w:gridCol w:w="1039"/>
        <w:gridCol w:w="994"/>
        <w:gridCol w:w="1055"/>
        <w:gridCol w:w="93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6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序号</w:t>
            </w:r>
          </w:p>
        </w:tc>
        <w:tc>
          <w:tcPr>
            <w:tcW w:w="1953"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岗位</w:t>
            </w:r>
          </w:p>
        </w:tc>
        <w:tc>
          <w:tcPr>
            <w:tcW w:w="1411"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姓名</w:t>
            </w:r>
          </w:p>
        </w:tc>
        <w:tc>
          <w:tcPr>
            <w:tcW w:w="1039"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性别</w:t>
            </w:r>
          </w:p>
        </w:tc>
        <w:tc>
          <w:tcPr>
            <w:tcW w:w="994"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年龄</w:t>
            </w:r>
          </w:p>
        </w:tc>
        <w:tc>
          <w:tcPr>
            <w:tcW w:w="1055"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学历</w:t>
            </w:r>
          </w:p>
        </w:tc>
        <w:tc>
          <w:tcPr>
            <w:tcW w:w="93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职称</w:t>
            </w:r>
          </w:p>
        </w:tc>
        <w:tc>
          <w:tcPr>
            <w:tcW w:w="982"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683"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p>
        </w:tc>
        <w:tc>
          <w:tcPr>
            <w:tcW w:w="1953" w:type="dxa"/>
            <w:tcBorders>
              <w:top w:val="single" w:color="auto" w:sz="4" w:space="0"/>
              <w:left w:val="nil"/>
              <w:bottom w:val="single" w:color="auto" w:sz="4" w:space="0"/>
              <w:right w:val="single" w:color="auto" w:sz="4" w:space="0"/>
            </w:tcBorders>
          </w:tcPr>
          <w:p>
            <w:pPr>
              <w:spacing w:line="360" w:lineRule="auto"/>
              <w:rPr>
                <w:color w:val="auto"/>
              </w:rPr>
            </w:pPr>
          </w:p>
        </w:tc>
        <w:tc>
          <w:tcPr>
            <w:tcW w:w="1411" w:type="dxa"/>
            <w:tcBorders>
              <w:top w:val="single" w:color="auto" w:sz="4" w:space="0"/>
              <w:left w:val="nil"/>
              <w:bottom w:val="single" w:color="auto" w:sz="4" w:space="0"/>
              <w:right w:val="single" w:color="auto" w:sz="4" w:space="0"/>
            </w:tcBorders>
          </w:tcPr>
          <w:p>
            <w:pPr>
              <w:spacing w:line="360" w:lineRule="auto"/>
              <w:rPr>
                <w:color w:val="auto"/>
              </w:rPr>
            </w:pPr>
          </w:p>
        </w:tc>
        <w:tc>
          <w:tcPr>
            <w:tcW w:w="1039" w:type="dxa"/>
            <w:tcBorders>
              <w:top w:val="single" w:color="auto" w:sz="4" w:space="0"/>
              <w:left w:val="nil"/>
              <w:bottom w:val="single" w:color="auto" w:sz="4" w:space="0"/>
              <w:right w:val="single" w:color="auto" w:sz="4" w:space="0"/>
            </w:tcBorders>
          </w:tcPr>
          <w:p>
            <w:pPr>
              <w:spacing w:line="360" w:lineRule="auto"/>
              <w:rPr>
                <w:color w:val="auto"/>
              </w:rPr>
            </w:pPr>
          </w:p>
        </w:tc>
        <w:tc>
          <w:tcPr>
            <w:tcW w:w="994" w:type="dxa"/>
            <w:tcBorders>
              <w:top w:val="single" w:color="auto" w:sz="4" w:space="0"/>
              <w:left w:val="nil"/>
              <w:bottom w:val="single" w:color="auto" w:sz="4" w:space="0"/>
              <w:right w:val="single" w:color="auto" w:sz="4" w:space="0"/>
            </w:tcBorders>
            <w:vAlign w:val="center"/>
          </w:tcPr>
          <w:p>
            <w:pPr>
              <w:spacing w:line="360" w:lineRule="auto"/>
              <w:rPr>
                <w:color w:val="auto"/>
              </w:rPr>
            </w:pPr>
          </w:p>
        </w:tc>
        <w:tc>
          <w:tcPr>
            <w:tcW w:w="1055" w:type="dxa"/>
            <w:tcBorders>
              <w:top w:val="single" w:color="auto" w:sz="4" w:space="0"/>
              <w:left w:val="nil"/>
              <w:bottom w:val="single" w:color="auto" w:sz="4" w:space="0"/>
              <w:right w:val="single" w:color="auto" w:sz="4" w:space="0"/>
            </w:tcBorders>
            <w:vAlign w:val="center"/>
          </w:tcPr>
          <w:p>
            <w:pPr>
              <w:spacing w:line="360" w:lineRule="auto"/>
              <w:rPr>
                <w:color w:val="auto"/>
              </w:rPr>
            </w:pPr>
          </w:p>
        </w:tc>
        <w:tc>
          <w:tcPr>
            <w:tcW w:w="932" w:type="dxa"/>
            <w:tcBorders>
              <w:top w:val="single" w:color="auto" w:sz="4" w:space="0"/>
              <w:left w:val="nil"/>
              <w:bottom w:val="single" w:color="auto" w:sz="4" w:space="0"/>
              <w:right w:val="single" w:color="auto" w:sz="4" w:space="0"/>
            </w:tcBorders>
            <w:vAlign w:val="center"/>
          </w:tcPr>
          <w:p>
            <w:pPr>
              <w:spacing w:line="360" w:lineRule="auto"/>
              <w:jc w:val="center"/>
              <w:rPr>
                <w:color w:val="auto"/>
              </w:rPr>
            </w:pPr>
          </w:p>
        </w:tc>
        <w:tc>
          <w:tcPr>
            <w:tcW w:w="982" w:type="dxa"/>
            <w:tcBorders>
              <w:top w:val="single" w:color="auto" w:sz="4" w:space="0"/>
              <w:left w:val="nil"/>
              <w:bottom w:val="single" w:color="auto" w:sz="4" w:space="0"/>
              <w:right w:val="single" w:color="auto" w:sz="4" w:space="0"/>
            </w:tcBorders>
            <w:vAlign w:val="center"/>
          </w:tcPr>
          <w:p>
            <w:pPr>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5" w:hRule="atLeast"/>
        </w:trPr>
        <w:tc>
          <w:tcPr>
            <w:tcW w:w="683" w:type="dxa"/>
            <w:vMerge w:val="continue"/>
            <w:tcBorders>
              <w:top w:val="nil"/>
              <w:left w:val="single" w:color="auto" w:sz="4" w:space="0"/>
              <w:bottom w:val="single" w:color="auto" w:sz="4" w:space="0"/>
              <w:right w:val="single" w:color="auto" w:sz="4" w:space="0"/>
            </w:tcBorders>
            <w:vAlign w:val="center"/>
          </w:tcPr>
          <w:p>
            <w:pPr>
              <w:jc w:val="left"/>
              <w:rPr>
                <w:rFonts w:ascii="宋体" w:hAnsi="宋体"/>
                <w:color w:val="auto"/>
              </w:rPr>
            </w:pPr>
          </w:p>
        </w:tc>
        <w:tc>
          <w:tcPr>
            <w:tcW w:w="8371" w:type="dxa"/>
            <w:gridSpan w:val="7"/>
            <w:tcBorders>
              <w:top w:val="single" w:color="auto" w:sz="4" w:space="0"/>
              <w:left w:val="nil"/>
              <w:bottom w:val="single" w:color="auto" w:sz="4" w:space="0"/>
              <w:right w:val="single" w:color="auto" w:sz="4" w:space="0"/>
            </w:tcBorders>
          </w:tcPr>
          <w:p>
            <w:pPr>
              <w:spacing w:line="360" w:lineRule="auto"/>
              <w:rPr>
                <w:color w:val="auto"/>
              </w:rPr>
            </w:pPr>
            <w:r>
              <w:rPr>
                <w:rFonts w:hint="eastAsia" w:ascii="宋体" w:hAnsi="宋体"/>
                <w:color w:val="auto"/>
              </w:rPr>
              <w:t>主要工作履历：</w:t>
            </w:r>
          </w:p>
        </w:tc>
      </w:tr>
    </w:tbl>
    <w:p>
      <w:pPr>
        <w:spacing w:line="360" w:lineRule="auto"/>
        <w:rPr>
          <w:rFonts w:ascii="宋体" w:hAnsi="宋体"/>
          <w:color w:val="auto"/>
        </w:rPr>
      </w:pPr>
    </w:p>
    <w:p>
      <w:pPr>
        <w:spacing w:line="360" w:lineRule="auto"/>
        <w:rPr>
          <w:rFonts w:ascii="宋体" w:hAnsi="宋体"/>
          <w:color w:val="auto"/>
        </w:rPr>
      </w:pPr>
      <w:r>
        <w:rPr>
          <w:rFonts w:hint="eastAsia" w:ascii="宋体" w:hAnsi="宋体"/>
          <w:color w:val="auto"/>
        </w:rPr>
        <w:t>投标人法定代表或其授权人：（签字或盖章）</w:t>
      </w:r>
    </w:p>
    <w:p>
      <w:pPr>
        <w:pStyle w:val="139"/>
        <w:jc w:val="center"/>
        <w:outlineLvl w:val="0"/>
        <w:rPr>
          <w:rStyle w:val="44"/>
          <w:rFonts w:ascii="宋体" w:hAnsi="宋体"/>
          <w:b/>
          <w:color w:val="auto"/>
          <w:sz w:val="32"/>
          <w:szCs w:val="32"/>
        </w:rPr>
      </w:pPr>
      <w:r>
        <w:rPr>
          <w:rFonts w:hint="eastAsia" w:ascii="宋体" w:hAnsi="宋体"/>
          <w:b/>
          <w:color w:val="auto"/>
          <w:sz w:val="30"/>
          <w:szCs w:val="30"/>
        </w:rPr>
        <w:br w:type="page"/>
      </w:r>
      <w:bookmarkStart w:id="32" w:name="_Toc14907"/>
      <w:r>
        <w:rPr>
          <w:rFonts w:hint="eastAsia" w:ascii="宋体" w:hAnsi="宋体"/>
          <w:b/>
          <w:color w:val="auto"/>
          <w:sz w:val="30"/>
          <w:szCs w:val="30"/>
        </w:rPr>
        <w:t>八、</w:t>
      </w:r>
      <w:r>
        <w:rPr>
          <w:rStyle w:val="44"/>
          <w:rFonts w:hint="eastAsia" w:ascii="宋体" w:hAnsi="宋体"/>
          <w:b/>
          <w:color w:val="auto"/>
          <w:sz w:val="32"/>
          <w:szCs w:val="32"/>
        </w:rPr>
        <w:t>技术方案、服务承诺等</w:t>
      </w:r>
      <w:bookmarkEnd w:id="32"/>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outlineLvl w:val="0"/>
        <w:rPr>
          <w:rStyle w:val="44"/>
          <w:rFonts w:ascii="宋体" w:hAnsi="宋体"/>
          <w:b/>
          <w:color w:val="auto"/>
          <w:sz w:val="32"/>
          <w:szCs w:val="32"/>
        </w:rPr>
      </w:pPr>
      <w:bookmarkStart w:id="33" w:name="_Toc27930"/>
      <w:r>
        <w:rPr>
          <w:rFonts w:hint="eastAsia" w:ascii="宋体" w:hAnsi="宋体"/>
          <w:b/>
          <w:color w:val="auto"/>
          <w:sz w:val="30"/>
          <w:szCs w:val="30"/>
        </w:rPr>
        <w:t>九、招标文件中规定要求提供的证明材料和投标人认为需要提供的其他材料</w:t>
      </w:r>
      <w:bookmarkEnd w:id="33"/>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rPr>
          <w:rStyle w:val="44"/>
          <w:rFonts w:ascii="宋体" w:hAnsi="宋体"/>
          <w:b/>
          <w:color w:val="auto"/>
          <w:sz w:val="32"/>
          <w:szCs w:val="32"/>
        </w:rPr>
      </w:pPr>
    </w:p>
    <w:p>
      <w:pPr>
        <w:pStyle w:val="139"/>
        <w:jc w:val="center"/>
        <w:outlineLvl w:val="0"/>
        <w:rPr>
          <w:rStyle w:val="44"/>
          <w:rFonts w:ascii="宋体" w:hAnsi="宋体"/>
          <w:b/>
          <w:color w:val="auto"/>
          <w:sz w:val="32"/>
          <w:szCs w:val="32"/>
        </w:rPr>
      </w:pPr>
      <w:bookmarkStart w:id="34" w:name="_Toc32679"/>
      <w:r>
        <w:rPr>
          <w:rStyle w:val="44"/>
          <w:rFonts w:hint="eastAsia" w:ascii="宋体" w:hAnsi="宋体"/>
          <w:b/>
          <w:color w:val="auto"/>
          <w:sz w:val="32"/>
          <w:szCs w:val="32"/>
        </w:rPr>
        <w:t>十、盐城市政府采购事前信用承诺书</w:t>
      </w:r>
      <w:bookmarkEnd w:id="30"/>
      <w:bookmarkEnd w:id="34"/>
    </w:p>
    <w:p>
      <w:pPr>
        <w:spacing w:line="500" w:lineRule="exact"/>
        <w:ind w:firstLine="480" w:firstLineChars="200"/>
        <w:jc w:val="left"/>
        <w:rPr>
          <w:rStyle w:val="44"/>
          <w:rFonts w:ascii="宋体" w:hAnsi="宋体"/>
          <w:color w:val="auto"/>
          <w:sz w:val="24"/>
        </w:rPr>
      </w:pPr>
      <w:r>
        <w:rPr>
          <w:rStyle w:val="44"/>
          <w:rFonts w:hint="eastAsia" w:ascii="宋体" w:hAnsi="宋体"/>
          <w:color w:val="auto"/>
          <w:sz w:val="24"/>
        </w:rPr>
        <w:t>为营造我市公开、公平、公正、诚实守信的政府采购交易环境，树立诚信守法的投标人形象，本人代表本单位作出以下承诺：</w:t>
      </w:r>
    </w:p>
    <w:p>
      <w:pPr>
        <w:spacing w:line="500" w:lineRule="exact"/>
        <w:jc w:val="left"/>
        <w:rPr>
          <w:rStyle w:val="44"/>
          <w:rFonts w:ascii="宋体" w:hAnsi="宋体"/>
          <w:color w:val="auto"/>
          <w:sz w:val="24"/>
        </w:rPr>
      </w:pPr>
      <w:r>
        <w:rPr>
          <w:rStyle w:val="44"/>
          <w:rFonts w:hint="eastAsia" w:ascii="宋体" w:hAnsi="宋体"/>
          <w:color w:val="auto"/>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4"/>
          <w:rFonts w:ascii="宋体" w:hAnsi="宋体"/>
          <w:color w:val="auto"/>
          <w:sz w:val="24"/>
        </w:rPr>
      </w:pPr>
      <w:r>
        <w:rPr>
          <w:rStyle w:val="44"/>
          <w:rFonts w:hint="eastAsia" w:ascii="宋体" w:hAnsi="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4"/>
          <w:rFonts w:ascii="宋体" w:hAnsi="宋体"/>
          <w:color w:val="auto"/>
          <w:sz w:val="24"/>
        </w:rPr>
      </w:pPr>
      <w:r>
        <w:rPr>
          <w:rStyle w:val="44"/>
          <w:rFonts w:hint="eastAsia" w:ascii="宋体" w:hAnsi="宋体"/>
          <w:color w:val="auto"/>
          <w:sz w:val="24"/>
        </w:rPr>
        <w:t>   （三）严格依照国家和省、市关于政府采购的法律、法规、规章、规范性文件，参加政府采购投标活动；积极履行社会责任，促进廉政建设；</w:t>
      </w:r>
    </w:p>
    <w:p>
      <w:pPr>
        <w:spacing w:line="500" w:lineRule="exact"/>
        <w:jc w:val="left"/>
        <w:rPr>
          <w:rStyle w:val="44"/>
          <w:rFonts w:ascii="宋体" w:hAnsi="宋体"/>
          <w:color w:val="auto"/>
          <w:sz w:val="24"/>
        </w:rPr>
      </w:pPr>
      <w:r>
        <w:rPr>
          <w:rStyle w:val="44"/>
          <w:rFonts w:hint="eastAsia" w:ascii="宋体" w:hAnsi="宋体"/>
          <w:color w:val="auto"/>
          <w:sz w:val="24"/>
        </w:rPr>
        <w:t>   （四）严格遵守即时信息公示规定，及时维护和更新维护和更新盐城市政府采购网中与本单位相关的信息；</w:t>
      </w:r>
    </w:p>
    <w:p>
      <w:pPr>
        <w:spacing w:line="500" w:lineRule="exact"/>
        <w:jc w:val="left"/>
        <w:rPr>
          <w:rStyle w:val="44"/>
          <w:rFonts w:ascii="宋体" w:hAnsi="宋体"/>
          <w:color w:val="auto"/>
          <w:sz w:val="24"/>
        </w:rPr>
      </w:pPr>
      <w:r>
        <w:rPr>
          <w:rStyle w:val="44"/>
          <w:rFonts w:hint="eastAsia" w:ascii="宋体" w:hAnsi="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4"/>
          <w:rFonts w:ascii="宋体" w:hAnsi="宋体"/>
          <w:color w:val="auto"/>
          <w:sz w:val="24"/>
        </w:rPr>
      </w:pPr>
      <w:r>
        <w:rPr>
          <w:rStyle w:val="44"/>
          <w:rFonts w:hint="eastAsia" w:ascii="宋体" w:hAnsi="宋体"/>
          <w:color w:val="auto"/>
          <w:sz w:val="24"/>
        </w:rPr>
        <w:t>   （六）自觉接受政府、行业组织、社会公众、新闻舆论的监督；</w:t>
      </w:r>
    </w:p>
    <w:p>
      <w:pPr>
        <w:spacing w:line="500" w:lineRule="exact"/>
        <w:ind w:firstLine="480" w:firstLineChars="200"/>
        <w:jc w:val="left"/>
        <w:rPr>
          <w:rStyle w:val="44"/>
          <w:rFonts w:ascii="宋体" w:hAnsi="宋体"/>
          <w:color w:val="auto"/>
          <w:sz w:val="24"/>
        </w:rPr>
      </w:pPr>
      <w:r>
        <w:rPr>
          <w:rStyle w:val="44"/>
          <w:rFonts w:hint="eastAsia" w:ascii="宋体" w:hAnsi="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4"/>
          <w:rFonts w:ascii="宋体" w:hAnsi="宋体"/>
          <w:color w:val="auto"/>
          <w:sz w:val="24"/>
        </w:rPr>
      </w:pPr>
      <w:r>
        <w:rPr>
          <w:rStyle w:val="44"/>
          <w:rFonts w:hint="eastAsia" w:ascii="宋体" w:hAnsi="宋体"/>
          <w:color w:val="auto"/>
          <w:sz w:val="24"/>
        </w:rPr>
        <w:t>   （八）本人已认真阅读了上述承诺，并向本单位员工作了宣传教育。</w:t>
      </w:r>
    </w:p>
    <w:p>
      <w:pPr>
        <w:spacing w:line="500" w:lineRule="exact"/>
        <w:jc w:val="left"/>
        <w:rPr>
          <w:rStyle w:val="44"/>
          <w:rFonts w:ascii="宋体" w:hAnsi="宋体"/>
          <w:color w:val="auto"/>
          <w:sz w:val="24"/>
        </w:rPr>
      </w:pPr>
    </w:p>
    <w:p>
      <w:pPr>
        <w:spacing w:line="500" w:lineRule="exact"/>
        <w:jc w:val="center"/>
        <w:rPr>
          <w:rStyle w:val="44"/>
          <w:rFonts w:ascii="宋体" w:hAnsi="宋体"/>
          <w:color w:val="auto"/>
          <w:sz w:val="24"/>
        </w:rPr>
      </w:pPr>
      <w:r>
        <w:rPr>
          <w:rStyle w:val="44"/>
          <w:rFonts w:hint="eastAsia" w:ascii="宋体" w:hAnsi="宋体"/>
          <w:color w:val="auto"/>
          <w:sz w:val="24"/>
        </w:rPr>
        <w:t>法定代表人签名：</w:t>
      </w:r>
    </w:p>
    <w:p>
      <w:pPr>
        <w:spacing w:line="500" w:lineRule="exact"/>
        <w:jc w:val="center"/>
        <w:rPr>
          <w:rStyle w:val="44"/>
          <w:rFonts w:ascii="宋体" w:hAnsi="宋体"/>
          <w:color w:val="auto"/>
          <w:sz w:val="24"/>
        </w:rPr>
      </w:pPr>
      <w:r>
        <w:rPr>
          <w:rStyle w:val="44"/>
          <w:rFonts w:hint="eastAsia" w:ascii="宋体" w:hAnsi="宋体"/>
          <w:color w:val="auto"/>
          <w:sz w:val="24"/>
        </w:rPr>
        <w:t>单位名称（盖章）：</w:t>
      </w:r>
    </w:p>
    <w:p>
      <w:pPr>
        <w:spacing w:line="500" w:lineRule="exact"/>
        <w:jc w:val="center"/>
        <w:rPr>
          <w:rStyle w:val="44"/>
          <w:rFonts w:ascii="宋体" w:hAnsi="宋体"/>
          <w:color w:val="auto"/>
          <w:sz w:val="24"/>
        </w:rPr>
      </w:pPr>
      <w:r>
        <w:rPr>
          <w:rStyle w:val="44"/>
          <w:rFonts w:hint="eastAsia" w:ascii="宋体" w:hAnsi="宋体"/>
          <w:color w:val="auto"/>
          <w:sz w:val="24"/>
        </w:rPr>
        <w:t>年月日</w:t>
      </w:r>
    </w:p>
    <w:p>
      <w:pPr>
        <w:pStyle w:val="139"/>
        <w:jc w:val="both"/>
        <w:rPr>
          <w:rStyle w:val="44"/>
          <w:rFonts w:ascii="宋体" w:hAnsi="宋体"/>
          <w:color w:val="auto"/>
        </w:rPr>
      </w:pPr>
    </w:p>
    <w:sectPr>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3810"/>
              <wp:wrapNone/>
              <wp:docPr id="4097" name="Text Box 12"/>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8"/>
                          </w:pPr>
                          <w:r>
                            <w:fldChar w:fldCharType="begin"/>
                          </w:r>
                          <w:r>
                            <w:instrText xml:space="preserve"> PAGE  \* MERGEFORMAT </w:instrText>
                          </w:r>
                          <w:r>
                            <w:fldChar w:fldCharType="separate"/>
                          </w:r>
                          <w:r>
                            <w:t>11</w:t>
                          </w:r>
                          <w:r>
                            <w:fldChar w:fldCharType="end"/>
                          </w:r>
                        </w:p>
                      </w:txbxContent>
                    </wps:txbx>
                    <wps:bodyPr vert="horz" wrap="none" lIns="0" tIns="0" rIns="0" bIns="0" anchor="t" upright="1">
                      <a:spAutoFit/>
                    </wps:bodyPr>
                  </wps:wsp>
                </a:graphicData>
              </a:graphic>
            </wp:anchor>
          </w:drawing>
        </mc:Choice>
        <mc:Fallback>
          <w:pict>
            <v:rect id="Text Box 12"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S/0sLQAAAAAwEAAA8AAAAAAAAAAQAgAAAAIgAAAGRycy9kb3ducmV2Lnht&#10;bFBLAQIUABQAAAAIAIdO4kAekI3NyAEAAJwDAAAOAAAAAAAAAAEAIAAAAB8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3810"/>
              <wp:wrapNone/>
              <wp:docPr id="4098" name="Text Box 11"/>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rect id="Text Box 11" o:spid="_x0000_s1026" o:spt="1"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Fj9W0QAAAAIBAAAPAAAAAAAAAAEAIAAAACIAAABkcnMvZG93bnJldi54&#10;bWxQSwECFAAUAAAACACHTuJAbi1lTsgBAACbAwAADgAAAAAAAAABACAAAAAg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55</w:t>
                    </w:r>
                    <w:r>
                      <w:fldChar w:fldCharType="end"/>
                    </w:r>
                  </w:p>
                </w:txbxContent>
              </v:textbox>
            </v:shape>
          </w:pict>
        </mc:Fallback>
      </mc:AlternateContent>
    </w:r>
  </w:p>
  <w:p>
    <w:pPr>
      <w:pStyle w:val="18"/>
      <w:rPr>
        <w:rStyle w:val="4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10490" cy="131445"/>
              <wp:effectExtent l="0" t="0" r="0" b="3810"/>
              <wp:wrapNone/>
              <wp:docPr id="4100" name="Text Box 7"/>
              <wp:cNvGraphicFramePr/>
              <a:graphic xmlns:a="http://schemas.openxmlformats.org/drawingml/2006/main">
                <a:graphicData uri="http://schemas.microsoft.com/office/word/2010/wordprocessingShape">
                  <wps:wsp>
                    <wps:cNvSpPr/>
                    <wps:spPr>
                      <a:xfrm>
                        <a:off x="0" y="0"/>
                        <a:ext cx="110490" cy="131445"/>
                      </a:xfrm>
                      <a:prstGeom prst="rect">
                        <a:avLst/>
                      </a:prstGeom>
                      <a:ln>
                        <a:noFill/>
                      </a:ln>
                    </wps:spPr>
                    <wps:txbx>
                      <w:txbxContent>
                        <w:p>
                          <w:pPr>
                            <w:pStyle w:val="18"/>
                          </w:pPr>
                        </w:p>
                      </w:txbxContent>
                    </wps:txbx>
                    <wps:bodyPr vert="horz" wrap="none" lIns="0" tIns="0" rIns="0" bIns="0" anchor="t" upright="1">
                      <a:spAutoFit/>
                    </wps:bodyPr>
                  </wps:wsp>
                </a:graphicData>
              </a:graphic>
            </wp:anchor>
          </w:drawing>
        </mc:Choice>
        <mc:Fallback>
          <w:pict>
            <v:rect id="Text Box 7" o:spid="_x0000_s1026" o:spt="1" style="position:absolute;left:0pt;margin-top:0pt;height:10.35pt;width:8.7pt;mso-position-horizontal:center;mso-position-horizontal-relative:margin;mso-wrap-style:none;z-index:251661312;mso-width-relative:page;mso-height-relative:page;" filled="f" stroked="f" coordsize="21600,21600" o:gfxdata="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9S5xNEAAAADAQAADwAAAAAAAAABACAAAAAiAAAAZHJzL2Rvd25yZXYueG1s&#10;UEsBAhQAFAAAAAgAh07iQB9V3vbGAQAAmwMAAA4AAAAAAAAAAQAgAAAAIAEAAGRycy9lMm9Eb2Mu&#10;eG1sUEsFBgAAAAAGAAYAWQEAAFgFAAAAAA==&#10;">
              <v:fill on="f" focussize="0,0"/>
              <v:stroke on="f"/>
              <v:imagedata o:title=""/>
              <o:lock v:ext="edit" aspectratio="f"/>
              <v:textbox inset="0mm,0mm,0mm,0mm" style="mso-fit-shape-to-text:t;">
                <w:txbxContent>
                  <w:p>
                    <w:pPr>
                      <w:pStyle w:val="18"/>
                    </w:pPr>
                  </w:p>
                </w:txbxContent>
              </v:textbox>
            </v:rect>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w:t>
    </w:r>
    <w:r>
      <w:rPr>
        <w:rFonts w:hint="eastAsia" w:ascii="隶书" w:hAnsi="隶书" w:eastAsia="隶书" w:cs="隶书"/>
        <w:sz w:val="24"/>
        <w:szCs w:val="24"/>
        <w:lang w:eastAsia="zh-CN"/>
      </w:rPr>
      <w:t>011W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2023-</w:t>
    </w:r>
    <w:r>
      <w:rPr>
        <w:rFonts w:hint="eastAsia" w:ascii="隶书" w:hAnsi="隶书" w:eastAsia="隶书" w:cs="隶书"/>
        <w:sz w:val="24"/>
        <w:szCs w:val="24"/>
        <w:lang w:eastAsia="zh-CN"/>
      </w:rPr>
      <w:t>011W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spacing w:val="40"/>
        <w:kern w:val="2"/>
        <w:sz w:val="21"/>
        <w:szCs w:val="21"/>
      </w:rPr>
      <w:t>202</w:t>
    </w:r>
    <w:r>
      <w:rPr>
        <w:rStyle w:val="44"/>
        <w:rFonts w:hint="eastAsia" w:ascii="Times New Roman" w:hAnsi="Times New Roman" w:eastAsia="隶书"/>
        <w:spacing w:val="40"/>
        <w:kern w:val="2"/>
        <w:sz w:val="21"/>
        <w:szCs w:val="21"/>
        <w:lang w:val="en-US" w:eastAsia="zh-CN"/>
      </w:rPr>
      <w:t>3</w:t>
    </w:r>
    <w:r>
      <w:rPr>
        <w:rStyle w:val="44"/>
        <w:rFonts w:hint="eastAsia" w:ascii="Times New Roman" w:hAnsi="Times New Roman" w:eastAsia="隶书"/>
        <w:spacing w:val="40"/>
        <w:kern w:val="2"/>
        <w:sz w:val="21"/>
        <w:szCs w:val="21"/>
      </w:rPr>
      <w:t>-</w:t>
    </w:r>
    <w:r>
      <w:rPr>
        <w:rStyle w:val="44"/>
        <w:rFonts w:hint="eastAsia" w:ascii="Times New Roman" w:hAnsi="Times New Roman" w:eastAsia="隶书"/>
        <w:spacing w:val="40"/>
        <w:kern w:val="2"/>
        <w:sz w:val="21"/>
        <w:szCs w:val="21"/>
        <w:lang w:eastAsia="zh-CN"/>
      </w:rPr>
      <w:t>011W</w:t>
    </w:r>
    <w:r>
      <w:rPr>
        <w:rStyle w:val="44"/>
        <w:rFonts w:ascii="Times New Roman" w:hAnsi="隶书" w:eastAsia="隶书"/>
        <w:spacing w:val="40"/>
        <w:kern w:val="2"/>
        <w:sz w:val="21"/>
        <w:szCs w:val="21"/>
      </w:rPr>
      <w:t>招</w:t>
    </w:r>
    <w:r>
      <w:rPr>
        <w:rStyle w:val="44"/>
        <w:rFonts w:ascii="Times New Roman" w:hAnsi="隶书" w:eastAsia="隶书"/>
        <w:color w:val="000000"/>
        <w:spacing w:val="40"/>
        <w:kern w:val="2"/>
        <w:sz w:val="21"/>
        <w:szCs w:val="21"/>
      </w:rPr>
      <w:t>标文件</w:t>
    </w:r>
  </w:p>
  <w:p>
    <w:pPr>
      <w:pStyle w:val="19"/>
      <w:pBdr>
        <w:bottom w:val="none" w:color="auto" w:sz="0" w:space="0"/>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upperLetter"/>
      <w:pStyle w:val="82"/>
      <w:lvlText w:val="附录%1."/>
      <w:lvlJc w:val="left"/>
      <w:pPr>
        <w:tabs>
          <w:tab w:val="left" w:pos="907"/>
        </w:tabs>
        <w:ind w:left="907" w:hanging="907"/>
        <w:textAlignment w:val="baseline"/>
      </w:pPr>
    </w:lvl>
  </w:abstractNum>
  <w:abstractNum w:abstractNumId="1">
    <w:nsid w:val="00000001"/>
    <w:multiLevelType w:val="singleLevel"/>
    <w:tmpl w:val="00000001"/>
    <w:lvl w:ilvl="0" w:tentative="0">
      <w:start w:val="1"/>
      <w:numFmt w:val="decimal"/>
      <w:lvlText w:val="%1、"/>
      <w:lvlJc w:val="left"/>
      <w:pPr>
        <w:tabs>
          <w:tab w:val="left" w:pos="480"/>
        </w:tabs>
        <w:ind w:left="480" w:hanging="480"/>
        <w:textAlignment w:val="baseline"/>
      </w:pPr>
    </w:lvl>
  </w:abstractNum>
  <w:abstractNum w:abstractNumId="2">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3"/>
    <w:multiLevelType w:val="multilevel"/>
    <w:tmpl w:val="00000003"/>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00000004"/>
    <w:multiLevelType w:val="multilevel"/>
    <w:tmpl w:val="00000004"/>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num w:numId="1">
    <w:abstractNumId w:val="4"/>
  </w:num>
  <w:num w:numId="2">
    <w:abstractNumId w:val="0"/>
  </w:num>
  <w:num w:numId="3">
    <w:abstractNumId w:val="3"/>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A433C0"/>
    <w:rsid w:val="00146A35"/>
    <w:rsid w:val="002533FA"/>
    <w:rsid w:val="005945CA"/>
    <w:rsid w:val="005A72A4"/>
    <w:rsid w:val="006D7AE5"/>
    <w:rsid w:val="008F367D"/>
    <w:rsid w:val="00A433C0"/>
    <w:rsid w:val="00D71AE7"/>
    <w:rsid w:val="00EA56D0"/>
    <w:rsid w:val="03F14D5F"/>
    <w:rsid w:val="0A7857A0"/>
    <w:rsid w:val="11A15922"/>
    <w:rsid w:val="17B374D2"/>
    <w:rsid w:val="180E43D1"/>
    <w:rsid w:val="20962578"/>
    <w:rsid w:val="29725BE4"/>
    <w:rsid w:val="29AD5886"/>
    <w:rsid w:val="2B6A2852"/>
    <w:rsid w:val="2B7313BF"/>
    <w:rsid w:val="368C5505"/>
    <w:rsid w:val="37AA0BA3"/>
    <w:rsid w:val="388F3604"/>
    <w:rsid w:val="391F5588"/>
    <w:rsid w:val="39F44124"/>
    <w:rsid w:val="455169ED"/>
    <w:rsid w:val="46715336"/>
    <w:rsid w:val="54CF69F2"/>
    <w:rsid w:val="70FC0065"/>
    <w:rsid w:val="73543B89"/>
    <w:rsid w:val="7F880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9"/>
    <w:qFormat/>
    <w:uiPriority w:val="0"/>
    <w:rPr>
      <w:sz w:val="18"/>
      <w:szCs w:val="18"/>
    </w:rPr>
  </w:style>
  <w:style w:type="paragraph" w:styleId="18">
    <w:name w:val="footer"/>
    <w:basedOn w:val="1"/>
    <w:link w:val="73"/>
    <w:qFormat/>
    <w:uiPriority w:val="99"/>
    <w:pPr>
      <w:tabs>
        <w:tab w:val="center" w:pos="4153"/>
        <w:tab w:val="right" w:pos="8306"/>
      </w:tabs>
      <w:snapToGrid w:val="0"/>
      <w:jc w:val="left"/>
    </w:pPr>
    <w:rPr>
      <w:sz w:val="18"/>
      <w:szCs w:val="18"/>
    </w:rPr>
  </w:style>
  <w:style w:type="paragraph" w:styleId="19">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Body Text Indent 3"/>
    <w:basedOn w:val="1"/>
    <w:qFormat/>
    <w:uiPriority w:val="0"/>
    <w:pPr>
      <w:ind w:left="645" w:firstLine="645"/>
    </w:pPr>
    <w:rPr>
      <w:rFonts w:ascii="Arial" w:hAnsi="Arial" w:eastAsia="仿宋_GB2312" w:cs="Arial"/>
      <w:color w:val="FFFF00"/>
      <w:sz w:val="32"/>
      <w:szCs w:val="32"/>
    </w:rPr>
  </w:style>
  <w:style w:type="paragraph" w:styleId="22">
    <w:name w:val="Normal (Web)"/>
    <w:basedOn w:val="1"/>
    <w:qFormat/>
    <w:uiPriority w:val="99"/>
    <w:pPr>
      <w:spacing w:before="100" w:beforeAutospacing="1" w:after="100" w:afterAutospacing="1"/>
      <w:jc w:val="left"/>
    </w:pPr>
    <w:rPr>
      <w:rFonts w:ascii="宋体" w:hAnsi="宋体"/>
      <w:kern w:val="0"/>
      <w:sz w:val="24"/>
    </w:rPr>
  </w:style>
  <w:style w:type="paragraph" w:styleId="23">
    <w:name w:val="Body Text First Indent"/>
    <w:basedOn w:val="1"/>
    <w:qFormat/>
    <w:uiPriority w:val="99"/>
    <w:pPr>
      <w:ind w:firstLine="420" w:firstLineChars="100"/>
    </w:pPr>
  </w:style>
  <w:style w:type="paragraph" w:styleId="24">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首行缩进"/>
    <w:basedOn w:val="1"/>
    <w:qFormat/>
    <w:uiPriority w:val="0"/>
    <w:pPr>
      <w:spacing w:line="360" w:lineRule="auto"/>
      <w:ind w:firstLine="480" w:firstLineChars="200"/>
    </w:pPr>
    <w:rPr>
      <w:rFonts w:ascii="宋体" w:hAnsi="宋体"/>
      <w:kern w:val="0"/>
      <w:sz w:val="24"/>
      <w:szCs w:val="24"/>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qFormat/>
    <w:uiPriority w:val="0"/>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qFormat/>
    <w:uiPriority w:val="0"/>
    <w:rPr>
      <w:kern w:val="2"/>
      <w:sz w:val="21"/>
      <w:szCs w:val="21"/>
    </w:rPr>
  </w:style>
  <w:style w:type="paragraph" w:customStyle="1" w:styleId="68">
    <w:name w:val="AnnotationText"/>
    <w:basedOn w:val="1"/>
    <w:link w:val="67"/>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qFormat/>
    <w:uiPriority w:val="0"/>
    <w:rPr>
      <w:kern w:val="2"/>
      <w:sz w:val="18"/>
      <w:szCs w:val="18"/>
    </w:rPr>
  </w:style>
  <w:style w:type="paragraph" w:customStyle="1" w:styleId="72">
    <w:name w:val="Acetate"/>
    <w:basedOn w:val="1"/>
    <w:link w:val="71"/>
    <w:qFormat/>
    <w:uiPriority w:val="0"/>
    <w:rPr>
      <w:sz w:val="18"/>
      <w:szCs w:val="18"/>
    </w:rPr>
  </w:style>
  <w:style w:type="character" w:customStyle="1" w:styleId="73">
    <w:name w:val="页脚 字符"/>
    <w:link w:val="18"/>
    <w:qFormat/>
    <w:uiPriority w:val="99"/>
    <w:rPr>
      <w:kern w:val="2"/>
      <w:sz w:val="18"/>
      <w:szCs w:val="18"/>
    </w:rPr>
  </w:style>
  <w:style w:type="character" w:customStyle="1" w:styleId="74">
    <w:name w:val="页眉 字符"/>
    <w:link w:val="19"/>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qFormat/>
    <w:uiPriority w:val="0"/>
    <w:pPr>
      <w:ind w:left="630"/>
      <w:jc w:val="left"/>
    </w:pPr>
  </w:style>
  <w:style w:type="paragraph" w:customStyle="1" w:styleId="85">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qFormat/>
    <w:uiPriority w:val="0"/>
    <w:rPr>
      <w:rFonts w:cs="Times New Roman"/>
      <w:b/>
      <w:bCs/>
    </w:rPr>
  </w:style>
  <w:style w:type="paragraph" w:customStyle="1" w:styleId="101">
    <w:name w:val="TOC2"/>
    <w:basedOn w:val="1"/>
    <w:next w:val="1"/>
    <w:qFormat/>
    <w:uiPriority w:val="0"/>
    <w:pPr>
      <w:ind w:left="210"/>
      <w:jc w:val="left"/>
    </w:pPr>
    <w:rPr>
      <w:smallCaps/>
      <w:szCs w:val="24"/>
    </w:rPr>
  </w:style>
  <w:style w:type="paragraph" w:customStyle="1" w:styleId="102">
    <w:name w:val="TOC8"/>
    <w:basedOn w:val="1"/>
    <w:next w:val="1"/>
    <w:qFormat/>
    <w:uiPriority w:val="0"/>
    <w:pPr>
      <w:ind w:left="1470"/>
      <w:jc w:val="left"/>
    </w:pPr>
  </w:style>
  <w:style w:type="paragraph" w:customStyle="1" w:styleId="103">
    <w:name w:val="TOC7"/>
    <w:basedOn w:val="1"/>
    <w:next w:val="1"/>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qFormat/>
    <w:uiPriority w:val="0"/>
    <w:pPr>
      <w:ind w:left="1680"/>
      <w:jc w:val="left"/>
    </w:pPr>
  </w:style>
  <w:style w:type="paragraph" w:customStyle="1" w:styleId="106">
    <w:name w:val="TOC3"/>
    <w:basedOn w:val="1"/>
    <w:next w:val="1"/>
    <w:qFormat/>
    <w:uiPriority w:val="0"/>
    <w:pPr>
      <w:ind w:left="420"/>
      <w:jc w:val="left"/>
    </w:pPr>
    <w:rPr>
      <w:i/>
      <w:iCs/>
      <w:szCs w:val="24"/>
    </w:rPr>
  </w:style>
  <w:style w:type="paragraph" w:customStyle="1" w:styleId="107">
    <w:name w:val="TOC5"/>
    <w:basedOn w:val="1"/>
    <w:next w:val="1"/>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Default"/>
    <w:next w:val="14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7"/>
    <w:link w:val="17"/>
    <w:qFormat/>
    <w:uiPriority w:val="0"/>
    <w:rPr>
      <w:rFonts w:cs="宋体"/>
      <w:kern w:val="2"/>
      <w:sz w:val="18"/>
      <w:szCs w:val="18"/>
    </w:rPr>
  </w:style>
  <w:style w:type="character" w:customStyle="1" w:styleId="150">
    <w:name w:val="nth-of-type(2)"/>
    <w:basedOn w:val="27"/>
    <w:qFormat/>
    <w:uiPriority w:val="0"/>
  </w:style>
  <w:style w:type="character" w:customStyle="1" w:styleId="151">
    <w:name w:val="nth-of-type(2)1"/>
    <w:basedOn w:val="27"/>
    <w:qFormat/>
    <w:uiPriority w:val="0"/>
  </w:style>
  <w:style w:type="character" w:customStyle="1" w:styleId="152">
    <w:name w:val="nth-of-type(2)2"/>
    <w:basedOn w:val="27"/>
    <w:qFormat/>
    <w:uiPriority w:val="0"/>
  </w:style>
  <w:style w:type="character" w:customStyle="1" w:styleId="153">
    <w:name w:val="nth-of-type(2)3"/>
    <w:basedOn w:val="27"/>
    <w:qFormat/>
    <w:uiPriority w:val="0"/>
  </w:style>
  <w:style w:type="character" w:customStyle="1" w:styleId="154">
    <w:name w:val="nth-of-type(1)"/>
    <w:basedOn w:val="27"/>
    <w:qFormat/>
    <w:uiPriority w:val="0"/>
  </w:style>
  <w:style w:type="character" w:customStyle="1" w:styleId="155">
    <w:name w:val="nth-of-type(1)1"/>
    <w:basedOn w:val="27"/>
    <w:qFormat/>
    <w:uiPriority w:val="0"/>
  </w:style>
  <w:style w:type="character" w:customStyle="1" w:styleId="156">
    <w:name w:val="nth-of-type(1)2"/>
    <w:basedOn w:val="27"/>
    <w:qFormat/>
    <w:uiPriority w:val="0"/>
  </w:style>
  <w:style w:type="character" w:customStyle="1" w:styleId="157">
    <w:name w:val="first-of-type"/>
    <w:basedOn w:val="27"/>
    <w:qFormat/>
    <w:uiPriority w:val="0"/>
  </w:style>
  <w:style w:type="character" w:customStyle="1" w:styleId="158">
    <w:name w:val="first-of-type1"/>
    <w:basedOn w:val="27"/>
    <w:qFormat/>
    <w:uiPriority w:val="0"/>
  </w:style>
  <w:style w:type="character" w:customStyle="1" w:styleId="159">
    <w:name w:val="apple-converted-space"/>
    <w:basedOn w:val="27"/>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列出段落1"/>
    <w:basedOn w:val="1"/>
    <w:qFormat/>
    <w:uiPriority w:val="0"/>
    <w:pPr>
      <w:ind w:left="720"/>
      <w:contextualSpacing/>
      <w:jc w:val="left"/>
    </w:pPr>
    <w:rPr>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DE900-6BCF-47F6-868B-136AE29A39A3}">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25744</Words>
  <Characters>27335</Characters>
  <Lines>216</Lines>
  <Paragraphs>60</Paragraphs>
  <TotalTime>56</TotalTime>
  <ScaleCrop>false</ScaleCrop>
  <LinksUpToDate>false</LinksUpToDate>
  <CharactersWithSpaces>27712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2023-05-22T06:13:00Z</dcterms:created>
  <dc:creator>Administrator</dc:creator>
  <cp:lastModifiedBy>赵萌</cp:lastModifiedBy>
  <cp:lastPrinted>2023-05-24T08:36:00Z</cp:lastPrinted>
  <dcterms:modified xsi:type="dcterms:W3CDTF">2023-05-25T02:44:04Z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F62B8154A7EC436FB02AEA8F3DC71C2A_13</vt:lpwstr>
  </property>
</Properties>
</file>