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left" w:pos="7642"/>
        </w:tabs>
        <w:ind w:firstLine="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ab/>
      </w:r>
    </w:p>
    <w:p>
      <w:pPr>
        <w:pStyle w:val="105"/>
        <w:ind w:firstLine="0"/>
        <w:jc w:val="center"/>
        <w:rPr>
          <w:rFonts w:ascii="宋体" w:hAnsi="宋体" w:eastAsia="宋体" w:cs="宋体"/>
          <w:b/>
          <w:color w:val="auto"/>
          <w:sz w:val="52"/>
          <w:szCs w:val="52"/>
          <w:highlight w:val="none"/>
        </w:rPr>
      </w:pPr>
    </w:p>
    <w:p>
      <w:pPr>
        <w:pStyle w:val="105"/>
        <w:ind w:firstLine="0"/>
        <w:jc w:val="center"/>
        <w:rPr>
          <w:rFonts w:ascii="宋体" w:hAnsi="宋体" w:eastAsia="宋体" w:cs="宋体"/>
          <w:b/>
          <w:color w:val="auto"/>
          <w:sz w:val="52"/>
          <w:szCs w:val="52"/>
          <w:highlight w:val="none"/>
        </w:rPr>
      </w:pPr>
    </w:p>
    <w:p>
      <w:pPr>
        <w:pStyle w:val="105"/>
        <w:ind w:firstLine="0"/>
        <w:jc w:val="center"/>
        <w:outlineLvl w:val="0"/>
        <w:rPr>
          <w:rFonts w:ascii="宋体" w:hAnsi="宋体" w:eastAsia="宋体" w:cs="宋体"/>
          <w:b/>
          <w:bCs/>
          <w:color w:val="auto"/>
          <w:sz w:val="84"/>
          <w:highlight w:val="none"/>
        </w:rPr>
      </w:pPr>
      <w:bookmarkStart w:id="0" w:name="_Toc6543"/>
      <w:r>
        <w:rPr>
          <w:rFonts w:hint="eastAsia" w:ascii="宋体" w:hAnsi="宋体" w:eastAsia="宋体" w:cs="宋体"/>
          <w:b/>
          <w:color w:val="auto"/>
          <w:sz w:val="84"/>
          <w:szCs w:val="21"/>
          <w:highlight w:val="none"/>
        </w:rPr>
        <w:t>竞争性磋商文件</w:t>
      </w:r>
      <w:bookmarkEnd w:id="0"/>
    </w:p>
    <w:p>
      <w:pPr>
        <w:pStyle w:val="105"/>
        <w:ind w:firstLine="0"/>
        <w:rPr>
          <w:rFonts w:ascii="宋体" w:hAnsi="宋体" w:eastAsia="宋体" w:cs="宋体"/>
          <w:b/>
          <w:bCs/>
          <w:color w:val="auto"/>
          <w:sz w:val="32"/>
          <w:szCs w:val="32"/>
          <w:highlight w:val="none"/>
        </w:rPr>
      </w:pPr>
    </w:p>
    <w:p>
      <w:pPr>
        <w:pStyle w:val="105"/>
        <w:ind w:firstLine="0"/>
        <w:rPr>
          <w:rFonts w:ascii="宋体" w:hAnsi="宋体" w:eastAsia="宋体" w:cs="宋体"/>
          <w:b/>
          <w:bCs/>
          <w:color w:val="auto"/>
          <w:sz w:val="32"/>
          <w:szCs w:val="32"/>
          <w:highlight w:val="none"/>
        </w:rPr>
      </w:pPr>
    </w:p>
    <w:p>
      <w:pPr>
        <w:pStyle w:val="105"/>
        <w:ind w:firstLine="0"/>
        <w:rPr>
          <w:rFonts w:ascii="宋体" w:hAnsi="宋体" w:eastAsia="宋体" w:cs="宋体"/>
          <w:b/>
          <w:bCs/>
          <w:color w:val="auto"/>
          <w:sz w:val="32"/>
          <w:szCs w:val="32"/>
          <w:highlight w:val="none"/>
        </w:rPr>
      </w:pPr>
    </w:p>
    <w:p>
      <w:pPr>
        <w:jc w:val="center"/>
        <w:rPr>
          <w:rFonts w:ascii="宋体" w:hAnsi="宋体" w:cs="宋体"/>
          <w:b/>
          <w:color w:val="auto"/>
          <w:sz w:val="32"/>
          <w:highlight w:val="none"/>
        </w:rPr>
      </w:pPr>
    </w:p>
    <w:p>
      <w:pPr>
        <w:jc w:val="center"/>
        <w:outlineLvl w:val="0"/>
        <w:rPr>
          <w:rFonts w:ascii="宋体" w:hAnsi="宋体" w:cs="宋体"/>
          <w:b/>
          <w:color w:val="auto"/>
          <w:sz w:val="36"/>
          <w:szCs w:val="36"/>
          <w:highlight w:val="none"/>
        </w:rPr>
      </w:pPr>
      <w:bookmarkStart w:id="1" w:name="_Toc8712"/>
      <w:r>
        <w:rPr>
          <w:rFonts w:hint="eastAsia" w:ascii="宋体" w:hAnsi="宋体" w:cs="宋体"/>
          <w:b/>
          <w:color w:val="auto"/>
          <w:sz w:val="36"/>
          <w:szCs w:val="36"/>
          <w:highlight w:val="none"/>
        </w:rPr>
        <w:t>项目名称：盐城工业职业技术学院学生公共浴室改造及服务BOT节能项目</w:t>
      </w:r>
      <w:bookmarkEnd w:id="1"/>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p>
    <w:p>
      <w:pPr>
        <w:pStyle w:val="105"/>
        <w:ind w:firstLine="0"/>
        <w:jc w:val="center"/>
        <w:rPr>
          <w:rFonts w:eastAsia="宋体"/>
          <w:color w:val="auto"/>
          <w:sz w:val="32"/>
          <w:highlight w:val="none"/>
        </w:rPr>
      </w:pPr>
      <w:r>
        <w:rPr>
          <w:rFonts w:hint="eastAsia"/>
          <w:color w:val="auto"/>
          <w:sz w:val="32"/>
          <w:highlight w:val="none"/>
        </w:rPr>
        <w:t>采购人：盐城工业职业技术学院</w:t>
      </w:r>
    </w:p>
    <w:p>
      <w:pPr>
        <w:pStyle w:val="105"/>
        <w:ind w:firstLine="0"/>
        <w:jc w:val="center"/>
        <w:rPr>
          <w:rFonts w:ascii="Times New Roman" w:hAnsi="Times New Roman"/>
          <w:color w:val="auto"/>
          <w:sz w:val="32"/>
          <w:highlight w:val="none"/>
        </w:rPr>
      </w:pPr>
      <w:r>
        <w:rPr>
          <w:rFonts w:hint="eastAsia" w:ascii="Times New Roman" w:hAnsi="Times New Roman"/>
          <w:color w:val="auto"/>
          <w:sz w:val="32"/>
          <w:highlight w:val="none"/>
        </w:rPr>
        <w:t>采购代理：江苏伟业项目管理有限公司</w:t>
      </w:r>
    </w:p>
    <w:p>
      <w:pPr>
        <w:jc w:val="center"/>
        <w:rPr>
          <w:rFonts w:ascii="宋体" w:hAnsi="宋体" w:cs="宋体"/>
          <w:bCs/>
          <w:color w:val="auto"/>
          <w:spacing w:val="15"/>
          <w:sz w:val="36"/>
          <w:szCs w:val="36"/>
          <w:highlight w:val="none"/>
        </w:rPr>
      </w:pPr>
    </w:p>
    <w:p>
      <w:pPr>
        <w:jc w:val="center"/>
        <w:rPr>
          <w:rFonts w:ascii="宋体" w:hAnsi="宋体" w:cs="宋体"/>
          <w:color w:val="auto"/>
          <w:sz w:val="36"/>
          <w:szCs w:val="36"/>
          <w:highlight w:val="none"/>
        </w:rPr>
      </w:pPr>
      <w:r>
        <w:rPr>
          <w:rFonts w:hint="eastAsia" w:ascii="宋体" w:hAnsi="宋体" w:cs="宋体"/>
          <w:color w:val="auto"/>
          <w:sz w:val="36"/>
          <w:szCs w:val="36"/>
          <w:highlight w:val="none"/>
        </w:rPr>
        <w:t>2023年</w:t>
      </w:r>
      <w:r>
        <w:rPr>
          <w:rFonts w:hint="eastAsia" w:ascii="宋体" w:hAnsi="宋体" w:cs="宋体"/>
          <w:color w:val="auto"/>
          <w:sz w:val="36"/>
          <w:szCs w:val="36"/>
          <w:highlight w:val="none"/>
          <w:lang w:val="en-US" w:eastAsia="zh-CN"/>
        </w:rPr>
        <w:t>7</w:t>
      </w:r>
      <w:r>
        <w:rPr>
          <w:rFonts w:hint="eastAsia" w:ascii="宋体" w:hAnsi="宋体" w:cs="宋体"/>
          <w:color w:val="auto"/>
          <w:sz w:val="36"/>
          <w:szCs w:val="36"/>
          <w:highlight w:val="none"/>
        </w:rPr>
        <w:t>月</w:t>
      </w:r>
      <w:r>
        <w:rPr>
          <w:rFonts w:hint="eastAsia" w:ascii="宋体" w:hAnsi="宋体" w:cs="宋体"/>
          <w:color w:val="auto"/>
          <w:sz w:val="36"/>
          <w:szCs w:val="36"/>
          <w:highlight w:val="none"/>
          <w:lang w:val="en-US" w:eastAsia="zh-CN"/>
        </w:rPr>
        <w:t>3</w:t>
      </w:r>
      <w:r>
        <w:rPr>
          <w:rFonts w:hint="eastAsia" w:ascii="宋体" w:hAnsi="宋体" w:cs="宋体"/>
          <w:color w:val="auto"/>
          <w:sz w:val="36"/>
          <w:szCs w:val="36"/>
          <w:highlight w:val="none"/>
        </w:rPr>
        <w:t>日</w:t>
      </w:r>
    </w:p>
    <w:p>
      <w:pPr>
        <w:ind w:firstLine="3313" w:firstLineChars="750"/>
        <w:rPr>
          <w:rFonts w:ascii="宋体" w:hAnsi="宋体" w:cs="宋体"/>
          <w:b/>
          <w:color w:val="auto"/>
          <w:sz w:val="44"/>
          <w:szCs w:val="21"/>
          <w:highlight w:val="none"/>
        </w:rPr>
      </w:pPr>
    </w:p>
    <w:p>
      <w:pPr>
        <w:ind w:firstLine="3313" w:firstLineChars="750"/>
        <w:rPr>
          <w:rFonts w:ascii="宋体" w:hAnsi="宋体" w:cs="宋体"/>
          <w:b/>
          <w:color w:val="auto"/>
          <w:sz w:val="44"/>
          <w:szCs w:val="21"/>
          <w:highlight w:val="none"/>
        </w:rPr>
      </w:pPr>
    </w:p>
    <w:sdt>
      <w:sdtPr>
        <w:rPr>
          <w:rFonts w:ascii="宋体" w:hAnsi="宋体"/>
          <w:color w:val="auto"/>
          <w:highlight w:val="none"/>
        </w:rPr>
        <w:id w:val="147462589"/>
        <w15:color w:val="DBDBDB"/>
        <w:docPartObj>
          <w:docPartGallery w:val="Table of Contents"/>
          <w:docPartUnique/>
        </w:docPartObj>
      </w:sdtPr>
      <w:sdtEndPr>
        <w:rPr>
          <w:rFonts w:ascii="宋体" w:hAnsi="宋体" w:cs="宋体"/>
          <w:color w:val="auto"/>
          <w:highlight w:val="none"/>
        </w:rPr>
      </w:sdtEndPr>
      <w:sdtContent>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目录</w:t>
          </w:r>
        </w:p>
        <w:p>
          <w:pPr>
            <w:pStyle w:val="113"/>
            <w:tabs>
              <w:tab w:val="right" w:leader="dot" w:pos="9072"/>
            </w:tabs>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TOC \o "1-1" \h \u </w:instrText>
          </w:r>
          <w:r>
            <w:rPr>
              <w:rFonts w:hint="eastAsia" w:ascii="黑体" w:hAnsi="黑体" w:eastAsia="黑体" w:cs="黑体"/>
              <w:color w:val="auto"/>
              <w:sz w:val="36"/>
              <w:szCs w:val="36"/>
              <w:highlight w:val="none"/>
            </w:rPr>
            <w:fldChar w:fldCharType="separate"/>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"_Toc22191" </w:instrText>
          </w:r>
          <w:r>
            <w:rPr>
              <w:color w:val="auto"/>
              <w:highlight w:val="none"/>
            </w:rPr>
            <w:fldChar w:fldCharType="separate"/>
          </w:r>
          <w:r>
            <w:rPr>
              <w:rFonts w:hint="eastAsia" w:ascii="黑体" w:hAnsi="黑体" w:eastAsia="黑体" w:cs="黑体"/>
              <w:color w:val="auto"/>
              <w:sz w:val="36"/>
              <w:szCs w:val="36"/>
              <w:highlight w:val="none"/>
            </w:rPr>
            <w:t>第一章 竞争性磋商采购公告</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_Toc22191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"_Toc4407" </w:instrText>
          </w:r>
          <w:r>
            <w:rPr>
              <w:color w:val="auto"/>
              <w:highlight w:val="none"/>
            </w:rPr>
            <w:fldChar w:fldCharType="separate"/>
          </w:r>
          <w:r>
            <w:rPr>
              <w:rFonts w:hint="eastAsia" w:ascii="黑体" w:hAnsi="黑体" w:eastAsia="黑体" w:cs="黑体"/>
              <w:color w:val="auto"/>
              <w:sz w:val="36"/>
              <w:szCs w:val="36"/>
              <w:highlight w:val="none"/>
            </w:rPr>
            <w:t>第二章 磋商须知</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_Toc4407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6</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"_Toc20504" </w:instrText>
          </w:r>
          <w:r>
            <w:rPr>
              <w:color w:val="auto"/>
              <w:highlight w:val="none"/>
            </w:rPr>
            <w:fldChar w:fldCharType="separate"/>
          </w:r>
          <w:r>
            <w:rPr>
              <w:rFonts w:hint="eastAsia" w:ascii="黑体" w:hAnsi="黑体" w:eastAsia="黑体" w:cs="黑体"/>
              <w:color w:val="auto"/>
              <w:sz w:val="36"/>
              <w:szCs w:val="36"/>
              <w:highlight w:val="none"/>
            </w:rPr>
            <w:t>第三章 合同条款及格式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_Toc20504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16</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"_Toc8252" </w:instrText>
          </w:r>
          <w:r>
            <w:rPr>
              <w:color w:val="auto"/>
              <w:highlight w:val="none"/>
            </w:rPr>
            <w:fldChar w:fldCharType="separate"/>
          </w:r>
          <w:r>
            <w:rPr>
              <w:rFonts w:hint="eastAsia" w:ascii="黑体" w:hAnsi="黑体" w:eastAsia="黑体" w:cs="黑体"/>
              <w:color w:val="auto"/>
              <w:sz w:val="36"/>
              <w:szCs w:val="36"/>
              <w:highlight w:val="none"/>
            </w:rPr>
            <w:t>第四章 项目需求</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_Toc8252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23</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"_Toc16618" </w:instrText>
          </w:r>
          <w:r>
            <w:rPr>
              <w:color w:val="auto"/>
              <w:highlight w:val="none"/>
            </w:rPr>
            <w:fldChar w:fldCharType="separate"/>
          </w:r>
          <w:r>
            <w:rPr>
              <w:rFonts w:hint="eastAsia" w:ascii="黑体" w:hAnsi="黑体" w:eastAsia="黑体" w:cs="黑体"/>
              <w:color w:val="auto"/>
              <w:sz w:val="36"/>
              <w:szCs w:val="36"/>
              <w:highlight w:val="none"/>
            </w:rPr>
            <w:t>第五章 定标原则和评审标准</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_Toc16618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30</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pStyle w:val="113"/>
            <w:tabs>
              <w:tab w:val="right" w:leader="dot" w:pos="9072"/>
            </w:tabs>
            <w:rPr>
              <w:rFonts w:ascii="黑体" w:hAnsi="黑体" w:eastAsia="黑体" w:cs="黑体"/>
              <w:color w:val="auto"/>
              <w:sz w:val="36"/>
              <w:szCs w:val="36"/>
              <w:highlight w:val="none"/>
            </w:rPr>
          </w:pP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黑体" w:hAnsi="黑体" w:eastAsia="黑体" w:cs="黑体"/>
              <w:color w:val="auto"/>
              <w:sz w:val="36"/>
              <w:szCs w:val="36"/>
              <w:highlight w:val="none"/>
            </w:rPr>
            <w:t>第六章 竞争性磋商响应文件格式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_Toc17729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34</w:t>
          </w:r>
          <w:r>
            <w:rPr>
              <w:rFonts w:hint="eastAsia" w:ascii="黑体" w:hAnsi="黑体" w:eastAsia="黑体" w:cs="黑体"/>
              <w:color w:val="auto"/>
              <w:sz w:val="36"/>
              <w:szCs w:val="36"/>
              <w:highlight w:val="none"/>
            </w:rPr>
            <w:fldChar w:fldCharType="end"/>
          </w:r>
          <w:r>
            <w:rPr>
              <w:rFonts w:hint="eastAsia" w:ascii="黑体" w:hAnsi="黑体" w:eastAsia="黑体" w:cs="黑体"/>
              <w:color w:val="auto"/>
              <w:sz w:val="36"/>
              <w:szCs w:val="36"/>
              <w:highlight w:val="none"/>
            </w:rPr>
            <w:fldChar w:fldCharType="end"/>
          </w:r>
        </w:p>
        <w:p>
          <w:pPr>
            <w:rPr>
              <w:rFonts w:ascii="宋体" w:hAnsi="宋体" w:cs="宋体"/>
              <w:color w:val="auto"/>
              <w:highlight w:val="none"/>
            </w:rPr>
          </w:pPr>
          <w:r>
            <w:rPr>
              <w:rFonts w:hint="eastAsia" w:ascii="黑体" w:hAnsi="黑体" w:eastAsia="黑体" w:cs="黑体"/>
              <w:color w:val="auto"/>
              <w:sz w:val="36"/>
              <w:szCs w:val="36"/>
              <w:highlight w:val="none"/>
            </w:rPr>
            <w:fldChar w:fldCharType="end"/>
          </w:r>
        </w:p>
      </w:sdtContent>
    </w:sdt>
    <w:p>
      <w:pPr>
        <w:rPr>
          <w:rFonts w:ascii="宋体" w:hAnsi="宋体" w:cs="宋体"/>
          <w:color w:val="auto"/>
          <w:highlight w:val="none"/>
        </w:rPr>
      </w:pPr>
      <w:r>
        <w:rPr>
          <w:rFonts w:hint="eastAsia" w:ascii="宋体" w:hAnsi="宋体" w:cs="宋体"/>
          <w:color w:val="auto"/>
          <w:highlight w:val="none"/>
        </w:rPr>
        <w:br w:type="page"/>
      </w:r>
    </w:p>
    <w:p>
      <w:pPr>
        <w:pStyle w:val="3"/>
        <w:jc w:val="center"/>
        <w:rPr>
          <w:rFonts w:ascii="宋体" w:hAnsi="宋体" w:eastAsia="宋体" w:cs="宋体"/>
          <w:color w:val="auto"/>
          <w:sz w:val="44"/>
          <w:szCs w:val="44"/>
          <w:highlight w:val="none"/>
        </w:rPr>
      </w:pPr>
      <w:bookmarkStart w:id="2" w:name="_Toc22191"/>
      <w:r>
        <w:rPr>
          <w:rFonts w:hint="eastAsia" w:ascii="宋体" w:hAnsi="宋体" w:eastAsia="宋体" w:cs="宋体"/>
          <w:color w:val="auto"/>
          <w:sz w:val="44"/>
          <w:szCs w:val="44"/>
          <w:highlight w:val="none"/>
        </w:rPr>
        <w:t>第一章 竞争性磋商采购公告</w:t>
      </w:r>
      <w:bookmarkEnd w:id="2"/>
    </w:p>
    <w:p>
      <w:pPr>
        <w:rPr>
          <w:rFonts w:ascii="宋体" w:hAnsi="宋体" w:cs="宋体"/>
          <w:color w:val="auto"/>
          <w:highlight w:val="none"/>
        </w:rPr>
      </w:pPr>
      <w:bookmarkStart w:id="3" w:name="_Toc14577347"/>
      <w:bookmarkStart w:id="4" w:name="_Toc61149549"/>
      <w:bookmarkStart w:id="5" w:name="_Toc513029209"/>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r>
        <w:rPr>
          <w:rStyle w:val="161"/>
          <w:rFonts w:hint="eastAsia" w:ascii="宋体" w:hAnsi="宋体" w:cs="宋体"/>
          <w:bCs/>
          <w:color w:val="auto"/>
          <w:sz w:val="24"/>
          <w:highlight w:val="none"/>
          <w:u w:val="single" w:color="000000"/>
        </w:rPr>
        <w:t>盐城工业职业技术学院学生公共浴室改造及服务BOT节能项目</w:t>
      </w:r>
      <w:r>
        <w:rPr>
          <w:rStyle w:val="161"/>
          <w:rFonts w:hint="eastAsia" w:ascii="宋体" w:hAnsi="宋体" w:cs="宋体"/>
          <w:bCs/>
          <w:color w:val="auto"/>
          <w:sz w:val="24"/>
          <w:highlight w:val="none"/>
        </w:rPr>
        <w:t>招标项目的潜在投标人应在“</w:t>
      </w:r>
      <w:r>
        <w:rPr>
          <w:rStyle w:val="161"/>
          <w:rFonts w:hint="eastAsia" w:ascii="宋体" w:hAnsi="宋体" w:cs="宋体"/>
          <w:bCs/>
          <w:color w:val="auto"/>
          <w:sz w:val="24"/>
          <w:highlight w:val="none"/>
          <w:u w:val="single"/>
        </w:rPr>
        <w:t>盐城工业职业技术学院招标采购网”</w:t>
      </w:r>
      <w:r>
        <w:rPr>
          <w:rStyle w:val="161"/>
          <w:rFonts w:hint="eastAsia" w:ascii="宋体" w:hAnsi="宋体" w:cs="宋体"/>
          <w:bCs/>
          <w:color w:val="auto"/>
          <w:sz w:val="24"/>
          <w:highlight w:val="none"/>
        </w:rPr>
        <w:t>获</w:t>
      </w:r>
      <w:r>
        <w:rPr>
          <w:rStyle w:val="161"/>
          <w:rFonts w:hint="eastAsia" w:ascii="宋体" w:hAnsi="宋体" w:cs="宋体"/>
          <w:color w:val="auto"/>
          <w:sz w:val="24"/>
          <w:highlight w:val="none"/>
        </w:rPr>
        <w:t>取招标文件，并于</w:t>
      </w:r>
      <w:r>
        <w:rPr>
          <w:rStyle w:val="161"/>
          <w:rFonts w:hint="eastAsia" w:ascii="宋体" w:hAnsi="宋体" w:cs="宋体"/>
          <w:color w:val="auto"/>
          <w:sz w:val="24"/>
          <w:highlight w:val="none"/>
          <w:u w:val="single" w:color="000000"/>
        </w:rPr>
        <w:t>2023</w:t>
      </w:r>
      <w:r>
        <w:rPr>
          <w:rStyle w:val="161"/>
          <w:rFonts w:hint="eastAsia" w:ascii="宋体" w:hAnsi="宋体" w:cs="宋体"/>
          <w:bCs/>
          <w:color w:val="auto"/>
          <w:sz w:val="24"/>
          <w:highlight w:val="none"/>
          <w:u w:val="single" w:color="000000"/>
        </w:rPr>
        <w:t>年</w:t>
      </w:r>
      <w:r>
        <w:rPr>
          <w:rStyle w:val="161"/>
          <w:rFonts w:hint="eastAsia" w:ascii="宋体" w:hAnsi="宋体" w:cs="宋体"/>
          <w:bCs/>
          <w:color w:val="auto"/>
          <w:sz w:val="24"/>
          <w:highlight w:val="none"/>
          <w:u w:val="single" w:color="000000"/>
          <w:lang w:val="en-US" w:eastAsia="zh-CN"/>
        </w:rPr>
        <w:t>7</w:t>
      </w:r>
      <w:r>
        <w:rPr>
          <w:rStyle w:val="161"/>
          <w:rFonts w:hint="eastAsia" w:ascii="宋体" w:hAnsi="宋体" w:cs="宋体"/>
          <w:bCs/>
          <w:color w:val="auto"/>
          <w:sz w:val="24"/>
          <w:highlight w:val="none"/>
          <w:u w:val="single" w:color="000000"/>
        </w:rPr>
        <w:t>月</w:t>
      </w:r>
      <w:r>
        <w:rPr>
          <w:rStyle w:val="161"/>
          <w:rFonts w:hint="eastAsia" w:ascii="宋体" w:hAnsi="宋体" w:cs="宋体"/>
          <w:bCs/>
          <w:color w:val="auto"/>
          <w:sz w:val="24"/>
          <w:highlight w:val="none"/>
          <w:u w:val="single" w:color="000000"/>
          <w:lang w:val="en-US" w:eastAsia="zh-CN"/>
        </w:rPr>
        <w:t>14</w:t>
      </w:r>
      <w:r>
        <w:rPr>
          <w:rStyle w:val="161"/>
          <w:rFonts w:hint="eastAsia" w:ascii="宋体" w:hAnsi="宋体" w:cs="宋体"/>
          <w:bCs/>
          <w:color w:val="auto"/>
          <w:sz w:val="24"/>
          <w:highlight w:val="none"/>
          <w:u w:val="single" w:color="000000"/>
        </w:rPr>
        <w:t>日9点00分（</w:t>
      </w:r>
      <w:r>
        <w:rPr>
          <w:rStyle w:val="161"/>
          <w:rFonts w:hint="eastAsia" w:ascii="宋体" w:hAnsi="宋体" w:cs="宋体"/>
          <w:bCs/>
          <w:color w:val="auto"/>
          <w:sz w:val="24"/>
          <w:highlight w:val="none"/>
        </w:rPr>
        <w:t>北京时间）前递交投标文件</w:t>
      </w:r>
      <w:r>
        <w:rPr>
          <w:rStyle w:val="161"/>
          <w:rFonts w:hint="eastAsia" w:ascii="宋体" w:hAnsi="宋体" w:cs="宋体"/>
          <w:color w:val="auto"/>
          <w:sz w:val="24"/>
          <w:highlight w:val="none"/>
        </w:rPr>
        <w:t>。</w:t>
      </w:r>
    </w:p>
    <w:p>
      <w:pPr>
        <w:adjustRightInd w:val="0"/>
        <w:snapToGrid w:val="0"/>
        <w:spacing w:line="360" w:lineRule="auto"/>
        <w:rPr>
          <w:rFonts w:ascii="宋体" w:hAnsi="宋体" w:cs="宋体"/>
          <w:color w:val="auto"/>
          <w:sz w:val="24"/>
          <w:highlight w:val="none"/>
        </w:rPr>
      </w:pPr>
    </w:p>
    <w:p>
      <w:pPr>
        <w:pStyle w:val="4"/>
        <w:adjustRightInd w:val="0"/>
        <w:snapToGrid w:val="0"/>
        <w:spacing w:before="0" w:after="0" w:line="360" w:lineRule="auto"/>
        <w:jc w:val="both"/>
        <w:rPr>
          <w:rFonts w:ascii="宋体" w:hAnsi="宋体" w:eastAsia="宋体" w:cs="宋体"/>
          <w:b w:val="0"/>
          <w:color w:val="auto"/>
          <w:sz w:val="24"/>
          <w:szCs w:val="24"/>
          <w:highlight w:val="none"/>
        </w:rPr>
      </w:pPr>
      <w:bookmarkStart w:id="6" w:name="_Toc35393629"/>
      <w:bookmarkStart w:id="7" w:name="_Toc35393798"/>
      <w:bookmarkStart w:id="8" w:name="_Toc28359012"/>
      <w:bookmarkStart w:id="9" w:name="_Toc28359089"/>
      <w:r>
        <w:rPr>
          <w:rFonts w:hint="eastAsia" w:ascii="宋体" w:hAnsi="宋体" w:eastAsia="宋体" w:cs="宋体"/>
          <w:b w:val="0"/>
          <w:color w:val="auto"/>
          <w:sz w:val="24"/>
          <w:szCs w:val="24"/>
          <w:highlight w:val="none"/>
        </w:rPr>
        <w:t>一、项目基本情况</w:t>
      </w:r>
      <w:bookmarkEnd w:id="6"/>
      <w:bookmarkEnd w:id="7"/>
      <w:bookmarkEnd w:id="8"/>
      <w:bookmarkEnd w:id="9"/>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项目编号：2023-</w:t>
      </w:r>
      <w:r>
        <w:rPr>
          <w:rFonts w:hint="eastAsia" w:ascii="宋体" w:hAnsi="宋体" w:cs="宋体"/>
          <w:color w:val="auto"/>
          <w:sz w:val="24"/>
          <w:highlight w:val="none"/>
          <w:lang w:eastAsia="zh-CN"/>
        </w:rPr>
        <w:t>016W</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项目名称：盐城工业职业技术学院学生公共浴室改造及服务BOT节能项目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采购方式：竞争性磋商</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最高限价：按照流量刷卡</w:t>
      </w:r>
      <w:r>
        <w:rPr>
          <w:rFonts w:hint="eastAsia" w:ascii="宋体" w:hAnsi="宋体" w:cs="宋体"/>
          <w:color w:val="auto"/>
          <w:sz w:val="24"/>
          <w:highlight w:val="none"/>
          <w:lang w:val="en-US" w:eastAsia="zh-CN"/>
        </w:rPr>
        <w:t>或手机物联网支付</w:t>
      </w:r>
      <w:r>
        <w:rPr>
          <w:rFonts w:hint="eastAsia" w:ascii="宋体" w:hAnsi="宋体" w:cs="宋体"/>
          <w:color w:val="auto"/>
          <w:sz w:val="24"/>
          <w:highlight w:val="none"/>
        </w:rPr>
        <w:t>计费方式，投标人报每吨热水的价格（元/吨），热水最高限价为30元/吨，投标人报价如高于30元/吨，将视为无效响应。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采购需求：采用BOT模式对校内两个公共浴室进行整体改造，改造范围包含但不限于原有设备设施拆除、</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热源系统设备配置及安装、浴室室内装修及本项目所需要的设备及材料的采购、运输、安装、调试、检测、维修、培训、保养及经营、管理、服务等所有费用，由中标人全额投资，中标人负责该项目的热水系统设备建设、安装及热水全系统调试，通过运营一定的年限，将所有装修、设施、设备无条件免费移交给学校，详见招标文件项目需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合同履行期限：本项目建设期</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天，营运6 年</w:t>
      </w:r>
      <w:r>
        <w:rPr>
          <w:rFonts w:ascii="宋体" w:hAnsi="宋体" w:eastAsia="宋体" w:cs="宋体"/>
          <w:color w:val="auto"/>
          <w:sz w:val="24"/>
          <w:szCs w:val="24"/>
          <w:highlight w:val="none"/>
        </w:rPr>
        <w:t>（3年固定合同，合同期满后经招标人考核合格可续签3年)</w:t>
      </w:r>
      <w:r>
        <w:rPr>
          <w:rFonts w:hint="eastAsia" w:ascii="宋体" w:hAnsi="宋体" w:cs="宋体"/>
          <w:color w:val="auto"/>
          <w:sz w:val="24"/>
          <w:highlight w:val="none"/>
        </w:rPr>
        <w:t>。</w:t>
      </w:r>
    </w:p>
    <w:p>
      <w:pPr>
        <w:pStyle w:val="4"/>
        <w:adjustRightInd w:val="0"/>
        <w:snapToGrid w:val="0"/>
        <w:spacing w:before="0" w:after="0" w:line="360" w:lineRule="auto"/>
        <w:jc w:val="both"/>
        <w:rPr>
          <w:rFonts w:ascii="宋体" w:hAnsi="宋体" w:eastAsia="宋体" w:cs="宋体"/>
          <w:b w:val="0"/>
          <w:color w:val="auto"/>
          <w:sz w:val="24"/>
          <w:szCs w:val="24"/>
          <w:highlight w:val="none"/>
        </w:rPr>
      </w:pPr>
      <w:bookmarkStart w:id="10" w:name="_Toc28359013"/>
      <w:bookmarkStart w:id="11" w:name="_Toc35393799"/>
      <w:bookmarkStart w:id="12" w:name="_Toc28359090"/>
      <w:bookmarkStart w:id="13" w:name="_Toc35393630"/>
      <w:r>
        <w:rPr>
          <w:rFonts w:hint="eastAsia" w:ascii="宋体" w:hAnsi="宋体" w:eastAsia="宋体" w:cs="宋体"/>
          <w:b w:val="0"/>
          <w:color w:val="auto"/>
          <w:sz w:val="24"/>
          <w:szCs w:val="24"/>
          <w:highlight w:val="none"/>
        </w:rPr>
        <w:t>二、申请人的资格要求：</w:t>
      </w:r>
      <w:bookmarkEnd w:id="10"/>
      <w:bookmarkEnd w:id="11"/>
      <w:bookmarkEnd w:id="12"/>
      <w:bookmarkEnd w:id="1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1.满足《中华人民共和国政府采购法》第二十二条规定，并提供下列材料；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(1)法人或者其他组织的营业执照等证明文件，自然人的身份证明；</w:t>
      </w:r>
    </w:p>
    <w:p>
      <w:pPr>
        <w:adjustRightInd w:val="0"/>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(2)上一年度（2022年）的财务报表（成立不满一年不需提供）；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(3)依法缴纳税收和社会保障资金的相关材料，依法免税或不需要缴纳社会保障资金的，应提供相应文件证明材料；</w:t>
      </w:r>
      <w:r>
        <w:rPr>
          <w:rFonts w:ascii="宋体" w:hAnsi="宋体" w:cs="宋体"/>
          <w:color w:val="auto"/>
          <w:sz w:val="24"/>
          <w:highlight w:val="none"/>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(4)具备履行合同所必需的专业技术能力的书面声明；</w:t>
      </w:r>
    </w:p>
    <w:p>
      <w:pPr>
        <w:adjustRightInd w:val="0"/>
        <w:snapToGrid w:val="0"/>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 xml:space="preserve">    (5)参加政府采购活动前3年内在经营活动中没有重大违法记录的书面声明；</w:t>
      </w:r>
    </w:p>
    <w:p>
      <w:pPr>
        <w:pStyle w:val="18"/>
        <w:spacing w:line="480" w:lineRule="exact"/>
        <w:ind w:firstLine="480" w:firstLineChars="200"/>
        <w:rPr>
          <w:rFonts w:hint="eastAsia" w:ascii="宋体" w:hAnsi="宋体" w:eastAsia="宋体" w:cs="Times New Roman"/>
          <w:color w:val="auto"/>
          <w:kern w:val="2"/>
          <w:sz w:val="24"/>
          <w:szCs w:val="24"/>
          <w:highlight w:val="none"/>
          <w:lang w:val="en-US" w:eastAsia="zh-CN" w:bidi="ar-SA"/>
        </w:rPr>
      </w:pPr>
      <w:bookmarkStart w:id="14" w:name="_Toc28359014"/>
      <w:bookmarkStart w:id="15" w:name="_Toc28359091"/>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eastAsia="宋体" w:cs="Times New Roman"/>
          <w:color w:val="auto"/>
          <w:kern w:val="2"/>
          <w:sz w:val="24"/>
          <w:szCs w:val="24"/>
          <w:highlight w:val="none"/>
          <w:lang w:val="en-US" w:eastAsia="zh-CN" w:bidi="ar-SA"/>
        </w:rPr>
        <w:t>本</w:t>
      </w:r>
      <w:r>
        <w:rPr>
          <w:rFonts w:hint="eastAsia" w:ascii="宋体" w:hAnsi="宋体" w:eastAsia="宋体" w:cs="Times New Roman"/>
          <w:b/>
          <w:bCs/>
          <w:color w:val="auto"/>
          <w:kern w:val="2"/>
          <w:sz w:val="24"/>
          <w:szCs w:val="24"/>
          <w:highlight w:val="none"/>
          <w:lang w:val="en-US" w:eastAsia="zh-CN" w:bidi="ar-SA"/>
        </w:rPr>
        <w:t>项目为专门面向中小企业采购的项目,供应商须为中小微企业，不接受大型企业参与本项目投标。（具体中小企业划分标准详见《关于印发中小企业划型标准规定的通知》（工信部联企业[2011]300号）文件规定及国家统计局关于印发《统计上大中小微型企业划分办法（2017）》。供应商投标时须提供《中小型企业声明函》，否则按无效处理。</w:t>
      </w:r>
    </w:p>
    <w:p>
      <w:pPr>
        <w:numPr>
          <w:ilvl w:val="0"/>
          <w:numId w:val="0"/>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pPr>
        <w:adjustRightInd w:val="0"/>
        <w:snapToGrid w:val="0"/>
        <w:spacing w:line="360" w:lineRule="auto"/>
        <w:ind w:firstLine="547" w:firstLineChars="228"/>
        <w:rPr>
          <w:rFonts w:ascii="宋体" w:hAnsi="宋体" w:cs="宋体"/>
          <w:color w:val="auto"/>
          <w:sz w:val="24"/>
          <w:highlight w:val="none"/>
        </w:rPr>
      </w:pPr>
      <w:r>
        <w:rPr>
          <w:rFonts w:hint="eastAsia" w:ascii="宋体" w:hAnsi="宋体" w:cs="宋体"/>
          <w:color w:val="auto"/>
          <w:sz w:val="24"/>
          <w:highlight w:val="none"/>
        </w:rPr>
        <w:t>（1）未被“信用中国”网站（www.creditchina.gov.cn）列入失信被执行人、重大税收违法案件当事人名单、政府采购严重失信行为记录名单。</w:t>
      </w:r>
    </w:p>
    <w:p>
      <w:pPr>
        <w:adjustRightInd w:val="0"/>
        <w:snapToGrid w:val="0"/>
        <w:spacing w:line="360" w:lineRule="auto"/>
        <w:ind w:firstLine="547" w:firstLineChars="228"/>
        <w:rPr>
          <w:rFonts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w:t>
      </w:r>
      <w:r>
        <w:rPr>
          <w:rFonts w:hint="eastAsia" w:ascii="宋体" w:hAnsi="宋体" w:cs="宋体"/>
          <w:color w:val="auto"/>
          <w:sz w:val="24"/>
          <w:highlight w:val="none"/>
          <w:lang w:val="en-US" w:eastAsia="zh-CN"/>
        </w:rPr>
        <w:t>同时参加本</w:t>
      </w:r>
      <w:r>
        <w:rPr>
          <w:rFonts w:hint="eastAsia" w:ascii="宋体" w:hAnsi="宋体" w:cs="宋体"/>
          <w:color w:val="auto"/>
          <w:sz w:val="24"/>
          <w:highlight w:val="none"/>
        </w:rPr>
        <w:t>采购活动。</w:t>
      </w:r>
    </w:p>
    <w:p>
      <w:pPr>
        <w:pStyle w:val="4"/>
        <w:adjustRightInd w:val="0"/>
        <w:snapToGrid w:val="0"/>
        <w:spacing w:before="0" w:after="0" w:line="360" w:lineRule="auto"/>
        <w:jc w:val="both"/>
        <w:rPr>
          <w:rFonts w:ascii="宋体" w:hAnsi="宋体" w:eastAsia="宋体" w:cs="宋体"/>
          <w:b w:val="0"/>
          <w:color w:val="auto"/>
          <w:sz w:val="24"/>
          <w:szCs w:val="24"/>
          <w:highlight w:val="none"/>
        </w:rPr>
      </w:pPr>
      <w:bookmarkStart w:id="16" w:name="_Toc35393800"/>
      <w:bookmarkStart w:id="17" w:name="_Toc35393631"/>
      <w:r>
        <w:rPr>
          <w:rFonts w:hint="eastAsia" w:ascii="宋体" w:hAnsi="宋体" w:eastAsia="宋体" w:cs="宋体"/>
          <w:b w:val="0"/>
          <w:color w:val="auto"/>
          <w:sz w:val="24"/>
          <w:szCs w:val="24"/>
          <w:highlight w:val="none"/>
        </w:rPr>
        <w:t>三、获取采购文件</w:t>
      </w:r>
      <w:bookmarkEnd w:id="14"/>
      <w:bookmarkEnd w:id="15"/>
      <w:bookmarkEnd w:id="16"/>
      <w:bookmarkEnd w:id="17"/>
    </w:p>
    <w:p>
      <w:pPr>
        <w:widowControl/>
        <w:snapToGrid w:val="0"/>
        <w:spacing w:line="360" w:lineRule="auto"/>
        <w:ind w:firstLine="480" w:firstLineChars="200"/>
        <w:textAlignment w:val="baseline"/>
        <w:rPr>
          <w:rStyle w:val="161"/>
          <w:rFonts w:ascii="宋体" w:hAnsi="宋体" w:cs="宋体"/>
          <w:color w:val="auto"/>
          <w:sz w:val="24"/>
          <w:highlight w:val="none"/>
        </w:rPr>
      </w:pPr>
      <w:bookmarkStart w:id="18" w:name="_Toc35393801"/>
      <w:bookmarkStart w:id="19" w:name="_Toc28359092"/>
      <w:bookmarkStart w:id="20" w:name="_Toc28359015"/>
      <w:bookmarkStart w:id="21" w:name="_Toc35393632"/>
      <w:r>
        <w:rPr>
          <w:rStyle w:val="161"/>
          <w:rFonts w:hint="eastAsia" w:ascii="宋体" w:hAnsi="宋体" w:cs="宋体"/>
          <w:color w:val="auto"/>
          <w:sz w:val="24"/>
          <w:highlight w:val="none"/>
        </w:rPr>
        <w:t>时间：自公告之日起至投标截止时间前1日</w:t>
      </w:r>
    </w:p>
    <w:p>
      <w:pPr>
        <w:widowControl/>
        <w:snapToGrid w:val="0"/>
        <w:spacing w:line="360" w:lineRule="auto"/>
        <w:ind w:firstLine="480" w:firstLineChars="200"/>
        <w:textAlignment w:val="baseline"/>
        <w:rPr>
          <w:rStyle w:val="161"/>
          <w:rFonts w:ascii="宋体" w:hAnsi="宋体" w:cs="宋体"/>
          <w:color w:val="auto"/>
          <w:sz w:val="24"/>
          <w:highlight w:val="none"/>
        </w:rPr>
      </w:pPr>
      <w:r>
        <w:rPr>
          <w:rStyle w:val="161"/>
          <w:rFonts w:hint="eastAsia" w:ascii="宋体" w:hAnsi="宋体" w:cs="宋体"/>
          <w:color w:val="auto"/>
          <w:sz w:val="24"/>
          <w:highlight w:val="none"/>
        </w:rPr>
        <w:t>地点：盐城工业职业技术学院招标采购网</w:t>
      </w:r>
    </w:p>
    <w:p>
      <w:pPr>
        <w:widowControl/>
        <w:snapToGrid w:val="0"/>
        <w:spacing w:line="360" w:lineRule="auto"/>
        <w:ind w:firstLine="480" w:firstLineChars="200"/>
        <w:textAlignment w:val="baseline"/>
        <w:rPr>
          <w:rStyle w:val="161"/>
          <w:rFonts w:ascii="宋体" w:hAnsi="宋体" w:cs="宋体"/>
          <w:color w:val="auto"/>
          <w:sz w:val="24"/>
          <w:highlight w:val="none"/>
        </w:rPr>
      </w:pPr>
      <w:r>
        <w:rPr>
          <w:rStyle w:val="161"/>
          <w:rFonts w:hint="eastAsia" w:ascii="宋体" w:hAnsi="宋体" w:cs="宋体"/>
          <w:color w:val="auto"/>
          <w:sz w:val="24"/>
          <w:highlight w:val="none"/>
        </w:rPr>
        <w:t>方式：符合资格要求的投标人可自行下载采购文件，采购文件见盐城工业职业技术学院招标采购网本公告附件。</w:t>
      </w:r>
    </w:p>
    <w:p>
      <w:pPr>
        <w:widowControl/>
        <w:adjustRightInd w:val="0"/>
        <w:snapToGrid w:val="0"/>
        <w:spacing w:line="360" w:lineRule="auto"/>
        <w:ind w:firstLine="480" w:firstLineChars="200"/>
        <w:textAlignment w:val="baseline"/>
        <w:rPr>
          <w:rStyle w:val="161"/>
          <w:rFonts w:ascii="宋体" w:hAnsi="宋体" w:cs="宋体"/>
          <w:color w:val="auto"/>
          <w:sz w:val="24"/>
          <w:highlight w:val="none"/>
        </w:rPr>
      </w:pPr>
      <w:r>
        <w:rPr>
          <w:rFonts w:hint="eastAsia" w:ascii="宋体" w:hAnsi="宋体" w:cs="宋体"/>
          <w:bCs/>
          <w:color w:val="auto"/>
          <w:sz w:val="24"/>
          <w:highlight w:val="none"/>
        </w:rPr>
        <w:t>报名时间及地点：本公告发布后凡具备上述资格条件，并自愿参加本项目投标的投标人应于2023年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日至2023年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日委派本单位正式人员携带单位介绍信或授权委托书扫描件至我单位或添加微信（微信号:13305104722）购买招标文件，逾期的不予接收。</w:t>
      </w:r>
    </w:p>
    <w:p>
      <w:pPr>
        <w:widowControl/>
        <w:snapToGrid w:val="0"/>
        <w:spacing w:line="360" w:lineRule="auto"/>
        <w:ind w:firstLine="480" w:firstLineChars="200"/>
        <w:textAlignment w:val="baseline"/>
        <w:rPr>
          <w:rStyle w:val="161"/>
          <w:rFonts w:ascii="宋体" w:hAnsi="宋体" w:cs="宋体"/>
          <w:color w:val="auto"/>
          <w:sz w:val="24"/>
          <w:highlight w:val="none"/>
        </w:rPr>
      </w:pPr>
      <w:r>
        <w:rPr>
          <w:rStyle w:val="161"/>
          <w:rFonts w:hint="eastAsia" w:ascii="宋体" w:hAnsi="宋体" w:cs="宋体"/>
          <w:color w:val="auto"/>
          <w:sz w:val="24"/>
          <w:highlight w:val="none"/>
        </w:rPr>
        <w:t>售价：人民币500元，售后不退。</w:t>
      </w:r>
    </w:p>
    <w:p>
      <w:pPr>
        <w:pStyle w:val="4"/>
        <w:adjustRightInd w:val="0"/>
        <w:snapToGrid w:val="0"/>
        <w:spacing w:before="0" w:after="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四、响应文件提交</w:t>
      </w:r>
      <w:bookmarkEnd w:id="18"/>
      <w:bookmarkEnd w:id="19"/>
      <w:bookmarkEnd w:id="20"/>
      <w:bookmarkEnd w:id="21"/>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2023</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7</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日9点00分</w:t>
      </w:r>
      <w:r>
        <w:rPr>
          <w:rFonts w:hint="eastAsia" w:ascii="宋体" w:hAnsi="宋体" w:cs="宋体"/>
          <w:bCs/>
          <w:color w:val="auto"/>
          <w:sz w:val="24"/>
          <w:highlight w:val="none"/>
        </w:rPr>
        <w:t>（北京时间）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r>
        <w:rPr>
          <w:rStyle w:val="161"/>
          <w:rFonts w:hint="eastAsia" w:ascii="宋体" w:hAnsi="宋体" w:cs="宋体"/>
          <w:color w:val="auto"/>
          <w:sz w:val="24"/>
          <w:highlight w:val="none"/>
        </w:rPr>
        <w:t>盐城工业职业技术学院（盐城市解放南路285号）南食堂四楼402开标室。</w:t>
      </w:r>
    </w:p>
    <w:p>
      <w:pPr>
        <w:pStyle w:val="4"/>
        <w:adjustRightInd w:val="0"/>
        <w:snapToGrid w:val="0"/>
        <w:spacing w:before="0" w:after="0" w:line="360" w:lineRule="auto"/>
        <w:jc w:val="both"/>
        <w:rPr>
          <w:rFonts w:ascii="宋体" w:hAnsi="宋体" w:eastAsia="宋体" w:cs="宋体"/>
          <w:b w:val="0"/>
          <w:color w:val="auto"/>
          <w:sz w:val="24"/>
          <w:szCs w:val="24"/>
          <w:highlight w:val="none"/>
        </w:rPr>
      </w:pPr>
      <w:bookmarkStart w:id="22" w:name="_Toc28359016"/>
      <w:bookmarkStart w:id="23" w:name="_Toc35393633"/>
      <w:bookmarkStart w:id="24" w:name="_Toc35393802"/>
      <w:bookmarkStart w:id="25" w:name="_Toc28359093"/>
      <w:bookmarkStart w:id="26" w:name="_Toc35393634"/>
      <w:bookmarkStart w:id="27" w:name="_Toc28359094"/>
      <w:bookmarkStart w:id="28" w:name="_Toc35393803"/>
      <w:bookmarkStart w:id="29" w:name="_Toc28359017"/>
      <w:r>
        <w:rPr>
          <w:rFonts w:hint="eastAsia" w:ascii="宋体" w:hAnsi="宋体" w:eastAsia="宋体" w:cs="宋体"/>
          <w:b w:val="0"/>
          <w:color w:val="auto"/>
          <w:sz w:val="24"/>
          <w:szCs w:val="24"/>
          <w:highlight w:val="none"/>
        </w:rPr>
        <w:t>五、开启</w:t>
      </w:r>
      <w:bookmarkEnd w:id="22"/>
      <w:bookmarkEnd w:id="23"/>
      <w:bookmarkEnd w:id="24"/>
      <w:bookmarkEnd w:id="25"/>
    </w:p>
    <w:p>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2023</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7</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14</w:t>
      </w:r>
      <w:r>
        <w:rPr>
          <w:rFonts w:hint="eastAsia" w:ascii="宋体" w:hAnsi="宋体" w:cs="宋体"/>
          <w:bCs/>
          <w:color w:val="auto"/>
          <w:sz w:val="24"/>
          <w:highlight w:val="none"/>
          <w:u w:val="single"/>
        </w:rPr>
        <w:t>日9点00分</w:t>
      </w:r>
      <w:r>
        <w:rPr>
          <w:rFonts w:hint="eastAsia" w:ascii="宋体" w:hAnsi="宋体" w:cs="宋体"/>
          <w:bCs/>
          <w:color w:val="auto"/>
          <w:sz w:val="24"/>
          <w:highlight w:val="none"/>
        </w:rPr>
        <w:t>（北京时间）</w:t>
      </w:r>
    </w:p>
    <w:p>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地点：</w:t>
      </w:r>
      <w:r>
        <w:rPr>
          <w:rStyle w:val="161"/>
          <w:rFonts w:hint="eastAsia" w:ascii="宋体" w:hAnsi="宋体" w:cs="宋体"/>
          <w:color w:val="auto"/>
          <w:sz w:val="24"/>
          <w:highlight w:val="none"/>
        </w:rPr>
        <w:t>盐城工业职业技术学院（盐城市解放南路285号）南食堂四楼402开标室。</w:t>
      </w:r>
      <w:r>
        <w:rPr>
          <w:rFonts w:hint="eastAsia" w:ascii="宋体" w:hAnsi="宋体" w:cs="宋体"/>
          <w:color w:val="auto"/>
          <w:sz w:val="24"/>
          <w:highlight w:val="none"/>
        </w:rPr>
        <w:t xml:space="preserve"> </w:t>
      </w:r>
    </w:p>
    <w:p>
      <w:pPr>
        <w:pStyle w:val="4"/>
        <w:adjustRightInd w:val="0"/>
        <w:snapToGrid w:val="0"/>
        <w:spacing w:before="0" w:after="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六、公告期限</w:t>
      </w:r>
      <w:bookmarkEnd w:id="26"/>
      <w:bookmarkEnd w:id="27"/>
      <w:bookmarkEnd w:id="28"/>
      <w:bookmarkEnd w:id="29"/>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ascii="宋体" w:hAnsi="宋体" w:cs="宋体"/>
          <w:color w:val="auto"/>
          <w:kern w:val="0"/>
          <w:sz w:val="24"/>
          <w:highlight w:val="none"/>
        </w:rPr>
        <w:t>5</w:t>
      </w:r>
      <w:r>
        <w:rPr>
          <w:rFonts w:hint="eastAsia" w:ascii="宋体" w:hAnsi="宋体" w:cs="宋体"/>
          <w:color w:val="auto"/>
          <w:kern w:val="0"/>
          <w:sz w:val="24"/>
          <w:highlight w:val="none"/>
        </w:rPr>
        <w:t>个工作日。</w:t>
      </w:r>
    </w:p>
    <w:p>
      <w:pPr>
        <w:pStyle w:val="4"/>
        <w:adjustRightInd w:val="0"/>
        <w:snapToGrid w:val="0"/>
        <w:spacing w:before="0" w:after="0" w:line="360" w:lineRule="auto"/>
        <w:jc w:val="both"/>
        <w:rPr>
          <w:rFonts w:ascii="宋体" w:hAnsi="宋体" w:eastAsia="宋体" w:cs="宋体"/>
          <w:b w:val="0"/>
          <w:color w:val="auto"/>
          <w:sz w:val="24"/>
          <w:szCs w:val="24"/>
          <w:highlight w:val="none"/>
        </w:rPr>
      </w:pPr>
      <w:bookmarkStart w:id="30" w:name="_Toc35393804"/>
      <w:bookmarkStart w:id="31" w:name="_Toc35393635"/>
      <w:r>
        <w:rPr>
          <w:rFonts w:hint="eastAsia" w:ascii="宋体" w:hAnsi="宋体" w:eastAsia="宋体" w:cs="宋体"/>
          <w:b w:val="0"/>
          <w:color w:val="auto"/>
          <w:sz w:val="24"/>
          <w:szCs w:val="24"/>
          <w:highlight w:val="none"/>
        </w:rPr>
        <w:t>七、其他补充事宜</w:t>
      </w:r>
      <w:bookmarkEnd w:id="30"/>
      <w:bookmarkEnd w:id="31"/>
    </w:p>
    <w:p>
      <w:pPr>
        <w:adjustRightInd w:val="0"/>
        <w:snapToGrid w:val="0"/>
        <w:spacing w:line="360" w:lineRule="auto"/>
        <w:ind w:firstLine="480" w:firstLineChars="200"/>
        <w:rPr>
          <w:rFonts w:ascii="宋体" w:hAnsi="宋体" w:cs="宋体"/>
          <w:color w:val="auto"/>
          <w:sz w:val="24"/>
          <w:highlight w:val="none"/>
        </w:rPr>
      </w:pPr>
      <w:bookmarkStart w:id="32" w:name="_Toc35393805"/>
      <w:bookmarkStart w:id="33" w:name="_Toc35393636"/>
      <w:bookmarkStart w:id="34" w:name="_Toc28359095"/>
      <w:bookmarkStart w:id="35" w:name="_Toc28359018"/>
      <w:r>
        <w:rPr>
          <w:rFonts w:hint="eastAsia" w:ascii="宋体" w:hAnsi="宋体" w:cs="宋体"/>
          <w:color w:val="auto"/>
          <w:sz w:val="24"/>
          <w:highlight w:val="none"/>
        </w:rPr>
        <w:t>1、响应文件正本1份，副本</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份。</w:t>
      </w:r>
    </w:p>
    <w:p>
      <w:pPr>
        <w:pStyle w:val="162"/>
        <w:tabs>
          <w:tab w:val="left" w:pos="0"/>
          <w:tab w:val="left" w:pos="3165"/>
          <w:tab w:val="center" w:pos="4153"/>
        </w:tabs>
        <w:snapToGrid w:val="0"/>
        <w:spacing w:line="360" w:lineRule="auto"/>
        <w:ind w:firstLine="480" w:firstLineChars="200"/>
        <w:jc w:val="left"/>
        <w:rPr>
          <w:rStyle w:val="161"/>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Style w:val="161"/>
          <w:rFonts w:hint="eastAsia" w:ascii="宋体" w:hAnsi="宋体" w:eastAsia="宋体" w:cs="宋体"/>
          <w:color w:val="auto"/>
          <w:sz w:val="24"/>
          <w:szCs w:val="24"/>
          <w:highlight w:val="none"/>
        </w:rPr>
        <w:t>根据江苏省财政厅及盐财购〔2020〕11号文件关于取消政府采购投标保证金的规定，本采购项目投标人无需在投标截止时间之前交纳（提交）投标保证金。</w:t>
      </w:r>
    </w:p>
    <w:p>
      <w:pPr>
        <w:pStyle w:val="4"/>
        <w:adjustRightInd w:val="0"/>
        <w:snapToGrid w:val="0"/>
        <w:spacing w:before="0" w:after="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八、凡对本次采购提出询问，请按以下方式联系。</w:t>
      </w:r>
      <w:bookmarkEnd w:id="32"/>
      <w:bookmarkEnd w:id="33"/>
      <w:bookmarkEnd w:id="34"/>
      <w:bookmarkEnd w:id="35"/>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1.采购人信息</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名称：盐城工业职业技术学院</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地址：盐城市解放南路285号</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 xml:space="preserve">联系人：赵老师             </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联系电话：0515-88588707</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2.采购代理机构信息</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名称：江苏伟业项目管理有限公司</w:t>
      </w:r>
    </w:p>
    <w:p>
      <w:pPr>
        <w:snapToGrid w:val="0"/>
        <w:spacing w:line="360" w:lineRule="auto"/>
        <w:ind w:firstLine="480" w:firstLineChars="200"/>
        <w:rPr>
          <w:rStyle w:val="161"/>
          <w:rFonts w:hint="eastAsia" w:ascii="宋体" w:hAnsi="宋体" w:cs="宋体"/>
          <w:color w:val="auto"/>
          <w:sz w:val="24"/>
          <w:highlight w:val="none"/>
        </w:rPr>
      </w:pPr>
      <w:r>
        <w:rPr>
          <w:rStyle w:val="161"/>
          <w:rFonts w:hint="eastAsia" w:ascii="宋体" w:hAnsi="宋体" w:cs="宋体"/>
          <w:color w:val="auto"/>
          <w:sz w:val="24"/>
          <w:highlight w:val="none"/>
          <w:lang w:val="en-US" w:eastAsia="zh-CN"/>
        </w:rPr>
        <w:t>地址：盐城市华邦国际东厦16楼</w:t>
      </w:r>
    </w:p>
    <w:p>
      <w:pPr>
        <w:snapToGrid w:val="0"/>
        <w:spacing w:line="360" w:lineRule="auto"/>
        <w:ind w:firstLine="480" w:firstLineChars="200"/>
        <w:rPr>
          <w:rStyle w:val="161"/>
          <w:rFonts w:hint="eastAsia" w:ascii="宋体" w:hAnsi="宋体" w:cs="宋体"/>
          <w:color w:val="auto"/>
          <w:sz w:val="24"/>
          <w:highlight w:val="none"/>
        </w:rPr>
      </w:pPr>
      <w:r>
        <w:rPr>
          <w:rStyle w:val="161"/>
          <w:rFonts w:hint="eastAsia" w:ascii="宋体" w:hAnsi="宋体" w:cs="宋体"/>
          <w:color w:val="auto"/>
          <w:sz w:val="24"/>
          <w:highlight w:val="none"/>
          <w:lang w:val="en-US" w:eastAsia="zh-CN"/>
        </w:rPr>
        <w:t>联系人：陈先生              </w:t>
      </w:r>
    </w:p>
    <w:p>
      <w:pPr>
        <w:snapToGrid w:val="0"/>
        <w:spacing w:line="360" w:lineRule="auto"/>
        <w:ind w:firstLine="480" w:firstLineChars="200"/>
        <w:rPr>
          <w:rStyle w:val="161"/>
          <w:rFonts w:hint="eastAsia" w:ascii="宋体" w:hAnsi="宋体" w:cs="宋体"/>
          <w:color w:val="auto"/>
          <w:sz w:val="24"/>
          <w:highlight w:val="none"/>
        </w:rPr>
      </w:pPr>
      <w:r>
        <w:rPr>
          <w:rStyle w:val="161"/>
          <w:rFonts w:hint="eastAsia" w:ascii="宋体" w:hAnsi="宋体" w:cs="宋体"/>
          <w:color w:val="auto"/>
          <w:sz w:val="24"/>
          <w:highlight w:val="none"/>
          <w:lang w:val="en-US" w:eastAsia="zh-CN"/>
        </w:rPr>
        <w:t>联系电话：13305104722</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3.项目联系方式</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项目联系人：顾老师、 高老师</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 xml:space="preserve">联系电话：13770023681 18262393599 </w:t>
      </w:r>
    </w:p>
    <w:p>
      <w:pPr>
        <w:snapToGrid w:val="0"/>
        <w:spacing w:line="360" w:lineRule="auto"/>
        <w:ind w:firstLine="480" w:firstLineChars="200"/>
        <w:rPr>
          <w:rStyle w:val="161"/>
          <w:rFonts w:ascii="宋体" w:hAnsi="宋体" w:cs="宋体"/>
          <w:color w:val="auto"/>
          <w:sz w:val="24"/>
          <w:highlight w:val="none"/>
        </w:rPr>
      </w:pPr>
      <w:r>
        <w:rPr>
          <w:rStyle w:val="161"/>
          <w:rFonts w:hint="eastAsia" w:ascii="宋体" w:hAnsi="宋体" w:cs="宋体"/>
          <w:color w:val="auto"/>
          <w:sz w:val="24"/>
          <w:highlight w:val="none"/>
        </w:rPr>
        <w:t>对项目需求部分的询问、质疑请向使用部门提出，询问、质疑由项目联系人负责答复。</w:t>
      </w:r>
    </w:p>
    <w:p>
      <w:pPr>
        <w:pStyle w:val="45"/>
        <w:ind w:firstLine="480"/>
        <w:rPr>
          <w:rFonts w:ascii="宋体" w:hAnsi="宋体" w:eastAsia="宋体" w:cs="宋体"/>
          <w:color w:val="auto"/>
          <w:sz w:val="24"/>
          <w:highlight w:val="none"/>
        </w:rPr>
      </w:pPr>
    </w:p>
    <w:p>
      <w:pPr>
        <w:pStyle w:val="18"/>
        <w:rPr>
          <w:rFonts w:ascii="宋体" w:hAnsi="宋体" w:cs="宋体"/>
          <w:color w:val="auto"/>
          <w:sz w:val="24"/>
          <w:highlight w:val="none"/>
        </w:rPr>
      </w:pPr>
    </w:p>
    <w:p>
      <w:pPr>
        <w:rPr>
          <w:rFonts w:ascii="宋体" w:hAnsi="宋体" w:cs="宋体"/>
          <w:color w:val="auto"/>
          <w:sz w:val="24"/>
          <w:highlight w:val="none"/>
        </w:rPr>
      </w:pPr>
    </w:p>
    <w:p>
      <w:pPr>
        <w:pStyle w:val="45"/>
        <w:ind w:firstLine="480"/>
        <w:rPr>
          <w:rFonts w:ascii="宋体" w:hAnsi="宋体" w:eastAsia="宋体" w:cs="宋体"/>
          <w:color w:val="auto"/>
          <w:sz w:val="24"/>
          <w:highlight w:val="none"/>
        </w:rPr>
      </w:pPr>
    </w:p>
    <w:p>
      <w:pPr>
        <w:pStyle w:val="18"/>
        <w:rPr>
          <w:rFonts w:ascii="宋体" w:hAnsi="宋体" w:cs="宋体"/>
          <w:color w:val="auto"/>
          <w:sz w:val="24"/>
          <w:highlight w:val="none"/>
        </w:rPr>
      </w:pPr>
    </w:p>
    <w:p>
      <w:pPr>
        <w:rPr>
          <w:rFonts w:ascii="宋体" w:hAnsi="宋体" w:cs="宋体"/>
          <w:color w:val="auto"/>
          <w:sz w:val="24"/>
          <w:highlight w:val="none"/>
        </w:rPr>
      </w:pPr>
    </w:p>
    <w:p>
      <w:pPr>
        <w:pStyle w:val="45"/>
        <w:ind w:firstLine="480"/>
        <w:rPr>
          <w:rFonts w:ascii="宋体" w:hAnsi="宋体" w:eastAsia="宋体" w:cs="宋体"/>
          <w:color w:val="auto"/>
          <w:sz w:val="24"/>
          <w:highlight w:val="none"/>
        </w:rPr>
      </w:pPr>
    </w:p>
    <w:bookmarkEnd w:id="3"/>
    <w:bookmarkEnd w:id="4"/>
    <w:bookmarkEnd w:id="5"/>
    <w:p>
      <w:pPr>
        <w:widowControl/>
        <w:jc w:val="center"/>
        <w:rPr>
          <w:rFonts w:ascii="黑体" w:hAnsi="Arial" w:eastAsia="黑体" w:cs="Arial"/>
          <w:b/>
          <w:bCs/>
          <w:color w:val="auto"/>
          <w:sz w:val="44"/>
          <w:szCs w:val="44"/>
          <w:highlight w:val="none"/>
        </w:rPr>
      </w:pPr>
      <w:bookmarkStart w:id="36" w:name="_Toc4407"/>
      <w:r>
        <w:rPr>
          <w:rFonts w:hint="eastAsia" w:ascii="黑体" w:hAnsi="Arial" w:eastAsia="黑体" w:cs="Arial"/>
          <w:b/>
          <w:bCs/>
          <w:color w:val="auto"/>
          <w:sz w:val="44"/>
          <w:szCs w:val="44"/>
          <w:highlight w:val="none"/>
        </w:rPr>
        <w:t>第二章  磋商须知</w:t>
      </w:r>
      <w:bookmarkEnd w:id="36"/>
    </w:p>
    <w:p>
      <w:pPr>
        <w:spacing w:after="145" w:afterLines="50" w:line="360" w:lineRule="auto"/>
        <w:jc w:val="center"/>
        <w:rPr>
          <w:rFonts w:ascii="宋体" w:hAnsi="宋体"/>
          <w:b/>
          <w:bCs/>
          <w:color w:val="auto"/>
          <w:sz w:val="24"/>
          <w:highlight w:val="none"/>
        </w:rPr>
      </w:pPr>
      <w:r>
        <w:rPr>
          <w:rFonts w:hint="eastAsia" w:ascii="宋体" w:hAnsi="宋体"/>
          <w:bCs/>
          <w:color w:val="auto"/>
          <w:sz w:val="24"/>
          <w:highlight w:val="none"/>
        </w:rPr>
        <w:t>（参加竞争性磋商的供应商以下简称“磋商供应商”）</w:t>
      </w:r>
    </w:p>
    <w:p>
      <w:pPr>
        <w:tabs>
          <w:tab w:val="left" w:pos="900"/>
        </w:tabs>
        <w:spacing w:line="500" w:lineRule="exact"/>
        <w:ind w:firstLine="585" w:firstLineChars="243"/>
        <w:rPr>
          <w:rFonts w:ascii="宋体" w:hAnsi="宋体" w:cs="宋体"/>
          <w:b/>
          <w:color w:val="auto"/>
          <w:sz w:val="24"/>
          <w:highlight w:val="none"/>
        </w:rPr>
      </w:pPr>
      <w:r>
        <w:rPr>
          <w:rFonts w:hint="eastAsia" w:ascii="宋体" w:hAnsi="宋体" w:cs="宋体"/>
          <w:b/>
          <w:color w:val="auto"/>
          <w:sz w:val="24"/>
          <w:highlight w:val="none"/>
        </w:rPr>
        <w:t>一、总则</w:t>
      </w:r>
    </w:p>
    <w:p>
      <w:pPr>
        <w:tabs>
          <w:tab w:val="left" w:pos="900"/>
        </w:tabs>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1、适用范围</w:t>
      </w:r>
    </w:p>
    <w:p>
      <w:pPr>
        <w:tabs>
          <w:tab w:val="left" w:pos="900"/>
        </w:tabs>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1.1 本竞争性磋商文件（以下简称磋商文件）仅适用此项目。</w:t>
      </w:r>
    </w:p>
    <w:p>
      <w:pPr>
        <w:tabs>
          <w:tab w:val="left" w:pos="900"/>
        </w:tabs>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1.2 本项目按照项目分包，分别确定各分包成交供应商。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 xml:space="preserve"> 2、项目采购方式</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本次采购采取竞争性磋商的方式。</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3、合格的磋商供应商</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3.1满足本磋商文件“竞争性磋商采购公告”中合格磋商供应商资格要求的规定。</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3.2 满足本磋商文件实质性要求和条件的规定。</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4、参加磋商费用</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4.1参加磋商供应商应自行承担所有与参加磋商有关的费用。不论最终的成交结果如何，盐城工业职业技术学院（以下简称：采购人）在任何情况下均无义务和责任承担这些费用。</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 xml:space="preserve"> 4.2本项目中标人与采购人签订合同前领取中标通知书时须向采购代理机构支付招标代理服务费，收费标准按</w:t>
      </w:r>
      <w:r>
        <w:rPr>
          <w:rFonts w:hint="eastAsia" w:ascii="宋体" w:hAnsi="宋体" w:cs="宋体"/>
          <w:color w:val="auto"/>
          <w:sz w:val="24"/>
          <w:highlight w:val="none"/>
          <w:lang w:val="en-US" w:eastAsia="zh-CN"/>
        </w:rPr>
        <w:t>投资额</w:t>
      </w:r>
      <w:r>
        <w:rPr>
          <w:rFonts w:hint="eastAsia" w:ascii="宋体" w:hAnsi="宋体" w:cs="宋体"/>
          <w:color w:val="auto"/>
          <w:sz w:val="24"/>
          <w:highlight w:val="none"/>
        </w:rPr>
        <w:t>的1.5%×40%计取（如低于3000元的直接按3000元计取</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考虑本项目具体情况，上限不超过10000元</w:t>
      </w:r>
      <w:r>
        <w:rPr>
          <w:rFonts w:hint="eastAsia" w:ascii="宋体" w:hAnsi="宋体" w:cs="宋体"/>
          <w:color w:val="auto"/>
          <w:sz w:val="24"/>
          <w:highlight w:val="none"/>
        </w:rPr>
        <w:t>）；上述</w:t>
      </w:r>
      <w:bookmarkStart w:id="169" w:name="_GoBack"/>
      <w:bookmarkEnd w:id="169"/>
      <w:r>
        <w:rPr>
          <w:rFonts w:hint="eastAsia" w:ascii="宋体" w:hAnsi="宋体" w:cs="宋体"/>
          <w:color w:val="auto"/>
          <w:sz w:val="24"/>
          <w:highlight w:val="none"/>
        </w:rPr>
        <w:t>费用由各投标人在投标时自行综合考虑分摊含进投标报价中，且不得单列，采购人不再承担上述费用。</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5、磋商文件的约束力</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6、</w:t>
      </w:r>
      <w:bookmarkStart w:id="37" w:name="_Toc16938527"/>
      <w:bookmarkStart w:id="38" w:name="_Toc513029211"/>
      <w:bookmarkStart w:id="39" w:name="_Toc20823283"/>
      <w:bookmarkStart w:id="40" w:name="_Toc462564070"/>
      <w:r>
        <w:rPr>
          <w:rFonts w:hint="eastAsia" w:ascii="宋体" w:hAnsi="宋体" w:cs="宋体"/>
          <w:color w:val="auto"/>
          <w:sz w:val="24"/>
          <w:highlight w:val="none"/>
        </w:rPr>
        <w:t>磋商文件的</w:t>
      </w:r>
      <w:bookmarkEnd w:id="37"/>
      <w:bookmarkEnd w:id="38"/>
      <w:bookmarkEnd w:id="39"/>
      <w:bookmarkEnd w:id="40"/>
      <w:r>
        <w:rPr>
          <w:rFonts w:hint="eastAsia" w:ascii="宋体" w:hAnsi="宋体" w:cs="宋体"/>
          <w:color w:val="auto"/>
          <w:sz w:val="24"/>
          <w:highlight w:val="none"/>
        </w:rPr>
        <w:t>询问及修改</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6.1任何要求对磋商文件进行询问的供应商，均应在提交首次响应文件截止时间五日前按采购邀请中的通讯地址，向采购人或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color w:val="auto"/>
          <w:sz w:val="24"/>
          <w:highlight w:val="none"/>
        </w:rPr>
        <w:t>市住房和城乡建设局</w:t>
      </w:r>
      <w:r>
        <w:rPr>
          <w:rFonts w:hint="eastAsia" w:ascii="宋体" w:hAnsi="宋体" w:cs="宋体"/>
          <w:color w:val="auto"/>
          <w:sz w:val="24"/>
          <w:highlight w:val="none"/>
        </w:rPr>
        <w:t>网上发布书面更正公告形式通知所有获取磋商文件的供应商。不足五日的，采购人应当顺延提交首次响应文件截止时间。</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6.2采购人或代理机构可以视采购项目的具体情况，组织供应商进行现场考察或召开磋商前答疑会，但不单独或分别组织只有一个供应商参加的现场考察和答疑会。</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7、磋商文件的解释</w:t>
      </w:r>
    </w:p>
    <w:p>
      <w:pPr>
        <w:spacing w:line="500" w:lineRule="exact"/>
        <w:ind w:firstLine="600" w:firstLineChars="250"/>
        <w:rPr>
          <w:rFonts w:ascii="宋体" w:hAnsi="宋体" w:cs="宋体"/>
          <w:bCs/>
          <w:color w:val="auto"/>
          <w:sz w:val="24"/>
          <w:highlight w:val="none"/>
        </w:rPr>
      </w:pPr>
      <w:r>
        <w:rPr>
          <w:rFonts w:hint="eastAsia" w:ascii="宋体" w:hAnsi="宋体" w:cs="宋体"/>
          <w:bCs/>
          <w:color w:val="auto"/>
          <w:sz w:val="24"/>
          <w:highlight w:val="none"/>
        </w:rPr>
        <w:t>7.1 本磋商文件由盐城工业职业技术学院负责解释。</w:t>
      </w:r>
    </w:p>
    <w:p>
      <w:pPr>
        <w:tabs>
          <w:tab w:val="left" w:pos="900"/>
        </w:tabs>
        <w:spacing w:line="500" w:lineRule="exact"/>
        <w:ind w:firstLine="479" w:firstLineChars="199"/>
        <w:rPr>
          <w:rFonts w:ascii="宋体" w:hAnsi="宋体" w:cs="宋体"/>
          <w:b/>
          <w:color w:val="auto"/>
          <w:sz w:val="24"/>
          <w:highlight w:val="none"/>
        </w:rPr>
      </w:pPr>
      <w:bookmarkStart w:id="41" w:name="_Toc61149553"/>
      <w:bookmarkStart w:id="42" w:name="_Toc513029213"/>
      <w:bookmarkStart w:id="43" w:name="_Toc462564072"/>
      <w:bookmarkStart w:id="44" w:name="_Toc14577351"/>
      <w:r>
        <w:rPr>
          <w:rFonts w:hint="eastAsia" w:ascii="宋体" w:hAnsi="宋体" w:cs="宋体"/>
          <w:b/>
          <w:color w:val="auto"/>
          <w:sz w:val="24"/>
          <w:highlight w:val="none"/>
        </w:rPr>
        <w:t>二、磋商响应文件的编制</w:t>
      </w:r>
      <w:bookmarkEnd w:id="41"/>
      <w:bookmarkEnd w:id="42"/>
      <w:bookmarkEnd w:id="43"/>
      <w:bookmarkEnd w:id="44"/>
    </w:p>
    <w:p>
      <w:pPr>
        <w:tabs>
          <w:tab w:val="left" w:pos="900"/>
        </w:tabs>
        <w:spacing w:line="500" w:lineRule="exact"/>
        <w:ind w:firstLine="597" w:firstLineChars="249"/>
        <w:rPr>
          <w:rFonts w:ascii="宋体" w:hAnsi="宋体" w:cs="宋体"/>
          <w:color w:val="auto"/>
          <w:sz w:val="24"/>
          <w:highlight w:val="none"/>
        </w:rPr>
      </w:pPr>
      <w:bookmarkStart w:id="45" w:name="_Toc14577361"/>
      <w:bookmarkStart w:id="46" w:name="_Toc513029223"/>
      <w:bookmarkStart w:id="47" w:name="_Toc61149561"/>
      <w:r>
        <w:rPr>
          <w:rFonts w:hint="eastAsia" w:ascii="宋体" w:hAnsi="宋体" w:cs="宋体"/>
          <w:color w:val="auto"/>
          <w:sz w:val="24"/>
          <w:highlight w:val="none"/>
        </w:rPr>
        <w:t>1、磋商响应文件份数和签署</w:t>
      </w:r>
      <w:bookmarkEnd w:id="45"/>
      <w:bookmarkEnd w:id="46"/>
      <w:bookmarkEnd w:id="47"/>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1.1磋商供应商应严格按照采购邀请要求准备磋商响应文件（以下简称响应文件），每份响应文件须清楚地标明“正本”或“副本”字样。</w:t>
      </w:r>
    </w:p>
    <w:p>
      <w:pPr>
        <w:snapToGrid w:val="0"/>
        <w:spacing w:line="500" w:lineRule="exact"/>
        <w:ind w:firstLine="480" w:firstLineChars="200"/>
        <w:rPr>
          <w:rFonts w:ascii="宋体" w:hAnsi="宋体" w:cs="宋体"/>
          <w:color w:val="auto"/>
          <w:sz w:val="28"/>
          <w:szCs w:val="28"/>
          <w:highlight w:val="none"/>
        </w:rPr>
      </w:pPr>
      <w:r>
        <w:rPr>
          <w:rFonts w:hint="eastAsia" w:ascii="宋体" w:hAnsi="宋体" w:cs="宋体"/>
          <w:color w:val="auto"/>
          <w:sz w:val="24"/>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1.2 除磋商供应商对错处做必要修改外，响应文件不得行间插字、涂改或增删。如有修改错漏处，必须由响应文件签署人签字或盖章。</w:t>
      </w:r>
    </w:p>
    <w:p>
      <w:pPr>
        <w:tabs>
          <w:tab w:val="left" w:pos="900"/>
        </w:tabs>
        <w:spacing w:line="500" w:lineRule="exact"/>
        <w:ind w:firstLine="597" w:firstLineChars="249"/>
        <w:rPr>
          <w:rFonts w:ascii="宋体" w:hAnsi="宋体" w:cs="宋体"/>
          <w:color w:val="auto"/>
          <w:sz w:val="24"/>
          <w:highlight w:val="none"/>
        </w:rPr>
      </w:pPr>
      <w:bookmarkStart w:id="48" w:name="_Hlt26954834"/>
      <w:bookmarkEnd w:id="48"/>
      <w:bookmarkStart w:id="49" w:name="_Toc462564074"/>
      <w:bookmarkStart w:id="50" w:name="_Toc14577353"/>
      <w:bookmarkStart w:id="51" w:name="_Toc61149555"/>
      <w:bookmarkStart w:id="52" w:name="_Toc513029215"/>
      <w:bookmarkStart w:id="53" w:name="_Toc462564073"/>
      <w:bookmarkStart w:id="54" w:name="_Toc61149554"/>
      <w:bookmarkStart w:id="55" w:name="_Toc513029214"/>
      <w:bookmarkStart w:id="56" w:name="_Toc14577352"/>
      <w:r>
        <w:rPr>
          <w:rFonts w:hint="eastAsia" w:ascii="宋体" w:hAnsi="宋体" w:cs="宋体"/>
          <w:color w:val="auto"/>
          <w:sz w:val="24"/>
          <w:highlight w:val="none"/>
        </w:rPr>
        <w:t>2、响应文件</w:t>
      </w:r>
      <w:bookmarkEnd w:id="49"/>
      <w:bookmarkEnd w:id="50"/>
      <w:bookmarkEnd w:id="51"/>
      <w:bookmarkEnd w:id="52"/>
      <w:r>
        <w:rPr>
          <w:rFonts w:hint="eastAsia" w:ascii="宋体" w:hAnsi="宋体" w:cs="宋体"/>
          <w:color w:val="auto"/>
          <w:sz w:val="24"/>
          <w:highlight w:val="none"/>
        </w:rPr>
        <w:t>编制要求</w:t>
      </w:r>
    </w:p>
    <w:bookmarkEnd w:id="53"/>
    <w:bookmarkEnd w:id="54"/>
    <w:bookmarkEnd w:id="55"/>
    <w:bookmarkEnd w:id="56"/>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2.1磋商供应商提交的响应文件以及磋商供应商与购人就有关磋商的所有来往函电均应使用简体中文。磋商文件中既有中文也有外文的，以中文意义为准。</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2.2 除技术性能另有规定外，响应文件所使用的度量衡单位，均须采用国家法定计量单位。</w:t>
      </w:r>
    </w:p>
    <w:p>
      <w:pPr>
        <w:tabs>
          <w:tab w:val="left" w:pos="900"/>
        </w:tabs>
        <w:spacing w:line="500" w:lineRule="exact"/>
        <w:ind w:firstLine="597" w:firstLineChars="249"/>
        <w:rPr>
          <w:rFonts w:ascii="宋体" w:hAnsi="宋体" w:cs="宋体"/>
          <w:color w:val="auto"/>
          <w:sz w:val="24"/>
          <w:highlight w:val="none"/>
        </w:rPr>
      </w:pPr>
      <w:bookmarkStart w:id="57" w:name="_Hlt26954836"/>
      <w:bookmarkEnd w:id="57"/>
      <w:bookmarkStart w:id="58" w:name="_Hlt26670357"/>
      <w:bookmarkEnd w:id="58"/>
      <w:bookmarkStart w:id="59" w:name="_Toc61149558"/>
      <w:bookmarkStart w:id="60" w:name="_Toc14577357"/>
      <w:bookmarkStart w:id="61" w:name="_Toc513029219"/>
      <w:bookmarkStart w:id="62" w:name="_Toc14577355"/>
      <w:bookmarkStart w:id="63" w:name="_Toc513029217"/>
      <w:bookmarkStart w:id="64" w:name="_Toc61149557"/>
      <w:r>
        <w:rPr>
          <w:rFonts w:hint="eastAsia" w:ascii="宋体" w:hAnsi="宋体" w:cs="宋体"/>
          <w:color w:val="auto"/>
          <w:sz w:val="24"/>
          <w:highlight w:val="none"/>
        </w:rPr>
        <w:t>3、参加磋商供应商资格的文件</w:t>
      </w:r>
      <w:bookmarkEnd w:id="59"/>
      <w:bookmarkEnd w:id="60"/>
      <w:bookmarkEnd w:id="61"/>
      <w:r>
        <w:rPr>
          <w:rFonts w:hint="eastAsia" w:ascii="宋体" w:hAnsi="宋体" w:cs="宋体"/>
          <w:color w:val="auto"/>
          <w:sz w:val="24"/>
          <w:highlight w:val="none"/>
        </w:rPr>
        <w:t>证明</w:t>
      </w:r>
    </w:p>
    <w:p>
      <w:pPr>
        <w:tabs>
          <w:tab w:val="left" w:pos="900"/>
        </w:tabs>
        <w:spacing w:line="500" w:lineRule="exact"/>
        <w:ind w:left="120" w:leftChars="57" w:firstLine="477" w:firstLineChars="199"/>
        <w:rPr>
          <w:rFonts w:ascii="宋体" w:hAnsi="宋体" w:cs="宋体"/>
          <w:color w:val="auto"/>
          <w:sz w:val="24"/>
          <w:highlight w:val="none"/>
        </w:rPr>
      </w:pPr>
      <w:bookmarkStart w:id="65" w:name="_Hlt26668999"/>
      <w:bookmarkEnd w:id="65"/>
      <w:r>
        <w:rPr>
          <w:rFonts w:hint="eastAsia" w:ascii="宋体" w:hAnsi="宋体" w:cs="宋体"/>
          <w:color w:val="auto"/>
          <w:sz w:val="24"/>
          <w:highlight w:val="none"/>
        </w:rPr>
        <w:t>3.1磋商供应商应提交证明其有资格参加磋商和成交后有能力独立履行合同的文件，并作为其响应文件的一部分。</w:t>
      </w:r>
    </w:p>
    <w:p>
      <w:pPr>
        <w:tabs>
          <w:tab w:val="left" w:pos="900"/>
        </w:tabs>
        <w:spacing w:line="500" w:lineRule="exact"/>
        <w:ind w:left="120" w:leftChars="57" w:firstLine="477" w:firstLineChars="199"/>
        <w:rPr>
          <w:rFonts w:ascii="宋体" w:hAnsi="宋体" w:cs="宋体"/>
          <w:color w:val="auto"/>
          <w:sz w:val="24"/>
          <w:highlight w:val="none"/>
        </w:rPr>
      </w:pPr>
      <w:r>
        <w:rPr>
          <w:rFonts w:hint="eastAsia" w:ascii="宋体" w:hAnsi="宋体" w:cs="宋体"/>
          <w:color w:val="auto"/>
          <w:sz w:val="24"/>
          <w:highlight w:val="none"/>
        </w:rPr>
        <w:t>3.2磋商供应商除必须具有履行合同所需提供的设备以及服务的能力外，还必须具备相应的财务、技术方面的能力。</w:t>
      </w:r>
    </w:p>
    <w:p>
      <w:pPr>
        <w:tabs>
          <w:tab w:val="left" w:pos="900"/>
        </w:tabs>
        <w:spacing w:line="500" w:lineRule="exact"/>
        <w:ind w:firstLine="597" w:firstLineChars="249"/>
        <w:rPr>
          <w:rFonts w:ascii="宋体" w:hAnsi="宋体" w:cs="宋体"/>
          <w:color w:val="auto"/>
          <w:sz w:val="24"/>
          <w:highlight w:val="none"/>
        </w:rPr>
      </w:pPr>
      <w:r>
        <w:rPr>
          <w:rFonts w:hint="eastAsia" w:ascii="宋体" w:hAnsi="宋体" w:cs="宋体"/>
          <w:color w:val="auto"/>
          <w:sz w:val="24"/>
          <w:highlight w:val="none"/>
        </w:rPr>
        <w:t>3.3磋商供应商应填写并提交磋商文件所附的“资信证明文件”。</w:t>
      </w:r>
    </w:p>
    <w:p>
      <w:pPr>
        <w:tabs>
          <w:tab w:val="left" w:pos="900"/>
        </w:tabs>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4、磋商响应报价</w:t>
      </w:r>
      <w:bookmarkEnd w:id="62"/>
      <w:bookmarkEnd w:id="63"/>
      <w:bookmarkStart w:id="66" w:name="_Hlt26670373"/>
      <w:bookmarkEnd w:id="66"/>
      <w:r>
        <w:rPr>
          <w:rFonts w:hint="eastAsia" w:ascii="宋体" w:hAnsi="宋体" w:cs="宋体"/>
          <w:color w:val="auto"/>
          <w:sz w:val="24"/>
          <w:highlight w:val="none"/>
        </w:rPr>
        <w:t>表</w:t>
      </w:r>
      <w:bookmarkEnd w:id="64"/>
    </w:p>
    <w:p>
      <w:pPr>
        <w:tabs>
          <w:tab w:val="left" w:pos="900"/>
        </w:tabs>
        <w:spacing w:line="500" w:lineRule="exact"/>
        <w:ind w:left="120" w:leftChars="57" w:firstLine="480" w:firstLineChars="200"/>
        <w:rPr>
          <w:rFonts w:ascii="宋体" w:hAnsi="宋体" w:cs="宋体"/>
          <w:color w:val="auto"/>
          <w:sz w:val="24"/>
          <w:highlight w:val="none"/>
        </w:rPr>
      </w:pPr>
      <w:r>
        <w:rPr>
          <w:rFonts w:hint="eastAsia" w:ascii="宋体" w:hAnsi="宋体" w:cs="宋体"/>
          <w:color w:val="auto"/>
          <w:sz w:val="24"/>
          <w:highlight w:val="none"/>
        </w:rPr>
        <w:t>4.1磋商供应商应按照磋商文件规定格式填报磋商响应报价表（含分项报价）。每项产品或服务只允许有一个报价，任何有选择的报价将不予接受，磋商文件中另有规定的按规定执行。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4.2标的物</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详见项目需求。</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4.3有关费用处理</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本次采购磋商供应商的总报价应包括为完成本项目发生的所有费用，本磋商文件中另有规定的除外。</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4.4其它费用处理</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磋商文件未列明，而磋商供应商认为必须的费用也须列入报价。</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4.5报价采用的货币</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响应文件中的单价和总价，无特殊规定的采用人民币报价，以元为单位标注。磋商文件中另有规定的按规定执行。</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4.6 磋商响应报价表上的价格应按磋商文件规定填写。</w:t>
      </w:r>
    </w:p>
    <w:p>
      <w:pPr>
        <w:tabs>
          <w:tab w:val="left" w:pos="900"/>
        </w:tabs>
        <w:spacing w:line="500" w:lineRule="exact"/>
        <w:ind w:firstLine="477" w:firstLineChars="199"/>
        <w:rPr>
          <w:rFonts w:ascii="宋体" w:hAnsi="宋体" w:cs="宋体"/>
          <w:color w:val="auto"/>
          <w:sz w:val="24"/>
          <w:highlight w:val="none"/>
        </w:rPr>
      </w:pPr>
      <w:bookmarkStart w:id="67" w:name="_Hlt26954844"/>
      <w:bookmarkEnd w:id="67"/>
      <w:bookmarkStart w:id="68" w:name="_Hlt26670403"/>
      <w:bookmarkEnd w:id="68"/>
      <w:bookmarkStart w:id="69" w:name="_Hlt26954842"/>
      <w:bookmarkEnd w:id="69"/>
      <w:bookmarkStart w:id="70" w:name="_Hlt26670425"/>
      <w:bookmarkEnd w:id="70"/>
      <w:bookmarkStart w:id="71" w:name="_Hlt26954846"/>
      <w:bookmarkEnd w:id="71"/>
      <w:bookmarkStart w:id="72" w:name="_Hlt26670486"/>
      <w:bookmarkEnd w:id="72"/>
      <w:bookmarkStart w:id="73" w:name="_Hlt26954848"/>
      <w:bookmarkEnd w:id="73"/>
      <w:bookmarkStart w:id="74" w:name="_Hlt26668983"/>
      <w:bookmarkEnd w:id="74"/>
      <w:bookmarkStart w:id="75" w:name="_Hlt26954731"/>
      <w:bookmarkEnd w:id="75"/>
      <w:bookmarkStart w:id="76" w:name="_Hlt26670482"/>
      <w:bookmarkEnd w:id="76"/>
      <w:bookmarkStart w:id="77" w:name="_Toc14577359"/>
      <w:bookmarkStart w:id="78" w:name="_Toc61149559"/>
      <w:bookmarkStart w:id="79" w:name="_Toc513029221"/>
      <w:r>
        <w:rPr>
          <w:rFonts w:hint="eastAsia" w:ascii="宋体" w:hAnsi="宋体" w:cs="宋体"/>
          <w:color w:val="auto"/>
          <w:sz w:val="24"/>
          <w:highlight w:val="none"/>
        </w:rPr>
        <w:t>5、项目需求响应方案</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5.1提供为完成本项目的总体实施方案。</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5.2对磋商文件中项目需求的技术与商务条款要求逐项作出应答，并提供依据或说明。</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5.3磋商供应商认为需要的其他技术文件或说明。</w:t>
      </w:r>
    </w:p>
    <w:bookmarkEnd w:id="77"/>
    <w:bookmarkEnd w:id="78"/>
    <w:bookmarkEnd w:id="79"/>
    <w:p>
      <w:pPr>
        <w:tabs>
          <w:tab w:val="left" w:pos="900"/>
        </w:tabs>
        <w:spacing w:line="500" w:lineRule="exact"/>
        <w:ind w:firstLine="479" w:firstLineChars="199"/>
        <w:rPr>
          <w:rFonts w:ascii="宋体" w:hAnsi="宋体" w:cs="宋体"/>
          <w:b/>
          <w:color w:val="auto"/>
          <w:sz w:val="24"/>
          <w:highlight w:val="none"/>
        </w:rPr>
      </w:pPr>
      <w:bookmarkStart w:id="80" w:name="_Hlt26954739"/>
      <w:bookmarkEnd w:id="80"/>
      <w:bookmarkStart w:id="81" w:name="_Hlt26954852"/>
      <w:bookmarkEnd w:id="81"/>
      <w:bookmarkStart w:id="82" w:name="_Hlt26670489"/>
      <w:bookmarkEnd w:id="82"/>
      <w:bookmarkStart w:id="83" w:name="_Hlt26954850"/>
      <w:bookmarkEnd w:id="83"/>
      <w:bookmarkStart w:id="84" w:name="_Hlt26954734"/>
      <w:bookmarkEnd w:id="84"/>
      <w:bookmarkStart w:id="85" w:name="_Hlt26954749"/>
      <w:bookmarkEnd w:id="85"/>
      <w:bookmarkStart w:id="86" w:name="_Hlt26670493"/>
      <w:bookmarkEnd w:id="86"/>
      <w:bookmarkStart w:id="87" w:name="_Hlt26954854"/>
      <w:bookmarkEnd w:id="87"/>
      <w:bookmarkStart w:id="88" w:name="_Toc513029224"/>
      <w:bookmarkStart w:id="89" w:name="_Toc61149562"/>
      <w:bookmarkStart w:id="90" w:name="_Toc14577362"/>
      <w:r>
        <w:rPr>
          <w:rFonts w:hint="eastAsia" w:ascii="宋体" w:hAnsi="宋体" w:cs="宋体"/>
          <w:b/>
          <w:color w:val="auto"/>
          <w:sz w:val="24"/>
          <w:highlight w:val="none"/>
        </w:rPr>
        <w:t>三、响应文件的递交</w:t>
      </w:r>
      <w:bookmarkEnd w:id="88"/>
      <w:bookmarkEnd w:id="89"/>
      <w:bookmarkEnd w:id="90"/>
    </w:p>
    <w:p>
      <w:pPr>
        <w:tabs>
          <w:tab w:val="left" w:pos="900"/>
        </w:tabs>
        <w:spacing w:line="500" w:lineRule="exact"/>
        <w:ind w:firstLine="477" w:firstLineChars="199"/>
        <w:rPr>
          <w:rFonts w:ascii="宋体" w:hAnsi="宋体" w:cs="宋体"/>
          <w:color w:val="auto"/>
          <w:sz w:val="24"/>
          <w:highlight w:val="none"/>
        </w:rPr>
      </w:pPr>
      <w:bookmarkStart w:id="91" w:name="_Hlt26954856"/>
      <w:bookmarkEnd w:id="91"/>
      <w:bookmarkStart w:id="92" w:name="_Toc61149563"/>
      <w:bookmarkStart w:id="93" w:name="_Toc462564084"/>
      <w:bookmarkStart w:id="94" w:name="_Toc513029225"/>
      <w:bookmarkStart w:id="95" w:name="_Toc14577363"/>
      <w:r>
        <w:rPr>
          <w:rFonts w:hint="eastAsia" w:ascii="宋体" w:hAnsi="宋体" w:cs="宋体"/>
          <w:color w:val="auto"/>
          <w:sz w:val="24"/>
          <w:highlight w:val="none"/>
        </w:rPr>
        <w:t>1、响应文件</w:t>
      </w:r>
      <w:bookmarkStart w:id="96" w:name="_Hlt26954743"/>
      <w:bookmarkEnd w:id="96"/>
      <w:r>
        <w:rPr>
          <w:rFonts w:hint="eastAsia" w:ascii="宋体" w:hAnsi="宋体" w:cs="宋体"/>
          <w:color w:val="auto"/>
          <w:sz w:val="24"/>
          <w:highlight w:val="none"/>
        </w:rPr>
        <w:t>的密封和标记</w:t>
      </w:r>
      <w:bookmarkEnd w:id="92"/>
      <w:bookmarkEnd w:id="93"/>
      <w:bookmarkEnd w:id="94"/>
      <w:bookmarkEnd w:id="95"/>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1.2密封的响应文件应：</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（1）按采购邀请中注明的地址送达规定地点；</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（2）注明参加磋商项目名称、磋商文件编号及参加的分包号；</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（3）密封包装上应写明磋商供应商名称。</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1.3如果密封包装未按要求密封和加写标记，采购人对误投或过早启封概不负责。对由此造成提前开封的响应文件，采购人将予以拒绝。</w:t>
      </w:r>
    </w:p>
    <w:p>
      <w:pPr>
        <w:tabs>
          <w:tab w:val="left" w:pos="900"/>
        </w:tabs>
        <w:spacing w:line="500" w:lineRule="exact"/>
        <w:ind w:firstLine="477" w:firstLineChars="199"/>
        <w:rPr>
          <w:rFonts w:ascii="宋体" w:hAnsi="宋体" w:cs="宋体"/>
          <w:color w:val="auto"/>
          <w:sz w:val="24"/>
          <w:highlight w:val="none"/>
        </w:rPr>
      </w:pPr>
      <w:bookmarkStart w:id="97" w:name="_Hlt26954858"/>
      <w:bookmarkEnd w:id="97"/>
      <w:bookmarkStart w:id="98" w:name="_Hlt26954752"/>
      <w:bookmarkEnd w:id="98"/>
      <w:bookmarkStart w:id="99" w:name="_Hlt26670496"/>
      <w:bookmarkEnd w:id="99"/>
      <w:bookmarkStart w:id="100" w:name="_Toc14577364"/>
      <w:bookmarkStart w:id="101" w:name="_Toc61149564"/>
      <w:bookmarkStart w:id="102" w:name="_Toc513029226"/>
      <w:r>
        <w:rPr>
          <w:rFonts w:hint="eastAsia" w:ascii="宋体" w:hAnsi="宋体" w:cs="宋体"/>
          <w:color w:val="auto"/>
          <w:sz w:val="24"/>
          <w:highlight w:val="none"/>
        </w:rPr>
        <w:t>2、</w:t>
      </w:r>
      <w:bookmarkEnd w:id="100"/>
      <w:bookmarkEnd w:id="101"/>
      <w:bookmarkEnd w:id="102"/>
      <w:r>
        <w:rPr>
          <w:rFonts w:hint="eastAsia" w:ascii="宋体" w:hAnsi="宋体" w:cs="宋体"/>
          <w:color w:val="auto"/>
          <w:sz w:val="24"/>
          <w:highlight w:val="none"/>
        </w:rPr>
        <w:t>响应文件开启时间</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2.1采购人收到响应文件的时间不得迟于本磋商文件规定的响应文件接收截止时间。</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2.2采购人有权通过修改磋商文件推迟响应文件接收截止时间，在此情况下，磋商供应商的所有权利和义务以及受制的响应文件接收截止时间均应以延长后新的响应文件接收截止时间为准。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500" w:lineRule="exact"/>
        <w:ind w:firstLine="477" w:firstLineChars="199"/>
        <w:rPr>
          <w:rFonts w:ascii="宋体" w:hAnsi="宋体" w:cs="宋体"/>
          <w:color w:val="auto"/>
          <w:sz w:val="24"/>
          <w:highlight w:val="none"/>
        </w:rPr>
      </w:pPr>
      <w:bookmarkStart w:id="103" w:name="_Hlt26954860"/>
      <w:bookmarkEnd w:id="103"/>
      <w:bookmarkStart w:id="104" w:name="_Toc14577365"/>
      <w:bookmarkStart w:id="105" w:name="_Toc61149565"/>
      <w:bookmarkStart w:id="106" w:name="_Toc513029227"/>
      <w:r>
        <w:rPr>
          <w:rFonts w:hint="eastAsia" w:ascii="宋体" w:hAnsi="宋体" w:cs="宋体"/>
          <w:color w:val="auto"/>
          <w:sz w:val="24"/>
          <w:highlight w:val="none"/>
        </w:rPr>
        <w:t>3、迟交的响应文件</w:t>
      </w:r>
      <w:bookmarkEnd w:id="104"/>
      <w:bookmarkEnd w:id="105"/>
      <w:bookmarkEnd w:id="106"/>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3.1采购人将拒绝在规定的响应文件接收截止时间后接收任何响应文件。</w:t>
      </w:r>
    </w:p>
    <w:p>
      <w:pPr>
        <w:tabs>
          <w:tab w:val="left" w:pos="900"/>
        </w:tabs>
        <w:spacing w:line="500" w:lineRule="exact"/>
        <w:ind w:firstLine="477" w:firstLineChars="199"/>
        <w:rPr>
          <w:rFonts w:ascii="宋体" w:hAnsi="宋体" w:cs="宋体"/>
          <w:color w:val="auto"/>
          <w:sz w:val="24"/>
          <w:highlight w:val="none"/>
        </w:rPr>
      </w:pPr>
      <w:bookmarkStart w:id="107" w:name="_Hlt26954862"/>
      <w:bookmarkEnd w:id="107"/>
      <w:bookmarkStart w:id="108" w:name="_Hlt26954754"/>
      <w:bookmarkEnd w:id="108"/>
      <w:bookmarkStart w:id="109" w:name="_Toc61149566"/>
      <w:bookmarkStart w:id="110" w:name="_Toc513029228"/>
      <w:bookmarkStart w:id="111" w:name="_Toc14577366"/>
      <w:r>
        <w:rPr>
          <w:rFonts w:hint="eastAsia" w:ascii="宋体" w:hAnsi="宋体" w:cs="宋体"/>
          <w:color w:val="auto"/>
          <w:sz w:val="24"/>
          <w:highlight w:val="none"/>
        </w:rPr>
        <w:t>4、响应文件</w:t>
      </w:r>
      <w:bookmarkStart w:id="112" w:name="_Hlt26670588"/>
      <w:r>
        <w:rPr>
          <w:rFonts w:hint="eastAsia" w:ascii="宋体" w:hAnsi="宋体" w:cs="宋体"/>
          <w:color w:val="auto"/>
          <w:sz w:val="24"/>
          <w:highlight w:val="none"/>
        </w:rPr>
        <w:t>的修改</w:t>
      </w:r>
      <w:bookmarkEnd w:id="112"/>
      <w:r>
        <w:rPr>
          <w:rFonts w:hint="eastAsia" w:ascii="宋体" w:hAnsi="宋体" w:cs="宋体"/>
          <w:color w:val="auto"/>
          <w:sz w:val="24"/>
          <w:highlight w:val="none"/>
        </w:rPr>
        <w:t>和撤回</w:t>
      </w:r>
      <w:bookmarkEnd w:id="109"/>
      <w:bookmarkEnd w:id="110"/>
      <w:bookmarkEnd w:id="111"/>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4.1磋商供应商在递交响应文件后，可以修改或撤回其谈判响应文件，但这种修改和撤回，必须在规定的响应文件接收截止时间前，以书面形式送达指定地点。</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4.2磋商供应商的修改或撤回通知书，应按本文件规定进行编制、密封、标记和发送，并应在封套上加注“修改”和“撤回”字样。</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4.3 磋商供应商在提交最后报价之前，可以根据磋商情况退出磋商。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5、磋商响应有效期</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5.1 磋商响应有效期为采购人规定的响应文件接收截止时间后六十（60）天。磋商响应有效期比规定短的将被视为非实质性响应性而予以拒绝。</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500" w:lineRule="exact"/>
        <w:ind w:firstLine="479" w:firstLineChars="199"/>
        <w:rPr>
          <w:rFonts w:ascii="宋体" w:hAnsi="宋体" w:cs="宋体"/>
          <w:b/>
          <w:color w:val="auto"/>
          <w:sz w:val="24"/>
          <w:highlight w:val="none"/>
        </w:rPr>
      </w:pPr>
      <w:bookmarkStart w:id="113" w:name="_Hlt26670523"/>
      <w:bookmarkEnd w:id="113"/>
      <w:bookmarkStart w:id="114" w:name="_Hlt26954864"/>
      <w:bookmarkEnd w:id="114"/>
      <w:r>
        <w:rPr>
          <w:rFonts w:hint="eastAsia" w:ascii="宋体" w:hAnsi="宋体" w:cs="宋体"/>
          <w:b/>
          <w:color w:val="auto"/>
          <w:sz w:val="24"/>
          <w:highlight w:val="none"/>
        </w:rPr>
        <w:t>四、磋商与评审</w:t>
      </w:r>
    </w:p>
    <w:p>
      <w:pPr>
        <w:tabs>
          <w:tab w:val="left" w:pos="900"/>
        </w:tabs>
        <w:spacing w:line="500" w:lineRule="exact"/>
        <w:ind w:firstLine="477" w:firstLineChars="199"/>
        <w:rPr>
          <w:rFonts w:ascii="宋体" w:hAnsi="宋体" w:cs="宋体"/>
          <w:color w:val="auto"/>
          <w:sz w:val="24"/>
          <w:highlight w:val="none"/>
        </w:rPr>
      </w:pPr>
      <w:bookmarkStart w:id="115" w:name="_Toc513029230"/>
      <w:bookmarkStart w:id="116" w:name="_Toc16938546"/>
      <w:bookmarkStart w:id="117" w:name="_Toc20823302"/>
      <w:r>
        <w:rPr>
          <w:rFonts w:hint="eastAsia" w:ascii="宋体" w:hAnsi="宋体" w:cs="宋体"/>
          <w:color w:val="auto"/>
          <w:sz w:val="24"/>
          <w:highlight w:val="none"/>
        </w:rPr>
        <w:t>1、</w:t>
      </w:r>
      <w:bookmarkEnd w:id="115"/>
      <w:bookmarkEnd w:id="116"/>
      <w:bookmarkEnd w:id="117"/>
      <w:r>
        <w:rPr>
          <w:rFonts w:hint="eastAsia" w:ascii="宋体" w:hAnsi="宋体" w:cs="宋体"/>
          <w:color w:val="auto"/>
          <w:sz w:val="24"/>
          <w:highlight w:val="none"/>
        </w:rPr>
        <w:t>磋商仪式</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1.1按规定的时间和地点组织磋商开始仪式，仪式由采购人或代理机构主持，磋商供应商应委派携带有效证件的代表准时参加，参加仪式的代表需签名以证明其出席。</w:t>
      </w:r>
    </w:p>
    <w:p>
      <w:pPr>
        <w:tabs>
          <w:tab w:val="left" w:pos="900"/>
        </w:tabs>
        <w:spacing w:line="500" w:lineRule="exact"/>
        <w:ind w:firstLine="477" w:firstLineChars="199"/>
        <w:rPr>
          <w:rFonts w:ascii="宋体" w:hAnsi="宋体" w:cs="宋体"/>
          <w:color w:val="auto"/>
          <w:sz w:val="24"/>
          <w:highlight w:val="none"/>
        </w:rPr>
      </w:pPr>
      <w:bookmarkStart w:id="118" w:name="_Toc513029231"/>
      <w:bookmarkStart w:id="119" w:name="_Toc20823303"/>
      <w:bookmarkStart w:id="120" w:name="_Toc16938547"/>
      <w:r>
        <w:rPr>
          <w:rFonts w:hint="eastAsia" w:ascii="宋体" w:hAnsi="宋体" w:cs="宋体"/>
          <w:color w:val="auto"/>
          <w:sz w:val="24"/>
          <w:highlight w:val="none"/>
        </w:rPr>
        <w:t>2、磋商小组</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2.1 磋商开始仪式结束后，采购人或代理机构组织磋商小组进行评审。</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2.2 磋商小组由政府采购评审专家、采购人代表组成，且人员构成符合政府采购有关规定。</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3、磋商评审过程的保密</w:t>
      </w:r>
      <w:bookmarkEnd w:id="118"/>
      <w:bookmarkEnd w:id="119"/>
      <w:bookmarkEnd w:id="120"/>
      <w:r>
        <w:rPr>
          <w:rFonts w:hint="eastAsia" w:ascii="宋体" w:hAnsi="宋体" w:cs="宋体"/>
          <w:color w:val="auto"/>
          <w:sz w:val="24"/>
          <w:highlight w:val="none"/>
        </w:rPr>
        <w:t>与公正</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3.1磋商小组、采购人和代理机构工作人员、相关监督人员等与评审工作有关的人员，对评审情况以及在评审过程中获悉的国家秘密、商业秘密负有保密责任。</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3.2在磋商评审过程中，磋商供应商不得以任何行为影响磋商评审过程，否则其响应文件将被作为无效响应文件。</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500" w:lineRule="exact"/>
        <w:ind w:firstLine="477" w:firstLineChars="199"/>
        <w:rPr>
          <w:rFonts w:ascii="宋体" w:hAnsi="宋体" w:cs="宋体"/>
          <w:color w:val="auto"/>
          <w:sz w:val="24"/>
          <w:highlight w:val="none"/>
        </w:rPr>
      </w:pPr>
      <w:bookmarkStart w:id="121" w:name="_Toc16938548"/>
      <w:bookmarkStart w:id="122" w:name="_Toc20823304"/>
      <w:bookmarkStart w:id="123" w:name="_Toc513029232"/>
      <w:r>
        <w:rPr>
          <w:rFonts w:hint="eastAsia" w:ascii="宋体" w:hAnsi="宋体" w:cs="宋体"/>
          <w:color w:val="auto"/>
          <w:sz w:val="24"/>
          <w:highlight w:val="none"/>
        </w:rPr>
        <w:t>4、评审过程的澄清</w:t>
      </w:r>
      <w:bookmarkEnd w:id="121"/>
      <w:bookmarkEnd w:id="122"/>
      <w:bookmarkEnd w:id="123"/>
      <w:r>
        <w:rPr>
          <w:rFonts w:hint="eastAsia" w:ascii="宋体" w:hAnsi="宋体" w:cs="宋体"/>
          <w:color w:val="auto"/>
          <w:sz w:val="24"/>
          <w:highlight w:val="none"/>
        </w:rPr>
        <w:t>、说明和更正</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4.3 接到磋商小组澄清要求的供应商如未按规定做出澄清，其风险由供应商自行承担。</w:t>
      </w:r>
    </w:p>
    <w:p>
      <w:pPr>
        <w:tabs>
          <w:tab w:val="left" w:pos="900"/>
        </w:tabs>
        <w:spacing w:line="500" w:lineRule="exact"/>
        <w:ind w:firstLine="477" w:firstLineChars="199"/>
        <w:rPr>
          <w:rFonts w:ascii="宋体" w:hAnsi="宋体" w:cs="宋体"/>
          <w:color w:val="auto"/>
          <w:sz w:val="24"/>
          <w:highlight w:val="none"/>
        </w:rPr>
      </w:pPr>
      <w:bookmarkStart w:id="124" w:name="_Toc513029233"/>
      <w:bookmarkStart w:id="125" w:name="_Toc20823305"/>
      <w:bookmarkStart w:id="126" w:name="_Toc16938549"/>
      <w:r>
        <w:rPr>
          <w:rFonts w:hint="eastAsia" w:ascii="宋体" w:hAnsi="宋体" w:cs="宋体"/>
          <w:color w:val="auto"/>
          <w:sz w:val="24"/>
          <w:highlight w:val="none"/>
        </w:rPr>
        <w:t>5、对响应文件的初审</w:t>
      </w:r>
      <w:bookmarkEnd w:id="124"/>
      <w:bookmarkEnd w:id="125"/>
      <w:bookmarkEnd w:id="126"/>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5.1响应文件初审分为资格性检查和符合性检查。</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资格性检查：依据法律法规和磋商文件的规定，对响应文件中的资格证明文件等进行审查，以确定供应商是否具备参加磋商的资格。</w:t>
      </w:r>
    </w:p>
    <w:p>
      <w:pPr>
        <w:wordWrap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符合性检查：依据磋商文件的规定，从响应文件的有效性、完整性和对磋商文件的响应程度进行审查，以确定是否对磋商文件的实质性要求作出响应。</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5.3 被认定为未实质性响应磋商文件的响应文件的情形</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（1）未按照磋商文件规定要求密封、签署、盖章的；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（2）供应商在报价时采用选择性报价；</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（3）供应商不具备磋商文件中规定资格要求的；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（4）不符合法律、法规和磋商文件中规定的其他实质性要求和条件的；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（5）其他法律、法规及本磋商文件规定的属未实质性响应的响应文件的情形。</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500" w:lineRule="exact"/>
        <w:ind w:firstLine="477" w:firstLineChars="199"/>
        <w:rPr>
          <w:rFonts w:ascii="宋体" w:hAnsi="宋体" w:cs="宋体"/>
          <w:color w:val="auto"/>
          <w:sz w:val="24"/>
          <w:highlight w:val="none"/>
        </w:rPr>
      </w:pPr>
      <w:bookmarkStart w:id="127" w:name="_Toc16938550"/>
      <w:bookmarkStart w:id="128" w:name="_Toc513029234"/>
      <w:bookmarkStart w:id="129" w:name="_Toc20823306"/>
      <w:r>
        <w:rPr>
          <w:rFonts w:hint="eastAsia" w:ascii="宋体" w:hAnsi="宋体" w:cs="宋体"/>
          <w:color w:val="auto"/>
          <w:sz w:val="24"/>
          <w:highlight w:val="none"/>
        </w:rPr>
        <w:t>6、</w:t>
      </w:r>
      <w:bookmarkEnd w:id="127"/>
      <w:bookmarkEnd w:id="128"/>
      <w:bookmarkEnd w:id="129"/>
      <w:r>
        <w:rPr>
          <w:rFonts w:hint="eastAsia" w:ascii="宋体" w:hAnsi="宋体" w:cs="宋体"/>
          <w:color w:val="auto"/>
          <w:sz w:val="24"/>
          <w:highlight w:val="none"/>
        </w:rPr>
        <w:t>磋商程序及评审方法和标准</w:t>
      </w:r>
    </w:p>
    <w:p>
      <w:pPr>
        <w:tabs>
          <w:tab w:val="left" w:pos="900"/>
        </w:tabs>
        <w:spacing w:line="500" w:lineRule="exact"/>
        <w:ind w:firstLine="477" w:firstLineChars="199"/>
        <w:rPr>
          <w:rFonts w:ascii="宋体" w:hAnsi="宋体" w:cs="宋体"/>
          <w:color w:val="auto"/>
          <w:sz w:val="24"/>
          <w:highlight w:val="none"/>
        </w:rPr>
      </w:pPr>
      <w:bookmarkStart w:id="130" w:name="_Toc513029235"/>
      <w:bookmarkStart w:id="131" w:name="_Toc20823307"/>
      <w:bookmarkStart w:id="132" w:name="_Toc16938551"/>
      <w:r>
        <w:rPr>
          <w:rFonts w:hint="eastAsia" w:ascii="宋体" w:hAnsi="宋体" w:cs="宋体"/>
          <w:color w:val="auto"/>
          <w:sz w:val="24"/>
          <w:highlight w:val="none"/>
        </w:rPr>
        <w:t>6.1磋商程序</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6.1.1 对于通过资格性和符合性审查的供应商，磋商小组所有成员将集中与单一供应商分别进行磋商。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 xml:space="preserve"> 6.1.2 磋商文件能够详细列明采购标的的技术、服务要求的，磋商结束后，磋商小组将要求所有实质性响应的供应商在规定时间内提交最后报价。</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6.1.3 磋商供应商未在磋商小组规定的时间内完成最后报价的视为放弃磋商，其磋商响应按无效响应处理。最后报价须由磋商供应商法定代表人或授权代表签字且加盖公章。已提交响应文件的供应商，在提交最后报价之前，可以根据磋商情况退出磋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6.1.4 各供应商最后报价结束后,如磋商小组认为供应商的最后</w:t>
      </w:r>
      <w:r>
        <w:rPr>
          <w:rFonts w:hint="eastAsia" w:ascii="宋体" w:hAnsi="宋体" w:cs="宋体"/>
          <w:bCs/>
          <w:color w:val="auto"/>
          <w:sz w:val="24"/>
          <w:highlight w:val="none"/>
        </w:rPr>
        <w:t>报价明显低于其他通过符合性审查供应商的最后报价，有可能影响产品质量或者不能诚信履约的，应当要求其在项目评审过程中合理的时间内提供书面说明，必要时提交相关证明材料；供应商不能证明其报价合理性的，</w:t>
      </w:r>
      <w:r>
        <w:rPr>
          <w:rFonts w:hint="eastAsia" w:ascii="宋体" w:hAnsi="宋体" w:cs="宋体"/>
          <w:color w:val="auto"/>
          <w:sz w:val="24"/>
          <w:highlight w:val="none"/>
        </w:rPr>
        <w:t>磋商小组</w:t>
      </w:r>
      <w:r>
        <w:rPr>
          <w:rFonts w:hint="eastAsia" w:ascii="宋体" w:hAnsi="宋体" w:cs="宋体"/>
          <w:bCs/>
          <w:color w:val="auto"/>
          <w:sz w:val="24"/>
          <w:highlight w:val="none"/>
        </w:rPr>
        <w:t>应当将其作为无效投标处理。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6.2 评审方法和标准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6.2.2评审标准</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除本磋商文件第6.1.2条第三款规定的情形外，在采购过程中符合要求的供应商或者报价未超过采购预算的供应商不足3家的。见本磋商文件第五章规定。</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6.3采购活动终止的情况</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出现下列情形之一的，本次竞争性磋商采购活动将被终止：</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bookmarkEnd w:id="130"/>
    <w:bookmarkEnd w:id="131"/>
    <w:bookmarkEnd w:id="132"/>
    <w:p>
      <w:pPr>
        <w:tabs>
          <w:tab w:val="left" w:pos="900"/>
        </w:tabs>
        <w:spacing w:line="500" w:lineRule="exact"/>
        <w:ind w:firstLine="479" w:firstLineChars="199"/>
        <w:rPr>
          <w:rFonts w:ascii="宋体" w:hAnsi="宋体" w:cs="宋体"/>
          <w:b/>
          <w:color w:val="auto"/>
          <w:sz w:val="24"/>
          <w:highlight w:val="none"/>
        </w:rPr>
      </w:pPr>
      <w:r>
        <w:rPr>
          <w:rFonts w:hint="eastAsia" w:ascii="宋体" w:hAnsi="宋体" w:cs="宋体"/>
          <w:b/>
          <w:color w:val="auto"/>
          <w:sz w:val="24"/>
          <w:highlight w:val="none"/>
        </w:rPr>
        <w:t>五、成交</w:t>
      </w:r>
    </w:p>
    <w:p>
      <w:pPr>
        <w:tabs>
          <w:tab w:val="left" w:pos="900"/>
        </w:tabs>
        <w:spacing w:line="500" w:lineRule="exact"/>
        <w:ind w:firstLine="477" w:firstLineChars="199"/>
        <w:rPr>
          <w:rFonts w:ascii="宋体" w:hAnsi="宋体" w:cs="宋体"/>
          <w:color w:val="auto"/>
          <w:sz w:val="24"/>
          <w:highlight w:val="none"/>
        </w:rPr>
      </w:pPr>
      <w:bookmarkStart w:id="133" w:name="_Toc513029238"/>
      <w:bookmarkStart w:id="134" w:name="_Toc16938554"/>
      <w:bookmarkStart w:id="135" w:name="_Toc20823310"/>
      <w:r>
        <w:rPr>
          <w:rFonts w:hint="eastAsia" w:ascii="宋体" w:hAnsi="宋体" w:cs="宋体"/>
          <w:color w:val="auto"/>
          <w:sz w:val="24"/>
          <w:highlight w:val="none"/>
        </w:rPr>
        <w:t>1、</w:t>
      </w:r>
      <w:bookmarkEnd w:id="133"/>
      <w:r>
        <w:rPr>
          <w:rFonts w:hint="eastAsia" w:ascii="宋体" w:hAnsi="宋体" w:cs="宋体"/>
          <w:color w:val="auto"/>
          <w:sz w:val="24"/>
          <w:highlight w:val="none"/>
        </w:rPr>
        <w:t>确定</w:t>
      </w:r>
      <w:bookmarkEnd w:id="134"/>
      <w:bookmarkEnd w:id="135"/>
      <w:r>
        <w:rPr>
          <w:rFonts w:hint="eastAsia" w:ascii="宋体" w:hAnsi="宋体" w:cs="宋体"/>
          <w:color w:val="auto"/>
          <w:sz w:val="24"/>
          <w:highlight w:val="none"/>
        </w:rPr>
        <w:t>成交单位</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1.1 磋商小组根据综合评分情况，按照评审得分由高到低顺序推荐</w:t>
      </w:r>
      <w:r>
        <w:rPr>
          <w:rFonts w:hint="eastAsia" w:ascii="宋体" w:hAnsi="宋体" w:cs="宋体"/>
          <w:color w:val="auto"/>
          <w:sz w:val="24"/>
          <w:highlight w:val="none"/>
          <w:lang w:val="en-US" w:eastAsia="zh-CN"/>
        </w:rPr>
        <w:t>不超过</w:t>
      </w:r>
      <w:r>
        <w:rPr>
          <w:rFonts w:hint="eastAsia" w:ascii="宋体" w:hAnsi="宋体" w:cs="宋体"/>
          <w:color w:val="auto"/>
          <w:sz w:val="24"/>
          <w:highlight w:val="none"/>
        </w:rPr>
        <w:t>3名成交候选供应商，并编写评审报告。符合本文件第6.1.2条情形的，可以推荐2家成交候选供应商。评审得分相同的，按照最后报价</w:t>
      </w:r>
      <w:r>
        <w:rPr>
          <w:rFonts w:hint="eastAsia" w:ascii="宋体" w:hAnsi="宋体" w:cs="宋体"/>
          <w:color w:val="auto"/>
          <w:sz w:val="24"/>
          <w:highlight w:val="none"/>
          <w:lang w:val="en-US" w:eastAsia="zh-CN"/>
        </w:rPr>
        <w:t>优惠程度</w:t>
      </w:r>
      <w:r>
        <w:rPr>
          <w:rFonts w:hint="eastAsia" w:ascii="宋体" w:hAnsi="宋体" w:cs="宋体"/>
          <w:color w:val="auto"/>
          <w:sz w:val="24"/>
          <w:highlight w:val="none"/>
        </w:rPr>
        <w:t>由高到低的顺序推荐。评审得分且最后报价相同的，按照技术指标优劣顺序推荐。</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1.2采购人根据磋商小组推荐的成交候选人确定成交供应商。采购人确定成交供应商后，采购人将在“同公告网”发布成交结果公告，公告期限为一个工作日。</w:t>
      </w:r>
    </w:p>
    <w:p>
      <w:pPr>
        <w:tabs>
          <w:tab w:val="left" w:pos="900"/>
        </w:tabs>
        <w:spacing w:line="50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1.3若有充分证据证明，成交供应商出现下列情况之一的，一经查实，将被取消成交资格：</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（1）提供虚假材料谋取成交的；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（2）与评审专家、采购人、其他供应商或者代理机构工作人员恶意串通的；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（3）向评审专家、采购人或代理机构工作人员行贿或者提供其他不正当利益的；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（4）恶意竞争，最终总报价明显低于其自身合理成本且又无法提供证明的；</w:t>
      </w:r>
    </w:p>
    <w:p>
      <w:pPr>
        <w:tabs>
          <w:tab w:val="left" w:pos="900"/>
        </w:tabs>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（5）不满足本磋商文件规定的实质性要求，但在评审过程中又未被磋商小组发现的；</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（6）成交后无正当理由拒不与采购人签订政府采购合同或者未按照磋商文件确定的事项签订政府采购合同；</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（7）将政府采购合同转包；</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（8）法律、法规、规章规定的属于成交无效的其他情形。</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2、质疑处理</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2.1磋商供应商认为磋商文件、采购过程和采购结果使自己的权益受到损害的，可以在知道或应知其权益受到损害之日起七个工作日内，以书面形式向采购人或代理机构提出质疑。上述应知其权益受到损害之日，是指：</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（1）对可以质疑的磋商文件提出质疑的，为收到磋商文件之日或者磋商文件公告期限届满之日；</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pPr>
        <w:tabs>
          <w:tab w:val="left" w:pos="900"/>
        </w:tabs>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2.2质疑必须按《政府采购法》、《政府采购法实施条例》及《江苏省政府采购供应商监督管理暂行办法》的相关规定提交，未按上述要求提交的质疑函（含传真、电子邮件等）采购人、代理机构有权不予受理。</w:t>
      </w:r>
      <w:r>
        <w:rPr>
          <w:rFonts w:hint="eastAsia" w:ascii="宋体" w:hAnsi="宋体" w:cs="宋体"/>
          <w:b/>
          <w:bCs/>
          <w:color w:val="auto"/>
          <w:sz w:val="24"/>
          <w:highlight w:val="none"/>
        </w:rPr>
        <w:t>供应商应当在法定质疑期内一次性提出针对同一采购程序环节的质疑。供应商如在法定期限内对同一采购程序环节提出多次质疑的，采购人、采购代理机构将只对供应商第一次质疑作出答复。</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2.3未参加磋商采购活动的供应商或在磋商采购活动中自身权益未受到损害的供应商所提出的质疑不予受理。</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2.4质疑函应当包括下列内容：</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(1)质疑供应商的名称、地址、邮编、联系人、联系电话；</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(2)具体的质疑事项及明确的请求；</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(3)认为自己合法权益受到损害或可能受到损害的相关证据材料；</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(4)提起质疑的日期；</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质疑函应当署名：质疑人为自然人的，应当由本人签字并附有效身份证明；质疑人为法人或其他组织的，应当由法定代表人签字并加盖单位公章。未按要求签字和盖章的为无效质疑，采购人将不予受理。质疑人委托代理质疑的，应当向采购人提交授权委托书，并载明委托代理的具体权限和事项。</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2.5采购人收到质疑函后，将对质疑的形式和内容进行审查，如质疑函内容、格式不符合规定，采购人将告知质疑人进行补正。</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2.6质疑人应当在法定质疑期限内进行补正并重新提交质疑函，拒不补正或者在法定期限内未重新提交质疑函的，为无效质疑，采购人、代理机构有权不予受理。</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2.7对于内容、格式符合规定的质疑函，采购人、代理机构将在收到参加谈判供应商的书面质疑后七个工作日内作出答复，并以书面形式通知质疑供应商和其他相关供应商，答复的内容不涉及商业秘密。</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2.8供应商提出书面质疑必须有理、有据，不得恶意质疑或提交虚假质疑。否则，一经查实，采购人、代理机构有权依据政府采购的有关规定，报请政府采购监管部门对该供应商进行相应的行政处罚。</w:t>
      </w:r>
    </w:p>
    <w:p>
      <w:pPr>
        <w:tabs>
          <w:tab w:val="left" w:pos="900"/>
        </w:tabs>
        <w:spacing w:line="480" w:lineRule="exact"/>
        <w:ind w:firstLine="479" w:firstLineChars="199"/>
        <w:rPr>
          <w:rFonts w:ascii="宋体" w:hAnsi="宋体" w:cs="宋体"/>
          <w:b/>
          <w:color w:val="auto"/>
          <w:sz w:val="24"/>
          <w:highlight w:val="none"/>
        </w:rPr>
      </w:pPr>
      <w:bookmarkStart w:id="136" w:name="_Toc16938553"/>
      <w:bookmarkStart w:id="137" w:name="_Toc513029237"/>
      <w:bookmarkStart w:id="138" w:name="_Toc20823309"/>
      <w:r>
        <w:rPr>
          <w:rFonts w:hint="eastAsia" w:ascii="宋体" w:hAnsi="宋体" w:cs="宋体"/>
          <w:b/>
          <w:color w:val="auto"/>
          <w:sz w:val="24"/>
          <w:highlight w:val="none"/>
        </w:rPr>
        <w:t>六、合同签订相关事项</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1、签订合同</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l成交供应商确定后，采购人将向成交供应商发出成交通知书。成交供应商应按成交通知书规定的时间、地点,按照磋商文件确定的事项与采购人签订政府采购合同，且不得迟于成交通知书发出之日起三十天内，由此给采购人造成损失的，成交供应商还应承担赔偿责任。</w:t>
      </w:r>
    </w:p>
    <w:p>
      <w:pPr>
        <w:tabs>
          <w:tab w:val="left" w:pos="900"/>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磋商文件、成交供应商的响应文件及磋商采购过程中有关澄清、承诺文件均应作为合同附件。</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48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1.4中标或者成交后无正当理由拒不与采购人签订政府采购合同的，将被列入不良行为记录名单，在一至三年内禁止参加政府采购活动。</w:t>
      </w:r>
    </w:p>
    <w:p>
      <w:pPr>
        <w:tabs>
          <w:tab w:val="left" w:pos="900"/>
        </w:tabs>
        <w:spacing w:line="480" w:lineRule="exact"/>
        <w:ind w:firstLine="477" w:firstLineChars="199"/>
        <w:rPr>
          <w:rFonts w:ascii="宋体" w:hAnsi="宋体" w:cs="宋体"/>
          <w:color w:val="auto"/>
          <w:sz w:val="24"/>
          <w:highlight w:val="none"/>
        </w:rPr>
      </w:pPr>
      <w:r>
        <w:rPr>
          <w:rFonts w:hint="eastAsia" w:ascii="宋体" w:hAnsi="宋体" w:cs="宋体"/>
          <w:color w:val="auto"/>
          <w:sz w:val="24"/>
          <w:highlight w:val="none"/>
        </w:rPr>
        <w:t>2、履约保证金</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在签订合同前，须向采购人交纳履约保证金,于合同履行后退还。履约保证金用以约束成交供应商在合同履行中的行为，弥补合同执行中由于自身行为可能给采购人带来的各种损失。</w:t>
      </w:r>
    </w:p>
    <w:p>
      <w:pPr>
        <w:spacing w:line="480" w:lineRule="exact"/>
        <w:ind w:firstLine="480" w:firstLineChars="200"/>
        <w:rPr>
          <w:rFonts w:ascii="宋体" w:hAnsi="宋体" w:cs="宋体"/>
          <w:color w:val="auto"/>
          <w:sz w:val="24"/>
          <w:highlight w:val="none"/>
        </w:rPr>
      </w:pPr>
    </w:p>
    <w:p>
      <w:pPr>
        <w:pStyle w:val="30"/>
        <w:rPr>
          <w:color w:val="auto"/>
          <w:highlight w:val="none"/>
        </w:rPr>
      </w:pPr>
    </w:p>
    <w:p>
      <w:pPr>
        <w:rPr>
          <w:color w:val="auto"/>
          <w:highlight w:val="none"/>
        </w:rPr>
      </w:pPr>
    </w:p>
    <w:p>
      <w:pPr>
        <w:pStyle w:val="30"/>
        <w:rPr>
          <w:color w:val="auto"/>
          <w:highlight w:val="none"/>
        </w:rPr>
      </w:pPr>
    </w:p>
    <w:p>
      <w:pPr>
        <w:rPr>
          <w:color w:val="auto"/>
          <w:highlight w:val="none"/>
        </w:rPr>
      </w:pPr>
    </w:p>
    <w:p>
      <w:pPr>
        <w:pStyle w:val="30"/>
        <w:rPr>
          <w:color w:val="auto"/>
          <w:highlight w:val="none"/>
        </w:rPr>
      </w:pPr>
    </w:p>
    <w:p>
      <w:pPr>
        <w:rPr>
          <w:color w:val="auto"/>
          <w:highlight w:val="none"/>
        </w:rPr>
      </w:pPr>
    </w:p>
    <w:p>
      <w:pPr>
        <w:pStyle w:val="30"/>
        <w:rPr>
          <w:color w:val="auto"/>
          <w:highlight w:val="none"/>
        </w:rPr>
      </w:pPr>
    </w:p>
    <w:p>
      <w:pPr>
        <w:rPr>
          <w:color w:val="auto"/>
          <w:highlight w:val="none"/>
        </w:rPr>
      </w:pPr>
    </w:p>
    <w:bookmarkEnd w:id="136"/>
    <w:bookmarkEnd w:id="137"/>
    <w:bookmarkEnd w:id="138"/>
    <w:p>
      <w:pPr>
        <w:pStyle w:val="55"/>
        <w:rPr>
          <w:color w:val="auto"/>
          <w:highlight w:val="none"/>
        </w:rPr>
      </w:pPr>
    </w:p>
    <w:p>
      <w:pPr>
        <w:pStyle w:val="56"/>
        <w:rPr>
          <w:color w:val="auto"/>
        </w:rPr>
      </w:pPr>
    </w:p>
    <w:p>
      <w:pPr>
        <w:keepNext/>
        <w:keepLines/>
        <w:spacing w:before="260" w:after="260" w:line="416" w:lineRule="auto"/>
        <w:jc w:val="center"/>
        <w:outlineLvl w:val="0"/>
        <w:rPr>
          <w:rFonts w:ascii="宋体" w:hAnsi="宋体" w:cs="宋体"/>
          <w:color w:val="auto"/>
          <w:sz w:val="44"/>
          <w:szCs w:val="44"/>
          <w:highlight w:val="none"/>
        </w:rPr>
      </w:pPr>
      <w:bookmarkStart w:id="139" w:name="_Toc20504"/>
      <w:r>
        <w:rPr>
          <w:rFonts w:hint="eastAsia" w:ascii="宋体" w:hAnsi="宋体" w:cs="Arial"/>
          <w:b/>
          <w:bCs/>
          <w:color w:val="auto"/>
          <w:sz w:val="44"/>
          <w:szCs w:val="44"/>
          <w:highlight w:val="none"/>
        </w:rPr>
        <w:t>第三章  合同条款及格式</w:t>
      </w:r>
      <w:bookmarkEnd w:id="139"/>
    </w:p>
    <w:p>
      <w:pPr>
        <w:snapToGrid w:val="0"/>
        <w:spacing w:line="440" w:lineRule="exact"/>
        <w:ind w:firstLine="602" w:firstLineChars="200"/>
        <w:jc w:val="center"/>
        <w:rPr>
          <w:rStyle w:val="161"/>
          <w:rFonts w:ascii="宋体" w:hAnsi="宋体" w:cs="宋体"/>
          <w:b/>
          <w:bCs/>
          <w:color w:val="auto"/>
          <w:sz w:val="30"/>
          <w:szCs w:val="20"/>
          <w:highlight w:val="none"/>
        </w:rPr>
      </w:pPr>
      <w:r>
        <w:rPr>
          <w:rStyle w:val="161"/>
          <w:rFonts w:ascii="宋体" w:hAnsi="宋体"/>
          <w:b/>
          <w:color w:val="auto"/>
          <w:sz w:val="30"/>
          <w:highlight w:val="none"/>
        </w:rPr>
        <w:t>采</w:t>
      </w:r>
      <w:r>
        <w:rPr>
          <w:rStyle w:val="161"/>
          <w:rFonts w:hint="eastAsia" w:ascii="宋体" w:hAnsi="宋体"/>
          <w:b/>
          <w:color w:val="auto"/>
          <w:sz w:val="30"/>
          <w:highlight w:val="none"/>
        </w:rPr>
        <w:t xml:space="preserve"> </w:t>
      </w:r>
      <w:r>
        <w:rPr>
          <w:rStyle w:val="161"/>
          <w:rFonts w:ascii="宋体" w:hAnsi="宋体"/>
          <w:b/>
          <w:color w:val="auto"/>
          <w:sz w:val="30"/>
          <w:highlight w:val="none"/>
        </w:rPr>
        <w:t>购</w:t>
      </w:r>
      <w:r>
        <w:rPr>
          <w:rStyle w:val="161"/>
          <w:rFonts w:hint="eastAsia" w:ascii="宋体" w:hAnsi="宋体"/>
          <w:b/>
          <w:color w:val="auto"/>
          <w:sz w:val="30"/>
          <w:highlight w:val="none"/>
        </w:rPr>
        <w:t xml:space="preserve"> </w:t>
      </w:r>
      <w:r>
        <w:rPr>
          <w:rStyle w:val="161"/>
          <w:rFonts w:ascii="宋体" w:hAnsi="宋体"/>
          <w:b/>
          <w:color w:val="auto"/>
          <w:sz w:val="30"/>
          <w:highlight w:val="none"/>
        </w:rPr>
        <w:t>合</w:t>
      </w:r>
      <w:r>
        <w:rPr>
          <w:rStyle w:val="161"/>
          <w:rFonts w:hint="eastAsia" w:ascii="宋体" w:hAnsi="宋体"/>
          <w:b/>
          <w:color w:val="auto"/>
          <w:sz w:val="30"/>
          <w:highlight w:val="none"/>
        </w:rPr>
        <w:t xml:space="preserve"> </w:t>
      </w:r>
      <w:r>
        <w:rPr>
          <w:rStyle w:val="161"/>
          <w:rFonts w:ascii="宋体" w:hAnsi="宋体"/>
          <w:b/>
          <w:color w:val="auto"/>
          <w:sz w:val="30"/>
          <w:highlight w:val="none"/>
        </w:rPr>
        <w:t>同</w:t>
      </w:r>
    </w:p>
    <w:p>
      <w:pPr>
        <w:pStyle w:val="163"/>
        <w:adjustRightInd w:val="0"/>
        <w:snapToGrid w:val="0"/>
        <w:spacing w:line="360" w:lineRule="auto"/>
        <w:ind w:firstLine="480" w:firstLineChars="200"/>
        <w:jc w:val="left"/>
        <w:textAlignment w:val="baseline"/>
        <w:rPr>
          <w:rStyle w:val="161"/>
          <w:rFonts w:hAnsi="宋体"/>
          <w:color w:val="auto"/>
          <w:sz w:val="24"/>
          <w:highlight w:val="none"/>
          <w:u w:val="single" w:color="000000"/>
        </w:rPr>
      </w:pPr>
      <w:r>
        <w:rPr>
          <w:rStyle w:val="161"/>
          <w:rFonts w:hAnsi="宋体"/>
          <w:color w:val="auto"/>
          <w:sz w:val="24"/>
          <w:highlight w:val="none"/>
        </w:rPr>
        <w:t>项目名称：</w:t>
      </w:r>
      <w:r>
        <w:rPr>
          <w:rStyle w:val="161"/>
          <w:rFonts w:hint="eastAsia" w:hAnsi="宋体"/>
          <w:color w:val="auto"/>
          <w:sz w:val="24"/>
          <w:highlight w:val="none"/>
          <w:u w:val="single" w:color="000000"/>
        </w:rPr>
        <w:t>盐城工业职业技术学院学生公共浴室</w:t>
      </w:r>
      <w:r>
        <w:rPr>
          <w:rStyle w:val="161"/>
          <w:rFonts w:hint="eastAsia" w:hAnsi="宋体"/>
          <w:color w:val="auto"/>
          <w:sz w:val="24"/>
          <w:highlight w:val="none"/>
          <w:u w:val="single" w:color="000000"/>
          <w:lang w:val="en-US" w:eastAsia="zh-CN"/>
        </w:rPr>
        <w:t>改造及服务</w:t>
      </w:r>
      <w:r>
        <w:rPr>
          <w:rStyle w:val="161"/>
          <w:rFonts w:hint="eastAsia" w:hAnsi="宋体"/>
          <w:color w:val="auto"/>
          <w:sz w:val="24"/>
          <w:highlight w:val="none"/>
          <w:u w:val="single" w:color="000000"/>
        </w:rPr>
        <w:t>BOT</w:t>
      </w:r>
      <w:r>
        <w:rPr>
          <w:rStyle w:val="161"/>
          <w:rFonts w:hint="eastAsia" w:hAnsi="宋体"/>
          <w:color w:val="auto"/>
          <w:sz w:val="24"/>
          <w:highlight w:val="none"/>
          <w:u w:val="single" w:color="000000"/>
          <w:lang w:val="en-US" w:eastAsia="zh-CN"/>
        </w:rPr>
        <w:t>节能</w:t>
      </w:r>
      <w:r>
        <w:rPr>
          <w:rStyle w:val="161"/>
          <w:rFonts w:hint="eastAsia" w:hAnsi="宋体"/>
          <w:color w:val="auto"/>
          <w:sz w:val="24"/>
          <w:highlight w:val="none"/>
          <w:u w:val="single" w:color="000000"/>
        </w:rPr>
        <w:t>合作项目</w:t>
      </w:r>
    </w:p>
    <w:p>
      <w:pPr>
        <w:pStyle w:val="163"/>
        <w:adjustRightInd w:val="0"/>
        <w:snapToGrid w:val="0"/>
        <w:spacing w:line="360" w:lineRule="auto"/>
        <w:ind w:firstLine="480" w:firstLineChars="200"/>
        <w:jc w:val="left"/>
        <w:textAlignment w:val="baseline"/>
        <w:rPr>
          <w:rStyle w:val="161"/>
          <w:rFonts w:hAnsi="宋体"/>
          <w:color w:val="auto"/>
          <w:sz w:val="24"/>
          <w:highlight w:val="none"/>
        </w:rPr>
      </w:pPr>
      <w:r>
        <w:rPr>
          <w:rStyle w:val="161"/>
          <w:rFonts w:hAnsi="宋体"/>
          <w:color w:val="auto"/>
          <w:sz w:val="24"/>
          <w:highlight w:val="none"/>
        </w:rPr>
        <w:t>项目编号：</w:t>
      </w:r>
    </w:p>
    <w:p>
      <w:pPr>
        <w:pStyle w:val="163"/>
        <w:adjustRightInd w:val="0"/>
        <w:snapToGrid w:val="0"/>
        <w:spacing w:line="360" w:lineRule="auto"/>
        <w:ind w:firstLine="480" w:firstLineChars="200"/>
        <w:textAlignment w:val="baseline"/>
        <w:rPr>
          <w:rStyle w:val="161"/>
          <w:rFonts w:hAnsi="宋体"/>
          <w:color w:val="auto"/>
          <w:sz w:val="24"/>
          <w:highlight w:val="none"/>
        </w:rPr>
      </w:pPr>
      <w:r>
        <w:rPr>
          <w:rStyle w:val="161"/>
          <w:rFonts w:hAnsi="宋体"/>
          <w:color w:val="auto"/>
          <w:sz w:val="24"/>
          <w:highlight w:val="none"/>
        </w:rPr>
        <w:t>甲方：（买方）</w:t>
      </w:r>
      <w:r>
        <w:rPr>
          <w:rStyle w:val="161"/>
          <w:rFonts w:hAnsi="宋体"/>
          <w:color w:val="auto"/>
          <w:sz w:val="24"/>
          <w:highlight w:val="none"/>
          <w:u w:val="single" w:color="000000"/>
        </w:rPr>
        <w:t>盐城工业职业技术学院</w:t>
      </w:r>
    </w:p>
    <w:p>
      <w:pPr>
        <w:pStyle w:val="163"/>
        <w:adjustRightInd w:val="0"/>
        <w:snapToGrid w:val="0"/>
        <w:spacing w:line="360" w:lineRule="auto"/>
        <w:ind w:firstLine="480" w:firstLineChars="200"/>
        <w:textAlignment w:val="baseline"/>
        <w:rPr>
          <w:rStyle w:val="161"/>
          <w:rFonts w:hAnsi="宋体"/>
          <w:color w:val="auto"/>
          <w:sz w:val="24"/>
          <w:highlight w:val="none"/>
        </w:rPr>
      </w:pPr>
      <w:r>
        <w:rPr>
          <w:rStyle w:val="161"/>
          <w:rFonts w:hAnsi="宋体"/>
          <w:color w:val="auto"/>
          <w:sz w:val="24"/>
          <w:highlight w:val="none"/>
        </w:rPr>
        <w:t>乙方：（卖方）</w:t>
      </w:r>
    </w:p>
    <w:p>
      <w:pPr>
        <w:adjustRightInd w:val="0"/>
        <w:snapToGrid w:val="0"/>
        <w:spacing w:line="360" w:lineRule="auto"/>
        <w:ind w:firstLine="480" w:firstLineChars="200"/>
        <w:textAlignment w:val="baseline"/>
        <w:rPr>
          <w:rStyle w:val="161"/>
          <w:rFonts w:ascii="宋体" w:hAnsi="宋体"/>
          <w:b/>
          <w:color w:val="auto"/>
          <w:sz w:val="24"/>
          <w:highlight w:val="none"/>
        </w:rPr>
      </w:pPr>
      <w:r>
        <w:rPr>
          <w:rStyle w:val="161"/>
          <w:rFonts w:ascii="宋体" w:hAnsi="宋体"/>
          <w:color w:val="auto"/>
          <w:sz w:val="24"/>
          <w:highlight w:val="none"/>
        </w:rPr>
        <w:t>甲、乙双方根据</w:t>
      </w:r>
      <w:r>
        <w:rPr>
          <w:rStyle w:val="161"/>
          <w:rFonts w:hint="eastAsia" w:hAnsi="宋体"/>
          <w:color w:val="auto"/>
          <w:sz w:val="24"/>
          <w:highlight w:val="none"/>
          <w:u w:val="single" w:color="000000"/>
        </w:rPr>
        <w:t>盐城工业职业技术学院学生公共浴室</w:t>
      </w:r>
      <w:r>
        <w:rPr>
          <w:rStyle w:val="161"/>
          <w:rFonts w:hint="eastAsia" w:hAnsi="宋体"/>
          <w:color w:val="auto"/>
          <w:sz w:val="24"/>
          <w:highlight w:val="none"/>
          <w:u w:val="single" w:color="000000"/>
          <w:lang w:val="en-US" w:eastAsia="zh-CN"/>
        </w:rPr>
        <w:t>改造及服务</w:t>
      </w:r>
      <w:r>
        <w:rPr>
          <w:rStyle w:val="161"/>
          <w:rFonts w:hint="eastAsia" w:hAnsi="宋体"/>
          <w:color w:val="auto"/>
          <w:sz w:val="24"/>
          <w:highlight w:val="none"/>
          <w:u w:val="single" w:color="000000"/>
        </w:rPr>
        <w:t>BOT</w:t>
      </w:r>
      <w:r>
        <w:rPr>
          <w:rStyle w:val="161"/>
          <w:rFonts w:hint="eastAsia" w:hAnsi="宋体"/>
          <w:color w:val="auto"/>
          <w:sz w:val="24"/>
          <w:highlight w:val="none"/>
          <w:u w:val="single" w:color="000000"/>
          <w:lang w:val="en-US" w:eastAsia="zh-CN"/>
        </w:rPr>
        <w:t>节能</w:t>
      </w:r>
      <w:r>
        <w:rPr>
          <w:rStyle w:val="161"/>
          <w:rFonts w:hint="eastAsia" w:hAnsi="宋体"/>
          <w:color w:val="auto"/>
          <w:sz w:val="24"/>
          <w:highlight w:val="none"/>
          <w:u w:val="single" w:color="000000"/>
        </w:rPr>
        <w:t>合作项目</w:t>
      </w:r>
      <w:r>
        <w:rPr>
          <w:rStyle w:val="161"/>
          <w:rFonts w:ascii="宋体" w:hAnsi="宋体"/>
          <w:color w:val="auto"/>
          <w:sz w:val="24"/>
          <w:highlight w:val="none"/>
        </w:rPr>
        <w:t>公开招标的结果，签署本合同。</w:t>
      </w:r>
    </w:p>
    <w:p>
      <w:pPr>
        <w:adjustRightInd w:val="0"/>
        <w:snapToGrid w:val="0"/>
        <w:spacing w:line="360" w:lineRule="auto"/>
        <w:ind w:firstLine="482" w:firstLineChars="200"/>
        <w:textAlignment w:val="baseline"/>
        <w:rPr>
          <w:rStyle w:val="161"/>
          <w:rFonts w:ascii="宋体" w:hAnsi="宋体"/>
          <w:color w:val="auto"/>
          <w:sz w:val="24"/>
          <w:highlight w:val="none"/>
        </w:rPr>
      </w:pPr>
      <w:r>
        <w:rPr>
          <w:rStyle w:val="161"/>
          <w:rFonts w:hint="eastAsia" w:ascii="宋体" w:hAnsi="宋体"/>
          <w:b/>
          <w:bCs/>
          <w:color w:val="auto"/>
          <w:sz w:val="24"/>
          <w:highlight w:val="none"/>
        </w:rPr>
        <w:t>第一条 项目概述</w:t>
      </w:r>
      <w:r>
        <w:rPr>
          <w:rStyle w:val="161"/>
          <w:rFonts w:hint="eastAsia" w:ascii="宋体" w:hAnsi="宋体"/>
          <w:color w:val="auto"/>
          <w:sz w:val="24"/>
          <w:highlight w:val="none"/>
        </w:rPr>
        <w:t xml:space="preserve">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1.项目名称：盐城工业职业技术学院学生公共浴室改造及服务BOT节能合作项目。</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2.项目地点：盐城工业职业技术学院校区</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3.项目概况：建设位置及设备要求见项目需求。</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4.本项目采用乙方自筹资金、自行建设、自主经营的 BOT 模式，乙方负责项目的设计、施工(包括不限于空气源热泵热水系统、淋浴房建设改造、室内外装饰装修、室内外防水、水电、防雷接地、网络、空调、消防、监控、场地原有废弃设施的拆除清运、甲方指定设施的搬运移交、成品保护等及入口门厅装修改造、配套施工所需的各项措施保护等)、设备采购、安装、调试、试运行(包括不限于项目设备、收费系统等)，并在合同有效期内负责日常维修、维护、管理，水电费（含照明用电）等的支付，满足每天为师生提供足量的洗浴热水服务的需求。</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5.合同期内的所有经营投资、系统运营及维护等费用均由乙方承担。乙方向甲方支付项目运行经营所产生的水电费用。</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6.合同期内，乙方按洗浴热水</w:t>
      </w:r>
      <w:r>
        <w:rPr>
          <w:rStyle w:val="161"/>
          <w:rFonts w:hint="eastAsia" w:ascii="宋体" w:hAnsi="宋体"/>
          <w:color w:val="auto"/>
          <w:sz w:val="24"/>
          <w:highlight w:val="none"/>
          <w:u w:val="single"/>
        </w:rPr>
        <w:t xml:space="preserve">     </w:t>
      </w:r>
      <w:r>
        <w:rPr>
          <w:rStyle w:val="161"/>
          <w:rFonts w:hint="eastAsia" w:ascii="宋体" w:hAnsi="宋体"/>
          <w:color w:val="auto"/>
          <w:sz w:val="24"/>
          <w:highlight w:val="none"/>
        </w:rPr>
        <w:t>元/吨的标准收费。</w:t>
      </w:r>
    </w:p>
    <w:p>
      <w:pPr>
        <w:adjustRightInd w:val="0"/>
        <w:snapToGrid w:val="0"/>
        <w:spacing w:line="360" w:lineRule="auto"/>
        <w:ind w:firstLine="482" w:firstLineChars="200"/>
        <w:textAlignment w:val="baseline"/>
        <w:rPr>
          <w:rStyle w:val="161"/>
          <w:rFonts w:ascii="宋体" w:hAnsi="宋体"/>
          <w:color w:val="auto"/>
          <w:sz w:val="24"/>
          <w:highlight w:val="none"/>
        </w:rPr>
      </w:pPr>
      <w:r>
        <w:rPr>
          <w:rStyle w:val="161"/>
          <w:rFonts w:hint="eastAsia" w:ascii="宋体" w:hAnsi="宋体"/>
          <w:b/>
          <w:bCs/>
          <w:color w:val="auto"/>
          <w:sz w:val="24"/>
          <w:highlight w:val="none"/>
        </w:rPr>
        <w:t>第二条 合同期限与项目建设</w:t>
      </w:r>
      <w:r>
        <w:rPr>
          <w:rStyle w:val="161"/>
          <w:rFonts w:hint="eastAsia" w:ascii="宋体" w:hAnsi="宋体"/>
          <w:color w:val="auto"/>
          <w:sz w:val="24"/>
          <w:highlight w:val="none"/>
        </w:rPr>
        <w:t xml:space="preserve">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1.本项目开始施工日期为本合同双方正式签署生效日，乙方必须在 2023年 月 日前完工(含清洁卫生、施工设施及人员退场)，并投入使用。若延期投入使用，乙方按每延期 1 天 10000 元的标准向甲方支付违约金，甲方有权从乙方履约保证金中扣除。</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2.本项目合同期限为: 6 年</w:t>
      </w:r>
      <w:r>
        <w:rPr>
          <w:rFonts w:ascii="宋体" w:hAnsi="宋体" w:eastAsia="宋体" w:cs="宋体"/>
          <w:color w:val="auto"/>
          <w:sz w:val="24"/>
          <w:szCs w:val="24"/>
          <w:highlight w:val="none"/>
        </w:rPr>
        <w:t>（3年固定合同，合同期满后经招标人考核合格可续签3年)</w:t>
      </w:r>
      <w:r>
        <w:rPr>
          <w:rStyle w:val="161"/>
          <w:rFonts w:hint="eastAsia" w:ascii="宋体" w:hAnsi="宋体"/>
          <w:color w:val="auto"/>
          <w:sz w:val="24"/>
          <w:highlight w:val="none"/>
        </w:rPr>
        <w:t>。乙方不得因区域问题、学生人数减少、学生进出校门管理或其它经营情况发生变化向甲方提出任何补偿要求。在合同期限届满之日起 5 日内，乙方应当结清费用并办结所有设备移交给甲方的手续。所移交的设备必须保证无损坏且能正常使用，若有损坏或不能正常使用，甲方有权从乙方履约保证金中扣除相关费用专门用以维修设备直至能正常使用。乙方与移交设备无关的其他物品须在合同期限届满之日起 5 日内搬离甲方，若逾期不搬离或清空，则乙方承担场地占用费 10000 元/天，甲方有权从乙方履约保证金中扣除。</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3.合同履行期间，如因政府行为需要甲方校园置换，或甲方校园整体规划调整，致本合同项目无法继续履行达到约定的 6 年期限，则双方提前终止本合同。乙方须自行撤除设备并在通知下达之日起 5 日内搬离甲方。若逾期不搬离或清空，则乙方承担</w:t>
      </w:r>
    </w:p>
    <w:p>
      <w:pPr>
        <w:adjustRightInd w:val="0"/>
        <w:snapToGrid w:val="0"/>
        <w:spacing w:line="360" w:lineRule="auto"/>
        <w:textAlignment w:val="baseline"/>
        <w:rPr>
          <w:rStyle w:val="161"/>
          <w:rFonts w:ascii="宋体" w:hAnsi="宋体"/>
          <w:color w:val="auto"/>
          <w:sz w:val="24"/>
          <w:highlight w:val="none"/>
        </w:rPr>
      </w:pPr>
      <w:r>
        <w:rPr>
          <w:rStyle w:val="161"/>
          <w:rFonts w:hint="eastAsia" w:ascii="宋体" w:hAnsi="宋体"/>
          <w:color w:val="auto"/>
          <w:sz w:val="24"/>
          <w:highlight w:val="none"/>
        </w:rPr>
        <w:t>场地占用费 10000 元/天，甲方有权从乙方履约保证金中扣除。乙方离场后，甲方 30日内向乙方退还结余的履约保证金。</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4.合同期限届满或合同解除后，如乙方拒不退房撤场，甲方有权不再履行向乙方提供水电服务等义务，乙方必须承担由此给甲方造成的一切损失。</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5.乙方需对淋浴房及门厅进行统一装修改造，地面采用防滑地砖或大理石铺设，墙面采用环保护墙板安装或墙砖铺设，吊顶采用铝合金集成吊顶安装，更衣区内设空调，淋浴区冬季洗浴要有保暖措施、夏季洗浴要有通风措施等。所有建材均应符合环保要求；灯具、开关、插座、塑料管、电线、空调、监控等应选用知名品牌优质产品。如有学生投诉，需要设定淋浴房使用开放时间的，还应当安装闭门器。乙方须根据项目需求的要求提供淋浴房装饰效果图，淋浴房以及入口门厅装修方案需经甲方审核通过后方可实施。装修需要做到布局合理、美观大方且投入设备要达到功能要求和乙方投标文件的要求。装修过程中由于用电增容、水路改造及其他项目产生的费用均由乙方承担。</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6.乙方必须采取各种防范措施，保证淋浴区的安全。特别是必须有确保防止异性闯入的安全措施。淋浴区开放期间如有异性闯入或发生偷拍等恶性事件，乙方须积极配合甲方处理事件并承担所有后果，同时甲方将从乙方履约保证金中一次性扣收 3 万元违约金。若对甲方造成不良影响，甲方有权立即单方面终止合同。淋浴房朝门口外及门口大厅内应安装无死角的高清监控（监控须接入到学校统一的监管平台）。</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7.乙方淋浴房内喷淋头数量以确保师生需求为先且达到规定要求。对空气源热泵主机等设备的安装须提供详细的安装方案，同时提供所用设备的品牌、规格型号、数量、安装位置等内容清单，经甲方审核通过后方可进校并安装，甲方对安装方案有提出修改和最终决定权。乙方在整个安装过程中必须严格接受甲方监管。</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8.淋浴房更衣区内须提供与喷淋头数量一致可以无偿使用的更衣柜以及可以无偿使用的适量的更衣凳和梳妆台等，乙方负责日常的营运管理和维护，并承担相应维护费用，确保所有设备无损坏且能正常使用。每台设备均需设置漏电保护功能，洗浴污水排放并入排污管网。</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9.本项目工程不得转包，乙方所派出的常驻甲方的项目经理必须具有相关资质且管理经验丰富，必须每天在现场办公，未经甲方书面同意不得中途换人。</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10.乙方施工方案须报甲方审查合格后方可实施，工程建设应与产品原始样本、产品手册、产品说明书等技术资料、标书技术文件和实测数据一致，符合国家有关技术标准。装修和安装工程必须符合国家相关技术规范，专业技术人员须持证上岗。乙方必须科学组织施工，做好现场安全防护、安全警示标识，服从甲方监督管理，保证施工安全顺利。施工过程中的所有安全责任由乙方自行承担。施工过程中乙方自行负责全部成品保全工作。施工结束后乙方负责垃圾清除外运，并在合法场所倾倒，不得造成二次污染。</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11.本项目的其它建设要求以招标文件及投标文件设计方案为准，投标文件所述要求及标准优于招标文件要求的，以投标文件为准。</w:t>
      </w:r>
    </w:p>
    <w:p>
      <w:pPr>
        <w:adjustRightInd w:val="0"/>
        <w:snapToGrid w:val="0"/>
        <w:spacing w:line="360" w:lineRule="auto"/>
        <w:ind w:firstLine="480" w:firstLineChars="200"/>
        <w:textAlignment w:val="baseline"/>
        <w:rPr>
          <w:rStyle w:val="161"/>
          <w:rFonts w:hint="eastAsia" w:ascii="宋体" w:hAnsi="宋体"/>
          <w:color w:val="auto"/>
          <w:sz w:val="24"/>
          <w:highlight w:val="none"/>
          <w:lang w:eastAsia="zh-CN"/>
        </w:rPr>
      </w:pPr>
      <w:r>
        <w:rPr>
          <w:rStyle w:val="161"/>
          <w:rFonts w:hint="eastAsia" w:ascii="宋体" w:hAnsi="宋体"/>
          <w:color w:val="auto"/>
          <w:sz w:val="24"/>
          <w:highlight w:val="none"/>
        </w:rPr>
        <w:t>12.甲方</w:t>
      </w:r>
      <w:r>
        <w:rPr>
          <w:rStyle w:val="161"/>
          <w:rFonts w:hint="eastAsia" w:ascii="宋体" w:hAnsi="宋体"/>
          <w:color w:val="auto"/>
          <w:sz w:val="24"/>
          <w:highlight w:val="none"/>
          <w:lang w:val="en-US" w:eastAsia="zh-CN"/>
        </w:rPr>
        <w:t>将委托第三方监理公司</w:t>
      </w:r>
      <w:r>
        <w:rPr>
          <w:rStyle w:val="161"/>
          <w:rFonts w:hint="eastAsia" w:ascii="宋体" w:hAnsi="宋体"/>
          <w:color w:val="auto"/>
          <w:sz w:val="24"/>
          <w:highlight w:val="none"/>
        </w:rPr>
        <w:t>对本项目的建设进度、建设质量、实施内容和合同执行情况进行监督检查和管理</w:t>
      </w:r>
      <w:r>
        <w:rPr>
          <w:rStyle w:val="161"/>
          <w:rFonts w:hint="eastAsia" w:ascii="宋体" w:hAnsi="宋体"/>
          <w:color w:val="auto"/>
          <w:sz w:val="24"/>
          <w:highlight w:val="none"/>
          <w:lang w:eastAsia="zh-CN"/>
        </w:rPr>
        <w:t>。</w:t>
      </w:r>
    </w:p>
    <w:p>
      <w:pPr>
        <w:adjustRightInd w:val="0"/>
        <w:snapToGrid w:val="0"/>
        <w:spacing w:line="360" w:lineRule="auto"/>
        <w:ind w:firstLine="480" w:firstLineChars="200"/>
        <w:textAlignment w:val="baseline"/>
        <w:rPr>
          <w:rStyle w:val="161"/>
          <w:rFonts w:hint="default" w:ascii="宋体" w:hAnsi="宋体"/>
          <w:color w:val="auto"/>
          <w:sz w:val="24"/>
          <w:highlight w:val="none"/>
          <w:lang w:val="en-US" w:eastAsia="zh-CN"/>
        </w:rPr>
      </w:pPr>
      <w:r>
        <w:rPr>
          <w:rStyle w:val="161"/>
          <w:rFonts w:hint="eastAsia" w:ascii="宋体" w:hAnsi="宋体"/>
          <w:color w:val="auto"/>
          <w:sz w:val="24"/>
          <w:highlight w:val="none"/>
          <w:lang w:val="en-US" w:eastAsia="zh-CN"/>
        </w:rPr>
        <w:t>13.甲方将</w:t>
      </w:r>
      <w:r>
        <w:rPr>
          <w:rStyle w:val="161"/>
          <w:rFonts w:hint="eastAsia" w:ascii="宋体" w:hAnsi="宋体"/>
          <w:color w:val="auto"/>
          <w:sz w:val="24"/>
          <w:highlight w:val="none"/>
          <w:lang w:eastAsia="zh-CN"/>
        </w:rPr>
        <w:t>委托第三方审计公司对</w:t>
      </w:r>
      <w:r>
        <w:rPr>
          <w:rStyle w:val="161"/>
          <w:rFonts w:hint="eastAsia" w:ascii="宋体" w:hAnsi="宋体"/>
          <w:color w:val="auto"/>
          <w:sz w:val="24"/>
          <w:highlight w:val="none"/>
          <w:lang w:val="en-US" w:eastAsia="zh-CN"/>
        </w:rPr>
        <w:t>乙方投资本项目的装潢改造、设施设备等全过程审计，如乙方实际投入金额（以第三方审计结论为准）不足，则甲方有权采取要求乙方继续投入、增加给学生优惠或缩短经营周期等措施。</w:t>
      </w:r>
    </w:p>
    <w:p>
      <w:pPr>
        <w:adjustRightInd w:val="0"/>
        <w:snapToGrid w:val="0"/>
        <w:spacing w:line="360" w:lineRule="auto"/>
        <w:ind w:firstLine="482" w:firstLineChars="200"/>
        <w:textAlignment w:val="baseline"/>
        <w:rPr>
          <w:rStyle w:val="161"/>
          <w:rFonts w:ascii="宋体" w:hAnsi="宋体"/>
          <w:b/>
          <w:bCs/>
          <w:color w:val="auto"/>
          <w:sz w:val="24"/>
          <w:highlight w:val="none"/>
        </w:rPr>
      </w:pPr>
      <w:r>
        <w:rPr>
          <w:rStyle w:val="161"/>
          <w:rFonts w:hint="eastAsia" w:ascii="宋体" w:hAnsi="宋体"/>
          <w:b/>
          <w:bCs/>
          <w:color w:val="auto"/>
          <w:sz w:val="24"/>
          <w:highlight w:val="none"/>
        </w:rPr>
        <w:t xml:space="preserve">第三条 项目投入的设备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1.本项目所有投入设备必须为全新设备。</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乙方应根据招标文件所明确的设计方案进行实施，并根据施工方案和安装方案进行装修和安装设备。项目建成后，双方签署的项目设备验收清单为本合同的附件，验收清单上的设备与设施在合同期满后必须完好无损地移交给甲方。</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3.投入使用后，设备设施产权即交付甲方代管。在本项目合同期内的门厅内的设备维护、维修及更新均由乙方负责，费用由乙方承担。</w:t>
      </w:r>
    </w:p>
    <w:p>
      <w:pPr>
        <w:adjustRightInd w:val="0"/>
        <w:snapToGrid w:val="0"/>
        <w:spacing w:line="360" w:lineRule="auto"/>
        <w:ind w:firstLine="482" w:firstLineChars="200"/>
        <w:textAlignment w:val="baseline"/>
        <w:rPr>
          <w:rStyle w:val="161"/>
          <w:rFonts w:ascii="宋体" w:hAnsi="宋体"/>
          <w:color w:val="auto"/>
          <w:sz w:val="24"/>
          <w:highlight w:val="none"/>
        </w:rPr>
      </w:pPr>
      <w:r>
        <w:rPr>
          <w:rStyle w:val="161"/>
          <w:rFonts w:hint="eastAsia" w:ascii="宋体" w:hAnsi="宋体"/>
          <w:b/>
          <w:bCs/>
          <w:color w:val="auto"/>
          <w:sz w:val="24"/>
          <w:highlight w:val="none"/>
        </w:rPr>
        <w:t>第四条 项目运营</w:t>
      </w:r>
      <w:r>
        <w:rPr>
          <w:rStyle w:val="161"/>
          <w:rFonts w:hint="eastAsia" w:ascii="宋体" w:hAnsi="宋体"/>
          <w:color w:val="auto"/>
          <w:sz w:val="24"/>
          <w:highlight w:val="none"/>
        </w:rPr>
        <w:t xml:space="preserve"> </w:t>
      </w:r>
    </w:p>
    <w:p>
      <w:pPr>
        <w:pStyle w:val="5"/>
        <w:keepNext w:val="0"/>
        <w:keepLines w:val="0"/>
        <w:widowControl/>
        <w:adjustRightInd w:val="0"/>
        <w:snapToGrid w:val="0"/>
        <w:spacing w:before="0" w:after="0" w:line="360" w:lineRule="auto"/>
        <w:ind w:firstLine="480" w:firstLineChars="200"/>
        <w:textAlignment w:val="baseline"/>
        <w:rPr>
          <w:rStyle w:val="161"/>
          <w:rFonts w:ascii="宋体" w:hAnsi="宋体"/>
          <w:color w:val="auto"/>
          <w:sz w:val="24"/>
          <w:szCs w:val="24"/>
          <w:highlight w:val="none"/>
        </w:rPr>
      </w:pPr>
      <w:r>
        <w:rPr>
          <w:rStyle w:val="161"/>
          <w:rFonts w:hint="eastAsia" w:ascii="宋体" w:hAnsi="宋体"/>
          <w:b w:val="0"/>
          <w:bCs/>
          <w:color w:val="auto"/>
          <w:sz w:val="24"/>
          <w:szCs w:val="24"/>
          <w:highlight w:val="none"/>
        </w:rPr>
        <w:t>1.</w:t>
      </w:r>
      <w:r>
        <w:rPr>
          <w:rFonts w:hint="eastAsia" w:ascii="宋体" w:hAnsi="宋体" w:cs="宋体"/>
          <w:b w:val="0"/>
          <w:color w:val="auto"/>
          <w:sz w:val="24"/>
          <w:szCs w:val="24"/>
          <w:highlight w:val="none"/>
        </w:rPr>
        <w:t>本项目的收费系统采用物联网支付方式，学生可通过一卡通校园、微信或支付宝支付，按流量计费，不允许采用事先充值的预付费模式对学生的洗浴进行收费。收费系统的账号和管理密码需提供给学校，学校对账户进行实时监管。水控设备及收费管理系统的建设所产生的所有费用由中标人自行承担。</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2.合同期内，学生在校期间乙方应按照招标文件、投标文件及本合同约定，确保每个浴房下午3点至晚上10点正常开放。乙方需安排专业技术员常驻甲方进行定期检查、保养、维修等工作。</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3.合同期内，与合同履行相关的税、费等所有费用，均由乙方负责承担。</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4.合同期内，乙方应配备足够数量具有管理、维修、维护经验和技术的管理人员和技术人员，并确保所配人员遵守甲方相关规章制度，服从甲方管理和监督。合同期间所有关于洗浴服务方面的师生投诉，乙方须第一时间妥善解决。未妥善解决造成不良影响的，乙方构成违约，应当向甲方支付违约金，甲方有权从履约保证金中按 1000元/次的标准扣收。</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5.甲方对校内类似项目市场保护问题不作任何承诺，不承担任何责任。</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6.乙方自行聘用员工，与甲方不构成任何用工关系。乙方必须严格按照《劳动法》《劳动合同法》等相关法规办理用工手续。乙方在甲方服务的所有员工必须持有健康证、公安部门出具的无犯罪记录证明，各类证件报甲方审核后留存复印件备案。</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7.在甲方供水供电正常的情况下，乙方投入设备出现故障，连续超过 3 天无法按照合同约定提供洗浴热水服务的，甲方有权按上月日均营业额的 1%从乙方履约保证金中扣收违约金。</w:t>
      </w:r>
    </w:p>
    <w:p>
      <w:pPr>
        <w:adjustRightInd w:val="0"/>
        <w:snapToGrid w:val="0"/>
        <w:spacing w:line="360" w:lineRule="auto"/>
        <w:ind w:firstLine="482" w:firstLineChars="200"/>
        <w:textAlignment w:val="baseline"/>
        <w:rPr>
          <w:rStyle w:val="161"/>
          <w:rFonts w:ascii="宋体" w:hAnsi="宋体"/>
          <w:b/>
          <w:bCs/>
          <w:color w:val="auto"/>
          <w:sz w:val="24"/>
          <w:highlight w:val="none"/>
        </w:rPr>
      </w:pPr>
      <w:r>
        <w:rPr>
          <w:rStyle w:val="161"/>
          <w:rFonts w:hint="eastAsia" w:ascii="宋体" w:hAnsi="宋体"/>
          <w:b/>
          <w:bCs/>
          <w:color w:val="auto"/>
          <w:sz w:val="24"/>
          <w:highlight w:val="none"/>
        </w:rPr>
        <w:t xml:space="preserve">第五条 设备保养、维护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1.乙方需公布服务热线电话，负责受理咨询、报修、投诉等事项，在接到故障报告后 2 小时内到达现场，到场后 3 小时内解决故障问题，重大故障应当在 24 小时内修复并恢复正常，修复无效的在 1 周内更换机器。乙方必须每天一次对淋浴房进行全方位清洁、消毒、检修（需建立清洗和消毒台帐）。乙方有义务为相关使用人做好沟通、协调工作。</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2.乙方应当定期对相关设施设备检查（检查记录要留存并装订成册），确保设施完好，避免造成无法使用或其他安全事故。</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3.合同期内，如确需对设施设备进行大规模改造，应经甲方书面批准方可施工，费用由乙方承担。</w:t>
      </w:r>
    </w:p>
    <w:p>
      <w:pPr>
        <w:adjustRightInd w:val="0"/>
        <w:snapToGrid w:val="0"/>
        <w:spacing w:line="360" w:lineRule="auto"/>
        <w:ind w:firstLine="482" w:firstLineChars="200"/>
        <w:textAlignment w:val="baseline"/>
        <w:rPr>
          <w:rStyle w:val="161"/>
          <w:rFonts w:ascii="宋体" w:hAnsi="宋体"/>
          <w:color w:val="auto"/>
          <w:sz w:val="24"/>
          <w:highlight w:val="none"/>
        </w:rPr>
      </w:pPr>
      <w:r>
        <w:rPr>
          <w:rStyle w:val="161"/>
          <w:rFonts w:hint="eastAsia" w:ascii="宋体" w:hAnsi="宋体"/>
          <w:b/>
          <w:bCs/>
          <w:color w:val="auto"/>
          <w:sz w:val="24"/>
          <w:highlight w:val="none"/>
        </w:rPr>
        <w:t>第六条 服务管理及考核</w:t>
      </w:r>
      <w:r>
        <w:rPr>
          <w:rStyle w:val="161"/>
          <w:rFonts w:hint="eastAsia" w:ascii="宋体" w:hAnsi="宋体"/>
          <w:color w:val="auto"/>
          <w:sz w:val="24"/>
          <w:highlight w:val="none"/>
        </w:rPr>
        <w:t xml:space="preserve">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1.乙方须在淋浴房醒目位置张贴洗浴操作流程图，每年新生入学时每个淋浴房应当有专业的工作人员进行指导。</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2.乙方必须负责项目场地的保洁工作，指派专人定时打扫，保证场地及其周边清洁卫生，接受甲方日常考核。项目的安全保卫等工作由乙方自行承担。</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3.乙方须按招标文件制定服务项目价格表，且不得随意更改。消费价格、使用规程及维修电话必须上墙公示。</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4.乙方必须提供切实可行的服务承诺和管理制度，保证项目正常运行。</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5.合同期内，乙方必须接受甲方对服务质量、卫生状况、收费价格等方面的监督、管理和考核。</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6.乙方没有使用甲方许可的收款方式收取营业款的，每违反 1 次，甲方有权从乙方履约保证金中扣收违约金 2000 元，并有权责令乙方立刻改正。</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7.乙方不得擅自扩大经营范围，增加跟洗浴无关的经营项目（在确保安全前提下，为学生提供的免费增值服务项目除外）。淋浴房内不得张贴任何形式的广告，否则，甲方有权从乙方履约保证金中按 5000 元/项的标准扣收违约金，并有权责令乙方改正。</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8.乙方必须加强安全管理，如发生包括并不限于治安、消防、食品安全、人身伤害、员工交通和工伤等事故，乙方承担全部责任。因此导致甲方受到行政处罚或损失的，均由乙方赔偿。甲方有权根据事故(件)的具体情况扣收部分或全部履约保证金，直至解除合同。</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9.乙方必须始终保持师生满意度在 85%以上。甲方定期或不定期对乙方就项目运营、设备完好率、环境卫生、收费价格执行、学生投诉、应急响应、是否违规经营等方面进行师生满意度随机调查（调查样本不少于 100 人）。师生满意度在 85%以下的，甲方有权从乙方履约保证金中扣收 2000 元违约金。</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10.乙方必须遵守甲方用水用电相关规定，不得窃水窃电，若有窃水窃电行为的，每发现 1 次，甲方有权从乙方履约保证金中扣收 10000 元违约金，并有权责令乙方改正。窃水窃电行为严重，甲方有权移交公安部门处理。</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11.乙方擅自提高服务项目价格，每提高 1 次，甲方有权从乙方履约保证金中扣收违约金 5000 元，并有权责令乙方改正。</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12.乙方流量计及整个水控系统必须满足计量准确、消费透明、仪表仪器耐用等要求。师生洗浴须能实现预约功能，每一次洗浴完毕须立即（1 分钟内）向师生推送本次洗浴所消耗的热水升数及价格。同时须保证师生洗浴所消耗的热水升数与实际喷淋头流出的热水升数要一致（测量误差值按国家规定执行）。乙方故意调整（故意调整即设备故障以外的人为调整，其界定标准为：在一次检查中若发现有 5 台以上的设备计量不准即视为故意调整。）流量计及整个水控系统造成计量不准确，每发现 1 次不准确，甲方有权从乙方履约保证金中扣收违约金 5000 元，并有权责令乙方改正。乙方须在每学期开学后的第三周内在甲方指定人监督下对流量计进行校验，并出具权威机构校验报告。</w:t>
      </w:r>
    </w:p>
    <w:p>
      <w:pPr>
        <w:adjustRightInd w:val="0"/>
        <w:snapToGrid w:val="0"/>
        <w:spacing w:line="360" w:lineRule="auto"/>
        <w:ind w:firstLine="482" w:firstLineChars="200"/>
        <w:textAlignment w:val="baseline"/>
        <w:rPr>
          <w:rStyle w:val="161"/>
          <w:rFonts w:ascii="宋体" w:hAnsi="宋体"/>
          <w:b/>
          <w:bCs/>
          <w:color w:val="auto"/>
          <w:sz w:val="24"/>
          <w:highlight w:val="none"/>
        </w:rPr>
      </w:pPr>
      <w:r>
        <w:rPr>
          <w:rStyle w:val="161"/>
          <w:rFonts w:hint="eastAsia" w:ascii="宋体" w:hAnsi="宋体"/>
          <w:b/>
          <w:bCs/>
          <w:color w:val="auto"/>
          <w:sz w:val="24"/>
          <w:highlight w:val="none"/>
        </w:rPr>
        <w:t xml:space="preserve">第七条 履约保证金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在本合同签订前，乙方应向甲方缴纳 10 万元履约保证金。合同期满并办理完相关手续后 30 日内一次性无息退还（乙方因违约等原因被核减的除外）。若履约保证金因乙方违约等原因被扣除不足10 万元，乙方应在 30 日内补足。否则，甲方有权单方面解除合同，且有权扣收乙方的履约保证金。</w:t>
      </w:r>
    </w:p>
    <w:p>
      <w:pPr>
        <w:adjustRightInd w:val="0"/>
        <w:snapToGrid w:val="0"/>
        <w:spacing w:line="360" w:lineRule="auto"/>
        <w:ind w:firstLine="482" w:firstLineChars="200"/>
        <w:textAlignment w:val="baseline"/>
        <w:rPr>
          <w:rStyle w:val="161"/>
          <w:rFonts w:ascii="宋体" w:hAnsi="宋体"/>
          <w:b/>
          <w:bCs/>
          <w:color w:val="auto"/>
          <w:sz w:val="24"/>
          <w:highlight w:val="none"/>
        </w:rPr>
      </w:pPr>
      <w:r>
        <w:rPr>
          <w:rStyle w:val="161"/>
          <w:rFonts w:hint="eastAsia" w:ascii="宋体" w:hAnsi="宋体"/>
          <w:b/>
          <w:bCs/>
          <w:color w:val="auto"/>
          <w:sz w:val="24"/>
          <w:highlight w:val="none"/>
        </w:rPr>
        <w:t>第八条 合同变更、 解除与终止</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1.经双方协商一致后可以变更或解除合同。</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2.一方严重违约，致使另一方合同目的不能实现，守约方可以单方面解除合同，并要求违约方一次性承担叁万元的违约金。</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3.合同期内，发生下列情况之一的，将视为乙方放弃本项目所有权及经营权:</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(1)乙方无法定或约定事由提前解除合同的；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(2)乙方设备达不到供水服务标准且超过 10 天仍未达到供水服务标准的；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(3)乙方擅自转包、停业的；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(4)乙方不服从甲方管理，严重影响师生正常生活或教学秩序的；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(5)乙方没有使用甲方许可的收款方式收取营业款，累计达到 2 次的；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(6)乙方连续两次师生满意度在 85%以下的；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(7)乙方擅自将设备（项目正式运营后，经双方书面确认的清单上的设备，下同）转让、变卖、抵押给甲方以外的任何第三人的；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(8)乙方擅自拆除、毁坏和转移设备的；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(9)乙方有窃水窃电行为，累计达到 2 次的；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(10)乙方擅自提高服务项目价格，累计达到 2 次的；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(11)乙方故意调整流量计及水控系统造成计量不准确，累计达到 2 次的；</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(12)淋浴区开放期间如有异性闯入或发生偷拍等恶性事件，且乙方处理不及时并对甲方造成不良影响的；</w:t>
      </w:r>
    </w:p>
    <w:p>
      <w:pPr>
        <w:adjustRightInd w:val="0"/>
        <w:snapToGrid w:val="0"/>
        <w:spacing w:line="360" w:lineRule="auto"/>
        <w:ind w:firstLine="482" w:firstLineChars="200"/>
        <w:textAlignment w:val="baseline"/>
        <w:rPr>
          <w:rStyle w:val="161"/>
          <w:rFonts w:ascii="宋体" w:hAnsi="宋体"/>
          <w:b/>
          <w:bCs/>
          <w:color w:val="auto"/>
          <w:sz w:val="24"/>
          <w:highlight w:val="none"/>
        </w:rPr>
      </w:pPr>
      <w:r>
        <w:rPr>
          <w:rStyle w:val="161"/>
          <w:rFonts w:hint="eastAsia" w:ascii="宋体" w:hAnsi="宋体"/>
          <w:b/>
          <w:bCs/>
          <w:color w:val="auto"/>
          <w:sz w:val="24"/>
          <w:highlight w:val="none"/>
        </w:rPr>
        <w:t xml:space="preserve">第九条 争议解决 </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1.双方在执行合同中所发生的一切争议，应通过协商解决。如协商不成，可向合同签订地法院起诉，合同签订地在此约定为盐城</w:t>
      </w:r>
      <w:r>
        <w:rPr>
          <w:rStyle w:val="161"/>
          <w:rFonts w:hint="eastAsia" w:ascii="宋体" w:hAnsi="宋体"/>
          <w:color w:val="auto"/>
          <w:sz w:val="24"/>
          <w:highlight w:val="none"/>
          <w:lang w:val="en-US" w:eastAsia="zh-CN"/>
        </w:rPr>
        <w:t>市</w:t>
      </w:r>
      <w:r>
        <w:rPr>
          <w:rStyle w:val="161"/>
          <w:rFonts w:hint="eastAsia" w:ascii="宋体" w:hAnsi="宋体"/>
          <w:color w:val="auto"/>
          <w:sz w:val="24"/>
          <w:highlight w:val="none"/>
        </w:rPr>
        <w:t>。</w:t>
      </w:r>
    </w:p>
    <w:p>
      <w:pPr>
        <w:adjustRightInd w:val="0"/>
        <w:snapToGrid w:val="0"/>
        <w:spacing w:line="360" w:lineRule="auto"/>
        <w:ind w:firstLine="480" w:firstLineChars="200"/>
        <w:textAlignment w:val="baseline"/>
        <w:rPr>
          <w:rStyle w:val="161"/>
          <w:rFonts w:ascii="宋体" w:hAnsi="宋体"/>
          <w:color w:val="auto"/>
          <w:sz w:val="24"/>
          <w:highlight w:val="none"/>
        </w:rPr>
      </w:pPr>
      <w:r>
        <w:rPr>
          <w:rStyle w:val="161"/>
          <w:rFonts w:hint="eastAsia" w:ascii="宋体" w:hAnsi="宋体"/>
          <w:color w:val="auto"/>
          <w:sz w:val="24"/>
          <w:highlight w:val="none"/>
        </w:rPr>
        <w:t>2.在相关诉讼过程中，除双方有争议的部分之外，其他部分仍应当继续履行，乙方拒不履行致使甲方无法正常使用淋浴房的，甲方有权解除合同，乙方按 10000 元/天的标准向甲方支付违约金，且乙方的履约保证金不予退还。</w:t>
      </w:r>
    </w:p>
    <w:p>
      <w:pPr>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第十条 其他约定</w:t>
      </w:r>
    </w:p>
    <w:p>
      <w:pPr>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17.1 合同经双方法定代表人或授权委托代表人签字并加盖单位公章后生效。</w:t>
      </w:r>
    </w:p>
    <w:p>
      <w:pPr>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17.2本合同未尽事宜，遵照《中华人民共和国民法典》有关条文执行。</w:t>
      </w:r>
    </w:p>
    <w:p>
      <w:pPr>
        <w:adjustRightInd w:val="0"/>
        <w:snapToGrid w:val="0"/>
        <w:spacing w:line="360" w:lineRule="auto"/>
        <w:ind w:firstLine="480" w:firstLineChars="200"/>
        <w:textAlignment w:val="baseline"/>
        <w:rPr>
          <w:color w:val="auto"/>
          <w:highlight w:val="none"/>
        </w:rPr>
      </w:pPr>
      <w:r>
        <w:rPr>
          <w:rFonts w:hint="eastAsia" w:ascii="宋体" w:hAnsi="宋体" w:cs="宋体"/>
          <w:color w:val="auto"/>
          <w:sz w:val="24"/>
          <w:highlight w:val="none"/>
        </w:rPr>
        <w:t>17.3 本合同正本一式二份，副本一式六份，具有同等法律效力。</w:t>
      </w:r>
    </w:p>
    <w:p>
      <w:pPr>
        <w:pStyle w:val="40"/>
        <w:widowControl w:val="0"/>
        <w:adjustRightInd w:val="0"/>
        <w:snapToGrid w:val="0"/>
        <w:spacing w:before="0" w:beforeAutospacing="0" w:after="0" w:afterAutospacing="0" w:line="360" w:lineRule="auto"/>
        <w:ind w:firstLine="480" w:firstLineChars="200"/>
        <w:jc w:val="both"/>
        <w:textAlignment w:val="baseline"/>
        <w:rPr>
          <w:color w:val="auto"/>
          <w:highlight w:val="none"/>
        </w:rPr>
      </w:pPr>
      <w:r>
        <w:rPr>
          <w:rFonts w:hint="eastAsia"/>
          <w:color w:val="auto"/>
          <w:kern w:val="2"/>
          <w:highlight w:val="none"/>
        </w:rPr>
        <w:t xml:space="preserve">甲方：                                   乙方： </w:t>
      </w:r>
    </w:p>
    <w:p>
      <w:pPr>
        <w:pStyle w:val="40"/>
        <w:widowControl w:val="0"/>
        <w:adjustRightInd w:val="0"/>
        <w:snapToGrid w:val="0"/>
        <w:spacing w:before="0" w:beforeAutospacing="0" w:after="0" w:afterAutospacing="0" w:line="360" w:lineRule="auto"/>
        <w:ind w:firstLine="480" w:firstLineChars="200"/>
        <w:jc w:val="both"/>
        <w:textAlignment w:val="baseline"/>
        <w:rPr>
          <w:color w:val="auto"/>
          <w:highlight w:val="none"/>
        </w:rPr>
      </w:pPr>
      <w:r>
        <w:rPr>
          <w:rFonts w:hint="eastAsia"/>
          <w:color w:val="auto"/>
          <w:kern w:val="2"/>
          <w:highlight w:val="none"/>
        </w:rPr>
        <w:t xml:space="preserve">地址：                                   地址： </w:t>
      </w:r>
    </w:p>
    <w:p>
      <w:pPr>
        <w:pStyle w:val="40"/>
        <w:widowControl w:val="0"/>
        <w:adjustRightInd w:val="0"/>
        <w:snapToGrid w:val="0"/>
        <w:spacing w:before="0" w:beforeAutospacing="0" w:after="0" w:afterAutospacing="0" w:line="360" w:lineRule="auto"/>
        <w:ind w:firstLine="480" w:firstLineChars="200"/>
        <w:jc w:val="both"/>
        <w:textAlignment w:val="baseline"/>
        <w:rPr>
          <w:color w:val="auto"/>
          <w:highlight w:val="none"/>
        </w:rPr>
      </w:pPr>
      <w:r>
        <w:rPr>
          <w:rFonts w:hint="eastAsia"/>
          <w:color w:val="auto"/>
          <w:kern w:val="2"/>
          <w:highlight w:val="none"/>
        </w:rPr>
        <w:t>法定代表人或授权代表：                   法定代表人或授权代表：</w:t>
      </w:r>
    </w:p>
    <w:p>
      <w:pPr>
        <w:pStyle w:val="40"/>
        <w:widowControl w:val="0"/>
        <w:adjustRightInd w:val="0"/>
        <w:snapToGrid w:val="0"/>
        <w:spacing w:before="0" w:beforeAutospacing="0" w:after="0" w:afterAutospacing="0" w:line="360" w:lineRule="auto"/>
        <w:ind w:firstLine="480" w:firstLineChars="200"/>
        <w:jc w:val="both"/>
        <w:textAlignment w:val="baseline"/>
        <w:rPr>
          <w:color w:val="auto"/>
          <w:highlight w:val="none"/>
        </w:rPr>
      </w:pPr>
      <w:r>
        <w:rPr>
          <w:rFonts w:hint="eastAsia"/>
          <w:color w:val="auto"/>
          <w:kern w:val="2"/>
          <w:highlight w:val="none"/>
        </w:rPr>
        <w:t>采购单位负责人：</w:t>
      </w:r>
    </w:p>
    <w:p>
      <w:pPr>
        <w:pStyle w:val="40"/>
        <w:widowControl w:val="0"/>
        <w:adjustRightInd w:val="0"/>
        <w:snapToGrid w:val="0"/>
        <w:spacing w:before="0" w:beforeAutospacing="0" w:after="0" w:afterAutospacing="0" w:line="360" w:lineRule="auto"/>
        <w:ind w:firstLine="480" w:firstLineChars="200"/>
        <w:jc w:val="both"/>
        <w:textAlignment w:val="baseline"/>
        <w:rPr>
          <w:color w:val="auto"/>
          <w:highlight w:val="none"/>
        </w:rPr>
      </w:pPr>
      <w:r>
        <w:rPr>
          <w:rFonts w:hint="eastAsia"/>
          <w:color w:val="auto"/>
          <w:kern w:val="2"/>
          <w:highlight w:val="none"/>
        </w:rPr>
        <w:t>联系电话：                               联系电话：</w:t>
      </w:r>
    </w:p>
    <w:p>
      <w:pPr>
        <w:adjustRightInd w:val="0"/>
        <w:snapToGrid w:val="0"/>
        <w:spacing w:line="360" w:lineRule="auto"/>
        <w:ind w:firstLine="480" w:firstLineChars="200"/>
        <w:textAlignment w:val="baseline"/>
        <w:rPr>
          <w:rFonts w:hint="eastAsia" w:ascii="宋体" w:hAnsi="宋体" w:cs="宋体"/>
          <w:color w:val="auto"/>
          <w:sz w:val="24"/>
          <w:highlight w:val="none"/>
        </w:rPr>
      </w:pPr>
    </w:p>
    <w:p>
      <w:pPr>
        <w:adjustRightInd w:val="0"/>
        <w:snapToGrid w:val="0"/>
        <w:spacing w:line="360" w:lineRule="auto"/>
        <w:ind w:firstLine="480" w:firstLineChars="200"/>
        <w:textAlignment w:val="baseline"/>
        <w:rPr>
          <w:rFonts w:ascii="宋体" w:hAnsi="宋体" w:cs="宋体"/>
          <w:b/>
          <w:color w:val="auto"/>
          <w:sz w:val="44"/>
          <w:highlight w:val="none"/>
        </w:rPr>
        <w:sectPr>
          <w:headerReference r:id="rId3" w:type="default"/>
          <w:footerReference r:id="rId4" w:type="default"/>
          <w:pgSz w:w="11906" w:h="16838"/>
          <w:pgMar w:top="1418" w:right="1417" w:bottom="1418" w:left="1417" w:header="851" w:footer="907" w:gutter="0"/>
          <w:cols w:space="720" w:num="1"/>
          <w:docGrid w:type="lines" w:linePitch="290" w:charSpace="0"/>
        </w:sectPr>
      </w:pPr>
      <w:r>
        <w:rPr>
          <w:rFonts w:hint="eastAsia" w:ascii="宋体" w:hAnsi="宋体" w:cs="宋体"/>
          <w:color w:val="auto"/>
          <w:sz w:val="24"/>
          <w:highlight w:val="none"/>
        </w:rPr>
        <w:t>签订日期：      年  月  日</w:t>
      </w:r>
    </w:p>
    <w:p>
      <w:pPr>
        <w:pStyle w:val="4"/>
        <w:ind w:firstLine="2429" w:firstLineChars="550"/>
        <w:jc w:val="both"/>
        <w:rPr>
          <w:rFonts w:ascii="宋体" w:hAnsi="宋体" w:eastAsia="宋体" w:cs="宋体"/>
          <w:bCs/>
          <w:color w:val="auto"/>
          <w:szCs w:val="44"/>
          <w:highlight w:val="none"/>
        </w:rPr>
      </w:pPr>
      <w:bookmarkStart w:id="140" w:name="_Toc8252"/>
      <w:r>
        <w:rPr>
          <w:rFonts w:hint="eastAsia" w:ascii="宋体" w:hAnsi="宋体" w:eastAsia="宋体" w:cs="宋体"/>
          <w:bCs/>
          <w:color w:val="auto"/>
          <w:szCs w:val="44"/>
          <w:highlight w:val="none"/>
        </w:rPr>
        <w:t>第四章 项目需求</w:t>
      </w:r>
      <w:bookmarkEnd w:id="140"/>
    </w:p>
    <w:p>
      <w:pPr>
        <w:pStyle w:val="5"/>
        <w:keepNext w:val="0"/>
        <w:keepLines w:val="0"/>
        <w:widowControl/>
        <w:adjustRightInd w:val="0"/>
        <w:snapToGrid w:val="0"/>
        <w:spacing w:before="0" w:after="0" w:line="360" w:lineRule="auto"/>
        <w:textAlignment w:val="baseline"/>
        <w:rPr>
          <w:color w:val="auto"/>
          <w:sz w:val="24"/>
          <w:szCs w:val="24"/>
          <w:highlight w:val="none"/>
        </w:rPr>
      </w:pPr>
      <w:bookmarkStart w:id="141" w:name="_Toc26554097"/>
      <w:bookmarkStart w:id="142" w:name="_Toc23828480"/>
      <w:bookmarkStart w:id="143" w:name="_Toc61149622"/>
      <w:r>
        <w:rPr>
          <w:rFonts w:hint="eastAsia"/>
          <w:color w:val="auto"/>
          <w:sz w:val="24"/>
          <w:szCs w:val="24"/>
          <w:highlight w:val="none"/>
        </w:rPr>
        <w:t>一、项目概况</w:t>
      </w:r>
    </w:p>
    <w:p>
      <w:pPr>
        <w:widowControl/>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该项目位于盐城市解放南路285号盐城工业职业技术学院校内，</w:t>
      </w:r>
      <w:r>
        <w:rPr>
          <w:rFonts w:hint="eastAsia" w:ascii="宋体" w:hAnsi="宋体" w:cs="宋体"/>
          <w:color w:val="auto"/>
          <w:sz w:val="24"/>
          <w:highlight w:val="none"/>
          <w:lang w:val="en-US" w:eastAsia="zh-CN"/>
        </w:rPr>
        <w:t>在校生约7000人，</w:t>
      </w:r>
      <w:r>
        <w:rPr>
          <w:rFonts w:hint="eastAsia" w:ascii="宋体" w:hAnsi="宋体" w:cs="宋体"/>
          <w:color w:val="auto"/>
          <w:sz w:val="24"/>
          <w:highlight w:val="none"/>
        </w:rPr>
        <w:t>现有男生浴室二层（一层面积约199㎡，二层面积约262㎡），女生浴室二层（每层面积约242㎡）。校方拟决定对浴室整体进行升级改造。在洗浴条件和洗浴环境改善上，要为学生打造一个舒适的洗浴环境，在管理与服务模式上，要为学生提供良好的服务态度和优质服务质量。</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bookmarkStart w:id="144" w:name="_Toc9073"/>
      <w:r>
        <w:rPr>
          <w:rFonts w:hint="eastAsia" w:ascii="宋体" w:hAnsi="宋体" w:cs="宋体"/>
          <w:b w:val="0"/>
          <w:color w:val="auto"/>
          <w:sz w:val="24"/>
          <w:szCs w:val="24"/>
          <w:highlight w:val="none"/>
        </w:rPr>
        <w:t>为合理使用能源，节约能耗，提高学生生活质量，切实解决学生的洗浴问题，特在校区学生生活区内新建淋浴房方便师生洗浴，本项目以 BOT 形式组织实施。</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本项目学校只提供项目所需的场地、水源、电源，不作其他任何投资，合作年限 </w:t>
      </w:r>
      <w:r>
        <w:rPr>
          <w:rFonts w:hint="eastAsia" w:ascii="宋体" w:hAnsi="宋体" w:cs="宋体"/>
          <w:bCs/>
          <w:color w:val="auto"/>
          <w:sz w:val="24"/>
          <w:szCs w:val="24"/>
          <w:highlight w:val="none"/>
        </w:rPr>
        <w:t>6年</w:t>
      </w:r>
      <w:r>
        <w:rPr>
          <w:rFonts w:ascii="宋体" w:hAnsi="宋体" w:eastAsia="宋体" w:cs="宋体"/>
          <w:color w:val="auto"/>
          <w:sz w:val="24"/>
          <w:szCs w:val="24"/>
          <w:highlight w:val="none"/>
        </w:rPr>
        <w:t>（3年固定合同，合同期满后经招标人考核合格可续签3年)</w:t>
      </w:r>
      <w:r>
        <w:rPr>
          <w:rFonts w:hint="eastAsia" w:ascii="宋体" w:hAnsi="宋体" w:cs="宋体"/>
          <w:b w:val="0"/>
          <w:color w:val="auto"/>
          <w:sz w:val="24"/>
          <w:szCs w:val="24"/>
          <w:highlight w:val="none"/>
        </w:rPr>
        <w:t>，本项目其他内容由中标人全额投资建设，同时负责经营新建淋浴房合同期内的管理、维护、改造等费用，并依据合同承担风险和享有收益。经营期间，本项目的经营权归中标人所有，经营期满后，本项目的所有设备、设施及附属服务设施的所有权、经营权和收益权全部归招标人所有。各投标企业在投标时请认真考虑。</w:t>
      </w:r>
    </w:p>
    <w:p>
      <w:pPr>
        <w:pStyle w:val="5"/>
        <w:keepNext w:val="0"/>
        <w:keepLines w:val="0"/>
        <w:widowControl/>
        <w:adjustRightInd w:val="0"/>
        <w:snapToGrid w:val="0"/>
        <w:spacing w:before="0" w:after="0" w:line="360" w:lineRule="auto"/>
        <w:ind w:firstLine="480" w:firstLineChars="200"/>
        <w:textAlignment w:val="baseline"/>
        <w:rPr>
          <w:color w:val="auto"/>
          <w:sz w:val="24"/>
          <w:szCs w:val="24"/>
          <w:highlight w:val="none"/>
        </w:rPr>
      </w:pPr>
      <w:r>
        <w:rPr>
          <w:rFonts w:hint="eastAsia" w:ascii="宋体" w:hAnsi="宋体" w:cs="宋体"/>
          <w:b w:val="0"/>
          <w:color w:val="auto"/>
          <w:sz w:val="24"/>
          <w:szCs w:val="24"/>
          <w:highlight w:val="none"/>
        </w:rPr>
        <w:t>项目包括空气源热泵热水系统设备、热水水箱、热水增压泵、热水管网系统、智能水控系统等系统的设计、制作、安装和调试，以及新建淋浴房、门厅装饰装修等。热水系统由多个加热循环子系统及供水循环子系统组成，各子系统独立运行，供水采用变频恒压控制，保证同一管网内的供水压力恒定，提高洗浴舒适度。投标人需结合现场实际情况合理化设计。</w:t>
      </w:r>
    </w:p>
    <w:p>
      <w:pPr>
        <w:pStyle w:val="5"/>
        <w:keepNext w:val="0"/>
        <w:keepLines w:val="0"/>
        <w:widowControl/>
        <w:adjustRightInd w:val="0"/>
        <w:snapToGrid w:val="0"/>
        <w:spacing w:before="0" w:after="0" w:line="360" w:lineRule="auto"/>
        <w:ind w:firstLine="482" w:firstLineChars="200"/>
        <w:textAlignment w:val="baseline"/>
        <w:rPr>
          <w:color w:val="auto"/>
          <w:sz w:val="24"/>
          <w:szCs w:val="24"/>
          <w:highlight w:val="none"/>
        </w:rPr>
      </w:pPr>
      <w:r>
        <w:rPr>
          <w:rFonts w:hint="eastAsia"/>
          <w:color w:val="auto"/>
          <w:sz w:val="24"/>
          <w:szCs w:val="24"/>
          <w:highlight w:val="none"/>
        </w:rPr>
        <w:t>二、</w:t>
      </w:r>
      <w:bookmarkEnd w:id="144"/>
      <w:r>
        <w:rPr>
          <w:rFonts w:hint="eastAsia"/>
          <w:color w:val="auto"/>
          <w:sz w:val="24"/>
          <w:szCs w:val="24"/>
          <w:highlight w:val="none"/>
        </w:rPr>
        <w:t>项目建设总体要求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bookmarkStart w:id="145" w:name="_Toc5245"/>
      <w:r>
        <w:rPr>
          <w:rFonts w:hint="eastAsia" w:ascii="宋体" w:hAnsi="宋体" w:cs="宋体"/>
          <w:b w:val="0"/>
          <w:color w:val="auto"/>
          <w:sz w:val="24"/>
          <w:szCs w:val="24"/>
          <w:highlight w:val="none"/>
        </w:rPr>
        <w:t>该项目实施地点位于盐城工业职业技术学院校内，在洗浴条件和洗浴环境改善上，要为学生打造一个舒适的洗浴环境，在管理与服务模式上，要为学生提供良好的服务态度和优质服务质量。</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1.本项目热水报价不得超过 30元/吨。</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2.本项目合作经营期限为 6 年</w:t>
      </w:r>
      <w:r>
        <w:rPr>
          <w:rFonts w:ascii="宋体" w:hAnsi="宋体" w:eastAsia="宋体" w:cs="宋体"/>
          <w:color w:val="auto"/>
          <w:sz w:val="24"/>
          <w:szCs w:val="24"/>
          <w:highlight w:val="none"/>
        </w:rPr>
        <w:t>（3年固定合同，合同期满后经招标人考核合格可续签3年)</w:t>
      </w:r>
      <w:r>
        <w:rPr>
          <w:rFonts w:hint="eastAsia" w:ascii="宋体" w:hAnsi="宋体" w:cs="宋体"/>
          <w:b w:val="0"/>
          <w:color w:val="auto"/>
          <w:sz w:val="24"/>
          <w:szCs w:val="24"/>
          <w:highlight w:val="none"/>
        </w:rPr>
        <w:t>。</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3.要求浴室在热水供应量上需每天要保证全校师生洗浴。师生热水人均使用量应充分考虑男女生比例以及安全使用预留，空气源热泵系统和水箱的配置规模以按照女生不低于 35 升/日/人、男生不低于 30 升/日/人热水用水量计算（中标企业必须确保供应热水的水量，即使在最极端的用水高峰期也要确保师生的正常洗浴需求）。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4.空气源热泵机组建设的地基必须进行硬化，硬化不少于 15 厘米厚 C30 混凝土（扎钢筋），四周围栏采用高不低于 2 米铸铁围栏，其余构件均采用不锈钢。水箱建设必须充分考虑屋面或地面承压。</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5.保证学生洗浴可根据季节变换调节水温，但水温必须保证在 40-45℃；所有喷淋头同时洗浴时出水量保证不低于 6 升/分钟。</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6.每处淋浴房内喷淋头的配置数量按不低于参考师生数 25：1 的比例进行配置。</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7.学校可提供两个空气源热泵机组及保温水箱安置点，具体位置可踏勘现场。</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8.因机组靠近周边学生公寓，各投标人根据距离制定降震减噪方案，保证满足不干扰学生的正常生活。</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9.本项目的收费系统采用物联网支付方式，学生可通过一卡通校园、微信或支付宝支付，按流量计费，不允许采用事先充值的预付费模式对学生的洗浴进行收费。收费系统的账号和管理密码需提供给学校，学校对账户进行实时监管。水控设备及收费管理系统的建设所产生的所有费用由中标人自行承担。</w:t>
      </w:r>
    </w:p>
    <w:p>
      <w:pPr>
        <w:widowControl/>
        <w:adjustRightInd w:val="0"/>
        <w:snapToGrid w:val="0"/>
        <w:spacing w:line="360" w:lineRule="auto"/>
        <w:ind w:firstLine="480" w:firstLineChars="200"/>
        <w:textAlignment w:val="baseline"/>
        <w:rPr>
          <w:color w:val="auto"/>
          <w:sz w:val="24"/>
          <w:highlight w:val="none"/>
        </w:rPr>
      </w:pPr>
      <w:r>
        <w:rPr>
          <w:rFonts w:hint="eastAsia" w:ascii="宋体" w:hAnsi="宋体" w:cs="宋体"/>
          <w:color w:val="auto"/>
          <w:sz w:val="24"/>
          <w:highlight w:val="none"/>
        </w:rPr>
        <w:t>10.中标人需在学校设立驻校维保服务人员及浴室管理人员（不低于4人），负责日常设备维护、检修、维修工作，保证系统正常运行，对已投入的设备进行定期巡检，要求有巡检记录备校方检查，提供及时优良的服务；驻校维保服务及浴室管理人员必须严格遵守招标人制定的浴室管理规定并服从招标人的日常监督管理，招标人有权根据学生反应情况对中标人进行相应的处罚。注：男、女浴室每天都要开放，开放时间根据校方实际情况另行商定（寒暑假及节假日按学校要求提供洗浴服务）。</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11.中标人应提供符合项目要求的系统水电路改造方案（不得破坏校内现有的水路与电路）、热水系统方案、环保节能方案并明确各类主要设备技术参数。</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12.中标人承担项目投资的所有费用（包括按学校和中标人共同认可的装修方案对浴室进行装修），并负责项目建设的所有设备、设施的供应、安装和调试及项目的全面实施。</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13.项目中投入的各类设备及配件、耗材均必须为全新产品。</w:t>
      </w:r>
    </w:p>
    <w:p>
      <w:pPr>
        <w:pStyle w:val="5"/>
        <w:keepNext w:val="0"/>
        <w:keepLines w:val="0"/>
        <w:widowControl/>
        <w:adjustRightInd w:val="0"/>
        <w:snapToGrid w:val="0"/>
        <w:spacing w:before="0" w:after="0" w:line="360" w:lineRule="auto"/>
        <w:textAlignment w:val="baseline"/>
        <w:rPr>
          <w:color w:val="auto"/>
          <w:sz w:val="24"/>
          <w:szCs w:val="24"/>
          <w:highlight w:val="none"/>
        </w:rPr>
      </w:pPr>
      <w:r>
        <w:rPr>
          <w:rFonts w:hint="eastAsia"/>
          <w:color w:val="auto"/>
          <w:sz w:val="24"/>
          <w:szCs w:val="24"/>
          <w:highlight w:val="none"/>
        </w:rPr>
        <w:t>三、项目装修及要求</w:t>
      </w:r>
      <w:bookmarkEnd w:id="145"/>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（一）总体要求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中标人须对学校公共浴房进行装修，提供装修设计依据、设计说明和设计图纸，明确学校公共浴室所投入设备的名称、种类及数量。装修时须按照学校要求和投标文件确定的方案进行装饰装修，确保装修能够满足各块的功能要求，并且达到防火、消防、环保要求，并不得改变房屋的主体结构，并且要确保在合同期内所投设备设施的正常使用与维护。上述内容所需费用均由中标人承担，投标人须在报价时自行考虑。</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2.装修需要做到布局合理，美观大方且投入设备要达到功能要求和中标人投标文件的承诺。</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3.公共浴室朝门口外及门口大厅内应安装无死角的高清监控（监控须接入到学校统一的监管平台）。</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4.所有设备设施的款式和颜色由甲方指定。</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（二）公共浴室装修及其要求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1.墙砖选用规格 400*800 毫米，地砖选用 800*800 毫米、600*600 毫米同质防滑砖，瓷砖品牌需选用国产知名品牌优质产品。</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2.吊顶材料选用铝合金集成扣板，厚度≥10 毫米。</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3.灯具选用欧普、飞利浦、雷士等同档次国产知名品牌优质产品。</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4.更衣室内部须安装空调，空调采用格力、海尔、美的等同档次品牌；新风系统采用格力、海尔、美的等同档次品牌。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5.浴室淋浴器选用不锈钢淋浴屏花洒。</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6.浴室更衣柜选用 ABS（丙烯腈-丁二烯-苯乙烯塑料）环保工程塑料可以上锁的更衣柜。更衣柜数量要与喷淋头一致，并配置适量的更衣凳和梳妆台。</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7.淋浴位隔断选用防爆钢化玻璃，淋浴位内标配浴位号码、挂钩、置物架、脚蹬、浴帘等，浴位安装门帘，浴位尺寸约为 900 毫米（宽度）x1000 毫米（深度）。</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8.为避免墙面渗水导致外墙发霉或脱离，所有墙面满墙做防水，楼地面需做到双重防水，确保不漏水。</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9.为确保浴室用电安全，每个围合或单体浴室淋浴器等金属物体需采用等电位设置。所有用电设备都必须有漏电保护装置。</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10.安装低噪声排气扇和保暖设备；浴室内照明及排风设备必须选用防水、防雾型设备，电线线路要有安全保护措施。</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11.效果图要求：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浴室装修装饰效果图（彩色），所报效果图必须能体现浴室吊顶、照明、通风、采暖（制冷）、隔断、淋浴器、墙面、地面、更衣柜、梳妆台等多方位装修效果。效果图不少于 4 张（更衣间、淋浴间、梳妆台、淋浴器等），提交纸质效果图的同时须提交同内容的电子档效果图。</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四、 项目施工及其要求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1.中标人应有完整的项目施工方案，提供符合项目要求的施工材料准备方案、施工工期进度方案、施工人员配置方案和施工质量体系保证方案。</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中标人在工程建设施工过程中必须保证施工现场安全，在施工、运输等过程中发生的一切事故由中标人承担，与招标人无关。中标人还必须保证施工现场环境清洁卫生，将拆除及建筑施工垃圾按规范运出校园，所需费用自行承担。</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3.施工过程中，各施工材料进场前必须经过招标人审核，凡与投标文件不合的材料与设备一律不得进场。</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4.工程在全部完工（含清洁卫生、施工设施及人员退场）前必须进行至少三天的调适和试运行。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5.工程在全部完工前，必须对照合同和投标文件进行验收，验收合格方可投入使用。</w:t>
      </w:r>
    </w:p>
    <w:p>
      <w:pPr>
        <w:pStyle w:val="5"/>
        <w:keepNext w:val="0"/>
        <w:keepLines w:val="0"/>
        <w:widowControl/>
        <w:adjustRightInd w:val="0"/>
        <w:snapToGrid w:val="0"/>
        <w:spacing w:before="0" w:after="0" w:line="360" w:lineRule="auto"/>
        <w:textAlignment w:val="baseline"/>
        <w:rPr>
          <w:rFonts w:ascii="宋体" w:hAnsi="宋体" w:cs="宋体"/>
          <w:b w:val="0"/>
          <w:color w:val="auto"/>
          <w:sz w:val="24"/>
          <w:szCs w:val="24"/>
          <w:highlight w:val="none"/>
        </w:rPr>
      </w:pPr>
      <w:r>
        <w:rPr>
          <w:rFonts w:hint="eastAsia"/>
          <w:color w:val="auto"/>
          <w:sz w:val="24"/>
          <w:szCs w:val="24"/>
          <w:highlight w:val="none"/>
        </w:rPr>
        <w:t>四、项目热水系统设备要求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（一）项目设备总体要求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本项目热源设计采用空气源热泵热水系统+废热水余热回收机组组合的热水设备。中标人按照国家相关规范设计安装完成浴室的热水系统的材料设备供应、安装、集成、调试等工作，必须满足学生每天洗浴用水需求，提供浴室洗浴服务；空气源热泵、废热水余热回收机组及水箱摆放地点、位置请投标人自行到浴室现场实地察看合理设计，方案须经招标人审核同意方可实施。</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（二）热水指标要求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1.主机出水水温≥55℃（实测）。</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2.终端出口水温：全年≥40℃（实测）。</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3.水量要求：所有龙头同时打开时，每一个龙头出水量不得低于 6 升/分钟。</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4.每次开始使用时热水温度低于终端出口最低温度要求的时间≤5 秒。</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5.保证在极端恶劣天气条件下空气源热泵系统的制热水量与供热水量能够满足学生使用热水的需求，不得使用电辅助加热。</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（二）空气源热泵设备要求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循环式机组，须选用安全、低碳、环保的优质产品，采用模块化设计建造，采用全循环式加热，由多个加热循环子系统及供水循环子系统组成，各子系统独立运行，供水采用变频恒压控制，保证同一管网内的供水压力恒定≥0.4MP（水压值）。投标提供中国能效标识网所投型号机组能效等级备案查询截图。</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空气源热泵应采用知名优质品牌，主机出水水温≥55℃，机组有冬季先进的化霜技术和防冻设计，具有掉电记忆功能、定时开机功能，具有高压保护、停水停电保护等多重安全保护，同时主机的接地装置、防触电保护、耐电压性等均要符合国家相关规定。</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空气源热泵还须满足以下条件：</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1.压缩机：要求采用行业知名厂家生产的高效压缩机。</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2.能效比：名义工况或标准工况下（干球温度 20℃），COP≥4.0；低温工况（干球温度 7℃），COP≥3.0；低温工况（干球温度-7℃），COP≥2.0。</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3.热泵机组运行噪音低，要求噪音≤65dB(A)。</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4.空气源热泵需采用环保冷媒如 R410A 等。</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5.使用环境温度：-7℃～43℃（摄氏度）。寒假期间设备具备防冻措施，确保机组低温运行。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6.空气源热泵寿命须达 8 年及以上。</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（三）不锈钢保温水箱</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保温水箱材料应符合现行国家标准《生活饮用水输配水设备及防护材料的安全性评价标准》（GB/T17219-1998）规定的要求。其主要技术参数如下：</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1.内胆：内胆采用优质 304 不锈钢材质，底板厚度不小于 2.5 ㎜，侧下板厚度不小于 2.0 ㎜，侧上板厚度不小于 1.5 ㎜，顶板厚度不小于 1.0 ㎜。</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2.外壳为不小于 0.5 ㎜厚的优质 304 不锈钢板，保温层采用聚氨酯整体发泡保温。</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3.水箱需配水位计，水位控制阀，水温控制器等。</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4.水箱连接用的法兰及丝接口均采用不锈钢材料。</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5.排污口：设于方便操作的底部，安装排空阀门。</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6.水箱底座：采用混凝土基础，地面基础平整。</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（四）水泵</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1.水泵的型号、功率、扬程、流量等，由投标人根据用水量自行选用，但须满足产品性能指标。</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 选用低噪音不锈钢水泵。水泵运行时不得有异常振动和声响。</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3.水泵轴和叶轮采用不锈钢材质，防护等级 IP55，绝缘等级 F 级。</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4.水泵的两端均需要安装不锈钢或橡胶软接。</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5.水泵品牌：威乐、赛莱默、格兰富、南方等，也可使用不低于参考品牌档次的其他品牌。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（五）管道、阀门及热水管保温防腐</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1.管材：热水管道采用 PPR（复合保温）管，内管为 PPR（共聚聚丙烯）管，外管为 PVC（聚氯乙烯）管，中间层为聚氨酯保温层，室内分支管道采用 PPR（共聚聚丙烯）管，室外冷水管采用 PPR（复合保温）管。水管采用中财、公元、伟星、联塑等同档次品牌。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2.热水表前端应有过滤系统，可以除去管网中水垢、泥沙的装置。</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3.阀门：电动阀、过滤阀、单向阀等特殊功能阀门采用优质铜质阀门，其它采用热镀锌阀门。热水系统中管径≤DN50 为铜质闸阀，＞DN50 为蝶阀。</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4.管道保温防腐：使用 PRC 复合管或 PPR 管阻燃橡塑保温板（管）保温，厚度≥30mm，外包 0.5mm 铝板保护层。</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（六）控制元器件</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机组及水泵控制箱选用正规厂家生产，箱内主要元器件采用品牌：施耐德、ABB、西门子或同等级及质量的其它品牌。</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（七）系统电线电缆</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机组、水泵电源线、信号线等采用“江南”、“远东”、“上上”“东强”或同等档次品牌的国标电缆。</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（八）控制系统</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1.机组采用高科技非接触式水位控制系统，精确满足学校用水量要求，水位设置通过可视控制器调节显示，要与主机电脑保持联动控制；</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2.并联后的机组可以统一进行控制，机组控制系统具有自动/手动控制功能，且机组之间可以实现互为备用、跨机联动；</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3.机组控制器：线控，只需通过线控器就可设定出水温度、补水量、查询机组运行参数，显示水位高度；</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4.机组具有失电记忆、故障报警、定时开机功能；</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5.噪音要求与主机额定输入功率相对应的参考噪音指标≤65dB（分贝）。</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（九）热水计量水控终端及系统</w:t>
      </w:r>
    </w:p>
    <w:p>
      <w:pPr>
        <w:pStyle w:val="5"/>
        <w:keepNext w:val="0"/>
        <w:keepLines w:val="0"/>
        <w:widowControl/>
        <w:adjustRightInd w:val="0"/>
        <w:snapToGrid w:val="0"/>
        <w:spacing w:before="0" w:after="0" w:line="360" w:lineRule="auto"/>
        <w:ind w:firstLine="480" w:firstLineChars="200"/>
        <w:textAlignment w:val="baseline"/>
        <w:rPr>
          <w:rFonts w:ascii="宋体" w:hAnsi="宋体" w:cs="宋体"/>
          <w:b w:val="0"/>
          <w:color w:val="auto"/>
          <w:sz w:val="24"/>
          <w:szCs w:val="24"/>
          <w:highlight w:val="none"/>
        </w:rPr>
      </w:pPr>
      <w:r>
        <w:rPr>
          <w:rFonts w:hint="eastAsia" w:ascii="宋体" w:hAnsi="宋体" w:cs="宋体"/>
          <w:b w:val="0"/>
          <w:color w:val="auto"/>
          <w:sz w:val="24"/>
          <w:szCs w:val="24"/>
          <w:highlight w:val="none"/>
        </w:rPr>
        <w:t>学生通过 APP（手机软件）可以实现开户、消费查询、故障报修功能。学校能实时监控、查看、采集洗浴消费数据。水控机必须满足计量准确、消费透明、仪表仪器耐用等要求。中标人承担与学校财务管理部门对接所产生的一切费用。</w:t>
      </w:r>
    </w:p>
    <w:p>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五、其他要求</w:t>
      </w:r>
    </w:p>
    <w:p>
      <w:pPr>
        <w:spacing w:line="360" w:lineRule="auto"/>
        <w:ind w:firstLine="480" w:firstLineChars="200"/>
        <w:rPr>
          <w:rFonts w:hint="eastAsia" w:ascii="宋体" w:hAnsi="宋体" w:eastAsia="宋体" w:cs="宋体"/>
          <w:b w:val="0"/>
          <w:color w:val="auto"/>
          <w:kern w:val="2"/>
          <w:sz w:val="24"/>
          <w:szCs w:val="24"/>
          <w:highlight w:val="none"/>
          <w:lang w:val="en-US" w:eastAsia="zh-Hans" w:bidi="ar-SA"/>
        </w:rPr>
      </w:pPr>
      <w:r>
        <w:rPr>
          <w:rFonts w:hint="eastAsia" w:ascii="宋体" w:hAnsi="宋体" w:eastAsia="宋体" w:cs="宋体"/>
          <w:b w:val="0"/>
          <w:color w:val="auto"/>
          <w:kern w:val="2"/>
          <w:sz w:val="24"/>
          <w:szCs w:val="24"/>
          <w:highlight w:val="none"/>
          <w:lang w:val="en-US" w:eastAsia="zh-CN" w:bidi="ar-SA"/>
        </w:rPr>
        <w:t>1、本项目最终竣工验收前，必须经具有相关资质的第三方评估公司（此项评估产生的费用</w:t>
      </w:r>
      <w:r>
        <w:rPr>
          <w:rFonts w:hint="eastAsia" w:ascii="宋体" w:hAnsi="宋体" w:cs="宋体"/>
          <w:b w:val="0"/>
          <w:color w:val="auto"/>
          <w:kern w:val="2"/>
          <w:sz w:val="24"/>
          <w:szCs w:val="24"/>
          <w:highlight w:val="none"/>
          <w:lang w:val="en-US" w:eastAsia="zh-CN" w:bidi="ar-SA"/>
        </w:rPr>
        <w:t>由</w:t>
      </w:r>
      <w:r>
        <w:rPr>
          <w:rFonts w:hint="eastAsia" w:ascii="宋体" w:hAnsi="宋体" w:eastAsia="宋体" w:cs="宋体"/>
          <w:b w:val="0"/>
          <w:color w:val="auto"/>
          <w:kern w:val="2"/>
          <w:sz w:val="24"/>
          <w:szCs w:val="24"/>
          <w:highlight w:val="none"/>
          <w:lang w:val="en-US" w:eastAsia="zh-CN" w:bidi="ar-SA"/>
        </w:rPr>
        <w:t>中标人支付）评估本项目工程造价，如第三方评估公司出具的评估结果达不到中标单位承诺的工程造价，则差额由中标单位在后续经营中</w:t>
      </w:r>
      <w:r>
        <w:rPr>
          <w:rFonts w:hint="eastAsia" w:ascii="宋体" w:hAnsi="宋体" w:cs="宋体"/>
          <w:b w:val="0"/>
          <w:color w:val="auto"/>
          <w:kern w:val="2"/>
          <w:sz w:val="24"/>
          <w:szCs w:val="24"/>
          <w:highlight w:val="none"/>
          <w:lang w:val="en-US" w:eastAsia="zh-CN" w:bidi="ar-SA"/>
        </w:rPr>
        <w:t>补足或增加对学生优惠</w:t>
      </w:r>
      <w:r>
        <w:rPr>
          <w:rFonts w:hint="eastAsia" w:ascii="宋体" w:hAnsi="宋体" w:eastAsia="宋体" w:cs="宋体"/>
          <w:b w:val="0"/>
          <w:color w:val="auto"/>
          <w:kern w:val="2"/>
          <w:sz w:val="24"/>
          <w:szCs w:val="24"/>
          <w:highlight w:val="none"/>
          <w:lang w:val="en-US" w:eastAsia="zh-CN" w:bidi="ar-SA"/>
        </w:rPr>
        <w:t>或缩短经营年限等措施，最终由甲方</w:t>
      </w:r>
      <w:r>
        <w:rPr>
          <w:rFonts w:hint="eastAsia" w:ascii="宋体" w:hAnsi="宋体" w:cs="宋体"/>
          <w:b w:val="0"/>
          <w:color w:val="auto"/>
          <w:kern w:val="2"/>
          <w:sz w:val="24"/>
          <w:szCs w:val="24"/>
          <w:highlight w:val="none"/>
          <w:lang w:val="en-US" w:eastAsia="zh-CN" w:bidi="ar-SA"/>
        </w:rPr>
        <w:t>确定</w:t>
      </w:r>
      <w:r>
        <w:rPr>
          <w:rFonts w:hint="eastAsia" w:ascii="宋体" w:hAnsi="宋体" w:eastAsia="宋体" w:cs="宋体"/>
          <w:b w:val="0"/>
          <w:color w:val="auto"/>
          <w:kern w:val="2"/>
          <w:sz w:val="24"/>
          <w:szCs w:val="24"/>
          <w:highlight w:val="none"/>
          <w:lang w:val="en-US" w:eastAsia="zh-CN" w:bidi="ar-SA"/>
        </w:rPr>
        <w:t>，中标单位必须无条件接受，否则甲方</w:t>
      </w:r>
      <w:r>
        <w:rPr>
          <w:rFonts w:hint="eastAsia" w:ascii="宋体" w:hAnsi="宋体" w:cs="宋体"/>
          <w:b w:val="0"/>
          <w:color w:val="auto"/>
          <w:kern w:val="2"/>
          <w:sz w:val="24"/>
          <w:szCs w:val="24"/>
          <w:highlight w:val="none"/>
          <w:lang w:val="en-US" w:eastAsia="zh-CN" w:bidi="ar-SA"/>
        </w:rPr>
        <w:t>有权</w:t>
      </w:r>
      <w:r>
        <w:rPr>
          <w:rFonts w:hint="eastAsia" w:ascii="宋体" w:hAnsi="宋体" w:eastAsia="宋体" w:cs="宋体"/>
          <w:b w:val="0"/>
          <w:color w:val="auto"/>
          <w:kern w:val="2"/>
          <w:sz w:val="24"/>
          <w:szCs w:val="24"/>
          <w:highlight w:val="none"/>
          <w:lang w:val="en-US" w:eastAsia="zh-CN" w:bidi="ar-SA"/>
        </w:rPr>
        <w:t>终止合同，且中标人投资的项目，甲方无需补偿费用。</w:t>
      </w:r>
    </w:p>
    <w:p>
      <w:pPr>
        <w:jc w:val="cente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jc w:val="center"/>
        <w:outlineLvl w:val="0"/>
        <w:rPr>
          <w:rFonts w:ascii="宋体" w:hAnsi="宋体" w:cs="宋体"/>
          <w:b/>
          <w:bCs/>
          <w:color w:val="auto"/>
          <w:sz w:val="44"/>
          <w:szCs w:val="44"/>
          <w:highlight w:val="none"/>
        </w:rPr>
      </w:pPr>
      <w:bookmarkStart w:id="146" w:name="_Toc16618"/>
      <w:r>
        <w:rPr>
          <w:rFonts w:hint="eastAsia" w:ascii="宋体" w:hAnsi="宋体" w:cs="宋体"/>
          <w:b/>
          <w:bCs/>
          <w:color w:val="auto"/>
          <w:sz w:val="44"/>
          <w:szCs w:val="44"/>
          <w:highlight w:val="none"/>
        </w:rPr>
        <w:t>第五章 定标原则和评审标准</w:t>
      </w:r>
      <w:bookmarkEnd w:id="146"/>
    </w:p>
    <w:p>
      <w:pPr>
        <w:pStyle w:val="105"/>
        <w:spacing w:before="0" w:after="0" w:line="480" w:lineRule="exact"/>
        <w:ind w:firstLine="0"/>
        <w:rPr>
          <w:rFonts w:ascii="宋体" w:hAnsi="宋体" w:eastAsia="宋体" w:cs="宋体"/>
          <w:b/>
          <w:color w:val="auto"/>
          <w:highlight w:val="none"/>
        </w:rPr>
      </w:pPr>
      <w:r>
        <w:rPr>
          <w:rFonts w:hint="eastAsia" w:ascii="宋体" w:hAnsi="宋体" w:eastAsia="宋体" w:cs="宋体"/>
          <w:b/>
          <w:color w:val="auto"/>
          <w:highlight w:val="none"/>
        </w:rPr>
        <w:t>一、磋商小组</w:t>
      </w:r>
    </w:p>
    <w:p>
      <w:pPr>
        <w:pStyle w:val="105"/>
        <w:spacing w:before="0" w:after="0" w:line="480" w:lineRule="exact"/>
        <w:ind w:firstLineChars="200"/>
        <w:rPr>
          <w:rFonts w:ascii="宋体" w:hAnsi="宋体" w:eastAsia="宋体" w:cs="宋体"/>
          <w:bCs/>
          <w:color w:val="auto"/>
          <w:highlight w:val="none"/>
        </w:rPr>
      </w:pPr>
      <w:r>
        <w:rPr>
          <w:rFonts w:hint="eastAsia" w:ascii="宋体" w:hAnsi="宋体" w:eastAsia="宋体" w:cs="宋体"/>
          <w:bCs/>
          <w:color w:val="auto"/>
          <w:highlight w:val="none"/>
        </w:rPr>
        <w:t>本采购项目磋商小组的评委由相关的专家、采购人代表等有关人员构成。</w:t>
      </w:r>
    </w:p>
    <w:p>
      <w:pPr>
        <w:pStyle w:val="105"/>
        <w:spacing w:before="0" w:after="0" w:line="480" w:lineRule="exact"/>
        <w:ind w:firstLine="0"/>
        <w:rPr>
          <w:rFonts w:ascii="宋体" w:hAnsi="宋体" w:eastAsia="宋体" w:cs="宋体"/>
          <w:b/>
          <w:color w:val="auto"/>
          <w:highlight w:val="none"/>
        </w:rPr>
      </w:pPr>
      <w:r>
        <w:rPr>
          <w:rFonts w:hint="eastAsia" w:ascii="宋体" w:hAnsi="宋体" w:eastAsia="宋体" w:cs="宋体"/>
          <w:b/>
          <w:color w:val="auto"/>
          <w:highlight w:val="none"/>
        </w:rPr>
        <w:t>二、定标原则</w:t>
      </w:r>
    </w:p>
    <w:p>
      <w:pPr>
        <w:pStyle w:val="105"/>
        <w:spacing w:before="0" w:after="0" w:line="480" w:lineRule="exact"/>
        <w:ind w:firstLineChars="200"/>
        <w:rPr>
          <w:rFonts w:ascii="宋体" w:hAnsi="宋体" w:eastAsia="宋体" w:cs="宋体"/>
          <w:color w:val="auto"/>
          <w:highlight w:val="none"/>
        </w:rPr>
      </w:pPr>
      <w:r>
        <w:rPr>
          <w:rFonts w:hint="eastAsia" w:ascii="宋体" w:hAnsi="宋体" w:eastAsia="宋体" w:cs="宋体"/>
          <w:color w:val="auto"/>
          <w:highlight w:val="none"/>
        </w:rPr>
        <w:t>经磋商确定最终采购需求和提交最后报价的供应商后，由磋商小组采用综合评分法对提交最后报价的供应商的响应文件和最后报价进行综合评分。</w:t>
      </w:r>
    </w:p>
    <w:p>
      <w:pPr>
        <w:tabs>
          <w:tab w:val="left" w:pos="900"/>
        </w:tabs>
        <w:spacing w:line="480" w:lineRule="exact"/>
        <w:ind w:firstLine="477" w:firstLineChars="199"/>
        <w:rPr>
          <w:rFonts w:hint="eastAsia" w:ascii="宋体" w:hAnsi="宋体" w:cs="宋体"/>
          <w:color w:val="auto"/>
          <w:kern w:val="0"/>
          <w:sz w:val="24"/>
          <w:highlight w:val="none"/>
        </w:rPr>
      </w:pPr>
      <w:r>
        <w:rPr>
          <w:rFonts w:hint="eastAsia" w:ascii="宋体" w:hAnsi="宋体" w:cs="宋体"/>
          <w:color w:val="auto"/>
          <w:sz w:val="24"/>
          <w:highlight w:val="none"/>
        </w:rPr>
        <w:t>综合评分法，是指响应文件满足磋商文件全部实质性要求，磋商小组按评审因素的量化指标评审，根据总得分高低排列各投标人次序（评审得分相同的，按照最后报价优惠程度由高到低的顺序推荐。评审得分且最后报价相同的，按照技术指标优劣顺序推荐），</w:t>
      </w:r>
      <w:r>
        <w:rPr>
          <w:rFonts w:hint="eastAsia" w:ascii="宋体" w:hAnsi="宋体" w:cs="宋体"/>
          <w:color w:val="auto"/>
          <w:sz w:val="24"/>
          <w:highlight w:val="none"/>
          <w:lang w:val="en-US" w:eastAsia="zh-CN"/>
        </w:rPr>
        <w:t>推荐不少于三名供应商为中标候选人</w:t>
      </w:r>
      <w:r>
        <w:rPr>
          <w:rFonts w:hint="eastAsia" w:ascii="宋体" w:hAnsi="宋体" w:cs="宋体"/>
          <w:color w:val="auto"/>
          <w:kern w:val="0"/>
          <w:sz w:val="24"/>
          <w:highlight w:val="none"/>
        </w:rPr>
        <w:t>。</w:t>
      </w:r>
    </w:p>
    <w:p>
      <w:pPr>
        <w:tabs>
          <w:tab w:val="left" w:pos="900"/>
        </w:tabs>
        <w:spacing w:line="480" w:lineRule="exact"/>
        <w:ind w:firstLine="477" w:firstLineChars="199"/>
        <w:rPr>
          <w:rFonts w:hint="eastAsia" w:ascii="宋体" w:hAnsi="宋体" w:eastAsia="宋体" w:cs="宋体"/>
          <w:b/>
          <w:bCs/>
          <w:color w:val="auto"/>
          <w:highlight w:val="none"/>
        </w:rPr>
      </w:pP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根据评标委员会提供的书面评标报告，依法确定排名第一的为中标人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rPr>
        <w:t>可以确定排名第三的中标候选人为中标人，也可重新招标。</w:t>
      </w:r>
    </w:p>
    <w:p>
      <w:pPr>
        <w:pStyle w:val="105"/>
        <w:spacing w:before="0" w:after="0" w:line="480" w:lineRule="exact"/>
        <w:ind w:firstLine="0"/>
        <w:rPr>
          <w:rFonts w:ascii="宋体" w:hAnsi="宋体" w:eastAsia="宋体" w:cs="宋体"/>
          <w:b/>
          <w:bCs/>
          <w:color w:val="auto"/>
          <w:highlight w:val="none"/>
        </w:rPr>
      </w:pPr>
      <w:r>
        <w:rPr>
          <w:rFonts w:hint="eastAsia" w:ascii="宋体" w:hAnsi="宋体" w:eastAsia="宋体" w:cs="宋体"/>
          <w:b/>
          <w:bCs/>
          <w:color w:val="auto"/>
          <w:highlight w:val="none"/>
        </w:rPr>
        <w:t>三、政府采购政策功能落实</w:t>
      </w:r>
    </w:p>
    <w:p>
      <w:pPr>
        <w:tabs>
          <w:tab w:val="left" w:pos="900"/>
        </w:tabs>
        <w:spacing w:line="480" w:lineRule="exact"/>
        <w:ind w:firstLine="477" w:firstLineChars="19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1、因本项目为专门面向中小企业采购的项目，不再执行价格评审优惠的扶持政策，投标人必须属于中小微企业，提供中小微企业声明函，否则作为无效标处理。</w:t>
      </w:r>
    </w:p>
    <w:p>
      <w:pPr>
        <w:tabs>
          <w:tab w:val="left" w:pos="900"/>
        </w:tabs>
        <w:spacing w:line="480" w:lineRule="exact"/>
        <w:ind w:firstLine="477" w:firstLineChars="19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采购标的的所属行业为其他未列明行业</w:t>
      </w:r>
      <w:r>
        <w:rPr>
          <w:rFonts w:hint="eastAsia" w:ascii="宋体" w:hAnsi="宋体" w:eastAsia="宋体" w:cs="宋体"/>
          <w:color w:val="auto"/>
          <w:kern w:val="0"/>
          <w:sz w:val="24"/>
          <w:highlight w:val="none"/>
          <w:lang w:val="en-US" w:eastAsia="zh-CN"/>
        </w:rPr>
        <w:t xml:space="preserve"> ，根据</w:t>
      </w:r>
      <w:r>
        <w:rPr>
          <w:rFonts w:hint="eastAsia" w:ascii="宋体" w:hAnsi="宋体"/>
          <w:bCs/>
          <w:color w:val="auto"/>
          <w:sz w:val="24"/>
          <w:szCs w:val="24"/>
          <w:highlight w:val="none"/>
        </w:rPr>
        <w:t>《关于印发中小企业划型标准规定的通知》（工信部联企业[2011]300号）文件规定</w:t>
      </w:r>
      <w:r>
        <w:rPr>
          <w:rFonts w:hint="eastAsia" w:ascii="宋体" w:hAnsi="宋体"/>
          <w:bCs/>
          <w:color w:val="auto"/>
          <w:sz w:val="24"/>
          <w:szCs w:val="24"/>
          <w:highlight w:val="none"/>
          <w:lang w:val="en-US" w:eastAsia="zh-CN"/>
        </w:rPr>
        <w:t>及国家统计局关于印发《统计上大中小微型企业划分办法（2017）》</w:t>
      </w:r>
      <w:r>
        <w:rPr>
          <w:rFonts w:hint="eastAsia" w:ascii="宋体" w:hAnsi="宋体" w:eastAsia="宋体" w:cs="宋体"/>
          <w:color w:val="auto"/>
          <w:kern w:val="0"/>
          <w:sz w:val="24"/>
          <w:highlight w:val="none"/>
          <w:lang w:val="en-US" w:eastAsia="zh-CN"/>
        </w:rPr>
        <w:t>规定的划分标准填写；</w:t>
      </w:r>
    </w:p>
    <w:p>
      <w:pPr>
        <w:pStyle w:val="105"/>
        <w:spacing w:before="0" w:after="0" w:line="480" w:lineRule="exact"/>
        <w:ind w:firstLine="0"/>
        <w:rPr>
          <w:rFonts w:hint="eastAsia" w:ascii="宋体" w:hAnsi="宋体" w:eastAsia="宋体" w:cs="宋体"/>
          <w:b/>
          <w:bCs/>
          <w:color w:val="auto"/>
          <w:highlight w:val="none"/>
        </w:rPr>
      </w:pPr>
    </w:p>
    <w:p>
      <w:pPr>
        <w:pStyle w:val="105"/>
        <w:spacing w:before="0" w:after="0" w:line="480" w:lineRule="exact"/>
        <w:ind w:firstLine="0"/>
        <w:rPr>
          <w:rFonts w:hint="eastAsia" w:ascii="宋体" w:hAnsi="宋体" w:eastAsia="宋体" w:cs="宋体"/>
          <w:b/>
          <w:bCs/>
          <w:color w:val="auto"/>
          <w:highlight w:val="none"/>
        </w:rPr>
      </w:pPr>
    </w:p>
    <w:p>
      <w:pPr>
        <w:pStyle w:val="105"/>
        <w:spacing w:before="0" w:after="0" w:line="480" w:lineRule="exact"/>
        <w:ind w:firstLine="0"/>
        <w:rPr>
          <w:rFonts w:hint="eastAsia" w:ascii="宋体" w:hAnsi="宋体" w:eastAsia="宋体" w:cs="宋体"/>
          <w:b/>
          <w:bCs/>
          <w:color w:val="auto"/>
          <w:highlight w:val="none"/>
        </w:rPr>
      </w:pPr>
    </w:p>
    <w:p>
      <w:pPr>
        <w:pStyle w:val="105"/>
        <w:spacing w:before="0" w:after="0" w:line="480" w:lineRule="exact"/>
        <w:ind w:firstLine="0"/>
        <w:rPr>
          <w:rFonts w:hint="eastAsia" w:ascii="宋体" w:hAnsi="宋体" w:eastAsia="宋体" w:cs="宋体"/>
          <w:b/>
          <w:bCs/>
          <w:color w:val="auto"/>
          <w:highlight w:val="none"/>
        </w:rPr>
      </w:pPr>
    </w:p>
    <w:p>
      <w:pPr>
        <w:pStyle w:val="105"/>
        <w:spacing w:before="0" w:after="0" w:line="480" w:lineRule="exact"/>
        <w:ind w:firstLine="0"/>
        <w:rPr>
          <w:rFonts w:hint="eastAsia" w:ascii="宋体" w:hAnsi="宋体" w:eastAsia="宋体" w:cs="宋体"/>
          <w:b/>
          <w:bCs/>
          <w:color w:val="auto"/>
          <w:highlight w:val="none"/>
        </w:rPr>
      </w:pPr>
    </w:p>
    <w:p>
      <w:pPr>
        <w:pStyle w:val="105"/>
        <w:spacing w:before="0" w:after="0" w:line="480" w:lineRule="exact"/>
        <w:ind w:firstLine="0"/>
        <w:rPr>
          <w:rFonts w:ascii="宋体" w:hAnsi="宋体" w:eastAsia="宋体" w:cs="宋体"/>
          <w:b/>
          <w:bCs/>
          <w:color w:val="auto"/>
          <w:highlight w:val="none"/>
        </w:rPr>
      </w:pPr>
      <w:r>
        <w:rPr>
          <w:rFonts w:hint="eastAsia" w:ascii="宋体" w:hAnsi="宋体" w:eastAsia="宋体" w:cs="宋体"/>
          <w:b/>
          <w:bCs/>
          <w:color w:val="auto"/>
          <w:highlight w:val="none"/>
        </w:rPr>
        <w:t>四、评标标准</w:t>
      </w:r>
    </w:p>
    <w:p>
      <w:pPr>
        <w:pStyle w:val="105"/>
        <w:spacing w:before="0" w:after="0" w:line="480" w:lineRule="exact"/>
        <w:ind w:firstLine="0"/>
        <w:rPr>
          <w:rFonts w:ascii="宋体" w:hAnsi="宋体" w:eastAsia="宋体" w:cs="宋体"/>
          <w:color w:val="auto"/>
          <w:highlight w:val="none"/>
        </w:rPr>
      </w:pPr>
      <w:r>
        <w:rPr>
          <w:rFonts w:hint="eastAsia" w:ascii="宋体" w:hAnsi="宋体" w:eastAsia="宋体" w:cs="宋体"/>
          <w:color w:val="auto"/>
          <w:highlight w:val="none"/>
        </w:rPr>
        <w:t>本项目评分总分值为100分。</w:t>
      </w:r>
    </w:p>
    <w:tbl>
      <w:tblPr>
        <w:tblStyle w:val="46"/>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56"/>
        <w:gridCol w:w="718"/>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pPr>
              <w:pStyle w:val="23"/>
              <w:jc w:val="center"/>
              <w:rPr>
                <w:rFonts w:hAnsi="宋体" w:cs="宋体"/>
                <w:color w:val="auto"/>
                <w:szCs w:val="21"/>
                <w:highlight w:val="none"/>
              </w:rPr>
            </w:pPr>
            <w:r>
              <w:rPr>
                <w:rFonts w:hint="eastAsia" w:hAnsi="宋体" w:cs="宋体"/>
                <w:color w:val="auto"/>
                <w:szCs w:val="21"/>
                <w:highlight w:val="none"/>
              </w:rPr>
              <w:t>项目</w:t>
            </w: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评标分项</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rPr>
              <w:t>分值</w:t>
            </w:r>
          </w:p>
        </w:tc>
        <w:tc>
          <w:tcPr>
            <w:tcW w:w="6188" w:type="dxa"/>
            <w:vAlign w:val="center"/>
          </w:tcPr>
          <w:p>
            <w:pPr>
              <w:pStyle w:val="23"/>
              <w:jc w:val="center"/>
              <w:rPr>
                <w:rFonts w:hAnsi="宋体" w:cs="宋体"/>
                <w:color w:val="auto"/>
                <w:szCs w:val="21"/>
                <w:highlight w:val="none"/>
              </w:rPr>
            </w:pPr>
            <w:r>
              <w:rPr>
                <w:rFonts w:hint="eastAsia" w:hAnsi="宋体" w:cs="宋体"/>
                <w:color w:val="auto"/>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55" w:type="dxa"/>
            <w:vMerge w:val="restart"/>
            <w:vAlign w:val="center"/>
          </w:tcPr>
          <w:p>
            <w:pPr>
              <w:pStyle w:val="23"/>
              <w:jc w:val="center"/>
              <w:rPr>
                <w:rFonts w:hint="eastAsia" w:hAnsi="宋体" w:cs="宋体"/>
                <w:color w:val="auto"/>
                <w:szCs w:val="21"/>
                <w:highlight w:val="none"/>
              </w:rPr>
            </w:pPr>
            <w:r>
              <w:rPr>
                <w:rFonts w:hint="eastAsia" w:hAnsi="宋体" w:cs="宋体"/>
                <w:color w:val="auto"/>
                <w:szCs w:val="21"/>
                <w:highlight w:val="none"/>
              </w:rPr>
              <w:t>商务</w:t>
            </w:r>
          </w:p>
          <w:p>
            <w:pPr>
              <w:pStyle w:val="23"/>
              <w:jc w:val="center"/>
              <w:rPr>
                <w:rFonts w:hint="eastAsia" w:hAnsi="宋体" w:cs="宋体"/>
                <w:color w:val="auto"/>
                <w:szCs w:val="21"/>
                <w:highlight w:val="none"/>
              </w:rPr>
            </w:pPr>
            <w:r>
              <w:rPr>
                <w:rFonts w:hint="eastAsia" w:hAnsi="宋体" w:cs="宋体"/>
                <w:color w:val="auto"/>
                <w:szCs w:val="21"/>
                <w:highlight w:val="none"/>
              </w:rPr>
              <w:t>部分</w:t>
            </w:r>
          </w:p>
          <w:p>
            <w:pPr>
              <w:pStyle w:val="23"/>
              <w:jc w:val="center"/>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w:t>
            </w:r>
            <w:r>
              <w:rPr>
                <w:rFonts w:hint="eastAsia" w:hAnsi="宋体" w:cs="宋体"/>
                <w:color w:val="auto"/>
                <w:szCs w:val="21"/>
                <w:highlight w:val="none"/>
              </w:rPr>
              <w:t>0分）</w:t>
            </w: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投标人综合实力</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6188" w:type="dxa"/>
          </w:tcPr>
          <w:p>
            <w:pPr>
              <w:pStyle w:val="23"/>
              <w:rPr>
                <w:rFonts w:hAnsi="宋体" w:cs="宋体"/>
                <w:color w:val="auto"/>
                <w:szCs w:val="21"/>
                <w:highlight w:val="none"/>
              </w:rPr>
            </w:pPr>
            <w:r>
              <w:rPr>
                <w:rFonts w:hint="eastAsia" w:hAnsi="宋体" w:cs="宋体"/>
                <w:color w:val="auto"/>
                <w:szCs w:val="21"/>
                <w:highlight w:val="none"/>
              </w:rPr>
              <w:t>1.投标人为高新技术企业，得</w:t>
            </w:r>
            <w:r>
              <w:rPr>
                <w:rFonts w:hint="eastAsia" w:hAnsi="宋体" w:cs="宋体"/>
                <w:color w:val="auto"/>
                <w:szCs w:val="21"/>
                <w:highlight w:val="none"/>
                <w:lang w:val="en-US" w:eastAsia="zh-CN"/>
              </w:rPr>
              <w:t>1</w:t>
            </w:r>
            <w:r>
              <w:rPr>
                <w:rFonts w:hint="eastAsia" w:hAnsi="宋体" w:cs="宋体"/>
                <w:color w:val="auto"/>
                <w:szCs w:val="21"/>
                <w:highlight w:val="none"/>
              </w:rPr>
              <w:t>分；</w:t>
            </w:r>
          </w:p>
          <w:p>
            <w:pPr>
              <w:pStyle w:val="23"/>
              <w:rPr>
                <w:rFonts w:hint="eastAsia" w:hAnsi="宋体" w:cs="宋体"/>
                <w:color w:val="auto"/>
                <w:szCs w:val="21"/>
                <w:highlight w:val="none"/>
                <w:lang w:eastAsia="zh-CN"/>
              </w:rPr>
            </w:pPr>
            <w:r>
              <w:rPr>
                <w:rFonts w:hint="eastAsia" w:hAnsi="宋体" w:cs="宋体"/>
                <w:color w:val="auto"/>
                <w:szCs w:val="21"/>
                <w:highlight w:val="none"/>
              </w:rPr>
              <w:t>2.投标人通过ISO9001质量管理体系认证和ISO14001环境管理体系认证和ISO18001职业健康体系认证的</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每项</w:t>
            </w:r>
            <w:r>
              <w:rPr>
                <w:rFonts w:hint="eastAsia" w:hAnsi="宋体" w:cs="宋体"/>
                <w:color w:val="auto"/>
                <w:szCs w:val="21"/>
                <w:highlight w:val="none"/>
              </w:rPr>
              <w:t>得</w:t>
            </w:r>
            <w:r>
              <w:rPr>
                <w:rFonts w:hint="eastAsia" w:hAnsi="宋体" w:cs="宋体"/>
                <w:color w:val="auto"/>
                <w:szCs w:val="21"/>
                <w:highlight w:val="none"/>
                <w:lang w:val="en-US" w:eastAsia="zh-CN"/>
              </w:rPr>
              <w:t>0.5</w:t>
            </w:r>
            <w:r>
              <w:rPr>
                <w:rFonts w:hint="eastAsia" w:hAnsi="宋体" w:cs="宋体"/>
                <w:color w:val="auto"/>
                <w:szCs w:val="21"/>
                <w:highlight w:val="none"/>
              </w:rPr>
              <w:t>分</w:t>
            </w:r>
            <w:r>
              <w:rPr>
                <w:rFonts w:hint="eastAsia" w:hAnsi="宋体" w:cs="宋体"/>
                <w:color w:val="auto"/>
                <w:szCs w:val="21"/>
                <w:highlight w:val="none"/>
                <w:lang w:eastAsia="zh-CN"/>
              </w:rPr>
              <w:t>；</w:t>
            </w:r>
          </w:p>
          <w:p>
            <w:pPr>
              <w:pStyle w:val="23"/>
              <w:rPr>
                <w:rFonts w:hAnsi="宋体" w:cs="宋体"/>
                <w:b/>
                <w:bCs/>
                <w:color w:val="auto"/>
                <w:szCs w:val="21"/>
                <w:highlight w:val="none"/>
              </w:rPr>
            </w:pPr>
            <w:r>
              <w:rPr>
                <w:rFonts w:hint="eastAsia" w:hAnsi="宋体" w:cs="宋体"/>
                <w:color w:val="auto"/>
                <w:szCs w:val="21"/>
                <w:highlight w:val="none"/>
              </w:rPr>
              <w:t>3.投标人获得合同能源管理认证证书5A级的得</w:t>
            </w:r>
            <w:r>
              <w:rPr>
                <w:rFonts w:hint="eastAsia" w:hAnsi="宋体" w:cs="宋体"/>
                <w:color w:val="auto"/>
                <w:szCs w:val="21"/>
                <w:highlight w:val="none"/>
                <w:lang w:val="en-US" w:eastAsia="zh-CN"/>
              </w:rPr>
              <w:t>0.5</w:t>
            </w:r>
            <w:r>
              <w:rPr>
                <w:rFonts w:hint="eastAsia" w:hAnsi="宋体" w:cs="宋体"/>
                <w:color w:val="auto"/>
                <w:szCs w:val="21"/>
                <w:highlight w:val="none"/>
              </w:rPr>
              <w:t>分；投标人获得节能技术服务认证证书5A级的得</w:t>
            </w:r>
            <w:r>
              <w:rPr>
                <w:rFonts w:hint="eastAsia" w:hAnsi="宋体" w:cs="宋体"/>
                <w:color w:val="auto"/>
                <w:szCs w:val="21"/>
                <w:highlight w:val="none"/>
                <w:lang w:val="en-US" w:eastAsia="zh-CN"/>
              </w:rPr>
              <w:t>0.5</w:t>
            </w:r>
            <w:r>
              <w:rPr>
                <w:rFonts w:hint="eastAsia" w:hAnsi="宋体" w:cs="宋体"/>
                <w:color w:val="auto"/>
                <w:szCs w:val="21"/>
                <w:highlight w:val="none"/>
              </w:rPr>
              <w:t>分；投标人获得售后服务服务认证证书5A级的得</w:t>
            </w:r>
            <w:r>
              <w:rPr>
                <w:rFonts w:hint="eastAsia" w:hAnsi="宋体" w:cs="宋体"/>
                <w:color w:val="auto"/>
                <w:szCs w:val="21"/>
                <w:highlight w:val="none"/>
                <w:lang w:val="en-US" w:eastAsia="zh-CN"/>
              </w:rPr>
              <w:t>0.5</w:t>
            </w:r>
            <w:r>
              <w:rPr>
                <w:rFonts w:hint="eastAsia" w:hAnsi="宋体" w:cs="宋体"/>
                <w:color w:val="auto"/>
                <w:szCs w:val="21"/>
                <w:highlight w:val="none"/>
              </w:rPr>
              <w:t>分；获4A（含4A）级以下的不得分；</w:t>
            </w:r>
          </w:p>
          <w:p>
            <w:pPr>
              <w:pStyle w:val="23"/>
              <w:rPr>
                <w:rFonts w:hAnsi="宋体" w:cs="宋体"/>
                <w:b/>
                <w:bCs/>
                <w:color w:val="auto"/>
                <w:szCs w:val="21"/>
                <w:highlight w:val="none"/>
              </w:rPr>
            </w:pPr>
            <w:r>
              <w:rPr>
                <w:rFonts w:hint="eastAsia" w:hAnsi="宋体" w:cs="宋体"/>
                <w:color w:val="auto"/>
                <w:szCs w:val="21"/>
                <w:highlight w:val="none"/>
              </w:rPr>
              <w:t>4.投标人获得过省级</w:t>
            </w:r>
            <w:r>
              <w:rPr>
                <w:rFonts w:hint="eastAsia" w:hAnsi="宋体" w:cs="宋体"/>
                <w:color w:val="auto"/>
                <w:szCs w:val="21"/>
                <w:highlight w:val="none"/>
                <w:lang w:val="en-US" w:eastAsia="zh-CN"/>
              </w:rPr>
              <w:t>(含协会)</w:t>
            </w:r>
            <w:r>
              <w:rPr>
                <w:rFonts w:hint="eastAsia" w:hAnsi="宋体" w:cs="宋体"/>
                <w:color w:val="auto"/>
                <w:szCs w:val="21"/>
                <w:highlight w:val="none"/>
              </w:rPr>
              <w:t>主管部门表彰的，有一个得</w:t>
            </w:r>
            <w:r>
              <w:rPr>
                <w:rFonts w:hint="eastAsia" w:hAnsi="宋体" w:cs="宋体"/>
                <w:color w:val="auto"/>
                <w:szCs w:val="21"/>
                <w:highlight w:val="none"/>
                <w:lang w:val="en-US" w:eastAsia="zh-CN"/>
              </w:rPr>
              <w:t>0.5</w:t>
            </w:r>
            <w:r>
              <w:rPr>
                <w:rFonts w:hint="eastAsia" w:hAnsi="宋体" w:cs="宋体"/>
                <w:color w:val="auto"/>
                <w:szCs w:val="21"/>
                <w:highlight w:val="none"/>
              </w:rPr>
              <w:t>分，最高得</w:t>
            </w:r>
            <w:r>
              <w:rPr>
                <w:rFonts w:hint="eastAsia" w:hAnsi="宋体" w:cs="宋体"/>
                <w:color w:val="auto"/>
                <w:szCs w:val="21"/>
                <w:highlight w:val="none"/>
                <w:lang w:val="en-US" w:eastAsia="zh-CN"/>
              </w:rPr>
              <w:t>1</w:t>
            </w:r>
            <w:r>
              <w:rPr>
                <w:rFonts w:hint="eastAsia"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经营业绩</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6188" w:type="dxa"/>
          </w:tcPr>
          <w:p>
            <w:pPr>
              <w:pStyle w:val="23"/>
              <w:rPr>
                <w:rFonts w:hint="eastAsia" w:hAnsi="宋体" w:cs="宋体"/>
                <w:color w:val="auto"/>
                <w:szCs w:val="21"/>
                <w:highlight w:val="none"/>
              </w:rPr>
            </w:pPr>
            <w:r>
              <w:rPr>
                <w:rFonts w:hint="eastAsia" w:hAnsi="宋体" w:cs="宋体"/>
                <w:color w:val="auto"/>
                <w:szCs w:val="21"/>
                <w:highlight w:val="none"/>
              </w:rPr>
              <w:t>投标人承接过已投入运营</w:t>
            </w:r>
            <w:r>
              <w:rPr>
                <w:rFonts w:hint="eastAsia" w:hAnsi="宋体" w:cs="宋体"/>
                <w:color w:val="auto"/>
                <w:szCs w:val="21"/>
                <w:highlight w:val="none"/>
                <w:lang w:val="en-US" w:eastAsia="zh-CN"/>
              </w:rPr>
              <w:t>满一年的类似</w:t>
            </w:r>
            <w:r>
              <w:rPr>
                <w:rFonts w:hint="eastAsia" w:hAnsi="宋体" w:cs="宋体"/>
                <w:color w:val="auto"/>
                <w:szCs w:val="21"/>
                <w:highlight w:val="none"/>
              </w:rPr>
              <w:t>浴室（节能改造或合同能源管理或BOT）项目的、每有一例得</w:t>
            </w:r>
            <w:r>
              <w:rPr>
                <w:rFonts w:hint="eastAsia" w:hAnsi="宋体" w:cs="宋体"/>
                <w:color w:val="auto"/>
                <w:szCs w:val="21"/>
                <w:highlight w:val="none"/>
                <w:lang w:val="en-US" w:eastAsia="zh-CN"/>
              </w:rPr>
              <w:t>1</w:t>
            </w:r>
            <w:r>
              <w:rPr>
                <w:rFonts w:hint="eastAsia" w:hAnsi="宋体" w:cs="宋体"/>
                <w:color w:val="auto"/>
                <w:szCs w:val="21"/>
                <w:highlight w:val="none"/>
              </w:rPr>
              <w:t>分</w:t>
            </w:r>
            <w:r>
              <w:rPr>
                <w:rFonts w:hint="eastAsia" w:hAnsi="宋体" w:cs="宋体"/>
                <w:color w:val="auto"/>
                <w:szCs w:val="21"/>
                <w:highlight w:val="none"/>
                <w:lang w:eastAsia="zh-CN"/>
              </w:rPr>
              <w:t>，</w:t>
            </w:r>
            <w:r>
              <w:rPr>
                <w:rFonts w:hint="eastAsia" w:hAnsi="宋体" w:cs="宋体"/>
                <w:color w:val="auto"/>
                <w:szCs w:val="21"/>
                <w:highlight w:val="none"/>
              </w:rPr>
              <w:t>本项最多得</w:t>
            </w:r>
            <w:r>
              <w:rPr>
                <w:rFonts w:hint="eastAsia" w:hAnsi="宋体" w:cs="宋体"/>
                <w:color w:val="auto"/>
                <w:szCs w:val="21"/>
                <w:highlight w:val="none"/>
                <w:lang w:val="en-US" w:eastAsia="zh-CN"/>
              </w:rPr>
              <w:t>5</w:t>
            </w:r>
            <w:r>
              <w:rPr>
                <w:rFonts w:hint="eastAsia" w:hAnsi="宋体" w:cs="宋体"/>
                <w:color w:val="auto"/>
                <w:szCs w:val="21"/>
                <w:highlight w:val="none"/>
              </w:rPr>
              <w:t>分。</w:t>
            </w:r>
          </w:p>
          <w:p>
            <w:pPr>
              <w:pStyle w:val="23"/>
              <w:rPr>
                <w:rFonts w:hint="eastAsia" w:hAnsi="宋体" w:cs="宋体"/>
                <w:color w:val="auto"/>
                <w:szCs w:val="21"/>
                <w:highlight w:val="none"/>
              </w:rPr>
            </w:pPr>
            <w:r>
              <w:rPr>
                <w:rFonts w:hint="eastAsia" w:hAnsi="宋体" w:cs="宋体"/>
                <w:color w:val="auto"/>
                <w:szCs w:val="21"/>
                <w:highlight w:val="none"/>
                <w:lang w:val="en-US" w:eastAsia="zh-CN"/>
              </w:rPr>
              <w:t>需提供该项目的中标通知书、合同复印件（原件备查）。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pPr>
              <w:pStyle w:val="23"/>
              <w:jc w:val="center"/>
              <w:rPr>
                <w:rFonts w:hint="eastAsia" w:hAnsi="宋体" w:cs="宋体"/>
                <w:color w:val="auto"/>
                <w:szCs w:val="21"/>
                <w:highlight w:val="none"/>
              </w:rPr>
            </w:pPr>
            <w:r>
              <w:rPr>
                <w:rFonts w:hint="eastAsia" w:hAnsi="宋体" w:cs="宋体"/>
                <w:color w:val="auto"/>
                <w:szCs w:val="21"/>
                <w:highlight w:val="none"/>
              </w:rPr>
              <w:t>经济</w:t>
            </w:r>
          </w:p>
          <w:p>
            <w:pPr>
              <w:pStyle w:val="23"/>
              <w:jc w:val="center"/>
              <w:rPr>
                <w:rFonts w:hint="eastAsia" w:hAnsi="宋体" w:cs="宋体"/>
                <w:color w:val="auto"/>
                <w:szCs w:val="21"/>
                <w:highlight w:val="none"/>
              </w:rPr>
            </w:pPr>
            <w:r>
              <w:rPr>
                <w:rFonts w:hint="eastAsia" w:hAnsi="宋体" w:cs="宋体"/>
                <w:color w:val="auto"/>
                <w:szCs w:val="21"/>
                <w:highlight w:val="none"/>
              </w:rPr>
              <w:t>部分</w:t>
            </w:r>
          </w:p>
          <w:p>
            <w:pPr>
              <w:pStyle w:val="23"/>
              <w:jc w:val="center"/>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35</w:t>
            </w:r>
            <w:r>
              <w:rPr>
                <w:rFonts w:hint="eastAsia" w:hAnsi="宋体" w:cs="宋体"/>
                <w:color w:val="auto"/>
                <w:szCs w:val="21"/>
                <w:highlight w:val="none"/>
              </w:rPr>
              <w:t>分）</w:t>
            </w: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热水收费价格</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分</w:t>
            </w:r>
          </w:p>
        </w:tc>
        <w:tc>
          <w:tcPr>
            <w:tcW w:w="6188" w:type="dxa"/>
          </w:tcPr>
          <w:p>
            <w:pPr>
              <w:rPr>
                <w:rFonts w:ascii="宋体" w:hAnsi="宋体" w:cs="宋体"/>
                <w:color w:val="auto"/>
                <w:szCs w:val="21"/>
                <w:highlight w:val="none"/>
              </w:rPr>
            </w:pPr>
            <w:r>
              <w:rPr>
                <w:rFonts w:hint="eastAsia" w:ascii="宋体" w:hAnsi="宋体" w:cs="宋体"/>
                <w:color w:val="auto"/>
                <w:kern w:val="0"/>
                <w:szCs w:val="21"/>
                <w:highlight w:val="none"/>
              </w:rPr>
              <w:t>热水价格不得高于30元/吨，投标人报价为30元/吨时，得0分，在此基础上每吨</w:t>
            </w:r>
            <w:r>
              <w:rPr>
                <w:rFonts w:hint="eastAsia" w:ascii="宋体" w:hAnsi="宋体" w:cs="宋体"/>
                <w:color w:val="auto"/>
                <w:kern w:val="0"/>
                <w:szCs w:val="21"/>
                <w:highlight w:val="none"/>
                <w:lang w:val="en-US" w:eastAsia="zh-CN"/>
              </w:rPr>
              <w:t>下降</w:t>
            </w: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元加</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分，本项最高得</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r>
              <w:rPr>
                <w:rFonts w:hint="eastAsia" w:ascii="宋体" w:hAnsi="宋体" w:cs="宋体"/>
                <w:color w:val="auto"/>
                <w:szCs w:val="21"/>
                <w:highlight w:val="none"/>
              </w:rPr>
              <w:t>，本项最高得分为</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投资规模</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rPr>
              <w:t>5分</w:t>
            </w:r>
          </w:p>
        </w:tc>
        <w:tc>
          <w:tcPr>
            <w:tcW w:w="6188" w:type="dxa"/>
          </w:tcPr>
          <w:p>
            <w:pPr>
              <w:snapToGri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以项目投资总额报价240万元为基准价，投资总额报价等于基准价的得2分，投资总额每高于基准价5%的得1分，本项最高得分为5分。</w:t>
            </w:r>
            <w:r>
              <w:rPr>
                <w:rFonts w:hint="eastAsia" w:ascii="宋体" w:hAnsi="宋体" w:cs="宋体"/>
                <w:color w:val="auto"/>
                <w:szCs w:val="21"/>
                <w:highlight w:val="none"/>
                <w:lang w:val="en-US" w:eastAsia="zh-CN"/>
              </w:rPr>
              <w:t>投标人需提供已标价的投资设备清单、装修改造清单，明细报价清单表。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pPr>
              <w:pStyle w:val="23"/>
              <w:jc w:val="center"/>
              <w:rPr>
                <w:rFonts w:hAnsi="宋体" w:cs="宋体"/>
                <w:color w:val="auto"/>
                <w:szCs w:val="21"/>
                <w:highlight w:val="none"/>
              </w:rPr>
            </w:pPr>
            <w:r>
              <w:rPr>
                <w:rFonts w:hint="eastAsia" w:hAnsi="宋体" w:cs="宋体"/>
                <w:color w:val="auto"/>
                <w:szCs w:val="21"/>
                <w:highlight w:val="none"/>
              </w:rPr>
              <w:t>技术部分</w:t>
            </w:r>
          </w:p>
          <w:p>
            <w:pPr>
              <w:pStyle w:val="23"/>
              <w:jc w:val="center"/>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35</w:t>
            </w:r>
            <w:r>
              <w:rPr>
                <w:rFonts w:hint="eastAsia" w:hAnsi="宋体" w:cs="宋体"/>
                <w:color w:val="auto"/>
                <w:szCs w:val="21"/>
                <w:highlight w:val="none"/>
              </w:rPr>
              <w:t>分）</w:t>
            </w: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热水系统技术方案</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rPr>
              <w:t>8分</w:t>
            </w:r>
          </w:p>
        </w:tc>
        <w:tc>
          <w:tcPr>
            <w:tcW w:w="6188" w:type="dxa"/>
          </w:tcPr>
          <w:p>
            <w:pPr>
              <w:rPr>
                <w:rFonts w:ascii="宋体" w:hAnsi="宋体" w:cs="宋体"/>
                <w:color w:val="auto"/>
                <w:szCs w:val="21"/>
                <w:highlight w:val="none"/>
              </w:rPr>
            </w:pPr>
            <w:r>
              <w:rPr>
                <w:rFonts w:hint="eastAsia" w:ascii="宋体" w:hAnsi="宋体" w:cs="宋体"/>
                <w:color w:val="auto"/>
                <w:szCs w:val="21"/>
                <w:highlight w:val="none"/>
              </w:rPr>
              <w:t>投标人根据学校情况，从设计依据、设计说明、设计图纸、主要设备性能及参数、日产热水量（按极寒天气零下15℃及以下温度计算，确保极寒天气情况下热水供应的设备配置，并提供省级及以上机构的产品性能检测报告，原件带至现场核查）、保温措施、节能性、节能减碳计量功能等多个方面优化设计热水系统技术方案；投标人根据项目特点针对空气源热泵噪音问题制定专业降振减噪技术解决方案，热水系统运行噪音应符合国家相关噪音标准，昼间不超过55db，夜间不超过45db。专家根据各单位设计方案进行综合评比，优秀得6-8分，良好得4-6分；一般得2-4分，差得 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设备性能</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rPr>
              <w:t>12分</w:t>
            </w:r>
          </w:p>
        </w:tc>
        <w:tc>
          <w:tcPr>
            <w:tcW w:w="6188" w:type="dxa"/>
          </w:tcPr>
          <w:p>
            <w:pPr>
              <w:pStyle w:val="16"/>
              <w:spacing w:line="340" w:lineRule="exact"/>
              <w:rPr>
                <w:rFonts w:ascii="宋体" w:hAnsi="宋体" w:cs="宋体"/>
                <w:color w:val="auto"/>
                <w:szCs w:val="21"/>
                <w:highlight w:val="none"/>
              </w:rPr>
            </w:pPr>
            <w:r>
              <w:rPr>
                <w:rFonts w:hint="eastAsia" w:ascii="宋体" w:hAnsi="宋体" w:cs="宋体"/>
                <w:color w:val="auto"/>
                <w:szCs w:val="21"/>
                <w:highlight w:val="none"/>
              </w:rPr>
              <w:t>1.所投空气源热泵机组（环境温度、干球温度20℃）或废水源热泵机组在名义工况下</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制热能效比（COP）≥5.5，得5分；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5.0≤制热能效比（COP）＜5.5，得4分；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4.6≤制热能效比（COP）＜5.0，得3分；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4.3≤制热能效比（COP）＜4.6，得2分；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4.0≤制热能效比（COP）＜4.3，得1分；</w:t>
            </w:r>
          </w:p>
          <w:p>
            <w:pPr>
              <w:pStyle w:val="16"/>
              <w:spacing w:line="340" w:lineRule="exact"/>
              <w:rPr>
                <w:rFonts w:ascii="宋体" w:hAnsi="宋体" w:cs="宋体"/>
                <w:color w:val="auto"/>
                <w:szCs w:val="21"/>
                <w:highlight w:val="none"/>
              </w:rPr>
            </w:pPr>
            <w:r>
              <w:rPr>
                <w:rFonts w:hint="eastAsia" w:ascii="宋体" w:hAnsi="宋体" w:cs="宋体"/>
                <w:color w:val="auto"/>
                <w:szCs w:val="21"/>
                <w:highlight w:val="none"/>
              </w:rPr>
              <w:t>2.所投空气源热泵机组（环境温度、干球温度-7℃及以下）或废水源热泵机组在低温工况下</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制热能效比（COP）≥4.0，得5分；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3.5≤制热能效比（COP）＜4.0，得4分；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3.0≤制热能效比（COP）＜3.5，得3分；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2.5≤制热能效比（COP）＜3.0，得2分；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2.0≤制热能效比（COP）＜2.5，得1分；</w:t>
            </w:r>
          </w:p>
          <w:p>
            <w:pPr>
              <w:pStyle w:val="16"/>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不符合以上各种工况下制热能效比（COP）最低限的视为无效响应，作废标处理。</w:t>
            </w:r>
          </w:p>
          <w:p>
            <w:pPr>
              <w:pStyle w:val="16"/>
              <w:spacing w:line="340" w:lineRule="exact"/>
              <w:rPr>
                <w:rFonts w:ascii="宋体" w:hAnsi="宋体" w:cs="宋体"/>
                <w:color w:val="auto"/>
                <w:szCs w:val="21"/>
                <w:highlight w:val="none"/>
              </w:rPr>
            </w:pPr>
            <w:r>
              <w:rPr>
                <w:rFonts w:hint="eastAsia" w:ascii="宋体" w:hAnsi="宋体" w:cs="宋体"/>
                <w:color w:val="auto"/>
                <w:szCs w:val="21"/>
                <w:highlight w:val="none"/>
              </w:rPr>
              <w:t>（以上需提供具备CNAS或CMA认证的检测机构出具的检验报告复印件并加盖投标人公章装订入纸质投标文件中，不提供不得分。）</w:t>
            </w:r>
          </w:p>
          <w:p>
            <w:pPr>
              <w:pStyle w:val="23"/>
              <w:rPr>
                <w:rFonts w:hAnsi="宋体" w:cs="宋体"/>
                <w:color w:val="auto"/>
                <w:szCs w:val="21"/>
                <w:highlight w:val="none"/>
              </w:rPr>
            </w:pPr>
            <w:r>
              <w:rPr>
                <w:rFonts w:hint="eastAsia" w:hAnsi="宋体" w:cs="宋体"/>
                <w:color w:val="auto"/>
                <w:szCs w:val="21"/>
                <w:highlight w:val="none"/>
              </w:rPr>
              <w:t>3.所投本项目空气源热泵设备能效等级为一级，得2分；能效等级为二级，得1.5分；能效等级为三级，得1分。（提供中国能效标识网查询截图并加盖投标人公章装订入纸质投标文件中，不提供不得分。）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pStyle w:val="23"/>
              <w:jc w:val="center"/>
              <w:rPr>
                <w:rFonts w:hAnsi="宋体" w:cs="宋体"/>
                <w:color w:val="auto"/>
                <w:szCs w:val="21"/>
                <w:highlight w:val="none"/>
              </w:rPr>
            </w:pPr>
            <w:r>
              <w:rPr>
                <w:rFonts w:hint="eastAsia" w:hAnsi="宋体" w:cs="宋体"/>
                <w:color w:val="auto"/>
                <w:szCs w:val="21"/>
                <w:highlight w:val="none"/>
              </w:rPr>
              <w:t>装修方案</w:t>
            </w:r>
          </w:p>
        </w:tc>
        <w:tc>
          <w:tcPr>
            <w:tcW w:w="718" w:type="dxa"/>
            <w:vAlign w:val="center"/>
          </w:tcPr>
          <w:p>
            <w:pPr>
              <w:pStyle w:val="23"/>
              <w:jc w:val="center"/>
              <w:rPr>
                <w:rFonts w:hAnsi="宋体" w:cs="宋体"/>
                <w:color w:val="auto"/>
                <w:szCs w:val="21"/>
                <w:highlight w:val="none"/>
              </w:rPr>
            </w:pPr>
            <w:r>
              <w:rPr>
                <w:rFonts w:hint="eastAsia" w:hAnsi="宋体" w:cs="宋体"/>
                <w:color w:val="auto"/>
                <w:szCs w:val="21"/>
                <w:highlight w:val="none"/>
              </w:rPr>
              <w:t>10分</w:t>
            </w:r>
          </w:p>
        </w:tc>
        <w:tc>
          <w:tcPr>
            <w:tcW w:w="6188" w:type="dxa"/>
          </w:tcPr>
          <w:p>
            <w:pPr>
              <w:jc w:val="left"/>
              <w:rPr>
                <w:rFonts w:ascii="宋体" w:hAnsi="宋体" w:cs="宋体"/>
                <w:color w:val="auto"/>
                <w:szCs w:val="21"/>
                <w:highlight w:val="none"/>
              </w:rPr>
            </w:pPr>
            <w:r>
              <w:rPr>
                <w:rFonts w:hint="eastAsia" w:ascii="宋体" w:hAnsi="宋体" w:cs="宋体"/>
                <w:color w:val="auto"/>
                <w:szCs w:val="21"/>
                <w:highlight w:val="none"/>
              </w:rPr>
              <w:t>投标人根据招标人提供材料，方案设计要充分考虑学校实际，切实可行。方案（包括但不限于效果图、施工图，更衣柜及洗浴硬件设备配备情况等）设计合理,设备配置精准、科学，浴室功能区齐全，空间布局合理。专家根据各单位设计方案进行综合评比。优秀得9-10 分，良好得7-8分；一般得 5-6 分，差得 0-4分。本项最高得分10分。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施工方案</w:t>
            </w:r>
          </w:p>
        </w:tc>
        <w:tc>
          <w:tcPr>
            <w:tcW w:w="718" w:type="dxa"/>
            <w:vAlign w:val="center"/>
          </w:tcPr>
          <w:p>
            <w:pPr>
              <w:rPr>
                <w:rFonts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188"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施工设计方案符合国家相关标准，施工组织、工期计划、施工工艺、质量保证、文明施工、施工安全等措施有力，可操作性强。专家根据各单位设计方案进行综合评比，优秀得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分，差得 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pPr>
              <w:pStyle w:val="23"/>
              <w:jc w:val="center"/>
              <w:rPr>
                <w:rFonts w:hAnsi="宋体" w:cs="宋体"/>
                <w:color w:val="auto"/>
                <w:szCs w:val="21"/>
                <w:highlight w:val="none"/>
              </w:rPr>
            </w:pPr>
            <w:r>
              <w:rPr>
                <w:rFonts w:hint="eastAsia" w:hAnsi="宋体" w:cs="宋体"/>
                <w:color w:val="auto"/>
                <w:szCs w:val="21"/>
                <w:highlight w:val="none"/>
              </w:rPr>
              <w:t>运营部分（</w:t>
            </w:r>
            <w:r>
              <w:rPr>
                <w:rFonts w:hint="eastAsia" w:hAnsi="宋体" w:cs="宋体"/>
                <w:color w:val="auto"/>
                <w:szCs w:val="21"/>
                <w:highlight w:val="none"/>
                <w:lang w:val="en-US" w:eastAsia="zh-CN"/>
              </w:rPr>
              <w:t>10</w:t>
            </w:r>
            <w:r>
              <w:rPr>
                <w:rFonts w:hint="eastAsia" w:hAnsi="宋体" w:cs="宋体"/>
                <w:color w:val="auto"/>
                <w:szCs w:val="21"/>
                <w:highlight w:val="none"/>
              </w:rPr>
              <w:t>分）</w:t>
            </w:r>
          </w:p>
        </w:tc>
        <w:tc>
          <w:tcPr>
            <w:tcW w:w="1256"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运营方案</w:t>
            </w:r>
          </w:p>
        </w:tc>
        <w:tc>
          <w:tcPr>
            <w:tcW w:w="718" w:type="dxa"/>
            <w:vAlign w:val="center"/>
          </w:tcPr>
          <w:p>
            <w:pPr>
              <w:rPr>
                <w:rFonts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188" w:type="dxa"/>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运营方案先进、合理，有健全的服务团队架构，有完善的管理制度，有严密的绩效考核体系，有主动服务学生的举措，有应急预案及售后服务保障体系，能够提供投资运营方案的财务分析。</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（1）根据国家用工标准，合理配置服务人员和相关技术人员，在校内或学校附近设有定点服务机构，服务响应迅速，合理得1- 2 分，基本合理得 </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-1 分，其他不得分。</w:t>
            </w:r>
          </w:p>
          <w:p>
            <w:pPr>
              <w:rPr>
                <w:rFonts w:ascii="宋体" w:hAnsi="宋体" w:cs="宋体"/>
                <w:color w:val="auto"/>
                <w:kern w:val="0"/>
                <w:szCs w:val="21"/>
                <w:highlight w:val="none"/>
              </w:rPr>
            </w:pPr>
            <w:r>
              <w:rPr>
                <w:rFonts w:hint="eastAsia" w:ascii="宋体" w:hAnsi="宋体" w:cs="宋体"/>
                <w:color w:val="auto"/>
                <w:kern w:val="0"/>
                <w:szCs w:val="21"/>
                <w:highlight w:val="none"/>
              </w:rPr>
              <w:t>（2）规范的运营管理服务规章制度和应急预案；建立快速应对师生投诉的机制；对洗浴热水价格和服务质量、标准进行承诺；有定期维护（修）、保养设施设备计划和措施，每项得0.5 分，最高 2分。</w:t>
            </w:r>
          </w:p>
          <w:p>
            <w:pPr>
              <w:rPr>
                <w:rFonts w:ascii="宋体" w:hAnsi="宋体" w:cs="宋体"/>
                <w:color w:val="auto"/>
                <w:kern w:val="0"/>
                <w:szCs w:val="21"/>
                <w:highlight w:val="none"/>
              </w:rPr>
            </w:pPr>
            <w:r>
              <w:rPr>
                <w:rFonts w:hint="eastAsia" w:ascii="宋体" w:hAnsi="宋体" w:cs="宋体"/>
                <w:color w:val="auto"/>
                <w:kern w:val="0"/>
                <w:szCs w:val="21"/>
                <w:highlight w:val="none"/>
              </w:rPr>
              <w:t>（3）供应商出具本项目的详细投资分析方案，施工的预算书及今后的回收计划方案。方案合理得</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 xml:space="preserve">.5- </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 xml:space="preserve"> 分，基本合理得 </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.5 分，其他得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pPr>
              <w:pStyle w:val="23"/>
              <w:jc w:val="center"/>
              <w:rPr>
                <w:rFonts w:hAnsi="宋体" w:cs="宋体"/>
                <w:color w:val="auto"/>
                <w:szCs w:val="21"/>
                <w:highlight w:val="none"/>
              </w:rPr>
            </w:pPr>
          </w:p>
        </w:tc>
        <w:tc>
          <w:tcPr>
            <w:tcW w:w="1256"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能源站系统信息化管理运营演示</w:t>
            </w:r>
          </w:p>
        </w:tc>
        <w:tc>
          <w:tcPr>
            <w:tcW w:w="718" w:type="dxa"/>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5分</w:t>
            </w:r>
          </w:p>
        </w:tc>
        <w:tc>
          <w:tcPr>
            <w:tcW w:w="6188" w:type="dxa"/>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系统信息化管理：利用信息化管理系统实施洗浴热水远程监控管理，包含以下内容：</w:t>
            </w:r>
          </w:p>
          <w:p>
            <w:pPr>
              <w:rPr>
                <w:rFonts w:ascii="宋体" w:hAnsi="宋体" w:cs="宋体"/>
                <w:color w:val="auto"/>
                <w:kern w:val="0"/>
                <w:szCs w:val="21"/>
                <w:highlight w:val="none"/>
              </w:rPr>
            </w:pPr>
            <w:r>
              <w:rPr>
                <w:rFonts w:hint="eastAsia" w:ascii="宋体" w:hAnsi="宋体" w:cs="宋体"/>
                <w:color w:val="auto"/>
                <w:kern w:val="0"/>
                <w:szCs w:val="21"/>
                <w:highlight w:val="none"/>
              </w:rPr>
              <w:t>（1）能源站系统故障报警；</w:t>
            </w:r>
          </w:p>
          <w:p>
            <w:pPr>
              <w:rPr>
                <w:rFonts w:ascii="宋体" w:hAnsi="宋体" w:cs="宋体"/>
                <w:color w:val="auto"/>
                <w:kern w:val="0"/>
                <w:szCs w:val="21"/>
                <w:highlight w:val="none"/>
              </w:rPr>
            </w:pPr>
            <w:r>
              <w:rPr>
                <w:rFonts w:hint="eastAsia" w:ascii="宋体" w:hAnsi="宋体" w:cs="宋体"/>
                <w:color w:val="auto"/>
                <w:kern w:val="0"/>
                <w:szCs w:val="21"/>
                <w:highlight w:val="none"/>
              </w:rPr>
              <w:t>（2）水温、流量实时监测；</w:t>
            </w:r>
          </w:p>
          <w:p>
            <w:pPr>
              <w:rPr>
                <w:rFonts w:ascii="宋体" w:hAnsi="宋体" w:cs="宋体"/>
                <w:color w:val="auto"/>
                <w:kern w:val="0"/>
                <w:szCs w:val="21"/>
                <w:highlight w:val="none"/>
              </w:rPr>
            </w:pPr>
            <w:r>
              <w:rPr>
                <w:rFonts w:hint="eastAsia" w:ascii="宋体" w:hAnsi="宋体" w:cs="宋体"/>
                <w:color w:val="auto"/>
                <w:kern w:val="0"/>
                <w:szCs w:val="21"/>
                <w:highlight w:val="none"/>
              </w:rPr>
              <w:t>（3）热水箱、废水池（箱）液位和水温实时监测，热水箱水位可远程自由设定；</w:t>
            </w:r>
          </w:p>
          <w:p>
            <w:pPr>
              <w:rPr>
                <w:rFonts w:ascii="宋体" w:hAnsi="宋体" w:cs="宋体"/>
                <w:color w:val="auto"/>
                <w:kern w:val="0"/>
                <w:szCs w:val="21"/>
                <w:highlight w:val="none"/>
              </w:rPr>
            </w:pPr>
            <w:r>
              <w:rPr>
                <w:rFonts w:hint="eastAsia" w:ascii="宋体" w:hAnsi="宋体" w:cs="宋体"/>
                <w:color w:val="auto"/>
                <w:kern w:val="0"/>
                <w:szCs w:val="21"/>
                <w:highlight w:val="none"/>
              </w:rPr>
              <w:t>（4）节能量、减碳量、COP值实时计算统计；</w:t>
            </w:r>
          </w:p>
          <w:p>
            <w:pPr>
              <w:rPr>
                <w:rFonts w:ascii="宋体" w:hAnsi="宋体" w:cs="宋体"/>
                <w:color w:val="auto"/>
                <w:kern w:val="0"/>
                <w:szCs w:val="21"/>
                <w:highlight w:val="none"/>
              </w:rPr>
            </w:pPr>
            <w:r>
              <w:rPr>
                <w:rFonts w:hint="eastAsia" w:ascii="宋体" w:hAnsi="宋体" w:cs="宋体"/>
                <w:color w:val="auto"/>
                <w:kern w:val="0"/>
                <w:szCs w:val="21"/>
                <w:highlight w:val="none"/>
              </w:rPr>
              <w:t>（5）热水能源成本实时计算统计；</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（6）远程视频实时监控能源站现场情况。                                                                                 </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1.投标人现场提供远程监控系统运用流程演示，每演示成功一项得0.5分，共3分。        </w:t>
            </w:r>
          </w:p>
          <w:p>
            <w:pPr>
              <w:rPr>
                <w:rFonts w:ascii="宋体" w:hAnsi="宋体" w:cs="宋体"/>
                <w:color w:val="auto"/>
                <w:kern w:val="0"/>
                <w:szCs w:val="21"/>
                <w:highlight w:val="none"/>
              </w:rPr>
            </w:pPr>
            <w:r>
              <w:rPr>
                <w:rFonts w:hint="eastAsia" w:ascii="宋体" w:hAnsi="宋体" w:cs="宋体"/>
                <w:color w:val="auto"/>
                <w:kern w:val="0"/>
                <w:szCs w:val="21"/>
                <w:highlight w:val="none"/>
              </w:rPr>
              <w:t>2.投标人能够现场远程正在合作运营满一年或以上的学校任意一个浴室能源站监控平台，能完成以上6条要求并演示成功得2分。</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注：提供软件现场演示，演示时间每家单位不超过5分钟，项目自合同签订之日至开标截止时间运行至少一年及以上，提供合同复印件(原件备查）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155" w:type="dxa"/>
            <w:vAlign w:val="center"/>
          </w:tcPr>
          <w:p>
            <w:pPr>
              <w:pStyle w:val="23"/>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承诺</w:t>
            </w:r>
          </w:p>
          <w:p>
            <w:pPr>
              <w:pStyle w:val="23"/>
              <w:jc w:val="center"/>
              <w:rPr>
                <w:rFonts w:hint="eastAsia" w:hAnsi="宋体" w:cs="宋体"/>
                <w:color w:val="auto"/>
                <w:szCs w:val="21"/>
                <w:highlight w:val="none"/>
                <w:lang w:val="en-US" w:eastAsia="zh-CN"/>
              </w:rPr>
            </w:pPr>
            <w:r>
              <w:rPr>
                <w:rFonts w:hint="eastAsia" w:hAnsi="宋体" w:cs="宋体"/>
                <w:color w:val="auto"/>
                <w:szCs w:val="21"/>
                <w:highlight w:val="none"/>
                <w:lang w:val="en-US" w:eastAsia="zh-CN"/>
              </w:rPr>
              <w:t>（10分）</w:t>
            </w:r>
          </w:p>
        </w:tc>
        <w:tc>
          <w:tcPr>
            <w:tcW w:w="1256"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服务承诺</w:t>
            </w:r>
          </w:p>
        </w:tc>
        <w:tc>
          <w:tcPr>
            <w:tcW w:w="718" w:type="dxa"/>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10分</w:t>
            </w:r>
          </w:p>
        </w:tc>
        <w:tc>
          <w:tcPr>
            <w:tcW w:w="6188" w:type="dxa"/>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投标人根据本项目的实际情况提出增值服务方案，方案内容包括但不限于优化管理、优惠学生、安全保障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活动赞助</w:t>
            </w:r>
            <w:r>
              <w:rPr>
                <w:rFonts w:hint="eastAsia" w:ascii="宋体" w:hAnsi="宋体" w:cs="宋体"/>
                <w:color w:val="auto"/>
                <w:kern w:val="0"/>
                <w:szCs w:val="21"/>
                <w:highlight w:val="none"/>
              </w:rPr>
              <w:t>等方面的增值服务，评委根据企业服务承诺进行综合评审打分，打分区间1-10分。</w:t>
            </w:r>
          </w:p>
        </w:tc>
      </w:tr>
    </w:tbl>
    <w:p>
      <w:pPr>
        <w:pStyle w:val="105"/>
        <w:spacing w:line="400" w:lineRule="exact"/>
        <w:ind w:firstLineChars="200"/>
        <w:rPr>
          <w:rFonts w:ascii="宋体" w:hAnsi="宋体" w:eastAsia="宋体" w:cs="宋体"/>
          <w:color w:val="auto"/>
          <w:highlight w:val="none"/>
        </w:rPr>
      </w:pPr>
    </w:p>
    <w:p>
      <w:pPr>
        <w:pStyle w:val="105"/>
        <w:spacing w:line="400" w:lineRule="exact"/>
        <w:ind w:firstLineChars="200"/>
        <w:rPr>
          <w:rFonts w:hint="default" w:ascii="宋体" w:hAnsi="宋体" w:eastAsia="宋体" w:cs="宋体"/>
          <w:b/>
          <w:bCs/>
          <w:color w:val="auto"/>
          <w:highlight w:val="none"/>
          <w:lang w:val="en-US" w:eastAsia="zh-CN"/>
        </w:rPr>
        <w:sectPr>
          <w:footerReference r:id="rId6" w:type="first"/>
          <w:footerReference r:id="rId5" w:type="default"/>
          <w:pgSz w:w="11911" w:h="16838"/>
          <w:pgMar w:top="1587" w:right="1587" w:bottom="1587" w:left="1587" w:header="720" w:footer="720" w:gutter="0"/>
          <w:pgNumType w:fmt="numberInDash"/>
          <w:cols w:space="0" w:num="1"/>
          <w:docGrid w:linePitch="290" w:charSpace="0"/>
        </w:sectPr>
      </w:pPr>
      <w:r>
        <w:rPr>
          <w:rFonts w:hint="eastAsia" w:ascii="宋体" w:hAnsi="宋体" w:eastAsia="宋体" w:cs="宋体"/>
          <w:b/>
          <w:bCs/>
          <w:color w:val="auto"/>
          <w:highlight w:val="none"/>
          <w:lang w:val="en-US" w:eastAsia="zh-CN"/>
        </w:rPr>
        <w:t>注：以上评分，凡涉及评分范围的，均不含下限得分，精确到小数点后1位。</w:t>
      </w:r>
    </w:p>
    <w:p>
      <w:pPr>
        <w:pStyle w:val="105"/>
        <w:spacing w:line="400" w:lineRule="exact"/>
        <w:ind w:firstLineChars="200"/>
        <w:rPr>
          <w:rFonts w:ascii="宋体" w:hAnsi="宋体" w:eastAsia="宋体" w:cs="宋体"/>
          <w:color w:val="auto"/>
          <w:highlight w:val="none"/>
        </w:rPr>
      </w:pPr>
    </w:p>
    <w:p>
      <w:pPr>
        <w:pStyle w:val="105"/>
        <w:spacing w:line="400" w:lineRule="exact"/>
        <w:ind w:firstLineChars="200"/>
        <w:rPr>
          <w:rFonts w:ascii="宋体" w:hAnsi="宋体" w:eastAsia="宋体" w:cs="宋体"/>
          <w:color w:val="auto"/>
          <w:highlight w:val="none"/>
        </w:rPr>
      </w:pPr>
    </w:p>
    <w:p>
      <w:pPr>
        <w:pStyle w:val="4"/>
        <w:rPr>
          <w:rFonts w:ascii="宋体" w:hAnsi="宋体" w:eastAsia="宋体" w:cs="宋体"/>
          <w:bCs/>
          <w:color w:val="auto"/>
          <w:szCs w:val="44"/>
          <w:highlight w:val="none"/>
        </w:rPr>
      </w:pPr>
      <w:r>
        <w:rPr>
          <w:rFonts w:hint="eastAsia" w:ascii="宋体" w:hAnsi="宋体" w:eastAsia="宋体" w:cs="宋体"/>
          <w:bCs/>
          <w:color w:val="auto"/>
          <w:szCs w:val="44"/>
          <w:highlight w:val="none"/>
        </w:rPr>
        <w:t xml:space="preserve">   </w:t>
      </w:r>
      <w:bookmarkStart w:id="147" w:name="_Toc17729"/>
      <w:r>
        <w:rPr>
          <w:rFonts w:hint="eastAsia" w:ascii="宋体" w:hAnsi="宋体" w:eastAsia="宋体" w:cs="宋体"/>
          <w:bCs/>
          <w:color w:val="auto"/>
          <w:szCs w:val="44"/>
          <w:highlight w:val="none"/>
        </w:rPr>
        <w:t>第六章  竞争性磋商响应文件格式</w:t>
      </w:r>
      <w:bookmarkEnd w:id="147"/>
    </w:p>
    <w:p>
      <w:pPr>
        <w:jc w:val="center"/>
        <w:rPr>
          <w:rFonts w:ascii="宋体" w:hAnsi="宋体" w:cs="宋体"/>
          <w:b/>
          <w:color w:val="auto"/>
          <w:sz w:val="72"/>
          <w:szCs w:val="21"/>
          <w:highlight w:val="none"/>
        </w:rPr>
      </w:pPr>
    </w:p>
    <w:p>
      <w:pPr>
        <w:jc w:val="center"/>
        <w:rPr>
          <w:rFonts w:ascii="宋体" w:hAnsi="宋体" w:cs="宋体"/>
          <w:b/>
          <w:color w:val="auto"/>
          <w:sz w:val="72"/>
          <w:szCs w:val="21"/>
          <w:highlight w:val="none"/>
        </w:rPr>
      </w:pPr>
      <w:r>
        <w:rPr>
          <w:rFonts w:hint="eastAsia" w:ascii="宋体" w:hAnsi="宋体" w:cs="宋体"/>
          <w:b/>
          <w:color w:val="auto"/>
          <w:sz w:val="72"/>
          <w:szCs w:val="21"/>
          <w:highlight w:val="none"/>
        </w:rPr>
        <w:t xml:space="preserve"> 竞争性磋商响应文件</w:t>
      </w:r>
    </w:p>
    <w:p>
      <w:pPr>
        <w:pStyle w:val="105"/>
        <w:ind w:firstLine="0"/>
        <w:jc w:val="center"/>
        <w:rPr>
          <w:rFonts w:ascii="宋体" w:hAnsi="宋体" w:eastAsia="宋体" w:cs="宋体"/>
          <w:b/>
          <w:bCs/>
          <w:color w:val="auto"/>
          <w:sz w:val="32"/>
          <w:highlight w:val="none"/>
        </w:rPr>
      </w:pPr>
    </w:p>
    <w:p>
      <w:pPr>
        <w:ind w:firstLine="1084" w:firstLineChars="300"/>
        <w:rPr>
          <w:rFonts w:ascii="宋体" w:hAnsi="宋体" w:cs="宋体"/>
          <w:b/>
          <w:color w:val="auto"/>
          <w:sz w:val="36"/>
          <w:szCs w:val="21"/>
          <w:highlight w:val="none"/>
        </w:rPr>
      </w:pPr>
      <w:r>
        <w:rPr>
          <w:rFonts w:hint="eastAsia" w:ascii="宋体" w:hAnsi="宋体" w:cs="宋体"/>
          <w:b/>
          <w:color w:val="auto"/>
          <w:sz w:val="36"/>
          <w:szCs w:val="21"/>
          <w:highlight w:val="none"/>
        </w:rPr>
        <w:t xml:space="preserve">              （正或副本）</w:t>
      </w:r>
    </w:p>
    <w:p>
      <w:pPr>
        <w:ind w:firstLine="1084" w:firstLineChars="300"/>
        <w:rPr>
          <w:rFonts w:ascii="宋体" w:hAnsi="宋体" w:cs="宋体"/>
          <w:b/>
          <w:color w:val="auto"/>
          <w:sz w:val="36"/>
          <w:szCs w:val="21"/>
          <w:highlight w:val="none"/>
        </w:rPr>
      </w:pPr>
    </w:p>
    <w:p>
      <w:pPr>
        <w:ind w:firstLine="1084" w:firstLineChars="300"/>
        <w:rPr>
          <w:rFonts w:ascii="宋体" w:hAnsi="宋体" w:cs="宋体"/>
          <w:b/>
          <w:color w:val="auto"/>
          <w:sz w:val="36"/>
          <w:szCs w:val="21"/>
          <w:highlight w:val="none"/>
        </w:rPr>
      </w:pPr>
    </w:p>
    <w:p>
      <w:pPr>
        <w:ind w:firstLine="1084" w:firstLineChars="300"/>
        <w:outlineLvl w:val="0"/>
        <w:rPr>
          <w:rStyle w:val="161"/>
          <w:rFonts w:ascii="宋体" w:hAnsi="宋体" w:cs="宋体"/>
          <w:b/>
          <w:color w:val="auto"/>
          <w:sz w:val="36"/>
          <w:highlight w:val="none"/>
        </w:rPr>
      </w:pPr>
      <w:bookmarkStart w:id="148" w:name="_Toc30732"/>
      <w:bookmarkStart w:id="149" w:name="_Toc8567"/>
      <w:r>
        <w:rPr>
          <w:rStyle w:val="161"/>
          <w:rFonts w:hint="eastAsia" w:ascii="宋体" w:hAnsi="宋体" w:cs="宋体"/>
          <w:b/>
          <w:color w:val="auto"/>
          <w:sz w:val="36"/>
          <w:highlight w:val="none"/>
        </w:rPr>
        <w:t>项 目 名 称：</w:t>
      </w:r>
      <w:bookmarkEnd w:id="148"/>
      <w:bookmarkEnd w:id="149"/>
    </w:p>
    <w:p>
      <w:pPr>
        <w:ind w:firstLine="1084" w:firstLineChars="300"/>
        <w:outlineLvl w:val="0"/>
        <w:rPr>
          <w:rStyle w:val="161"/>
          <w:rFonts w:ascii="宋体" w:hAnsi="宋体" w:cs="宋体"/>
          <w:b/>
          <w:color w:val="auto"/>
          <w:sz w:val="36"/>
          <w:highlight w:val="none"/>
          <w:u w:val="single" w:color="000000"/>
        </w:rPr>
      </w:pPr>
      <w:bookmarkStart w:id="150" w:name="_Toc20815"/>
      <w:bookmarkStart w:id="151" w:name="_Toc1897"/>
      <w:r>
        <w:rPr>
          <w:rStyle w:val="161"/>
          <w:rFonts w:hint="eastAsia" w:ascii="宋体" w:hAnsi="宋体" w:cs="宋体"/>
          <w:b/>
          <w:color w:val="auto"/>
          <w:sz w:val="36"/>
          <w:highlight w:val="none"/>
        </w:rPr>
        <w:t>招 标 编 号：</w:t>
      </w:r>
      <w:bookmarkEnd w:id="150"/>
      <w:bookmarkEnd w:id="151"/>
    </w:p>
    <w:p>
      <w:pPr>
        <w:ind w:firstLine="1084" w:firstLineChars="300"/>
        <w:outlineLvl w:val="0"/>
        <w:rPr>
          <w:rStyle w:val="161"/>
          <w:rFonts w:ascii="宋体" w:hAnsi="宋体" w:cs="宋体"/>
          <w:b/>
          <w:color w:val="auto"/>
          <w:sz w:val="36"/>
          <w:highlight w:val="none"/>
          <w:u w:val="single" w:color="000000"/>
        </w:rPr>
      </w:pPr>
      <w:bookmarkStart w:id="152" w:name="_Toc15597"/>
      <w:bookmarkStart w:id="153" w:name="_Toc27780"/>
      <w:r>
        <w:rPr>
          <w:rStyle w:val="161"/>
          <w:rFonts w:hint="eastAsia" w:ascii="宋体" w:hAnsi="宋体" w:cs="宋体"/>
          <w:b/>
          <w:color w:val="auto"/>
          <w:sz w:val="36"/>
          <w:highlight w:val="none"/>
        </w:rPr>
        <w:t>投标人名称 ：</w:t>
      </w:r>
      <w:bookmarkEnd w:id="152"/>
      <w:bookmarkEnd w:id="153"/>
    </w:p>
    <w:p>
      <w:pPr>
        <w:ind w:firstLine="1084" w:firstLineChars="300"/>
        <w:rPr>
          <w:rFonts w:ascii="宋体" w:hAnsi="宋体" w:cs="宋体"/>
          <w:b/>
          <w:color w:val="auto"/>
          <w:sz w:val="36"/>
          <w:highlight w:val="none"/>
        </w:rPr>
      </w:pPr>
      <w:bookmarkStart w:id="154" w:name="_Toc26387"/>
      <w:r>
        <w:rPr>
          <w:rStyle w:val="161"/>
          <w:rFonts w:hint="eastAsia" w:ascii="宋体" w:hAnsi="宋体" w:cs="宋体"/>
          <w:b/>
          <w:color w:val="auto"/>
          <w:sz w:val="36"/>
          <w:highlight w:val="none"/>
        </w:rPr>
        <w:t>日      期 ：</w:t>
      </w:r>
      <w:bookmarkEnd w:id="154"/>
    </w:p>
    <w:p>
      <w:pPr>
        <w:pStyle w:val="105"/>
        <w:ind w:firstLine="2464" w:firstLineChars="770"/>
        <w:rPr>
          <w:rFonts w:ascii="宋体" w:hAnsi="宋体" w:eastAsia="宋体" w:cs="宋体"/>
          <w:bCs/>
          <w:color w:val="auto"/>
          <w:sz w:val="32"/>
          <w:szCs w:val="32"/>
          <w:highlight w:val="none"/>
        </w:rPr>
      </w:pPr>
    </w:p>
    <w:p>
      <w:pPr>
        <w:pStyle w:val="105"/>
        <w:spacing w:before="0" w:after="0"/>
        <w:ind w:firstLine="0"/>
        <w:rPr>
          <w:rFonts w:ascii="宋体" w:hAnsi="宋体" w:eastAsia="宋体" w:cs="宋体"/>
          <w:color w:val="auto"/>
          <w:kern w:val="0"/>
          <w:highlight w:val="none"/>
        </w:rPr>
      </w:pPr>
    </w:p>
    <w:p>
      <w:pPr>
        <w:pStyle w:val="105"/>
        <w:spacing w:before="0" w:after="0"/>
        <w:ind w:firstLine="0"/>
        <w:rPr>
          <w:rFonts w:ascii="宋体" w:hAnsi="宋体" w:eastAsia="宋体" w:cs="宋体"/>
          <w:color w:val="auto"/>
          <w:highlight w:val="none"/>
        </w:rPr>
      </w:pPr>
    </w:p>
    <w:p>
      <w:pPr>
        <w:pStyle w:val="105"/>
        <w:spacing w:before="0" w:after="0"/>
        <w:ind w:firstLine="0"/>
        <w:rPr>
          <w:rFonts w:ascii="宋体" w:hAnsi="宋体" w:eastAsia="宋体" w:cs="宋体"/>
          <w:color w:val="auto"/>
          <w:highlight w:val="none"/>
        </w:rPr>
      </w:pPr>
    </w:p>
    <w:p>
      <w:pPr>
        <w:pStyle w:val="105"/>
        <w:spacing w:before="0" w:after="0"/>
        <w:ind w:firstLine="0"/>
        <w:rPr>
          <w:rFonts w:ascii="宋体" w:hAnsi="宋体" w:eastAsia="宋体" w:cs="宋体"/>
          <w:color w:val="auto"/>
          <w:highlight w:val="none"/>
        </w:rPr>
      </w:pPr>
    </w:p>
    <w:p>
      <w:pPr>
        <w:pStyle w:val="105"/>
        <w:spacing w:before="0" w:after="0"/>
        <w:ind w:firstLine="0"/>
        <w:rPr>
          <w:rFonts w:ascii="宋体" w:hAnsi="宋体" w:eastAsia="宋体" w:cs="宋体"/>
          <w:color w:val="auto"/>
          <w:highlight w:val="none"/>
        </w:rPr>
      </w:pPr>
    </w:p>
    <w:p>
      <w:pPr>
        <w:pStyle w:val="105"/>
        <w:spacing w:before="0" w:after="0"/>
        <w:ind w:firstLine="0"/>
        <w:rPr>
          <w:rFonts w:ascii="宋体" w:hAnsi="宋体" w:eastAsia="宋体" w:cs="宋体"/>
          <w:color w:val="auto"/>
          <w:highlight w:val="none"/>
        </w:rPr>
      </w:pPr>
    </w:p>
    <w:p>
      <w:pPr>
        <w:pStyle w:val="25"/>
        <w:spacing w:line="360" w:lineRule="auto"/>
        <w:jc w:val="center"/>
        <w:rPr>
          <w:rFonts w:ascii="宋体" w:hAnsi="宋体" w:cs="宋体"/>
          <w:color w:val="auto"/>
          <w:sz w:val="32"/>
          <w:highlight w:val="none"/>
        </w:rPr>
      </w:pPr>
    </w:p>
    <w:p>
      <w:pPr>
        <w:jc w:val="center"/>
        <w:rPr>
          <w:rFonts w:ascii="宋体" w:hAnsi="宋体" w:cs="宋体"/>
          <w:b/>
          <w:color w:val="auto"/>
          <w:sz w:val="24"/>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评分索引表</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center"/>
              <w:rPr>
                <w:rFonts w:ascii="宋体" w:hAnsi="宋体" w:eastAsia="宋体" w:cs="宋体"/>
                <w:b/>
                <w:bCs/>
                <w:color w:val="auto"/>
                <w:highlight w:val="none"/>
                <w:lang w:eastAsia="zh-CN"/>
              </w:rPr>
            </w:pPr>
            <w:r>
              <w:rPr>
                <w:rFonts w:hint="eastAsia" w:ascii="宋体" w:hAnsi="宋体" w:eastAsia="宋体" w:cs="宋体"/>
                <w:b/>
                <w:color w:val="auto"/>
                <w:highlight w:val="none"/>
              </w:rPr>
              <w:t>评分项目</w:t>
            </w:r>
          </w:p>
        </w:tc>
        <w:tc>
          <w:tcPr>
            <w:tcW w:w="357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auto"/>
                <w:sz w:val="24"/>
                <w:highlight w:val="none"/>
              </w:rPr>
            </w:pPr>
            <w:r>
              <w:rPr>
                <w:rFonts w:hint="eastAsia" w:ascii="宋体" w:hAnsi="宋体" w:cs="宋体"/>
                <w:b/>
                <w:color w:val="auto"/>
                <w:kern w:val="0"/>
                <w:sz w:val="24"/>
                <w:highlight w:val="none"/>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color w:val="auto"/>
                <w:kern w:val="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rPr>
                <w:rFonts w:ascii="宋体" w:hAnsi="宋体" w:eastAsia="宋体" w:cs="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420"/>
              <w:jc w:val="both"/>
              <w:rPr>
                <w:rFonts w:ascii="宋体" w:hAnsi="宋体" w:eastAsia="宋体" w:cs="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0" w:firstLine="480" w:firstLineChars="200"/>
              <w:rPr>
                <w:rFonts w:ascii="宋体" w:hAnsi="宋体" w:eastAsia="宋体" w:cs="宋体"/>
                <w:color w:val="auto"/>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93"/>
              <w:shd w:val="clear" w:color="auto" w:fill="FFFFFF"/>
              <w:spacing w:line="265" w:lineRule="atLeast"/>
              <w:ind w:left="0" w:firstLine="480" w:firstLineChars="200"/>
              <w:rPr>
                <w:rFonts w:ascii="宋体" w:hAnsi="宋体" w:eastAsia="宋体" w:cs="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auto"/>
                <w:highlight w:val="none"/>
              </w:rPr>
            </w:pPr>
          </w:p>
        </w:tc>
      </w:tr>
    </w:tbl>
    <w:p>
      <w:pPr>
        <w:rPr>
          <w:rFonts w:ascii="宋体" w:hAnsi="宋体" w:cs="宋体"/>
          <w:color w:val="auto"/>
          <w:highlight w:val="non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投标主要文件目录</w:t>
      </w:r>
    </w:p>
    <w:p>
      <w:pPr>
        <w:spacing w:line="700" w:lineRule="exact"/>
        <w:jc w:val="center"/>
        <w:rPr>
          <w:rFonts w:ascii="宋体" w:hAnsi="宋体" w:cs="宋体"/>
          <w:b/>
          <w:bCs/>
          <w:color w:val="auto"/>
          <w:sz w:val="32"/>
          <w:szCs w:val="32"/>
          <w:highlight w:val="none"/>
        </w:rPr>
      </w:pPr>
    </w:p>
    <w:p>
      <w:pPr>
        <w:spacing w:line="7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一、</w:t>
      </w:r>
      <w:r>
        <w:rPr>
          <w:rFonts w:hint="eastAsia" w:ascii="宋体" w:hAnsi="宋体" w:cs="宋体"/>
          <w:bCs/>
          <w:color w:val="auto"/>
          <w:sz w:val="24"/>
          <w:highlight w:val="none"/>
        </w:rPr>
        <w:t>资信证明文件</w:t>
      </w:r>
    </w:p>
    <w:p>
      <w:pPr>
        <w:spacing w:line="7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二</w:t>
      </w:r>
      <w:r>
        <w:rPr>
          <w:rFonts w:hint="eastAsia" w:ascii="宋体" w:hAnsi="宋体" w:cs="宋体"/>
          <w:color w:val="auto"/>
          <w:sz w:val="24"/>
          <w:highlight w:val="none"/>
        </w:rPr>
        <w:t>、资格性审查响应对照表</w:t>
      </w:r>
    </w:p>
    <w:p>
      <w:pPr>
        <w:spacing w:line="7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三、符合性检查响应对照表</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四、磋商响应函</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五、开标一览表</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六、项目负责人及服务团队人员一览表</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七、技术方案、服务承诺等</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八、盐城市政府采购事前信用承诺书</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九、招标文件及评标办法中要求提供的其他材料</w:t>
      </w:r>
    </w:p>
    <w:p>
      <w:pPr>
        <w:spacing w:line="7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十、盐城工业职业技术学院学生公共浴室改造及服务BOT节能项目磋商多轮报价表（详见文件最后页格式，盖单位章单独带过来用于多轮报价，</w:t>
      </w:r>
      <w:r>
        <w:rPr>
          <w:rFonts w:hint="eastAsia" w:ascii="宋体" w:hAnsi="宋体" w:cs="宋体"/>
          <w:b/>
          <w:color w:val="auto"/>
          <w:sz w:val="24"/>
          <w:highlight w:val="none"/>
        </w:rPr>
        <w:t>一式四份，无需封装，未</w:t>
      </w:r>
      <w:r>
        <w:rPr>
          <w:rFonts w:hint="eastAsia" w:ascii="宋体" w:hAnsi="宋体" w:cs="宋体"/>
          <w:b/>
          <w:color w:val="auto"/>
          <w:sz w:val="24"/>
          <w:highlight w:val="none"/>
          <w:lang w:val="en-US" w:eastAsia="zh-CN"/>
        </w:rPr>
        <w:t>签字</w:t>
      </w:r>
      <w:r>
        <w:rPr>
          <w:rFonts w:hint="eastAsia" w:ascii="宋体" w:hAnsi="宋体" w:cs="宋体"/>
          <w:b/>
          <w:color w:val="auto"/>
          <w:sz w:val="24"/>
          <w:highlight w:val="none"/>
        </w:rPr>
        <w:t>盖章的报价</w:t>
      </w:r>
      <w:r>
        <w:rPr>
          <w:rFonts w:hint="eastAsia" w:ascii="宋体" w:hAnsi="宋体" w:cs="宋体"/>
          <w:b/>
          <w:color w:val="auto"/>
          <w:sz w:val="24"/>
          <w:highlight w:val="none"/>
          <w:lang w:val="en-US" w:eastAsia="zh-CN"/>
        </w:rPr>
        <w:t>材料按无效</w:t>
      </w:r>
      <w:r>
        <w:rPr>
          <w:rFonts w:hint="eastAsia" w:ascii="宋体" w:hAnsi="宋体" w:cs="宋体"/>
          <w:b/>
          <w:color w:val="auto"/>
          <w:sz w:val="24"/>
          <w:highlight w:val="none"/>
        </w:rPr>
        <w:t>报价处理)</w:t>
      </w:r>
    </w:p>
    <w:p>
      <w:pPr>
        <w:spacing w:line="700" w:lineRule="exact"/>
        <w:ind w:firstLine="480" w:firstLineChars="200"/>
        <w:rPr>
          <w:rFonts w:ascii="宋体" w:hAnsi="宋体" w:cs="宋体"/>
          <w:bCs/>
          <w:color w:val="auto"/>
          <w:sz w:val="24"/>
          <w:highlight w:val="none"/>
        </w:rPr>
      </w:pPr>
    </w:p>
    <w:p>
      <w:pPr>
        <w:spacing w:line="700" w:lineRule="exact"/>
        <w:ind w:firstLine="480" w:firstLineChars="200"/>
        <w:rPr>
          <w:rFonts w:ascii="宋体" w:hAnsi="宋体" w:cs="宋体"/>
          <w:bCs/>
          <w:color w:val="auto"/>
          <w:sz w:val="24"/>
          <w:highlight w:val="none"/>
        </w:rPr>
      </w:pPr>
    </w:p>
    <w:p>
      <w:pPr>
        <w:spacing w:line="700" w:lineRule="exact"/>
        <w:ind w:firstLine="480" w:firstLineChars="200"/>
        <w:rPr>
          <w:rFonts w:ascii="宋体" w:hAnsi="宋体" w:cs="宋体"/>
          <w:bCs/>
          <w:color w:val="auto"/>
          <w:sz w:val="24"/>
          <w:highlight w:val="none"/>
        </w:rPr>
      </w:pPr>
    </w:p>
    <w:p>
      <w:pPr>
        <w:spacing w:line="440" w:lineRule="exact"/>
        <w:ind w:firstLine="480" w:firstLineChars="200"/>
        <w:rPr>
          <w:rFonts w:ascii="宋体" w:hAnsi="宋体" w:cs="宋体"/>
          <w:color w:val="auto"/>
          <w:sz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一、资信证明文件</w:t>
      </w:r>
    </w:p>
    <w:p>
      <w:pPr>
        <w:snapToGrid w:val="0"/>
        <w:spacing w:before="50" w:after="50" w:line="500" w:lineRule="exact"/>
        <w:rPr>
          <w:rFonts w:ascii="宋体" w:hAnsi="宋体" w:cs="宋体"/>
          <w:color w:val="auto"/>
          <w:sz w:val="24"/>
          <w:szCs w:val="20"/>
          <w:highlight w:val="none"/>
        </w:rPr>
      </w:pPr>
      <w:bookmarkStart w:id="155" w:name="_Hlt26955041"/>
      <w:bookmarkEnd w:id="155"/>
      <w:bookmarkStart w:id="156" w:name="_Toc22356583"/>
      <w:bookmarkStart w:id="157" w:name="_Toc24878535"/>
      <w:bookmarkStart w:id="158" w:name="_Toc49090582"/>
      <w:bookmarkStart w:id="159" w:name="_Toc120614291"/>
      <w:bookmarkStart w:id="160" w:name="_Toc120614284"/>
      <w:bookmarkStart w:id="161" w:name="_Toc26554103"/>
      <w:bookmarkStart w:id="162" w:name="_Toc513029281"/>
      <w:bookmarkStart w:id="163" w:name="_Toc23828483"/>
      <w:r>
        <w:rPr>
          <w:rFonts w:hint="eastAsia" w:ascii="宋体" w:hAnsi="宋体" w:cs="宋体"/>
          <w:b/>
          <w:bCs/>
          <w:color w:val="auto"/>
          <w:sz w:val="24"/>
          <w:highlight w:val="none"/>
        </w:rPr>
        <w:t>1、实质性资格证明文件目录</w:t>
      </w:r>
    </w:p>
    <w:p>
      <w:pPr>
        <w:snapToGrid w:val="0"/>
        <w:spacing w:line="580" w:lineRule="exact"/>
        <w:ind w:firstLine="482" w:firstLineChars="200"/>
        <w:rPr>
          <w:rFonts w:ascii="宋体" w:hAnsi="宋体" w:cs="宋体"/>
          <w:iCs/>
          <w:color w:val="auto"/>
          <w:sz w:val="24"/>
          <w:highlight w:val="none"/>
          <w:u w:val="single"/>
        </w:rPr>
      </w:pPr>
      <w:r>
        <w:rPr>
          <w:rFonts w:hint="eastAsia" w:ascii="宋体" w:hAnsi="宋体" w:cs="宋体"/>
          <w:b/>
          <w:iCs/>
          <w:color w:val="auto"/>
          <w:sz w:val="24"/>
          <w:highlight w:val="none"/>
          <w:u w:val="single"/>
        </w:rPr>
        <w:t xml:space="preserve">文件1  </w:t>
      </w:r>
      <w:r>
        <w:rPr>
          <w:rFonts w:hint="eastAsia" w:ascii="宋体" w:hAnsi="宋体" w:cs="宋体"/>
          <w:iCs/>
          <w:color w:val="auto"/>
          <w:sz w:val="24"/>
          <w:highlight w:val="none"/>
          <w:u w:val="single"/>
        </w:rPr>
        <w:t>法人或者其他组织的营业执照等证明文件，自然人的身份证明（复印件）</w:t>
      </w:r>
    </w:p>
    <w:p>
      <w:pPr>
        <w:snapToGrid w:val="0"/>
        <w:spacing w:before="50" w:after="120" w:afterLines="50" w:line="580" w:lineRule="exact"/>
        <w:ind w:firstLine="482" w:firstLineChars="200"/>
        <w:jc w:val="left"/>
        <w:rPr>
          <w:rFonts w:ascii="宋体" w:hAnsi="宋体" w:cs="宋体"/>
          <w:b/>
          <w:iCs/>
          <w:color w:val="auto"/>
          <w:sz w:val="24"/>
          <w:highlight w:val="none"/>
          <w:u w:val="single"/>
        </w:rPr>
      </w:pPr>
      <w:r>
        <w:rPr>
          <w:rFonts w:hint="eastAsia" w:ascii="宋体" w:hAnsi="宋体" w:cs="宋体"/>
          <w:b/>
          <w:iCs/>
          <w:color w:val="auto"/>
          <w:sz w:val="24"/>
          <w:highlight w:val="none"/>
          <w:u w:val="single"/>
        </w:rPr>
        <w:t xml:space="preserve">文件2  </w:t>
      </w:r>
      <w:r>
        <w:rPr>
          <w:rFonts w:hint="eastAsia" w:ascii="宋体" w:hAnsi="宋体" w:cs="宋体"/>
          <w:iCs/>
          <w:color w:val="auto"/>
          <w:sz w:val="24"/>
          <w:highlight w:val="none"/>
          <w:u w:val="single"/>
        </w:rPr>
        <w:t>上一年度财务状况报表（复印件，成立不满一年不需提供）</w:t>
      </w:r>
    </w:p>
    <w:p>
      <w:pPr>
        <w:snapToGrid w:val="0"/>
        <w:spacing w:line="580" w:lineRule="exact"/>
        <w:ind w:firstLine="482" w:firstLineChars="200"/>
        <w:rPr>
          <w:rFonts w:ascii="宋体" w:hAnsi="宋体" w:cs="宋体"/>
          <w:iCs/>
          <w:color w:val="auto"/>
          <w:sz w:val="24"/>
          <w:highlight w:val="none"/>
          <w:u w:val="single"/>
        </w:rPr>
      </w:pPr>
      <w:r>
        <w:rPr>
          <w:rFonts w:hint="eastAsia" w:ascii="宋体" w:hAnsi="宋体" w:cs="宋体"/>
          <w:b/>
          <w:iCs/>
          <w:color w:val="auto"/>
          <w:sz w:val="24"/>
          <w:highlight w:val="none"/>
          <w:u w:val="single"/>
        </w:rPr>
        <w:t xml:space="preserve">文件3  </w:t>
      </w:r>
      <w:r>
        <w:rPr>
          <w:rFonts w:hint="eastAsia" w:ascii="宋体" w:hAnsi="宋体" w:cs="宋体"/>
          <w:iCs/>
          <w:color w:val="auto"/>
          <w:sz w:val="24"/>
          <w:highlight w:val="none"/>
          <w:u w:val="single"/>
        </w:rPr>
        <w:t>依法缴纳税收和社会保障资金的相关材料（复印件）</w:t>
      </w:r>
    </w:p>
    <w:p>
      <w:pPr>
        <w:snapToGrid w:val="0"/>
        <w:spacing w:before="50" w:after="120" w:afterLines="50" w:line="580" w:lineRule="exact"/>
        <w:ind w:firstLine="482" w:firstLineChars="200"/>
        <w:jc w:val="left"/>
        <w:rPr>
          <w:rFonts w:ascii="宋体" w:hAnsi="宋体" w:cs="宋体"/>
          <w:b/>
          <w:iCs/>
          <w:color w:val="auto"/>
          <w:sz w:val="24"/>
          <w:highlight w:val="none"/>
          <w:u w:val="single"/>
        </w:rPr>
      </w:pPr>
      <w:r>
        <w:rPr>
          <w:rFonts w:hint="eastAsia" w:ascii="宋体" w:hAnsi="宋体" w:cs="宋体"/>
          <w:b/>
          <w:iCs/>
          <w:color w:val="auto"/>
          <w:sz w:val="24"/>
          <w:highlight w:val="none"/>
          <w:u w:val="single"/>
        </w:rPr>
        <w:t xml:space="preserve">文件4  </w:t>
      </w:r>
      <w:r>
        <w:rPr>
          <w:rFonts w:hint="eastAsia" w:ascii="宋体" w:hAnsi="宋体" w:cs="宋体"/>
          <w:iCs/>
          <w:color w:val="auto"/>
          <w:sz w:val="24"/>
          <w:highlight w:val="none"/>
          <w:u w:val="single"/>
        </w:rPr>
        <w:t>具备履行合同所必需的设备和专业技术能力证明材料（复印件）</w:t>
      </w:r>
    </w:p>
    <w:p>
      <w:pPr>
        <w:snapToGrid w:val="0"/>
        <w:spacing w:line="580" w:lineRule="exact"/>
        <w:ind w:firstLine="482" w:firstLineChars="200"/>
        <w:rPr>
          <w:rFonts w:ascii="宋体" w:hAnsi="宋体" w:cs="宋体"/>
          <w:iCs/>
          <w:color w:val="auto"/>
          <w:sz w:val="24"/>
          <w:highlight w:val="none"/>
          <w:u w:val="single"/>
        </w:rPr>
      </w:pPr>
      <w:r>
        <w:rPr>
          <w:rFonts w:hint="eastAsia" w:ascii="宋体" w:hAnsi="宋体" w:cs="宋体"/>
          <w:b/>
          <w:iCs/>
          <w:color w:val="auto"/>
          <w:sz w:val="24"/>
          <w:highlight w:val="none"/>
          <w:u w:val="single"/>
        </w:rPr>
        <w:t xml:space="preserve">文件5 </w:t>
      </w:r>
      <w:r>
        <w:rPr>
          <w:rFonts w:hint="eastAsia" w:ascii="宋体" w:hAnsi="宋体" w:cs="宋体"/>
          <w:iCs/>
          <w:color w:val="auto"/>
          <w:sz w:val="24"/>
          <w:highlight w:val="none"/>
          <w:u w:val="single"/>
        </w:rPr>
        <w:t>参加政府采购活动前 3 年内在经营活动中没有重大违法记录的书面声明（</w:t>
      </w:r>
      <w:r>
        <w:rPr>
          <w:rFonts w:hint="eastAsia" w:ascii="宋体" w:hAnsi="宋体" w:cs="宋体"/>
          <w:iCs/>
          <w:color w:val="auto"/>
          <w:highlight w:val="none"/>
          <w:u w:val="single"/>
        </w:rPr>
        <w:t>原件,</w:t>
      </w:r>
      <w:r>
        <w:rPr>
          <w:rFonts w:hint="eastAsia" w:ascii="宋体" w:hAnsi="宋体" w:cs="宋体"/>
          <w:iCs/>
          <w:color w:val="auto"/>
          <w:sz w:val="24"/>
          <w:highlight w:val="none"/>
          <w:u w:val="single"/>
        </w:rPr>
        <w:t>格式见附表）</w:t>
      </w:r>
    </w:p>
    <w:p>
      <w:pPr>
        <w:pStyle w:val="97"/>
        <w:spacing w:line="580" w:lineRule="exact"/>
        <w:ind w:firstLine="561"/>
        <w:rPr>
          <w:rFonts w:ascii="宋体" w:hAnsi="宋体" w:cs="宋体"/>
          <w:iCs/>
          <w:color w:val="auto"/>
          <w:highlight w:val="none"/>
          <w:u w:val="single"/>
        </w:rPr>
      </w:pPr>
      <w:r>
        <w:rPr>
          <w:rFonts w:hint="eastAsia" w:ascii="宋体" w:hAnsi="宋体" w:cs="宋体"/>
          <w:b/>
          <w:iCs/>
          <w:color w:val="auto"/>
          <w:highlight w:val="none"/>
          <w:u w:val="single"/>
        </w:rPr>
        <w:t>文件6</w:t>
      </w:r>
      <w:r>
        <w:rPr>
          <w:rFonts w:hint="eastAsia" w:ascii="宋体" w:hAnsi="宋体" w:cs="宋体"/>
          <w:iCs/>
          <w:color w:val="auto"/>
          <w:highlight w:val="none"/>
          <w:u w:val="single"/>
        </w:rPr>
        <w:t>法人授权书（原件）</w:t>
      </w:r>
    </w:p>
    <w:p>
      <w:pPr>
        <w:pStyle w:val="97"/>
        <w:spacing w:line="580" w:lineRule="exact"/>
        <w:ind w:firstLine="561"/>
        <w:rPr>
          <w:rFonts w:ascii="宋体" w:hAnsi="宋体" w:cs="宋体"/>
          <w:iCs/>
          <w:color w:val="auto"/>
          <w:highlight w:val="none"/>
          <w:u w:val="single"/>
        </w:rPr>
      </w:pPr>
      <w:r>
        <w:rPr>
          <w:rFonts w:hint="eastAsia" w:ascii="宋体" w:hAnsi="宋体" w:cs="宋体"/>
          <w:b/>
          <w:iCs/>
          <w:color w:val="auto"/>
          <w:highlight w:val="none"/>
          <w:u w:val="single"/>
        </w:rPr>
        <w:t>文件7</w:t>
      </w:r>
      <w:r>
        <w:rPr>
          <w:rFonts w:hint="eastAsia" w:ascii="宋体" w:hAnsi="宋体" w:cs="宋体"/>
          <w:iCs/>
          <w:color w:val="auto"/>
          <w:highlight w:val="none"/>
          <w:u w:val="single"/>
        </w:rPr>
        <w:t>未被“信用中国”网站（www.creditchina.gov.cn）列入失信被执行人、重大税收违法案件当事人名单、政府采购严重失信行为记录名单（提供官网查询截图并加盖公章）；</w:t>
      </w:r>
    </w:p>
    <w:p>
      <w:pPr>
        <w:pStyle w:val="97"/>
        <w:spacing w:line="580" w:lineRule="exact"/>
        <w:ind w:firstLine="561"/>
        <w:rPr>
          <w:rFonts w:ascii="宋体" w:hAnsi="宋体" w:cs="宋体"/>
          <w:iCs/>
          <w:color w:val="auto"/>
          <w:highlight w:val="none"/>
          <w:u w:val="single"/>
        </w:rPr>
      </w:pPr>
      <w:r>
        <w:rPr>
          <w:rFonts w:hint="eastAsia" w:ascii="宋体" w:hAnsi="宋体" w:cs="宋体"/>
          <w:b/>
          <w:iCs/>
          <w:color w:val="auto"/>
          <w:highlight w:val="none"/>
        </w:rPr>
        <w:t>文件8</w:t>
      </w:r>
      <w:r>
        <w:rPr>
          <w:rFonts w:hint="eastAsia" w:ascii="宋体" w:hAnsi="宋体" w:cs="宋体"/>
          <w:iCs/>
          <w:color w:val="auto"/>
          <w:highlight w:val="none"/>
          <w:u w:val="single"/>
        </w:rPr>
        <w:t>招标文件中规定要求提供的其他证明材料和磋商供应商认为需要提供的其他材料。</w:t>
      </w:r>
    </w:p>
    <w:p>
      <w:pPr>
        <w:pStyle w:val="97"/>
        <w:spacing w:line="580" w:lineRule="exact"/>
        <w:ind w:firstLine="561"/>
        <w:rPr>
          <w:rFonts w:ascii="宋体" w:hAnsi="宋体" w:cs="宋体"/>
          <w:iCs/>
          <w:color w:val="auto"/>
          <w:highlight w:val="none"/>
          <w:u w:val="single"/>
        </w:rPr>
      </w:pPr>
    </w:p>
    <w:p>
      <w:pPr>
        <w:pStyle w:val="97"/>
        <w:spacing w:line="500" w:lineRule="exact"/>
        <w:ind w:firstLine="561"/>
        <w:jc w:val="center"/>
        <w:rPr>
          <w:rFonts w:ascii="宋体" w:hAnsi="宋体" w:cs="宋体"/>
          <w:b/>
          <w:bCs/>
          <w:color w:val="auto"/>
          <w:szCs w:val="21"/>
          <w:highlight w:val="none"/>
        </w:rPr>
      </w:pPr>
    </w:p>
    <w:p>
      <w:pPr>
        <w:pStyle w:val="97"/>
        <w:spacing w:line="500" w:lineRule="exact"/>
        <w:ind w:firstLine="561"/>
        <w:jc w:val="center"/>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ind w:firstLine="4216" w:firstLineChars="1750"/>
        <w:rPr>
          <w:rFonts w:ascii="宋体" w:hAnsi="宋体" w:cs="宋体"/>
          <w:b/>
          <w:bCs/>
          <w:color w:val="auto"/>
          <w:szCs w:val="21"/>
          <w:highlight w:val="none"/>
        </w:rPr>
      </w:pPr>
    </w:p>
    <w:p>
      <w:pPr>
        <w:pStyle w:val="97"/>
        <w:spacing w:line="500" w:lineRule="exact"/>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5"/>
        <w:jc w:val="center"/>
        <w:rPr>
          <w:rFonts w:ascii="宋体" w:hAnsi="宋体" w:cs="宋体"/>
          <w:bCs/>
          <w:color w:val="auto"/>
          <w:sz w:val="24"/>
          <w:szCs w:val="24"/>
          <w:highlight w:val="none"/>
        </w:rPr>
      </w:pPr>
      <w:r>
        <w:rPr>
          <w:rFonts w:hint="eastAsia" w:ascii="宋体" w:hAnsi="宋体" w:cs="宋体"/>
          <w:bCs/>
          <w:color w:val="auto"/>
          <w:sz w:val="24"/>
          <w:szCs w:val="24"/>
          <w:highlight w:val="none"/>
        </w:rPr>
        <w:t>具备履行合同所必需的专业技术能力的书面声明</w:t>
      </w:r>
    </w:p>
    <w:p>
      <w:pPr>
        <w:spacing w:line="460" w:lineRule="exact"/>
        <w:ind w:firstLine="492"/>
        <w:rPr>
          <w:rFonts w:ascii="宋体" w:hAnsi="宋体" w:cs="宋体"/>
          <w:bCs/>
          <w:color w:val="auto"/>
          <w:sz w:val="24"/>
          <w:highlight w:val="none"/>
        </w:rPr>
      </w:pPr>
      <w:r>
        <w:rPr>
          <w:rFonts w:hint="eastAsia" w:ascii="宋体" w:hAnsi="宋体" w:cs="宋体"/>
          <w:bCs/>
          <w:color w:val="auto"/>
          <w:sz w:val="24"/>
          <w:highlight w:val="none"/>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auto"/>
          <w:sz w:val="24"/>
          <w:highlight w:val="none"/>
        </w:rPr>
      </w:pPr>
      <w:r>
        <w:rPr>
          <w:rFonts w:hint="eastAsia" w:ascii="宋体" w:hAnsi="宋体" w:cs="宋体"/>
          <w:bCs/>
          <w:color w:val="auto"/>
          <w:sz w:val="24"/>
          <w:highlight w:val="none"/>
        </w:rPr>
        <w:t>主要设备有：  。</w:t>
      </w:r>
    </w:p>
    <w:p>
      <w:pPr>
        <w:spacing w:line="460" w:lineRule="exact"/>
        <w:ind w:firstLine="492"/>
        <w:rPr>
          <w:rFonts w:ascii="宋体" w:hAnsi="宋体" w:cs="宋体"/>
          <w:bCs/>
          <w:color w:val="auto"/>
          <w:sz w:val="24"/>
          <w:highlight w:val="none"/>
        </w:rPr>
      </w:pPr>
      <w:r>
        <w:rPr>
          <w:rFonts w:hint="eastAsia" w:ascii="宋体" w:hAnsi="宋体" w:cs="宋体"/>
          <w:bCs/>
          <w:color w:val="auto"/>
          <w:sz w:val="24"/>
          <w:highlight w:val="none"/>
        </w:rPr>
        <w:t>主要专业技术能力有：   。</w:t>
      </w: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 xml:space="preserve">                                      供应商名称（公章）：</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 xml:space="preserve">                                     日期：年月日</w:t>
      </w:r>
    </w:p>
    <w:p>
      <w:pPr>
        <w:pStyle w:val="13"/>
        <w:rPr>
          <w:rFonts w:ascii="宋体" w:hAnsi="宋体" w:cs="宋体"/>
          <w:color w:val="auto"/>
          <w:highlight w:val="none"/>
        </w:rPr>
      </w:pPr>
      <w:r>
        <w:rPr>
          <w:rFonts w:hint="eastAsia" w:ascii="宋体" w:hAnsi="宋体" w:cs="宋体"/>
          <w:color w:val="auto"/>
          <w:highlight w:val="none"/>
        </w:rPr>
        <w:br w:type="page"/>
      </w:r>
    </w:p>
    <w:p>
      <w:pPr>
        <w:pStyle w:val="5"/>
        <w:jc w:val="center"/>
        <w:rPr>
          <w:rFonts w:ascii="宋体" w:hAnsi="宋体" w:cs="宋体"/>
          <w:bCs/>
          <w:color w:val="auto"/>
          <w:sz w:val="24"/>
          <w:szCs w:val="24"/>
          <w:highlight w:val="none"/>
        </w:rPr>
      </w:pPr>
    </w:p>
    <w:p>
      <w:pPr>
        <w:pStyle w:val="5"/>
        <w:jc w:val="center"/>
        <w:rPr>
          <w:rFonts w:ascii="宋体" w:hAnsi="宋体" w:cs="宋体"/>
          <w:bCs/>
          <w:color w:val="auto"/>
          <w:sz w:val="24"/>
          <w:szCs w:val="24"/>
          <w:highlight w:val="none"/>
        </w:rPr>
      </w:pPr>
      <w:r>
        <w:rPr>
          <w:rFonts w:hint="eastAsia" w:ascii="宋体" w:hAnsi="宋体" w:cs="宋体"/>
          <w:bCs/>
          <w:color w:val="auto"/>
          <w:sz w:val="24"/>
          <w:szCs w:val="24"/>
          <w:highlight w:val="none"/>
        </w:rPr>
        <w:t>参加政府采购活动前3年内在经营活动中没有重大违法记录的书面声明</w:t>
      </w:r>
    </w:p>
    <w:p>
      <w:pPr>
        <w:spacing w:line="460" w:lineRule="exact"/>
        <w:rPr>
          <w:rFonts w:ascii="宋体" w:hAnsi="宋体" w:cs="宋体"/>
          <w:b/>
          <w:bCs/>
          <w:color w:val="auto"/>
          <w:sz w:val="44"/>
          <w:szCs w:val="44"/>
          <w:highlight w:val="none"/>
        </w:rPr>
      </w:pPr>
    </w:p>
    <w:p>
      <w:pPr>
        <w:spacing w:line="460" w:lineRule="exact"/>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声  明</w:t>
      </w: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我公司郑重声明：参加本次政府采购活动前3年内，我公司在经营活动中没有因违法经营受到刑事处罚或者责令停产停业、吊销许可证或者执照、较大数额罚款等行政处罚。</w:t>
      </w: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 xml:space="preserve">                                      供应商名称（公章）：</w:t>
      </w: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 xml:space="preserve">                                      授权代表签字：</w:t>
      </w:r>
    </w:p>
    <w:p>
      <w:pPr>
        <w:spacing w:line="460" w:lineRule="exact"/>
        <w:rPr>
          <w:rFonts w:ascii="宋体" w:hAnsi="宋体" w:cs="宋体"/>
          <w:bCs/>
          <w:color w:val="auto"/>
          <w:sz w:val="24"/>
          <w:highlight w:val="none"/>
        </w:rPr>
      </w:pPr>
      <w:r>
        <w:rPr>
          <w:rFonts w:hint="eastAsia" w:ascii="宋体" w:hAnsi="宋体" w:cs="宋体"/>
          <w:bCs/>
          <w:color w:val="auto"/>
          <w:sz w:val="24"/>
          <w:highlight w:val="none"/>
        </w:rPr>
        <w:t xml:space="preserve">                                     日期：年月日</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561"/>
        <w:jc w:val="center"/>
        <w:rPr>
          <w:rFonts w:ascii="宋体" w:hAnsi="宋体" w:cs="宋体"/>
          <w:b/>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highlight w:val="none"/>
        </w:rPr>
      </w:pPr>
    </w:p>
    <w:p>
      <w:pPr>
        <w:pStyle w:val="97"/>
        <w:ind w:firstLine="56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法人授权书</w:t>
      </w:r>
    </w:p>
    <w:p>
      <w:pPr>
        <w:pStyle w:val="97"/>
        <w:ind w:firstLine="561"/>
        <w:jc w:val="center"/>
        <w:rPr>
          <w:rFonts w:ascii="宋体" w:hAnsi="宋体" w:cs="宋体"/>
          <w:b/>
          <w:bCs/>
          <w:color w:val="auto"/>
          <w:sz w:val="32"/>
          <w:szCs w:val="32"/>
          <w:highlight w:val="none"/>
        </w:rPr>
      </w:pPr>
    </w:p>
    <w:p>
      <w:pPr>
        <w:pStyle w:val="97"/>
        <w:spacing w:line="360" w:lineRule="auto"/>
        <w:ind w:firstLine="480"/>
        <w:rPr>
          <w:rFonts w:ascii="宋体" w:hAnsi="宋体" w:cs="宋体"/>
          <w:color w:val="auto"/>
          <w:highlight w:val="none"/>
        </w:rPr>
      </w:pPr>
      <w:r>
        <w:rPr>
          <w:rFonts w:hint="eastAsia" w:ascii="宋体" w:hAnsi="宋体" w:cs="宋体"/>
          <w:color w:val="auto"/>
          <w:highlight w:val="none"/>
        </w:rPr>
        <w:t>本授权书声明：____________（供应商名称）授权________________（被授权人的姓名）为我方就项目采购活动的合法代理人，以本公司名义全权处理一切与该项目采购有关的事务。</w:t>
      </w:r>
    </w:p>
    <w:p>
      <w:pPr>
        <w:pStyle w:val="97"/>
        <w:spacing w:line="360" w:lineRule="auto"/>
        <w:ind w:firstLine="480"/>
        <w:rPr>
          <w:rFonts w:ascii="宋体" w:hAnsi="宋体" w:cs="宋体"/>
          <w:color w:val="auto"/>
          <w:highlight w:val="none"/>
        </w:rPr>
      </w:pPr>
      <w:r>
        <w:rPr>
          <w:rFonts w:hint="eastAsia" w:ascii="宋体" w:hAnsi="宋体" w:cs="宋体"/>
          <w:color w:val="auto"/>
          <w:highlight w:val="none"/>
        </w:rPr>
        <w:t>本授权书于______年____月____日起生效，特此声明。</w:t>
      </w:r>
    </w:p>
    <w:p>
      <w:pPr>
        <w:pStyle w:val="97"/>
        <w:spacing w:line="360" w:lineRule="auto"/>
        <w:rPr>
          <w:rFonts w:ascii="宋体" w:hAnsi="宋体" w:cs="宋体"/>
          <w:color w:val="auto"/>
          <w:highlight w:val="none"/>
        </w:rPr>
      </w:pPr>
      <w:r>
        <w:rPr>
          <w:rFonts w:hint="eastAsia" w:ascii="宋体" w:hAnsi="宋体" w:cs="宋体"/>
          <w:color w:val="auto"/>
          <w:highlight w:val="none"/>
        </w:rPr>
        <w:t xml:space="preserve">          代理人（被授权人）：_______________________</w:t>
      </w:r>
    </w:p>
    <w:p>
      <w:pPr>
        <w:pStyle w:val="97"/>
        <w:spacing w:line="360" w:lineRule="auto"/>
        <w:rPr>
          <w:rFonts w:ascii="宋体" w:hAnsi="宋体" w:cs="宋体"/>
          <w:color w:val="auto"/>
          <w:highlight w:val="none"/>
        </w:rPr>
      </w:pPr>
    </w:p>
    <w:p>
      <w:pPr>
        <w:pStyle w:val="97"/>
        <w:spacing w:line="360" w:lineRule="auto"/>
        <w:rPr>
          <w:rFonts w:ascii="宋体" w:hAnsi="宋体" w:cs="宋体"/>
          <w:color w:val="auto"/>
          <w:highlight w:val="none"/>
        </w:rPr>
      </w:pPr>
      <w:r>
        <w:rPr>
          <w:rFonts w:hint="eastAsia" w:ascii="宋体" w:hAnsi="宋体" w:cs="宋体"/>
          <w:color w:val="auto"/>
          <w:highlight w:val="none"/>
        </w:rPr>
        <w:t xml:space="preserve">          单位名称：_____________________________________</w:t>
      </w:r>
    </w:p>
    <w:p>
      <w:pPr>
        <w:pStyle w:val="97"/>
        <w:spacing w:line="360" w:lineRule="auto"/>
        <w:ind w:firstLine="480"/>
        <w:rPr>
          <w:rFonts w:ascii="宋体" w:hAnsi="宋体" w:cs="宋体"/>
          <w:color w:val="auto"/>
          <w:highlight w:val="none"/>
        </w:rPr>
      </w:pPr>
    </w:p>
    <w:p>
      <w:pPr>
        <w:pStyle w:val="97"/>
        <w:spacing w:line="360" w:lineRule="auto"/>
        <w:rPr>
          <w:rFonts w:ascii="宋体" w:hAnsi="宋体" w:cs="宋体"/>
          <w:color w:val="auto"/>
          <w:highlight w:val="none"/>
        </w:rPr>
      </w:pPr>
      <w:r>
        <w:rPr>
          <w:rFonts w:hint="eastAsia" w:ascii="宋体" w:hAnsi="宋体" w:cs="宋体"/>
          <w:color w:val="auto"/>
          <w:highlight w:val="none"/>
        </w:rPr>
        <w:t xml:space="preserve">          授权单位盖章：_________________________________</w:t>
      </w:r>
    </w:p>
    <w:p>
      <w:pPr>
        <w:pStyle w:val="97"/>
        <w:spacing w:line="360" w:lineRule="auto"/>
        <w:ind w:firstLine="480"/>
        <w:rPr>
          <w:rFonts w:ascii="宋体" w:hAnsi="宋体" w:cs="宋体"/>
          <w:color w:val="auto"/>
          <w:highlight w:val="none"/>
        </w:rPr>
      </w:pPr>
      <w:r>
        <w:rPr>
          <w:rFonts w:hint="eastAsia" w:ascii="宋体" w:hAnsi="宋体" w:cs="宋体"/>
          <w:color w:val="auto"/>
          <w:highlight w:val="none"/>
        </w:rPr>
        <w:t xml:space="preserve">      单位名称：_____________________________________</w:t>
      </w:r>
    </w:p>
    <w:p>
      <w:pPr>
        <w:pStyle w:val="97"/>
        <w:spacing w:line="360" w:lineRule="auto"/>
        <w:ind w:firstLine="480"/>
        <w:rPr>
          <w:rFonts w:ascii="宋体" w:hAnsi="宋体" w:cs="宋体"/>
          <w:color w:val="auto"/>
          <w:highlight w:val="none"/>
          <w:u w:val="single"/>
        </w:rPr>
      </w:pPr>
      <w:r>
        <w:rPr>
          <w:rFonts w:hint="eastAsia" w:ascii="宋体" w:hAnsi="宋体" w:cs="宋体"/>
          <w:color w:val="auto"/>
          <w:highlight w:val="none"/>
        </w:rPr>
        <w:t xml:space="preserve">      地址：</w:t>
      </w:r>
    </w:p>
    <w:p>
      <w:pPr>
        <w:pStyle w:val="97"/>
        <w:spacing w:line="360" w:lineRule="auto"/>
        <w:ind w:firstLine="480"/>
        <w:rPr>
          <w:rFonts w:ascii="宋体" w:hAnsi="宋体" w:cs="宋体"/>
          <w:color w:val="auto"/>
          <w:highlight w:val="none"/>
        </w:rPr>
      </w:pPr>
      <w:r>
        <w:rPr>
          <w:rFonts w:hint="eastAsia" w:ascii="宋体" w:hAnsi="宋体" w:cs="宋体"/>
          <w:color w:val="auto"/>
          <w:highlight w:val="none"/>
        </w:rPr>
        <w:t xml:space="preserve">      日期：                    </w:t>
      </w:r>
    </w:p>
    <w:p>
      <w:pPr>
        <w:pStyle w:val="5"/>
        <w:spacing w:line="360" w:lineRule="auto"/>
        <w:rPr>
          <w:rFonts w:ascii="宋体" w:hAnsi="宋体" w:cs="宋体"/>
          <w:color w:val="auto"/>
          <w:highlight w:val="none"/>
        </w:rPr>
      </w:pPr>
      <w:bookmarkStart w:id="164" w:name="_Hlt26955070"/>
      <w:bookmarkEnd w:id="164"/>
      <w:bookmarkStart w:id="165" w:name="_格式3__银行出具的资信证明"/>
      <w:bookmarkEnd w:id="165"/>
      <w:bookmarkStart w:id="166" w:name="_Hlt26671380"/>
      <w:bookmarkEnd w:id="166"/>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pStyle w:val="97"/>
        <w:ind w:firstLine="4216" w:firstLineChars="1750"/>
        <w:rPr>
          <w:rFonts w:ascii="宋体" w:hAnsi="宋体" w:cs="宋体"/>
          <w:b/>
          <w:bCs/>
          <w:color w:val="auto"/>
          <w:szCs w:val="21"/>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r>
        <w:rPr>
          <w:rFonts w:hint="eastAsia" w:ascii="宋体" w:hAnsi="宋体" w:cs="宋体"/>
          <w:color w:val="auto"/>
          <w:sz w:val="32"/>
          <w:szCs w:val="32"/>
          <w:highlight w:val="none"/>
        </w:rPr>
        <w:t>二、资格性审查响应对照表（格式）</w:t>
      </w:r>
    </w:p>
    <w:p>
      <w:pPr>
        <w:ind w:firstLine="309"/>
        <w:rPr>
          <w:rFonts w:ascii="宋体" w:hAnsi="宋体" w:cs="宋体"/>
          <w:color w:val="auto"/>
          <w:sz w:val="24"/>
          <w:highlight w:val="none"/>
        </w:rPr>
      </w:pPr>
      <w:r>
        <w:rPr>
          <w:rFonts w:hint="eastAsia" w:ascii="宋体" w:hAnsi="宋体" w:cs="宋体"/>
          <w:color w:val="auto"/>
          <w:sz w:val="24"/>
          <w:highlight w:val="none"/>
        </w:rPr>
        <w:t>投标人全称（加盖公章）：</w:t>
      </w:r>
    </w:p>
    <w:tbl>
      <w:tblPr>
        <w:tblStyle w:val="4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736"/>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序号</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是否响应（填是或者否）</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r>
              <w:rPr>
                <w:rFonts w:hint="eastAsia" w:ascii="宋体" w:hAnsi="宋体" w:cs="宋体"/>
                <w:b/>
                <w:color w:val="auto"/>
                <w:highlight w:val="none"/>
              </w:rPr>
              <w:t>1</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2</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3</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4</w:t>
            </w:r>
          </w:p>
        </w:tc>
        <w:tc>
          <w:tcPr>
            <w:tcW w:w="47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5</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6</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7</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bl>
    <w:p>
      <w:pPr>
        <w:spacing w:line="440" w:lineRule="exact"/>
        <w:ind w:firstLine="480" w:firstLineChars="200"/>
        <w:rPr>
          <w:rFonts w:ascii="宋体" w:hAnsi="宋体" w:cs="宋体"/>
          <w:color w:val="auto"/>
          <w:sz w:val="24"/>
          <w:highlight w:val="none"/>
        </w:rPr>
      </w:pPr>
    </w:p>
    <w:p>
      <w:pPr>
        <w:snapToGrid w:val="0"/>
        <w:spacing w:before="50" w:after="50"/>
        <w:rPr>
          <w:rFonts w:ascii="宋体" w:hAnsi="宋体" w:cs="宋体"/>
          <w:color w:val="auto"/>
          <w:sz w:val="44"/>
          <w:highlight w:val="none"/>
        </w:rPr>
      </w:pPr>
    </w:p>
    <w:p>
      <w:pPr>
        <w:snapToGrid w:val="0"/>
        <w:spacing w:before="50" w:after="50"/>
        <w:rPr>
          <w:rFonts w:ascii="宋体" w:hAnsi="宋体" w:cs="宋体"/>
          <w:color w:val="auto"/>
          <w:sz w:val="44"/>
          <w:highlight w:val="none"/>
        </w:rPr>
      </w:pPr>
    </w:p>
    <w:p>
      <w:pPr>
        <w:snapToGrid w:val="0"/>
        <w:spacing w:before="50" w:after="50"/>
        <w:rPr>
          <w:rFonts w:ascii="宋体" w:hAnsi="宋体" w:cs="宋体"/>
          <w:color w:val="auto"/>
          <w:sz w:val="44"/>
          <w:highlight w:val="none"/>
        </w:rPr>
      </w:pPr>
    </w:p>
    <w:p>
      <w:pPr>
        <w:snapToGrid w:val="0"/>
        <w:spacing w:before="50" w:after="50"/>
        <w:rPr>
          <w:rFonts w:ascii="宋体" w:hAnsi="宋体" w:cs="宋体"/>
          <w:color w:val="auto"/>
          <w:sz w:val="44"/>
          <w:highlight w:val="none"/>
        </w:rPr>
      </w:pPr>
    </w:p>
    <w:p>
      <w:pPr>
        <w:snapToGrid w:val="0"/>
        <w:spacing w:before="50" w:after="50"/>
        <w:rPr>
          <w:rFonts w:ascii="宋体" w:hAnsi="宋体" w:cs="宋体"/>
          <w:color w:val="auto"/>
          <w:sz w:val="44"/>
          <w:highlight w:val="none"/>
        </w:rPr>
      </w:pPr>
    </w:p>
    <w:p>
      <w:pPr>
        <w:snapToGrid w:val="0"/>
        <w:spacing w:before="50" w:after="50"/>
        <w:rPr>
          <w:rFonts w:ascii="宋体" w:hAnsi="宋体" w:cs="宋体"/>
          <w:color w:val="auto"/>
          <w:sz w:val="32"/>
          <w:szCs w:val="32"/>
          <w:highlight w:val="none"/>
        </w:rPr>
      </w:pPr>
    </w:p>
    <w:p>
      <w:pPr>
        <w:pStyle w:val="30"/>
        <w:rPr>
          <w:color w:val="auto"/>
          <w:highlight w:val="none"/>
        </w:rPr>
      </w:pPr>
    </w:p>
    <w:p>
      <w:pPr>
        <w:snapToGrid w:val="0"/>
        <w:spacing w:before="50" w:after="50"/>
        <w:jc w:val="center"/>
        <w:rPr>
          <w:rFonts w:ascii="宋体" w:hAnsi="宋体" w:cs="宋体"/>
          <w:color w:val="auto"/>
          <w:sz w:val="32"/>
          <w:szCs w:val="32"/>
          <w:highlight w:val="none"/>
        </w:rPr>
      </w:pPr>
    </w:p>
    <w:p>
      <w:pPr>
        <w:snapToGrid w:val="0"/>
        <w:spacing w:before="50" w:after="50"/>
        <w:jc w:val="center"/>
        <w:rPr>
          <w:rFonts w:ascii="宋体" w:hAnsi="宋体" w:cs="宋体"/>
          <w:color w:val="auto"/>
          <w:sz w:val="32"/>
          <w:szCs w:val="32"/>
          <w:highlight w:val="none"/>
        </w:rPr>
      </w:pPr>
      <w:r>
        <w:rPr>
          <w:rFonts w:hint="eastAsia" w:ascii="宋体" w:hAnsi="宋体" w:cs="宋体"/>
          <w:color w:val="auto"/>
          <w:sz w:val="32"/>
          <w:szCs w:val="32"/>
          <w:highlight w:val="none"/>
        </w:rPr>
        <w:t>三、符合性检查响应对照表（格式）</w:t>
      </w:r>
    </w:p>
    <w:p>
      <w:pPr>
        <w:ind w:firstLine="309"/>
        <w:rPr>
          <w:rFonts w:ascii="宋体" w:hAnsi="宋体" w:cs="宋体"/>
          <w:color w:val="auto"/>
          <w:sz w:val="24"/>
          <w:highlight w:val="none"/>
        </w:rPr>
      </w:pPr>
      <w:r>
        <w:rPr>
          <w:rFonts w:hint="eastAsia" w:ascii="宋体" w:hAnsi="宋体" w:cs="宋体"/>
          <w:color w:val="auto"/>
          <w:sz w:val="24"/>
          <w:highlight w:val="none"/>
        </w:rPr>
        <w:t>投标人全称（加盖公章）：</w:t>
      </w:r>
    </w:p>
    <w:tbl>
      <w:tblPr>
        <w:tblStyle w:val="4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69"/>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序号</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符合性检查响应内容</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是否响应</w:t>
            </w:r>
          </w:p>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（填是或者否）</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auto"/>
                <w:highlight w:val="none"/>
              </w:rPr>
            </w:pPr>
            <w:r>
              <w:rPr>
                <w:rFonts w:hint="eastAsia" w:ascii="宋体" w:hAnsi="宋体" w:cs="宋体"/>
                <w:b/>
                <w:color w:val="auto"/>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r>
              <w:rPr>
                <w:rFonts w:hint="eastAsia" w:ascii="宋体" w:hAnsi="宋体" w:cs="宋体"/>
                <w:b/>
                <w:color w:val="auto"/>
                <w:highlight w:val="none"/>
              </w:rPr>
              <w:t>1</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2</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3</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4</w:t>
            </w:r>
          </w:p>
        </w:tc>
        <w:tc>
          <w:tcPr>
            <w:tcW w:w="41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5</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6</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7</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auto"/>
                <w:sz w:val="24"/>
                <w:highlight w:val="none"/>
              </w:rPr>
            </w:pPr>
            <w:r>
              <w:rPr>
                <w:rFonts w:hint="eastAsia" w:ascii="宋体" w:hAnsi="宋体" w:cs="宋体"/>
                <w:iCs/>
                <w:color w:val="auto"/>
                <w:sz w:val="24"/>
                <w:highlight w:val="none"/>
              </w:rPr>
              <w:t>招标文件中的其他实质性要求</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p>
        </w:tc>
      </w:tr>
    </w:tbl>
    <w:p>
      <w:pPr>
        <w:spacing w:line="560" w:lineRule="exact"/>
        <w:jc w:val="center"/>
        <w:rPr>
          <w:rFonts w:ascii="宋体" w:hAnsi="宋体" w:cs="宋体"/>
          <w:bCs/>
          <w:color w:val="auto"/>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四、磋商响应函</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致：盐城工业职业技术学院：</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 xml:space="preserve">根据贵方的 </w:t>
      </w:r>
      <w:r>
        <w:rPr>
          <w:rFonts w:hint="eastAsia" w:ascii="宋体" w:hAnsi="宋体" w:cs="宋体"/>
          <w:color w:val="auto"/>
          <w:highlight w:val="none"/>
          <w:u w:val="single"/>
        </w:rPr>
        <w:t xml:space="preserve">         </w:t>
      </w:r>
      <w:r>
        <w:rPr>
          <w:rFonts w:hint="eastAsia" w:ascii="宋体" w:hAnsi="宋体" w:cs="宋体"/>
          <w:color w:val="auto"/>
          <w:highlight w:val="none"/>
        </w:rPr>
        <w:t>磋商文件，正式授权下述签字人_________ (姓名和职务)代表我方______________（供应商的名称），全权处理本次项目磋商采购的有关事宜。</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据此函，__________（签字人）兹宣布同意如下：</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1.按磋商文件规定的各项要求，向买方提供所需服务。</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2.我们已详细审核全部磋商文件及其有效补充文件，我们知道必须放弃提出含糊不清或误解问题的权利。</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3.我们同意从规定的响应文件接收截止时间起遵循本响应文件，并在规定的磋商有效期期满之前均具有约束力。</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4.如果在响应文件接收截止时间后规定的磋商有效期内撤回响应文件或成交后拒绝签订合同，</w:t>
      </w:r>
      <w:r>
        <w:rPr>
          <w:rFonts w:hint="eastAsia" w:ascii="宋体" w:hAnsi="宋体" w:cs="宋体"/>
          <w:color w:val="auto"/>
          <w:szCs w:val="21"/>
          <w:highlight w:val="none"/>
        </w:rPr>
        <w:t>则按照国家相关法律法规受到相应处罚</w:t>
      </w:r>
      <w:r>
        <w:rPr>
          <w:rFonts w:hint="eastAsia" w:ascii="宋体" w:hAnsi="宋体" w:cs="宋体"/>
          <w:color w:val="auto"/>
          <w:highlight w:val="none"/>
        </w:rPr>
        <w:t>。</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5.同意向贵方提供贵方可能另外要求的与磋商采购有关的任何证据或资料，并保证我方已提供和将要提供的文件是真实的、准确的。</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6.一旦我方成交，我方将根据磋商文件的规定，严格履行合同的责任和义务，并保证在磋商文件规定的时间完成项目，交付买方验收、使用。</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7.遵守磋商文件中要求的收费项目和标准。</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8.与本磋商采购有关的正式通讯地址为：</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地 址：                         邮 编：</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电 话：                         传 真：</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 xml:space="preserve">供应商开户行：                  账 户： </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法定代表人或授权代表姓名（签字）：     联系电话：</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 xml:space="preserve">供应商名称（公章）：            </w:t>
      </w:r>
    </w:p>
    <w:p>
      <w:pPr>
        <w:pStyle w:val="97"/>
        <w:spacing w:line="500" w:lineRule="exact"/>
        <w:ind w:firstLine="482"/>
        <w:rPr>
          <w:rFonts w:ascii="宋体" w:hAnsi="宋体" w:cs="宋体"/>
          <w:color w:val="auto"/>
          <w:highlight w:val="none"/>
        </w:rPr>
      </w:pPr>
      <w:r>
        <w:rPr>
          <w:rFonts w:hint="eastAsia" w:ascii="宋体" w:hAnsi="宋体" w:cs="宋体"/>
          <w:color w:val="auto"/>
          <w:highlight w:val="none"/>
        </w:rPr>
        <w:t>日 期：________年____月____日</w:t>
      </w:r>
    </w:p>
    <w:p>
      <w:pPr>
        <w:pStyle w:val="13"/>
        <w:rPr>
          <w:rFonts w:ascii="宋体" w:hAnsi="宋体" w:cs="宋体"/>
          <w:color w:val="auto"/>
          <w:highlight w:val="none"/>
        </w:rPr>
      </w:pPr>
    </w:p>
    <w:p>
      <w:pPr>
        <w:pStyle w:val="4"/>
        <w:ind w:firstLine="3213" w:firstLineChars="1000"/>
        <w:jc w:val="both"/>
        <w:rPr>
          <w:rFonts w:ascii="宋体" w:hAnsi="宋体" w:eastAsia="宋体" w:cs="宋体"/>
          <w:color w:val="auto"/>
          <w:sz w:val="24"/>
          <w:highlight w:val="none"/>
        </w:rPr>
      </w:pPr>
      <w:r>
        <w:rPr>
          <w:rFonts w:hint="eastAsia" w:ascii="宋体" w:hAnsi="宋体" w:eastAsia="宋体" w:cs="宋体"/>
          <w:bCs/>
          <w:color w:val="auto"/>
          <w:sz w:val="32"/>
          <w:szCs w:val="32"/>
          <w:highlight w:val="none"/>
        </w:rPr>
        <w:t>五、</w:t>
      </w:r>
      <w:r>
        <w:rPr>
          <w:rFonts w:hint="eastAsia" w:ascii="宋体" w:hAnsi="宋体" w:eastAsia="宋体" w:cs="宋体"/>
          <w:color w:val="auto"/>
          <w:sz w:val="32"/>
          <w:szCs w:val="32"/>
          <w:highlight w:val="none"/>
        </w:rPr>
        <w:t>开标一览表</w:t>
      </w:r>
    </w:p>
    <w:tbl>
      <w:tblPr>
        <w:tblStyle w:val="46"/>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r>
              <w:rPr>
                <w:rStyle w:val="161"/>
                <w:rFonts w:hint="eastAsia" w:ascii="宋体" w:hAnsi="宋体" w:cs="宋体"/>
                <w:b/>
                <w:bCs/>
                <w:color w:val="auto"/>
                <w:szCs w:val="28"/>
                <w:highlight w:val="none"/>
              </w:rPr>
              <w:t>项目编号</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r>
              <w:rPr>
                <w:rStyle w:val="161"/>
                <w:rFonts w:hint="eastAsia" w:ascii="宋体" w:hAnsi="宋体" w:cs="宋体"/>
                <w:b/>
                <w:bCs/>
                <w:color w:val="auto"/>
                <w:szCs w:val="28"/>
                <w:highlight w:val="none"/>
              </w:rPr>
              <w:t>项目名称</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1"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hint="eastAsia" w:ascii="宋体" w:hAnsi="宋体" w:cs="宋体"/>
                <w:b/>
                <w:bCs/>
                <w:color w:val="auto"/>
                <w:szCs w:val="28"/>
                <w:highlight w:val="none"/>
                <w:lang w:val="en-US" w:eastAsia="zh-CN"/>
              </w:rPr>
            </w:pPr>
            <w:r>
              <w:rPr>
                <w:rStyle w:val="161"/>
                <w:rFonts w:hint="eastAsia" w:ascii="宋体" w:hAnsi="宋体" w:cs="宋体"/>
                <w:b/>
                <w:bCs/>
                <w:color w:val="auto"/>
                <w:szCs w:val="28"/>
                <w:highlight w:val="none"/>
              </w:rPr>
              <w:t>项目投标报价</w:t>
            </w:r>
            <w:r>
              <w:rPr>
                <w:rStyle w:val="161"/>
                <w:rFonts w:hint="eastAsia" w:ascii="宋体" w:hAnsi="宋体" w:cs="宋体"/>
                <w:b/>
                <w:bCs/>
                <w:color w:val="auto"/>
                <w:szCs w:val="28"/>
                <w:highlight w:val="none"/>
                <w:lang w:eastAsia="zh-CN"/>
              </w:rPr>
              <w:t>（</w:t>
            </w:r>
            <w:r>
              <w:rPr>
                <w:rStyle w:val="161"/>
                <w:rFonts w:hint="eastAsia" w:ascii="宋体" w:hAnsi="宋体" w:cs="宋体"/>
                <w:b/>
                <w:bCs/>
                <w:color w:val="auto"/>
                <w:szCs w:val="28"/>
                <w:highlight w:val="none"/>
                <w:lang w:val="en-US" w:eastAsia="zh-CN"/>
              </w:rPr>
              <w:t>元</w:t>
            </w:r>
            <w:r>
              <w:rPr>
                <w:rStyle w:val="161"/>
                <w:rFonts w:hint="eastAsia" w:ascii="宋体" w:hAnsi="宋体" w:cs="宋体"/>
                <w:b/>
                <w:bCs/>
                <w:color w:val="auto"/>
                <w:szCs w:val="28"/>
                <w:highlight w:val="none"/>
                <w:lang w:eastAsia="zh-CN"/>
              </w:rPr>
              <w:t>）</w:t>
            </w:r>
            <w:r>
              <w:rPr>
                <w:rStyle w:val="161"/>
                <w:rFonts w:hint="eastAsia" w:ascii="宋体" w:hAnsi="宋体" w:cs="宋体"/>
                <w:b/>
                <w:bCs/>
                <w:color w:val="auto"/>
                <w:szCs w:val="28"/>
                <w:highlight w:val="none"/>
              </w:rPr>
              <w:t>：热水收费价格（大写）</w:t>
            </w:r>
            <w:r>
              <w:rPr>
                <w:rStyle w:val="161"/>
                <w:rFonts w:hint="eastAsia" w:ascii="宋体" w:hAnsi="宋体" w:cs="宋体"/>
                <w:b/>
                <w:bCs/>
                <w:color w:val="auto"/>
                <w:szCs w:val="28"/>
                <w:highlight w:val="none"/>
                <w:lang w:eastAsia="zh-CN"/>
              </w:rPr>
              <w:t>：</w:t>
            </w:r>
            <w:r>
              <w:rPr>
                <w:rStyle w:val="161"/>
                <w:rFonts w:hint="eastAsia" w:ascii="宋体" w:hAnsi="宋体" w:cs="宋体"/>
                <w:b/>
                <w:bCs/>
                <w:color w:val="auto"/>
                <w:szCs w:val="28"/>
                <w:highlight w:val="none"/>
              </w:rPr>
              <w:t xml:space="preserve">    </w:t>
            </w:r>
            <w:r>
              <w:rPr>
                <w:rStyle w:val="161"/>
                <w:rFonts w:hint="eastAsia" w:ascii="宋体" w:hAnsi="宋体" w:cs="宋体"/>
                <w:b/>
                <w:bCs/>
                <w:color w:val="auto"/>
                <w:szCs w:val="28"/>
                <w:highlight w:val="none"/>
                <w:lang w:val="en-US" w:eastAsia="zh-CN"/>
              </w:rPr>
              <w:t xml:space="preserve">  </w:t>
            </w:r>
            <w:r>
              <w:rPr>
                <w:rStyle w:val="161"/>
                <w:rFonts w:hint="eastAsia" w:ascii="宋体" w:hAnsi="宋体" w:cs="宋体"/>
                <w:b/>
                <w:bCs/>
                <w:color w:val="auto"/>
                <w:szCs w:val="28"/>
                <w:highlight w:val="none"/>
              </w:rPr>
              <w:t xml:space="preserve">  </w:t>
            </w:r>
            <w:r>
              <w:rPr>
                <w:rStyle w:val="161"/>
                <w:rFonts w:hint="eastAsia" w:ascii="宋体" w:hAnsi="宋体" w:cs="宋体"/>
                <w:b/>
                <w:bCs/>
                <w:color w:val="auto"/>
                <w:szCs w:val="28"/>
                <w:highlight w:val="none"/>
                <w:lang w:val="en-US" w:eastAsia="zh-CN"/>
              </w:rPr>
              <w:t xml:space="preserve">   </w:t>
            </w:r>
            <w:r>
              <w:rPr>
                <w:rStyle w:val="161"/>
                <w:rFonts w:hint="eastAsia" w:ascii="宋体" w:hAnsi="宋体" w:cs="宋体"/>
                <w:b/>
                <w:bCs/>
                <w:color w:val="auto"/>
                <w:szCs w:val="28"/>
                <w:highlight w:val="none"/>
              </w:rPr>
              <w:t xml:space="preserve"> </w:t>
            </w:r>
            <w:r>
              <w:rPr>
                <w:rStyle w:val="161"/>
                <w:rFonts w:hint="eastAsia" w:ascii="宋体" w:hAnsi="宋体" w:cs="宋体"/>
                <w:b/>
                <w:bCs/>
                <w:color w:val="auto"/>
                <w:szCs w:val="28"/>
                <w:highlight w:val="none"/>
                <w:lang w:val="en-US" w:eastAsia="zh-CN"/>
              </w:rPr>
              <w:t xml:space="preserve"> </w:t>
            </w:r>
            <w:r>
              <w:rPr>
                <w:rStyle w:val="161"/>
                <w:rFonts w:hint="eastAsia" w:ascii="宋体" w:hAnsi="宋体" w:cs="宋体"/>
                <w:b/>
                <w:bCs/>
                <w:color w:val="auto"/>
                <w:szCs w:val="28"/>
                <w:highlight w:val="none"/>
              </w:rPr>
              <w:t>，小写：￥</w:t>
            </w:r>
            <w:r>
              <w:rPr>
                <w:rStyle w:val="161"/>
                <w:rFonts w:hint="eastAsia" w:ascii="宋体" w:hAnsi="宋体" w:cs="宋体"/>
                <w:b/>
                <w:bCs/>
                <w:color w:val="auto"/>
                <w:szCs w:val="28"/>
                <w:highlight w:val="none"/>
                <w:lang w:val="en-US" w:eastAsia="zh-CN"/>
              </w:rPr>
              <w:t xml:space="preserve">           元/吨</w:t>
            </w:r>
          </w:p>
          <w:p>
            <w:pPr>
              <w:pStyle w:val="2"/>
              <w:rPr>
                <w:rFonts w:hint="eastAsia"/>
                <w:color w:val="auto"/>
                <w:highlight w:val="none"/>
                <w:lang w:val="en-US" w:eastAsia="zh-CN"/>
              </w:rPr>
            </w:pPr>
          </w:p>
          <w:p>
            <w:pPr>
              <w:ind w:firstLine="2108" w:firstLineChars="1000"/>
              <w:rPr>
                <w:rFonts w:ascii="宋体" w:hAnsi="宋体" w:cs="宋体"/>
                <w:b/>
                <w:bCs/>
                <w:color w:val="auto"/>
                <w:szCs w:val="28"/>
                <w:highlight w:val="none"/>
              </w:rPr>
            </w:pPr>
            <w:r>
              <w:rPr>
                <w:rStyle w:val="161"/>
                <w:rFonts w:hint="eastAsia" w:ascii="宋体" w:hAnsi="宋体" w:cs="宋体"/>
                <w:b/>
                <w:bCs/>
                <w:color w:val="auto"/>
                <w:szCs w:val="28"/>
                <w:highlight w:val="none"/>
              </w:rPr>
              <w:t>投资规模</w:t>
            </w:r>
            <w:r>
              <w:rPr>
                <w:rStyle w:val="161"/>
                <w:rFonts w:hint="eastAsia" w:ascii="宋体" w:hAnsi="宋体" w:cs="宋体"/>
                <w:b/>
                <w:bCs/>
                <w:color w:val="auto"/>
                <w:szCs w:val="28"/>
                <w:highlight w:val="none"/>
                <w:lang w:val="en-US" w:eastAsia="zh-CN"/>
              </w:rPr>
              <w:t>价格</w:t>
            </w:r>
            <w:r>
              <w:rPr>
                <w:rStyle w:val="161"/>
                <w:rFonts w:hint="eastAsia" w:ascii="宋体" w:hAnsi="宋体" w:cs="宋体"/>
                <w:b/>
                <w:bCs/>
                <w:color w:val="auto"/>
                <w:szCs w:val="28"/>
                <w:highlight w:val="none"/>
              </w:rPr>
              <w:t>（大写）</w:t>
            </w:r>
            <w:r>
              <w:rPr>
                <w:rStyle w:val="161"/>
                <w:rFonts w:hint="eastAsia" w:ascii="宋体" w:hAnsi="宋体" w:cs="宋体"/>
                <w:b/>
                <w:bCs/>
                <w:color w:val="auto"/>
                <w:szCs w:val="28"/>
                <w:highlight w:val="none"/>
                <w:lang w:eastAsia="zh-CN"/>
              </w:rPr>
              <w:t>：</w:t>
            </w:r>
            <w:r>
              <w:rPr>
                <w:rStyle w:val="161"/>
                <w:rFonts w:hint="eastAsia" w:ascii="宋体" w:hAnsi="宋体" w:cs="宋体"/>
                <w:b/>
                <w:bCs/>
                <w:color w:val="auto"/>
                <w:szCs w:val="28"/>
                <w:highlight w:val="none"/>
              </w:rPr>
              <w:t xml:space="preserve">     </w:t>
            </w:r>
            <w:r>
              <w:rPr>
                <w:rStyle w:val="161"/>
                <w:rFonts w:hint="eastAsia" w:ascii="宋体" w:hAnsi="宋体" w:cs="宋体"/>
                <w:b/>
                <w:bCs/>
                <w:color w:val="auto"/>
                <w:szCs w:val="28"/>
                <w:highlight w:val="none"/>
                <w:lang w:val="en-US" w:eastAsia="zh-CN"/>
              </w:rPr>
              <w:t xml:space="preserve">  </w:t>
            </w:r>
            <w:r>
              <w:rPr>
                <w:rStyle w:val="161"/>
                <w:rFonts w:hint="eastAsia" w:ascii="宋体" w:hAnsi="宋体" w:cs="宋体"/>
                <w:b/>
                <w:bCs/>
                <w:color w:val="auto"/>
                <w:szCs w:val="28"/>
                <w:highlight w:val="none"/>
              </w:rPr>
              <w:t xml:space="preserve">      ，小写：￥</w:t>
            </w:r>
            <w:r>
              <w:rPr>
                <w:rStyle w:val="161"/>
                <w:rFonts w:hint="eastAsia" w:ascii="宋体" w:hAnsi="宋体" w:cs="宋体"/>
                <w:b/>
                <w:bCs/>
                <w:color w:val="auto"/>
                <w:szCs w:val="28"/>
                <w:highlight w:val="none"/>
                <w:lang w:val="en-US" w:eastAsia="zh-CN"/>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r>
              <w:rPr>
                <w:rStyle w:val="161"/>
                <w:rFonts w:hint="eastAsia" w:ascii="宋体" w:hAnsi="宋体" w:cs="宋体"/>
                <w:b/>
                <w:bCs/>
                <w:color w:val="auto"/>
                <w:szCs w:val="28"/>
                <w:highlight w:val="none"/>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r>
              <w:rPr>
                <w:rStyle w:val="161"/>
                <w:rFonts w:hint="eastAsia" w:ascii="宋体" w:hAnsi="宋体" w:cs="宋体"/>
                <w:b/>
                <w:bCs/>
                <w:color w:val="auto"/>
                <w:szCs w:val="28"/>
                <w:highlight w:val="none"/>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1"/>
                <w:rFonts w:ascii="宋体" w:hAnsi="宋体" w:cs="宋体"/>
                <w:b/>
                <w:bCs/>
                <w:color w:val="auto"/>
                <w:szCs w:val="28"/>
                <w:highlight w:val="none"/>
              </w:rPr>
            </w:pPr>
            <w:r>
              <w:rPr>
                <w:rStyle w:val="161"/>
                <w:rFonts w:hint="eastAsia" w:ascii="宋体" w:hAnsi="宋体" w:cs="宋体"/>
                <w:b/>
                <w:bCs/>
                <w:color w:val="auto"/>
                <w:szCs w:val="28"/>
                <w:highlight w:val="none"/>
              </w:rPr>
              <w:t>是否提供《企业类型声明函》：</w:t>
            </w:r>
            <w:r>
              <w:rPr>
                <w:rStyle w:val="161"/>
                <w:rFonts w:hint="eastAsia" w:ascii="宋体" w:hAnsi="宋体" w:cs="宋体"/>
                <w:b/>
                <w:bCs/>
                <w:color w:val="auto"/>
                <w:szCs w:val="28"/>
                <w:highlight w:val="none"/>
                <w:u w:val="single"/>
              </w:rPr>
              <w:t xml:space="preserve"> 是/否 见（   ）页</w:t>
            </w:r>
          </w:p>
        </w:tc>
      </w:tr>
    </w:tbl>
    <w:p>
      <w:pPr>
        <w:rPr>
          <w:rFonts w:ascii="宋体" w:hAnsi="宋体" w:cs="宋体"/>
          <w:color w:val="auto"/>
          <w:sz w:val="24"/>
          <w:highlight w:val="none"/>
        </w:rPr>
      </w:pPr>
      <w:r>
        <w:rPr>
          <w:rFonts w:hint="eastAsia" w:ascii="宋体" w:hAnsi="宋体" w:cs="宋体"/>
          <w:color w:val="auto"/>
          <w:sz w:val="24"/>
          <w:highlight w:val="none"/>
        </w:rPr>
        <w:t>填写说明：开标一览表不得填报选择性报价，否则将作为无效投标；</w:t>
      </w:r>
    </w:p>
    <w:p>
      <w:pPr>
        <w:rPr>
          <w:rFonts w:ascii="宋体" w:hAnsi="宋体" w:cs="宋体"/>
          <w:color w:val="auto"/>
          <w:sz w:val="24"/>
          <w:highlight w:val="none"/>
        </w:rPr>
      </w:pPr>
    </w:p>
    <w:p>
      <w:pPr>
        <w:ind w:firstLine="2640" w:firstLineChars="600"/>
        <w:rPr>
          <w:rFonts w:ascii="宋体" w:hAnsi="宋体" w:cs="宋体"/>
          <w:color w:val="auto"/>
          <w:sz w:val="44"/>
          <w:highlight w:val="none"/>
        </w:rPr>
      </w:pPr>
    </w:p>
    <w:p>
      <w:pPr>
        <w:ind w:firstLine="480"/>
        <w:rPr>
          <w:rFonts w:ascii="宋体" w:hAnsi="宋体" w:cs="宋体"/>
          <w:color w:val="auto"/>
          <w:sz w:val="24"/>
          <w:highlight w:val="none"/>
        </w:rPr>
      </w:pPr>
    </w:p>
    <w:p>
      <w:pPr>
        <w:ind w:firstLine="480"/>
        <w:rPr>
          <w:rFonts w:ascii="宋体" w:hAnsi="宋体" w:cs="宋体"/>
          <w:color w:val="auto"/>
          <w:sz w:val="24"/>
          <w:highlight w:val="none"/>
        </w:rPr>
      </w:pPr>
    </w:p>
    <w:p>
      <w:pPr>
        <w:ind w:right="480" w:firstLine="480"/>
        <w:jc w:val="center"/>
        <w:rPr>
          <w:rFonts w:ascii="宋体" w:hAnsi="宋体" w:cs="宋体"/>
          <w:color w:val="auto"/>
          <w:sz w:val="24"/>
          <w:highlight w:val="none"/>
        </w:rPr>
      </w:pPr>
      <w:r>
        <w:rPr>
          <w:rFonts w:hint="eastAsia" w:ascii="宋体" w:hAnsi="宋体" w:cs="宋体"/>
          <w:bCs/>
          <w:color w:val="auto"/>
          <w:sz w:val="24"/>
          <w:highlight w:val="none"/>
        </w:rPr>
        <w:t xml:space="preserve">        供应商名称（公章）：</w:t>
      </w:r>
    </w:p>
    <w:p>
      <w:pPr>
        <w:ind w:firstLine="480"/>
        <w:jc w:val="center"/>
        <w:rPr>
          <w:rFonts w:ascii="宋体" w:hAnsi="宋体" w:cs="宋体"/>
          <w:color w:val="auto"/>
          <w:sz w:val="24"/>
          <w:highlight w:val="none"/>
        </w:rPr>
      </w:pPr>
    </w:p>
    <w:p>
      <w:pPr>
        <w:ind w:firstLine="480"/>
        <w:jc w:val="center"/>
        <w:rPr>
          <w:rFonts w:ascii="宋体" w:hAnsi="宋体" w:cs="宋体"/>
          <w:color w:val="auto"/>
          <w:sz w:val="24"/>
          <w:highlight w:val="none"/>
        </w:rPr>
      </w:pPr>
      <w:r>
        <w:rPr>
          <w:rFonts w:hint="eastAsia" w:ascii="宋体" w:hAnsi="宋体" w:cs="宋体"/>
          <w:color w:val="auto"/>
          <w:sz w:val="24"/>
          <w:highlight w:val="none"/>
        </w:rPr>
        <w:t>日期：  年  月  日</w:t>
      </w:r>
    </w:p>
    <w:p>
      <w:pPr>
        <w:jc w:val="center"/>
        <w:rPr>
          <w:rFonts w:ascii="宋体" w:hAnsi="宋体" w:cs="宋体"/>
          <w:color w:val="auto"/>
          <w:sz w:val="24"/>
          <w:highlight w:val="none"/>
        </w:rPr>
      </w:pP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rPr>
          <w:rFonts w:ascii="宋体" w:hAnsi="宋体" w:cs="宋体"/>
          <w:b/>
          <w:color w:val="auto"/>
          <w:sz w:val="44"/>
          <w:highlight w:val="none"/>
        </w:rPr>
      </w:pPr>
    </w:p>
    <w:p>
      <w:pPr>
        <w:pStyle w:val="44"/>
        <w:ind w:firstLine="210"/>
        <w:rPr>
          <w:rFonts w:ascii="宋体" w:hAnsi="宋体" w:cs="宋体"/>
          <w:color w:val="auto"/>
          <w:highlight w:val="none"/>
        </w:rPr>
      </w:pPr>
    </w:p>
    <w:p>
      <w:pPr>
        <w:pStyle w:val="44"/>
        <w:ind w:firstLine="210"/>
        <w:rPr>
          <w:rFonts w:ascii="宋体" w:hAnsi="宋体" w:cs="宋体"/>
          <w:color w:val="auto"/>
          <w:highlight w:val="none"/>
        </w:rPr>
      </w:pPr>
    </w:p>
    <w:p>
      <w:pPr>
        <w:pStyle w:val="44"/>
        <w:ind w:firstLine="210"/>
        <w:rPr>
          <w:rFonts w:ascii="宋体" w:hAnsi="宋体" w:cs="宋体"/>
          <w:color w:val="auto"/>
          <w:highlight w:val="none"/>
        </w:rPr>
      </w:pPr>
    </w:p>
    <w:p>
      <w:pPr>
        <w:pStyle w:val="44"/>
        <w:ind w:firstLine="210"/>
        <w:rPr>
          <w:rFonts w:ascii="宋体" w:hAnsi="宋体" w:cs="宋体"/>
          <w:color w:val="auto"/>
          <w:highlight w:val="none"/>
        </w:rPr>
      </w:pPr>
    </w:p>
    <w:p>
      <w:pPr>
        <w:pStyle w:val="44"/>
        <w:ind w:firstLine="210"/>
        <w:rPr>
          <w:rFonts w:ascii="宋体" w:hAnsi="宋体" w:cs="宋体"/>
          <w:color w:val="auto"/>
          <w:highlight w:val="none"/>
        </w:rPr>
      </w:pPr>
    </w:p>
    <w:p>
      <w:pPr>
        <w:pStyle w:val="44"/>
        <w:ind w:firstLine="210"/>
        <w:rPr>
          <w:rFonts w:ascii="宋体" w:hAnsi="宋体" w:cs="宋体"/>
          <w:color w:val="auto"/>
          <w:highlight w:val="none"/>
        </w:rPr>
      </w:pPr>
    </w:p>
    <w:p>
      <w:pPr>
        <w:rPr>
          <w:color w:val="auto"/>
          <w:highlight w:val="none"/>
        </w:rPr>
      </w:pPr>
    </w:p>
    <w:p>
      <w:pPr>
        <w:pStyle w:val="44"/>
        <w:ind w:firstLine="210"/>
        <w:rPr>
          <w:rFonts w:ascii="宋体" w:hAnsi="宋体" w:cs="宋体"/>
          <w:color w:val="auto"/>
          <w:highlight w:val="none"/>
        </w:rPr>
      </w:pPr>
    </w:p>
    <w:p>
      <w:pPr>
        <w:rPr>
          <w:color w:val="auto"/>
          <w:highlight w:val="none"/>
        </w:rPr>
      </w:pPr>
    </w:p>
    <w:p>
      <w:pPr>
        <w:pStyle w:val="35"/>
        <w:ind w:left="3360"/>
        <w:rPr>
          <w:color w:val="auto"/>
          <w:highlight w:val="none"/>
        </w:rPr>
      </w:pPr>
    </w:p>
    <w:p>
      <w:pPr>
        <w:pStyle w:val="44"/>
        <w:ind w:firstLine="210"/>
        <w:rPr>
          <w:rFonts w:ascii="宋体" w:hAnsi="宋体" w:cs="宋体"/>
          <w:color w:val="auto"/>
          <w:highlight w:val="none"/>
        </w:rPr>
      </w:pPr>
    </w:p>
    <w:p>
      <w:pPr>
        <w:spacing w:line="560" w:lineRule="exact"/>
        <w:jc w:val="center"/>
        <w:rPr>
          <w:rFonts w:ascii="宋体" w:hAnsi="宋体"/>
          <w:b/>
          <w:bCs/>
          <w:color w:val="auto"/>
          <w:sz w:val="32"/>
          <w:szCs w:val="32"/>
          <w:highlight w:val="none"/>
        </w:rPr>
      </w:pPr>
      <w:bookmarkStart w:id="167" w:name="_Hlt26955054"/>
      <w:bookmarkEnd w:id="167"/>
      <w:r>
        <w:rPr>
          <w:rFonts w:hint="eastAsia" w:ascii="宋体" w:hAnsi="宋体"/>
          <w:b/>
          <w:bCs/>
          <w:color w:val="auto"/>
          <w:sz w:val="28"/>
          <w:szCs w:val="28"/>
          <w:highlight w:val="none"/>
        </w:rPr>
        <w:t>中小企业声明函（工程、服务）</w:t>
      </w: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80" w:firstLineChars="200"/>
        <w:jc w:val="left"/>
        <w:rPr>
          <w:rFonts w:ascii="宋体" w:hAnsi="宋体" w:cs="宋体"/>
          <w:color w:val="auto"/>
          <w:sz w:val="24"/>
          <w:highlight w:val="none"/>
        </w:rPr>
      </w:pPr>
      <w:r>
        <w:rPr>
          <w:rFonts w:hint="eastAsia" w:ascii="宋体" w:hAnsi="宋体" w:cs="宋体"/>
          <w:i/>
          <w:iCs/>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rPr>
        <w:t>行业；承接（承接）企业为</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rPr>
        <w:t>；</w:t>
      </w:r>
    </w:p>
    <w:p>
      <w:pPr>
        <w:widowControl/>
        <w:numPr>
          <w:ilvl w:val="0"/>
          <w:numId w:val="6"/>
        </w:numPr>
        <w:spacing w:line="360" w:lineRule="auto"/>
        <w:ind w:firstLine="480" w:firstLineChars="200"/>
        <w:jc w:val="left"/>
        <w:rPr>
          <w:rFonts w:ascii="宋体" w:hAnsi="宋体" w:cs="宋体"/>
          <w:color w:val="auto"/>
          <w:sz w:val="24"/>
          <w:highlight w:val="none"/>
        </w:rPr>
      </w:pPr>
      <w:r>
        <w:rPr>
          <w:rFonts w:hint="eastAsia" w:ascii="宋体" w:hAnsi="宋体" w:cs="宋体"/>
          <w:i/>
          <w:iCs/>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rPr>
        <w:t>行业；承接（承接）企业为</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widowControl/>
        <w:spacing w:line="360" w:lineRule="auto"/>
        <w:ind w:firstLine="4080" w:firstLineChars="1700"/>
        <w:jc w:val="left"/>
        <w:rPr>
          <w:rFonts w:ascii="宋体" w:hAnsi="宋体" w:cs="宋体"/>
          <w:color w:val="auto"/>
          <w:sz w:val="24"/>
          <w:highlight w:val="none"/>
        </w:rPr>
      </w:pPr>
      <w:r>
        <w:rPr>
          <w:rFonts w:hint="eastAsia" w:ascii="宋体" w:hAnsi="宋体" w:cs="宋体"/>
          <w:color w:val="auto"/>
          <w:sz w:val="24"/>
          <w:highlight w:val="none"/>
        </w:rPr>
        <w:t>企业名称（盖章）：</w:t>
      </w:r>
    </w:p>
    <w:p>
      <w:pPr>
        <w:widowControl/>
        <w:spacing w:line="360" w:lineRule="auto"/>
        <w:ind w:firstLine="4080" w:firstLineChars="1700"/>
        <w:jc w:val="left"/>
        <w:rPr>
          <w:rFonts w:ascii="宋体" w:hAnsi="宋体" w:cs="宋体"/>
          <w:color w:val="auto"/>
          <w:sz w:val="24"/>
          <w:highlight w:val="none"/>
        </w:rPr>
      </w:pPr>
      <w:r>
        <w:rPr>
          <w:rFonts w:hint="eastAsia" w:ascii="宋体" w:hAnsi="宋体" w:cs="宋体"/>
          <w:color w:val="auto"/>
          <w:sz w:val="24"/>
          <w:highlight w:val="none"/>
        </w:rPr>
        <w:t>日期：</w:t>
      </w:r>
    </w:p>
    <w:p>
      <w:pPr>
        <w:spacing w:line="360" w:lineRule="auto"/>
        <w:jc w:val="center"/>
        <w:rPr>
          <w:rFonts w:ascii="宋体" w:hAnsi="宋体"/>
          <w:b/>
          <w:bCs/>
          <w:color w:val="auto"/>
          <w:sz w:val="22"/>
          <w:szCs w:val="22"/>
          <w:highlight w:val="none"/>
        </w:rPr>
        <w:sectPr>
          <w:pgSz w:w="11911" w:h="16838"/>
          <w:pgMar w:top="1587" w:right="1587" w:bottom="1587" w:left="1587" w:header="720" w:footer="720" w:gutter="0"/>
          <w:pgNumType w:fmt="numberInDash"/>
          <w:cols w:space="0" w:num="1"/>
          <w:docGrid w:linePitch="290" w:charSpace="0"/>
        </w:sectPr>
      </w:pPr>
      <w:r>
        <w:rPr>
          <w:rFonts w:hint="eastAsia" w:ascii="宋体" w:hAnsi="宋体"/>
          <w:b/>
          <w:bCs/>
          <w:color w:val="auto"/>
          <w:sz w:val="22"/>
          <w:szCs w:val="22"/>
          <w:highlight w:val="none"/>
        </w:rPr>
        <w:t>从业人员、营业收入、资产总额填报上一年度数据，无上一年度数据的新成立企业可不填报。</w:t>
      </w:r>
    </w:p>
    <w:p>
      <w:pPr>
        <w:spacing w:line="560" w:lineRule="exact"/>
        <w:jc w:val="center"/>
        <w:rPr>
          <w:rFonts w:ascii="宋体" w:hAnsi="宋体"/>
          <w:b/>
          <w:bCs/>
          <w:color w:val="auto"/>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残疾人福利性单位声明函</w:t>
      </w:r>
    </w:p>
    <w:p>
      <w:pPr>
        <w:spacing w:line="360" w:lineRule="auto"/>
        <w:jc w:val="center"/>
        <w:rPr>
          <w:rFonts w:ascii="宋体" w:hAnsi="宋体"/>
          <w:b/>
          <w:color w:val="auto"/>
          <w:sz w:val="24"/>
          <w:highlight w:val="none"/>
        </w:rPr>
      </w:pP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pPr>
        <w:spacing w:line="500" w:lineRule="exact"/>
        <w:rPr>
          <w:rFonts w:ascii="宋体" w:hAnsi="宋体"/>
          <w:color w:val="auto"/>
          <w:kern w:val="0"/>
          <w:sz w:val="24"/>
          <w:highlight w:val="none"/>
        </w:rPr>
      </w:pPr>
    </w:p>
    <w:p>
      <w:pPr>
        <w:spacing w:line="500" w:lineRule="exact"/>
        <w:ind w:firstLine="3360" w:firstLineChars="1400"/>
        <w:jc w:val="left"/>
        <w:rPr>
          <w:rStyle w:val="159"/>
          <w:color w:val="auto"/>
          <w:sz w:val="24"/>
          <w:highlight w:val="none"/>
          <w:u w:val="single"/>
        </w:rPr>
      </w:pPr>
      <w:r>
        <w:rPr>
          <w:rFonts w:hint="eastAsia" w:ascii="宋体" w:hAnsi="宋体"/>
          <w:color w:val="auto"/>
          <w:kern w:val="0"/>
          <w:sz w:val="24"/>
          <w:highlight w:val="none"/>
        </w:rPr>
        <w:t>残疾人福利性</w:t>
      </w:r>
      <w:r>
        <w:rPr>
          <w:rFonts w:hint="eastAsia" w:ascii="宋体" w:hAnsi="宋体"/>
          <w:color w:val="auto"/>
          <w:sz w:val="24"/>
          <w:highlight w:val="none"/>
        </w:rPr>
        <w:t>单位名称（盖章）：</w:t>
      </w:r>
      <w:r>
        <w:rPr>
          <w:rFonts w:hint="eastAsia" w:ascii="宋体" w:hAnsi="宋体"/>
          <w:color w:val="auto"/>
          <w:sz w:val="24"/>
          <w:highlight w:val="none"/>
          <w:u w:val="single"/>
        </w:rPr>
        <w:t xml:space="preserve">                </w:t>
      </w:r>
    </w:p>
    <w:p>
      <w:pPr>
        <w:spacing w:line="500" w:lineRule="exact"/>
        <w:ind w:firstLine="3360" w:firstLineChars="1400"/>
        <w:jc w:val="left"/>
        <w:rPr>
          <w:rFonts w:ascii="宋体"/>
          <w:b/>
          <w:color w:val="auto"/>
          <w:sz w:val="24"/>
          <w:highlight w:val="none"/>
        </w:rPr>
      </w:pPr>
      <w:r>
        <w:rPr>
          <w:rFonts w:hint="eastAsia" w:ascii="宋体" w:hAnsi="宋体"/>
          <w:color w:val="auto"/>
          <w:sz w:val="24"/>
          <w:highlight w:val="none"/>
        </w:rPr>
        <w:t>日</w:t>
      </w:r>
      <w:r>
        <w:rPr>
          <w:rStyle w:val="159"/>
          <w:rFonts w:hint="eastAsia" w:ascii="宋体" w:hAnsi="宋体"/>
          <w:color w:val="auto"/>
          <w:sz w:val="24"/>
          <w:highlight w:val="none"/>
        </w:rPr>
        <w:t> </w:t>
      </w:r>
      <w:r>
        <w:rPr>
          <w:rFonts w:hint="eastAsia" w:ascii="宋体" w:hAnsi="宋体"/>
          <w:color w:val="auto"/>
          <w:sz w:val="24"/>
          <w:highlight w:val="none"/>
        </w:rPr>
        <w:t> 期：</w:t>
      </w:r>
      <w:r>
        <w:rPr>
          <w:rFonts w:hint="eastAsia" w:ascii="宋体" w:hAnsi="宋体"/>
          <w:color w:val="auto"/>
          <w:sz w:val="24"/>
          <w:highlight w:val="none"/>
          <w:u w:val="single"/>
        </w:rPr>
        <w:t xml:space="preserve">                                    </w:t>
      </w:r>
    </w:p>
    <w:p>
      <w:pPr>
        <w:jc w:val="cente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rFonts w:ascii="宋体" w:hAnsi="宋体" w:cs="宋体"/>
          <w:b/>
          <w:color w:val="auto"/>
          <w:sz w:val="32"/>
          <w:szCs w:val="32"/>
          <w:highlight w:val="none"/>
        </w:rPr>
      </w:pPr>
    </w:p>
    <w:p>
      <w:pPr>
        <w:pStyle w:val="35"/>
        <w:ind w:left="3360"/>
        <w:rPr>
          <w:rFonts w:ascii="宋体" w:hAnsi="宋体" w:cs="宋体"/>
          <w:b/>
          <w:color w:val="auto"/>
          <w:sz w:val="32"/>
          <w:szCs w:val="32"/>
          <w:highlight w:val="none"/>
        </w:rPr>
      </w:pPr>
    </w:p>
    <w:p>
      <w:pPr>
        <w:rPr>
          <w:color w:val="auto"/>
          <w:highlight w:val="none"/>
        </w:rPr>
      </w:pPr>
    </w:p>
    <w:bookmarkEnd w:id="141"/>
    <w:bookmarkEnd w:id="142"/>
    <w:bookmarkEnd w:id="143"/>
    <w:bookmarkEnd w:id="156"/>
    <w:bookmarkEnd w:id="157"/>
    <w:bookmarkEnd w:id="158"/>
    <w:bookmarkEnd w:id="159"/>
    <w:bookmarkEnd w:id="160"/>
    <w:bookmarkEnd w:id="161"/>
    <w:bookmarkEnd w:id="162"/>
    <w:bookmarkEnd w:id="163"/>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六、项目负责人及服务团队人员一览表</w:t>
      </w:r>
    </w:p>
    <w:tbl>
      <w:tblPr>
        <w:tblStyle w:val="46"/>
        <w:tblW w:w="864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187"/>
        <w:gridCol w:w="893"/>
        <w:gridCol w:w="993"/>
        <w:gridCol w:w="1275"/>
        <w:gridCol w:w="851"/>
        <w:gridCol w:w="407"/>
        <w:gridCol w:w="869"/>
        <w:gridCol w:w="184"/>
        <w:gridCol w:w="19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auto"/>
                <w:sz w:val="24"/>
                <w:highlight w:val="none"/>
              </w:rPr>
            </w:pPr>
            <w:r>
              <w:rPr>
                <w:rStyle w:val="51"/>
                <w:rFonts w:hint="eastAsia" w:ascii="宋体" w:hAnsi="宋体" w:cs="宋体"/>
                <w:color w:val="auto"/>
                <w:sz w:val="24"/>
                <w:highlight w:val="none"/>
              </w:rPr>
              <w:t>供应商：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auto"/>
                <w:sz w:val="24"/>
                <w:highlight w:val="none"/>
              </w:rPr>
            </w:pPr>
            <w:r>
              <w:rPr>
                <w:rStyle w:val="51"/>
                <w:rFonts w:hint="eastAsia" w:ascii="宋体" w:hAnsi="宋体" w:cs="宋体"/>
                <w:color w:val="auto"/>
                <w:sz w:val="24"/>
                <w:highlight w:val="none"/>
              </w:rPr>
              <w:t>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Style w:val="51"/>
                <w:rFonts w:ascii="宋体" w:hAnsi="宋体"/>
                <w:color w:val="auto"/>
                <w:highlight w:val="none"/>
              </w:rPr>
            </w:pPr>
            <w:r>
              <w:rPr>
                <w:rStyle w:val="51"/>
                <w:rFonts w:hint="eastAsia" w:ascii="宋体" w:hAnsi="宋体" w:cs="宋体"/>
                <w:color w:val="auto"/>
                <w:sz w:val="24"/>
                <w:highlight w:val="none"/>
              </w:rPr>
              <w:t>职务</w:t>
            </w:r>
          </w:p>
          <w:p>
            <w:pPr>
              <w:spacing w:line="500" w:lineRule="exact"/>
              <w:jc w:val="center"/>
              <w:rPr>
                <w:rFonts w:ascii="宋体" w:hAnsi="宋体"/>
                <w:color w:val="auto"/>
                <w:highlight w:val="none"/>
              </w:rPr>
            </w:pPr>
            <w:r>
              <w:rPr>
                <w:rStyle w:val="51"/>
                <w:rFonts w:hint="eastAsia" w:ascii="宋体" w:hAnsi="宋体" w:cs="宋体"/>
                <w:color w:val="auto"/>
                <w:sz w:val="24"/>
                <w:highlight w:val="none"/>
              </w:rPr>
              <w:t>职称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业务专业</w:t>
            </w: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学历</w:t>
            </w: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r>
              <w:rPr>
                <w:rStyle w:val="51"/>
                <w:rFonts w:hint="eastAsia" w:ascii="宋体" w:hAnsi="宋体" w:cs="宋体"/>
                <w:color w:val="auto"/>
                <w:sz w:val="24"/>
                <w:highlight w:val="none"/>
              </w:rPr>
              <w:t>主要人员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职务    职称</w:t>
            </w: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业务    专业</w:t>
            </w: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学历</w:t>
            </w: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auto"/>
                <w:sz w:val="24"/>
                <w:highlight w:val="none"/>
              </w:rPr>
            </w:pPr>
            <w:r>
              <w:rPr>
                <w:rStyle w:val="51"/>
                <w:rFonts w:hint="eastAsia" w:ascii="宋体" w:hAnsi="宋体" w:cs="宋体"/>
                <w:color w:val="auto"/>
                <w:sz w:val="24"/>
                <w:highlight w:val="none"/>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auto"/>
                <w:sz w:val="24"/>
                <w:highlight w:val="none"/>
              </w:rPr>
            </w:pPr>
          </w:p>
        </w:tc>
      </w:tr>
    </w:tbl>
    <w:p>
      <w:pPr>
        <w:spacing w:line="440" w:lineRule="exact"/>
        <w:ind w:firstLine="480" w:firstLineChars="200"/>
        <w:rPr>
          <w:rFonts w:ascii="宋体" w:hAnsi="宋体" w:cs="宋体"/>
          <w:color w:val="auto"/>
          <w:sz w:val="24"/>
          <w:highlight w:val="none"/>
        </w:rPr>
      </w:pPr>
      <w:r>
        <w:rPr>
          <w:rStyle w:val="51"/>
          <w:rFonts w:hint="eastAsia" w:ascii="宋体" w:hAnsi="宋体" w:cs="宋体"/>
          <w:color w:val="auto"/>
          <w:sz w:val="24"/>
          <w:highlight w:val="none"/>
        </w:rPr>
        <w:t>注：1.项目负责人是本项目的技术核心人员，须是该项目实施全过程的真正组织者和领导者，担负实质性项目工作。项目负责人需要有较强的组织和协调能力，具有承担类似研究项目的成功经验，并有较高的理论素养和分析解决问题的能力。</w:t>
      </w: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pStyle w:val="44"/>
        <w:ind w:firstLine="241"/>
        <w:rPr>
          <w:rFonts w:ascii="宋体" w:hAnsi="宋体" w:cs="宋体"/>
          <w:b/>
          <w:color w:val="auto"/>
          <w:sz w:val="24"/>
          <w:highlight w:val="none"/>
        </w:rPr>
      </w:pPr>
    </w:p>
    <w:p>
      <w:pPr>
        <w:rPr>
          <w:color w:val="auto"/>
          <w:highlight w:val="none"/>
        </w:rPr>
      </w:pPr>
    </w:p>
    <w:p>
      <w:pPr>
        <w:ind w:firstLine="700"/>
        <w:jc w:val="center"/>
        <w:rPr>
          <w:rFonts w:ascii="宋体" w:hAnsi="宋体" w:cs="宋体"/>
          <w:color w:val="auto"/>
          <w:sz w:val="32"/>
          <w:szCs w:val="32"/>
          <w:highlight w:val="none"/>
        </w:rPr>
      </w:pPr>
    </w:p>
    <w:p>
      <w:pPr>
        <w:ind w:firstLine="700"/>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七、技术方案、服务承诺等</w:t>
      </w: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pStyle w:val="44"/>
        <w:ind w:firstLine="320"/>
        <w:rPr>
          <w:rFonts w:ascii="宋体" w:hAnsi="宋体" w:cs="宋体"/>
          <w:color w:val="auto"/>
          <w:sz w:val="32"/>
          <w:szCs w:val="32"/>
          <w:highlight w:val="none"/>
        </w:rPr>
      </w:pPr>
    </w:p>
    <w:p>
      <w:pPr>
        <w:pStyle w:val="44"/>
        <w:ind w:firstLine="320"/>
        <w:rPr>
          <w:rFonts w:ascii="宋体" w:hAnsi="宋体" w:cs="宋体"/>
          <w:color w:val="auto"/>
          <w:sz w:val="32"/>
          <w:szCs w:val="32"/>
          <w:highlight w:val="none"/>
        </w:rPr>
      </w:pP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八、盐城市政府采购事前信用承诺书</w:t>
      </w:r>
    </w:p>
    <w:p>
      <w:pPr>
        <w:widowControl/>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为营造我市公开、公平、公正、诚实守信的政府采购交易环境，树立诚信守法的投标人形象，本人代表本单位作出以下承诺：</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（四）严格遵守即时信息公示规定，及时维护和更新维护和更新盐城市政府采购网中与本单位相关的信息；</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（六）自觉接受政府、行业组织、社会公众、新闻舆论的监督；</w:t>
      </w:r>
    </w:p>
    <w:p>
      <w:pPr>
        <w:widowControl/>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   （八）本人已认真阅读了上述承诺，并向本单位员工作了宣传教育。</w:t>
      </w:r>
    </w:p>
    <w:p>
      <w:pPr>
        <w:widowControl/>
        <w:spacing w:line="500" w:lineRule="exact"/>
        <w:jc w:val="left"/>
        <w:rPr>
          <w:rFonts w:ascii="宋体" w:hAnsi="宋体" w:cs="宋体"/>
          <w:color w:val="auto"/>
          <w:sz w:val="24"/>
          <w:highlight w:val="none"/>
        </w:rPr>
      </w:pPr>
    </w:p>
    <w:p>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 xml:space="preserve">                 法定代表人签名：</w:t>
      </w:r>
    </w:p>
    <w:p>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 xml:space="preserve">                   单位名称（盖章）：</w:t>
      </w:r>
    </w:p>
    <w:p>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pStyle w:val="30"/>
        <w:rPr>
          <w:color w:val="auto"/>
          <w:highlight w:val="none"/>
        </w:rPr>
      </w:pPr>
    </w:p>
    <w:p>
      <w:pPr>
        <w:rPr>
          <w:color w:val="auto"/>
          <w:highlight w:val="none"/>
        </w:rPr>
      </w:pP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九、招标文件及评标办法中要求提供的其他材料</w:t>
      </w: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lang w:bidi="ar"/>
        </w:rPr>
      </w:pPr>
    </w:p>
    <w:p>
      <w:pPr>
        <w:snapToGrid w:val="0"/>
        <w:spacing w:before="312" w:beforeLines="100" w:after="312" w:afterLines="100"/>
        <w:ind w:left="420" w:leftChars="200"/>
        <w:jc w:val="center"/>
        <w:rPr>
          <w:rFonts w:ascii="宋体" w:hAnsi="宋体" w:cs="宋体"/>
          <w:b/>
          <w:bCs/>
          <w:color w:val="auto"/>
          <w:sz w:val="32"/>
          <w:szCs w:val="32"/>
          <w:highlight w:val="none"/>
        </w:rPr>
      </w:pPr>
    </w:p>
    <w:p>
      <w:pPr>
        <w:snapToGrid w:val="0"/>
        <w:spacing w:before="312" w:beforeLines="100" w:after="312" w:afterLines="100"/>
        <w:ind w:left="420" w:leftChars="200"/>
        <w:jc w:val="center"/>
        <w:outlineLvl w:val="0"/>
        <w:rPr>
          <w:rFonts w:ascii="宋体" w:hAnsi="宋体" w:cs="宋体"/>
          <w:b/>
          <w:bCs/>
          <w:color w:val="auto"/>
          <w:sz w:val="32"/>
          <w:szCs w:val="32"/>
          <w:highlight w:val="none"/>
        </w:rPr>
      </w:pPr>
      <w:bookmarkStart w:id="168" w:name="_Toc9297"/>
      <w:r>
        <w:rPr>
          <w:rFonts w:hint="eastAsia" w:ascii="宋体" w:hAnsi="宋体" w:cs="宋体"/>
          <w:b/>
          <w:bCs/>
          <w:color w:val="auto"/>
          <w:sz w:val="32"/>
          <w:szCs w:val="32"/>
          <w:highlight w:val="none"/>
        </w:rPr>
        <w:t>盐城工业职业技术学院学生公共浴室改造及服务BOT节能项目</w:t>
      </w:r>
      <w:bookmarkEnd w:id="168"/>
    </w:p>
    <w:p>
      <w:pPr>
        <w:snapToGrid w:val="0"/>
        <w:spacing w:before="312" w:beforeLines="100" w:after="312" w:afterLines="100"/>
        <w:ind w:left="420" w:leftChars="20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bidi="ar"/>
        </w:rPr>
        <w:t>竞争性磋商</w:t>
      </w:r>
      <w:r>
        <w:rPr>
          <w:rFonts w:hint="eastAsia" w:ascii="宋体" w:hAnsi="宋体" w:cs="宋体"/>
          <w:b/>
          <w:color w:val="auto"/>
          <w:sz w:val="32"/>
          <w:szCs w:val="32"/>
          <w:highlight w:val="none"/>
          <w:lang w:bidi="ar"/>
        </w:rPr>
        <w:t>报价表</w:t>
      </w:r>
    </w:p>
    <w:p>
      <w:pPr>
        <w:widowControl/>
        <w:jc w:val="center"/>
        <w:rPr>
          <w:color w:val="auto"/>
          <w:highlight w:val="none"/>
        </w:rPr>
      </w:pPr>
      <w:r>
        <w:rPr>
          <w:rFonts w:hint="eastAsia" w:ascii="宋体" w:hAnsi="宋体"/>
          <w:b/>
          <w:bCs/>
          <w:color w:val="auto"/>
          <w:sz w:val="32"/>
          <w:szCs w:val="32"/>
          <w:highlight w:val="none"/>
          <w:u w:val="single"/>
          <w:lang w:bidi="ar"/>
        </w:rPr>
        <w:t>第        轮</w:t>
      </w:r>
      <w:r>
        <w:rPr>
          <w:rFonts w:hint="eastAsia" w:ascii="宋体" w:hAnsi="宋体"/>
          <w:b/>
          <w:bCs/>
          <w:color w:val="auto"/>
          <w:sz w:val="32"/>
          <w:szCs w:val="32"/>
          <w:highlight w:val="none"/>
          <w:lang w:bidi="ar"/>
        </w:rPr>
        <w:t>报价和说明</w:t>
      </w:r>
    </w:p>
    <w:p>
      <w:pPr>
        <w:snapToGrid w:val="0"/>
        <w:spacing w:before="312" w:beforeLines="100" w:after="312" w:afterLines="100"/>
        <w:jc w:val="center"/>
        <w:rPr>
          <w:rFonts w:ascii="宋体" w:hAnsi="宋体"/>
          <w:b/>
          <w:bCs/>
          <w:color w:val="auto"/>
          <w:sz w:val="32"/>
          <w:szCs w:val="32"/>
          <w:highlight w:val="none"/>
        </w:rPr>
      </w:pPr>
    </w:p>
    <w:p>
      <w:pPr>
        <w:snapToGrid w:val="0"/>
        <w:spacing w:line="300" w:lineRule="auto"/>
        <w:ind w:firstLine="643" w:firstLineChars="200"/>
        <w:rPr>
          <w:rFonts w:ascii="宋体" w:hAnsi="宋体"/>
          <w:b/>
          <w:color w:val="auto"/>
          <w:sz w:val="32"/>
          <w:szCs w:val="32"/>
          <w:highlight w:val="none"/>
        </w:rPr>
      </w:pPr>
    </w:p>
    <w:p>
      <w:pPr>
        <w:snapToGrid w:val="0"/>
        <w:spacing w:line="360" w:lineRule="auto"/>
        <w:jc w:val="center"/>
        <w:rPr>
          <w:rFonts w:ascii="宋体" w:hAnsi="宋体"/>
          <w:b/>
          <w:color w:val="auto"/>
          <w:sz w:val="32"/>
          <w:szCs w:val="32"/>
          <w:highlight w:val="none"/>
        </w:rPr>
      </w:pPr>
    </w:p>
    <w:p>
      <w:pPr>
        <w:snapToGrid w:val="0"/>
        <w:spacing w:line="360" w:lineRule="auto"/>
        <w:ind w:firstLine="643" w:firstLineChars="200"/>
        <w:rPr>
          <w:rFonts w:ascii="宋体" w:hAnsi="宋体"/>
          <w:b/>
          <w:color w:val="auto"/>
          <w:sz w:val="32"/>
          <w:szCs w:val="32"/>
          <w:highlight w:val="none"/>
          <w:u w:val="single"/>
        </w:rPr>
      </w:pPr>
      <w:r>
        <w:rPr>
          <w:rFonts w:hint="eastAsia" w:ascii="宋体" w:hAnsi="宋体"/>
          <w:b/>
          <w:color w:val="auto"/>
          <w:sz w:val="32"/>
          <w:szCs w:val="32"/>
          <w:highlight w:val="none"/>
        </w:rPr>
        <w:t>报价</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元</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pPr>
        <w:snapToGrid w:val="0"/>
        <w:spacing w:line="360" w:lineRule="auto"/>
        <w:ind w:firstLine="562" w:firstLineChars="200"/>
        <w:rPr>
          <w:rFonts w:hint="default" w:ascii="宋体" w:hAnsi="宋体" w:eastAsia="宋体"/>
          <w:b/>
          <w:color w:val="auto"/>
          <w:sz w:val="28"/>
          <w:szCs w:val="28"/>
          <w:highlight w:val="none"/>
          <w:u w:val="single"/>
          <w:lang w:val="en-US" w:eastAsia="zh-CN"/>
        </w:rPr>
      </w:pPr>
      <w:r>
        <w:rPr>
          <w:rFonts w:hint="eastAsia" w:ascii="宋体" w:hAnsi="宋体"/>
          <w:b/>
          <w:color w:val="auto"/>
          <w:sz w:val="28"/>
          <w:szCs w:val="28"/>
          <w:highlight w:val="none"/>
          <w:u w:val="single"/>
        </w:rPr>
        <w:t>热水收费价格（大写）</w:t>
      </w:r>
      <w:r>
        <w:rPr>
          <w:rFonts w:hint="eastAsia" w:ascii="宋体" w:hAnsi="宋体"/>
          <w:b/>
          <w:color w:val="auto"/>
          <w:sz w:val="28"/>
          <w:szCs w:val="28"/>
          <w:highlight w:val="none"/>
          <w:u w:val="single"/>
          <w:lang w:eastAsia="zh-CN"/>
        </w:rPr>
        <w:t>：</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，小写：</w:t>
      </w:r>
      <w:r>
        <w:rPr>
          <w:rFonts w:hint="eastAsia" w:ascii="宋体" w:hAnsi="宋体" w:eastAsia="宋体" w:cs="宋体"/>
          <w:b/>
          <w:color w:val="auto"/>
          <w:sz w:val="28"/>
          <w:szCs w:val="28"/>
          <w:highlight w:val="none"/>
          <w:u w:val="singl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b/>
          <w:color w:val="auto"/>
          <w:sz w:val="28"/>
          <w:szCs w:val="28"/>
          <w:highlight w:val="none"/>
          <w:u w:val="single"/>
          <w:lang w:val="en-US" w:eastAsia="zh-CN"/>
        </w:rPr>
        <w:t xml:space="preserve">      元/吨</w:t>
      </w:r>
    </w:p>
    <w:p>
      <w:pPr>
        <w:snapToGrid w:val="0"/>
        <w:spacing w:line="360" w:lineRule="auto"/>
        <w:ind w:firstLine="562" w:firstLineChars="200"/>
        <w:rPr>
          <w:rFonts w:hint="default" w:ascii="宋体" w:hAnsi="宋体" w:eastAsia="宋体"/>
          <w:b/>
          <w:color w:val="auto"/>
          <w:sz w:val="28"/>
          <w:szCs w:val="28"/>
          <w:highlight w:val="none"/>
          <w:u w:val="single"/>
          <w:lang w:val="en-US" w:eastAsia="zh-CN"/>
        </w:rPr>
      </w:pPr>
      <w:r>
        <w:rPr>
          <w:rFonts w:hint="eastAsia" w:ascii="宋体" w:hAnsi="宋体"/>
          <w:b/>
          <w:color w:val="auto"/>
          <w:sz w:val="28"/>
          <w:szCs w:val="28"/>
          <w:highlight w:val="none"/>
          <w:u w:val="single"/>
        </w:rPr>
        <w:t>投资规模</w:t>
      </w:r>
      <w:r>
        <w:rPr>
          <w:rFonts w:hint="eastAsia" w:ascii="宋体" w:hAnsi="宋体"/>
          <w:b/>
          <w:color w:val="auto"/>
          <w:sz w:val="28"/>
          <w:szCs w:val="28"/>
          <w:highlight w:val="none"/>
          <w:u w:val="single"/>
          <w:lang w:val="en-US" w:eastAsia="zh-CN"/>
        </w:rPr>
        <w:t>价格</w:t>
      </w:r>
      <w:r>
        <w:rPr>
          <w:rFonts w:hint="eastAsia" w:ascii="宋体" w:hAnsi="宋体"/>
          <w:b/>
          <w:color w:val="auto"/>
          <w:sz w:val="28"/>
          <w:szCs w:val="28"/>
          <w:highlight w:val="none"/>
          <w:u w:val="single"/>
        </w:rPr>
        <w:t>（大写）</w:t>
      </w:r>
      <w:r>
        <w:rPr>
          <w:rFonts w:hint="eastAsia" w:ascii="宋体" w:hAnsi="宋体"/>
          <w:b/>
          <w:color w:val="auto"/>
          <w:sz w:val="28"/>
          <w:szCs w:val="28"/>
          <w:highlight w:val="none"/>
          <w:u w:val="single"/>
          <w:lang w:eastAsia="zh-CN"/>
        </w:rPr>
        <w:t>：</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 xml:space="preserve">      ，小写：</w:t>
      </w:r>
      <w:r>
        <w:rPr>
          <w:rFonts w:hint="eastAsia" w:ascii="宋体" w:hAnsi="宋体" w:eastAsia="宋体" w:cs="宋体"/>
          <w:b/>
          <w:color w:val="auto"/>
          <w:sz w:val="28"/>
          <w:szCs w:val="28"/>
          <w:highlight w:val="none"/>
          <w:u w:val="single"/>
        </w:rPr>
        <w:t>￥</w:t>
      </w:r>
      <w:r>
        <w:rPr>
          <w:rFonts w:hint="eastAsia" w:ascii="宋体" w:hAnsi="宋体" w:cs="宋体"/>
          <w:b/>
          <w:color w:val="auto"/>
          <w:sz w:val="28"/>
          <w:szCs w:val="28"/>
          <w:highlight w:val="none"/>
          <w:u w:val="single"/>
          <w:lang w:val="en-US" w:eastAsia="zh-CN"/>
        </w:rPr>
        <w:t xml:space="preserve">     </w:t>
      </w:r>
      <w:r>
        <w:rPr>
          <w:rFonts w:hint="eastAsia" w:ascii="宋体" w:hAnsi="宋体"/>
          <w:b/>
          <w:color w:val="auto"/>
          <w:sz w:val="28"/>
          <w:szCs w:val="28"/>
          <w:highlight w:val="none"/>
          <w:u w:val="single"/>
          <w:lang w:val="en-US" w:eastAsia="zh-CN"/>
        </w:rPr>
        <w:t xml:space="preserve">       元</w:t>
      </w:r>
    </w:p>
    <w:p>
      <w:pPr>
        <w:snapToGrid w:val="0"/>
        <w:spacing w:line="360" w:lineRule="auto"/>
        <w:rPr>
          <w:rFonts w:ascii="宋体" w:hAnsi="宋体"/>
          <w:b/>
          <w:color w:val="auto"/>
          <w:sz w:val="28"/>
          <w:szCs w:val="28"/>
          <w:highlight w:val="none"/>
        </w:rPr>
      </w:pPr>
    </w:p>
    <w:p>
      <w:pPr>
        <w:snapToGrid w:val="0"/>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说明或承诺:</w:t>
      </w:r>
    </w:p>
    <w:p>
      <w:pPr>
        <w:snapToGrid w:val="0"/>
        <w:spacing w:line="300" w:lineRule="auto"/>
        <w:rPr>
          <w:rFonts w:ascii="宋体" w:hAnsi="宋体"/>
          <w:b/>
          <w:color w:val="auto"/>
          <w:sz w:val="32"/>
          <w:szCs w:val="32"/>
          <w:highlight w:val="none"/>
        </w:rPr>
      </w:pPr>
    </w:p>
    <w:p>
      <w:pPr>
        <w:snapToGrid w:val="0"/>
        <w:spacing w:line="300" w:lineRule="auto"/>
        <w:ind w:firstLine="643" w:firstLineChars="200"/>
        <w:rPr>
          <w:rFonts w:ascii="宋体" w:hAnsi="宋体"/>
          <w:b/>
          <w:color w:val="auto"/>
          <w:sz w:val="32"/>
          <w:szCs w:val="32"/>
          <w:highlight w:val="none"/>
        </w:rPr>
      </w:pPr>
    </w:p>
    <w:p>
      <w:pPr>
        <w:pStyle w:val="26"/>
        <w:spacing w:before="120"/>
        <w:ind w:firstLine="643"/>
        <w:rPr>
          <w:b/>
          <w:color w:val="auto"/>
          <w:sz w:val="32"/>
          <w:szCs w:val="32"/>
          <w:highlight w:val="none"/>
        </w:rPr>
      </w:pPr>
      <w:r>
        <w:rPr>
          <w:rFonts w:hint="eastAsia"/>
          <w:b/>
          <w:color w:val="auto"/>
          <w:sz w:val="32"/>
          <w:szCs w:val="32"/>
          <w:highlight w:val="none"/>
        </w:rPr>
        <w:t xml:space="preserve">    </w:t>
      </w:r>
    </w:p>
    <w:p>
      <w:pPr>
        <w:pStyle w:val="26"/>
        <w:spacing w:before="120"/>
        <w:ind w:firstLine="643"/>
        <w:rPr>
          <w:b/>
          <w:color w:val="auto"/>
          <w:sz w:val="32"/>
          <w:szCs w:val="32"/>
          <w:highlight w:val="none"/>
        </w:rPr>
      </w:pPr>
      <w:r>
        <w:rPr>
          <w:rFonts w:hint="eastAsia"/>
          <w:b/>
          <w:color w:val="auto"/>
          <w:sz w:val="32"/>
          <w:szCs w:val="32"/>
          <w:highlight w:val="none"/>
        </w:rPr>
        <w:t xml:space="preserve">                投标单位（名称及盖公章）：</w:t>
      </w:r>
    </w:p>
    <w:p>
      <w:pPr>
        <w:pStyle w:val="26"/>
        <w:spacing w:before="120"/>
        <w:ind w:firstLine="3213" w:firstLineChars="1000"/>
        <w:rPr>
          <w:b/>
          <w:color w:val="auto"/>
          <w:sz w:val="32"/>
          <w:szCs w:val="32"/>
          <w:highlight w:val="none"/>
        </w:rPr>
      </w:pPr>
      <w:r>
        <w:rPr>
          <w:rFonts w:hint="eastAsia"/>
          <w:b/>
          <w:color w:val="auto"/>
          <w:sz w:val="32"/>
          <w:szCs w:val="32"/>
          <w:highlight w:val="none"/>
        </w:rPr>
        <w:t>授权代表（签字）：</w:t>
      </w:r>
    </w:p>
    <w:p>
      <w:pPr>
        <w:pStyle w:val="26"/>
        <w:spacing w:before="120"/>
        <w:ind w:firstLine="3213" w:firstLineChars="1000"/>
        <w:rPr>
          <w:b/>
          <w:color w:val="auto"/>
          <w:sz w:val="32"/>
          <w:szCs w:val="32"/>
          <w:highlight w:val="none"/>
        </w:rPr>
      </w:pPr>
      <w:r>
        <w:rPr>
          <w:rFonts w:hint="eastAsia"/>
          <w:b/>
          <w:color w:val="auto"/>
          <w:sz w:val="32"/>
          <w:szCs w:val="32"/>
          <w:highlight w:val="none"/>
        </w:rPr>
        <w:t>授权代表（身份证号码）：</w:t>
      </w:r>
    </w:p>
    <w:p>
      <w:pPr>
        <w:pStyle w:val="26"/>
        <w:spacing w:before="120"/>
        <w:ind w:firstLine="3213" w:firstLineChars="1000"/>
        <w:rPr>
          <w:b/>
          <w:color w:val="auto"/>
          <w:sz w:val="32"/>
          <w:szCs w:val="32"/>
          <w:highlight w:val="none"/>
        </w:rPr>
      </w:pPr>
      <w:r>
        <w:rPr>
          <w:rFonts w:hint="eastAsia"/>
          <w:b/>
          <w:color w:val="auto"/>
          <w:sz w:val="32"/>
          <w:szCs w:val="32"/>
          <w:highlight w:val="none"/>
        </w:rPr>
        <w:t xml:space="preserve">            </w:t>
      </w:r>
    </w:p>
    <w:p>
      <w:pPr>
        <w:snapToGrid w:val="0"/>
        <w:spacing w:line="360" w:lineRule="auto"/>
        <w:jc w:val="right"/>
        <w:rPr>
          <w:rFonts w:ascii="宋体" w:hAnsi="宋体"/>
          <w:color w:val="auto"/>
          <w:highlight w:val="none"/>
        </w:rPr>
      </w:pPr>
      <w:r>
        <w:rPr>
          <w:rFonts w:hint="eastAsia" w:ascii="宋体" w:hAnsi="宋体"/>
          <w:b/>
          <w:color w:val="auto"/>
          <w:sz w:val="32"/>
          <w:szCs w:val="32"/>
          <w:highlight w:val="none"/>
        </w:rPr>
        <w:t xml:space="preserve">  日期：     年    月   日</w:t>
      </w:r>
    </w:p>
    <w:sectPr>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8"/>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- 45 -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Kj7wxgEAAJwDAAAOAAAAAAAAAAEAIAAAAB4BAABkcnMvZTJvRG9jLnht&#10;bFBLBQYAAAAABgAGAFkBAABW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- 2 -</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0svaAxgEAAJwDAAAOAAAAAAAAAAEAIAAAAB4BAABkcnMvZTJvRG9jLnht&#10;bFBLBQYAAAAABgAGAFkBAABW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4321810</wp:posOffset>
              </wp:positionH>
              <wp:positionV relativeFrom="paragraph">
                <wp:posOffset>22860</wp:posOffset>
              </wp:positionV>
              <wp:extent cx="488315" cy="1238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8315" cy="123825"/>
                      </a:xfrm>
                      <a:prstGeom prst="rect">
                        <a:avLst/>
                      </a:prstGeom>
                      <a:noFill/>
                      <a:ln>
                        <a:noFill/>
                      </a:ln>
                      <a:effectLst/>
                    </wps:spPr>
                    <wps:txbx>
                      <w:txbxContent>
                        <w:p>
                          <w:pPr>
                            <w:pStyle w:val="28"/>
                          </w:pPr>
                        </w:p>
                        <w:p>
                          <w:pPr>
                            <w:pStyle w:val="28"/>
                          </w:pPr>
                        </w:p>
                      </w:txbxContent>
                    </wps:txbx>
                    <wps:bodyPr wrap="square" lIns="0" tIns="0" rIns="0" bIns="0"/>
                  </wps:wsp>
                </a:graphicData>
              </a:graphic>
            </wp:anchor>
          </w:drawing>
        </mc:Choice>
        <mc:Fallback>
          <w:pict>
            <v:shape id="_x0000_s1026" o:spid="_x0000_s1026" o:spt="202" type="#_x0000_t202" style="position:absolute;left:0pt;margin-left:340.3pt;margin-top:1.8pt;height:9.75pt;width:38.45pt;mso-position-horizontal-relative:margin;z-index:251661312;mso-width-relative:page;mso-height-relative:page;" filled="f" stroked="f" coordsize="21600,21600" o:gfxdata="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UvoWdgAAAAIAQAADwAAAAAAAAABACAAAAAiAAAAZHJzL2Rvd25yZXYu&#10;eG1sUEsBAhQAFAAAAAgAh07iQKNJAFXCAQAAgQMAAA4AAAAAAAAAAQAgAAAAJwEAAGRycy9lMm9E&#10;b2MueG1sUEsFBgAAAAAGAAYAWQEAAFsFAAAAAA==&#10;">
              <v:fill on="f" focussize="0,0"/>
              <v:stroke on="f"/>
              <v:imagedata o:title=""/>
              <o:lock v:ext="edit" aspectratio="f"/>
              <v:textbox inset="0mm,0mm,0mm,0mm">
                <w:txbxContent>
                  <w:p>
                    <w:pPr>
                      <w:pStyle w:val="28"/>
                    </w:pPr>
                  </w:p>
                  <w:p>
                    <w:pPr>
                      <w:pStyle w:val="2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93719"/>
    </w:sdtPr>
    <w:sdtContent>
      <w:p>
        <w:pPr>
          <w:pStyle w:val="28"/>
          <w:jc w:val="center"/>
        </w:pPr>
        <w:r>
          <w:fldChar w:fldCharType="begin"/>
        </w:r>
        <w:r>
          <w:instrText xml:space="preserve">PAGE   \* MERGEFORMAT</w:instrText>
        </w:r>
        <w:r>
          <w:fldChar w:fldCharType="separate"/>
        </w:r>
        <w:r>
          <w:rPr>
            <w:lang w:val="zh-CN"/>
          </w:rPr>
          <w:t>51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0"/>
      </w:pBdr>
      <w:rPr>
        <w:rFonts w:ascii="隶书" w:hAnsi="隶书" w:eastAsia="隶书" w:cs="隶书"/>
        <w:sz w:val="24"/>
        <w:szCs w:val="24"/>
      </w:rPr>
    </w:pPr>
    <w:r>
      <w:rPr>
        <w:rFonts w:hint="eastAsia" w:ascii="隶书" w:hAnsi="隶书" w:eastAsia="隶书" w:cs="隶书"/>
        <w:sz w:val="24"/>
        <w:szCs w:val="24"/>
      </w:rPr>
      <w:t>2023-</w:t>
    </w:r>
    <w:r>
      <w:rPr>
        <w:rFonts w:hint="eastAsia" w:ascii="隶书" w:hAnsi="隶书" w:eastAsia="隶书" w:cs="隶书"/>
        <w:sz w:val="24"/>
        <w:szCs w:val="24"/>
        <w:lang w:eastAsia="zh-CN"/>
      </w:rPr>
      <w:t>016W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4FD55"/>
    <w:multiLevelType w:val="multilevel"/>
    <w:tmpl w:val="8334FD5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895616A"/>
    <w:multiLevelType w:val="multilevel"/>
    <w:tmpl w:val="A895616A"/>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2">
    <w:nsid w:val="06784D56"/>
    <w:multiLevelType w:val="singleLevel"/>
    <w:tmpl w:val="06784D56"/>
    <w:lvl w:ilvl="0" w:tentative="0">
      <w:start w:val="1"/>
      <w:numFmt w:val="upperLetter"/>
      <w:pStyle w:val="103"/>
      <w:lvlText w:val="附录%1."/>
      <w:lvlJc w:val="left"/>
      <w:pPr>
        <w:tabs>
          <w:tab w:val="left" w:pos="907"/>
        </w:tabs>
        <w:ind w:left="907" w:hanging="907"/>
      </w:pPr>
    </w:lvl>
  </w:abstractNum>
  <w:abstractNum w:abstractNumId="3">
    <w:nsid w:val="237E4D61"/>
    <w:multiLevelType w:val="multilevel"/>
    <w:tmpl w:val="237E4D61"/>
    <w:lvl w:ilvl="0" w:tentative="0">
      <w:start w:val="1"/>
      <w:numFmt w:val="japaneseCounting"/>
      <w:pStyle w:val="109"/>
      <w:lvlText w:val="第%1章"/>
      <w:lvlJc w:val="left"/>
      <w:pPr>
        <w:ind w:left="9351" w:hanging="420"/>
      </w:pPr>
      <w:rPr>
        <w:rFonts w:hint="eastAsia" w:ascii="黑体" w:hAnsi="Times New Roman" w:eastAsia="黑体"/>
        <w:b w:val="0"/>
        <w:sz w:val="36"/>
        <w:lang w:val="en-US"/>
      </w:rPr>
    </w:lvl>
    <w:lvl w:ilvl="1" w:tentative="0">
      <w:start w:val="1"/>
      <w:numFmt w:val="decimal"/>
      <w:pStyle w:val="100"/>
      <w:isLgl/>
      <w:lvlText w:val="%1.%2"/>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pStyle w:val="99"/>
      <w:isLgl/>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pStyle w:val="89"/>
      <w:isLgl/>
      <w:lvlText w:val="%1.%2.%3.%4"/>
      <w:lvlJc w:val="left"/>
      <w:pPr>
        <w:tabs>
          <w:tab w:val="left" w:pos="1134"/>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4"/>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4B9D1858"/>
    <w:multiLevelType w:val="multilevel"/>
    <w:tmpl w:val="4B9D1858"/>
    <w:lvl w:ilvl="0" w:tentative="0">
      <w:start w:val="1"/>
      <w:numFmt w:val="chineseCountingThousand"/>
      <w:suff w:val="space"/>
      <w:lvlText w:val="第%1部分"/>
      <w:lvlJc w:val="left"/>
      <w:pPr>
        <w:ind w:left="0" w:firstLine="0"/>
      </w:pPr>
      <w:rPr>
        <w:rFonts w:hint="eastAsia"/>
      </w:rPr>
    </w:lvl>
    <w:lvl w:ilvl="1" w:tentative="0">
      <w:start w:val="1"/>
      <w:numFmt w:val="chineseCountingThousand"/>
      <w:lvlText w:val="%2、"/>
      <w:lvlJc w:val="left"/>
      <w:pPr>
        <w:ind w:left="0" w:firstLine="0"/>
      </w:pPr>
      <w:rPr>
        <w:rFonts w:hint="eastAsia"/>
        <w:sz w:val="32"/>
        <w:szCs w:val="32"/>
        <w:lang w:val="en-US"/>
      </w:rPr>
    </w:lvl>
    <w:lvl w:ilvl="2" w:tentative="0">
      <w:start w:val="1"/>
      <w:numFmt w:val="decimal"/>
      <w:isLgl/>
      <w:suff w:val="space"/>
      <w:lvlText w:val="%2.%3"/>
      <w:lvlJc w:val="left"/>
      <w:pPr>
        <w:ind w:left="709" w:firstLine="0"/>
      </w:pPr>
      <w:rPr>
        <w:rFonts w:hint="eastAsia"/>
      </w:rPr>
    </w:lvl>
    <w:lvl w:ilvl="3" w:tentative="0">
      <w:start w:val="1"/>
      <w:numFmt w:val="decimal"/>
      <w:isLgl/>
      <w:suff w:val="space"/>
      <w:lvlText w:val="%2.%3.%4"/>
      <w:lvlJc w:val="left"/>
      <w:pPr>
        <w:ind w:left="1134" w:firstLine="0"/>
      </w:pPr>
      <w:rPr>
        <w:rFonts w:hint="eastAsia"/>
      </w:rPr>
    </w:lvl>
    <w:lvl w:ilvl="4" w:tentative="0">
      <w:start w:val="1"/>
      <w:numFmt w:val="decimal"/>
      <w:pStyle w:val="150"/>
      <w:isLgl/>
      <w:suff w:val="space"/>
      <w:lvlText w:val="%2.%3.%4.%5"/>
      <w:lvlJc w:val="left"/>
      <w:pPr>
        <w:ind w:left="0" w:firstLine="0"/>
      </w:pPr>
      <w:rPr>
        <w:rFonts w:hint="eastAsia"/>
      </w:rPr>
    </w:lvl>
    <w:lvl w:ilvl="5" w:tentative="0">
      <w:start w:val="1"/>
      <w:numFmt w:val="decimal"/>
      <w:pStyle w:val="151"/>
      <w:isLgl/>
      <w:suff w:val="space"/>
      <w:lvlText w:val="%2.%3.%4.%5.%6"/>
      <w:lvlJc w:val="left"/>
      <w:pPr>
        <w:ind w:left="0" w:firstLine="0"/>
      </w:pPr>
      <w:rPr>
        <w:rFonts w:hint="eastAsia"/>
      </w:rPr>
    </w:lvl>
    <w:lvl w:ilvl="6" w:tentative="0">
      <w:start w:val="1"/>
      <w:numFmt w:val="decimal"/>
      <w:pStyle w:val="152"/>
      <w:isLgl/>
      <w:suff w:val="space"/>
      <w:lvlText w:val="%2.%3.%4.%5.%6.%7"/>
      <w:lvlJc w:val="left"/>
      <w:pPr>
        <w:ind w:left="0" w:firstLine="0"/>
      </w:pPr>
      <w:rPr>
        <w:rFonts w:hint="eastAsia"/>
      </w:rPr>
    </w:lvl>
    <w:lvl w:ilvl="7" w:tentative="0">
      <w:start w:val="1"/>
      <w:numFmt w:val="decimal"/>
      <w:isLgl/>
      <w:suff w:val="space"/>
      <w:lvlText w:val="%2.%3.%4.%5.%6.%7.%8"/>
      <w:lvlJc w:val="left"/>
      <w:pPr>
        <w:ind w:left="0" w:firstLine="0"/>
      </w:pPr>
      <w:rPr>
        <w:rFonts w:hint="eastAsia"/>
      </w:rPr>
    </w:lvl>
    <w:lvl w:ilvl="8" w:tentative="0">
      <w:start w:val="1"/>
      <w:numFmt w:val="decimal"/>
      <w:isLgl/>
      <w:suff w:val="space"/>
      <w:lvlText w:val="%2.%3.%4.%5.%6.%7.%8.%9"/>
      <w:lvlJc w:val="left"/>
      <w:pPr>
        <w:ind w:left="0" w:firstLine="0"/>
      </w:pPr>
      <w:rPr>
        <w:rFonts w:hint="eastAsia"/>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0D7C53"/>
    <w:rsid w:val="00022DFD"/>
    <w:rsid w:val="00026F47"/>
    <w:rsid w:val="00070B07"/>
    <w:rsid w:val="000C312B"/>
    <w:rsid w:val="000D7C53"/>
    <w:rsid w:val="000F4294"/>
    <w:rsid w:val="000F740A"/>
    <w:rsid w:val="00152798"/>
    <w:rsid w:val="0016013B"/>
    <w:rsid w:val="001C681D"/>
    <w:rsid w:val="002151C7"/>
    <w:rsid w:val="002774D0"/>
    <w:rsid w:val="0029669E"/>
    <w:rsid w:val="002C3EC0"/>
    <w:rsid w:val="002D1291"/>
    <w:rsid w:val="002D644A"/>
    <w:rsid w:val="0032186D"/>
    <w:rsid w:val="0034032A"/>
    <w:rsid w:val="00353301"/>
    <w:rsid w:val="00365155"/>
    <w:rsid w:val="00375FAB"/>
    <w:rsid w:val="003A5691"/>
    <w:rsid w:val="003B0753"/>
    <w:rsid w:val="003B4031"/>
    <w:rsid w:val="003C2567"/>
    <w:rsid w:val="003C4968"/>
    <w:rsid w:val="003D0471"/>
    <w:rsid w:val="00412304"/>
    <w:rsid w:val="00415DC9"/>
    <w:rsid w:val="004278C2"/>
    <w:rsid w:val="004418C1"/>
    <w:rsid w:val="00442973"/>
    <w:rsid w:val="00455138"/>
    <w:rsid w:val="00481813"/>
    <w:rsid w:val="00486304"/>
    <w:rsid w:val="00486CE4"/>
    <w:rsid w:val="004944CF"/>
    <w:rsid w:val="00496F40"/>
    <w:rsid w:val="004D32D1"/>
    <w:rsid w:val="004F3CA7"/>
    <w:rsid w:val="004F45E1"/>
    <w:rsid w:val="00501FF0"/>
    <w:rsid w:val="00597599"/>
    <w:rsid w:val="005A2E09"/>
    <w:rsid w:val="005B40EE"/>
    <w:rsid w:val="005C4005"/>
    <w:rsid w:val="005C4870"/>
    <w:rsid w:val="005D05B0"/>
    <w:rsid w:val="005D5320"/>
    <w:rsid w:val="005F407A"/>
    <w:rsid w:val="006110C3"/>
    <w:rsid w:val="00615FD4"/>
    <w:rsid w:val="00627FB7"/>
    <w:rsid w:val="00637D21"/>
    <w:rsid w:val="006548C5"/>
    <w:rsid w:val="00665BED"/>
    <w:rsid w:val="00693E34"/>
    <w:rsid w:val="00705089"/>
    <w:rsid w:val="00730BCE"/>
    <w:rsid w:val="00734889"/>
    <w:rsid w:val="00736797"/>
    <w:rsid w:val="00751047"/>
    <w:rsid w:val="00753B21"/>
    <w:rsid w:val="00790497"/>
    <w:rsid w:val="007C2771"/>
    <w:rsid w:val="007D088F"/>
    <w:rsid w:val="007E1A6C"/>
    <w:rsid w:val="00812CDB"/>
    <w:rsid w:val="00837779"/>
    <w:rsid w:val="00853615"/>
    <w:rsid w:val="00863945"/>
    <w:rsid w:val="00870166"/>
    <w:rsid w:val="008723FF"/>
    <w:rsid w:val="00885E62"/>
    <w:rsid w:val="00891355"/>
    <w:rsid w:val="008B69A3"/>
    <w:rsid w:val="008E2BD6"/>
    <w:rsid w:val="008E4409"/>
    <w:rsid w:val="009043C0"/>
    <w:rsid w:val="00914E60"/>
    <w:rsid w:val="009459C4"/>
    <w:rsid w:val="009B2828"/>
    <w:rsid w:val="009B3BBC"/>
    <w:rsid w:val="009E0421"/>
    <w:rsid w:val="00A14379"/>
    <w:rsid w:val="00A2611C"/>
    <w:rsid w:val="00A42744"/>
    <w:rsid w:val="00A44D69"/>
    <w:rsid w:val="00A459DE"/>
    <w:rsid w:val="00A52D45"/>
    <w:rsid w:val="00A86DF1"/>
    <w:rsid w:val="00AB56F6"/>
    <w:rsid w:val="00AD2A7C"/>
    <w:rsid w:val="00AE08A3"/>
    <w:rsid w:val="00AE0BA4"/>
    <w:rsid w:val="00AE0DF6"/>
    <w:rsid w:val="00AE73A6"/>
    <w:rsid w:val="00B23FA5"/>
    <w:rsid w:val="00B46BC9"/>
    <w:rsid w:val="00B47182"/>
    <w:rsid w:val="00B64C44"/>
    <w:rsid w:val="00B77F11"/>
    <w:rsid w:val="00BC54E1"/>
    <w:rsid w:val="00BD4864"/>
    <w:rsid w:val="00BE461B"/>
    <w:rsid w:val="00C30B58"/>
    <w:rsid w:val="00C35D27"/>
    <w:rsid w:val="00C41B92"/>
    <w:rsid w:val="00CC0391"/>
    <w:rsid w:val="00CD4B95"/>
    <w:rsid w:val="00D17A4D"/>
    <w:rsid w:val="00D306AE"/>
    <w:rsid w:val="00D3737A"/>
    <w:rsid w:val="00D5050B"/>
    <w:rsid w:val="00D83CC0"/>
    <w:rsid w:val="00DA65E0"/>
    <w:rsid w:val="00DB6CBB"/>
    <w:rsid w:val="00DE2D0E"/>
    <w:rsid w:val="00E12769"/>
    <w:rsid w:val="00E70960"/>
    <w:rsid w:val="00EA11C4"/>
    <w:rsid w:val="00EA7B45"/>
    <w:rsid w:val="00EB46BF"/>
    <w:rsid w:val="00EE214C"/>
    <w:rsid w:val="00EE3350"/>
    <w:rsid w:val="00F35385"/>
    <w:rsid w:val="00F602F3"/>
    <w:rsid w:val="00F6277E"/>
    <w:rsid w:val="00FD1C65"/>
    <w:rsid w:val="0156177E"/>
    <w:rsid w:val="01BB7A8A"/>
    <w:rsid w:val="023870D5"/>
    <w:rsid w:val="02702D13"/>
    <w:rsid w:val="0291146D"/>
    <w:rsid w:val="02F7130B"/>
    <w:rsid w:val="04DB2989"/>
    <w:rsid w:val="0683418E"/>
    <w:rsid w:val="08275C22"/>
    <w:rsid w:val="08F5551A"/>
    <w:rsid w:val="09DB3EA5"/>
    <w:rsid w:val="0B3C3711"/>
    <w:rsid w:val="0BB02179"/>
    <w:rsid w:val="0CC63CC9"/>
    <w:rsid w:val="0DEC16FB"/>
    <w:rsid w:val="0DFA429B"/>
    <w:rsid w:val="0E167E86"/>
    <w:rsid w:val="0E655EEA"/>
    <w:rsid w:val="0E6830BF"/>
    <w:rsid w:val="0ED42B51"/>
    <w:rsid w:val="0EFD592E"/>
    <w:rsid w:val="102900BD"/>
    <w:rsid w:val="118525A3"/>
    <w:rsid w:val="122817CE"/>
    <w:rsid w:val="12886BFD"/>
    <w:rsid w:val="133F163F"/>
    <w:rsid w:val="134C3473"/>
    <w:rsid w:val="13543269"/>
    <w:rsid w:val="139E260E"/>
    <w:rsid w:val="15082DEC"/>
    <w:rsid w:val="15144B34"/>
    <w:rsid w:val="161C7AA9"/>
    <w:rsid w:val="170D1814"/>
    <w:rsid w:val="180276BA"/>
    <w:rsid w:val="1815603A"/>
    <w:rsid w:val="184E71FB"/>
    <w:rsid w:val="1968609A"/>
    <w:rsid w:val="1BCD7E55"/>
    <w:rsid w:val="1C45504A"/>
    <w:rsid w:val="1D026AAE"/>
    <w:rsid w:val="1F23626A"/>
    <w:rsid w:val="1FF468DA"/>
    <w:rsid w:val="219534E9"/>
    <w:rsid w:val="21980AE8"/>
    <w:rsid w:val="223B36D0"/>
    <w:rsid w:val="2593690B"/>
    <w:rsid w:val="25A3672E"/>
    <w:rsid w:val="264048FF"/>
    <w:rsid w:val="266A3208"/>
    <w:rsid w:val="26BE19EF"/>
    <w:rsid w:val="289504BB"/>
    <w:rsid w:val="29B0449A"/>
    <w:rsid w:val="29E21551"/>
    <w:rsid w:val="29F20DD2"/>
    <w:rsid w:val="2A043C00"/>
    <w:rsid w:val="2A4F623E"/>
    <w:rsid w:val="2AB20D36"/>
    <w:rsid w:val="2AB355DC"/>
    <w:rsid w:val="2C0B1233"/>
    <w:rsid w:val="2E5E2687"/>
    <w:rsid w:val="2E8A5C80"/>
    <w:rsid w:val="2F321897"/>
    <w:rsid w:val="2F7A0213"/>
    <w:rsid w:val="3045283A"/>
    <w:rsid w:val="318A1209"/>
    <w:rsid w:val="31E3052A"/>
    <w:rsid w:val="32156581"/>
    <w:rsid w:val="33264BA4"/>
    <w:rsid w:val="364F6D4C"/>
    <w:rsid w:val="375A2874"/>
    <w:rsid w:val="37684241"/>
    <w:rsid w:val="376F5F0D"/>
    <w:rsid w:val="38672F8A"/>
    <w:rsid w:val="386F72D7"/>
    <w:rsid w:val="3B5D76DD"/>
    <w:rsid w:val="3B8701AA"/>
    <w:rsid w:val="3BF27759"/>
    <w:rsid w:val="3EA55FA4"/>
    <w:rsid w:val="3EDC3C1F"/>
    <w:rsid w:val="3F186D6D"/>
    <w:rsid w:val="3F597136"/>
    <w:rsid w:val="420F4A55"/>
    <w:rsid w:val="422A57D8"/>
    <w:rsid w:val="429C3915"/>
    <w:rsid w:val="44315157"/>
    <w:rsid w:val="44EE19D4"/>
    <w:rsid w:val="452205EB"/>
    <w:rsid w:val="456958B5"/>
    <w:rsid w:val="46731329"/>
    <w:rsid w:val="46880BBC"/>
    <w:rsid w:val="4A343BEC"/>
    <w:rsid w:val="4C5009C4"/>
    <w:rsid w:val="4DD05C6D"/>
    <w:rsid w:val="4E1D4F44"/>
    <w:rsid w:val="4F083929"/>
    <w:rsid w:val="4F3937E2"/>
    <w:rsid w:val="50E023DF"/>
    <w:rsid w:val="544A38CB"/>
    <w:rsid w:val="54522BB3"/>
    <w:rsid w:val="54FC355F"/>
    <w:rsid w:val="57092685"/>
    <w:rsid w:val="57327A88"/>
    <w:rsid w:val="57363F2C"/>
    <w:rsid w:val="58BD4DB3"/>
    <w:rsid w:val="58BD750D"/>
    <w:rsid w:val="5AB54B03"/>
    <w:rsid w:val="5AF17AE0"/>
    <w:rsid w:val="5B8747EB"/>
    <w:rsid w:val="5C5869CB"/>
    <w:rsid w:val="5DFD07F6"/>
    <w:rsid w:val="5E1A3C31"/>
    <w:rsid w:val="605449AE"/>
    <w:rsid w:val="60B43691"/>
    <w:rsid w:val="60E56E68"/>
    <w:rsid w:val="62B45479"/>
    <w:rsid w:val="636820E0"/>
    <w:rsid w:val="63BF26EC"/>
    <w:rsid w:val="63C85702"/>
    <w:rsid w:val="63FF2507"/>
    <w:rsid w:val="647F1A54"/>
    <w:rsid w:val="65DF2C20"/>
    <w:rsid w:val="667E43B8"/>
    <w:rsid w:val="671A60A5"/>
    <w:rsid w:val="67B6759E"/>
    <w:rsid w:val="6828543E"/>
    <w:rsid w:val="693C70E7"/>
    <w:rsid w:val="6A633635"/>
    <w:rsid w:val="6CCC7736"/>
    <w:rsid w:val="6D3A173E"/>
    <w:rsid w:val="6DF211CB"/>
    <w:rsid w:val="6E79471B"/>
    <w:rsid w:val="6EB02F99"/>
    <w:rsid w:val="6EEA0E74"/>
    <w:rsid w:val="70591107"/>
    <w:rsid w:val="70847810"/>
    <w:rsid w:val="724C122A"/>
    <w:rsid w:val="730E64E0"/>
    <w:rsid w:val="74161AF0"/>
    <w:rsid w:val="746E6772"/>
    <w:rsid w:val="74C662F0"/>
    <w:rsid w:val="75107F5B"/>
    <w:rsid w:val="756E5A5A"/>
    <w:rsid w:val="75F46D0A"/>
    <w:rsid w:val="76097BCB"/>
    <w:rsid w:val="764D3566"/>
    <w:rsid w:val="77A8674E"/>
    <w:rsid w:val="77C4095B"/>
    <w:rsid w:val="798B088A"/>
    <w:rsid w:val="79CA2CA8"/>
    <w:rsid w:val="7A6A3DA2"/>
    <w:rsid w:val="7A707A80"/>
    <w:rsid w:val="7A784C14"/>
    <w:rsid w:val="7AEA5900"/>
    <w:rsid w:val="7B1623D5"/>
    <w:rsid w:val="7B595F40"/>
    <w:rsid w:val="7CE03EEC"/>
    <w:rsid w:val="7CE43D2A"/>
    <w:rsid w:val="7DEE7682"/>
    <w:rsid w:val="7E3003DC"/>
    <w:rsid w:val="7EFE565A"/>
    <w:rsid w:val="7F0F5A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name="Body Text 2"/>
    <w:lsdException w:qFormat="1" w:uiPriority="0" w:name="Body Text 3"/>
    <w:lsdException w:qFormat="1" w:uiPriority="99" w:semiHidden="0" w:name="Body Text Indent 2"/>
    <w:lsdException w:qFormat="1" w:uiPriority="0" w:name="Body Text Indent 3"/>
    <w:lsdException w:qFormat="1" w:unhideWhenUsed="0" w:uiPriority="0" w:semiHidden="0"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qFormat="1" w:unhideWhenUsed="0" w:uiPriority="0" w:semiHidden="0"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outlineLvl w:val="0"/>
    </w:pPr>
    <w:rPr>
      <w:rFonts w:ascii="楷体_GB2312" w:eastAsia="楷体_GB2312"/>
      <w:sz w:val="28"/>
      <w:szCs w:val="20"/>
    </w:rPr>
  </w:style>
  <w:style w:type="paragraph" w:styleId="4">
    <w:name w:val="heading 2"/>
    <w:basedOn w:val="1"/>
    <w:next w:val="1"/>
    <w:link w:val="62"/>
    <w:unhideWhenUsed/>
    <w:qFormat/>
    <w:uiPriority w:val="0"/>
    <w:pPr>
      <w:keepNext/>
      <w:keepLines/>
      <w:spacing w:before="260" w:after="260" w:line="415" w:lineRule="auto"/>
      <w:jc w:val="center"/>
      <w:outlineLvl w:val="1"/>
    </w:pPr>
    <w:rPr>
      <w:rFonts w:ascii="Arial" w:hAnsi="Arial" w:eastAsia="幼圆"/>
      <w:b/>
      <w:sz w:val="44"/>
      <w:szCs w:val="20"/>
    </w:rPr>
  </w:style>
  <w:style w:type="paragraph" w:styleId="5">
    <w:name w:val="heading 3"/>
    <w:basedOn w:val="1"/>
    <w:next w:val="1"/>
    <w:link w:val="63"/>
    <w:unhideWhenUsed/>
    <w:qFormat/>
    <w:uiPriority w:val="9"/>
    <w:pPr>
      <w:keepNext/>
      <w:keepLines/>
      <w:spacing w:before="260" w:after="260" w:line="415" w:lineRule="auto"/>
      <w:outlineLvl w:val="2"/>
    </w:pPr>
    <w:rPr>
      <w:b/>
      <w:sz w:val="32"/>
      <w:szCs w:val="20"/>
    </w:rPr>
  </w:style>
  <w:style w:type="paragraph" w:styleId="6">
    <w:name w:val="heading 4"/>
    <w:basedOn w:val="1"/>
    <w:next w:val="1"/>
    <w:link w:val="64"/>
    <w:unhideWhenUsed/>
    <w:qFormat/>
    <w:uiPriority w:val="0"/>
    <w:pPr>
      <w:keepNext/>
      <w:keepLines/>
      <w:numPr>
        <w:ilvl w:val="3"/>
        <w:numId w:val="1"/>
      </w:numPr>
      <w:spacing w:before="280" w:after="290" w:line="374" w:lineRule="auto"/>
      <w:ind w:left="0" w:firstLine="0"/>
      <w:outlineLvl w:val="3"/>
    </w:pPr>
    <w:rPr>
      <w:rFonts w:ascii="Arial" w:hAnsi="Arial" w:eastAsia="黑体"/>
      <w:b/>
      <w:bCs/>
      <w:sz w:val="28"/>
      <w:szCs w:val="28"/>
    </w:rPr>
  </w:style>
  <w:style w:type="paragraph" w:styleId="7">
    <w:name w:val="heading 5"/>
    <w:basedOn w:val="1"/>
    <w:next w:val="1"/>
    <w:link w:val="65"/>
    <w:unhideWhenUsed/>
    <w:qFormat/>
    <w:uiPriority w:val="0"/>
    <w:pPr>
      <w:keepNext/>
      <w:outlineLvl w:val="4"/>
    </w:pPr>
    <w:rPr>
      <w:rFonts w:ascii="宋体" w:hAnsi="宋体"/>
      <w:b/>
      <w:bCs/>
    </w:rPr>
  </w:style>
  <w:style w:type="paragraph" w:styleId="8">
    <w:name w:val="heading 6"/>
    <w:basedOn w:val="1"/>
    <w:next w:val="1"/>
    <w:link w:val="139"/>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9">
    <w:name w:val="heading 7"/>
    <w:basedOn w:val="1"/>
    <w:next w:val="1"/>
    <w:link w:val="136"/>
    <w:semiHidden/>
    <w:unhideWhenUsed/>
    <w:qFormat/>
    <w:uiPriority w:val="0"/>
    <w:pPr>
      <w:keepNext/>
      <w:keepLines/>
      <w:tabs>
        <w:tab w:val="left" w:pos="11"/>
      </w:tabs>
      <w:spacing w:line="317" w:lineRule="auto"/>
      <w:ind w:left="1296"/>
      <w:outlineLvl w:val="6"/>
    </w:pPr>
    <w:rPr>
      <w:b/>
      <w:sz w:val="24"/>
    </w:rPr>
  </w:style>
  <w:style w:type="paragraph" w:styleId="10">
    <w:name w:val="heading 8"/>
    <w:basedOn w:val="1"/>
    <w:next w:val="1"/>
    <w:link w:val="137"/>
    <w:semiHidden/>
    <w:unhideWhenUsed/>
    <w:qFormat/>
    <w:uiPriority w:val="0"/>
    <w:pPr>
      <w:keepNext/>
      <w:keepLines/>
      <w:spacing w:line="317" w:lineRule="auto"/>
      <w:ind w:left="1440"/>
      <w:outlineLvl w:val="7"/>
    </w:pPr>
    <w:rPr>
      <w:rFonts w:ascii="Arial" w:hAnsi="Arial" w:eastAsia="黑体"/>
      <w:sz w:val="24"/>
    </w:rPr>
  </w:style>
  <w:style w:type="paragraph" w:styleId="11">
    <w:name w:val="heading 9"/>
    <w:basedOn w:val="1"/>
    <w:next w:val="1"/>
    <w:link w:val="138"/>
    <w:semiHidden/>
    <w:unhideWhenUsed/>
    <w:qFormat/>
    <w:uiPriority w:val="0"/>
    <w:pPr>
      <w:keepNext/>
      <w:keepLines/>
      <w:spacing w:line="317" w:lineRule="auto"/>
      <w:ind w:left="1583"/>
      <w:outlineLvl w:val="8"/>
    </w:pPr>
    <w:rPr>
      <w:rFonts w:ascii="Arial" w:hAnsi="Arial" w:eastAsia="黑体"/>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9000"/>
      </w:tabs>
      <w:spacing w:after="120"/>
      <w:ind w:left="1440" w:leftChars="700" w:right="1440" w:rightChars="700"/>
    </w:pPr>
  </w:style>
  <w:style w:type="paragraph" w:styleId="12">
    <w:name w:val="toc 7"/>
    <w:basedOn w:val="1"/>
    <w:next w:val="1"/>
    <w:semiHidden/>
    <w:unhideWhenUsed/>
    <w:qFormat/>
    <w:uiPriority w:val="0"/>
    <w:pPr>
      <w:ind w:left="2520" w:leftChars="1200"/>
    </w:pPr>
  </w:style>
  <w:style w:type="paragraph" w:styleId="13">
    <w:name w:val="Normal Indent"/>
    <w:basedOn w:val="1"/>
    <w:next w:val="1"/>
    <w:link w:val="70"/>
    <w:semiHidden/>
    <w:unhideWhenUsed/>
    <w:qFormat/>
    <w:uiPriority w:val="0"/>
    <w:pPr>
      <w:ind w:firstLine="420"/>
    </w:pPr>
    <w:rPr>
      <w:szCs w:val="20"/>
    </w:rPr>
  </w:style>
  <w:style w:type="paragraph" w:styleId="14">
    <w:name w:val="caption"/>
    <w:basedOn w:val="1"/>
    <w:next w:val="1"/>
    <w:link w:val="144"/>
    <w:unhideWhenUsed/>
    <w:qFormat/>
    <w:uiPriority w:val="0"/>
    <w:pPr>
      <w:spacing w:line="360" w:lineRule="auto"/>
      <w:jc w:val="center"/>
    </w:pPr>
    <w:rPr>
      <w:rFonts w:ascii="Arial" w:hAnsi="Arial" w:eastAsia="黑体"/>
      <w:sz w:val="24"/>
    </w:rPr>
  </w:style>
  <w:style w:type="paragraph" w:styleId="15">
    <w:name w:val="Document Map"/>
    <w:basedOn w:val="1"/>
    <w:link w:val="79"/>
    <w:unhideWhenUsed/>
    <w:qFormat/>
    <w:uiPriority w:val="99"/>
    <w:pPr>
      <w:shd w:val="clear" w:color="auto" w:fill="000080"/>
    </w:pPr>
  </w:style>
  <w:style w:type="paragraph" w:styleId="16">
    <w:name w:val="annotation text"/>
    <w:basedOn w:val="1"/>
    <w:link w:val="71"/>
    <w:unhideWhenUsed/>
    <w:qFormat/>
    <w:uiPriority w:val="0"/>
    <w:pPr>
      <w:jc w:val="left"/>
    </w:pPr>
  </w:style>
  <w:style w:type="paragraph" w:styleId="17">
    <w:name w:val="Body Text 3"/>
    <w:basedOn w:val="1"/>
    <w:link w:val="76"/>
    <w:semiHidden/>
    <w:unhideWhenUsed/>
    <w:qFormat/>
    <w:uiPriority w:val="0"/>
    <w:rPr>
      <w:rFonts w:ascii="仿宋_GB2312" w:hAnsi="Arial" w:eastAsia="仿宋_GB2312"/>
      <w:sz w:val="32"/>
      <w:szCs w:val="20"/>
    </w:rPr>
  </w:style>
  <w:style w:type="paragraph" w:styleId="18">
    <w:name w:val="Body Text"/>
    <w:basedOn w:val="1"/>
    <w:next w:val="1"/>
    <w:link w:val="66"/>
    <w:unhideWhenUsed/>
    <w:qFormat/>
    <w:uiPriority w:val="99"/>
    <w:pPr>
      <w:spacing w:after="120"/>
    </w:pPr>
  </w:style>
  <w:style w:type="paragraph" w:styleId="19">
    <w:name w:val="Body Text Indent"/>
    <w:basedOn w:val="1"/>
    <w:next w:val="20"/>
    <w:link w:val="73"/>
    <w:unhideWhenUsed/>
    <w:qFormat/>
    <w:uiPriority w:val="0"/>
    <w:pPr>
      <w:ind w:firstLine="645"/>
    </w:pPr>
    <w:rPr>
      <w:rFonts w:ascii="楷体_GB2312" w:eastAsia="楷体_GB2312"/>
      <w:sz w:val="32"/>
      <w:szCs w:val="20"/>
    </w:rPr>
  </w:style>
  <w:style w:type="paragraph" w:styleId="20">
    <w:name w:val="envelope return"/>
    <w:basedOn w:val="1"/>
    <w:qFormat/>
    <w:uiPriority w:val="0"/>
    <w:pPr>
      <w:snapToGrid w:val="0"/>
    </w:pPr>
    <w:rPr>
      <w:rFonts w:ascii="Arial" w:hAnsi="Arial" w:cs="Arial"/>
    </w:rPr>
  </w:style>
  <w:style w:type="paragraph" w:styleId="21">
    <w:name w:val="toc 5"/>
    <w:basedOn w:val="1"/>
    <w:next w:val="1"/>
    <w:semiHidden/>
    <w:unhideWhenUsed/>
    <w:qFormat/>
    <w:uiPriority w:val="0"/>
    <w:pPr>
      <w:ind w:left="1680" w:leftChars="800"/>
    </w:pPr>
  </w:style>
  <w:style w:type="paragraph" w:styleId="22">
    <w:name w:val="toc 3"/>
    <w:basedOn w:val="1"/>
    <w:next w:val="1"/>
    <w:unhideWhenUsed/>
    <w:qFormat/>
    <w:uiPriority w:val="39"/>
    <w:pPr>
      <w:tabs>
        <w:tab w:val="right" w:leader="dot" w:pos="9440"/>
      </w:tabs>
      <w:spacing w:line="240" w:lineRule="exact"/>
      <w:ind w:left="539"/>
      <w:jc w:val="left"/>
    </w:pPr>
    <w:rPr>
      <w:rFonts w:ascii="黑体" w:hAnsi="宋体" w:eastAsia="黑体"/>
      <w:bCs/>
      <w:iCs/>
      <w:sz w:val="18"/>
      <w:szCs w:val="32"/>
    </w:rPr>
  </w:style>
  <w:style w:type="paragraph" w:styleId="23">
    <w:name w:val="Plain Text"/>
    <w:basedOn w:val="1"/>
    <w:link w:val="80"/>
    <w:unhideWhenUsed/>
    <w:qFormat/>
    <w:uiPriority w:val="0"/>
    <w:rPr>
      <w:rFonts w:ascii="宋体" w:hAnsi="Courier New"/>
      <w:szCs w:val="20"/>
    </w:rPr>
  </w:style>
  <w:style w:type="paragraph" w:styleId="24">
    <w:name w:val="toc 8"/>
    <w:basedOn w:val="1"/>
    <w:next w:val="1"/>
    <w:semiHidden/>
    <w:unhideWhenUsed/>
    <w:qFormat/>
    <w:uiPriority w:val="0"/>
    <w:pPr>
      <w:ind w:left="2940" w:leftChars="1400"/>
    </w:pPr>
  </w:style>
  <w:style w:type="paragraph" w:styleId="25">
    <w:name w:val="Date"/>
    <w:basedOn w:val="1"/>
    <w:next w:val="1"/>
    <w:link w:val="74"/>
    <w:unhideWhenUsed/>
    <w:qFormat/>
    <w:uiPriority w:val="99"/>
    <w:rPr>
      <w:sz w:val="24"/>
      <w:szCs w:val="20"/>
    </w:rPr>
  </w:style>
  <w:style w:type="paragraph" w:styleId="26">
    <w:name w:val="Body Text Indent 2"/>
    <w:basedOn w:val="1"/>
    <w:link w:val="77"/>
    <w:unhideWhenUsed/>
    <w:qFormat/>
    <w:uiPriority w:val="99"/>
    <w:pPr>
      <w:ind w:firstLine="560" w:firstLineChars="200"/>
    </w:pPr>
    <w:rPr>
      <w:rFonts w:ascii="宋体" w:hAnsi="宋体"/>
      <w:sz w:val="28"/>
    </w:rPr>
  </w:style>
  <w:style w:type="paragraph" w:styleId="27">
    <w:name w:val="Balloon Text"/>
    <w:basedOn w:val="1"/>
    <w:link w:val="82"/>
    <w:unhideWhenUsed/>
    <w:qFormat/>
    <w:uiPriority w:val="0"/>
    <w:rPr>
      <w:sz w:val="18"/>
      <w:szCs w:val="18"/>
    </w:rPr>
  </w:style>
  <w:style w:type="paragraph" w:styleId="28">
    <w:name w:val="footer"/>
    <w:basedOn w:val="1"/>
    <w:link w:val="60"/>
    <w:unhideWhenUsed/>
    <w:qFormat/>
    <w:uiPriority w:val="99"/>
    <w:pPr>
      <w:tabs>
        <w:tab w:val="center" w:pos="4153"/>
        <w:tab w:val="right" w:pos="8306"/>
      </w:tabs>
      <w:snapToGrid w:val="0"/>
      <w:jc w:val="left"/>
    </w:pPr>
    <w:rPr>
      <w:sz w:val="18"/>
      <w:szCs w:val="18"/>
    </w:rPr>
  </w:style>
  <w:style w:type="paragraph" w:styleId="29">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tabs>
        <w:tab w:val="right" w:leader="dot" w:pos="9440"/>
      </w:tabs>
      <w:spacing w:before="120" w:after="120" w:line="300" w:lineRule="exact"/>
      <w:jc w:val="left"/>
    </w:pPr>
    <w:rPr>
      <w:rFonts w:ascii="黑体" w:eastAsia="黑体"/>
      <w:b/>
      <w:caps/>
      <w:sz w:val="18"/>
      <w:szCs w:val="28"/>
    </w:rPr>
  </w:style>
  <w:style w:type="paragraph" w:styleId="31">
    <w:name w:val="toc 4"/>
    <w:basedOn w:val="1"/>
    <w:next w:val="1"/>
    <w:semiHidden/>
    <w:unhideWhenUsed/>
    <w:qFormat/>
    <w:uiPriority w:val="0"/>
    <w:pPr>
      <w:ind w:left="1260" w:leftChars="600"/>
    </w:pPr>
  </w:style>
  <w:style w:type="paragraph" w:styleId="32">
    <w:name w:val="Subtitle"/>
    <w:basedOn w:val="1"/>
    <w:next w:val="1"/>
    <w:link w:val="128"/>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33">
    <w:name w:val="toc 6"/>
    <w:basedOn w:val="1"/>
    <w:next w:val="1"/>
    <w:semiHidden/>
    <w:unhideWhenUsed/>
    <w:qFormat/>
    <w:uiPriority w:val="0"/>
    <w:pPr>
      <w:ind w:left="2100" w:leftChars="1000"/>
    </w:pPr>
  </w:style>
  <w:style w:type="paragraph" w:styleId="34">
    <w:name w:val="Body Text Indent 3"/>
    <w:basedOn w:val="1"/>
    <w:link w:val="78"/>
    <w:semiHidden/>
    <w:unhideWhenUsed/>
    <w:qFormat/>
    <w:uiPriority w:val="0"/>
    <w:pPr>
      <w:ind w:firstLine="523"/>
    </w:pPr>
    <w:rPr>
      <w:rFonts w:ascii="仿宋_GB2312" w:hAnsi="宋体" w:eastAsia="仿宋_GB2312"/>
      <w:sz w:val="24"/>
    </w:rPr>
  </w:style>
  <w:style w:type="paragraph" w:styleId="35">
    <w:name w:val="index 9"/>
    <w:basedOn w:val="1"/>
    <w:next w:val="1"/>
    <w:unhideWhenUsed/>
    <w:qFormat/>
    <w:uiPriority w:val="99"/>
    <w:pPr>
      <w:ind w:left="1600" w:leftChars="1600"/>
    </w:pPr>
  </w:style>
  <w:style w:type="paragraph" w:styleId="36">
    <w:name w:val="toc 2"/>
    <w:basedOn w:val="1"/>
    <w:next w:val="1"/>
    <w:unhideWhenUsed/>
    <w:qFormat/>
    <w:uiPriority w:val="39"/>
    <w:pPr>
      <w:tabs>
        <w:tab w:val="right" w:leader="dot" w:pos="9440"/>
      </w:tabs>
      <w:spacing w:line="260" w:lineRule="exact"/>
      <w:jc w:val="left"/>
    </w:pPr>
    <w:rPr>
      <w:rFonts w:ascii="黑体" w:eastAsia="黑体"/>
      <w:b/>
      <w:bCs/>
      <w:smallCaps/>
      <w:sz w:val="18"/>
      <w:szCs w:val="44"/>
    </w:rPr>
  </w:style>
  <w:style w:type="paragraph" w:styleId="37">
    <w:name w:val="toc 9"/>
    <w:basedOn w:val="1"/>
    <w:next w:val="1"/>
    <w:semiHidden/>
    <w:unhideWhenUsed/>
    <w:qFormat/>
    <w:uiPriority w:val="0"/>
    <w:pPr>
      <w:ind w:left="3360" w:leftChars="1600"/>
    </w:pPr>
  </w:style>
  <w:style w:type="paragraph" w:styleId="38">
    <w:name w:val="Body Text 2"/>
    <w:basedOn w:val="1"/>
    <w:link w:val="75"/>
    <w:semiHidden/>
    <w:unhideWhenUsed/>
    <w:qFormat/>
    <w:uiPriority w:val="0"/>
    <w:pPr>
      <w:jc w:val="center"/>
    </w:pPr>
    <w:rPr>
      <w:rFonts w:ascii="仿宋_GB2312" w:eastAsia="仿宋_GB2312"/>
      <w:sz w:val="44"/>
    </w:rPr>
  </w:style>
  <w:style w:type="paragraph" w:styleId="39">
    <w:name w:val="HTML Preformatted"/>
    <w:basedOn w:val="1"/>
    <w:link w:val="6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semiHidden/>
    <w:unhideWhenUsed/>
    <w:qFormat/>
    <w:uiPriority w:val="0"/>
    <w:rPr>
      <w:rFonts w:ascii="宋体" w:hAnsi="宋体"/>
      <w:szCs w:val="18"/>
    </w:rPr>
  </w:style>
  <w:style w:type="paragraph" w:styleId="42">
    <w:name w:val="Title"/>
    <w:basedOn w:val="1"/>
    <w:next w:val="1"/>
    <w:link w:val="72"/>
    <w:qFormat/>
    <w:uiPriority w:val="10"/>
    <w:pPr>
      <w:spacing w:before="240" w:after="60"/>
      <w:jc w:val="center"/>
      <w:outlineLvl w:val="0"/>
    </w:pPr>
    <w:rPr>
      <w:rFonts w:ascii="等线 Light" w:hAnsi="等线 Light"/>
      <w:b/>
      <w:bCs/>
      <w:sz w:val="32"/>
      <w:szCs w:val="32"/>
    </w:rPr>
  </w:style>
  <w:style w:type="paragraph" w:styleId="43">
    <w:name w:val="annotation subject"/>
    <w:basedOn w:val="16"/>
    <w:next w:val="16"/>
    <w:link w:val="81"/>
    <w:semiHidden/>
    <w:unhideWhenUsed/>
    <w:qFormat/>
    <w:uiPriority w:val="0"/>
    <w:rPr>
      <w:b/>
      <w:bCs/>
    </w:rPr>
  </w:style>
  <w:style w:type="paragraph" w:styleId="44">
    <w:name w:val="Body Text First Indent"/>
    <w:basedOn w:val="1"/>
    <w:next w:val="1"/>
    <w:link w:val="67"/>
    <w:unhideWhenUsed/>
    <w:qFormat/>
    <w:uiPriority w:val="0"/>
    <w:pPr>
      <w:ind w:firstLine="420" w:firstLineChars="100"/>
    </w:pPr>
  </w:style>
  <w:style w:type="paragraph" w:styleId="45">
    <w:name w:val="Body Text First Indent 2"/>
    <w:basedOn w:val="19"/>
    <w:next w:val="18"/>
    <w:link w:val="140"/>
    <w:unhideWhenUsed/>
    <w:qFormat/>
    <w:uiPriority w:val="99"/>
    <w:pPr>
      <w:spacing w:line="360" w:lineRule="auto"/>
      <w:ind w:firstLine="200" w:firstLineChars="200"/>
    </w:pPr>
    <w:rPr>
      <w:rFonts w:eastAsia="仿宋_GB2312" w:asciiTheme="minorHAnsi" w:hAnsiTheme="minorHAnsi" w:cstheme="minorBidi"/>
      <w:sz w:val="28"/>
      <w:szCs w:val="24"/>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Web 2"/>
    <w:basedOn w:val="46"/>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50">
    <w:name w:val="Strong"/>
    <w:basedOn w:val="49"/>
    <w:qFormat/>
    <w:uiPriority w:val="22"/>
    <w:rPr>
      <w:b/>
      <w:bCs/>
    </w:rPr>
  </w:style>
  <w:style w:type="character" w:styleId="51">
    <w:name w:val="page number"/>
    <w:basedOn w:val="49"/>
    <w:unhideWhenUsed/>
    <w:qFormat/>
    <w:uiPriority w:val="0"/>
  </w:style>
  <w:style w:type="character" w:styleId="52">
    <w:name w:val="FollowedHyperlink"/>
    <w:semiHidden/>
    <w:unhideWhenUsed/>
    <w:qFormat/>
    <w:uiPriority w:val="0"/>
    <w:rPr>
      <w:color w:val="800080"/>
      <w:u w:val="single"/>
    </w:rPr>
  </w:style>
  <w:style w:type="character" w:styleId="53">
    <w:name w:val="Hyperlink"/>
    <w:unhideWhenUsed/>
    <w:qFormat/>
    <w:uiPriority w:val="99"/>
    <w:rPr>
      <w:color w:val="0000FF"/>
      <w:u w:val="single"/>
    </w:rPr>
  </w:style>
  <w:style w:type="character" w:styleId="54">
    <w:name w:val="annotation reference"/>
    <w:semiHidden/>
    <w:unhideWhenUsed/>
    <w:qFormat/>
    <w:uiPriority w:val="99"/>
    <w:rPr>
      <w:sz w:val="21"/>
      <w:szCs w:val="21"/>
    </w:rPr>
  </w:style>
  <w:style w:type="paragraph" w:customStyle="1" w:styleId="55">
    <w:name w:val="段"/>
    <w:next w:val="56"/>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56">
    <w:name w:val="正文 A"/>
    <w:next w:val="5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57">
    <w:name w:val="Default"/>
    <w:next w:val="58"/>
    <w:qFormat/>
    <w:uiPriority w:val="0"/>
    <w:pPr>
      <w:widowControl w:val="0"/>
      <w:autoSpaceDE w:val="0"/>
      <w:autoSpaceDN w:val="0"/>
      <w:adjustRightInd w:val="0"/>
      <w:ind w:firstLine="200" w:firstLineChars="200"/>
      <w:jc w:val="both"/>
    </w:pPr>
    <w:rPr>
      <w:rFonts w:ascii="Calibri" w:hAnsi="Calibri" w:eastAsia="宋体" w:cs="Times New Roman"/>
      <w:color w:val="000000"/>
      <w:sz w:val="24"/>
      <w:szCs w:val="24"/>
      <w:lang w:val="en-US" w:eastAsia="zh-CN" w:bidi="ar-SA"/>
    </w:rPr>
  </w:style>
  <w:style w:type="paragraph" w:customStyle="1" w:styleId="5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9">
    <w:name w:val="页眉 字符"/>
    <w:basedOn w:val="49"/>
    <w:link w:val="29"/>
    <w:qFormat/>
    <w:uiPriority w:val="99"/>
    <w:rPr>
      <w:sz w:val="18"/>
      <w:szCs w:val="18"/>
    </w:rPr>
  </w:style>
  <w:style w:type="character" w:customStyle="1" w:styleId="60">
    <w:name w:val="页脚 字符"/>
    <w:basedOn w:val="49"/>
    <w:link w:val="28"/>
    <w:qFormat/>
    <w:uiPriority w:val="99"/>
    <w:rPr>
      <w:sz w:val="18"/>
      <w:szCs w:val="18"/>
    </w:rPr>
  </w:style>
  <w:style w:type="character" w:customStyle="1" w:styleId="61">
    <w:name w:val="标题 1 字符"/>
    <w:basedOn w:val="49"/>
    <w:link w:val="3"/>
    <w:qFormat/>
    <w:uiPriority w:val="0"/>
    <w:rPr>
      <w:rFonts w:ascii="楷体_GB2312" w:hAnsi="Times New Roman" w:eastAsia="楷体_GB2312" w:cs="Times New Roman"/>
      <w:sz w:val="28"/>
      <w:szCs w:val="20"/>
    </w:rPr>
  </w:style>
  <w:style w:type="character" w:customStyle="1" w:styleId="62">
    <w:name w:val="标题 2 字符"/>
    <w:basedOn w:val="49"/>
    <w:link w:val="4"/>
    <w:qFormat/>
    <w:uiPriority w:val="0"/>
    <w:rPr>
      <w:rFonts w:ascii="Arial" w:hAnsi="Arial" w:eastAsia="幼圆" w:cs="Times New Roman"/>
      <w:b/>
      <w:sz w:val="44"/>
      <w:szCs w:val="20"/>
    </w:rPr>
  </w:style>
  <w:style w:type="character" w:customStyle="1" w:styleId="63">
    <w:name w:val="标题 3 字符"/>
    <w:basedOn w:val="49"/>
    <w:link w:val="5"/>
    <w:qFormat/>
    <w:uiPriority w:val="9"/>
    <w:rPr>
      <w:rFonts w:ascii="Times New Roman" w:hAnsi="Times New Roman" w:eastAsia="宋体" w:cs="Times New Roman"/>
      <w:b/>
      <w:sz w:val="32"/>
      <w:szCs w:val="20"/>
    </w:rPr>
  </w:style>
  <w:style w:type="character" w:customStyle="1" w:styleId="64">
    <w:name w:val="标题 4 字符"/>
    <w:basedOn w:val="49"/>
    <w:link w:val="6"/>
    <w:qFormat/>
    <w:uiPriority w:val="0"/>
    <w:rPr>
      <w:rFonts w:ascii="Arial" w:hAnsi="Arial" w:eastAsia="黑体" w:cs="Times New Roman"/>
      <w:b/>
      <w:bCs/>
      <w:sz w:val="28"/>
      <w:szCs w:val="28"/>
    </w:rPr>
  </w:style>
  <w:style w:type="character" w:customStyle="1" w:styleId="65">
    <w:name w:val="标题 5 字符"/>
    <w:basedOn w:val="49"/>
    <w:link w:val="7"/>
    <w:qFormat/>
    <w:uiPriority w:val="0"/>
    <w:rPr>
      <w:rFonts w:ascii="宋体" w:hAnsi="宋体" w:eastAsia="宋体" w:cs="Times New Roman"/>
      <w:b/>
      <w:bCs/>
      <w:szCs w:val="24"/>
    </w:rPr>
  </w:style>
  <w:style w:type="character" w:customStyle="1" w:styleId="66">
    <w:name w:val="正文文本 字符"/>
    <w:basedOn w:val="49"/>
    <w:link w:val="18"/>
    <w:qFormat/>
    <w:uiPriority w:val="99"/>
    <w:rPr>
      <w:rFonts w:ascii="Times New Roman" w:hAnsi="Times New Roman" w:eastAsia="宋体" w:cs="Times New Roman"/>
      <w:szCs w:val="24"/>
    </w:rPr>
  </w:style>
  <w:style w:type="character" w:customStyle="1" w:styleId="67">
    <w:name w:val="正文首行缩进 字符"/>
    <w:basedOn w:val="66"/>
    <w:link w:val="44"/>
    <w:qFormat/>
    <w:uiPriority w:val="0"/>
    <w:rPr>
      <w:rFonts w:ascii="Times New Roman" w:hAnsi="Times New Roman" w:eastAsia="宋体" w:cs="Times New Roman"/>
      <w:szCs w:val="24"/>
    </w:rPr>
  </w:style>
  <w:style w:type="character" w:customStyle="1" w:styleId="68">
    <w:name w:val="HTML 预设格式 字符"/>
    <w:basedOn w:val="49"/>
    <w:link w:val="39"/>
    <w:semiHidden/>
    <w:qFormat/>
    <w:uiPriority w:val="0"/>
    <w:rPr>
      <w:rFonts w:ascii="黑体" w:hAnsi="Courier New" w:eastAsia="黑体" w:cs="Courier New"/>
      <w:kern w:val="0"/>
      <w:sz w:val="20"/>
      <w:szCs w:val="20"/>
    </w:rPr>
  </w:style>
  <w:style w:type="paragraph" w:customStyle="1" w:styleId="6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70">
    <w:name w:val="正文缩进 字符"/>
    <w:link w:val="13"/>
    <w:semiHidden/>
    <w:qFormat/>
    <w:locked/>
    <w:uiPriority w:val="0"/>
    <w:rPr>
      <w:rFonts w:ascii="Times New Roman" w:hAnsi="Times New Roman" w:eastAsia="宋体" w:cs="Times New Roman"/>
      <w:szCs w:val="20"/>
    </w:rPr>
  </w:style>
  <w:style w:type="character" w:customStyle="1" w:styleId="71">
    <w:name w:val="批注文字 字符"/>
    <w:basedOn w:val="49"/>
    <w:link w:val="16"/>
    <w:qFormat/>
    <w:uiPriority w:val="0"/>
    <w:rPr>
      <w:rFonts w:ascii="Times New Roman" w:hAnsi="Times New Roman" w:eastAsia="宋体" w:cs="Times New Roman"/>
      <w:szCs w:val="24"/>
    </w:rPr>
  </w:style>
  <w:style w:type="character" w:customStyle="1" w:styleId="72">
    <w:name w:val="标题 字符"/>
    <w:basedOn w:val="49"/>
    <w:link w:val="42"/>
    <w:qFormat/>
    <w:uiPriority w:val="10"/>
    <w:rPr>
      <w:rFonts w:ascii="等线 Light" w:hAnsi="等线 Light" w:eastAsia="宋体" w:cs="Times New Roman"/>
      <w:b/>
      <w:bCs/>
      <w:sz w:val="32"/>
      <w:szCs w:val="32"/>
    </w:rPr>
  </w:style>
  <w:style w:type="character" w:customStyle="1" w:styleId="73">
    <w:name w:val="正文文本缩进 字符"/>
    <w:basedOn w:val="49"/>
    <w:link w:val="19"/>
    <w:qFormat/>
    <w:uiPriority w:val="0"/>
    <w:rPr>
      <w:rFonts w:ascii="楷体_GB2312" w:hAnsi="Times New Roman" w:eastAsia="楷体_GB2312" w:cs="Times New Roman"/>
      <w:sz w:val="32"/>
      <w:szCs w:val="20"/>
    </w:rPr>
  </w:style>
  <w:style w:type="character" w:customStyle="1" w:styleId="74">
    <w:name w:val="日期 字符"/>
    <w:basedOn w:val="49"/>
    <w:link w:val="25"/>
    <w:qFormat/>
    <w:uiPriority w:val="99"/>
    <w:rPr>
      <w:rFonts w:ascii="Times New Roman" w:hAnsi="Times New Roman" w:eastAsia="宋体" w:cs="Times New Roman"/>
      <w:sz w:val="24"/>
      <w:szCs w:val="20"/>
    </w:rPr>
  </w:style>
  <w:style w:type="character" w:customStyle="1" w:styleId="75">
    <w:name w:val="正文文本 2 字符"/>
    <w:basedOn w:val="49"/>
    <w:link w:val="38"/>
    <w:semiHidden/>
    <w:qFormat/>
    <w:uiPriority w:val="0"/>
    <w:rPr>
      <w:rFonts w:ascii="仿宋_GB2312" w:hAnsi="Times New Roman" w:eastAsia="仿宋_GB2312" w:cs="Times New Roman"/>
      <w:sz w:val="44"/>
      <w:szCs w:val="24"/>
    </w:rPr>
  </w:style>
  <w:style w:type="character" w:customStyle="1" w:styleId="76">
    <w:name w:val="正文文本 3 字符"/>
    <w:basedOn w:val="49"/>
    <w:link w:val="17"/>
    <w:semiHidden/>
    <w:qFormat/>
    <w:uiPriority w:val="0"/>
    <w:rPr>
      <w:rFonts w:ascii="仿宋_GB2312" w:hAnsi="Arial" w:eastAsia="仿宋_GB2312" w:cs="Times New Roman"/>
      <w:sz w:val="32"/>
      <w:szCs w:val="20"/>
    </w:rPr>
  </w:style>
  <w:style w:type="character" w:customStyle="1" w:styleId="77">
    <w:name w:val="正文文本缩进 2 字符"/>
    <w:basedOn w:val="49"/>
    <w:link w:val="26"/>
    <w:qFormat/>
    <w:uiPriority w:val="99"/>
    <w:rPr>
      <w:rFonts w:ascii="宋体" w:hAnsi="宋体" w:eastAsia="宋体" w:cs="Times New Roman"/>
      <w:sz w:val="28"/>
      <w:szCs w:val="24"/>
    </w:rPr>
  </w:style>
  <w:style w:type="character" w:customStyle="1" w:styleId="78">
    <w:name w:val="正文文本缩进 3 字符"/>
    <w:basedOn w:val="49"/>
    <w:link w:val="34"/>
    <w:semiHidden/>
    <w:qFormat/>
    <w:uiPriority w:val="0"/>
    <w:rPr>
      <w:rFonts w:ascii="仿宋_GB2312" w:hAnsi="宋体" w:eastAsia="仿宋_GB2312" w:cs="Times New Roman"/>
      <w:sz w:val="24"/>
      <w:szCs w:val="24"/>
    </w:rPr>
  </w:style>
  <w:style w:type="character" w:customStyle="1" w:styleId="79">
    <w:name w:val="文档结构图 字符"/>
    <w:basedOn w:val="49"/>
    <w:link w:val="15"/>
    <w:qFormat/>
    <w:uiPriority w:val="99"/>
    <w:rPr>
      <w:rFonts w:ascii="Times New Roman" w:hAnsi="Times New Roman" w:eastAsia="宋体" w:cs="Times New Roman"/>
      <w:szCs w:val="24"/>
      <w:shd w:val="clear" w:color="auto" w:fill="000080"/>
    </w:rPr>
  </w:style>
  <w:style w:type="character" w:customStyle="1" w:styleId="80">
    <w:name w:val="纯文本 字符"/>
    <w:basedOn w:val="49"/>
    <w:link w:val="23"/>
    <w:qFormat/>
    <w:uiPriority w:val="0"/>
    <w:rPr>
      <w:rFonts w:ascii="宋体" w:hAnsi="Courier New" w:eastAsia="宋体" w:cs="Times New Roman"/>
      <w:szCs w:val="20"/>
    </w:rPr>
  </w:style>
  <w:style w:type="character" w:customStyle="1" w:styleId="81">
    <w:name w:val="批注主题 字符"/>
    <w:basedOn w:val="71"/>
    <w:link w:val="43"/>
    <w:semiHidden/>
    <w:qFormat/>
    <w:uiPriority w:val="0"/>
    <w:rPr>
      <w:rFonts w:ascii="Times New Roman" w:hAnsi="Times New Roman" w:eastAsia="宋体" w:cs="Times New Roman"/>
      <w:b/>
      <w:bCs/>
      <w:szCs w:val="24"/>
    </w:rPr>
  </w:style>
  <w:style w:type="character" w:customStyle="1" w:styleId="82">
    <w:name w:val="批注框文本 字符"/>
    <w:basedOn w:val="49"/>
    <w:link w:val="27"/>
    <w:qFormat/>
    <w:uiPriority w:val="0"/>
    <w:rPr>
      <w:rFonts w:ascii="Times New Roman" w:hAnsi="Times New Roman" w:eastAsia="宋体" w:cs="Times New Roman"/>
      <w:sz w:val="18"/>
      <w:szCs w:val="18"/>
    </w:rPr>
  </w:style>
  <w:style w:type="paragraph" w:styleId="8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修订1"/>
    <w:semiHidden/>
    <w:qFormat/>
    <w:uiPriority w:val="99"/>
    <w:rPr>
      <w:rFonts w:ascii="Times New Roman" w:hAnsi="Times New Roman" w:eastAsia="宋体" w:cs="Times New Roman"/>
      <w:kern w:val="2"/>
      <w:sz w:val="21"/>
      <w:szCs w:val="24"/>
      <w:lang w:val="en-US" w:eastAsia="zh-CN" w:bidi="ar-SA"/>
    </w:rPr>
  </w:style>
  <w:style w:type="paragraph" w:styleId="85">
    <w:name w:val="List Paragraph"/>
    <w:basedOn w:val="1"/>
    <w:qFormat/>
    <w:uiPriority w:val="34"/>
    <w:pPr>
      <w:ind w:firstLine="420" w:firstLineChars="200"/>
    </w:pPr>
    <w:rPr>
      <w:rFonts w:ascii="Calibri" w:hAnsi="Calibri"/>
      <w:szCs w:val="22"/>
    </w:rPr>
  </w:style>
  <w:style w:type="paragraph" w:customStyle="1" w:styleId="86">
    <w:name w:val="xl47"/>
    <w:basedOn w:val="1"/>
    <w:qFormat/>
    <w:uiPriority w:val="0"/>
    <w:pPr>
      <w:widowControl/>
      <w:spacing w:before="100" w:beforeAutospacing="1" w:after="100" w:afterAutospacing="1"/>
      <w:jc w:val="center"/>
    </w:pPr>
    <w:rPr>
      <w:rFonts w:ascii="方正姚体" w:hAnsi="宋体" w:eastAsia="方正姚体"/>
      <w:b/>
      <w:bCs/>
      <w:kern w:val="0"/>
      <w:sz w:val="36"/>
      <w:szCs w:val="36"/>
    </w:rPr>
  </w:style>
  <w:style w:type="paragraph" w:customStyle="1" w:styleId="87">
    <w:name w:val="正文空2格  1."/>
    <w:basedOn w:val="1"/>
    <w:qFormat/>
    <w:uiPriority w:val="0"/>
    <w:pPr>
      <w:adjustRightInd w:val="0"/>
      <w:spacing w:line="360" w:lineRule="auto"/>
      <w:ind w:firstLine="480" w:firstLineChars="200"/>
    </w:pPr>
    <w:rPr>
      <w:rFonts w:ascii="宋体" w:eastAsia="仿宋" w:cs="宋体"/>
      <w:kern w:val="0"/>
      <w:sz w:val="28"/>
      <w:szCs w:val="20"/>
    </w:rPr>
  </w:style>
  <w:style w:type="paragraph" w:customStyle="1" w:styleId="88">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89">
    <w:name w:val="第四级"/>
    <w:basedOn w:val="1"/>
    <w:next w:val="1"/>
    <w:qFormat/>
    <w:uiPriority w:val="0"/>
    <w:pPr>
      <w:numPr>
        <w:ilvl w:val="3"/>
        <w:numId w:val="3"/>
      </w:numPr>
      <w:adjustRightInd w:val="0"/>
      <w:spacing w:line="360" w:lineRule="auto"/>
    </w:pPr>
    <w:rPr>
      <w:rFonts w:ascii="宋体" w:hAnsi="宋体" w:eastAsia="仿宋"/>
      <w:kern w:val="0"/>
      <w:sz w:val="28"/>
      <w:szCs w:val="21"/>
    </w:rPr>
  </w:style>
  <w:style w:type="paragraph" w:customStyle="1" w:styleId="90">
    <w:name w:val="Char Char Char Char1 Char Char Char"/>
    <w:basedOn w:val="15"/>
    <w:qFormat/>
    <w:uiPriority w:val="0"/>
    <w:pPr>
      <w:adjustRightInd w:val="0"/>
      <w:snapToGrid w:val="0"/>
      <w:spacing w:line="360" w:lineRule="auto"/>
    </w:pPr>
    <w:rPr>
      <w:rFonts w:ascii="Tahoma" w:hAnsi="Tahoma"/>
      <w:sz w:val="24"/>
    </w:rPr>
  </w:style>
  <w:style w:type="paragraph" w:customStyle="1" w:styleId="91">
    <w:name w:val="Coms Alinea"/>
    <w:qFormat/>
    <w:uiPriority w:val="0"/>
    <w:pPr>
      <w:widowControl w:val="0"/>
    </w:pPr>
    <w:rPr>
      <w:rFonts w:ascii="Arial" w:hAnsi="Arial" w:eastAsia="宋体" w:cs="Arial"/>
      <w:lang w:val="en-US" w:eastAsia="zh-CN" w:bidi="ar-SA"/>
    </w:rPr>
  </w:style>
  <w:style w:type="character" w:customStyle="1" w:styleId="92">
    <w:name w:val="列出段落 Char"/>
    <w:link w:val="93"/>
    <w:qFormat/>
    <w:locked/>
    <w:uiPriority w:val="0"/>
    <w:rPr>
      <w:rFonts w:ascii="Calibri" w:hAnsi="Calibri" w:cs="Calibri"/>
      <w:sz w:val="24"/>
      <w:szCs w:val="24"/>
      <w:lang w:eastAsia="en-US" w:bidi="en-US"/>
    </w:rPr>
  </w:style>
  <w:style w:type="paragraph" w:customStyle="1" w:styleId="93">
    <w:name w:val="列出段落1"/>
    <w:basedOn w:val="1"/>
    <w:link w:val="92"/>
    <w:qFormat/>
    <w:uiPriority w:val="34"/>
    <w:pPr>
      <w:widowControl/>
      <w:ind w:left="720"/>
      <w:contextualSpacing/>
      <w:jc w:val="left"/>
    </w:pPr>
    <w:rPr>
      <w:rFonts w:ascii="Calibri" w:hAnsi="Calibri" w:cs="Calibri" w:eastAsiaTheme="minorEastAsia"/>
      <w:sz w:val="24"/>
      <w:lang w:eastAsia="en-US" w:bidi="en-US"/>
    </w:rPr>
  </w:style>
  <w:style w:type="paragraph" w:customStyle="1" w:styleId="94">
    <w:name w:val="Char Char Char Char1 Char Char"/>
    <w:basedOn w:val="1"/>
    <w:qFormat/>
    <w:uiPriority w:val="0"/>
    <w:pPr>
      <w:tabs>
        <w:tab w:val="left" w:pos="360"/>
      </w:tabs>
    </w:pPr>
    <w:rPr>
      <w:sz w:val="24"/>
    </w:rPr>
  </w:style>
  <w:style w:type="paragraph" w:customStyle="1" w:styleId="9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96">
    <w:name w:val="标题2"/>
    <w:basedOn w:val="1"/>
    <w:next w:val="1"/>
    <w:qFormat/>
    <w:uiPriority w:val="0"/>
    <w:pPr>
      <w:jc w:val="center"/>
    </w:pPr>
    <w:rPr>
      <w:rFonts w:eastAsia="方正楷体_GBK"/>
    </w:rPr>
  </w:style>
  <w:style w:type="paragraph" w:customStyle="1" w:styleId="97">
    <w:name w:val="Char"/>
    <w:basedOn w:val="1"/>
    <w:qFormat/>
    <w:uiPriority w:val="0"/>
    <w:pPr>
      <w:tabs>
        <w:tab w:val="left" w:pos="360"/>
      </w:tabs>
    </w:pPr>
    <w:rPr>
      <w:sz w:val="24"/>
    </w:rPr>
  </w:style>
  <w:style w:type="paragraph" w:customStyle="1" w:styleId="98">
    <w:name w:val="默认段落字体 Para Char Char Char Char Char Char Char Char Char1 Char Char Char Char Char Char Char"/>
    <w:basedOn w:val="15"/>
    <w:qFormat/>
    <w:uiPriority w:val="0"/>
    <w:rPr>
      <w:rFonts w:ascii="Tahoma" w:hAnsi="Tahoma"/>
      <w:sz w:val="24"/>
    </w:rPr>
  </w:style>
  <w:style w:type="paragraph" w:customStyle="1" w:styleId="99">
    <w:name w:val="正文 1.1.1"/>
    <w:basedOn w:val="1"/>
    <w:next w:val="1"/>
    <w:qFormat/>
    <w:uiPriority w:val="0"/>
    <w:pPr>
      <w:numPr>
        <w:ilvl w:val="2"/>
        <w:numId w:val="3"/>
      </w:numPr>
      <w:adjustRightInd w:val="0"/>
      <w:spacing w:line="360" w:lineRule="auto"/>
      <w:outlineLvl w:val="2"/>
    </w:pPr>
    <w:rPr>
      <w:rFonts w:ascii="宋体" w:hAnsi="宋体"/>
      <w:color w:val="000000"/>
      <w:kern w:val="0"/>
      <w:sz w:val="28"/>
      <w:szCs w:val="21"/>
    </w:rPr>
  </w:style>
  <w:style w:type="paragraph" w:customStyle="1" w:styleId="100">
    <w:name w:val="正文 1.1"/>
    <w:basedOn w:val="1"/>
    <w:next w:val="99"/>
    <w:qFormat/>
    <w:uiPriority w:val="0"/>
    <w:pPr>
      <w:numPr>
        <w:ilvl w:val="1"/>
        <w:numId w:val="3"/>
      </w:numPr>
      <w:adjustRightInd w:val="0"/>
      <w:spacing w:line="360" w:lineRule="auto"/>
      <w:ind w:left="980" w:hanging="980" w:hangingChars="350"/>
      <w:outlineLvl w:val="1"/>
    </w:pPr>
    <w:rPr>
      <w:rFonts w:ascii="仿宋" w:hAnsi="仿宋" w:eastAsia="仿宋"/>
      <w:b/>
      <w:kern w:val="0"/>
      <w:sz w:val="28"/>
      <w:szCs w:val="21"/>
    </w:rPr>
  </w:style>
  <w:style w:type="paragraph" w:customStyle="1" w:styleId="101">
    <w:name w:val="标题3"/>
    <w:basedOn w:val="1"/>
    <w:next w:val="1"/>
    <w:qFormat/>
    <w:uiPriority w:val="0"/>
    <w:rPr>
      <w:rFonts w:eastAsia="方正黑体_GBK"/>
    </w:rPr>
  </w:style>
  <w:style w:type="paragraph" w:customStyle="1" w:styleId="102">
    <w:name w:val="BioQuote Tekst"/>
    <w:basedOn w:val="1"/>
    <w:qFormat/>
    <w:uiPriority w:val="0"/>
    <w:pPr>
      <w:snapToGrid w:val="0"/>
      <w:ind w:right="-1"/>
    </w:pPr>
    <w:rPr>
      <w:rFonts w:ascii="Arial" w:hAnsi="Arial"/>
      <w:kern w:val="0"/>
      <w:sz w:val="22"/>
      <w:szCs w:val="20"/>
      <w:lang w:eastAsia="en-US"/>
    </w:rPr>
  </w:style>
  <w:style w:type="paragraph" w:customStyle="1" w:styleId="103">
    <w:name w:val="附录1"/>
    <w:qFormat/>
    <w:uiPriority w:val="0"/>
    <w:pPr>
      <w:numPr>
        <w:ilvl w:val="0"/>
        <w:numId w:val="4"/>
      </w:numPr>
      <w:snapToGrid w:val="0"/>
      <w:spacing w:before="240" w:line="600" w:lineRule="atLeast"/>
    </w:pPr>
    <w:rPr>
      <w:rFonts w:ascii="Times New Roman" w:hAnsi="Times New Roman" w:eastAsia="宋体" w:cs="Times New Roman"/>
      <w:b/>
      <w:i/>
      <w:sz w:val="28"/>
      <w:lang w:val="en-US" w:eastAsia="zh-CN" w:bidi="ar-SA"/>
    </w:rPr>
  </w:style>
  <w:style w:type="character" w:customStyle="1" w:styleId="104">
    <w:name w:val="普通正文 Char"/>
    <w:link w:val="105"/>
    <w:qFormat/>
    <w:locked/>
    <w:uiPriority w:val="0"/>
    <w:rPr>
      <w:rFonts w:ascii="Arial" w:hAnsi="Arial" w:cs="Arial"/>
      <w:sz w:val="24"/>
      <w:szCs w:val="24"/>
    </w:rPr>
  </w:style>
  <w:style w:type="paragraph" w:customStyle="1" w:styleId="105">
    <w:name w:val="普通正文"/>
    <w:basedOn w:val="1"/>
    <w:link w:val="104"/>
    <w:qFormat/>
    <w:uiPriority w:val="0"/>
    <w:pPr>
      <w:adjustRightInd w:val="0"/>
      <w:spacing w:before="120" w:after="120" w:line="360" w:lineRule="auto"/>
      <w:ind w:firstLine="480"/>
      <w:jc w:val="left"/>
    </w:pPr>
    <w:rPr>
      <w:rFonts w:ascii="Arial" w:hAnsi="Arial" w:cs="Arial" w:eastAsiaTheme="minorEastAsia"/>
      <w:sz w:val="24"/>
    </w:rPr>
  </w:style>
  <w:style w:type="paragraph" w:customStyle="1" w:styleId="10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7">
    <w:name w:val="Char Char Char Char"/>
    <w:basedOn w:val="15"/>
    <w:qFormat/>
    <w:uiPriority w:val="0"/>
    <w:pPr>
      <w:adjustRightInd w:val="0"/>
      <w:snapToGrid w:val="0"/>
      <w:spacing w:line="360" w:lineRule="auto"/>
    </w:pPr>
    <w:rPr>
      <w:rFonts w:ascii="Tahoma" w:hAnsi="Tahoma"/>
      <w:sz w:val="24"/>
    </w:rPr>
  </w:style>
  <w:style w:type="paragraph" w:customStyle="1" w:styleId="108">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109">
    <w:name w:val="正文 第一章"/>
    <w:basedOn w:val="1"/>
    <w:next w:val="100"/>
    <w:qFormat/>
    <w:uiPriority w:val="0"/>
    <w:pPr>
      <w:pageBreakBefore/>
      <w:numPr>
        <w:ilvl w:val="0"/>
        <w:numId w:val="3"/>
      </w:numPr>
      <w:adjustRightInd w:val="0"/>
      <w:spacing w:before="240" w:after="240" w:line="480" w:lineRule="auto"/>
      <w:jc w:val="center"/>
      <w:outlineLvl w:val="0"/>
    </w:pPr>
    <w:rPr>
      <w:rFonts w:ascii="黑体" w:hAnsi="宋体" w:eastAsia="黑体"/>
      <w:kern w:val="0"/>
      <w:sz w:val="36"/>
      <w:szCs w:val="21"/>
    </w:rPr>
  </w:style>
  <w:style w:type="paragraph" w:customStyle="1" w:styleId="110">
    <w:name w:val="标题4"/>
    <w:basedOn w:val="1"/>
    <w:next w:val="1"/>
    <w:qFormat/>
    <w:uiPriority w:val="10"/>
    <w:pPr>
      <w:spacing w:before="240" w:after="60"/>
      <w:jc w:val="center"/>
      <w:outlineLvl w:val="0"/>
    </w:pPr>
    <w:rPr>
      <w:rFonts w:ascii="Calibri Light" w:hAnsi="Calibri Light"/>
      <w:b/>
      <w:bCs/>
      <w:sz w:val="32"/>
      <w:szCs w:val="32"/>
    </w:rPr>
  </w:style>
  <w:style w:type="paragraph" w:customStyle="1" w:styleId="111">
    <w:name w:val="me-正文"/>
    <w:basedOn w:val="1"/>
    <w:qFormat/>
    <w:uiPriority w:val="0"/>
    <w:pPr>
      <w:adjustRightInd w:val="0"/>
      <w:snapToGrid w:val="0"/>
      <w:spacing w:line="579" w:lineRule="exact"/>
      <w:ind w:firstLine="200" w:firstLineChars="200"/>
    </w:pPr>
    <w:rPr>
      <w:rFonts w:ascii="仿宋_GB2312" w:eastAsia="仿宋_GB2312"/>
      <w:sz w:val="32"/>
      <w:szCs w:val="44"/>
    </w:rPr>
  </w:style>
  <w:style w:type="paragraph" w:customStyle="1" w:styleId="112">
    <w:name w:val="me-标题"/>
    <w:basedOn w:val="42"/>
    <w:next w:val="111"/>
    <w:qFormat/>
    <w:uiPriority w:val="0"/>
    <w:pPr>
      <w:spacing w:before="0" w:after="0" w:line="579" w:lineRule="exact"/>
    </w:pPr>
    <w:rPr>
      <w:rFonts w:ascii="Times New Roman" w:hAnsi="Times New Roman" w:eastAsia="方正小标宋简体"/>
      <w:b w:val="0"/>
      <w:sz w:val="44"/>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5">
    <w:name w:val="标题2 Char"/>
    <w:qFormat/>
    <w:uiPriority w:val="0"/>
    <w:rPr>
      <w:rFonts w:hint="eastAsia" w:ascii="方正楷体_GBK" w:hAnsi="Book Antiqua" w:eastAsia="方正楷体_GBK"/>
      <w:snapToGrid w:val="0"/>
      <w:sz w:val="32"/>
      <w:lang w:val="en-US" w:eastAsia="zh-CN" w:bidi="ar-SA"/>
    </w:rPr>
  </w:style>
  <w:style w:type="character" w:customStyle="1" w:styleId="116">
    <w:name w:val="jj1"/>
    <w:qFormat/>
    <w:uiPriority w:val="0"/>
    <w:rPr>
      <w:sz w:val="20"/>
      <w:szCs w:val="20"/>
      <w:u w:val="none"/>
    </w:rPr>
  </w:style>
  <w:style w:type="character" w:customStyle="1" w:styleId="117">
    <w:name w:val="HTML 预设格式 字符1"/>
    <w:basedOn w:val="49"/>
    <w:semiHidden/>
    <w:qFormat/>
    <w:uiPriority w:val="99"/>
    <w:rPr>
      <w:rFonts w:hint="default" w:ascii="Courier New" w:hAnsi="Courier New" w:cs="Courier New"/>
      <w:kern w:val="2"/>
    </w:rPr>
  </w:style>
  <w:style w:type="character" w:customStyle="1" w:styleId="118">
    <w:name w:val="批注文字 字符1"/>
    <w:basedOn w:val="49"/>
    <w:semiHidden/>
    <w:qFormat/>
    <w:uiPriority w:val="99"/>
    <w:rPr>
      <w:kern w:val="2"/>
      <w:sz w:val="21"/>
      <w:szCs w:val="24"/>
    </w:rPr>
  </w:style>
  <w:style w:type="character" w:customStyle="1" w:styleId="119">
    <w:name w:val="批注主题 字符1"/>
    <w:basedOn w:val="118"/>
    <w:semiHidden/>
    <w:qFormat/>
    <w:uiPriority w:val="99"/>
    <w:rPr>
      <w:b/>
      <w:bCs/>
      <w:kern w:val="2"/>
      <w:sz w:val="21"/>
      <w:szCs w:val="24"/>
    </w:rPr>
  </w:style>
  <w:style w:type="paragraph" w:customStyle="1" w:styleId="120">
    <w:name w:val="Table Paragraph"/>
    <w:basedOn w:val="1"/>
    <w:qFormat/>
    <w:uiPriority w:val="1"/>
    <w:rPr>
      <w:rFonts w:ascii="宋体" w:hAnsi="宋体" w:cs="宋体"/>
      <w:kern w:val="0"/>
      <w:sz w:val="34"/>
      <w:szCs w:val="20"/>
      <w:lang w:val="zh-CN" w:bidi="zh-CN"/>
    </w:rPr>
  </w:style>
  <w:style w:type="paragraph" w:customStyle="1" w:styleId="121">
    <w:name w:val="Char1"/>
    <w:basedOn w:val="1"/>
    <w:qFormat/>
    <w:uiPriority w:val="0"/>
    <w:pPr>
      <w:spacing w:line="240" w:lineRule="exact"/>
    </w:pPr>
    <w:rPr>
      <w:rFonts w:ascii="仿宋_GB2312" w:hAnsi="宋体" w:eastAsia="仿宋_GB2312"/>
      <w:szCs w:val="21"/>
    </w:rPr>
  </w:style>
  <w:style w:type="character" w:customStyle="1" w:styleId="122">
    <w:name w:val="style41"/>
    <w:basedOn w:val="49"/>
    <w:qFormat/>
    <w:uiPriority w:val="0"/>
    <w:rPr>
      <w:color w:val="3D79B6"/>
    </w:rPr>
  </w:style>
  <w:style w:type="paragraph" w:customStyle="1" w:styleId="123">
    <w:name w:val="二级"/>
    <w:basedOn w:val="1"/>
    <w:link w:val="124"/>
    <w:qFormat/>
    <w:uiPriority w:val="0"/>
    <w:pPr>
      <w:jc w:val="center"/>
    </w:pPr>
    <w:rPr>
      <w:rFonts w:hAnsi="宋体"/>
      <w:b/>
      <w:sz w:val="24"/>
    </w:rPr>
  </w:style>
  <w:style w:type="character" w:customStyle="1" w:styleId="124">
    <w:name w:val="二级 Char"/>
    <w:basedOn w:val="49"/>
    <w:link w:val="123"/>
    <w:qFormat/>
    <w:uiPriority w:val="0"/>
    <w:rPr>
      <w:rFonts w:ascii="Times New Roman" w:hAnsi="宋体" w:eastAsia="宋体" w:cs="Times New Roman"/>
      <w:b/>
      <w:kern w:val="2"/>
      <w:sz w:val="24"/>
      <w:szCs w:val="24"/>
    </w:rPr>
  </w:style>
  <w:style w:type="paragraph" w:customStyle="1" w:styleId="125">
    <w:name w:val="z-窗体顶端1"/>
    <w:basedOn w:val="1"/>
    <w:next w:val="1"/>
    <w:link w:val="126"/>
    <w:unhideWhenUsed/>
    <w:qFormat/>
    <w:uiPriority w:val="0"/>
    <w:pPr>
      <w:widowControl/>
      <w:pBdr>
        <w:bottom w:val="single" w:color="auto" w:sz="6" w:space="1"/>
      </w:pBdr>
      <w:jc w:val="center"/>
    </w:pPr>
    <w:rPr>
      <w:rFonts w:ascii="Arial" w:hAnsi="Arial" w:cs="Arial"/>
      <w:vanish/>
      <w:kern w:val="0"/>
      <w:sz w:val="16"/>
      <w:szCs w:val="16"/>
    </w:rPr>
  </w:style>
  <w:style w:type="character" w:customStyle="1" w:styleId="126">
    <w:name w:val="z-窗体顶端 Char"/>
    <w:basedOn w:val="49"/>
    <w:link w:val="125"/>
    <w:qFormat/>
    <w:uiPriority w:val="0"/>
    <w:rPr>
      <w:rFonts w:ascii="Arial" w:hAnsi="Arial" w:eastAsia="宋体" w:cs="Arial"/>
      <w:vanish/>
      <w:sz w:val="16"/>
      <w:szCs w:val="16"/>
    </w:rPr>
  </w:style>
  <w:style w:type="character" w:customStyle="1" w:styleId="127">
    <w:name w:val="标题 Char1"/>
    <w:basedOn w:val="49"/>
    <w:qFormat/>
    <w:uiPriority w:val="0"/>
    <w:rPr>
      <w:rFonts w:eastAsia="宋体" w:asciiTheme="majorHAnsi" w:hAnsiTheme="majorHAnsi" w:cstheme="majorBidi"/>
      <w:b/>
      <w:bCs/>
      <w:sz w:val="32"/>
      <w:szCs w:val="32"/>
    </w:rPr>
  </w:style>
  <w:style w:type="character" w:customStyle="1" w:styleId="128">
    <w:name w:val="副标题 字符"/>
    <w:basedOn w:val="49"/>
    <w:link w:val="32"/>
    <w:qFormat/>
    <w:uiPriority w:val="11"/>
    <w:rPr>
      <w:rFonts w:ascii="Cambria" w:hAnsi="Cambria"/>
      <w:b/>
      <w:bCs/>
      <w:kern w:val="28"/>
      <w:sz w:val="32"/>
      <w:szCs w:val="32"/>
    </w:rPr>
  </w:style>
  <w:style w:type="character" w:customStyle="1" w:styleId="129">
    <w:name w:val="副标题 字符1"/>
    <w:basedOn w:val="49"/>
    <w:qFormat/>
    <w:uiPriority w:val="11"/>
    <w:rPr>
      <w:b/>
      <w:bCs/>
      <w:kern w:val="28"/>
      <w:sz w:val="32"/>
      <w:szCs w:val="32"/>
    </w:rPr>
  </w:style>
  <w:style w:type="character" w:customStyle="1" w:styleId="130">
    <w:name w:val="副标题 Char1"/>
    <w:basedOn w:val="49"/>
    <w:qFormat/>
    <w:uiPriority w:val="0"/>
    <w:rPr>
      <w:rFonts w:eastAsia="宋体" w:asciiTheme="majorHAnsi" w:hAnsiTheme="majorHAnsi" w:cstheme="majorBidi"/>
      <w:b/>
      <w:bCs/>
      <w:kern w:val="28"/>
      <w:sz w:val="32"/>
      <w:szCs w:val="32"/>
    </w:rPr>
  </w:style>
  <w:style w:type="paragraph" w:customStyle="1" w:styleId="131">
    <w:name w:val="me-作者时间"/>
    <w:basedOn w:val="32"/>
    <w:next w:val="111"/>
    <w:qFormat/>
    <w:uiPriority w:val="0"/>
    <w:pPr>
      <w:spacing w:before="0" w:after="0" w:line="579" w:lineRule="exact"/>
    </w:pPr>
    <w:rPr>
      <w:rFonts w:ascii="Times New Roman" w:hAnsi="Times New Roman" w:eastAsia="仿宋_GB2312"/>
      <w:b w:val="0"/>
    </w:rPr>
  </w:style>
  <w:style w:type="paragraph" w:customStyle="1" w:styleId="132">
    <w:name w:val="me-一级标题"/>
    <w:basedOn w:val="3"/>
    <w:next w:val="111"/>
    <w:qFormat/>
    <w:uiPriority w:val="0"/>
    <w:pPr>
      <w:keepLines/>
      <w:spacing w:line="579" w:lineRule="exact"/>
      <w:ind w:firstLine="200" w:firstLineChars="200"/>
    </w:pPr>
    <w:rPr>
      <w:rFonts w:ascii="Times New Roman" w:eastAsia="黑体"/>
      <w:bCs/>
      <w:kern w:val="44"/>
      <w:sz w:val="32"/>
      <w:szCs w:val="44"/>
    </w:rPr>
  </w:style>
  <w:style w:type="paragraph" w:customStyle="1" w:styleId="133">
    <w:name w:val="me-二级标题"/>
    <w:basedOn w:val="4"/>
    <w:next w:val="111"/>
    <w:qFormat/>
    <w:uiPriority w:val="0"/>
    <w:pPr>
      <w:spacing w:before="0" w:after="0" w:line="579" w:lineRule="exact"/>
      <w:ind w:firstLine="200" w:firstLineChars="200"/>
      <w:jc w:val="both"/>
    </w:pPr>
    <w:rPr>
      <w:rFonts w:ascii="Times New Roman" w:hAnsi="Times New Roman" w:eastAsia="楷体_GB2312"/>
      <w:bCs/>
      <w:sz w:val="32"/>
      <w:szCs w:val="32"/>
    </w:rPr>
  </w:style>
  <w:style w:type="paragraph" w:customStyle="1" w:styleId="134">
    <w:name w:val="me-三级标题"/>
    <w:basedOn w:val="5"/>
    <w:next w:val="111"/>
    <w:qFormat/>
    <w:uiPriority w:val="0"/>
    <w:pPr>
      <w:spacing w:before="0" w:after="0" w:line="579" w:lineRule="exact"/>
      <w:ind w:firstLine="200" w:firstLineChars="200"/>
    </w:pPr>
    <w:rPr>
      <w:rFonts w:eastAsia="仿宋_GB2312"/>
      <w:bCs/>
      <w:szCs w:val="32"/>
    </w:rPr>
  </w:style>
  <w:style w:type="paragraph" w:customStyle="1" w:styleId="135">
    <w:name w:val="p0"/>
    <w:basedOn w:val="1"/>
    <w:qFormat/>
    <w:uiPriority w:val="0"/>
    <w:pPr>
      <w:widowControl/>
    </w:pPr>
    <w:rPr>
      <w:kern w:val="0"/>
      <w:szCs w:val="21"/>
    </w:rPr>
  </w:style>
  <w:style w:type="character" w:customStyle="1" w:styleId="136">
    <w:name w:val="标题 7 字符"/>
    <w:basedOn w:val="49"/>
    <w:link w:val="9"/>
    <w:semiHidden/>
    <w:qFormat/>
    <w:uiPriority w:val="0"/>
    <w:rPr>
      <w:rFonts w:ascii="Times New Roman" w:hAnsi="Times New Roman" w:eastAsia="宋体" w:cs="Times New Roman"/>
      <w:b/>
      <w:kern w:val="2"/>
      <w:sz w:val="24"/>
      <w:szCs w:val="24"/>
    </w:rPr>
  </w:style>
  <w:style w:type="character" w:customStyle="1" w:styleId="137">
    <w:name w:val="标题 8 字符"/>
    <w:basedOn w:val="49"/>
    <w:link w:val="10"/>
    <w:semiHidden/>
    <w:qFormat/>
    <w:uiPriority w:val="0"/>
    <w:rPr>
      <w:rFonts w:ascii="Arial" w:hAnsi="Arial" w:eastAsia="黑体" w:cs="Times New Roman"/>
      <w:kern w:val="2"/>
      <w:sz w:val="24"/>
      <w:szCs w:val="24"/>
    </w:rPr>
  </w:style>
  <w:style w:type="character" w:customStyle="1" w:styleId="138">
    <w:name w:val="标题 9 字符"/>
    <w:basedOn w:val="49"/>
    <w:link w:val="11"/>
    <w:semiHidden/>
    <w:qFormat/>
    <w:uiPriority w:val="0"/>
    <w:rPr>
      <w:rFonts w:ascii="Arial" w:hAnsi="Arial" w:eastAsia="黑体" w:cs="Times New Roman"/>
      <w:kern w:val="2"/>
      <w:sz w:val="21"/>
      <w:szCs w:val="24"/>
    </w:rPr>
  </w:style>
  <w:style w:type="character" w:customStyle="1" w:styleId="139">
    <w:name w:val="标题 6 字符"/>
    <w:basedOn w:val="49"/>
    <w:link w:val="8"/>
    <w:qFormat/>
    <w:uiPriority w:val="0"/>
    <w:rPr>
      <w:rFonts w:ascii="Arial" w:hAnsi="Arial" w:eastAsia="黑体" w:cs="Times New Roman"/>
      <w:b/>
      <w:kern w:val="2"/>
      <w:sz w:val="24"/>
      <w:szCs w:val="24"/>
    </w:rPr>
  </w:style>
  <w:style w:type="character" w:customStyle="1" w:styleId="140">
    <w:name w:val="正文首行缩进 2 字符"/>
    <w:basedOn w:val="73"/>
    <w:link w:val="45"/>
    <w:qFormat/>
    <w:uiPriority w:val="99"/>
    <w:rPr>
      <w:rFonts w:ascii="楷体_GB2312" w:hAnsi="Times New Roman" w:eastAsia="仿宋_GB2312" w:cs="Times New Roman"/>
      <w:kern w:val="2"/>
      <w:sz w:val="28"/>
      <w:szCs w:val="24"/>
    </w:rPr>
  </w:style>
  <w:style w:type="paragraph" w:customStyle="1" w:styleId="141">
    <w:name w:val="（正文）"/>
    <w:basedOn w:val="1"/>
    <w:qFormat/>
    <w:uiPriority w:val="0"/>
    <w:pPr>
      <w:adjustRightInd w:val="0"/>
      <w:snapToGrid w:val="0"/>
      <w:spacing w:line="360" w:lineRule="auto"/>
      <w:ind w:firstLine="1044" w:firstLineChars="200"/>
    </w:pPr>
    <w:rPr>
      <w:sz w:val="24"/>
    </w:rPr>
  </w:style>
  <w:style w:type="paragraph" w:customStyle="1" w:styleId="142">
    <w:name w:val="正文首行缩进2字符"/>
    <w:basedOn w:val="1"/>
    <w:qFormat/>
    <w:uiPriority w:val="0"/>
    <w:pPr>
      <w:spacing w:line="360" w:lineRule="auto"/>
      <w:ind w:firstLine="200" w:firstLineChars="200"/>
    </w:pPr>
    <w:rPr>
      <w:sz w:val="24"/>
    </w:rPr>
  </w:style>
  <w:style w:type="paragraph" w:customStyle="1" w:styleId="143">
    <w:name w:val="样式 首行缩进:  0.74 厘米"/>
    <w:basedOn w:val="1"/>
    <w:qFormat/>
    <w:uiPriority w:val="0"/>
    <w:pPr>
      <w:spacing w:beforeLines="50" w:afterLines="50" w:line="360" w:lineRule="auto"/>
      <w:ind w:firstLine="420" w:firstLineChars="200"/>
    </w:pPr>
    <w:rPr>
      <w:rFonts w:eastAsia="仿宋_GB2312" w:cs="宋体"/>
      <w:sz w:val="24"/>
      <w:szCs w:val="20"/>
    </w:rPr>
  </w:style>
  <w:style w:type="character" w:customStyle="1" w:styleId="144">
    <w:name w:val="题注 字符"/>
    <w:link w:val="14"/>
    <w:qFormat/>
    <w:uiPriority w:val="0"/>
    <w:rPr>
      <w:rFonts w:ascii="Arial" w:hAnsi="Arial" w:eastAsia="黑体" w:cs="Times New Roman"/>
      <w:kern w:val="2"/>
      <w:sz w:val="24"/>
      <w:szCs w:val="24"/>
    </w:rPr>
  </w:style>
  <w:style w:type="paragraph" w:customStyle="1" w:styleId="145">
    <w:name w:val="居中图片"/>
    <w:basedOn w:val="1"/>
    <w:next w:val="146"/>
    <w:qFormat/>
    <w:uiPriority w:val="0"/>
    <w:pPr>
      <w:ind w:firstLine="1044" w:firstLineChars="200"/>
      <w:jc w:val="center"/>
    </w:pPr>
    <w:rPr>
      <w:sz w:val="24"/>
    </w:rPr>
  </w:style>
  <w:style w:type="paragraph" w:customStyle="1" w:styleId="146">
    <w:name w:val="居中图示"/>
    <w:basedOn w:val="1"/>
    <w:next w:val="1"/>
    <w:qFormat/>
    <w:uiPriority w:val="99"/>
    <w:pPr>
      <w:spacing w:after="240" w:line="360" w:lineRule="auto"/>
      <w:ind w:firstLine="1120" w:firstLineChars="200"/>
      <w:jc w:val="center"/>
    </w:pPr>
    <w:rPr>
      <w:rFonts w:eastAsia="黑体"/>
      <w:sz w:val="24"/>
      <w:szCs w:val="20"/>
    </w:rPr>
  </w:style>
  <w:style w:type="paragraph" w:customStyle="1" w:styleId="147">
    <w:name w:val="_正文"/>
    <w:basedOn w:val="1"/>
    <w:qFormat/>
    <w:uiPriority w:val="0"/>
    <w:pPr>
      <w:adjustRightInd w:val="0"/>
      <w:snapToGrid w:val="0"/>
      <w:spacing w:line="360" w:lineRule="auto"/>
      <w:ind w:firstLine="200" w:firstLineChars="200"/>
    </w:pPr>
    <w:rPr>
      <w:sz w:val="24"/>
      <w:szCs w:val="20"/>
    </w:rPr>
  </w:style>
  <w:style w:type="paragraph" w:customStyle="1" w:styleId="148">
    <w:name w:val="列表段落1"/>
    <w:basedOn w:val="1"/>
    <w:qFormat/>
    <w:uiPriority w:val="34"/>
    <w:pPr>
      <w:spacing w:line="360" w:lineRule="auto"/>
      <w:ind w:firstLine="420" w:firstLineChars="200"/>
    </w:pPr>
    <w:rPr>
      <w:sz w:val="24"/>
    </w:rPr>
  </w:style>
  <w:style w:type="paragraph" w:customStyle="1" w:styleId="149">
    <w:name w:val="标书正文"/>
    <w:basedOn w:val="1"/>
    <w:qFormat/>
    <w:uiPriority w:val="0"/>
    <w:pPr>
      <w:snapToGrid w:val="0"/>
      <w:spacing w:beforeLines="100" w:afterLines="100" w:line="360" w:lineRule="auto"/>
      <w:ind w:firstLine="420" w:firstLineChars="200"/>
    </w:pPr>
    <w:rPr>
      <w:rFonts w:cs="宋体"/>
      <w:sz w:val="24"/>
      <w:szCs w:val="20"/>
    </w:rPr>
  </w:style>
  <w:style w:type="paragraph" w:customStyle="1" w:styleId="150">
    <w:name w:val="H4"/>
    <w:basedOn w:val="6"/>
    <w:next w:val="1"/>
    <w:qFormat/>
    <w:uiPriority w:val="0"/>
    <w:pPr>
      <w:numPr>
        <w:ilvl w:val="4"/>
        <w:numId w:val="5"/>
      </w:numPr>
      <w:tabs>
        <w:tab w:val="left" w:pos="864"/>
      </w:tabs>
      <w:spacing w:before="0" w:after="0" w:line="377" w:lineRule="auto"/>
      <w:jc w:val="left"/>
    </w:pPr>
    <w:rPr>
      <w:bCs w:val="0"/>
      <w:szCs w:val="24"/>
      <w:lang w:val="zh-CN"/>
    </w:rPr>
  </w:style>
  <w:style w:type="paragraph" w:customStyle="1" w:styleId="151">
    <w:name w:val="H5"/>
    <w:basedOn w:val="7"/>
    <w:next w:val="1"/>
    <w:qFormat/>
    <w:uiPriority w:val="0"/>
    <w:pPr>
      <w:keepLines/>
      <w:numPr>
        <w:ilvl w:val="5"/>
        <w:numId w:val="5"/>
      </w:numPr>
      <w:spacing w:before="120" w:after="120" w:line="360" w:lineRule="auto"/>
      <w:jc w:val="left"/>
    </w:pPr>
    <w:rPr>
      <w:rFonts w:ascii="Calibri" w:hAnsi="Calibri" w:eastAsia="黑体"/>
      <w:sz w:val="30"/>
      <w:szCs w:val="28"/>
      <w:lang w:val="zh-CN"/>
    </w:rPr>
  </w:style>
  <w:style w:type="paragraph" w:customStyle="1" w:styleId="152">
    <w:name w:val="H6"/>
    <w:basedOn w:val="8"/>
    <w:next w:val="1"/>
    <w:qFormat/>
    <w:uiPriority w:val="0"/>
    <w:pPr>
      <w:numPr>
        <w:ilvl w:val="6"/>
        <w:numId w:val="5"/>
      </w:numPr>
      <w:spacing w:before="120" w:after="120" w:line="360" w:lineRule="auto"/>
    </w:pPr>
    <w:rPr>
      <w:rFonts w:eastAsia="宋体"/>
      <w:sz w:val="28"/>
    </w:rPr>
  </w:style>
  <w:style w:type="character" w:customStyle="1" w:styleId="153">
    <w:name w:val="font81"/>
    <w:basedOn w:val="49"/>
    <w:qFormat/>
    <w:uiPriority w:val="0"/>
    <w:rPr>
      <w:rFonts w:hint="eastAsia" w:ascii="宋体" w:hAnsi="宋体" w:eastAsia="宋体" w:cs="宋体"/>
      <w:b/>
      <w:color w:val="auto"/>
      <w:sz w:val="20"/>
      <w:szCs w:val="20"/>
      <w:u w:val="none"/>
    </w:rPr>
  </w:style>
  <w:style w:type="character" w:customStyle="1" w:styleId="154">
    <w:name w:val="font61"/>
    <w:basedOn w:val="49"/>
    <w:qFormat/>
    <w:uiPriority w:val="0"/>
    <w:rPr>
      <w:rFonts w:hint="eastAsia" w:ascii="宋体" w:hAnsi="宋体" w:eastAsia="宋体" w:cs="宋体"/>
      <w:color w:val="auto"/>
      <w:sz w:val="20"/>
      <w:szCs w:val="20"/>
      <w:u w:val="none"/>
    </w:rPr>
  </w:style>
  <w:style w:type="character" w:customStyle="1" w:styleId="155">
    <w:name w:val="font71"/>
    <w:basedOn w:val="49"/>
    <w:qFormat/>
    <w:uiPriority w:val="0"/>
    <w:rPr>
      <w:rFonts w:hint="default" w:ascii="Times New Roman" w:hAnsi="Times New Roman" w:cs="Times New Roman"/>
      <w:color w:val="auto"/>
      <w:sz w:val="20"/>
      <w:szCs w:val="20"/>
      <w:u w:val="none"/>
    </w:rPr>
  </w:style>
  <w:style w:type="character" w:customStyle="1" w:styleId="156">
    <w:name w:val="font111"/>
    <w:basedOn w:val="49"/>
    <w:qFormat/>
    <w:uiPriority w:val="0"/>
    <w:rPr>
      <w:rFonts w:hint="default" w:ascii="Times New Roman" w:hAnsi="Times New Roman" w:cs="Times New Roman"/>
      <w:color w:val="FF0000"/>
      <w:sz w:val="20"/>
      <w:szCs w:val="20"/>
      <w:u w:val="none"/>
    </w:rPr>
  </w:style>
  <w:style w:type="character" w:customStyle="1" w:styleId="157">
    <w:name w:val="font101"/>
    <w:basedOn w:val="49"/>
    <w:qFormat/>
    <w:uiPriority w:val="0"/>
    <w:rPr>
      <w:rFonts w:hint="eastAsia" w:ascii="宋体" w:hAnsi="宋体" w:eastAsia="宋体" w:cs="宋体"/>
      <w:color w:val="FF0000"/>
      <w:sz w:val="20"/>
      <w:szCs w:val="20"/>
      <w:u w:val="none"/>
    </w:rPr>
  </w:style>
  <w:style w:type="paragraph" w:customStyle="1" w:styleId="158">
    <w:name w:val="Body text|1"/>
    <w:basedOn w:val="1"/>
    <w:qFormat/>
    <w:uiPriority w:val="0"/>
    <w:pPr>
      <w:spacing w:line="480" w:lineRule="auto"/>
      <w:ind w:firstLine="400"/>
    </w:pPr>
    <w:rPr>
      <w:rFonts w:ascii="宋体" w:hAnsi="宋体" w:cs="宋体"/>
      <w:sz w:val="22"/>
      <w:szCs w:val="22"/>
      <w:lang w:val="zh-TW" w:eastAsia="zh-TW" w:bidi="zh-TW"/>
    </w:rPr>
  </w:style>
  <w:style w:type="character" w:customStyle="1" w:styleId="159">
    <w:name w:val="apple-converted-space"/>
    <w:qFormat/>
    <w:uiPriority w:val="99"/>
  </w:style>
  <w:style w:type="paragraph" w:customStyle="1" w:styleId="160">
    <w:name w:val="CM64"/>
    <w:basedOn w:val="57"/>
    <w:next w:val="1"/>
    <w:unhideWhenUsed/>
    <w:qFormat/>
    <w:uiPriority w:val="99"/>
    <w:pPr>
      <w:spacing w:line="491" w:lineRule="atLeast"/>
      <w:ind w:firstLine="0" w:firstLineChars="0"/>
      <w:jc w:val="left"/>
    </w:pPr>
    <w:rPr>
      <w:rFonts w:ascii="仿宋_GB2312" w:hAnsi="Times New Roman" w:eastAsia="仿宋_GB2312" w:cs="仿宋_GB2312"/>
    </w:rPr>
  </w:style>
  <w:style w:type="character" w:customStyle="1" w:styleId="161">
    <w:name w:val="NormalCharacter"/>
    <w:semiHidden/>
    <w:qFormat/>
    <w:uiPriority w:val="0"/>
  </w:style>
  <w:style w:type="paragraph" w:customStyle="1" w:styleId="162">
    <w:name w:val="Heading1"/>
    <w:basedOn w:val="1"/>
    <w:next w:val="1"/>
    <w:qFormat/>
    <w:uiPriority w:val="0"/>
    <w:pPr>
      <w:keepNext/>
      <w:jc w:val="center"/>
    </w:pPr>
    <w:rPr>
      <w:rFonts w:ascii="楷体_GB2312" w:eastAsia="楷体_GB2312"/>
      <w:sz w:val="28"/>
      <w:szCs w:val="28"/>
    </w:rPr>
  </w:style>
  <w:style w:type="paragraph" w:customStyle="1" w:styleId="163">
    <w:name w:val="PlainText"/>
    <w:basedOn w:val="1"/>
    <w:qFormat/>
    <w:uiPriority w:val="0"/>
    <w:rPr>
      <w:rFonts w:ascii="宋体" w:hAnsi="Courier New"/>
    </w:rPr>
  </w:style>
  <w:style w:type="paragraph" w:customStyle="1" w:styleId="164">
    <w:name w:val="HtmlNormal"/>
    <w:basedOn w:val="1"/>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25429</Words>
  <Characters>26650</Characters>
  <Lines>208</Lines>
  <Paragraphs>58</Paragraphs>
  <TotalTime>0</TotalTime>
  <ScaleCrop>false</ScaleCrop>
  <LinksUpToDate>false</LinksUpToDate>
  <CharactersWithSpaces>27978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2023-06-28T08:09:00Z</dcterms:created>
  <dc:creator>Administrator</dc:creator>
  <cp:lastModifiedBy>Samsung</cp:lastModifiedBy>
  <cp:lastPrinted>2023-05-05T08:11:00Z</cp:lastPrinted>
  <dcterms:modified xsi:type="dcterms:W3CDTF">2023-07-03T13:18:23Z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10F5AA38EFBB438681392A777C0653BA_13</vt:lpwstr>
  </property>
</Properties>
</file>