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lang w:val="en-US" w:eastAsia="zh-CN"/>
        </w:rPr>
      </w:pPr>
      <w:r>
        <w:rPr>
          <w:rFonts w:hint="eastAsia"/>
          <w:b/>
          <w:bCs/>
          <w:sz w:val="28"/>
          <w:szCs w:val="28"/>
        </w:rPr>
        <w:t>盐城工业职业技术学院信息与安全学院多媒体教学设备询价</w:t>
      </w:r>
      <w:r>
        <w:rPr>
          <w:rFonts w:hint="eastAsia"/>
          <w:b/>
          <w:bCs/>
          <w:sz w:val="28"/>
          <w:szCs w:val="28"/>
          <w:lang w:val="en-US" w:eastAsia="zh-CN"/>
        </w:rPr>
        <w:t>报价表</w:t>
      </w:r>
    </w:p>
    <w:tbl>
      <w:tblPr>
        <w:tblStyle w:val="3"/>
        <w:tblW w:w="13874" w:type="dxa"/>
        <w:tblInd w:w="0" w:type="dxa"/>
        <w:tblLayout w:type="fixed"/>
        <w:tblCellMar>
          <w:top w:w="0" w:type="dxa"/>
          <w:left w:w="0" w:type="dxa"/>
          <w:bottom w:w="0" w:type="dxa"/>
          <w:right w:w="0" w:type="dxa"/>
        </w:tblCellMar>
      </w:tblPr>
      <w:tblGrid>
        <w:gridCol w:w="581"/>
        <w:gridCol w:w="1844"/>
        <w:gridCol w:w="3663"/>
        <w:gridCol w:w="673"/>
        <w:gridCol w:w="889"/>
        <w:gridCol w:w="1556"/>
        <w:gridCol w:w="1556"/>
        <w:gridCol w:w="1556"/>
        <w:gridCol w:w="1556"/>
      </w:tblGrid>
      <w:tr>
        <w:tblPrEx>
          <w:tblCellMar>
            <w:top w:w="0" w:type="dxa"/>
            <w:left w:w="0" w:type="dxa"/>
            <w:bottom w:w="0" w:type="dxa"/>
            <w:right w:w="0" w:type="dxa"/>
          </w:tblCellMar>
        </w:tblPrEx>
        <w:trPr>
          <w:trHeight w:val="869" w:hRule="atLeast"/>
        </w:trPr>
        <w:tc>
          <w:tcPr>
            <w:tcW w:w="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themeColor="text1"/>
                <w:sz w:val="20"/>
                <w:szCs w:val="20"/>
                <w14:textFill>
                  <w14:solidFill>
                    <w14:schemeClr w14:val="tx1"/>
                  </w14:solidFill>
                </w14:textFill>
              </w:rPr>
            </w:pPr>
            <w:r>
              <w:rPr>
                <w:rFonts w:hint="eastAsia" w:ascii="宋体" w:hAnsi="宋体" w:cs="宋体"/>
                <w:b/>
                <w:color w:val="000000" w:themeColor="text1"/>
                <w:kern w:val="0"/>
                <w:sz w:val="20"/>
                <w:szCs w:val="20"/>
                <w14:textFill>
                  <w14:solidFill>
                    <w14:schemeClr w14:val="tx1"/>
                  </w14:solidFill>
                </w14:textFill>
              </w:rPr>
              <w:t>序号</w:t>
            </w:r>
          </w:p>
        </w:tc>
        <w:tc>
          <w:tcPr>
            <w:tcW w:w="1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themeColor="text1"/>
                <w:sz w:val="20"/>
                <w:szCs w:val="20"/>
                <w14:textFill>
                  <w14:solidFill>
                    <w14:schemeClr w14:val="tx1"/>
                  </w14:solidFill>
                </w14:textFill>
              </w:rPr>
            </w:pPr>
            <w:r>
              <w:rPr>
                <w:rFonts w:hint="eastAsia" w:ascii="宋体" w:hAnsi="宋体" w:cs="宋体"/>
                <w:b/>
                <w:color w:val="000000" w:themeColor="text1"/>
                <w:kern w:val="0"/>
                <w:sz w:val="20"/>
                <w:szCs w:val="20"/>
                <w14:textFill>
                  <w14:solidFill>
                    <w14:schemeClr w14:val="tx1"/>
                  </w14:solidFill>
                </w14:textFill>
              </w:rPr>
              <w:t>名称</w:t>
            </w:r>
          </w:p>
        </w:tc>
        <w:tc>
          <w:tcPr>
            <w:tcW w:w="3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themeColor="text1"/>
                <w:sz w:val="20"/>
                <w:szCs w:val="20"/>
                <w14:textFill>
                  <w14:solidFill>
                    <w14:schemeClr w14:val="tx1"/>
                  </w14:solidFill>
                </w14:textFill>
              </w:rPr>
            </w:pPr>
            <w:r>
              <w:rPr>
                <w:rFonts w:hint="eastAsia" w:ascii="宋体" w:hAnsi="宋体" w:cs="宋体"/>
                <w:b/>
                <w:color w:val="000000" w:themeColor="text1"/>
                <w:kern w:val="0"/>
                <w:sz w:val="20"/>
                <w:szCs w:val="20"/>
                <w14:textFill>
                  <w14:solidFill>
                    <w14:schemeClr w14:val="tx1"/>
                  </w14:solidFill>
                </w14:textFill>
              </w:rPr>
              <w:t>产品参数</w:t>
            </w:r>
          </w:p>
        </w:tc>
        <w:tc>
          <w:tcPr>
            <w:tcW w:w="6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themeColor="text1"/>
                <w:sz w:val="20"/>
                <w:szCs w:val="20"/>
                <w14:textFill>
                  <w14:solidFill>
                    <w14:schemeClr w14:val="tx1"/>
                  </w14:solidFill>
                </w14:textFill>
              </w:rPr>
            </w:pPr>
            <w:r>
              <w:rPr>
                <w:rFonts w:hint="eastAsia" w:ascii="宋体" w:hAnsi="宋体" w:cs="宋体"/>
                <w:b/>
                <w:color w:val="000000" w:themeColor="text1"/>
                <w:kern w:val="0"/>
                <w:sz w:val="20"/>
                <w:szCs w:val="20"/>
                <w14:textFill>
                  <w14:solidFill>
                    <w14:schemeClr w14:val="tx1"/>
                  </w14:solidFill>
                </w14:textFill>
              </w:rPr>
              <w:t>数量</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themeColor="text1"/>
                <w:sz w:val="20"/>
                <w:szCs w:val="20"/>
                <w14:textFill>
                  <w14:solidFill>
                    <w14:schemeClr w14:val="tx1"/>
                  </w14:solidFill>
                </w14:textFill>
              </w:rPr>
            </w:pPr>
            <w:r>
              <w:rPr>
                <w:rFonts w:hint="eastAsia" w:ascii="宋体" w:hAnsi="宋体" w:cs="宋体"/>
                <w:b/>
                <w:color w:val="000000" w:themeColor="text1"/>
                <w:kern w:val="0"/>
                <w:sz w:val="20"/>
                <w:szCs w:val="20"/>
                <w14:textFill>
                  <w14:solidFill>
                    <w14:schemeClr w14:val="tx1"/>
                  </w14:solidFill>
                </w14:textFill>
              </w:rPr>
              <w:t>单位</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themeColor="text1"/>
                <w:sz w:val="20"/>
                <w:szCs w:val="20"/>
                <w14:textFill>
                  <w14:solidFill>
                    <w14:schemeClr w14:val="tx1"/>
                  </w14:solidFill>
                </w14:textFill>
              </w:rPr>
            </w:pPr>
            <w:r>
              <w:rPr>
                <w:rFonts w:hint="eastAsia" w:ascii="宋体" w:hAnsi="宋体" w:cs="宋体"/>
                <w:b/>
                <w:color w:val="000000" w:themeColor="text1"/>
                <w:kern w:val="0"/>
                <w:sz w:val="20"/>
                <w:szCs w:val="20"/>
                <w14:textFill>
                  <w14:solidFill>
                    <w14:schemeClr w14:val="tx1"/>
                  </w14:solidFill>
                </w14:textFill>
              </w:rPr>
              <w:t>推荐品牌</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000000" w:themeColor="text1"/>
                <w:kern w:val="0"/>
                <w:sz w:val="20"/>
                <w:szCs w:val="20"/>
                <w:lang w:val="en-US" w:eastAsia="zh-CN"/>
                <w14:textFill>
                  <w14:solidFill>
                    <w14:schemeClr w14:val="tx1"/>
                  </w14:solidFill>
                </w14:textFill>
              </w:rPr>
            </w:pPr>
            <w:r>
              <w:rPr>
                <w:rFonts w:hint="eastAsia" w:ascii="宋体" w:hAnsi="宋体" w:cs="宋体"/>
                <w:b/>
                <w:color w:val="000000" w:themeColor="text1"/>
                <w:kern w:val="0"/>
                <w:sz w:val="20"/>
                <w:szCs w:val="20"/>
                <w:lang w:val="en-US" w:eastAsia="zh-CN"/>
                <w14:textFill>
                  <w14:solidFill>
                    <w14:schemeClr w14:val="tx1"/>
                  </w14:solidFill>
                </w14:textFill>
              </w:rPr>
              <w:t>品牌</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000000" w:themeColor="text1"/>
                <w:kern w:val="0"/>
                <w:sz w:val="20"/>
                <w:szCs w:val="20"/>
                <w:lang w:val="en-US" w:eastAsia="zh-CN"/>
                <w14:textFill>
                  <w14:solidFill>
                    <w14:schemeClr w14:val="tx1"/>
                  </w14:solidFill>
                </w14:textFill>
              </w:rPr>
            </w:pPr>
            <w:r>
              <w:rPr>
                <w:rFonts w:hint="eastAsia" w:ascii="宋体" w:hAnsi="宋体" w:cs="宋体"/>
                <w:b/>
                <w:color w:val="000000" w:themeColor="text1"/>
                <w:kern w:val="0"/>
                <w:sz w:val="20"/>
                <w:szCs w:val="20"/>
                <w:lang w:val="en-US" w:eastAsia="zh-CN"/>
                <w14:textFill>
                  <w14:solidFill>
                    <w14:schemeClr w14:val="tx1"/>
                  </w14:solidFill>
                </w14:textFill>
              </w:rPr>
              <w:t>单价（元）</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b/>
                <w:color w:val="000000" w:themeColor="text1"/>
                <w:kern w:val="0"/>
                <w:sz w:val="20"/>
                <w:szCs w:val="20"/>
                <w:lang w:val="en-US" w:eastAsia="zh-CN"/>
                <w14:textFill>
                  <w14:solidFill>
                    <w14:schemeClr w14:val="tx1"/>
                  </w14:solidFill>
                </w14:textFill>
              </w:rPr>
            </w:pPr>
            <w:r>
              <w:rPr>
                <w:rFonts w:hint="eastAsia" w:ascii="宋体" w:hAnsi="宋体" w:cs="宋体"/>
                <w:b/>
                <w:color w:val="000000" w:themeColor="text1"/>
                <w:kern w:val="0"/>
                <w:sz w:val="20"/>
                <w:szCs w:val="20"/>
                <w:lang w:val="en-US" w:eastAsia="zh-CN"/>
                <w14:textFill>
                  <w14:solidFill>
                    <w14:schemeClr w14:val="tx1"/>
                  </w14:solidFill>
                </w14:textFill>
              </w:rPr>
              <w:t>总价（元）</w:t>
            </w:r>
          </w:p>
        </w:tc>
      </w:tr>
      <w:tr>
        <w:tblPrEx>
          <w:tblCellMar>
            <w:top w:w="0" w:type="dxa"/>
            <w:left w:w="0" w:type="dxa"/>
            <w:bottom w:w="0" w:type="dxa"/>
            <w:right w:w="0" w:type="dxa"/>
          </w:tblCellMar>
        </w:tblPrEx>
        <w:trPr>
          <w:trHeight w:val="848" w:hRule="atLeast"/>
        </w:trPr>
        <w:tc>
          <w:tcPr>
            <w:tcW w:w="5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8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数字无线教学扩声系统控制盒</w:t>
            </w:r>
          </w:p>
        </w:tc>
        <w:tc>
          <w:tcPr>
            <w:tcW w:w="3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1.麦克风在不同教室之间使用，无需对频，即开即用，简单方便；</w:t>
            </w:r>
            <w:r>
              <w:rPr>
                <w:rFonts w:hint="eastAsia" w:ascii="宋体" w:hAnsi="宋体" w:cs="宋体"/>
                <w:color w:val="000000" w:themeColor="text1"/>
                <w:kern w:val="0"/>
                <w:sz w:val="20"/>
                <w:szCs w:val="20"/>
                <w14:textFill>
                  <w14:solidFill>
                    <w14:schemeClr w14:val="tx1"/>
                  </w14:solidFill>
                </w14:textFill>
              </w:rPr>
              <w:br w:type="textWrapping"/>
            </w:r>
            <w:r>
              <w:rPr>
                <w:rFonts w:ascii="宋体" w:hAnsi="宋体" w:cs="宋体"/>
                <w:color w:val="000000" w:themeColor="text1"/>
                <w:kern w:val="0"/>
                <w:sz w:val="20"/>
                <w:szCs w:val="20"/>
                <w14:textFill>
                  <w14:solidFill>
                    <w14:schemeClr w14:val="tx1"/>
                  </w14:solidFill>
                </w14:textFill>
              </w:rPr>
              <w:t>2</w:t>
            </w:r>
            <w:r>
              <w:rPr>
                <w:rFonts w:hint="eastAsia" w:ascii="宋体" w:hAnsi="宋体" w:cs="宋体"/>
                <w:color w:val="000000" w:themeColor="text1"/>
                <w:kern w:val="0"/>
                <w:sz w:val="20"/>
                <w:szCs w:val="20"/>
                <w14:textFill>
                  <w14:solidFill>
                    <w14:schemeClr w14:val="tx1"/>
                  </w14:solidFill>
                </w14:textFill>
              </w:rPr>
              <w:t>.具有啸叫抑制、频点选择、话筒低切等功能，可通过拨码开关设置；</w:t>
            </w:r>
            <w:r>
              <w:rPr>
                <w:rFonts w:hint="eastAsia" w:ascii="宋体" w:hAnsi="宋体" w:cs="宋体"/>
                <w:color w:val="000000" w:themeColor="text1"/>
                <w:kern w:val="0"/>
                <w:sz w:val="20"/>
                <w:szCs w:val="20"/>
                <w14:textFill>
                  <w14:solidFill>
                    <w14:schemeClr w14:val="tx1"/>
                  </w14:solidFill>
                </w14:textFill>
              </w:rPr>
              <w:br w:type="textWrapping"/>
            </w:r>
            <w:r>
              <w:rPr>
                <w:rFonts w:ascii="宋体" w:hAnsi="宋体" w:cs="宋体"/>
                <w:color w:val="000000" w:themeColor="text1"/>
                <w:kern w:val="0"/>
                <w:sz w:val="20"/>
                <w:szCs w:val="20"/>
                <w14:textFill>
                  <w14:solidFill>
                    <w14:schemeClr w14:val="tx1"/>
                  </w14:solidFill>
                </w14:textFill>
              </w:rPr>
              <w:t>3</w:t>
            </w:r>
            <w:r>
              <w:rPr>
                <w:rFonts w:hint="eastAsia" w:ascii="宋体" w:hAnsi="宋体" w:cs="宋体"/>
                <w:color w:val="000000" w:themeColor="text1"/>
                <w:kern w:val="0"/>
                <w:sz w:val="20"/>
                <w:szCs w:val="20"/>
                <w14:textFill>
                  <w14:solidFill>
                    <w14:schemeClr w14:val="tx1"/>
                  </w14:solidFill>
                </w14:textFill>
              </w:rPr>
              <w:t>.≥2路USB接口，一路USB口用于连接麦克风充电座，一路通过USB线连接到电脑，可配合数字红外无线麦克风实现PPT翻页功能；</w:t>
            </w:r>
            <w:r>
              <w:rPr>
                <w:rFonts w:hint="eastAsia" w:ascii="宋体" w:hAnsi="宋体" w:cs="宋体"/>
                <w:color w:val="000000" w:themeColor="text1"/>
                <w:kern w:val="0"/>
                <w:sz w:val="20"/>
                <w:szCs w:val="20"/>
                <w14:textFill>
                  <w14:solidFill>
                    <w14:schemeClr w14:val="tx1"/>
                  </w14:solidFill>
                </w14:textFill>
              </w:rPr>
              <w:br w:type="textWrapping"/>
            </w:r>
            <w:r>
              <w:rPr>
                <w:rFonts w:ascii="宋体" w:hAnsi="宋体" w:cs="宋体"/>
                <w:color w:val="000000" w:themeColor="text1"/>
                <w:kern w:val="0"/>
                <w:sz w:val="20"/>
                <w:szCs w:val="20"/>
                <w14:textFill>
                  <w14:solidFill>
                    <w14:schemeClr w14:val="tx1"/>
                  </w14:solidFill>
                </w14:textFill>
              </w:rPr>
              <w:t>4</w:t>
            </w:r>
            <w:r>
              <w:rPr>
                <w:rFonts w:hint="eastAsia" w:ascii="宋体" w:hAnsi="宋体" w:cs="宋体"/>
                <w:color w:val="000000" w:themeColor="text1"/>
                <w:kern w:val="0"/>
                <w:sz w:val="20"/>
                <w:szCs w:val="20"/>
                <w14:textFill>
                  <w14:solidFill>
                    <w14:schemeClr w14:val="tx1"/>
                  </w14:solidFill>
                </w14:textFill>
              </w:rPr>
              <w:t>.≥2路线路输入，每路输入音量大小可独立调节；≥1路线路输出；</w:t>
            </w:r>
          </w:p>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5</w:t>
            </w:r>
            <w:r>
              <w:rPr>
                <w:rFonts w:hint="eastAsia" w:ascii="宋体" w:hAnsi="宋体" w:cs="宋体"/>
                <w:color w:val="000000" w:themeColor="text1"/>
                <w:kern w:val="0"/>
                <w:sz w:val="20"/>
                <w:szCs w:val="20"/>
                <w14:textFill>
                  <w14:solidFill>
                    <w14:schemeClr w14:val="tx1"/>
                  </w14:solidFill>
                </w14:textFill>
              </w:rPr>
              <w:t>.≥2个RJ45接口，用于连接数字红外接收器，可配2个无线麦克风；</w:t>
            </w:r>
          </w:p>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6</w:t>
            </w:r>
            <w:r>
              <w:rPr>
                <w:rFonts w:hint="eastAsia" w:ascii="宋体" w:hAnsi="宋体" w:cs="宋体"/>
                <w:color w:val="000000" w:themeColor="text1"/>
                <w:kern w:val="0"/>
                <w:sz w:val="20"/>
                <w:szCs w:val="20"/>
                <w14:textFill>
                  <w14:solidFill>
                    <w14:schemeClr w14:val="tx1"/>
                  </w14:solidFill>
                </w14:textFill>
              </w:rPr>
              <w:t>.内置功放，可直接连接音箱，输出功率≥60 W×2只（8 Ω）；</w:t>
            </w:r>
          </w:p>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7</w:t>
            </w:r>
            <w:r>
              <w:rPr>
                <w:rFonts w:hint="eastAsia" w:ascii="宋体" w:hAnsi="宋体" w:cs="宋体"/>
                <w:color w:val="000000" w:themeColor="text1"/>
                <w:kern w:val="0"/>
                <w:sz w:val="20"/>
                <w:szCs w:val="20"/>
                <w14:textFill>
                  <w14:solidFill>
                    <w14:schemeClr w14:val="tx1"/>
                  </w14:solidFill>
                </w14:textFill>
              </w:rPr>
              <w:t>.为了更清楚的表现出主体声音，需具有线路声音自动衰减功能开关，即麦克风有声音触发时，背景声音降低；</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8.技术参数频率响应麦克风-主机：50Hz～20kHz；信噪比（麦克风-主机）≥85 dBA；总谐波失真（麦克风-主机）≤0.06%；动态范围（麦克风-主机）≥90 dB；</w:t>
            </w:r>
          </w:p>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9.系统要求采用数字红外音频传输及控制技术，红外传输副载波符合IEC 61603-7标准，</w:t>
            </w:r>
          </w:p>
        </w:tc>
        <w:tc>
          <w:tcPr>
            <w:tcW w:w="6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台</w:t>
            </w: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台电（TAIDEN）、海天（HTDZ</w:t>
            </w:r>
            <w:r>
              <w:rPr>
                <w:rFonts w:ascii="宋体" w:hAnsi="宋体" w:cs="宋体"/>
                <w:color w:val="000000" w:themeColor="text1"/>
                <w:kern w:val="0"/>
                <w:sz w:val="20"/>
                <w:szCs w:val="20"/>
                <w14:textFill>
                  <w14:solidFill>
                    <w14:schemeClr w14:val="tx1"/>
                  </w14:solidFill>
                </w14:textFill>
              </w:rPr>
              <w:t>）</w:t>
            </w:r>
          </w:p>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迪士普（DSPPA)</w:t>
            </w:r>
          </w:p>
          <w:p>
            <w:pPr>
              <w:widowControl/>
              <w:jc w:val="center"/>
              <w:textAlignment w:val="center"/>
              <w:rPr>
                <w:rFonts w:ascii="宋体" w:hAnsi="宋体" w:cs="宋体"/>
                <w:color w:val="000000" w:themeColor="text1"/>
                <w:kern w:val="0"/>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r>
      <w:tr>
        <w:tblPrEx>
          <w:tblCellMar>
            <w:top w:w="0" w:type="dxa"/>
            <w:left w:w="0" w:type="dxa"/>
            <w:bottom w:w="0" w:type="dxa"/>
            <w:right w:w="0" w:type="dxa"/>
          </w:tblCellMar>
        </w:tblPrEx>
        <w:trPr>
          <w:trHeight w:val="1760" w:hRule="atLeast"/>
        </w:trPr>
        <w:tc>
          <w:tcPr>
            <w:tcW w:w="5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18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数字接收器</w:t>
            </w:r>
          </w:p>
        </w:tc>
        <w:tc>
          <w:tcPr>
            <w:tcW w:w="3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xml:space="preserve">1.数字红外音频传输及控制技术； </w:t>
            </w:r>
          </w:p>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2</w:t>
            </w:r>
            <w:r>
              <w:rPr>
                <w:rFonts w:hint="eastAsia" w:ascii="宋体" w:hAnsi="宋体" w:cs="宋体"/>
                <w:color w:val="000000" w:themeColor="text1"/>
                <w:kern w:val="0"/>
                <w:sz w:val="20"/>
                <w:szCs w:val="20"/>
                <w14:textFill>
                  <w14:solidFill>
                    <w14:schemeClr w14:val="tx1"/>
                  </w14:solidFill>
                </w14:textFill>
              </w:rPr>
              <w:t>.接收频点可调；</w:t>
            </w:r>
          </w:p>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3</w:t>
            </w:r>
            <w:r>
              <w:rPr>
                <w:rFonts w:hint="eastAsia" w:ascii="宋体" w:hAnsi="宋体" w:cs="宋体"/>
                <w:color w:val="000000" w:themeColor="text1"/>
                <w:kern w:val="0"/>
                <w:sz w:val="20"/>
                <w:szCs w:val="20"/>
                <w14:textFill>
                  <w14:solidFill>
                    <w14:schemeClr w14:val="tx1"/>
                  </w14:solidFill>
                </w14:textFill>
              </w:rPr>
              <w:t xml:space="preserve">.接收角度：垂直：150° (±75°)，水平：360°; </w:t>
            </w:r>
          </w:p>
          <w:p>
            <w:pPr>
              <w:widowControl/>
              <w:jc w:val="left"/>
              <w:textAlignment w:val="center"/>
              <w:rPr>
                <w:rFonts w:ascii="宋体" w:hAnsi="宋体" w:cs="宋体"/>
                <w:color w:val="000000" w:themeColor="text1"/>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4</w:t>
            </w:r>
            <w:r>
              <w:rPr>
                <w:rFonts w:hint="eastAsia" w:ascii="宋体" w:hAnsi="宋体" w:cs="宋体"/>
                <w:color w:val="000000" w:themeColor="text1"/>
                <w:kern w:val="0"/>
                <w:sz w:val="20"/>
                <w:szCs w:val="20"/>
                <w14:textFill>
                  <w14:solidFill>
                    <w14:schemeClr w14:val="tx1"/>
                  </w14:solidFill>
                </w14:textFill>
              </w:rPr>
              <w:t>.直视距离：≥25 m；≥1个RJ45接口，用于连接RJ45延长网线；</w:t>
            </w:r>
          </w:p>
        </w:tc>
        <w:tc>
          <w:tcPr>
            <w:tcW w:w="6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个</w:t>
            </w: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台电（TAIDEN）、海天（HTDZ</w:t>
            </w:r>
            <w:r>
              <w:rPr>
                <w:rFonts w:ascii="宋体" w:hAnsi="宋体" w:cs="宋体"/>
                <w:color w:val="000000" w:themeColor="text1"/>
                <w:kern w:val="0"/>
                <w:sz w:val="20"/>
                <w:szCs w:val="20"/>
                <w14:textFill>
                  <w14:solidFill>
                    <w14:schemeClr w14:val="tx1"/>
                  </w14:solidFill>
                </w14:textFill>
              </w:rPr>
              <w:t>）</w:t>
            </w:r>
          </w:p>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迪士普（DSPPA)</w:t>
            </w:r>
          </w:p>
          <w:p>
            <w:pPr>
              <w:widowControl/>
              <w:jc w:val="center"/>
              <w:textAlignment w:val="center"/>
              <w:rPr>
                <w:rFonts w:ascii="宋体" w:hAnsi="宋体" w:cs="宋体"/>
                <w:color w:val="000000" w:themeColor="text1"/>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r>
      <w:tr>
        <w:tblPrEx>
          <w:tblCellMar>
            <w:top w:w="0" w:type="dxa"/>
            <w:left w:w="0" w:type="dxa"/>
            <w:bottom w:w="0" w:type="dxa"/>
            <w:right w:w="0" w:type="dxa"/>
          </w:tblCellMar>
        </w:tblPrEx>
        <w:trPr>
          <w:trHeight w:val="649" w:hRule="atLeast"/>
        </w:trPr>
        <w:tc>
          <w:tcPr>
            <w:tcW w:w="5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18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数字无线麦克风</w:t>
            </w:r>
          </w:p>
        </w:tc>
        <w:tc>
          <w:tcPr>
            <w:tcW w:w="3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1</w:t>
            </w:r>
            <w:r>
              <w:rPr>
                <w:rFonts w:hint="eastAsia" w:ascii="宋体" w:hAnsi="宋体" w:cs="宋体"/>
                <w:color w:val="000000" w:themeColor="text1"/>
                <w:kern w:val="0"/>
                <w:sz w:val="20"/>
                <w:szCs w:val="20"/>
                <w14:textFill>
                  <w14:solidFill>
                    <w14:schemeClr w14:val="tx1"/>
                  </w14:solidFill>
                </w14:textFill>
              </w:rPr>
              <w:t>.需具有麦克风音量调节、话筒频点设定及话筒灵敏度设置；</w:t>
            </w:r>
          </w:p>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2</w:t>
            </w:r>
            <w:r>
              <w:rPr>
                <w:rFonts w:hint="eastAsia" w:ascii="宋体" w:hAnsi="宋体" w:cs="宋体"/>
                <w:color w:val="000000" w:themeColor="text1"/>
                <w:kern w:val="0"/>
                <w:sz w:val="20"/>
                <w:szCs w:val="20"/>
                <w14:textFill>
                  <w14:solidFill>
                    <w14:schemeClr w14:val="tx1"/>
                  </w14:solidFill>
                </w14:textFill>
              </w:rPr>
              <w:t>.需支持发言者在设定时间内无发言时，自动关闭红外信号发射，从而达到省电目的；</w:t>
            </w:r>
          </w:p>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r>
              <w:rPr>
                <w:rFonts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14:textFill>
                  <w14:solidFill>
                    <w14:schemeClr w14:val="tx1"/>
                  </w14:solidFill>
                </w14:textFill>
              </w:rPr>
              <w:t>为了满足互动教学，需支持开启PTT功能，按住一键开启话筒，松开后话筒即关闭；</w:t>
            </w:r>
          </w:p>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r>
              <w:rPr>
                <w:rFonts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14:textFill>
                  <w14:solidFill>
                    <w14:schemeClr w14:val="tx1"/>
                  </w14:solidFill>
                </w14:textFill>
              </w:rPr>
              <w:t>频率响应 50 Hz ~ 20 kHz，动态范围不低于90db(提供相关检测报告复印件并加盖公章)；</w:t>
            </w:r>
          </w:p>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r>
              <w:rPr>
                <w:rFonts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14:textFill>
                  <w14:solidFill>
                    <w14:schemeClr w14:val="tx1"/>
                  </w14:solidFill>
                </w14:textFill>
              </w:rPr>
              <w:t>具备对灯光的抗干扰性(提供相关检测报告复印件并加盖公章)；</w:t>
            </w:r>
          </w:p>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6.</w:t>
            </w:r>
            <w:r>
              <w:rPr>
                <w:rFonts w:hint="eastAsia" w:ascii="宋体" w:hAnsi="宋体" w:cs="宋体"/>
                <w:color w:val="000000" w:themeColor="text1"/>
                <w:kern w:val="0"/>
                <w:sz w:val="20"/>
                <w:szCs w:val="20"/>
                <w14:textFill>
                  <w14:solidFill>
                    <w14:schemeClr w14:val="tx1"/>
                  </w14:solidFill>
                </w14:textFill>
              </w:rPr>
              <w:t>辐射距离不小于12米(提供相关检测报告复印件并加盖公章)；</w:t>
            </w:r>
          </w:p>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7</w:t>
            </w:r>
            <w:r>
              <w:rPr>
                <w:rFonts w:hint="eastAsia" w:ascii="宋体" w:hAnsi="宋体" w:cs="宋体"/>
                <w:color w:val="000000" w:themeColor="text1"/>
                <w:kern w:val="0"/>
                <w:sz w:val="20"/>
                <w:szCs w:val="20"/>
                <w14:textFill>
                  <w14:solidFill>
                    <w14:schemeClr w14:val="tx1"/>
                  </w14:solidFill>
                </w14:textFill>
              </w:rPr>
              <w:t>.轻巧美观，多种使用方式灵活选择：可手持、颈挂或置于上衣口袋；</w:t>
            </w:r>
          </w:p>
          <w:p>
            <w:pPr>
              <w:widowControl/>
              <w:jc w:val="left"/>
              <w:textAlignment w:val="center"/>
              <w:rPr>
                <w:rFonts w:ascii="宋体" w:hAnsi="宋体" w:cs="宋体"/>
                <w:color w:val="000000" w:themeColor="text1"/>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8</w:t>
            </w:r>
            <w:r>
              <w:rPr>
                <w:rFonts w:hint="eastAsia" w:ascii="宋体" w:hAnsi="宋体" w:cs="宋体"/>
                <w:color w:val="000000" w:themeColor="text1"/>
                <w:kern w:val="0"/>
                <w:sz w:val="20"/>
                <w:szCs w:val="20"/>
                <w14:textFill>
                  <w14:solidFill>
                    <w14:schemeClr w14:val="tx1"/>
                  </w14:solidFill>
                </w14:textFill>
              </w:rPr>
              <w:t>.需支持USB口充电（兼容手机充电器）或插入充电座充电;</w:t>
            </w:r>
            <w:r>
              <w:rPr>
                <w:rFonts w:ascii="宋体" w:hAnsi="宋体" w:cs="宋体"/>
                <w:color w:val="000000" w:themeColor="text1"/>
                <w:sz w:val="20"/>
                <w:szCs w:val="20"/>
                <w14:textFill>
                  <w14:solidFill>
                    <w14:schemeClr w14:val="tx1"/>
                  </w14:solidFill>
                </w14:textFill>
              </w:rPr>
              <w:t xml:space="preserve"> </w:t>
            </w:r>
          </w:p>
          <w:p>
            <w:pPr>
              <w:widowControl/>
              <w:jc w:val="left"/>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9.配同一品牌电源适配器和充电座</w:t>
            </w:r>
          </w:p>
        </w:tc>
        <w:tc>
          <w:tcPr>
            <w:tcW w:w="6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支</w:t>
            </w: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台电（TAIDEN）、海天（HTDZ</w:t>
            </w:r>
            <w:r>
              <w:rPr>
                <w:rFonts w:ascii="宋体" w:hAnsi="宋体" w:cs="宋体"/>
                <w:color w:val="000000" w:themeColor="text1"/>
                <w:kern w:val="0"/>
                <w:sz w:val="20"/>
                <w:szCs w:val="20"/>
                <w14:textFill>
                  <w14:solidFill>
                    <w14:schemeClr w14:val="tx1"/>
                  </w14:solidFill>
                </w14:textFill>
              </w:rPr>
              <w:t>）</w:t>
            </w:r>
          </w:p>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迪士普（DSPPA)</w:t>
            </w:r>
          </w:p>
          <w:p>
            <w:pPr>
              <w:widowControl/>
              <w:jc w:val="center"/>
              <w:textAlignment w:val="center"/>
              <w:rPr>
                <w:rFonts w:ascii="宋体" w:hAnsi="宋体" w:cs="宋体"/>
                <w:color w:val="000000" w:themeColor="text1"/>
                <w:kern w:val="0"/>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r>
      <w:tr>
        <w:tblPrEx>
          <w:tblCellMar>
            <w:top w:w="0" w:type="dxa"/>
            <w:left w:w="0" w:type="dxa"/>
            <w:bottom w:w="0" w:type="dxa"/>
            <w:right w:w="0" w:type="dxa"/>
          </w:tblCellMar>
        </w:tblPrEx>
        <w:trPr>
          <w:trHeight w:val="1676" w:hRule="atLeast"/>
        </w:trPr>
        <w:tc>
          <w:tcPr>
            <w:tcW w:w="5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18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壁挂式音箱</w:t>
            </w:r>
          </w:p>
        </w:tc>
        <w:tc>
          <w:tcPr>
            <w:tcW w:w="3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1.两路低音反射式扬声系统，高强度注膜树脂壳体；</w:t>
            </w:r>
          </w:p>
          <w:p>
            <w:pPr>
              <w:widowControl/>
              <w:jc w:val="left"/>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2.技术参数要求：频率响应： 65 Hz-20 kHz；定阻输入：8 Ω；额定功率：≥40 W；灵敏度：≥90dB；</w:t>
            </w:r>
          </w:p>
          <w:p>
            <w:pPr>
              <w:widowControl/>
              <w:jc w:val="left"/>
              <w:textAlignment w:val="center"/>
              <w:rPr>
                <w:rFonts w:ascii="宋体" w:hAnsi="宋体" w:cs="宋体"/>
                <w:strike/>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3.可垂直及水平安装，配备安装支架；</w:t>
            </w:r>
          </w:p>
        </w:tc>
        <w:tc>
          <w:tcPr>
            <w:tcW w:w="6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12</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只</w:t>
            </w: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台电（TAIDEN）、海天（HTDZ</w:t>
            </w:r>
            <w:r>
              <w:rPr>
                <w:rFonts w:ascii="宋体" w:hAnsi="宋体" w:cs="宋体"/>
                <w:color w:val="000000" w:themeColor="text1"/>
                <w:kern w:val="0"/>
                <w:sz w:val="20"/>
                <w:szCs w:val="20"/>
                <w14:textFill>
                  <w14:solidFill>
                    <w14:schemeClr w14:val="tx1"/>
                  </w14:solidFill>
                </w14:textFill>
              </w:rPr>
              <w:t>）</w:t>
            </w:r>
          </w:p>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迪士普（DSPPA)</w:t>
            </w:r>
          </w:p>
          <w:p>
            <w:pPr>
              <w:widowControl/>
              <w:jc w:val="center"/>
              <w:textAlignment w:val="center"/>
              <w:rPr>
                <w:rFonts w:ascii="宋体" w:hAnsi="宋体" w:cs="宋体"/>
                <w:color w:val="000000" w:themeColor="text1"/>
                <w:kern w:val="0"/>
                <w:sz w:val="20"/>
                <w:szCs w:val="20"/>
                <w14:textFill>
                  <w14:solidFill>
                    <w14:schemeClr w14:val="tx1"/>
                  </w14:solidFill>
                </w14:textFill>
              </w:rPr>
            </w:pPr>
            <w:bookmarkStart w:id="0" w:name="_GoBack"/>
            <w:bookmarkEnd w:id="0"/>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r>
      <w:tr>
        <w:tblPrEx>
          <w:tblCellMar>
            <w:top w:w="0" w:type="dxa"/>
            <w:left w:w="0" w:type="dxa"/>
            <w:bottom w:w="0" w:type="dxa"/>
            <w:right w:w="0" w:type="dxa"/>
          </w:tblCellMar>
        </w:tblPrEx>
        <w:trPr>
          <w:trHeight w:val="1237" w:hRule="atLeast"/>
        </w:trPr>
        <w:tc>
          <w:tcPr>
            <w:tcW w:w="5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18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投影机</w:t>
            </w:r>
          </w:p>
        </w:tc>
        <w:tc>
          <w:tcPr>
            <w:tcW w:w="3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themeColor="text1"/>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14:textFill>
                  <w14:solidFill>
                    <w14:schemeClr w14:val="tx1"/>
                  </w14:solidFill>
                </w14:textFill>
              </w:rPr>
              <w:t>3500流明高色彩亮度，</w:t>
            </w:r>
            <w:r>
              <w:rPr>
                <w:rFonts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14:textFill>
                  <w14:solidFill>
                    <w14:schemeClr w14:val="tx1"/>
                  </w14:solidFill>
                </w14:textFill>
              </w:rPr>
              <w:t>14,000:1高对比度；双屏幕拼接，超宽屏互动*6</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约60cm距离（广角）投影100寸大画面*2；ECO模式下灯泡使用寿命10,000小时；空气过滤网使用寿命10,000小时；6点手指+2点互动笔灵敏精准互动*5；双HDMI接口，双VGA接口，支持无线连接</w:t>
            </w:r>
          </w:p>
        </w:tc>
        <w:tc>
          <w:tcPr>
            <w:tcW w:w="6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台</w:t>
            </w: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Calibri"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松下、爱普生、索尼</w:t>
            </w: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sz w:val="20"/>
                <w:szCs w:val="20"/>
                <w14:textFill>
                  <w14:solidFill>
                    <w14:schemeClr w14:val="tx1"/>
                  </w14:solidFill>
                </w14:textFill>
              </w:rPr>
            </w:pPr>
          </w:p>
        </w:tc>
      </w:tr>
      <w:tr>
        <w:tblPrEx>
          <w:tblCellMar>
            <w:top w:w="0" w:type="dxa"/>
            <w:left w:w="0" w:type="dxa"/>
            <w:bottom w:w="0" w:type="dxa"/>
            <w:right w:w="0" w:type="dxa"/>
          </w:tblCellMar>
        </w:tblPrEx>
        <w:trPr>
          <w:trHeight w:val="649" w:hRule="atLeast"/>
        </w:trPr>
        <w:tc>
          <w:tcPr>
            <w:tcW w:w="5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18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投影机</w:t>
            </w:r>
          </w:p>
        </w:tc>
        <w:tc>
          <w:tcPr>
            <w:tcW w:w="3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14:textFill>
                  <w14:solidFill>
                    <w14:schemeClr w14:val="tx1"/>
                  </w14:solidFill>
                </w14:textFill>
              </w:rPr>
              <w:t>4200流明、分辨率</w:t>
            </w:r>
            <w:r>
              <w:rPr>
                <w:rFonts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14:textFill>
                  <w14:solidFill>
                    <w14:schemeClr w14:val="tx1"/>
                  </w14:solidFill>
                </w14:textFill>
              </w:rPr>
              <w:t>1280*800</w:t>
            </w:r>
          </w:p>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屏幕比例：16:10</w:t>
            </w:r>
          </w:p>
          <w:p>
            <w:pPr>
              <w:widowControl/>
              <w:jc w:val="left"/>
              <w:textAlignment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双HDMI接口，双VGA接口，支持无线连接</w:t>
            </w:r>
          </w:p>
        </w:tc>
        <w:tc>
          <w:tcPr>
            <w:tcW w:w="6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台</w:t>
            </w: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松下、爱普生、索尼</w:t>
            </w: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sz w:val="20"/>
                <w:szCs w:val="20"/>
                <w14:textFill>
                  <w14:solidFill>
                    <w14:schemeClr w14:val="tx1"/>
                  </w14:solidFill>
                </w14:textFill>
              </w:rPr>
            </w:pPr>
          </w:p>
        </w:tc>
      </w:tr>
      <w:tr>
        <w:tblPrEx>
          <w:tblCellMar>
            <w:top w:w="0" w:type="dxa"/>
            <w:left w:w="0" w:type="dxa"/>
            <w:bottom w:w="0" w:type="dxa"/>
            <w:right w:w="0" w:type="dxa"/>
          </w:tblCellMar>
        </w:tblPrEx>
        <w:trPr>
          <w:trHeight w:val="649" w:hRule="atLeast"/>
        </w:trPr>
        <w:tc>
          <w:tcPr>
            <w:tcW w:w="5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c>
          <w:tcPr>
            <w:tcW w:w="18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白板</w:t>
            </w:r>
          </w:p>
        </w:tc>
        <w:tc>
          <w:tcPr>
            <w:tcW w:w="3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1.2米*4米、铝蜂板夹层、表面为搪瓷。</w:t>
            </w:r>
          </w:p>
        </w:tc>
        <w:tc>
          <w:tcPr>
            <w:tcW w:w="6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块</w:t>
            </w: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育才、广昌、广顺通</w:t>
            </w: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r>
      <w:tr>
        <w:tblPrEx>
          <w:tblCellMar>
            <w:top w:w="0" w:type="dxa"/>
            <w:left w:w="0" w:type="dxa"/>
            <w:bottom w:w="0" w:type="dxa"/>
            <w:right w:w="0" w:type="dxa"/>
          </w:tblCellMar>
        </w:tblPrEx>
        <w:trPr>
          <w:trHeight w:val="3092" w:hRule="atLeast"/>
        </w:trPr>
        <w:tc>
          <w:tcPr>
            <w:tcW w:w="5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18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86寸交互式一体机</w:t>
            </w:r>
          </w:p>
        </w:tc>
        <w:tc>
          <w:tcPr>
            <w:tcW w:w="3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numPr>
                <w:ilvl w:val="0"/>
                <w:numId w:val="1"/>
              </w:numPr>
              <w:jc w:val="left"/>
              <w:textAlignment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显示模块及整机性能</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1、LED液晶屏体：A规屏，显示尺寸≥86英寸，显示比例16:9，物理分辨率：3840×2160。</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2、屏体亮度≥400cd/M2,色彩覆盖率不低于NTSC 85%，对比度≥4000：1，最大可视角度≥178度。</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3、整机外壳采用金属材质，屏幕采用4mm防眩钢化玻璃保护，表面硬度不低于莫氏8级，透光率不低于93%，雾度≤8%。</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4、整机具备抗强光干扰性能，在400K LUX照度的光照下保证书写功能正常。</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5、整机提供隐藏式前置输入接口，接口不少于1路前置HDMI接口及3路前置双通道USB3.0接口（Windows和Android系统均能被识别，无需分区）</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6、交互平板整机须具备电脑还原按键</w:t>
            </w:r>
            <w:r>
              <w:rPr>
                <w:rFonts w:hint="eastAsia" w:ascii="宋体" w:hAnsi="宋体" w:cs="宋体"/>
                <w:strike/>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7、为保证信号不遮挡，屏体正面前置2.4G、5G双频WiFi和蓝牙信号接发装置，Windows及Android均可实现无线上网功能。</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8、采用感应技术，在双系统下均支持10点触控及同时书写，触摸分辨率：≥32768*32768；定位精度：≤±0.1mm；触摸高度≤3mm；最小识别直径≤3mm。</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9、交互平板具备笔槽设计，且正面具备≥15W扬声器*2。</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10、只需一根网线，即可满足windows和Android双系统的上网功能需求。</w:t>
            </w:r>
          </w:p>
          <w:p>
            <w:pPr>
              <w:widowControl/>
              <w:jc w:val="left"/>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11、所投产品具备智能护眼功能，可自主选择护眼书写、护眼智能光控等多种护眼模式。</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12、交互平板具有悬浮菜单，</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13、内置安卓系统，CPU≥四核，主板具备ROM≥16G, RAM不小于2G, 安卓系统版本不低于6.0；整机具备Type-C输入接口≥1个、双通道USB输入接口≥1个</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 xml:space="preserve"> 14、无需借助PC，整机可一键进行硬件自检，包括对系统内存、存储、屏温、触摸系统、光感系统、内置电脑等进行状态提示、及故障提示。</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15、所投产品可通过多指长按屏幕部分达到息屏及唤醒功能。</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16、所投产品标配书写笔具备两种笔头直径，无需切换菜单，可自动识别粗细笔记，方便教师板书及批注重点。</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 xml:space="preserve">17、交互平板具有防雷击、防静电、抗撞击、防火、防腐蚀、防辐射、防划伤、触摸屏防遮挡等安全保护。 </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18、具备供电保护模块，在插拔式电脑未锁定的情况下，不给插拔式电脑供电。</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19、1、内置插拔式模块化电脑，采用Intel通用80pin接口,易拆卸维修。CPU≥Intel酷睿I5</w:t>
            </w:r>
            <w:r>
              <w:rPr>
                <w:rFonts w:ascii="宋体" w:hAnsi="宋体" w:cs="宋体"/>
                <w:color w:val="000000" w:themeColor="text1"/>
                <w:kern w:val="0"/>
                <w:sz w:val="20"/>
                <w:szCs w:val="20"/>
                <w14:textFill>
                  <w14:solidFill>
                    <w14:schemeClr w14:val="tx1"/>
                  </w14:solidFill>
                </w14:textFill>
              </w:rPr>
              <w:t xml:space="preserve"> </w:t>
            </w:r>
            <w:r>
              <w:rPr>
                <w:rFonts w:hint="eastAsia" w:ascii="宋体" w:hAnsi="宋体" w:cs="宋体"/>
                <w:color w:val="000000" w:themeColor="text1"/>
                <w:kern w:val="0"/>
                <w:sz w:val="20"/>
                <w:szCs w:val="20"/>
                <w14:textFill>
                  <w14:solidFill>
                    <w14:schemeClr w14:val="tx1"/>
                  </w14:solidFill>
                </w14:textFill>
              </w:rPr>
              <w:t>8400处理器；内存：≥8G DDR4；硬盘：≥256G SSD；具备≥6个USB接口（USB3.0接口≥3）；具有独立非外扩展的视频输出接口：≥1路HDMI ；≥1路DP等；标配正版Windows 10 Professional专业版(64位）操作系统及正版 Office Pro Plus 2016 专业版办公软件。配移动支架。</w:t>
            </w:r>
          </w:p>
        </w:tc>
        <w:tc>
          <w:tcPr>
            <w:tcW w:w="6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台</w:t>
            </w: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希沃，正宇视讯，鸿合</w:t>
            </w: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p>
        </w:tc>
      </w:tr>
      <w:tr>
        <w:tblPrEx>
          <w:tblCellMar>
            <w:top w:w="0" w:type="dxa"/>
            <w:left w:w="0" w:type="dxa"/>
            <w:bottom w:w="0" w:type="dxa"/>
            <w:right w:w="0" w:type="dxa"/>
          </w:tblCellMar>
        </w:tblPrEx>
        <w:trPr>
          <w:trHeight w:val="1267" w:hRule="atLeast"/>
        </w:trPr>
        <w:tc>
          <w:tcPr>
            <w:tcW w:w="24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lang w:val="en-US" w:eastAsia="zh-CN"/>
                <w14:textFill>
                  <w14:solidFill>
                    <w14:schemeClr w14:val="tx1"/>
                  </w14:solidFill>
                </w14:textFill>
              </w:rPr>
              <w:t>合计</w:t>
            </w:r>
          </w:p>
        </w:tc>
        <w:tc>
          <w:tcPr>
            <w:tcW w:w="9893"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ind w:firstLine="840" w:firstLineChars="400"/>
              <w:jc w:val="left"/>
              <w:textAlignment w:val="center"/>
              <w:rPr>
                <w:rFonts w:hint="default"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cs="宋体"/>
                <w:color w:val="000000" w:themeColor="text1"/>
                <w:kern w:val="0"/>
                <w:sz w:val="21"/>
                <w:szCs w:val="21"/>
                <w:lang w:val="en-US" w:eastAsia="zh-CN"/>
                <w14:textFill>
                  <w14:solidFill>
                    <w14:schemeClr w14:val="tx1"/>
                  </w14:solidFill>
                </w14:textFill>
              </w:rPr>
              <w:t>投标报价         小写：            大写：</w:t>
            </w: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lang w:val="en-US" w:eastAsia="zh-CN"/>
                <w14:textFill>
                  <w14:solidFill>
                    <w14:schemeClr w14:val="tx1"/>
                  </w14:solidFill>
                </w14:textFill>
              </w:rPr>
            </w:pPr>
          </w:p>
        </w:tc>
      </w:tr>
      <w:tr>
        <w:tblPrEx>
          <w:tblCellMar>
            <w:top w:w="0" w:type="dxa"/>
            <w:left w:w="0" w:type="dxa"/>
            <w:bottom w:w="0" w:type="dxa"/>
            <w:right w:w="0" w:type="dxa"/>
          </w:tblCellMar>
        </w:tblPrEx>
        <w:trPr>
          <w:trHeight w:val="1007" w:hRule="atLeast"/>
        </w:trPr>
        <w:tc>
          <w:tcPr>
            <w:tcW w:w="24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cs="宋体"/>
                <w:color w:val="000000" w:themeColor="text1"/>
                <w:kern w:val="0"/>
                <w:sz w:val="20"/>
                <w:szCs w:val="20"/>
                <w:lang w:val="en-US" w:eastAsia="zh-CN"/>
                <w14:textFill>
                  <w14:solidFill>
                    <w14:schemeClr w14:val="tx1"/>
                  </w14:solidFill>
                </w14:textFill>
              </w:rPr>
            </w:pPr>
            <w:r>
              <w:rPr>
                <w:rFonts w:hint="eastAsia" w:ascii="宋体" w:hAnsi="宋体" w:cs="宋体"/>
                <w:color w:val="000000" w:themeColor="text1"/>
                <w:kern w:val="0"/>
                <w:sz w:val="21"/>
                <w:szCs w:val="21"/>
                <w:lang w:val="en-US" w:eastAsia="zh-CN"/>
                <w14:textFill>
                  <w14:solidFill>
                    <w14:schemeClr w14:val="tx1"/>
                  </w14:solidFill>
                </w14:textFill>
              </w:rPr>
              <w:t>质保期</w:t>
            </w:r>
          </w:p>
        </w:tc>
        <w:tc>
          <w:tcPr>
            <w:tcW w:w="9893"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lang w:val="en-US" w:eastAsia="zh-CN"/>
                <w14:textFill>
                  <w14:solidFill>
                    <w14:schemeClr w14:val="tx1"/>
                  </w14:solidFill>
                </w14:textFill>
              </w:rPr>
            </w:pPr>
          </w:p>
        </w:tc>
        <w:tc>
          <w:tcPr>
            <w:tcW w:w="1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sz w:val="20"/>
                <w:szCs w:val="20"/>
                <w:lang w:val="en-US" w:eastAsia="zh-CN"/>
                <w14:textFill>
                  <w14:solidFill>
                    <w14:schemeClr w14:val="tx1"/>
                  </w14:solidFill>
                </w14:textFill>
              </w:rPr>
            </w:pPr>
          </w:p>
        </w:tc>
      </w:tr>
    </w:tbl>
    <w:p>
      <w:pPr>
        <w:numPr>
          <w:ilvl w:val="0"/>
          <w:numId w:val="2"/>
        </w:numPr>
        <w:jc w:val="both"/>
        <w:rPr>
          <w:rFonts w:hint="eastAsia" w:ascii="宋体" w:hAnsi="宋体" w:eastAsia="宋体" w:cs="宋体"/>
          <w:b w:val="0"/>
          <w:bCs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val="0"/>
          <w:bCs w:val="0"/>
          <w:i w:val="0"/>
          <w:caps w:val="0"/>
          <w:color w:val="000000" w:themeColor="text1"/>
          <w:spacing w:val="0"/>
          <w:sz w:val="24"/>
          <w:szCs w:val="24"/>
          <w:shd w:val="clear" w:fill="FFFFFF"/>
          <w14:textFill>
            <w14:solidFill>
              <w14:schemeClr w14:val="tx1"/>
            </w14:solidFill>
          </w14:textFill>
        </w:rPr>
        <w:t>报价须包括所有运费、安装费、人工费、税费和管理费等所有费用</w:t>
      </w:r>
    </w:p>
    <w:p>
      <w:pPr>
        <w:numPr>
          <w:ilvl w:val="0"/>
          <w:numId w:val="2"/>
        </w:numPr>
        <w:jc w:val="both"/>
        <w:rPr>
          <w:rFonts w:hint="eastAsia" w:ascii="宋体" w:hAnsi="宋体" w:eastAsia="宋体" w:cs="宋体"/>
          <w:b w:val="0"/>
          <w:bCs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val="0"/>
          <w:bCs w:val="0"/>
          <w:i w:val="0"/>
          <w:caps w:val="0"/>
          <w:color w:val="000000" w:themeColor="text1"/>
          <w:spacing w:val="0"/>
          <w:sz w:val="24"/>
          <w:szCs w:val="24"/>
          <w:shd w:val="clear" w:fill="FFFFFF"/>
          <w14:textFill>
            <w14:solidFill>
              <w14:schemeClr w14:val="tx1"/>
            </w14:solidFill>
          </w14:textFill>
        </w:rPr>
        <w:t>提供原厂三年</w:t>
      </w:r>
      <w:r>
        <w:rPr>
          <w:rFonts w:hint="eastAsia" w:ascii="宋体" w:hAnsi="宋体" w:eastAsia="宋体" w:cs="宋体"/>
          <w:b w:val="0"/>
          <w:bCs w:val="0"/>
          <w:i w:val="0"/>
          <w:caps w:val="0"/>
          <w:color w:val="000000" w:themeColor="text1"/>
          <w:spacing w:val="0"/>
          <w:sz w:val="24"/>
          <w:szCs w:val="24"/>
          <w:shd w:val="clear" w:fill="FFFFFF"/>
          <w:lang w:val="en-US" w:eastAsia="zh-CN"/>
          <w14:textFill>
            <w14:solidFill>
              <w14:schemeClr w14:val="tx1"/>
            </w14:solidFill>
          </w14:textFill>
        </w:rPr>
        <w:t>以上免费</w:t>
      </w:r>
      <w:r>
        <w:rPr>
          <w:rFonts w:hint="eastAsia" w:ascii="宋体" w:hAnsi="宋体" w:eastAsia="宋体" w:cs="宋体"/>
          <w:b w:val="0"/>
          <w:bCs w:val="0"/>
          <w:i w:val="0"/>
          <w:caps w:val="0"/>
          <w:color w:val="000000" w:themeColor="text1"/>
          <w:spacing w:val="0"/>
          <w:sz w:val="24"/>
          <w:szCs w:val="24"/>
          <w:shd w:val="clear" w:fill="FFFFFF"/>
          <w14:textFill>
            <w14:solidFill>
              <w14:schemeClr w14:val="tx1"/>
            </w14:solidFill>
          </w14:textFill>
        </w:rPr>
        <w:t>质保和完善的售后服务</w:t>
      </w:r>
      <w:r>
        <w:rPr>
          <w:rFonts w:hint="eastAsia" w:ascii="宋体" w:hAnsi="宋体" w:eastAsia="宋体" w:cs="宋体"/>
          <w:b w:val="0"/>
          <w:bCs w:val="0"/>
          <w:i w:val="0"/>
          <w:caps w:val="0"/>
          <w:color w:val="000000" w:themeColor="text1"/>
          <w:spacing w:val="0"/>
          <w:sz w:val="24"/>
          <w:szCs w:val="24"/>
          <w:shd w:val="clear" w:fill="FFFFFF"/>
          <w:lang w:eastAsia="zh-CN"/>
          <w14:textFill>
            <w14:solidFill>
              <w14:schemeClr w14:val="tx1"/>
            </w14:solidFill>
          </w14:textFill>
        </w:rPr>
        <w:t>。</w:t>
      </w:r>
      <w:r>
        <w:rPr>
          <w:rFonts w:hint="eastAsia" w:ascii="宋体" w:hAnsi="宋体" w:eastAsia="宋体" w:cs="宋体"/>
          <w:b w:val="0"/>
          <w:bCs w:val="0"/>
          <w:i w:val="0"/>
          <w:caps w:val="0"/>
          <w:color w:val="000000" w:themeColor="text1"/>
          <w:spacing w:val="0"/>
          <w:sz w:val="24"/>
          <w:szCs w:val="24"/>
          <w:shd w:val="clear" w:fill="FFFFFF"/>
          <w14:textFill>
            <w14:solidFill>
              <w14:schemeClr w14:val="tx1"/>
            </w14:solidFill>
          </w14:textFill>
        </w:rPr>
        <w:t>在质保期内，乙方应对货物和服务出现的质量及安全问题负责处理解决并承担一切费用，提供7*24小时免费上门维修服务，并在接到甲方通知后在60分钟内响应，第二自然日到达现场提供免费上门维修服务。</w:t>
      </w:r>
    </w:p>
    <w:p>
      <w:pPr>
        <w:numPr>
          <w:ilvl w:val="0"/>
          <w:numId w:val="2"/>
        </w:numPr>
        <w:ind w:left="0" w:leftChars="0" w:firstLine="0" w:firstLineChars="0"/>
        <w:jc w:val="both"/>
        <w:rPr>
          <w:rFonts w:hint="eastAsia"/>
          <w:lang w:val="en-US" w:eastAsia="zh-CN"/>
        </w:rPr>
      </w:pPr>
      <w:r>
        <w:rPr>
          <w:rFonts w:hint="eastAsia" w:ascii="宋体" w:hAnsi="宋体" w:eastAsia="宋体" w:cs="宋体"/>
          <w:b w:val="0"/>
          <w:bCs w:val="0"/>
          <w:i w:val="0"/>
          <w:caps w:val="0"/>
          <w:color w:val="FF0000"/>
          <w:spacing w:val="0"/>
          <w:sz w:val="24"/>
          <w:szCs w:val="24"/>
          <w:shd w:val="clear" w:fill="FFFFFF"/>
        </w:rPr>
        <w:t>乙方在收到中标通知书后7个工作日内须提供原厂至少三年质保函原件，否则取消中标资格</w:t>
      </w:r>
      <w:r>
        <w:rPr>
          <w:rFonts w:hint="eastAsia" w:ascii="宋体" w:hAnsi="宋体" w:eastAsia="宋体" w:cs="宋体"/>
          <w:b w:val="0"/>
          <w:bCs w:val="0"/>
          <w:i w:val="0"/>
          <w:caps w:val="0"/>
          <w:color w:val="FF0000"/>
          <w:spacing w:val="0"/>
          <w:sz w:val="24"/>
          <w:szCs w:val="24"/>
          <w:shd w:val="clear" w:fill="FFFFFF"/>
          <w:lang w:eastAsia="zh-CN"/>
        </w:rPr>
        <w:t>。</w:t>
      </w:r>
    </w:p>
    <w:p>
      <w:pPr>
        <w:numPr>
          <w:ilvl w:val="0"/>
          <w:numId w:val="0"/>
        </w:numPr>
        <w:ind w:leftChars="0"/>
        <w:jc w:val="both"/>
        <w:rPr>
          <w:rFonts w:hint="eastAsia"/>
          <w:b/>
          <w:bCs/>
          <w:sz w:val="24"/>
          <w:szCs w:val="24"/>
          <w:lang w:val="en-US" w:eastAsia="zh-CN"/>
        </w:rPr>
      </w:pPr>
    </w:p>
    <w:p>
      <w:pPr>
        <w:numPr>
          <w:ilvl w:val="0"/>
          <w:numId w:val="0"/>
        </w:numPr>
        <w:ind w:leftChars="0"/>
        <w:jc w:val="both"/>
        <w:rPr>
          <w:rFonts w:hint="eastAsia"/>
          <w:b/>
          <w:bCs/>
          <w:sz w:val="24"/>
          <w:szCs w:val="24"/>
          <w:lang w:val="en-US" w:eastAsia="zh-CN"/>
        </w:rPr>
      </w:pPr>
      <w:r>
        <w:rPr>
          <w:rFonts w:hint="eastAsia"/>
          <w:b/>
          <w:bCs/>
          <w:sz w:val="24"/>
          <w:szCs w:val="24"/>
          <w:lang w:val="en-US" w:eastAsia="zh-CN"/>
        </w:rPr>
        <w:t>法人或授权代表：（签字）                             报价人：   （单位公章）</w:t>
      </w:r>
    </w:p>
    <w:p>
      <w:pPr>
        <w:numPr>
          <w:ilvl w:val="0"/>
          <w:numId w:val="0"/>
        </w:numPr>
        <w:ind w:leftChars="0" w:firstLine="5060" w:firstLineChars="2100"/>
        <w:jc w:val="both"/>
        <w:rPr>
          <w:rFonts w:hint="eastAsia"/>
          <w:b/>
          <w:bCs/>
          <w:sz w:val="24"/>
          <w:szCs w:val="24"/>
          <w:lang w:val="en-US" w:eastAsia="zh-CN"/>
        </w:rPr>
      </w:pPr>
    </w:p>
    <w:p>
      <w:pPr>
        <w:numPr>
          <w:ilvl w:val="0"/>
          <w:numId w:val="0"/>
        </w:numPr>
        <w:ind w:leftChars="0" w:firstLine="6505" w:firstLineChars="2700"/>
        <w:jc w:val="both"/>
        <w:rPr>
          <w:rFonts w:hint="default"/>
          <w:lang w:val="en-US" w:eastAsia="zh-CN"/>
        </w:rPr>
      </w:pPr>
      <w:r>
        <w:rPr>
          <w:rFonts w:hint="eastAsia"/>
          <w:b/>
          <w:bCs/>
          <w:sz w:val="24"/>
          <w:szCs w:val="24"/>
          <w:lang w:val="en-US" w:eastAsia="zh-CN"/>
        </w:rPr>
        <w:t>2020年7月日</w:t>
      </w:r>
      <w:r>
        <w:rPr>
          <w:rFonts w:hint="eastAsia"/>
          <w:lang w:val="en-US" w:eastAsia="zh-CN"/>
        </w:rPr>
        <w:t xml:space="preserve">                       </w:t>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50EEB"/>
    <w:multiLevelType w:val="singleLevel"/>
    <w:tmpl w:val="16950EEB"/>
    <w:lvl w:ilvl="0" w:tentative="0">
      <w:start w:val="1"/>
      <w:numFmt w:val="decimal"/>
      <w:suff w:val="nothing"/>
      <w:lvlText w:val="%1、"/>
      <w:lvlJc w:val="left"/>
    </w:lvl>
  </w:abstractNum>
  <w:abstractNum w:abstractNumId="1">
    <w:nsid w:val="220298FE"/>
    <w:multiLevelType w:val="singleLevel"/>
    <w:tmpl w:val="220298F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24753E"/>
    <w:rsid w:val="04702D0F"/>
    <w:rsid w:val="149901CD"/>
    <w:rsid w:val="1DDD26DE"/>
    <w:rsid w:val="24C55F4C"/>
    <w:rsid w:val="31566F76"/>
    <w:rsid w:val="3A24753E"/>
    <w:rsid w:val="566B0FFA"/>
    <w:rsid w:val="61985D6B"/>
    <w:rsid w:val="65490BF3"/>
    <w:rsid w:val="754A658D"/>
    <w:rsid w:val="760705EF"/>
    <w:rsid w:val="764F6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2020-07-03T07:32:00Z</dcterms:created>
  <dc:creator>赵萌</dc:creator>
  <cp:lastModifiedBy>赵萌</cp:lastModifiedBy>
  <dcterms:modified xsi:type="dcterms:W3CDTF">2020-07-08T00:22:09Z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