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ind w:firstLine="0" w:firstLineChars="0"/>
        <w:rPr>
          <w:rStyle w:val="44"/>
          <w:color w:val="000000" w:themeColor="text1"/>
          <w:sz w:val="36"/>
          <w:szCs w:val="21"/>
          <w14:textFill>
            <w14:solidFill>
              <w14:schemeClr w14:val="tx1"/>
            </w14:solidFill>
          </w14:textFill>
        </w:rPr>
      </w:pPr>
    </w:p>
    <w:p>
      <w:pPr>
        <w:rPr>
          <w:rStyle w:val="44"/>
          <w:rFonts w:ascii="宋体" w:hAnsi="宋体"/>
          <w:color w:val="000000" w:themeColor="text1"/>
          <w:sz w:val="36"/>
          <w14:textFill>
            <w14:solidFill>
              <w14:schemeClr w14:val="tx1"/>
            </w14:solidFill>
          </w14:textFill>
        </w:rPr>
      </w:pPr>
    </w:p>
    <w:p>
      <w:pPr>
        <w:jc w:val="center"/>
        <w:rPr>
          <w:rStyle w:val="44"/>
          <w:rFonts w:ascii="宋体" w:hAnsi="宋体"/>
          <w:b/>
          <w:color w:val="000000" w:themeColor="text1"/>
          <w:sz w:val="84"/>
          <w14:textFill>
            <w14:solidFill>
              <w14:schemeClr w14:val="tx1"/>
            </w14:solidFill>
          </w14:textFill>
        </w:rPr>
      </w:pPr>
      <w:r>
        <w:rPr>
          <w:rStyle w:val="44"/>
          <w:rFonts w:hint="eastAsia" w:ascii="宋体" w:hAnsi="宋体"/>
          <w:b/>
          <w:color w:val="000000" w:themeColor="text1"/>
          <w:sz w:val="84"/>
          <w14:textFill>
            <w14:solidFill>
              <w14:schemeClr w14:val="tx1"/>
            </w14:solidFill>
          </w14:textFill>
        </w:rPr>
        <w:t>招 标 文 件</w:t>
      </w:r>
    </w:p>
    <w:p>
      <w:pPr>
        <w:rPr>
          <w:rStyle w:val="44"/>
          <w:rFonts w:ascii="宋体" w:hAnsi="宋体"/>
          <w:b/>
          <w:color w:val="000000" w:themeColor="text1"/>
          <w:sz w:val="32"/>
          <w14:textFill>
            <w14:solidFill>
              <w14:schemeClr w14:val="tx1"/>
            </w14:solidFill>
          </w14:textFill>
        </w:rPr>
      </w:pPr>
    </w:p>
    <w:p>
      <w:pPr>
        <w:tabs>
          <w:tab w:val="left" w:pos="3032"/>
        </w:tabs>
        <w:jc w:val="left"/>
        <w:rPr>
          <w:rStyle w:val="44"/>
          <w:rFonts w:ascii="宋体" w:hAnsi="宋体"/>
          <w:b/>
          <w:color w:val="000000" w:themeColor="text1"/>
          <w:sz w:val="32"/>
          <w14:textFill>
            <w14:solidFill>
              <w14:schemeClr w14:val="tx1"/>
            </w14:solidFill>
          </w14:textFill>
        </w:rPr>
      </w:pPr>
      <w:r>
        <w:rPr>
          <w:rStyle w:val="44"/>
          <w:rFonts w:hint="eastAsia" w:ascii="宋体" w:hAnsi="宋体"/>
          <w:b/>
          <w:color w:val="000000" w:themeColor="text1"/>
          <w:sz w:val="32"/>
          <w14:textFill>
            <w14:solidFill>
              <w14:schemeClr w14:val="tx1"/>
            </w14:solidFill>
          </w14:textFill>
        </w:rPr>
        <w:tab/>
      </w:r>
    </w:p>
    <w:p>
      <w:pPr>
        <w:pStyle w:val="21"/>
        <w:rPr>
          <w:color w:val="000000" w:themeColor="text1"/>
          <w14:textFill>
            <w14:solidFill>
              <w14:schemeClr w14:val="tx1"/>
            </w14:solidFill>
          </w14:textFill>
        </w:rPr>
      </w:pPr>
    </w:p>
    <w:p>
      <w:pPr>
        <w:jc w:val="center"/>
        <w:rPr>
          <w:rStyle w:val="44"/>
          <w:rFonts w:ascii="宋体" w:hAnsi="宋体"/>
          <w:b/>
          <w:color w:val="000000" w:themeColor="text1"/>
          <w:sz w:val="32"/>
          <w14:textFill>
            <w14:solidFill>
              <w14:schemeClr w14:val="tx1"/>
            </w14:solidFill>
          </w14:textFill>
        </w:rPr>
      </w:pPr>
    </w:p>
    <w:p>
      <w:pPr>
        <w:jc w:val="center"/>
        <w:rPr>
          <w:rStyle w:val="44"/>
          <w:rFonts w:ascii="宋体" w:hAnsi="宋体"/>
          <w:b/>
          <w:color w:val="000000" w:themeColor="text1"/>
          <w:sz w:val="32"/>
          <w14:textFill>
            <w14:solidFill>
              <w14:schemeClr w14:val="tx1"/>
            </w14:solidFill>
          </w14:textFill>
        </w:rPr>
      </w:pPr>
    </w:p>
    <w:p>
      <w:pPr>
        <w:ind w:firstLine="723" w:firstLineChars="200"/>
        <w:rPr>
          <w:rStyle w:val="44"/>
          <w:rFonts w:hint="eastAsia" w:ascii="宋体" w:hAnsi="宋体" w:eastAsia="宋体" w:cs="宋体"/>
          <w:b/>
          <w:bCs w:val="0"/>
          <w:color w:val="000000" w:themeColor="text1"/>
          <w:sz w:val="36"/>
          <w:szCs w:val="36"/>
          <w14:textFill>
            <w14:solidFill>
              <w14:schemeClr w14:val="tx1"/>
            </w14:solidFill>
          </w14:textFill>
        </w:rPr>
      </w:pPr>
      <w:r>
        <w:rPr>
          <w:rStyle w:val="44"/>
          <w:rFonts w:hint="eastAsia" w:ascii="宋体" w:hAnsi="宋体" w:eastAsia="宋体" w:cs="宋体"/>
          <w:b/>
          <w:bCs w:val="0"/>
          <w:color w:val="000000" w:themeColor="text1"/>
          <w:sz w:val="36"/>
          <w:szCs w:val="36"/>
          <w14:textFill>
            <w14:solidFill>
              <w14:schemeClr w14:val="tx1"/>
            </w14:solidFill>
          </w14:textFill>
        </w:rPr>
        <w:t>项目编号：2022-0</w:t>
      </w:r>
      <w:r>
        <w:rPr>
          <w:rStyle w:val="44"/>
          <w:rFonts w:hint="eastAsia" w:ascii="宋体" w:hAnsi="宋体" w:cs="宋体"/>
          <w:b/>
          <w:bCs w:val="0"/>
          <w:color w:val="000000" w:themeColor="text1"/>
          <w:sz w:val="36"/>
          <w:szCs w:val="36"/>
          <w:lang w:val="en-US" w:eastAsia="zh-CN"/>
          <w14:textFill>
            <w14:solidFill>
              <w14:schemeClr w14:val="tx1"/>
            </w14:solidFill>
          </w14:textFill>
        </w:rPr>
        <w:t>27</w:t>
      </w:r>
      <w:r>
        <w:rPr>
          <w:rStyle w:val="44"/>
          <w:rFonts w:hint="eastAsia" w:ascii="宋体" w:hAnsi="宋体" w:eastAsia="宋体" w:cs="宋体"/>
          <w:b/>
          <w:bCs w:val="0"/>
          <w:color w:val="000000" w:themeColor="text1"/>
          <w:sz w:val="36"/>
          <w:szCs w:val="36"/>
          <w14:textFill>
            <w14:solidFill>
              <w14:schemeClr w14:val="tx1"/>
            </w14:solidFill>
          </w14:textFill>
        </w:rPr>
        <w:t>Q</w:t>
      </w:r>
    </w:p>
    <w:p>
      <w:pPr>
        <w:jc w:val="center"/>
        <w:rPr>
          <w:rStyle w:val="44"/>
          <w:rFonts w:hint="eastAsia" w:ascii="宋体" w:hAnsi="宋体" w:eastAsia="宋体" w:cs="宋体"/>
          <w:b/>
          <w:bCs w:val="0"/>
          <w:color w:val="000000" w:themeColor="text1"/>
          <w:sz w:val="36"/>
          <w:szCs w:val="36"/>
          <w14:textFill>
            <w14:solidFill>
              <w14:schemeClr w14:val="tx1"/>
            </w14:solidFill>
          </w14:textFill>
        </w:rPr>
      </w:pPr>
    </w:p>
    <w:p>
      <w:pPr>
        <w:jc w:val="center"/>
        <w:rPr>
          <w:rStyle w:val="44"/>
          <w:rFonts w:hint="eastAsia" w:ascii="宋体" w:hAnsi="宋体" w:eastAsia="宋体" w:cs="宋体"/>
          <w:b/>
          <w:bCs w:val="0"/>
          <w:color w:val="000000" w:themeColor="text1"/>
          <w:sz w:val="36"/>
          <w:szCs w:val="36"/>
          <w14:textFill>
            <w14:solidFill>
              <w14:schemeClr w14:val="tx1"/>
            </w14:solidFill>
          </w14:textFill>
        </w:rPr>
      </w:pPr>
    </w:p>
    <w:p>
      <w:pPr>
        <w:ind w:left="2886" w:leftChars="342" w:hanging="2168" w:hangingChars="600"/>
        <w:rPr>
          <w:rStyle w:val="44"/>
          <w:rFonts w:hint="eastAsia" w:ascii="宋体" w:hAnsi="宋体" w:eastAsia="宋体" w:cs="宋体"/>
          <w:b/>
          <w:bCs w:val="0"/>
          <w:color w:val="000000" w:themeColor="text1"/>
          <w:sz w:val="36"/>
          <w:szCs w:val="36"/>
          <w14:textFill>
            <w14:solidFill>
              <w14:schemeClr w14:val="tx1"/>
            </w14:solidFill>
          </w14:textFill>
        </w:rPr>
      </w:pPr>
      <w:r>
        <w:rPr>
          <w:rStyle w:val="44"/>
          <w:rFonts w:hint="eastAsia" w:ascii="宋体" w:hAnsi="宋体" w:eastAsia="宋体" w:cs="宋体"/>
          <w:b/>
          <w:bCs w:val="0"/>
          <w:color w:val="000000" w:themeColor="text1"/>
          <w:sz w:val="36"/>
          <w:szCs w:val="36"/>
          <w14:textFill>
            <w14:solidFill>
              <w14:schemeClr w14:val="tx1"/>
            </w14:solidFill>
          </w14:textFill>
        </w:rPr>
        <w:t>项目名称：盐城工业职业技术学院</w:t>
      </w:r>
      <w:r>
        <w:rPr>
          <w:rFonts w:hint="eastAsia" w:ascii="宋体" w:hAnsi="宋体" w:eastAsia="宋体" w:cs="宋体"/>
          <w:b/>
          <w:bCs w:val="0"/>
          <w:color w:val="000000" w:themeColor="text1"/>
          <w:sz w:val="36"/>
          <w:szCs w:val="36"/>
          <w14:textFill>
            <w14:solidFill>
              <w14:schemeClr w14:val="tx1"/>
            </w14:solidFill>
          </w14:textFill>
        </w:rPr>
        <w:t>数据中心和数据治理平台</w:t>
      </w:r>
    </w:p>
    <w:p>
      <w:pPr>
        <w:pStyle w:val="21"/>
        <w:ind w:firstLine="0" w:firstLineChars="0"/>
        <w:rPr>
          <w:rStyle w:val="44"/>
          <w:b/>
          <w:color w:val="000000" w:themeColor="text1"/>
          <w:sz w:val="32"/>
          <w:szCs w:val="21"/>
          <w14:textFill>
            <w14:solidFill>
              <w14:schemeClr w14:val="tx1"/>
            </w14:solidFill>
          </w14:textFill>
        </w:rPr>
      </w:pPr>
    </w:p>
    <w:p>
      <w:pPr>
        <w:pStyle w:val="21"/>
        <w:ind w:firstLine="643"/>
        <w:rPr>
          <w:rStyle w:val="44"/>
          <w:b/>
          <w:color w:val="000000" w:themeColor="text1"/>
          <w:sz w:val="32"/>
          <w:szCs w:val="21"/>
          <w14:textFill>
            <w14:solidFill>
              <w14:schemeClr w14:val="tx1"/>
            </w14:solidFill>
          </w14:textFill>
        </w:rPr>
      </w:pPr>
    </w:p>
    <w:p>
      <w:pPr>
        <w:pStyle w:val="104"/>
        <w:rPr>
          <w:rStyle w:val="44"/>
          <w:rFonts w:ascii="宋体" w:hAnsi="宋体" w:eastAsia="宋体"/>
          <w:b/>
          <w:color w:val="000000" w:themeColor="text1"/>
          <w:sz w:val="32"/>
          <w14:textFill>
            <w14:solidFill>
              <w14:schemeClr w14:val="tx1"/>
            </w14:solidFill>
          </w14:textFill>
        </w:rPr>
      </w:pPr>
    </w:p>
    <w:p>
      <w:pPr>
        <w:pStyle w:val="104"/>
        <w:rPr>
          <w:rStyle w:val="44"/>
          <w:rFonts w:ascii="宋体" w:hAnsi="宋体" w:eastAsia="宋体"/>
          <w:b/>
          <w:color w:val="000000" w:themeColor="text1"/>
          <w:sz w:val="32"/>
          <w14:textFill>
            <w14:solidFill>
              <w14:schemeClr w14:val="tx1"/>
            </w14:solidFill>
          </w14:textFill>
        </w:rPr>
      </w:pPr>
    </w:p>
    <w:p>
      <w:pPr>
        <w:spacing w:line="360" w:lineRule="auto"/>
        <w:ind w:firstLine="1080" w:firstLineChars="300"/>
        <w:rPr>
          <w:rStyle w:val="44"/>
          <w:rFonts w:ascii="宋体" w:hAnsi="宋体"/>
          <w:bCs/>
          <w:color w:val="000000" w:themeColor="text1"/>
          <w:sz w:val="36"/>
          <w:szCs w:val="36"/>
          <w14:textFill>
            <w14:solidFill>
              <w14:schemeClr w14:val="tx1"/>
            </w14:solidFill>
          </w14:textFill>
        </w:rPr>
      </w:pPr>
      <w:r>
        <w:rPr>
          <w:rStyle w:val="44"/>
          <w:rFonts w:hint="eastAsia" w:ascii="宋体" w:hAnsi="宋体"/>
          <w:bCs/>
          <w:color w:val="000000" w:themeColor="text1"/>
          <w:sz w:val="36"/>
          <w:szCs w:val="36"/>
          <w14:textFill>
            <w14:solidFill>
              <w14:schemeClr w14:val="tx1"/>
            </w14:solidFill>
          </w14:textFill>
        </w:rPr>
        <w:t>采购人：盐城工业职业技术学院</w:t>
      </w:r>
    </w:p>
    <w:p>
      <w:pPr>
        <w:pStyle w:val="11"/>
        <w:spacing w:line="360" w:lineRule="auto"/>
        <w:ind w:left="0" w:leftChars="0" w:right="0" w:rightChars="0" w:firstLine="1080" w:firstLineChars="300"/>
        <w:rPr>
          <w:rStyle w:val="44"/>
          <w:rFonts w:ascii="宋体" w:hAnsi="宋体"/>
          <w:bCs/>
          <w:color w:val="000000" w:themeColor="text1"/>
          <w:sz w:val="36"/>
          <w:szCs w:val="36"/>
          <w14:textFill>
            <w14:solidFill>
              <w14:schemeClr w14:val="tx1"/>
            </w14:solidFill>
          </w14:textFill>
        </w:rPr>
      </w:pPr>
      <w:r>
        <w:rPr>
          <w:rStyle w:val="44"/>
          <w:rFonts w:hint="eastAsia" w:ascii="宋体" w:hAnsi="宋体"/>
          <w:bCs/>
          <w:color w:val="000000" w:themeColor="text1"/>
          <w:sz w:val="36"/>
          <w:szCs w:val="36"/>
          <w14:textFill>
            <w14:solidFill>
              <w14:schemeClr w14:val="tx1"/>
            </w14:solidFill>
          </w14:textFill>
        </w:rPr>
        <w:t>代理人：江苏全盛工程造价事务所有限公司</w:t>
      </w:r>
    </w:p>
    <w:p>
      <w:pPr>
        <w:jc w:val="center"/>
        <w:rPr>
          <w:rStyle w:val="44"/>
          <w:rFonts w:ascii="宋体" w:hAnsi="宋体"/>
          <w:color w:val="000000" w:themeColor="text1"/>
          <w:sz w:val="36"/>
          <w:szCs w:val="36"/>
          <w14:textFill>
            <w14:solidFill>
              <w14:schemeClr w14:val="tx1"/>
            </w14:solidFill>
          </w14:textFill>
        </w:rPr>
      </w:pPr>
    </w:p>
    <w:p>
      <w:pPr>
        <w:jc w:val="center"/>
        <w:rPr>
          <w:rStyle w:val="44"/>
          <w:rFonts w:ascii="宋体" w:hAnsi="宋体"/>
          <w:color w:val="000000" w:themeColor="text1"/>
          <w:sz w:val="36"/>
          <w:szCs w:val="36"/>
          <w14:textFill>
            <w14:solidFill>
              <w14:schemeClr w14:val="tx1"/>
            </w14:solidFill>
          </w14:textFill>
        </w:rPr>
      </w:pPr>
      <w:r>
        <w:rPr>
          <w:rStyle w:val="44"/>
          <w:rFonts w:hint="eastAsia" w:ascii="宋体" w:hAnsi="宋体"/>
          <w:color w:val="000000" w:themeColor="text1"/>
          <w:sz w:val="36"/>
          <w:szCs w:val="36"/>
          <w14:textFill>
            <w14:solidFill>
              <w14:schemeClr w14:val="tx1"/>
            </w14:solidFill>
          </w14:textFill>
        </w:rPr>
        <w:t>2022年</w:t>
      </w:r>
      <w:r>
        <w:rPr>
          <w:rStyle w:val="44"/>
          <w:rFonts w:hint="eastAsia" w:ascii="宋体" w:hAnsi="宋体"/>
          <w:color w:val="000000" w:themeColor="text1"/>
          <w:sz w:val="36"/>
          <w:szCs w:val="36"/>
          <w:lang w:val="en-US" w:eastAsia="zh-CN"/>
          <w14:textFill>
            <w14:solidFill>
              <w14:schemeClr w14:val="tx1"/>
            </w14:solidFill>
          </w14:textFill>
        </w:rPr>
        <w:t>7</w:t>
      </w:r>
      <w:r>
        <w:rPr>
          <w:rStyle w:val="44"/>
          <w:rFonts w:hint="eastAsia" w:ascii="宋体" w:hAnsi="宋体"/>
          <w:color w:val="000000" w:themeColor="text1"/>
          <w:sz w:val="36"/>
          <w:szCs w:val="36"/>
          <w14:textFill>
            <w14:solidFill>
              <w14:schemeClr w14:val="tx1"/>
            </w14:solidFill>
          </w14:textFill>
        </w:rPr>
        <w:t>月</w:t>
      </w:r>
      <w:r>
        <w:rPr>
          <w:rStyle w:val="44"/>
          <w:rFonts w:hint="eastAsia" w:ascii="宋体" w:hAnsi="宋体"/>
          <w:color w:val="000000" w:themeColor="text1"/>
          <w:sz w:val="36"/>
          <w:szCs w:val="36"/>
          <w:lang w:val="en-US" w:eastAsia="zh-CN"/>
          <w14:textFill>
            <w14:solidFill>
              <w14:schemeClr w14:val="tx1"/>
            </w14:solidFill>
          </w14:textFill>
        </w:rPr>
        <w:t>22</w:t>
      </w:r>
      <w:r>
        <w:rPr>
          <w:rStyle w:val="44"/>
          <w:rFonts w:hint="eastAsia" w:ascii="宋体" w:hAnsi="宋体"/>
          <w:color w:val="000000" w:themeColor="text1"/>
          <w:sz w:val="36"/>
          <w:szCs w:val="36"/>
          <w14:textFill>
            <w14:solidFill>
              <w14:schemeClr w14:val="tx1"/>
            </w14:solidFill>
          </w14:textFill>
        </w:rPr>
        <w:t>日</w:t>
      </w:r>
    </w:p>
    <w:p>
      <w:pPr>
        <w:spacing w:line="480" w:lineRule="auto"/>
        <w:rPr>
          <w:rStyle w:val="44"/>
          <w:rFonts w:ascii="宋体" w:hAnsi="宋体"/>
          <w:color w:val="000000" w:themeColor="text1"/>
          <w14:textFill>
            <w14:solidFill>
              <w14:schemeClr w14:val="tx1"/>
            </w14:solidFill>
          </w14:textFill>
        </w:rPr>
      </w:pPr>
    </w:p>
    <w:p>
      <w:pPr>
        <w:spacing w:line="480" w:lineRule="auto"/>
        <w:jc w:val="center"/>
        <w:rPr>
          <w:rStyle w:val="44"/>
          <w:rFonts w:ascii="宋体" w:hAnsi="宋体"/>
          <w:color w:val="000000" w:themeColor="text1"/>
          <w14:textFill>
            <w14:solidFill>
              <w14:schemeClr w14:val="tx1"/>
            </w14:solidFill>
          </w14:textFill>
        </w:rPr>
      </w:pPr>
    </w:p>
    <w:p>
      <w:pPr>
        <w:spacing w:line="480" w:lineRule="auto"/>
        <w:rPr>
          <w:rFonts w:ascii="宋体" w:hAnsi="宋体"/>
          <w:color w:val="000000" w:themeColor="text1"/>
          <w14:textFill>
            <w14:solidFill>
              <w14:schemeClr w14:val="tx1"/>
            </w14:solidFill>
          </w14:textFill>
        </w:rPr>
        <w:sectPr>
          <w:headerReference r:id="rId4" w:type="first"/>
          <w:headerReference r:id="rId3" w:type="default"/>
          <w:pgSz w:w="11906" w:h="16838"/>
          <w:pgMar w:top="1418" w:right="1588" w:bottom="1418" w:left="1365" w:header="851" w:footer="907" w:gutter="0"/>
          <w:pgNumType w:fmt="numberInDash"/>
          <w:cols w:space="720" w:num="1"/>
          <w:titlePg/>
          <w:docGrid w:type="lines" w:linePitch="290" w:charSpace="0"/>
        </w:sectPr>
      </w:pPr>
    </w:p>
    <w:p>
      <w:pPr>
        <w:pStyle w:val="7"/>
        <w:rPr>
          <w:color w:val="000000" w:themeColor="text1"/>
          <w14:textFill>
            <w14:solidFill>
              <w14:schemeClr w14:val="tx1"/>
            </w14:solidFill>
          </w14:textFill>
        </w:rPr>
      </w:pPr>
    </w:p>
    <w:p>
      <w:pPr>
        <w:spacing w:line="480" w:lineRule="auto"/>
        <w:jc w:val="center"/>
        <w:rPr>
          <w:rFonts w:ascii="宋体" w:hAnsi="宋体"/>
          <w:color w:val="000000" w:themeColor="text1"/>
          <w:sz w:val="36"/>
          <w:szCs w:val="36"/>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目        录</w:t>
      </w:r>
    </w:p>
    <w:sdt>
      <w:sdtPr>
        <w:rPr>
          <w:rFonts w:ascii="宋体" w:hAnsi="宋体" w:eastAsia="楷体_GB2312"/>
          <w:color w:val="000000" w:themeColor="text1"/>
          <w:sz w:val="28"/>
          <w:szCs w:val="28"/>
          <w14:textFill>
            <w14:solidFill>
              <w14:schemeClr w14:val="tx1"/>
            </w14:solidFill>
          </w14:textFill>
        </w:rPr>
        <w:id w:val="147462930"/>
        <w:docPartObj>
          <w:docPartGallery w:val="Table of Contents"/>
          <w:docPartUnique/>
        </w:docPartObj>
      </w:sdtPr>
      <w:sdtEndPr>
        <w:rPr>
          <w:rFonts w:ascii="宋体" w:hAnsi="宋体" w:eastAsia="楷体_GB2312"/>
          <w:bCs/>
          <w:color w:val="000000" w:themeColor="text1"/>
          <w:sz w:val="28"/>
          <w:szCs w:val="28"/>
          <w14:textFill>
            <w14:solidFill>
              <w14:schemeClr w14:val="tx1"/>
            </w14:solidFill>
          </w14:textFill>
        </w:rPr>
      </w:sdtEndPr>
      <w:sdtContent>
        <w:p>
          <w:pPr>
            <w:jc w:val="center"/>
            <w:rPr>
              <w:color w:val="000000" w:themeColor="text1"/>
              <w14:textFill>
                <w14:solidFill>
                  <w14:schemeClr w14:val="tx1"/>
                </w14:solidFill>
              </w14:textFill>
            </w:rPr>
          </w:pPr>
        </w:p>
        <w:p>
          <w:pPr>
            <w:pStyle w:val="152"/>
            <w:tabs>
              <w:tab w:val="right" w:leader="dot" w:pos="8953"/>
            </w:tabs>
            <w:rPr>
              <w:color w:val="000000" w:themeColor="text1"/>
              <w:sz w:val="32"/>
              <w:szCs w:val="32"/>
              <w14:textFill>
                <w14:solidFill>
                  <w14:schemeClr w14:val="tx1"/>
                </w14:solidFill>
              </w14:textFill>
            </w:rPr>
          </w:pPr>
          <w:r>
            <w:rPr>
              <w:rFonts w:ascii="宋体" w:hAnsi="宋体"/>
              <w:bCs/>
              <w:color w:val="000000" w:themeColor="text1"/>
              <w14:textFill>
                <w14:solidFill>
                  <w14:schemeClr w14:val="tx1"/>
                </w14:solidFill>
              </w14:textFill>
            </w:rPr>
            <w:fldChar w:fldCharType="begin"/>
          </w:r>
          <w:r>
            <w:rPr>
              <w:rFonts w:ascii="宋体" w:hAnsi="宋体"/>
              <w:bCs/>
              <w:color w:val="000000" w:themeColor="text1"/>
              <w14:textFill>
                <w14:solidFill>
                  <w14:schemeClr w14:val="tx1"/>
                </w14:solidFill>
              </w14:textFill>
            </w:rPr>
            <w:instrText xml:space="preserve">TOC \o "1-1" \h \u </w:instrText>
          </w:r>
          <w:r>
            <w:rPr>
              <w:rFonts w:ascii="宋体" w:hAnsi="宋体"/>
              <w:bCs/>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"_Toc9444" </w:instrText>
          </w:r>
          <w:r>
            <w:rPr>
              <w:color w:val="000000" w:themeColor="text1"/>
              <w14:textFill>
                <w14:solidFill>
                  <w14:schemeClr w14:val="tx1"/>
                </w14:solidFill>
              </w14:textFill>
            </w:rPr>
            <w:fldChar w:fldCharType="separate"/>
          </w:r>
          <w:r>
            <w:rPr>
              <w:rFonts w:hint="eastAsia" w:ascii="宋体" w:hAnsi="宋体"/>
              <w:b/>
              <w:color w:val="000000" w:themeColor="text1"/>
              <w:sz w:val="32"/>
              <w:szCs w:val="32"/>
              <w14:textFill>
                <w14:solidFill>
                  <w14:schemeClr w14:val="tx1"/>
                </w14:solidFill>
              </w14:textFill>
            </w:rPr>
            <w:t xml:space="preserve">第一章  </w:t>
          </w:r>
          <w:r>
            <w:rPr>
              <w:rFonts w:hint="eastAsia" w:ascii="宋体" w:hAnsi="宋体"/>
              <w:bCs/>
              <w:color w:val="000000" w:themeColor="text1"/>
              <w:sz w:val="32"/>
              <w:szCs w:val="32"/>
              <w14:textFill>
                <w14:solidFill>
                  <w14:schemeClr w14:val="tx1"/>
                </w14:solidFill>
              </w14:textFill>
            </w:rPr>
            <w:t>招标公告</w:t>
          </w:r>
          <w:r>
            <w:rPr>
              <w:bCs/>
              <w:color w:val="000000" w:themeColor="text1"/>
              <w:sz w:val="32"/>
              <w:szCs w:val="32"/>
              <w14:textFill>
                <w14:solidFill>
                  <w14:schemeClr w14:val="tx1"/>
                </w14:solidFill>
              </w14:textFill>
            </w:rPr>
            <w:tab/>
          </w:r>
          <w:r>
            <w:rPr>
              <w:bCs/>
              <w:color w:val="000000" w:themeColor="text1"/>
              <w:sz w:val="32"/>
              <w:szCs w:val="32"/>
              <w14:textFill>
                <w14:solidFill>
                  <w14:schemeClr w14:val="tx1"/>
                </w14:solidFill>
              </w14:textFill>
            </w:rPr>
            <w:fldChar w:fldCharType="begin"/>
          </w:r>
          <w:r>
            <w:rPr>
              <w:bCs/>
              <w:color w:val="000000" w:themeColor="text1"/>
              <w:sz w:val="32"/>
              <w:szCs w:val="32"/>
              <w14:textFill>
                <w14:solidFill>
                  <w14:schemeClr w14:val="tx1"/>
                </w14:solidFill>
              </w14:textFill>
            </w:rPr>
            <w:instrText xml:space="preserve"> PAGEREF _Toc9444 \h </w:instrText>
          </w:r>
          <w:r>
            <w:rPr>
              <w:bCs/>
              <w:color w:val="000000" w:themeColor="text1"/>
              <w:sz w:val="32"/>
              <w:szCs w:val="32"/>
              <w14:textFill>
                <w14:solidFill>
                  <w14:schemeClr w14:val="tx1"/>
                </w14:solidFill>
              </w14:textFill>
            </w:rPr>
            <w:fldChar w:fldCharType="separate"/>
          </w:r>
          <w:r>
            <w:rPr>
              <w:bCs/>
              <w:color w:val="000000" w:themeColor="text1"/>
              <w:sz w:val="32"/>
              <w:szCs w:val="32"/>
              <w14:textFill>
                <w14:solidFill>
                  <w14:schemeClr w14:val="tx1"/>
                </w14:solidFill>
              </w14:textFill>
            </w:rPr>
            <w:t>1</w:t>
          </w:r>
          <w:r>
            <w:rPr>
              <w:bCs/>
              <w:color w:val="000000" w:themeColor="text1"/>
              <w:sz w:val="32"/>
              <w:szCs w:val="32"/>
              <w14:textFill>
                <w14:solidFill>
                  <w14:schemeClr w14:val="tx1"/>
                </w14:solidFill>
              </w14:textFill>
            </w:rPr>
            <w:fldChar w:fldCharType="end"/>
          </w:r>
          <w:r>
            <w:rPr>
              <w:bCs/>
              <w:color w:val="000000" w:themeColor="text1"/>
              <w:sz w:val="32"/>
              <w:szCs w:val="32"/>
              <w14:textFill>
                <w14:solidFill>
                  <w14:schemeClr w14:val="tx1"/>
                </w14:solidFill>
              </w14:textFill>
            </w:rPr>
            <w:fldChar w:fldCharType="end"/>
          </w:r>
        </w:p>
        <w:p>
          <w:pPr>
            <w:pStyle w:val="152"/>
            <w:tabs>
              <w:tab w:val="right" w:leader="dot" w:pos="8953"/>
            </w:tabs>
            <w:rPr>
              <w:rFonts w:ascii="宋体" w:hAnsi="宋体"/>
              <w:bCs/>
              <w:color w:val="000000" w:themeColor="text1"/>
              <w:sz w:val="32"/>
              <w:szCs w:val="32"/>
              <w14:textFill>
                <w14:solidFill>
                  <w14:schemeClr w14:val="tx1"/>
                </w14:solidFill>
              </w14:textFill>
            </w:rPr>
          </w:pPr>
        </w:p>
        <w:p>
          <w:pPr>
            <w:pStyle w:val="152"/>
            <w:tabs>
              <w:tab w:val="right" w:leader="dot" w:pos="8953"/>
            </w:tabs>
            <w:rPr>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"_Toc22918"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2"/>
              <w:szCs w:val="32"/>
              <w14:textFill>
                <w14:solidFill>
                  <w14:schemeClr w14:val="tx1"/>
                </w14:solidFill>
              </w14:textFill>
            </w:rPr>
            <w:t>第二章</w:t>
          </w:r>
          <w:r>
            <w:rPr>
              <w:rFonts w:hint="eastAsia" w:ascii="宋体" w:hAnsi="宋体" w:cs="宋体"/>
              <w:color w:val="000000" w:themeColor="text1"/>
              <w:sz w:val="32"/>
              <w:szCs w:val="32"/>
              <w14:textFill>
                <w14:solidFill>
                  <w14:schemeClr w14:val="tx1"/>
                </w14:solidFill>
              </w14:textFill>
            </w:rPr>
            <w:t xml:space="preserve">  投标人须知</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_Toc22918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5</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152"/>
            <w:tabs>
              <w:tab w:val="right" w:leader="dot" w:pos="8953"/>
            </w:tabs>
            <w:rPr>
              <w:rFonts w:ascii="宋体" w:hAnsi="宋体"/>
              <w:bCs/>
              <w:color w:val="000000" w:themeColor="text1"/>
              <w:sz w:val="32"/>
              <w:szCs w:val="32"/>
              <w14:textFill>
                <w14:solidFill>
                  <w14:schemeClr w14:val="tx1"/>
                </w14:solidFill>
              </w14:textFill>
            </w:rPr>
          </w:pPr>
        </w:p>
        <w:p>
          <w:pPr>
            <w:pStyle w:val="152"/>
            <w:tabs>
              <w:tab w:val="right" w:leader="dot" w:pos="8953"/>
            </w:tabs>
            <w:rPr>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"_Toc22434" </w:instrText>
          </w:r>
          <w:r>
            <w:rPr>
              <w:color w:val="000000" w:themeColor="text1"/>
              <w14:textFill>
                <w14:solidFill>
                  <w14:schemeClr w14:val="tx1"/>
                </w14:solidFill>
              </w14:textFill>
            </w:rPr>
            <w:fldChar w:fldCharType="separate"/>
          </w:r>
          <w:r>
            <w:rPr>
              <w:rFonts w:hint="eastAsia" w:ascii="宋体" w:hAnsi="宋体"/>
              <w:b/>
              <w:bCs/>
              <w:color w:val="000000" w:themeColor="text1"/>
              <w:sz w:val="32"/>
              <w:szCs w:val="32"/>
              <w14:textFill>
                <w14:solidFill>
                  <w14:schemeClr w14:val="tx1"/>
                </w14:solidFill>
              </w14:textFill>
            </w:rPr>
            <w:t>第三章</w:t>
          </w:r>
          <w:r>
            <w:rPr>
              <w:rFonts w:hint="eastAsia" w:ascii="宋体" w:hAnsi="宋体"/>
              <w:color w:val="000000" w:themeColor="text1"/>
              <w:sz w:val="32"/>
              <w:szCs w:val="32"/>
              <w14:textFill>
                <w14:solidFill>
                  <w14:schemeClr w14:val="tx1"/>
                </w14:solidFill>
              </w14:textFill>
            </w:rPr>
            <w:t xml:space="preserve">  合同条款及格式</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_Toc22434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17</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152"/>
            <w:tabs>
              <w:tab w:val="right" w:leader="dot" w:pos="8953"/>
            </w:tabs>
            <w:rPr>
              <w:rFonts w:ascii="宋体" w:hAnsi="宋体"/>
              <w:bCs/>
              <w:color w:val="000000" w:themeColor="text1"/>
              <w:sz w:val="32"/>
              <w:szCs w:val="32"/>
              <w14:textFill>
                <w14:solidFill>
                  <w14:schemeClr w14:val="tx1"/>
                </w14:solidFill>
              </w14:textFill>
            </w:rPr>
          </w:pPr>
        </w:p>
        <w:p>
          <w:pPr>
            <w:pStyle w:val="152"/>
            <w:tabs>
              <w:tab w:val="right" w:leader="dot" w:pos="8953"/>
            </w:tabs>
            <w:rPr>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"_Toc31860" </w:instrText>
          </w:r>
          <w:r>
            <w:rPr>
              <w:color w:val="000000" w:themeColor="text1"/>
              <w14:textFill>
                <w14:solidFill>
                  <w14:schemeClr w14:val="tx1"/>
                </w14:solidFill>
              </w14:textFill>
            </w:rPr>
            <w:fldChar w:fldCharType="separate"/>
          </w:r>
          <w:r>
            <w:rPr>
              <w:rFonts w:hint="eastAsia" w:ascii="宋体" w:hAnsi="宋体"/>
              <w:b/>
              <w:bCs/>
              <w:color w:val="000000" w:themeColor="text1"/>
              <w:sz w:val="32"/>
              <w:szCs w:val="32"/>
              <w14:textFill>
                <w14:solidFill>
                  <w14:schemeClr w14:val="tx1"/>
                </w14:solidFill>
              </w14:textFill>
            </w:rPr>
            <w:t>第四章</w:t>
          </w:r>
          <w:r>
            <w:rPr>
              <w:rFonts w:hint="eastAsia" w:ascii="宋体" w:hAnsi="宋体"/>
              <w:color w:val="000000" w:themeColor="text1"/>
              <w:sz w:val="32"/>
              <w:szCs w:val="32"/>
              <w14:textFill>
                <w14:solidFill>
                  <w14:schemeClr w14:val="tx1"/>
                </w14:solidFill>
              </w14:textFill>
            </w:rPr>
            <w:t xml:space="preserve"> 项目需求</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_Toc31860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25</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152"/>
            <w:tabs>
              <w:tab w:val="right" w:leader="dot" w:pos="8953"/>
            </w:tabs>
            <w:rPr>
              <w:rFonts w:ascii="宋体" w:hAnsi="宋体"/>
              <w:bCs/>
              <w:color w:val="000000" w:themeColor="text1"/>
              <w:sz w:val="32"/>
              <w:szCs w:val="32"/>
              <w14:textFill>
                <w14:solidFill>
                  <w14:schemeClr w14:val="tx1"/>
                </w14:solidFill>
              </w14:textFill>
            </w:rPr>
          </w:pPr>
        </w:p>
        <w:p>
          <w:pPr>
            <w:pStyle w:val="152"/>
            <w:tabs>
              <w:tab w:val="right" w:leader="dot" w:pos="8953"/>
            </w:tabs>
            <w:rPr>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"_Toc5883" </w:instrText>
          </w:r>
          <w:r>
            <w:rPr>
              <w:color w:val="000000" w:themeColor="text1"/>
              <w14:textFill>
                <w14:solidFill>
                  <w14:schemeClr w14:val="tx1"/>
                </w14:solidFill>
              </w14:textFill>
            </w:rPr>
            <w:fldChar w:fldCharType="separate"/>
          </w:r>
          <w:r>
            <w:rPr>
              <w:rFonts w:hint="eastAsia"/>
              <w:b/>
              <w:bCs/>
              <w:color w:val="000000" w:themeColor="text1"/>
              <w:sz w:val="32"/>
              <w:szCs w:val="32"/>
              <w14:textFill>
                <w14:solidFill>
                  <w14:schemeClr w14:val="tx1"/>
                </w14:solidFill>
              </w14:textFill>
            </w:rPr>
            <w:t>第五章</w:t>
          </w:r>
          <w:r>
            <w:rPr>
              <w:rFonts w:hint="eastAsia"/>
              <w:color w:val="000000" w:themeColor="text1"/>
              <w:sz w:val="32"/>
              <w:szCs w:val="32"/>
              <w14:textFill>
                <w14:solidFill>
                  <w14:schemeClr w14:val="tx1"/>
                </w14:solidFill>
              </w14:textFill>
            </w:rPr>
            <w:t xml:space="preserve">  评标方法与评标标准</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_Toc5883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53</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152"/>
            <w:tabs>
              <w:tab w:val="right" w:leader="dot" w:pos="8953"/>
            </w:tabs>
            <w:rPr>
              <w:rFonts w:ascii="宋体" w:hAnsi="宋体"/>
              <w:bCs/>
              <w:color w:val="000000" w:themeColor="text1"/>
              <w:sz w:val="32"/>
              <w:szCs w:val="32"/>
              <w14:textFill>
                <w14:solidFill>
                  <w14:schemeClr w14:val="tx1"/>
                </w14:solidFill>
              </w14:textFill>
            </w:rPr>
          </w:pPr>
        </w:p>
        <w:p>
          <w:pPr>
            <w:pStyle w:val="152"/>
            <w:tabs>
              <w:tab w:val="right" w:leader="dot" w:pos="8953"/>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"_Toc14626" </w:instrText>
          </w:r>
          <w:r>
            <w:rPr>
              <w:color w:val="000000" w:themeColor="text1"/>
              <w14:textFill>
                <w14:solidFill>
                  <w14:schemeClr w14:val="tx1"/>
                </w14:solidFill>
              </w14:textFill>
            </w:rPr>
            <w:fldChar w:fldCharType="separate"/>
          </w:r>
          <w:r>
            <w:rPr>
              <w:rFonts w:hint="eastAsia"/>
              <w:b/>
              <w:bCs/>
              <w:color w:val="000000" w:themeColor="text1"/>
              <w:sz w:val="32"/>
              <w:szCs w:val="32"/>
              <w14:textFill>
                <w14:solidFill>
                  <w14:schemeClr w14:val="tx1"/>
                </w14:solidFill>
              </w14:textFill>
            </w:rPr>
            <w:t>第六章</w:t>
          </w:r>
          <w:r>
            <w:rPr>
              <w:rFonts w:hint="eastAsia"/>
              <w:color w:val="000000" w:themeColor="text1"/>
              <w:sz w:val="32"/>
              <w:szCs w:val="32"/>
              <w14:textFill>
                <w14:solidFill>
                  <w14:schemeClr w14:val="tx1"/>
                </w14:solidFill>
              </w14:textFill>
            </w:rPr>
            <w:t xml:space="preserve">  投标文件格式</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_Toc14626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59</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152"/>
            <w:tabs>
              <w:tab w:val="right" w:leader="dot" w:pos="8953"/>
            </w:tabs>
            <w:rPr>
              <w:color w:val="000000" w:themeColor="text1"/>
              <w14:textFill>
                <w14:solidFill>
                  <w14:schemeClr w14:val="tx1"/>
                </w14:solidFill>
              </w14:textFill>
            </w:rPr>
          </w:pPr>
        </w:p>
        <w:p>
          <w:pPr>
            <w:pStyle w:val="34"/>
            <w:tabs>
              <w:tab w:val="left" w:pos="7626"/>
            </w:tabs>
            <w:spacing w:line="480" w:lineRule="auto"/>
            <w:jc w:val="both"/>
            <w:rPr>
              <w:color w:val="000000" w:themeColor="text1"/>
              <w14:textFill>
                <w14:solidFill>
                  <w14:schemeClr w14:val="tx1"/>
                </w14:solidFill>
              </w14:textFill>
            </w:rPr>
            <w:sectPr>
              <w:footerReference r:id="rId5" w:type="default"/>
              <w:pgSz w:w="11906" w:h="16838"/>
              <w:pgMar w:top="1418" w:right="1588" w:bottom="1418" w:left="1365" w:header="851" w:footer="907" w:gutter="0"/>
              <w:pgNumType w:fmt="numberInDash" w:start="1"/>
              <w:cols w:space="720" w:num="1"/>
              <w:docGrid w:type="lines" w:linePitch="290" w:charSpace="0"/>
            </w:sectPr>
          </w:pPr>
          <w:r>
            <w:rPr>
              <w:rFonts w:ascii="宋体" w:hAnsi="宋体" w:eastAsia="宋体"/>
              <w:bCs/>
              <w:color w:val="000000" w:themeColor="text1"/>
              <w14:textFill>
                <w14:solidFill>
                  <w14:schemeClr w14:val="tx1"/>
                </w14:solidFill>
              </w14:textFill>
            </w:rPr>
            <w:fldChar w:fldCharType="end"/>
          </w:r>
        </w:p>
      </w:sdtContent>
    </w:sdt>
    <w:p>
      <w:pPr>
        <w:rPr>
          <w:rStyle w:val="44"/>
          <w:rFonts w:ascii="宋体" w:hAnsi="宋体"/>
          <w:color w:val="000000" w:themeColor="text1"/>
          <w14:textFill>
            <w14:solidFill>
              <w14:schemeClr w14:val="tx1"/>
            </w14:solidFill>
          </w14:textFill>
        </w:rPr>
      </w:pPr>
    </w:p>
    <w:p>
      <w:pPr>
        <w:pStyle w:val="34"/>
        <w:outlineLvl w:val="0"/>
        <w:rPr>
          <w:rStyle w:val="44"/>
          <w:rFonts w:ascii="宋体" w:hAnsi="宋体" w:eastAsia="宋体"/>
          <w:b/>
          <w:bCs/>
          <w:color w:val="000000" w:themeColor="text1"/>
          <w:sz w:val="44"/>
          <w:szCs w:val="44"/>
          <w14:textFill>
            <w14:solidFill>
              <w14:schemeClr w14:val="tx1"/>
            </w14:solidFill>
          </w14:textFill>
        </w:rPr>
      </w:pPr>
      <w:bookmarkStart w:id="0" w:name="_Toc8151"/>
      <w:bookmarkStart w:id="1" w:name="_Toc9444"/>
      <w:r>
        <w:rPr>
          <w:rStyle w:val="44"/>
          <w:rFonts w:hint="eastAsia" w:ascii="宋体" w:hAnsi="宋体" w:eastAsia="宋体"/>
          <w:b/>
          <w:bCs/>
          <w:color w:val="000000" w:themeColor="text1"/>
          <w:sz w:val="44"/>
          <w:szCs w:val="44"/>
          <w14:textFill>
            <w14:solidFill>
              <w14:schemeClr w14:val="tx1"/>
            </w14:solidFill>
          </w14:textFill>
        </w:rPr>
        <w:t>第一章  招标公告</w:t>
      </w:r>
      <w:bookmarkEnd w:id="0"/>
      <w:bookmarkEnd w:id="1"/>
    </w:p>
    <w:p>
      <w:pPr>
        <w:pStyle w:val="34"/>
        <w:tabs>
          <w:tab w:val="left" w:pos="0"/>
          <w:tab w:val="left" w:pos="3165"/>
          <w:tab w:val="center" w:pos="4153"/>
        </w:tabs>
        <w:spacing w:line="360" w:lineRule="auto"/>
        <w:rPr>
          <w:rStyle w:val="44"/>
          <w:rFonts w:ascii="宋体" w:hAnsi="宋体" w:eastAsia="宋体"/>
          <w:b/>
          <w:bCs/>
          <w:color w:val="000000" w:themeColor="text1"/>
          <w:sz w:val="24"/>
          <w:szCs w:val="24"/>
          <w14:textFill>
            <w14:solidFill>
              <w14:schemeClr w14:val="tx1"/>
            </w14:solidFill>
          </w14:textFill>
        </w:rPr>
      </w:pPr>
      <w:bookmarkStart w:id="98" w:name="_GoBack"/>
      <w:r>
        <w:rPr>
          <w:rStyle w:val="44"/>
          <w:rFonts w:hint="eastAsia" w:ascii="宋体" w:hAnsi="宋体" w:eastAsia="宋体"/>
          <w:b/>
          <w:bCs/>
          <w:color w:val="000000" w:themeColor="text1"/>
          <w14:textFill>
            <w14:solidFill>
              <w14:schemeClr w14:val="tx1"/>
            </w14:solidFill>
          </w14:textFill>
        </w:rPr>
        <w:t>盐城工业职业技术学院</w:t>
      </w:r>
      <w:r>
        <w:rPr>
          <w:rStyle w:val="44"/>
          <w:rFonts w:hint="eastAsia" w:ascii="宋体" w:hAnsi="宋体" w:eastAsia="宋体" w:cs="Times New Roman"/>
          <w:b/>
          <w:bCs/>
          <w:color w:val="000000" w:themeColor="text1"/>
          <w14:textFill>
            <w14:solidFill>
              <w14:schemeClr w14:val="tx1"/>
            </w14:solidFill>
          </w14:textFill>
        </w:rPr>
        <w:t>数据中心和数据治理平台公开</w:t>
      </w:r>
      <w:r>
        <w:rPr>
          <w:rStyle w:val="44"/>
          <w:rFonts w:hint="eastAsia" w:ascii="宋体" w:hAnsi="宋体" w:eastAsia="宋体"/>
          <w:b/>
          <w:bCs/>
          <w:color w:val="000000" w:themeColor="text1"/>
          <w14:textFill>
            <w14:solidFill>
              <w14:schemeClr w14:val="tx1"/>
            </w14:solidFill>
          </w14:textFill>
        </w:rPr>
        <w:t>招标公告</w:t>
      </w:r>
    </w:p>
    <w:p>
      <w:pPr>
        <w:pBdr>
          <w:top w:val="single" w:color="000000" w:sz="4" w:space="1"/>
          <w:left w:val="single" w:color="000000" w:sz="4" w:space="4"/>
          <w:bottom w:val="single" w:color="000000" w:sz="4" w:space="1"/>
          <w:right w:val="single" w:color="000000" w:sz="4" w:space="4"/>
        </w:pBdr>
        <w:spacing w:line="460" w:lineRule="exact"/>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bCs/>
          <w:color w:val="000000" w:themeColor="text1"/>
          <w:sz w:val="24"/>
          <w:szCs w:val="24"/>
          <w:u w:val="single" w:color="000000"/>
          <w14:textFill>
            <w14:solidFill>
              <w14:schemeClr w14:val="tx1"/>
            </w14:solidFill>
          </w14:textFill>
        </w:rPr>
        <w:t>盐城工业职业技术学院数据中心和数据治理平台</w:t>
      </w:r>
      <w:r>
        <w:rPr>
          <w:rStyle w:val="44"/>
          <w:rFonts w:hint="eastAsia" w:ascii="宋体" w:hAnsi="宋体"/>
          <w:bCs/>
          <w:color w:val="000000" w:themeColor="text1"/>
          <w:sz w:val="24"/>
          <w:szCs w:val="24"/>
          <w14:textFill>
            <w14:solidFill>
              <w14:schemeClr w14:val="tx1"/>
            </w14:solidFill>
          </w14:textFill>
        </w:rPr>
        <w:t>招标项目的潜在投标人应在</w:t>
      </w:r>
      <w:r>
        <w:rPr>
          <w:rStyle w:val="44"/>
          <w:rFonts w:hint="eastAsia" w:ascii="宋体" w:hAnsi="宋体"/>
          <w:color w:val="000000" w:themeColor="text1"/>
          <w:sz w:val="24"/>
          <w:szCs w:val="24"/>
          <w:u w:val="single"/>
          <w14:textFill>
            <w14:solidFill>
              <w14:schemeClr w14:val="tx1"/>
            </w14:solidFill>
          </w14:textFill>
        </w:rPr>
        <w:t>江苏省政府采购网或盐城市政府采购网或盐城工业职业技术学院招标采购网</w:t>
      </w:r>
      <w:r>
        <w:rPr>
          <w:rStyle w:val="44"/>
          <w:rFonts w:hint="eastAsia" w:ascii="宋体" w:hAnsi="宋体"/>
          <w:bCs/>
          <w:color w:val="000000" w:themeColor="text1"/>
          <w:sz w:val="24"/>
          <w:szCs w:val="24"/>
          <w14:textFill>
            <w14:solidFill>
              <w14:schemeClr w14:val="tx1"/>
            </w14:solidFill>
          </w14:textFill>
        </w:rPr>
        <w:t>获</w:t>
      </w:r>
      <w:r>
        <w:rPr>
          <w:rStyle w:val="44"/>
          <w:rFonts w:hint="eastAsia" w:ascii="宋体" w:hAnsi="宋体"/>
          <w:color w:val="000000" w:themeColor="text1"/>
          <w:sz w:val="24"/>
          <w:szCs w:val="24"/>
          <w14:textFill>
            <w14:solidFill>
              <w14:schemeClr w14:val="tx1"/>
            </w14:solidFill>
          </w14:textFill>
        </w:rPr>
        <w:t>取招标文件，并于</w:t>
      </w:r>
      <w:r>
        <w:rPr>
          <w:rStyle w:val="44"/>
          <w:rFonts w:hint="eastAsia" w:ascii="宋体" w:hAnsi="宋体"/>
          <w:color w:val="000000" w:themeColor="text1"/>
          <w:sz w:val="24"/>
          <w:szCs w:val="24"/>
          <w:u w:val="single" w:color="000000"/>
          <w14:textFill>
            <w14:solidFill>
              <w14:schemeClr w14:val="tx1"/>
            </w14:solidFill>
          </w14:textFill>
        </w:rPr>
        <w:t>2022</w:t>
      </w:r>
      <w:r>
        <w:rPr>
          <w:rStyle w:val="44"/>
          <w:rFonts w:hint="eastAsia" w:ascii="宋体" w:hAnsi="宋体"/>
          <w:bCs/>
          <w:color w:val="000000" w:themeColor="text1"/>
          <w:sz w:val="24"/>
          <w:szCs w:val="24"/>
          <w:u w:val="single" w:color="000000"/>
          <w14:textFill>
            <w14:solidFill>
              <w14:schemeClr w14:val="tx1"/>
            </w14:solidFill>
          </w14:textFill>
        </w:rPr>
        <w:t>年</w:t>
      </w:r>
      <w:r>
        <w:rPr>
          <w:rStyle w:val="44"/>
          <w:rFonts w:hint="eastAsia" w:ascii="宋体" w:hAnsi="宋体"/>
          <w:bCs/>
          <w:color w:val="000000" w:themeColor="text1"/>
          <w:sz w:val="24"/>
          <w:szCs w:val="24"/>
          <w:u w:val="single" w:color="000000"/>
          <w:lang w:val="en-US" w:eastAsia="zh-CN"/>
          <w14:textFill>
            <w14:solidFill>
              <w14:schemeClr w14:val="tx1"/>
            </w14:solidFill>
          </w14:textFill>
        </w:rPr>
        <w:t>8</w:t>
      </w:r>
      <w:r>
        <w:rPr>
          <w:rStyle w:val="44"/>
          <w:rFonts w:hint="eastAsia" w:ascii="宋体" w:hAnsi="宋体"/>
          <w:bCs/>
          <w:color w:val="000000" w:themeColor="text1"/>
          <w:sz w:val="24"/>
          <w:szCs w:val="24"/>
          <w:u w:val="single" w:color="000000"/>
          <w14:textFill>
            <w14:solidFill>
              <w14:schemeClr w14:val="tx1"/>
            </w14:solidFill>
          </w14:textFill>
        </w:rPr>
        <w:t xml:space="preserve">月 </w:t>
      </w:r>
      <w:r>
        <w:rPr>
          <w:rStyle w:val="44"/>
          <w:rFonts w:hint="eastAsia" w:ascii="宋体" w:hAnsi="宋体"/>
          <w:bCs/>
          <w:color w:val="000000" w:themeColor="text1"/>
          <w:sz w:val="24"/>
          <w:szCs w:val="24"/>
          <w:u w:val="single" w:color="000000"/>
          <w:lang w:val="en-US" w:eastAsia="zh-CN"/>
          <w14:textFill>
            <w14:solidFill>
              <w14:schemeClr w14:val="tx1"/>
            </w14:solidFill>
          </w14:textFill>
        </w:rPr>
        <w:t>16</w:t>
      </w:r>
      <w:r>
        <w:rPr>
          <w:rStyle w:val="44"/>
          <w:rFonts w:hint="eastAsia" w:ascii="宋体" w:hAnsi="宋体"/>
          <w:bCs/>
          <w:color w:val="000000" w:themeColor="text1"/>
          <w:sz w:val="24"/>
          <w:szCs w:val="24"/>
          <w:u w:val="single" w:color="000000"/>
          <w14:textFill>
            <w14:solidFill>
              <w14:schemeClr w14:val="tx1"/>
            </w14:solidFill>
          </w14:textFill>
        </w:rPr>
        <w:t>日</w:t>
      </w:r>
      <w:r>
        <w:rPr>
          <w:rStyle w:val="44"/>
          <w:rFonts w:hint="eastAsia" w:ascii="宋体" w:hAnsi="宋体"/>
          <w:bCs/>
          <w:color w:val="000000" w:themeColor="text1"/>
          <w:sz w:val="24"/>
          <w:szCs w:val="24"/>
          <w:u w:val="single" w:color="000000"/>
          <w:lang w:val="en-US" w:eastAsia="zh-CN"/>
          <w14:textFill>
            <w14:solidFill>
              <w14:schemeClr w14:val="tx1"/>
            </w14:solidFill>
          </w14:textFill>
        </w:rPr>
        <w:t>9</w:t>
      </w:r>
      <w:r>
        <w:rPr>
          <w:rStyle w:val="44"/>
          <w:rFonts w:hint="eastAsia" w:ascii="宋体" w:hAnsi="宋体"/>
          <w:bCs/>
          <w:color w:val="000000" w:themeColor="text1"/>
          <w:sz w:val="24"/>
          <w:szCs w:val="24"/>
          <w:u w:val="single" w:color="000000"/>
          <w14:textFill>
            <w14:solidFill>
              <w14:schemeClr w14:val="tx1"/>
            </w14:solidFill>
          </w14:textFill>
        </w:rPr>
        <w:t>点00分（</w:t>
      </w:r>
      <w:r>
        <w:rPr>
          <w:rStyle w:val="44"/>
          <w:rFonts w:hint="eastAsia" w:ascii="宋体" w:hAnsi="宋体"/>
          <w:bCs/>
          <w:color w:val="000000" w:themeColor="text1"/>
          <w:sz w:val="24"/>
          <w:szCs w:val="24"/>
          <w14:textFill>
            <w14:solidFill>
              <w14:schemeClr w14:val="tx1"/>
            </w14:solidFill>
          </w14:textFill>
        </w:rPr>
        <w:t>北京时间）前递交投标文件</w:t>
      </w:r>
      <w:r>
        <w:rPr>
          <w:rStyle w:val="44"/>
          <w:rFonts w:hint="eastAsia" w:ascii="宋体" w:hAnsi="宋体"/>
          <w:color w:val="000000" w:themeColor="text1"/>
          <w:sz w:val="24"/>
          <w:szCs w:val="24"/>
          <w14:textFill>
            <w14:solidFill>
              <w14:schemeClr w14:val="tx1"/>
            </w14:solidFill>
          </w14:textFill>
        </w:rPr>
        <w:t>。</w:t>
      </w:r>
    </w:p>
    <w:p>
      <w:pPr>
        <w:pStyle w:val="34"/>
        <w:tabs>
          <w:tab w:val="left" w:pos="0"/>
          <w:tab w:val="left" w:pos="3165"/>
          <w:tab w:val="center" w:pos="4153"/>
        </w:tabs>
        <w:adjustRightInd w:val="0"/>
        <w:snapToGrid w:val="0"/>
        <w:spacing w:line="336" w:lineRule="auto"/>
        <w:ind w:firstLine="482" w:firstLineChars="200"/>
        <w:jc w:val="left"/>
        <w:rPr>
          <w:rStyle w:val="44"/>
          <w:rFonts w:ascii="宋体" w:hAnsi="宋体" w:eastAsia="宋体"/>
          <w:b/>
          <w:bCs/>
          <w:color w:val="000000" w:themeColor="text1"/>
          <w:sz w:val="24"/>
          <w:szCs w:val="24"/>
          <w14:textFill>
            <w14:solidFill>
              <w14:schemeClr w14:val="tx1"/>
            </w14:solidFill>
          </w14:textFill>
        </w:rPr>
      </w:pPr>
      <w:r>
        <w:rPr>
          <w:rStyle w:val="44"/>
          <w:rFonts w:hint="eastAsia" w:ascii="宋体" w:hAnsi="宋体" w:eastAsia="宋体"/>
          <w:b/>
          <w:bCs/>
          <w:color w:val="000000" w:themeColor="text1"/>
          <w:sz w:val="24"/>
          <w:szCs w:val="24"/>
          <w14:textFill>
            <w14:solidFill>
              <w14:schemeClr w14:val="tx1"/>
            </w14:solidFill>
          </w14:textFill>
        </w:rPr>
        <w:t>一、项目基本情况</w:t>
      </w:r>
    </w:p>
    <w:p>
      <w:pPr>
        <w:adjustRightInd w:val="0"/>
        <w:snapToGrid w:val="0"/>
        <w:spacing w:line="336" w:lineRule="auto"/>
        <w:ind w:firstLine="480" w:firstLineChars="200"/>
        <w:rPr>
          <w:rStyle w:val="44"/>
          <w:rFonts w:ascii="宋体" w:hAnsi="宋体" w:cs="Times New Roman"/>
          <w:color w:val="000000" w:themeColor="text1"/>
          <w:sz w:val="24"/>
          <w:szCs w:val="24"/>
          <w14:textFill>
            <w14:solidFill>
              <w14:schemeClr w14:val="tx1"/>
            </w14:solidFill>
          </w14:textFill>
        </w:rPr>
      </w:pPr>
      <w:r>
        <w:rPr>
          <w:rStyle w:val="44"/>
          <w:rFonts w:hint="eastAsia" w:ascii="宋体" w:hAnsi="宋体" w:cs="Times New Roman"/>
          <w:color w:val="000000" w:themeColor="text1"/>
          <w:sz w:val="24"/>
          <w:szCs w:val="24"/>
          <w14:textFill>
            <w14:solidFill>
              <w14:schemeClr w14:val="tx1"/>
            </w14:solidFill>
          </w14:textFill>
        </w:rPr>
        <w:t>项目编号：2022-0</w:t>
      </w:r>
      <w:r>
        <w:rPr>
          <w:rStyle w:val="44"/>
          <w:rFonts w:hint="eastAsia" w:ascii="宋体" w:hAnsi="宋体" w:cs="Times New Roman"/>
          <w:color w:val="000000" w:themeColor="text1"/>
          <w:sz w:val="24"/>
          <w:szCs w:val="24"/>
          <w:lang w:val="en-US" w:eastAsia="zh-CN"/>
          <w14:textFill>
            <w14:solidFill>
              <w14:schemeClr w14:val="tx1"/>
            </w14:solidFill>
          </w14:textFill>
        </w:rPr>
        <w:t>27</w:t>
      </w:r>
      <w:r>
        <w:rPr>
          <w:rStyle w:val="44"/>
          <w:rFonts w:hint="eastAsia" w:ascii="宋体" w:hAnsi="宋体" w:cs="Times New Roman"/>
          <w:color w:val="000000" w:themeColor="text1"/>
          <w:sz w:val="24"/>
          <w:szCs w:val="24"/>
          <w14:textFill>
            <w14:solidFill>
              <w14:schemeClr w14:val="tx1"/>
            </w14:solidFill>
          </w14:textFill>
        </w:rPr>
        <w:t>Q</w:t>
      </w:r>
    </w:p>
    <w:p>
      <w:pPr>
        <w:adjustRightInd w:val="0"/>
        <w:snapToGrid w:val="0"/>
        <w:spacing w:line="336" w:lineRule="auto"/>
        <w:ind w:firstLine="480" w:firstLineChars="200"/>
        <w:rPr>
          <w:rStyle w:val="44"/>
          <w:rFonts w:ascii="宋体" w:hAnsi="宋体" w:cs="Times New Roman"/>
          <w:color w:val="000000" w:themeColor="text1"/>
          <w:sz w:val="24"/>
          <w:szCs w:val="24"/>
          <w14:textFill>
            <w14:solidFill>
              <w14:schemeClr w14:val="tx1"/>
            </w14:solidFill>
          </w14:textFill>
        </w:rPr>
      </w:pPr>
      <w:r>
        <w:rPr>
          <w:rStyle w:val="44"/>
          <w:rFonts w:hint="eastAsia" w:ascii="宋体" w:hAnsi="宋体" w:cs="Times New Roman"/>
          <w:color w:val="000000" w:themeColor="text1"/>
          <w:sz w:val="24"/>
          <w:szCs w:val="24"/>
          <w14:textFill>
            <w14:solidFill>
              <w14:schemeClr w14:val="tx1"/>
            </w14:solidFill>
          </w14:textFill>
        </w:rPr>
        <w:t>项目名称：盐城工业职业技术学院数据中心和数据治理平台</w:t>
      </w:r>
    </w:p>
    <w:p>
      <w:pPr>
        <w:adjustRightInd w:val="0"/>
        <w:snapToGrid w:val="0"/>
        <w:spacing w:line="336" w:lineRule="auto"/>
        <w:ind w:firstLine="480" w:firstLineChars="200"/>
        <w:rPr>
          <w:rStyle w:val="44"/>
          <w:rFonts w:ascii="宋体" w:hAnsi="宋体" w:cs="Times New Roman"/>
          <w:color w:val="000000" w:themeColor="text1"/>
          <w:sz w:val="24"/>
          <w:szCs w:val="24"/>
          <w14:textFill>
            <w14:solidFill>
              <w14:schemeClr w14:val="tx1"/>
            </w14:solidFill>
          </w14:textFill>
        </w:rPr>
      </w:pPr>
      <w:r>
        <w:rPr>
          <w:rStyle w:val="44"/>
          <w:rFonts w:hint="eastAsia" w:ascii="宋体" w:hAnsi="宋体" w:cs="Times New Roman"/>
          <w:color w:val="000000" w:themeColor="text1"/>
          <w:sz w:val="24"/>
          <w:szCs w:val="24"/>
          <w14:textFill>
            <w14:solidFill>
              <w14:schemeClr w14:val="tx1"/>
            </w14:solidFill>
          </w14:textFill>
        </w:rPr>
        <w:t>最高限价：人民币192万元。投标人的投标报价不得超过最高限价。</w:t>
      </w:r>
    </w:p>
    <w:p>
      <w:pPr>
        <w:adjustRightInd w:val="0"/>
        <w:snapToGrid w:val="0"/>
        <w:spacing w:line="336" w:lineRule="auto"/>
        <w:ind w:firstLine="480" w:firstLineChars="200"/>
        <w:rPr>
          <w:rStyle w:val="44"/>
          <w:rFonts w:ascii="宋体" w:hAnsi="宋体" w:cs="Times New Roman"/>
          <w:color w:val="000000" w:themeColor="text1"/>
          <w:sz w:val="24"/>
          <w:szCs w:val="24"/>
          <w14:textFill>
            <w14:solidFill>
              <w14:schemeClr w14:val="tx1"/>
            </w14:solidFill>
          </w14:textFill>
        </w:rPr>
      </w:pPr>
      <w:r>
        <w:rPr>
          <w:rStyle w:val="44"/>
          <w:rFonts w:hint="eastAsia" w:ascii="宋体" w:hAnsi="宋体" w:cs="Times New Roman"/>
          <w:color w:val="000000" w:themeColor="text1"/>
          <w:sz w:val="24"/>
          <w:szCs w:val="24"/>
          <w14:textFill>
            <w14:solidFill>
              <w14:schemeClr w14:val="tx1"/>
            </w14:solidFill>
          </w14:textFill>
        </w:rPr>
        <w:t>采购需求：本项目采购内容为盐城工业职业技术学院2022年数据中心和数据治理平台。具体详见招标文件项目需求。</w:t>
      </w:r>
    </w:p>
    <w:p>
      <w:pPr>
        <w:adjustRightInd w:val="0"/>
        <w:snapToGrid w:val="0"/>
        <w:spacing w:line="336" w:lineRule="auto"/>
        <w:ind w:firstLine="480" w:firstLineChars="200"/>
        <w:rPr>
          <w:rStyle w:val="44"/>
          <w:rFonts w:ascii="宋体" w:hAnsi="宋体" w:cs="Times New Roman"/>
          <w:color w:val="000000" w:themeColor="text1"/>
          <w:sz w:val="24"/>
          <w:szCs w:val="24"/>
          <w14:textFill>
            <w14:solidFill>
              <w14:schemeClr w14:val="tx1"/>
            </w14:solidFill>
          </w14:textFill>
        </w:rPr>
      </w:pPr>
      <w:r>
        <w:rPr>
          <w:rStyle w:val="44"/>
          <w:rFonts w:hint="eastAsia" w:ascii="宋体" w:hAnsi="宋体" w:cs="Times New Roman"/>
          <w:color w:val="000000" w:themeColor="text1"/>
          <w:sz w:val="24"/>
          <w:szCs w:val="24"/>
          <w14:textFill>
            <w14:solidFill>
              <w14:schemeClr w14:val="tx1"/>
            </w14:solidFill>
          </w14:textFill>
        </w:rPr>
        <w:t>合同履行期限：</w:t>
      </w:r>
    </w:p>
    <w:p>
      <w:pPr>
        <w:adjustRightInd w:val="0"/>
        <w:snapToGrid w:val="0"/>
        <w:spacing w:line="336" w:lineRule="auto"/>
        <w:ind w:firstLine="480" w:firstLineChars="200"/>
        <w:rPr>
          <w:rStyle w:val="44"/>
          <w:rFonts w:ascii="宋体" w:hAnsi="宋体" w:cs="Times New Roman"/>
          <w:color w:val="000000" w:themeColor="text1"/>
          <w:sz w:val="24"/>
          <w:szCs w:val="24"/>
          <w14:textFill>
            <w14:solidFill>
              <w14:schemeClr w14:val="tx1"/>
            </w14:solidFill>
          </w14:textFill>
        </w:rPr>
      </w:pPr>
      <w:r>
        <w:rPr>
          <w:rStyle w:val="44"/>
          <w:rFonts w:hint="eastAsia" w:ascii="宋体" w:hAnsi="宋体" w:cs="Times New Roman"/>
          <w:color w:val="000000" w:themeColor="text1"/>
          <w:sz w:val="24"/>
          <w:szCs w:val="24"/>
          <w14:textFill>
            <w14:solidFill>
              <w14:schemeClr w14:val="tx1"/>
            </w14:solidFill>
          </w14:textFill>
        </w:rPr>
        <w:t>（1）软件交货期：签订合同后20天（如甲方需要延时交付，可另行约定时间）。</w:t>
      </w:r>
    </w:p>
    <w:p>
      <w:pPr>
        <w:adjustRightInd w:val="0"/>
        <w:snapToGrid w:val="0"/>
        <w:spacing w:line="336" w:lineRule="auto"/>
        <w:ind w:firstLine="480" w:firstLineChars="200"/>
        <w:rPr>
          <w:rStyle w:val="44"/>
          <w:rFonts w:ascii="宋体" w:hAnsi="宋体" w:cs="Times New Roman"/>
          <w:color w:val="000000" w:themeColor="text1"/>
          <w:sz w:val="24"/>
          <w:szCs w:val="24"/>
          <w14:textFill>
            <w14:solidFill>
              <w14:schemeClr w14:val="tx1"/>
            </w14:solidFill>
          </w14:textFill>
        </w:rPr>
      </w:pPr>
      <w:r>
        <w:rPr>
          <w:rStyle w:val="44"/>
          <w:rFonts w:hint="eastAsia" w:ascii="宋体" w:hAnsi="宋体" w:cs="Times New Roman"/>
          <w:color w:val="000000" w:themeColor="text1"/>
          <w:sz w:val="24"/>
          <w:szCs w:val="24"/>
          <w14:textFill>
            <w14:solidFill>
              <w14:schemeClr w14:val="tx1"/>
            </w14:solidFill>
          </w14:textFill>
        </w:rPr>
        <w:t>（2）建设期：签到合同后1年，自合同签订之日起计算（如甲方认为建设未达需求，不能达到验收标准，可延长建设期）。</w:t>
      </w:r>
    </w:p>
    <w:p>
      <w:pPr>
        <w:adjustRightInd w:val="0"/>
        <w:snapToGrid w:val="0"/>
        <w:spacing w:line="336" w:lineRule="auto"/>
        <w:ind w:firstLine="480" w:firstLineChars="200"/>
        <w:rPr>
          <w:rStyle w:val="44"/>
          <w:rFonts w:ascii="宋体" w:hAnsi="宋体" w:cs="Times New Roman"/>
          <w:color w:val="000000" w:themeColor="text1"/>
          <w:sz w:val="24"/>
          <w:szCs w:val="24"/>
          <w14:textFill>
            <w14:solidFill>
              <w14:schemeClr w14:val="tx1"/>
            </w14:solidFill>
          </w14:textFill>
        </w:rPr>
      </w:pPr>
      <w:r>
        <w:rPr>
          <w:rStyle w:val="44"/>
          <w:rFonts w:hint="eastAsia" w:ascii="宋体" w:hAnsi="宋体" w:cs="Times New Roman"/>
          <w:color w:val="000000" w:themeColor="text1"/>
          <w:sz w:val="24"/>
          <w:szCs w:val="24"/>
          <w14:textFill>
            <w14:solidFill>
              <w14:schemeClr w14:val="tx1"/>
            </w14:solidFill>
          </w14:textFill>
        </w:rPr>
        <w:t>本项目不接受联合体投标。</w:t>
      </w:r>
    </w:p>
    <w:p>
      <w:pPr>
        <w:pStyle w:val="34"/>
        <w:tabs>
          <w:tab w:val="left" w:pos="0"/>
          <w:tab w:val="left" w:pos="3165"/>
          <w:tab w:val="center" w:pos="4153"/>
        </w:tabs>
        <w:adjustRightInd w:val="0"/>
        <w:snapToGrid w:val="0"/>
        <w:spacing w:line="336" w:lineRule="auto"/>
        <w:ind w:firstLine="482" w:firstLineChars="200"/>
        <w:jc w:val="left"/>
        <w:rPr>
          <w:rStyle w:val="44"/>
          <w:rFonts w:ascii="宋体" w:hAnsi="宋体" w:eastAsia="宋体"/>
          <w:b/>
          <w:bCs/>
          <w:color w:val="000000" w:themeColor="text1"/>
          <w:sz w:val="24"/>
          <w:szCs w:val="24"/>
          <w14:textFill>
            <w14:solidFill>
              <w14:schemeClr w14:val="tx1"/>
            </w14:solidFill>
          </w14:textFill>
        </w:rPr>
      </w:pPr>
      <w:r>
        <w:rPr>
          <w:rStyle w:val="44"/>
          <w:rFonts w:hint="eastAsia" w:ascii="宋体" w:hAnsi="宋体" w:eastAsia="宋体"/>
          <w:b/>
          <w:bCs/>
          <w:color w:val="000000" w:themeColor="text1"/>
          <w:sz w:val="24"/>
          <w:szCs w:val="24"/>
          <w14:textFill>
            <w14:solidFill>
              <w14:schemeClr w14:val="tx1"/>
            </w14:solidFill>
          </w14:textFill>
        </w:rPr>
        <w:t>二、投标人的资格要求：</w:t>
      </w:r>
    </w:p>
    <w:p>
      <w:pPr>
        <w:widowControl w:val="0"/>
        <w:spacing w:line="360" w:lineRule="auto"/>
        <w:ind w:firstLine="480" w:firstLineChars="200"/>
        <w:textAlignment w:val="auto"/>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1.满足《中华人民共和国政府采购法》第二十二条规定，并提供下列材料；</w:t>
      </w:r>
    </w:p>
    <w:p>
      <w:pPr>
        <w:adjustRightInd w:val="0"/>
        <w:snapToGrid w:val="0"/>
        <w:spacing w:line="336"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（1）法人或者其他组织的营业执照等证明文件，自然人的身份证明；</w:t>
      </w:r>
    </w:p>
    <w:p>
      <w:pPr>
        <w:adjustRightInd w:val="0"/>
        <w:snapToGrid w:val="0"/>
        <w:spacing w:line="336"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（2）上一年度（2021年）的财务报表（成立不满一年不需提供）；</w:t>
      </w:r>
    </w:p>
    <w:p>
      <w:pPr>
        <w:adjustRightInd w:val="0"/>
        <w:snapToGrid w:val="0"/>
        <w:spacing w:line="336"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（3）依法缴纳税收和社会保障资金的相关材料，依法免税或不需要缴纳社会保障资金的，应提供相应文件证明材料；</w:t>
      </w:r>
    </w:p>
    <w:p>
      <w:pPr>
        <w:adjustRightInd w:val="0"/>
        <w:snapToGrid w:val="0"/>
        <w:spacing w:line="336"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（4）具备履行合同所必需的设备和专业技术能力的书面声明；</w:t>
      </w:r>
    </w:p>
    <w:p>
      <w:pPr>
        <w:adjustRightInd w:val="0"/>
        <w:snapToGrid w:val="0"/>
        <w:spacing w:line="336"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（5）参加政府采购活动前3年内在经营活动中没有重大违法记录的书面声明；</w:t>
      </w:r>
    </w:p>
    <w:p>
      <w:pPr>
        <w:adjustRightInd w:val="0"/>
        <w:snapToGrid w:val="0"/>
        <w:spacing w:line="336"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2.落实政府采购政策需满足的资格要求：</w:t>
      </w:r>
      <w:r>
        <w:rPr>
          <w:rStyle w:val="44"/>
          <w:rFonts w:hint="eastAsia" w:ascii="宋体" w:hAnsi="宋体"/>
          <w:color w:val="000000" w:themeColor="text1"/>
          <w:sz w:val="24"/>
          <w:szCs w:val="24"/>
          <w:u w:val="single"/>
          <w14:textFill>
            <w14:solidFill>
              <w14:schemeClr w14:val="tx1"/>
            </w14:solidFill>
          </w14:textFill>
        </w:rPr>
        <w:t>/</w:t>
      </w:r>
    </w:p>
    <w:p>
      <w:pPr>
        <w:adjustRightInd w:val="0"/>
        <w:snapToGrid w:val="0"/>
        <w:spacing w:line="336"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3.本项目的特定资格要求：</w:t>
      </w:r>
    </w:p>
    <w:p>
      <w:pPr>
        <w:adjustRightInd w:val="0"/>
        <w:snapToGrid w:val="0"/>
        <w:spacing w:line="336" w:lineRule="auto"/>
        <w:ind w:firstLine="480" w:firstLineChars="200"/>
        <w:rPr>
          <w:rStyle w:val="44"/>
          <w:rFonts w:ascii="宋体" w:hAnsi="宋体" w:cs="Times New Roman"/>
          <w:color w:val="000000" w:themeColor="text1"/>
          <w:sz w:val="24"/>
          <w:szCs w:val="24"/>
          <w14:textFill>
            <w14:solidFill>
              <w14:schemeClr w14:val="tx1"/>
            </w14:solidFill>
          </w14:textFill>
        </w:rPr>
      </w:pPr>
      <w:r>
        <w:rPr>
          <w:rStyle w:val="44"/>
          <w:rFonts w:hint="eastAsia" w:ascii="宋体" w:hAnsi="宋体" w:cs="Times New Roman"/>
          <w:color w:val="000000" w:themeColor="text1"/>
          <w:sz w:val="24"/>
          <w:szCs w:val="24"/>
          <w14:textFill>
            <w14:solidFill>
              <w14:schemeClr w14:val="tx1"/>
            </w14:solidFill>
          </w14:textFill>
        </w:rPr>
        <w:t>(1)未被列入“信用中国”网站（www.creditchina.gov.cn）失信被执行人名单、重大税收违法案件当事人名单和中国政府采购网（www.ccgp.gov.cn）政府采购严重违法失信行为记录名单。</w:t>
      </w:r>
    </w:p>
    <w:p>
      <w:pPr>
        <w:adjustRightInd w:val="0"/>
        <w:snapToGrid w:val="0"/>
        <w:spacing w:line="336" w:lineRule="auto"/>
        <w:ind w:firstLine="480" w:firstLineChars="200"/>
        <w:rPr>
          <w:rStyle w:val="44"/>
          <w:rFonts w:ascii="宋体" w:hAnsi="宋体" w:cs="Times New Roman"/>
          <w:color w:val="000000" w:themeColor="text1"/>
          <w:sz w:val="24"/>
          <w:szCs w:val="24"/>
          <w14:textFill>
            <w14:solidFill>
              <w14:schemeClr w14:val="tx1"/>
            </w14:solidFill>
          </w14:textFill>
        </w:rPr>
      </w:pPr>
      <w:r>
        <w:rPr>
          <w:rStyle w:val="44"/>
          <w:rFonts w:hint="eastAsia" w:ascii="宋体" w:hAnsi="宋体" w:cs="Times New Roman"/>
          <w:color w:val="000000" w:themeColor="text1"/>
          <w:sz w:val="24"/>
          <w:szCs w:val="24"/>
          <w14:textFill>
            <w14:solidFill>
              <w14:schemeClr w14:val="tx1"/>
            </w14:solidFill>
          </w14:textFill>
        </w:rPr>
        <w:t>(2)投标人单位负责人为同一人或者存在直接控股、管理关系的不同投标人，不得参加同一标段投标活动。</w:t>
      </w:r>
    </w:p>
    <w:p>
      <w:pPr>
        <w:pStyle w:val="34"/>
        <w:tabs>
          <w:tab w:val="left" w:pos="0"/>
          <w:tab w:val="left" w:pos="3165"/>
          <w:tab w:val="center" w:pos="4153"/>
        </w:tabs>
        <w:adjustRightInd w:val="0"/>
        <w:snapToGrid w:val="0"/>
        <w:spacing w:line="336" w:lineRule="auto"/>
        <w:ind w:firstLine="482" w:firstLineChars="200"/>
        <w:jc w:val="left"/>
        <w:rPr>
          <w:rStyle w:val="44"/>
          <w:rFonts w:ascii="宋体" w:hAnsi="宋体" w:eastAsia="宋体"/>
          <w:b/>
          <w:bCs/>
          <w:color w:val="000000" w:themeColor="text1"/>
          <w:sz w:val="24"/>
          <w:szCs w:val="24"/>
          <w14:textFill>
            <w14:solidFill>
              <w14:schemeClr w14:val="tx1"/>
            </w14:solidFill>
          </w14:textFill>
        </w:rPr>
      </w:pPr>
      <w:r>
        <w:rPr>
          <w:rStyle w:val="44"/>
          <w:rFonts w:hint="eastAsia" w:ascii="宋体" w:hAnsi="宋体" w:eastAsia="宋体"/>
          <w:b/>
          <w:bCs/>
          <w:color w:val="000000" w:themeColor="text1"/>
          <w:sz w:val="24"/>
          <w:szCs w:val="24"/>
          <w14:textFill>
            <w14:solidFill>
              <w14:schemeClr w14:val="tx1"/>
            </w14:solidFill>
          </w14:textFill>
        </w:rPr>
        <w:t>三、获取招标文件</w:t>
      </w:r>
    </w:p>
    <w:p>
      <w:pPr>
        <w:adjustRightInd w:val="0"/>
        <w:snapToGrid w:val="0"/>
        <w:spacing w:line="336"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时间：自公告之日起至投标截止时间前1日</w:t>
      </w:r>
    </w:p>
    <w:p>
      <w:pPr>
        <w:adjustRightInd w:val="0"/>
        <w:snapToGrid w:val="0"/>
        <w:spacing w:line="336"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地点：江苏省政府采购网或盐城市政府采购网或盐城工业职业技术学院招标采购网</w:t>
      </w:r>
    </w:p>
    <w:p>
      <w:pPr>
        <w:adjustRightInd w:val="0"/>
        <w:snapToGrid w:val="0"/>
        <w:spacing w:line="336"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方式：符合资格要求的投标人可自行下载采购文件，采购文件见江苏省政府采购网或盐城市政府采购网或盐城工业职业技术学院招标采购网本公告附件。</w:t>
      </w:r>
    </w:p>
    <w:p>
      <w:pPr>
        <w:widowControl w:val="0"/>
        <w:snapToGrid w:val="0"/>
        <w:spacing w:line="360" w:lineRule="auto"/>
        <w:ind w:firstLine="480" w:firstLineChars="200"/>
        <w:jc w:val="left"/>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报名时间及地点：本公告发布后凡具备上述资格条件，并自愿参加本项目投标的投标人应于2022年</w:t>
      </w:r>
      <w:r>
        <w:rPr>
          <w:rFonts w:hint="eastAsia" w:ascii="宋体" w:hAnsi="宋体"/>
          <w:bCs/>
          <w:color w:val="000000" w:themeColor="text1"/>
          <w:sz w:val="24"/>
          <w:lang w:val="en-US" w:eastAsia="zh-CN"/>
          <w14:textFill>
            <w14:solidFill>
              <w14:schemeClr w14:val="tx1"/>
            </w14:solidFill>
          </w14:textFill>
        </w:rPr>
        <w:t>7</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lang w:val="en-US" w:eastAsia="zh-CN"/>
          <w14:textFill>
            <w14:solidFill>
              <w14:schemeClr w14:val="tx1"/>
            </w14:solidFill>
          </w14:textFill>
        </w:rPr>
        <w:t>22</w:t>
      </w:r>
      <w:r>
        <w:rPr>
          <w:rFonts w:hint="eastAsia" w:ascii="宋体" w:hAnsi="宋体"/>
          <w:bCs/>
          <w:color w:val="000000" w:themeColor="text1"/>
          <w:sz w:val="24"/>
          <w14:textFill>
            <w14:solidFill>
              <w14:schemeClr w14:val="tx1"/>
            </w14:solidFill>
          </w14:textFill>
        </w:rPr>
        <w:t>日至2022年</w:t>
      </w:r>
      <w:r>
        <w:rPr>
          <w:rFonts w:hint="eastAsia" w:ascii="宋体" w:hAnsi="宋体"/>
          <w:bCs/>
          <w:color w:val="000000" w:themeColor="text1"/>
          <w:sz w:val="24"/>
          <w:lang w:val="en-US" w:eastAsia="zh-CN"/>
          <w14:textFill>
            <w14:solidFill>
              <w14:schemeClr w14:val="tx1"/>
            </w14:solidFill>
          </w14:textFill>
        </w:rPr>
        <w:t>8</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lang w:val="en-US" w:eastAsia="zh-CN"/>
          <w14:textFill>
            <w14:solidFill>
              <w14:schemeClr w14:val="tx1"/>
            </w14:solidFill>
          </w14:textFill>
        </w:rPr>
        <w:t>9</w:t>
      </w:r>
      <w:r>
        <w:rPr>
          <w:rFonts w:hint="eastAsia" w:ascii="宋体" w:hAnsi="宋体"/>
          <w:bCs/>
          <w:color w:val="000000" w:themeColor="text1"/>
          <w:sz w:val="24"/>
          <w14:textFill>
            <w14:solidFill>
              <w14:schemeClr w14:val="tx1"/>
            </w14:solidFill>
          </w14:textFill>
        </w:rPr>
        <w:t>日委派本单位正式人员携带单位介绍信或授权委托书到盐城市华邦东厦A区2203室（也可线上报名联系电话18751450656）报名且购买招标文件，逾期报名的不予接收。</w:t>
      </w:r>
    </w:p>
    <w:p>
      <w:pPr>
        <w:widowControl w:val="0"/>
        <w:snapToGrid w:val="0"/>
        <w:spacing w:line="360" w:lineRule="auto"/>
        <w:ind w:firstLine="480" w:firstLineChars="200"/>
        <w:jc w:val="left"/>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售价：</w:t>
      </w:r>
      <w:r>
        <w:rPr>
          <w:rStyle w:val="44"/>
          <w:rFonts w:hint="eastAsia" w:ascii="宋体" w:hAnsi="宋体"/>
          <w:color w:val="000000" w:themeColor="text1"/>
          <w:sz w:val="24"/>
          <w:szCs w:val="24"/>
          <w14:textFill>
            <w14:solidFill>
              <w14:schemeClr w14:val="tx1"/>
            </w14:solidFill>
          </w14:textFill>
        </w:rPr>
        <w:t>人民币500元，</w:t>
      </w:r>
      <w:r>
        <w:rPr>
          <w:rFonts w:hint="eastAsia" w:ascii="宋体" w:hAnsi="宋体"/>
          <w:bCs/>
          <w:color w:val="000000" w:themeColor="text1"/>
          <w:sz w:val="24"/>
          <w14:textFill>
            <w14:solidFill>
              <w14:schemeClr w14:val="tx1"/>
            </w14:solidFill>
          </w14:textFill>
        </w:rPr>
        <w:t>报名时缴纳，</w:t>
      </w:r>
      <w:r>
        <w:rPr>
          <w:rStyle w:val="44"/>
          <w:rFonts w:hint="eastAsia" w:ascii="宋体" w:hAnsi="宋体"/>
          <w:color w:val="000000" w:themeColor="text1"/>
          <w:sz w:val="24"/>
          <w:szCs w:val="24"/>
          <w14:textFill>
            <w14:solidFill>
              <w14:schemeClr w14:val="tx1"/>
            </w14:solidFill>
          </w14:textFill>
        </w:rPr>
        <w:t>售后不退</w:t>
      </w:r>
      <w:r>
        <w:rPr>
          <w:rFonts w:hint="eastAsia" w:ascii="宋体" w:hAnsi="宋体"/>
          <w:bCs/>
          <w:color w:val="000000" w:themeColor="text1"/>
          <w:sz w:val="24"/>
          <w14:textFill>
            <w14:solidFill>
              <w14:schemeClr w14:val="tx1"/>
            </w14:solidFill>
          </w14:textFill>
        </w:rPr>
        <w:t>。</w:t>
      </w:r>
    </w:p>
    <w:p>
      <w:pPr>
        <w:widowControl w:val="0"/>
        <w:snapToGrid w:val="0"/>
        <w:spacing w:line="360" w:lineRule="auto"/>
        <w:ind w:firstLine="480" w:firstLineChars="200"/>
        <w:jc w:val="left"/>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有关本次招标的事项若存在变动或修改，敬请及时关注江苏省政府采购网或盐城市政府采购网或盐城工业职业技术学院招标采购网发布的信息更正公告。</w:t>
      </w:r>
    </w:p>
    <w:p>
      <w:pPr>
        <w:pStyle w:val="34"/>
        <w:tabs>
          <w:tab w:val="left" w:pos="0"/>
          <w:tab w:val="left" w:pos="3165"/>
          <w:tab w:val="center" w:pos="4153"/>
        </w:tabs>
        <w:adjustRightInd w:val="0"/>
        <w:snapToGrid w:val="0"/>
        <w:spacing w:line="336" w:lineRule="auto"/>
        <w:ind w:firstLine="482" w:firstLineChars="200"/>
        <w:jc w:val="left"/>
        <w:rPr>
          <w:rStyle w:val="44"/>
          <w:rFonts w:ascii="宋体" w:hAnsi="宋体" w:eastAsia="宋体"/>
          <w:b/>
          <w:bCs/>
          <w:color w:val="000000" w:themeColor="text1"/>
          <w:sz w:val="24"/>
          <w:szCs w:val="24"/>
          <w14:textFill>
            <w14:solidFill>
              <w14:schemeClr w14:val="tx1"/>
            </w14:solidFill>
          </w14:textFill>
        </w:rPr>
      </w:pPr>
      <w:r>
        <w:rPr>
          <w:rStyle w:val="44"/>
          <w:rFonts w:hint="eastAsia" w:ascii="宋体" w:hAnsi="宋体" w:eastAsia="宋体"/>
          <w:b/>
          <w:bCs/>
          <w:color w:val="000000" w:themeColor="text1"/>
          <w:sz w:val="24"/>
          <w:szCs w:val="24"/>
          <w14:textFill>
            <w14:solidFill>
              <w14:schemeClr w14:val="tx1"/>
            </w14:solidFill>
          </w14:textFill>
        </w:rPr>
        <w:t>四、提交投标文件截止时间、开标时间和地点</w:t>
      </w:r>
    </w:p>
    <w:p>
      <w:pPr>
        <w:adjustRightInd w:val="0"/>
        <w:snapToGrid w:val="0"/>
        <w:spacing w:line="336"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时间：</w:t>
      </w:r>
      <w:r>
        <w:rPr>
          <w:rStyle w:val="44"/>
          <w:rFonts w:hint="eastAsia" w:ascii="宋体" w:hAnsi="宋体"/>
          <w:color w:val="000000" w:themeColor="text1"/>
          <w:sz w:val="24"/>
          <w:szCs w:val="24"/>
          <w:u w:val="single" w:color="000000"/>
          <w14:textFill>
            <w14:solidFill>
              <w14:schemeClr w14:val="tx1"/>
            </w14:solidFill>
          </w14:textFill>
        </w:rPr>
        <w:t>2022</w:t>
      </w:r>
      <w:r>
        <w:rPr>
          <w:rStyle w:val="44"/>
          <w:rFonts w:hint="eastAsia" w:ascii="宋体" w:hAnsi="宋体"/>
          <w:bCs/>
          <w:color w:val="000000" w:themeColor="text1"/>
          <w:sz w:val="24"/>
          <w:szCs w:val="24"/>
          <w:u w:val="single" w:color="000000"/>
          <w14:textFill>
            <w14:solidFill>
              <w14:schemeClr w14:val="tx1"/>
            </w14:solidFill>
          </w14:textFill>
        </w:rPr>
        <w:t>年</w:t>
      </w:r>
      <w:r>
        <w:rPr>
          <w:rStyle w:val="44"/>
          <w:rFonts w:hint="eastAsia" w:ascii="宋体" w:hAnsi="宋体"/>
          <w:bCs/>
          <w:color w:val="000000" w:themeColor="text1"/>
          <w:sz w:val="24"/>
          <w:szCs w:val="24"/>
          <w:u w:val="single" w:color="000000"/>
          <w:lang w:val="en-US" w:eastAsia="zh-CN"/>
          <w14:textFill>
            <w14:solidFill>
              <w14:schemeClr w14:val="tx1"/>
            </w14:solidFill>
          </w14:textFill>
        </w:rPr>
        <w:t>8</w:t>
      </w:r>
      <w:r>
        <w:rPr>
          <w:rStyle w:val="44"/>
          <w:rFonts w:hint="eastAsia" w:ascii="宋体" w:hAnsi="宋体"/>
          <w:bCs/>
          <w:color w:val="000000" w:themeColor="text1"/>
          <w:sz w:val="24"/>
          <w:szCs w:val="24"/>
          <w:u w:val="single" w:color="000000"/>
          <w14:textFill>
            <w14:solidFill>
              <w14:schemeClr w14:val="tx1"/>
            </w14:solidFill>
          </w14:textFill>
        </w:rPr>
        <w:t>月</w:t>
      </w:r>
      <w:r>
        <w:rPr>
          <w:rStyle w:val="44"/>
          <w:rFonts w:hint="eastAsia" w:ascii="宋体" w:hAnsi="宋体"/>
          <w:bCs/>
          <w:color w:val="000000" w:themeColor="text1"/>
          <w:sz w:val="24"/>
          <w:szCs w:val="24"/>
          <w:u w:val="single" w:color="000000"/>
          <w:lang w:val="en-US" w:eastAsia="zh-CN"/>
          <w14:textFill>
            <w14:solidFill>
              <w14:schemeClr w14:val="tx1"/>
            </w14:solidFill>
          </w14:textFill>
        </w:rPr>
        <w:t>16</w:t>
      </w:r>
      <w:r>
        <w:rPr>
          <w:rStyle w:val="44"/>
          <w:rFonts w:hint="eastAsia" w:ascii="宋体" w:hAnsi="宋体"/>
          <w:bCs/>
          <w:color w:val="000000" w:themeColor="text1"/>
          <w:sz w:val="24"/>
          <w:szCs w:val="24"/>
          <w:u w:val="single" w:color="000000"/>
          <w14:textFill>
            <w14:solidFill>
              <w14:schemeClr w14:val="tx1"/>
            </w14:solidFill>
          </w14:textFill>
        </w:rPr>
        <w:t>日</w:t>
      </w:r>
      <w:r>
        <w:rPr>
          <w:rStyle w:val="44"/>
          <w:rFonts w:hint="eastAsia" w:ascii="宋体" w:hAnsi="宋体"/>
          <w:bCs/>
          <w:color w:val="000000" w:themeColor="text1"/>
          <w:sz w:val="24"/>
          <w:szCs w:val="24"/>
          <w:u w:val="single" w:color="000000"/>
          <w:lang w:val="en-US" w:eastAsia="zh-CN"/>
          <w14:textFill>
            <w14:solidFill>
              <w14:schemeClr w14:val="tx1"/>
            </w14:solidFill>
          </w14:textFill>
        </w:rPr>
        <w:t>9</w:t>
      </w:r>
      <w:r>
        <w:rPr>
          <w:rStyle w:val="44"/>
          <w:rFonts w:hint="eastAsia" w:ascii="宋体" w:hAnsi="宋体"/>
          <w:bCs/>
          <w:color w:val="000000" w:themeColor="text1"/>
          <w:sz w:val="24"/>
          <w:szCs w:val="24"/>
          <w:u w:val="single" w:color="000000"/>
          <w14:textFill>
            <w14:solidFill>
              <w14:schemeClr w14:val="tx1"/>
            </w14:solidFill>
          </w14:textFill>
        </w:rPr>
        <w:t>点0分</w:t>
      </w:r>
      <w:r>
        <w:rPr>
          <w:rStyle w:val="44"/>
          <w:rFonts w:hint="eastAsia" w:ascii="宋体" w:hAnsi="宋体"/>
          <w:color w:val="000000" w:themeColor="text1"/>
          <w:sz w:val="24"/>
          <w:szCs w:val="24"/>
          <w14:textFill>
            <w14:solidFill>
              <w14:schemeClr w14:val="tx1"/>
            </w14:solidFill>
          </w14:textFill>
        </w:rPr>
        <w:t>（北京时间）</w:t>
      </w:r>
    </w:p>
    <w:p>
      <w:pPr>
        <w:widowControl w:val="0"/>
        <w:snapToGrid w:val="0"/>
        <w:spacing w:line="360" w:lineRule="auto"/>
        <w:ind w:firstLine="480" w:firstLineChars="200"/>
        <w:jc w:val="left"/>
        <w:textAlignment w:val="auto"/>
        <w:rPr>
          <w:rStyle w:val="44"/>
          <w:rFonts w:ascii="宋体" w:hAnsi="宋体" w:cs="Times New Roman"/>
          <w:color w:val="000000" w:themeColor="text1"/>
          <w:sz w:val="24"/>
          <w:szCs w:val="24"/>
          <w14:textFill>
            <w14:solidFill>
              <w14:schemeClr w14:val="tx1"/>
            </w14:solidFill>
          </w14:textFill>
        </w:rPr>
      </w:pPr>
      <w:r>
        <w:rPr>
          <w:rStyle w:val="44"/>
          <w:rFonts w:hint="eastAsia" w:ascii="宋体" w:hAnsi="宋体" w:cs="Times New Roman"/>
          <w:color w:val="000000" w:themeColor="text1"/>
          <w:sz w:val="24"/>
          <w:szCs w:val="24"/>
          <w14:textFill>
            <w14:solidFill>
              <w14:schemeClr w14:val="tx1"/>
            </w14:solidFill>
          </w14:textFill>
        </w:rPr>
        <w:t>地点：盐城工业职业技术学院（盐城市解放南路285号）后勤服务中心四楼402开标室。</w:t>
      </w:r>
    </w:p>
    <w:p>
      <w:pPr>
        <w:pStyle w:val="34"/>
        <w:tabs>
          <w:tab w:val="left" w:pos="0"/>
          <w:tab w:val="left" w:pos="3165"/>
          <w:tab w:val="center" w:pos="4153"/>
        </w:tabs>
        <w:adjustRightInd w:val="0"/>
        <w:snapToGrid w:val="0"/>
        <w:spacing w:line="336" w:lineRule="auto"/>
        <w:ind w:firstLine="482" w:firstLineChars="200"/>
        <w:jc w:val="left"/>
        <w:rPr>
          <w:rStyle w:val="44"/>
          <w:rFonts w:ascii="宋体" w:hAnsi="宋体" w:eastAsia="宋体"/>
          <w:b/>
          <w:bCs/>
          <w:color w:val="000000" w:themeColor="text1"/>
          <w:sz w:val="24"/>
          <w:szCs w:val="24"/>
          <w14:textFill>
            <w14:solidFill>
              <w14:schemeClr w14:val="tx1"/>
            </w14:solidFill>
          </w14:textFill>
        </w:rPr>
      </w:pPr>
      <w:r>
        <w:rPr>
          <w:rStyle w:val="44"/>
          <w:rFonts w:hint="eastAsia" w:ascii="宋体" w:hAnsi="宋体" w:eastAsia="宋体"/>
          <w:b/>
          <w:bCs/>
          <w:color w:val="000000" w:themeColor="text1"/>
          <w:sz w:val="24"/>
          <w:szCs w:val="24"/>
          <w14:textFill>
            <w14:solidFill>
              <w14:schemeClr w14:val="tx1"/>
            </w14:solidFill>
          </w14:textFill>
        </w:rPr>
        <w:t>五、公告期限</w:t>
      </w:r>
    </w:p>
    <w:p>
      <w:pPr>
        <w:adjustRightInd w:val="0"/>
        <w:snapToGrid w:val="0"/>
        <w:spacing w:line="336" w:lineRule="auto"/>
        <w:ind w:firstLine="480" w:firstLineChars="200"/>
        <w:rPr>
          <w:rStyle w:val="44"/>
          <w:rFonts w:ascii="宋体" w:hAnsi="宋体"/>
          <w:color w:val="000000" w:themeColor="text1"/>
          <w:kern w:val="0"/>
          <w:sz w:val="24"/>
          <w:szCs w:val="24"/>
          <w14:textFill>
            <w14:solidFill>
              <w14:schemeClr w14:val="tx1"/>
            </w14:solidFill>
          </w14:textFill>
        </w:rPr>
      </w:pPr>
      <w:r>
        <w:rPr>
          <w:rStyle w:val="44"/>
          <w:rFonts w:hint="eastAsia" w:ascii="宋体" w:hAnsi="宋体"/>
          <w:color w:val="000000" w:themeColor="text1"/>
          <w:kern w:val="0"/>
          <w:sz w:val="24"/>
          <w:szCs w:val="24"/>
          <w14:textFill>
            <w14:solidFill>
              <w14:schemeClr w14:val="tx1"/>
            </w14:solidFill>
          </w14:textFill>
        </w:rPr>
        <w:t>自本公告发布之日起5个工作日。</w:t>
      </w:r>
    </w:p>
    <w:p>
      <w:pPr>
        <w:pStyle w:val="34"/>
        <w:numPr>
          <w:ilvl w:val="0"/>
          <w:numId w:val="4"/>
        </w:numPr>
        <w:tabs>
          <w:tab w:val="left" w:pos="0"/>
          <w:tab w:val="left" w:pos="3165"/>
          <w:tab w:val="center" w:pos="4153"/>
        </w:tabs>
        <w:adjustRightInd w:val="0"/>
        <w:snapToGrid w:val="0"/>
        <w:spacing w:line="336" w:lineRule="auto"/>
        <w:ind w:firstLine="482" w:firstLineChars="200"/>
        <w:jc w:val="left"/>
        <w:rPr>
          <w:rStyle w:val="44"/>
          <w:rFonts w:ascii="宋体" w:hAnsi="宋体" w:eastAsia="宋体"/>
          <w:b/>
          <w:bCs/>
          <w:color w:val="000000" w:themeColor="text1"/>
          <w:sz w:val="24"/>
          <w:szCs w:val="24"/>
          <w14:textFill>
            <w14:solidFill>
              <w14:schemeClr w14:val="tx1"/>
            </w14:solidFill>
          </w14:textFill>
        </w:rPr>
      </w:pPr>
      <w:r>
        <w:rPr>
          <w:rStyle w:val="44"/>
          <w:rFonts w:hint="eastAsia" w:ascii="宋体" w:hAnsi="宋体" w:eastAsia="宋体"/>
          <w:b/>
          <w:bCs/>
          <w:color w:val="000000" w:themeColor="text1"/>
          <w:sz w:val="24"/>
          <w:szCs w:val="24"/>
          <w14:textFill>
            <w14:solidFill>
              <w14:schemeClr w14:val="tx1"/>
            </w14:solidFill>
          </w14:textFill>
        </w:rPr>
        <w:t>其他补充事宜</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(一)因疫情防控需要，为确保校园安全，投标人须持有48小时内核酸检测阴性证明进入盐城工业职业技术学院校区，并应服从下列疫情防控措施：</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（1）投标前</w:t>
      </w:r>
      <w:r>
        <w:rPr>
          <w:rStyle w:val="44"/>
          <w:rFonts w:hint="eastAsia" w:ascii="宋体" w:hAnsi="宋体"/>
          <w:color w:val="000000" w:themeColor="text1"/>
          <w:sz w:val="24"/>
          <w:szCs w:val="24"/>
          <w:lang w:val="en-US" w:eastAsia="zh-CN"/>
          <w14:textFill>
            <w14:solidFill>
              <w14:schemeClr w14:val="tx1"/>
            </w14:solidFill>
          </w14:textFill>
        </w:rPr>
        <w:t>7</w:t>
      </w:r>
      <w:r>
        <w:rPr>
          <w:rStyle w:val="44"/>
          <w:rFonts w:hint="eastAsia" w:ascii="宋体" w:hAnsi="宋体"/>
          <w:color w:val="000000" w:themeColor="text1"/>
          <w:sz w:val="24"/>
          <w:szCs w:val="24"/>
          <w14:textFill>
            <w14:solidFill>
              <w14:schemeClr w14:val="tx1"/>
            </w14:solidFill>
          </w14:textFill>
        </w:rPr>
        <w:t>天内与确诊/疑似病例或无症状感染者有密切接触的人员，以及与密切接触者接触的次密切接触者，一律不得进校。</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（2）投标前</w:t>
      </w:r>
      <w:r>
        <w:rPr>
          <w:rStyle w:val="44"/>
          <w:rFonts w:hint="eastAsia" w:ascii="宋体" w:hAnsi="宋体"/>
          <w:color w:val="000000" w:themeColor="text1"/>
          <w:sz w:val="24"/>
          <w:szCs w:val="24"/>
          <w:lang w:val="en-US" w:eastAsia="zh-CN"/>
          <w14:textFill>
            <w14:solidFill>
              <w14:schemeClr w14:val="tx1"/>
            </w14:solidFill>
          </w14:textFill>
        </w:rPr>
        <w:t>7</w:t>
      </w:r>
      <w:r>
        <w:rPr>
          <w:rStyle w:val="44"/>
          <w:rFonts w:hint="eastAsia" w:ascii="宋体" w:hAnsi="宋体"/>
          <w:color w:val="000000" w:themeColor="text1"/>
          <w:sz w:val="24"/>
          <w:szCs w:val="24"/>
          <w14:textFill>
            <w14:solidFill>
              <w14:schemeClr w14:val="tx1"/>
            </w14:solidFill>
          </w14:textFill>
        </w:rPr>
        <w:t>天内接触过境外归国人员（未解除隔离的），按次密切接触者处置，一律不得进校。</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（3）投标前</w:t>
      </w:r>
      <w:r>
        <w:rPr>
          <w:rStyle w:val="44"/>
          <w:rFonts w:hint="eastAsia" w:ascii="宋体" w:hAnsi="宋体"/>
          <w:color w:val="000000" w:themeColor="text1"/>
          <w:sz w:val="24"/>
          <w:szCs w:val="24"/>
          <w:lang w:val="en-US" w:eastAsia="zh-CN"/>
          <w14:textFill>
            <w14:solidFill>
              <w14:schemeClr w14:val="tx1"/>
            </w14:solidFill>
          </w14:textFill>
        </w:rPr>
        <w:t>7</w:t>
      </w:r>
      <w:r>
        <w:rPr>
          <w:rStyle w:val="44"/>
          <w:rFonts w:hint="eastAsia" w:ascii="宋体" w:hAnsi="宋体"/>
          <w:color w:val="000000" w:themeColor="text1"/>
          <w:sz w:val="24"/>
          <w:szCs w:val="24"/>
          <w14:textFill>
            <w14:solidFill>
              <w14:schemeClr w14:val="tx1"/>
            </w14:solidFill>
          </w14:textFill>
        </w:rPr>
        <w:t>天内有疫情中高风险地区（以开标前一日权威发布的疫情风险等级区域划分为依据）旅居史的人员，一律不得进校。</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（4）投标前</w:t>
      </w:r>
      <w:r>
        <w:rPr>
          <w:rStyle w:val="44"/>
          <w:rFonts w:hint="eastAsia" w:ascii="宋体" w:hAnsi="宋体"/>
          <w:color w:val="000000" w:themeColor="text1"/>
          <w:sz w:val="24"/>
          <w:szCs w:val="24"/>
          <w:lang w:val="en-US" w:eastAsia="zh-CN"/>
          <w14:textFill>
            <w14:solidFill>
              <w14:schemeClr w14:val="tx1"/>
            </w14:solidFill>
          </w14:textFill>
        </w:rPr>
        <w:t>7</w:t>
      </w:r>
      <w:r>
        <w:rPr>
          <w:rStyle w:val="44"/>
          <w:rFonts w:hint="eastAsia" w:ascii="宋体" w:hAnsi="宋体"/>
          <w:color w:val="000000" w:themeColor="text1"/>
          <w:sz w:val="24"/>
          <w:szCs w:val="24"/>
          <w14:textFill>
            <w14:solidFill>
              <w14:schemeClr w14:val="tx1"/>
            </w14:solidFill>
          </w14:textFill>
        </w:rPr>
        <w:t>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（5）投标前</w:t>
      </w:r>
      <w:r>
        <w:rPr>
          <w:rStyle w:val="44"/>
          <w:rFonts w:hint="eastAsia" w:ascii="宋体" w:hAnsi="宋体"/>
          <w:color w:val="000000" w:themeColor="text1"/>
          <w:sz w:val="24"/>
          <w:szCs w:val="24"/>
          <w:lang w:val="en-US" w:eastAsia="zh-CN"/>
          <w14:textFill>
            <w14:solidFill>
              <w14:schemeClr w14:val="tx1"/>
            </w14:solidFill>
          </w14:textFill>
        </w:rPr>
        <w:t>7</w:t>
      </w:r>
      <w:r>
        <w:rPr>
          <w:rStyle w:val="44"/>
          <w:rFonts w:hint="eastAsia" w:ascii="宋体" w:hAnsi="宋体"/>
          <w:color w:val="000000" w:themeColor="text1"/>
          <w:sz w:val="24"/>
          <w:szCs w:val="24"/>
          <w14:textFill>
            <w14:solidFill>
              <w14:schemeClr w14:val="tx1"/>
            </w14:solidFill>
          </w14:textFill>
        </w:rPr>
        <w:t>天内出现发热或呼吸道症状的人员，经当地医院就诊治疗，排除新冠病毒感染并在身体康复后，须持有48小时内核酸检测阴性证明，或者能够出示包括48小时内核酸检测阴性证明的健康码。</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6）投标人进入校园前，须在学校东门外相关工作人员处进行信息实名登记，主动出示有效“健康码”（非绿色健康码拒绝进入校园）和“行程码”，并接受体温测量（如体温≥37.3度一律不得进校园），符合要求方可进入。</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（7）投标人从东门进出，车辆一律不得进入校园（如确因提供样品需要，经同意后可进校园，服从管理，在指定位置停放）。</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（8）各投标项目授权代表限1人进入校园，项目授权代表进入校园时须全程配戴口罩，做好手部消毒及投标文件等消毒防护工作。</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（10）投标人未如实报告个人信息，承担相应责任和法律后果，引发问题学校可取消其中标资格。</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请各投标人预留好相应时间，配合做好上述管控措施。</w:t>
      </w:r>
    </w:p>
    <w:p>
      <w:pPr>
        <w:snapToGrid w:val="0"/>
        <w:spacing w:line="360" w:lineRule="auto"/>
        <w:ind w:firstLine="482" w:firstLineChars="200"/>
        <w:jc w:val="left"/>
        <w:rPr>
          <w:rStyle w:val="44"/>
          <w:rFonts w:ascii="宋体" w:hAnsi="宋体"/>
          <w:b/>
          <w:bCs/>
          <w:color w:val="000000" w:themeColor="text1"/>
          <w:sz w:val="24"/>
          <w:szCs w:val="24"/>
          <w14:textFill>
            <w14:solidFill>
              <w14:schemeClr w14:val="tx1"/>
            </w14:solidFill>
          </w14:textFill>
        </w:rPr>
      </w:pPr>
      <w:r>
        <w:rPr>
          <w:rStyle w:val="44"/>
          <w:rFonts w:hint="eastAsia" w:ascii="宋体" w:hAnsi="宋体"/>
          <w:b/>
          <w:bCs/>
          <w:color w:val="000000" w:themeColor="text1"/>
          <w:sz w:val="24"/>
          <w:szCs w:val="24"/>
          <w14:textFill>
            <w14:solidFill>
              <w14:schemeClr w14:val="tx1"/>
            </w14:solidFill>
          </w14:textFill>
        </w:rPr>
        <w:t>投标文件制作份数要求：正本份数：1份，副本份数：4份。</w:t>
      </w:r>
    </w:p>
    <w:p>
      <w:pPr>
        <w:snapToGrid w:val="0"/>
        <w:spacing w:line="360" w:lineRule="auto"/>
        <w:ind w:firstLine="482" w:firstLineChars="200"/>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七、本项目投标保证金</w:t>
      </w:r>
    </w:p>
    <w:p>
      <w:pPr>
        <w:pStyle w:val="34"/>
        <w:tabs>
          <w:tab w:val="left" w:pos="0"/>
          <w:tab w:val="left" w:pos="3165"/>
          <w:tab w:val="center" w:pos="4153"/>
        </w:tabs>
        <w:snapToGrid w:val="0"/>
        <w:spacing w:line="360" w:lineRule="auto"/>
        <w:ind w:firstLine="480" w:firstLineChars="200"/>
        <w:jc w:val="left"/>
        <w:rPr>
          <w:color w:val="000000" w:themeColor="text1"/>
          <w14:textFill>
            <w14:solidFill>
              <w14:schemeClr w14:val="tx1"/>
            </w14:solidFill>
          </w14:textFill>
        </w:rPr>
      </w:pPr>
      <w:r>
        <w:rPr>
          <w:rStyle w:val="44"/>
          <w:rFonts w:hint="eastAsia" w:ascii="宋体" w:hAnsi="宋体" w:eastAsia="宋体"/>
          <w:color w:val="000000" w:themeColor="text1"/>
          <w:sz w:val="24"/>
          <w:szCs w:val="24"/>
          <w14:textFill>
            <w14:solidFill>
              <w14:schemeClr w14:val="tx1"/>
            </w14:solidFill>
          </w14:textFill>
        </w:rPr>
        <w:t>根据江苏省财政厅及盐财购〔2020〕11号文件关于取消政府采购投标保证金的规定，本采购项目投标人无需在投标截止时间之前交纳（提交）投标保证金。</w:t>
      </w:r>
    </w:p>
    <w:p>
      <w:pPr>
        <w:pStyle w:val="34"/>
        <w:tabs>
          <w:tab w:val="left" w:pos="0"/>
          <w:tab w:val="left" w:pos="3165"/>
          <w:tab w:val="center" w:pos="4153"/>
        </w:tabs>
        <w:adjustRightInd w:val="0"/>
        <w:snapToGrid w:val="0"/>
        <w:spacing w:line="336" w:lineRule="auto"/>
        <w:ind w:firstLine="482" w:firstLineChars="200"/>
        <w:jc w:val="left"/>
        <w:rPr>
          <w:rStyle w:val="44"/>
          <w:rFonts w:ascii="宋体" w:hAnsi="宋体" w:eastAsia="宋体"/>
          <w:b/>
          <w:bCs/>
          <w:color w:val="000000" w:themeColor="text1"/>
          <w:sz w:val="24"/>
          <w:szCs w:val="24"/>
          <w14:textFill>
            <w14:solidFill>
              <w14:schemeClr w14:val="tx1"/>
            </w14:solidFill>
          </w14:textFill>
        </w:rPr>
      </w:pPr>
      <w:r>
        <w:rPr>
          <w:rStyle w:val="44"/>
          <w:rFonts w:hint="eastAsia" w:ascii="宋体" w:hAnsi="宋体" w:eastAsia="宋体"/>
          <w:b/>
          <w:bCs/>
          <w:color w:val="000000" w:themeColor="text1"/>
          <w:sz w:val="24"/>
          <w:szCs w:val="24"/>
          <w14:textFill>
            <w14:solidFill>
              <w14:schemeClr w14:val="tx1"/>
            </w14:solidFill>
          </w14:textFill>
        </w:rPr>
        <w:t>八、对本次招标提出询问，请按以下方式联系。</w:t>
      </w:r>
    </w:p>
    <w:p>
      <w:pPr>
        <w:adjustRightInd w:val="0"/>
        <w:snapToGrid w:val="0"/>
        <w:spacing w:line="336"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1.采购人信息</w:t>
      </w:r>
    </w:p>
    <w:p>
      <w:pPr>
        <w:adjustRightInd w:val="0"/>
        <w:snapToGrid w:val="0"/>
        <w:spacing w:line="336"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名称：盐城工业职业技术学院</w:t>
      </w:r>
    </w:p>
    <w:p>
      <w:pPr>
        <w:adjustRightInd w:val="0"/>
        <w:snapToGrid w:val="0"/>
        <w:spacing w:line="336"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地址：盐城市解放南路285号</w:t>
      </w:r>
    </w:p>
    <w:p>
      <w:pPr>
        <w:adjustRightInd w:val="0"/>
        <w:snapToGrid w:val="0"/>
        <w:spacing w:line="336"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 xml:space="preserve">联系人：赵老师             </w:t>
      </w:r>
    </w:p>
    <w:p>
      <w:pPr>
        <w:adjustRightInd w:val="0"/>
        <w:snapToGrid w:val="0"/>
        <w:spacing w:line="336"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联系电话：0515-88588707</w:t>
      </w:r>
    </w:p>
    <w:p>
      <w:pPr>
        <w:widowControl w:val="0"/>
        <w:adjustRightInd w:val="0"/>
        <w:snapToGrid w:val="0"/>
        <w:spacing w:line="336"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2.采购代理机构信息</w:t>
      </w:r>
    </w:p>
    <w:p>
      <w:pPr>
        <w:adjustRightInd w:val="0"/>
        <w:snapToGrid w:val="0"/>
        <w:spacing w:line="336" w:lineRule="auto"/>
        <w:ind w:firstLine="480" w:firstLineChars="200"/>
        <w:rPr>
          <w:rStyle w:val="44"/>
          <w:rFonts w:ascii="宋体" w:hAnsi="宋体" w:cs="Times New Roman"/>
          <w:color w:val="000000" w:themeColor="text1"/>
          <w:sz w:val="24"/>
          <w:szCs w:val="24"/>
          <w14:textFill>
            <w14:solidFill>
              <w14:schemeClr w14:val="tx1"/>
            </w14:solidFill>
          </w14:textFill>
        </w:rPr>
      </w:pPr>
      <w:r>
        <w:rPr>
          <w:rStyle w:val="44"/>
          <w:rFonts w:hint="eastAsia" w:ascii="宋体" w:hAnsi="宋体" w:cs="Times New Roman"/>
          <w:color w:val="000000" w:themeColor="text1"/>
          <w:sz w:val="24"/>
          <w:szCs w:val="24"/>
          <w14:textFill>
            <w14:solidFill>
              <w14:schemeClr w14:val="tx1"/>
            </w14:solidFill>
          </w14:textFill>
        </w:rPr>
        <w:t>名称：江苏全盛工程造价事务所有限公司</w:t>
      </w:r>
    </w:p>
    <w:p>
      <w:pPr>
        <w:adjustRightInd w:val="0"/>
        <w:snapToGrid w:val="0"/>
        <w:spacing w:line="336" w:lineRule="auto"/>
        <w:ind w:firstLine="480" w:firstLineChars="200"/>
        <w:rPr>
          <w:rStyle w:val="44"/>
          <w:rFonts w:ascii="宋体" w:hAnsi="宋体" w:cs="Times New Roman"/>
          <w:color w:val="000000" w:themeColor="text1"/>
          <w:sz w:val="24"/>
          <w:szCs w:val="24"/>
          <w14:textFill>
            <w14:solidFill>
              <w14:schemeClr w14:val="tx1"/>
            </w14:solidFill>
          </w14:textFill>
        </w:rPr>
      </w:pPr>
      <w:r>
        <w:rPr>
          <w:rStyle w:val="44"/>
          <w:rFonts w:hint="eastAsia" w:ascii="宋体" w:hAnsi="宋体" w:cs="Times New Roman"/>
          <w:color w:val="000000" w:themeColor="text1"/>
          <w:sz w:val="24"/>
          <w:szCs w:val="24"/>
          <w14:textFill>
            <w14:solidFill>
              <w14:schemeClr w14:val="tx1"/>
            </w14:solidFill>
          </w14:textFill>
        </w:rPr>
        <w:t>地址：盐城市华邦国际东厦A区2203室</w:t>
      </w:r>
    </w:p>
    <w:p>
      <w:pPr>
        <w:widowControl w:val="0"/>
        <w:adjustRightInd w:val="0"/>
        <w:snapToGrid w:val="0"/>
        <w:spacing w:line="336"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联系人：</w:t>
      </w:r>
      <w:r>
        <w:rPr>
          <w:rFonts w:hint="eastAsia" w:asciiTheme="minorEastAsia" w:hAnsiTheme="minorEastAsia" w:eastAsiaTheme="minorEastAsia" w:cstheme="minorEastAsia"/>
          <w:color w:val="000000" w:themeColor="text1"/>
          <w:sz w:val="24"/>
          <w:szCs w:val="24"/>
          <w14:textFill>
            <w14:solidFill>
              <w14:schemeClr w14:val="tx1"/>
            </w14:solidFill>
          </w14:textFill>
        </w:rPr>
        <w:t>朱玲娜</w:t>
      </w:r>
    </w:p>
    <w:p>
      <w:pPr>
        <w:widowControl w:val="0"/>
        <w:adjustRightInd w:val="0"/>
        <w:snapToGrid w:val="0"/>
        <w:spacing w:line="336"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联系电话：18751450656</w:t>
      </w:r>
    </w:p>
    <w:p>
      <w:pPr>
        <w:widowControl w:val="0"/>
        <w:adjustRightInd w:val="0"/>
        <w:snapToGrid w:val="0"/>
        <w:spacing w:line="336"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3.项目联系方式</w:t>
      </w:r>
    </w:p>
    <w:p>
      <w:pPr>
        <w:widowControl w:val="0"/>
        <w:adjustRightInd w:val="0"/>
        <w:snapToGrid w:val="0"/>
        <w:spacing w:line="336"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项目联系人</w:t>
      </w:r>
      <w:r>
        <w:rPr>
          <w:rStyle w:val="44"/>
          <w:rFonts w:hint="eastAsia" w:ascii="宋体" w:hAnsi="宋体" w:cs="Times New Roman"/>
          <w:color w:val="000000" w:themeColor="text1"/>
          <w:sz w:val="24"/>
          <w:szCs w:val="24"/>
          <w14:textFill>
            <w14:solidFill>
              <w14:schemeClr w14:val="tx1"/>
            </w14:solidFill>
          </w14:textFill>
        </w:rPr>
        <w:t>：顾老师</w:t>
      </w:r>
    </w:p>
    <w:p>
      <w:pPr>
        <w:widowControl w:val="0"/>
        <w:adjustRightInd w:val="0"/>
        <w:snapToGrid w:val="0"/>
        <w:spacing w:line="336"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电话：</w:t>
      </w:r>
      <w:r>
        <w:rPr>
          <w:rStyle w:val="44"/>
          <w:rFonts w:hint="eastAsia" w:ascii="宋体" w:hAnsi="宋体" w:cs="Times New Roman"/>
          <w:color w:val="000000" w:themeColor="text1"/>
          <w:sz w:val="24"/>
          <w:szCs w:val="24"/>
          <w14:textFill>
            <w14:solidFill>
              <w14:schemeClr w14:val="tx1"/>
            </w14:solidFill>
          </w14:textFill>
        </w:rPr>
        <w:t>0515-88583922</w:t>
      </w:r>
    </w:p>
    <w:p>
      <w:pPr>
        <w:widowControl w:val="0"/>
        <w:adjustRightInd w:val="0"/>
        <w:snapToGrid w:val="0"/>
        <w:spacing w:line="336"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对项目需求部分的询问、质疑请向项目联系人提出，询问、质疑由项目联系人负责答复。</w:t>
      </w:r>
    </w:p>
    <w:bookmarkEnd w:id="98"/>
    <w:p>
      <w:pPr>
        <w:widowControl w:val="0"/>
        <w:adjustRightInd w:val="0"/>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p>
    <w:p>
      <w:pPr>
        <w:rPr>
          <w:color w:val="000000" w:themeColor="text1"/>
          <w14:textFill>
            <w14:solidFill>
              <w14:schemeClr w14:val="tx1"/>
            </w14:solidFill>
          </w14:textFill>
        </w:rPr>
      </w:pPr>
    </w:p>
    <w:p>
      <w:pPr>
        <w:rPr>
          <w:rStyle w:val="44"/>
          <w:rFonts w:ascii="宋体" w:hAnsi="宋体"/>
          <w:color w:val="000000" w:themeColor="text1"/>
          <w14:textFill>
            <w14:solidFill>
              <w14:schemeClr w14:val="tx1"/>
            </w14:solidFill>
          </w14:textFill>
        </w:rPr>
      </w:pPr>
      <w:bookmarkStart w:id="2" w:name="_Toc22918"/>
      <w:bookmarkStart w:id="3" w:name="_Toc29420"/>
      <w:r>
        <w:rPr>
          <w:rStyle w:val="44"/>
          <w:rFonts w:hint="eastAsia" w:ascii="宋体" w:hAnsi="宋体"/>
          <w:color w:val="000000" w:themeColor="text1"/>
          <w14:textFill>
            <w14:solidFill>
              <w14:schemeClr w14:val="tx1"/>
            </w14:solidFill>
          </w14:textFill>
        </w:rPr>
        <w:br w:type="page"/>
      </w:r>
    </w:p>
    <w:p>
      <w:pPr>
        <w:pStyle w:val="35"/>
        <w:spacing w:before="0" w:after="0" w:line="240" w:lineRule="auto"/>
        <w:outlineLvl w:val="0"/>
        <w:rPr>
          <w:rStyle w:val="44"/>
          <w:rFonts w:ascii="宋体" w:hAnsi="宋体" w:eastAsia="宋体" w:cs="宋体"/>
          <w:b w:val="0"/>
          <w:bCs w:val="0"/>
          <w:color w:val="000000" w:themeColor="text1"/>
          <w14:textFill>
            <w14:solidFill>
              <w14:schemeClr w14:val="tx1"/>
            </w14:solidFill>
          </w14:textFill>
        </w:rPr>
      </w:pPr>
      <w:r>
        <w:rPr>
          <w:rStyle w:val="44"/>
          <w:rFonts w:hint="eastAsia" w:ascii="宋体" w:hAnsi="宋体" w:eastAsia="宋体" w:cs="宋体"/>
          <w:color w:val="000000" w:themeColor="text1"/>
          <w14:textFill>
            <w14:solidFill>
              <w14:schemeClr w14:val="tx1"/>
            </w14:solidFill>
          </w14:textFill>
        </w:rPr>
        <w:t>第二章  投标人须知</w:t>
      </w:r>
      <w:bookmarkEnd w:id="2"/>
      <w:bookmarkEnd w:id="3"/>
    </w:p>
    <w:p>
      <w:pPr>
        <w:pStyle w:val="37"/>
        <w:snapToGrid w:val="0"/>
        <w:spacing w:before="0" w:after="0" w:line="360" w:lineRule="auto"/>
        <w:ind w:firstLine="482"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一、总则</w:t>
      </w:r>
    </w:p>
    <w:p>
      <w:pPr>
        <w:pStyle w:val="38"/>
        <w:snapToGrid w:val="0"/>
        <w:spacing w:before="0" w:after="0" w:line="360" w:lineRule="auto"/>
        <w:ind w:firstLine="480" w:firstLineChars="200"/>
        <w:rPr>
          <w:rStyle w:val="44"/>
          <w:rFonts w:ascii="宋体" w:hAnsi="宋体"/>
          <w:b w:val="0"/>
          <w:bCs/>
          <w:color w:val="000000" w:themeColor="text1"/>
          <w:sz w:val="24"/>
          <w:szCs w:val="24"/>
          <w14:textFill>
            <w14:solidFill>
              <w14:schemeClr w14:val="tx1"/>
            </w14:solidFill>
          </w14:textFill>
        </w:rPr>
      </w:pPr>
      <w:r>
        <w:rPr>
          <w:rStyle w:val="44"/>
          <w:rFonts w:hint="eastAsia" w:ascii="宋体" w:hAnsi="宋体"/>
          <w:b w:val="0"/>
          <w:bCs/>
          <w:color w:val="000000" w:themeColor="text1"/>
          <w:sz w:val="24"/>
          <w:szCs w:val="24"/>
          <w14:textFill>
            <w14:solidFill>
              <w14:schemeClr w14:val="tx1"/>
            </w14:solidFill>
          </w14:textFill>
        </w:rPr>
        <w:t>1、招标方式</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1.1 本次招标采取公开招标方式，本招标文件仅适用于招标公告中所述项目。</w:t>
      </w:r>
    </w:p>
    <w:p>
      <w:pPr>
        <w:pStyle w:val="38"/>
        <w:snapToGrid w:val="0"/>
        <w:spacing w:before="0" w:after="0" w:line="360" w:lineRule="auto"/>
        <w:ind w:firstLine="480" w:firstLineChars="200"/>
        <w:rPr>
          <w:rStyle w:val="44"/>
          <w:rFonts w:ascii="宋体" w:hAnsi="宋体"/>
          <w:b w:val="0"/>
          <w:bCs/>
          <w:color w:val="000000" w:themeColor="text1"/>
          <w:sz w:val="24"/>
          <w:szCs w:val="24"/>
          <w14:textFill>
            <w14:solidFill>
              <w14:schemeClr w14:val="tx1"/>
            </w14:solidFill>
          </w14:textFill>
        </w:rPr>
      </w:pPr>
      <w:r>
        <w:rPr>
          <w:rStyle w:val="44"/>
          <w:rFonts w:hint="eastAsia" w:ascii="宋体" w:hAnsi="宋体"/>
          <w:b w:val="0"/>
          <w:bCs/>
          <w:color w:val="000000" w:themeColor="text1"/>
          <w:sz w:val="24"/>
          <w:szCs w:val="24"/>
          <w14:textFill>
            <w14:solidFill>
              <w14:schemeClr w14:val="tx1"/>
            </w14:solidFill>
          </w14:textFill>
        </w:rPr>
        <w:t>2、合格的投标人</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2.1满足招标公告中供应商的资格要求的规定。</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2.2 满足本文件实质性条款的规定。</w:t>
      </w:r>
    </w:p>
    <w:p>
      <w:pPr>
        <w:pStyle w:val="38"/>
        <w:snapToGrid w:val="0"/>
        <w:spacing w:before="0" w:after="0" w:line="360" w:lineRule="auto"/>
        <w:ind w:firstLine="480" w:firstLineChars="200"/>
        <w:rPr>
          <w:rStyle w:val="44"/>
          <w:rFonts w:ascii="宋体" w:hAnsi="宋体"/>
          <w:b w:val="0"/>
          <w:bCs/>
          <w:color w:val="000000" w:themeColor="text1"/>
          <w:sz w:val="24"/>
          <w:szCs w:val="24"/>
          <w14:textFill>
            <w14:solidFill>
              <w14:schemeClr w14:val="tx1"/>
            </w14:solidFill>
          </w14:textFill>
        </w:rPr>
      </w:pPr>
      <w:r>
        <w:rPr>
          <w:rStyle w:val="44"/>
          <w:rFonts w:hint="eastAsia" w:ascii="宋体" w:hAnsi="宋体"/>
          <w:b w:val="0"/>
          <w:bCs/>
          <w:color w:val="000000" w:themeColor="text1"/>
          <w:sz w:val="24"/>
          <w:szCs w:val="24"/>
          <w14:textFill>
            <w14:solidFill>
              <w14:schemeClr w14:val="tx1"/>
            </w14:solidFill>
          </w14:textFill>
        </w:rPr>
        <w:t>3、适用法律</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3.1 本次招标及由此产生的合同受中华人民共和国有关的法律法规制约和保护。</w:t>
      </w:r>
    </w:p>
    <w:p>
      <w:pPr>
        <w:pStyle w:val="38"/>
        <w:snapToGrid w:val="0"/>
        <w:spacing w:before="0" w:after="0" w:line="360" w:lineRule="auto"/>
        <w:ind w:firstLine="480" w:firstLineChars="200"/>
        <w:rPr>
          <w:rStyle w:val="44"/>
          <w:rFonts w:ascii="宋体" w:hAnsi="宋体"/>
          <w:b w:val="0"/>
          <w:bCs/>
          <w:color w:val="000000" w:themeColor="text1"/>
          <w:sz w:val="24"/>
          <w:szCs w:val="24"/>
          <w14:textFill>
            <w14:solidFill>
              <w14:schemeClr w14:val="tx1"/>
            </w14:solidFill>
          </w14:textFill>
        </w:rPr>
      </w:pPr>
      <w:r>
        <w:rPr>
          <w:rStyle w:val="44"/>
          <w:rFonts w:hint="eastAsia" w:ascii="宋体" w:hAnsi="宋体"/>
          <w:b w:val="0"/>
          <w:bCs/>
          <w:color w:val="000000" w:themeColor="text1"/>
          <w:sz w:val="24"/>
          <w:szCs w:val="24"/>
          <w14:textFill>
            <w14:solidFill>
              <w14:schemeClr w14:val="tx1"/>
            </w14:solidFill>
          </w14:textFill>
        </w:rPr>
        <w:t>4、投标费用</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4.1</w:t>
      </w:r>
      <w:r>
        <w:rPr>
          <w:rStyle w:val="44"/>
          <w:rFonts w:hint="eastAsia" w:ascii="宋体" w:hAnsi="宋体"/>
          <w:color w:val="000000" w:themeColor="text1"/>
          <w:sz w:val="24"/>
          <w:szCs w:val="24"/>
          <w14:textFill>
            <w14:solidFill>
              <w14:schemeClr w14:val="tx1"/>
            </w14:solidFill>
          </w14:textFill>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4.2本项目每个中标人中标人与采购人签订合同前领取中标通知书时须向采购代理机构支付招标代理服务费，发改价格（2011）534号文规定的标准×40%计取，如低于3000元的直接按3000元计取。上述费用由各投标人在投标时自行综合考虑分摊含进投标报价中，且不得单列，采购人不再承担上述费用。</w:t>
      </w:r>
    </w:p>
    <w:p>
      <w:pPr>
        <w:pStyle w:val="38"/>
        <w:snapToGrid w:val="0"/>
        <w:spacing w:before="0" w:after="0" w:line="360" w:lineRule="auto"/>
        <w:ind w:firstLine="480" w:firstLineChars="200"/>
        <w:rPr>
          <w:rStyle w:val="44"/>
          <w:rFonts w:ascii="宋体" w:hAnsi="宋体"/>
          <w:b w:val="0"/>
          <w:bCs/>
          <w:color w:val="000000" w:themeColor="text1"/>
          <w:sz w:val="24"/>
          <w:szCs w:val="24"/>
          <w14:textFill>
            <w14:solidFill>
              <w14:schemeClr w14:val="tx1"/>
            </w14:solidFill>
          </w14:textFill>
        </w:rPr>
      </w:pPr>
      <w:r>
        <w:rPr>
          <w:rStyle w:val="44"/>
          <w:rFonts w:hint="eastAsia" w:ascii="宋体" w:hAnsi="宋体"/>
          <w:b w:val="0"/>
          <w:bCs/>
          <w:color w:val="000000" w:themeColor="text1"/>
          <w:sz w:val="24"/>
          <w:szCs w:val="24"/>
          <w14:textFill>
            <w14:solidFill>
              <w14:schemeClr w14:val="tx1"/>
            </w14:solidFill>
          </w14:textFill>
        </w:rPr>
        <w:t>5、招标文件的约束力</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5.1</w:t>
      </w:r>
      <w:r>
        <w:rPr>
          <w:rStyle w:val="44"/>
          <w:rFonts w:hint="eastAsia" w:ascii="宋体" w:hAnsi="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38"/>
        <w:snapToGrid w:val="0"/>
        <w:spacing w:before="0" w:after="0" w:line="360" w:lineRule="auto"/>
        <w:ind w:firstLine="480" w:firstLineChars="200"/>
        <w:rPr>
          <w:rStyle w:val="44"/>
          <w:rFonts w:ascii="宋体" w:hAnsi="宋体"/>
          <w:b w:val="0"/>
          <w:bCs/>
          <w:color w:val="000000" w:themeColor="text1"/>
          <w:sz w:val="24"/>
          <w:szCs w:val="24"/>
          <w14:textFill>
            <w14:solidFill>
              <w14:schemeClr w14:val="tx1"/>
            </w14:solidFill>
          </w14:textFill>
        </w:rPr>
      </w:pPr>
      <w:r>
        <w:rPr>
          <w:rStyle w:val="44"/>
          <w:rFonts w:hint="eastAsia" w:ascii="宋体" w:hAnsi="宋体"/>
          <w:b w:val="0"/>
          <w:bCs/>
          <w:color w:val="000000" w:themeColor="text1"/>
          <w:sz w:val="24"/>
          <w:szCs w:val="24"/>
          <w14:textFill>
            <w14:solidFill>
              <w14:schemeClr w14:val="tx1"/>
            </w14:solidFill>
          </w14:textFill>
        </w:rPr>
        <w:t>6、招标文件的解释</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6.1 本招标文件由采购人或采购代理机构负责解释。</w:t>
      </w:r>
    </w:p>
    <w:p>
      <w:pPr>
        <w:pStyle w:val="37"/>
        <w:snapToGrid w:val="0"/>
        <w:spacing w:before="0" w:after="0" w:line="360" w:lineRule="auto"/>
        <w:ind w:firstLine="482"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二、招标文件</w:t>
      </w:r>
    </w:p>
    <w:p>
      <w:pPr>
        <w:pStyle w:val="38"/>
        <w:snapToGrid w:val="0"/>
        <w:spacing w:before="0" w:after="0" w:line="360" w:lineRule="auto"/>
        <w:ind w:firstLine="480" w:firstLineChars="200"/>
        <w:rPr>
          <w:rStyle w:val="44"/>
          <w:rFonts w:ascii="宋体" w:hAnsi="宋体"/>
          <w:b w:val="0"/>
          <w:bCs/>
          <w:color w:val="000000" w:themeColor="text1"/>
          <w:sz w:val="24"/>
          <w:szCs w:val="24"/>
          <w14:textFill>
            <w14:solidFill>
              <w14:schemeClr w14:val="tx1"/>
            </w14:solidFill>
          </w14:textFill>
        </w:rPr>
      </w:pPr>
      <w:r>
        <w:rPr>
          <w:rStyle w:val="44"/>
          <w:rFonts w:hint="eastAsia" w:ascii="宋体" w:hAnsi="宋体"/>
          <w:b w:val="0"/>
          <w:bCs/>
          <w:color w:val="000000" w:themeColor="text1"/>
          <w:sz w:val="24"/>
          <w:szCs w:val="24"/>
          <w14:textFill>
            <w14:solidFill>
              <w14:schemeClr w14:val="tx1"/>
            </w14:solidFill>
          </w14:textFill>
        </w:rPr>
        <w:t>7、招标文件构成</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7.1</w:t>
      </w:r>
      <w:r>
        <w:rPr>
          <w:rStyle w:val="44"/>
          <w:rFonts w:hint="eastAsia" w:ascii="宋体" w:hAnsi="宋体"/>
          <w:color w:val="000000" w:themeColor="text1"/>
          <w:sz w:val="24"/>
          <w:szCs w:val="24"/>
          <w14:textFill>
            <w14:solidFill>
              <w14:schemeClr w14:val="tx1"/>
            </w14:solidFill>
          </w14:textFill>
        </w:rPr>
        <w:t xml:space="preserve"> 招标文件有以下部分组成：</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（1）招标公告</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（2）投标人须知</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（3）合同条款及格式</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（4）项目需求</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（5）评标方法与评标标准</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（6）投标文件格式</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请仔细检查招标文件是否齐全，如有缺漏请立即与采购人或采购代理机构联系解决。</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7.2</w:t>
      </w:r>
      <w:r>
        <w:rPr>
          <w:rStyle w:val="44"/>
          <w:rFonts w:hint="eastAsia" w:ascii="宋体" w:hAnsi="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8"/>
        <w:snapToGrid w:val="0"/>
        <w:spacing w:before="0" w:after="0" w:line="360" w:lineRule="auto"/>
        <w:ind w:firstLine="480" w:firstLineChars="200"/>
        <w:rPr>
          <w:rStyle w:val="44"/>
          <w:rFonts w:ascii="宋体" w:hAnsi="宋体"/>
          <w:b w:val="0"/>
          <w:bCs/>
          <w:color w:val="000000" w:themeColor="text1"/>
          <w:sz w:val="24"/>
          <w:szCs w:val="24"/>
          <w14:textFill>
            <w14:solidFill>
              <w14:schemeClr w14:val="tx1"/>
            </w14:solidFill>
          </w14:textFill>
        </w:rPr>
      </w:pPr>
      <w:r>
        <w:rPr>
          <w:rStyle w:val="44"/>
          <w:rFonts w:hint="eastAsia" w:ascii="宋体" w:hAnsi="宋体"/>
          <w:b w:val="0"/>
          <w:bCs/>
          <w:color w:val="000000" w:themeColor="text1"/>
          <w:sz w:val="24"/>
          <w:szCs w:val="24"/>
          <w14:textFill>
            <w14:solidFill>
              <w14:schemeClr w14:val="tx1"/>
            </w14:solidFill>
          </w14:textFill>
        </w:rPr>
        <w:t>8、招标文件的询问</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8.1</w:t>
      </w:r>
      <w:r>
        <w:rPr>
          <w:rStyle w:val="44"/>
          <w:rFonts w:hint="eastAsia" w:ascii="宋体" w:hAnsi="宋体"/>
          <w:color w:val="000000" w:themeColor="text1"/>
          <w:sz w:val="24"/>
          <w:szCs w:val="24"/>
          <w14:textFill>
            <w14:solidFill>
              <w14:schemeClr w14:val="tx1"/>
            </w14:solidFill>
          </w14:textFill>
        </w:rPr>
        <w:t xml:space="preserve"> 任何要求对招标文件进行询问的投标人，应在投标截止日期</w:t>
      </w:r>
      <w:r>
        <w:rPr>
          <w:rStyle w:val="44"/>
          <w:rFonts w:hint="eastAsia" w:ascii="宋体" w:hAnsi="宋体"/>
          <w:b/>
          <w:color w:val="000000" w:themeColor="text1"/>
          <w:sz w:val="24"/>
          <w:szCs w:val="24"/>
          <w14:textFill>
            <w14:solidFill>
              <w14:schemeClr w14:val="tx1"/>
            </w14:solidFill>
          </w14:textFill>
        </w:rPr>
        <w:t>十日</w:t>
      </w:r>
      <w:r>
        <w:rPr>
          <w:rStyle w:val="44"/>
          <w:rFonts w:hint="eastAsia" w:ascii="宋体" w:hAnsi="宋体"/>
          <w:color w:val="000000" w:themeColor="text1"/>
          <w:sz w:val="24"/>
          <w:szCs w:val="24"/>
          <w14:textFill>
            <w14:solidFill>
              <w14:schemeClr w14:val="tx1"/>
            </w14:solidFill>
          </w14:textFill>
        </w:rPr>
        <w:t>前按招标公告中的通讯地址，向采购人或采购代理机构提出。</w:t>
      </w:r>
    </w:p>
    <w:p>
      <w:pPr>
        <w:pStyle w:val="38"/>
        <w:snapToGrid w:val="0"/>
        <w:spacing w:before="0" w:after="0" w:line="360" w:lineRule="auto"/>
        <w:ind w:firstLine="480" w:firstLineChars="200"/>
        <w:rPr>
          <w:rStyle w:val="44"/>
          <w:rFonts w:ascii="宋体" w:hAnsi="宋体"/>
          <w:b w:val="0"/>
          <w:bCs/>
          <w:color w:val="000000" w:themeColor="text1"/>
          <w:sz w:val="24"/>
          <w:szCs w:val="24"/>
          <w14:textFill>
            <w14:solidFill>
              <w14:schemeClr w14:val="tx1"/>
            </w14:solidFill>
          </w14:textFill>
        </w:rPr>
      </w:pPr>
      <w:r>
        <w:rPr>
          <w:rStyle w:val="44"/>
          <w:rFonts w:hint="eastAsia" w:ascii="宋体" w:hAnsi="宋体"/>
          <w:b w:val="0"/>
          <w:bCs/>
          <w:color w:val="000000" w:themeColor="text1"/>
          <w:sz w:val="24"/>
          <w:szCs w:val="24"/>
          <w14:textFill>
            <w14:solidFill>
              <w14:schemeClr w14:val="tx1"/>
            </w14:solidFill>
          </w14:textFill>
        </w:rPr>
        <w:t>9、招标文件的修改</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9.1</w:t>
      </w:r>
      <w:r>
        <w:rPr>
          <w:rStyle w:val="44"/>
          <w:rFonts w:hint="eastAsia" w:ascii="宋体" w:hAnsi="宋体"/>
          <w:color w:val="000000" w:themeColor="text1"/>
          <w:sz w:val="24"/>
          <w:szCs w:val="24"/>
          <w14:textFill>
            <w14:solidFill>
              <w14:schemeClr w14:val="tx1"/>
            </w14:solidFill>
          </w14:textFill>
        </w:rPr>
        <w:t xml:space="preserve"> 在投标截止时间前，采购人或采购代理机构可以对招标文件进行修改。</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9.2</w:t>
      </w:r>
      <w:r>
        <w:rPr>
          <w:rStyle w:val="44"/>
          <w:rFonts w:hint="eastAsia" w:ascii="宋体" w:hAnsi="宋体"/>
          <w:color w:val="000000" w:themeColor="text1"/>
          <w:sz w:val="24"/>
          <w:szCs w:val="24"/>
          <w14:textFill>
            <w14:solidFill>
              <w14:schemeClr w14:val="tx1"/>
            </w14:solidFill>
          </w14:textFill>
        </w:rPr>
        <w:t>采购人或采购代理机构有权依法推迟投标截止日期和开标日期。</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9.3</w:t>
      </w:r>
      <w:r>
        <w:rPr>
          <w:rStyle w:val="44"/>
          <w:rFonts w:hint="eastAsia" w:ascii="宋体" w:hAnsi="宋体"/>
          <w:color w:val="000000" w:themeColor="text1"/>
          <w:sz w:val="24"/>
          <w:szCs w:val="24"/>
          <w14:textFill>
            <w14:solidFill>
              <w14:schemeClr w14:val="tx1"/>
            </w14:solidFill>
          </w14:textFill>
        </w:rPr>
        <w:t>招标文件的修改将在</w:t>
      </w:r>
      <w:r>
        <w:rPr>
          <w:rStyle w:val="44"/>
          <w:rFonts w:hint="eastAsia" w:ascii="宋体" w:hAnsi="宋体"/>
          <w:bCs/>
          <w:color w:val="000000" w:themeColor="text1"/>
          <w:sz w:val="24"/>
          <w:szCs w:val="24"/>
          <w14:textFill>
            <w14:solidFill>
              <w14:schemeClr w14:val="tx1"/>
            </w14:solidFill>
          </w14:textFill>
        </w:rPr>
        <w:t>江苏省政府采购网或盐城市政府采购网或盐城工业职业技术学院招标采购网</w:t>
      </w:r>
      <w:r>
        <w:rPr>
          <w:rStyle w:val="44"/>
          <w:rFonts w:hint="eastAsia" w:ascii="宋体" w:hAnsi="宋体"/>
          <w:color w:val="000000" w:themeColor="text1"/>
          <w:sz w:val="24"/>
          <w:szCs w:val="24"/>
          <w14:textFill>
            <w14:solidFill>
              <w14:schemeClr w14:val="tx1"/>
            </w14:solidFill>
          </w14:textFill>
        </w:rPr>
        <w:t>公布，补充文件将作为招标文件的组成部分，并对投标人具有约束力。</w:t>
      </w:r>
    </w:p>
    <w:p>
      <w:pPr>
        <w:pStyle w:val="37"/>
        <w:snapToGrid w:val="0"/>
        <w:spacing w:before="0" w:after="0" w:line="360" w:lineRule="auto"/>
        <w:ind w:firstLine="482"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三、投标文件的编制</w:t>
      </w:r>
    </w:p>
    <w:p>
      <w:pPr>
        <w:pStyle w:val="38"/>
        <w:snapToGrid w:val="0"/>
        <w:spacing w:before="0" w:after="0"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 w:val="0"/>
          <w:bCs/>
          <w:color w:val="000000" w:themeColor="text1"/>
          <w:sz w:val="24"/>
          <w:szCs w:val="24"/>
          <w14:textFill>
            <w14:solidFill>
              <w14:schemeClr w14:val="tx1"/>
            </w14:solidFill>
          </w14:textFill>
        </w:rPr>
        <w:t>10、投标文件的语言及度量衡单位</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10.1</w:t>
      </w:r>
      <w:r>
        <w:rPr>
          <w:rStyle w:val="44"/>
          <w:rFonts w:hint="eastAsia" w:ascii="宋体" w:hAnsi="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Style w:val="44"/>
          <w:rFonts w:hint="eastAsia" w:ascii="宋体" w:hAnsi="宋体"/>
          <w:b/>
          <w:bCs/>
          <w:color w:val="000000" w:themeColor="text1"/>
          <w:sz w:val="24"/>
          <w:szCs w:val="24"/>
          <w14:textFill>
            <w14:solidFill>
              <w14:schemeClr w14:val="tx1"/>
            </w14:solidFill>
          </w14:textFill>
        </w:rPr>
        <w:t>简体中文</w:t>
      </w:r>
      <w:r>
        <w:rPr>
          <w:rStyle w:val="44"/>
          <w:rFonts w:hint="eastAsia" w:ascii="宋体" w:hAnsi="宋体"/>
          <w:color w:val="000000" w:themeColor="text1"/>
          <w:sz w:val="24"/>
          <w:szCs w:val="24"/>
          <w14:textFill>
            <w14:solidFill>
              <w14:schemeClr w14:val="tx1"/>
            </w14:solidFill>
          </w14:textFill>
        </w:rPr>
        <w:t>。</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10.2</w:t>
      </w:r>
      <w:r>
        <w:rPr>
          <w:rStyle w:val="44"/>
          <w:rFonts w:hint="eastAsia" w:ascii="宋体" w:hAnsi="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pPr>
        <w:pStyle w:val="38"/>
        <w:snapToGrid w:val="0"/>
        <w:spacing w:before="0" w:after="0" w:line="360" w:lineRule="auto"/>
        <w:ind w:firstLine="480" w:firstLineChars="200"/>
        <w:rPr>
          <w:rStyle w:val="44"/>
          <w:rFonts w:ascii="宋体" w:hAnsi="宋体"/>
          <w:b w:val="0"/>
          <w:bCs/>
          <w:color w:val="000000" w:themeColor="text1"/>
          <w:sz w:val="24"/>
          <w:szCs w:val="24"/>
          <w14:textFill>
            <w14:solidFill>
              <w14:schemeClr w14:val="tx1"/>
            </w14:solidFill>
          </w14:textFill>
        </w:rPr>
      </w:pPr>
      <w:r>
        <w:rPr>
          <w:rStyle w:val="44"/>
          <w:rFonts w:hint="eastAsia" w:ascii="宋体" w:hAnsi="宋体"/>
          <w:b w:val="0"/>
          <w:bCs/>
          <w:color w:val="000000" w:themeColor="text1"/>
          <w:sz w:val="24"/>
          <w:szCs w:val="24"/>
          <w14:textFill>
            <w14:solidFill>
              <w14:schemeClr w14:val="tx1"/>
            </w14:solidFill>
          </w14:textFill>
        </w:rPr>
        <w:t>11、投标文件构成</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11.1</w:t>
      </w:r>
      <w:r>
        <w:rPr>
          <w:rStyle w:val="44"/>
          <w:rFonts w:hint="eastAsia" w:ascii="宋体" w:hAnsi="宋体"/>
          <w:color w:val="000000" w:themeColor="text1"/>
          <w:sz w:val="24"/>
          <w:szCs w:val="24"/>
          <w14:textFill>
            <w14:solidFill>
              <w14:schemeClr w14:val="tx1"/>
            </w14:solidFill>
          </w14:textFill>
        </w:rPr>
        <w:t xml:space="preserve"> 投标人编写的投标文件应包括资信证明文件、投标函、开标一览表等部分；</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11.2投标人应将投标文件按顺序装订成册，并编制投标文件资料目录。</w:t>
      </w:r>
    </w:p>
    <w:p>
      <w:pPr>
        <w:pStyle w:val="38"/>
        <w:snapToGrid w:val="0"/>
        <w:spacing w:before="0" w:after="0" w:line="360" w:lineRule="auto"/>
        <w:ind w:firstLine="480" w:firstLineChars="200"/>
        <w:rPr>
          <w:rStyle w:val="44"/>
          <w:rFonts w:ascii="宋体" w:hAnsi="宋体"/>
          <w:b w:val="0"/>
          <w:bCs/>
          <w:color w:val="000000" w:themeColor="text1"/>
          <w:sz w:val="24"/>
          <w:szCs w:val="24"/>
          <w14:textFill>
            <w14:solidFill>
              <w14:schemeClr w14:val="tx1"/>
            </w14:solidFill>
          </w14:textFill>
        </w:rPr>
      </w:pPr>
      <w:r>
        <w:rPr>
          <w:rStyle w:val="44"/>
          <w:rFonts w:hint="eastAsia" w:ascii="宋体" w:hAnsi="宋体"/>
          <w:b w:val="0"/>
          <w:bCs/>
          <w:color w:val="000000" w:themeColor="text1"/>
          <w:sz w:val="24"/>
          <w:szCs w:val="24"/>
          <w14:textFill>
            <w14:solidFill>
              <w14:schemeClr w14:val="tx1"/>
            </w14:solidFill>
          </w14:textFill>
        </w:rPr>
        <w:t>12、证明投标人资格及符合招标文件规定的文件</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12.1投标人应按要求提交资格证明文件及符合招标文件规定的文件。</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12.2投标人应提交证明其有资格参加投标和中标后有能力独立履行合同的文件。</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12.4投标人应提交根据合同要求提供的证明货物以及服务质量合格以及符合招标文件规定的证明文件。</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12.5证明投标人所提供货物及服务与招标文件的要求相一致的文件可以是手册、图纸、文字资料和数据</w:t>
      </w:r>
      <w:r>
        <w:rPr>
          <w:rStyle w:val="44"/>
          <w:rFonts w:hint="eastAsia" w:ascii="宋体" w:hAnsi="宋体"/>
          <w:bCs/>
          <w:color w:val="000000" w:themeColor="text1"/>
          <w:sz w:val="24"/>
          <w:szCs w:val="24"/>
          <w14:textFill>
            <w14:solidFill>
              <w14:schemeClr w14:val="tx1"/>
            </w14:solidFill>
          </w14:textFill>
        </w:rPr>
        <w:t>。</w:t>
      </w:r>
    </w:p>
    <w:p>
      <w:pPr>
        <w:pStyle w:val="38"/>
        <w:snapToGrid w:val="0"/>
        <w:spacing w:before="0" w:after="0" w:line="360" w:lineRule="auto"/>
        <w:ind w:firstLine="480" w:firstLineChars="200"/>
        <w:rPr>
          <w:rStyle w:val="44"/>
          <w:rFonts w:ascii="宋体" w:hAnsi="宋体"/>
          <w:b w:val="0"/>
          <w:bCs/>
          <w:color w:val="000000" w:themeColor="text1"/>
          <w:sz w:val="24"/>
          <w:szCs w:val="24"/>
          <w14:textFill>
            <w14:solidFill>
              <w14:schemeClr w14:val="tx1"/>
            </w14:solidFill>
          </w14:textFill>
        </w:rPr>
      </w:pPr>
      <w:r>
        <w:rPr>
          <w:rStyle w:val="44"/>
          <w:rFonts w:hint="eastAsia" w:ascii="宋体" w:hAnsi="宋体"/>
          <w:b w:val="0"/>
          <w:bCs/>
          <w:color w:val="000000" w:themeColor="text1"/>
          <w:sz w:val="24"/>
          <w:szCs w:val="24"/>
          <w14:textFill>
            <w14:solidFill>
              <w14:schemeClr w14:val="tx1"/>
            </w14:solidFill>
          </w14:textFill>
        </w:rPr>
        <w:t>13、供货一览表和投标配置与分项报价表</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13.1</w:t>
      </w:r>
      <w:r>
        <w:rPr>
          <w:rStyle w:val="44"/>
          <w:rFonts w:hint="eastAsia" w:ascii="宋体" w:hAnsi="宋体"/>
          <w:color w:val="000000" w:themeColor="text1"/>
          <w:sz w:val="24"/>
          <w:szCs w:val="24"/>
          <w14:textFill>
            <w14:solidFill>
              <w14:schemeClr w14:val="tx1"/>
            </w14:solidFill>
          </w14:textFill>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13.2</w:t>
      </w:r>
      <w:r>
        <w:rPr>
          <w:rStyle w:val="44"/>
          <w:rFonts w:hint="eastAsia" w:ascii="宋体" w:hAnsi="宋体"/>
          <w:color w:val="000000" w:themeColor="text1"/>
          <w:sz w:val="24"/>
          <w:szCs w:val="24"/>
          <w14:textFill>
            <w14:solidFill>
              <w14:schemeClr w14:val="tx1"/>
            </w14:solidFill>
          </w14:textFill>
        </w:rPr>
        <w:t xml:space="preserve"> 标的物</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采购人需求的货物供应、安装，调试及有关技术服务等</w:t>
      </w:r>
      <w:r>
        <w:rPr>
          <w:rStyle w:val="44"/>
          <w:rFonts w:hint="eastAsia" w:ascii="宋体" w:hAnsi="宋体"/>
          <w:color w:val="000000" w:themeColor="text1"/>
          <w:sz w:val="24"/>
          <w:szCs w:val="24"/>
          <w14:textFill>
            <w14:solidFill>
              <w14:schemeClr w14:val="tx1"/>
            </w14:solidFill>
          </w14:textFill>
        </w:rPr>
        <w:t>。</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13.3有关费用处理</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13.4</w:t>
      </w:r>
      <w:r>
        <w:rPr>
          <w:rStyle w:val="44"/>
          <w:rFonts w:hint="eastAsia" w:ascii="宋体" w:hAnsi="宋体"/>
          <w:bCs/>
          <w:color w:val="000000" w:themeColor="text1"/>
          <w:sz w:val="24"/>
          <w:szCs w:val="24"/>
          <w14:textFill>
            <w14:solidFill>
              <w14:schemeClr w14:val="tx1"/>
            </w14:solidFill>
          </w14:textFill>
        </w:rPr>
        <w:t>其它费用处理</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招标文件未列明，而投标人认为必需的费用也需列入报价。</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13.5</w:t>
      </w:r>
      <w:r>
        <w:rPr>
          <w:rStyle w:val="44"/>
          <w:rFonts w:hint="eastAsia" w:ascii="宋体" w:hAnsi="宋体"/>
          <w:bCs/>
          <w:color w:val="000000" w:themeColor="text1"/>
          <w:sz w:val="24"/>
          <w:szCs w:val="24"/>
          <w14:textFill>
            <w14:solidFill>
              <w14:schemeClr w14:val="tx1"/>
            </w14:solidFill>
          </w14:textFill>
        </w:rPr>
        <w:t>投标货币</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投标文件中的货物</w:t>
      </w:r>
      <w:r>
        <w:rPr>
          <w:rStyle w:val="44"/>
          <w:rFonts w:hint="eastAsia" w:ascii="宋体" w:hAnsi="宋体"/>
          <w:color w:val="000000" w:themeColor="text1"/>
          <w:sz w:val="24"/>
          <w:szCs w:val="24"/>
          <w14:textFill>
            <w14:solidFill>
              <w14:schemeClr w14:val="tx1"/>
            </w14:solidFill>
          </w14:textFill>
        </w:rPr>
        <w:t>及服务</w:t>
      </w:r>
      <w:r>
        <w:rPr>
          <w:rStyle w:val="44"/>
          <w:rFonts w:hint="eastAsia" w:ascii="宋体" w:hAnsi="宋体"/>
          <w:bCs/>
          <w:color w:val="000000" w:themeColor="text1"/>
          <w:sz w:val="24"/>
          <w:szCs w:val="24"/>
          <w14:textFill>
            <w14:solidFill>
              <w14:schemeClr w14:val="tx1"/>
            </w14:solidFill>
          </w14:textFill>
        </w:rPr>
        <w:t>单价和总价无特殊规定的采用人民币报价，以元为单位标注。</w:t>
      </w:r>
      <w:r>
        <w:rPr>
          <w:rStyle w:val="44"/>
          <w:rFonts w:hint="eastAsia" w:ascii="宋体" w:hAnsi="宋体"/>
          <w:color w:val="000000" w:themeColor="text1"/>
          <w:sz w:val="24"/>
          <w:szCs w:val="24"/>
          <w14:textFill>
            <w14:solidFill>
              <w14:schemeClr w14:val="tx1"/>
            </w14:solidFill>
          </w14:textFill>
        </w:rPr>
        <w:t>招标文件中另有规定的按规定执行。</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13.6</w:t>
      </w:r>
      <w:r>
        <w:rPr>
          <w:rStyle w:val="44"/>
          <w:rFonts w:hint="eastAsia" w:ascii="宋体" w:hAnsi="宋体"/>
          <w:bCs/>
          <w:color w:val="000000" w:themeColor="text1"/>
          <w:sz w:val="24"/>
          <w:szCs w:val="24"/>
          <w14:textFill>
            <w14:solidFill>
              <w14:schemeClr w14:val="tx1"/>
            </w14:solidFill>
          </w14:textFill>
        </w:rPr>
        <w:t xml:space="preserve"> 投标配置与分项报价表上的价格应按下列方式分开填写</w:t>
      </w:r>
      <w:r>
        <w:rPr>
          <w:rStyle w:val="44"/>
          <w:rFonts w:hint="eastAsia" w:ascii="宋体" w:hAnsi="宋体"/>
          <w:color w:val="000000" w:themeColor="text1"/>
          <w:sz w:val="24"/>
          <w:szCs w:val="24"/>
          <w14:textFill>
            <w14:solidFill>
              <w14:schemeClr w14:val="tx1"/>
            </w14:solidFill>
          </w14:textFill>
        </w:rPr>
        <w:t>：</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 xml:space="preserve">13.6.1 </w:t>
      </w:r>
      <w:r>
        <w:rPr>
          <w:rStyle w:val="44"/>
          <w:rFonts w:hint="eastAsia" w:ascii="宋体" w:hAnsi="宋体"/>
          <w:color w:val="000000" w:themeColor="text1"/>
          <w:sz w:val="24"/>
          <w:szCs w:val="24"/>
          <w14:textFill>
            <w14:solidFill>
              <w14:schemeClr w14:val="tx1"/>
            </w14:solidFill>
          </w14:textFill>
        </w:rPr>
        <w:t>项目总价：包括</w:t>
      </w:r>
      <w:r>
        <w:rPr>
          <w:rStyle w:val="44"/>
          <w:rFonts w:hint="eastAsia" w:ascii="宋体" w:hAnsi="宋体"/>
          <w:bCs/>
          <w:color w:val="000000" w:themeColor="text1"/>
          <w:sz w:val="24"/>
          <w:szCs w:val="24"/>
          <w14:textFill>
            <w14:solidFill>
              <w14:schemeClr w14:val="tx1"/>
            </w14:solidFill>
          </w14:textFill>
        </w:rPr>
        <w:t>买方需求的货物价格</w:t>
      </w:r>
      <w:r>
        <w:rPr>
          <w:rStyle w:val="44"/>
          <w:rFonts w:hint="eastAsia" w:ascii="宋体" w:hAnsi="宋体"/>
          <w:color w:val="000000" w:themeColor="text1"/>
          <w:sz w:val="24"/>
          <w:szCs w:val="24"/>
          <w14:textFill>
            <w14:solidFill>
              <w14:schemeClr w14:val="tx1"/>
            </w14:solidFill>
          </w14:textFill>
        </w:rPr>
        <w:t>、</w:t>
      </w:r>
      <w:r>
        <w:rPr>
          <w:rStyle w:val="44"/>
          <w:rFonts w:hint="eastAsia" w:ascii="宋体" w:hAnsi="宋体"/>
          <w:bCs/>
          <w:color w:val="000000" w:themeColor="text1"/>
          <w:sz w:val="24"/>
          <w:szCs w:val="24"/>
          <w14:textFill>
            <w14:solidFill>
              <w14:schemeClr w14:val="tx1"/>
            </w14:solidFill>
          </w14:textFill>
        </w:rPr>
        <w:t>质量保证费用、培训费用及售后服务费用，项目在指定地点、环境交付、安装、调试、验收所需费用和所有</w:t>
      </w:r>
      <w:r>
        <w:rPr>
          <w:rStyle w:val="44"/>
          <w:rFonts w:hint="eastAsia" w:ascii="宋体" w:hAnsi="宋体"/>
          <w:color w:val="000000" w:themeColor="text1"/>
          <w:sz w:val="24"/>
          <w:szCs w:val="24"/>
          <w14:textFill>
            <w14:solidFill>
              <w14:schemeClr w14:val="tx1"/>
            </w14:solidFill>
          </w14:textFill>
        </w:rPr>
        <w:t>相关税金费用</w:t>
      </w:r>
      <w:r>
        <w:rPr>
          <w:rStyle w:val="44"/>
          <w:rFonts w:hint="eastAsia" w:ascii="宋体" w:hAnsi="宋体"/>
          <w:bCs/>
          <w:color w:val="000000" w:themeColor="text1"/>
          <w:sz w:val="24"/>
          <w:szCs w:val="24"/>
          <w14:textFill>
            <w14:solidFill>
              <w14:schemeClr w14:val="tx1"/>
            </w14:solidFill>
          </w14:textFill>
        </w:rPr>
        <w:t>及为完成整个项目所产生的其它所有费用。</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13.6.2</w:t>
      </w:r>
      <w:r>
        <w:rPr>
          <w:rStyle w:val="44"/>
          <w:rFonts w:hint="eastAsia" w:ascii="宋体" w:hAnsi="宋体"/>
          <w:bCs/>
          <w:color w:val="000000" w:themeColor="text1"/>
          <w:sz w:val="24"/>
          <w:szCs w:val="24"/>
          <w14:textFill>
            <w14:solidFill>
              <w14:schemeClr w14:val="tx1"/>
            </w14:solidFill>
          </w14:textFill>
        </w:rPr>
        <w:t>项目单价按投标配置及分项报价表中要求填报。</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14</w:t>
      </w:r>
      <w:r>
        <w:rPr>
          <w:rStyle w:val="44"/>
          <w:rFonts w:hint="eastAsia" w:ascii="宋体" w:hAnsi="宋体"/>
          <w:b/>
          <w:bCs/>
          <w:color w:val="000000" w:themeColor="text1"/>
          <w:sz w:val="24"/>
          <w:szCs w:val="24"/>
          <w14:textFill>
            <w14:solidFill>
              <w14:schemeClr w14:val="tx1"/>
            </w14:solidFill>
          </w14:textFill>
        </w:rPr>
        <w:t>、</w:t>
      </w:r>
      <w:r>
        <w:rPr>
          <w:rStyle w:val="44"/>
          <w:rFonts w:hint="eastAsia" w:ascii="宋体" w:hAnsi="宋体"/>
          <w:color w:val="000000" w:themeColor="text1"/>
          <w:sz w:val="24"/>
          <w:szCs w:val="24"/>
          <w14:textFill>
            <w14:solidFill>
              <w14:schemeClr w14:val="tx1"/>
            </w14:solidFill>
          </w14:textFill>
        </w:rPr>
        <w:t>技术参数响应及偏离表、商务条款响应及偏离表及投标货物说明</w:t>
      </w:r>
    </w:p>
    <w:p>
      <w:pPr>
        <w:snapToGrid w:val="0"/>
        <w:spacing w:line="360" w:lineRule="auto"/>
        <w:ind w:firstLine="480" w:firstLineChars="200"/>
        <w:rPr>
          <w:rStyle w:val="44"/>
          <w:rFonts w:ascii="宋体" w:hAnsi="宋体"/>
          <w:color w:val="000000" w:themeColor="text1"/>
          <w:sz w:val="24"/>
          <w:szCs w:val="24"/>
          <w:lang w:val="zh-CN"/>
          <w14:textFill>
            <w14:solidFill>
              <w14:schemeClr w14:val="tx1"/>
            </w14:solidFill>
          </w14:textFill>
        </w:rPr>
      </w:pPr>
      <w:r>
        <w:rPr>
          <w:rStyle w:val="44"/>
          <w:rFonts w:hint="eastAsia" w:ascii="宋体" w:hAnsi="宋体"/>
          <w:bCs/>
          <w:color w:val="000000" w:themeColor="text1"/>
          <w:sz w:val="24"/>
          <w:szCs w:val="24"/>
          <w:lang w:val="zh-CN"/>
          <w14:textFill>
            <w14:solidFill>
              <w14:schemeClr w14:val="tx1"/>
            </w14:solidFill>
          </w14:textFill>
        </w:rPr>
        <w:t>14.1</w:t>
      </w:r>
      <w:r>
        <w:rPr>
          <w:rStyle w:val="44"/>
          <w:rFonts w:hint="eastAsia" w:ascii="宋体" w:hAnsi="宋体"/>
          <w:color w:val="000000" w:themeColor="text1"/>
          <w:sz w:val="24"/>
          <w:szCs w:val="24"/>
          <w:lang w:val="zh-CN"/>
          <w14:textFill>
            <w14:solidFill>
              <w14:schemeClr w14:val="tx1"/>
            </w14:solidFill>
          </w14:textFill>
        </w:rPr>
        <w:t xml:space="preserve"> 对招标文件中的技术与商务条款要求逐项作出响应或偏离，并说明原因；</w:t>
      </w:r>
    </w:p>
    <w:p>
      <w:pPr>
        <w:tabs>
          <w:tab w:val="left" w:pos="1035"/>
        </w:tabs>
        <w:snapToGrid w:val="0"/>
        <w:spacing w:line="360" w:lineRule="auto"/>
        <w:ind w:firstLine="480" w:firstLineChars="200"/>
        <w:rPr>
          <w:rStyle w:val="44"/>
          <w:rFonts w:ascii="宋体" w:hAnsi="宋体"/>
          <w:color w:val="000000" w:themeColor="text1"/>
          <w:sz w:val="24"/>
          <w:szCs w:val="24"/>
          <w:lang w:val="zh-CN"/>
          <w14:textFill>
            <w14:solidFill>
              <w14:schemeClr w14:val="tx1"/>
            </w14:solidFill>
          </w14:textFill>
        </w:rPr>
      </w:pPr>
      <w:r>
        <w:rPr>
          <w:rStyle w:val="44"/>
          <w:rFonts w:hint="eastAsia" w:ascii="宋体" w:hAnsi="宋体"/>
          <w:color w:val="000000" w:themeColor="text1"/>
          <w:sz w:val="24"/>
          <w:szCs w:val="24"/>
          <w:lang w:val="zh-CN"/>
          <w14:textFill>
            <w14:solidFill>
              <w14:schemeClr w14:val="tx1"/>
            </w14:solidFill>
          </w14:textFill>
        </w:rPr>
        <w:t>14.2 提供参加本项目类似案例简介；</w:t>
      </w:r>
    </w:p>
    <w:p>
      <w:pPr>
        <w:tabs>
          <w:tab w:val="left" w:pos="1035"/>
        </w:tabs>
        <w:snapToGrid w:val="0"/>
        <w:spacing w:line="360" w:lineRule="auto"/>
        <w:ind w:firstLine="480" w:firstLineChars="200"/>
        <w:rPr>
          <w:rStyle w:val="44"/>
          <w:rFonts w:ascii="宋体" w:hAnsi="宋体"/>
          <w:color w:val="000000" w:themeColor="text1"/>
          <w:sz w:val="24"/>
          <w:szCs w:val="24"/>
          <w:lang w:val="zh-CN"/>
          <w14:textFill>
            <w14:solidFill>
              <w14:schemeClr w14:val="tx1"/>
            </w14:solidFill>
          </w14:textFill>
        </w:rPr>
      </w:pPr>
      <w:r>
        <w:rPr>
          <w:rStyle w:val="44"/>
          <w:rFonts w:hint="eastAsia" w:ascii="宋体" w:hAnsi="宋体"/>
          <w:color w:val="000000" w:themeColor="text1"/>
          <w:sz w:val="24"/>
          <w:szCs w:val="24"/>
          <w:lang w:val="zh-CN"/>
          <w14:textFill>
            <w14:solidFill>
              <w14:schemeClr w14:val="tx1"/>
            </w14:solidFill>
          </w14:textFill>
        </w:rPr>
        <w:t>14.3 培训计划；</w:t>
      </w:r>
    </w:p>
    <w:p>
      <w:pPr>
        <w:tabs>
          <w:tab w:val="left" w:pos="1035"/>
        </w:tabs>
        <w:snapToGrid w:val="0"/>
        <w:spacing w:line="360" w:lineRule="auto"/>
        <w:ind w:firstLine="480" w:firstLineChars="200"/>
        <w:rPr>
          <w:rStyle w:val="44"/>
          <w:rFonts w:ascii="宋体" w:hAnsi="宋体"/>
          <w:color w:val="000000" w:themeColor="text1"/>
          <w:sz w:val="24"/>
          <w:szCs w:val="24"/>
          <w:lang w:val="zh-CN"/>
          <w14:textFill>
            <w14:solidFill>
              <w14:schemeClr w14:val="tx1"/>
            </w14:solidFill>
          </w14:textFill>
        </w:rPr>
      </w:pPr>
      <w:r>
        <w:rPr>
          <w:rStyle w:val="44"/>
          <w:rFonts w:hint="eastAsia" w:ascii="宋体" w:hAnsi="宋体"/>
          <w:color w:val="000000" w:themeColor="text1"/>
          <w:sz w:val="24"/>
          <w:szCs w:val="24"/>
          <w:lang w:val="zh-CN"/>
          <w14:textFill>
            <w14:solidFill>
              <w14:schemeClr w14:val="tx1"/>
            </w14:solidFill>
          </w14:textFill>
        </w:rPr>
        <w:t>14.4 详细阐述所投货物的主要组成部分、功能设计、实现思路及关键技术；</w:t>
      </w:r>
    </w:p>
    <w:p>
      <w:pPr>
        <w:tabs>
          <w:tab w:val="left" w:pos="1035"/>
        </w:tabs>
        <w:snapToGrid w:val="0"/>
        <w:spacing w:line="360" w:lineRule="auto"/>
        <w:ind w:firstLine="480" w:firstLineChars="200"/>
        <w:rPr>
          <w:rStyle w:val="44"/>
          <w:rFonts w:ascii="宋体" w:hAnsi="宋体"/>
          <w:color w:val="000000" w:themeColor="text1"/>
          <w:sz w:val="24"/>
          <w:szCs w:val="24"/>
          <w:lang w:val="zh-CN"/>
          <w14:textFill>
            <w14:solidFill>
              <w14:schemeClr w14:val="tx1"/>
            </w14:solidFill>
          </w14:textFill>
        </w:rPr>
      </w:pPr>
      <w:r>
        <w:rPr>
          <w:rStyle w:val="44"/>
          <w:rFonts w:hint="eastAsia" w:ascii="宋体" w:hAnsi="宋体"/>
          <w:color w:val="000000" w:themeColor="text1"/>
          <w:sz w:val="24"/>
          <w:szCs w:val="24"/>
          <w:lang w:val="zh-CN"/>
          <w14:textFill>
            <w14:solidFill>
              <w14:schemeClr w14:val="tx1"/>
            </w14:solidFill>
          </w14:textFill>
        </w:rPr>
        <w:t>14.5 投标人认为需要的其他技术文件或说明。</w:t>
      </w:r>
    </w:p>
    <w:p>
      <w:pPr>
        <w:tabs>
          <w:tab w:val="left" w:pos="1035"/>
        </w:tabs>
        <w:snapToGrid w:val="0"/>
        <w:spacing w:line="360" w:lineRule="auto"/>
        <w:ind w:firstLine="480" w:firstLineChars="200"/>
        <w:rPr>
          <w:rStyle w:val="44"/>
          <w:rFonts w:ascii="宋体" w:hAnsi="宋体"/>
          <w:color w:val="000000" w:themeColor="text1"/>
          <w:sz w:val="24"/>
          <w:szCs w:val="24"/>
          <w:lang w:val="zh-CN"/>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1</w:t>
      </w:r>
      <w:r>
        <w:rPr>
          <w:rStyle w:val="44"/>
          <w:rFonts w:hint="eastAsia" w:ascii="宋体" w:hAnsi="宋体"/>
          <w:color w:val="000000" w:themeColor="text1"/>
          <w:sz w:val="24"/>
          <w:szCs w:val="24"/>
          <w:lang w:val="zh-CN"/>
          <w14:textFill>
            <w14:solidFill>
              <w14:schemeClr w14:val="tx1"/>
            </w14:solidFill>
          </w14:textFill>
        </w:rPr>
        <w:t>5、服务承诺及售后服务机构、人员的情况介绍</w:t>
      </w:r>
    </w:p>
    <w:p>
      <w:pPr>
        <w:tabs>
          <w:tab w:val="left" w:pos="1035"/>
        </w:tabs>
        <w:snapToGrid w:val="0"/>
        <w:spacing w:line="360" w:lineRule="auto"/>
        <w:ind w:firstLine="480" w:firstLineChars="200"/>
        <w:rPr>
          <w:rStyle w:val="44"/>
          <w:rFonts w:ascii="宋体" w:hAnsi="宋体"/>
          <w:color w:val="000000" w:themeColor="text1"/>
          <w:sz w:val="24"/>
          <w:szCs w:val="24"/>
          <w:lang w:val="zh-CN"/>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15.1</w:t>
      </w:r>
      <w:r>
        <w:rPr>
          <w:rStyle w:val="44"/>
          <w:rFonts w:hint="eastAsia" w:ascii="宋体" w:hAnsi="宋体"/>
          <w:color w:val="000000" w:themeColor="text1"/>
          <w:sz w:val="24"/>
          <w:szCs w:val="24"/>
          <w14:textFill>
            <w14:solidFill>
              <w14:schemeClr w14:val="tx1"/>
            </w14:solidFill>
          </w14:textFill>
        </w:rPr>
        <w:t>投标人的服务承诺应按不低于招标文件中商务要求的标准。</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15.2</w:t>
      </w:r>
      <w:r>
        <w:rPr>
          <w:rStyle w:val="44"/>
          <w:rFonts w:hint="eastAsia" w:ascii="宋体" w:hAnsi="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pPr>
        <w:pStyle w:val="38"/>
        <w:snapToGrid w:val="0"/>
        <w:spacing w:before="0" w:after="0" w:line="360" w:lineRule="auto"/>
        <w:ind w:firstLine="480" w:firstLineChars="200"/>
        <w:rPr>
          <w:rStyle w:val="44"/>
          <w:rFonts w:ascii="宋体" w:hAnsi="宋体"/>
          <w:b w:val="0"/>
          <w:bCs/>
          <w:color w:val="000000" w:themeColor="text1"/>
          <w:sz w:val="24"/>
          <w:szCs w:val="24"/>
          <w14:textFill>
            <w14:solidFill>
              <w14:schemeClr w14:val="tx1"/>
            </w14:solidFill>
          </w14:textFill>
        </w:rPr>
      </w:pPr>
      <w:r>
        <w:rPr>
          <w:rStyle w:val="44"/>
          <w:rFonts w:hint="eastAsia" w:ascii="宋体" w:hAnsi="宋体"/>
          <w:b w:val="0"/>
          <w:bCs/>
          <w:color w:val="000000" w:themeColor="text1"/>
          <w:sz w:val="24"/>
          <w:szCs w:val="24"/>
          <w14:textFill>
            <w14:solidFill>
              <w14:schemeClr w14:val="tx1"/>
            </w14:solidFill>
          </w14:textFill>
        </w:rPr>
        <w:t>16、投标函和开标一览表</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16.1</w:t>
      </w:r>
      <w:r>
        <w:rPr>
          <w:rStyle w:val="44"/>
          <w:rFonts w:hint="eastAsia" w:ascii="宋体" w:hAnsi="宋体"/>
          <w:color w:val="000000" w:themeColor="text1"/>
          <w:sz w:val="24"/>
          <w:szCs w:val="24"/>
          <w14:textFill>
            <w14:solidFill>
              <w14:schemeClr w14:val="tx1"/>
            </w14:solidFill>
          </w14:textFill>
        </w:rPr>
        <w:t xml:space="preserve"> 投标人应按照招标文件中提供的格式完整、正确填写投标函、开标一览表。</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16.2开标一览表中的价格应与投标文件中投标配置与分项报价表中的价格一致，如不一致，</w:t>
      </w:r>
      <w:r>
        <w:rPr>
          <w:rStyle w:val="44"/>
          <w:rFonts w:hint="eastAsia" w:ascii="宋体" w:hAnsi="宋体"/>
          <w:color w:val="000000" w:themeColor="text1"/>
          <w:sz w:val="24"/>
          <w:szCs w:val="24"/>
          <w14:textFill>
            <w14:solidFill>
              <w14:schemeClr w14:val="tx1"/>
            </w14:solidFill>
          </w14:textFill>
        </w:rPr>
        <w:t>不作为无效投标处理</w:t>
      </w:r>
      <w:r>
        <w:rPr>
          <w:rStyle w:val="44"/>
          <w:rFonts w:hint="eastAsia" w:ascii="宋体" w:hAnsi="宋体"/>
          <w:bCs/>
          <w:color w:val="000000" w:themeColor="text1"/>
          <w:sz w:val="24"/>
          <w:szCs w:val="24"/>
          <w14:textFill>
            <w14:solidFill>
              <w14:schemeClr w14:val="tx1"/>
            </w14:solidFill>
          </w14:textFill>
        </w:rPr>
        <w:t>，但评标时按开标一览表中价格为准</w:t>
      </w:r>
      <w:r>
        <w:rPr>
          <w:rStyle w:val="44"/>
          <w:rFonts w:hint="eastAsia" w:ascii="宋体" w:hAnsi="宋体"/>
          <w:b/>
          <w:bCs/>
          <w:color w:val="000000" w:themeColor="text1"/>
          <w:sz w:val="24"/>
          <w:szCs w:val="24"/>
          <w14:textFill>
            <w14:solidFill>
              <w14:schemeClr w14:val="tx1"/>
            </w14:solidFill>
          </w14:textFill>
        </w:rPr>
        <w:t>。</w:t>
      </w:r>
    </w:p>
    <w:p>
      <w:pPr>
        <w:pStyle w:val="38"/>
        <w:snapToGrid w:val="0"/>
        <w:spacing w:before="0" w:after="0" w:line="360" w:lineRule="auto"/>
        <w:ind w:firstLine="480" w:firstLineChars="200"/>
        <w:rPr>
          <w:rStyle w:val="44"/>
          <w:rFonts w:ascii="宋体" w:hAnsi="宋体"/>
          <w:b w:val="0"/>
          <w:bCs/>
          <w:color w:val="000000" w:themeColor="text1"/>
          <w:sz w:val="24"/>
          <w:szCs w:val="24"/>
          <w14:textFill>
            <w14:solidFill>
              <w14:schemeClr w14:val="tx1"/>
            </w14:solidFill>
          </w14:textFill>
        </w:rPr>
      </w:pPr>
      <w:r>
        <w:rPr>
          <w:rStyle w:val="44"/>
          <w:rFonts w:hint="eastAsia" w:ascii="宋体" w:hAnsi="宋体"/>
          <w:b w:val="0"/>
          <w:bCs/>
          <w:color w:val="000000" w:themeColor="text1"/>
          <w:sz w:val="24"/>
          <w:szCs w:val="24"/>
          <w14:textFill>
            <w14:solidFill>
              <w14:schemeClr w14:val="tx1"/>
            </w14:solidFill>
          </w14:textFill>
        </w:rPr>
        <w:t>17、投标有效期</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17.1</w:t>
      </w:r>
      <w:r>
        <w:rPr>
          <w:rStyle w:val="44"/>
          <w:rFonts w:hint="eastAsia" w:ascii="宋体" w:hAnsi="宋体"/>
          <w:bCs/>
          <w:color w:val="000000" w:themeColor="text1"/>
          <w:sz w:val="24"/>
          <w:szCs w:val="24"/>
          <w14:textFill>
            <w14:solidFill>
              <w14:schemeClr w14:val="tx1"/>
            </w14:solidFill>
          </w14:textFill>
        </w:rPr>
        <w:t xml:space="preserve"> 投标有效期为采购人或采购代理机构规定的开标之日后</w:t>
      </w:r>
      <w:r>
        <w:rPr>
          <w:rStyle w:val="44"/>
          <w:rFonts w:hint="eastAsia" w:ascii="宋体" w:hAnsi="宋体"/>
          <w:b/>
          <w:color w:val="000000" w:themeColor="text1"/>
          <w:sz w:val="24"/>
          <w:szCs w:val="24"/>
          <w:u w:val="single" w:color="000000"/>
          <w14:textFill>
            <w14:solidFill>
              <w14:schemeClr w14:val="tx1"/>
            </w14:solidFill>
          </w14:textFill>
        </w:rPr>
        <w:t>六十（60）天</w:t>
      </w:r>
      <w:r>
        <w:rPr>
          <w:rStyle w:val="44"/>
          <w:rFonts w:hint="eastAsia" w:ascii="宋体" w:hAnsi="宋体"/>
          <w:bCs/>
          <w:color w:val="000000" w:themeColor="text1"/>
          <w:sz w:val="24"/>
          <w:szCs w:val="24"/>
          <w14:textFill>
            <w14:solidFill>
              <w14:schemeClr w14:val="tx1"/>
            </w14:solidFill>
          </w14:textFill>
        </w:rPr>
        <w:t>。投标有效期比规定短的将被视为非响应性投标而予以拒绝。</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17.2</w:t>
      </w:r>
      <w:r>
        <w:rPr>
          <w:rStyle w:val="44"/>
          <w:rFonts w:hint="eastAsia" w:ascii="宋体" w:hAnsi="宋体"/>
          <w:bCs/>
          <w:color w:val="000000" w:themeColor="text1"/>
          <w:sz w:val="24"/>
          <w:szCs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4"/>
          <w:rFonts w:hint="eastAsia" w:ascii="宋体" w:hAnsi="宋体"/>
          <w:color w:val="000000" w:themeColor="text1"/>
          <w:sz w:val="24"/>
          <w:szCs w:val="24"/>
          <w14:textFill>
            <w14:solidFill>
              <w14:schemeClr w14:val="tx1"/>
            </w14:solidFill>
          </w14:textFill>
        </w:rPr>
        <w:t>。</w:t>
      </w:r>
      <w:r>
        <w:rPr>
          <w:rStyle w:val="44"/>
          <w:rFonts w:hint="eastAsia" w:ascii="宋体" w:hAnsi="宋体"/>
          <w:bCs/>
          <w:color w:val="000000" w:themeColor="text1"/>
          <w:sz w:val="24"/>
          <w:szCs w:val="24"/>
          <w14:textFill>
            <w14:solidFill>
              <w14:schemeClr w14:val="tx1"/>
            </w14:solidFill>
          </w14:textFill>
        </w:rPr>
        <w:t>同意延长投标有效期的投标人既不能要求也不允许修改其投标文件。</w:t>
      </w:r>
      <w:r>
        <w:rPr>
          <w:rStyle w:val="44"/>
          <w:rFonts w:hint="eastAsia" w:ascii="宋体" w:hAnsi="宋体"/>
          <w:color w:val="000000" w:themeColor="text1"/>
          <w:sz w:val="24"/>
          <w:szCs w:val="24"/>
          <w14:textFill>
            <w14:solidFill>
              <w14:schemeClr w14:val="tx1"/>
            </w14:solidFill>
          </w14:textFill>
        </w:rPr>
        <w:t>受投标有效期约束的所有权利与义务均延长至新的有效期</w:t>
      </w:r>
      <w:r>
        <w:rPr>
          <w:rStyle w:val="44"/>
          <w:rFonts w:hint="eastAsia" w:ascii="宋体" w:hAnsi="宋体"/>
          <w:bCs/>
          <w:color w:val="000000" w:themeColor="text1"/>
          <w:sz w:val="24"/>
          <w:szCs w:val="24"/>
          <w14:textFill>
            <w14:solidFill>
              <w14:schemeClr w14:val="tx1"/>
            </w14:solidFill>
          </w14:textFill>
        </w:rPr>
        <w:t>。</w:t>
      </w:r>
    </w:p>
    <w:p>
      <w:pPr>
        <w:pStyle w:val="38"/>
        <w:snapToGrid w:val="0"/>
        <w:spacing w:before="0" w:after="0" w:line="360" w:lineRule="auto"/>
        <w:ind w:firstLine="480" w:firstLineChars="200"/>
        <w:rPr>
          <w:rStyle w:val="44"/>
          <w:rFonts w:ascii="宋体" w:hAnsi="宋体"/>
          <w:b w:val="0"/>
          <w:bCs/>
          <w:color w:val="000000" w:themeColor="text1"/>
          <w:sz w:val="24"/>
          <w:szCs w:val="24"/>
          <w14:textFill>
            <w14:solidFill>
              <w14:schemeClr w14:val="tx1"/>
            </w14:solidFill>
          </w14:textFill>
        </w:rPr>
      </w:pPr>
      <w:r>
        <w:rPr>
          <w:rStyle w:val="44"/>
          <w:rFonts w:hint="eastAsia" w:ascii="宋体" w:hAnsi="宋体"/>
          <w:b w:val="0"/>
          <w:bCs/>
          <w:color w:val="000000" w:themeColor="text1"/>
          <w:sz w:val="24"/>
          <w:szCs w:val="24"/>
          <w14:textFill>
            <w14:solidFill>
              <w14:schemeClr w14:val="tx1"/>
            </w14:solidFill>
          </w14:textFill>
        </w:rPr>
        <w:t>18、投标文件签署</w:t>
      </w:r>
    </w:p>
    <w:p>
      <w:pPr>
        <w:spacing w:line="44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18.1</w:t>
      </w:r>
      <w:r>
        <w:rPr>
          <w:rFonts w:hint="eastAsia" w:ascii="宋体" w:hAnsi="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18.2投标文件正本中，</w:t>
      </w:r>
      <w:r>
        <w:rPr>
          <w:rFonts w:hint="eastAsia" w:ascii="宋体" w:hAnsi="宋体"/>
          <w:bCs/>
          <w:color w:val="000000" w:themeColor="text1"/>
          <w:sz w:val="24"/>
          <w:szCs w:val="24"/>
          <w14:textFill>
            <w14:solidFill>
              <w14:schemeClr w14:val="tx1"/>
            </w14:solidFill>
          </w14:textFill>
        </w:rPr>
        <w:t>招标文件要求必须提供原件的按照要求提供，文</w:t>
      </w:r>
      <w:r>
        <w:rPr>
          <w:rFonts w:hint="eastAsia" w:ascii="宋体" w:hAnsi="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18.3</w:t>
      </w:r>
      <w:r>
        <w:rPr>
          <w:rFonts w:hint="eastAsia" w:ascii="宋体" w:hAnsi="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pPr>
        <w:pStyle w:val="5"/>
        <w:spacing w:line="440" w:lineRule="exact"/>
        <w:ind w:left="0" w:firstLine="482" w:firstLineChars="200"/>
        <w:rPr>
          <w:rFonts w:ascii="宋体" w:hAnsi="宋体"/>
          <w:color w:val="000000" w:themeColor="text1"/>
          <w:sz w:val="24"/>
          <w:szCs w:val="24"/>
          <w14:textFill>
            <w14:solidFill>
              <w14:schemeClr w14:val="tx1"/>
            </w14:solidFill>
          </w14:textFill>
        </w:rPr>
      </w:pPr>
      <w:bookmarkStart w:id="4" w:name="_Toc120614217"/>
      <w:bookmarkStart w:id="5" w:name="_Toc20823296"/>
      <w:bookmarkStart w:id="6" w:name="_Toc16938540"/>
      <w:bookmarkStart w:id="7" w:name="_Toc513029224"/>
      <w:r>
        <w:rPr>
          <w:rFonts w:hint="eastAsia" w:ascii="宋体" w:hAnsi="宋体"/>
          <w:color w:val="000000" w:themeColor="text1"/>
          <w:sz w:val="24"/>
          <w:szCs w:val="24"/>
          <w14:textFill>
            <w14:solidFill>
              <w14:schemeClr w14:val="tx1"/>
            </w14:solidFill>
          </w14:textFill>
        </w:rPr>
        <w:t>四、投标文件的递交</w:t>
      </w:r>
      <w:bookmarkEnd w:id="4"/>
      <w:bookmarkEnd w:id="5"/>
      <w:bookmarkEnd w:id="6"/>
      <w:bookmarkEnd w:id="7"/>
    </w:p>
    <w:p>
      <w:pPr>
        <w:spacing w:line="440" w:lineRule="exact"/>
        <w:ind w:firstLine="480" w:firstLineChars="200"/>
        <w:rPr>
          <w:rFonts w:ascii="宋体" w:hAnsi="宋体"/>
          <w:color w:val="000000" w:themeColor="text1"/>
          <w:sz w:val="24"/>
          <w:szCs w:val="24"/>
          <w14:textFill>
            <w14:solidFill>
              <w14:schemeClr w14:val="tx1"/>
            </w14:solidFill>
          </w14:textFill>
        </w:rPr>
      </w:pPr>
      <w:bookmarkStart w:id="8" w:name="_Toc462564084"/>
      <w:bookmarkStart w:id="9" w:name="_Toc20823297"/>
      <w:bookmarkStart w:id="10" w:name="_Toc16938541"/>
      <w:bookmarkStart w:id="11" w:name="_Toc513029225"/>
      <w:r>
        <w:rPr>
          <w:rFonts w:hint="eastAsia" w:ascii="宋体" w:hAnsi="宋体"/>
          <w:color w:val="000000" w:themeColor="text1"/>
          <w:sz w:val="24"/>
          <w:szCs w:val="24"/>
          <w14:textFill>
            <w14:solidFill>
              <w14:schemeClr w14:val="tx1"/>
            </w14:solidFill>
          </w14:textFill>
        </w:rPr>
        <w:t>19、投标文件的密封和标记</w:t>
      </w:r>
      <w:bookmarkEnd w:id="8"/>
      <w:bookmarkEnd w:id="9"/>
      <w:bookmarkEnd w:id="10"/>
      <w:bookmarkEnd w:id="11"/>
    </w:p>
    <w:p>
      <w:pPr>
        <w:spacing w:line="44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19.1</w:t>
      </w:r>
      <w:r>
        <w:rPr>
          <w:rFonts w:hint="eastAsia" w:ascii="宋体" w:hAnsi="宋体"/>
          <w:bCs/>
          <w:color w:val="000000" w:themeColor="text1"/>
          <w:sz w:val="24"/>
          <w:szCs w:val="24"/>
          <w14:textFill>
            <w14:solidFill>
              <w14:schemeClr w14:val="tx1"/>
            </w14:solidFill>
          </w14:textFill>
        </w:rPr>
        <w:t>投标人应将投标文件正本和所有副本密封，不论投标人中标与否，投标文件均不退回。</w:t>
      </w:r>
    </w:p>
    <w:p>
      <w:pPr>
        <w:snapToGrid w:val="0"/>
        <w:spacing w:line="360" w:lineRule="auto"/>
        <w:ind w:firstLine="480" w:firstLineChars="200"/>
        <w:rPr>
          <w:rStyle w:val="44"/>
          <w:rFonts w:ascii="宋体" w:hAnsi="宋体" w:cs="Times New Roman"/>
          <w:bCs/>
          <w:color w:val="000000" w:themeColor="text1"/>
          <w:sz w:val="24"/>
          <w:szCs w:val="24"/>
          <w14:textFill>
            <w14:solidFill>
              <w14:schemeClr w14:val="tx1"/>
            </w14:solidFill>
          </w14:textFill>
        </w:rPr>
      </w:pPr>
      <w:r>
        <w:rPr>
          <w:rStyle w:val="44"/>
          <w:rFonts w:hint="eastAsia" w:ascii="宋体" w:hAnsi="宋体" w:cs="Times New Roman"/>
          <w:bCs/>
          <w:color w:val="000000" w:themeColor="text1"/>
          <w:sz w:val="24"/>
          <w:szCs w:val="24"/>
          <w14:textFill>
            <w14:solidFill>
              <w14:schemeClr w14:val="tx1"/>
            </w14:solidFill>
          </w14:textFill>
        </w:rPr>
        <w:t>19.2 密封的投标文件应：</w:t>
      </w:r>
    </w:p>
    <w:p>
      <w:pPr>
        <w:snapToGrid w:val="0"/>
        <w:spacing w:line="360" w:lineRule="auto"/>
        <w:ind w:firstLine="480" w:firstLineChars="200"/>
        <w:rPr>
          <w:rStyle w:val="44"/>
          <w:rFonts w:ascii="宋体" w:hAnsi="宋体" w:cs="Times New Roman"/>
          <w:bCs/>
          <w:color w:val="000000" w:themeColor="text1"/>
          <w:sz w:val="24"/>
          <w:szCs w:val="24"/>
          <w14:textFill>
            <w14:solidFill>
              <w14:schemeClr w14:val="tx1"/>
            </w14:solidFill>
          </w14:textFill>
        </w:rPr>
      </w:pPr>
      <w:r>
        <w:rPr>
          <w:rStyle w:val="44"/>
          <w:rFonts w:hint="eastAsia" w:ascii="宋体" w:hAnsi="宋体" w:cs="Times New Roman"/>
          <w:bCs/>
          <w:color w:val="000000" w:themeColor="text1"/>
          <w:sz w:val="24"/>
          <w:szCs w:val="24"/>
          <w14:textFill>
            <w14:solidFill>
              <w14:schemeClr w14:val="tx1"/>
            </w14:solidFill>
          </w14:textFill>
        </w:rPr>
        <w:t>19.2.1 注明投标人名称，如因标注不清而产生的后果由投标人自负。按招标公告中注明的地址送达；</w:t>
      </w:r>
    </w:p>
    <w:p>
      <w:pPr>
        <w:snapToGrid w:val="0"/>
        <w:spacing w:line="360" w:lineRule="auto"/>
        <w:ind w:firstLine="480" w:firstLineChars="200"/>
        <w:rPr>
          <w:rStyle w:val="44"/>
          <w:rFonts w:ascii="宋体" w:hAnsi="宋体" w:cs="Times New Roman"/>
          <w:bCs/>
          <w:color w:val="000000" w:themeColor="text1"/>
          <w:sz w:val="24"/>
          <w:szCs w:val="24"/>
          <w14:textFill>
            <w14:solidFill>
              <w14:schemeClr w14:val="tx1"/>
            </w14:solidFill>
          </w14:textFill>
        </w:rPr>
      </w:pPr>
      <w:r>
        <w:rPr>
          <w:rStyle w:val="44"/>
          <w:rFonts w:hint="eastAsia" w:ascii="宋体" w:hAnsi="宋体" w:cs="Times New Roman"/>
          <w:bCs/>
          <w:color w:val="000000" w:themeColor="text1"/>
          <w:sz w:val="24"/>
          <w:szCs w:val="24"/>
          <w14:textFill>
            <w14:solidFill>
              <w14:schemeClr w14:val="tx1"/>
            </w14:solidFill>
          </w14:textFill>
        </w:rPr>
        <w:t>19.2.2  注明投标项目名称、标书编号及包号。</w:t>
      </w:r>
    </w:p>
    <w:p>
      <w:pPr>
        <w:snapToGrid w:val="0"/>
        <w:spacing w:line="360" w:lineRule="auto"/>
        <w:ind w:firstLine="480" w:firstLineChars="200"/>
        <w:rPr>
          <w:rFonts w:ascii="宋体" w:hAnsi="宋体"/>
          <w:bCs/>
          <w:color w:val="000000" w:themeColor="text1"/>
          <w:sz w:val="24"/>
          <w:szCs w:val="24"/>
          <w14:textFill>
            <w14:solidFill>
              <w14:schemeClr w14:val="tx1"/>
            </w14:solidFill>
          </w14:textFill>
        </w:rPr>
      </w:pPr>
      <w:r>
        <w:rPr>
          <w:rStyle w:val="44"/>
          <w:rFonts w:hint="eastAsia" w:ascii="宋体" w:hAnsi="宋体" w:cs="Times New Roman"/>
          <w:bCs/>
          <w:color w:val="000000" w:themeColor="text1"/>
          <w:sz w:val="24"/>
          <w:szCs w:val="24"/>
          <w14:textFill>
            <w14:solidFill>
              <w14:schemeClr w14:val="tx1"/>
            </w14:solidFill>
          </w14:textFill>
        </w:rPr>
        <w:t>19.2.3  未按要求密封和加写标记，采购人和采购代理机构对误投或过早启封概不负责。对由此造成提前开封的投标文件，采购人和采购代理机构将予以拒绝。</w:t>
      </w:r>
    </w:p>
    <w:p>
      <w:pPr>
        <w:pStyle w:val="38"/>
        <w:snapToGrid w:val="0"/>
        <w:spacing w:before="0" w:after="0" w:line="360" w:lineRule="auto"/>
        <w:ind w:firstLine="480" w:firstLineChars="200"/>
        <w:rPr>
          <w:rStyle w:val="44"/>
          <w:rFonts w:ascii="宋体" w:hAnsi="宋体"/>
          <w:b w:val="0"/>
          <w:bCs/>
          <w:color w:val="000000" w:themeColor="text1"/>
          <w:sz w:val="24"/>
          <w:szCs w:val="24"/>
          <w14:textFill>
            <w14:solidFill>
              <w14:schemeClr w14:val="tx1"/>
            </w14:solidFill>
          </w14:textFill>
        </w:rPr>
      </w:pPr>
      <w:r>
        <w:rPr>
          <w:rStyle w:val="44"/>
          <w:rFonts w:hint="eastAsia" w:ascii="宋体" w:hAnsi="宋体"/>
          <w:b w:val="0"/>
          <w:bCs/>
          <w:color w:val="000000" w:themeColor="text1"/>
          <w:sz w:val="24"/>
          <w:szCs w:val="24"/>
          <w14:textFill>
            <w14:solidFill>
              <w14:schemeClr w14:val="tx1"/>
            </w14:solidFill>
          </w14:textFill>
        </w:rPr>
        <w:t>20 投标截止日期</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20.1</w:t>
      </w:r>
      <w:r>
        <w:rPr>
          <w:rStyle w:val="44"/>
          <w:rFonts w:hint="eastAsia" w:ascii="宋体" w:hAnsi="宋体"/>
          <w:bCs/>
          <w:color w:val="000000" w:themeColor="text1"/>
          <w:sz w:val="24"/>
          <w:szCs w:val="24"/>
          <w14:textFill>
            <w14:solidFill>
              <w14:schemeClr w14:val="tx1"/>
            </w14:solidFill>
          </w14:textFill>
        </w:rPr>
        <w:t xml:space="preserve"> 采购人和采购代理机构收到投标文件的时间不得迟于招标公告中规定的截止时间。</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20.2</w:t>
      </w:r>
      <w:r>
        <w:rPr>
          <w:rStyle w:val="44"/>
          <w:rFonts w:hint="eastAsia" w:ascii="宋体" w:hAnsi="宋体"/>
          <w:bCs/>
          <w:color w:val="000000" w:themeColor="text1"/>
          <w:sz w:val="24"/>
          <w:szCs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pPr>
        <w:pStyle w:val="38"/>
        <w:snapToGrid w:val="0"/>
        <w:spacing w:before="0" w:after="0" w:line="360" w:lineRule="auto"/>
        <w:ind w:firstLine="480" w:firstLineChars="200"/>
        <w:rPr>
          <w:rStyle w:val="44"/>
          <w:rFonts w:ascii="宋体" w:hAnsi="宋体"/>
          <w:b w:val="0"/>
          <w:bCs/>
          <w:color w:val="000000" w:themeColor="text1"/>
          <w:sz w:val="24"/>
          <w:szCs w:val="24"/>
          <w14:textFill>
            <w14:solidFill>
              <w14:schemeClr w14:val="tx1"/>
            </w14:solidFill>
          </w14:textFill>
        </w:rPr>
      </w:pPr>
      <w:r>
        <w:rPr>
          <w:rStyle w:val="44"/>
          <w:rFonts w:hint="eastAsia" w:ascii="宋体" w:hAnsi="宋体"/>
          <w:b w:val="0"/>
          <w:bCs/>
          <w:color w:val="000000" w:themeColor="text1"/>
          <w:sz w:val="24"/>
          <w:szCs w:val="24"/>
          <w14:textFill>
            <w14:solidFill>
              <w14:schemeClr w14:val="tx1"/>
            </w14:solidFill>
          </w14:textFill>
        </w:rPr>
        <w:t>21、迟交的投标文件</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21.1</w:t>
      </w:r>
      <w:r>
        <w:rPr>
          <w:rStyle w:val="44"/>
          <w:rFonts w:hint="eastAsia" w:ascii="宋体" w:hAnsi="宋体"/>
          <w:bCs/>
          <w:color w:val="000000" w:themeColor="text1"/>
          <w:sz w:val="24"/>
          <w:szCs w:val="24"/>
          <w14:textFill>
            <w14:solidFill>
              <w14:schemeClr w14:val="tx1"/>
            </w14:solidFill>
          </w14:textFill>
        </w:rPr>
        <w:t xml:space="preserve"> 采购人和采购代理机构拒绝接收在其规定的投标截止时间后递交的任何投标文件。</w:t>
      </w:r>
    </w:p>
    <w:p>
      <w:pPr>
        <w:pStyle w:val="38"/>
        <w:snapToGrid w:val="0"/>
        <w:spacing w:before="0" w:after="0" w:line="360" w:lineRule="auto"/>
        <w:ind w:firstLine="480" w:firstLineChars="200"/>
        <w:rPr>
          <w:rStyle w:val="44"/>
          <w:rFonts w:ascii="宋体" w:hAnsi="宋体"/>
          <w:b w:val="0"/>
          <w:bCs/>
          <w:color w:val="000000" w:themeColor="text1"/>
          <w:sz w:val="24"/>
          <w:szCs w:val="24"/>
          <w14:textFill>
            <w14:solidFill>
              <w14:schemeClr w14:val="tx1"/>
            </w14:solidFill>
          </w14:textFill>
        </w:rPr>
      </w:pPr>
      <w:r>
        <w:rPr>
          <w:rStyle w:val="44"/>
          <w:rFonts w:hint="eastAsia" w:ascii="宋体" w:hAnsi="宋体"/>
          <w:b w:val="0"/>
          <w:bCs/>
          <w:color w:val="000000" w:themeColor="text1"/>
          <w:sz w:val="24"/>
          <w:szCs w:val="24"/>
          <w14:textFill>
            <w14:solidFill>
              <w14:schemeClr w14:val="tx1"/>
            </w14:solidFill>
          </w14:textFill>
        </w:rPr>
        <w:t>22、投标文件的修改和撤回</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22.1</w:t>
      </w:r>
      <w:r>
        <w:rPr>
          <w:rStyle w:val="44"/>
          <w:rFonts w:hint="eastAsia" w:ascii="宋体" w:hAnsi="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Style w:val="44"/>
          <w:rFonts w:hint="eastAsia" w:ascii="宋体" w:hAnsi="宋体"/>
          <w:color w:val="000000" w:themeColor="text1"/>
          <w:sz w:val="24"/>
          <w:szCs w:val="24"/>
          <w14:textFill>
            <w14:solidFill>
              <w14:schemeClr w14:val="tx1"/>
            </w14:solidFill>
          </w14:textFill>
        </w:rPr>
        <w:t>通知采购人或采购代理机构，修改或撤回其投标文件。</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22.2</w:t>
      </w:r>
      <w:r>
        <w:rPr>
          <w:rStyle w:val="44"/>
          <w:rFonts w:hint="eastAsia" w:ascii="宋体" w:hAnsi="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Style w:val="44"/>
          <w:rFonts w:hint="eastAsia" w:ascii="宋体" w:hAnsi="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22.3</w:t>
      </w:r>
      <w:r>
        <w:rPr>
          <w:rStyle w:val="44"/>
          <w:rFonts w:hint="eastAsia" w:ascii="宋体" w:hAnsi="宋体"/>
          <w:bCs/>
          <w:color w:val="000000" w:themeColor="text1"/>
          <w:sz w:val="24"/>
          <w:szCs w:val="24"/>
          <w14:textFill>
            <w14:solidFill>
              <w14:schemeClr w14:val="tx1"/>
            </w14:solidFill>
          </w14:textFill>
        </w:rPr>
        <w:t xml:space="preserve"> 在投标截止时间之后，投标人不得对其投标文件作任何修改。</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22.4</w:t>
      </w:r>
      <w:r>
        <w:rPr>
          <w:rStyle w:val="44"/>
          <w:rFonts w:hint="eastAsia" w:ascii="宋体" w:hAnsi="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在投标截止时间至招标文件中规定的投标有效期满之间的这段时间内，投标人不得撤回其投标，否则按照国家相关法律法规受到相应处罚。</w:t>
      </w:r>
    </w:p>
    <w:p>
      <w:pPr>
        <w:pStyle w:val="37"/>
        <w:snapToGrid w:val="0"/>
        <w:spacing w:before="0" w:after="0" w:line="360" w:lineRule="auto"/>
        <w:ind w:firstLine="482"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五、开标与评标</w:t>
      </w:r>
    </w:p>
    <w:p>
      <w:pPr>
        <w:pStyle w:val="38"/>
        <w:snapToGrid w:val="0"/>
        <w:spacing w:before="0" w:after="0" w:line="360" w:lineRule="auto"/>
        <w:ind w:firstLine="480" w:firstLineChars="200"/>
        <w:rPr>
          <w:rStyle w:val="44"/>
          <w:rFonts w:ascii="宋体" w:hAnsi="宋体"/>
          <w:b w:val="0"/>
          <w:bCs/>
          <w:color w:val="000000" w:themeColor="text1"/>
          <w:sz w:val="24"/>
          <w:szCs w:val="24"/>
          <w14:textFill>
            <w14:solidFill>
              <w14:schemeClr w14:val="tx1"/>
            </w14:solidFill>
          </w14:textFill>
        </w:rPr>
      </w:pPr>
      <w:r>
        <w:rPr>
          <w:rStyle w:val="44"/>
          <w:rFonts w:hint="eastAsia" w:ascii="宋体" w:hAnsi="宋体"/>
          <w:b w:val="0"/>
          <w:bCs/>
          <w:color w:val="000000" w:themeColor="text1"/>
          <w:sz w:val="24"/>
          <w:szCs w:val="24"/>
          <w14:textFill>
            <w14:solidFill>
              <w14:schemeClr w14:val="tx1"/>
            </w14:solidFill>
          </w14:textFill>
        </w:rPr>
        <w:t>23、开标</w:t>
      </w:r>
    </w:p>
    <w:p>
      <w:pPr>
        <w:spacing w:line="440" w:lineRule="exact"/>
        <w:ind w:firstLine="480" w:firstLineChars="200"/>
        <w:rPr>
          <w:rFonts w:ascii="宋体" w:hAnsi="宋体"/>
          <w:color w:val="000000" w:themeColor="text1"/>
          <w:sz w:val="24"/>
          <w:szCs w:val="24"/>
          <w14:textFill>
            <w14:solidFill>
              <w14:schemeClr w14:val="tx1"/>
            </w14:solidFill>
          </w14:textFill>
        </w:rPr>
      </w:pPr>
      <w:r>
        <w:rPr>
          <w:rStyle w:val="44"/>
          <w:rFonts w:hint="eastAsia" w:ascii="宋体" w:hAnsi="宋体" w:cs="Times New Roman"/>
          <w:bCs/>
          <w:color w:val="000000" w:themeColor="text1"/>
          <w:sz w:val="24"/>
          <w:szCs w:val="24"/>
          <w14:textFill>
            <w14:solidFill>
              <w14:schemeClr w14:val="tx1"/>
            </w14:solidFill>
          </w14:textFill>
        </w:rPr>
        <w:t>23.1 采购人和采购代理机构将在招标公告中规定的时间和地点组织公开开标。投标人应委派携带有效</w:t>
      </w:r>
      <w:r>
        <w:rPr>
          <w:rFonts w:hint="eastAsia" w:ascii="宋体" w:hAnsi="宋体"/>
          <w:color w:val="000000" w:themeColor="text1"/>
          <w:sz w:val="24"/>
          <w:szCs w:val="24"/>
          <w14:textFill>
            <w14:solidFill>
              <w14:schemeClr w14:val="tx1"/>
            </w14:solidFill>
          </w14:textFill>
        </w:rPr>
        <w:t>证件的代表准时参加，参加开标的代表需签名以证明其出席。</w:t>
      </w:r>
    </w:p>
    <w:p>
      <w:pPr>
        <w:snapToGrid w:val="0"/>
        <w:spacing w:line="360" w:lineRule="auto"/>
        <w:ind w:firstLine="480" w:firstLineChars="200"/>
        <w:rPr>
          <w:rStyle w:val="44"/>
          <w:rFonts w:ascii="宋体" w:hAnsi="宋体" w:cs="Times New Roman"/>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23.2</w:t>
      </w:r>
      <w:r>
        <w:rPr>
          <w:rFonts w:hint="eastAsia" w:ascii="宋体" w:hAnsi="宋体"/>
          <w:color w:val="000000" w:themeColor="text1"/>
          <w:sz w:val="24"/>
          <w:szCs w:val="24"/>
          <w14:textFill>
            <w14:solidFill>
              <w14:schemeClr w14:val="tx1"/>
            </w14:solidFill>
          </w14:textFill>
        </w:rPr>
        <w:t>开标仪式由采购人或采购代理机构组织，采购人代表</w:t>
      </w:r>
      <w:r>
        <w:rPr>
          <w:rFonts w:hint="eastAsia" w:ascii="宋体" w:hAnsi="宋体"/>
          <w:b/>
          <w:color w:val="000000" w:themeColor="text1"/>
          <w:sz w:val="24"/>
          <w:szCs w:val="24"/>
          <w14:textFill>
            <w14:solidFill>
              <w14:schemeClr w14:val="tx1"/>
            </w14:solidFill>
          </w14:textFill>
        </w:rPr>
        <w:t>(需提供单位授权函)</w:t>
      </w:r>
      <w:r>
        <w:rPr>
          <w:rFonts w:hint="eastAsia" w:ascii="宋体" w:hAnsi="宋体"/>
          <w:color w:val="000000" w:themeColor="text1"/>
          <w:sz w:val="24"/>
          <w:szCs w:val="24"/>
          <w14:textFill>
            <w14:solidFill>
              <w14:schemeClr w14:val="tx1"/>
            </w14:solidFill>
          </w14:textFill>
        </w:rPr>
        <w:t>、</w:t>
      </w:r>
      <w:r>
        <w:rPr>
          <w:rStyle w:val="44"/>
          <w:rFonts w:hint="eastAsia" w:ascii="宋体" w:hAnsi="宋体" w:cs="Times New Roman"/>
          <w:bCs/>
          <w:color w:val="000000" w:themeColor="text1"/>
          <w:sz w:val="24"/>
          <w:szCs w:val="24"/>
          <w14:textFill>
            <w14:solidFill>
              <w14:schemeClr w14:val="tx1"/>
            </w14:solidFill>
          </w14:textFill>
        </w:rPr>
        <w:t>监管代表、投标人代表等参加。</w:t>
      </w:r>
    </w:p>
    <w:p>
      <w:pPr>
        <w:snapToGrid w:val="0"/>
        <w:spacing w:line="360" w:lineRule="auto"/>
        <w:ind w:firstLine="480" w:firstLineChars="200"/>
        <w:rPr>
          <w:rStyle w:val="44"/>
          <w:rFonts w:ascii="宋体" w:hAnsi="宋体" w:cs="Times New Roman"/>
          <w:bCs/>
          <w:color w:val="000000" w:themeColor="text1"/>
          <w:sz w:val="24"/>
          <w:szCs w:val="24"/>
          <w14:textFill>
            <w14:solidFill>
              <w14:schemeClr w14:val="tx1"/>
            </w14:solidFill>
          </w14:textFill>
        </w:rPr>
      </w:pPr>
      <w:r>
        <w:rPr>
          <w:rStyle w:val="44"/>
          <w:rFonts w:hint="eastAsia" w:ascii="宋体" w:hAnsi="宋体" w:cs="Times New Roman"/>
          <w:bCs/>
          <w:color w:val="000000" w:themeColor="text1"/>
          <w:sz w:val="24"/>
          <w:szCs w:val="24"/>
          <w14:textFill>
            <w14:solidFill>
              <w14:schemeClr w14:val="tx1"/>
            </w14:solidFill>
          </w14:textFill>
        </w:rPr>
        <w:t>23.3按照规定同意撤回的投标将不予开封。</w:t>
      </w:r>
    </w:p>
    <w:p>
      <w:pPr>
        <w:snapToGrid w:val="0"/>
        <w:spacing w:line="360" w:lineRule="auto"/>
        <w:ind w:firstLine="480" w:firstLineChars="200"/>
        <w:rPr>
          <w:rStyle w:val="44"/>
          <w:rFonts w:ascii="宋体" w:hAnsi="宋体" w:cs="Times New Roman"/>
          <w:bCs/>
          <w:color w:val="000000" w:themeColor="text1"/>
          <w:sz w:val="24"/>
          <w:szCs w:val="24"/>
          <w14:textFill>
            <w14:solidFill>
              <w14:schemeClr w14:val="tx1"/>
            </w14:solidFill>
          </w14:textFill>
        </w:rPr>
      </w:pPr>
      <w:r>
        <w:rPr>
          <w:rStyle w:val="44"/>
          <w:rFonts w:hint="eastAsia" w:ascii="宋体" w:hAnsi="宋体" w:cs="Times New Roman"/>
          <w:bCs/>
          <w:color w:val="000000" w:themeColor="text1"/>
          <w:sz w:val="24"/>
          <w:szCs w:val="24"/>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4"/>
          <w:rFonts w:ascii="宋体" w:hAnsi="宋体" w:cs="Times New Roman"/>
          <w:bCs/>
          <w:color w:val="000000" w:themeColor="text1"/>
          <w:sz w:val="24"/>
          <w:szCs w:val="24"/>
          <w14:textFill>
            <w14:solidFill>
              <w14:schemeClr w14:val="tx1"/>
            </w14:solidFill>
          </w14:textFill>
        </w:rPr>
      </w:pPr>
      <w:r>
        <w:rPr>
          <w:rStyle w:val="44"/>
          <w:rFonts w:hint="eastAsia" w:ascii="宋体" w:hAnsi="宋体" w:cs="Times New Roman"/>
          <w:bCs/>
          <w:color w:val="000000" w:themeColor="text1"/>
          <w:sz w:val="24"/>
          <w:szCs w:val="24"/>
          <w14:textFill>
            <w14:solidFill>
              <w14:schemeClr w14:val="tx1"/>
            </w14:solidFill>
          </w14:textFill>
        </w:rPr>
        <w:t>23.5 采购人或采购代理机构将指定专人负责开标记录并存档备查，各投标人需仔细核对开标记录相关内容并签字确认。</w:t>
      </w:r>
    </w:p>
    <w:p>
      <w:pPr>
        <w:snapToGrid w:val="0"/>
        <w:spacing w:line="360" w:lineRule="auto"/>
        <w:ind w:firstLine="480" w:firstLineChars="200"/>
        <w:rPr>
          <w:rStyle w:val="44"/>
          <w:rFonts w:ascii="宋体" w:hAnsi="宋体" w:cs="Times New Roman"/>
          <w:bCs/>
          <w:color w:val="000000" w:themeColor="text1"/>
          <w:sz w:val="24"/>
          <w:szCs w:val="24"/>
          <w14:textFill>
            <w14:solidFill>
              <w14:schemeClr w14:val="tx1"/>
            </w14:solidFill>
          </w14:textFill>
        </w:rPr>
      </w:pPr>
      <w:r>
        <w:rPr>
          <w:rStyle w:val="44"/>
          <w:rFonts w:hint="eastAsia" w:ascii="宋体" w:hAnsi="宋体" w:cs="Times New Roman"/>
          <w:bCs/>
          <w:color w:val="000000" w:themeColor="text1"/>
          <w:sz w:val="24"/>
          <w:szCs w:val="24"/>
          <w14:textFill>
            <w14:solidFill>
              <w14:schemeClr w14:val="tx1"/>
            </w14:solidFill>
          </w14:textFill>
        </w:rPr>
        <w:t>23.6 投标人在报价时不允许采用选择性报价，否则将被视为无效投标。</w:t>
      </w:r>
    </w:p>
    <w:p>
      <w:pPr>
        <w:snapToGrid w:val="0"/>
        <w:spacing w:line="360" w:lineRule="auto"/>
        <w:ind w:firstLine="480" w:firstLineChars="200"/>
        <w:rPr>
          <w:rStyle w:val="44"/>
          <w:rFonts w:ascii="宋体" w:hAnsi="宋体" w:cs="Times New Roman"/>
          <w:bCs/>
          <w:color w:val="000000" w:themeColor="text1"/>
          <w:sz w:val="24"/>
          <w:szCs w:val="24"/>
          <w14:textFill>
            <w14:solidFill>
              <w14:schemeClr w14:val="tx1"/>
            </w14:solidFill>
          </w14:textFill>
        </w:rPr>
      </w:pPr>
      <w:r>
        <w:rPr>
          <w:rStyle w:val="44"/>
          <w:rFonts w:hint="eastAsia" w:ascii="宋体" w:hAnsi="宋体" w:cs="Times New Roman"/>
          <w:bCs/>
          <w:color w:val="000000" w:themeColor="text1"/>
          <w:sz w:val="24"/>
          <w:szCs w:val="24"/>
          <w14:textFill>
            <w14:solidFill>
              <w14:schemeClr w14:val="tx1"/>
            </w14:solidFill>
          </w14:textFill>
        </w:rPr>
        <w:t>24、资格审查</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cs="Times New Roman"/>
          <w:bCs/>
          <w:color w:val="000000" w:themeColor="text1"/>
          <w:sz w:val="24"/>
          <w:szCs w:val="24"/>
          <w14:textFill>
            <w14:solidFill>
              <w14:schemeClr w14:val="tx1"/>
            </w14:solidFill>
          </w14:textFill>
        </w:rPr>
        <w:t>24.1依据法律法规和招标文件的约定，开标结束后，由采购人对投标文件中的资格证明文件进行审查。资格审查的结论</w:t>
      </w:r>
      <w:r>
        <w:rPr>
          <w:rStyle w:val="44"/>
          <w:rFonts w:hint="eastAsia" w:ascii="宋体" w:hAnsi="宋体"/>
          <w:bCs/>
          <w:color w:val="000000" w:themeColor="text1"/>
          <w:sz w:val="24"/>
          <w:szCs w:val="24"/>
          <w14:textFill>
            <w14:solidFill>
              <w14:schemeClr w14:val="tx1"/>
            </w14:solidFill>
          </w14:textFill>
        </w:rPr>
        <w:t>，采购人以书面形式向评委会进行反馈。未通过资格审查的投标人，由采购人告知未通过资格审查的原因。</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2" w:firstLineChars="200"/>
        <w:rPr>
          <w:rStyle w:val="44"/>
          <w:rFonts w:ascii="宋体" w:hAnsi="宋体"/>
          <w:b/>
          <w:bCs/>
          <w:color w:val="000000" w:themeColor="text1"/>
          <w:sz w:val="24"/>
          <w:szCs w:val="24"/>
          <w14:textFill>
            <w14:solidFill>
              <w14:schemeClr w14:val="tx1"/>
            </w14:solidFill>
          </w14:textFill>
        </w:rPr>
      </w:pPr>
      <w:r>
        <w:rPr>
          <w:rStyle w:val="44"/>
          <w:rFonts w:hint="eastAsia" w:ascii="宋体" w:hAnsi="宋体"/>
          <w:b/>
          <w:bCs/>
          <w:color w:val="000000" w:themeColor="text1"/>
          <w:sz w:val="24"/>
          <w:szCs w:val="24"/>
          <w14:textFill>
            <w14:solidFill>
              <w14:schemeClr w14:val="tx1"/>
            </w14:solidFill>
          </w14:textFill>
        </w:rPr>
        <w:t>合格投标人不足3家的，不得评标。</w:t>
      </w:r>
    </w:p>
    <w:p>
      <w:pPr>
        <w:pStyle w:val="38"/>
        <w:snapToGrid w:val="0"/>
        <w:spacing w:before="0" w:after="0" w:line="360" w:lineRule="auto"/>
        <w:ind w:firstLine="480" w:firstLineChars="200"/>
        <w:rPr>
          <w:rStyle w:val="44"/>
          <w:rFonts w:ascii="宋体" w:hAnsi="宋体"/>
          <w:b w:val="0"/>
          <w:bCs/>
          <w:color w:val="000000" w:themeColor="text1"/>
          <w:sz w:val="24"/>
          <w:szCs w:val="24"/>
          <w14:textFill>
            <w14:solidFill>
              <w14:schemeClr w14:val="tx1"/>
            </w14:solidFill>
          </w14:textFill>
        </w:rPr>
      </w:pPr>
      <w:r>
        <w:rPr>
          <w:rStyle w:val="44"/>
          <w:rFonts w:hint="eastAsia" w:ascii="宋体" w:hAnsi="宋体"/>
          <w:b w:val="0"/>
          <w:bCs/>
          <w:color w:val="000000" w:themeColor="text1"/>
          <w:sz w:val="24"/>
          <w:szCs w:val="24"/>
          <w14:textFill>
            <w14:solidFill>
              <w14:schemeClr w14:val="tx1"/>
            </w14:solidFill>
          </w14:textFill>
        </w:rPr>
        <w:t>25、评标委员会</w:t>
      </w:r>
    </w:p>
    <w:p>
      <w:pPr>
        <w:snapToGrid w:val="0"/>
        <w:spacing w:line="360" w:lineRule="auto"/>
        <w:ind w:firstLine="480" w:firstLineChars="200"/>
        <w:rPr>
          <w:rStyle w:val="44"/>
          <w:rFonts w:ascii="宋体" w:hAnsi="宋体"/>
          <w:b/>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25.1资格审查通过后，采购人将组织评标委员会（以下简称评委会）进行评标。</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25.3评委会独立工作，负责评审所有投标文件并确定中标候选人。</w:t>
      </w:r>
    </w:p>
    <w:p>
      <w:pPr>
        <w:pStyle w:val="38"/>
        <w:snapToGrid w:val="0"/>
        <w:spacing w:before="0" w:after="0" w:line="360" w:lineRule="auto"/>
        <w:ind w:firstLine="480" w:firstLineChars="200"/>
        <w:rPr>
          <w:rStyle w:val="44"/>
          <w:rFonts w:ascii="宋体" w:hAnsi="宋体"/>
          <w:b w:val="0"/>
          <w:bCs/>
          <w:color w:val="000000" w:themeColor="text1"/>
          <w:sz w:val="24"/>
          <w:szCs w:val="24"/>
          <w14:textFill>
            <w14:solidFill>
              <w14:schemeClr w14:val="tx1"/>
            </w14:solidFill>
          </w14:textFill>
        </w:rPr>
      </w:pPr>
      <w:r>
        <w:rPr>
          <w:rStyle w:val="44"/>
          <w:rFonts w:hint="eastAsia" w:ascii="宋体" w:hAnsi="宋体"/>
          <w:b w:val="0"/>
          <w:bCs/>
          <w:color w:val="000000" w:themeColor="text1"/>
          <w:sz w:val="24"/>
          <w:szCs w:val="24"/>
          <w14:textFill>
            <w14:solidFill>
              <w14:schemeClr w14:val="tx1"/>
            </w14:solidFill>
          </w14:textFill>
        </w:rPr>
        <w:t>26、评标过程的保密与公正</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26.1</w:t>
      </w:r>
      <w:r>
        <w:rPr>
          <w:rStyle w:val="44"/>
          <w:rFonts w:hint="eastAsia" w:ascii="宋体" w:hAnsi="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26.2在评标过程中，投标人不得以任何行为影响评标过程，否则其投标文件将被作为无效投标文件。</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26.3在评标期间，采购人或采购代理机构将设专门人员与投标人联系。</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26.4 采购人、采购代理机构和评标委员会不向落标的投标人解释未中标原因，也不公布评标过程中的相关细节。</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26.5 采用综合评分法的项目，未中标的投标人如需了解自己的评审得分及排序情况，可向采购人提出申请。</w:t>
      </w:r>
    </w:p>
    <w:p>
      <w:pPr>
        <w:pStyle w:val="38"/>
        <w:snapToGrid w:val="0"/>
        <w:spacing w:before="0" w:after="0" w:line="360" w:lineRule="auto"/>
        <w:ind w:firstLine="480" w:firstLineChars="200"/>
        <w:rPr>
          <w:rStyle w:val="44"/>
          <w:rFonts w:ascii="宋体" w:hAnsi="宋体"/>
          <w:b w:val="0"/>
          <w:bCs/>
          <w:color w:val="000000" w:themeColor="text1"/>
          <w:sz w:val="24"/>
          <w:szCs w:val="24"/>
          <w14:textFill>
            <w14:solidFill>
              <w14:schemeClr w14:val="tx1"/>
            </w14:solidFill>
          </w14:textFill>
        </w:rPr>
      </w:pPr>
      <w:r>
        <w:rPr>
          <w:rStyle w:val="44"/>
          <w:rFonts w:hint="eastAsia" w:ascii="宋体" w:hAnsi="宋体"/>
          <w:b w:val="0"/>
          <w:bCs/>
          <w:color w:val="000000" w:themeColor="text1"/>
          <w:sz w:val="24"/>
          <w:szCs w:val="24"/>
          <w14:textFill>
            <w14:solidFill>
              <w14:schemeClr w14:val="tx1"/>
            </w14:solidFill>
          </w14:textFill>
        </w:rPr>
        <w:t>27、投标的澄清</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27.3 接到评委会澄清要求的投标人如未按规定做出澄清，其风险由投标人自行承担。</w:t>
      </w:r>
    </w:p>
    <w:p>
      <w:pPr>
        <w:pStyle w:val="38"/>
        <w:snapToGrid w:val="0"/>
        <w:spacing w:before="0" w:after="0" w:line="360" w:lineRule="auto"/>
        <w:ind w:firstLine="480" w:firstLineChars="200"/>
        <w:rPr>
          <w:rStyle w:val="44"/>
          <w:rFonts w:ascii="宋体" w:hAnsi="宋体"/>
          <w:b w:val="0"/>
          <w:bCs/>
          <w:color w:val="000000" w:themeColor="text1"/>
          <w:sz w:val="24"/>
          <w:szCs w:val="24"/>
          <w14:textFill>
            <w14:solidFill>
              <w14:schemeClr w14:val="tx1"/>
            </w14:solidFill>
          </w14:textFill>
        </w:rPr>
      </w:pPr>
      <w:r>
        <w:rPr>
          <w:rStyle w:val="44"/>
          <w:rFonts w:hint="eastAsia" w:ascii="宋体" w:hAnsi="宋体"/>
          <w:b w:val="0"/>
          <w:bCs/>
          <w:color w:val="000000" w:themeColor="text1"/>
          <w:sz w:val="24"/>
          <w:szCs w:val="24"/>
          <w14:textFill>
            <w14:solidFill>
              <w14:schemeClr w14:val="tx1"/>
            </w14:solidFill>
          </w14:textFill>
        </w:rPr>
        <w:t>28、对投标文件的评审</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28.1</w:t>
      </w:r>
      <w:r>
        <w:rPr>
          <w:rStyle w:val="44"/>
          <w:rFonts w:hint="eastAsia" w:ascii="宋体" w:hAnsi="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4"/>
          <w:rFonts w:hint="eastAsia" w:ascii="宋体" w:hAnsi="宋体"/>
          <w:bCs/>
          <w:color w:val="000000" w:themeColor="text1"/>
          <w:sz w:val="24"/>
          <w:szCs w:val="24"/>
          <w14:textFill>
            <w14:solidFill>
              <w14:schemeClr w14:val="tx1"/>
            </w14:solidFill>
          </w14:textFill>
        </w:rPr>
        <w:t>评委决定投标文件的响应性只根据投标文件本身的内容，而不寻求外部的证据。</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28.3</w:t>
      </w:r>
      <w:r>
        <w:rPr>
          <w:rStyle w:val="44"/>
          <w:rFonts w:hint="eastAsia" w:ascii="宋体" w:hAnsi="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28.4</w:t>
      </w:r>
      <w:r>
        <w:rPr>
          <w:rStyle w:val="44"/>
          <w:rFonts w:hint="eastAsia" w:ascii="宋体" w:hAnsi="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（1）投标文件中开标一览表内容与投标文件中相应内容不一致的，以开标一览表为准。</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（2）大写金额和小写金额不一致的，以大写金额为准。</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（3）单价金额小数点或者百分比有明显错位的，以开标一览表的总价为准，并修改单价。</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（4）总价金额与按单价汇总金额不一致的，以单价金额计算结果为准。</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同时出现两种以上错误的，按照前款规定的顺序修正。</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28.5</w:t>
      </w:r>
      <w:r>
        <w:rPr>
          <w:rStyle w:val="44"/>
          <w:rFonts w:hint="eastAsia" w:ascii="宋体" w:hAnsi="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28.6</w:t>
      </w:r>
      <w:r>
        <w:rPr>
          <w:rStyle w:val="44"/>
          <w:rFonts w:hint="eastAsia" w:ascii="宋体" w:hAnsi="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28.7</w:t>
      </w:r>
      <w:r>
        <w:rPr>
          <w:rStyle w:val="44"/>
          <w:rFonts w:hint="eastAsia" w:ascii="宋体" w:hAnsi="宋体"/>
          <w:b/>
          <w:color w:val="000000" w:themeColor="text1"/>
          <w:sz w:val="24"/>
          <w:szCs w:val="24"/>
          <w14:textFill>
            <w14:solidFill>
              <w14:schemeClr w14:val="tx1"/>
            </w14:solidFill>
          </w14:textFill>
        </w:rPr>
        <w:t>采用最低评标价法的采购项目，</w:t>
      </w:r>
      <w:r>
        <w:rPr>
          <w:rStyle w:val="44"/>
          <w:rFonts w:hint="eastAsia" w:ascii="宋体" w:hAnsi="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b/>
          <w:color w:val="000000" w:themeColor="text1"/>
          <w:sz w:val="24"/>
          <w:szCs w:val="24"/>
          <w14:textFill>
            <w14:solidFill>
              <w14:schemeClr w14:val="tx1"/>
            </w14:solidFill>
          </w14:textFill>
        </w:rPr>
        <w:t>使用综合评分法的采购项目，</w:t>
      </w:r>
      <w:r>
        <w:rPr>
          <w:rStyle w:val="44"/>
          <w:rFonts w:hint="eastAsia" w:ascii="宋体" w:hAnsi="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b/>
          <w:color w:val="000000" w:themeColor="text1"/>
          <w:sz w:val="24"/>
          <w:szCs w:val="24"/>
          <w14:textFill>
            <w14:solidFill>
              <w14:schemeClr w14:val="tx1"/>
            </w14:solidFill>
          </w14:textFill>
        </w:rPr>
        <w:t>非单一产品采购项目，</w:t>
      </w:r>
      <w:r>
        <w:rPr>
          <w:rStyle w:val="44"/>
          <w:rFonts w:hint="eastAsia" w:ascii="宋体" w:hAnsi="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pPr>
        <w:pStyle w:val="38"/>
        <w:snapToGrid w:val="0"/>
        <w:spacing w:before="0" w:after="0" w:line="360" w:lineRule="auto"/>
        <w:ind w:firstLine="480" w:firstLineChars="200"/>
        <w:rPr>
          <w:rStyle w:val="44"/>
          <w:rFonts w:ascii="宋体" w:hAnsi="宋体"/>
          <w:b w:val="0"/>
          <w:bCs/>
          <w:color w:val="000000" w:themeColor="text1"/>
          <w:sz w:val="24"/>
          <w:szCs w:val="24"/>
          <w14:textFill>
            <w14:solidFill>
              <w14:schemeClr w14:val="tx1"/>
            </w14:solidFill>
          </w14:textFill>
        </w:rPr>
      </w:pPr>
      <w:r>
        <w:rPr>
          <w:rStyle w:val="44"/>
          <w:rFonts w:hint="eastAsia" w:ascii="宋体" w:hAnsi="宋体"/>
          <w:b w:val="0"/>
          <w:bCs/>
          <w:color w:val="000000" w:themeColor="text1"/>
          <w:sz w:val="24"/>
          <w:szCs w:val="24"/>
          <w14:textFill>
            <w14:solidFill>
              <w14:schemeClr w14:val="tx1"/>
            </w14:solidFill>
          </w14:textFill>
        </w:rPr>
        <w:t>29、无效投标条款和废标条款</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29.1无效投标条款</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29.1.1未按要求交纳投标保证金的（本项目不需要）；</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29.1.2未按照招标文件规定要求密封、签署、盖章的；</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29.1.3投标人在报价时采用选择性报价；</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29.1.4投标人不具备招标文件中规定资格要求的；</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29.1.5投标人的报价超过了采购预算或最高限价的；</w:t>
      </w:r>
    </w:p>
    <w:p>
      <w:pPr>
        <w:snapToGrid w:val="0"/>
        <w:spacing w:line="360" w:lineRule="auto"/>
        <w:ind w:firstLine="480" w:firstLineChars="200"/>
        <w:rPr>
          <w:rStyle w:val="44"/>
          <w:rFonts w:ascii="宋体" w:hAnsi="宋体"/>
          <w:bCs/>
          <w:i/>
          <w:color w:val="000000" w:themeColor="text1"/>
          <w:sz w:val="24"/>
          <w:szCs w:val="24"/>
          <w:u w:val="single" w:color="000000"/>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29.1.6未通过符合性检查的；</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29.1.7不符合招标文件中规定的其他实质性要求和条件的；</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29.1.8 投标人串通投标；</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29.1.9  投标文件含有采购人不能接受的附加条件的。</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29.1.11其他法律、法规及本招标文件规定的属无效投标的情形。</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 xml:space="preserve">29.2废标条款：                                                                                                                                                                                                                                                                                                                                                                                                                                                                                                                                                                                                                                                                                                                                                                                                                                                                                                                                                                                                                                                                                                                                                                                                                                                                                                                                                                                                                                                                         </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29.2.1符合专业条件的供应商或者对招标文件作实质响应的供应商不足三家的；</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29.2.2出现影响采购公正的违法、违规行为的；</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29.2.3因重大变故，采购任务取消的；</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29.2.4评标委员会认定招标文件存在歧义、 重大缺陷导致评审工作无法进行。</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29.3 投标截止时间结束后参加投标的供应商不足三家的处理：</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37"/>
        <w:snapToGrid w:val="0"/>
        <w:spacing w:before="0" w:after="0" w:line="360" w:lineRule="auto"/>
        <w:ind w:firstLine="482"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六、定标</w:t>
      </w:r>
    </w:p>
    <w:p>
      <w:pPr>
        <w:pStyle w:val="38"/>
        <w:snapToGrid w:val="0"/>
        <w:spacing w:before="0" w:after="0" w:line="360" w:lineRule="auto"/>
        <w:ind w:firstLine="480" w:firstLineChars="200"/>
        <w:rPr>
          <w:rStyle w:val="44"/>
          <w:rFonts w:ascii="宋体" w:hAnsi="宋体"/>
          <w:b w:val="0"/>
          <w:color w:val="000000" w:themeColor="text1"/>
          <w:sz w:val="24"/>
          <w:szCs w:val="24"/>
          <w14:textFill>
            <w14:solidFill>
              <w14:schemeClr w14:val="tx1"/>
            </w14:solidFill>
          </w14:textFill>
        </w:rPr>
      </w:pPr>
      <w:r>
        <w:rPr>
          <w:rStyle w:val="44"/>
          <w:rFonts w:hint="eastAsia" w:ascii="宋体" w:hAnsi="宋体"/>
          <w:b w:val="0"/>
          <w:color w:val="000000" w:themeColor="text1"/>
          <w:sz w:val="24"/>
          <w:szCs w:val="24"/>
          <w14:textFill>
            <w14:solidFill>
              <w14:schemeClr w14:val="tx1"/>
            </w14:solidFill>
          </w14:textFill>
        </w:rPr>
        <w:t>30、确定中标单位</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30.1评委会根据本招标文件规定评标方法与评标标准向采购人推荐出中标候选人。</w:t>
      </w:r>
    </w:p>
    <w:p>
      <w:pPr>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30.2 采购人应根据评委会推荐的中标候选人确定中标供应商。</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30.3采购人</w:t>
      </w:r>
      <w:r>
        <w:rPr>
          <w:rStyle w:val="44"/>
          <w:rFonts w:hint="eastAsia" w:ascii="宋体" w:hAnsi="宋体"/>
          <w:color w:val="000000" w:themeColor="text1"/>
          <w:sz w:val="24"/>
          <w:szCs w:val="24"/>
          <w14:textFill>
            <w14:solidFill>
              <w14:schemeClr w14:val="tx1"/>
            </w14:solidFill>
          </w14:textFill>
        </w:rPr>
        <w:t>将在江苏省政府采购网或盐城市政府采购网或盐城工业职业技术学院招标采购网发布中标公告，公告期限为1个工作日。</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30</w:t>
      </w:r>
      <w:r>
        <w:rPr>
          <w:rStyle w:val="44"/>
          <w:rFonts w:hint="eastAsia" w:ascii="宋体" w:hAnsi="宋体"/>
          <w:color w:val="000000" w:themeColor="text1"/>
          <w:sz w:val="24"/>
          <w:szCs w:val="24"/>
          <w14:textFill>
            <w14:solidFill>
              <w14:schemeClr w14:val="tx1"/>
            </w14:solidFill>
          </w14:textFill>
        </w:rPr>
        <w:t>.4若有充分证据证明，中标供应商出现下列情况之一的，一经查实，将被取消中标资格：</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30</w:t>
      </w:r>
      <w:r>
        <w:rPr>
          <w:rStyle w:val="44"/>
          <w:rFonts w:hint="eastAsia" w:ascii="宋体" w:hAnsi="宋体"/>
          <w:color w:val="000000" w:themeColor="text1"/>
          <w:sz w:val="24"/>
          <w:szCs w:val="24"/>
          <w14:textFill>
            <w14:solidFill>
              <w14:schemeClr w14:val="tx1"/>
            </w14:solidFill>
          </w14:textFill>
        </w:rPr>
        <w:t>.4.1提供虚假材料谋取中标的；</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30</w:t>
      </w:r>
      <w:r>
        <w:rPr>
          <w:rStyle w:val="44"/>
          <w:rFonts w:hint="eastAsia" w:ascii="宋体" w:hAnsi="宋体"/>
          <w:color w:val="000000" w:themeColor="text1"/>
          <w:sz w:val="24"/>
          <w:szCs w:val="24"/>
          <w14:textFill>
            <w14:solidFill>
              <w14:schemeClr w14:val="tx1"/>
            </w14:solidFill>
          </w14:textFill>
        </w:rPr>
        <w:t>.4.2向采购人或采购代理机构行贿或者提供其他不正当利益的；</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30</w:t>
      </w:r>
      <w:r>
        <w:rPr>
          <w:rStyle w:val="44"/>
          <w:rFonts w:hint="eastAsia" w:ascii="宋体" w:hAnsi="宋体"/>
          <w:color w:val="000000" w:themeColor="text1"/>
          <w:sz w:val="24"/>
          <w:szCs w:val="24"/>
          <w14:textFill>
            <w14:solidFill>
              <w14:schemeClr w14:val="tx1"/>
            </w14:solidFill>
          </w14:textFill>
        </w:rPr>
        <w:t>.4.3恶意竞争，投标总报价明显低于其自身合理成本且又无法提供证明的；</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30.4.4属于本文件规定的无效条件，但在评标过程中又未被评委会发现的；</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30.4.5与采购人或者其他供应商恶意串通的；</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30.4.6采取不正当手段诋毁、排挤其他供应商的；</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30.4.7不符合法律、法规的规定的。</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 xml:space="preserve">30.5. </w:t>
      </w:r>
      <w:r>
        <w:rPr>
          <w:rStyle w:val="44"/>
          <w:rFonts w:hint="eastAsia" w:ascii="宋体" w:hAnsi="宋体"/>
          <w:color w:val="000000" w:themeColor="text1"/>
          <w:kern w:val="0"/>
          <w:sz w:val="24"/>
          <w:szCs w:val="24"/>
          <w14:textFill>
            <w14:solidFill>
              <w14:schemeClr w14:val="tx1"/>
            </w14:solidFill>
          </w14:textFill>
        </w:rPr>
        <w:t>有下列情形之一的，视为投标人串通投标，投标无效：</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30.5.1不同投标人的投标文件由同一单位或者个人编制。</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30.5.2不同投标人委托同一单位或者个人办理投标事宜。</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30.5.3 不同投标人的投标文件载明的项目管理成员或者联系人员为同一人。</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30.5.4不同投标人的投标文件异常一致或者投标报价呈规律性差异。</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30.5.5不同投标人的投标文件相互混装。</w:t>
      </w:r>
    </w:p>
    <w:p>
      <w:pPr>
        <w:pStyle w:val="38"/>
        <w:tabs>
          <w:tab w:val="left" w:pos="4120"/>
        </w:tabs>
        <w:snapToGrid w:val="0"/>
        <w:spacing w:before="0" w:after="0" w:line="360" w:lineRule="auto"/>
        <w:ind w:firstLine="480" w:firstLineChars="200"/>
        <w:rPr>
          <w:rStyle w:val="44"/>
          <w:rFonts w:ascii="宋体" w:hAnsi="宋体"/>
          <w:b w:val="0"/>
          <w:color w:val="000000" w:themeColor="text1"/>
          <w:sz w:val="24"/>
          <w:szCs w:val="24"/>
          <w14:textFill>
            <w14:solidFill>
              <w14:schemeClr w14:val="tx1"/>
            </w14:solidFill>
          </w14:textFill>
        </w:rPr>
      </w:pPr>
      <w:r>
        <w:rPr>
          <w:rStyle w:val="44"/>
          <w:rFonts w:hint="eastAsia" w:ascii="宋体" w:hAnsi="宋体"/>
          <w:b w:val="0"/>
          <w:color w:val="000000" w:themeColor="text1"/>
          <w:sz w:val="24"/>
          <w:szCs w:val="24"/>
          <w14:textFill>
            <w14:solidFill>
              <w14:schemeClr w14:val="tx1"/>
            </w14:solidFill>
          </w14:textFill>
        </w:rPr>
        <w:t>31、质疑处理</w:t>
      </w:r>
      <w:r>
        <w:rPr>
          <w:rStyle w:val="44"/>
          <w:rFonts w:hint="eastAsia" w:ascii="宋体" w:hAnsi="宋体"/>
          <w:b w:val="0"/>
          <w:color w:val="000000" w:themeColor="text1"/>
          <w:sz w:val="24"/>
          <w:szCs w:val="24"/>
          <w14:textFill>
            <w14:solidFill>
              <w14:schemeClr w14:val="tx1"/>
            </w14:solidFill>
          </w14:textFill>
        </w:rPr>
        <w:tab/>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4"/>
          <w:rFonts w:ascii="宋体" w:hAnsi="宋体"/>
          <w:color w:val="000000" w:themeColor="text1"/>
          <w:kern w:val="0"/>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31.1.1</w:t>
      </w:r>
      <w:r>
        <w:rPr>
          <w:rStyle w:val="44"/>
          <w:rFonts w:hint="eastAsia" w:ascii="宋体" w:hAnsi="宋体"/>
          <w:color w:val="000000" w:themeColor="text1"/>
          <w:kern w:val="0"/>
          <w:sz w:val="24"/>
          <w:szCs w:val="24"/>
          <w14:textFill>
            <w14:solidFill>
              <w14:schemeClr w14:val="tx1"/>
            </w14:solidFill>
          </w14:textFill>
        </w:rPr>
        <w:t>对可以质疑的招标文件提出质疑的，为收到招标文件之日或者招标文件公告期限届满之日；</w:t>
      </w:r>
    </w:p>
    <w:p>
      <w:pPr>
        <w:snapToGrid w:val="0"/>
        <w:spacing w:line="360" w:lineRule="auto"/>
        <w:ind w:firstLine="480" w:firstLineChars="200"/>
        <w:rPr>
          <w:rStyle w:val="44"/>
          <w:rFonts w:ascii="宋体" w:hAnsi="宋体"/>
          <w:color w:val="000000" w:themeColor="text1"/>
          <w:kern w:val="0"/>
          <w:sz w:val="24"/>
          <w:szCs w:val="24"/>
          <w14:textFill>
            <w14:solidFill>
              <w14:schemeClr w14:val="tx1"/>
            </w14:solidFill>
          </w14:textFill>
        </w:rPr>
      </w:pPr>
      <w:r>
        <w:rPr>
          <w:rStyle w:val="44"/>
          <w:rFonts w:hint="eastAsia" w:ascii="宋体" w:hAnsi="宋体"/>
          <w:color w:val="000000" w:themeColor="text1"/>
          <w:kern w:val="0"/>
          <w:sz w:val="24"/>
          <w:szCs w:val="24"/>
          <w14:textFill>
            <w14:solidFill>
              <w14:schemeClr w14:val="tx1"/>
            </w14:solidFill>
          </w14:textFill>
        </w:rPr>
        <w:t>　　</w:t>
      </w:r>
      <w:r>
        <w:rPr>
          <w:rStyle w:val="44"/>
          <w:rFonts w:hint="eastAsia" w:ascii="宋体" w:hAnsi="宋体"/>
          <w:color w:val="000000" w:themeColor="text1"/>
          <w:sz w:val="24"/>
          <w:szCs w:val="24"/>
          <w14:textFill>
            <w14:solidFill>
              <w14:schemeClr w14:val="tx1"/>
            </w14:solidFill>
          </w14:textFill>
        </w:rPr>
        <w:t>31.1.2</w:t>
      </w:r>
      <w:r>
        <w:rPr>
          <w:rStyle w:val="44"/>
          <w:rFonts w:hint="eastAsia" w:ascii="宋体" w:hAnsi="宋体"/>
          <w:color w:val="000000" w:themeColor="text1"/>
          <w:kern w:val="0"/>
          <w:sz w:val="24"/>
          <w:szCs w:val="24"/>
          <w14:textFill>
            <w14:solidFill>
              <w14:schemeClr w14:val="tx1"/>
            </w14:solidFill>
          </w14:textFill>
        </w:rPr>
        <w:t>对采购过程提出质疑的，为各采购程序环节结束之日；</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kern w:val="0"/>
          <w:sz w:val="24"/>
          <w:szCs w:val="24"/>
          <w14:textFill>
            <w14:solidFill>
              <w14:schemeClr w14:val="tx1"/>
            </w14:solidFill>
          </w14:textFill>
        </w:rPr>
        <w:t>　　</w:t>
      </w:r>
      <w:r>
        <w:rPr>
          <w:rStyle w:val="44"/>
          <w:rFonts w:hint="eastAsia" w:ascii="宋体" w:hAnsi="宋体"/>
          <w:color w:val="000000" w:themeColor="text1"/>
          <w:sz w:val="24"/>
          <w:szCs w:val="24"/>
          <w14:textFill>
            <w14:solidFill>
              <w14:schemeClr w14:val="tx1"/>
            </w14:solidFill>
          </w14:textFill>
        </w:rPr>
        <w:t>31.1.3</w:t>
      </w:r>
      <w:r>
        <w:rPr>
          <w:rStyle w:val="44"/>
          <w:rFonts w:hint="eastAsia" w:ascii="宋体" w:hAnsi="宋体"/>
          <w:color w:val="000000" w:themeColor="text1"/>
          <w:kern w:val="0"/>
          <w:sz w:val="24"/>
          <w:szCs w:val="24"/>
          <w14:textFill>
            <w14:solidFill>
              <w14:schemeClr w14:val="tx1"/>
            </w14:solidFill>
          </w14:textFill>
        </w:rPr>
        <w:t>对中标结果提出质疑的，为中标结果公告期限届满之日。</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31.4质疑函应当包括下列内容：</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31.4.1质疑投标人的名称、地址、邮编、联系人、联系电话；</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31.4.2具体的质疑事项及明确的请求；</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31.4.3认为自己合法权益受到损害或可能受到损害的相关证据材料；</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31.4.4提起质疑的日期；</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8"/>
        <w:snapToGrid w:val="0"/>
        <w:spacing w:before="0" w:after="0" w:line="360" w:lineRule="auto"/>
        <w:ind w:firstLine="480" w:firstLineChars="200"/>
        <w:rPr>
          <w:rStyle w:val="44"/>
          <w:rFonts w:ascii="宋体" w:hAnsi="宋体"/>
          <w:b w:val="0"/>
          <w:color w:val="000000" w:themeColor="text1"/>
          <w:sz w:val="24"/>
          <w:szCs w:val="24"/>
          <w14:textFill>
            <w14:solidFill>
              <w14:schemeClr w14:val="tx1"/>
            </w14:solidFill>
          </w14:textFill>
        </w:rPr>
      </w:pPr>
      <w:r>
        <w:rPr>
          <w:rStyle w:val="44"/>
          <w:rFonts w:hint="eastAsia" w:ascii="宋体" w:hAnsi="宋体"/>
          <w:b w:val="0"/>
          <w:color w:val="000000" w:themeColor="text1"/>
          <w:sz w:val="24"/>
          <w:szCs w:val="24"/>
          <w14:textFill>
            <w14:solidFill>
              <w14:schemeClr w14:val="tx1"/>
            </w14:solidFill>
          </w14:textFill>
        </w:rPr>
        <w:t>32、中标通知书</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32.l中标结果确定后，采购人将向中标供应商发出中标通知书。</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pPr>
        <w:pStyle w:val="37"/>
        <w:snapToGrid w:val="0"/>
        <w:spacing w:before="0" w:after="0" w:line="360" w:lineRule="auto"/>
        <w:ind w:firstLine="482"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七、合同签订相关事项</w:t>
      </w:r>
    </w:p>
    <w:p>
      <w:pPr>
        <w:pStyle w:val="38"/>
        <w:snapToGrid w:val="0"/>
        <w:spacing w:before="0" w:after="0" w:line="360" w:lineRule="auto"/>
        <w:ind w:firstLine="480" w:firstLineChars="200"/>
        <w:rPr>
          <w:rStyle w:val="44"/>
          <w:rFonts w:ascii="宋体" w:hAnsi="宋体"/>
          <w:b w:val="0"/>
          <w:color w:val="000000" w:themeColor="text1"/>
          <w:sz w:val="24"/>
          <w:szCs w:val="24"/>
          <w14:textFill>
            <w14:solidFill>
              <w14:schemeClr w14:val="tx1"/>
            </w14:solidFill>
          </w14:textFill>
        </w:rPr>
      </w:pPr>
      <w:r>
        <w:rPr>
          <w:rStyle w:val="44"/>
          <w:rFonts w:hint="eastAsia" w:ascii="宋体" w:hAnsi="宋体"/>
          <w:b w:val="0"/>
          <w:color w:val="000000" w:themeColor="text1"/>
          <w:sz w:val="24"/>
          <w:szCs w:val="24"/>
          <w14:textFill>
            <w14:solidFill>
              <w14:schemeClr w14:val="tx1"/>
            </w14:solidFill>
          </w14:textFill>
        </w:rPr>
        <w:t>33. 签订合同</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33</w:t>
      </w:r>
      <w:r>
        <w:rPr>
          <w:rStyle w:val="44"/>
          <w:rFonts w:hint="eastAsia" w:ascii="宋体" w:hAnsi="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33.2招标文件、中标供应商的投标文件及招标过程中有关澄清、承诺文件均应作为合同附件。</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8"/>
        <w:snapToGrid w:val="0"/>
        <w:spacing w:before="0" w:after="0" w:line="360" w:lineRule="auto"/>
        <w:ind w:firstLine="480" w:firstLineChars="200"/>
        <w:rPr>
          <w:rStyle w:val="44"/>
          <w:rFonts w:ascii="宋体" w:hAnsi="宋体"/>
          <w:b w:val="0"/>
          <w:color w:val="000000" w:themeColor="text1"/>
          <w:sz w:val="24"/>
          <w:szCs w:val="24"/>
          <w14:textFill>
            <w14:solidFill>
              <w14:schemeClr w14:val="tx1"/>
            </w14:solidFill>
          </w14:textFill>
        </w:rPr>
      </w:pPr>
      <w:r>
        <w:rPr>
          <w:rStyle w:val="44"/>
          <w:rFonts w:hint="eastAsia" w:ascii="宋体" w:hAnsi="宋体"/>
          <w:b w:val="0"/>
          <w:color w:val="000000" w:themeColor="text1"/>
          <w:sz w:val="24"/>
          <w:szCs w:val="24"/>
          <w14:textFill>
            <w14:solidFill>
              <w14:schemeClr w14:val="tx1"/>
            </w14:solidFill>
          </w14:textFill>
        </w:rPr>
        <w:t>34、货物和服务的追加、减少和添购。</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4"/>
          <w:rFonts w:ascii="宋体" w:hAnsi="宋体"/>
          <w:b/>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4"/>
          <w:rFonts w:ascii="宋体" w:hAnsi="宋体"/>
          <w:bCs/>
          <w:color w:val="000000" w:themeColor="text1"/>
          <w:sz w:val="24"/>
          <w:szCs w:val="24"/>
          <w14:textFill>
            <w14:solidFill>
              <w14:schemeClr w14:val="tx1"/>
            </w14:solidFill>
          </w14:textFill>
        </w:rPr>
      </w:pPr>
      <w:r>
        <w:rPr>
          <w:rStyle w:val="44"/>
          <w:rFonts w:hint="eastAsia" w:ascii="宋体" w:hAnsi="宋体"/>
          <w:bCs/>
          <w:color w:val="000000" w:themeColor="text1"/>
          <w:sz w:val="24"/>
          <w:szCs w:val="24"/>
          <w14:textFill>
            <w14:solidFill>
              <w14:schemeClr w14:val="tx1"/>
            </w14:solidFill>
          </w14:textFill>
        </w:rPr>
        <w:t>35、履约保证金</w:t>
      </w:r>
    </w:p>
    <w:p>
      <w:pPr>
        <w:tabs>
          <w:tab w:val="left" w:pos="900"/>
        </w:tabs>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b/>
          <w:color w:val="000000" w:themeColor="text1"/>
          <w:sz w:val="24"/>
          <w:szCs w:val="24"/>
          <w14:textFill>
            <w14:solidFill>
              <w14:schemeClr w14:val="tx1"/>
            </w14:solidFill>
          </w14:textFill>
        </w:rPr>
        <w:t>36、政府采购履约资金扶持政策</w:t>
      </w:r>
    </w:p>
    <w:p>
      <w:pPr>
        <w:snapToGrid w:val="0"/>
        <w:spacing w:line="360" w:lineRule="auto"/>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ind w:firstLine="1767" w:firstLineChars="400"/>
        <w:rPr>
          <w:rStyle w:val="44"/>
          <w:rFonts w:ascii="宋体" w:hAnsi="宋体"/>
          <w:b/>
          <w:color w:val="000000" w:themeColor="text1"/>
          <w:sz w:val="44"/>
          <w14:textFill>
            <w14:solidFill>
              <w14:schemeClr w14:val="tx1"/>
            </w14:solidFill>
          </w14:textFill>
        </w:rPr>
      </w:pPr>
      <w:bookmarkStart w:id="12" w:name="_Toc22434"/>
      <w:bookmarkStart w:id="13" w:name="_Toc4415"/>
      <w:r>
        <w:rPr>
          <w:rStyle w:val="44"/>
          <w:rFonts w:hint="eastAsia" w:ascii="宋体" w:hAnsi="宋体"/>
          <w:b/>
          <w:color w:val="000000" w:themeColor="text1"/>
          <w:sz w:val="44"/>
          <w14:textFill>
            <w14:solidFill>
              <w14:schemeClr w14:val="tx1"/>
            </w14:solidFill>
          </w14:textFill>
        </w:rPr>
        <w:br w:type="page"/>
      </w:r>
      <w:r>
        <w:rPr>
          <w:rStyle w:val="44"/>
          <w:rFonts w:hint="eastAsia" w:ascii="宋体" w:hAnsi="宋体"/>
          <w:b/>
          <w:color w:val="000000" w:themeColor="text1"/>
          <w:sz w:val="44"/>
          <w14:textFill>
            <w14:solidFill>
              <w14:schemeClr w14:val="tx1"/>
            </w14:solidFill>
          </w14:textFill>
        </w:rPr>
        <w:t>第三章  合同条款及格式</w:t>
      </w:r>
      <w:bookmarkEnd w:id="12"/>
      <w:bookmarkEnd w:id="13"/>
    </w:p>
    <w:p>
      <w:pPr>
        <w:spacing w:line="440" w:lineRule="exact"/>
        <w:ind w:firstLine="480" w:firstLineChars="200"/>
        <w:rPr>
          <w:rStyle w:val="44"/>
          <w:rFonts w:ascii="宋体" w:hAnsi="宋体"/>
          <w:bCs/>
          <w:color w:val="000000" w:themeColor="text1"/>
          <w:sz w:val="24"/>
          <w14:textFill>
            <w14:solidFill>
              <w14:schemeClr w14:val="tx1"/>
            </w14:solidFill>
          </w14:textFill>
        </w:rPr>
      </w:pPr>
      <w:r>
        <w:rPr>
          <w:rStyle w:val="44"/>
          <w:rFonts w:hint="eastAsia" w:ascii="宋体" w:hAnsi="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napToGrid w:val="0"/>
        <w:spacing w:line="440" w:lineRule="exact"/>
        <w:jc w:val="center"/>
        <w:rPr>
          <w:rStyle w:val="44"/>
          <w:rFonts w:ascii="宋体" w:hAnsi="宋体"/>
          <w:b/>
          <w:color w:val="000000" w:themeColor="text1"/>
          <w:sz w:val="30"/>
          <w:szCs w:val="20"/>
          <w14:textFill>
            <w14:solidFill>
              <w14:schemeClr w14:val="tx1"/>
            </w14:solidFill>
          </w14:textFill>
        </w:rPr>
      </w:pPr>
      <w:r>
        <w:rPr>
          <w:rStyle w:val="44"/>
          <w:rFonts w:hint="eastAsia" w:ascii="宋体" w:hAnsi="宋体"/>
          <w:b/>
          <w:color w:val="000000" w:themeColor="text1"/>
          <w:sz w:val="30"/>
          <w14:textFill>
            <w14:solidFill>
              <w14:schemeClr w14:val="tx1"/>
            </w14:solidFill>
          </w14:textFill>
        </w:rPr>
        <w:t>采购合同（格式）</w:t>
      </w:r>
    </w:p>
    <w:p>
      <w:pPr>
        <w:pStyle w:val="19"/>
        <w:widowControl w:val="0"/>
        <w:snapToGrid w:val="0"/>
        <w:spacing w:before="0" w:beforeAutospacing="0" w:after="0" w:afterAutospacing="0" w:line="460" w:lineRule="exact"/>
        <w:ind w:firstLine="480" w:firstLineChars="200"/>
        <w:rPr>
          <w:color w:val="000000" w:themeColor="text1"/>
          <w:szCs w:val="24"/>
          <w14:textFill>
            <w14:solidFill>
              <w14:schemeClr w14:val="tx1"/>
            </w14:solidFill>
          </w14:textFill>
        </w:rPr>
      </w:pPr>
      <w:r>
        <w:rPr>
          <w:rFonts w:hint="eastAsia"/>
          <w:color w:val="000000" w:themeColor="text1"/>
          <w:kern w:val="2"/>
          <w:szCs w:val="24"/>
          <w14:textFill>
            <w14:solidFill>
              <w14:schemeClr w14:val="tx1"/>
            </w14:solidFill>
          </w14:textFill>
        </w:rPr>
        <w:t>项目名称：</w:t>
      </w:r>
      <w:r>
        <w:rPr>
          <w:rFonts w:hint="eastAsia"/>
          <w:color w:val="000000" w:themeColor="text1"/>
          <w:kern w:val="2"/>
          <w:szCs w:val="24"/>
          <w:u w:val="single"/>
          <w14:textFill>
            <w14:solidFill>
              <w14:schemeClr w14:val="tx1"/>
            </w14:solidFill>
          </w14:textFill>
        </w:rPr>
        <w:t>盐城工业职业技术学院数据中心和数据治理平台</w:t>
      </w:r>
    </w:p>
    <w:p>
      <w:pPr>
        <w:pStyle w:val="19"/>
        <w:widowControl w:val="0"/>
        <w:snapToGrid w:val="0"/>
        <w:spacing w:before="0" w:beforeAutospacing="0" w:after="0" w:afterAutospacing="0" w:line="460" w:lineRule="exact"/>
        <w:ind w:firstLine="480" w:firstLineChars="200"/>
        <w:rPr>
          <w:color w:val="000000" w:themeColor="text1"/>
          <w:szCs w:val="24"/>
          <w14:textFill>
            <w14:solidFill>
              <w14:schemeClr w14:val="tx1"/>
            </w14:solidFill>
          </w14:textFill>
        </w:rPr>
      </w:pPr>
      <w:r>
        <w:rPr>
          <w:rFonts w:hint="eastAsia"/>
          <w:color w:val="000000" w:themeColor="text1"/>
          <w:kern w:val="2"/>
          <w:szCs w:val="24"/>
          <w14:textFill>
            <w14:solidFill>
              <w14:schemeClr w14:val="tx1"/>
            </w14:solidFill>
          </w14:textFill>
        </w:rPr>
        <w:t>项目编号：</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rFonts w:hint="eastAsia"/>
          <w:color w:val="000000" w:themeColor="text1"/>
          <w:kern w:val="2"/>
          <w:szCs w:val="24"/>
          <w14:textFill>
            <w14:solidFill>
              <w14:schemeClr w14:val="tx1"/>
            </w14:solidFill>
          </w14:textFill>
        </w:rPr>
        <w:t>甲方：（买方）</w:t>
      </w:r>
      <w:r>
        <w:rPr>
          <w:rFonts w:hint="eastAsia"/>
          <w:color w:val="000000" w:themeColor="text1"/>
          <w:kern w:val="2"/>
          <w:szCs w:val="24"/>
          <w:u w:val="single"/>
          <w14:textFill>
            <w14:solidFill>
              <w14:schemeClr w14:val="tx1"/>
            </w14:solidFill>
          </w14:textFill>
        </w:rPr>
        <w:t>盐城工业职业技术学院</w:t>
      </w:r>
    </w:p>
    <w:p>
      <w:pPr>
        <w:pStyle w:val="19"/>
        <w:widowControl w:val="0"/>
        <w:snapToGrid w:val="0"/>
        <w:spacing w:before="0" w:beforeAutospacing="0" w:after="0" w:afterAutospacing="0" w:line="460" w:lineRule="exact"/>
        <w:ind w:firstLine="480" w:firstLineChars="200"/>
        <w:jc w:val="both"/>
        <w:rPr>
          <w:color w:val="000000" w:themeColor="text1"/>
          <w:szCs w:val="24"/>
          <w:u w:val="single"/>
          <w14:textFill>
            <w14:solidFill>
              <w14:schemeClr w14:val="tx1"/>
            </w14:solidFill>
          </w14:textFill>
        </w:rPr>
      </w:pPr>
      <w:r>
        <w:rPr>
          <w:rFonts w:hint="eastAsia"/>
          <w:color w:val="000000" w:themeColor="text1"/>
          <w:kern w:val="2"/>
          <w:szCs w:val="24"/>
          <w14:textFill>
            <w14:solidFill>
              <w14:schemeClr w14:val="tx1"/>
            </w14:solidFill>
          </w14:textFill>
        </w:rPr>
        <w:t>乙方：（卖方）</w:t>
      </w:r>
    </w:p>
    <w:p>
      <w:pPr>
        <w:spacing w:line="460" w:lineRule="exact"/>
        <w:ind w:firstLine="480" w:firstLineChars="200"/>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甲、乙双方根据</w:t>
      </w:r>
      <w:r>
        <w:rPr>
          <w:rFonts w:hint="eastAsia" w:ascii="宋体" w:hAnsi="宋体"/>
          <w:color w:val="000000" w:themeColor="text1"/>
          <w:sz w:val="24"/>
          <w:szCs w:val="24"/>
          <w:u w:val="single"/>
          <w14:textFill>
            <w14:solidFill>
              <w14:schemeClr w14:val="tx1"/>
            </w14:solidFill>
          </w14:textFill>
        </w:rPr>
        <w:t>盐城工业职业技术学院</w:t>
      </w:r>
      <w:r>
        <w:rPr>
          <w:rStyle w:val="44"/>
          <w:rFonts w:hint="eastAsia" w:ascii="宋体" w:hAnsi="宋体"/>
          <w:bCs/>
          <w:color w:val="000000" w:themeColor="text1"/>
          <w:sz w:val="24"/>
          <w:szCs w:val="24"/>
          <w:u w:val="single"/>
          <w14:textFill>
            <w14:solidFill>
              <w14:schemeClr w14:val="tx1"/>
            </w14:solidFill>
          </w14:textFill>
        </w:rPr>
        <w:t>数据中心和数据治理平台</w:t>
      </w:r>
      <w:r>
        <w:rPr>
          <w:rFonts w:hint="eastAsia" w:ascii="宋体" w:hAnsi="宋体"/>
          <w:color w:val="000000" w:themeColor="text1"/>
          <w:sz w:val="24"/>
          <w:szCs w:val="24"/>
          <w14:textFill>
            <w14:solidFill>
              <w14:schemeClr w14:val="tx1"/>
            </w14:solidFill>
          </w14:textFill>
        </w:rPr>
        <w:t>公开招标的结果，签署本合同。</w:t>
      </w:r>
    </w:p>
    <w:p>
      <w:pPr>
        <w:pStyle w:val="19"/>
        <w:widowControl w:val="0"/>
        <w:snapToGrid w:val="0"/>
        <w:spacing w:before="0" w:beforeAutospacing="0" w:after="0" w:afterAutospacing="0" w:line="460" w:lineRule="exact"/>
        <w:ind w:firstLine="482" w:firstLineChars="200"/>
        <w:jc w:val="both"/>
        <w:rPr>
          <w:b/>
          <w:color w:val="000000" w:themeColor="text1"/>
          <w:szCs w:val="24"/>
          <w14:textFill>
            <w14:solidFill>
              <w14:schemeClr w14:val="tx1"/>
            </w14:solidFill>
          </w14:textFill>
        </w:rPr>
      </w:pPr>
      <w:r>
        <w:rPr>
          <w:rFonts w:hint="eastAsia"/>
          <w:b/>
          <w:color w:val="000000" w:themeColor="text1"/>
          <w:kern w:val="2"/>
          <w:szCs w:val="24"/>
          <w14:textFill>
            <w14:solidFill>
              <w14:schemeClr w14:val="tx1"/>
            </w14:solidFill>
          </w14:textFill>
        </w:rPr>
        <w:t>一、项目内容</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rFonts w:hint="eastAsia"/>
          <w:color w:val="000000" w:themeColor="text1"/>
          <w:kern w:val="2"/>
          <w:szCs w:val="24"/>
          <w14:textFill>
            <w14:solidFill>
              <w14:schemeClr w14:val="tx1"/>
            </w14:solidFill>
          </w14:textFill>
        </w:rPr>
        <w:t>1.1 项目名称：</w:t>
      </w:r>
      <w:r>
        <w:rPr>
          <w:rFonts w:hint="eastAsia"/>
          <w:color w:val="000000" w:themeColor="text1"/>
          <w:kern w:val="2"/>
          <w:szCs w:val="24"/>
          <w:u w:val="single"/>
          <w14:textFill>
            <w14:solidFill>
              <w14:schemeClr w14:val="tx1"/>
            </w14:solidFill>
          </w14:textFill>
        </w:rPr>
        <w:t>盐城工业职业技术学院</w:t>
      </w:r>
      <w:r>
        <w:rPr>
          <w:rStyle w:val="44"/>
          <w:rFonts w:hint="eastAsia"/>
          <w:bCs/>
          <w:color w:val="000000" w:themeColor="text1"/>
          <w:szCs w:val="24"/>
          <w:u w:val="single"/>
          <w14:textFill>
            <w14:solidFill>
              <w14:schemeClr w14:val="tx1"/>
            </w14:solidFill>
          </w14:textFill>
        </w:rPr>
        <w:t>数据中心和数据治理平台</w:t>
      </w:r>
      <w:r>
        <w:rPr>
          <w:rFonts w:hint="eastAsia"/>
          <w:color w:val="000000" w:themeColor="text1"/>
          <w:kern w:val="2"/>
          <w:szCs w:val="24"/>
          <w:u w:val="single"/>
          <w14:textFill>
            <w14:solidFill>
              <w14:schemeClr w14:val="tx1"/>
            </w14:solidFill>
          </w14:textFill>
        </w:rPr>
        <w:t>。</w:t>
      </w:r>
    </w:p>
    <w:p>
      <w:pPr>
        <w:pStyle w:val="19"/>
        <w:spacing w:before="0" w:beforeAutospacing="0" w:after="0" w:afterAutospacing="0" w:line="460" w:lineRule="exact"/>
        <w:ind w:firstLine="480" w:firstLineChars="200"/>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1.2 型号规格及其他要求：详按项目需求。</w:t>
      </w:r>
    </w:p>
    <w:p>
      <w:pPr>
        <w:pStyle w:val="19"/>
        <w:spacing w:before="0" w:beforeAutospacing="0" w:after="0" w:afterAutospacing="0" w:line="460" w:lineRule="exact"/>
        <w:ind w:firstLine="480" w:firstLineChars="200"/>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1.3 数量（单位）：详按项目需求。</w:t>
      </w:r>
    </w:p>
    <w:p>
      <w:pPr>
        <w:pStyle w:val="19"/>
        <w:spacing w:before="0" w:beforeAutospacing="0" w:after="0" w:afterAutospacing="0" w:line="460" w:lineRule="exact"/>
        <w:ind w:firstLine="480" w:firstLineChars="200"/>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1.4合同履行期限：</w:t>
      </w:r>
    </w:p>
    <w:p>
      <w:pPr>
        <w:pStyle w:val="19"/>
        <w:spacing w:before="0" w:beforeAutospacing="0" w:after="0" w:afterAutospacing="0" w:line="460" w:lineRule="exact"/>
        <w:ind w:firstLine="480" w:firstLineChars="200"/>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1.4.1软件产品交货期：签订合同后20天（如甲方需要延时交付，可另行约定时间）</w:t>
      </w:r>
    </w:p>
    <w:p>
      <w:pPr>
        <w:pStyle w:val="19"/>
        <w:spacing w:before="0" w:beforeAutospacing="0" w:after="0" w:afterAutospacing="0" w:line="460" w:lineRule="exact"/>
        <w:ind w:firstLine="480" w:firstLineChars="200"/>
        <w:textAlignment w:val="auto"/>
        <w:rPr>
          <w:b/>
          <w:color w:val="000000" w:themeColor="text1"/>
          <w:kern w:val="2"/>
          <w:szCs w:val="24"/>
          <w14:textFill>
            <w14:solidFill>
              <w14:schemeClr w14:val="tx1"/>
            </w14:solidFill>
          </w14:textFill>
        </w:rPr>
      </w:pPr>
      <w:r>
        <w:rPr>
          <w:rFonts w:hint="eastAsia"/>
          <w:color w:val="000000" w:themeColor="text1"/>
          <w:szCs w:val="24"/>
          <w14:textFill>
            <w14:solidFill>
              <w14:schemeClr w14:val="tx1"/>
            </w14:solidFill>
          </w14:textFill>
        </w:rPr>
        <w:t>1.4.2建设期：签订合同后1年，自合同签订之日起计算</w:t>
      </w:r>
      <w:r>
        <w:rPr>
          <w:rFonts w:hint="eastAsia" w:ascii="仿宋_GB2312" w:eastAsia="仿宋_GB2312"/>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如甲方认为建设未达需求，不能达到验收标准，可延长建设期）。</w:t>
      </w:r>
    </w:p>
    <w:p>
      <w:pPr>
        <w:pStyle w:val="19"/>
        <w:widowControl w:val="0"/>
        <w:snapToGrid w:val="0"/>
        <w:spacing w:before="0" w:beforeAutospacing="0" w:after="0" w:afterAutospacing="0" w:line="460" w:lineRule="exact"/>
        <w:ind w:firstLine="482" w:firstLineChars="200"/>
        <w:jc w:val="both"/>
        <w:rPr>
          <w:b/>
          <w:color w:val="000000" w:themeColor="text1"/>
          <w:szCs w:val="24"/>
          <w14:textFill>
            <w14:solidFill>
              <w14:schemeClr w14:val="tx1"/>
            </w14:solidFill>
          </w14:textFill>
        </w:rPr>
      </w:pPr>
      <w:r>
        <w:rPr>
          <w:rFonts w:hint="eastAsia"/>
          <w:b/>
          <w:color w:val="000000" w:themeColor="text1"/>
          <w:kern w:val="2"/>
          <w:szCs w:val="24"/>
          <w14:textFill>
            <w14:solidFill>
              <w14:schemeClr w14:val="tx1"/>
            </w14:solidFill>
          </w14:textFill>
        </w:rPr>
        <w:t>二、合同金额</w:t>
      </w:r>
    </w:p>
    <w:p>
      <w:pPr>
        <w:widowControl w:val="0"/>
        <w:spacing w:line="460" w:lineRule="exact"/>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2.1 本合同金额（大写）：________元（￥_______________元）人民币。</w:t>
      </w:r>
    </w:p>
    <w:p>
      <w:pPr>
        <w:pStyle w:val="2"/>
        <w:spacing w:line="460" w:lineRule="exact"/>
        <w:ind w:firstLine="480" w:firstLineChars="200"/>
        <w:rPr>
          <w:rFonts w:ascii="宋体" w:hAnsi="宋体" w:cs="宋体"/>
          <w:bCs/>
          <w:color w:val="000000" w:themeColor="text1"/>
          <w:kern w:val="2"/>
          <w14:textFill>
            <w14:solidFill>
              <w14:schemeClr w14:val="tx1"/>
            </w14:solidFill>
          </w14:textFill>
        </w:rPr>
      </w:pPr>
      <w:r>
        <w:rPr>
          <w:rFonts w:hint="eastAsia" w:ascii="宋体" w:hAnsi="宋体" w:cs="宋体"/>
          <w:bCs/>
          <w:color w:val="000000" w:themeColor="text1"/>
          <w:kern w:val="2"/>
          <w14:textFill>
            <w14:solidFill>
              <w14:schemeClr w14:val="tx1"/>
            </w14:solidFill>
          </w14:textFill>
        </w:rPr>
        <w:t>2.2 合同总额包含项目建设、验收的所有费用（含合理性变更费用在内）、培训维护、售后服务、税金、利润至平台正常运行交付使用的一切全部费用。项目各个过程中涉及到的必要验收费用，由乙方负责。项目实施过程中，甲方不再支付任何费用。</w:t>
      </w:r>
    </w:p>
    <w:p>
      <w:pPr>
        <w:spacing w:line="46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2.3 质保期满后，延保金额</w:t>
      </w:r>
      <w:r>
        <w:rPr>
          <w:rFonts w:hint="eastAsia" w:asciiTheme="minorEastAsia" w:hAnsiTheme="minorEastAsia" w:eastAsiaTheme="minorEastAsia" w:cstheme="minorEastAsia"/>
          <w:color w:val="000000" w:themeColor="text1"/>
          <w:sz w:val="24"/>
          <w:szCs w:val="24"/>
          <w14:textFill>
            <w14:solidFill>
              <w14:schemeClr w14:val="tx1"/>
            </w14:solidFill>
          </w14:textFill>
        </w:rPr>
        <w:t>（大写）：________元/年（￥______________元/年）人民币。</w:t>
      </w:r>
    </w:p>
    <w:p>
      <w:pPr>
        <w:spacing w:line="460" w:lineRule="exact"/>
        <w:ind w:firstLine="480" w:firstLineChars="200"/>
        <w:rPr>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2.4 延</w:t>
      </w:r>
      <w:r>
        <w:rPr>
          <w:rFonts w:hint="eastAsia" w:ascii="宋体" w:hAnsi="宋体"/>
          <w:bCs/>
          <w:color w:val="000000" w:themeColor="text1"/>
          <w:sz w:val="24"/>
          <w:szCs w:val="24"/>
          <w14:textFill>
            <w14:solidFill>
              <w14:schemeClr w14:val="tx1"/>
            </w14:solidFill>
          </w14:textFill>
        </w:rPr>
        <w:t>保金额包含质保期内平台正常运行使用的一切全部费用。项目质保期内，甲方不再支付质保相关的任何费用，包括且不限于人工、安全升级、工作量、培训、验收、税金、售后等。</w:t>
      </w:r>
    </w:p>
    <w:p>
      <w:pPr>
        <w:spacing w:line="46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2.5 质保期满后，原厂数据集成服务金额</w:t>
      </w:r>
      <w:r>
        <w:rPr>
          <w:rFonts w:hint="eastAsia" w:asciiTheme="minorEastAsia" w:hAnsiTheme="minorEastAsia" w:eastAsiaTheme="minorEastAsia" w:cstheme="minorEastAsia"/>
          <w:color w:val="000000" w:themeColor="text1"/>
          <w:sz w:val="24"/>
          <w:szCs w:val="24"/>
          <w14:textFill>
            <w14:solidFill>
              <w14:schemeClr w14:val="tx1"/>
            </w14:solidFill>
          </w14:textFill>
        </w:rPr>
        <w:t>（大写）：________元/个（￥_______________元/个）人民币。</w:t>
      </w:r>
    </w:p>
    <w:p>
      <w:pPr>
        <w:spacing w:line="460" w:lineRule="exact"/>
        <w:ind w:firstLine="480" w:firstLineChars="200"/>
        <w:rPr>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2.6 </w:t>
      </w:r>
      <w:r>
        <w:rPr>
          <w:rFonts w:hint="eastAsia" w:ascii="宋体" w:hAnsi="宋体"/>
          <w:bCs/>
          <w:color w:val="000000" w:themeColor="text1"/>
          <w:sz w:val="24"/>
          <w:szCs w:val="24"/>
          <w14:textFill>
            <w14:solidFill>
              <w14:schemeClr w14:val="tx1"/>
            </w14:solidFill>
          </w14:textFill>
        </w:rPr>
        <w:t>原厂数据集成服务金额包含数据集成相关的一切全部费用。数据集成服务期间，甲方不再支付集成相关的任何费用，包括且不限于人工、安全升级、工作量、培训、验收、税金、售后等。</w:t>
      </w:r>
    </w:p>
    <w:p>
      <w:pPr>
        <w:pStyle w:val="19"/>
        <w:widowControl w:val="0"/>
        <w:snapToGrid w:val="0"/>
        <w:spacing w:before="0" w:beforeAutospacing="0" w:after="0" w:afterAutospacing="0" w:line="460" w:lineRule="exact"/>
        <w:ind w:firstLine="482" w:firstLineChars="200"/>
        <w:jc w:val="both"/>
        <w:rPr>
          <w:b/>
          <w:color w:val="000000" w:themeColor="text1"/>
          <w:szCs w:val="24"/>
          <w14:textFill>
            <w14:solidFill>
              <w14:schemeClr w14:val="tx1"/>
            </w14:solidFill>
          </w14:textFill>
        </w:rPr>
      </w:pPr>
      <w:r>
        <w:rPr>
          <w:rFonts w:hint="eastAsia"/>
          <w:b/>
          <w:color w:val="000000" w:themeColor="text1"/>
          <w:kern w:val="2"/>
          <w:szCs w:val="24"/>
          <w14:textFill>
            <w14:solidFill>
              <w14:schemeClr w14:val="tx1"/>
            </w14:solidFill>
          </w14:textFill>
        </w:rPr>
        <w:t>三、技术资料</w:t>
      </w:r>
    </w:p>
    <w:p>
      <w:pPr>
        <w:spacing w:line="46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3.1乙方应按招标文件规定的时间向甲方提供使用货物（指需求中的建设资源，下同）和服务的有关技术资料。</w:t>
      </w:r>
    </w:p>
    <w:p>
      <w:pPr>
        <w:spacing w:line="46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3.</w:t>
      </w: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9"/>
        <w:widowControl w:val="0"/>
        <w:snapToGrid w:val="0"/>
        <w:spacing w:before="0" w:beforeAutospacing="0" w:after="0" w:afterAutospacing="0" w:line="460" w:lineRule="exact"/>
        <w:ind w:firstLine="482" w:firstLineChars="200"/>
        <w:jc w:val="both"/>
        <w:rPr>
          <w:b/>
          <w:color w:val="000000" w:themeColor="text1"/>
          <w:szCs w:val="24"/>
          <w14:textFill>
            <w14:solidFill>
              <w14:schemeClr w14:val="tx1"/>
            </w14:solidFill>
          </w14:textFill>
        </w:rPr>
      </w:pPr>
      <w:r>
        <w:rPr>
          <w:rFonts w:hint="eastAsia"/>
          <w:b/>
          <w:color w:val="000000" w:themeColor="text1"/>
          <w:kern w:val="2"/>
          <w:szCs w:val="24"/>
          <w14:textFill>
            <w14:solidFill>
              <w14:schemeClr w14:val="tx1"/>
            </w14:solidFill>
          </w14:textFill>
        </w:rPr>
        <w:t>四、知识产权</w:t>
      </w:r>
    </w:p>
    <w:p>
      <w:pPr>
        <w:spacing w:line="46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4.1乙方为本项目开发的应用系统的所有权利（包括但不限于所有权、知识产权等）及源代码归甲方所有；乙方用于本项目中的自有产品，甲方享有无限期使用权。</w:t>
      </w:r>
    </w:p>
    <w:p>
      <w:pPr>
        <w:spacing w:line="46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4.2乙方保证本项目中未侵犯任何第三方的合法权利,包括但不限于知识产权。</w:t>
      </w:r>
    </w:p>
    <w:p>
      <w:pPr>
        <w:spacing w:line="46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4.3若甲方因使用应用系统遭到第三方关于侵犯其合法权利的指控,乙方应负责按甲方要求处理相关事宜,并赔偿甲方因此遭受的任何损失,包括但不限于行政处罚、 律师费、诉讼或仲裁费用等。</w:t>
      </w:r>
    </w:p>
    <w:p>
      <w:pPr>
        <w:spacing w:line="46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4.4乙方若要在相关的宣传、广告或出版物中使用甲方商标、标志、名称或项目简介，并作为案例进行市场推广行为,必须与甲方协商书面同意后方可执行。</w:t>
      </w:r>
    </w:p>
    <w:p>
      <w:pPr>
        <w:spacing w:line="460" w:lineRule="exact"/>
        <w:ind w:firstLine="482" w:firstLineChars="200"/>
        <w:rPr>
          <w:color w:val="000000" w:themeColor="text1"/>
          <w:sz w:val="24"/>
          <w:szCs w:val="24"/>
          <w:u w:val="single"/>
          <w14:textFill>
            <w14:solidFill>
              <w14:schemeClr w14:val="tx1"/>
            </w14:solidFill>
          </w14:textFill>
        </w:rPr>
      </w:pPr>
      <w:r>
        <w:rPr>
          <w:rFonts w:hint="eastAsia"/>
          <w:b/>
          <w:color w:val="000000" w:themeColor="text1"/>
          <w:sz w:val="24"/>
          <w:szCs w:val="24"/>
          <w14:textFill>
            <w14:solidFill>
              <w14:schemeClr w14:val="tx1"/>
            </w14:solidFill>
          </w14:textFill>
        </w:rPr>
        <w:t>五、产权担保</w:t>
      </w:r>
    </w:p>
    <w:p>
      <w:pPr>
        <w:pStyle w:val="19"/>
        <w:widowControl w:val="0"/>
        <w:snapToGrid w:val="0"/>
        <w:spacing w:before="0" w:beforeAutospacing="0" w:after="0" w:afterAutospacing="0" w:line="460" w:lineRule="exact"/>
        <w:ind w:firstLine="480" w:firstLineChars="200"/>
        <w:jc w:val="both"/>
        <w:rPr>
          <w:color w:val="000000" w:themeColor="text1"/>
          <w:szCs w:val="24"/>
          <w:u w:val="single"/>
          <w14:textFill>
            <w14:solidFill>
              <w14:schemeClr w14:val="tx1"/>
            </w14:solidFill>
          </w14:textFill>
        </w:rPr>
      </w:pPr>
      <w:r>
        <w:rPr>
          <w:rFonts w:hint="eastAsia"/>
          <w:color w:val="000000" w:themeColor="text1"/>
          <w:kern w:val="2"/>
          <w:szCs w:val="24"/>
          <w14:textFill>
            <w14:solidFill>
              <w14:schemeClr w14:val="tx1"/>
            </w14:solidFill>
          </w14:textFill>
        </w:rPr>
        <w:t>5.1乙方保证所交付的货物</w:t>
      </w:r>
      <w:r>
        <w:rPr>
          <w:rFonts w:hint="eastAsia"/>
          <w:bCs/>
          <w:color w:val="000000" w:themeColor="text1"/>
          <w:kern w:val="2"/>
          <w:szCs w:val="24"/>
          <w14:textFill>
            <w14:solidFill>
              <w14:schemeClr w14:val="tx1"/>
            </w14:solidFill>
          </w14:textFill>
        </w:rPr>
        <w:t>和服务</w:t>
      </w:r>
      <w:r>
        <w:rPr>
          <w:rFonts w:hint="eastAsia"/>
          <w:color w:val="000000" w:themeColor="text1"/>
          <w:kern w:val="2"/>
          <w:szCs w:val="24"/>
          <w14:textFill>
            <w14:solidFill>
              <w14:schemeClr w14:val="tx1"/>
            </w14:solidFill>
          </w14:textFill>
        </w:rPr>
        <w:t>的所有权完全属于乙方且无任何抵押、查封等产权瑕疵。</w:t>
      </w:r>
    </w:p>
    <w:p>
      <w:pPr>
        <w:pStyle w:val="19"/>
        <w:widowControl w:val="0"/>
        <w:snapToGrid w:val="0"/>
        <w:spacing w:before="0" w:beforeAutospacing="0" w:after="0" w:afterAutospacing="0" w:line="460" w:lineRule="exact"/>
        <w:ind w:firstLine="482" w:firstLineChars="200"/>
        <w:jc w:val="both"/>
        <w:rPr>
          <w:b/>
          <w:color w:val="000000" w:themeColor="text1"/>
          <w:szCs w:val="24"/>
          <w14:textFill>
            <w14:solidFill>
              <w14:schemeClr w14:val="tx1"/>
            </w14:solidFill>
          </w14:textFill>
        </w:rPr>
      </w:pPr>
      <w:r>
        <w:rPr>
          <w:rFonts w:hint="eastAsia"/>
          <w:b/>
          <w:color w:val="000000" w:themeColor="text1"/>
          <w:kern w:val="2"/>
          <w:szCs w:val="24"/>
          <w14:textFill>
            <w14:solidFill>
              <w14:schemeClr w14:val="tx1"/>
            </w14:solidFill>
          </w14:textFill>
        </w:rPr>
        <w:t>六、履约保证金</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rFonts w:hint="eastAsia"/>
          <w:color w:val="000000" w:themeColor="text1"/>
          <w:kern w:val="2"/>
          <w:szCs w:val="24"/>
          <w14:textFill>
            <w14:solidFill>
              <w14:schemeClr w14:val="tx1"/>
            </w14:solidFill>
          </w14:textFill>
        </w:rPr>
        <w:t>6.1乙方交纳人民币元，作为本合同的履约保证金（合同金额的5%取整汇到采购人指定账户，验收合格后无息退还中标人）。</w:t>
      </w:r>
    </w:p>
    <w:p>
      <w:pPr>
        <w:snapToGrid w:val="0"/>
        <w:spacing w:line="46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七、转包或分包</w:t>
      </w:r>
    </w:p>
    <w:p>
      <w:pPr>
        <w:snapToGrid w:val="0"/>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7.1本合同范围的货物</w:t>
      </w:r>
      <w:r>
        <w:rPr>
          <w:rFonts w:hint="eastAsia" w:ascii="宋体" w:hAnsi="宋体"/>
          <w:bCs/>
          <w:color w:val="000000" w:themeColor="text1"/>
          <w:sz w:val="24"/>
          <w:szCs w:val="24"/>
          <w14:textFill>
            <w14:solidFill>
              <w14:schemeClr w14:val="tx1"/>
            </w14:solidFill>
          </w14:textFill>
        </w:rPr>
        <w:t>和服务</w:t>
      </w:r>
      <w:r>
        <w:rPr>
          <w:rFonts w:hint="eastAsia" w:ascii="宋体" w:hAnsi="宋体"/>
          <w:color w:val="000000" w:themeColor="text1"/>
          <w:sz w:val="24"/>
          <w:szCs w:val="24"/>
          <w14:textFill>
            <w14:solidFill>
              <w14:schemeClr w14:val="tx1"/>
            </w14:solidFill>
          </w14:textFill>
        </w:rPr>
        <w:t>，应由乙方直接供应，不得转让他人供应；</w:t>
      </w:r>
    </w:p>
    <w:p>
      <w:pPr>
        <w:snapToGrid w:val="0"/>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7.2除非得到甲方的书面同意，乙方不得部分分包给他人供应。</w:t>
      </w:r>
    </w:p>
    <w:p>
      <w:pPr>
        <w:snapToGrid w:val="0"/>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7.3如有转让和未经甲方同意的分包行为，甲方有权给予终止合同。</w:t>
      </w:r>
    </w:p>
    <w:p>
      <w:pPr>
        <w:pStyle w:val="19"/>
        <w:widowControl w:val="0"/>
        <w:snapToGrid w:val="0"/>
        <w:spacing w:before="0" w:beforeAutospacing="0" w:after="0" w:afterAutospacing="0" w:line="460" w:lineRule="exact"/>
        <w:ind w:firstLine="482" w:firstLineChars="200"/>
        <w:jc w:val="both"/>
        <w:rPr>
          <w:color w:val="000000" w:themeColor="text1"/>
          <w:szCs w:val="24"/>
          <w14:textFill>
            <w14:solidFill>
              <w14:schemeClr w14:val="tx1"/>
            </w14:solidFill>
          </w14:textFill>
        </w:rPr>
      </w:pPr>
      <w:r>
        <w:rPr>
          <w:rFonts w:hint="eastAsia"/>
          <w:b/>
          <w:color w:val="000000" w:themeColor="text1"/>
          <w:kern w:val="2"/>
          <w:szCs w:val="24"/>
          <w14:textFill>
            <w14:solidFill>
              <w14:schemeClr w14:val="tx1"/>
            </w14:solidFill>
          </w14:textFill>
        </w:rPr>
        <w:t>八、质保期</w:t>
      </w:r>
    </w:p>
    <w:p>
      <w:pPr>
        <w:snapToGrid w:val="0"/>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8.1本项目最终验收合格之日起，乙方提供的货物及服务的免费质保期为___年（不少于6年，以投标文件承诺为准）。</w:t>
      </w:r>
    </w:p>
    <w:p>
      <w:pPr>
        <w:snapToGrid w:val="0"/>
        <w:spacing w:line="460" w:lineRule="exact"/>
        <w:ind w:firstLine="480" w:firstLineChars="200"/>
        <w:rPr>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8.2 质保期满后，乙方必须无条件与招标人签订续保协议，续保价格为</w:t>
      </w:r>
      <w:r>
        <w:rPr>
          <w:rFonts w:hint="eastAsia" w:ascii="宋体" w:hAnsi="宋体"/>
          <w:color w:val="000000" w:themeColor="text1"/>
          <w:sz w:val="24"/>
          <w:szCs w:val="24"/>
          <w:u w:val="single"/>
          <w14:textFill>
            <w14:solidFill>
              <w14:schemeClr w14:val="tx1"/>
            </w14:solidFill>
          </w14:textFill>
        </w:rPr>
        <w:t xml:space="preserve"> （本项目所报质保价格） </w:t>
      </w:r>
      <w:r>
        <w:rPr>
          <w:rFonts w:hint="eastAsia" w:ascii="宋体" w:hAnsi="宋体"/>
          <w:color w:val="000000" w:themeColor="text1"/>
          <w:sz w:val="24"/>
          <w:szCs w:val="24"/>
          <w14:textFill>
            <w14:solidFill>
              <w14:schemeClr w14:val="tx1"/>
            </w14:solidFill>
          </w14:textFill>
        </w:rPr>
        <w:t>。</w:t>
      </w:r>
    </w:p>
    <w:p>
      <w:pPr>
        <w:snapToGrid w:val="0"/>
        <w:spacing w:line="46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九、交货期、交货方式、交货地点及验收</w:t>
      </w:r>
    </w:p>
    <w:p>
      <w:pPr>
        <w:pStyle w:val="19"/>
        <w:widowControl w:val="0"/>
        <w:snapToGrid w:val="0"/>
        <w:spacing w:before="0" w:beforeAutospacing="0" w:after="0" w:afterAutospacing="0" w:line="460" w:lineRule="exact"/>
        <w:ind w:firstLine="480" w:firstLineChars="200"/>
        <w:jc w:val="both"/>
        <w:rPr>
          <w:bCs/>
          <w:color w:val="000000" w:themeColor="text1"/>
          <w:kern w:val="2"/>
          <w:szCs w:val="24"/>
          <w14:textFill>
            <w14:solidFill>
              <w14:schemeClr w14:val="tx1"/>
            </w14:solidFill>
          </w14:textFill>
        </w:rPr>
      </w:pPr>
      <w:r>
        <w:rPr>
          <w:rFonts w:hint="eastAsia"/>
          <w:bCs/>
          <w:color w:val="000000" w:themeColor="text1"/>
          <w:kern w:val="2"/>
          <w:szCs w:val="24"/>
          <w14:textFill>
            <w14:solidFill>
              <w14:schemeClr w14:val="tx1"/>
            </w14:solidFill>
          </w14:textFill>
        </w:rPr>
        <w:t>9.1 交货期：根据项目需求及时间要求提供相关数据中心和数据治理平台产品、相应技术服务，并通过交货验收。没有通过验收的，须于收到反馈意见后10日内完成修改，并最终通过甲方的交货验收。</w:t>
      </w:r>
      <w:r>
        <w:rPr>
          <w:bCs/>
          <w:color w:val="000000" w:themeColor="text1"/>
          <w:kern w:val="2"/>
          <w:szCs w:val="24"/>
          <w14:textFill>
            <w14:solidFill>
              <w14:schemeClr w14:val="tx1"/>
            </w14:solidFill>
          </w14:textFill>
        </w:rPr>
        <w:t>(如</w:t>
      </w:r>
      <w:r>
        <w:rPr>
          <w:rFonts w:hint="eastAsia"/>
          <w:bCs/>
          <w:color w:val="000000" w:themeColor="text1"/>
          <w:kern w:val="2"/>
          <w:szCs w:val="24"/>
          <w14:textFill>
            <w14:solidFill>
              <w14:schemeClr w14:val="tx1"/>
            </w14:solidFill>
          </w14:textFill>
        </w:rPr>
        <w:t>甲方需要延时交付，可另行约定时间</w:t>
      </w:r>
      <w:r>
        <w:rPr>
          <w:bCs/>
          <w:color w:val="000000" w:themeColor="text1"/>
          <w:kern w:val="2"/>
          <w:szCs w:val="24"/>
          <w14:textFill>
            <w14:solidFill>
              <w14:schemeClr w14:val="tx1"/>
            </w14:solidFill>
          </w14:textFill>
        </w:rPr>
        <w:t>)</w:t>
      </w:r>
    </w:p>
    <w:p>
      <w:pPr>
        <w:pStyle w:val="19"/>
        <w:widowControl w:val="0"/>
        <w:snapToGrid w:val="0"/>
        <w:spacing w:before="0" w:beforeAutospacing="0" w:after="0" w:afterAutospacing="0" w:line="460" w:lineRule="exact"/>
        <w:ind w:firstLine="480" w:firstLineChars="200"/>
        <w:jc w:val="both"/>
        <w:rPr>
          <w:bCs/>
          <w:color w:val="000000" w:themeColor="text1"/>
          <w:szCs w:val="24"/>
          <w14:textFill>
            <w14:solidFill>
              <w14:schemeClr w14:val="tx1"/>
            </w14:solidFill>
          </w14:textFill>
        </w:rPr>
      </w:pPr>
      <w:r>
        <w:rPr>
          <w:rFonts w:hint="eastAsia"/>
          <w:bCs/>
          <w:color w:val="000000" w:themeColor="text1"/>
          <w:kern w:val="2"/>
          <w:szCs w:val="24"/>
          <w14:textFill>
            <w14:solidFill>
              <w14:schemeClr w14:val="tx1"/>
            </w14:solidFill>
          </w14:textFill>
        </w:rPr>
        <w:t>9.2 交货方式：</w:t>
      </w:r>
      <w:r>
        <w:rPr>
          <w:rFonts w:hint="eastAsia"/>
          <w:color w:val="000000" w:themeColor="text1"/>
          <w:kern w:val="2"/>
          <w:szCs w:val="24"/>
          <w:lang w:eastAsia="zh-TW"/>
          <w14:textFill>
            <w14:solidFill>
              <w14:schemeClr w14:val="tx1"/>
            </w14:solidFill>
          </w14:textFill>
        </w:rPr>
        <w:t>送货上门与调试</w:t>
      </w:r>
      <w:r>
        <w:rPr>
          <w:rFonts w:hint="eastAsia"/>
          <w:color w:val="000000" w:themeColor="text1"/>
          <w:kern w:val="2"/>
          <w:szCs w:val="24"/>
          <w14:textFill>
            <w14:solidFill>
              <w14:schemeClr w14:val="tx1"/>
            </w14:solidFill>
          </w14:textFill>
        </w:rPr>
        <w:t>。</w:t>
      </w:r>
    </w:p>
    <w:p>
      <w:pPr>
        <w:pStyle w:val="19"/>
        <w:widowControl w:val="0"/>
        <w:snapToGrid w:val="0"/>
        <w:spacing w:before="0" w:beforeAutospacing="0" w:after="0" w:afterAutospacing="0" w:line="460" w:lineRule="exact"/>
        <w:ind w:firstLine="480" w:firstLineChars="200"/>
        <w:jc w:val="both"/>
        <w:rPr>
          <w:color w:val="000000" w:themeColor="text1"/>
          <w:kern w:val="2"/>
          <w:szCs w:val="24"/>
          <w:u w:val="single"/>
          <w:lang w:eastAsia="zh-TW"/>
          <w14:textFill>
            <w14:solidFill>
              <w14:schemeClr w14:val="tx1"/>
            </w14:solidFill>
          </w14:textFill>
        </w:rPr>
      </w:pPr>
      <w:r>
        <w:rPr>
          <w:rFonts w:hint="eastAsia"/>
          <w:bCs/>
          <w:color w:val="000000" w:themeColor="text1"/>
          <w:kern w:val="2"/>
          <w:szCs w:val="24"/>
          <w14:textFill>
            <w14:solidFill>
              <w14:schemeClr w14:val="tx1"/>
            </w14:solidFill>
          </w14:textFill>
        </w:rPr>
        <w:t>9.3 交货地点：</w:t>
      </w:r>
      <w:r>
        <w:rPr>
          <w:rFonts w:hint="eastAsia"/>
          <w:color w:val="000000" w:themeColor="text1"/>
          <w:kern w:val="2"/>
          <w:szCs w:val="24"/>
          <w:lang w:eastAsia="zh-TW"/>
          <w14:textFill>
            <w14:solidFill>
              <w14:schemeClr w14:val="tx1"/>
            </w14:solidFill>
          </w14:textFill>
        </w:rPr>
        <w:t>盐城工业职业技术学院校内甲方指定地点。</w:t>
      </w:r>
    </w:p>
    <w:p>
      <w:pPr>
        <w:pStyle w:val="19"/>
        <w:widowControl w:val="0"/>
        <w:snapToGrid w:val="0"/>
        <w:spacing w:before="0" w:beforeAutospacing="0" w:after="0" w:afterAutospacing="0" w:line="460" w:lineRule="exact"/>
        <w:ind w:firstLine="482" w:firstLineChars="200"/>
        <w:jc w:val="both"/>
        <w:rPr>
          <w:b/>
          <w:color w:val="000000" w:themeColor="text1"/>
          <w:szCs w:val="24"/>
          <w14:textFill>
            <w14:solidFill>
              <w14:schemeClr w14:val="tx1"/>
            </w14:solidFill>
          </w14:textFill>
        </w:rPr>
      </w:pPr>
      <w:r>
        <w:rPr>
          <w:rFonts w:hint="eastAsia"/>
          <w:b/>
          <w:color w:val="000000" w:themeColor="text1"/>
          <w:kern w:val="2"/>
          <w:szCs w:val="24"/>
          <w14:textFill>
            <w14:solidFill>
              <w14:schemeClr w14:val="tx1"/>
            </w14:solidFill>
          </w14:textFill>
        </w:rPr>
        <w:t>十、货款支付</w:t>
      </w:r>
    </w:p>
    <w:p>
      <w:pPr>
        <w:pStyle w:val="19"/>
        <w:spacing w:before="0" w:beforeAutospacing="0" w:after="0" w:afterAutospacing="0" w:line="460" w:lineRule="exact"/>
        <w:ind w:firstLine="480" w:firstLineChars="200"/>
        <w:textAlignment w:val="auto"/>
        <w:rPr>
          <w:bCs/>
          <w:color w:val="000000" w:themeColor="text1"/>
          <w:kern w:val="2"/>
          <w:szCs w:val="24"/>
          <w14:textFill>
            <w14:solidFill>
              <w14:schemeClr w14:val="tx1"/>
            </w14:solidFill>
          </w14:textFill>
        </w:rPr>
      </w:pPr>
      <w:r>
        <w:rPr>
          <w:rFonts w:hint="eastAsia"/>
          <w:color w:val="000000" w:themeColor="text1"/>
          <w:szCs w:val="24"/>
          <w14:textFill>
            <w14:solidFill>
              <w14:schemeClr w14:val="tx1"/>
            </w14:solidFill>
          </w14:textFill>
        </w:rPr>
        <w:t>10.1 付款方式：</w:t>
      </w:r>
      <w:r>
        <w:rPr>
          <w:rFonts w:hint="eastAsia"/>
          <w:bCs/>
          <w:color w:val="000000" w:themeColor="text1"/>
          <w:kern w:val="2"/>
          <w:szCs w:val="24"/>
          <w14:textFill>
            <w14:solidFill>
              <w14:schemeClr w14:val="tx1"/>
            </w14:solidFill>
          </w14:textFill>
        </w:rPr>
        <w:t>招标范围内容全部完成，经安装调试、培训结束、验收合格后付总价的70%；余款合同总价的30%，根据售后服务情况甲方分年（质保期）逐年向乙方支付（如质保期为6年，即项目最终验收合格之日起1年后，甲方向乙方支付合同总额的5%。以此类推，逐年支付）。</w:t>
      </w:r>
    </w:p>
    <w:p>
      <w:pPr>
        <w:snapToGrid w:val="0"/>
        <w:spacing w:line="46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10.2当采购数量与实际使用数量不一致时，乙方应根据实际使用量供货，合同的最终结算金额按实际使用量乘以成交单价进行计算。</w:t>
      </w:r>
    </w:p>
    <w:p>
      <w:pPr>
        <w:spacing w:line="460" w:lineRule="exact"/>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十一、税费</w:t>
      </w:r>
    </w:p>
    <w:p>
      <w:pPr>
        <w:snapToGrid w:val="0"/>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11.1本合同执行中相关的一切税费均由乙方负担。</w:t>
      </w:r>
    </w:p>
    <w:p>
      <w:pPr>
        <w:pStyle w:val="19"/>
        <w:widowControl w:val="0"/>
        <w:snapToGrid w:val="0"/>
        <w:spacing w:before="0" w:beforeAutospacing="0" w:after="0" w:afterAutospacing="0" w:line="460" w:lineRule="exact"/>
        <w:ind w:firstLine="482" w:firstLineChars="200"/>
        <w:jc w:val="both"/>
        <w:rPr>
          <w:color w:val="000000" w:themeColor="text1"/>
          <w:szCs w:val="24"/>
          <w14:textFill>
            <w14:solidFill>
              <w14:schemeClr w14:val="tx1"/>
            </w14:solidFill>
          </w14:textFill>
        </w:rPr>
      </w:pPr>
      <w:r>
        <w:rPr>
          <w:rFonts w:hint="eastAsia"/>
          <w:b/>
          <w:color w:val="000000" w:themeColor="text1"/>
          <w:kern w:val="2"/>
          <w:szCs w:val="24"/>
          <w14:textFill>
            <w14:solidFill>
              <w14:schemeClr w14:val="tx1"/>
            </w14:solidFill>
          </w14:textFill>
        </w:rPr>
        <w:t>十二、质量保证及售后服务</w:t>
      </w:r>
    </w:p>
    <w:p>
      <w:pPr>
        <w:spacing w:line="460" w:lineRule="exact"/>
        <w:ind w:firstLine="480" w:firstLineChars="200"/>
        <w:rPr>
          <w:rFonts w:ascii="宋体" w:hAnsi="宋体"/>
          <w:bCs/>
          <w:strike/>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12.1乙方应按招标文件规定的货物标准、技术要求、质量标准、服务要求向甲方</w:t>
      </w:r>
      <w:r>
        <w:rPr>
          <w:rFonts w:hint="eastAsia" w:ascii="宋体" w:hAnsi="宋体"/>
          <w:bCs/>
          <w:color w:val="000000" w:themeColor="text1"/>
          <w:sz w:val="24"/>
          <w:szCs w:val="24"/>
          <w14:textFill>
            <w14:solidFill>
              <w14:schemeClr w14:val="tx1"/>
            </w14:solidFill>
          </w14:textFill>
        </w:rPr>
        <w:t>提供货物和服务。</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12.</w:t>
      </w: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对于出卖的货物，乙方应当拥有完整物权，并且乙方负有保证第三人不得向甲方主张任何权利（包括知识产权）的义务。</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乙方提供的货物</w:t>
      </w:r>
      <w:r>
        <w:rPr>
          <w:rFonts w:hint="eastAsia" w:ascii="宋体" w:hAnsi="宋体"/>
          <w:bCs/>
          <w:color w:val="000000" w:themeColor="text1"/>
          <w:sz w:val="24"/>
          <w:szCs w:val="24"/>
          <w14:textFill>
            <w14:solidFill>
              <w14:schemeClr w14:val="tx1"/>
            </w14:solidFill>
          </w14:textFill>
        </w:rPr>
        <w:t>和服务</w:t>
      </w:r>
      <w:r>
        <w:rPr>
          <w:rFonts w:hint="eastAsia" w:ascii="宋体" w:hAnsi="宋体"/>
          <w:color w:val="000000" w:themeColor="text1"/>
          <w:sz w:val="24"/>
          <w:szCs w:val="24"/>
          <w14:textFill>
            <w14:solidFill>
              <w14:schemeClr w14:val="tx1"/>
            </w14:solidFill>
          </w14:textFill>
        </w:rPr>
        <w:t>在质量期内因本身的质量问题发生故障，乙方应负责免费更换。对达不到技术要求者，根据实际情况，经双方协商，可按以下办法处理：</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（1）更换：由乙方承担所发生的全部费用。</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（2）退货处理：乙方应退还甲方支付的合同款，同时应承担该货物</w:t>
      </w:r>
      <w:r>
        <w:rPr>
          <w:rFonts w:hint="eastAsia" w:ascii="宋体" w:hAnsi="宋体"/>
          <w:bCs/>
          <w:color w:val="000000" w:themeColor="text1"/>
          <w:sz w:val="24"/>
          <w:szCs w:val="24"/>
          <w14:textFill>
            <w14:solidFill>
              <w14:schemeClr w14:val="tx1"/>
            </w14:solidFill>
          </w14:textFill>
        </w:rPr>
        <w:t>和服务</w:t>
      </w:r>
      <w:r>
        <w:rPr>
          <w:rFonts w:hint="eastAsia" w:ascii="宋体" w:hAnsi="宋体"/>
          <w:color w:val="000000" w:themeColor="text1"/>
          <w:sz w:val="24"/>
          <w:szCs w:val="24"/>
          <w14:textFill>
            <w14:solidFill>
              <w14:schemeClr w14:val="tx1"/>
            </w14:solidFill>
          </w14:textFill>
        </w:rPr>
        <w:t>的直接费用（保险、检验、货款利息及银行手续费等）。</w:t>
      </w:r>
    </w:p>
    <w:p>
      <w:pPr>
        <w:snapToGrid w:val="0"/>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12.4质量保证期：本项目最终验收合格之日起，乙方提供的货物及服务的免费质保期___年，所投产品要求年免费原厂质保（上门服务），软件终身免费升级（包括跨大版本及衍生版本升级），升级过程中产生的所有需求及工作量均免费。</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12.5质保期内乙方需要按售后服务要求安排专职人员驻场服务，提供本项目招标产品软件的维护与升级改造。在维护服务期内，乙方应向用户提供以下技术支持与服务：</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(1)提供现场驻点人员 1 名，负责数据整合、数据应用、运维及管理、建模支持服务等工作；</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(2)提供非现场驻点人员3名，负责远程协助现场人员处理相关工作；</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(3)在质保期内，乙方负责对其提供的软件进行维修保养，不再向甲方收取费用；</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(4)在质保期内，乙方负责系统环境的维护；</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响应时限要求（质保期内）：验收合格后，提供7*24小时服务，1小时响应（包括电话响应），2小时到达现场，4小时解决问题（如电话响应无法解决）,如在4小时内无法修复，则提供部件冗余服务或采取应急措施，以确保系统的正常工作。质保期内产生的维护费用由乙方承担。</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(6)3年内每年对系统运行状况进行一次免费评估服务，并出具相关正式书面报告。</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(7)巡视服务：质保期内提供每月1次巡视服务，检测系统运行情况并做好系统运行记录。</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(8)配合甲方对系统安全进行定期巡检、漏洞修复，在重大活动、重要领导参观期间，提供现场保障服务。</w:t>
      </w:r>
    </w:p>
    <w:p>
      <w:pPr>
        <w:pStyle w:val="2"/>
        <w:spacing w:line="460" w:lineRule="exact"/>
        <w:ind w:firstLine="48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12.6 乙方须向甲方免费提供培训服务，确保使用者完全会使用及操作为止。</w:t>
      </w:r>
    </w:p>
    <w:p>
      <w:pPr>
        <w:pStyle w:val="2"/>
        <w:spacing w:line="460" w:lineRule="exact"/>
        <w:ind w:firstLine="48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12.7 乙方须在接到甲方安全漏洞通知的24小时内，免费完成对所涉产品的安全漏洞修复，本条在平台的全生命周期适用，不受质保期限制。</w:t>
      </w:r>
    </w:p>
    <w:p>
      <w:pPr>
        <w:pStyle w:val="19"/>
        <w:widowControl w:val="0"/>
        <w:snapToGrid w:val="0"/>
        <w:spacing w:before="0" w:beforeAutospacing="0" w:after="0" w:afterAutospacing="0" w:line="460" w:lineRule="exact"/>
        <w:ind w:firstLine="482" w:firstLineChars="200"/>
        <w:jc w:val="both"/>
        <w:rPr>
          <w:b/>
          <w:bCs/>
          <w:color w:val="000000" w:themeColor="text1"/>
          <w:szCs w:val="24"/>
          <w14:textFill>
            <w14:solidFill>
              <w14:schemeClr w14:val="tx1"/>
            </w14:solidFill>
          </w14:textFill>
        </w:rPr>
      </w:pPr>
      <w:r>
        <w:rPr>
          <w:b/>
          <w:bCs/>
          <w:color w:val="000000" w:themeColor="text1"/>
          <w:szCs w:val="24"/>
          <w14:textFill>
            <w14:solidFill>
              <w14:schemeClr w14:val="tx1"/>
            </w14:solidFill>
          </w14:textFill>
        </w:rPr>
        <w:t>十三、调试和验收</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13.1 甲方对乙方提交的货物依据招标文件上的技术规格要求和国家有关质量标准进行现场初步验收，外观、说明书符合招标文件技术要求的，给予签收，初步验收不合格的不予签收。货到</w:t>
      </w:r>
      <w:r>
        <w:rPr>
          <w:rFonts w:hint="eastAsia"/>
          <w:color w:val="000000" w:themeColor="text1"/>
          <w:szCs w:val="24"/>
          <w14:textFill>
            <w14:solidFill>
              <w14:schemeClr w14:val="tx1"/>
            </w14:solidFill>
          </w14:textFill>
        </w:rPr>
        <w:t>部署完成</w:t>
      </w:r>
      <w:r>
        <w:rPr>
          <w:color w:val="000000" w:themeColor="text1"/>
          <w:szCs w:val="24"/>
          <w14:textFill>
            <w14:solidFill>
              <w14:schemeClr w14:val="tx1"/>
            </w14:solidFill>
          </w14:textFill>
        </w:rPr>
        <w:t>后，甲方需在五个工作日内</w:t>
      </w:r>
      <w:r>
        <w:rPr>
          <w:rFonts w:hint="eastAsia"/>
          <w:color w:val="000000" w:themeColor="text1"/>
          <w:szCs w:val="24"/>
          <w14:textFill>
            <w14:solidFill>
              <w14:schemeClr w14:val="tx1"/>
            </w14:solidFill>
          </w14:textFill>
        </w:rPr>
        <w:t>到货</w:t>
      </w:r>
      <w:r>
        <w:rPr>
          <w:color w:val="000000" w:themeColor="text1"/>
          <w:szCs w:val="24"/>
          <w14:textFill>
            <w14:solidFill>
              <w14:schemeClr w14:val="tx1"/>
            </w14:solidFill>
          </w14:textFill>
        </w:rPr>
        <w:t>验收。</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13.2 乙方交货前应对产品作出全面检查和对验收文件进行整理，并列出清单，作为甲方收货验收和使用的技术条件依据，检验的结果应随货物交甲方。</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13.3 甲方对乙方提供的货物在使用前进行调试时，乙方需负责安装并培训甲方的使用操作人员，并协助甲方一起调试，直到符合技术要求，甲方才做最终验收。</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13.4 对技术复杂的货物，甲方</w:t>
      </w:r>
      <w:r>
        <w:rPr>
          <w:rFonts w:hint="eastAsia"/>
          <w:color w:val="000000" w:themeColor="text1"/>
          <w:szCs w:val="24"/>
          <w14:textFill>
            <w14:solidFill>
              <w14:schemeClr w14:val="tx1"/>
            </w14:solidFill>
          </w14:textFill>
        </w:rPr>
        <w:t>可</w:t>
      </w:r>
      <w:r>
        <w:rPr>
          <w:color w:val="000000" w:themeColor="text1"/>
          <w:szCs w:val="24"/>
          <w14:textFill>
            <w14:solidFill>
              <w14:schemeClr w14:val="tx1"/>
            </w14:solidFill>
          </w14:textFill>
        </w:rPr>
        <w:t>请国家认可的专业检测机构参与初步验收及最终验收，并由其出具质量检测报告。</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13.5 验收时乙方必须在现场，验收完毕后作出验收结果报告；验收费用乙方</w:t>
      </w:r>
      <w:r>
        <w:rPr>
          <w:rFonts w:hint="eastAsia"/>
          <w:color w:val="000000" w:themeColor="text1"/>
          <w:szCs w:val="24"/>
          <w14:textFill>
            <w14:solidFill>
              <w14:schemeClr w14:val="tx1"/>
            </w14:solidFill>
          </w14:textFill>
        </w:rPr>
        <w:t>承担</w:t>
      </w:r>
      <w:r>
        <w:rPr>
          <w:color w:val="000000" w:themeColor="text1"/>
          <w:szCs w:val="24"/>
          <w14:textFill>
            <w14:solidFill>
              <w14:schemeClr w14:val="tx1"/>
            </w14:solidFill>
          </w14:textFill>
        </w:rPr>
        <w:t>。</w:t>
      </w:r>
    </w:p>
    <w:p>
      <w:pPr>
        <w:pStyle w:val="19"/>
        <w:widowControl w:val="0"/>
        <w:snapToGrid w:val="0"/>
        <w:spacing w:before="0" w:beforeAutospacing="0" w:after="0" w:afterAutospacing="0" w:line="460" w:lineRule="exact"/>
        <w:ind w:firstLine="482" w:firstLineChars="200"/>
        <w:jc w:val="both"/>
        <w:rPr>
          <w:b/>
          <w:bCs/>
          <w:color w:val="000000" w:themeColor="text1"/>
          <w:szCs w:val="24"/>
          <w14:textFill>
            <w14:solidFill>
              <w14:schemeClr w14:val="tx1"/>
            </w14:solidFill>
          </w14:textFill>
        </w:rPr>
      </w:pPr>
      <w:r>
        <w:rPr>
          <w:b/>
          <w:bCs/>
          <w:color w:val="000000" w:themeColor="text1"/>
          <w:szCs w:val="24"/>
          <w14:textFill>
            <w14:solidFill>
              <w14:schemeClr w14:val="tx1"/>
            </w14:solidFill>
          </w14:textFill>
        </w:rPr>
        <w:t>十四、</w:t>
      </w:r>
      <w:r>
        <w:rPr>
          <w:rFonts w:hint="eastAsia"/>
          <w:b/>
          <w:bCs/>
          <w:color w:val="000000" w:themeColor="text1"/>
          <w:szCs w:val="24"/>
          <w14:textFill>
            <w14:solidFill>
              <w14:schemeClr w14:val="tx1"/>
            </w14:solidFill>
          </w14:textFill>
        </w:rPr>
        <w:t>服务要求</w:t>
      </w:r>
    </w:p>
    <w:p>
      <w:pPr>
        <w:widowControl w:val="0"/>
        <w:spacing w:line="460" w:lineRule="exact"/>
        <w:ind w:firstLine="482" w:firstLineChars="200"/>
        <w:textAlignment w:val="auto"/>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14.1</w:t>
      </w:r>
      <w:r>
        <w:rPr>
          <w:rFonts w:ascii="宋体" w:hAnsi="宋体"/>
          <w:b/>
          <w:bCs/>
          <w:color w:val="000000" w:themeColor="text1"/>
          <w:sz w:val="24"/>
          <w:szCs w:val="24"/>
          <w14:textFill>
            <w14:solidFill>
              <w14:schemeClr w14:val="tx1"/>
            </w14:solidFill>
          </w14:textFill>
        </w:rPr>
        <w:t xml:space="preserve">项目团队要求 </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w:t>
      </w:r>
      <w:r>
        <w:rPr>
          <w:color w:val="000000" w:themeColor="text1"/>
          <w:szCs w:val="24"/>
          <w14:textFill>
            <w14:solidFill>
              <w14:schemeClr w14:val="tx1"/>
            </w14:solidFill>
          </w14:textFill>
        </w:rPr>
        <w:t xml:space="preserve">项目团队人员配置科学合理、分工明确，至少应包括项目经理、技术负责人、系统设计人员、软件开发人员、测试人员、部署配置人员、用户培训人员等角色。 </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w:t>
      </w:r>
      <w:r>
        <w:rPr>
          <w:color w:val="000000" w:themeColor="text1"/>
          <w:szCs w:val="24"/>
          <w14:textFill>
            <w14:solidFill>
              <w14:schemeClr w14:val="tx1"/>
            </w14:solidFill>
          </w14:textFill>
        </w:rPr>
        <w:t>项目团队需保持稳定。</w:t>
      </w:r>
      <w:r>
        <w:rPr>
          <w:rFonts w:hint="eastAsia"/>
          <w:color w:val="000000" w:themeColor="text1"/>
          <w:szCs w:val="24"/>
          <w14:textFill>
            <w14:solidFill>
              <w14:schemeClr w14:val="tx1"/>
            </w14:solidFill>
          </w14:textFill>
        </w:rPr>
        <w:t>乙方</w:t>
      </w:r>
      <w:r>
        <w:rPr>
          <w:color w:val="000000" w:themeColor="text1"/>
          <w:szCs w:val="24"/>
          <w14:textFill>
            <w14:solidFill>
              <w14:schemeClr w14:val="tx1"/>
            </w14:solidFill>
          </w14:textFill>
        </w:rPr>
        <w:t>应承诺项目经理、技术负责人必须专职承担本项目工作，质保期内未经建设单位许可不得更换。</w:t>
      </w:r>
      <w:r>
        <w:rPr>
          <w:rFonts w:hint="eastAsia"/>
          <w:color w:val="000000" w:themeColor="text1"/>
          <w:szCs w:val="24"/>
          <w14:textFill>
            <w14:solidFill>
              <w14:schemeClr w14:val="tx1"/>
            </w14:solidFill>
          </w14:textFill>
        </w:rPr>
        <w:t>甲方</w:t>
      </w:r>
      <w:r>
        <w:rPr>
          <w:color w:val="000000" w:themeColor="text1"/>
          <w:szCs w:val="24"/>
          <w14:textFill>
            <w14:solidFill>
              <w14:schemeClr w14:val="tx1"/>
            </w14:solidFill>
          </w14:textFill>
        </w:rPr>
        <w:t>提出具体管理措施，以确保该承诺得到落实。在项目实施过程中，</w:t>
      </w:r>
      <w:r>
        <w:rPr>
          <w:rFonts w:hint="eastAsia"/>
          <w:color w:val="000000" w:themeColor="text1"/>
          <w:szCs w:val="24"/>
          <w14:textFill>
            <w14:solidFill>
              <w14:schemeClr w14:val="tx1"/>
            </w14:solidFill>
          </w14:textFill>
        </w:rPr>
        <w:t>乙方</w:t>
      </w:r>
      <w:r>
        <w:rPr>
          <w:color w:val="000000" w:themeColor="text1"/>
          <w:szCs w:val="24"/>
          <w14:textFill>
            <w14:solidFill>
              <w14:schemeClr w14:val="tx1"/>
            </w14:solidFill>
          </w14:textFill>
        </w:rPr>
        <w:t>须按照建设单位的要求更换</w:t>
      </w:r>
      <w:r>
        <w:rPr>
          <w:rFonts w:hint="eastAsia"/>
          <w:color w:val="000000" w:themeColor="text1"/>
          <w:szCs w:val="24"/>
          <w14:textFill>
            <w14:solidFill>
              <w14:schemeClr w14:val="tx1"/>
            </w14:solidFill>
          </w14:textFill>
        </w:rPr>
        <w:t>甲方</w:t>
      </w:r>
      <w:r>
        <w:rPr>
          <w:color w:val="000000" w:themeColor="text1"/>
          <w:szCs w:val="24"/>
          <w14:textFill>
            <w14:solidFill>
              <w14:schemeClr w14:val="tx1"/>
            </w14:solidFill>
          </w14:textFill>
        </w:rPr>
        <w:t xml:space="preserve">认为不合适的人员。 </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（3）乙方</w:t>
      </w:r>
      <w:r>
        <w:rPr>
          <w:color w:val="000000" w:themeColor="text1"/>
          <w:szCs w:val="24"/>
          <w14:textFill>
            <w14:solidFill>
              <w14:schemeClr w14:val="tx1"/>
            </w14:solidFill>
          </w14:textFill>
        </w:rPr>
        <w:t xml:space="preserve">应明确项目经理在本项目中的岗位职责和任职资格，学校数据和代码标准制定之前，由项目经理亲自驻场开展数据摸底与调研工作。 </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（4）</w:t>
      </w:r>
      <w:r>
        <w:rPr>
          <w:color w:val="000000" w:themeColor="text1"/>
          <w:szCs w:val="24"/>
          <w14:textFill>
            <w14:solidFill>
              <w14:schemeClr w14:val="tx1"/>
            </w14:solidFill>
          </w14:textFill>
        </w:rPr>
        <w:t>根据系统开发、部署实施、试运行、培训、技术支持及售后服务五个阶段和项目管理要求，</w:t>
      </w:r>
      <w:r>
        <w:rPr>
          <w:rFonts w:hint="eastAsia"/>
          <w:color w:val="000000" w:themeColor="text1"/>
          <w:szCs w:val="24"/>
          <w14:textFill>
            <w14:solidFill>
              <w14:schemeClr w14:val="tx1"/>
            </w14:solidFill>
          </w14:textFill>
        </w:rPr>
        <w:t>乙方</w:t>
      </w:r>
      <w:r>
        <w:rPr>
          <w:color w:val="000000" w:themeColor="text1"/>
          <w:szCs w:val="24"/>
          <w14:textFill>
            <w14:solidFill>
              <w14:schemeClr w14:val="tx1"/>
            </w14:solidFill>
          </w14:textFill>
        </w:rPr>
        <w:t xml:space="preserve">须配置足够的人员组织实施项目，确保按项目进度完成建设工作。 </w:t>
      </w:r>
    </w:p>
    <w:p>
      <w:pPr>
        <w:pStyle w:val="19"/>
        <w:widowControl w:val="0"/>
        <w:snapToGrid w:val="0"/>
        <w:spacing w:before="0" w:beforeAutospacing="0" w:after="0" w:afterAutospacing="0" w:line="460" w:lineRule="exact"/>
        <w:ind w:firstLine="480" w:firstLineChars="200"/>
        <w:jc w:val="both"/>
        <w:rPr>
          <w:b/>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（5）实施期间（开始部署至验收结束），提供至少1名工程师</w:t>
      </w:r>
      <w:r>
        <w:rPr>
          <w:color w:val="000000" w:themeColor="text1"/>
          <w:szCs w:val="24"/>
          <w14:textFill>
            <w14:solidFill>
              <w14:schemeClr w14:val="tx1"/>
            </w14:solidFill>
          </w14:textFill>
        </w:rPr>
        <w:t>全程</w:t>
      </w:r>
      <w:r>
        <w:rPr>
          <w:rFonts w:hint="eastAsia"/>
          <w:color w:val="000000" w:themeColor="text1"/>
          <w:szCs w:val="24"/>
          <w14:textFill>
            <w14:solidFill>
              <w14:schemeClr w14:val="tx1"/>
            </w14:solidFill>
          </w14:textFill>
        </w:rPr>
        <w:t>驻场服务</w:t>
      </w: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项目验收合格后，</w:t>
      </w:r>
      <w:r>
        <w:rPr>
          <w:color w:val="000000" w:themeColor="text1"/>
          <w:szCs w:val="24"/>
          <w14:textFill>
            <w14:solidFill>
              <w14:schemeClr w14:val="tx1"/>
            </w14:solidFill>
          </w14:textFill>
        </w:rPr>
        <w:t>质保期内，每年至少安排 1 人的</w:t>
      </w:r>
      <w:r>
        <w:rPr>
          <w:rFonts w:hint="eastAsia"/>
          <w:color w:val="000000" w:themeColor="text1"/>
          <w:szCs w:val="24"/>
          <w14:textFill>
            <w14:solidFill>
              <w14:schemeClr w14:val="tx1"/>
            </w14:solidFill>
          </w14:textFill>
        </w:rPr>
        <w:t>阶段</w:t>
      </w:r>
      <w:r>
        <w:rPr>
          <w:color w:val="000000" w:themeColor="text1"/>
          <w:szCs w:val="24"/>
          <w14:textFill>
            <w14:solidFill>
              <w14:schemeClr w14:val="tx1"/>
            </w14:solidFill>
          </w14:textFill>
        </w:rPr>
        <w:t>驻场服务</w:t>
      </w:r>
      <w:r>
        <w:rPr>
          <w:rFonts w:hint="eastAsia"/>
          <w:color w:val="000000" w:themeColor="text1"/>
          <w:szCs w:val="24"/>
          <w14:textFill>
            <w14:solidFill>
              <w14:schemeClr w14:val="tx1"/>
            </w14:solidFill>
          </w14:textFill>
        </w:rPr>
        <w:t>，每年在学校服务时间合计不得少于3个月</w:t>
      </w: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甲方</w:t>
      </w:r>
      <w:r>
        <w:rPr>
          <w:color w:val="000000" w:themeColor="text1"/>
          <w:szCs w:val="24"/>
          <w14:textFill>
            <w14:solidFill>
              <w14:schemeClr w14:val="tx1"/>
            </w14:solidFill>
          </w14:textFill>
        </w:rPr>
        <w:t>为项目实施厂家驻场人员提供工作场所，驻场人员的一切费用由</w:t>
      </w:r>
      <w:r>
        <w:rPr>
          <w:rFonts w:hint="eastAsia"/>
          <w:color w:val="000000" w:themeColor="text1"/>
          <w:szCs w:val="24"/>
          <w14:textFill>
            <w14:solidFill>
              <w14:schemeClr w14:val="tx1"/>
            </w14:solidFill>
          </w14:textFill>
        </w:rPr>
        <w:t>乙方</w:t>
      </w:r>
      <w:r>
        <w:rPr>
          <w:color w:val="000000" w:themeColor="text1"/>
          <w:szCs w:val="24"/>
          <w14:textFill>
            <w14:solidFill>
              <w14:schemeClr w14:val="tx1"/>
            </w14:solidFill>
          </w14:textFill>
        </w:rPr>
        <w:t xml:space="preserve">承担。 </w:t>
      </w:r>
    </w:p>
    <w:p>
      <w:pPr>
        <w:spacing w:line="46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w:t>
      </w:r>
      <w:r>
        <w:rPr>
          <w:rFonts w:ascii="宋体" w:hAnsi="宋体"/>
          <w:b/>
          <w:color w:val="000000" w:themeColor="text1"/>
          <w:sz w:val="24"/>
          <w:szCs w:val="24"/>
          <w14:textFill>
            <w14:solidFill>
              <w14:schemeClr w14:val="tx1"/>
            </w14:solidFill>
          </w14:textFill>
        </w:rPr>
        <w:t>4</w:t>
      </w:r>
      <w:r>
        <w:rPr>
          <w:rFonts w:hint="eastAsia" w:ascii="宋体" w:hAnsi="宋体"/>
          <w:b/>
          <w:color w:val="000000" w:themeColor="text1"/>
          <w:sz w:val="24"/>
          <w:szCs w:val="24"/>
          <w14:textFill>
            <w14:solidFill>
              <w14:schemeClr w14:val="tx1"/>
            </w14:solidFill>
          </w14:textFill>
        </w:rPr>
        <w:t>.2 验收交付使用要求：</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w:t>
      </w:r>
      <w:r>
        <w:rPr>
          <w:color w:val="000000" w:themeColor="text1"/>
          <w:szCs w:val="24"/>
          <w14:textFill>
            <w14:solidFill>
              <w14:schemeClr w14:val="tx1"/>
            </w14:solidFill>
          </w14:textFill>
        </w:rPr>
        <w:t>交付使用要同时向</w:t>
      </w:r>
      <w:r>
        <w:rPr>
          <w:rFonts w:hint="eastAsia"/>
          <w:color w:val="000000" w:themeColor="text1"/>
          <w:szCs w:val="24"/>
          <w14:textFill>
            <w14:solidFill>
              <w14:schemeClr w14:val="tx1"/>
            </w14:solidFill>
          </w14:textFill>
        </w:rPr>
        <w:t>甲方</w:t>
      </w:r>
      <w:r>
        <w:rPr>
          <w:color w:val="000000" w:themeColor="text1"/>
          <w:szCs w:val="24"/>
          <w14:textFill>
            <w14:solidFill>
              <w14:schemeClr w14:val="tx1"/>
            </w14:solidFill>
          </w14:textFill>
        </w:rPr>
        <w:t xml:space="preserve">提供详细的技术文件、安装记录等，同时提供两份产 品使用说明书。 </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w:t>
      </w:r>
      <w:r>
        <w:rPr>
          <w:color w:val="000000" w:themeColor="text1"/>
          <w:szCs w:val="24"/>
          <w14:textFill>
            <w14:solidFill>
              <w14:schemeClr w14:val="tx1"/>
            </w14:solidFill>
          </w14:textFill>
        </w:rPr>
        <w:t xml:space="preserve">为了使相关人员掌握系统的使用、维护和管理，达到能独立进行管理、故障处理、日常测试和维护等工作目的，应进行系统的技术培训，以保障系统能够正常、安全、平稳地运行，须提供以下几方面培训的描述： </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14.2.1培训要求：乙方</w:t>
      </w:r>
      <w:r>
        <w:rPr>
          <w:color w:val="000000" w:themeColor="text1"/>
          <w:szCs w:val="24"/>
          <w14:textFill>
            <w14:solidFill>
              <w14:schemeClr w14:val="tx1"/>
            </w14:solidFill>
          </w14:textFill>
        </w:rPr>
        <w:t>委派的培训讲师必须对系统的使用和功能有着丰富的经验和执行力，本次需为</w:t>
      </w:r>
      <w:r>
        <w:rPr>
          <w:rFonts w:hint="eastAsia"/>
          <w:color w:val="000000" w:themeColor="text1"/>
          <w:szCs w:val="24"/>
          <w14:textFill>
            <w14:solidFill>
              <w14:schemeClr w14:val="tx1"/>
            </w14:solidFill>
          </w14:textFill>
        </w:rPr>
        <w:t>甲方</w:t>
      </w:r>
      <w:r>
        <w:rPr>
          <w:color w:val="000000" w:themeColor="text1"/>
          <w:szCs w:val="24"/>
          <w14:textFill>
            <w14:solidFill>
              <w14:schemeClr w14:val="tx1"/>
            </w14:solidFill>
          </w14:textFill>
        </w:rPr>
        <w:t>提供不少于10个工作日的培训服务，</w:t>
      </w:r>
      <w:r>
        <w:rPr>
          <w:rFonts w:hint="eastAsia"/>
          <w:color w:val="000000" w:themeColor="text1"/>
          <w:szCs w:val="24"/>
          <w14:textFill>
            <w14:solidFill>
              <w14:schemeClr w14:val="tx1"/>
            </w14:solidFill>
          </w14:textFill>
        </w:rPr>
        <w:t>乙方</w:t>
      </w:r>
      <w:r>
        <w:rPr>
          <w:color w:val="000000" w:themeColor="text1"/>
          <w:szCs w:val="24"/>
          <w14:textFill>
            <w14:solidFill>
              <w14:schemeClr w14:val="tx1"/>
            </w14:solidFill>
          </w14:textFill>
        </w:rPr>
        <w:t>需提供具体的课程安排计划，确保</w:t>
      </w:r>
      <w:r>
        <w:rPr>
          <w:rFonts w:hint="eastAsia"/>
          <w:color w:val="000000" w:themeColor="text1"/>
          <w:szCs w:val="24"/>
          <w14:textFill>
            <w14:solidFill>
              <w14:schemeClr w14:val="tx1"/>
            </w14:solidFill>
          </w14:textFill>
        </w:rPr>
        <w:t>甲方</w:t>
      </w:r>
      <w:r>
        <w:rPr>
          <w:color w:val="000000" w:themeColor="text1"/>
          <w:szCs w:val="24"/>
          <w14:textFill>
            <w14:solidFill>
              <w14:schemeClr w14:val="tx1"/>
            </w14:solidFill>
          </w14:textFill>
        </w:rPr>
        <w:t xml:space="preserve">能熟练掌握日常维护及内容更新的能力。 </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14.2.2</w:t>
      </w:r>
      <w:r>
        <w:rPr>
          <w:color w:val="000000" w:themeColor="text1"/>
          <w:szCs w:val="24"/>
          <w14:textFill>
            <w14:solidFill>
              <w14:schemeClr w14:val="tx1"/>
            </w14:solidFill>
          </w14:textFill>
        </w:rPr>
        <w:t>培训方式：包括现场实施应用操作、实际工作的参与和集体培训，必须为原厂培训。</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14.2.3</w:t>
      </w:r>
      <w:r>
        <w:rPr>
          <w:color w:val="000000" w:themeColor="text1"/>
          <w:szCs w:val="24"/>
          <w14:textFill>
            <w14:solidFill>
              <w14:schemeClr w14:val="tx1"/>
            </w14:solidFill>
          </w14:textFill>
        </w:rPr>
        <w:t>培训内容和有关对象描述：</w:t>
      </w:r>
      <w:r>
        <w:rPr>
          <w:rFonts w:hint="eastAsia"/>
          <w:color w:val="000000" w:themeColor="text1"/>
          <w:szCs w:val="24"/>
          <w14:textFill>
            <w14:solidFill>
              <w14:schemeClr w14:val="tx1"/>
            </w14:solidFill>
          </w14:textFill>
        </w:rPr>
        <w:t>乙方</w:t>
      </w:r>
      <w:r>
        <w:rPr>
          <w:color w:val="000000" w:themeColor="text1"/>
          <w:szCs w:val="24"/>
          <w14:textFill>
            <w14:solidFill>
              <w14:schemeClr w14:val="tx1"/>
            </w14:solidFill>
          </w14:textFill>
        </w:rPr>
        <w:t xml:space="preserve">进行的培训工作包括培训方案的设计、培训制度的制定、培训实施和培训效果评估，及时监控培训效果，保证培训内容符合学校需要。提供在系统运行（含试运行）的各个阶段相应的培训内容描述，培训阶段安排包括：项目管理人员培训、系统维护人员培训、系统使用人员培训，各阶段描述标题包括：培训内容、参加对象、系统的实际操作。 </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14.3 要求将</w:t>
      </w:r>
      <w:r>
        <w:rPr>
          <w:color w:val="000000" w:themeColor="text1"/>
          <w:szCs w:val="24"/>
          <w14:textFill>
            <w14:solidFill>
              <w14:schemeClr w14:val="tx1"/>
            </w14:solidFill>
          </w14:textFill>
        </w:rPr>
        <w:t xml:space="preserve">全面、规范的成果和文档资料交付给用户方，而且要提供明确的交付清单。同时，成果和文档资料必须符合软件工程的相关要求。要交付的成果和文档资料主要包括但不限于以下部分： </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w:t>
      </w:r>
      <w:r>
        <w:rPr>
          <w:color w:val="000000" w:themeColor="text1"/>
          <w:szCs w:val="24"/>
          <w14:textFill>
            <w14:solidFill>
              <w14:schemeClr w14:val="tx1"/>
            </w14:solidFill>
          </w14:textFill>
        </w:rPr>
        <w:t xml:space="preserve">执行代码和源代码：保证系统正常运行的所有执行代码，以及项目开发过程 中为用户方定制功能的源代码（中标公司或第三方已有产品的源代码除外）。 </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w:t>
      </w:r>
      <w:r>
        <w:rPr>
          <w:color w:val="000000" w:themeColor="text1"/>
          <w:szCs w:val="24"/>
          <w14:textFill>
            <w14:solidFill>
              <w14:schemeClr w14:val="tx1"/>
            </w14:solidFill>
          </w14:textFill>
        </w:rPr>
        <w:t>技术文档：包括项目开发中的各种技术文档，如</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开发环境配置说明、需求分析说明、系统设计说明、</w:t>
      </w:r>
      <w:r>
        <w:rPr>
          <w:rFonts w:hint="eastAsia"/>
          <w:color w:val="000000" w:themeColor="text1"/>
          <w:szCs w:val="24"/>
          <w14:textFill>
            <w14:solidFill>
              <w14:schemeClr w14:val="tx1"/>
            </w14:solidFill>
          </w14:textFill>
        </w:rPr>
        <w:t>数据库设计说明、</w:t>
      </w:r>
      <w:r>
        <w:rPr>
          <w:color w:val="000000" w:themeColor="text1"/>
          <w:szCs w:val="24"/>
          <w14:textFill>
            <w14:solidFill>
              <w14:schemeClr w14:val="tx1"/>
            </w14:solidFill>
          </w14:textFill>
        </w:rPr>
        <w:t xml:space="preserve">用户手册、系统维护说明、系统培训资料以及有关系统接口的技术说明等等。 </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（3）</w:t>
      </w:r>
      <w:r>
        <w:rPr>
          <w:color w:val="000000" w:themeColor="text1"/>
          <w:szCs w:val="24"/>
          <w14:textFill>
            <w14:solidFill>
              <w14:schemeClr w14:val="tx1"/>
            </w14:solidFill>
          </w14:textFill>
        </w:rPr>
        <w:t xml:space="preserve">以文档形式存在的项目成果：如系统建设中形成的各类标准规范、调研分析、 规划设计报告等等。 </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（4）</w:t>
      </w:r>
      <w:r>
        <w:rPr>
          <w:color w:val="000000" w:themeColor="text1"/>
          <w:szCs w:val="24"/>
          <w14:textFill>
            <w14:solidFill>
              <w14:schemeClr w14:val="tx1"/>
            </w14:solidFill>
          </w14:textFill>
        </w:rPr>
        <w:t xml:space="preserve">管理文档：包括项目开发中的一些工作文档，如，计划、报告、讨论纲要、 会议记录等。 </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14.4 </w:t>
      </w:r>
      <w:r>
        <w:rPr>
          <w:color w:val="000000" w:themeColor="text1"/>
          <w:szCs w:val="24"/>
          <w14:textFill>
            <w14:solidFill>
              <w14:schemeClr w14:val="tx1"/>
            </w14:solidFill>
          </w14:textFill>
        </w:rPr>
        <w:t>软件不能含有使</w:t>
      </w:r>
      <w:r>
        <w:rPr>
          <w:rFonts w:hint="eastAsia"/>
          <w:color w:val="000000" w:themeColor="text1"/>
          <w:szCs w:val="24"/>
          <w14:textFill>
            <w14:solidFill>
              <w14:schemeClr w14:val="tx1"/>
            </w14:solidFill>
          </w14:textFill>
        </w:rPr>
        <w:t>甲方</w:t>
      </w:r>
      <w:r>
        <w:rPr>
          <w:color w:val="000000" w:themeColor="text1"/>
          <w:szCs w:val="24"/>
          <w14:textFill>
            <w14:solidFill>
              <w14:schemeClr w14:val="tx1"/>
            </w14:solidFill>
          </w14:textFill>
        </w:rPr>
        <w:t>受约束的使用限制。</w:t>
      </w:r>
      <w:r>
        <w:rPr>
          <w:rFonts w:hint="eastAsia"/>
          <w:color w:val="000000" w:themeColor="text1"/>
          <w:szCs w:val="24"/>
          <w14:textFill>
            <w14:solidFill>
              <w14:schemeClr w14:val="tx1"/>
            </w14:solidFill>
          </w14:textFill>
        </w:rPr>
        <w:t>所有</w:t>
      </w:r>
      <w:r>
        <w:rPr>
          <w:color w:val="000000" w:themeColor="text1"/>
          <w:szCs w:val="24"/>
          <w14:textFill>
            <w14:solidFill>
              <w14:schemeClr w14:val="tx1"/>
            </w14:solidFill>
          </w14:textFill>
        </w:rPr>
        <w:t>系统不设 License 限制，若有 License 的产品需提供永久授权。</w:t>
      </w:r>
    </w:p>
    <w:p>
      <w:pPr>
        <w:spacing w:line="460" w:lineRule="exact"/>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十五、保密义务</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15.1 乙方因承接本合同约定项目所知悉的该项目信息或甲方信息，以及在项目实施过程中所产生的与该项目有关的全部信息均为甲方的保密信息，乙方应对上述保密信息承担保密义务。未经甲方书面同意，乙方不得将甲方保密信息透露给任何第三方。</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15.2 乙方应对上述保密信息予以妥善保存，并保证仅将其用于与完成本合同项下约定项目实施有关的用途或目的。在缺少相关保密条款约定时，对上述保密信息，乙方应至少采取适用于对自己核心机密进行保护的同等保护措施和审慎程度进行保密。</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15.3乙方保证将保密信息的披露范围严格控制在直接从事该项目工作且因工作需要有必要知悉保密信息的工作人员范围内，对乙方非从事该项目的人员一律严格保密。</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15.4乙方应保证在向其工作人员披露甲方的保密信息前，认真做好员工的保密教育工作，明确告知其将知悉的为甲方的保密信息，并明确告知其需承担的保密义务及泄密所应承担的法律责任，并要求全体参与该项目的人员签署书面《保密协议》 。</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15.5任何时间内，一经甲方提出要求，乙方应按照甲方指示在收到甲方书面通知后5日内将含有保密信息的所有文件或其他资料归还甲方，且不得擅自复制留存。</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15.6非经甲方特别授权，甲方向乙方提供的任何保密信息并不包括授予乙方该保密信息包含的任何专利权、商标权、著作权、商业秘密或其它类型的知识产权。</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15.7承担上述保密义务的责任主体为乙方（含乙方工作人员）。如乙方或乙方工作人员违反了上述保密义务，给甲方造成损失的，乙方均应向甲方承担全部责任，并赔偿因此给甲方造成的全部损失；如损失数额无法确定的，乙方同意赔偿甲方的损失。</w:t>
      </w:r>
    </w:p>
    <w:p>
      <w:pPr>
        <w:pStyle w:val="19"/>
        <w:widowControl w:val="0"/>
        <w:snapToGrid w:val="0"/>
        <w:spacing w:before="0" w:beforeAutospacing="0" w:after="0" w:afterAutospacing="0" w:line="460" w:lineRule="exact"/>
        <w:ind w:firstLine="482" w:firstLineChars="200"/>
        <w:jc w:val="both"/>
        <w:rPr>
          <w:b/>
          <w:bCs/>
          <w:color w:val="000000" w:themeColor="text1"/>
          <w:szCs w:val="24"/>
          <w14:textFill>
            <w14:solidFill>
              <w14:schemeClr w14:val="tx1"/>
            </w14:solidFill>
          </w14:textFill>
        </w:rPr>
      </w:pPr>
      <w:r>
        <w:rPr>
          <w:b/>
          <w:bCs/>
          <w:color w:val="000000" w:themeColor="text1"/>
          <w:szCs w:val="24"/>
          <w14:textFill>
            <w14:solidFill>
              <w14:schemeClr w14:val="tx1"/>
            </w14:solidFill>
          </w14:textFill>
        </w:rPr>
        <w:t>十</w:t>
      </w:r>
      <w:r>
        <w:rPr>
          <w:rFonts w:hint="eastAsia"/>
          <w:b/>
          <w:bCs/>
          <w:color w:val="000000" w:themeColor="text1"/>
          <w:szCs w:val="24"/>
          <w14:textFill>
            <w14:solidFill>
              <w14:schemeClr w14:val="tx1"/>
            </w14:solidFill>
          </w14:textFill>
        </w:rPr>
        <w:t>六</w:t>
      </w:r>
      <w:r>
        <w:rPr>
          <w:b/>
          <w:bCs/>
          <w:color w:val="000000" w:themeColor="text1"/>
          <w:szCs w:val="24"/>
          <w14:textFill>
            <w14:solidFill>
              <w14:schemeClr w14:val="tx1"/>
            </w14:solidFill>
          </w14:textFill>
        </w:rPr>
        <w:t>、违约责任</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1</w:t>
      </w:r>
      <w:r>
        <w:rPr>
          <w:rFonts w:hint="eastAsia"/>
          <w:color w:val="000000" w:themeColor="text1"/>
          <w:szCs w:val="24"/>
          <w14:textFill>
            <w14:solidFill>
              <w14:schemeClr w14:val="tx1"/>
            </w14:solidFill>
          </w14:textFill>
        </w:rPr>
        <w:t>6</w:t>
      </w:r>
      <w:r>
        <w:rPr>
          <w:color w:val="000000" w:themeColor="text1"/>
          <w:szCs w:val="24"/>
          <w14:textFill>
            <w14:solidFill>
              <w14:schemeClr w14:val="tx1"/>
            </w14:solidFill>
          </w14:textFill>
        </w:rPr>
        <w:t>.1 甲方无正当理由拒收货物的，甲方向乙方偿付拒收货款总值的百分之五违约金。</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1</w:t>
      </w:r>
      <w:r>
        <w:rPr>
          <w:rFonts w:hint="eastAsia"/>
          <w:color w:val="000000" w:themeColor="text1"/>
          <w:szCs w:val="24"/>
          <w14:textFill>
            <w14:solidFill>
              <w14:schemeClr w14:val="tx1"/>
            </w14:solidFill>
          </w14:textFill>
        </w:rPr>
        <w:t>6</w:t>
      </w:r>
      <w:r>
        <w:rPr>
          <w:color w:val="000000" w:themeColor="text1"/>
          <w:szCs w:val="24"/>
          <w14:textFill>
            <w14:solidFill>
              <w14:schemeClr w14:val="tx1"/>
            </w14:solidFill>
          </w14:textFill>
        </w:rPr>
        <w:t>.2 甲方无故逾期验收和办理货款支付手续的,甲方应按逾期付款总额每日万分之五向乙方支付违约金。</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1</w:t>
      </w:r>
      <w:r>
        <w:rPr>
          <w:rFonts w:hint="eastAsia"/>
          <w:color w:val="000000" w:themeColor="text1"/>
          <w:szCs w:val="24"/>
          <w14:textFill>
            <w14:solidFill>
              <w14:schemeClr w14:val="tx1"/>
            </w14:solidFill>
          </w14:textFill>
        </w:rPr>
        <w:t>6</w:t>
      </w:r>
      <w:r>
        <w:rPr>
          <w:color w:val="000000" w:themeColor="text1"/>
          <w:szCs w:val="24"/>
          <w14:textFill>
            <w14:solidFill>
              <w14:schemeClr w14:val="tx1"/>
            </w14:solidFill>
          </w14:textFill>
        </w:rPr>
        <w:t xml:space="preserve">.3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1</w:t>
      </w:r>
      <w:r>
        <w:rPr>
          <w:rFonts w:hint="eastAsia"/>
          <w:color w:val="000000" w:themeColor="text1"/>
          <w:szCs w:val="24"/>
          <w14:textFill>
            <w14:solidFill>
              <w14:schemeClr w14:val="tx1"/>
            </w14:solidFill>
          </w14:textFill>
        </w:rPr>
        <w:t>6</w:t>
      </w:r>
      <w:r>
        <w:rPr>
          <w:color w:val="000000" w:themeColor="text1"/>
          <w:szCs w:val="24"/>
          <w14:textFill>
            <w14:solidFill>
              <w14:schemeClr w14:val="tx1"/>
            </w14:solidFill>
          </w14:textFill>
        </w:rPr>
        <w:t>.4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1</w:t>
      </w:r>
      <w:r>
        <w:rPr>
          <w:rFonts w:hint="eastAsia"/>
          <w:color w:val="000000" w:themeColor="text1"/>
          <w:szCs w:val="24"/>
          <w14:textFill>
            <w14:solidFill>
              <w14:schemeClr w14:val="tx1"/>
            </w14:solidFill>
          </w14:textFill>
        </w:rPr>
        <w:t>6</w:t>
      </w: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5乙方未按照本合同约定提供专业技术人员团队，或擅自更换人员的，经甲方通知后，应及时予以改正，经甲方通知后仍不改正的或上述情况累计发生 3 次以上的，甲方有权解除合同，如因此给甲方造成损失的，由乙方承担全部赔偿责任。</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16.6乙方未能按照合同约定的时间交付应用系统和提供服务，每延期一周，乙方应当按5000元向甲方支付违约金，直至乙方完成应用系统交付并提供服务。一旦误期赔偿费达到合同总价的5%，甲方有权终止合同。</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16.7如果由于乙方的原因导致甲方系统硬件设施和操作系统出现故障，造成甲方经济损失的，乙方应赔偿甲方因此而遭受的经济损失。</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16.8 如乙方未能按照合同约定完成项目实施，经多次整改（超过建设期50%时间），仍无法通过学校组织的验收的，甲方有权终止合同，且不再退还履约保证金。</w:t>
      </w:r>
    </w:p>
    <w:p>
      <w:pPr>
        <w:pStyle w:val="19"/>
        <w:widowControl w:val="0"/>
        <w:snapToGrid w:val="0"/>
        <w:spacing w:before="0" w:beforeAutospacing="0" w:after="0" w:afterAutospacing="0" w:line="460" w:lineRule="exact"/>
        <w:ind w:firstLine="482" w:firstLineChars="200"/>
        <w:jc w:val="both"/>
        <w:rPr>
          <w:b/>
          <w:bCs/>
          <w:color w:val="000000" w:themeColor="text1"/>
          <w:szCs w:val="24"/>
          <w14:textFill>
            <w14:solidFill>
              <w14:schemeClr w14:val="tx1"/>
            </w14:solidFill>
          </w14:textFill>
        </w:rPr>
      </w:pPr>
      <w:r>
        <w:rPr>
          <w:b/>
          <w:bCs/>
          <w:color w:val="000000" w:themeColor="text1"/>
          <w:szCs w:val="24"/>
          <w14:textFill>
            <w14:solidFill>
              <w14:schemeClr w14:val="tx1"/>
            </w14:solidFill>
          </w14:textFill>
        </w:rPr>
        <w:t>十</w:t>
      </w:r>
      <w:r>
        <w:rPr>
          <w:rFonts w:hint="eastAsia"/>
          <w:b/>
          <w:bCs/>
          <w:color w:val="000000" w:themeColor="text1"/>
          <w:szCs w:val="24"/>
          <w14:textFill>
            <w14:solidFill>
              <w14:schemeClr w14:val="tx1"/>
            </w14:solidFill>
          </w14:textFill>
        </w:rPr>
        <w:t>七</w:t>
      </w:r>
      <w:r>
        <w:rPr>
          <w:b/>
          <w:bCs/>
          <w:color w:val="000000" w:themeColor="text1"/>
          <w:szCs w:val="24"/>
          <w14:textFill>
            <w14:solidFill>
              <w14:schemeClr w14:val="tx1"/>
            </w14:solidFill>
          </w14:textFill>
        </w:rPr>
        <w:t>、不可抗力事件处理</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1</w:t>
      </w:r>
      <w:r>
        <w:rPr>
          <w:rFonts w:hint="eastAsia"/>
          <w:color w:val="000000" w:themeColor="text1"/>
          <w:szCs w:val="24"/>
          <w14:textFill>
            <w14:solidFill>
              <w14:schemeClr w14:val="tx1"/>
            </w14:solidFill>
          </w14:textFill>
        </w:rPr>
        <w:t>7</w:t>
      </w:r>
      <w:r>
        <w:rPr>
          <w:color w:val="000000" w:themeColor="text1"/>
          <w:szCs w:val="24"/>
          <w14:textFill>
            <w14:solidFill>
              <w14:schemeClr w14:val="tx1"/>
            </w14:solidFill>
          </w14:textFill>
        </w:rPr>
        <w:t>.1 在合同有效期内，任何一方因不可抗力事件导致不能履行合同，则合同履行期可延长，其延长期与不可抗力影响期相同。</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1</w:t>
      </w:r>
      <w:r>
        <w:rPr>
          <w:rFonts w:hint="eastAsia"/>
          <w:color w:val="000000" w:themeColor="text1"/>
          <w:szCs w:val="24"/>
          <w14:textFill>
            <w14:solidFill>
              <w14:schemeClr w14:val="tx1"/>
            </w14:solidFill>
          </w14:textFill>
        </w:rPr>
        <w:t>7</w:t>
      </w:r>
      <w:r>
        <w:rPr>
          <w:color w:val="000000" w:themeColor="text1"/>
          <w:szCs w:val="24"/>
          <w14:textFill>
            <w14:solidFill>
              <w14:schemeClr w14:val="tx1"/>
            </w14:solidFill>
          </w14:textFill>
        </w:rPr>
        <w:t>.2 不可抗力事件发生后，应立即通知对方，并寄送有关权威机构出具的证明。</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1</w:t>
      </w:r>
      <w:r>
        <w:rPr>
          <w:rFonts w:hint="eastAsia"/>
          <w:color w:val="000000" w:themeColor="text1"/>
          <w:szCs w:val="24"/>
          <w14:textFill>
            <w14:solidFill>
              <w14:schemeClr w14:val="tx1"/>
            </w14:solidFill>
          </w14:textFill>
        </w:rPr>
        <w:t>7</w:t>
      </w:r>
      <w:r>
        <w:rPr>
          <w:color w:val="000000" w:themeColor="text1"/>
          <w:szCs w:val="24"/>
          <w14:textFill>
            <w14:solidFill>
              <w14:schemeClr w14:val="tx1"/>
            </w14:solidFill>
          </w14:textFill>
        </w:rPr>
        <w:t>.3 不可抗力事件延续120天以上，双方应通过友好协商，确定是否继续履行合同。</w:t>
      </w:r>
    </w:p>
    <w:p>
      <w:pPr>
        <w:pStyle w:val="19"/>
        <w:widowControl w:val="0"/>
        <w:snapToGrid w:val="0"/>
        <w:spacing w:before="0" w:beforeAutospacing="0" w:after="0" w:afterAutospacing="0" w:line="460" w:lineRule="exact"/>
        <w:ind w:firstLine="482" w:firstLineChars="200"/>
        <w:jc w:val="both"/>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十</w:t>
      </w:r>
      <w:r>
        <w:rPr>
          <w:rFonts w:hint="eastAsia"/>
          <w:b/>
          <w:bCs/>
          <w:color w:val="000000" w:themeColor="text1"/>
          <w:szCs w:val="24"/>
          <w14:textFill>
            <w14:solidFill>
              <w14:schemeClr w14:val="tx1"/>
            </w14:solidFill>
          </w14:textFill>
        </w:rPr>
        <w:t>八</w:t>
      </w:r>
      <w:r>
        <w:rPr>
          <w:b/>
          <w:bCs/>
          <w:color w:val="000000" w:themeColor="text1"/>
          <w:szCs w:val="24"/>
          <w14:textFill>
            <w14:solidFill>
              <w14:schemeClr w14:val="tx1"/>
            </w14:solidFill>
          </w14:textFill>
        </w:rPr>
        <w:t>、诉讼</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1</w:t>
      </w:r>
      <w:r>
        <w:rPr>
          <w:rFonts w:hint="eastAsia"/>
          <w:color w:val="000000" w:themeColor="text1"/>
          <w:szCs w:val="24"/>
          <w14:textFill>
            <w14:solidFill>
              <w14:schemeClr w14:val="tx1"/>
            </w14:solidFill>
          </w14:textFill>
        </w:rPr>
        <w:t>8</w:t>
      </w:r>
      <w:r>
        <w:rPr>
          <w:color w:val="000000" w:themeColor="text1"/>
          <w:szCs w:val="24"/>
          <w14:textFill>
            <w14:solidFill>
              <w14:schemeClr w14:val="tx1"/>
            </w14:solidFill>
          </w14:textFill>
        </w:rPr>
        <w:t>.1 双方在执行合同中所发生的一切争议，应通过协商解决。如协商不成，可向合同签订地法院起诉，合同签订地在此约定为</w:t>
      </w:r>
      <w:r>
        <w:rPr>
          <w:rFonts w:hint="eastAsia"/>
          <w:color w:val="000000" w:themeColor="text1"/>
          <w:szCs w:val="24"/>
          <w14:textFill>
            <w14:solidFill>
              <w14:schemeClr w14:val="tx1"/>
            </w14:solidFill>
          </w14:textFill>
        </w:rPr>
        <w:t>盐城</w:t>
      </w:r>
      <w:r>
        <w:rPr>
          <w:color w:val="000000" w:themeColor="text1"/>
          <w:szCs w:val="24"/>
          <w14:textFill>
            <w14:solidFill>
              <w14:schemeClr w14:val="tx1"/>
            </w14:solidFill>
          </w14:textFill>
        </w:rPr>
        <w:t>市。</w:t>
      </w:r>
    </w:p>
    <w:p>
      <w:pPr>
        <w:pStyle w:val="19"/>
        <w:widowControl w:val="0"/>
        <w:snapToGrid w:val="0"/>
        <w:spacing w:before="0" w:beforeAutospacing="0" w:after="0" w:afterAutospacing="0" w:line="460" w:lineRule="exact"/>
        <w:ind w:firstLine="482" w:firstLineChars="200"/>
        <w:jc w:val="both"/>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十</w:t>
      </w:r>
      <w:r>
        <w:rPr>
          <w:rFonts w:hint="eastAsia"/>
          <w:b/>
          <w:bCs/>
          <w:color w:val="000000" w:themeColor="text1"/>
          <w:szCs w:val="24"/>
          <w14:textFill>
            <w14:solidFill>
              <w14:schemeClr w14:val="tx1"/>
            </w14:solidFill>
          </w14:textFill>
        </w:rPr>
        <w:t>九</w:t>
      </w:r>
      <w:r>
        <w:rPr>
          <w:b/>
          <w:bCs/>
          <w:color w:val="000000" w:themeColor="text1"/>
          <w:szCs w:val="24"/>
          <w14:textFill>
            <w14:solidFill>
              <w14:schemeClr w14:val="tx1"/>
            </w14:solidFill>
          </w14:textFill>
        </w:rPr>
        <w:t>、合同生效及其它</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1</w:t>
      </w:r>
      <w:r>
        <w:rPr>
          <w:rFonts w:hint="eastAsia"/>
          <w:color w:val="000000" w:themeColor="text1"/>
          <w:szCs w:val="24"/>
          <w14:textFill>
            <w14:solidFill>
              <w14:schemeClr w14:val="tx1"/>
            </w14:solidFill>
          </w14:textFill>
        </w:rPr>
        <w:t>9</w:t>
      </w:r>
      <w:r>
        <w:rPr>
          <w:color w:val="000000" w:themeColor="text1"/>
          <w:szCs w:val="24"/>
          <w14:textFill>
            <w14:solidFill>
              <w14:schemeClr w14:val="tx1"/>
            </w14:solidFill>
          </w14:textFill>
        </w:rPr>
        <w:t>.1 合同经双方法定代表人或授权委托代</w:t>
      </w:r>
      <w:r>
        <w:rPr>
          <w:rFonts w:hint="eastAsia"/>
          <w:color w:val="000000" w:themeColor="text1"/>
          <w:szCs w:val="24"/>
          <w14:textFill>
            <w14:solidFill>
              <w14:schemeClr w14:val="tx1"/>
            </w14:solidFill>
          </w14:textFill>
        </w:rPr>
        <w:t>表</w:t>
      </w:r>
      <w:r>
        <w:rPr>
          <w:color w:val="000000" w:themeColor="text1"/>
          <w:szCs w:val="24"/>
          <w14:textFill>
            <w14:solidFill>
              <w14:schemeClr w14:val="tx1"/>
            </w14:solidFill>
          </w14:textFill>
        </w:rPr>
        <w:t>人签字并加盖单位公章后生效。</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1</w:t>
      </w:r>
      <w:r>
        <w:rPr>
          <w:rFonts w:hint="eastAsia"/>
          <w:color w:val="000000" w:themeColor="text1"/>
          <w:szCs w:val="24"/>
          <w14:textFill>
            <w14:solidFill>
              <w14:schemeClr w14:val="tx1"/>
            </w14:solidFill>
          </w14:textFill>
        </w:rPr>
        <w:t>9</w:t>
      </w:r>
      <w:r>
        <w:rPr>
          <w:color w:val="000000" w:themeColor="text1"/>
          <w:szCs w:val="24"/>
          <w14:textFill>
            <w14:solidFill>
              <w14:schemeClr w14:val="tx1"/>
            </w14:solidFill>
          </w14:textFill>
        </w:rPr>
        <w:t>.2本合同未尽事宜，遵照</w:t>
      </w:r>
      <w:r>
        <w:rPr>
          <w:rFonts w:hint="eastAsia"/>
          <w:color w:val="000000" w:themeColor="text1"/>
          <w:szCs w:val="24"/>
          <w14:textFill>
            <w14:solidFill>
              <w14:schemeClr w14:val="tx1"/>
            </w14:solidFill>
          </w14:textFill>
        </w:rPr>
        <w:t>《中华人民共和国民法典》</w:t>
      </w:r>
      <w:r>
        <w:rPr>
          <w:color w:val="000000" w:themeColor="text1"/>
          <w:szCs w:val="24"/>
          <w14:textFill>
            <w14:solidFill>
              <w14:schemeClr w14:val="tx1"/>
            </w14:solidFill>
          </w14:textFill>
        </w:rPr>
        <w:t>有关条文执行。</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color w:val="000000" w:themeColor="text1"/>
          <w:szCs w:val="24"/>
          <w14:textFill>
            <w14:solidFill>
              <w14:schemeClr w14:val="tx1"/>
            </w14:solidFill>
          </w14:textFill>
        </w:rPr>
        <w:t>1</w:t>
      </w:r>
      <w:r>
        <w:rPr>
          <w:rFonts w:hint="eastAsia"/>
          <w:color w:val="000000" w:themeColor="text1"/>
          <w:szCs w:val="24"/>
          <w14:textFill>
            <w14:solidFill>
              <w14:schemeClr w14:val="tx1"/>
            </w14:solidFill>
          </w14:textFill>
        </w:rPr>
        <w:t>9</w:t>
      </w: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3本合同正本一式二份，副本一式六份，具有同等法律效力。</w:t>
      </w:r>
    </w:p>
    <w:p>
      <w:pPr>
        <w:pStyle w:val="19"/>
        <w:widowControl w:val="0"/>
        <w:snapToGrid w:val="0"/>
        <w:spacing w:before="0" w:beforeAutospacing="0" w:after="0" w:afterAutospacing="0" w:line="460" w:lineRule="exact"/>
        <w:jc w:val="both"/>
        <w:rPr>
          <w:color w:val="000000" w:themeColor="text1"/>
          <w:kern w:val="2"/>
          <w14:textFill>
            <w14:solidFill>
              <w14:schemeClr w14:val="tx1"/>
            </w14:solidFill>
          </w14:textFill>
        </w:rPr>
      </w:pPr>
    </w:p>
    <w:p>
      <w:pPr>
        <w:adjustRightInd w:val="0"/>
        <w:snapToGrid w:val="0"/>
        <w:spacing w:line="460" w:lineRule="exact"/>
        <w:ind w:firstLine="720" w:firstLineChars="300"/>
        <w:rPr>
          <w:rFonts w:ascii="宋体" w:hAnsi="宋体" w:cs="Courier New"/>
          <w:color w:val="000000" w:themeColor="text1"/>
          <w:sz w:val="24"/>
          <w:szCs w:val="24"/>
          <w14:textFill>
            <w14:solidFill>
              <w14:schemeClr w14:val="tx1"/>
            </w14:solidFill>
          </w14:textFill>
        </w:rPr>
      </w:pPr>
      <w:r>
        <w:rPr>
          <w:rFonts w:ascii="宋体" w:hAnsi="宋体" w:cs="Courier New"/>
          <w:color w:val="000000" w:themeColor="text1"/>
          <w:sz w:val="24"/>
          <w:szCs w:val="24"/>
          <w14:textFill>
            <w14:solidFill>
              <w14:schemeClr w14:val="tx1"/>
            </w14:solidFill>
          </w14:textFill>
        </w:rPr>
        <w:t xml:space="preserve">甲方：                                乙方： </w:t>
      </w:r>
    </w:p>
    <w:p>
      <w:pPr>
        <w:adjustRightInd w:val="0"/>
        <w:snapToGrid w:val="0"/>
        <w:spacing w:line="460" w:lineRule="exact"/>
        <w:ind w:firstLine="480" w:firstLineChars="200"/>
        <w:rPr>
          <w:rFonts w:ascii="宋体" w:hAnsi="宋体" w:cs="Courier New"/>
          <w:color w:val="000000" w:themeColor="text1"/>
          <w:sz w:val="24"/>
          <w:szCs w:val="24"/>
          <w14:textFill>
            <w14:solidFill>
              <w14:schemeClr w14:val="tx1"/>
            </w14:solidFill>
          </w14:textFill>
        </w:rPr>
      </w:pPr>
      <w:r>
        <w:rPr>
          <w:rFonts w:ascii="宋体" w:hAnsi="宋体" w:cs="Courier New"/>
          <w:color w:val="000000" w:themeColor="text1"/>
          <w:sz w:val="24"/>
          <w:szCs w:val="24"/>
          <w14:textFill>
            <w14:solidFill>
              <w14:schemeClr w14:val="tx1"/>
            </w14:solidFill>
          </w14:textFill>
        </w:rPr>
        <w:t xml:space="preserve">  地址：                                地址： </w:t>
      </w:r>
    </w:p>
    <w:p>
      <w:pPr>
        <w:adjustRightInd w:val="0"/>
        <w:snapToGrid w:val="0"/>
        <w:spacing w:line="460" w:lineRule="exact"/>
        <w:ind w:firstLine="480" w:firstLineChars="200"/>
        <w:rPr>
          <w:rFonts w:ascii="宋体" w:hAnsi="宋体" w:cs="Courier New"/>
          <w:color w:val="000000" w:themeColor="text1"/>
          <w:sz w:val="24"/>
          <w:szCs w:val="24"/>
          <w14:textFill>
            <w14:solidFill>
              <w14:schemeClr w14:val="tx1"/>
            </w14:solidFill>
          </w14:textFill>
        </w:rPr>
      </w:pPr>
      <w:r>
        <w:rPr>
          <w:rFonts w:ascii="宋体" w:hAnsi="宋体" w:cs="Courier New"/>
          <w:color w:val="000000" w:themeColor="text1"/>
          <w:sz w:val="24"/>
          <w:szCs w:val="24"/>
          <w14:textFill>
            <w14:solidFill>
              <w14:schemeClr w14:val="tx1"/>
            </w14:solidFill>
          </w14:textFill>
        </w:rPr>
        <w:t xml:space="preserve">  法定代表人或授权代表：                法定代表人或授权代表：</w:t>
      </w:r>
    </w:p>
    <w:p>
      <w:pPr>
        <w:adjustRightInd w:val="0"/>
        <w:snapToGrid w:val="0"/>
        <w:spacing w:line="460" w:lineRule="exact"/>
        <w:ind w:firstLine="480" w:firstLineChars="200"/>
        <w:rPr>
          <w:rFonts w:ascii="宋体" w:hAnsi="宋体" w:cs="Courier New"/>
          <w:color w:val="000000" w:themeColor="text1"/>
          <w:sz w:val="24"/>
          <w:szCs w:val="24"/>
          <w14:textFill>
            <w14:solidFill>
              <w14:schemeClr w14:val="tx1"/>
            </w14:solidFill>
          </w14:textFill>
        </w:rPr>
      </w:pPr>
      <w:r>
        <w:rPr>
          <w:rFonts w:ascii="宋体" w:hAnsi="宋体" w:cs="Courier New"/>
          <w:color w:val="000000" w:themeColor="text1"/>
          <w:sz w:val="24"/>
          <w:szCs w:val="24"/>
          <w14:textFill>
            <w14:solidFill>
              <w14:schemeClr w14:val="tx1"/>
            </w14:solidFill>
          </w14:textFill>
        </w:rPr>
        <w:t xml:space="preserve">  联系电话：                            联系电话：</w:t>
      </w:r>
    </w:p>
    <w:p>
      <w:pPr>
        <w:adjustRightInd w:val="0"/>
        <w:snapToGrid w:val="0"/>
        <w:spacing w:line="460" w:lineRule="exact"/>
        <w:ind w:firstLine="720" w:firstLineChars="300"/>
        <w:rPr>
          <w:rStyle w:val="44"/>
          <w:b/>
          <w:color w:val="000000" w:themeColor="text1"/>
          <w:sz w:val="44"/>
          <w14:textFill>
            <w14:solidFill>
              <w14:schemeClr w14:val="tx1"/>
            </w14:solidFill>
          </w14:textFill>
        </w:rPr>
      </w:pPr>
      <w:r>
        <w:rPr>
          <w:rFonts w:hint="eastAsia" w:ascii="宋体" w:hAnsi="Courier New" w:cs="Courier New"/>
          <w:color w:val="000000" w:themeColor="text1"/>
          <w:sz w:val="24"/>
          <w:szCs w:val="24"/>
          <w14:textFill>
            <w14:solidFill>
              <w14:schemeClr w14:val="tx1"/>
            </w14:solidFill>
          </w14:textFill>
        </w:rPr>
        <w:t>签订</w:t>
      </w:r>
      <w:r>
        <w:rPr>
          <w:rFonts w:ascii="宋体" w:hAnsi="Courier New" w:cs="Courier New"/>
          <w:color w:val="000000" w:themeColor="text1"/>
          <w:sz w:val="24"/>
          <w:szCs w:val="24"/>
          <w14:textFill>
            <w14:solidFill>
              <w14:schemeClr w14:val="tx1"/>
            </w14:solidFill>
          </w14:textFill>
        </w:rPr>
        <w:t>日期：</w:t>
      </w:r>
      <w:bookmarkStart w:id="14" w:name="_Toc31860"/>
      <w:bookmarkStart w:id="15" w:name="_Toc4220"/>
    </w:p>
    <w:p>
      <w:pPr>
        <w:pStyle w:val="19"/>
        <w:spacing w:before="0" w:beforeAutospacing="0" w:after="0" w:afterAutospacing="0"/>
        <w:jc w:val="center"/>
        <w:outlineLvl w:val="0"/>
        <w:rPr>
          <w:b/>
          <w:bCs/>
          <w:color w:val="000000" w:themeColor="text1"/>
          <w:szCs w:val="24"/>
          <w14:textFill>
            <w14:solidFill>
              <w14:schemeClr w14:val="tx1"/>
            </w14:solidFill>
          </w14:textFill>
        </w:rPr>
      </w:pPr>
      <w:r>
        <w:rPr>
          <w:rStyle w:val="44"/>
          <w:rFonts w:hint="eastAsia"/>
          <w:b/>
          <w:color w:val="000000" w:themeColor="text1"/>
          <w:sz w:val="44"/>
          <w14:textFill>
            <w14:solidFill>
              <w14:schemeClr w14:val="tx1"/>
            </w14:solidFill>
          </w14:textFill>
        </w:rPr>
        <w:br w:type="page"/>
      </w:r>
      <w:r>
        <w:rPr>
          <w:rStyle w:val="44"/>
          <w:rFonts w:hint="eastAsia"/>
          <w:b/>
          <w:color w:val="000000" w:themeColor="text1"/>
          <w:sz w:val="44"/>
          <w14:textFill>
            <w14:solidFill>
              <w14:schemeClr w14:val="tx1"/>
            </w14:solidFill>
          </w14:textFill>
        </w:rPr>
        <w:t>第四章 项目需求</w:t>
      </w:r>
      <w:bookmarkEnd w:id="14"/>
      <w:bookmarkEnd w:id="15"/>
    </w:p>
    <w:p>
      <w:pPr>
        <w:pStyle w:val="19"/>
        <w:spacing w:before="0" w:beforeAutospacing="0" w:after="0" w:afterAutospacing="0"/>
        <w:ind w:firstLine="420"/>
        <w:rPr>
          <w:b/>
          <w:bCs/>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一、项目背景</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盐城工业职业技术学院数据中心与数据治理项目建设主要完成全量数据的治理、交换、分析、共享和可视化呈现等。主要内容包括：信息标准的建设和管理、各类业务系统的数据对接集成和共享、数据治理、全量数据管理、数据应用开放管理、数据采集、数据交换运行监控、校本应用开发、领导驾驶舱等。</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通过本次项目的建设，能够实现数据标准统一、数据资产整合和数据应用有效协同，提升智慧校园数据服务能力，为学校提供全面、高效、精准的数据支撑。</w:t>
      </w:r>
    </w:p>
    <w:p>
      <w:pPr>
        <w:spacing w:line="460" w:lineRule="exact"/>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二、项目概况</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本期项目建设应充分考虑学校数据源、数据格式、管理流程、业务需求的多样性和数据质量的差异性，具备多源数据的整合能力、数据整合过程中的数据质量管理能力、数据流向及血缘管理能力，师生个人的数据采集、应用反馈等能力的延伸，以高安全的系统权限管理和分配机制，搭建高效、完善的数据采集、交换、共享、管理、运维和展现体系，能够实现如下总体需求： </w:t>
      </w:r>
    </w:p>
    <w:p>
      <w:pPr>
        <w:spacing w:line="460" w:lineRule="exact"/>
        <w:ind w:firstLine="482" w:firstLineChars="200"/>
        <w:rPr>
          <w:rFonts w:ascii="宋体" w:hAnsi="宋体"/>
          <w:color w:val="000000" w:themeColor="text1"/>
          <w:sz w:val="24"/>
          <w:szCs w:val="24"/>
          <w:lang w:val="de-D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1.全数据链闭环</w:t>
      </w: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lang w:val="de-DE"/>
          <w14:textFill>
            <w14:solidFill>
              <w14:schemeClr w14:val="tx1"/>
            </w14:solidFill>
          </w14:textFill>
        </w:rPr>
        <w:t>平台具备统一的底层数据体系，数据应完全打通，平台不同模块和功能间应共享相同的数据信息，子平台或子模块间可互相调用功能；平台内不同模块（如数据交换、数据治理、数据采集、数据呈现等）应共用相同的元数据，实现元数据“一次配置，全平台使用”；各类数据应用能够充分利用数据治理平台的元数据信息、数据信息、数据血缘信息、数据质量规则和评估结果、数据脱敏结果等，并实现数据应用对数据治理平台和业务系统数据质量的反馈，平台应实现数据应用与数据治理之间的闭环：即实现数据采集、数据交换、数据治理、数据服务、数据应用的数据联动，数据治理提升数据质量，高质量数据支撑数据应用，数据应用反馈数据质量问题并通过数据采集和交换修正数据问题，从而形成数据生产、数据质量和数据应用的数据生态闭环。</w:t>
      </w:r>
    </w:p>
    <w:p>
      <w:pPr>
        <w:spacing w:line="460" w:lineRule="exact"/>
        <w:ind w:firstLine="482" w:firstLineChars="200"/>
        <w:rPr>
          <w:rFonts w:ascii="宋体" w:hAnsi="宋体"/>
          <w:color w:val="000000" w:themeColor="text1"/>
          <w:sz w:val="24"/>
          <w:szCs w:val="24"/>
          <w:lang w:val="de-DE"/>
          <w14:textFill>
            <w14:solidFill>
              <w14:schemeClr w14:val="tx1"/>
            </w14:solidFill>
          </w14:textFill>
        </w:rPr>
      </w:pPr>
      <w:r>
        <w:rPr>
          <w:rFonts w:hint="eastAsia" w:ascii="宋体" w:hAnsi="宋体"/>
          <w:b/>
          <w:bCs/>
          <w:color w:val="000000" w:themeColor="text1"/>
          <w:sz w:val="24"/>
          <w:szCs w:val="24"/>
          <w:lang w:val="de-DE"/>
          <w14:textFill>
            <w14:solidFill>
              <w14:schemeClr w14:val="tx1"/>
            </w14:solidFill>
          </w14:textFill>
        </w:rPr>
        <w:t>2.数据集成和共享：</w:t>
      </w:r>
      <w:r>
        <w:rPr>
          <w:rFonts w:hint="eastAsia" w:ascii="宋体" w:hAnsi="宋体"/>
          <w:color w:val="000000" w:themeColor="text1"/>
          <w:sz w:val="24"/>
          <w:szCs w:val="24"/>
          <w:lang w:val="de-DE"/>
          <w14:textFill>
            <w14:solidFill>
              <w14:schemeClr w14:val="tx1"/>
            </w14:solidFill>
          </w14:textFill>
        </w:rPr>
        <w:t>平台数据集成过程支持 Linux、UNIX、WINDOWS 等操作系统平台，能满足不同数据源、不同数据格式，不同管理逻辑下的数据交换需求，支持数据在数据治理平台和校内各业务系统间的双向传递；提供数据交换过程的可视化调度和监控，能够及时发现、定位数据交换过程中出现的各类问题和错误，描述问题和错误出现的原因并实时通知管理人员； 能够以图形化和拖拽的方式设计和定义数据抽取、转换、加载流程，并保证数据集成交换的稳定性和安全性，完成不同应用场景下从源到目标的数据交换； 平台支持开放的 ETL流程生成器，支持异构数据源的共享和交换， 支持与主流关系型数据库（包括但不限于 Oracle、Sybase、DB2、SQL Server、MySQL等）、大数据存储（包括但不限于Hbase、Hadoop、Hive等）、消息中间件、Web Service、Tabled-Txt 文件、XML 文件、Excel 文件、DBF 文件、Word 文件等进行对接，满足不同数据源的交换需求； 平台支持同步和异步的方式实现数据的交换及推送，支持交换任务运行周期的自定义调度配置； 支持实时数据同步能力，支持将HBase、Hadoop、Hive、Oracle、Mysql、Postgre</w:t>
      </w:r>
      <w:r>
        <w:rPr>
          <w:rFonts w:hint="eastAsia" w:ascii="宋体" w:hAnsi="宋体"/>
          <w:color w:val="000000" w:themeColor="text1"/>
          <w:sz w:val="24"/>
          <w:szCs w:val="24"/>
          <w14:textFill>
            <w14:solidFill>
              <w14:schemeClr w14:val="tx1"/>
            </w14:solidFill>
          </w14:textFill>
        </w:rPr>
        <w:t>SQL</w:t>
      </w:r>
      <w:r>
        <w:rPr>
          <w:rFonts w:hint="eastAsia" w:ascii="宋体" w:hAnsi="宋体"/>
          <w:color w:val="000000" w:themeColor="text1"/>
          <w:sz w:val="24"/>
          <w:szCs w:val="24"/>
          <w:lang w:val="de-DE"/>
          <w14:textFill>
            <w14:solidFill>
              <w14:schemeClr w14:val="tx1"/>
            </w14:solidFill>
          </w14:textFill>
        </w:rPr>
        <w:t>等结构化或非结构化数据类型实时同步到数据中心；能够提供针对表格数据的结构化采集、办公文档（PDF、Word 等）数据采集、图片信息采集等功能，支持采集文件在线浏览模式。</w:t>
      </w:r>
    </w:p>
    <w:p>
      <w:pPr>
        <w:spacing w:line="460" w:lineRule="exact"/>
        <w:ind w:firstLine="482" w:firstLineChars="200"/>
        <w:rPr>
          <w:rFonts w:ascii="宋体" w:hAnsi="宋体"/>
          <w:color w:val="000000" w:themeColor="text1"/>
          <w:sz w:val="24"/>
          <w:szCs w:val="24"/>
          <w:lang w:val="de-DE"/>
          <w14:textFill>
            <w14:solidFill>
              <w14:schemeClr w14:val="tx1"/>
            </w14:solidFill>
          </w14:textFill>
        </w:rPr>
      </w:pPr>
      <w:r>
        <w:rPr>
          <w:rFonts w:hint="eastAsia" w:ascii="宋体" w:hAnsi="宋体"/>
          <w:b/>
          <w:bCs/>
          <w:color w:val="000000" w:themeColor="text1"/>
          <w:sz w:val="24"/>
          <w:szCs w:val="24"/>
          <w:lang w:val="de-DE"/>
          <w14:textFill>
            <w14:solidFill>
              <w14:schemeClr w14:val="tx1"/>
            </w14:solidFill>
          </w14:textFill>
        </w:rPr>
        <w:t>3.自动化能力：</w:t>
      </w:r>
      <w:r>
        <w:rPr>
          <w:rFonts w:hint="eastAsia" w:ascii="宋体" w:hAnsi="宋体"/>
          <w:color w:val="000000" w:themeColor="text1"/>
          <w:sz w:val="24"/>
          <w:szCs w:val="24"/>
          <w:lang w:val="de-DE"/>
          <w14:textFill>
            <w14:solidFill>
              <w14:schemeClr w14:val="tx1"/>
            </w14:solidFill>
          </w14:textFill>
        </w:rPr>
        <w:t>平台具备自动化数据识别、故障修复、自动生成集成作业文档等能力，支持一键数据集成、一键数据治理、一键同步数据模型结构等自动化操作； 平台具备实时线上监控和自动化预警消息推送的能力，消息支持与微信企业号、钉钉、校园门户、消息平台等的无缝对接。</w:t>
      </w:r>
    </w:p>
    <w:p>
      <w:pPr>
        <w:spacing w:line="460" w:lineRule="exact"/>
        <w:ind w:firstLine="482" w:firstLineChars="200"/>
        <w:rPr>
          <w:rFonts w:ascii="宋体" w:hAnsi="宋体"/>
          <w:color w:val="000000" w:themeColor="text1"/>
          <w:sz w:val="24"/>
          <w:szCs w:val="24"/>
          <w:lang w:val="de-DE"/>
          <w14:textFill>
            <w14:solidFill>
              <w14:schemeClr w14:val="tx1"/>
            </w14:solidFill>
          </w14:textFill>
        </w:rPr>
      </w:pPr>
      <w:r>
        <w:rPr>
          <w:rFonts w:hint="eastAsia" w:ascii="宋体" w:hAnsi="宋体"/>
          <w:b/>
          <w:bCs/>
          <w:color w:val="000000" w:themeColor="text1"/>
          <w:sz w:val="24"/>
          <w:szCs w:val="24"/>
          <w:lang w:val="de-DE"/>
          <w14:textFill>
            <w14:solidFill>
              <w14:schemeClr w14:val="tx1"/>
            </w14:solidFill>
          </w14:textFill>
        </w:rPr>
        <w:t>4. 数据呈现能力：</w:t>
      </w:r>
      <w:r>
        <w:rPr>
          <w:rFonts w:hint="eastAsia" w:ascii="宋体" w:hAnsi="宋体"/>
          <w:color w:val="000000" w:themeColor="text1"/>
          <w:sz w:val="24"/>
          <w:szCs w:val="24"/>
          <w:lang w:val="de-DE"/>
          <w14:textFill>
            <w14:solidFill>
              <w14:schemeClr w14:val="tx1"/>
            </w14:solidFill>
          </w14:textFill>
        </w:rPr>
        <w:t>平台提供丰富的数据分析能力，包括纵向对比、横向对比、目标对比、阈值预警、趋势分析、占比分析、同比分析、环比分析、对比分析、排序分析、因素分析等，支持逐层细化展现方式，提供上卷、钻取、切片、旋转等分析手段，以“宏观→微观→明细→个体”的逐层细化的方式进行辅助分析；平台支持分析指标、主题、UI 效果等数据呈现界面的自定义组合和定制功能，支持界面拖拽生成方式，界面展现形式动态美观，种类丰富，可通过饼形图、柱状图、折线图、仪表盘、雷达图、气泡图、面积图、词云、瀑布图、漏斗图等多种图表形式进行形象直观的展现，具有较强的动画效果；平台提供可视化的数据指标管理能力，具备数据指标的在线开发、聚集、计算、逻辑加工、固化等管理功能，指标数据能够为学校数据上报、日常考核、运营分析等提供支撑；支持数据呈现的权限和角色控制，保障数据访问安全。</w:t>
      </w:r>
    </w:p>
    <w:p>
      <w:pPr>
        <w:spacing w:line="460" w:lineRule="exact"/>
        <w:ind w:firstLine="482" w:firstLineChars="200"/>
        <w:rPr>
          <w:rFonts w:ascii="宋体" w:hAnsi="宋体"/>
          <w:color w:val="000000" w:themeColor="text1"/>
          <w:sz w:val="24"/>
          <w:szCs w:val="24"/>
          <w:lang w:val="de-DE"/>
          <w14:textFill>
            <w14:solidFill>
              <w14:schemeClr w14:val="tx1"/>
            </w14:solidFill>
          </w14:textFill>
        </w:rPr>
      </w:pPr>
      <w:r>
        <w:rPr>
          <w:rFonts w:hint="eastAsia" w:ascii="宋体" w:hAnsi="宋体"/>
          <w:b/>
          <w:bCs/>
          <w:color w:val="000000" w:themeColor="text1"/>
          <w:sz w:val="24"/>
          <w:szCs w:val="24"/>
          <w:lang w:val="de-DE"/>
          <w14:textFill>
            <w14:solidFill>
              <w14:schemeClr w14:val="tx1"/>
            </w14:solidFill>
          </w14:textFill>
        </w:rPr>
        <w:t>5.易管理和易使用：</w:t>
      </w:r>
      <w:r>
        <w:rPr>
          <w:rFonts w:hint="eastAsia" w:ascii="宋体" w:hAnsi="宋体"/>
          <w:color w:val="000000" w:themeColor="text1"/>
          <w:sz w:val="24"/>
          <w:szCs w:val="24"/>
          <w:lang w:val="de-DE"/>
          <w14:textFill>
            <w14:solidFill>
              <w14:schemeClr w14:val="tx1"/>
            </w14:solidFill>
          </w14:textFill>
        </w:rPr>
        <w:t>所有数据应用须采用可视化交互的配置工具定制开发完成，实现零代码或低代码配置开发能力；平台能够管理和呈现各业务系统、数据中心库（包括各层数据库）的数据报告信息，包括资产情况、使用情况、运行情况等；平台易操作、易维护，对于日常管理、运维和配置开发能够进行界面化操作，非计算机专业人员经过简单培训即可使用系统功能；平台各模块能够提供移动端的数据事务处理和数据呈现能力，保证平台的全媒体全天候访问。</w:t>
      </w:r>
    </w:p>
    <w:p>
      <w:pPr>
        <w:spacing w:line="460" w:lineRule="exact"/>
        <w:ind w:firstLine="482" w:firstLineChars="200"/>
        <w:rPr>
          <w:rFonts w:ascii="宋体" w:hAnsi="宋体"/>
          <w:color w:val="000000" w:themeColor="text1"/>
          <w:sz w:val="24"/>
          <w:szCs w:val="24"/>
          <w:lang w:val="de-DE"/>
          <w14:textFill>
            <w14:solidFill>
              <w14:schemeClr w14:val="tx1"/>
            </w14:solidFill>
          </w14:textFill>
        </w:rPr>
      </w:pPr>
      <w:r>
        <w:rPr>
          <w:rFonts w:hint="eastAsia" w:ascii="宋体" w:hAnsi="宋体"/>
          <w:b/>
          <w:bCs/>
          <w:color w:val="000000" w:themeColor="text1"/>
          <w:sz w:val="24"/>
          <w:szCs w:val="24"/>
          <w:lang w:val="de-DE"/>
          <w14:textFill>
            <w14:solidFill>
              <w14:schemeClr w14:val="tx1"/>
            </w14:solidFill>
          </w14:textFill>
        </w:rPr>
        <w:t>6. 规范性：</w:t>
      </w:r>
      <w:r>
        <w:rPr>
          <w:rFonts w:hint="eastAsia" w:ascii="宋体" w:hAnsi="宋体"/>
          <w:color w:val="000000" w:themeColor="text1"/>
          <w:sz w:val="24"/>
          <w:szCs w:val="24"/>
          <w:lang w:val="de-DE"/>
          <w14:textFill>
            <w14:solidFill>
              <w14:schemeClr w14:val="tx1"/>
            </w14:solidFill>
          </w14:textFill>
        </w:rPr>
        <w:t>平台的信息定义、采集策略、接口协议、传输协议等应符合相关国家标准、行业标准和技术规范；平台本身支持构建信息标准模型，避免直接操作数据库等不规范操作；平台能够检测标准数据模型和实际数据实体之间差异，及时发现和避免不规范操作导致的数据模型不一致；平台必须能够具备完善的数据治理建设过程监控功能，保证错误、不标准信息和操作的准确定位和及时提醒；平台必须能够实时比对各业务系统的数据以及数据标准与学校执行标准的差异，能检测各业务系统标准代码的使用情况，推动业务系统标准化；平台能够在获得数据库权限的前提下对业务系统数据进行质量扫描，并输出数据质量扫描报告；平台信息标准建设遵循国家、行业、学校、自主定义标准，能够建立适合学校实际需求的信息标准，支持数据标准维护流程和制度建设，保证信息标准变迁与历史数据的兼容；平台必须能够合理保留历史数据的完整过程，做到数据准确、规避冗余、节约资源。</w:t>
      </w:r>
    </w:p>
    <w:p>
      <w:pPr>
        <w:spacing w:line="460" w:lineRule="exact"/>
        <w:ind w:firstLine="482" w:firstLineChars="200"/>
        <w:rPr>
          <w:rFonts w:ascii="宋体" w:hAnsi="宋体"/>
          <w:color w:val="000000" w:themeColor="text1"/>
          <w:sz w:val="24"/>
          <w:szCs w:val="24"/>
          <w:lang w:val="de-DE"/>
          <w14:textFill>
            <w14:solidFill>
              <w14:schemeClr w14:val="tx1"/>
            </w14:solidFill>
          </w14:textFill>
        </w:rPr>
      </w:pPr>
      <w:r>
        <w:rPr>
          <w:rFonts w:hint="eastAsia" w:ascii="宋体" w:hAnsi="宋体"/>
          <w:b/>
          <w:bCs/>
          <w:color w:val="000000" w:themeColor="text1"/>
          <w:sz w:val="24"/>
          <w:szCs w:val="24"/>
          <w:lang w:val="de-DE"/>
          <w14:textFill>
            <w14:solidFill>
              <w14:schemeClr w14:val="tx1"/>
            </w14:solidFill>
          </w14:textFill>
        </w:rPr>
        <w:t>7.安全性：</w:t>
      </w:r>
      <w:r>
        <w:rPr>
          <w:rFonts w:hint="eastAsia" w:ascii="宋体" w:hAnsi="宋体"/>
          <w:color w:val="000000" w:themeColor="text1"/>
          <w:sz w:val="24"/>
          <w:szCs w:val="24"/>
          <w:lang w:val="de-DE"/>
          <w14:textFill>
            <w14:solidFill>
              <w14:schemeClr w14:val="tx1"/>
            </w14:solidFill>
          </w14:textFill>
        </w:rPr>
        <w:t>平台须采取必要的安全保护措施和数据加密，防止黑客攻击、权限泄露、异常扰乱等，具有高度的安全和保密性；系统本身有较强的安全防护能力，能通过安全扫描，防止SQL注入等的攻击机制；具备强口令认证和防暴力破解的功能；系统支持到字段级别的多级授权管理能力；平台具备多业务角色的平台使用特征，具备相同平台入口地址，不同业务角色进入平台后具备不同的平台内容及风格，满足平台多样化交互需求；平台具备数据分级、分类管理能力，支持数据标签管理。</w:t>
      </w:r>
    </w:p>
    <w:p>
      <w:pPr>
        <w:spacing w:line="460" w:lineRule="exact"/>
        <w:ind w:firstLine="482" w:firstLineChars="200"/>
        <w:rPr>
          <w:rFonts w:ascii="宋体" w:hAnsi="宋体"/>
          <w:color w:val="000000" w:themeColor="text1"/>
          <w:sz w:val="24"/>
          <w:szCs w:val="24"/>
          <w:lang w:val="de-DE"/>
          <w14:textFill>
            <w14:solidFill>
              <w14:schemeClr w14:val="tx1"/>
            </w14:solidFill>
          </w14:textFill>
        </w:rPr>
      </w:pPr>
      <w:r>
        <w:rPr>
          <w:rFonts w:hint="eastAsia" w:ascii="宋体" w:hAnsi="宋体"/>
          <w:b/>
          <w:bCs/>
          <w:color w:val="000000" w:themeColor="text1"/>
          <w:sz w:val="24"/>
          <w:szCs w:val="24"/>
          <w:lang w:val="de-DE"/>
          <w14:textFill>
            <w14:solidFill>
              <w14:schemeClr w14:val="tx1"/>
            </w14:solidFill>
          </w14:textFill>
        </w:rPr>
        <w:t>8. 开放性：</w:t>
      </w:r>
      <w:r>
        <w:rPr>
          <w:rFonts w:hint="eastAsia" w:ascii="宋体" w:hAnsi="宋体"/>
          <w:color w:val="000000" w:themeColor="text1"/>
          <w:sz w:val="24"/>
          <w:szCs w:val="24"/>
          <w:lang w:val="de-DE"/>
          <w14:textFill>
            <w14:solidFill>
              <w14:schemeClr w14:val="tx1"/>
            </w14:solidFill>
          </w14:textFill>
        </w:rPr>
        <w:t>平台须具有开放、扩展灵活，响应灵敏度高，操作方便等特点，具备定制和二次开发能力， 能够根据学校的业务需求变化进行快速调整，维护周期短，升级成本低；平台能够按照学校要求支持与其他校内平台的对接； 考虑本项目在后续运行、管理过程中的业务功能扩展以及性能扩展的要求。在充分满足当前业务需求的基础上，支持集群扩展能力，以确保平台可满足后续业务发展的需要。</w:t>
      </w:r>
    </w:p>
    <w:p>
      <w:pPr>
        <w:spacing w:line="460" w:lineRule="exact"/>
        <w:ind w:firstLine="482" w:firstLineChars="200"/>
        <w:rPr>
          <w:b/>
          <w:bCs/>
          <w:color w:val="000000" w:themeColor="text1"/>
          <w:szCs w:val="24"/>
          <w14:textFill>
            <w14:solidFill>
              <w14:schemeClr w14:val="tx1"/>
            </w14:solidFill>
          </w14:textFill>
        </w:rPr>
      </w:pPr>
      <w:r>
        <w:rPr>
          <w:rFonts w:hint="eastAsia" w:ascii="宋体" w:hAnsi="宋体"/>
          <w:b/>
          <w:bCs/>
          <w:color w:val="000000" w:themeColor="text1"/>
          <w:sz w:val="24"/>
          <w:szCs w:val="24"/>
          <w:lang w:val="de-DE"/>
          <w14:textFill>
            <w14:solidFill>
              <w14:schemeClr w14:val="tx1"/>
            </w14:solidFill>
          </w14:textFill>
        </w:rPr>
        <w:t>9.其他技术要求：</w:t>
      </w:r>
      <w:r>
        <w:rPr>
          <w:rFonts w:hint="eastAsia" w:ascii="宋体" w:hAnsi="宋体"/>
          <w:color w:val="000000" w:themeColor="text1"/>
          <w:sz w:val="24"/>
          <w:szCs w:val="24"/>
          <w:lang w:val="de-DE"/>
          <w14:textFill>
            <w14:solidFill>
              <w14:schemeClr w14:val="tx1"/>
            </w14:solidFill>
          </w14:textFill>
        </w:rPr>
        <w:t>平台支持 Unix、Linux、Windows 等，完全支持跨平台的部署；平台系统库能够支持PostgreSQL、Oracle、Mysql、GaussDB等数据库类型；平台整体采用 B/S 架构，基于WEB应用通过浏览器即可访问平台各子系统、各功能模块，不允许出现任何浏览器或单机组件；平台数据开放、数据填报、数据展示等应用具备大并发支持能力；平台须</w:t>
      </w:r>
      <w:r>
        <w:rPr>
          <w:rFonts w:hint="eastAsia" w:ascii="宋体" w:hAnsi="宋体"/>
          <w:color w:val="000000" w:themeColor="text1"/>
          <w:sz w:val="24"/>
          <w:szCs w:val="24"/>
          <w14:textFill>
            <w14:solidFill>
              <w14:schemeClr w14:val="tx1"/>
            </w14:solidFill>
          </w14:textFill>
        </w:rPr>
        <w:t>实现</w:t>
      </w:r>
      <w:r>
        <w:rPr>
          <w:rFonts w:hint="eastAsia" w:ascii="宋体" w:hAnsi="宋体"/>
          <w:color w:val="000000" w:themeColor="text1"/>
          <w:sz w:val="24"/>
          <w:szCs w:val="24"/>
          <w:lang w:val="de-DE"/>
          <w14:textFill>
            <w14:solidFill>
              <w14:schemeClr w14:val="tx1"/>
            </w14:solidFill>
          </w14:textFill>
        </w:rPr>
        <w:t>与学校智慧校园平台实现对接，包括信息门户、办事大厅、统一身份认证平台及其他智慧校园平台；平台必须具备完善的日志模块，对记录保留平台日常使用的痕迹和运行过程的相关信息，操作日志至少保留1年。</w:t>
      </w:r>
    </w:p>
    <w:p>
      <w:pPr>
        <w:pStyle w:val="19"/>
        <w:spacing w:before="0" w:beforeAutospacing="0" w:after="0" w:afterAutospacing="0"/>
        <w:ind w:firstLine="420"/>
        <w:rPr>
          <w:b/>
          <w:bCs/>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三、主要清单</w:t>
      </w:r>
    </w:p>
    <w:tbl>
      <w:tblPr>
        <w:tblStyle w:val="23"/>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060"/>
        <w:gridCol w:w="5480"/>
        <w:gridCol w:w="381"/>
        <w:gridCol w:w="391"/>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jc w:val="center"/>
        </w:trPr>
        <w:tc>
          <w:tcPr>
            <w:tcW w:w="479" w:type="dxa"/>
            <w:tcMar>
              <w:top w:w="0" w:type="dxa"/>
              <w:left w:w="51" w:type="dxa"/>
              <w:bottom w:w="0" w:type="dxa"/>
              <w:right w:w="51" w:type="dxa"/>
            </w:tcMar>
            <w:vAlign w:val="center"/>
          </w:tcPr>
          <w:p>
            <w:pPr>
              <w:widowControl w:val="0"/>
              <w:jc w:val="center"/>
              <w:rPr>
                <w:rFonts w:ascii="宋体" w:hAnsi="宋体" w:cs="Times New Roman"/>
                <w:b/>
                <w:bCs/>
                <w:color w:val="000000" w:themeColor="text1"/>
                <w:kern w:val="0"/>
                <w14:textFill>
                  <w14:solidFill>
                    <w14:schemeClr w14:val="tx1"/>
                  </w14:solidFill>
                </w14:textFill>
              </w:rPr>
            </w:pPr>
            <w:r>
              <w:rPr>
                <w:rFonts w:hint="eastAsia" w:ascii="宋体" w:hAnsi="宋体" w:cs="Times New Roman"/>
                <w:b/>
                <w:bCs/>
                <w:color w:val="000000" w:themeColor="text1"/>
                <w:kern w:val="0"/>
                <w14:textFill>
                  <w14:solidFill>
                    <w14:schemeClr w14:val="tx1"/>
                  </w14:solidFill>
                </w14:textFill>
              </w:rPr>
              <w:t>序号</w:t>
            </w:r>
          </w:p>
        </w:tc>
        <w:tc>
          <w:tcPr>
            <w:tcW w:w="6540" w:type="dxa"/>
            <w:gridSpan w:val="2"/>
            <w:tcMar>
              <w:top w:w="0" w:type="dxa"/>
              <w:left w:w="51" w:type="dxa"/>
              <w:bottom w:w="0" w:type="dxa"/>
              <w:right w:w="51" w:type="dxa"/>
            </w:tcMar>
            <w:vAlign w:val="center"/>
          </w:tcPr>
          <w:p>
            <w:pPr>
              <w:widowControl w:val="0"/>
              <w:jc w:val="center"/>
              <w:rPr>
                <w:rFonts w:ascii="宋体" w:hAnsi="宋体" w:cs="Times New Roman"/>
                <w:b/>
                <w:bCs/>
                <w:color w:val="000000" w:themeColor="text1"/>
                <w:kern w:val="0"/>
                <w14:textFill>
                  <w14:solidFill>
                    <w14:schemeClr w14:val="tx1"/>
                  </w14:solidFill>
                </w14:textFill>
              </w:rPr>
            </w:pPr>
            <w:r>
              <w:rPr>
                <w:rFonts w:hint="eastAsia" w:ascii="宋体" w:hAnsi="宋体" w:cs="Times New Roman"/>
                <w:b/>
                <w:bCs/>
                <w:color w:val="000000" w:themeColor="text1"/>
                <w:kern w:val="0"/>
                <w14:textFill>
                  <w14:solidFill>
                    <w14:schemeClr w14:val="tx1"/>
                  </w14:solidFill>
                </w14:textFill>
              </w:rPr>
              <w:t>名称及功能要求</w:t>
            </w:r>
          </w:p>
        </w:tc>
        <w:tc>
          <w:tcPr>
            <w:tcW w:w="381" w:type="dxa"/>
            <w:tcMar>
              <w:top w:w="0" w:type="dxa"/>
              <w:left w:w="51" w:type="dxa"/>
              <w:bottom w:w="0" w:type="dxa"/>
              <w:right w:w="51" w:type="dxa"/>
            </w:tcMar>
            <w:vAlign w:val="center"/>
          </w:tcPr>
          <w:p>
            <w:pPr>
              <w:widowControl w:val="0"/>
              <w:jc w:val="center"/>
              <w:rPr>
                <w:rFonts w:ascii="宋体" w:hAnsi="宋体" w:cs="Times New Roman"/>
                <w:b/>
                <w:bCs/>
                <w:color w:val="000000" w:themeColor="text1"/>
                <w:kern w:val="0"/>
                <w14:textFill>
                  <w14:solidFill>
                    <w14:schemeClr w14:val="tx1"/>
                  </w14:solidFill>
                </w14:textFill>
              </w:rPr>
            </w:pPr>
            <w:r>
              <w:rPr>
                <w:rFonts w:hint="eastAsia" w:ascii="宋体" w:hAnsi="宋体" w:cs="Times New Roman"/>
                <w:b/>
                <w:bCs/>
                <w:color w:val="000000" w:themeColor="text1"/>
                <w:kern w:val="0"/>
                <w14:textFill>
                  <w14:solidFill>
                    <w14:schemeClr w14:val="tx1"/>
                  </w14:solidFill>
                </w14:textFill>
              </w:rPr>
              <w:t>单位</w:t>
            </w:r>
          </w:p>
        </w:tc>
        <w:tc>
          <w:tcPr>
            <w:tcW w:w="391" w:type="dxa"/>
            <w:tcMar>
              <w:top w:w="0" w:type="dxa"/>
              <w:left w:w="51" w:type="dxa"/>
              <w:bottom w:w="0" w:type="dxa"/>
              <w:right w:w="51" w:type="dxa"/>
            </w:tcMar>
            <w:vAlign w:val="center"/>
          </w:tcPr>
          <w:p>
            <w:pPr>
              <w:widowControl w:val="0"/>
              <w:jc w:val="center"/>
              <w:rPr>
                <w:rFonts w:ascii="宋体" w:hAnsi="宋体" w:cs="Times New Roman"/>
                <w:b/>
                <w:bCs/>
                <w:color w:val="000000" w:themeColor="text1"/>
                <w:kern w:val="0"/>
                <w14:textFill>
                  <w14:solidFill>
                    <w14:schemeClr w14:val="tx1"/>
                  </w14:solidFill>
                </w14:textFill>
              </w:rPr>
            </w:pPr>
            <w:r>
              <w:rPr>
                <w:rFonts w:hint="eastAsia" w:ascii="宋体" w:hAnsi="宋体" w:cs="Times New Roman"/>
                <w:b/>
                <w:bCs/>
                <w:color w:val="000000" w:themeColor="text1"/>
                <w:kern w:val="0"/>
                <w14:textFill>
                  <w14:solidFill>
                    <w14:schemeClr w14:val="tx1"/>
                  </w14:solidFill>
                </w14:textFill>
              </w:rPr>
              <w:t>数量</w:t>
            </w:r>
          </w:p>
        </w:tc>
        <w:tc>
          <w:tcPr>
            <w:tcW w:w="1264" w:type="dxa"/>
            <w:tcMar>
              <w:top w:w="0" w:type="dxa"/>
              <w:left w:w="51" w:type="dxa"/>
              <w:bottom w:w="0" w:type="dxa"/>
              <w:right w:w="51" w:type="dxa"/>
            </w:tcMar>
            <w:vAlign w:val="center"/>
          </w:tcPr>
          <w:p>
            <w:pPr>
              <w:widowControl w:val="0"/>
              <w:jc w:val="center"/>
              <w:rPr>
                <w:rFonts w:ascii="宋体" w:hAnsi="宋体" w:cs="Times New Roman"/>
                <w:b/>
                <w:bCs/>
                <w:color w:val="000000" w:themeColor="text1"/>
                <w:kern w:val="0"/>
                <w14:textFill>
                  <w14:solidFill>
                    <w14:schemeClr w14:val="tx1"/>
                  </w14:solidFill>
                </w14:textFill>
              </w:rPr>
            </w:pPr>
            <w:r>
              <w:rPr>
                <w:rFonts w:hint="eastAsia" w:ascii="宋体" w:hAnsi="宋体" w:cs="Times New Roman"/>
                <w:b/>
                <w:bCs/>
                <w:color w:val="000000" w:themeColor="text1"/>
                <w:kern w:val="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479"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1</w:t>
            </w:r>
          </w:p>
        </w:tc>
        <w:tc>
          <w:tcPr>
            <w:tcW w:w="1060"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数据治理平台</w:t>
            </w:r>
          </w:p>
        </w:tc>
        <w:tc>
          <w:tcPr>
            <w:tcW w:w="5480" w:type="dxa"/>
            <w:vAlign w:val="center"/>
          </w:tcPr>
          <w:p>
            <w:pPr>
              <w:widowControl w:val="0"/>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主要功能包含：数据湖及数据仓库建设与管理、元数据管理、数据标准管理、主数据（数据中心）管理、数据质量检测、历史数据归档、数据脱敏及安全管理、数据运行监控管理、数据监测查询、多元化管理等，完成一个校级的数据管理中心建设，实现全数据链智慧管理。</w:t>
            </w:r>
          </w:p>
        </w:tc>
        <w:tc>
          <w:tcPr>
            <w:tcW w:w="381"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套</w:t>
            </w:r>
          </w:p>
        </w:tc>
        <w:tc>
          <w:tcPr>
            <w:tcW w:w="391"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1</w:t>
            </w:r>
          </w:p>
        </w:tc>
        <w:tc>
          <w:tcPr>
            <w:tcW w:w="1264"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详见项目技术参数要求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479"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2</w:t>
            </w:r>
          </w:p>
        </w:tc>
        <w:tc>
          <w:tcPr>
            <w:tcW w:w="1060"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数据开放平台</w:t>
            </w:r>
          </w:p>
        </w:tc>
        <w:tc>
          <w:tcPr>
            <w:tcW w:w="5480" w:type="dxa"/>
            <w:vAlign w:val="center"/>
          </w:tcPr>
          <w:p>
            <w:pPr>
              <w:widowControl w:val="0"/>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围绕数据服务的“发布</w:t>
            </w:r>
            <w:r>
              <w:rPr>
                <w:rFonts w:ascii="宋体" w:hAnsi="宋体" w:cs="Times New Roman"/>
                <w:color w:val="000000" w:themeColor="text1"/>
                <w:kern w:val="0"/>
                <w14:textFill>
                  <w14:solidFill>
                    <w14:schemeClr w14:val="tx1"/>
                  </w14:solidFill>
                </w14:textFill>
              </w:rPr>
              <w:t>-申请-审核-管理-开放-监控”流程，通过 API 接口、数据库连接等多种方式，向数据使用者、开发者、管理者和系统管理者四个角色提供全场景、高安全的数据资源开放与共享服务，实现数据开放与共享服务自动化对接，降低数据使用难度和管理成本。</w:t>
            </w:r>
          </w:p>
        </w:tc>
        <w:tc>
          <w:tcPr>
            <w:tcW w:w="381"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套</w:t>
            </w:r>
          </w:p>
        </w:tc>
        <w:tc>
          <w:tcPr>
            <w:tcW w:w="391"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1</w:t>
            </w:r>
          </w:p>
        </w:tc>
        <w:tc>
          <w:tcPr>
            <w:tcW w:w="1264"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详见项目技术参数要求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9" w:type="dxa"/>
            <w:vMerge w:val="restart"/>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3</w:t>
            </w:r>
          </w:p>
        </w:tc>
        <w:tc>
          <w:tcPr>
            <w:tcW w:w="1060" w:type="dxa"/>
            <w:vMerge w:val="restart"/>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批流一体式数据湖仓</w:t>
            </w:r>
          </w:p>
        </w:tc>
        <w:tc>
          <w:tcPr>
            <w:tcW w:w="5480" w:type="dxa"/>
            <w:vAlign w:val="center"/>
          </w:tcPr>
          <w:p>
            <w:pPr>
              <w:widowControl w:val="0"/>
              <w:rPr>
                <w:rFonts w:ascii="宋体" w:hAnsi="宋体" w:cs="Times New Roman"/>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基于批流一体可视化开发工具进行多源异构数据的采集存储，以流式数据实时同步能力，构建与数据源数据实时同步湖仓一体化自动扩容的全量数据实体空间。并融合标准化的引导式开发工作台，为数据开发过程提供有力支撑。支持noETL实施方案，且在本项目中实施。</w:t>
            </w:r>
          </w:p>
        </w:tc>
        <w:tc>
          <w:tcPr>
            <w:tcW w:w="381" w:type="dxa"/>
            <w:vMerge w:val="restart"/>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套</w:t>
            </w:r>
          </w:p>
        </w:tc>
        <w:tc>
          <w:tcPr>
            <w:tcW w:w="391" w:type="dxa"/>
            <w:vMerge w:val="restart"/>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1</w:t>
            </w:r>
          </w:p>
        </w:tc>
        <w:tc>
          <w:tcPr>
            <w:tcW w:w="1264" w:type="dxa"/>
            <w:vMerge w:val="restart"/>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详见项目技术参数要求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479" w:type="dxa"/>
            <w:vMerge w:val="continue"/>
            <w:vAlign w:val="center"/>
          </w:tcPr>
          <w:p>
            <w:pPr>
              <w:widowControl w:val="0"/>
              <w:jc w:val="center"/>
              <w:rPr>
                <w:rFonts w:ascii="宋体" w:hAnsi="宋体" w:cs="Times New Roman"/>
                <w:color w:val="000000" w:themeColor="text1"/>
                <w:kern w:val="0"/>
                <w14:textFill>
                  <w14:solidFill>
                    <w14:schemeClr w14:val="tx1"/>
                  </w14:solidFill>
                </w14:textFill>
              </w:rPr>
            </w:pPr>
          </w:p>
        </w:tc>
        <w:tc>
          <w:tcPr>
            <w:tcW w:w="1060" w:type="dxa"/>
            <w:vMerge w:val="continue"/>
            <w:vAlign w:val="center"/>
          </w:tcPr>
          <w:p>
            <w:pPr>
              <w:widowControl w:val="0"/>
              <w:jc w:val="center"/>
              <w:rPr>
                <w:rFonts w:ascii="宋体" w:hAnsi="宋体" w:cs="Times New Roman"/>
                <w:color w:val="000000" w:themeColor="text1"/>
                <w:kern w:val="0"/>
                <w14:textFill>
                  <w14:solidFill>
                    <w14:schemeClr w14:val="tx1"/>
                  </w14:solidFill>
                </w14:textFill>
              </w:rPr>
            </w:pPr>
          </w:p>
        </w:tc>
        <w:tc>
          <w:tcPr>
            <w:tcW w:w="5480" w:type="dxa"/>
            <w:vAlign w:val="center"/>
          </w:tcPr>
          <w:p>
            <w:pPr>
              <w:widowControl w:val="0"/>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通用数据集成：</w:t>
            </w:r>
            <w:r>
              <w:rPr>
                <w:rFonts w:ascii="宋体" w:hAnsi="宋体" w:cs="Times New Roman"/>
                <w:color w:val="000000" w:themeColor="text1"/>
                <w:kern w:val="0"/>
                <w14:textFill>
                  <w14:solidFill>
                    <w14:schemeClr w14:val="tx1"/>
                  </w14:solidFill>
                </w14:textFill>
              </w:rPr>
              <w:t>采用纯Web架构，与数据治理平台</w:t>
            </w:r>
            <w:r>
              <w:rPr>
                <w:rFonts w:ascii="宋体" w:hAnsi="宋体"/>
                <w:color w:val="000000" w:themeColor="text1"/>
                <w:kern w:val="0"/>
                <w14:textFill>
                  <w14:solidFill>
                    <w14:schemeClr w14:val="tx1"/>
                  </w14:solidFill>
                </w14:textFill>
              </w:rPr>
              <w:t>底层数据、元数据一站式打通。支持数据的双向传递，使各类系统业务数据实时共享，实现从源到目标的数据交换。提供过程的调度和监控，异常可精确定位，能够线上处理，保障数据接口的开发及运维效率。支持在线的ETL</w:t>
            </w:r>
            <w:r>
              <w:rPr>
                <w:rFonts w:ascii="宋体" w:hAnsi="宋体"/>
                <w:color w:val="000000" w:themeColor="text1"/>
                <w:spacing w:val="-8"/>
                <w:kern w:val="0"/>
                <w14:textFill>
                  <w14:solidFill>
                    <w14:schemeClr w14:val="tx1"/>
                  </w14:solidFill>
                </w14:textFill>
              </w:rPr>
              <w:t>设计与调度，提供高校</w:t>
            </w:r>
            <w:r>
              <w:rPr>
                <w:rFonts w:ascii="宋体" w:hAnsi="宋体"/>
                <w:color w:val="000000" w:themeColor="text1"/>
                <w:kern w:val="0"/>
                <w14:textFill>
                  <w14:solidFill>
                    <w14:schemeClr w14:val="tx1"/>
                  </w14:solidFill>
                </w14:textFill>
              </w:rPr>
              <w:t>ETL知识库。</w:t>
            </w:r>
          </w:p>
        </w:tc>
        <w:tc>
          <w:tcPr>
            <w:tcW w:w="381" w:type="dxa"/>
            <w:vMerge w:val="continue"/>
            <w:vAlign w:val="center"/>
          </w:tcPr>
          <w:p>
            <w:pPr>
              <w:widowControl w:val="0"/>
              <w:jc w:val="center"/>
              <w:rPr>
                <w:rFonts w:ascii="宋体" w:hAnsi="宋体" w:cs="Times New Roman"/>
                <w:color w:val="000000" w:themeColor="text1"/>
                <w:kern w:val="0"/>
                <w14:textFill>
                  <w14:solidFill>
                    <w14:schemeClr w14:val="tx1"/>
                  </w14:solidFill>
                </w14:textFill>
              </w:rPr>
            </w:pPr>
          </w:p>
        </w:tc>
        <w:tc>
          <w:tcPr>
            <w:tcW w:w="391" w:type="dxa"/>
            <w:vMerge w:val="continue"/>
            <w:vAlign w:val="center"/>
          </w:tcPr>
          <w:p>
            <w:pPr>
              <w:widowControl w:val="0"/>
              <w:jc w:val="center"/>
              <w:rPr>
                <w:rFonts w:ascii="宋体" w:hAnsi="宋体" w:cs="Times New Roman"/>
                <w:color w:val="000000" w:themeColor="text1"/>
                <w:kern w:val="0"/>
                <w14:textFill>
                  <w14:solidFill>
                    <w14:schemeClr w14:val="tx1"/>
                  </w14:solidFill>
                </w14:textFill>
              </w:rPr>
            </w:pPr>
          </w:p>
        </w:tc>
        <w:tc>
          <w:tcPr>
            <w:tcW w:w="1264" w:type="dxa"/>
            <w:vMerge w:val="continue"/>
            <w:vAlign w:val="center"/>
          </w:tcPr>
          <w:p>
            <w:pPr>
              <w:widowControl w:val="0"/>
              <w:jc w:val="center"/>
              <w:rPr>
                <w:rFonts w:ascii="宋体" w:hAnsi="宋体" w:cs="Times New Roman"/>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479"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4</w:t>
            </w:r>
          </w:p>
        </w:tc>
        <w:tc>
          <w:tcPr>
            <w:tcW w:w="1060"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线下数据采集工具</w:t>
            </w:r>
          </w:p>
        </w:tc>
        <w:tc>
          <w:tcPr>
            <w:tcW w:w="5480" w:type="dxa"/>
            <w:vAlign w:val="center"/>
          </w:tcPr>
          <w:p>
            <w:pPr>
              <w:widowControl w:val="0"/>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提供除业务系统数据库以外的线下</w:t>
            </w:r>
            <w:r>
              <w:rPr>
                <w:rFonts w:ascii="宋体" w:hAnsi="宋体" w:cs="Times New Roman"/>
                <w:color w:val="000000" w:themeColor="text1"/>
                <w:kern w:val="0"/>
                <w14:textFill>
                  <w14:solidFill>
                    <w14:schemeClr w14:val="tx1"/>
                  </w14:solidFill>
                </w14:textFill>
              </w:rPr>
              <w:t>EXCEL等常用文档的数据采集功能， 完成数据采集的模板设置、模板下载管理、数据上传和数据在线维护，能够对数据上传过程中的数据质量和规</w:t>
            </w:r>
            <w:r>
              <w:rPr>
                <w:rFonts w:hint="eastAsia" w:ascii="宋体" w:hAnsi="宋体" w:cs="Times New Roman"/>
                <w:color w:val="000000" w:themeColor="text1"/>
                <w:kern w:val="0"/>
                <w14:textFill>
                  <w14:solidFill>
                    <w14:schemeClr w14:val="tx1"/>
                  </w14:solidFill>
                </w14:textFill>
              </w:rPr>
              <w:t>则进行校验，实现线下数据整合与流转。</w:t>
            </w:r>
          </w:p>
        </w:tc>
        <w:tc>
          <w:tcPr>
            <w:tcW w:w="381"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套</w:t>
            </w:r>
          </w:p>
        </w:tc>
        <w:tc>
          <w:tcPr>
            <w:tcW w:w="391"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1</w:t>
            </w:r>
          </w:p>
        </w:tc>
        <w:tc>
          <w:tcPr>
            <w:tcW w:w="1264"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详见项目技术参数要求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479"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5</w:t>
            </w:r>
          </w:p>
        </w:tc>
        <w:tc>
          <w:tcPr>
            <w:tcW w:w="1060"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一表通</w:t>
            </w:r>
          </w:p>
        </w:tc>
        <w:tc>
          <w:tcPr>
            <w:tcW w:w="5480" w:type="dxa"/>
            <w:vAlign w:val="center"/>
          </w:tcPr>
          <w:p>
            <w:pPr>
              <w:widowControl w:val="0"/>
              <w:autoSpaceDE w:val="0"/>
              <w:autoSpaceDN w:val="0"/>
              <w:spacing w:before="9"/>
              <w:ind w:right="156"/>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含智能填报、师生一张表等。</w:t>
            </w:r>
          </w:p>
          <w:p>
            <w:pPr>
              <w:widowControl w:val="0"/>
              <w:autoSpaceDE w:val="0"/>
              <w:autoSpaceDN w:val="0"/>
              <w:spacing w:before="9"/>
              <w:ind w:right="156"/>
              <w:rPr>
                <w:rFonts w:ascii="宋体" w:hAnsi="宋体" w:cs="Times New Roman"/>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面向校内各类用户群体进行日常填表和上报，对日常学习、工作、活动等数据进行收集、管理和展示。具备覆盖文本、数值、图像、日期等各类数据填报所用的界面元素，涵盖个人数据中心功能，实现个人数据的采集、展示、变更等数据维护功能。</w:t>
            </w:r>
          </w:p>
        </w:tc>
        <w:tc>
          <w:tcPr>
            <w:tcW w:w="381"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套</w:t>
            </w:r>
          </w:p>
        </w:tc>
        <w:tc>
          <w:tcPr>
            <w:tcW w:w="391"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1</w:t>
            </w:r>
          </w:p>
        </w:tc>
        <w:tc>
          <w:tcPr>
            <w:tcW w:w="1264"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详见项目技术参数要求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479"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ascii="宋体" w:hAnsi="宋体" w:cs="Times New Roman"/>
                <w:color w:val="000000" w:themeColor="text1"/>
                <w:kern w:val="0"/>
                <w14:textFill>
                  <w14:solidFill>
                    <w14:schemeClr w14:val="tx1"/>
                  </w14:solidFill>
                </w14:textFill>
              </w:rPr>
              <w:t>6</w:t>
            </w:r>
          </w:p>
        </w:tc>
        <w:tc>
          <w:tcPr>
            <w:tcW w:w="1060"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数据可视化分析工具</w:t>
            </w:r>
          </w:p>
        </w:tc>
        <w:tc>
          <w:tcPr>
            <w:tcW w:w="5480" w:type="dxa"/>
            <w:vAlign w:val="center"/>
          </w:tcPr>
          <w:p>
            <w:pPr>
              <w:widowControl w:val="0"/>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含基本校情、领导驾驶舱等数据分析应用。</w:t>
            </w:r>
          </w:p>
          <w:p>
            <w:pPr>
              <w:widowControl w:val="0"/>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主要功能包含：基本校情、领导驾驶舱、分析图表设计、大屏可视化设计等。能够无缝对接数据治理平台，所有数据分析应用不需要二次建模，</w:t>
            </w:r>
            <w:r>
              <w:rPr>
                <w:rFonts w:ascii="宋体" w:hAnsi="宋体" w:cs="Times New Roman"/>
                <w:color w:val="000000" w:themeColor="text1"/>
                <w:kern w:val="0"/>
                <w14:textFill>
                  <w14:solidFill>
                    <w14:schemeClr w14:val="tx1"/>
                  </w14:solidFill>
                </w14:textFill>
              </w:rPr>
              <w:t xml:space="preserve"> 可以通过平台中间件反馈数据质量问题，并能够直接关联数据提供方，实</w:t>
            </w:r>
            <w:r>
              <w:rPr>
                <w:rFonts w:hint="eastAsia" w:ascii="宋体" w:hAnsi="宋体" w:cs="Times New Roman"/>
                <w:color w:val="000000" w:themeColor="text1"/>
                <w:kern w:val="0"/>
                <w14:textFill>
                  <w14:solidFill>
                    <w14:schemeClr w14:val="tx1"/>
                  </w14:solidFill>
                </w14:textFill>
              </w:rPr>
              <w:t>现数据分析输出与呈现。</w:t>
            </w:r>
          </w:p>
        </w:tc>
        <w:tc>
          <w:tcPr>
            <w:tcW w:w="381"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套</w:t>
            </w:r>
          </w:p>
        </w:tc>
        <w:tc>
          <w:tcPr>
            <w:tcW w:w="391"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1</w:t>
            </w:r>
          </w:p>
        </w:tc>
        <w:tc>
          <w:tcPr>
            <w:tcW w:w="1264"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详见项目技术参数要求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479"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7</w:t>
            </w:r>
          </w:p>
        </w:tc>
        <w:tc>
          <w:tcPr>
            <w:tcW w:w="1060"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数据资源目录</w:t>
            </w:r>
          </w:p>
        </w:tc>
        <w:tc>
          <w:tcPr>
            <w:tcW w:w="5480" w:type="dxa"/>
            <w:vAlign w:val="center"/>
          </w:tcPr>
          <w:p>
            <w:pPr>
              <w:widowControl w:val="0"/>
              <w:autoSpaceDE w:val="0"/>
              <w:autoSpaceDN w:val="0"/>
              <w:spacing w:before="7"/>
              <w:rPr>
                <w:rFonts w:ascii="宋体" w:hAnsi="宋体" w:cs="Times New Roman"/>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主要功能包含：全校和各二级单位的数据资产统计、数据标准目录、代码标准目录、接口资源目录、综合</w:t>
            </w:r>
            <w:r>
              <w:rPr>
                <w:rFonts w:ascii="宋体" w:hAnsi="宋体"/>
                <w:color w:val="000000" w:themeColor="text1"/>
                <w:spacing w:val="-9"/>
                <w:kern w:val="0"/>
                <w14:textFill>
                  <w14:solidFill>
                    <w14:schemeClr w14:val="tx1"/>
                  </w14:solidFill>
                </w14:textFill>
              </w:rPr>
              <w:t>检索等，全面展示所提供的数据内容、数据集成时间、数据使用情况、数据</w:t>
            </w:r>
            <w:r>
              <w:rPr>
                <w:rFonts w:ascii="宋体" w:hAnsi="宋体"/>
                <w:color w:val="000000" w:themeColor="text1"/>
                <w:kern w:val="0"/>
                <w14:textFill>
                  <w14:solidFill>
                    <w14:schemeClr w14:val="tx1"/>
                  </w14:solidFill>
                </w14:textFill>
              </w:rPr>
              <w:t>质量反馈情况以及数据资源在线申请、审批、使用、监控等。</w:t>
            </w:r>
          </w:p>
        </w:tc>
        <w:tc>
          <w:tcPr>
            <w:tcW w:w="381"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套</w:t>
            </w:r>
          </w:p>
        </w:tc>
        <w:tc>
          <w:tcPr>
            <w:tcW w:w="391"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1</w:t>
            </w:r>
          </w:p>
        </w:tc>
        <w:tc>
          <w:tcPr>
            <w:tcW w:w="1264"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详见项目技术参数要求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9"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8</w:t>
            </w:r>
          </w:p>
        </w:tc>
        <w:tc>
          <w:tcPr>
            <w:tcW w:w="1060"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指标管理系统</w:t>
            </w:r>
          </w:p>
        </w:tc>
        <w:tc>
          <w:tcPr>
            <w:tcW w:w="5480" w:type="dxa"/>
            <w:vAlign w:val="center"/>
          </w:tcPr>
          <w:p>
            <w:pPr>
              <w:widowControl w:val="0"/>
              <w:autoSpaceDE w:val="0"/>
              <w:autoSpaceDN w:val="0"/>
              <w:spacing w:before="7"/>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通过指标管理系统实现校级指标的快速计算、存储、管理，形成校级</w:t>
            </w:r>
            <w:r>
              <w:rPr>
                <w:rFonts w:ascii="宋体" w:hAnsi="宋体"/>
                <w:color w:val="000000" w:themeColor="text1"/>
                <w:kern w:val="0"/>
                <w14:textFill>
                  <w14:solidFill>
                    <w14:schemeClr w14:val="tx1"/>
                  </w14:solidFill>
                </w14:textFill>
              </w:rPr>
              <w:t>KPI库，提供个性化的、动态的标签计算能力，满足大数据分析不断增长的数据标签需求；能够结合高校行业特征，提供给学校不同场景（各类一张表工程指标计算）的指标输出应用服务。</w:t>
            </w:r>
          </w:p>
        </w:tc>
        <w:tc>
          <w:tcPr>
            <w:tcW w:w="381"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套</w:t>
            </w:r>
          </w:p>
        </w:tc>
        <w:tc>
          <w:tcPr>
            <w:tcW w:w="391"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1</w:t>
            </w:r>
          </w:p>
        </w:tc>
        <w:tc>
          <w:tcPr>
            <w:tcW w:w="1264"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详见项目技术参数要求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479"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9</w:t>
            </w:r>
          </w:p>
        </w:tc>
        <w:tc>
          <w:tcPr>
            <w:tcW w:w="1060"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学生综合预警平台</w:t>
            </w:r>
          </w:p>
        </w:tc>
        <w:tc>
          <w:tcPr>
            <w:tcW w:w="5480" w:type="dxa"/>
            <w:vAlign w:val="center"/>
          </w:tcPr>
          <w:p>
            <w:pPr>
              <w:widowControl w:val="0"/>
              <w:autoSpaceDE w:val="0"/>
              <w:autoSpaceDN w:val="0"/>
              <w:spacing w:before="7"/>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学生综合预警平台是一个服务于学生管理的大数据平台，将大数据挖掘、人工智能、规则引擎技术体系与高校业务的深度融合，将学生分散在各系统内的数据进行整合与分析，统计分析和综合展示学生在校的学习、生活等多维信息；对于高危行为进行事前预警，主动、精准的帮助学校更好了解、管理学生，达成对学生的精细化管理</w:t>
            </w:r>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可以进行实时查询，实现</w:t>
            </w:r>
            <w:r>
              <w:rPr>
                <w:rFonts w:hint="eastAsia" w:ascii="宋体" w:hAnsi="宋体"/>
                <w:color w:val="000000" w:themeColor="text1"/>
                <w:kern w:val="0"/>
                <w14:textFill>
                  <w14:solidFill>
                    <w14:schemeClr w14:val="tx1"/>
                  </w14:solidFill>
                </w14:textFill>
              </w:rPr>
              <w:t>对</w:t>
            </w:r>
            <w:r>
              <w:rPr>
                <w:rFonts w:ascii="宋体" w:hAnsi="宋体"/>
                <w:color w:val="000000" w:themeColor="text1"/>
                <w:kern w:val="0"/>
                <w14:textFill>
                  <w14:solidFill>
                    <w14:schemeClr w14:val="tx1"/>
                  </w14:solidFill>
                </w14:textFill>
              </w:rPr>
              <w:t>学生精准的关爱和培养、给老师全面的服务和指导、给学校智能的决策和管理的建设目标。</w:t>
            </w:r>
          </w:p>
        </w:tc>
        <w:tc>
          <w:tcPr>
            <w:tcW w:w="381"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套</w:t>
            </w:r>
          </w:p>
        </w:tc>
        <w:tc>
          <w:tcPr>
            <w:tcW w:w="391"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1</w:t>
            </w:r>
          </w:p>
        </w:tc>
        <w:tc>
          <w:tcPr>
            <w:tcW w:w="1264"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详见项目技术参数要求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9"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1</w:t>
            </w:r>
            <w:r>
              <w:rPr>
                <w:rFonts w:ascii="宋体" w:hAnsi="宋体" w:cs="Times New Roman"/>
                <w:color w:val="000000" w:themeColor="text1"/>
                <w:kern w:val="0"/>
                <w14:textFill>
                  <w14:solidFill>
                    <w14:schemeClr w14:val="tx1"/>
                  </w14:solidFill>
                </w14:textFill>
              </w:rPr>
              <w:t>0</w:t>
            </w:r>
          </w:p>
        </w:tc>
        <w:tc>
          <w:tcPr>
            <w:tcW w:w="1060" w:type="dxa"/>
            <w:vAlign w:val="center"/>
          </w:tcPr>
          <w:p>
            <w:pPr>
              <w:widowControl w:val="0"/>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零代码应用平台</w:t>
            </w:r>
          </w:p>
        </w:tc>
        <w:tc>
          <w:tcPr>
            <w:tcW w:w="5480" w:type="dxa"/>
            <w:vAlign w:val="center"/>
          </w:tcPr>
          <w:p>
            <w:pPr>
              <w:widowControl/>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通过零代码平台快速、灵活、高效构建一系列轻应用，与统一身份认证对接，能够直接发布到学校办事大厅或移动APP进行信息采集，数据以“流”形式对接数据中心，可以适应学校信息化进展中的各种需求变化。</w:t>
            </w:r>
          </w:p>
        </w:tc>
        <w:tc>
          <w:tcPr>
            <w:tcW w:w="381"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套</w:t>
            </w:r>
          </w:p>
        </w:tc>
        <w:tc>
          <w:tcPr>
            <w:tcW w:w="391"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1</w:t>
            </w:r>
          </w:p>
        </w:tc>
        <w:tc>
          <w:tcPr>
            <w:tcW w:w="1264"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详见项目技术参数要求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jc w:val="center"/>
        </w:trPr>
        <w:tc>
          <w:tcPr>
            <w:tcW w:w="479"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11</w:t>
            </w:r>
          </w:p>
        </w:tc>
        <w:tc>
          <w:tcPr>
            <w:tcW w:w="1060"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 xml:space="preserve">数据集 </w:t>
            </w:r>
            <w:r>
              <w:rPr>
                <w:rFonts w:ascii="宋体" w:hAnsi="宋体"/>
                <w:color w:val="000000" w:themeColor="text1"/>
                <w:spacing w:val="-5"/>
                <w:kern w:val="0"/>
                <w14:textFill>
                  <w14:solidFill>
                    <w14:schemeClr w14:val="tx1"/>
                  </w14:solidFill>
                </w14:textFill>
              </w:rPr>
              <w:t>成、治理、共享服务</w:t>
            </w:r>
          </w:p>
        </w:tc>
        <w:tc>
          <w:tcPr>
            <w:tcW w:w="5480" w:type="dxa"/>
            <w:vAlign w:val="center"/>
          </w:tcPr>
          <w:p>
            <w:pPr>
              <w:widowControl/>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服务包含：数据现状调研、信息标准规范制定、部署数据治理工具、数据采集、质量检测、清洗转换、质量提升、标准库建设、主题库建设、数据封装接口发布</w:t>
            </w:r>
            <w:r>
              <w:rPr>
                <w:rFonts w:hint="eastAsia" w:ascii="宋体" w:hAnsi="宋体"/>
                <w:color w:val="000000" w:themeColor="text1"/>
                <w:kern w:val="0"/>
                <w:shd w:val="clear" w:color="auto" w:fill="FFFFFF"/>
                <w14:textFill>
                  <w14:solidFill>
                    <w14:schemeClr w14:val="tx1"/>
                  </w14:solidFill>
                </w14:textFill>
              </w:rPr>
              <w:t>、数据接口迁移。</w:t>
            </w:r>
          </w:p>
          <w:p>
            <w:pPr>
              <w:widowControl w:val="0"/>
              <w:autoSpaceDE w:val="0"/>
              <w:autoSpaceDN w:val="0"/>
              <w:spacing w:before="7"/>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提供智慧校园平台、网上办事大厅、教务系统、学工系统、人事系统、财务管理系统、一卡通系统、资产管理系统、公用房管理系统、OA系统、图书管理系统、智慧教学系统、学生公寓智能门禁系统、科研管理系统、能耗管理系统、易表通、后勤报修系统、网络计费系统等24个业务系统（含线下表格数据）对接，提供数据集成、治理、共享服务，并承担全部对接费用。</w:t>
            </w:r>
          </w:p>
        </w:tc>
        <w:tc>
          <w:tcPr>
            <w:tcW w:w="381"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套</w:t>
            </w:r>
          </w:p>
        </w:tc>
        <w:tc>
          <w:tcPr>
            <w:tcW w:w="391"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1</w:t>
            </w:r>
          </w:p>
        </w:tc>
        <w:tc>
          <w:tcPr>
            <w:tcW w:w="1264"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详见项目技术参数要求</w:t>
            </w:r>
          </w:p>
        </w:tc>
      </w:tr>
    </w:tbl>
    <w:p>
      <w:pPr>
        <w:spacing w:line="460" w:lineRule="exact"/>
        <w:ind w:firstLine="422" w:firstLineChars="200"/>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注: </w:t>
      </w:r>
    </w:p>
    <w:p>
      <w:pPr>
        <w:widowControl w:val="0"/>
        <w:autoSpaceDE w:val="0"/>
        <w:autoSpaceDN w:val="0"/>
        <w:spacing w:before="7"/>
        <w:ind w:firstLine="422" w:firstLineChars="200"/>
        <w:rPr>
          <w:rFonts w:ascii="宋体" w:hAnsi="宋体"/>
          <w:b/>
          <w:bCs/>
          <w:color w:val="000000" w:themeColor="text1"/>
          <w:kern w:val="0"/>
          <w14:textFill>
            <w14:solidFill>
              <w14:schemeClr w14:val="tx1"/>
            </w14:solidFill>
          </w14:textFill>
        </w:rPr>
      </w:pPr>
      <w:r>
        <w:rPr>
          <w:rFonts w:hint="eastAsia" w:ascii="宋体" w:hAnsi="宋体"/>
          <w:b/>
          <w:bCs/>
          <w:color w:val="000000" w:themeColor="text1"/>
          <w:kern w:val="0"/>
          <w14:textFill>
            <w14:solidFill>
              <w14:schemeClr w14:val="tx1"/>
            </w14:solidFill>
          </w14:textFill>
        </w:rPr>
        <w:t>1.</w:t>
      </w:r>
      <w:r>
        <w:rPr>
          <w:rFonts w:hint="eastAsia" w:ascii="黑体" w:hAnsi="黑体" w:eastAsia="黑体" w:cs="黑体"/>
          <w:b/>
          <w:bCs/>
          <w:color w:val="000000" w:themeColor="text1"/>
          <w:kern w:val="0"/>
          <w14:textFill>
            <w14:solidFill>
              <w14:schemeClr w14:val="tx1"/>
            </w14:solidFill>
          </w14:textFill>
        </w:rPr>
        <w:t>上表中</w:t>
      </w:r>
      <w:r>
        <w:rPr>
          <w:rFonts w:hint="eastAsia" w:ascii="黑体" w:hAnsi="黑体" w:eastAsia="黑体" w:cs="黑体"/>
          <w:b/>
          <w:bCs/>
          <w:color w:val="000000" w:themeColor="text1"/>
          <w:kern w:val="0"/>
          <w:u w:val="single"/>
          <w14:textFill>
            <w14:solidFill>
              <w14:schemeClr w14:val="tx1"/>
            </w14:solidFill>
          </w14:textFill>
        </w:rPr>
        <w:t>1、2、3、5、7、8</w:t>
      </w:r>
      <w:r>
        <w:rPr>
          <w:rFonts w:hint="eastAsia" w:ascii="黑体" w:hAnsi="黑体" w:eastAsia="黑体" w:cs="黑体"/>
          <w:b/>
          <w:bCs/>
          <w:color w:val="000000" w:themeColor="text1"/>
          <w:kern w:val="0"/>
          <w14:textFill>
            <w14:solidFill>
              <w14:schemeClr w14:val="tx1"/>
            </w14:solidFill>
          </w14:textFill>
        </w:rPr>
        <w:t>为核心产品，须为同一品牌</w:t>
      </w:r>
      <w:r>
        <w:rPr>
          <w:rFonts w:hint="eastAsia" w:ascii="宋体" w:hAnsi="宋体"/>
          <w:b/>
          <w:bCs/>
          <w:color w:val="000000" w:themeColor="text1"/>
          <w:kern w:val="0"/>
          <w14:textFill>
            <w14:solidFill>
              <w14:schemeClr w14:val="tx1"/>
            </w14:solidFill>
          </w14:textFill>
        </w:rPr>
        <w:t>。</w:t>
      </w:r>
    </w:p>
    <w:p>
      <w:pPr>
        <w:spacing w:line="460" w:lineRule="exact"/>
        <w:ind w:firstLine="420" w:firstLineChars="200"/>
        <w:rPr>
          <w:rFonts w:ascii="宋体" w:hAnsi="宋体"/>
          <w:b/>
          <w:bCs/>
          <w:color w:val="000000" w:themeColor="text1"/>
          <w:sz w:val="24"/>
          <w:szCs w:val="24"/>
          <w14:textFill>
            <w14:solidFill>
              <w14:schemeClr w14:val="tx1"/>
            </w14:solidFill>
          </w14:textFill>
        </w:rPr>
      </w:pPr>
      <w:r>
        <w:rPr>
          <w:rFonts w:hint="eastAsia" w:ascii="宋体" w:hAnsi="宋体"/>
          <w:color w:val="000000" w:themeColor="text1"/>
          <w14:textFill>
            <w14:solidFill>
              <w14:schemeClr w14:val="tx1"/>
            </w14:solidFill>
          </w14:textFill>
        </w:rPr>
        <w:t>2. 本项目价格均已包含设备供货、其他附件、安装配件、配套设施、包装 一切税费（ 包括关税、增值税等）、保险费、仓储费、安装和调试、验收、图纸、资料、质保期等投标和履约过程可预见或不可预见的一切费用，采购人不再支付除此之外的其它任何费用。</w:t>
      </w:r>
    </w:p>
    <w:p>
      <w:pPr>
        <w:spacing w:line="460" w:lineRule="exact"/>
        <w:ind w:firstLine="422" w:firstLineChars="200"/>
        <w:rPr>
          <w:rFonts w:ascii="宋体" w:hAnsi="宋体" w:eastAsia="黑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3.</w:t>
      </w:r>
      <w:r>
        <w:rPr>
          <w:rFonts w:hint="eastAsia" w:ascii="黑体" w:hAnsi="黑体" w:eastAsia="黑体" w:cs="黑体"/>
          <w:b/>
          <w:bCs/>
          <w:color w:val="000000" w:themeColor="text1"/>
          <w14:textFill>
            <w14:solidFill>
              <w14:schemeClr w14:val="tx1"/>
            </w14:solidFill>
          </w14:textFill>
        </w:rPr>
        <w:t>本项目采购已有实际实施案例的成熟产品，不接受数据对接外的功能性二次开发，所以，第一中标人中标公示后7天内，须到学校部署本项目的所有实际运行环境，学校组织专家（可能邀请本项目投标企业人员）对响应参数进行逐条验证。如有虚假响应，将取消其中标人排序资格，将其列入不诚信商家名单，同时上报至上级政采部门。如第一中标人不能满足，则验证第二中标人，以此类推。</w:t>
      </w:r>
    </w:p>
    <w:p>
      <w:pPr>
        <w:spacing w:line="460" w:lineRule="exact"/>
        <w:ind w:firstLine="422" w:firstLineChars="200"/>
        <w:rPr>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4.</w:t>
      </w:r>
      <w:r>
        <w:rPr>
          <w:rFonts w:hint="eastAsia" w:ascii="黑体" w:hAnsi="黑体" w:eastAsia="黑体" w:cs="黑体"/>
          <w:b/>
          <w:bCs/>
          <w:color w:val="000000" w:themeColor="text1"/>
          <w14:textFill>
            <w14:solidFill>
              <w14:schemeClr w14:val="tx1"/>
            </w14:solidFill>
          </w14:textFill>
        </w:rPr>
        <w:t>中标公示后7天内，须提供原厂质保函原件（投标时可使用复印件加盖公章），否则将取消中标资格</w:t>
      </w:r>
      <w:r>
        <w:rPr>
          <w:rFonts w:hint="eastAsia" w:ascii="宋体" w:hAnsi="宋体"/>
          <w:b/>
          <w:bCs/>
          <w:color w:val="000000" w:themeColor="text1"/>
          <w14:textFill>
            <w14:solidFill>
              <w14:schemeClr w14:val="tx1"/>
            </w14:solidFill>
          </w14:textFill>
        </w:rPr>
        <w:t>。质保函须对升级（软件终身免费升级，包括跨大版本及衍生版本升级，升级过程中产生的所有需求及工作量均免费）、技术支持、服务范围（须包含本项目所有建设内容）、期限、费用（报价中的延保价格）等做明确承诺。须承诺质保期内免费根据我校要求进行数据对接修改。</w:t>
      </w:r>
    </w:p>
    <w:p>
      <w:pPr>
        <w:numPr>
          <w:ilvl w:val="0"/>
          <w:numId w:val="5"/>
        </w:numPr>
        <w:spacing w:line="460" w:lineRule="exact"/>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主要技术参数</w:t>
      </w:r>
    </w:p>
    <w:p>
      <w:pPr>
        <w:spacing w:line="460" w:lineRule="exact"/>
        <w:ind w:firstLine="241" w:firstLineChars="1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（一）技术规范</w:t>
      </w:r>
    </w:p>
    <w:p>
      <w:pPr>
        <w:spacing w:line="460" w:lineRule="exact"/>
        <w:ind w:firstLine="420" w:firstLineChars="200"/>
        <w:rPr>
          <w:rFonts w:ascii="宋体" w:hAnsi="宋体"/>
          <w:color w:val="000000" w:themeColor="text1"/>
          <w:u w:val="single"/>
          <w14:textFill>
            <w14:solidFill>
              <w14:schemeClr w14:val="tx1"/>
            </w14:solidFill>
          </w14:textFill>
        </w:rPr>
      </w:pPr>
      <w:r>
        <w:rPr>
          <w:rFonts w:ascii="宋体" w:hAnsi="宋体"/>
          <w:color w:val="000000" w:themeColor="text1"/>
          <w:u w:val="single"/>
          <w14:textFill>
            <w14:solidFill>
              <w14:schemeClr w14:val="tx1"/>
            </w14:solidFill>
          </w14:textFill>
        </w:rPr>
        <w:t>★统一身份认证。本平台PC端Web应用必须与</w:t>
      </w:r>
      <w:r>
        <w:rPr>
          <w:rFonts w:hint="eastAsia" w:ascii="宋体" w:hAnsi="宋体"/>
          <w:color w:val="000000" w:themeColor="text1"/>
          <w:u w:val="single"/>
          <w14:textFill>
            <w14:solidFill>
              <w14:schemeClr w14:val="tx1"/>
            </w14:solidFill>
          </w14:textFill>
        </w:rPr>
        <w:t>学校统一身份认证</w:t>
      </w:r>
      <w:r>
        <w:rPr>
          <w:rFonts w:ascii="宋体" w:hAnsi="宋体"/>
          <w:color w:val="000000" w:themeColor="text1"/>
          <w:u w:val="single"/>
          <w14:textFill>
            <w14:solidFill>
              <w14:schemeClr w14:val="tx1"/>
            </w14:solidFill>
          </w14:textFill>
        </w:rPr>
        <w:t>对接（支持CAS</w:t>
      </w:r>
      <w:r>
        <w:rPr>
          <w:rFonts w:hint="eastAsia" w:ascii="宋体" w:hAnsi="宋体"/>
          <w:color w:val="000000" w:themeColor="text1"/>
          <w:u w:val="single"/>
          <w14:textFill>
            <w14:solidFill>
              <w14:schemeClr w14:val="tx1"/>
            </w14:solidFill>
          </w14:textFill>
        </w:rPr>
        <w:t>、</w:t>
      </w:r>
      <w:r>
        <w:rPr>
          <w:rFonts w:ascii="宋体" w:hAnsi="宋体"/>
          <w:color w:val="000000" w:themeColor="text1"/>
          <w:u w:val="single"/>
          <w14:textFill>
            <w14:solidFill>
              <w14:schemeClr w14:val="tx1"/>
            </w14:solidFill>
          </w14:textFill>
        </w:rPr>
        <w:t>LDAP等），完善人员的角色和权限等，实现单点登录</w:t>
      </w:r>
      <w:r>
        <w:rPr>
          <w:rFonts w:hint="eastAsia" w:ascii="宋体" w:hAnsi="宋体"/>
          <w:color w:val="000000" w:themeColor="text1"/>
          <w:u w:val="single"/>
          <w14:textFill>
            <w14:solidFill>
              <w14:schemeClr w14:val="tx1"/>
            </w14:solidFill>
          </w14:textFill>
        </w:rPr>
        <w:t>。</w:t>
      </w:r>
      <w:r>
        <w:rPr>
          <w:rFonts w:ascii="宋体" w:hAnsi="宋体"/>
          <w:color w:val="000000" w:themeColor="text1"/>
          <w:u w:val="single"/>
          <w14:textFill>
            <w14:solidFill>
              <w14:schemeClr w14:val="tx1"/>
            </w14:solidFill>
          </w14:textFill>
        </w:rPr>
        <w:t xml:space="preserve">如非我校在职在编人员需要使用，应当保留本平台的系统登录功能。 </w:t>
      </w:r>
    </w:p>
    <w:p>
      <w:pPr>
        <w:spacing w:line="460" w:lineRule="exact"/>
        <w:ind w:firstLine="420" w:firstLineChars="200"/>
        <w:rPr>
          <w:rFonts w:ascii="宋体" w:hAnsi="宋体"/>
          <w:color w:val="000000" w:themeColor="text1"/>
          <w:u w:val="single"/>
          <w14:textFill>
            <w14:solidFill>
              <w14:schemeClr w14:val="tx1"/>
            </w14:solidFill>
          </w14:textFill>
        </w:rPr>
      </w:pPr>
      <w:r>
        <w:rPr>
          <w:rFonts w:ascii="宋体" w:hAnsi="宋体"/>
          <w:color w:val="000000" w:themeColor="text1"/>
          <w:u w:val="single"/>
          <w14:textFill>
            <w14:solidFill>
              <w14:schemeClr w14:val="tx1"/>
            </w14:solidFill>
          </w14:textFill>
        </w:rPr>
        <w:t>★本项目涉及业务系统全量数据对接至本平台数据中心，并按照要求提供数据和数据说明文档（包括但不限于数据表格说明、数据字段说明、数据字典说明、数据关联性说明、计划任务说明、备份说明）。 如无法暴露数据库，提供视图以及视图的说明文档。</w:t>
      </w:r>
    </w:p>
    <w:p>
      <w:pPr>
        <w:spacing w:line="460" w:lineRule="exact"/>
        <w:ind w:firstLine="420" w:firstLineChars="200"/>
        <w:rPr>
          <w:rFonts w:ascii="宋体" w:hAnsi="宋体"/>
          <w:color w:val="000000" w:themeColor="text1"/>
          <w:u w:val="single"/>
          <w14:textFill>
            <w14:solidFill>
              <w14:schemeClr w14:val="tx1"/>
            </w14:solidFill>
          </w14:textFill>
        </w:rPr>
      </w:pPr>
      <w:r>
        <w:rPr>
          <w:rFonts w:ascii="宋体" w:hAnsi="宋体"/>
          <w:color w:val="000000" w:themeColor="text1"/>
          <w:u w:val="single"/>
          <w14:textFill>
            <w14:solidFill>
              <w14:schemeClr w14:val="tx1"/>
            </w14:solidFill>
          </w14:textFill>
        </w:rPr>
        <w:t>★提供本节中的“系统集成承诺函”</w:t>
      </w:r>
      <w:r>
        <w:rPr>
          <w:rFonts w:hint="eastAsia" w:ascii="宋体" w:hAnsi="宋体"/>
          <w:color w:val="000000" w:themeColor="text1"/>
          <w:u w:val="single"/>
          <w14:textFill>
            <w14:solidFill>
              <w14:schemeClr w14:val="tx1"/>
            </w14:solidFill>
          </w14:textFill>
        </w:rPr>
        <w:t>，不承诺不作为中标候选人排序</w:t>
      </w:r>
      <w:r>
        <w:rPr>
          <w:rFonts w:ascii="宋体" w:hAnsi="宋体"/>
          <w:color w:val="000000" w:themeColor="text1"/>
          <w:u w:val="single"/>
          <w14:textFill>
            <w14:solidFill>
              <w14:schemeClr w14:val="tx1"/>
            </w14:solidFill>
          </w14:textFill>
        </w:rPr>
        <w:t>。</w:t>
      </w:r>
    </w:p>
    <w:p>
      <w:pPr>
        <w:spacing w:line="460" w:lineRule="exact"/>
        <w:ind w:firstLine="420" w:firstLineChars="200"/>
        <w:rPr>
          <w:rFonts w:ascii="宋体" w:hAnsi="宋体"/>
          <w:color w:val="000000" w:themeColor="text1"/>
          <w:u w:val="single"/>
          <w14:textFill>
            <w14:solidFill>
              <w14:schemeClr w14:val="tx1"/>
            </w14:solidFill>
          </w14:textFill>
        </w:rPr>
      </w:pPr>
      <w:r>
        <w:rPr>
          <w:rFonts w:ascii="宋体" w:hAnsi="宋体"/>
          <w:color w:val="000000" w:themeColor="text1"/>
          <w:u w:val="single"/>
          <w14:textFill>
            <w14:solidFill>
              <w14:schemeClr w14:val="tx1"/>
            </w14:solidFill>
          </w14:textFill>
        </w:rPr>
        <w:t xml:space="preserve">★中标人必须严格按照国家网络信息安全等级保护制度要求和标准实施本项目，必须符合等级保护2.0及以上的相关技术规范和要求，若不符合，中标人免费升级优化直至满足。 </w:t>
      </w:r>
    </w:p>
    <w:p>
      <w:pPr>
        <w:spacing w:line="460" w:lineRule="exact"/>
        <w:ind w:firstLine="420" w:firstLineChars="200"/>
        <w:rPr>
          <w:rFonts w:ascii="宋体" w:hAnsi="宋体"/>
          <w:b/>
          <w:bCs/>
          <w:color w:val="000000" w:themeColor="text1"/>
          <w:sz w:val="24"/>
          <w:szCs w:val="24"/>
          <w:u w:val="single"/>
          <w14:textFill>
            <w14:solidFill>
              <w14:schemeClr w14:val="tx1"/>
            </w14:solidFill>
          </w14:textFill>
        </w:rPr>
      </w:pPr>
      <w:r>
        <w:rPr>
          <w:rFonts w:ascii="宋体" w:hAnsi="宋体"/>
          <w:color w:val="000000" w:themeColor="text1"/>
          <w:u w:val="single"/>
          <w14:textFill>
            <w14:solidFill>
              <w14:schemeClr w14:val="tx1"/>
            </w14:solidFill>
          </w14:textFill>
        </w:rPr>
        <w:t>★须签署用户信息保密协议，所有业务数据、个人数据和相关文档等未经学校允许不得转给第三方。</w:t>
      </w:r>
    </w:p>
    <w:p>
      <w:pPr>
        <w:widowControl w:val="0"/>
        <w:jc w:val="left"/>
        <w:textAlignment w:val="auto"/>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（二）参数要求</w:t>
      </w:r>
    </w:p>
    <w:tbl>
      <w:tblPr>
        <w:tblStyle w:val="22"/>
        <w:tblW w:w="10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975"/>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142" w:type="dxa"/>
            <w:tcMar>
              <w:top w:w="0" w:type="dxa"/>
              <w:left w:w="51" w:type="dxa"/>
              <w:bottom w:w="0" w:type="dxa"/>
              <w:right w:w="51" w:type="dxa"/>
            </w:tcMar>
            <w:vAlign w:val="center"/>
          </w:tcPr>
          <w:p>
            <w:pPr>
              <w:keepNext/>
              <w:keepLines/>
              <w:widowControl w:val="0"/>
              <w:spacing w:line="280" w:lineRule="exact"/>
              <w:jc w:val="center"/>
              <w:textAlignment w:val="auto"/>
              <w:outlineLvl w:val="1"/>
              <w:rPr>
                <w:rFonts w:ascii="黑体" w:hAnsi="黑体" w:eastAsia="黑体" w:cs="黑体"/>
                <w:b/>
                <w:bCs/>
                <w:color w:val="000000" w:themeColor="text1"/>
                <w:sz w:val="24"/>
                <w:szCs w:val="24"/>
                <w:lang w:val="de-DE"/>
                <w14:textFill>
                  <w14:solidFill>
                    <w14:schemeClr w14:val="tx1"/>
                  </w14:solidFill>
                </w14:textFill>
              </w:rPr>
            </w:pPr>
            <w:bookmarkStart w:id="16" w:name="_Toc103948357"/>
            <w:r>
              <w:rPr>
                <w:rFonts w:hint="eastAsia" w:ascii="黑体" w:hAnsi="黑体" w:eastAsia="黑体" w:cs="黑体"/>
                <w:b/>
                <w:bCs/>
                <w:color w:val="000000" w:themeColor="text1"/>
                <w:sz w:val="24"/>
                <w:szCs w:val="24"/>
                <w:lang w:val="de-DE"/>
                <w14:textFill>
                  <w14:solidFill>
                    <w14:schemeClr w14:val="tx1"/>
                  </w14:solidFill>
                </w14:textFill>
              </w:rPr>
              <w:t>功能名称</w:t>
            </w:r>
            <w:bookmarkEnd w:id="16"/>
          </w:p>
        </w:tc>
        <w:tc>
          <w:tcPr>
            <w:tcW w:w="975" w:type="dxa"/>
            <w:vAlign w:val="center"/>
          </w:tcPr>
          <w:p>
            <w:pPr>
              <w:keepNext/>
              <w:keepLines/>
              <w:widowControl w:val="0"/>
              <w:spacing w:line="280" w:lineRule="exact"/>
              <w:jc w:val="center"/>
              <w:textAlignment w:val="auto"/>
              <w:outlineLvl w:val="1"/>
              <w:rPr>
                <w:rFonts w:ascii="黑体" w:hAnsi="黑体" w:eastAsia="黑体" w:cs="黑体"/>
                <w:b/>
                <w:bCs/>
                <w:color w:val="000000" w:themeColor="text1"/>
                <w:sz w:val="24"/>
                <w:szCs w:val="24"/>
                <w:lang w:val="de-DE"/>
                <w14:textFill>
                  <w14:solidFill>
                    <w14:schemeClr w14:val="tx1"/>
                  </w14:solidFill>
                </w14:textFill>
              </w:rPr>
            </w:pPr>
            <w:bookmarkStart w:id="17" w:name="_Toc103948358"/>
            <w:r>
              <w:rPr>
                <w:rFonts w:hint="eastAsia" w:ascii="黑体" w:hAnsi="黑体" w:eastAsia="黑体" w:cs="黑体"/>
                <w:b/>
                <w:bCs/>
                <w:color w:val="000000" w:themeColor="text1"/>
                <w:sz w:val="24"/>
                <w:szCs w:val="24"/>
                <w:lang w:val="de-DE"/>
                <w14:textFill>
                  <w14:solidFill>
                    <w14:schemeClr w14:val="tx1"/>
                  </w14:solidFill>
                </w14:textFill>
              </w:rPr>
              <w:t>指标</w:t>
            </w:r>
            <w:bookmarkEnd w:id="17"/>
          </w:p>
        </w:tc>
        <w:tc>
          <w:tcPr>
            <w:tcW w:w="8284" w:type="dxa"/>
            <w:vAlign w:val="center"/>
          </w:tcPr>
          <w:p>
            <w:pPr>
              <w:keepNext/>
              <w:keepLines/>
              <w:widowControl w:val="0"/>
              <w:spacing w:line="280" w:lineRule="exact"/>
              <w:jc w:val="center"/>
              <w:textAlignment w:val="auto"/>
              <w:outlineLvl w:val="1"/>
              <w:rPr>
                <w:rFonts w:ascii="黑体" w:hAnsi="黑体" w:eastAsia="黑体" w:cs="黑体"/>
                <w:b/>
                <w:bCs/>
                <w:color w:val="000000" w:themeColor="text1"/>
                <w:sz w:val="24"/>
                <w:szCs w:val="24"/>
                <w:lang w:val="de-DE"/>
                <w14:textFill>
                  <w14:solidFill>
                    <w14:schemeClr w14:val="tx1"/>
                  </w14:solidFill>
                </w14:textFill>
              </w:rPr>
            </w:pPr>
            <w:bookmarkStart w:id="18" w:name="_Toc103948359"/>
            <w:r>
              <w:rPr>
                <w:rFonts w:hint="eastAsia" w:ascii="黑体" w:hAnsi="黑体" w:eastAsia="黑体" w:cs="黑体"/>
                <w:b/>
                <w:bCs/>
                <w:color w:val="000000" w:themeColor="text1"/>
                <w:sz w:val="24"/>
                <w:szCs w:val="24"/>
                <w:lang w:val="de-DE"/>
                <w14:textFill>
                  <w14:solidFill>
                    <w14:schemeClr w14:val="tx1"/>
                  </w14:solidFill>
                </w14:textFill>
              </w:rPr>
              <w:t>技术要求描述</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restart"/>
            <w:vAlign w:val="center"/>
          </w:tcPr>
          <w:p>
            <w:pPr>
              <w:widowControl w:val="0"/>
              <w:spacing w:line="280" w:lineRule="exact"/>
              <w:jc w:val="center"/>
              <w:textAlignment w:val="auto"/>
              <w:rPr>
                <w:rFonts w:ascii="宋体" w:hAnsi="宋体"/>
                <w:b/>
                <w:bCs/>
                <w:color w:val="000000" w:themeColor="text1"/>
                <w:sz w:val="18"/>
                <w:szCs w:val="18"/>
                <w:lang w:val="de-DE"/>
                <w14:textFill>
                  <w14:solidFill>
                    <w14:schemeClr w14:val="tx1"/>
                  </w14:solidFill>
                </w14:textFill>
              </w:rPr>
            </w:pPr>
            <w:bookmarkStart w:id="19" w:name="_Toc83647654"/>
            <w:r>
              <w:rPr>
                <w:rFonts w:hint="eastAsia" w:ascii="宋体" w:hAnsi="宋体"/>
                <w:b/>
                <w:bCs/>
                <w:color w:val="000000" w:themeColor="text1"/>
                <w:sz w:val="18"/>
                <w:szCs w:val="18"/>
                <w:lang w:val="de-DE"/>
                <w14:textFill>
                  <w14:solidFill>
                    <w14:schemeClr w14:val="tx1"/>
                  </w14:solidFill>
                </w14:textFill>
              </w:rPr>
              <w:t>1.</w:t>
            </w:r>
            <w:bookmarkEnd w:id="19"/>
            <w:r>
              <w:rPr>
                <w:rFonts w:hint="eastAsia" w:ascii="宋体" w:hAnsi="宋体"/>
                <w:b/>
                <w:bCs/>
                <w:color w:val="000000" w:themeColor="text1"/>
                <w:sz w:val="18"/>
                <w:szCs w:val="18"/>
                <w:lang w:val="de-DE"/>
                <w14:textFill>
                  <w14:solidFill>
                    <w14:schemeClr w14:val="tx1"/>
                  </w14:solidFill>
                </w14:textFill>
              </w:rPr>
              <w:t>数据治理平台</w:t>
            </w:r>
          </w:p>
        </w:tc>
        <w:tc>
          <w:tcPr>
            <w:tcW w:w="975" w:type="dxa"/>
            <w:vAlign w:val="center"/>
          </w:tcPr>
          <w:p>
            <w:pPr>
              <w:widowControl w:val="0"/>
              <w:spacing w:line="280" w:lineRule="exact"/>
              <w:jc w:val="center"/>
              <w:textAlignment w:val="auto"/>
              <w:rPr>
                <w:rFonts w:ascii="宋体" w:hAnsi="宋体" w:cs="华文仿宋"/>
                <w:color w:val="000000" w:themeColor="text1"/>
                <w:sz w:val="18"/>
                <w:szCs w:val="18"/>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1</w:t>
            </w:r>
            <w:r>
              <w:rPr>
                <w:rFonts w:ascii="宋体" w:hAnsi="宋体"/>
                <w:color w:val="000000" w:themeColor="text1"/>
                <w:sz w:val="18"/>
                <w:szCs w:val="18"/>
                <w:lang w:val="de-DE"/>
                <w14:textFill>
                  <w14:solidFill>
                    <w14:schemeClr w14:val="tx1"/>
                  </w14:solidFill>
                </w14:textFill>
              </w:rPr>
              <w:t>.1</w:t>
            </w:r>
            <w:r>
              <w:rPr>
                <w:rFonts w:hint="eastAsia" w:ascii="宋体" w:hAnsi="宋体"/>
                <w:color w:val="000000" w:themeColor="text1"/>
                <w:sz w:val="18"/>
                <w:szCs w:val="18"/>
                <w:lang w:val="de-DE"/>
                <w14:textFill>
                  <w14:solidFill>
                    <w14:schemeClr w14:val="tx1"/>
                  </w14:solidFill>
                </w14:textFill>
              </w:rPr>
              <w:t>数据存储</w:t>
            </w:r>
          </w:p>
        </w:tc>
        <w:tc>
          <w:tcPr>
            <w:tcW w:w="8284" w:type="dxa"/>
          </w:tcPr>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w:t>
            </w:r>
            <w:r>
              <w:rPr>
                <w:rFonts w:hint="eastAsia" w:ascii="宋体" w:hAnsi="宋体"/>
                <w:color w:val="000000" w:themeColor="text1"/>
                <w:sz w:val="18"/>
                <w:szCs w:val="18"/>
                <w:lang w:val="de-DE"/>
                <w14:textFill>
                  <w14:solidFill>
                    <w14:schemeClr w14:val="tx1"/>
                  </w14:solidFill>
                </w14:textFill>
              </w:rPr>
              <w:t>提供对学校数据的分级化管理；</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w:t>
            </w:r>
            <w:r>
              <w:rPr>
                <w:rFonts w:hint="eastAsia" w:ascii="宋体" w:hAnsi="宋体"/>
                <w:color w:val="000000" w:themeColor="text1"/>
                <w:sz w:val="18"/>
                <w:szCs w:val="18"/>
                <w:lang w:val="de-DE"/>
                <w14:textFill>
                  <w14:solidFill>
                    <w14:schemeClr w14:val="tx1"/>
                  </w14:solidFill>
                </w14:textFill>
              </w:rPr>
              <w:t>所需数据根据本次建设内容所涉及的部门进行需求采集，根据需求采集信息和协商结果建立符合我校实际情况的元数据子集，实现数据建模。</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w:t>
            </w:r>
            <w:r>
              <w:rPr>
                <w:rFonts w:hint="eastAsia" w:ascii="宋体" w:hAnsi="宋体"/>
                <w:color w:val="000000" w:themeColor="text1"/>
                <w:sz w:val="18"/>
                <w:szCs w:val="18"/>
                <w:lang w:val="de-DE"/>
                <w14:textFill>
                  <w14:solidFill>
                    <w14:schemeClr w14:val="tx1"/>
                  </w14:solidFill>
                </w14:textFill>
              </w:rPr>
              <w:t>主要完成的元数据子集须包括（投标方描述子集建设内容）：学校基本情况数据子集、学生数据子集、教职工数据子集、教学管理数据子集、科研数据子集、体育卫生数据子集、办公数据子集、资产与设备管理数据子集、房产与设施数据子集、外事管理数据子集、档案管理数据子集、图书数据子集、财务数据子集等；</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r>
              <w:rPr>
                <w:rFonts w:hint="eastAsia" w:ascii="宋体" w:hAnsi="宋体"/>
                <w:color w:val="000000" w:themeColor="text1"/>
                <w:sz w:val="18"/>
                <w:szCs w:val="18"/>
                <w:lang w:val="de-DE"/>
                <w14:textFill>
                  <w14:solidFill>
                    <w14:schemeClr w14:val="tx1"/>
                  </w14:solidFill>
                </w14:textFill>
              </w:rPr>
              <w:t>提供平台对各层级模型进行查询维护；</w:t>
            </w:r>
          </w:p>
          <w:p>
            <w:pPr>
              <w:widowControl w:val="0"/>
              <w:spacing w:line="280" w:lineRule="exact"/>
              <w:jc w:val="left"/>
              <w:textAlignment w:val="auto"/>
              <w:rPr>
                <w:rFonts w:ascii="宋体" w:hAnsi="宋体" w:cs="华文仿宋"/>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r>
              <w:rPr>
                <w:rFonts w:hint="eastAsia" w:ascii="宋体" w:hAnsi="宋体"/>
                <w:color w:val="000000" w:themeColor="text1"/>
                <w:sz w:val="18"/>
                <w:szCs w:val="18"/>
                <w:lang w:val="de-DE"/>
                <w14:textFill>
                  <w14:solidFill>
                    <w14:schemeClr w14:val="tx1"/>
                  </w14:solidFill>
                </w14:textFill>
              </w:rPr>
              <w:t>★提供以拉链表方式组建历史数据仓库，提供时点数据管理</w:t>
            </w:r>
            <w:r>
              <w:rPr>
                <w:rFonts w:hint="eastAsia" w:ascii="宋体" w:hAnsi="宋体" w:cs="华文仿宋"/>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vAlign w:val="center"/>
          </w:tcPr>
          <w:p>
            <w:pPr>
              <w:widowControl w:val="0"/>
              <w:spacing w:line="280" w:lineRule="exact"/>
              <w:jc w:val="center"/>
              <w:textAlignment w:val="auto"/>
              <w:rPr>
                <w:rFonts w:ascii="宋体" w:hAnsi="宋体"/>
                <w:b/>
                <w:bCs/>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val="de-DE"/>
                <w14:textFill>
                  <w14:solidFill>
                    <w14:schemeClr w14:val="tx1"/>
                  </w14:solidFill>
                </w14:textFill>
              </w:rPr>
              <w:t>1.2</w:t>
            </w:r>
            <w:r>
              <w:rPr>
                <w:rFonts w:hint="eastAsia" w:ascii="宋体" w:hAnsi="宋体"/>
                <w:color w:val="000000" w:themeColor="text1"/>
                <w:sz w:val="18"/>
                <w:szCs w:val="18"/>
                <w:lang w:val="de-DE"/>
                <w14:textFill>
                  <w14:solidFill>
                    <w14:schemeClr w14:val="tx1"/>
                  </w14:solidFill>
                </w14:textFill>
              </w:rPr>
              <w:t>数据标准管理</w:t>
            </w:r>
          </w:p>
        </w:tc>
        <w:tc>
          <w:tcPr>
            <w:tcW w:w="8284" w:type="dxa"/>
            <w:vAlign w:val="center"/>
          </w:tcPr>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w:t>
            </w:r>
            <w:r>
              <w:rPr>
                <w:rFonts w:hint="eastAsia" w:ascii="宋体" w:hAnsi="宋体"/>
                <w:color w:val="000000" w:themeColor="text1"/>
                <w:sz w:val="18"/>
                <w:szCs w:val="18"/>
                <w:lang w:val="de-DE"/>
                <w14:textFill>
                  <w14:solidFill>
                    <w14:schemeClr w14:val="tx1"/>
                  </w14:solidFill>
                </w14:textFill>
              </w:rPr>
              <w:t>提供并编制学校信息标准体系，须基于国家标准、教育部标准、行业标准，结合学校实际情况编制和完善各项信息标准，给出信息分类编码规格说明书，建设形成一套符合学校自身信息化建设需要的管理信息化标准体系；</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w:t>
            </w:r>
            <w:r>
              <w:rPr>
                <w:rFonts w:hint="eastAsia" w:ascii="宋体" w:hAnsi="宋体"/>
                <w:color w:val="000000" w:themeColor="text1"/>
                <w:sz w:val="18"/>
                <w:szCs w:val="18"/>
                <w:lang w:val="de-DE"/>
                <w14:textFill>
                  <w14:solidFill>
                    <w14:schemeClr w14:val="tx1"/>
                  </w14:solidFill>
                </w14:textFill>
              </w:rPr>
              <w:t>提供学校执行标准和基于国标、教标、行标、建议校标的参照标准两套标准；</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w:t>
            </w:r>
            <w:r>
              <w:rPr>
                <w:rFonts w:hint="eastAsia" w:ascii="宋体" w:hAnsi="宋体"/>
                <w:color w:val="000000" w:themeColor="text1"/>
                <w:sz w:val="18"/>
                <w:szCs w:val="18"/>
                <w:lang w:val="de-DE"/>
                <w14:textFill>
                  <w14:solidFill>
                    <w14:schemeClr w14:val="tx1"/>
                  </w14:solidFill>
                </w14:textFill>
              </w:rPr>
              <w:t>提供数据标准、代码标准的分版本化管理；</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r>
              <w:rPr>
                <w:rFonts w:hint="eastAsia" w:ascii="宋体" w:hAnsi="宋体"/>
                <w:color w:val="000000" w:themeColor="text1"/>
                <w:sz w:val="18"/>
                <w:szCs w:val="18"/>
                <w:lang w:val="de-DE"/>
                <w14:textFill>
                  <w14:solidFill>
                    <w14:schemeClr w14:val="tx1"/>
                  </w14:solidFill>
                </w14:textFill>
              </w:rPr>
              <w:t>提供数据标准、代码标准跨版本的升级差异查询；</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r>
              <w:rPr>
                <w:rFonts w:hint="eastAsia" w:ascii="宋体" w:hAnsi="宋体"/>
                <w:color w:val="000000" w:themeColor="text1"/>
                <w:sz w:val="18"/>
                <w:szCs w:val="18"/>
                <w:lang w:val="de-DE"/>
                <w14:textFill>
                  <w14:solidFill>
                    <w14:schemeClr w14:val="tx1"/>
                  </w14:solidFill>
                </w14:textFill>
              </w:rPr>
              <w:t>提供数据标准、代码标准学校建设与参照标准的达成分析；</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w:t>
            </w:r>
            <w:r>
              <w:rPr>
                <w:rFonts w:hint="eastAsia" w:ascii="宋体" w:hAnsi="宋体"/>
                <w:color w:val="000000" w:themeColor="text1"/>
                <w:sz w:val="18"/>
                <w:szCs w:val="18"/>
                <w:lang w:val="de-DE"/>
                <w14:textFill>
                  <w14:solidFill>
                    <w14:schemeClr w14:val="tx1"/>
                  </w14:solidFill>
                </w14:textFill>
              </w:rPr>
              <w:t>提供代码标准的日常修订，提供新增、维护、拆分、合并、变更、启停用等作业方式，以及批量化导入导出操作；</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7.</w:t>
            </w:r>
            <w:r>
              <w:rPr>
                <w:rFonts w:hint="eastAsia" w:ascii="宋体" w:hAnsi="宋体"/>
                <w:color w:val="000000" w:themeColor="text1"/>
                <w:sz w:val="18"/>
                <w:szCs w:val="18"/>
                <w:lang w:val="de-DE"/>
                <w14:textFill>
                  <w14:solidFill>
                    <w14:schemeClr w14:val="tx1"/>
                  </w14:solidFill>
                </w14:textFill>
              </w:rPr>
              <w:t>数据标准、代码标准按业务、部门多维度的UC权责管理，提供 Excel 表格形式 UC 矩阵导出；</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8.</w:t>
            </w:r>
            <w:r>
              <w:rPr>
                <w:rFonts w:hint="eastAsia" w:ascii="宋体" w:hAnsi="宋体"/>
                <w:color w:val="000000" w:themeColor="text1"/>
                <w:sz w:val="18"/>
                <w:szCs w:val="18"/>
                <w:lang w:val="de-DE"/>
                <w14:textFill>
                  <w14:solidFill>
                    <w14:schemeClr w14:val="tx1"/>
                  </w14:solidFill>
                </w14:textFill>
              </w:rPr>
              <w:t>提供标准建设制度化管理，制定标准化编码，提供编码可视化采编能力；</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9.</w:t>
            </w:r>
            <w:r>
              <w:rPr>
                <w:rFonts w:hint="eastAsia" w:ascii="宋体" w:hAnsi="宋体"/>
                <w:color w:val="000000" w:themeColor="text1"/>
                <w:sz w:val="18"/>
                <w:szCs w:val="18"/>
                <w:lang w:val="de-DE"/>
                <w14:textFill>
                  <w14:solidFill>
                    <w14:schemeClr w14:val="tx1"/>
                  </w14:solidFill>
                </w14:textFill>
              </w:rPr>
              <w:t>支持代码标准与业务标准差异捕获，可根据需求进行即时或任务定时差异比对，提供在线对比结果查询、差异信息的统计分析、下载差异明细；</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w:t>
            </w:r>
            <w:r>
              <w:rPr>
                <w:rFonts w:hint="eastAsia" w:ascii="宋体" w:hAnsi="宋体"/>
                <w:color w:val="000000" w:themeColor="text1"/>
                <w:sz w:val="18"/>
                <w:szCs w:val="18"/>
                <w:lang w:val="de-DE"/>
                <w14:textFill>
                  <w14:solidFill>
                    <w14:schemeClr w14:val="tx1"/>
                  </w14:solidFill>
                </w14:textFill>
              </w:rPr>
              <w:t>提供代码标准与业务标准的差异纠偏，提供在线勾选、Excel表格映射、一键智能映射等操作，并支持在 ETL 工具中直接使用纠正；</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11.</w:t>
            </w:r>
            <w:r>
              <w:rPr>
                <w:rFonts w:hint="eastAsia" w:ascii="宋体" w:hAnsi="宋体"/>
                <w:color w:val="000000" w:themeColor="text1"/>
                <w:sz w:val="18"/>
                <w:szCs w:val="18"/>
                <w:lang w:val="de-DE"/>
                <w14:textFill>
                  <w14:solidFill>
                    <w14:schemeClr w14:val="tx1"/>
                  </w14:solidFill>
                </w14:textFill>
              </w:rPr>
              <w:t>提供代码标准与参照标准的采标率检测，并支持在线批量下载采用参照标准到执行标准；</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12.</w:t>
            </w:r>
            <w:r>
              <w:rPr>
                <w:rFonts w:hint="eastAsia" w:ascii="宋体" w:hAnsi="宋体"/>
                <w:color w:val="000000" w:themeColor="text1"/>
                <w:sz w:val="18"/>
                <w:szCs w:val="18"/>
                <w:lang w:val="de-DE"/>
                <w14:textFill>
                  <w14:solidFill>
                    <w14:schemeClr w14:val="tx1"/>
                  </w14:solidFill>
                </w14:textFill>
              </w:rPr>
              <w:t>提供对标任务的调度配置功能，可实现定时模式和手动模式，提供并能够提供对标任务执行过程的日志信息；</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12.</w:t>
            </w:r>
            <w:r>
              <w:rPr>
                <w:rFonts w:hint="eastAsia" w:ascii="宋体" w:hAnsi="宋体"/>
                <w:color w:val="000000" w:themeColor="text1"/>
                <w:sz w:val="18"/>
                <w:szCs w:val="18"/>
                <w:lang w:val="de-DE"/>
                <w14:textFill>
                  <w14:solidFill>
                    <w14:schemeClr w14:val="tx1"/>
                  </w14:solidFill>
                </w14:textFill>
              </w:rPr>
              <w:t>提供业务标准实时监控和提醒，自动检测并提醒代码差异；</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13.</w:t>
            </w:r>
            <w:r>
              <w:rPr>
                <w:rFonts w:hint="eastAsia" w:ascii="宋体" w:hAnsi="宋体"/>
                <w:color w:val="000000" w:themeColor="text1"/>
                <w:sz w:val="18"/>
                <w:szCs w:val="18"/>
                <w:lang w:val="de-DE"/>
                <w14:textFill>
                  <w14:solidFill>
                    <w14:schemeClr w14:val="tx1"/>
                  </w14:solidFill>
                </w14:textFill>
              </w:rPr>
              <w:t>提供代码标准查询网站，面向用户开放标准查阅/下载的能力；</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14.</w:t>
            </w:r>
            <w:r>
              <w:rPr>
                <w:rFonts w:hint="eastAsia" w:ascii="宋体" w:hAnsi="宋体"/>
                <w:color w:val="000000" w:themeColor="text1"/>
                <w:sz w:val="18"/>
                <w:szCs w:val="18"/>
                <w:lang w:val="de-DE"/>
                <w14:textFill>
                  <w14:solidFill>
                    <w14:schemeClr w14:val="tx1"/>
                  </w14:solidFill>
                </w14:textFill>
              </w:rPr>
              <w:t>提供代码标准自动发布WSDL和REST两种方式API接口来开放标准能力；</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15.</w:t>
            </w:r>
            <w:r>
              <w:rPr>
                <w:rFonts w:hint="eastAsia" w:ascii="宋体" w:hAnsi="宋体"/>
                <w:color w:val="000000" w:themeColor="text1"/>
                <w:sz w:val="18"/>
                <w:szCs w:val="18"/>
                <w:lang w:val="de-DE"/>
                <w14:textFill>
                  <w14:solidFill>
                    <w14:schemeClr w14:val="tx1"/>
                  </w14:solidFill>
                </w14:textFill>
              </w:rPr>
              <w:t>提供代码标准查询视图的配置能力，可自定义不同视图下输出的标准内容；</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16.</w:t>
            </w:r>
            <w:r>
              <w:rPr>
                <w:rFonts w:hint="eastAsia" w:ascii="宋体" w:hAnsi="宋体"/>
                <w:color w:val="000000" w:themeColor="text1"/>
                <w:sz w:val="18"/>
                <w:szCs w:val="18"/>
                <w:lang w:val="de-DE"/>
                <w14:textFill>
                  <w14:solidFill>
                    <w14:schemeClr w14:val="tx1"/>
                  </w14:solidFill>
                </w14:textFill>
              </w:rPr>
              <w:t>提供标准建设动态报告、白皮书等下载。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val="de-DE"/>
                <w14:textFill>
                  <w14:solidFill>
                    <w14:schemeClr w14:val="tx1"/>
                  </w14:solidFill>
                </w14:textFill>
              </w:rPr>
              <w:t>1.3</w:t>
            </w:r>
            <w:r>
              <w:rPr>
                <w:rFonts w:hint="eastAsia" w:ascii="宋体" w:hAnsi="宋体"/>
                <w:color w:val="000000" w:themeColor="text1"/>
                <w:sz w:val="18"/>
                <w:szCs w:val="18"/>
                <w:lang w:val="de-DE"/>
                <w14:textFill>
                  <w14:solidFill>
                    <w14:schemeClr w14:val="tx1"/>
                  </w14:solidFill>
                </w14:textFill>
              </w:rPr>
              <w:t>元数据管理</w:t>
            </w:r>
          </w:p>
        </w:tc>
        <w:tc>
          <w:tcPr>
            <w:tcW w:w="8284" w:type="dxa"/>
            <w:vAlign w:val="center"/>
          </w:tcPr>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w:t>
            </w:r>
            <w:r>
              <w:rPr>
                <w:rFonts w:hint="eastAsia" w:ascii="宋体" w:hAnsi="宋体"/>
                <w:color w:val="000000" w:themeColor="text1"/>
                <w:sz w:val="18"/>
                <w:szCs w:val="18"/>
                <w:lang w:val="de-DE"/>
                <w14:textFill>
                  <w14:solidFill>
                    <w14:schemeClr w14:val="tx1"/>
                  </w14:solidFill>
                </w14:textFill>
              </w:rPr>
              <w:t>提供业务数据资源注册，能够在线对接（添加、编辑和删除）业务数据源；</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w:t>
            </w:r>
            <w:r>
              <w:rPr>
                <w:rFonts w:hint="eastAsia" w:ascii="宋体" w:hAnsi="宋体"/>
                <w:color w:val="000000" w:themeColor="text1"/>
                <w:sz w:val="18"/>
                <w:szCs w:val="18"/>
                <w:lang w:val="de-DE"/>
                <w14:textFill>
                  <w14:solidFill>
                    <w14:schemeClr w14:val="tx1"/>
                  </w14:solidFill>
                </w14:textFill>
              </w:rPr>
              <w:t>提供业务数据资源无限级业务域目录、数据集和数据子集分类管理；</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w:t>
            </w:r>
            <w:r>
              <w:rPr>
                <w:rFonts w:hint="eastAsia" w:ascii="宋体" w:hAnsi="宋体"/>
                <w:color w:val="000000" w:themeColor="text1"/>
                <w:sz w:val="18"/>
                <w:szCs w:val="18"/>
                <w:lang w:val="de-DE"/>
                <w14:textFill>
                  <w14:solidFill>
                    <w14:schemeClr w14:val="tx1"/>
                  </w14:solidFill>
                </w14:textFill>
              </w:rPr>
              <w:t>提供按业务库、数据湖、标准库、主题库、师生专题库的全场景元数据管理；</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r>
              <w:rPr>
                <w:rFonts w:hint="eastAsia" w:ascii="宋体" w:hAnsi="宋体"/>
                <w:color w:val="000000" w:themeColor="text1"/>
                <w:sz w:val="18"/>
                <w:szCs w:val="18"/>
                <w:lang w:val="de-DE"/>
                <w14:textFill>
                  <w14:solidFill>
                    <w14:schemeClr w14:val="tx1"/>
                  </w14:solidFill>
                </w14:textFill>
              </w:rPr>
              <w:t>提供在线包括表、视图、字段、引用元数据标准、引用标准、注释等的元数据信息的手动维护和批量导入管理，以及历史管理追溯，以时间轴线性明细痕迹查询；</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r>
              <w:rPr>
                <w:rFonts w:hint="eastAsia" w:ascii="宋体" w:hAnsi="宋体"/>
                <w:color w:val="000000" w:themeColor="text1"/>
                <w:sz w:val="18"/>
                <w:szCs w:val="18"/>
                <w:lang w:val="de-DE"/>
                <w14:textFill>
                  <w14:solidFill>
                    <w14:schemeClr w14:val="tx1"/>
                  </w14:solidFill>
                </w14:textFill>
              </w:rPr>
              <w:t>提供数据库结构自动捕获，一键式智能元数据语义识别，高效自动化解析元数据语义、数据描述等中文概要信息；</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w:t>
            </w:r>
            <w:r>
              <w:rPr>
                <w:rFonts w:hint="eastAsia" w:ascii="宋体" w:hAnsi="宋体"/>
                <w:color w:val="000000" w:themeColor="text1"/>
                <w:sz w:val="18"/>
                <w:szCs w:val="18"/>
                <w:lang w:val="de-DE"/>
                <w14:textFill>
                  <w14:solidFill>
                    <w14:schemeClr w14:val="tx1"/>
                  </w14:solidFill>
                </w14:textFill>
              </w:rPr>
              <w:t>提供元数据对象与实体数据库的自动化差异比对，实现元数据对象同步机制，可在线拷贝数据库表、创建表、新增、修改和删除数据库字段；</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7.</w:t>
            </w:r>
            <w:r>
              <w:rPr>
                <w:rFonts w:hint="eastAsia" w:ascii="宋体" w:hAnsi="宋体"/>
                <w:color w:val="000000" w:themeColor="text1"/>
                <w:sz w:val="18"/>
                <w:szCs w:val="18"/>
                <w:lang w:val="de-DE"/>
                <w14:textFill>
                  <w14:solidFill>
                    <w14:schemeClr w14:val="tx1"/>
                  </w14:solidFill>
                </w14:textFill>
              </w:rPr>
              <w:t>提供数据湖元数据的自动归类与创建，零操作建全业务元数据；</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8.</w:t>
            </w:r>
            <w:r>
              <w:rPr>
                <w:rFonts w:hint="eastAsia" w:ascii="宋体" w:hAnsi="宋体"/>
                <w:color w:val="000000" w:themeColor="text1"/>
                <w:sz w:val="18"/>
                <w:szCs w:val="18"/>
                <w:lang w:val="de-DE"/>
                <w14:textFill>
                  <w14:solidFill>
                    <w14:schemeClr w14:val="tx1"/>
                  </w14:solidFill>
                </w14:textFill>
              </w:rPr>
              <w:t>提供智能代码元数据识别；</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9.提供在线建模脚本文件（EXCEL和SQL）的批量生成，涵盖GaussDB、Oracle、SqlServer、MySQL、PostgreSQL等主流数据库类型脚本自转换；</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w:t>
            </w:r>
            <w:r>
              <w:rPr>
                <w:rFonts w:hint="eastAsia" w:ascii="宋体" w:hAnsi="宋体"/>
                <w:color w:val="000000" w:themeColor="text1"/>
                <w:sz w:val="18"/>
                <w:szCs w:val="18"/>
                <w:lang w:val="de-DE"/>
                <w14:textFill>
                  <w14:solidFill>
                    <w14:schemeClr w14:val="tx1"/>
                  </w14:solidFill>
                </w14:textFill>
              </w:rPr>
              <w:t>提供跨平台一体化数据模型建设，可向数据分析工具、教师个人数字档案等平台自动化载入模型，实现一站式元数据建设，规避多次重复建设；</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11.</w:t>
            </w:r>
            <w:r>
              <w:rPr>
                <w:rFonts w:hint="eastAsia" w:ascii="宋体" w:hAnsi="宋体"/>
                <w:color w:val="000000" w:themeColor="text1"/>
                <w:sz w:val="18"/>
                <w:szCs w:val="18"/>
                <w:lang w:val="de-DE"/>
                <w14:textFill>
                  <w14:solidFill>
                    <w14:schemeClr w14:val="tx1"/>
                  </w14:solidFill>
                </w14:textFill>
              </w:rPr>
              <w:t>提供元数据信息的精确和模糊查询功能；</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12.</w:t>
            </w:r>
            <w:r>
              <w:rPr>
                <w:rFonts w:hint="eastAsia" w:ascii="宋体" w:hAnsi="宋体"/>
                <w:color w:val="000000" w:themeColor="text1"/>
                <w:sz w:val="18"/>
                <w:szCs w:val="18"/>
                <w:lang w:val="de-DE"/>
                <w14:textFill>
                  <w14:solidFill>
                    <w14:schemeClr w14:val="tx1"/>
                  </w14:solidFill>
                </w14:textFill>
              </w:rPr>
              <w:t>提供元数据信息的统计分析和图形化呈现，以及元数据报告的导出（Word及Excel文件）；</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13.</w:t>
            </w:r>
            <w:r>
              <w:rPr>
                <w:rFonts w:hint="eastAsia" w:ascii="宋体" w:hAnsi="宋体"/>
                <w:color w:val="000000" w:themeColor="text1"/>
                <w:sz w:val="18"/>
                <w:szCs w:val="18"/>
                <w:lang w:val="de-DE"/>
                <w14:textFill>
                  <w14:solidFill>
                    <w14:schemeClr w14:val="tx1"/>
                  </w14:solidFill>
                </w14:textFill>
              </w:rPr>
              <w:t>提供元数据标签化，可手动标识和自动识别元数据类型；</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14.</w:t>
            </w:r>
            <w:r>
              <w:rPr>
                <w:rFonts w:hint="eastAsia" w:ascii="宋体" w:hAnsi="宋体"/>
                <w:color w:val="000000" w:themeColor="text1"/>
                <w:sz w:val="18"/>
                <w:szCs w:val="18"/>
                <w:lang w:val="de-DE"/>
                <w14:textFill>
                  <w14:solidFill>
                    <w14:schemeClr w14:val="tx1"/>
                  </w14:solidFill>
                </w14:textFill>
              </w:rPr>
              <w:t>提供元数据地图图片展示与盲印加密下载，包含：数据标准脑图、规划标准关系图、实际标准关系图；</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15.</w:t>
            </w:r>
            <w:r>
              <w:rPr>
                <w:rFonts w:hint="eastAsia" w:ascii="宋体" w:hAnsi="宋体"/>
                <w:color w:val="000000" w:themeColor="text1"/>
                <w:sz w:val="18"/>
                <w:szCs w:val="18"/>
                <w:lang w:val="de-DE"/>
                <w14:textFill>
                  <w14:solidFill>
                    <w14:schemeClr w14:val="tx1"/>
                  </w14:solidFill>
                </w14:textFill>
              </w:rPr>
              <w:t>提供元数据元素标准设定，元数据模板引用差异、元数据自动更新；实现批量设置数据项质量检测规则；</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16.</w:t>
            </w:r>
            <w:r>
              <w:rPr>
                <w:rFonts w:hint="eastAsia" w:ascii="宋体" w:hAnsi="宋体"/>
                <w:color w:val="000000" w:themeColor="text1"/>
                <w:sz w:val="18"/>
                <w:szCs w:val="18"/>
                <w:lang w:val="de-DE"/>
                <w14:textFill>
                  <w14:solidFill>
                    <w14:schemeClr w14:val="tx1"/>
                  </w14:solidFill>
                </w14:textFill>
              </w:rPr>
              <w:t>提供全业务域与实体数据库的审计，自动捕获差异信息，能实时与数据库进行交互监控，提供一键自动化处理差异能力；</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17.</w:t>
            </w:r>
            <w:r>
              <w:rPr>
                <w:rFonts w:hint="eastAsia" w:ascii="宋体" w:hAnsi="宋体"/>
                <w:color w:val="000000" w:themeColor="text1"/>
                <w:sz w:val="18"/>
                <w:szCs w:val="18"/>
                <w:lang w:val="de-DE"/>
                <w14:textFill>
                  <w14:solidFill>
                    <w14:schemeClr w14:val="tx1"/>
                  </w14:solidFill>
                </w14:textFill>
              </w:rPr>
              <w:t>提供元数据文档下载中心，全业务元数据报告计次下载。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val="de-DE"/>
                <w14:textFill>
                  <w14:solidFill>
                    <w14:schemeClr w14:val="tx1"/>
                  </w14:solidFill>
                </w14:textFill>
              </w:rPr>
              <w:t>1.4</w:t>
            </w:r>
            <w:r>
              <w:rPr>
                <w:rFonts w:hint="eastAsia" w:ascii="宋体" w:hAnsi="宋体"/>
                <w:color w:val="000000" w:themeColor="text1"/>
                <w:sz w:val="18"/>
                <w:szCs w:val="18"/>
                <w:lang w:val="de-DE"/>
                <w14:textFill>
                  <w14:solidFill>
                    <w14:schemeClr w14:val="tx1"/>
                  </w14:solidFill>
                </w14:textFill>
              </w:rPr>
              <w:t>数据管理</w:t>
            </w:r>
          </w:p>
        </w:tc>
        <w:tc>
          <w:tcPr>
            <w:tcW w:w="8284" w:type="dxa"/>
            <w:vAlign w:val="center"/>
          </w:tcPr>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w:t>
            </w:r>
            <w:r>
              <w:rPr>
                <w:rFonts w:hint="eastAsia" w:ascii="宋体" w:hAnsi="宋体"/>
                <w:color w:val="000000" w:themeColor="text1"/>
                <w:sz w:val="18"/>
                <w:szCs w:val="18"/>
                <w:lang w:val="de-DE"/>
                <w14:textFill>
                  <w14:solidFill>
                    <w14:schemeClr w14:val="tx1"/>
                  </w14:solidFill>
                </w14:textFill>
              </w:rPr>
              <w:t>提供完整历史数据切片留存和备份；</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w:t>
            </w:r>
            <w:r>
              <w:rPr>
                <w:rFonts w:hint="eastAsia" w:ascii="宋体" w:hAnsi="宋体"/>
                <w:color w:val="000000" w:themeColor="text1"/>
                <w:sz w:val="18"/>
                <w:szCs w:val="18"/>
                <w:lang w:val="de-DE"/>
                <w14:textFill>
                  <w14:solidFill>
                    <w14:schemeClr w14:val="tx1"/>
                  </w14:solidFill>
                </w14:textFill>
              </w:rPr>
              <w:t>提供数据生命周期链，以天为周期的自动化数据切片链，且必须充分自动化修复在非正常情况下（包括但不限于断电、网络异常）出现的备份中断的历史“时间链”；</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w:t>
            </w:r>
            <w:r>
              <w:rPr>
                <w:rFonts w:hint="eastAsia" w:ascii="宋体" w:hAnsi="宋体"/>
                <w:color w:val="000000" w:themeColor="text1"/>
                <w:sz w:val="18"/>
                <w:szCs w:val="18"/>
                <w:lang w:val="de-DE"/>
                <w14:textFill>
                  <w14:solidFill>
                    <w14:schemeClr w14:val="tx1"/>
                  </w14:solidFill>
                </w14:textFill>
              </w:rPr>
              <w:t>提供监控全业务数据范畴的活跃性，量化业务吞吐流量；</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r>
              <w:rPr>
                <w:rFonts w:hint="eastAsia" w:ascii="宋体" w:hAnsi="宋体"/>
                <w:color w:val="000000" w:themeColor="text1"/>
                <w:sz w:val="18"/>
                <w:szCs w:val="18"/>
                <w:lang w:val="de-DE"/>
                <w14:textFill>
                  <w14:solidFill>
                    <w14:schemeClr w14:val="tx1"/>
                  </w14:solidFill>
                </w14:textFill>
              </w:rPr>
              <w:t>提供数据变动情况统计查询、围绕数据动态时间事件轴；</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w:t>
            </w:r>
            <w:r>
              <w:rPr>
                <w:rFonts w:hint="eastAsia" w:ascii="宋体" w:hAnsi="宋体"/>
                <w:color w:val="000000" w:themeColor="text1"/>
                <w:sz w:val="18"/>
                <w:szCs w:val="18"/>
                <w:lang w:val="de-DE"/>
                <w14:textFill>
                  <w14:solidFill>
                    <w14:schemeClr w14:val="tx1"/>
                  </w14:solidFill>
                </w14:textFill>
              </w:rPr>
              <w:t>提供精准捕获数据片断全局快照与变更快照，能够在平台内查询并导出某个历史时间点的数据状况和代码标准情况以及变动明细情况,导出Excel供线下或其他分析使用；</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7.</w:t>
            </w:r>
            <w:r>
              <w:rPr>
                <w:rFonts w:hint="eastAsia" w:ascii="宋体" w:hAnsi="宋体"/>
                <w:color w:val="000000" w:themeColor="text1"/>
                <w:sz w:val="18"/>
                <w:szCs w:val="18"/>
                <w:lang w:val="de-DE"/>
                <w14:textFill>
                  <w14:solidFill>
                    <w14:schemeClr w14:val="tx1"/>
                  </w14:solidFill>
                </w14:textFill>
              </w:rPr>
              <w:t>提供历史数据黑名单和白名单两种机制，实现对需要进行历史归档的数据的掌控配置；</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8.</w:t>
            </w:r>
            <w:r>
              <w:rPr>
                <w:rFonts w:hint="eastAsia" w:ascii="宋体" w:hAnsi="宋体"/>
                <w:color w:val="000000" w:themeColor="text1"/>
                <w:sz w:val="18"/>
                <w:szCs w:val="18"/>
                <w:lang w:val="de-DE"/>
                <w14:textFill>
                  <w14:solidFill>
                    <w14:schemeClr w14:val="tx1"/>
                  </w14:solidFill>
                </w14:textFill>
              </w:rPr>
              <w:t>提供数据归档备份调度策略管理，提供备份任务执行的日志信息，对非正常情况下备份失败的数据进行日志查询；</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9.</w:t>
            </w:r>
            <w:r>
              <w:rPr>
                <w:rFonts w:hint="eastAsia" w:ascii="宋体" w:hAnsi="宋体"/>
                <w:color w:val="000000" w:themeColor="text1"/>
                <w:sz w:val="18"/>
                <w:szCs w:val="18"/>
                <w:lang w:val="de-DE"/>
                <w14:textFill>
                  <w14:solidFill>
                    <w14:schemeClr w14:val="tx1"/>
                  </w14:solidFill>
                </w14:textFill>
              </w:rPr>
              <w:t>提供在线对业务源头库、数据中心的查询能力，提供无限条件级联自定义查询；</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w:t>
            </w:r>
            <w:r>
              <w:rPr>
                <w:rFonts w:hint="eastAsia" w:ascii="宋体" w:hAnsi="宋体"/>
                <w:color w:val="000000" w:themeColor="text1"/>
                <w:sz w:val="18"/>
                <w:szCs w:val="18"/>
                <w:lang w:val="de-DE"/>
                <w14:textFill>
                  <w14:solidFill>
                    <w14:schemeClr w14:val="tx1"/>
                  </w14:solidFill>
                </w14:textFill>
              </w:rPr>
              <w:t>提供组装多表合并、关联的数据视图，并支持在线的视图明细查询、自定义高级过滤、一键式服务发布；</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11</w:t>
            </w:r>
            <w:r>
              <w:rPr>
                <w:rFonts w:hint="eastAsia" w:ascii="宋体" w:hAnsi="宋体"/>
                <w:color w:val="000000" w:themeColor="text1"/>
                <w:sz w:val="18"/>
                <w:szCs w:val="18"/>
                <w:lang w:val="de-DE"/>
                <w14:textFill>
                  <w14:solidFill>
                    <w14:schemeClr w14:val="tx1"/>
                  </w14:solidFill>
                </w14:textFill>
              </w:rPr>
              <w:t>提供数据资产盘点，提供可分级、分内容授权的单条数据记录的管理、包括查询、浏览、修改、删除以及批量的导入导出等在线日常作业；</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12.</w:t>
            </w:r>
            <w:r>
              <w:rPr>
                <w:rFonts w:hint="eastAsia" w:ascii="宋体" w:hAnsi="宋体"/>
                <w:color w:val="000000" w:themeColor="text1"/>
                <w:sz w:val="18"/>
                <w:szCs w:val="18"/>
                <w:lang w:val="de-DE"/>
                <w14:textFill>
                  <w14:solidFill>
                    <w14:schemeClr w14:val="tx1"/>
                  </w14:solidFill>
                </w14:textFill>
              </w:rPr>
              <w:t>提供数据代码字段的码值自动解析，能识别代码到名称的查询转化，以及名称到代码值的导入转换；</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13.</w:t>
            </w:r>
            <w:r>
              <w:rPr>
                <w:rFonts w:hint="eastAsia" w:ascii="宋体" w:hAnsi="宋体"/>
                <w:color w:val="000000" w:themeColor="text1"/>
                <w:sz w:val="18"/>
                <w:szCs w:val="18"/>
                <w:lang w:val="de-DE"/>
                <w14:textFill>
                  <w14:solidFill>
                    <w14:schemeClr w14:val="tx1"/>
                  </w14:solidFill>
                </w14:textFill>
              </w:rPr>
              <w:t>提供即席查询统计，提供可视化数据资产盘点清单、数据资产来源统计，可按需进行图形化的统计报表展示，不限于条形图、折线图、饼图、计数等，且须具备代码值与名称的转换能力；</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14.</w:t>
            </w:r>
            <w:r>
              <w:rPr>
                <w:rFonts w:hint="eastAsia" w:ascii="宋体" w:hAnsi="宋体"/>
                <w:color w:val="000000" w:themeColor="text1"/>
                <w:sz w:val="18"/>
                <w:szCs w:val="18"/>
                <w:lang w:val="de-DE"/>
                <w14:textFill>
                  <w14:solidFill>
                    <w14:schemeClr w14:val="tx1"/>
                  </w14:solidFill>
                </w14:textFill>
              </w:rPr>
              <w:t>提供数据自定义查询的一键收藏能力；</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15.</w:t>
            </w:r>
            <w:r>
              <w:rPr>
                <w:rFonts w:hint="eastAsia" w:ascii="宋体" w:hAnsi="宋体"/>
                <w:color w:val="000000" w:themeColor="text1"/>
                <w:sz w:val="18"/>
                <w:szCs w:val="18"/>
                <w:lang w:val="de-DE"/>
                <w14:textFill>
                  <w14:solidFill>
                    <w14:schemeClr w14:val="tx1"/>
                  </w14:solidFill>
                </w14:textFill>
              </w:rPr>
              <w:t>提供数据全文检索，提供面向全数据中心建设范畴为内容向导核心的全文检索引擎。全文检索功能的性能要求在亿级数据量单表查询返回时间小于3秒；</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16.</w:t>
            </w:r>
            <w:r>
              <w:rPr>
                <w:rFonts w:hint="eastAsia" w:ascii="宋体" w:hAnsi="宋体"/>
                <w:color w:val="000000" w:themeColor="text1"/>
                <w:sz w:val="18"/>
                <w:szCs w:val="18"/>
                <w:lang w:val="de-DE"/>
                <w14:textFill>
                  <w14:solidFill>
                    <w14:schemeClr w14:val="tx1"/>
                  </w14:solidFill>
                </w14:textFill>
              </w:rPr>
              <w:t>提供可分级、分内容授权的文件数据采集，通过离线数据导入导出完成数据采集和共享，指定格式数据文件（包括但不限于EXCEL、DBF、图片ZIP压缩包等）；</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17.</w:t>
            </w:r>
            <w:r>
              <w:rPr>
                <w:rFonts w:hint="eastAsia" w:ascii="宋体" w:hAnsi="宋体"/>
                <w:color w:val="000000" w:themeColor="text1"/>
                <w:sz w:val="18"/>
                <w:szCs w:val="18"/>
                <w:lang w:val="de-DE"/>
                <w14:textFill>
                  <w14:solidFill>
                    <w14:schemeClr w14:val="tx1"/>
                  </w14:solidFill>
                </w14:textFill>
              </w:rPr>
              <w:t>提供一页纸实时动态数据简报；</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18.</w:t>
            </w:r>
            <w:r>
              <w:rPr>
                <w:rFonts w:hint="eastAsia" w:ascii="宋体" w:hAnsi="宋体"/>
                <w:color w:val="000000" w:themeColor="text1"/>
                <w:sz w:val="18"/>
                <w:szCs w:val="18"/>
                <w:lang w:val="de-DE"/>
                <w14:textFill>
                  <w14:solidFill>
                    <w14:schemeClr w14:val="tx1"/>
                  </w14:solidFill>
                </w14:textFill>
              </w:rPr>
              <w:t>提供学校数据资产建设统计，可按业务追溯资源来源统计，以及数据近期的增减幅趋势；</w:t>
            </w:r>
          </w:p>
          <w:p>
            <w:pPr>
              <w:widowControl w:val="0"/>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19.</w:t>
            </w:r>
            <w:r>
              <w:rPr>
                <w:rFonts w:hint="eastAsia" w:ascii="宋体" w:hAnsi="宋体"/>
                <w:color w:val="000000" w:themeColor="text1"/>
                <w:sz w:val="18"/>
                <w:szCs w:val="18"/>
                <w:lang w:val="de-DE"/>
                <w14:textFill>
                  <w14:solidFill>
                    <w14:schemeClr w14:val="tx1"/>
                  </w14:solidFill>
                </w14:textFill>
              </w:rPr>
              <w:t>提供学校数据建设与参照数据标准管理子集规范的达成情况统计、明细、以及报告下载。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val="de-DE"/>
                <w14:textFill>
                  <w14:solidFill>
                    <w14:schemeClr w14:val="tx1"/>
                  </w14:solidFill>
                </w14:textFill>
              </w:rPr>
              <w:t>1.5</w:t>
            </w:r>
            <w:r>
              <w:rPr>
                <w:rFonts w:hint="eastAsia" w:ascii="宋体" w:hAnsi="宋体"/>
                <w:color w:val="000000" w:themeColor="text1"/>
                <w:sz w:val="18"/>
                <w:szCs w:val="18"/>
                <w:lang w:val="de-DE"/>
                <w14:textFill>
                  <w14:solidFill>
                    <w14:schemeClr w14:val="tx1"/>
                  </w14:solidFill>
                </w14:textFill>
              </w:rPr>
              <w:t>数据质量管理</w:t>
            </w:r>
          </w:p>
        </w:tc>
        <w:tc>
          <w:tcPr>
            <w:tcW w:w="8284" w:type="dxa"/>
            <w:vAlign w:val="bottom"/>
          </w:tcPr>
          <w:p>
            <w:pPr>
              <w:widowControl w:val="0"/>
              <w:numPr>
                <w:ilvl w:val="0"/>
                <w:numId w:val="6"/>
              </w:numPr>
              <w:spacing w:line="280" w:lineRule="exac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平台必须预置常用的质量规则模板，包括但不限于：空值检测、重复检测、不在代码表检测、日期格式检测、证件号格式检查、数值范围检测、全角半角检测、长度不合规检测等，并提供可扩展的自定义规则模板管理能力；</w:t>
            </w:r>
          </w:p>
          <w:p>
            <w:pPr>
              <w:widowControl w:val="0"/>
              <w:numPr>
                <w:ilvl w:val="0"/>
                <w:numId w:val="6"/>
              </w:numPr>
              <w:spacing w:line="200" w:lineRule="exac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提供自定义质量检测项管理和配置，提供新增、修改、删除等维护扩充功能，对数据进行业务检测项配置；</w:t>
            </w:r>
          </w:p>
          <w:p>
            <w:pPr>
              <w:widowControl w:val="0"/>
              <w:numPr>
                <w:ilvl w:val="0"/>
                <w:numId w:val="6"/>
              </w:numPr>
              <w:spacing w:line="280" w:lineRule="exac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提供自定义溯源质量报告推送，支持邮件、微信、站内消息等多种方式；</w:t>
            </w:r>
          </w:p>
          <w:p>
            <w:pPr>
              <w:widowControl w:val="0"/>
              <w:numPr>
                <w:ilvl w:val="0"/>
                <w:numId w:val="6"/>
              </w:numPr>
              <w:spacing w:line="280" w:lineRule="exac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提供全面的数据质量自动化检测，可按业务生成质量分析看板、明细清单，提供在线统计、明细查询以及报告下载；</w:t>
            </w:r>
          </w:p>
          <w:p>
            <w:pPr>
              <w:widowControl w:val="0"/>
              <w:numPr>
                <w:ilvl w:val="0"/>
                <w:numId w:val="6"/>
              </w:numPr>
              <w:spacing w:line="280" w:lineRule="exac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提供业务源头一键全库规则设置，实现业务库质量自扫描；</w:t>
            </w:r>
          </w:p>
          <w:p>
            <w:pPr>
              <w:widowControl w:val="0"/>
              <w:numPr>
                <w:ilvl w:val="0"/>
                <w:numId w:val="6"/>
              </w:numPr>
              <w:spacing w:line="280" w:lineRule="exac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支持业务库与标准库质量评估等级和得分、自定化形成全面的质量画像、质量五维分析、质量趋势跟踪；</w:t>
            </w:r>
          </w:p>
          <w:p>
            <w:pPr>
              <w:widowControl w:val="0"/>
              <w:numPr>
                <w:ilvl w:val="0"/>
                <w:numId w:val="6"/>
              </w:numPr>
              <w:spacing w:line="280" w:lineRule="exac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提供定期将数据质量问题分级别依照UC矩阵、溯源追踪统计分析质量情况；</w:t>
            </w:r>
          </w:p>
          <w:p>
            <w:pPr>
              <w:widowControl w:val="0"/>
              <w:numPr>
                <w:ilvl w:val="0"/>
                <w:numId w:val="6"/>
              </w:numPr>
              <w:spacing w:line="280" w:lineRule="exac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提供对质量问题数据进行自定义实时拦截下发，控制脏数据流入业务；</w:t>
            </w:r>
          </w:p>
          <w:p>
            <w:pPr>
              <w:widowControl w:val="0"/>
              <w:numPr>
                <w:ilvl w:val="0"/>
                <w:numId w:val="6"/>
              </w:numPr>
              <w:spacing w:line="280" w:lineRule="exac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支持溯源定向治理任务发布工单给数据生产者，提供数据治理OA工作台，实现流程化跟踪；</w:t>
            </w:r>
          </w:p>
          <w:p>
            <w:pPr>
              <w:widowControl w:val="0"/>
              <w:numPr>
                <w:ilvl w:val="0"/>
                <w:numId w:val="6"/>
              </w:numPr>
              <w:spacing w:line="280" w:lineRule="exac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对接数据应用，在线接收数据主题分析和师生数字应用的质量反馈、数据纠正消息跟踪，并进行线上诊断检测、以及消息推送治理作业流程和跟踪，提供统计和报告输出；同时可面向任何第三方提供质量反馈的接口，保障数据治理体系的完全开放化和全校覆盖化；</w:t>
            </w:r>
          </w:p>
          <w:p>
            <w:pPr>
              <w:widowControl w:val="0"/>
              <w:numPr>
                <w:ilvl w:val="0"/>
                <w:numId w:val="6"/>
              </w:numPr>
              <w:spacing w:line="280" w:lineRule="exac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提供自动生成WORD质量整体报告下载、以及EXCEL质量明细下载。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val="de-DE"/>
                <w14:textFill>
                  <w14:solidFill>
                    <w14:schemeClr w14:val="tx1"/>
                  </w14:solidFill>
                </w14:textFill>
              </w:rPr>
              <w:t>1.6</w:t>
            </w:r>
            <w:r>
              <w:rPr>
                <w:rFonts w:hint="eastAsia" w:ascii="宋体" w:hAnsi="宋体"/>
                <w:color w:val="000000" w:themeColor="text1"/>
                <w:sz w:val="18"/>
                <w:szCs w:val="18"/>
                <w:lang w:val="de-DE"/>
                <w14:textFill>
                  <w14:solidFill>
                    <w14:schemeClr w14:val="tx1"/>
                  </w14:solidFill>
                </w14:textFill>
              </w:rPr>
              <w:t>平台安全管理</w:t>
            </w:r>
          </w:p>
        </w:tc>
        <w:tc>
          <w:tcPr>
            <w:tcW w:w="8284" w:type="dxa"/>
            <w:vAlign w:val="center"/>
          </w:tcPr>
          <w:p>
            <w:pPr>
              <w:widowControl w:val="0"/>
              <w:numPr>
                <w:ilvl w:val="0"/>
                <w:numId w:val="7"/>
              </w:numPr>
              <w:spacing w:line="280" w:lineRule="exac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数据治理模块作为数据中台的核心和基础，从系统的整体功能考虑，需要满足信息系统安全等级保护三级及以上资质要求。</w:t>
            </w:r>
          </w:p>
          <w:p>
            <w:pPr>
              <w:widowControl w:val="0"/>
              <w:numPr>
                <w:ilvl w:val="0"/>
                <w:numId w:val="7"/>
              </w:numPr>
              <w:spacing w:line="280" w:lineRule="exac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提供常用的数据脱敏算法，为数据脱敏配置提供使用，包括但不限于手机号脱敏、身份证件号脱敏、姓氏脱敏、名字仿真等。且具备自定义扩展数据脱敏算法；</w:t>
            </w:r>
          </w:p>
          <w:p>
            <w:pPr>
              <w:widowControl w:val="0"/>
              <w:numPr>
                <w:ilvl w:val="0"/>
                <w:numId w:val="7"/>
              </w:numPr>
              <w:spacing w:line="280" w:lineRule="exac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提供自定义对数据进行脱敏项的配置，设置脱敏规则，可实现全局加密和精确加密的组合设置；</w:t>
            </w:r>
          </w:p>
          <w:p>
            <w:pPr>
              <w:widowControl w:val="0"/>
              <w:numPr>
                <w:ilvl w:val="0"/>
                <w:numId w:val="7"/>
              </w:numPr>
              <w:spacing w:line="280" w:lineRule="exac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提供脱敏任务调度策略管理，自动的对数据脱敏项进行脱敏,保留数据脱敏任务日志，并提供日志查询跟踪；</w:t>
            </w:r>
          </w:p>
          <w:p>
            <w:pPr>
              <w:widowControl w:val="0"/>
              <w:numPr>
                <w:ilvl w:val="0"/>
                <w:numId w:val="7"/>
              </w:numPr>
              <w:spacing w:line="280" w:lineRule="exac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提供在线进行脱敏数据的统计以及脱敏后数据的在线查询；</w:t>
            </w:r>
          </w:p>
          <w:p>
            <w:pPr>
              <w:widowControl w:val="0"/>
              <w:numPr>
                <w:ilvl w:val="0"/>
                <w:numId w:val="7"/>
              </w:numPr>
              <w:spacing w:line="280" w:lineRule="exac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提供动态即时数据加密，覆盖全平台面向业务输出控制数据加密安全；</w:t>
            </w:r>
          </w:p>
          <w:p>
            <w:pPr>
              <w:widowControl w:val="0"/>
              <w:numPr>
                <w:ilvl w:val="0"/>
                <w:numId w:val="7"/>
              </w:numPr>
              <w:spacing w:line="280" w:lineRule="exac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提供数据查询者解密申请，数据管理员审批下发密钥码，对密钥的有效期控制；提供数据安全下载中心，数据输出留痕；</w:t>
            </w:r>
          </w:p>
          <w:p>
            <w:pPr>
              <w:widowControl w:val="0"/>
              <w:numPr>
                <w:ilvl w:val="0"/>
                <w:numId w:val="7"/>
              </w:numPr>
              <w:spacing w:line="280" w:lineRule="exac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提供数据安全预警，自动识别全库敏感数据；</w:t>
            </w:r>
          </w:p>
          <w:p>
            <w:pPr>
              <w:widowControl w:val="0"/>
              <w:numPr>
                <w:ilvl w:val="0"/>
                <w:numId w:val="7"/>
              </w:numPr>
              <w:spacing w:line="280" w:lineRule="exac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提供单元格级别的数据权限精准控制；</w:t>
            </w:r>
          </w:p>
          <w:p>
            <w:pPr>
              <w:widowControl w:val="0"/>
              <w:numPr>
                <w:ilvl w:val="0"/>
                <w:numId w:val="7"/>
              </w:numPr>
              <w:spacing w:line="280" w:lineRule="exac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提供数据异动检测扫描预警，自定义识别数据篡改行为；</w:t>
            </w:r>
          </w:p>
          <w:p>
            <w:pPr>
              <w:widowControl w:val="0"/>
              <w:numPr>
                <w:ilvl w:val="0"/>
                <w:numId w:val="7"/>
              </w:numPr>
              <w:spacing w:line="280" w:lineRule="exac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提供平台下载的系统级图片的盲印添加，可对图片进行盲印显现检验；</w:t>
            </w:r>
          </w:p>
          <w:p>
            <w:pPr>
              <w:widowControl w:val="0"/>
              <w:numPr>
                <w:ilvl w:val="0"/>
                <w:numId w:val="7"/>
              </w:numPr>
              <w:spacing w:line="280" w:lineRule="exac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提供面向部门以及部门职务角色的数据字段列授权；面向人员身份的数据行授权，实现动态数据权限绑定；面向业务部门人员的数据行列交叉访问权限；</w:t>
            </w:r>
          </w:p>
          <w:p>
            <w:pPr>
              <w:widowControl w:val="0"/>
              <w:numPr>
                <w:ilvl w:val="0"/>
                <w:numId w:val="7"/>
              </w:numPr>
              <w:spacing w:line="280" w:lineRule="exac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提供数据标签库，可指定满足任意组合的数据识别规则以及数据采样条数，可手动打标和自动计算打标；</w:t>
            </w:r>
          </w:p>
          <w:p>
            <w:pPr>
              <w:widowControl w:val="0"/>
              <w:numPr>
                <w:ilvl w:val="0"/>
                <w:numId w:val="7"/>
              </w:numPr>
              <w:spacing w:line="280" w:lineRule="exac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提供数据级别标准、敏感等级、价值等级的定义，可按照数据安全的定义分别进行不少于5级的等级定义；</w:t>
            </w:r>
          </w:p>
          <w:p>
            <w:pPr>
              <w:widowControl w:val="0"/>
              <w:numPr>
                <w:ilvl w:val="0"/>
                <w:numId w:val="7"/>
              </w:numPr>
              <w:spacing w:line="280" w:lineRule="exac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提供数据分类定级，可按照数据安全指导进行自定义分类，以及数据项的定级；支持根据数据识别出来的标签数据进行快速定级分类；</w:t>
            </w:r>
          </w:p>
          <w:p>
            <w:pPr>
              <w:widowControl w:val="0"/>
              <w:numPr>
                <w:ilvl w:val="0"/>
                <w:numId w:val="7"/>
              </w:numPr>
              <w:spacing w:line="280" w:lineRule="exac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提供数据安全分类定级统计及分析，可进行数据在各个业务系统、业务部门、数据域下的数据安全等级分类的统计分析；</w:t>
            </w:r>
          </w:p>
          <w:p>
            <w:pPr>
              <w:widowControl w:val="0"/>
              <w:numPr>
                <w:ilvl w:val="0"/>
                <w:numId w:val="7"/>
              </w:numPr>
              <w:spacing w:line="280" w:lineRule="exac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根据学校数据安全分类定级自动生成并提供学校数据分类定级标准在线阅览目录清单的下载。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val="de-DE"/>
                <w14:textFill>
                  <w14:solidFill>
                    <w14:schemeClr w14:val="tx1"/>
                  </w14:solidFill>
                </w14:textFill>
              </w:rPr>
              <w:t>1.7</w:t>
            </w:r>
            <w:r>
              <w:rPr>
                <w:rFonts w:hint="eastAsia" w:ascii="宋体" w:hAnsi="宋体"/>
                <w:color w:val="000000" w:themeColor="text1"/>
                <w:sz w:val="18"/>
                <w:szCs w:val="18"/>
                <w:lang w:val="de-DE"/>
                <w14:textFill>
                  <w14:solidFill>
                    <w14:schemeClr w14:val="tx1"/>
                  </w14:solidFill>
                </w14:textFill>
              </w:rPr>
              <w:t>监控中心</w:t>
            </w:r>
          </w:p>
        </w:tc>
        <w:tc>
          <w:tcPr>
            <w:tcW w:w="8284" w:type="dxa"/>
            <w:vAlign w:val="center"/>
          </w:tcPr>
          <w:p>
            <w:pPr>
              <w:widowControl w:val="0"/>
              <w:numPr>
                <w:ilvl w:val="0"/>
                <w:numId w:val="8"/>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提供平台运行概况的展示，包含但不限于标准建设度、数据集成异常动态、代码差异统计动态、数据质量统计动态、以及数据库联动监控等；</w:t>
            </w:r>
          </w:p>
          <w:p>
            <w:pPr>
              <w:widowControl w:val="0"/>
              <w:numPr>
                <w:ilvl w:val="0"/>
                <w:numId w:val="8"/>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提供集成代理、任务性能监控，集成次数、成功失败次数，集成耗时TOP排名、失败次数TOP排名；</w:t>
            </w:r>
          </w:p>
          <w:p>
            <w:pPr>
              <w:widowControl w:val="0"/>
              <w:numPr>
                <w:ilvl w:val="0"/>
                <w:numId w:val="8"/>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提供数据集成实时监控，监控数据接口集成概况、任务代理运行情况、集成接口性能及出错情况、接口日志等信息；</w:t>
            </w:r>
          </w:p>
          <w:p>
            <w:pPr>
              <w:widowControl w:val="0"/>
              <w:numPr>
                <w:ilvl w:val="0"/>
                <w:numId w:val="8"/>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提供数据血缘分析，提供数据外部关联关系的图形化展现，动态展现数据集成的实际流向及来龙去脉，血缘图需定位字段级血缘信息展示；</w:t>
            </w:r>
          </w:p>
          <w:p>
            <w:pPr>
              <w:widowControl w:val="0"/>
              <w:numPr>
                <w:ilvl w:val="0"/>
                <w:numId w:val="8"/>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提供底层数据库存储消耗、数据资产占数据库存储比例、单表数据存储大小TOP排名等资源监控；</w:t>
            </w:r>
          </w:p>
          <w:p>
            <w:pPr>
              <w:widowControl w:val="0"/>
              <w:numPr>
                <w:ilvl w:val="0"/>
                <w:numId w:val="8"/>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提供数据集成运行监控消息预警，定时邮件推送集成实况、统计、运行失败接口清单等关键信息；</w:t>
            </w:r>
          </w:p>
          <w:p>
            <w:pPr>
              <w:widowControl w:val="0"/>
              <w:numPr>
                <w:ilvl w:val="0"/>
                <w:numId w:val="8"/>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提供第三方数据集成监管的能力，不限制接管节点数。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val="de-DE"/>
                <w14:textFill>
                  <w14:solidFill>
                    <w14:schemeClr w14:val="tx1"/>
                  </w14:solidFill>
                </w14:textFill>
              </w:rPr>
              <w:t>1.8</w:t>
            </w:r>
            <w:r>
              <w:rPr>
                <w:rFonts w:hint="eastAsia" w:ascii="宋体" w:hAnsi="宋体"/>
                <w:color w:val="000000" w:themeColor="text1"/>
                <w:sz w:val="18"/>
                <w:szCs w:val="18"/>
                <w:lang w:val="de-DE"/>
                <w14:textFill>
                  <w14:solidFill>
                    <w14:schemeClr w14:val="tx1"/>
                  </w14:solidFill>
                </w14:textFill>
              </w:rPr>
              <w:t>实施平台</w:t>
            </w:r>
          </w:p>
        </w:tc>
        <w:tc>
          <w:tcPr>
            <w:tcW w:w="8284" w:type="dxa"/>
            <w:vAlign w:val="center"/>
          </w:tcPr>
          <w:p>
            <w:pPr>
              <w:widowControl w:val="0"/>
              <w:numPr>
                <w:ilvl w:val="0"/>
                <w:numId w:val="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数据调研：提供线上数据调研工具，根据标准数据调研表，按照学校实际业务场景进行定制化数据调研，数据调研表可以留存，可以实现历史版本化管理，作为数据血缘的线下依据。同时数据调研支持Excel数据导入，数据调研结果能够直接转化为数据ETL接口，一步实现无编码数据集成，避免重复劳动，大大提高工作效率；</w:t>
            </w:r>
          </w:p>
          <w:p>
            <w:pPr>
              <w:widowControl w:val="0"/>
              <w:numPr>
                <w:ilvl w:val="0"/>
                <w:numId w:val="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异动数据监测：具备数据自动化标签处理的能力，基于该数据标签自动完成数据异常变化的筛查，用于自动化捕获数据恶意篡改的行为，为数据管理员提供异常数据变化的提醒，并能够针对异常变化及时溯源；</w:t>
            </w:r>
          </w:p>
          <w:p>
            <w:pPr>
              <w:widowControl w:val="0"/>
              <w:numPr>
                <w:ilvl w:val="0"/>
                <w:numId w:val="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场景化数据治理报告：满足不同场景的配置化作业，实现以一个业务场景及需求为核心的相关数据的数据集成、代码使用、数据质量、数据安全、数据历史完整性、数据建设情况等全局范畴的图文并茂的自动化数据报告，同时也可以分部门、分数据源进行数据评估报告的输出；</w:t>
            </w:r>
          </w:p>
          <w:p>
            <w:pPr>
              <w:widowControl w:val="0"/>
              <w:numPr>
                <w:ilvl w:val="0"/>
                <w:numId w:val="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实施文档在线输出：在线输出数据平台建设过程中各范畴包含的数据报告，满足动态实时生成 WORD 文档，包含：数据模式设计标准、代码标准编码规范、数据流程规范、业务系统元数据报告、数据资产盘点报告、数据服务输出报告、业务系统集成实施报告、数据治理实施报告、数据脱敏实施报告等；</w:t>
            </w:r>
          </w:p>
          <w:p>
            <w:pPr>
              <w:widowControl w:val="0"/>
              <w:numPr>
                <w:ilvl w:val="0"/>
                <w:numId w:val="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组织机构管理：提供组织机构代码模型结构的自定义扩展，可进行平台与数据库级的实时联动宽表扩展；</w:t>
            </w:r>
          </w:p>
          <w:p>
            <w:pPr>
              <w:widowControl w:val="0"/>
              <w:numPr>
                <w:ilvl w:val="0"/>
                <w:numId w:val="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提供组织机构线上自定义编码，支持可始化业务码、占位码、流水码的无限级编码组，可自动同步输出图例码；</w:t>
            </w:r>
          </w:p>
          <w:p>
            <w:pPr>
              <w:widowControl w:val="0"/>
              <w:numPr>
                <w:ilvl w:val="0"/>
                <w:numId w:val="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提供与数据治理打通，自动化校验捕获编码违规数据；</w:t>
            </w:r>
          </w:p>
          <w:p>
            <w:pPr>
              <w:widowControl w:val="0"/>
              <w:numPr>
                <w:ilvl w:val="0"/>
                <w:numId w:val="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提供组织机构代码在线新增、维护、拆分、合并、变更、启停用等作业方式，以及批量化导入导出管理，组织机构代码可定义无限层级关系；</w:t>
            </w:r>
          </w:p>
          <w:p>
            <w:pPr>
              <w:widowControl w:val="0"/>
              <w:numPr>
                <w:ilvl w:val="0"/>
                <w:numId w:val="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提供组织机构人员挂靠线上管理；</w:t>
            </w:r>
          </w:p>
          <w:p>
            <w:pPr>
              <w:widowControl w:val="0"/>
              <w:numPr>
                <w:ilvl w:val="0"/>
                <w:numId w:val="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提供二维码下发组织机构人员挂靠采集代办；</w:t>
            </w:r>
          </w:p>
          <w:p>
            <w:pPr>
              <w:widowControl w:val="0"/>
              <w:numPr>
                <w:ilvl w:val="0"/>
                <w:numId w:val="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提供校级组织机构目录二维码共享；</w:t>
            </w:r>
          </w:p>
          <w:p>
            <w:pPr>
              <w:widowControl w:val="0"/>
              <w:numPr>
                <w:ilvl w:val="0"/>
                <w:numId w:val="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提供组织机构自定义业务场景使用子集码，可扩展任意组成的新组织机构码，并提供API开放通道，提供实时机构码与人员所属；</w:t>
            </w:r>
          </w:p>
          <w:p>
            <w:pPr>
              <w:widowControl w:val="0"/>
              <w:numPr>
                <w:ilvl w:val="0"/>
                <w:numId w:val="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消息中心：提供平台实施、治理过程重要消息推送；</w:t>
            </w:r>
          </w:p>
          <w:p>
            <w:pPr>
              <w:widowControl w:val="0"/>
              <w:numPr>
                <w:ilvl w:val="0"/>
                <w:numId w:val="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提供平台任务待办消息推送，可包含：调研任务、审批任务、治理工单等；</w:t>
            </w:r>
          </w:p>
          <w:p>
            <w:pPr>
              <w:widowControl w:val="0"/>
              <w:numPr>
                <w:ilvl w:val="0"/>
                <w:numId w:val="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执行消息已读标识，可批量设置已读；</w:t>
            </w:r>
          </w:p>
          <w:p>
            <w:pPr>
              <w:widowControl w:val="0"/>
              <w:numPr>
                <w:ilvl w:val="0"/>
                <w:numId w:val="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提供平台级日志跟踪、服务器启停动作、人员访问跟踪统计、平台操作跟踪。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val="de-DE"/>
                <w14:textFill>
                  <w14:solidFill>
                    <w14:schemeClr w14:val="tx1"/>
                  </w14:solidFill>
                </w14:textFill>
              </w:rPr>
              <w:t>1.9</w:t>
            </w:r>
            <w:r>
              <w:rPr>
                <w:rFonts w:hint="eastAsia" w:ascii="宋体" w:hAnsi="宋体"/>
                <w:color w:val="000000" w:themeColor="text1"/>
                <w:sz w:val="18"/>
                <w:szCs w:val="18"/>
                <w:lang w:val="de-DE"/>
                <w14:textFill>
                  <w14:solidFill>
                    <w14:schemeClr w14:val="tx1"/>
                  </w14:solidFill>
                </w14:textFill>
              </w:rPr>
              <w:t>移动管理中心</w:t>
            </w:r>
          </w:p>
        </w:tc>
        <w:tc>
          <w:tcPr>
            <w:tcW w:w="8284" w:type="dxa"/>
            <w:vAlign w:val="center"/>
          </w:tcPr>
          <w:p>
            <w:pPr>
              <w:widowControl w:val="0"/>
              <w:numPr>
                <w:ilvl w:val="0"/>
                <w:numId w:val="10"/>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须提供独立的移动端WEB应用，实现平台监控管理的移动化；</w:t>
            </w:r>
          </w:p>
          <w:p>
            <w:pPr>
              <w:widowControl w:val="0"/>
              <w:numPr>
                <w:ilvl w:val="0"/>
                <w:numId w:val="10"/>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提供移动监测全业务覆盖业务，包含数据治理平台所涵盖的建设范畴，提供不少于10个移动监控“小程序”；</w:t>
            </w:r>
          </w:p>
          <w:p>
            <w:pPr>
              <w:widowControl w:val="0"/>
              <w:numPr>
                <w:ilvl w:val="0"/>
                <w:numId w:val="10"/>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提供个性化个人移动客户端首页，通过自定义菜单重组“首页桌面”；</w:t>
            </w:r>
          </w:p>
          <w:p>
            <w:pPr>
              <w:widowControl w:val="0"/>
              <w:numPr>
                <w:ilvl w:val="0"/>
                <w:numId w:val="10"/>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提供日常对学校数据建设进程的数据资产查询统计，以及常规提醒、服务启停、异常处理等突发情况的管理操作。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restart"/>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b/>
                <w:bCs/>
                <w:color w:val="000000" w:themeColor="text1"/>
                <w:sz w:val="18"/>
                <w:szCs w:val="18"/>
                <w:lang w:val="de-DE"/>
                <w14:textFill>
                  <w14:solidFill>
                    <w14:schemeClr w14:val="tx1"/>
                  </w14:solidFill>
                </w14:textFill>
              </w:rPr>
              <w:t>2</w:t>
            </w:r>
            <w:r>
              <w:rPr>
                <w:rFonts w:hint="eastAsia" w:ascii="宋体" w:hAnsi="宋体"/>
                <w:b/>
                <w:bCs/>
                <w:color w:val="000000" w:themeColor="text1"/>
                <w:sz w:val="18"/>
                <w:szCs w:val="18"/>
                <w:lang w:val="de-DE"/>
                <w14:textFill>
                  <w14:solidFill>
                    <w14:schemeClr w14:val="tx1"/>
                  </w14:solidFill>
                </w14:textFill>
              </w:rPr>
              <w:t>.数据开放平台</w:t>
            </w: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val="de-DE"/>
                <w14:textFill>
                  <w14:solidFill>
                    <w14:schemeClr w14:val="tx1"/>
                  </w14:solidFill>
                </w14:textFill>
              </w:rPr>
              <w:t>2.1</w:t>
            </w:r>
            <w:r>
              <w:rPr>
                <w:rFonts w:hint="eastAsia" w:ascii="宋体" w:hAnsi="宋体"/>
                <w:color w:val="000000" w:themeColor="text1"/>
                <w:sz w:val="18"/>
                <w:szCs w:val="18"/>
                <w:lang w:val="de-DE"/>
                <w14:textFill>
                  <w14:solidFill>
                    <w14:schemeClr w14:val="tx1"/>
                  </w14:solidFill>
                </w14:textFill>
              </w:rPr>
              <w:t>接口管理与发布</w:t>
            </w:r>
          </w:p>
        </w:tc>
        <w:tc>
          <w:tcPr>
            <w:tcW w:w="8284" w:type="dxa"/>
          </w:tcPr>
          <w:p>
            <w:pPr>
              <w:widowControl w:val="0"/>
              <w:numPr>
                <w:ilvl w:val="0"/>
                <w:numId w:val="11"/>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根据学校数据交换实际需求，完成用于数据交换的中间库建设；</w:t>
            </w:r>
          </w:p>
          <w:p>
            <w:pPr>
              <w:widowControl w:val="0"/>
              <w:numPr>
                <w:ilvl w:val="0"/>
                <w:numId w:val="11"/>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提供对接学校数据中心、业务系统库，将不同类别数据源以统一的API接口方式对外开放使用，发布的接口类型包含但不限WSDL、REST、文本文件、应用分析等类型；</w:t>
            </w:r>
          </w:p>
          <w:p>
            <w:pPr>
              <w:widowControl w:val="0"/>
              <w:numPr>
                <w:ilvl w:val="0"/>
                <w:numId w:val="11"/>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★具备自动对接可视化平台，实行应用分析API接口的开放能力，管理员在线进行接入后发布于服务市场对外开放；</w:t>
            </w:r>
          </w:p>
          <w:p>
            <w:pPr>
              <w:widowControl w:val="0"/>
              <w:numPr>
                <w:ilvl w:val="0"/>
                <w:numId w:val="11"/>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集成、发布、管理外部数据接口，可自定义服务名称、图标、说明、开发文档、服务提供商、服务提供者、提供者邮箱等；如ROMA数据接口、业务系统自带API等多类型接口，进行二次API封装发布、申请、审批流程；</w:t>
            </w:r>
          </w:p>
          <w:p>
            <w:pPr>
              <w:widowControl w:val="0"/>
              <w:numPr>
                <w:ilvl w:val="0"/>
                <w:numId w:val="11"/>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图形界面发布单表或多表组合构建数据API，单表模式支持自动读取及生成数据源中表或视图信息，多表模式支持图形化可拖拽表间关系，可筛选字段进行封装数据接口；支持识别代码字段代码值转中文名，以及动态入参；</w:t>
            </w:r>
          </w:p>
          <w:p>
            <w:pPr>
              <w:widowControl w:val="0"/>
              <w:numPr>
                <w:ilvl w:val="0"/>
                <w:numId w:val="11"/>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提供API接口自定义返回数据的类型（JSON、XML）以及返回数据的组成格式。</w:t>
            </w:r>
          </w:p>
          <w:p>
            <w:pPr>
              <w:widowControl w:val="0"/>
              <w:numPr>
                <w:ilvl w:val="0"/>
                <w:numId w:val="11"/>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支持自定义SQL编制发布数据API；</w:t>
            </w:r>
          </w:p>
          <w:p>
            <w:pPr>
              <w:widowControl w:val="0"/>
              <w:numPr>
                <w:ilvl w:val="0"/>
                <w:numId w:val="11"/>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提供管理员可对发布的接口进行自定义管理，包括：查询、修改、删除、测试、上线、下线、启用、停用等；</w:t>
            </w:r>
          </w:p>
          <w:p>
            <w:pPr>
              <w:widowControl w:val="0"/>
              <w:numPr>
                <w:ilvl w:val="0"/>
                <w:numId w:val="11"/>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提供管理员对接口进行免申请归类设置；</w:t>
            </w:r>
          </w:p>
          <w:p>
            <w:pPr>
              <w:widowControl w:val="0"/>
              <w:numPr>
                <w:ilvl w:val="0"/>
                <w:numId w:val="11"/>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接口标签化管理，实现接口的分类、结构化目录，快速检索服务。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val="de-DE"/>
                <w14:textFill>
                  <w14:solidFill>
                    <w14:schemeClr w14:val="tx1"/>
                  </w14:solidFill>
                </w14:textFill>
              </w:rPr>
              <w:t>2</w:t>
            </w:r>
            <w:r>
              <w:rPr>
                <w:rFonts w:hint="eastAsia" w:ascii="宋体" w:hAnsi="宋体"/>
                <w:color w:val="000000" w:themeColor="text1"/>
                <w:sz w:val="18"/>
                <w:szCs w:val="18"/>
                <w:lang w:val="de-DE"/>
                <w14:textFill>
                  <w14:solidFill>
                    <w14:schemeClr w14:val="tx1"/>
                  </w14:solidFill>
                </w14:textFill>
              </w:rPr>
              <w:t>.</w:t>
            </w:r>
            <w:r>
              <w:rPr>
                <w:rFonts w:ascii="宋体" w:hAnsi="宋体"/>
                <w:color w:val="000000" w:themeColor="text1"/>
                <w:sz w:val="18"/>
                <w:szCs w:val="18"/>
                <w:lang w:val="de-DE"/>
                <w14:textFill>
                  <w14:solidFill>
                    <w14:schemeClr w14:val="tx1"/>
                  </w14:solidFill>
                </w14:textFill>
              </w:rPr>
              <w:t>2</w:t>
            </w:r>
            <w:r>
              <w:rPr>
                <w:rFonts w:hint="eastAsia" w:ascii="宋体" w:hAnsi="宋体"/>
                <w:color w:val="000000" w:themeColor="text1"/>
                <w:sz w:val="18"/>
                <w:szCs w:val="18"/>
                <w:lang w:val="de-DE"/>
                <w14:textFill>
                  <w14:solidFill>
                    <w14:schemeClr w14:val="tx1"/>
                  </w14:solidFill>
                </w14:textFill>
              </w:rPr>
              <w:t>接口数据申请</w:t>
            </w:r>
          </w:p>
        </w:tc>
        <w:tc>
          <w:tcPr>
            <w:tcW w:w="8284" w:type="dxa"/>
          </w:tcPr>
          <w:p>
            <w:pPr>
              <w:widowControl w:val="0"/>
              <w:numPr>
                <w:ilvl w:val="0"/>
                <w:numId w:val="1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提供多种数据接口供应的方式，包括数据市场API接口、自定义接口、数据库直连视图等申请；</w:t>
            </w:r>
          </w:p>
          <w:p>
            <w:pPr>
              <w:widowControl w:val="0"/>
              <w:numPr>
                <w:ilvl w:val="0"/>
                <w:numId w:val="1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可以通过在线授权、申请的方式，向应用程序开放特定的API；</w:t>
            </w:r>
          </w:p>
          <w:p>
            <w:pPr>
              <w:widowControl w:val="0"/>
              <w:numPr>
                <w:ilvl w:val="0"/>
                <w:numId w:val="1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接口申请可以按照“类型”、“分类”、“来源”等多个维度进行筛选，同时支持关键字模糊查询；</w:t>
            </w:r>
          </w:p>
          <w:p>
            <w:pPr>
              <w:widowControl w:val="0"/>
              <w:numPr>
                <w:ilvl w:val="0"/>
                <w:numId w:val="1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平台提供服务市场，开发者可以进行API关注、API在线查看、API在线使用测试、API在线申请；</w:t>
            </w:r>
          </w:p>
          <w:p>
            <w:pPr>
              <w:widowControl w:val="0"/>
              <w:numPr>
                <w:ilvl w:val="0"/>
                <w:numId w:val="1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★提供自助式API图形化配置申请，零代码免开发组建单表或多表关联数据集、自选字段、代码字段中文名自转化、以及动态入参，管理员和部门联合审批、授权、加密的一站式流程；</w:t>
            </w:r>
          </w:p>
          <w:p>
            <w:pPr>
              <w:widowControl w:val="0"/>
              <w:numPr>
                <w:ilvl w:val="0"/>
                <w:numId w:val="1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★提供中间库直连的数据视图在线申请，在线进行单表或多表关联拖拽，勾选字段申请数据，管理员审核获取数据库连接访问密钥和视图查询权限；</w:t>
            </w:r>
          </w:p>
          <w:p>
            <w:pPr>
              <w:widowControl w:val="0"/>
              <w:numPr>
                <w:ilvl w:val="0"/>
                <w:numId w:val="1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提供在线数据查询能力的申请，可通过可视化配置，选择元数据申请个人查询数据；</w:t>
            </w:r>
          </w:p>
          <w:p>
            <w:pPr>
              <w:widowControl w:val="0"/>
              <w:numPr>
                <w:ilvl w:val="0"/>
                <w:numId w:val="1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提供申请流程断点续接的能力，提供永久性未完成申请记忆；</w:t>
            </w:r>
          </w:p>
          <w:p>
            <w:pPr>
              <w:widowControl w:val="0"/>
              <w:numPr>
                <w:ilvl w:val="0"/>
                <w:numId w:val="1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提供已申请API的字段增补申请，新增字段审批流程与原API使用双线并行。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val="de-DE"/>
                <w14:textFill>
                  <w14:solidFill>
                    <w14:schemeClr w14:val="tx1"/>
                  </w14:solidFill>
                </w14:textFill>
              </w:rPr>
              <w:t>2.3</w:t>
            </w:r>
            <w:r>
              <w:rPr>
                <w:rFonts w:hint="eastAsia" w:ascii="宋体" w:hAnsi="宋体"/>
                <w:color w:val="000000" w:themeColor="text1"/>
                <w:sz w:val="18"/>
                <w:szCs w:val="18"/>
                <w:lang w:val="de-DE"/>
                <w14:textFill>
                  <w14:solidFill>
                    <w14:schemeClr w14:val="tx1"/>
                  </w14:solidFill>
                </w14:textFill>
              </w:rPr>
              <w:t>接口审核管理</w:t>
            </w:r>
          </w:p>
        </w:tc>
        <w:tc>
          <w:tcPr>
            <w:tcW w:w="8284" w:type="dxa"/>
          </w:tcPr>
          <w:p>
            <w:pPr>
              <w:widowControl w:val="0"/>
              <w:numPr>
                <w:ilvl w:val="0"/>
                <w:numId w:val="1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接口审核包括“API接口申请”、 “自助API申请”、 “中间库视图申请” 和“数据查询授权”，审核流程可按申请接口的字段属性，自动关联业务权威源责任人进行多部门联合审核；</w:t>
            </w:r>
          </w:p>
          <w:p>
            <w:pPr>
              <w:widowControl w:val="0"/>
              <w:numPr>
                <w:ilvl w:val="0"/>
                <w:numId w:val="1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提供API调用规则限制的自定义，提供API安全限制功能，支持API接口的访问控制列表、访问次数限制、调用频率限制、可设置限制访问的IP地址白名单、调用频率（支持按分、时、日、月、年设定访问次数）等；</w:t>
            </w:r>
          </w:p>
          <w:p>
            <w:pPr>
              <w:widowControl w:val="0"/>
              <w:numPr>
                <w:ilvl w:val="0"/>
                <w:numId w:val="1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★提供向数据库视图申请进行授权账号密码、使用有效期、连接客户端的IP控制；</w:t>
            </w:r>
          </w:p>
          <w:p>
            <w:pPr>
              <w:widowControl w:val="0"/>
              <w:numPr>
                <w:ilvl w:val="0"/>
                <w:numId w:val="1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提供管理者按照字段级别选择字段授权、加密、审批通过或拒绝，审批结果可在线查看；</w:t>
            </w:r>
          </w:p>
          <w:p>
            <w:pPr>
              <w:widowControl w:val="0"/>
              <w:numPr>
                <w:ilvl w:val="0"/>
                <w:numId w:val="1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提供管理者对申请进行回收权限或者修改授权，进行授权终止或授权矫正控制；</w:t>
            </w:r>
          </w:p>
          <w:p>
            <w:pPr>
              <w:widowControl w:val="0"/>
              <w:numPr>
                <w:ilvl w:val="0"/>
                <w:numId w:val="1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提供在线接口审批流程节点的流转状态流程图查询；</w:t>
            </w:r>
          </w:p>
          <w:p>
            <w:pPr>
              <w:widowControl w:val="0"/>
              <w:numPr>
                <w:ilvl w:val="0"/>
                <w:numId w:val="1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提供数据在线查询使用审批，可赋予权限线上查询数据，并可随时终止授权；</w:t>
            </w:r>
          </w:p>
          <w:p>
            <w:pPr>
              <w:widowControl w:val="0"/>
              <w:numPr>
                <w:ilvl w:val="0"/>
                <w:numId w:val="1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提供接口审核二次增补审批流程。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val="de-DE"/>
                <w14:textFill>
                  <w14:solidFill>
                    <w14:schemeClr w14:val="tx1"/>
                  </w14:solidFill>
                </w14:textFill>
              </w:rPr>
              <w:t>2.4</w:t>
            </w:r>
            <w:r>
              <w:rPr>
                <w:rFonts w:hint="eastAsia" w:ascii="宋体" w:hAnsi="宋体"/>
                <w:color w:val="000000" w:themeColor="text1"/>
                <w:sz w:val="18"/>
                <w:szCs w:val="18"/>
                <w:lang w:val="de-DE"/>
                <w14:textFill>
                  <w14:solidFill>
                    <w14:schemeClr w14:val="tx1"/>
                  </w14:solidFill>
                </w14:textFill>
              </w:rPr>
              <w:t>接口运行监控</w:t>
            </w:r>
          </w:p>
        </w:tc>
        <w:tc>
          <w:tcPr>
            <w:tcW w:w="8284" w:type="dxa"/>
          </w:tcPr>
          <w:p>
            <w:pPr>
              <w:widowControl w:val="0"/>
              <w:numPr>
                <w:ilvl w:val="0"/>
                <w:numId w:val="1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提供平台对开发者应用的状态、使用部门、申请接口、调用接口的统计监控；</w:t>
            </w:r>
          </w:p>
          <w:p>
            <w:pPr>
              <w:widowControl w:val="0"/>
              <w:numPr>
                <w:ilvl w:val="0"/>
                <w:numId w:val="1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提供管理员对开发者应用进行批量下线、上线控制，下线应用可中断API的使用权限；</w:t>
            </w:r>
          </w:p>
          <w:p>
            <w:pPr>
              <w:widowControl w:val="0"/>
              <w:numPr>
                <w:ilvl w:val="0"/>
                <w:numId w:val="1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提供批量下载应用申请的API，可线下进行共享使用；</w:t>
            </w:r>
          </w:p>
          <w:p>
            <w:pPr>
              <w:widowControl w:val="0"/>
              <w:numPr>
                <w:ilvl w:val="0"/>
                <w:numId w:val="1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提供接口运行控制，可识别僵尸接口、错误接口等不同状态并查询过滤，同时具备对接口的启用（上架）、停用（下架）管理，满足日常人工安全干涉操作；</w:t>
            </w:r>
          </w:p>
          <w:p>
            <w:pPr>
              <w:widowControl w:val="0"/>
              <w:numPr>
                <w:ilvl w:val="0"/>
                <w:numId w:val="1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提供接口调用活跃性统计，可提供按不同周期、接口范围、对接应用等维度进行调用趋势、调用状态、调用总数、调用成功总数、调用失败总数、调用异常率等分析统计报表，以及调用清单；</w:t>
            </w:r>
          </w:p>
          <w:p>
            <w:pPr>
              <w:widowControl w:val="0"/>
              <w:numPr>
                <w:ilvl w:val="0"/>
                <w:numId w:val="1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提供接口按不同日期、接口范围、对接应用等维度进行详细调用日志查询。调用日志信息包括调用应用、调用IP、调用状态、异常信息、请求参数、影响时长、调用开始时间、调用结束时间等；</w:t>
            </w:r>
          </w:p>
          <w:p>
            <w:pPr>
              <w:widowControl w:val="0"/>
              <w:numPr>
                <w:ilvl w:val="0"/>
                <w:numId w:val="1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提供接口监测预警，在线接口的智能化扫描、定时检测服务调用日志，面向服务提供商、应用接入商可自定义预警异常范围，提供预警推送。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val="de-DE"/>
                <w14:textFill>
                  <w14:solidFill>
                    <w14:schemeClr w14:val="tx1"/>
                  </w14:solidFill>
                </w14:textFill>
              </w:rPr>
              <w:t>2.5</w:t>
            </w:r>
            <w:r>
              <w:rPr>
                <w:rFonts w:hint="eastAsia" w:ascii="宋体" w:hAnsi="宋体"/>
                <w:color w:val="000000" w:themeColor="text1"/>
                <w:sz w:val="18"/>
                <w:szCs w:val="18"/>
                <w:lang w:val="de-DE"/>
                <w14:textFill>
                  <w14:solidFill>
                    <w14:schemeClr w14:val="tx1"/>
                  </w14:solidFill>
                </w14:textFill>
              </w:rPr>
              <w:t>开发者中心</w:t>
            </w:r>
          </w:p>
        </w:tc>
        <w:tc>
          <w:tcPr>
            <w:tcW w:w="8284" w:type="dxa"/>
          </w:tcPr>
          <w:p>
            <w:pPr>
              <w:widowControl w:val="0"/>
              <w:numPr>
                <w:ilvl w:val="0"/>
                <w:numId w:val="15"/>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平台提供数据开发者工作站，开发者管理自己的应用和API申请，申请的API类型包含：数据市场API接口、自定义接口、数据库直连视图等；</w:t>
            </w:r>
          </w:p>
          <w:p>
            <w:pPr>
              <w:widowControl w:val="0"/>
              <w:numPr>
                <w:ilvl w:val="0"/>
                <w:numId w:val="15"/>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提供开发者对自己的应用进行在线创建、维护、申请API以及自主进行应用的上线与下线等操作；</w:t>
            </w:r>
          </w:p>
          <w:p>
            <w:pPr>
              <w:widowControl w:val="0"/>
              <w:numPr>
                <w:ilvl w:val="0"/>
                <w:numId w:val="15"/>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提供查询应用所申请的API调用统计、调用限制预警、有效性跟踪和推送；</w:t>
            </w:r>
          </w:p>
          <w:p>
            <w:pPr>
              <w:widowControl w:val="0"/>
              <w:numPr>
                <w:ilvl w:val="0"/>
                <w:numId w:val="15"/>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提供开发者查询申请的接口列表，进行申请流程进度跟踪、审批结果查询、API在线测试、API接口授权密钥查询、以及为使用者提供API开发使用、说明、服务接口描述、开发手册等；</w:t>
            </w:r>
          </w:p>
          <w:p>
            <w:pPr>
              <w:widowControl w:val="0"/>
              <w:numPr>
                <w:ilvl w:val="0"/>
                <w:numId w:val="15"/>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提供开发者对申请的API进行数据血缘追溯和质量详情查阅，并可在线进行API数据质量的反馈和处理跟踪；</w:t>
            </w:r>
          </w:p>
          <w:p>
            <w:pPr>
              <w:widowControl w:val="0"/>
              <w:numPr>
                <w:ilvl w:val="0"/>
                <w:numId w:val="15"/>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提供开发者对API接口使用在线下载，以及应用下所有API的批量下载；</w:t>
            </w:r>
          </w:p>
          <w:p>
            <w:pPr>
              <w:widowControl w:val="0"/>
              <w:numPr>
                <w:ilvl w:val="0"/>
                <w:numId w:val="15"/>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提供开发者对已申请API接口进行自启用、自停用；</w:t>
            </w:r>
          </w:p>
          <w:p>
            <w:pPr>
              <w:widowControl w:val="0"/>
              <w:numPr>
                <w:ilvl w:val="0"/>
                <w:numId w:val="15"/>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为开发者提供所有接口申请、审批、反馈、及使用过程的消息中心消息推送、处理与互动；</w:t>
            </w:r>
          </w:p>
          <w:p>
            <w:pPr>
              <w:widowControl w:val="0"/>
              <w:numPr>
                <w:ilvl w:val="0"/>
                <w:numId w:val="15"/>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为开发者提供文档中心，提供在线API使用说明导图和接口返回码的查阅。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restart"/>
            <w:vAlign w:val="center"/>
          </w:tcPr>
          <w:p>
            <w:pPr>
              <w:widowControl w:val="0"/>
              <w:spacing w:line="280" w:lineRule="exact"/>
              <w:jc w:val="center"/>
              <w:textAlignment w:val="auto"/>
              <w:rPr>
                <w:rFonts w:ascii="宋体" w:hAnsi="宋体"/>
                <w:b/>
                <w:bCs/>
                <w:color w:val="000000" w:themeColor="text1"/>
                <w:sz w:val="18"/>
                <w:szCs w:val="18"/>
                <w:lang w:val="de-DE"/>
                <w14:textFill>
                  <w14:solidFill>
                    <w14:schemeClr w14:val="tx1"/>
                  </w14:solidFill>
                </w14:textFill>
              </w:rPr>
            </w:pPr>
            <w:r>
              <w:rPr>
                <w:rFonts w:ascii="宋体" w:hAnsi="宋体"/>
                <w:b/>
                <w:bCs/>
                <w:color w:val="000000" w:themeColor="text1"/>
                <w:sz w:val="18"/>
                <w:szCs w:val="18"/>
                <w:lang w:val="de-DE"/>
                <w14:textFill>
                  <w14:solidFill>
                    <w14:schemeClr w14:val="tx1"/>
                  </w14:solidFill>
                </w14:textFill>
              </w:rPr>
              <w:t>3.</w:t>
            </w:r>
            <w:r>
              <w:rPr>
                <w:rFonts w:hint="eastAsia" w:ascii="宋体" w:hAnsi="宋体"/>
                <w:b/>
                <w:bCs/>
                <w:color w:val="000000" w:themeColor="text1"/>
                <w:sz w:val="18"/>
                <w:szCs w:val="18"/>
                <w:lang w:val="de-DE"/>
                <w14:textFill>
                  <w14:solidFill>
                    <w14:schemeClr w14:val="tx1"/>
                  </w14:solidFill>
                </w14:textFill>
              </w:rPr>
              <w:t>批流一体式数据湖仓</w:t>
            </w: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val="de-DE"/>
                <w14:textFill>
                  <w14:solidFill>
                    <w14:schemeClr w14:val="tx1"/>
                  </w14:solidFill>
                </w14:textFill>
              </w:rPr>
              <w:t>3.1</w:t>
            </w:r>
            <w:r>
              <w:rPr>
                <w:rFonts w:hint="eastAsia" w:ascii="宋体" w:hAnsi="宋体"/>
                <w:color w:val="000000" w:themeColor="text1"/>
                <w:sz w:val="18"/>
                <w:szCs w:val="18"/>
                <w:lang w:val="de-DE"/>
                <w14:textFill>
                  <w14:solidFill>
                    <w14:schemeClr w14:val="tx1"/>
                  </w14:solidFill>
                </w14:textFill>
              </w:rPr>
              <w:t>数据交换时延</w:t>
            </w:r>
          </w:p>
        </w:tc>
        <w:tc>
          <w:tcPr>
            <w:tcW w:w="8284" w:type="dxa"/>
          </w:tcPr>
          <w:p>
            <w:pPr>
              <w:widowControl w:val="0"/>
              <w:numPr>
                <w:ilvl w:val="0"/>
                <w:numId w:val="16"/>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s="Times New Roman"/>
                <w:color w:val="000000" w:themeColor="text1"/>
                <w:sz w:val="18"/>
                <w:szCs w:val="18"/>
                <w:lang w:val="de-DE"/>
                <w14:textFill>
                  <w14:solidFill>
                    <w14:schemeClr w14:val="tx1"/>
                  </w14:solidFill>
                </w14:textFill>
              </w:rPr>
              <w:t>数据交换响应时间达到秒级；支持主流数据形态/协议的实时数据同步，包括但不限于：Oracle、MySQL、PostgreSQL、NoSQL、ES、S3/NFS/File、HTTP(S)/(S)FTP、SYSLOG、MessageQueue、WebSocket等；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vAlign w:val="center"/>
          </w:tcPr>
          <w:p>
            <w:pPr>
              <w:widowControl w:val="0"/>
              <w:spacing w:line="280" w:lineRule="exact"/>
              <w:jc w:val="center"/>
              <w:textAlignment w:val="auto"/>
              <w:rPr>
                <w:rFonts w:ascii="宋体" w:hAnsi="宋体"/>
                <w:b/>
                <w:bCs/>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val="de-DE"/>
                <w14:textFill>
                  <w14:solidFill>
                    <w14:schemeClr w14:val="tx1"/>
                  </w14:solidFill>
                </w14:textFill>
              </w:rPr>
              <w:t>3.2</w:t>
            </w:r>
            <w:r>
              <w:rPr>
                <w:rFonts w:hint="eastAsia" w:ascii="宋体" w:hAnsi="宋体"/>
                <w:color w:val="000000" w:themeColor="text1"/>
                <w:sz w:val="18"/>
                <w:szCs w:val="18"/>
                <w:lang w:val="de-DE"/>
                <w14:textFill>
                  <w14:solidFill>
                    <w14:schemeClr w14:val="tx1"/>
                  </w14:solidFill>
                </w14:textFill>
              </w:rPr>
              <w:t>多数据源接入</w:t>
            </w:r>
          </w:p>
        </w:tc>
        <w:tc>
          <w:tcPr>
            <w:tcW w:w="8284" w:type="dxa"/>
          </w:tcPr>
          <w:p>
            <w:pPr>
              <w:widowControl w:val="0"/>
              <w:numPr>
                <w:ilvl w:val="0"/>
                <w:numId w:val="17"/>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s="Times New Roman"/>
                <w:color w:val="000000" w:themeColor="text1"/>
                <w:sz w:val="18"/>
                <w:szCs w:val="18"/>
                <w:lang w:val="de-DE"/>
                <w14:textFill>
                  <w14:solidFill>
                    <w14:schemeClr w14:val="tx1"/>
                  </w14:solidFill>
                </w14:textFill>
              </w:rPr>
              <w:t>提供开箱即用应用包，如：数据库CDC（实时变化捕获）、JDBC源/目标、HTTP数据源等；支持应用的统一注册管理，支持多种注册协议：Maven、HTTP、File等，支持应用版本管理；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vAlign w:val="center"/>
          </w:tcPr>
          <w:p>
            <w:pPr>
              <w:widowControl w:val="0"/>
              <w:spacing w:line="280" w:lineRule="exact"/>
              <w:jc w:val="center"/>
              <w:textAlignment w:val="auto"/>
              <w:rPr>
                <w:rFonts w:ascii="宋体" w:hAnsi="宋体"/>
                <w:b/>
                <w:bCs/>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val="de-DE"/>
                <w14:textFill>
                  <w14:solidFill>
                    <w14:schemeClr w14:val="tx1"/>
                  </w14:solidFill>
                </w14:textFill>
              </w:rPr>
              <w:t>3.3</w:t>
            </w:r>
            <w:r>
              <w:rPr>
                <w:rFonts w:hint="eastAsia" w:ascii="宋体" w:hAnsi="宋体"/>
                <w:color w:val="000000" w:themeColor="text1"/>
                <w:sz w:val="18"/>
                <w:szCs w:val="18"/>
                <w:lang w:val="de-DE"/>
                <w14:textFill>
                  <w14:solidFill>
                    <w14:schemeClr w14:val="tx1"/>
                  </w14:solidFill>
                </w14:textFill>
              </w:rPr>
              <w:t>可伸缩架构</w:t>
            </w:r>
          </w:p>
        </w:tc>
        <w:tc>
          <w:tcPr>
            <w:tcW w:w="8284" w:type="dxa"/>
          </w:tcPr>
          <w:p>
            <w:pPr>
              <w:widowControl w:val="0"/>
              <w:numPr>
                <w:ilvl w:val="0"/>
                <w:numId w:val="18"/>
              </w:numPr>
              <w:spacing w:line="280" w:lineRule="exact"/>
              <w:textAlignment w:val="auto"/>
              <w:rPr>
                <w:rFonts w:ascii="宋体" w:hAnsi="宋体" w:cs="Times New Roman"/>
                <w:color w:val="000000" w:themeColor="text1"/>
                <w:sz w:val="18"/>
                <w:szCs w:val="18"/>
                <w:lang w:val="de-DE"/>
                <w14:textFill>
                  <w14:solidFill>
                    <w14:schemeClr w14:val="tx1"/>
                  </w14:solidFill>
                </w14:textFill>
              </w:rPr>
            </w:pPr>
            <w:r>
              <w:rPr>
                <w:rFonts w:hint="eastAsia" w:ascii="宋体" w:hAnsi="宋体" w:cs="Times New Roman"/>
                <w:color w:val="000000" w:themeColor="text1"/>
                <w:sz w:val="18"/>
                <w:szCs w:val="18"/>
                <w:lang w:val="de-DE"/>
                <w14:textFill>
                  <w14:solidFill>
                    <w14:schemeClr w14:val="tx1"/>
                  </w14:solidFill>
                </w14:textFill>
              </w:rPr>
              <w:t>基于微服务架构，流/批一体化处理，支持主流云基础设施，包括Docker、Kubernetes等，可进行资源自由伸缩，平滑水平扩展和高可用；</w:t>
            </w:r>
          </w:p>
          <w:p>
            <w:pPr>
              <w:widowControl w:val="0"/>
              <w:numPr>
                <w:ilvl w:val="0"/>
                <w:numId w:val="17"/>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s="Times New Roman"/>
                <w:color w:val="000000" w:themeColor="text1"/>
                <w:sz w:val="18"/>
                <w:szCs w:val="18"/>
                <w:lang w:val="de-DE"/>
                <w14:textFill>
                  <w14:solidFill>
                    <w14:schemeClr w14:val="tx1"/>
                  </w14:solidFill>
                </w14:textFill>
              </w:rPr>
              <w:t>支持可插拔的消息中间件，如：Kafka、RabbitMQ等；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vAlign w:val="center"/>
          </w:tcPr>
          <w:p>
            <w:pPr>
              <w:widowControl w:val="0"/>
              <w:spacing w:line="280" w:lineRule="exact"/>
              <w:jc w:val="center"/>
              <w:textAlignment w:val="auto"/>
              <w:rPr>
                <w:rFonts w:ascii="宋体" w:hAnsi="宋体"/>
                <w:b/>
                <w:bCs/>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val="de-DE"/>
                <w14:textFill>
                  <w14:solidFill>
                    <w14:schemeClr w14:val="tx1"/>
                  </w14:solidFill>
                </w14:textFill>
              </w:rPr>
              <w:t>3.4</w:t>
            </w:r>
            <w:r>
              <w:rPr>
                <w:rFonts w:hint="eastAsia" w:ascii="宋体" w:hAnsi="宋体"/>
                <w:color w:val="000000" w:themeColor="text1"/>
                <w:sz w:val="18"/>
                <w:szCs w:val="18"/>
                <w:lang w:val="de-DE"/>
                <w14:textFill>
                  <w14:solidFill>
                    <w14:schemeClr w14:val="tx1"/>
                  </w14:solidFill>
                </w14:textFill>
              </w:rPr>
              <w:t>流/批数据管理</w:t>
            </w:r>
          </w:p>
        </w:tc>
        <w:tc>
          <w:tcPr>
            <w:tcW w:w="8284" w:type="dxa"/>
          </w:tcPr>
          <w:p>
            <w:pPr>
              <w:widowControl w:val="0"/>
              <w:numPr>
                <w:ilvl w:val="0"/>
                <w:numId w:val="19"/>
              </w:numPr>
              <w:spacing w:line="280" w:lineRule="exact"/>
              <w:textAlignment w:val="auto"/>
              <w:rPr>
                <w:rFonts w:ascii="宋体" w:hAnsi="宋体" w:cs="Times New Roman"/>
                <w:color w:val="000000" w:themeColor="text1"/>
                <w:sz w:val="18"/>
                <w:szCs w:val="18"/>
                <w:lang w:val="de-DE"/>
                <w14:textFill>
                  <w14:solidFill>
                    <w14:schemeClr w14:val="tx1"/>
                  </w14:solidFill>
                </w14:textFill>
              </w:rPr>
            </w:pPr>
            <w:r>
              <w:rPr>
                <w:rFonts w:hint="eastAsia" w:ascii="宋体" w:hAnsi="宋体" w:cs="Times New Roman"/>
                <w:color w:val="000000" w:themeColor="text1"/>
                <w:sz w:val="18"/>
                <w:szCs w:val="18"/>
                <w:lang w:val="de-DE"/>
                <w14:textFill>
                  <w14:solidFill>
                    <w14:schemeClr w14:val="tx1"/>
                  </w14:solidFill>
                </w14:textFill>
              </w:rPr>
              <w:t>支持统一的“流”（Stream）管理，包括构建、部署、更新、运行时管理以及流量监视等能力，全程可配置；</w:t>
            </w:r>
          </w:p>
          <w:p>
            <w:pPr>
              <w:widowControl w:val="0"/>
              <w:numPr>
                <w:ilvl w:val="0"/>
                <w:numId w:val="1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s="Times New Roman"/>
                <w:color w:val="000000" w:themeColor="text1"/>
                <w:sz w:val="18"/>
                <w:szCs w:val="18"/>
                <w:lang w:val="de-DE"/>
                <w14:textFill>
                  <w14:solidFill>
                    <w14:schemeClr w14:val="tx1"/>
                  </w14:solidFill>
                </w14:textFill>
              </w:rPr>
              <w:t>支持统一的“批”（Task/Job）管理，包括构建、部署、更新以及运行时管理等能力，全程可配置；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vAlign w:val="center"/>
          </w:tcPr>
          <w:p>
            <w:pPr>
              <w:widowControl w:val="0"/>
              <w:spacing w:line="280" w:lineRule="exact"/>
              <w:jc w:val="center"/>
              <w:textAlignment w:val="auto"/>
              <w:rPr>
                <w:rFonts w:ascii="宋体" w:hAnsi="宋体"/>
                <w:b/>
                <w:bCs/>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val="de-DE"/>
                <w14:textFill>
                  <w14:solidFill>
                    <w14:schemeClr w14:val="tx1"/>
                  </w14:solidFill>
                </w14:textFill>
              </w:rPr>
              <w:t>3.5</w:t>
            </w:r>
            <w:r>
              <w:rPr>
                <w:rFonts w:hint="eastAsia" w:ascii="宋体" w:hAnsi="宋体"/>
                <w:color w:val="000000" w:themeColor="text1"/>
                <w:sz w:val="18"/>
                <w:szCs w:val="18"/>
                <w:lang w:val="de-DE"/>
                <w14:textFill>
                  <w14:solidFill>
                    <w14:schemeClr w14:val="tx1"/>
                  </w14:solidFill>
                </w14:textFill>
              </w:rPr>
              <w:t>图形化数据交换任务开发与管理环境</w:t>
            </w:r>
          </w:p>
        </w:tc>
        <w:tc>
          <w:tcPr>
            <w:tcW w:w="8284" w:type="dxa"/>
          </w:tcPr>
          <w:p>
            <w:pPr>
              <w:widowControl w:val="0"/>
              <w:numPr>
                <w:ilvl w:val="0"/>
                <w:numId w:val="20"/>
              </w:numPr>
              <w:spacing w:line="280" w:lineRule="exact"/>
              <w:textAlignment w:val="auto"/>
              <w:rPr>
                <w:rFonts w:ascii="宋体" w:hAnsi="宋体" w:cs="Times New Roman"/>
                <w:color w:val="000000" w:themeColor="text1"/>
                <w:sz w:val="18"/>
                <w:szCs w:val="18"/>
                <w:lang w:val="de-DE"/>
                <w14:textFill>
                  <w14:solidFill>
                    <w14:schemeClr w14:val="tx1"/>
                  </w14:solidFill>
                </w14:textFill>
              </w:rPr>
            </w:pPr>
            <w:r>
              <w:rPr>
                <w:rFonts w:hint="eastAsia" w:ascii="宋体" w:hAnsi="宋体" w:cs="Times New Roman"/>
                <w:color w:val="000000" w:themeColor="text1"/>
                <w:sz w:val="18"/>
                <w:szCs w:val="18"/>
                <w:lang w:val="de-DE"/>
                <w14:textFill>
                  <w14:solidFill>
                    <w14:schemeClr w14:val="tx1"/>
                  </w14:solidFill>
                </w14:textFill>
              </w:rPr>
              <w:t>支持图形化、拖拽式构建流/批应用（数据处理管道）；</w:t>
            </w:r>
          </w:p>
          <w:p>
            <w:pPr>
              <w:widowControl w:val="0"/>
              <w:numPr>
                <w:ilvl w:val="0"/>
                <w:numId w:val="20"/>
              </w:numPr>
              <w:spacing w:line="280" w:lineRule="exact"/>
              <w:textAlignment w:val="auto"/>
              <w:rPr>
                <w:rFonts w:ascii="宋体" w:hAnsi="宋体" w:cs="Times New Roman"/>
                <w:color w:val="000000" w:themeColor="text1"/>
                <w:sz w:val="18"/>
                <w:szCs w:val="18"/>
                <w:lang w:val="de-DE"/>
                <w14:textFill>
                  <w14:solidFill>
                    <w14:schemeClr w14:val="tx1"/>
                  </w14:solidFill>
                </w14:textFill>
              </w:rPr>
            </w:pPr>
            <w:r>
              <w:rPr>
                <w:rFonts w:hint="eastAsia" w:ascii="宋体" w:hAnsi="宋体" w:cs="Times New Roman"/>
                <w:color w:val="000000" w:themeColor="text1"/>
                <w:sz w:val="18"/>
                <w:szCs w:val="18"/>
                <w:lang w:val="de-DE"/>
                <w14:textFill>
                  <w14:solidFill>
                    <w14:schemeClr w14:val="tx1"/>
                  </w14:solidFill>
                </w14:textFill>
              </w:rPr>
              <w:t>支持统一的程序开发模型，基于统一的应用框架，支持多种应用类型：Source（源）、Sink（目标）、Processor（处理）、Task（任务）、App（定制）等；</w:t>
            </w:r>
          </w:p>
          <w:p>
            <w:pPr>
              <w:widowControl w:val="0"/>
              <w:numPr>
                <w:ilvl w:val="0"/>
                <w:numId w:val="20"/>
              </w:numPr>
              <w:spacing w:line="280" w:lineRule="exact"/>
              <w:textAlignment w:val="auto"/>
              <w:rPr>
                <w:rFonts w:ascii="宋体" w:hAnsi="宋体" w:cs="Times New Roman"/>
                <w:color w:val="000000" w:themeColor="text1"/>
                <w:sz w:val="18"/>
                <w:szCs w:val="18"/>
                <w:lang w:val="de-DE"/>
                <w14:textFill>
                  <w14:solidFill>
                    <w14:schemeClr w14:val="tx1"/>
                  </w14:solidFill>
                </w14:textFill>
              </w:rPr>
            </w:pPr>
            <w:r>
              <w:rPr>
                <w:rFonts w:hint="eastAsia" w:ascii="宋体" w:hAnsi="宋体" w:cs="Times New Roman"/>
                <w:color w:val="000000" w:themeColor="text1"/>
                <w:sz w:val="18"/>
                <w:szCs w:val="18"/>
                <w:lang w:val="de-DE"/>
                <w14:textFill>
                  <w14:solidFill>
                    <w14:schemeClr w14:val="tx1"/>
                  </w14:solidFill>
                </w14:textFill>
              </w:rPr>
              <w:t>提供常用的数据处理过程，如：聚合、过滤、增强、分割、转换、映射等；</w:t>
            </w:r>
          </w:p>
          <w:p>
            <w:pPr>
              <w:widowControl w:val="0"/>
              <w:numPr>
                <w:ilvl w:val="0"/>
                <w:numId w:val="20"/>
              </w:numPr>
              <w:spacing w:line="280" w:lineRule="exact"/>
              <w:textAlignment w:val="auto"/>
              <w:rPr>
                <w:rFonts w:ascii="宋体" w:hAnsi="宋体" w:cs="Times New Roman"/>
                <w:color w:val="000000" w:themeColor="text1"/>
                <w:sz w:val="18"/>
                <w:szCs w:val="18"/>
                <w:lang w:val="de-DE"/>
                <w14:textFill>
                  <w14:solidFill>
                    <w14:schemeClr w14:val="tx1"/>
                  </w14:solidFill>
                </w14:textFill>
              </w:rPr>
            </w:pPr>
            <w:r>
              <w:rPr>
                <w:rFonts w:hint="eastAsia" w:ascii="宋体" w:hAnsi="宋体" w:cs="Times New Roman"/>
                <w:color w:val="000000" w:themeColor="text1"/>
                <w:sz w:val="18"/>
                <w:szCs w:val="18"/>
                <w:lang w:val="de-DE"/>
                <w14:textFill>
                  <w14:solidFill>
                    <w14:schemeClr w14:val="tx1"/>
                  </w14:solidFill>
                </w14:textFill>
              </w:rPr>
              <w:t>支持全局集中的任务调度管理，有效利用基础设施资源；</w:t>
            </w:r>
          </w:p>
          <w:p>
            <w:pPr>
              <w:widowControl w:val="0"/>
              <w:numPr>
                <w:ilvl w:val="0"/>
                <w:numId w:val="20"/>
              </w:numPr>
              <w:spacing w:line="280" w:lineRule="exact"/>
              <w:textAlignment w:val="auto"/>
              <w:rPr>
                <w:rFonts w:ascii="宋体" w:hAnsi="宋体" w:cs="Times New Roman"/>
                <w:color w:val="000000" w:themeColor="text1"/>
                <w:sz w:val="18"/>
                <w:szCs w:val="18"/>
                <w:lang w:val="de-DE"/>
                <w14:textFill>
                  <w14:solidFill>
                    <w14:schemeClr w14:val="tx1"/>
                  </w14:solidFill>
                </w14:textFill>
              </w:rPr>
            </w:pPr>
            <w:r>
              <w:rPr>
                <w:rFonts w:hint="eastAsia" w:ascii="宋体" w:hAnsi="宋体" w:cs="Times New Roman"/>
                <w:color w:val="000000" w:themeColor="text1"/>
                <w:sz w:val="18"/>
                <w:szCs w:val="18"/>
                <w:lang w:val="de-DE"/>
                <w14:textFill>
                  <w14:solidFill>
                    <w14:schemeClr w14:val="tx1"/>
                  </w14:solidFill>
                </w14:textFill>
              </w:rPr>
              <w:t>提供一套全数据开发入湖入仓流程化平台：</w:t>
            </w:r>
          </w:p>
          <w:p>
            <w:pPr>
              <w:widowControl w:val="0"/>
              <w:numPr>
                <w:ilvl w:val="0"/>
                <w:numId w:val="20"/>
              </w:numPr>
              <w:spacing w:line="280" w:lineRule="exact"/>
              <w:textAlignment w:val="auto"/>
              <w:rPr>
                <w:rFonts w:ascii="宋体" w:hAnsi="宋体" w:cs="Times New Roman"/>
                <w:color w:val="000000" w:themeColor="text1"/>
                <w:sz w:val="18"/>
                <w:szCs w:val="18"/>
                <w:lang w:val="de-DE"/>
                <w14:textFill>
                  <w14:solidFill>
                    <w14:schemeClr w14:val="tx1"/>
                  </w14:solidFill>
                </w14:textFill>
              </w:rPr>
            </w:pPr>
            <w:r>
              <w:rPr>
                <w:rFonts w:hint="eastAsia" w:ascii="宋体" w:hAnsi="宋体" w:cs="Times New Roman"/>
                <w:color w:val="000000" w:themeColor="text1"/>
                <w:sz w:val="18"/>
                <w:szCs w:val="18"/>
                <w:lang w:val="de-DE"/>
                <w14:textFill>
                  <w14:solidFill>
                    <w14:schemeClr w14:val="tx1"/>
                  </w14:solidFill>
                </w14:textFill>
              </w:rPr>
              <w:t>支持数据入湖前数据源对接、实施进度盘点、入湖配置（批式/流式）、秒级轮询配置等；</w:t>
            </w:r>
          </w:p>
          <w:p>
            <w:pPr>
              <w:widowControl w:val="0"/>
              <w:numPr>
                <w:ilvl w:val="0"/>
                <w:numId w:val="20"/>
              </w:numPr>
              <w:spacing w:line="280" w:lineRule="exact"/>
              <w:textAlignment w:val="auto"/>
              <w:rPr>
                <w:rFonts w:ascii="宋体" w:hAnsi="宋体" w:cs="Times New Roman"/>
                <w:color w:val="000000" w:themeColor="text1"/>
                <w:sz w:val="18"/>
                <w:szCs w:val="18"/>
                <w:lang w:val="de-DE"/>
                <w14:textFill>
                  <w14:solidFill>
                    <w14:schemeClr w14:val="tx1"/>
                  </w14:solidFill>
                </w14:textFill>
              </w:rPr>
            </w:pPr>
            <w:r>
              <w:rPr>
                <w:rFonts w:hint="eastAsia" w:ascii="宋体" w:hAnsi="宋体" w:cs="Times New Roman"/>
                <w:color w:val="000000" w:themeColor="text1"/>
                <w:sz w:val="18"/>
                <w:szCs w:val="18"/>
                <w:lang w:val="de-DE"/>
                <w14:textFill>
                  <w14:solidFill>
                    <w14:schemeClr w14:val="tx1"/>
                  </w14:solidFill>
                </w14:textFill>
              </w:rPr>
              <w:t>支持自动识别业务源端数据库是否具备实时流支持能力；</w:t>
            </w:r>
          </w:p>
          <w:p>
            <w:pPr>
              <w:widowControl w:val="0"/>
              <w:numPr>
                <w:ilvl w:val="0"/>
                <w:numId w:val="20"/>
              </w:numPr>
              <w:spacing w:line="280" w:lineRule="exact"/>
              <w:textAlignment w:val="auto"/>
              <w:rPr>
                <w:rFonts w:ascii="宋体" w:hAnsi="宋体" w:cs="Times New Roman"/>
                <w:color w:val="000000" w:themeColor="text1"/>
                <w:sz w:val="18"/>
                <w:szCs w:val="18"/>
                <w:lang w:val="de-DE"/>
                <w14:textFill>
                  <w14:solidFill>
                    <w14:schemeClr w14:val="tx1"/>
                  </w14:solidFill>
                </w14:textFill>
              </w:rPr>
            </w:pPr>
            <w:r>
              <w:rPr>
                <w:rFonts w:hint="eastAsia" w:ascii="宋体" w:hAnsi="宋体" w:cs="Times New Roman"/>
                <w:color w:val="000000" w:themeColor="text1"/>
                <w:sz w:val="18"/>
                <w:szCs w:val="18"/>
                <w:lang w:val="de-DE"/>
                <w14:textFill>
                  <w14:solidFill>
                    <w14:schemeClr w14:val="tx1"/>
                  </w14:solidFill>
                </w14:textFill>
              </w:rPr>
              <w:t>支持入湖任务监控；</w:t>
            </w:r>
          </w:p>
          <w:p>
            <w:pPr>
              <w:widowControl w:val="0"/>
              <w:numPr>
                <w:ilvl w:val="0"/>
                <w:numId w:val="20"/>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s="Times New Roman"/>
                <w:color w:val="000000" w:themeColor="text1"/>
                <w:sz w:val="18"/>
                <w:szCs w:val="18"/>
                <w:lang w:val="de-DE"/>
                <w14:textFill>
                  <w14:solidFill>
                    <w14:schemeClr w14:val="tx1"/>
                  </w14:solidFill>
                </w14:textFill>
              </w:rPr>
              <w:t>支持拖拽式数据入仓模型转换动作配置。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vAlign w:val="center"/>
          </w:tcPr>
          <w:p>
            <w:pPr>
              <w:widowControl w:val="0"/>
              <w:spacing w:line="280" w:lineRule="exact"/>
              <w:jc w:val="center"/>
              <w:textAlignment w:val="auto"/>
              <w:rPr>
                <w:rFonts w:ascii="宋体" w:hAnsi="宋体"/>
                <w:b/>
                <w:bCs/>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val="de-DE"/>
                <w14:textFill>
                  <w14:solidFill>
                    <w14:schemeClr w14:val="tx1"/>
                  </w14:solidFill>
                </w14:textFill>
              </w:rPr>
              <w:t>3.6</w:t>
            </w:r>
            <w:r>
              <w:rPr>
                <w:rFonts w:hint="eastAsia" w:ascii="宋体" w:hAnsi="宋体"/>
                <w:color w:val="000000" w:themeColor="text1"/>
                <w:sz w:val="18"/>
                <w:szCs w:val="18"/>
                <w:lang w:val="de-DE"/>
                <w14:textFill>
                  <w14:solidFill>
                    <w14:schemeClr w14:val="tx1"/>
                  </w14:solidFill>
                </w14:textFill>
              </w:rPr>
              <w:t>其他</w:t>
            </w:r>
          </w:p>
        </w:tc>
        <w:tc>
          <w:tcPr>
            <w:tcW w:w="8284" w:type="dxa"/>
          </w:tcPr>
          <w:p>
            <w:pPr>
              <w:pStyle w:val="144"/>
              <w:widowControl w:val="0"/>
              <w:numPr>
                <w:ilvl w:val="0"/>
                <w:numId w:val="21"/>
              </w:numPr>
              <w:spacing w:line="280" w:lineRule="exact"/>
              <w:textAlignment w:val="auto"/>
              <w:rPr>
                <w:rFonts w:ascii="宋体" w:hAnsi="宋体" w:cs="Times New Roman"/>
                <w:color w:val="000000" w:themeColor="text1"/>
                <w:kern w:val="2"/>
                <w:sz w:val="18"/>
                <w:szCs w:val="18"/>
                <w:lang w:val="de-DE" w:eastAsia="zh-CN" w:bidi="ar-SA"/>
                <w14:textFill>
                  <w14:solidFill>
                    <w14:schemeClr w14:val="tx1"/>
                  </w14:solidFill>
                </w14:textFill>
              </w:rPr>
            </w:pPr>
            <w:r>
              <w:rPr>
                <w:rFonts w:hint="eastAsia" w:ascii="宋体" w:hAnsi="宋体"/>
                <w:color w:val="000000" w:themeColor="text1"/>
                <w:sz w:val="18"/>
                <w:szCs w:val="18"/>
                <w:lang w:eastAsia="zh-CN"/>
                <w14:textFill>
                  <w14:solidFill>
                    <w14:schemeClr w14:val="tx1"/>
                  </w14:solidFill>
                </w14:textFill>
              </w:rPr>
              <w:t>建设批流一体式全量数据湖仓，实现学校现在业务系统的全量数据管理、分析和共享；</w:t>
            </w:r>
          </w:p>
          <w:p>
            <w:pPr>
              <w:pStyle w:val="144"/>
              <w:widowControl w:val="0"/>
              <w:numPr>
                <w:ilvl w:val="0"/>
                <w:numId w:val="21"/>
              </w:numPr>
              <w:spacing w:line="280" w:lineRule="exact"/>
              <w:textAlignment w:val="auto"/>
              <w:rPr>
                <w:rFonts w:ascii="宋体" w:hAnsi="宋体" w:cs="Times New Roman"/>
                <w:color w:val="000000" w:themeColor="text1"/>
                <w:kern w:val="2"/>
                <w:sz w:val="18"/>
                <w:szCs w:val="18"/>
                <w:lang w:val="de-DE" w:eastAsia="zh-CN" w:bidi="ar-SA"/>
                <w14:textFill>
                  <w14:solidFill>
                    <w14:schemeClr w14:val="tx1"/>
                  </w14:solidFill>
                </w14:textFill>
              </w:rPr>
            </w:pPr>
            <w:r>
              <w:rPr>
                <w:rFonts w:hint="eastAsia" w:ascii="宋体" w:hAnsi="宋体"/>
                <w:color w:val="000000" w:themeColor="text1"/>
                <w:kern w:val="2"/>
                <w:sz w:val="18"/>
                <w:szCs w:val="18"/>
                <w:lang w:val="de-DE" w:eastAsia="zh-CN" w:bidi="ar-SA"/>
                <w14:textFill>
                  <w14:solidFill>
                    <w14:schemeClr w14:val="tx1"/>
                  </w14:solidFill>
                </w14:textFill>
              </w:rPr>
              <w:t>★</w:t>
            </w:r>
            <w:r>
              <w:rPr>
                <w:rFonts w:hint="eastAsia" w:ascii="宋体" w:hAnsi="宋体"/>
                <w:color w:val="000000" w:themeColor="text1"/>
                <w:sz w:val="18"/>
                <w:szCs w:val="18"/>
                <w:lang w:eastAsia="zh-CN"/>
                <w14:textFill>
                  <w14:solidFill>
                    <w14:schemeClr w14:val="tx1"/>
                  </w14:solidFill>
                </w14:textFill>
              </w:rPr>
              <w:t>数据湖仓的主体数据库采用</w:t>
            </w:r>
            <w:r>
              <w:rPr>
                <w:rFonts w:hint="eastAsia" w:ascii="宋体" w:hAnsi="宋体" w:cs="Times New Roman"/>
                <w:color w:val="000000" w:themeColor="text1"/>
                <w:sz w:val="18"/>
                <w:szCs w:val="18"/>
                <w:lang w:val="de-DE" w:eastAsia="zh-CN"/>
                <w14:textFill>
                  <w14:solidFill>
                    <w14:schemeClr w14:val="tx1"/>
                  </w14:solidFill>
                </w14:textFill>
              </w:rPr>
              <w:t>PostgreSQL</w:t>
            </w:r>
            <w:r>
              <w:rPr>
                <w:rFonts w:hint="eastAsia" w:ascii="宋体" w:hAnsi="宋体"/>
                <w:color w:val="000000" w:themeColor="text1"/>
                <w:sz w:val="18"/>
                <w:szCs w:val="18"/>
                <w:lang w:eastAsia="zh-CN"/>
                <w14:textFill>
                  <w14:solidFill>
                    <w14:schemeClr w14:val="tx1"/>
                  </w14:solidFill>
                </w14:textFill>
              </w:rPr>
              <w:t>，所采用的数据库软件、授权等，由投标方向学校免费提供；</w:t>
            </w:r>
          </w:p>
          <w:p>
            <w:pPr>
              <w:widowControl w:val="0"/>
              <w:numPr>
                <w:ilvl w:val="0"/>
                <w:numId w:val="21"/>
              </w:numPr>
              <w:spacing w:line="280" w:lineRule="exact"/>
              <w:textAlignment w:val="auto"/>
              <w:rPr>
                <w:rFonts w:ascii="宋体" w:hAnsi="宋体" w:cs="Times New Roman"/>
                <w:color w:val="000000" w:themeColor="text1"/>
                <w:sz w:val="18"/>
                <w:szCs w:val="18"/>
                <w:lang w:val="de-DE"/>
                <w14:textFill>
                  <w14:solidFill>
                    <w14:schemeClr w14:val="tx1"/>
                  </w14:solidFill>
                </w14:textFill>
              </w:rPr>
            </w:pPr>
            <w:r>
              <w:rPr>
                <w:rFonts w:hint="eastAsia" w:ascii="宋体" w:hAnsi="宋体" w:cs="Times New Roman"/>
                <w:color w:val="000000" w:themeColor="text1"/>
                <w:sz w:val="18"/>
                <w:szCs w:val="18"/>
                <w:lang w:val="de-DE"/>
                <w14:textFill>
                  <w14:solidFill>
                    <w14:schemeClr w14:val="tx1"/>
                  </w14:solidFill>
                </w14:textFill>
              </w:rPr>
              <w:t xml:space="preserve">支持一键导入、导出所有元数据和资源配置； </w:t>
            </w:r>
          </w:p>
          <w:p>
            <w:pPr>
              <w:widowControl w:val="0"/>
              <w:numPr>
                <w:ilvl w:val="0"/>
                <w:numId w:val="21"/>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s="Times New Roman"/>
                <w:color w:val="000000" w:themeColor="text1"/>
                <w:sz w:val="18"/>
                <w:szCs w:val="18"/>
                <w:lang w:val="de-DE"/>
                <w14:textFill>
                  <w14:solidFill>
                    <w14:schemeClr w14:val="tx1"/>
                  </w14:solidFill>
                </w14:textFill>
              </w:rPr>
              <w:t>平台支持操作审计和日志记录；</w:t>
            </w:r>
          </w:p>
          <w:p>
            <w:pPr>
              <w:pStyle w:val="144"/>
              <w:widowControl w:val="0"/>
              <w:numPr>
                <w:ilvl w:val="0"/>
                <w:numId w:val="21"/>
              </w:numPr>
              <w:spacing w:line="280" w:lineRule="exact"/>
              <w:textAlignment w:val="auto"/>
              <w:rPr>
                <w:rFonts w:ascii="宋体" w:hAnsi="宋体"/>
                <w:color w:val="000000" w:themeColor="text1"/>
                <w:sz w:val="18"/>
                <w:szCs w:val="18"/>
                <w:lang w:val="de-DE" w:eastAsia="zh-CN"/>
                <w14:textFill>
                  <w14:solidFill>
                    <w14:schemeClr w14:val="tx1"/>
                  </w14:solidFill>
                </w14:textFill>
              </w:rPr>
            </w:pPr>
            <w:r>
              <w:rPr>
                <w:rFonts w:hint="eastAsia" w:ascii="宋体" w:hAnsi="宋体"/>
                <w:color w:val="000000" w:themeColor="text1"/>
                <w:sz w:val="18"/>
                <w:szCs w:val="18"/>
                <w:lang w:val="de-DE" w:eastAsia="zh-CN"/>
                <w14:textFill>
                  <w14:solidFill>
                    <w14:schemeClr w14:val="tx1"/>
                  </w14:solidFill>
                </w14:textFill>
              </w:rPr>
              <w:t>源端有物理或逻辑主键、时间戳、自增字段等情况下，平台支持准实时同步，时延5秒以内。（需提供实际客户场景使用证明材料）</w:t>
            </w:r>
          </w:p>
          <w:p>
            <w:pPr>
              <w:pStyle w:val="144"/>
              <w:widowControl w:val="0"/>
              <w:numPr>
                <w:ilvl w:val="0"/>
                <w:numId w:val="21"/>
              </w:numPr>
              <w:spacing w:line="280" w:lineRule="exact"/>
              <w:textAlignment w:val="auto"/>
              <w:rPr>
                <w:rFonts w:ascii="宋体" w:hAnsi="宋体"/>
                <w:b/>
                <w:bCs/>
                <w:color w:val="000000" w:themeColor="text1"/>
                <w:kern w:val="2"/>
                <w:sz w:val="18"/>
                <w:szCs w:val="18"/>
                <w:lang w:val="de-DE" w:eastAsia="zh-CN" w:bidi="ar-SA"/>
                <w14:textFill>
                  <w14:solidFill>
                    <w14:schemeClr w14:val="tx1"/>
                  </w14:solidFill>
                </w14:textFill>
              </w:rPr>
            </w:pPr>
            <w:r>
              <w:rPr>
                <w:rFonts w:hint="eastAsia" w:ascii="宋体" w:hAnsi="宋体"/>
                <w:color w:val="000000" w:themeColor="text1"/>
                <w:sz w:val="18"/>
                <w:szCs w:val="18"/>
                <w:lang w:val="de-DE" w:eastAsia="zh-CN"/>
                <w14:textFill>
                  <w14:solidFill>
                    <w14:schemeClr w14:val="tx1"/>
                  </w14:solidFill>
                </w14:textFill>
              </w:rPr>
              <w:t>源端提供归档日志情况下支</w:t>
            </w:r>
            <w:r>
              <w:rPr>
                <w:rFonts w:hint="eastAsia" w:ascii="宋体" w:hAnsi="宋体" w:cs="Times New Roman"/>
                <w:color w:val="000000" w:themeColor="text1"/>
                <w:kern w:val="2"/>
                <w:sz w:val="18"/>
                <w:szCs w:val="18"/>
                <w:lang w:val="de-DE" w:eastAsia="zh-CN" w:bidi="ar-SA"/>
                <w14:textFill>
                  <w14:solidFill>
                    <w14:schemeClr w14:val="tx1"/>
                  </w14:solidFill>
                </w14:textFill>
              </w:rPr>
              <w:t>持实时数据集成，时延</w:t>
            </w:r>
            <w:r>
              <w:rPr>
                <w:rFonts w:ascii="宋体" w:hAnsi="宋体" w:cs="Times New Roman"/>
                <w:color w:val="000000" w:themeColor="text1"/>
                <w:kern w:val="2"/>
                <w:sz w:val="18"/>
                <w:szCs w:val="18"/>
                <w:lang w:val="de-DE" w:eastAsia="zh-CN" w:bidi="ar-SA"/>
                <w14:textFill>
                  <w14:solidFill>
                    <w14:schemeClr w14:val="tx1"/>
                  </w14:solidFill>
                </w14:textFill>
              </w:rPr>
              <w:t>1秒以内。</w:t>
            </w:r>
            <w:r>
              <w:rPr>
                <w:rFonts w:hint="eastAsia" w:ascii="宋体" w:hAnsi="宋体" w:cs="Times New Roman"/>
                <w:color w:val="000000" w:themeColor="text1"/>
                <w:kern w:val="2"/>
                <w:sz w:val="18"/>
                <w:szCs w:val="18"/>
                <w:lang w:val="de-DE" w:eastAsia="zh-CN" w:bidi="ar-SA"/>
                <w14:textFill>
                  <w14:solidFill>
                    <w14:schemeClr w14:val="tx1"/>
                  </w14:solidFill>
                </w14:textFill>
              </w:rPr>
              <w:t>（</w:t>
            </w:r>
            <w:r>
              <w:rPr>
                <w:rFonts w:ascii="宋体" w:hAnsi="宋体" w:cs="Times New Roman"/>
                <w:color w:val="000000" w:themeColor="text1"/>
                <w:kern w:val="2"/>
                <w:sz w:val="18"/>
                <w:szCs w:val="18"/>
                <w:lang w:val="de-DE" w:eastAsia="zh-CN" w:bidi="ar-SA"/>
                <w14:textFill>
                  <w14:solidFill>
                    <w14:schemeClr w14:val="tx1"/>
                  </w14:solidFill>
                </w14:textFill>
              </w:rPr>
              <w:t>需提供实际客户场景使用证明材料</w:t>
            </w:r>
            <w:r>
              <w:rPr>
                <w:rFonts w:hint="eastAsia" w:ascii="宋体" w:hAnsi="宋体" w:cs="Times New Roman"/>
                <w:color w:val="000000" w:themeColor="text1"/>
                <w:kern w:val="2"/>
                <w:sz w:val="18"/>
                <w:szCs w:val="18"/>
                <w:lang w:val="de-DE"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vAlign w:val="center"/>
          </w:tcPr>
          <w:p>
            <w:pPr>
              <w:widowControl w:val="0"/>
              <w:spacing w:line="280" w:lineRule="exact"/>
              <w:jc w:val="center"/>
              <w:textAlignment w:val="auto"/>
              <w:rPr>
                <w:rFonts w:ascii="宋体" w:hAnsi="宋体"/>
                <w:b/>
                <w:bCs/>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val="de-DE"/>
                <w14:textFill>
                  <w14:solidFill>
                    <w14:schemeClr w14:val="tx1"/>
                  </w14:solidFill>
                </w14:textFill>
              </w:rPr>
              <w:t>3.7</w:t>
            </w:r>
            <w:r>
              <w:rPr>
                <w:rFonts w:hint="eastAsia" w:ascii="宋体" w:hAnsi="宋体"/>
                <w:color w:val="000000" w:themeColor="text1"/>
                <w:sz w:val="18"/>
                <w:szCs w:val="18"/>
                <w:lang w:val="de-DE"/>
                <w14:textFill>
                  <w14:solidFill>
                    <w14:schemeClr w14:val="tx1"/>
                  </w14:solidFill>
                </w14:textFill>
              </w:rPr>
              <w:t>通用数据集成</w:t>
            </w:r>
          </w:p>
        </w:tc>
        <w:tc>
          <w:tcPr>
            <w:tcW w:w="8284" w:type="dxa"/>
          </w:tcPr>
          <w:p>
            <w:pPr>
              <w:widowControl w:val="0"/>
              <w:numPr>
                <w:ilvl w:val="0"/>
                <w:numId w:val="2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平台须采用B/S架构, 基于纯Web页面提供数据集成设计、开发、运行、监控等一系列管理能力。支持校内私有云或内部数据中心部署，所有功能插件免安装客户端；</w:t>
            </w:r>
          </w:p>
          <w:p>
            <w:pPr>
              <w:widowControl w:val="0"/>
              <w:numPr>
                <w:ilvl w:val="0"/>
                <w:numId w:val="2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支持分布式跨平台（Windows或Linux 操作系统）的部署架构，支持多机负载均衡；</w:t>
            </w:r>
          </w:p>
          <w:p>
            <w:pPr>
              <w:widowControl w:val="0"/>
              <w:numPr>
                <w:ilvl w:val="0"/>
                <w:numId w:val="2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支持多用户协同开发模式；</w:t>
            </w:r>
          </w:p>
          <w:p>
            <w:pPr>
              <w:widowControl w:val="0"/>
              <w:numPr>
                <w:ilvl w:val="0"/>
                <w:numId w:val="2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★必须为独立集成平台，集中入口，不接受多平台、多集成工具联合使用模式，以方案与界面截图方式证明真实性；</w:t>
            </w:r>
          </w:p>
          <w:p>
            <w:pPr>
              <w:widowControl w:val="0"/>
              <w:numPr>
                <w:ilvl w:val="0"/>
                <w:numId w:val="2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提供数据集成设计、发布、部署、管理监控等功能模块，支持用户及分组管理，与主流身份认证技术如CAS等，能够实现无缝对接；</w:t>
            </w:r>
          </w:p>
          <w:p>
            <w:pPr>
              <w:widowControl w:val="0"/>
              <w:numPr>
                <w:ilvl w:val="0"/>
                <w:numId w:val="2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支持树形目录方式按照业务集成场景，管理集成项目、集成接口、集成模型和数据资源，例如人事系统集成项目中包含人事业务所有相关需要集成的内容（包含数据集成接口、集成数据模型和数据源）。系统支持项目、接口、模型和资源的在线剪切、复制、迁移；</w:t>
            </w:r>
          </w:p>
          <w:p>
            <w:pPr>
              <w:widowControl w:val="0"/>
              <w:numPr>
                <w:ilvl w:val="0"/>
                <w:numId w:val="2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集成项目误删除后可以选择恢复，降低开发容错性；</w:t>
            </w:r>
          </w:p>
          <w:p>
            <w:pPr>
              <w:widowControl w:val="0"/>
              <w:numPr>
                <w:ilvl w:val="0"/>
                <w:numId w:val="2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支持在线发布数据集成场景，支持版本化管理；</w:t>
            </w:r>
          </w:p>
          <w:p>
            <w:pPr>
              <w:widowControl w:val="0"/>
              <w:numPr>
                <w:ilvl w:val="0"/>
                <w:numId w:val="2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内置的常用组件、数据写入组件、数据读取组件、数据处理组件、数据流程控制类组件等各类集成组件，组件总数不得低于30个，应标文件中需详细说明各类组件的功能和使用方式。组件描述必须包含：关系型数据库读取及写入组件、Kafka读取及写入组件，函数转换组件、数据格式化组件、数据合并组件、顺序执行及并行执行组件、数据模型复制组件、数据序列化及反序列化组件等；</w:t>
            </w:r>
          </w:p>
          <w:p>
            <w:pPr>
              <w:widowControl w:val="0"/>
              <w:numPr>
                <w:ilvl w:val="0"/>
                <w:numId w:val="2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写入器要求：支持输入数据资源下拉选择已有资源；支持输入模型下拉获取已有模型；支持插入时间戳选项；支持当表不存在时自动创建选项；支持设置报错时是否继续运行；支持如果没有更新行，则回退选项；支持是否直接更新行选项；支持是否如果存在则替换行选项；支持id赋值选项；支持是否只插入选项；支持设置入站队列容量设置；支持线程数量设置；</w:t>
            </w:r>
          </w:p>
          <w:p>
            <w:pPr>
              <w:widowControl w:val="0"/>
              <w:numPr>
                <w:ilvl w:val="0"/>
                <w:numId w:val="2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数据库读取器要求：提供手写SQL读取设置；提供运行时间预置运行规则选择设置；提供工作单元预置策略选择设置；提供查询超时设置；提供行数量设置；支持基本清洗能力（去空格、列名称匹配、传递输入行等）；支持设置入站队列容量设置；</w:t>
            </w:r>
          </w:p>
          <w:p>
            <w:pPr>
              <w:widowControl w:val="0"/>
              <w:numPr>
                <w:ilvl w:val="0"/>
                <w:numId w:val="2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支持主流RDBMS如：Oracle、DB2、SQL Server的数据集成；</w:t>
            </w:r>
          </w:p>
          <w:p>
            <w:pPr>
              <w:widowControl w:val="0"/>
              <w:numPr>
                <w:ilvl w:val="0"/>
                <w:numId w:val="2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支持其他RDBMS如：MySQL、PostgreSQL、GaussDB的数据集成；</w:t>
            </w:r>
          </w:p>
          <w:p>
            <w:pPr>
              <w:widowControl w:val="0"/>
              <w:numPr>
                <w:ilvl w:val="0"/>
                <w:numId w:val="2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支持格式化的Excel、Txt及Xml等文件数据集成，支持多种文件系统的连接方式，如：本地，FTP，SFTP 和 SMB；</w:t>
            </w:r>
          </w:p>
          <w:p>
            <w:pPr>
              <w:widowControl w:val="0"/>
              <w:numPr>
                <w:ilvl w:val="0"/>
                <w:numId w:val="2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支持大数据技术体系，支持HDFS、ES等的数据集成；</w:t>
            </w:r>
          </w:p>
          <w:p>
            <w:pPr>
              <w:widowControl w:val="0"/>
              <w:numPr>
                <w:ilvl w:val="0"/>
                <w:numId w:val="2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提供API接口，支持远程启停、调用、控制数据集成接口、版本等；</w:t>
            </w:r>
          </w:p>
          <w:p>
            <w:pPr>
              <w:widowControl w:val="0"/>
              <w:numPr>
                <w:ilvl w:val="0"/>
                <w:numId w:val="2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提供HTTP/消息资源的集成, 支持集成Web请求、WebService 、REST 或SOAP 服务等；</w:t>
            </w:r>
          </w:p>
          <w:p>
            <w:pPr>
              <w:widowControl w:val="0"/>
              <w:numPr>
                <w:ilvl w:val="0"/>
                <w:numId w:val="2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支持自定义SQL集成、自动反向数据源数据结构，支持自动对接、引用数据治理平台中的数据结构；</w:t>
            </w:r>
          </w:p>
          <w:p>
            <w:pPr>
              <w:widowControl w:val="0"/>
              <w:numPr>
                <w:ilvl w:val="0"/>
                <w:numId w:val="2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在处理结构化数据时，可以在线数据建模，能够定义数据的属性或字段。支持模型的在线预览和管理，支持多源（多数据源、数据表、数据字段）合并、多源（多数据源、数据表、数据字段）关联的数据集成模式；</w:t>
            </w:r>
          </w:p>
          <w:p>
            <w:pPr>
              <w:widowControl w:val="0"/>
              <w:numPr>
                <w:ilvl w:val="0"/>
                <w:numId w:val="2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支持数据预处理（解析、差异、过滤、转换、倍增等）集成模式；</w:t>
            </w:r>
          </w:p>
          <w:p>
            <w:pPr>
              <w:widowControl w:val="0"/>
              <w:numPr>
                <w:ilvl w:val="0"/>
                <w:numId w:val="2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支持集成过程中可自定义通过拉链表实现历史数据自动生成，生成的历史数据能够与数据治理平台对接呈现、管理；</w:t>
            </w:r>
          </w:p>
          <w:p>
            <w:pPr>
              <w:widowControl w:val="0"/>
              <w:numPr>
                <w:ilvl w:val="0"/>
                <w:numId w:val="2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★提供不低于30个常用数据转换功能（ETL中T的功能），包括但并不限于字符串转换、整型转换等，需详细描述各类转换操作的功能说明；</w:t>
            </w:r>
          </w:p>
          <w:p>
            <w:pPr>
              <w:widowControl w:val="0"/>
              <w:numPr>
                <w:ilvl w:val="0"/>
                <w:numId w:val="2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★提供与数据治理平台标准转换模块的无缝对接，提供集成过程中自动转标能力；</w:t>
            </w:r>
          </w:p>
          <w:p>
            <w:pPr>
              <w:widowControl w:val="0"/>
              <w:numPr>
                <w:ilvl w:val="0"/>
                <w:numId w:val="2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提供集成流程的串行、并行、嵌套等调度功能，能够对各个数据集成同步任务进行调度控制，以此完成定制化的数据集成过程；</w:t>
            </w:r>
          </w:p>
          <w:p>
            <w:pPr>
              <w:widowControl w:val="0"/>
              <w:numPr>
                <w:ilvl w:val="0"/>
                <w:numId w:val="2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提供数据集成接口以项目为单位或多个指定接口为组合进行任务式调度，可以被分布式部署到要运行的代理中，每个代理可以部署不同的调度方式、执行时间配置。</w:t>
            </w:r>
          </w:p>
          <w:p>
            <w:pPr>
              <w:widowControl w:val="0"/>
              <w:numPr>
                <w:ilvl w:val="0"/>
                <w:numId w:val="2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提供数据集成过程中通过邮件发送集成状态或数据集成内容；</w:t>
            </w:r>
          </w:p>
          <w:p>
            <w:pPr>
              <w:widowControl w:val="0"/>
              <w:numPr>
                <w:ilvl w:val="0"/>
                <w:numId w:val="2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 xml:space="preserve">具备完善的日志模块，记录保留平台日常使用痕迹、以及集成作业流程日志； </w:t>
            </w:r>
          </w:p>
          <w:p>
            <w:pPr>
              <w:widowControl w:val="0"/>
              <w:numPr>
                <w:ilvl w:val="0"/>
                <w:numId w:val="2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提供自定义数据集成组件的查看、管理和扩展，可面向学校开放集成组件开发环境，灵活扩展集成能力；</w:t>
            </w:r>
          </w:p>
          <w:p>
            <w:pPr>
              <w:widowControl w:val="0"/>
              <w:numPr>
                <w:ilvl w:val="0"/>
                <w:numId w:val="2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提供常用关系型数据库之间的实时数据同步能力；</w:t>
            </w:r>
          </w:p>
          <w:p>
            <w:pPr>
              <w:widowControl w:val="0"/>
              <w:numPr>
                <w:ilvl w:val="0"/>
                <w:numId w:val="2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w:t>
            </w:r>
            <w:r>
              <w:rPr>
                <w:rFonts w:hint="eastAsia" w:ascii="宋体" w:hAnsi="宋体"/>
                <w:color w:val="000000" w:themeColor="text1"/>
                <w:sz w:val="18"/>
                <w:szCs w:val="18"/>
                <w14:textFill>
                  <w14:solidFill>
                    <w14:schemeClr w14:val="tx1"/>
                  </w14:solidFill>
                </w14:textFill>
              </w:rPr>
              <w:t>高校和</w:t>
            </w:r>
            <w:r>
              <w:rPr>
                <w:rFonts w:hint="eastAsia" w:ascii="宋体" w:hAnsi="宋体"/>
                <w:color w:val="000000" w:themeColor="text1"/>
                <w:sz w:val="18"/>
                <w:szCs w:val="18"/>
                <w:lang w:val="de-DE"/>
                <w14:textFill>
                  <w14:solidFill>
                    <w14:schemeClr w14:val="tx1"/>
                  </w14:solidFill>
                </w14:textFill>
              </w:rPr>
              <w:t>业内业务厂商的业务系统数据集成接口包，包含但不限于:人事系统、科研系统、资产系统、研究生系统、学工系统、教务系统、财务系统、一卡通系统、图书馆系统、迎新就业招生等；</w:t>
            </w:r>
          </w:p>
          <w:p>
            <w:pPr>
              <w:widowControl w:val="0"/>
              <w:numPr>
                <w:ilvl w:val="0"/>
                <w:numId w:val="2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提供云端数据集成知识库，能够从云端知识库下载高校常用的数据标准、数据集成映射模型、业务数据模型、数据集成规范文档等资源；</w:t>
            </w:r>
          </w:p>
          <w:p>
            <w:pPr>
              <w:widowControl w:val="0"/>
              <w:numPr>
                <w:ilvl w:val="0"/>
                <w:numId w:val="2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能够与数据治理平台的无缝对接，支持数据源、表、字段级的中文语义载入，降低集成接口开发的技术难度；</w:t>
            </w:r>
          </w:p>
          <w:p>
            <w:pPr>
              <w:widowControl w:val="0"/>
              <w:numPr>
                <w:ilvl w:val="0"/>
                <w:numId w:val="2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提供智能SQL识别功能，提供自定义数据SQL的自动溯源能力，支持与数据治理平台的数据血缘管理对接，能够将各种场景下的数据集成血缘关系在数据治理平台中呈现；</w:t>
            </w:r>
          </w:p>
          <w:p>
            <w:pPr>
              <w:widowControl w:val="0"/>
              <w:numPr>
                <w:ilvl w:val="0"/>
                <w:numId w:val="2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★提供从数据治理平台直接一键生成某个项目下所有集成接口的能力；</w:t>
            </w:r>
          </w:p>
          <w:p>
            <w:pPr>
              <w:widowControl w:val="0"/>
              <w:numPr>
                <w:ilvl w:val="0"/>
                <w:numId w:val="2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★提供与高校常用的数据集成工具（如ODI）的对接，支持将原ODI集成接口迁移至数据集成工具中。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widowControl w:val="0"/>
              <w:spacing w:line="280" w:lineRule="exact"/>
              <w:jc w:val="center"/>
              <w:textAlignment w:val="auto"/>
              <w:rPr>
                <w:rFonts w:ascii="宋体" w:hAnsi="宋体"/>
                <w:b/>
                <w:bCs/>
                <w:color w:val="000000" w:themeColor="text1"/>
                <w:sz w:val="18"/>
                <w:szCs w:val="18"/>
                <w:lang w:val="de-DE"/>
                <w14:textFill>
                  <w14:solidFill>
                    <w14:schemeClr w14:val="tx1"/>
                  </w14:solidFill>
                </w14:textFill>
              </w:rPr>
            </w:pPr>
            <w:r>
              <w:rPr>
                <w:rFonts w:hint="eastAsia" w:ascii="宋体" w:hAnsi="宋体"/>
                <w:b/>
                <w:bCs/>
                <w:color w:val="000000" w:themeColor="text1"/>
                <w:sz w:val="18"/>
                <w:szCs w:val="18"/>
                <w:lang w:val="de-DE"/>
                <w14:textFill>
                  <w14:solidFill>
                    <w14:schemeClr w14:val="tx1"/>
                  </w14:solidFill>
                </w14:textFill>
              </w:rPr>
              <w:t>4</w:t>
            </w:r>
            <w:r>
              <w:rPr>
                <w:rFonts w:ascii="宋体" w:hAnsi="宋体"/>
                <w:b/>
                <w:bCs/>
                <w:color w:val="000000" w:themeColor="text1"/>
                <w:sz w:val="18"/>
                <w:szCs w:val="18"/>
                <w:lang w:val="de-DE"/>
                <w14:textFill>
                  <w14:solidFill>
                    <w14:schemeClr w14:val="tx1"/>
                  </w14:solidFill>
                </w14:textFill>
              </w:rPr>
              <w:t>.</w:t>
            </w:r>
            <w:r>
              <w:rPr>
                <w:rFonts w:hint="eastAsia" w:ascii="宋体" w:hAnsi="宋体"/>
                <w:b/>
                <w:bCs/>
                <w:color w:val="000000" w:themeColor="text1"/>
                <w:sz w:val="18"/>
                <w:szCs w:val="18"/>
                <w:lang w:val="de-DE"/>
                <w14:textFill>
                  <w14:solidFill>
                    <w14:schemeClr w14:val="tx1"/>
                  </w14:solidFill>
                </w14:textFill>
              </w:rPr>
              <w:t>线下数据采集工具</w:t>
            </w: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4</w:t>
            </w:r>
            <w:r>
              <w:rPr>
                <w:rFonts w:ascii="宋体" w:hAnsi="宋体"/>
                <w:color w:val="000000" w:themeColor="text1"/>
                <w:sz w:val="18"/>
                <w:szCs w:val="18"/>
                <w:lang w:val="de-DE"/>
                <w14:textFill>
                  <w14:solidFill>
                    <w14:schemeClr w14:val="tx1"/>
                  </w14:solidFill>
                </w14:textFill>
              </w:rPr>
              <w:t>.1</w:t>
            </w:r>
            <w:r>
              <w:rPr>
                <w:rFonts w:hint="eastAsia" w:ascii="宋体" w:hAnsi="宋体"/>
                <w:color w:val="000000" w:themeColor="text1"/>
                <w:sz w:val="18"/>
                <w:szCs w:val="18"/>
                <w:lang w:val="de-DE"/>
                <w14:textFill>
                  <w14:solidFill>
                    <w14:schemeClr w14:val="tx1"/>
                  </w14:solidFill>
                </w14:textFill>
              </w:rPr>
              <w:t>线下数据采集工具</w:t>
            </w:r>
          </w:p>
        </w:tc>
        <w:tc>
          <w:tcPr>
            <w:tcW w:w="8284" w:type="dxa"/>
          </w:tcPr>
          <w:p>
            <w:pPr>
              <w:widowControl w:val="0"/>
              <w:numPr>
                <w:ilvl w:val="0"/>
                <w:numId w:val="2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平台须采用B/S架构, 纯Web数据采集设计规范，支持分布式机制；</w:t>
            </w:r>
          </w:p>
          <w:p>
            <w:pPr>
              <w:widowControl w:val="0"/>
              <w:numPr>
                <w:ilvl w:val="0"/>
                <w:numId w:val="2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提供校内私有云端或内部数据中心部署，免安装客户端，采用浏览器访问提供的线下数据线上集成采集服务；</w:t>
            </w:r>
          </w:p>
          <w:p>
            <w:pPr>
              <w:widowControl w:val="0"/>
              <w:numPr>
                <w:ilvl w:val="0"/>
                <w:numId w:val="2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支持数据在线建模及数据库同步；</w:t>
            </w:r>
          </w:p>
          <w:p>
            <w:pPr>
              <w:widowControl w:val="0"/>
              <w:numPr>
                <w:ilvl w:val="0"/>
                <w:numId w:val="2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提供数据模板格式的在线调整设计；</w:t>
            </w:r>
          </w:p>
          <w:p>
            <w:pPr>
              <w:widowControl w:val="0"/>
              <w:numPr>
                <w:ilvl w:val="0"/>
                <w:numId w:val="2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支持格式化数据采集模板下载，模板需满足数据单元格内容校验限制；</w:t>
            </w:r>
          </w:p>
          <w:p>
            <w:pPr>
              <w:widowControl w:val="0"/>
              <w:numPr>
                <w:ilvl w:val="0"/>
                <w:numId w:val="2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文件数据批量上传，并能够在线二次调校、补齐数据后导入采集入库。且需满足在线数据调整的操作符合单元格批量拷贝、剪切、粘贴、拖拽设值、自动识别日期单元格日期控件、自动识别代码引用单元格代码下拉选择，数据即改即存；</w:t>
            </w:r>
          </w:p>
          <w:p>
            <w:pPr>
              <w:widowControl w:val="0"/>
              <w:numPr>
                <w:ilvl w:val="0"/>
                <w:numId w:val="2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具备直接通过上传本地Excel文件，在线识别字段列与数据，自动智能建模的能力；</w:t>
            </w:r>
          </w:p>
          <w:p>
            <w:pPr>
              <w:widowControl w:val="0"/>
              <w:numPr>
                <w:ilvl w:val="0"/>
                <w:numId w:val="2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提供在线对单元格内数据进行批量拷贝、剪切、粘贴、拖拽设值等便捷二次调校、补齐数据后，批量上传导入数据采集入库；</w:t>
            </w:r>
          </w:p>
          <w:p>
            <w:pPr>
              <w:widowControl w:val="0"/>
              <w:numPr>
                <w:ilvl w:val="0"/>
                <w:numId w:val="2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提供数据采集后的在线查阅维护，能够在线调整、补漏数据，操作需能支持单元格批量拷贝、剪切、粘贴、拖拽设值、支持且自动识别日期控件和数据下拉选择；</w:t>
            </w:r>
          </w:p>
          <w:p>
            <w:pPr>
              <w:widowControl w:val="0"/>
              <w:numPr>
                <w:ilvl w:val="0"/>
                <w:numId w:val="2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提供数据在线录入的即时校验，拦截不规范数据入库；</w:t>
            </w:r>
          </w:p>
          <w:p>
            <w:pPr>
              <w:widowControl w:val="0"/>
              <w:numPr>
                <w:ilvl w:val="0"/>
                <w:numId w:val="2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提供数据查阅对任意字段的模糊过滤；</w:t>
            </w:r>
          </w:p>
          <w:p>
            <w:pPr>
              <w:widowControl w:val="0"/>
              <w:numPr>
                <w:ilvl w:val="0"/>
                <w:numId w:val="2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提供面向业务部门或业务负责人进行线下数据采集权限分发，可由业务部门负责人进行独立操作上传采集线下数据；</w:t>
            </w:r>
          </w:p>
          <w:p>
            <w:pPr>
              <w:widowControl w:val="0"/>
              <w:numPr>
                <w:ilvl w:val="0"/>
                <w:numId w:val="2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提供面向业务部门或业务负责人开放数据模型删除、修改、数据查询、数据维护的能力；满足到字段级别的权限分发；</w:t>
            </w:r>
          </w:p>
          <w:p>
            <w:pPr>
              <w:widowControl w:val="0"/>
              <w:numPr>
                <w:ilvl w:val="0"/>
                <w:numId w:val="2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提供字段的数据采集校验规则设置，可自定义灵活扩展规则库；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restart"/>
            <w:vAlign w:val="center"/>
          </w:tcPr>
          <w:p>
            <w:pPr>
              <w:widowControl w:val="0"/>
              <w:spacing w:line="280" w:lineRule="exact"/>
              <w:jc w:val="center"/>
              <w:textAlignment w:val="auto"/>
              <w:rPr>
                <w:rFonts w:ascii="宋体" w:hAnsi="宋体"/>
                <w:b/>
                <w:bCs/>
                <w:color w:val="000000" w:themeColor="text1"/>
                <w:sz w:val="18"/>
                <w:szCs w:val="18"/>
                <w:lang w:val="de-DE"/>
                <w14:textFill>
                  <w14:solidFill>
                    <w14:schemeClr w14:val="tx1"/>
                  </w14:solidFill>
                </w14:textFill>
              </w:rPr>
            </w:pPr>
            <w:r>
              <w:rPr>
                <w:rFonts w:hint="eastAsia" w:ascii="宋体" w:hAnsi="宋体"/>
                <w:b/>
                <w:bCs/>
                <w:color w:val="000000" w:themeColor="text1"/>
                <w:sz w:val="18"/>
                <w:szCs w:val="18"/>
                <w:lang w:val="de-DE"/>
                <w14:textFill>
                  <w14:solidFill>
                    <w14:schemeClr w14:val="tx1"/>
                  </w14:solidFill>
                </w14:textFill>
              </w:rPr>
              <w:t>5.一表通</w:t>
            </w: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.1</w:t>
            </w:r>
            <w:r>
              <w:rPr>
                <w:rFonts w:hint="eastAsia" w:ascii="宋体" w:hAnsi="宋体"/>
                <w:color w:val="000000" w:themeColor="text1"/>
                <w:sz w:val="18"/>
                <w:szCs w:val="18"/>
                <w14:textFill>
                  <w14:solidFill>
                    <w14:schemeClr w14:val="tx1"/>
                  </w14:solidFill>
                </w14:textFill>
              </w:rPr>
              <w:t>快速创建</w:t>
            </w:r>
          </w:p>
        </w:tc>
        <w:tc>
          <w:tcPr>
            <w:tcW w:w="8284" w:type="dxa"/>
          </w:tcPr>
          <w:p>
            <w:pPr>
              <w:widowControl w:val="0"/>
              <w:numPr>
                <w:ilvl w:val="0"/>
                <w:numId w:val="2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w:t>
            </w:r>
            <w:r>
              <w:rPr>
                <w:rFonts w:ascii="宋体" w:hAnsi="宋体" w:cs="Times New Roman"/>
                <w:color w:val="000000" w:themeColor="text1"/>
                <w:sz w:val="18"/>
                <w:szCs w:val="18"/>
                <w14:textFill>
                  <w14:solidFill>
                    <w14:schemeClr w14:val="tx1"/>
                  </w14:solidFill>
                </w14:textFill>
              </w:rPr>
              <w:t>通过工具快速自定义创建简单表单和业务表单，可以满足在线调用、信息搜集、在线预约、自助答题、教职工职称申报、年度考核等使用场景，</w:t>
            </w:r>
            <w:r>
              <w:rPr>
                <w:rFonts w:hint="eastAsia" w:ascii="宋体" w:hAnsi="宋体" w:cs="Times New Roman"/>
                <w:color w:val="000000" w:themeColor="text1"/>
                <w:sz w:val="18"/>
                <w:szCs w:val="18"/>
                <w14:textFill>
                  <w14:solidFill>
                    <w14:schemeClr w14:val="tx1"/>
                  </w14:solidFill>
                </w14:textFill>
              </w:rPr>
              <w:t>创建形式包括全新创建和从模版快速创建。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.2</w:t>
            </w:r>
            <w:r>
              <w:rPr>
                <w:rFonts w:hint="eastAsia" w:ascii="宋体" w:hAnsi="宋体"/>
                <w:color w:val="000000" w:themeColor="text1"/>
                <w:sz w:val="18"/>
                <w:szCs w:val="18"/>
                <w14:textFill>
                  <w14:solidFill>
                    <w14:schemeClr w14:val="tx1"/>
                  </w14:solidFill>
                </w14:textFill>
              </w:rPr>
              <w:t>表单设计</w:t>
            </w:r>
          </w:p>
        </w:tc>
        <w:tc>
          <w:tcPr>
            <w:tcW w:w="8284" w:type="dxa"/>
            <w:vAlign w:val="center"/>
          </w:tcPr>
          <w:p>
            <w:pPr>
              <w:widowControl w:val="0"/>
              <w:numPr>
                <w:ilvl w:val="0"/>
                <w:numId w:val="25"/>
              </w:numPr>
              <w:suppressAutoHyphens/>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支持以个人为表单开发单元的表单设计中心</w:t>
            </w:r>
            <w:r>
              <w:rPr>
                <w:rFonts w:ascii="宋体" w:hAnsi="宋体" w:cs="Times New Roman"/>
                <w:color w:val="000000" w:themeColor="text1"/>
                <w:sz w:val="18"/>
                <w:szCs w:val="18"/>
                <w14:textFill>
                  <w14:solidFill>
                    <w14:schemeClr w14:val="tx1"/>
                  </w14:solidFill>
                </w14:textFill>
              </w:rPr>
              <w:t>，支持可视化控件的自由设计能力构建各类表单，</w:t>
            </w:r>
            <w:r>
              <w:rPr>
                <w:rFonts w:hint="eastAsia" w:ascii="宋体" w:hAnsi="宋体" w:cs="Times New Roman"/>
                <w:color w:val="000000" w:themeColor="text1"/>
                <w:sz w:val="18"/>
                <w:szCs w:val="18"/>
                <w14:textFill>
                  <w14:solidFill>
                    <w14:schemeClr w14:val="tx1"/>
                  </w14:solidFill>
                </w14:textFill>
              </w:rPr>
              <w:t>提供在线开放向导、拖拽式的表单设计画布；</w:t>
            </w:r>
          </w:p>
          <w:p>
            <w:pPr>
              <w:widowControl w:val="0"/>
              <w:numPr>
                <w:ilvl w:val="0"/>
                <w:numId w:val="25"/>
              </w:numPr>
              <w:suppressAutoHyphens/>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支持表单个性化服务的展现，包含可对表单进行封面、标题、表单简介富文本编辑、按钮文案等自定义，以及表单内容页的横幅、背景图等自定义设置；</w:t>
            </w:r>
          </w:p>
          <w:p>
            <w:pPr>
              <w:widowControl w:val="0"/>
              <w:numPr>
                <w:ilvl w:val="0"/>
                <w:numId w:val="25"/>
              </w:numPr>
              <w:suppressAutoHyphens/>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提供表单设计的常用编辑组件，包括单行文本、多行文本、下拉、多级下拉、单选、多选、数字、文本描述、</w:t>
            </w:r>
            <w:r>
              <w:rPr>
                <w:rFonts w:ascii="宋体" w:hAnsi="宋体" w:cs="Times New Roman"/>
                <w:color w:val="000000" w:themeColor="text1"/>
                <w:sz w:val="18"/>
                <w:szCs w:val="18"/>
                <w14:textFill>
                  <w14:solidFill>
                    <w14:schemeClr w14:val="tx1"/>
                  </w14:solidFill>
                </w14:textFill>
              </w:rPr>
              <w:t>日期组件、时间组件、定位组件等</w:t>
            </w:r>
            <w:r>
              <w:rPr>
                <w:rFonts w:hint="eastAsia" w:ascii="宋体" w:hAnsi="宋体" w:cs="Times New Roman"/>
                <w:color w:val="000000" w:themeColor="text1"/>
                <w:sz w:val="18"/>
                <w:szCs w:val="18"/>
                <w14:textFill>
                  <w14:solidFill>
                    <w14:schemeClr w14:val="tx1"/>
                  </w14:solidFill>
                </w14:textFill>
              </w:rPr>
              <w:t>；</w:t>
            </w:r>
          </w:p>
          <w:p>
            <w:pPr>
              <w:widowControl w:val="0"/>
              <w:numPr>
                <w:ilvl w:val="0"/>
                <w:numId w:val="25"/>
              </w:numPr>
              <w:suppressAutoHyphens/>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提供表单设计的高级控件功能，包括</w:t>
            </w:r>
            <w:r>
              <w:rPr>
                <w:rFonts w:ascii="宋体" w:hAnsi="宋体" w:cs="Times New Roman"/>
                <w:color w:val="000000" w:themeColor="text1"/>
                <w:sz w:val="18"/>
                <w:szCs w:val="18"/>
                <w14:textFill>
                  <w14:solidFill>
                    <w14:schemeClr w14:val="tx1"/>
                  </w14:solidFill>
                </w14:textFill>
              </w:rPr>
              <w:t>图片多选、图片单选、单图上传、多图上传、视频上传、文档上传、文件上传、评分、排序、表格、</w:t>
            </w:r>
            <w:r>
              <w:rPr>
                <w:rFonts w:hint="eastAsia" w:ascii="宋体" w:hAnsi="宋体" w:cs="Times New Roman"/>
                <w:color w:val="000000" w:themeColor="text1"/>
                <w:sz w:val="18"/>
                <w:szCs w:val="18"/>
                <w14:textFill>
                  <w14:solidFill>
                    <w14:schemeClr w14:val="tx1"/>
                  </w14:solidFill>
                </w14:textFill>
              </w:rPr>
              <w:t>自增表格、表单关联、组件逻辑关联、</w:t>
            </w:r>
            <w:r>
              <w:rPr>
                <w:rFonts w:ascii="宋体" w:hAnsi="宋体" w:cs="Times New Roman"/>
                <w:color w:val="000000" w:themeColor="text1"/>
                <w:sz w:val="18"/>
                <w:szCs w:val="18"/>
                <w14:textFill>
                  <w14:solidFill>
                    <w14:schemeClr w14:val="tx1"/>
                  </w14:solidFill>
                </w14:textFill>
              </w:rPr>
              <w:t>矩形单选、矩形多选、扫描</w:t>
            </w:r>
            <w:r>
              <w:rPr>
                <w:rFonts w:hint="eastAsia" w:ascii="宋体" w:hAnsi="宋体" w:cs="Times New Roman"/>
                <w:color w:val="000000" w:themeColor="text1"/>
                <w:sz w:val="18"/>
                <w:szCs w:val="18"/>
                <w14:textFill>
                  <w14:solidFill>
                    <w14:schemeClr w14:val="tx1"/>
                  </w14:solidFill>
                </w14:textFill>
              </w:rPr>
              <w:t>、链接组件、</w:t>
            </w:r>
            <w:r>
              <w:rPr>
                <w:rFonts w:ascii="宋体" w:hAnsi="宋体" w:cs="Times New Roman"/>
                <w:color w:val="000000" w:themeColor="text1"/>
                <w:sz w:val="18"/>
                <w:szCs w:val="18"/>
                <w14:textFill>
                  <w14:solidFill>
                    <w14:schemeClr w14:val="tx1"/>
                  </w14:solidFill>
                </w14:textFill>
              </w:rPr>
              <w:t>IP地址、</w:t>
            </w:r>
            <w:r>
              <w:rPr>
                <w:rFonts w:hint="eastAsia" w:ascii="宋体" w:hAnsi="宋体" w:cs="Times New Roman"/>
                <w:color w:val="000000" w:themeColor="text1"/>
                <w:sz w:val="18"/>
                <w:szCs w:val="18"/>
                <w14:textFill>
                  <w14:solidFill>
                    <w14:schemeClr w14:val="tx1"/>
                  </w14:solidFill>
                </w14:textFill>
              </w:rPr>
              <w:t>电子</w:t>
            </w:r>
            <w:r>
              <w:rPr>
                <w:rFonts w:ascii="宋体" w:hAnsi="宋体" w:cs="Times New Roman"/>
                <w:color w:val="000000" w:themeColor="text1"/>
                <w:sz w:val="18"/>
                <w:szCs w:val="18"/>
                <w14:textFill>
                  <w14:solidFill>
                    <w14:schemeClr w14:val="tx1"/>
                  </w14:solidFill>
                </w14:textFill>
              </w:rPr>
              <w:t>签名</w:t>
            </w:r>
            <w:r>
              <w:rPr>
                <w:rFonts w:hint="eastAsia" w:ascii="宋体" w:hAnsi="宋体" w:cs="Times New Roman"/>
                <w:color w:val="000000" w:themeColor="text1"/>
                <w:sz w:val="18"/>
                <w:szCs w:val="18"/>
                <w14:textFill>
                  <w14:solidFill>
                    <w14:schemeClr w14:val="tx1"/>
                  </w14:solidFill>
                </w14:textFill>
              </w:rPr>
              <w:t>等；</w:t>
            </w:r>
          </w:p>
          <w:p>
            <w:pPr>
              <w:widowControl w:val="0"/>
              <w:numPr>
                <w:ilvl w:val="0"/>
                <w:numId w:val="25"/>
              </w:numPr>
              <w:suppressAutoHyphens/>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ascii="宋体" w:hAnsi="宋体" w:cs="Times New Roman"/>
                <w:color w:val="000000" w:themeColor="text1"/>
                <w:sz w:val="18"/>
                <w:szCs w:val="18"/>
                <w14:textFill>
                  <w14:solidFill>
                    <w14:schemeClr w14:val="tx1"/>
                  </w14:solidFill>
                </w14:textFill>
              </w:rPr>
              <w:t>支持</w:t>
            </w:r>
            <w:r>
              <w:rPr>
                <w:rFonts w:hint="eastAsia" w:ascii="宋体" w:hAnsi="宋体" w:cs="Times New Roman"/>
                <w:color w:val="000000" w:themeColor="text1"/>
                <w:sz w:val="18"/>
                <w:szCs w:val="18"/>
                <w14:textFill>
                  <w14:solidFill>
                    <w14:schemeClr w14:val="tx1"/>
                  </w14:solidFill>
                </w14:textFill>
              </w:rPr>
              <w:t>多选组件和图片多选组件，</w:t>
            </w:r>
            <w:r>
              <w:rPr>
                <w:rFonts w:ascii="宋体" w:hAnsi="宋体" w:cs="Times New Roman"/>
                <w:color w:val="000000" w:themeColor="text1"/>
                <w:sz w:val="18"/>
                <w:szCs w:val="18"/>
                <w14:textFill>
                  <w14:solidFill>
                    <w14:schemeClr w14:val="tx1"/>
                  </w14:solidFill>
                </w14:textFill>
              </w:rPr>
              <w:t>实现</w:t>
            </w:r>
            <w:r>
              <w:rPr>
                <w:rFonts w:hint="eastAsia" w:ascii="宋体" w:hAnsi="宋体" w:cs="Times New Roman"/>
                <w:color w:val="000000" w:themeColor="text1"/>
                <w:sz w:val="18"/>
                <w:szCs w:val="18"/>
                <w14:textFill>
                  <w14:solidFill>
                    <w14:schemeClr w14:val="tx1"/>
                  </w14:solidFill>
                </w14:textFill>
              </w:rPr>
              <w:t>最少选项和最多选项的限制条件；</w:t>
            </w:r>
          </w:p>
          <w:p>
            <w:pPr>
              <w:widowControl w:val="0"/>
              <w:numPr>
                <w:ilvl w:val="0"/>
                <w:numId w:val="25"/>
              </w:numPr>
              <w:suppressAutoHyphens/>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支持答题组件，可以自定义设置答案和解析，用户提交后自动生成得分</w:t>
            </w:r>
            <w:r>
              <w:rPr>
                <w:rFonts w:ascii="宋体" w:hAnsi="宋体" w:cs="Times New Roman"/>
                <w:color w:val="000000" w:themeColor="text1"/>
                <w:sz w:val="18"/>
                <w:szCs w:val="18"/>
                <w14:textFill>
                  <w14:solidFill>
                    <w14:schemeClr w14:val="tx1"/>
                  </w14:solidFill>
                </w14:textFill>
              </w:rPr>
              <w:t>，包括单选、多选、判断、下拉选择、图片单选、图片多选、填空、问答等多种组件；</w:t>
            </w:r>
          </w:p>
          <w:p>
            <w:pPr>
              <w:widowControl w:val="0"/>
              <w:numPr>
                <w:ilvl w:val="0"/>
                <w:numId w:val="25"/>
              </w:numPr>
              <w:suppressAutoHyphens/>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提供行政区划组件，支持省、市、区和详细地址等详细填报；</w:t>
            </w:r>
          </w:p>
          <w:p>
            <w:pPr>
              <w:widowControl w:val="0"/>
              <w:numPr>
                <w:ilvl w:val="0"/>
                <w:numId w:val="25"/>
              </w:numPr>
              <w:suppressAutoHyphens/>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ascii="宋体" w:hAnsi="宋体" w:cs="Segoe UI Symbol"/>
                <w:color w:val="000000" w:themeColor="text1"/>
                <w:sz w:val="18"/>
                <w:szCs w:val="18"/>
                <w14:textFill>
                  <w14:solidFill>
                    <w14:schemeClr w14:val="tx1"/>
                  </w14:solidFill>
                </w14:textFill>
              </w:rPr>
              <w:t>提供构建复杂业务表单的栅格布局和自增表格，</w:t>
            </w:r>
            <w:r>
              <w:rPr>
                <w:rFonts w:hint="eastAsia" w:ascii="宋体" w:hAnsi="宋体" w:cs="Times New Roman"/>
                <w:color w:val="000000" w:themeColor="text1"/>
                <w:sz w:val="18"/>
                <w:szCs w:val="18"/>
                <w14:textFill>
                  <w14:solidFill>
                    <w14:schemeClr w14:val="tx1"/>
                  </w14:solidFill>
                </w14:textFill>
              </w:rPr>
              <w:t>自增</w:t>
            </w:r>
            <w:r>
              <w:rPr>
                <w:rFonts w:ascii="宋体" w:hAnsi="宋体" w:cs="Times New Roman"/>
                <w:color w:val="000000" w:themeColor="text1"/>
                <w:sz w:val="18"/>
                <w:szCs w:val="18"/>
                <w14:textFill>
                  <w14:solidFill>
                    <w14:schemeClr w14:val="tx1"/>
                  </w14:solidFill>
                </w14:textFill>
              </w:rPr>
              <w:t>表格</w:t>
            </w:r>
            <w:r>
              <w:rPr>
                <w:rFonts w:hint="eastAsia" w:ascii="宋体" w:hAnsi="宋体" w:cs="Times New Roman"/>
                <w:color w:val="000000" w:themeColor="text1"/>
                <w:sz w:val="18"/>
                <w:szCs w:val="18"/>
                <w14:textFill>
                  <w14:solidFill>
                    <w14:schemeClr w14:val="tx1"/>
                  </w14:solidFill>
                </w14:textFill>
              </w:rPr>
              <w:t>功能</w:t>
            </w:r>
            <w:r>
              <w:rPr>
                <w:rFonts w:ascii="宋体" w:hAnsi="宋体" w:cs="Times New Roman"/>
                <w:color w:val="000000" w:themeColor="text1"/>
                <w:sz w:val="18"/>
                <w:szCs w:val="18"/>
                <w14:textFill>
                  <w14:solidFill>
                    <w14:schemeClr w14:val="tx1"/>
                  </w14:solidFill>
                </w14:textFill>
              </w:rPr>
              <w:t>要求支持</w:t>
            </w:r>
            <w:r>
              <w:rPr>
                <w:rFonts w:hint="eastAsia" w:ascii="宋体" w:hAnsi="宋体" w:cs="Times New Roman"/>
                <w:color w:val="000000" w:themeColor="text1"/>
                <w:sz w:val="18"/>
                <w:szCs w:val="18"/>
                <w14:textFill>
                  <w14:solidFill>
                    <w14:schemeClr w14:val="tx1"/>
                  </w14:solidFill>
                </w14:textFill>
              </w:rPr>
              <w:t>是否必填、是否复制、是否删除、是否上传附件、自定义添加行</w:t>
            </w:r>
            <w:r>
              <w:rPr>
                <w:rFonts w:ascii="宋体" w:hAnsi="宋体" w:cs="Times New Roman"/>
                <w:color w:val="000000" w:themeColor="text1"/>
                <w:sz w:val="18"/>
                <w:szCs w:val="18"/>
                <w14:textFill>
                  <w14:solidFill>
                    <w14:schemeClr w14:val="tx1"/>
                  </w14:solidFill>
                </w14:textFill>
              </w:rPr>
              <w:t>的功能，</w:t>
            </w:r>
            <w:r>
              <w:rPr>
                <w:rFonts w:hint="eastAsia" w:ascii="宋体" w:hAnsi="宋体" w:cs="Times New Roman"/>
                <w:color w:val="000000" w:themeColor="text1"/>
                <w:sz w:val="18"/>
                <w:szCs w:val="18"/>
                <w14:textFill>
                  <w14:solidFill>
                    <w14:schemeClr w14:val="tx1"/>
                  </w14:solidFill>
                </w14:textFill>
              </w:rPr>
              <w:t>自增行内</w:t>
            </w:r>
            <w:r>
              <w:rPr>
                <w:rFonts w:ascii="宋体" w:hAnsi="宋体" w:cs="Times New Roman"/>
                <w:color w:val="000000" w:themeColor="text1"/>
                <w:sz w:val="18"/>
                <w:szCs w:val="18"/>
                <w14:textFill>
                  <w14:solidFill>
                    <w14:schemeClr w14:val="tx1"/>
                  </w14:solidFill>
                </w14:textFill>
              </w:rPr>
              <w:t>的</w:t>
            </w:r>
            <w:r>
              <w:rPr>
                <w:rFonts w:hint="eastAsia" w:ascii="宋体" w:hAnsi="宋体" w:cs="Times New Roman"/>
                <w:color w:val="000000" w:themeColor="text1"/>
                <w:sz w:val="18"/>
                <w:szCs w:val="18"/>
                <w14:textFill>
                  <w14:solidFill>
                    <w14:schemeClr w14:val="tx1"/>
                  </w14:solidFill>
                </w14:textFill>
              </w:rPr>
              <w:t>单个字段可拖入组件，如文本框、下拉框、日期控件、单选</w:t>
            </w:r>
            <w:r>
              <w:rPr>
                <w:rFonts w:ascii="宋体" w:hAnsi="宋体" w:cs="Times New Roman"/>
                <w:color w:val="000000" w:themeColor="text1"/>
                <w:sz w:val="18"/>
                <w:szCs w:val="18"/>
                <w14:textFill>
                  <w14:solidFill>
                    <w14:schemeClr w14:val="tx1"/>
                  </w14:solidFill>
                </w14:textFill>
              </w:rPr>
              <w:t>，</w:t>
            </w:r>
            <w:r>
              <w:rPr>
                <w:rFonts w:hint="eastAsia" w:ascii="宋体" w:hAnsi="宋体" w:cs="Times New Roman"/>
                <w:color w:val="000000" w:themeColor="text1"/>
                <w:sz w:val="18"/>
                <w:szCs w:val="18"/>
                <w14:textFill>
                  <w14:solidFill>
                    <w14:schemeClr w14:val="tx1"/>
                  </w14:solidFill>
                </w14:textFill>
              </w:rPr>
              <w:t>并分别配置数据绑定、代码表引用、数据校验规则、必填项等</w:t>
            </w:r>
            <w:r>
              <w:rPr>
                <w:rFonts w:ascii="宋体" w:hAnsi="宋体" w:cs="Times New Roman"/>
                <w:color w:val="000000" w:themeColor="text1"/>
                <w:sz w:val="18"/>
                <w:szCs w:val="18"/>
                <w14:textFill>
                  <w14:solidFill>
                    <w14:schemeClr w14:val="tx1"/>
                  </w14:solidFill>
                </w14:textFill>
              </w:rPr>
              <w:t>校验功能</w:t>
            </w:r>
            <w:r>
              <w:rPr>
                <w:rFonts w:hint="eastAsia" w:ascii="宋体" w:hAnsi="宋体" w:cs="Times New Roman"/>
                <w:color w:val="000000" w:themeColor="text1"/>
                <w:sz w:val="18"/>
                <w:szCs w:val="18"/>
                <w14:textFill>
                  <w14:solidFill>
                    <w14:schemeClr w14:val="tx1"/>
                  </w14:solidFill>
                </w14:textFill>
              </w:rPr>
              <w:t>。</w:t>
            </w:r>
          </w:p>
          <w:p>
            <w:pPr>
              <w:widowControl w:val="0"/>
              <w:numPr>
                <w:ilvl w:val="0"/>
                <w:numId w:val="25"/>
              </w:numPr>
              <w:suppressAutoHyphens/>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ascii="宋体" w:hAnsi="宋体" w:cs="Times New Roman"/>
                <w:color w:val="000000" w:themeColor="text1"/>
                <w:sz w:val="18"/>
                <w:szCs w:val="18"/>
                <w14:textFill>
                  <w14:solidFill>
                    <w14:schemeClr w14:val="tx1"/>
                  </w14:solidFill>
                </w14:textFill>
              </w:rPr>
              <w:t>提供常用组件，用户可以自定义添加常用组件，如姓名、用户ID、部门名称、出生日期、政治面貌、党务职责、专业学历等组件；</w:t>
            </w:r>
          </w:p>
          <w:p>
            <w:pPr>
              <w:widowControl w:val="0"/>
              <w:numPr>
                <w:ilvl w:val="0"/>
                <w:numId w:val="25"/>
              </w:numPr>
              <w:suppressAutoHyphens/>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支持表单组件的数据输入校验（长度大小、是否必填、准确性校验、值域范围等）</w:t>
            </w:r>
            <w:r>
              <w:rPr>
                <w:rFonts w:ascii="宋体" w:hAnsi="宋体" w:cs="Times New Roman"/>
                <w:color w:val="000000" w:themeColor="text1"/>
                <w:sz w:val="18"/>
                <w:szCs w:val="18"/>
                <w14:textFill>
                  <w14:solidFill>
                    <w14:schemeClr w14:val="tx1"/>
                  </w14:solidFill>
                </w14:textFill>
              </w:rPr>
              <w:t>，实现高级</w:t>
            </w:r>
            <w:r>
              <w:rPr>
                <w:rFonts w:hint="eastAsia" w:ascii="宋体" w:hAnsi="宋体" w:cs="Times New Roman"/>
                <w:color w:val="000000" w:themeColor="text1"/>
                <w:sz w:val="18"/>
                <w:szCs w:val="18"/>
                <w14:textFill>
                  <w14:solidFill>
                    <w14:schemeClr w14:val="tx1"/>
                  </w14:solidFill>
                </w14:textFill>
              </w:rPr>
              <w:t>关联校验</w:t>
            </w:r>
            <w:r>
              <w:rPr>
                <w:rFonts w:ascii="宋体" w:hAnsi="宋体" w:cs="Times New Roman"/>
                <w:color w:val="000000" w:themeColor="text1"/>
                <w:sz w:val="18"/>
                <w:szCs w:val="18"/>
                <w14:textFill>
                  <w14:solidFill>
                    <w14:schemeClr w14:val="tx1"/>
                  </w14:solidFill>
                </w14:textFill>
              </w:rPr>
              <w:t>，可以通过自定义查询脚本、</w:t>
            </w:r>
            <w:r>
              <w:rPr>
                <w:rFonts w:hint="eastAsia" w:ascii="宋体" w:hAnsi="宋体" w:cs="Times New Roman"/>
                <w:color w:val="000000" w:themeColor="text1"/>
                <w:sz w:val="18"/>
                <w:szCs w:val="18"/>
                <w14:textFill>
                  <w14:solidFill>
                    <w14:schemeClr w14:val="tx1"/>
                  </w14:solidFill>
                </w14:textFill>
              </w:rPr>
              <w:t>自定义js语法</w:t>
            </w:r>
            <w:r>
              <w:rPr>
                <w:rFonts w:ascii="宋体" w:hAnsi="宋体" w:cs="Times New Roman"/>
                <w:color w:val="000000" w:themeColor="text1"/>
                <w:sz w:val="18"/>
                <w:szCs w:val="18"/>
                <w14:textFill>
                  <w14:solidFill>
                    <w14:schemeClr w14:val="tx1"/>
                  </w14:solidFill>
                </w14:textFill>
              </w:rPr>
              <w:t>和</w:t>
            </w:r>
            <w:r>
              <w:rPr>
                <w:rFonts w:hint="eastAsia" w:ascii="宋体" w:hAnsi="宋体" w:cs="Times New Roman"/>
                <w:color w:val="000000" w:themeColor="text1"/>
                <w:sz w:val="18"/>
                <w:szCs w:val="18"/>
                <w14:textFill>
                  <w14:solidFill>
                    <w14:schemeClr w14:val="tx1"/>
                  </w14:solidFill>
                </w14:textFill>
              </w:rPr>
              <w:t>对接第三方API</w:t>
            </w:r>
            <w:r>
              <w:rPr>
                <w:rFonts w:ascii="宋体" w:hAnsi="宋体" w:cs="Times New Roman"/>
                <w:color w:val="000000" w:themeColor="text1"/>
                <w:sz w:val="18"/>
                <w:szCs w:val="18"/>
                <w14:textFill>
                  <w14:solidFill>
                    <w14:schemeClr w14:val="tx1"/>
                  </w14:solidFill>
                </w14:textFill>
              </w:rPr>
              <w:t>校验；</w:t>
            </w:r>
          </w:p>
          <w:p>
            <w:pPr>
              <w:widowControl w:val="0"/>
              <w:numPr>
                <w:ilvl w:val="0"/>
                <w:numId w:val="25"/>
              </w:numPr>
              <w:suppressAutoHyphens/>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支持组件自定义分组，可设置分组标题、分隔线、是否展示和隐藏等个性化习惯；</w:t>
            </w:r>
          </w:p>
          <w:p>
            <w:pPr>
              <w:widowControl w:val="0"/>
              <w:numPr>
                <w:ilvl w:val="0"/>
                <w:numId w:val="25"/>
              </w:numPr>
              <w:suppressAutoHyphens/>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表单关联组件，支持多表单之间的数据填报联动约束和信息带出展示；也支持单表单之间多组件的逻辑联动，可根据不同的条件限制组件可编辑的状态，满足不同的填报场景的需求进行合理的自定义显示、隐藏的条件和逻辑；</w:t>
            </w:r>
          </w:p>
          <w:p>
            <w:pPr>
              <w:widowControl w:val="0"/>
              <w:numPr>
                <w:ilvl w:val="0"/>
                <w:numId w:val="25"/>
              </w:numPr>
              <w:spacing w:line="280" w:lineRule="exact"/>
              <w:jc w:val="lef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支持表单预览，包括PC&amp;移动端预览，开发内容、排版所见即所得，表单设计过程自动保存，防止误操作造成的数据丢失。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.3流程</w:t>
            </w:r>
            <w:r>
              <w:rPr>
                <w:rFonts w:hint="eastAsia" w:ascii="宋体" w:hAnsi="宋体"/>
                <w:color w:val="000000" w:themeColor="text1"/>
                <w:sz w:val="18"/>
                <w:szCs w:val="18"/>
                <w14:textFill>
                  <w14:solidFill>
                    <w14:schemeClr w14:val="tx1"/>
                  </w14:solidFill>
                </w14:textFill>
              </w:rPr>
              <w:t>配置</w:t>
            </w:r>
          </w:p>
        </w:tc>
        <w:tc>
          <w:tcPr>
            <w:tcW w:w="8284" w:type="dxa"/>
            <w:vAlign w:val="center"/>
          </w:tcPr>
          <w:p>
            <w:pPr>
              <w:widowControl w:val="0"/>
              <w:numPr>
                <w:ilvl w:val="0"/>
                <w:numId w:val="26"/>
              </w:numPr>
              <w:suppressAutoHyphens/>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提供轻流程引擎功能，可对表单审核设置审核流程；</w:t>
            </w:r>
          </w:p>
          <w:p>
            <w:pPr>
              <w:widowControl w:val="0"/>
              <w:numPr>
                <w:ilvl w:val="0"/>
                <w:numId w:val="26"/>
              </w:numPr>
              <w:suppressAutoHyphens/>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 xml:space="preserve">支持审核流程进行无限级流程配置，并支持流程配置纯在线拖拽、拉线式设置； </w:t>
            </w:r>
          </w:p>
          <w:p>
            <w:pPr>
              <w:widowControl w:val="0"/>
              <w:numPr>
                <w:ilvl w:val="0"/>
                <w:numId w:val="26"/>
              </w:numPr>
              <w:suppressAutoHyphens/>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支持按姓名、职工号、审核节点、审核结果等多种高级查询条件去筛选审核数据；</w:t>
            </w:r>
          </w:p>
          <w:p>
            <w:pPr>
              <w:widowControl w:val="0"/>
              <w:numPr>
                <w:ilvl w:val="0"/>
                <w:numId w:val="26"/>
              </w:numPr>
              <w:suppressAutoHyphens/>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ascii="宋体" w:hAnsi="宋体" w:cs="Times New Roman"/>
                <w:color w:val="000000" w:themeColor="text1"/>
                <w:sz w:val="18"/>
                <w:szCs w:val="18"/>
                <w14:textFill>
                  <w14:solidFill>
                    <w14:schemeClr w14:val="tx1"/>
                  </w14:solidFill>
                </w14:textFill>
              </w:rPr>
              <w:t>支持</w:t>
            </w:r>
            <w:r>
              <w:rPr>
                <w:rFonts w:hint="eastAsia" w:ascii="宋体" w:hAnsi="宋体" w:cs="Times New Roman"/>
                <w:color w:val="000000" w:themeColor="text1"/>
                <w:sz w:val="18"/>
                <w:szCs w:val="18"/>
                <w14:textFill>
                  <w14:solidFill>
                    <w14:schemeClr w14:val="tx1"/>
                  </w14:solidFill>
                </w14:textFill>
              </w:rPr>
              <w:t>自定义添加</w:t>
            </w:r>
            <w:r>
              <w:rPr>
                <w:rFonts w:ascii="宋体" w:hAnsi="宋体" w:cs="Times New Roman"/>
                <w:color w:val="000000" w:themeColor="text1"/>
                <w:sz w:val="18"/>
                <w:szCs w:val="18"/>
                <w14:textFill>
                  <w14:solidFill>
                    <w14:schemeClr w14:val="tx1"/>
                  </w14:solidFill>
                </w14:textFill>
              </w:rPr>
              <w:t>多个</w:t>
            </w:r>
            <w:r>
              <w:rPr>
                <w:rFonts w:hint="eastAsia" w:ascii="宋体" w:hAnsi="宋体" w:cs="Times New Roman"/>
                <w:color w:val="000000" w:themeColor="text1"/>
                <w:sz w:val="18"/>
                <w:szCs w:val="18"/>
                <w14:textFill>
                  <w14:solidFill>
                    <w14:schemeClr w14:val="tx1"/>
                  </w14:solidFill>
                </w14:textFill>
              </w:rPr>
              <w:t>审核人、</w:t>
            </w:r>
            <w:r>
              <w:rPr>
                <w:rFonts w:ascii="宋体" w:hAnsi="宋体" w:cs="Times New Roman"/>
                <w:color w:val="000000" w:themeColor="text1"/>
                <w:sz w:val="18"/>
                <w:szCs w:val="18"/>
                <w14:textFill>
                  <w14:solidFill>
                    <w14:schemeClr w14:val="tx1"/>
                  </w14:solidFill>
                </w14:textFill>
              </w:rPr>
              <w:t>多个</w:t>
            </w:r>
            <w:r>
              <w:rPr>
                <w:rFonts w:hint="eastAsia" w:ascii="宋体" w:hAnsi="宋体" w:cs="Times New Roman"/>
                <w:color w:val="000000" w:themeColor="text1"/>
                <w:sz w:val="18"/>
                <w:szCs w:val="18"/>
                <w14:textFill>
                  <w14:solidFill>
                    <w14:schemeClr w14:val="tx1"/>
                  </w14:solidFill>
                </w14:textFill>
              </w:rPr>
              <w:t>条件分支；</w:t>
            </w:r>
          </w:p>
          <w:p>
            <w:pPr>
              <w:widowControl w:val="0"/>
              <w:numPr>
                <w:ilvl w:val="0"/>
                <w:numId w:val="26"/>
              </w:numPr>
              <w:suppressAutoHyphens/>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支持同一个人在多节点审核，支持审核结果带标识</w:t>
            </w:r>
            <w:r>
              <w:rPr>
                <w:rFonts w:ascii="宋体" w:hAnsi="宋体" w:cs="Times New Roman"/>
                <w:color w:val="000000" w:themeColor="text1"/>
                <w:sz w:val="18"/>
                <w:szCs w:val="18"/>
                <w14:textFill>
                  <w14:solidFill>
                    <w14:schemeClr w14:val="tx1"/>
                  </w14:solidFill>
                </w14:textFill>
              </w:rPr>
              <w:t>；</w:t>
            </w:r>
          </w:p>
          <w:p>
            <w:pPr>
              <w:widowControl w:val="0"/>
              <w:numPr>
                <w:ilvl w:val="0"/>
                <w:numId w:val="26"/>
              </w:numPr>
              <w:suppressAutoHyphens/>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ascii="宋体" w:hAnsi="宋体" w:cs="Times New Roman"/>
                <w:color w:val="000000" w:themeColor="text1"/>
                <w:sz w:val="18"/>
                <w:szCs w:val="18"/>
                <w14:textFill>
                  <w14:solidFill>
                    <w14:schemeClr w14:val="tx1"/>
                  </w14:solidFill>
                </w14:textFill>
              </w:rPr>
              <w:t>支持</w:t>
            </w:r>
            <w:r>
              <w:rPr>
                <w:rFonts w:hint="eastAsia" w:ascii="宋体" w:hAnsi="宋体" w:cs="Times New Roman"/>
                <w:color w:val="000000" w:themeColor="text1"/>
                <w:sz w:val="18"/>
                <w:szCs w:val="18"/>
                <w14:textFill>
                  <w14:solidFill>
                    <w14:schemeClr w14:val="tx1"/>
                  </w14:solidFill>
                </w14:textFill>
              </w:rPr>
              <w:t>同一节点多人会签、或签</w:t>
            </w:r>
            <w:r>
              <w:rPr>
                <w:rFonts w:ascii="宋体" w:hAnsi="宋体" w:cs="Times New Roman"/>
                <w:color w:val="000000" w:themeColor="text1"/>
                <w:sz w:val="18"/>
                <w:szCs w:val="18"/>
                <w14:textFill>
                  <w14:solidFill>
                    <w14:schemeClr w14:val="tx1"/>
                  </w14:solidFill>
                </w14:textFill>
              </w:rPr>
              <w:t>；</w:t>
            </w:r>
          </w:p>
          <w:p>
            <w:pPr>
              <w:widowControl w:val="0"/>
              <w:numPr>
                <w:ilvl w:val="0"/>
                <w:numId w:val="26"/>
              </w:numPr>
              <w:suppressAutoHyphens/>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Segoe UI Symbol"/>
                <w:color w:val="000000" w:themeColor="text1"/>
                <w:sz w:val="18"/>
                <w:szCs w:val="18"/>
                <w14:textFill>
                  <w14:solidFill>
                    <w14:schemeClr w14:val="tx1"/>
                  </w14:solidFill>
                </w14:textFill>
              </w:rPr>
              <w:t>★</w:t>
            </w:r>
            <w:r>
              <w:rPr>
                <w:rFonts w:hint="eastAsia" w:ascii="宋体" w:hAnsi="宋体" w:cs="Times New Roman"/>
                <w:color w:val="000000" w:themeColor="text1"/>
                <w:sz w:val="18"/>
                <w:szCs w:val="18"/>
                <w14:textFill>
                  <w14:solidFill>
                    <w14:schemeClr w14:val="tx1"/>
                  </w14:solidFill>
                </w14:textFill>
              </w:rPr>
              <w:t>设置审核消息推送，实现发送消息自定义配置发送时间（分为立即发送、在截止时间前发送）、发送对象（按审核节点推送，当审核流程达到某节点时，可通过消息提醒相应审核人员；所有审核人员推送）、发送内容，支持设置审核结束，消息提醒表单填报者（按审核节点推送、按所有审核结束推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.4</w:t>
            </w:r>
            <w:r>
              <w:rPr>
                <w:rFonts w:hint="eastAsia" w:ascii="宋体" w:hAnsi="宋体"/>
                <w:color w:val="000000" w:themeColor="text1"/>
                <w:sz w:val="18"/>
                <w:szCs w:val="18"/>
                <w14:textFill>
                  <w14:solidFill>
                    <w14:schemeClr w14:val="tx1"/>
                  </w14:solidFill>
                </w14:textFill>
              </w:rPr>
              <w:t>表单发布</w:t>
            </w:r>
          </w:p>
        </w:tc>
        <w:tc>
          <w:tcPr>
            <w:tcW w:w="8284" w:type="dxa"/>
            <w:vAlign w:val="center"/>
          </w:tcPr>
          <w:p>
            <w:pPr>
              <w:widowControl w:val="0"/>
              <w:numPr>
                <w:ilvl w:val="0"/>
                <w:numId w:val="27"/>
              </w:numPr>
              <w:suppressAutoHyphens/>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支持设置表单状态，是否开启或关闭收集数据；</w:t>
            </w:r>
          </w:p>
          <w:p>
            <w:pPr>
              <w:widowControl w:val="0"/>
              <w:numPr>
                <w:ilvl w:val="0"/>
                <w:numId w:val="27"/>
              </w:numPr>
              <w:suppressAutoHyphens/>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支持设置是否登录填报、是否匿名、是否限定填表人范围；</w:t>
            </w:r>
          </w:p>
          <w:p>
            <w:pPr>
              <w:widowControl w:val="0"/>
              <w:numPr>
                <w:ilvl w:val="0"/>
                <w:numId w:val="27"/>
              </w:numPr>
              <w:suppressAutoHyphens/>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支持自定义填报的开始时间、填报的截止时间、填报上限；</w:t>
            </w:r>
          </w:p>
          <w:p>
            <w:pPr>
              <w:widowControl w:val="0"/>
              <w:numPr>
                <w:ilvl w:val="0"/>
                <w:numId w:val="27"/>
              </w:numPr>
              <w:suppressAutoHyphens/>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支持多种形式和频次的填报，如一次性填报、更新覆盖填报、以及周期性填报（日报、周报、月报）等多种形式，支持对填报客户端、账号等进行填报有效性限制和填报次数控制；</w:t>
            </w:r>
          </w:p>
          <w:p>
            <w:pPr>
              <w:widowControl w:val="0"/>
              <w:numPr>
                <w:ilvl w:val="0"/>
                <w:numId w:val="27"/>
              </w:numPr>
              <w:suppressAutoHyphens/>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支持历史填充的自定义设置，可根据实际情况选择适配需要带出上一次填报数据的组件；</w:t>
            </w:r>
          </w:p>
          <w:p>
            <w:pPr>
              <w:widowControl w:val="0"/>
              <w:numPr>
                <w:ilvl w:val="0"/>
                <w:numId w:val="27"/>
              </w:numPr>
              <w:suppressAutoHyphens/>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支持对表单数据保存的灵活性，如保留最新或历史；</w:t>
            </w:r>
          </w:p>
          <w:p>
            <w:pPr>
              <w:widowControl w:val="0"/>
              <w:numPr>
                <w:ilvl w:val="0"/>
                <w:numId w:val="27"/>
              </w:numPr>
              <w:suppressAutoHyphens/>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支持表单封面自定义设置、表单访问密码、提交验证码、自定义提交文案、自定义提交成功提示信息文案；</w:t>
            </w:r>
          </w:p>
          <w:p>
            <w:pPr>
              <w:widowControl w:val="0"/>
              <w:numPr>
                <w:ilvl w:val="0"/>
                <w:numId w:val="27"/>
              </w:numPr>
              <w:suppressAutoHyphens/>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支持设置疫情高风险地区，根据填报者的定位判断如在高风险省市区，实现提示信息发给填写者，管理者在统计数据中可查看哪些人在高风险区域。</w:t>
            </w:r>
          </w:p>
          <w:p>
            <w:pPr>
              <w:widowControl w:val="0"/>
              <w:numPr>
                <w:ilvl w:val="0"/>
                <w:numId w:val="27"/>
              </w:numPr>
              <w:suppressAutoHyphens/>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支持表单可选择是否定向推送。非定向推送情况下，支持表单可通过URL共享（邮件、通知公告等）、动态二维码分享、线下打印等多种方式发布。定向推送情况下，支持用户自定义选择填表对象并进行推送；</w:t>
            </w:r>
          </w:p>
          <w:p>
            <w:pPr>
              <w:widowControl w:val="0"/>
              <w:numPr>
                <w:ilvl w:val="0"/>
                <w:numId w:val="27"/>
              </w:numPr>
              <w:suppressAutoHyphens/>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支持二次安全密码访问控制或验证码等安全防控体系。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.5</w:t>
            </w:r>
            <w:r>
              <w:rPr>
                <w:rFonts w:hint="eastAsia" w:ascii="宋体" w:hAnsi="宋体"/>
                <w:color w:val="000000" w:themeColor="text1"/>
                <w:sz w:val="18"/>
                <w:szCs w:val="18"/>
                <w14:textFill>
                  <w14:solidFill>
                    <w14:schemeClr w14:val="tx1"/>
                  </w14:solidFill>
                </w14:textFill>
              </w:rPr>
              <w:t>表单管理</w:t>
            </w:r>
          </w:p>
        </w:tc>
        <w:tc>
          <w:tcPr>
            <w:tcW w:w="8284" w:type="dxa"/>
            <w:vAlign w:val="center"/>
          </w:tcPr>
          <w:p>
            <w:pPr>
              <w:widowControl w:val="0"/>
              <w:numPr>
                <w:ilvl w:val="0"/>
                <w:numId w:val="28"/>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支持展示我创建的表单，支持列表、卡片多种展示形式；</w:t>
            </w:r>
          </w:p>
          <w:p>
            <w:pPr>
              <w:widowControl w:val="0"/>
              <w:numPr>
                <w:ilvl w:val="0"/>
                <w:numId w:val="28"/>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支持表单模糊检索；</w:t>
            </w:r>
          </w:p>
          <w:p>
            <w:pPr>
              <w:widowControl w:val="0"/>
              <w:numPr>
                <w:ilvl w:val="0"/>
                <w:numId w:val="28"/>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支持表单快速过滤查询；</w:t>
            </w:r>
          </w:p>
          <w:p>
            <w:pPr>
              <w:widowControl w:val="0"/>
              <w:numPr>
                <w:ilvl w:val="0"/>
                <w:numId w:val="28"/>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支持表单查看预览，二次编辑；</w:t>
            </w:r>
          </w:p>
          <w:p>
            <w:pPr>
              <w:widowControl w:val="0"/>
              <w:numPr>
                <w:ilvl w:val="0"/>
                <w:numId w:val="28"/>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支持表单临时创建，存草稿箱；</w:t>
            </w:r>
          </w:p>
          <w:p>
            <w:pPr>
              <w:widowControl w:val="0"/>
              <w:numPr>
                <w:ilvl w:val="0"/>
                <w:numId w:val="28"/>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支持表单收藏、表单删除、表单</w:t>
            </w:r>
            <w:r>
              <w:rPr>
                <w:rFonts w:ascii="宋体" w:hAnsi="宋体" w:cs="Times New Roman"/>
                <w:color w:val="000000" w:themeColor="text1"/>
                <w:sz w:val="18"/>
                <w:szCs w:val="18"/>
                <w14:textFill>
                  <w14:solidFill>
                    <w14:schemeClr w14:val="tx1"/>
                  </w14:solidFill>
                </w14:textFill>
              </w:rPr>
              <w:t>草稿箱</w:t>
            </w:r>
            <w:r>
              <w:rPr>
                <w:rFonts w:hint="eastAsia" w:ascii="宋体" w:hAnsi="宋体" w:cs="Times New Roman"/>
                <w:color w:val="000000" w:themeColor="text1"/>
                <w:sz w:val="18"/>
                <w:szCs w:val="18"/>
                <w14:textFill>
                  <w14:solidFill>
                    <w14:schemeClr w14:val="tx1"/>
                  </w14:solidFill>
                </w14:textFill>
              </w:rPr>
              <w:t>功能；</w:t>
            </w:r>
          </w:p>
          <w:p>
            <w:pPr>
              <w:widowControl w:val="0"/>
              <w:numPr>
                <w:ilvl w:val="0"/>
                <w:numId w:val="28"/>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支持表单共享的能力，可以将个人创建的表单共享给他人</w:t>
            </w:r>
            <w:r>
              <w:rPr>
                <w:rFonts w:ascii="宋体" w:hAnsi="宋体" w:cs="Times New Roman"/>
                <w:color w:val="000000" w:themeColor="text1"/>
                <w:sz w:val="18"/>
                <w:szCs w:val="18"/>
                <w14:textFill>
                  <w14:solidFill>
                    <w14:schemeClr w14:val="tx1"/>
                  </w14:solidFill>
                </w14:textFill>
              </w:rPr>
              <w:t>；</w:t>
            </w:r>
          </w:p>
          <w:p>
            <w:pPr>
              <w:widowControl w:val="0"/>
              <w:numPr>
                <w:ilvl w:val="0"/>
                <w:numId w:val="28"/>
              </w:numPr>
              <w:suppressAutoHyphens/>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ascii="宋体" w:hAnsi="宋体" w:cs="Times New Roman"/>
                <w:color w:val="000000" w:themeColor="text1"/>
                <w:sz w:val="18"/>
                <w:szCs w:val="18"/>
                <w14:textFill>
                  <w14:solidFill>
                    <w14:schemeClr w14:val="tx1"/>
                  </w14:solidFill>
                </w14:textFill>
              </w:rPr>
              <w:t>支持表单数据查看功能，可以</w:t>
            </w:r>
            <w:r>
              <w:rPr>
                <w:rFonts w:hint="eastAsia" w:ascii="宋体" w:hAnsi="宋体" w:cs="Times New Roman"/>
                <w:color w:val="000000" w:themeColor="text1"/>
                <w:sz w:val="18"/>
                <w:szCs w:val="18"/>
                <w14:textFill>
                  <w14:solidFill>
                    <w14:schemeClr w14:val="tx1"/>
                  </w14:solidFill>
                </w14:textFill>
              </w:rPr>
              <w:t>查看填报总计、当日填报、浏览量、以及填报数据，并提供导入、导出数据；</w:t>
            </w:r>
          </w:p>
          <w:p>
            <w:pPr>
              <w:widowControl w:val="0"/>
              <w:numPr>
                <w:ilvl w:val="0"/>
                <w:numId w:val="28"/>
              </w:numPr>
              <w:suppressAutoHyphens/>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ascii="宋体" w:hAnsi="宋体" w:cs="Times New Roman"/>
                <w:color w:val="000000" w:themeColor="text1"/>
                <w:sz w:val="18"/>
                <w:szCs w:val="18"/>
                <w14:textFill>
                  <w14:solidFill>
                    <w14:schemeClr w14:val="tx1"/>
                  </w14:solidFill>
                </w14:textFill>
              </w:rPr>
              <w:t>支持表单数据导出时，实现导出带图片的excel表格；</w:t>
            </w:r>
          </w:p>
          <w:p>
            <w:pPr>
              <w:widowControl w:val="0"/>
              <w:numPr>
                <w:ilvl w:val="0"/>
                <w:numId w:val="28"/>
              </w:numPr>
              <w:suppressAutoHyphens/>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支持面向部门多级权限的统计查询，可发布统计入口给相应的部门负责人进行后台数据查询统计。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.6</w:t>
            </w:r>
            <w:r>
              <w:rPr>
                <w:rFonts w:hint="eastAsia" w:ascii="宋体" w:hAnsi="宋体"/>
                <w:color w:val="000000" w:themeColor="text1"/>
                <w:sz w:val="18"/>
                <w:szCs w:val="18"/>
                <w14:textFill>
                  <w14:solidFill>
                    <w14:schemeClr w14:val="tx1"/>
                  </w14:solidFill>
                </w14:textFill>
              </w:rPr>
              <w:t>统计配置</w:t>
            </w:r>
          </w:p>
        </w:tc>
        <w:tc>
          <w:tcPr>
            <w:tcW w:w="8284" w:type="dxa"/>
            <w:vAlign w:val="center"/>
          </w:tcPr>
          <w:p>
            <w:pPr>
              <w:widowControl w:val="0"/>
              <w:numPr>
                <w:ilvl w:val="0"/>
                <w:numId w:val="29"/>
              </w:numPr>
              <w:suppressAutoHyphens/>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支持个人表单数据采集的后端明细查询，支持分页查询、批量导出、以及线下数据采集批量导入维护等能力。</w:t>
            </w:r>
          </w:p>
          <w:p>
            <w:pPr>
              <w:widowControl w:val="0"/>
              <w:numPr>
                <w:ilvl w:val="0"/>
                <w:numId w:val="29"/>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用户的定制化需要，配置符合现场业务的统计页面（如填报总人数、已填报、未填报、已审核、未审核等等指标）、支持简单数据检索、数据导出（Excle）包含内容不少于：标题、描述、过滤条件、KIP统计指标、统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5.7</w:t>
            </w:r>
            <w:r>
              <w:rPr>
                <w:rFonts w:hint="eastAsia" w:ascii="宋体" w:hAnsi="宋体"/>
                <w:color w:val="000000" w:themeColor="text1"/>
                <w:sz w:val="18"/>
                <w:szCs w:val="18"/>
                <w14:textFill>
                  <w14:solidFill>
                    <w14:schemeClr w14:val="tx1"/>
                  </w14:solidFill>
                </w14:textFill>
              </w:rPr>
              <w:t>模板管理</w:t>
            </w:r>
          </w:p>
        </w:tc>
        <w:tc>
          <w:tcPr>
            <w:tcW w:w="8284" w:type="dxa"/>
          </w:tcPr>
          <w:p>
            <w:pPr>
              <w:widowControl w:val="0"/>
              <w:numPr>
                <w:ilvl w:val="0"/>
                <w:numId w:val="30"/>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提供通用表单常规应用场景以及应用模板不少于</w:t>
            </w:r>
            <w:r>
              <w:rPr>
                <w:rFonts w:ascii="宋体" w:hAnsi="宋体" w:cs="Times New Roman"/>
                <w:color w:val="000000" w:themeColor="text1"/>
                <w:sz w:val="18"/>
                <w:szCs w:val="18"/>
                <w14:textFill>
                  <w14:solidFill>
                    <w14:schemeClr w14:val="tx1"/>
                  </w14:solidFill>
                </w14:textFill>
              </w:rPr>
              <w:t>20</w:t>
            </w:r>
            <w:r>
              <w:rPr>
                <w:rFonts w:hint="eastAsia" w:ascii="宋体" w:hAnsi="宋体" w:cs="Times New Roman"/>
                <w:color w:val="000000" w:themeColor="text1"/>
                <w:sz w:val="18"/>
                <w:szCs w:val="18"/>
                <w14:textFill>
                  <w14:solidFill>
                    <w14:schemeClr w14:val="tx1"/>
                  </w14:solidFill>
                </w14:textFill>
              </w:rPr>
              <w:t>套。平台面向业务人员开放，供每一个表单开发者在线查看，并基于模板为学校量身定做个性需求的表单，减轻学校的开发工作压力，促进学校工作效率的提升.</w:t>
            </w:r>
          </w:p>
          <w:p>
            <w:pPr>
              <w:widowControl w:val="0"/>
              <w:numPr>
                <w:ilvl w:val="0"/>
                <w:numId w:val="30"/>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模板中的应用场景包含（且不限于）以下：学生信息登记、志愿者申请报名、会议报名、活动报名、试听课预约、满意度调查、毕业生信息登记、在线答题、会议签到、教职工职称申报、中层干部年度考核、教师考核、教师岗位聘任等。</w:t>
            </w:r>
          </w:p>
          <w:p>
            <w:pPr>
              <w:widowControl w:val="0"/>
              <w:numPr>
                <w:ilvl w:val="0"/>
                <w:numId w:val="30"/>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以任一场景（如：年度考核表填报）为场景，实现从设计（包括系统管理员设计模板，业务管理员引用模板并能根据需要稍作修改）、发布（须能定向发布到相应的教师用户）、填报、收集、统计分析各环节的功能。</w:t>
            </w:r>
          </w:p>
          <w:p>
            <w:pPr>
              <w:widowControl w:val="0"/>
              <w:numPr>
                <w:ilvl w:val="0"/>
                <w:numId w:val="30"/>
              </w:numPr>
              <w:suppressAutoHyphens/>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模板支持面向所有者的公有模板和面向自己的私有模板库两种，可以进行模板库的自定义。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.8我的填报</w:t>
            </w:r>
          </w:p>
        </w:tc>
        <w:tc>
          <w:tcPr>
            <w:tcW w:w="8284" w:type="dxa"/>
          </w:tcPr>
          <w:p>
            <w:pPr>
              <w:widowControl w:val="0"/>
              <w:numPr>
                <w:ilvl w:val="0"/>
                <w:numId w:val="31"/>
              </w:numPr>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提供统一的师生表单</w:t>
            </w:r>
            <w:r>
              <w:rPr>
                <w:rFonts w:ascii="宋体" w:hAnsi="宋体" w:cs="Times New Roman"/>
                <w:color w:val="000000" w:themeColor="text1"/>
                <w:sz w:val="18"/>
                <w:szCs w:val="18"/>
                <w14:textFill>
                  <w14:solidFill>
                    <w14:schemeClr w14:val="tx1"/>
                  </w14:solidFill>
                </w14:textFill>
              </w:rPr>
              <w:t>填报</w:t>
            </w:r>
            <w:r>
              <w:rPr>
                <w:rFonts w:hint="eastAsia" w:ascii="宋体" w:hAnsi="宋体" w:cs="Times New Roman"/>
                <w:color w:val="000000" w:themeColor="text1"/>
                <w:sz w:val="18"/>
                <w:szCs w:val="18"/>
                <w14:textFill>
                  <w14:solidFill>
                    <w14:schemeClr w14:val="tx1"/>
                  </w14:solidFill>
                </w14:textFill>
              </w:rPr>
              <w:t>服务入口，通过表单发布的权限，精准推送师生填报的应用中心，支持历史数据填充，对已填报数据的复用，进一步解决重复填报的问题，提高表单填报效率。</w:t>
            </w:r>
          </w:p>
          <w:p>
            <w:pPr>
              <w:widowControl w:val="0"/>
              <w:numPr>
                <w:ilvl w:val="0"/>
                <w:numId w:val="31"/>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支持查看个人的填报概况，包括所有填报的表单、已填报表单和未填报表单数量；</w:t>
            </w:r>
          </w:p>
          <w:p>
            <w:pPr>
              <w:widowControl w:val="0"/>
              <w:numPr>
                <w:ilvl w:val="0"/>
                <w:numId w:val="31"/>
              </w:numPr>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支持个人在线填报能力，提供在线数据填报功能，可对所填报数据进行线上编辑、提交、修改；</w:t>
            </w:r>
          </w:p>
          <w:p>
            <w:pPr>
              <w:widowControl w:val="0"/>
              <w:numPr>
                <w:ilvl w:val="0"/>
                <w:numId w:val="31"/>
              </w:numPr>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支持用户个人进行表单撤销：可在管理员审核前撤回自己填报的表单。表单再次填写：如配置了历史填充的字段，撤销后重填，带上一次数据进行填写</w:t>
            </w:r>
          </w:p>
          <w:p>
            <w:pPr>
              <w:widowControl w:val="0"/>
              <w:numPr>
                <w:ilvl w:val="0"/>
                <w:numId w:val="31"/>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支持个人对于表单历史填表数据记录的查询。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.9我的审核</w:t>
            </w:r>
          </w:p>
        </w:tc>
        <w:tc>
          <w:tcPr>
            <w:tcW w:w="8284" w:type="dxa"/>
          </w:tcPr>
          <w:p>
            <w:pPr>
              <w:widowControl w:val="0"/>
              <w:numPr>
                <w:ilvl w:val="0"/>
                <w:numId w:val="32"/>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有配置权限的用户，可以按照表单的审批流程，进行审核操作；</w:t>
            </w:r>
          </w:p>
          <w:p>
            <w:pPr>
              <w:widowControl w:val="0"/>
              <w:numPr>
                <w:ilvl w:val="0"/>
                <w:numId w:val="32"/>
              </w:numPr>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Segoe UI Symbol"/>
                <w:color w:val="000000" w:themeColor="text1"/>
                <w:sz w:val="18"/>
                <w:szCs w:val="18"/>
                <w14:textFill>
                  <w14:solidFill>
                    <w14:schemeClr w14:val="tx1"/>
                  </w14:solidFill>
                </w14:textFill>
              </w:rPr>
              <w:t>★</w:t>
            </w:r>
            <w:r>
              <w:rPr>
                <w:rFonts w:hint="eastAsia" w:ascii="宋体" w:hAnsi="宋体" w:cs="Times New Roman"/>
                <w:color w:val="000000" w:themeColor="text1"/>
                <w:sz w:val="18"/>
                <w:szCs w:val="18"/>
                <w14:textFill>
                  <w14:solidFill>
                    <w14:schemeClr w14:val="tx1"/>
                  </w14:solidFill>
                </w14:textFill>
              </w:rPr>
              <w:t>用户填写表单后，</w:t>
            </w:r>
            <w:r>
              <w:rPr>
                <w:rFonts w:ascii="宋体" w:hAnsi="宋体" w:cs="Times New Roman"/>
                <w:color w:val="000000" w:themeColor="text1"/>
                <w:sz w:val="18"/>
                <w:szCs w:val="18"/>
                <w14:textFill>
                  <w14:solidFill>
                    <w14:schemeClr w14:val="tx1"/>
                  </w14:solidFill>
                </w14:textFill>
              </w:rPr>
              <w:t>管理员可以按业务权限审核和查看数据，支持模糊查询，支持按姓名、职工号、审核节点、审核结果多种查询条件去筛选审核数据，支持通过自定义添加搜索条件的高级检索功能，高级检索可以支持And、Or，等于、不等于、空值、在范围内等多种查询条件，也支持同一个人在多节点审核，支持审核结果带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.10数据查看</w:t>
            </w:r>
          </w:p>
        </w:tc>
        <w:tc>
          <w:tcPr>
            <w:tcW w:w="8284" w:type="dxa"/>
          </w:tcPr>
          <w:p>
            <w:pPr>
              <w:widowControl w:val="0"/>
              <w:numPr>
                <w:ilvl w:val="0"/>
                <w:numId w:val="33"/>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配置分权查看的权限，用户可以按照权限范围查看表单；</w:t>
            </w:r>
          </w:p>
          <w:p>
            <w:pPr>
              <w:widowControl w:val="0"/>
              <w:numPr>
                <w:ilvl w:val="0"/>
                <w:numId w:val="33"/>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可查看所有的历史填报数据</w:t>
            </w:r>
            <w:r>
              <w:rPr>
                <w:rFonts w:ascii="宋体" w:hAnsi="宋体" w:cs="Times New Roman"/>
                <w:color w:val="000000" w:themeColor="text1"/>
                <w:sz w:val="18"/>
                <w:szCs w:val="18"/>
                <w14:textFill>
                  <w14:solidFill>
                    <w14:schemeClr w14:val="tx1"/>
                  </w14:solidFill>
                </w14:textFill>
              </w:rPr>
              <w:t>；</w:t>
            </w:r>
          </w:p>
          <w:p>
            <w:pPr>
              <w:widowControl w:val="0"/>
              <w:numPr>
                <w:ilvl w:val="0"/>
                <w:numId w:val="33"/>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ascii="宋体" w:hAnsi="宋体" w:cs="Times New Roman"/>
                <w:color w:val="000000" w:themeColor="text1"/>
                <w:sz w:val="18"/>
                <w:szCs w:val="18"/>
                <w14:textFill>
                  <w14:solidFill>
                    <w14:schemeClr w14:val="tx1"/>
                  </w14:solidFill>
                </w14:textFill>
              </w:rPr>
              <w:t>有权限查看数据的用户，支持通过高级检索自定义添加查看条件；</w:t>
            </w:r>
          </w:p>
          <w:p>
            <w:pPr>
              <w:widowControl w:val="0"/>
              <w:numPr>
                <w:ilvl w:val="0"/>
                <w:numId w:val="33"/>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ascii="宋体" w:hAnsi="宋体" w:cs="Times New Roman"/>
                <w:color w:val="000000" w:themeColor="text1"/>
                <w:sz w:val="18"/>
                <w:szCs w:val="18"/>
                <w14:textFill>
                  <w14:solidFill>
                    <w14:schemeClr w14:val="tx1"/>
                  </w14:solidFill>
                </w14:textFill>
              </w:rPr>
              <w:t>支持查看数据统计功能。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.11用户中心</w:t>
            </w:r>
          </w:p>
        </w:tc>
        <w:tc>
          <w:tcPr>
            <w:tcW w:w="8284" w:type="dxa"/>
          </w:tcPr>
          <w:p>
            <w:pPr>
              <w:widowControl w:val="0"/>
              <w:numPr>
                <w:ilvl w:val="0"/>
                <w:numId w:val="34"/>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ascii="宋体" w:hAnsi="宋体" w:cs="Times New Roman"/>
                <w:color w:val="000000" w:themeColor="text1"/>
                <w:sz w:val="18"/>
                <w:szCs w:val="18"/>
                <w14:textFill>
                  <w14:solidFill>
                    <w14:schemeClr w14:val="tx1"/>
                  </w14:solidFill>
                </w14:textFill>
              </w:rPr>
              <w:t>用户中心支持横幅配置、填充配置、系统管理和消息中心；</w:t>
            </w:r>
          </w:p>
          <w:p>
            <w:pPr>
              <w:widowControl w:val="0"/>
              <w:numPr>
                <w:ilvl w:val="0"/>
                <w:numId w:val="34"/>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ascii="宋体" w:hAnsi="宋体" w:cs="Times New Roman"/>
                <w:color w:val="000000" w:themeColor="text1"/>
                <w:sz w:val="18"/>
                <w:szCs w:val="18"/>
                <w14:textFill>
                  <w14:solidFill>
                    <w14:schemeClr w14:val="tx1"/>
                  </w14:solidFill>
                </w14:textFill>
              </w:rPr>
              <w:t>自定义横幅信息，在模版中心展示，实现模板关联过滤；</w:t>
            </w:r>
          </w:p>
          <w:p>
            <w:pPr>
              <w:widowControl w:val="0"/>
              <w:numPr>
                <w:ilvl w:val="0"/>
                <w:numId w:val="34"/>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ascii="宋体" w:hAnsi="宋体" w:cs="Times New Roman"/>
                <w:color w:val="000000" w:themeColor="text1"/>
                <w:sz w:val="18"/>
                <w:szCs w:val="18"/>
                <w14:textFill>
                  <w14:solidFill>
                    <w14:schemeClr w14:val="tx1"/>
                  </w14:solidFill>
                </w14:textFill>
              </w:rPr>
              <w:t>填充配置可以</w:t>
            </w:r>
            <w:r>
              <w:rPr>
                <w:rFonts w:hint="eastAsia" w:ascii="宋体" w:hAnsi="宋体" w:cs="Times New Roman"/>
                <w:color w:val="000000" w:themeColor="text1"/>
                <w:sz w:val="18"/>
                <w:szCs w:val="18"/>
                <w14:textFill>
                  <w14:solidFill>
                    <w14:schemeClr w14:val="tx1"/>
                  </w14:solidFill>
                </w14:textFill>
              </w:rPr>
              <w:t>定义自动填充项的分类，可新增、编辑、删除；</w:t>
            </w:r>
          </w:p>
          <w:p>
            <w:pPr>
              <w:widowControl w:val="0"/>
              <w:numPr>
                <w:ilvl w:val="0"/>
                <w:numId w:val="34"/>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管理自动填充项，用于组件关联，在用户填报表单时系统自动填充，用户无需再次填写；</w:t>
            </w:r>
          </w:p>
          <w:p>
            <w:pPr>
              <w:widowControl w:val="0"/>
              <w:numPr>
                <w:ilvl w:val="0"/>
                <w:numId w:val="34"/>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ascii="宋体" w:hAnsi="宋体" w:cs="Times New Roman"/>
                <w:color w:val="000000" w:themeColor="text1"/>
                <w:sz w:val="18"/>
                <w:szCs w:val="18"/>
                <w14:textFill>
                  <w14:solidFill>
                    <w14:schemeClr w14:val="tx1"/>
                  </w14:solidFill>
                </w14:textFill>
              </w:rPr>
              <w:t>系统管理支持新增角色管理、用户管理和菜单管理模板，实现不同角色配置不同的菜单级别的使用授权；</w:t>
            </w:r>
          </w:p>
          <w:p>
            <w:pPr>
              <w:widowControl w:val="0"/>
              <w:numPr>
                <w:ilvl w:val="0"/>
                <w:numId w:val="34"/>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ascii="宋体" w:hAnsi="宋体" w:cs="Times New Roman"/>
                <w:color w:val="000000" w:themeColor="text1"/>
                <w:sz w:val="18"/>
                <w:szCs w:val="18"/>
                <w14:textFill>
                  <w14:solidFill>
                    <w14:schemeClr w14:val="tx1"/>
                  </w14:solidFill>
                </w14:textFill>
              </w:rPr>
              <w:t>支持消息中心</w:t>
            </w:r>
            <w:r>
              <w:rPr>
                <w:rFonts w:hint="eastAsia" w:ascii="宋体" w:hAnsi="宋体" w:cs="Times New Roman"/>
                <w:color w:val="000000" w:themeColor="text1"/>
                <w:sz w:val="18"/>
                <w:szCs w:val="18"/>
                <w14:textFill>
                  <w14:solidFill>
                    <w14:schemeClr w14:val="tx1"/>
                  </w14:solidFill>
                </w14:textFill>
              </w:rPr>
              <w:t>推送给用户关于表单填写</w:t>
            </w:r>
            <w:r>
              <w:rPr>
                <w:rFonts w:ascii="宋体" w:hAnsi="宋体" w:cs="Times New Roman"/>
                <w:color w:val="000000" w:themeColor="text1"/>
                <w:sz w:val="18"/>
                <w:szCs w:val="18"/>
                <w14:textFill>
                  <w14:solidFill>
                    <w14:schemeClr w14:val="tx1"/>
                  </w14:solidFill>
                </w14:textFill>
              </w:rPr>
              <w:t>、</w:t>
            </w:r>
            <w:r>
              <w:rPr>
                <w:rFonts w:hint="eastAsia" w:ascii="宋体" w:hAnsi="宋体" w:cs="Times New Roman"/>
                <w:color w:val="000000" w:themeColor="text1"/>
                <w:sz w:val="18"/>
                <w:szCs w:val="18"/>
                <w14:textFill>
                  <w14:solidFill>
                    <w14:schemeClr w14:val="tx1"/>
                  </w14:solidFill>
                </w14:textFill>
              </w:rPr>
              <w:t>审核的消息，可快速跳转至相应页面，处理事务</w:t>
            </w:r>
            <w:r>
              <w:rPr>
                <w:rFonts w:ascii="宋体" w:hAnsi="宋体" w:cs="Times New Roman"/>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.12移动端支持</w:t>
            </w:r>
          </w:p>
        </w:tc>
        <w:tc>
          <w:tcPr>
            <w:tcW w:w="8284" w:type="dxa"/>
          </w:tcPr>
          <w:p>
            <w:pPr>
              <w:widowControl w:val="0"/>
              <w:numPr>
                <w:ilvl w:val="0"/>
                <w:numId w:val="35"/>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支持移动端填报服务</w:t>
            </w:r>
            <w:r>
              <w:rPr>
                <w:rFonts w:ascii="宋体" w:hAnsi="宋体" w:cs="Times New Roman"/>
                <w:color w:val="000000" w:themeColor="text1"/>
                <w:sz w:val="18"/>
                <w:szCs w:val="18"/>
                <w14:textFill>
                  <w14:solidFill>
                    <w14:schemeClr w14:val="tx1"/>
                  </w14:solidFill>
                </w14:textFill>
              </w:rPr>
              <w:t>、表单审核和数据查看</w:t>
            </w:r>
            <w:r>
              <w:rPr>
                <w:rFonts w:hint="eastAsia" w:ascii="宋体" w:hAnsi="宋体" w:cs="Times New Roman"/>
                <w:color w:val="000000" w:themeColor="text1"/>
                <w:sz w:val="18"/>
                <w:szCs w:val="18"/>
                <w14:textFill>
                  <w14:solidFill>
                    <w14:schemeClr w14:val="tx1"/>
                  </w14:solidFill>
                </w14:textFill>
              </w:rPr>
              <w:t>的功能；</w:t>
            </w:r>
          </w:p>
          <w:p>
            <w:pPr>
              <w:widowControl w:val="0"/>
              <w:numPr>
                <w:ilvl w:val="0"/>
                <w:numId w:val="35"/>
              </w:numPr>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移动端设计功能遵循H5技术规范；</w:t>
            </w:r>
          </w:p>
          <w:p>
            <w:pPr>
              <w:widowControl w:val="0"/>
              <w:numPr>
                <w:ilvl w:val="0"/>
                <w:numId w:val="35"/>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支持与微信企业号等多种方式进行集成；</w:t>
            </w:r>
          </w:p>
          <w:p>
            <w:pPr>
              <w:widowControl w:val="0"/>
              <w:numPr>
                <w:ilvl w:val="0"/>
                <w:numId w:val="35"/>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支持不同移动设备屏幕的自适应展示；</w:t>
            </w:r>
          </w:p>
          <w:p>
            <w:pPr>
              <w:widowControl w:val="0"/>
              <w:numPr>
                <w:ilvl w:val="0"/>
                <w:numId w:val="35"/>
              </w:numPr>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只需对接一次数据，个人应用即可在PC、移动端等设备上自适应展示，全方位满足用户需求</w:t>
            </w:r>
            <w:r>
              <w:rPr>
                <w:rFonts w:ascii="宋体" w:hAnsi="宋体" w:cs="Times New Roman"/>
                <w:color w:val="000000" w:themeColor="text1"/>
                <w:sz w:val="18"/>
                <w:szCs w:val="18"/>
                <w14:textFill>
                  <w14:solidFill>
                    <w14:schemeClr w14:val="tx1"/>
                  </w14:solidFill>
                </w14:textFill>
              </w:rPr>
              <w:t>；</w:t>
            </w:r>
          </w:p>
          <w:p>
            <w:pPr>
              <w:widowControl w:val="0"/>
              <w:numPr>
                <w:ilvl w:val="0"/>
                <w:numId w:val="35"/>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填报</w:t>
            </w:r>
            <w:r>
              <w:rPr>
                <w:rFonts w:ascii="宋体" w:hAnsi="宋体" w:cs="Times New Roman"/>
                <w:color w:val="000000" w:themeColor="text1"/>
                <w:sz w:val="18"/>
                <w:szCs w:val="18"/>
                <w14:textFill>
                  <w14:solidFill>
                    <w14:schemeClr w14:val="tx1"/>
                  </w14:solidFill>
                </w14:textFill>
              </w:rPr>
              <w:t>服务</w:t>
            </w:r>
            <w:r>
              <w:rPr>
                <w:rFonts w:hint="eastAsia" w:ascii="宋体" w:hAnsi="宋体" w:cs="Times New Roman"/>
                <w:color w:val="000000" w:themeColor="text1"/>
                <w:sz w:val="18"/>
                <w:szCs w:val="18"/>
                <w14:textFill>
                  <w14:solidFill>
                    <w14:schemeClr w14:val="tx1"/>
                  </w14:solidFill>
                </w14:textFill>
              </w:rPr>
              <w:t>需支持移动端同步展示，支持嵌入各类校园APP、微信企业号、WeLink、钉钉等移动端载体，让用户能够通过更便捷的方式查询获取数据信息。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vAlign w:val="center"/>
          </w:tcPr>
          <w:p>
            <w:pPr>
              <w:widowControl w:val="0"/>
              <w:spacing w:line="280" w:lineRule="exact"/>
              <w:jc w:val="center"/>
              <w:textAlignment w:val="auto"/>
              <w:rPr>
                <w:rFonts w:ascii="宋体" w:hAnsi="宋体"/>
                <w:b/>
                <w:bCs/>
                <w:color w:val="000000" w:themeColor="text1"/>
                <w:sz w:val="18"/>
                <w:szCs w:val="18"/>
                <w:lang w:val="de-DE"/>
                <w14:textFill>
                  <w14:solidFill>
                    <w14:schemeClr w14:val="tx1"/>
                  </w14:solidFill>
                </w14:textFill>
              </w:rPr>
            </w:pPr>
          </w:p>
        </w:tc>
        <w:tc>
          <w:tcPr>
            <w:tcW w:w="975" w:type="dxa"/>
            <w:vAlign w:val="center"/>
          </w:tcPr>
          <w:p>
            <w:pPr>
              <w:widowControl w:val="0"/>
              <w:suppressAutoHyphens/>
              <w:autoSpaceDE w:val="0"/>
              <w:autoSpaceDN w:val="0"/>
              <w:adjustRightInd w:val="0"/>
              <w:snapToGrid w:val="0"/>
              <w:spacing w:line="280" w:lineRule="exact"/>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14:textFill>
                  <w14:solidFill>
                    <w14:schemeClr w14:val="tx1"/>
                  </w14:solidFill>
                </w14:textFill>
              </w:rPr>
              <w:t>5.13</w:t>
            </w:r>
            <w:r>
              <w:rPr>
                <w:rFonts w:hint="eastAsia" w:ascii="宋体" w:hAnsi="宋体"/>
                <w:color w:val="000000" w:themeColor="text1"/>
                <w:sz w:val="18"/>
                <w:szCs w:val="18"/>
                <w14:textFill>
                  <w14:solidFill>
                    <w14:schemeClr w14:val="tx1"/>
                  </w14:solidFill>
                </w14:textFill>
              </w:rPr>
              <w:t>数据报告（画像全方位概览）</w:t>
            </w:r>
          </w:p>
        </w:tc>
        <w:tc>
          <w:tcPr>
            <w:tcW w:w="8284" w:type="dxa"/>
          </w:tcPr>
          <w:p>
            <w:pPr>
              <w:widowControl w:val="0"/>
              <w:numPr>
                <w:ilvl w:val="0"/>
                <w:numId w:val="36"/>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提供教师入校以来的综合数据报告以及个人的年度成果；提供学生入校以来的学业、生活、奖惩等数字档案；</w:t>
            </w:r>
          </w:p>
          <w:p>
            <w:pPr>
              <w:widowControl w:val="0"/>
              <w:numPr>
                <w:ilvl w:val="0"/>
                <w:numId w:val="36"/>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提供个人数字时光动态展示功能，将教师入校以来的事件记录，按照时间轴的方式展示，直观的对于个人的教学、科研、学习等过程做出总结和提升；</w:t>
            </w:r>
          </w:p>
          <w:p>
            <w:pPr>
              <w:widowControl w:val="0"/>
              <w:numPr>
                <w:ilvl w:val="0"/>
                <w:numId w:val="36"/>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完善的标签体系，支持算法、基础属性和手动添加多种标签生成方式，基础属性标签是从教师先相关的基本属性、学业、学术、科研、上网、图书等数据，进行多维度画像标签描述，支持管理员或教师个人自定义标签，如“长江学者”，“院士”，“人才帽子”等；</w:t>
            </w:r>
          </w:p>
          <w:p>
            <w:pPr>
              <w:widowControl w:val="0"/>
              <w:numPr>
                <w:ilvl w:val="0"/>
                <w:numId w:val="36"/>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提供个人的指标汇总，汇总指标的数据可以下钻查看明细；</w:t>
            </w:r>
          </w:p>
          <w:p>
            <w:pPr>
              <w:widowControl w:val="0"/>
              <w:numPr>
                <w:ilvl w:val="0"/>
                <w:numId w:val="36"/>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提供用户自定义添加系统链接功能，可以编辑系统名称、系统地址和系统图标。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p>
        </w:tc>
        <w:tc>
          <w:tcPr>
            <w:tcW w:w="975" w:type="dxa"/>
            <w:vAlign w:val="center"/>
          </w:tcPr>
          <w:p>
            <w:pPr>
              <w:widowControl w:val="0"/>
              <w:suppressAutoHyphens/>
              <w:autoSpaceDE w:val="0"/>
              <w:autoSpaceDN w:val="0"/>
              <w:adjustRightInd w:val="0"/>
              <w:snapToGrid w:val="0"/>
              <w:spacing w:line="280" w:lineRule="exact"/>
              <w:textAlignment w:val="auto"/>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5.14</w:t>
            </w:r>
            <w:r>
              <w:rPr>
                <w:rFonts w:hint="eastAsia" w:ascii="宋体" w:hAnsi="宋体"/>
                <w:color w:val="000000" w:themeColor="text1"/>
                <w:sz w:val="18"/>
                <w:szCs w:val="18"/>
                <w14:textFill>
                  <w14:solidFill>
                    <w14:schemeClr w14:val="tx1"/>
                  </w14:solidFill>
                </w14:textFill>
              </w:rPr>
              <w:t>数据导航（个人数据展示）</w:t>
            </w:r>
          </w:p>
        </w:tc>
        <w:tc>
          <w:tcPr>
            <w:tcW w:w="8284" w:type="dxa"/>
          </w:tcPr>
          <w:p>
            <w:pPr>
              <w:widowControl w:val="0"/>
              <w:numPr>
                <w:ilvl w:val="0"/>
                <w:numId w:val="37"/>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提供个人信息的集中式查询，包括个人基本信息、教育教学信息、授课带班信息、科研项目信息、科研成果信息、科研论文信息、消费信息、图书借阅信息、获奖信息、校内关系信息等；</w:t>
            </w:r>
          </w:p>
          <w:p>
            <w:pPr>
              <w:widowControl w:val="0"/>
              <w:numPr>
                <w:ilvl w:val="0"/>
                <w:numId w:val="37"/>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人事相关信息支持职务历程用时间轴的方式，展示教师历年的职称（如助教、讲师、副教授、教授等）；</w:t>
            </w:r>
          </w:p>
          <w:p>
            <w:pPr>
              <w:widowControl w:val="0"/>
              <w:numPr>
                <w:ilvl w:val="0"/>
                <w:numId w:val="37"/>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教育教学信息包括任教课程、教学成果、教改项目、教学分析等；</w:t>
            </w:r>
          </w:p>
          <w:p>
            <w:pPr>
              <w:widowControl w:val="0"/>
              <w:numPr>
                <w:ilvl w:val="0"/>
                <w:numId w:val="37"/>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科研信息包括教师在校期间各学年的科研项目、成果、论文、科研获奖情况等；</w:t>
            </w:r>
          </w:p>
          <w:p>
            <w:pPr>
              <w:widowControl w:val="0"/>
              <w:numPr>
                <w:ilvl w:val="0"/>
                <w:numId w:val="37"/>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资产信息包括所在部门的资产概况，个人所管理资产的内容、价格、参数、采购时间、使用情况等；</w:t>
            </w:r>
          </w:p>
          <w:p>
            <w:pPr>
              <w:widowControl w:val="0"/>
              <w:numPr>
                <w:ilvl w:val="0"/>
                <w:numId w:val="37"/>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相关人员（即人际关系）支持当前部门同事、校内共同完成科研项目、同年来校同事等；</w:t>
            </w:r>
          </w:p>
          <w:p>
            <w:pPr>
              <w:widowControl w:val="0"/>
              <w:numPr>
                <w:ilvl w:val="0"/>
                <w:numId w:val="37"/>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★支持个人权威数据的获取，可以根据自己需要的数据内容，自定义勾选数据模块，进行个人简历导出，数据简历下载支持Excel、PDF等多种方式。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14:textFill>
                  <w14:solidFill>
                    <w14:schemeClr w14:val="tx1"/>
                  </w14:solidFill>
                </w14:textFill>
              </w:rPr>
              <w:t>5.15</w:t>
            </w:r>
            <w:r>
              <w:rPr>
                <w:rFonts w:hint="eastAsia" w:ascii="宋体" w:hAnsi="宋体"/>
                <w:color w:val="000000" w:themeColor="text1"/>
                <w:sz w:val="18"/>
                <w:szCs w:val="18"/>
                <w14:textFill>
                  <w14:solidFill>
                    <w14:schemeClr w14:val="tx1"/>
                  </w14:solidFill>
                </w14:textFill>
              </w:rPr>
              <w:t>纠错管理</w:t>
            </w:r>
          </w:p>
        </w:tc>
        <w:tc>
          <w:tcPr>
            <w:tcW w:w="8284" w:type="dxa"/>
          </w:tcPr>
          <w:p>
            <w:pPr>
              <w:widowControl w:val="0"/>
              <w:numPr>
                <w:ilvl w:val="0"/>
                <w:numId w:val="38"/>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w:t>
            </w:r>
            <w:r>
              <w:rPr>
                <w:rFonts w:ascii="宋体" w:hAnsi="宋体" w:cs="Times New Roman"/>
                <w:color w:val="000000" w:themeColor="text1"/>
                <w:sz w:val="18"/>
                <w:szCs w:val="18"/>
                <w14:textFill>
                  <w14:solidFill>
                    <w14:schemeClr w14:val="tx1"/>
                  </w14:solidFill>
                </w14:textFill>
              </w:rPr>
              <w:t>个人</w:t>
            </w:r>
            <w:r>
              <w:rPr>
                <w:rFonts w:hint="eastAsia" w:ascii="宋体" w:hAnsi="宋体" w:cs="Times New Roman"/>
                <w:color w:val="000000" w:themeColor="text1"/>
                <w:sz w:val="18"/>
                <w:szCs w:val="18"/>
                <w14:textFill>
                  <w14:solidFill>
                    <w14:schemeClr w14:val="tx1"/>
                  </w14:solidFill>
                </w14:textFill>
              </w:rPr>
              <w:t>数据质量治理的延伸，</w:t>
            </w:r>
            <w:r>
              <w:rPr>
                <w:rFonts w:ascii="宋体" w:hAnsi="宋体" w:cs="Times New Roman"/>
                <w:color w:val="000000" w:themeColor="text1"/>
                <w:sz w:val="18"/>
                <w:szCs w:val="18"/>
                <w14:textFill>
                  <w14:solidFill>
                    <w14:schemeClr w14:val="tx1"/>
                  </w14:solidFill>
                </w14:textFill>
              </w:rPr>
              <w:t>提供个人数字档案数据血缘的跟踪，</w:t>
            </w:r>
            <w:r>
              <w:rPr>
                <w:rFonts w:hint="eastAsia" w:ascii="宋体" w:hAnsi="宋体" w:cs="Times New Roman"/>
                <w:color w:val="000000" w:themeColor="text1"/>
                <w:sz w:val="18"/>
                <w:szCs w:val="18"/>
                <w14:textFill>
                  <w14:solidFill>
                    <w14:schemeClr w14:val="tx1"/>
                  </w14:solidFill>
                </w14:textFill>
              </w:rPr>
              <w:t>教师</w:t>
            </w:r>
            <w:r>
              <w:rPr>
                <w:rFonts w:ascii="宋体" w:hAnsi="宋体" w:cs="Times New Roman"/>
                <w:color w:val="000000" w:themeColor="text1"/>
                <w:sz w:val="18"/>
                <w:szCs w:val="18"/>
                <w14:textFill>
                  <w14:solidFill>
                    <w14:schemeClr w14:val="tx1"/>
                  </w14:solidFill>
                </w14:textFill>
              </w:rPr>
              <w:t>可在线查看各数据项的来源和维护部门；</w:t>
            </w:r>
          </w:p>
          <w:p>
            <w:pPr>
              <w:widowControl w:val="0"/>
              <w:numPr>
                <w:ilvl w:val="0"/>
                <w:numId w:val="38"/>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r>
              <w:rPr>
                <w:rFonts w:ascii="宋体" w:hAnsi="宋体" w:cs="Times New Roman"/>
                <w:color w:val="000000" w:themeColor="text1"/>
                <w:sz w:val="18"/>
                <w:szCs w:val="18"/>
                <w14:textFill>
                  <w14:solidFill>
                    <w14:schemeClr w14:val="tx1"/>
                  </w14:solidFill>
                </w14:textFill>
              </w:rPr>
              <w:t>提供</w:t>
            </w:r>
            <w:r>
              <w:rPr>
                <w:rFonts w:hint="eastAsia" w:ascii="宋体" w:hAnsi="宋体" w:cs="Times New Roman"/>
                <w:color w:val="000000" w:themeColor="text1"/>
                <w:sz w:val="18"/>
                <w:szCs w:val="18"/>
                <w14:textFill>
                  <w14:solidFill>
                    <w14:schemeClr w14:val="tx1"/>
                  </w14:solidFill>
                </w14:textFill>
              </w:rPr>
              <w:t>普通用户</w:t>
            </w:r>
            <w:r>
              <w:rPr>
                <w:rFonts w:ascii="宋体" w:hAnsi="宋体" w:cs="Times New Roman"/>
                <w:color w:val="000000" w:themeColor="text1"/>
                <w:sz w:val="18"/>
                <w:szCs w:val="18"/>
                <w14:textFill>
                  <w14:solidFill>
                    <w14:schemeClr w14:val="tx1"/>
                  </w14:solidFill>
                </w14:textFill>
              </w:rPr>
              <w:t>数据的</w:t>
            </w:r>
            <w:r>
              <w:rPr>
                <w:rFonts w:hint="eastAsia" w:ascii="宋体" w:hAnsi="宋体" w:cs="Times New Roman"/>
                <w:color w:val="000000" w:themeColor="text1"/>
                <w:sz w:val="18"/>
                <w:szCs w:val="18"/>
                <w14:textFill>
                  <w14:solidFill>
                    <w14:schemeClr w14:val="tx1"/>
                  </w14:solidFill>
                </w14:textFill>
              </w:rPr>
              <w:t>纠错</w:t>
            </w:r>
            <w:r>
              <w:rPr>
                <w:rFonts w:ascii="宋体" w:hAnsi="宋体" w:cs="Times New Roman"/>
                <w:color w:val="000000" w:themeColor="text1"/>
                <w:sz w:val="18"/>
                <w:szCs w:val="18"/>
                <w14:textFill>
                  <w14:solidFill>
                    <w14:schemeClr w14:val="tx1"/>
                  </w14:solidFill>
                </w14:textFill>
              </w:rPr>
              <w:t>功能</w:t>
            </w:r>
            <w:r>
              <w:rPr>
                <w:rFonts w:hint="eastAsia" w:ascii="宋体" w:hAnsi="宋体" w:cs="Times New Roman"/>
                <w:color w:val="000000" w:themeColor="text1"/>
                <w:sz w:val="18"/>
                <w:szCs w:val="18"/>
                <w14:textFill>
                  <w14:solidFill>
                    <w14:schemeClr w14:val="tx1"/>
                  </w14:solidFill>
                </w14:textFill>
              </w:rPr>
              <w:t>。提供三种纠错方式：信息修改、问题反馈、添加信息；</w:t>
            </w:r>
          </w:p>
          <w:p>
            <w:pPr>
              <w:widowControl w:val="0"/>
              <w:numPr>
                <w:ilvl w:val="0"/>
                <w:numId w:val="38"/>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支持普通用户进行数据纠错与反馈的的进度查询，支持数据管理员对数据纠错进行处理后，用户可以查看纠错状态，如数据纠错的未处理、处理中、已审核；</w:t>
            </w:r>
          </w:p>
          <w:p>
            <w:pPr>
              <w:widowControl w:val="0"/>
              <w:numPr>
                <w:ilvl w:val="0"/>
                <w:numId w:val="38"/>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支持教师和学生纠错数据流转，教师可在平台处理学生纠错数据；</w:t>
            </w:r>
          </w:p>
          <w:p>
            <w:pPr>
              <w:widowControl w:val="0"/>
              <w:numPr>
                <w:ilvl w:val="0"/>
                <w:numId w:val="38"/>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r>
              <w:rPr>
                <w:rFonts w:hint="eastAsia" w:ascii="宋体" w:hAnsi="宋体" w:cs="Times New Roman"/>
                <w:color w:val="000000" w:themeColor="text1"/>
                <w:sz w:val="18"/>
                <w:szCs w:val="18"/>
                <w14:textFill>
                  <w14:solidFill>
                    <w14:schemeClr w14:val="tx1"/>
                  </w14:solidFill>
                </w14:textFill>
              </w:rPr>
              <w:t>支持根据各学校的管理权责，灵活配置纠错管理能力。如人事部门管理教师基本信息的字段，普通教师反馈的“政治面貌”有误，人事管理员将第一时间收到，并进行有效处理；</w:t>
            </w:r>
          </w:p>
          <w:p>
            <w:pPr>
              <w:widowControl w:val="0"/>
              <w:numPr>
                <w:ilvl w:val="0"/>
                <w:numId w:val="38"/>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支持信息中心管理员催办提醒业务部门，处理数据相关问题，有效落地数据质量。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14:textFill>
                  <w14:solidFill>
                    <w14:schemeClr w14:val="tx1"/>
                  </w14:solidFill>
                </w14:textFill>
              </w:rPr>
              <w:t>5.16</w:t>
            </w:r>
            <w:r>
              <w:rPr>
                <w:rFonts w:hint="eastAsia" w:ascii="宋体" w:hAnsi="宋体"/>
                <w:color w:val="000000" w:themeColor="text1"/>
                <w:sz w:val="18"/>
                <w:szCs w:val="18"/>
                <w14:textFill>
                  <w14:solidFill>
                    <w14:schemeClr w14:val="tx1"/>
                  </w14:solidFill>
                </w14:textFill>
              </w:rPr>
              <w:t>综合查询</w:t>
            </w:r>
          </w:p>
        </w:tc>
        <w:tc>
          <w:tcPr>
            <w:tcW w:w="8284" w:type="dxa"/>
          </w:tcPr>
          <w:p>
            <w:pPr>
              <w:widowControl w:val="0"/>
              <w:numPr>
                <w:ilvl w:val="0"/>
                <w:numId w:val="39"/>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校领导/二级学院领导/人事处等部门可以查询相关权限范围内的教师信息，提供快速查询、高级检索、全文检索三种方式进行综合查询各位数据；</w:t>
            </w:r>
          </w:p>
          <w:p>
            <w:pPr>
              <w:widowControl w:val="0"/>
              <w:numPr>
                <w:ilvl w:val="0"/>
                <w:numId w:val="39"/>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支持快速查询，搜索人员姓名/单位/学科/工号/职称，可以展示出与个人相关的所有信息；也可以按字母模糊快速查询相关信息；还可以按照部门/性别/院系等不同主题进行快速检索；</w:t>
            </w:r>
          </w:p>
          <w:p>
            <w:pPr>
              <w:widowControl w:val="0"/>
              <w:numPr>
                <w:ilvl w:val="0"/>
                <w:numId w:val="39"/>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高级检索，针对特定业务系统提供组合条件检索，具备专题查询的扩展能力，提供专题查询服务的在线配置模块，查询具备动态过滤条件的设置，除了人员编号、姓名的模糊查询，管理人员可为使人员灵活配置部门、专业、性别等不限制的查询条件；</w:t>
            </w:r>
          </w:p>
          <w:p>
            <w:pPr>
              <w:widowControl w:val="0"/>
              <w:numPr>
                <w:ilvl w:val="0"/>
                <w:numId w:val="39"/>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全文检索，以业务搜索场景为导向的多条件、多逻辑的查询方式，包含基础信息、学习信息、工作信息、教学信息、科研信息、生活等全业务数据检索。例如输入“大数据”，可以把大数据相关的教师、课程、图书、论文等信息检索出来；例如输入一篇科研论文，能够直接搜索到参与编写论文的所有老师信息等；</w:t>
            </w:r>
          </w:p>
          <w:p>
            <w:pPr>
              <w:widowControl w:val="0"/>
              <w:numPr>
                <w:ilvl w:val="0"/>
                <w:numId w:val="39"/>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各种查询方式均支持数据下钻,并能与人员详细信息实现无缝对接，实现数据由“全校-部门-个人”的三维数据查询服务；</w:t>
            </w:r>
          </w:p>
          <w:p>
            <w:pPr>
              <w:widowControl w:val="0"/>
              <w:numPr>
                <w:ilvl w:val="0"/>
                <w:numId w:val="39"/>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提供面向使用群体的权限能力，实现对查询平台的人员访问控制；同时满足面向业务领域的查询服务使用范围（专题查询使用）控制；</w:t>
            </w:r>
          </w:p>
          <w:p>
            <w:pPr>
              <w:widowControl w:val="0"/>
              <w:numPr>
                <w:ilvl w:val="0"/>
                <w:numId w:val="39"/>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支持人员信息查询的动态数据权限控制，实现按组织机构等各中业务场景分布的人员查询范围的控制；</w:t>
            </w:r>
          </w:p>
          <w:p>
            <w:pPr>
              <w:widowControl w:val="0"/>
              <w:numPr>
                <w:ilvl w:val="0"/>
                <w:numId w:val="39"/>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支持综合查询的动态数据权限控制，实现按组织机构等各中业务场景分布的专题分析展示结果范围的控制，即不同身份、职能部门的人员看同一个专题的输出数据范围的控制。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14:textFill>
                  <w14:solidFill>
                    <w14:schemeClr w14:val="tx1"/>
                  </w14:solidFill>
                </w14:textFill>
              </w:rPr>
              <w:t>5.17</w:t>
            </w:r>
            <w:r>
              <w:rPr>
                <w:rFonts w:hint="eastAsia" w:ascii="宋体" w:hAnsi="宋体"/>
                <w:color w:val="000000" w:themeColor="text1"/>
                <w:sz w:val="18"/>
                <w:szCs w:val="18"/>
                <w14:textFill>
                  <w14:solidFill>
                    <w14:schemeClr w14:val="tx1"/>
                  </w14:solidFill>
                </w14:textFill>
              </w:rPr>
              <w:t>个性化服务</w:t>
            </w:r>
          </w:p>
        </w:tc>
        <w:tc>
          <w:tcPr>
            <w:tcW w:w="8284" w:type="dxa"/>
          </w:tcPr>
          <w:p>
            <w:pPr>
              <w:widowControl w:val="0"/>
              <w:numPr>
                <w:ilvl w:val="0"/>
                <w:numId w:val="40"/>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提供我的代办服务，包括支持表单填写任务、考核报表填报、任务审核等，支持对接系统内部和学校办事大厅的待办信息支持各类常用数据的快速入口自定义设置；</w:t>
            </w:r>
          </w:p>
          <w:p>
            <w:pPr>
              <w:widowControl w:val="0"/>
              <w:numPr>
                <w:ilvl w:val="0"/>
                <w:numId w:val="40"/>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ascii="宋体" w:hAnsi="宋体" w:cs="Times New Roman"/>
                <w:color w:val="000000" w:themeColor="text1"/>
                <w:sz w:val="18"/>
                <w:szCs w:val="18"/>
                <w14:textFill>
                  <w14:solidFill>
                    <w14:schemeClr w14:val="tx1"/>
                  </w14:solidFill>
                </w14:textFill>
              </w:rPr>
              <w:t>支持按</w:t>
            </w:r>
            <w:r>
              <w:rPr>
                <w:rFonts w:hint="eastAsia" w:ascii="宋体" w:hAnsi="宋体" w:cs="Times New Roman"/>
                <w:color w:val="000000" w:themeColor="text1"/>
                <w:sz w:val="18"/>
                <w:szCs w:val="18"/>
                <w14:textFill>
                  <w14:solidFill>
                    <w14:schemeClr w14:val="tx1"/>
                  </w14:solidFill>
                </w14:textFill>
              </w:rPr>
              <w:t>界面</w:t>
            </w:r>
            <w:r>
              <w:rPr>
                <w:rFonts w:ascii="宋体" w:hAnsi="宋体" w:cs="Times New Roman"/>
                <w:color w:val="000000" w:themeColor="text1"/>
                <w:sz w:val="18"/>
                <w:szCs w:val="18"/>
                <w14:textFill>
                  <w14:solidFill>
                    <w14:schemeClr w14:val="tx1"/>
                  </w14:solidFill>
                </w14:textFill>
              </w:rPr>
              <w:t>风格模板化，</w:t>
            </w:r>
            <w:r>
              <w:rPr>
                <w:rFonts w:hint="eastAsia" w:ascii="宋体" w:hAnsi="宋体" w:cs="Times New Roman"/>
                <w:color w:val="000000" w:themeColor="text1"/>
                <w:sz w:val="18"/>
                <w:szCs w:val="18"/>
                <w14:textFill>
                  <w14:solidFill>
                    <w14:schemeClr w14:val="tx1"/>
                  </w14:solidFill>
                </w14:textFill>
              </w:rPr>
              <w:t>提供师生自定义修改展示模板和皮肤；</w:t>
            </w:r>
          </w:p>
          <w:p>
            <w:pPr>
              <w:widowControl w:val="0"/>
              <w:numPr>
                <w:ilvl w:val="0"/>
                <w:numId w:val="40"/>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支持用户个人自定义选择想展示的模块；</w:t>
            </w:r>
          </w:p>
          <w:p>
            <w:pPr>
              <w:widowControl w:val="0"/>
              <w:numPr>
                <w:ilvl w:val="0"/>
                <w:numId w:val="40"/>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提供多样式的个人信息展示形式，包括列表或者卡片方式。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14:textFill>
                  <w14:solidFill>
                    <w14:schemeClr w14:val="tx1"/>
                  </w14:solidFill>
                </w14:textFill>
              </w:rPr>
              <w:t>5.18</w:t>
            </w:r>
            <w:r>
              <w:rPr>
                <w:rFonts w:hint="eastAsia" w:ascii="宋体" w:hAnsi="宋体"/>
                <w:color w:val="000000" w:themeColor="text1"/>
                <w:sz w:val="18"/>
                <w:szCs w:val="18"/>
                <w14:textFill>
                  <w14:solidFill>
                    <w14:schemeClr w14:val="tx1"/>
                  </w14:solidFill>
                </w14:textFill>
              </w:rPr>
              <w:t>用户中心</w:t>
            </w:r>
          </w:p>
        </w:tc>
        <w:tc>
          <w:tcPr>
            <w:tcW w:w="8284" w:type="dxa"/>
          </w:tcPr>
          <w:p>
            <w:pPr>
              <w:widowControl w:val="0"/>
              <w:numPr>
                <w:ilvl w:val="0"/>
                <w:numId w:val="41"/>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提供师生画像所需对接的后端数据模型，支持模型创建与编辑、模型同步、模型绑定</w:t>
            </w:r>
            <w:r>
              <w:rPr>
                <w:rFonts w:ascii="宋体" w:hAnsi="宋体" w:cs="Times New Roman"/>
                <w:color w:val="000000" w:themeColor="text1"/>
                <w:sz w:val="18"/>
                <w:szCs w:val="18"/>
                <w14:textFill>
                  <w14:solidFill>
                    <w14:schemeClr w14:val="tx1"/>
                  </w14:solidFill>
                </w14:textFill>
              </w:rPr>
              <w:t>API</w:t>
            </w:r>
            <w:r>
              <w:rPr>
                <w:rFonts w:hint="eastAsia" w:ascii="宋体" w:hAnsi="宋体" w:cs="Times New Roman"/>
                <w:color w:val="000000" w:themeColor="text1"/>
                <w:sz w:val="18"/>
                <w:szCs w:val="18"/>
                <w14:textFill>
                  <w14:solidFill>
                    <w14:schemeClr w14:val="tx1"/>
                  </w14:solidFill>
                </w14:textFill>
              </w:rPr>
              <w:t>能力；</w:t>
            </w:r>
          </w:p>
          <w:p>
            <w:pPr>
              <w:widowControl w:val="0"/>
              <w:numPr>
                <w:ilvl w:val="0"/>
                <w:numId w:val="41"/>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支持个人数据报告定义能力，包含指标卡片、表单信息、表格信息、照片图片、图标设置等；</w:t>
            </w:r>
          </w:p>
          <w:p>
            <w:pPr>
              <w:widowControl w:val="0"/>
              <w:numPr>
                <w:ilvl w:val="0"/>
                <w:numId w:val="41"/>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支持自定义综合查询范围、过滤条件；</w:t>
            </w:r>
          </w:p>
          <w:p>
            <w:pPr>
              <w:widowControl w:val="0"/>
              <w:numPr>
                <w:ilvl w:val="0"/>
                <w:numId w:val="41"/>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支持自定义配置数据纠错的管理权限。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14:textFill>
                  <w14:solidFill>
                    <w14:schemeClr w14:val="tx1"/>
                  </w14:solidFill>
                </w14:textFill>
              </w:rPr>
              <w:t>5.19</w:t>
            </w:r>
            <w:r>
              <w:rPr>
                <w:rFonts w:hint="eastAsia" w:ascii="宋体" w:hAnsi="宋体"/>
                <w:color w:val="000000" w:themeColor="text1"/>
                <w:sz w:val="18"/>
                <w:szCs w:val="18"/>
                <w14:textFill>
                  <w14:solidFill>
                    <w14:schemeClr w14:val="tx1"/>
                  </w14:solidFill>
                </w14:textFill>
              </w:rPr>
              <w:t>移动端要求</w:t>
            </w:r>
          </w:p>
        </w:tc>
        <w:tc>
          <w:tcPr>
            <w:tcW w:w="8284" w:type="dxa"/>
          </w:tcPr>
          <w:p>
            <w:pPr>
              <w:widowControl w:val="0"/>
              <w:numPr>
                <w:ilvl w:val="0"/>
                <w:numId w:val="42"/>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移动端提供数据报告、数据导航、数据纠错、综合查询、填报服务的功能；</w:t>
            </w:r>
          </w:p>
          <w:p>
            <w:pPr>
              <w:widowControl w:val="0"/>
              <w:numPr>
                <w:ilvl w:val="0"/>
                <w:numId w:val="42"/>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支持HTML5解析，可通过手机浏览器直接访问个人数字档案；</w:t>
            </w:r>
          </w:p>
          <w:p>
            <w:pPr>
              <w:widowControl w:val="0"/>
              <w:numPr>
                <w:ilvl w:val="0"/>
                <w:numId w:val="42"/>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支持与微信企业号等多种方式进行集成；</w:t>
            </w:r>
          </w:p>
          <w:p>
            <w:pPr>
              <w:widowControl w:val="0"/>
              <w:numPr>
                <w:ilvl w:val="0"/>
                <w:numId w:val="42"/>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支持不同移动设备屏幕的自适应展示；</w:t>
            </w:r>
          </w:p>
          <w:p>
            <w:pPr>
              <w:widowControl w:val="0"/>
              <w:numPr>
                <w:ilvl w:val="0"/>
                <w:numId w:val="42"/>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仿宋"/>
                <w:bCs/>
                <w:color w:val="000000" w:themeColor="text1"/>
                <w:kern w:val="0"/>
                <w:sz w:val="18"/>
                <w:szCs w:val="18"/>
                <w14:textFill>
                  <w14:solidFill>
                    <w14:schemeClr w14:val="tx1"/>
                  </w14:solidFill>
                </w14:textFill>
              </w:rPr>
              <w:t>★</w:t>
            </w:r>
            <w:r>
              <w:rPr>
                <w:rFonts w:hint="eastAsia" w:ascii="宋体" w:hAnsi="宋体" w:cs="Times New Roman"/>
                <w:color w:val="000000" w:themeColor="text1"/>
                <w:sz w:val="18"/>
                <w:szCs w:val="18"/>
                <w14:textFill>
                  <w14:solidFill>
                    <w14:schemeClr w14:val="tx1"/>
                  </w14:solidFill>
                </w14:textFill>
              </w:rPr>
              <w:t>只需对接一次数据，个人应用即可在PC、移动端等设备上自适应展示，全方位满足用户需求。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restart"/>
            <w:vAlign w:val="center"/>
          </w:tcPr>
          <w:p>
            <w:pPr>
              <w:widowControl w:val="0"/>
              <w:spacing w:line="280" w:lineRule="exact"/>
              <w:jc w:val="center"/>
              <w:textAlignment w:val="auto"/>
              <w:rPr>
                <w:rFonts w:ascii="宋体" w:hAnsi="宋体"/>
                <w:b/>
                <w:bCs/>
                <w:color w:val="000000" w:themeColor="text1"/>
                <w:sz w:val="18"/>
                <w:szCs w:val="18"/>
                <w:lang w:val="de-DE"/>
                <w14:textFill>
                  <w14:solidFill>
                    <w14:schemeClr w14:val="tx1"/>
                  </w14:solidFill>
                </w14:textFill>
              </w:rPr>
            </w:pPr>
            <w:r>
              <w:rPr>
                <w:rFonts w:ascii="宋体" w:hAnsi="宋体"/>
                <w:b/>
                <w:bCs/>
                <w:color w:val="000000" w:themeColor="text1"/>
                <w:sz w:val="18"/>
                <w:szCs w:val="18"/>
                <w:lang w:val="de-DE"/>
                <w14:textFill>
                  <w14:solidFill>
                    <w14:schemeClr w14:val="tx1"/>
                  </w14:solidFill>
                </w14:textFill>
              </w:rPr>
              <w:t>6.</w:t>
            </w:r>
            <w:r>
              <w:rPr>
                <w:rFonts w:hint="eastAsia" w:ascii="宋体" w:hAnsi="宋体"/>
                <w:b/>
                <w:bCs/>
                <w:color w:val="000000" w:themeColor="text1"/>
                <w:sz w:val="18"/>
                <w:szCs w:val="18"/>
                <w:lang w:val="de-DE"/>
                <w14:textFill>
                  <w14:solidFill>
                    <w14:schemeClr w14:val="tx1"/>
                  </w14:solidFill>
                </w14:textFill>
              </w:rPr>
              <w:t>数据可视化分析工具（含基本校情、领导驾驶舱）</w:t>
            </w:r>
          </w:p>
        </w:tc>
        <w:tc>
          <w:tcPr>
            <w:tcW w:w="975" w:type="dxa"/>
            <w:vAlign w:val="center"/>
          </w:tcPr>
          <w:p>
            <w:pPr>
              <w:widowControl w:val="0"/>
              <w:spacing w:line="280" w:lineRule="exact"/>
              <w:jc w:val="center"/>
              <w:textAlignment w:val="auto"/>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lang w:val="de-DE"/>
                <w14:textFill>
                  <w14:solidFill>
                    <w14:schemeClr w14:val="tx1"/>
                  </w14:solidFill>
                </w14:textFill>
              </w:rPr>
              <w:t>6.1</w:t>
            </w:r>
            <w:r>
              <w:rPr>
                <w:rFonts w:hint="eastAsia" w:ascii="宋体" w:hAnsi="宋体"/>
                <w:color w:val="000000" w:themeColor="text1"/>
                <w:sz w:val="18"/>
                <w:szCs w:val="18"/>
                <w:lang w:val="de-DE"/>
                <w14:textFill>
                  <w14:solidFill>
                    <w14:schemeClr w14:val="tx1"/>
                  </w14:solidFill>
                </w14:textFill>
              </w:rPr>
              <w:t>智慧展示</w:t>
            </w:r>
          </w:p>
        </w:tc>
        <w:tc>
          <w:tcPr>
            <w:tcW w:w="8284" w:type="dxa"/>
          </w:tcPr>
          <w:p>
            <w:pPr>
              <w:widowControl w:val="0"/>
              <w:numPr>
                <w:ilvl w:val="0"/>
                <w:numId w:val="4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提供在空白的画布上新建大屏或引用大屏模板进行快速创建，支持大屏组件灵活使用，提供不低于30个组件，每一个组件相互独立，无需编码，拖拽操作即可实现自由布局，背景支持替换、缩放操作；</w:t>
            </w:r>
          </w:p>
          <w:p>
            <w:pPr>
              <w:widowControl w:val="0"/>
              <w:numPr>
                <w:ilvl w:val="0"/>
                <w:numId w:val="4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智能可视化系统支持内置丰富的组件，提供丰富的分析图表类型，基于Echarts、html的图表组件，提供各式各样的图表样式和类型，必须包括柱状图、折线图、柱线图、饼图、圆环图、胶囊柱图、计量图、雷达图、漏斗图等；</w:t>
            </w:r>
          </w:p>
          <w:p>
            <w:pPr>
              <w:widowControl w:val="0"/>
              <w:numPr>
                <w:ilvl w:val="0"/>
                <w:numId w:val="4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提供多种文字组件，如文本框、字符云、文本滚动列表等；</w:t>
            </w:r>
          </w:p>
          <w:p>
            <w:pPr>
              <w:widowControl w:val="0"/>
              <w:numPr>
                <w:ilvl w:val="0"/>
                <w:numId w:val="4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提供多种图片组件，如图片组件、轮播图组件、图片框组件等；</w:t>
            </w:r>
          </w:p>
          <w:p>
            <w:pPr>
              <w:widowControl w:val="0"/>
              <w:numPr>
                <w:ilvl w:val="0"/>
                <w:numId w:val="4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提供表格组件，提供静态表格和动态表格两种方式，动态组件可以实现动态滚动，自定义设置单行滚动或整页滚动，滚动时间精确到毫秒；</w:t>
            </w:r>
          </w:p>
          <w:p>
            <w:pPr>
              <w:widowControl w:val="0"/>
              <w:numPr>
                <w:ilvl w:val="0"/>
                <w:numId w:val="4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提供多种GIS地图组件，可根据获取的经纬度，展现相应地理位置的地图；</w:t>
            </w:r>
          </w:p>
          <w:p>
            <w:pPr>
              <w:widowControl w:val="0"/>
              <w:numPr>
                <w:ilvl w:val="0"/>
                <w:numId w:val="4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高级素材组件，包括但不限于动态环形图、气泡图、水位图、滚动排名、翻牌器、实时时间等动态组件；以及指标卡、分割线、选项卡、进度池、仪表盘、仪表盘（组合）、3/4圆环图、立体圆柱体等高级大屏组件，满足用户任何场景的需求；</w:t>
            </w:r>
          </w:p>
          <w:p>
            <w:pPr>
              <w:widowControl w:val="0"/>
              <w:numPr>
                <w:ilvl w:val="0"/>
                <w:numId w:val="4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提供所有组件能够根据皮肤设置自动换肤，保障系统美观可用；</w:t>
            </w:r>
          </w:p>
          <w:p>
            <w:pPr>
              <w:widowControl w:val="0"/>
              <w:numPr>
                <w:ilvl w:val="0"/>
                <w:numId w:val="4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提供组件的参数自定义设置，如XY位置设置、宽度、高度设计、层级自定义设置，并可以实现实时自动更新；</w:t>
            </w:r>
          </w:p>
          <w:p>
            <w:pPr>
              <w:widowControl w:val="0"/>
              <w:numPr>
                <w:ilvl w:val="0"/>
                <w:numId w:val="4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提供组件的标题自定义隐藏开启设置，并要求满足字体大小、间接、粗细、字体类型、字体颜色、标题位置的灵活设置，并可以实现实时自动更新；</w:t>
            </w:r>
          </w:p>
          <w:p>
            <w:pPr>
              <w:widowControl w:val="0"/>
              <w:numPr>
                <w:ilvl w:val="0"/>
                <w:numId w:val="4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提供组件的边框灵活选择，不少于30套边框组合；</w:t>
            </w:r>
          </w:p>
          <w:p>
            <w:pPr>
              <w:widowControl w:val="0"/>
              <w:numPr>
                <w:ilvl w:val="0"/>
                <w:numId w:val="4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提供组件的数值自定义设置，提供隐藏开启功能设置，数值字体大小、字体颜色、字体粗细、显示位置的自定义设置，并可以实现实时自动更新；</w:t>
            </w:r>
          </w:p>
          <w:p>
            <w:pPr>
              <w:widowControl w:val="0"/>
              <w:numPr>
                <w:ilvl w:val="0"/>
                <w:numId w:val="4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系统内置的所有组件均为一个独立的图层，可进行个性化的设置，对组件的边框，图表形状、位置，数值，坐标轴颜色、字体、字号，表格的行列等进行设置；</w:t>
            </w:r>
          </w:p>
          <w:p>
            <w:pPr>
              <w:widowControl w:val="0"/>
              <w:numPr>
                <w:ilvl w:val="0"/>
                <w:numId w:val="4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提供不少于三种大屏交互方式；</w:t>
            </w:r>
          </w:p>
          <w:p>
            <w:pPr>
              <w:widowControl w:val="0"/>
              <w:numPr>
                <w:ilvl w:val="0"/>
                <w:numId w:val="4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提供下钻交互效果，关联目标组件、选择需要触发的交互事件，点击核心数据指标可以查看明细，实现在当前大屏页面，出现悬浮、弹框等交互效果；</w:t>
            </w:r>
          </w:p>
          <w:p>
            <w:pPr>
              <w:widowControl w:val="0"/>
              <w:numPr>
                <w:ilvl w:val="0"/>
                <w:numId w:val="4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提供页面跳转交互效果，可选择当前页面或是新页面跳转；跳转的地址携带参数，用户只需在跳转地址中预先写好参数名，即可实现页面跳转效果；</w:t>
            </w:r>
          </w:p>
          <w:p>
            <w:pPr>
              <w:widowControl w:val="0"/>
              <w:numPr>
                <w:ilvl w:val="0"/>
                <w:numId w:val="4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提供大屏的全屏联动效果，至少满足标题联动和维度联动，现场根据用户要求指定任意标题和或者某个维度，实现与全屏或部分组件的自动联动，使得其他组件根据指定条件进行数据过滤；</w:t>
            </w:r>
          </w:p>
          <w:p>
            <w:pPr>
              <w:widowControl w:val="0"/>
              <w:numPr>
                <w:ilvl w:val="0"/>
                <w:numId w:val="4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系统提供丰富的大屏背景，可供用户灵活选择大屏背景色、样式和主题背景，平台预置各类大屏背景，内置不少于50套背景模板；</w:t>
            </w:r>
          </w:p>
          <w:p>
            <w:pPr>
              <w:widowControl w:val="0"/>
              <w:numPr>
                <w:ilvl w:val="0"/>
                <w:numId w:val="4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提供多种动态元素渲染效果；</w:t>
            </w:r>
          </w:p>
          <w:p>
            <w:pPr>
              <w:widowControl w:val="0"/>
              <w:numPr>
                <w:ilvl w:val="0"/>
                <w:numId w:val="4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提供信息内容的切换效果；</w:t>
            </w:r>
          </w:p>
          <w:p>
            <w:pPr>
              <w:widowControl w:val="0"/>
              <w:numPr>
                <w:ilvl w:val="0"/>
                <w:numId w:val="4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提供热点内容的动态滚动效果；</w:t>
            </w:r>
          </w:p>
          <w:p>
            <w:pPr>
              <w:widowControl w:val="0"/>
              <w:numPr>
                <w:ilvl w:val="0"/>
                <w:numId w:val="4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提供地图轨迹动态效果，自定义设置目标位置，可设置向目标内扩散或向外扩散的轨迹效果；</w:t>
            </w:r>
          </w:p>
          <w:p>
            <w:pPr>
              <w:widowControl w:val="0"/>
              <w:numPr>
                <w:ilvl w:val="0"/>
                <w:numId w:val="4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提供地球旋转动态效果，可拖拽式进行地球大小的缩放，可进行地球下钻的特效展示；</w:t>
            </w:r>
          </w:p>
          <w:p>
            <w:pPr>
              <w:widowControl w:val="0"/>
              <w:numPr>
                <w:ilvl w:val="0"/>
                <w:numId w:val="4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提供图片、文字、视频等内容的播放动态展示效果；</w:t>
            </w:r>
          </w:p>
          <w:p>
            <w:pPr>
              <w:widowControl w:val="0"/>
              <w:numPr>
                <w:ilvl w:val="0"/>
                <w:numId w:val="4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提供互动模式、场景切换、大屏联动等画面显示功能；</w:t>
            </w:r>
          </w:p>
          <w:p>
            <w:pPr>
              <w:widowControl w:val="0"/>
              <w:numPr>
                <w:ilvl w:val="0"/>
                <w:numId w:val="4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提供自定义无限制屏幕大小，屏幕等比缩放、屏幕铺满等多种渲染方式；</w:t>
            </w:r>
          </w:p>
          <w:p>
            <w:pPr>
              <w:widowControl w:val="0"/>
              <w:numPr>
                <w:ilvl w:val="0"/>
                <w:numId w:val="4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系统内置海量模板供用户选择，模板库内的模板分为两类，一类是初始化内置的模板，另一类是用户新建的内容也可设为模板；</w:t>
            </w:r>
          </w:p>
          <w:p>
            <w:pPr>
              <w:widowControl w:val="0"/>
              <w:numPr>
                <w:ilvl w:val="0"/>
                <w:numId w:val="4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提供通过关键字进行全文检索，快速查找需要的模板；</w:t>
            </w:r>
          </w:p>
          <w:p>
            <w:pPr>
              <w:widowControl w:val="0"/>
              <w:numPr>
                <w:ilvl w:val="0"/>
                <w:numId w:val="4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模板分类支持按场景、部门、主题色三种类型管理模板；</w:t>
            </w:r>
          </w:p>
          <w:p>
            <w:pPr>
              <w:widowControl w:val="0"/>
              <w:numPr>
                <w:ilvl w:val="0"/>
                <w:numId w:val="4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提供管理员对模板进行管理，将每一个模板进行分类、标签化，编辑或删除；</w:t>
            </w:r>
          </w:p>
          <w:p>
            <w:pPr>
              <w:widowControl w:val="0"/>
              <w:numPr>
                <w:ilvl w:val="0"/>
                <w:numId w:val="4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提供普通用户预览模板、查看模板的详细内容、使用模板创建大屏以及分享模板；</w:t>
            </w:r>
          </w:p>
          <w:p>
            <w:pPr>
              <w:widowControl w:val="0"/>
              <w:numPr>
                <w:ilvl w:val="0"/>
                <w:numId w:val="4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提供按照更新时间、使用量进行模板排序；</w:t>
            </w:r>
          </w:p>
          <w:p>
            <w:pPr>
              <w:widowControl w:val="0"/>
              <w:numPr>
                <w:ilvl w:val="0"/>
                <w:numId w:val="43"/>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提供模板预览效果缩放及模板导出至本地（大屏以图片格式、报告以PDF格式）。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lang w:val="de-DE"/>
                <w14:textFill>
                  <w14:solidFill>
                    <w14:schemeClr w14:val="tx1"/>
                  </w14:solidFill>
                </w14:textFill>
              </w:rPr>
              <w:t>6.2</w:t>
            </w:r>
            <w:r>
              <w:rPr>
                <w:rFonts w:hint="eastAsia" w:ascii="宋体" w:hAnsi="宋体"/>
                <w:color w:val="000000" w:themeColor="text1"/>
                <w:sz w:val="18"/>
                <w:szCs w:val="18"/>
                <w:lang w:val="de-DE"/>
                <w14:textFill>
                  <w14:solidFill>
                    <w14:schemeClr w14:val="tx1"/>
                  </w14:solidFill>
                </w14:textFill>
              </w:rPr>
              <w:t>分析看板</w:t>
            </w:r>
          </w:p>
        </w:tc>
        <w:tc>
          <w:tcPr>
            <w:tcW w:w="8284" w:type="dxa"/>
          </w:tcPr>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提供数据库连接、文本连接等数据接入方式；</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系统提供丰富的数据库类型接入，支持与主流数据库进行对接，包括：GaussDB、Oracle 、My SQL 、Postagre SQL 、SQL Server、Sybase等关系型数据库连接；</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提供文本离线数据源CSV、EXCEL格式文本数据连接；</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提供Elasticsearch、Kylin、Hadoop数据连接；</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提供对各类数据源的列表式查看、组件式查看自由切换，支持数据源的增删改查操作；</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提供对数据源进行复制操作；</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提供基于数据源信息自由创建数据模型，支持数据模型的无限级树形目录构建；</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★提供由各类数据源表、视图自动生成数据模型，支持表、视图、字段信息自动带入数据治理平台元数据信息，无需二次编辑表别名、字段别名等信息；</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提供对单个数据模型的在线编辑、移动、删除操作，支持对多个数据模型的批量移动、批量删除操作；</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提供数据模型的表名与字段名的自定义，添加备注性描述，形成无技术背景的用户也可轻松使用的数据模型，为后续建分析模型和看板提供便捷；</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数据模型可在线查看模型结构信息，包括字段名称、类型、别名、字段长度、是否为空、是否唯一等信息；</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提供数据模型中明细数据预览，查看功能；</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基于数据模型，按照指标、维度的数据仓库建模视角，支持在线拖拽式构建分析模型。分析模型支持从数据模型自动载入，依据数据模型的字段类型自动划分维度与指标；</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提供对单个分析模型的在线编辑、移动、删除操作，支持对多个数据模型的批量移动、批量删除操作；</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提供字段级别的增删改，可修改字段属性，支持维度、指标的互换，为了解决已有字段不能满足分析需要的问题，支持字段的新建，基于已有字段内容，通过数据库函数表达式进行计算，得到最终的字段结果；</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针对数据字段可以进行生成计算维度、生成计算指标、对维度、指标进行复制以及隐藏字段设置；</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图形化建模操作，系统内置指标函数（经过智能计算的指标模型，自动输出图表），分析模型聚合表达式，系统必须满足内置多种常用的表达式，包括但不限于：最大值、最小值、求和、平均、统计数量、去重统计数量、向下取整、向上取整、绝对值；</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灵活可自主操作的转换数据类型：转换为整数、转换为小数、还原初始数字、分组、数据桶、日期串解析、日期时间转换、日期转换、字符串转小写、字符串转大写、替换字符串、获取字符串长度、截取字符串等；</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多表关联功能，在Web页面上通过点击、拖拉拽的方式，无需通过SQL语句，即可实现表之间的关联。全图形化实现表关联，可构造星型表关联关系，支持多种关联类型：内部、左侧、右侧、完全外部，满足所有表关联的情况，表与表之间的关联基于关键字，输出结果集；</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提供分析模型自动过滤当前用户角色，过滤用户权限下的数据；</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指标的构建过程需要具备辅助向导功能，简单易用,支持文字、文档、视频等多种形式；</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智能可视化系统支持内置丰富的组件，提供丰富的分析图表类型，基于Echarts、html的图表组件，提供各式各样的图表样式和类型，平台内置了丰富的组件，必须支持不少于图表组件、文本组件、多媒体组件、地图组件、各种高级素材组件，适用于数据大屏、数据分析、数据报告的设计；</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提供图表组件，基于Echarts、html的图表组件，具有各式各样的图表样式和类型，并支持同类数据结构的图表组件一键切换；</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提供文本组件，包括富文本组件、文本框、列表、交叉表等多种类型，支持表格组件单独导出为EXCEL文件，动态表格组件可以实现动态滚动，自定义设置单行滚动或整页滚动，滚动时间精确到毫秒；</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提供媒体组件，包括静态图片、轮播图、视频、监控等媒体组件；</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 xml:space="preserve">提供素材组件，包括但不限于指标、字符云、实时时间、选项卡、翻牌器、进度池、滚动排名、仪表盘、组合仪表盘等； </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提供地图组件功能，包括流向地图、下钻地图、GIS地图（可根据获取的经纬度，展现相应地理位置的地图）组件等；</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支持动效组件如轮播图，支持筛选器组件，包括选择器（下拉选择器、按钮选择器、区间选择器）、滑动条、模糊查询器等，实现在统一数据源下的组件的全局筛选；</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大屏支持动效组件，包括但不限于互动地球、涟漪、光柱、跑马灯（</w:t>
            </w:r>
            <w:r>
              <w:rPr>
                <w:rFonts w:hint="eastAsia" w:ascii="宋体" w:hAnsi="宋体"/>
                <w:color w:val="000000" w:themeColor="text1"/>
                <w:sz w:val="18"/>
                <w:szCs w:val="18"/>
                <w14:textFill>
                  <w14:solidFill>
                    <w14:schemeClr w14:val="tx1"/>
                  </w14:solidFill>
                </w14:textFill>
              </w:rPr>
              <w:t>名称可不一样，效果相似即可）</w:t>
            </w:r>
            <w:r>
              <w:rPr>
                <w:rFonts w:hint="eastAsia" w:ascii="宋体" w:hAnsi="宋体"/>
                <w:color w:val="000000" w:themeColor="text1"/>
                <w:sz w:val="18"/>
                <w:szCs w:val="18"/>
                <w:lang w:val="de-DE"/>
                <w14:textFill>
                  <w14:solidFill>
                    <w14:schemeClr w14:val="tx1"/>
                  </w14:solidFill>
                </w14:textFill>
              </w:rPr>
              <w:t>等高级大屏动效组件，满足用户任何场景的需求；</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以看板设计为主体，Grid布局拖拽组装出仪表板，组件间间距恒定，布局整齐划一，通过点击、拖拽组件的方式将各类分析图表的集合展示，提供的组件需要包括图表、文本、媒体、地图、动效、筛选器组件，界面排版布局方式支持自由模式，操作方式支持拖拽、拼接；</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分析模型（支持同数据源的多分析模型切换）也通过拖拉拽的方式，将维度、指标拖入指定区域自动生成图表或表格；</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提供对仪表板的自动刷新时间进行自定义设置，最小可设置到秒级以支持数据的实时展现，当数据表中的数据发生变化后，无需要手动刷新看板即可看到最新的数据；</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提供数据刷新时间可视化设置，粒度可精确到秒级，也可以自定义设置数据刷新时间；</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所有配置生成的看板需要支持外链分享，并可对外链进行菜单授权控制以及数据权限控制，无需二次开发即可无缝集成学校的门户、</w:t>
            </w:r>
            <w:r>
              <w:rPr>
                <w:rFonts w:hint="eastAsia" w:ascii="宋体" w:hAnsi="宋体"/>
                <w:color w:val="000000" w:themeColor="text1"/>
                <w:sz w:val="18"/>
                <w:szCs w:val="18"/>
                <w14:textFill>
                  <w14:solidFill>
                    <w14:schemeClr w14:val="tx1"/>
                  </w14:solidFill>
                </w14:textFill>
              </w:rPr>
              <w:t>办事大厅、</w:t>
            </w:r>
            <w:r>
              <w:rPr>
                <w:rFonts w:hint="eastAsia" w:ascii="宋体" w:hAnsi="宋体"/>
                <w:color w:val="000000" w:themeColor="text1"/>
                <w:sz w:val="18"/>
                <w:szCs w:val="18"/>
                <w:lang w:val="de-DE"/>
                <w14:textFill>
                  <w14:solidFill>
                    <w14:schemeClr w14:val="tx1"/>
                  </w14:solidFill>
                </w14:textFill>
              </w:rPr>
              <w:t>企业微信、微信等移动校园等应用平台上；</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提供数据分析看板的换肤功能，支持至少</w:t>
            </w:r>
            <w:r>
              <w:rPr>
                <w:rFonts w:hint="eastAsia" w:ascii="宋体" w:hAnsi="宋体"/>
                <w:color w:val="000000" w:themeColor="text1"/>
                <w:sz w:val="18"/>
                <w:szCs w:val="18"/>
                <w14:textFill>
                  <w14:solidFill>
                    <w14:schemeClr w14:val="tx1"/>
                  </w14:solidFill>
                </w14:textFill>
              </w:rPr>
              <w:t>3</w:t>
            </w:r>
            <w:r>
              <w:rPr>
                <w:rFonts w:hint="eastAsia" w:ascii="宋体" w:hAnsi="宋体"/>
                <w:color w:val="000000" w:themeColor="text1"/>
                <w:sz w:val="18"/>
                <w:szCs w:val="18"/>
                <w:lang w:val="de-DE"/>
                <w14:textFill>
                  <w14:solidFill>
                    <w14:schemeClr w14:val="tx1"/>
                  </w14:solidFill>
                </w14:textFill>
              </w:rPr>
              <w:t>套主题色可自定义切换看板风格，要求看板中所有图表能够根据主题设置自动换肤，保障系统美观可用；</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提供加密的跨应用的图表URL带参跳转和看板URL带参过滤查询，做到看板千人千面；</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提供以实时或准实时的方式刷新仪表盘的数据，当数据仓库的数据发生变化后，无需要手动刷新仪表盘即可看到最新的数据；</w:t>
            </w:r>
          </w:p>
          <w:p>
            <w:pPr>
              <w:widowControl w:val="0"/>
              <w:numPr>
                <w:ilvl w:val="0"/>
                <w:numId w:val="4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提供看板的导入导出；</w:t>
            </w:r>
          </w:p>
          <w:p>
            <w:pPr>
              <w:widowControl w:val="0"/>
              <w:numPr>
                <w:ilvl w:val="0"/>
                <w:numId w:val="44"/>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提供业务用户自定义衍生维度和指标，支持数据类型的自动转换，如占比自动根据计算结果转换为百分比的形式。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lang w:val="de-DE"/>
                <w14:textFill>
                  <w14:solidFill>
                    <w14:schemeClr w14:val="tx1"/>
                  </w14:solidFill>
                </w14:textFill>
              </w:rPr>
              <w:t>6.3</w:t>
            </w:r>
            <w:r>
              <w:rPr>
                <w:rFonts w:hint="eastAsia" w:ascii="宋体" w:hAnsi="宋体"/>
                <w:color w:val="000000" w:themeColor="text1"/>
                <w:sz w:val="18"/>
                <w:szCs w:val="18"/>
                <w:lang w:val="de-DE"/>
                <w14:textFill>
                  <w14:solidFill>
                    <w14:schemeClr w14:val="tx1"/>
                  </w14:solidFill>
                </w14:textFill>
              </w:rPr>
              <w:t>数据报告</w:t>
            </w:r>
          </w:p>
        </w:tc>
        <w:tc>
          <w:tcPr>
            <w:tcW w:w="8284" w:type="dxa"/>
          </w:tcPr>
          <w:p>
            <w:pPr>
              <w:widowControl w:val="0"/>
              <w:numPr>
                <w:ilvl w:val="0"/>
                <w:numId w:val="45"/>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提供不少于15个场景等数据报告模板，包含工作简报、年度总结、业务报告；</w:t>
            </w:r>
          </w:p>
          <w:p>
            <w:pPr>
              <w:widowControl w:val="0"/>
              <w:numPr>
                <w:ilvl w:val="0"/>
                <w:numId w:val="45"/>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提供基于Echarts、html的图表组件；支持富文本编辑，满足用户对于文字排版的一切需求，灵活快速输出数据报告；</w:t>
            </w:r>
          </w:p>
          <w:p>
            <w:pPr>
              <w:widowControl w:val="0"/>
              <w:numPr>
                <w:ilvl w:val="0"/>
                <w:numId w:val="45"/>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富文本中支持插入动态数据，可通过SQL查询获得动态数据；</w:t>
            </w:r>
          </w:p>
          <w:p>
            <w:pPr>
              <w:widowControl w:val="0"/>
              <w:numPr>
                <w:ilvl w:val="0"/>
                <w:numId w:val="45"/>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所有配置生成的大屏需要支持外链分享，以“URL”的形式分享给其他用户查看；</w:t>
            </w:r>
          </w:p>
          <w:p>
            <w:pPr>
              <w:widowControl w:val="0"/>
              <w:numPr>
                <w:ilvl w:val="0"/>
                <w:numId w:val="45"/>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支持对外链分享大屏进行菜单授权控制；</w:t>
            </w:r>
          </w:p>
          <w:p>
            <w:pPr>
              <w:widowControl w:val="0"/>
              <w:numPr>
                <w:ilvl w:val="0"/>
                <w:numId w:val="45"/>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大屏支持图片格式的导出，可通过图片的形式静态展示大屏的数据分析结果；</w:t>
            </w:r>
          </w:p>
          <w:p>
            <w:pPr>
              <w:widowControl w:val="0"/>
              <w:numPr>
                <w:ilvl w:val="0"/>
                <w:numId w:val="45"/>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报告支持PDF格式的导出，支持本地离线的二次编辑，方便用户打印提交报告；</w:t>
            </w:r>
          </w:p>
          <w:p>
            <w:pPr>
              <w:widowControl w:val="0"/>
              <w:numPr>
                <w:ilvl w:val="0"/>
                <w:numId w:val="45"/>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支持无需二次开发即可无缝集成学校的门户、办事大厅、企业微信等应用平台上；</w:t>
            </w:r>
          </w:p>
          <w:p>
            <w:pPr>
              <w:widowControl w:val="0"/>
              <w:numPr>
                <w:ilvl w:val="0"/>
                <w:numId w:val="45"/>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数据报告可对接集成至移动浏览器、微信企业号、钉钉、移动校园APP等。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val="de-DE"/>
                <w14:textFill>
                  <w14:solidFill>
                    <w14:schemeClr w14:val="tx1"/>
                  </w14:solidFill>
                </w14:textFill>
              </w:rPr>
              <w:t>6.4</w:t>
            </w:r>
            <w:r>
              <w:rPr>
                <w:rFonts w:hint="eastAsia" w:ascii="宋体" w:hAnsi="宋体"/>
                <w:color w:val="000000" w:themeColor="text1"/>
                <w:sz w:val="18"/>
                <w:szCs w:val="18"/>
                <w:lang w:val="de-DE"/>
                <w14:textFill>
                  <w14:solidFill>
                    <w14:schemeClr w14:val="tx1"/>
                  </w14:solidFill>
                </w14:textFill>
              </w:rPr>
              <w:t>基本校情分析</w:t>
            </w:r>
          </w:p>
        </w:tc>
        <w:tc>
          <w:tcPr>
            <w:tcW w:w="8284" w:type="dxa"/>
          </w:tcPr>
          <w:p>
            <w:pPr>
              <w:widowControl w:val="0"/>
              <w:numPr>
                <w:ilvl w:val="0"/>
                <w:numId w:val="46"/>
              </w:numPr>
              <w:spacing w:line="280" w:lineRule="exact"/>
              <w:textAlignment w:val="auto"/>
              <w:rPr>
                <w:rFonts w:ascii="宋体" w:hAnsi="宋体" w:cs="Times New Roman"/>
                <w:color w:val="000000" w:themeColor="text1"/>
                <w:sz w:val="18"/>
                <w:szCs w:val="18"/>
                <w14:textFill>
                  <w14:solidFill>
                    <w14:schemeClr w14:val="tx1"/>
                  </w14:solidFill>
                </w14:textFill>
              </w:rPr>
            </w:pPr>
            <w:r>
              <w:rPr>
                <w:rFonts w:ascii="宋体" w:hAnsi="宋体" w:cs="Times New Roman"/>
                <w:color w:val="000000" w:themeColor="text1"/>
                <w:sz w:val="18"/>
                <w:szCs w:val="18"/>
                <w14:textFill>
                  <w14:solidFill>
                    <w14:schemeClr w14:val="tx1"/>
                  </w14:solidFill>
                </w14:textFill>
              </w:rPr>
              <w:t>支持分析学校基本校情（整体概况）、师资主题分析、学生域主题分析情况、资产情况等。</w:t>
            </w:r>
          </w:p>
          <w:p>
            <w:pPr>
              <w:widowControl w:val="0"/>
              <w:numPr>
                <w:ilvl w:val="0"/>
                <w:numId w:val="46"/>
              </w:numPr>
              <w:spacing w:line="280" w:lineRule="exact"/>
              <w:textAlignment w:val="auto"/>
              <w:rPr>
                <w:rFonts w:ascii="宋体" w:hAnsi="宋体" w:cs="Times New Roman"/>
                <w:color w:val="000000" w:themeColor="text1"/>
                <w:sz w:val="18"/>
                <w:szCs w:val="18"/>
                <w14:textFill>
                  <w14:solidFill>
                    <w14:schemeClr w14:val="tx1"/>
                  </w14:solidFill>
                </w14:textFill>
              </w:rPr>
            </w:pPr>
            <w:r>
              <w:rPr>
                <w:rFonts w:ascii="宋体" w:hAnsi="宋体" w:cs="Times New Roman"/>
                <w:color w:val="000000" w:themeColor="text1"/>
                <w:sz w:val="18"/>
                <w:szCs w:val="18"/>
                <w14:textFill>
                  <w14:solidFill>
                    <w14:schemeClr w14:val="tx1"/>
                  </w14:solidFill>
                </w14:textFill>
              </w:rPr>
              <w:t>支持用户基于数据分析工具自定义添加分析项。</w:t>
            </w:r>
          </w:p>
          <w:p>
            <w:pPr>
              <w:widowControl w:val="0"/>
              <w:numPr>
                <w:ilvl w:val="0"/>
                <w:numId w:val="46"/>
              </w:numPr>
              <w:spacing w:line="280" w:lineRule="exact"/>
              <w:textAlignment w:val="auto"/>
              <w:rPr>
                <w:rFonts w:ascii="宋体" w:hAnsi="宋体" w:cs="Times New Roman"/>
                <w:color w:val="000000" w:themeColor="text1"/>
                <w:sz w:val="18"/>
                <w:szCs w:val="18"/>
                <w14:textFill>
                  <w14:solidFill>
                    <w14:schemeClr w14:val="tx1"/>
                  </w14:solidFill>
                </w14:textFill>
              </w:rPr>
            </w:pPr>
            <w:r>
              <w:rPr>
                <w:rFonts w:ascii="宋体" w:hAnsi="宋体" w:cs="Times New Roman"/>
                <w:color w:val="000000" w:themeColor="text1"/>
                <w:sz w:val="18"/>
                <w:szCs w:val="18"/>
                <w14:textFill>
                  <w14:solidFill>
                    <w14:schemeClr w14:val="tx1"/>
                  </w14:solidFill>
                </w14:textFill>
              </w:rPr>
              <w:t>支持用户基于数据分析工具对数据进行血缘查看及数据反馈。</w:t>
            </w:r>
          </w:p>
          <w:p>
            <w:pPr>
              <w:widowControl w:val="0"/>
              <w:numPr>
                <w:ilvl w:val="0"/>
                <w:numId w:val="46"/>
              </w:numPr>
              <w:spacing w:line="280" w:lineRule="exact"/>
              <w:textAlignment w:val="auto"/>
              <w:rPr>
                <w:rFonts w:ascii="宋体" w:hAnsi="宋体" w:cs="Times New Roman"/>
                <w:color w:val="000000" w:themeColor="text1"/>
                <w:sz w:val="18"/>
                <w:szCs w:val="18"/>
                <w14:textFill>
                  <w14:solidFill>
                    <w14:schemeClr w14:val="tx1"/>
                  </w14:solidFill>
                </w14:textFill>
              </w:rPr>
            </w:pPr>
            <w:r>
              <w:rPr>
                <w:rFonts w:ascii="宋体" w:hAnsi="宋体" w:cs="Times New Roman"/>
                <w:color w:val="000000" w:themeColor="text1"/>
                <w:sz w:val="18"/>
                <w:szCs w:val="18"/>
                <w14:textFill>
                  <w14:solidFill>
                    <w14:schemeClr w14:val="tx1"/>
                  </w14:solidFill>
                </w14:textFill>
              </w:rPr>
              <w:t>支持用户对分析看板布局自定义设置。</w:t>
            </w:r>
          </w:p>
          <w:p>
            <w:pPr>
              <w:widowControl w:val="0"/>
              <w:numPr>
                <w:ilvl w:val="0"/>
                <w:numId w:val="46"/>
              </w:numPr>
              <w:spacing w:line="280" w:lineRule="exact"/>
              <w:textAlignment w:val="auto"/>
              <w:rPr>
                <w:rFonts w:ascii="宋体" w:hAnsi="宋体" w:cs="Times New Roman"/>
                <w:color w:val="000000" w:themeColor="text1"/>
                <w:sz w:val="18"/>
                <w:szCs w:val="18"/>
                <w14:textFill>
                  <w14:solidFill>
                    <w14:schemeClr w14:val="tx1"/>
                  </w14:solidFill>
                </w14:textFill>
              </w:rPr>
            </w:pPr>
            <w:r>
              <w:rPr>
                <w:rFonts w:ascii="宋体" w:hAnsi="宋体" w:cs="Times New Roman"/>
                <w:color w:val="000000" w:themeColor="text1"/>
                <w:sz w:val="18"/>
                <w:szCs w:val="18"/>
                <w14:textFill>
                  <w14:solidFill>
                    <w14:schemeClr w14:val="tx1"/>
                  </w14:solidFill>
                </w14:textFill>
              </w:rPr>
              <w:t>支持学校的基本指标进行数据分析，例如学生人数、部门数、机构分布、高素质人才分布、院系分布等，形成主题看板。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val="de-DE"/>
                <w14:textFill>
                  <w14:solidFill>
                    <w14:schemeClr w14:val="tx1"/>
                  </w14:solidFill>
                </w14:textFill>
              </w:rPr>
              <w:t>6.</w:t>
            </w:r>
            <w:r>
              <w:rPr>
                <w:rFonts w:hint="eastAsia" w:ascii="宋体" w:hAnsi="宋体"/>
                <w:color w:val="000000" w:themeColor="text1"/>
                <w:sz w:val="18"/>
                <w:szCs w:val="18"/>
                <w14:textFill>
                  <w14:solidFill>
                    <w14:schemeClr w14:val="tx1"/>
                  </w14:solidFill>
                </w14:textFill>
              </w:rPr>
              <w:t>5</w:t>
            </w:r>
            <w:r>
              <w:rPr>
                <w:rFonts w:hint="eastAsia" w:ascii="宋体" w:hAnsi="宋体"/>
                <w:color w:val="000000" w:themeColor="text1"/>
                <w:sz w:val="18"/>
                <w:szCs w:val="18"/>
                <w:lang w:val="de-DE"/>
                <w14:textFill>
                  <w14:solidFill>
                    <w14:schemeClr w14:val="tx1"/>
                  </w14:solidFill>
                </w14:textFill>
              </w:rPr>
              <w:t>领导驾驶舱</w:t>
            </w:r>
          </w:p>
        </w:tc>
        <w:tc>
          <w:tcPr>
            <w:tcW w:w="8284" w:type="dxa"/>
            <w:vAlign w:val="center"/>
          </w:tcPr>
          <w:p>
            <w:pPr>
              <w:widowControl w:val="0"/>
              <w:numPr>
                <w:ilvl w:val="0"/>
                <w:numId w:val="47"/>
              </w:numPr>
              <w:spacing w:line="280" w:lineRule="exact"/>
              <w:textAlignment w:val="auto"/>
              <w:rPr>
                <w:rFonts w:ascii="宋体" w:hAnsi="宋体" w:cs="Times New Roman"/>
                <w:color w:val="000000" w:themeColor="text1"/>
                <w:sz w:val="18"/>
                <w:szCs w:val="18"/>
                <w14:textFill>
                  <w14:solidFill>
                    <w14:schemeClr w14:val="tx1"/>
                  </w14:solidFill>
                </w14:textFill>
              </w:rPr>
            </w:pPr>
            <w:r>
              <w:rPr>
                <w:rFonts w:ascii="宋体" w:hAnsi="宋体" w:cs="Times New Roman"/>
                <w:color w:val="000000" w:themeColor="text1"/>
                <w:sz w:val="18"/>
                <w:szCs w:val="18"/>
                <w14:textFill>
                  <w14:solidFill>
                    <w14:schemeClr w14:val="tx1"/>
                  </w14:solidFill>
                </w14:textFill>
              </w:rPr>
              <w:t>基于数据</w:t>
            </w:r>
            <w:r>
              <w:rPr>
                <w:rFonts w:hint="eastAsia" w:ascii="宋体" w:hAnsi="宋体" w:cs="Times New Roman"/>
                <w:color w:val="000000" w:themeColor="text1"/>
                <w:sz w:val="18"/>
                <w:szCs w:val="18"/>
                <w14:textFill>
                  <w14:solidFill>
                    <w14:schemeClr w14:val="tx1"/>
                  </w14:solidFill>
                </w14:textFill>
              </w:rPr>
              <w:t>可视化</w:t>
            </w:r>
            <w:r>
              <w:rPr>
                <w:rFonts w:ascii="宋体" w:hAnsi="宋体" w:cs="Times New Roman"/>
                <w:color w:val="000000" w:themeColor="text1"/>
                <w:sz w:val="18"/>
                <w:szCs w:val="18"/>
                <w14:textFill>
                  <w14:solidFill>
                    <w14:schemeClr w14:val="tx1"/>
                  </w14:solidFill>
                </w14:textFill>
              </w:rPr>
              <w:t>分析工具的大屏可视化设计能力构建领导驾舱应用，涵盖如：全域数据治理大屏、全域数据资产大屏、图书馆大屏、健康数据大屏等应用。</w:t>
            </w:r>
          </w:p>
          <w:p>
            <w:pPr>
              <w:widowControl w:val="0"/>
              <w:numPr>
                <w:ilvl w:val="0"/>
                <w:numId w:val="47"/>
              </w:numPr>
              <w:spacing w:line="280" w:lineRule="exact"/>
              <w:textAlignment w:val="auto"/>
              <w:rPr>
                <w:rFonts w:ascii="宋体" w:hAnsi="宋体" w:cs="Times New Roman"/>
                <w:color w:val="000000" w:themeColor="text1"/>
                <w:sz w:val="18"/>
                <w:szCs w:val="18"/>
                <w14:textFill>
                  <w14:solidFill>
                    <w14:schemeClr w14:val="tx1"/>
                  </w14:solidFill>
                </w14:textFill>
              </w:rPr>
            </w:pPr>
            <w:r>
              <w:rPr>
                <w:rFonts w:ascii="宋体" w:hAnsi="宋体" w:cs="Times New Roman"/>
                <w:color w:val="000000" w:themeColor="text1"/>
                <w:sz w:val="18"/>
                <w:szCs w:val="18"/>
                <w14:textFill>
                  <w14:solidFill>
                    <w14:schemeClr w14:val="tx1"/>
                  </w14:solidFill>
                </w14:textFill>
              </w:rPr>
              <w:t>提供学校领导层面的全局驾驶舱，覆盖人、财、物三大方面的统计性展示，模块可定制，提供多套不同风格的页面皮肤展示方</w:t>
            </w:r>
            <w:r>
              <w:rPr>
                <w:rFonts w:hint="eastAsia" w:ascii="宋体" w:hAnsi="宋体" w:cs="Times New Roman"/>
                <w:color w:val="000000" w:themeColor="text1"/>
                <w:sz w:val="18"/>
                <w:szCs w:val="18"/>
                <w14:textFill>
                  <w14:solidFill>
                    <w14:schemeClr w14:val="tx1"/>
                  </w14:solidFill>
                </w14:textFill>
              </w:rPr>
              <w:t>案，一键切换，支持驾驶舱的用户自主化布局设计，支持按需调</w:t>
            </w:r>
            <w:r>
              <w:rPr>
                <w:rFonts w:ascii="宋体" w:hAnsi="宋体" w:cs="Times New Roman"/>
                <w:color w:val="000000" w:themeColor="text1"/>
                <w:sz w:val="18"/>
                <w:szCs w:val="18"/>
                <w14:textFill>
                  <w14:solidFill>
                    <w14:schemeClr w14:val="tx1"/>
                  </w14:solidFill>
                </w14:textFill>
              </w:rPr>
              <w:t>整局部的展示内容。展示内容至少包括以下几项：</w:t>
            </w:r>
          </w:p>
          <w:p>
            <w:pPr>
              <w:widowControl w:val="0"/>
              <w:spacing w:line="280" w:lineRule="exact"/>
              <w:ind w:left="63" w:leftChars="30"/>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1</w:t>
            </w:r>
            <w:r>
              <w:rPr>
                <w:rFonts w:ascii="宋体" w:hAnsi="宋体" w:cs="Times New Roman"/>
                <w:color w:val="000000" w:themeColor="text1"/>
                <w:sz w:val="18"/>
                <w:szCs w:val="18"/>
                <w14:textFill>
                  <w14:solidFill>
                    <w14:schemeClr w14:val="tx1"/>
                  </w14:solidFill>
                </w14:textFill>
              </w:rPr>
              <w:t>)人事概况</w:t>
            </w:r>
          </w:p>
          <w:p>
            <w:pPr>
              <w:widowControl w:val="0"/>
              <w:spacing w:line="280" w:lineRule="exact"/>
              <w:ind w:left="63" w:leftChars="30"/>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人事层面，支持从学历、职称、工作年限、籍贯、政治面貌等维度，提供教职工数据综合统计分析与实时数据查询，展示数据总体情况、占比情况与变化趋势等。</w:t>
            </w:r>
          </w:p>
          <w:p>
            <w:pPr>
              <w:widowControl w:val="0"/>
              <w:spacing w:line="280" w:lineRule="exact"/>
              <w:ind w:left="63" w:leftChars="30"/>
              <w:textAlignment w:val="auto"/>
              <w:rPr>
                <w:rFonts w:ascii="宋体" w:hAnsi="宋体" w:cs="Times New Roman"/>
                <w:color w:val="000000" w:themeColor="text1"/>
                <w:sz w:val="18"/>
                <w:szCs w:val="18"/>
                <w14:textFill>
                  <w14:solidFill>
                    <w14:schemeClr w14:val="tx1"/>
                  </w14:solidFill>
                </w14:textFill>
              </w:rPr>
            </w:pPr>
            <w:r>
              <w:rPr>
                <w:rFonts w:ascii="宋体" w:hAnsi="宋体" w:cs="Times New Roman"/>
                <w:color w:val="000000" w:themeColor="text1"/>
                <w:sz w:val="18"/>
                <w:szCs w:val="18"/>
                <w14:textFill>
                  <w14:solidFill>
                    <w14:schemeClr w14:val="tx1"/>
                  </w14:solidFill>
                </w14:textFill>
              </w:rPr>
              <w:t>2）学生概况</w:t>
            </w:r>
          </w:p>
          <w:p>
            <w:pPr>
              <w:widowControl w:val="0"/>
              <w:spacing w:line="280" w:lineRule="exact"/>
              <w:ind w:left="63" w:leftChars="30"/>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从性别、年龄、学历、年级、生源地、政治面貌等维度，提供学生数据综合统计分析与实时数据查询，展示数据总体情况、占比情况与变化趋势等。</w:t>
            </w:r>
          </w:p>
          <w:p>
            <w:pPr>
              <w:widowControl w:val="0"/>
              <w:spacing w:line="280" w:lineRule="exact"/>
              <w:ind w:left="63" w:leftChars="30"/>
              <w:textAlignment w:val="auto"/>
              <w:rPr>
                <w:rFonts w:ascii="宋体" w:hAnsi="宋体" w:cs="Times New Roman"/>
                <w:color w:val="000000" w:themeColor="text1"/>
                <w:sz w:val="18"/>
                <w:szCs w:val="18"/>
                <w14:textFill>
                  <w14:solidFill>
                    <w14:schemeClr w14:val="tx1"/>
                  </w14:solidFill>
                </w14:textFill>
              </w:rPr>
            </w:pPr>
            <w:r>
              <w:rPr>
                <w:rFonts w:ascii="宋体" w:hAnsi="宋体" w:cs="Times New Roman"/>
                <w:color w:val="000000" w:themeColor="text1"/>
                <w:sz w:val="18"/>
                <w:szCs w:val="18"/>
                <w14:textFill>
                  <w14:solidFill>
                    <w14:schemeClr w14:val="tx1"/>
                  </w14:solidFill>
                </w14:textFill>
              </w:rPr>
              <w:t>3）财务概况</w:t>
            </w:r>
          </w:p>
          <w:p>
            <w:pPr>
              <w:widowControl w:val="0"/>
              <w:spacing w:line="280" w:lineRule="exact"/>
              <w:ind w:left="63" w:leftChars="30"/>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从资金来源、资金支出、预算与决算等维度，提供财务数据综合统计分析与实时数据查询，展示数据总体情况、占比情况与变化趋势等。</w:t>
            </w:r>
          </w:p>
          <w:p>
            <w:pPr>
              <w:widowControl w:val="0"/>
              <w:spacing w:line="280" w:lineRule="exact"/>
              <w:ind w:left="63" w:leftChars="30"/>
              <w:textAlignment w:val="auto"/>
              <w:rPr>
                <w:rFonts w:ascii="宋体" w:hAnsi="宋体" w:cs="Times New Roman"/>
                <w:color w:val="000000" w:themeColor="text1"/>
                <w:sz w:val="18"/>
                <w:szCs w:val="18"/>
                <w14:textFill>
                  <w14:solidFill>
                    <w14:schemeClr w14:val="tx1"/>
                  </w14:solidFill>
                </w14:textFill>
              </w:rPr>
            </w:pPr>
            <w:r>
              <w:rPr>
                <w:rFonts w:ascii="宋体" w:hAnsi="宋体" w:cs="Times New Roman"/>
                <w:color w:val="000000" w:themeColor="text1"/>
                <w:sz w:val="18"/>
                <w:szCs w:val="18"/>
                <w14:textFill>
                  <w14:solidFill>
                    <w14:schemeClr w14:val="tx1"/>
                  </w14:solidFill>
                </w14:textFill>
              </w:rPr>
              <w:t>4）资产概况</w:t>
            </w:r>
          </w:p>
          <w:p>
            <w:pPr>
              <w:widowControl w:val="0"/>
              <w:spacing w:line="280" w:lineRule="exact"/>
              <w:ind w:left="63" w:leftChars="30"/>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从资产类型、利用率、购置年限等维度，提供校情数据综合统计分析与实时数据查询，展示数据总体情况、占比情况与变化趋势等。</w:t>
            </w:r>
          </w:p>
          <w:p>
            <w:pPr>
              <w:widowControl w:val="0"/>
              <w:spacing w:line="280" w:lineRule="exact"/>
              <w:ind w:left="63" w:leftChars="30"/>
              <w:textAlignment w:val="auto"/>
              <w:rPr>
                <w:rFonts w:ascii="宋体" w:hAnsi="宋体" w:cs="Times New Roman"/>
                <w:color w:val="000000" w:themeColor="text1"/>
                <w:sz w:val="18"/>
                <w:szCs w:val="18"/>
                <w14:textFill>
                  <w14:solidFill>
                    <w14:schemeClr w14:val="tx1"/>
                  </w14:solidFill>
                </w14:textFill>
              </w:rPr>
            </w:pPr>
            <w:r>
              <w:rPr>
                <w:rFonts w:ascii="宋体" w:hAnsi="宋体" w:cs="Times New Roman"/>
                <w:color w:val="000000" w:themeColor="text1"/>
                <w:sz w:val="18"/>
                <w:szCs w:val="18"/>
                <w14:textFill>
                  <w14:solidFill>
                    <w14:schemeClr w14:val="tx1"/>
                  </w14:solidFill>
                </w14:textFill>
              </w:rPr>
              <w:t>5）招生概况</w:t>
            </w:r>
          </w:p>
          <w:p>
            <w:pPr>
              <w:widowControl w:val="0"/>
              <w:spacing w:line="280" w:lineRule="exact"/>
              <w:ind w:left="63" w:leftChars="30"/>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从生源地、毕业学校、高考分数、性别、人数变化等维度，提供生源数据综合统计分析与实时数据查询，展示数据总体情况、占比情况与变化趋势等。</w:t>
            </w:r>
          </w:p>
          <w:p>
            <w:pPr>
              <w:widowControl w:val="0"/>
              <w:spacing w:line="280" w:lineRule="exact"/>
              <w:ind w:left="63" w:leftChars="30"/>
              <w:textAlignment w:val="auto"/>
              <w:rPr>
                <w:rFonts w:ascii="宋体" w:hAnsi="宋体" w:cs="Times New Roman"/>
                <w:color w:val="000000" w:themeColor="text1"/>
                <w:sz w:val="18"/>
                <w:szCs w:val="18"/>
                <w14:textFill>
                  <w14:solidFill>
                    <w14:schemeClr w14:val="tx1"/>
                  </w14:solidFill>
                </w14:textFill>
              </w:rPr>
            </w:pPr>
            <w:r>
              <w:rPr>
                <w:rFonts w:ascii="宋体" w:hAnsi="宋体" w:cs="Times New Roman"/>
                <w:color w:val="000000" w:themeColor="text1"/>
                <w:sz w:val="18"/>
                <w:szCs w:val="18"/>
                <w14:textFill>
                  <w14:solidFill>
                    <w14:schemeClr w14:val="tx1"/>
                  </w14:solidFill>
                </w14:textFill>
              </w:rPr>
              <w:t>6）教学概况</w:t>
            </w:r>
          </w:p>
          <w:p>
            <w:pPr>
              <w:widowControl w:val="0"/>
              <w:spacing w:line="280" w:lineRule="exact"/>
              <w:ind w:left="63" w:leftChars="30"/>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教务层面，从学生、教师、课程等维度，提供学情、成绩等数据综合统计分析与实时数据查询，展示数据总体情况、占比情况与变化趋势等。</w:t>
            </w:r>
          </w:p>
          <w:p>
            <w:pPr>
              <w:widowControl w:val="0"/>
              <w:spacing w:line="280" w:lineRule="exact"/>
              <w:ind w:left="63" w:leftChars="30"/>
              <w:textAlignment w:val="auto"/>
              <w:rPr>
                <w:rFonts w:ascii="宋体" w:hAnsi="宋体" w:cs="Times New Roman"/>
                <w:color w:val="000000" w:themeColor="text1"/>
                <w:sz w:val="18"/>
                <w:szCs w:val="18"/>
                <w14:textFill>
                  <w14:solidFill>
                    <w14:schemeClr w14:val="tx1"/>
                  </w14:solidFill>
                </w14:textFill>
              </w:rPr>
            </w:pPr>
            <w:r>
              <w:rPr>
                <w:rFonts w:ascii="宋体" w:hAnsi="宋体" w:cs="Times New Roman"/>
                <w:color w:val="000000" w:themeColor="text1"/>
                <w:sz w:val="18"/>
                <w:szCs w:val="18"/>
                <w14:textFill>
                  <w14:solidFill>
                    <w14:schemeClr w14:val="tx1"/>
                  </w14:solidFill>
                </w14:textFill>
              </w:rPr>
              <w:t>7）一卡通概况</w:t>
            </w:r>
          </w:p>
          <w:p>
            <w:pPr>
              <w:widowControl w:val="0"/>
              <w:spacing w:line="280" w:lineRule="exact"/>
              <w:ind w:left="63" w:leftChars="30"/>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从师生、就餐时间、食堂、窗口等维度，提供一卡通数据综合统计分析与实时数据查询，展示数据总体情况、占比情况与变化趋势等。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restart"/>
            <w:vAlign w:val="center"/>
          </w:tcPr>
          <w:p>
            <w:pPr>
              <w:widowControl w:val="0"/>
              <w:spacing w:line="280" w:lineRule="exact"/>
              <w:jc w:val="center"/>
              <w:textAlignment w:val="auto"/>
              <w:rPr>
                <w:rFonts w:ascii="宋体" w:hAnsi="宋体"/>
                <w:b/>
                <w:bCs/>
                <w:color w:val="000000" w:themeColor="text1"/>
                <w:sz w:val="18"/>
                <w:szCs w:val="18"/>
                <w:lang w:val="de-DE"/>
                <w14:textFill>
                  <w14:solidFill>
                    <w14:schemeClr w14:val="tx1"/>
                  </w14:solidFill>
                </w14:textFill>
              </w:rPr>
            </w:pPr>
            <w:r>
              <w:rPr>
                <w:rFonts w:ascii="宋体" w:hAnsi="宋体"/>
                <w:b/>
                <w:bCs/>
                <w:color w:val="000000" w:themeColor="text1"/>
                <w:sz w:val="18"/>
                <w:szCs w:val="18"/>
                <w:lang w:val="de-DE"/>
                <w14:textFill>
                  <w14:solidFill>
                    <w14:schemeClr w14:val="tx1"/>
                  </w14:solidFill>
                </w14:textFill>
              </w:rPr>
              <w:t>7.</w:t>
            </w:r>
            <w:r>
              <w:rPr>
                <w:rFonts w:hint="eastAsia" w:ascii="宋体" w:hAnsi="宋体"/>
                <w:b/>
                <w:bCs/>
                <w:color w:val="000000" w:themeColor="text1"/>
                <w:sz w:val="18"/>
                <w:szCs w:val="18"/>
                <w:lang w:val="de-DE"/>
                <w14:textFill>
                  <w14:solidFill>
                    <w14:schemeClr w14:val="tx1"/>
                  </w14:solidFill>
                </w14:textFill>
              </w:rPr>
              <w:t>数据资源目录</w:t>
            </w:r>
          </w:p>
        </w:tc>
        <w:tc>
          <w:tcPr>
            <w:tcW w:w="975" w:type="dxa"/>
            <w:vAlign w:val="center"/>
          </w:tcPr>
          <w:p>
            <w:pPr>
              <w:widowControl w:val="0"/>
              <w:spacing w:line="280" w:lineRule="exact"/>
              <w:jc w:val="center"/>
              <w:textAlignment w:val="auto"/>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lang w:val="de-DE"/>
                <w14:textFill>
                  <w14:solidFill>
                    <w14:schemeClr w14:val="tx1"/>
                  </w14:solidFill>
                </w14:textFill>
              </w:rPr>
              <w:t>7</w:t>
            </w:r>
            <w:r>
              <w:rPr>
                <w:rFonts w:hint="eastAsia" w:ascii="宋体" w:hAnsi="宋体"/>
                <w:color w:val="000000" w:themeColor="text1"/>
                <w:sz w:val="18"/>
                <w:szCs w:val="18"/>
                <w:lang w:val="de-DE"/>
                <w14:textFill>
                  <w14:solidFill>
                    <w14:schemeClr w14:val="tx1"/>
                  </w14:solidFill>
                </w14:textFill>
              </w:rPr>
              <w:t>.</w:t>
            </w:r>
            <w:r>
              <w:rPr>
                <w:rFonts w:ascii="宋体" w:hAnsi="宋体"/>
                <w:color w:val="000000" w:themeColor="text1"/>
                <w:sz w:val="18"/>
                <w:szCs w:val="18"/>
                <w:lang w:val="de-DE"/>
                <w14:textFill>
                  <w14:solidFill>
                    <w14:schemeClr w14:val="tx1"/>
                  </w14:solidFill>
                </w14:textFill>
              </w:rPr>
              <w:t>1</w:t>
            </w:r>
            <w:r>
              <w:rPr>
                <w:rFonts w:hint="eastAsia" w:ascii="宋体" w:hAnsi="宋体"/>
                <w:color w:val="000000" w:themeColor="text1"/>
                <w:sz w:val="18"/>
                <w:szCs w:val="18"/>
                <w:lang w:val="de-DE"/>
                <w14:textFill>
                  <w14:solidFill>
                    <w14:schemeClr w14:val="tx1"/>
                  </w14:solidFill>
                </w14:textFill>
              </w:rPr>
              <w:t>数据资源目录</w:t>
            </w:r>
          </w:p>
        </w:tc>
        <w:tc>
          <w:tcPr>
            <w:tcW w:w="8284" w:type="dxa"/>
          </w:tcPr>
          <w:p>
            <w:pPr>
              <w:widowControl w:val="0"/>
              <w:numPr>
                <w:ilvl w:val="0"/>
                <w:numId w:val="48"/>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数据资源注册管理，包含厂商管理（基本信息维护）、系统管理（注册系统资源，涉及系统基本信息、数据库连接信息、隶属厂商及部门、系统版本等维护；支持在线数据库连接测试、数据库在线状态查看等功能）；</w:t>
            </w:r>
          </w:p>
          <w:p>
            <w:pPr>
              <w:widowControl w:val="0"/>
              <w:numPr>
                <w:ilvl w:val="0"/>
                <w:numId w:val="48"/>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提供在线数据资源管理，包含数据资源的增删改、资源批量导入、在线资源反向（同步数据治理平台资源）等；资源维护包含维护数据资源表信息；</w:t>
            </w:r>
          </w:p>
          <w:p>
            <w:pPr>
              <w:widowControl w:val="0"/>
              <w:numPr>
                <w:ilvl w:val="0"/>
                <w:numId w:val="48"/>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提供数据接口管理，支持接口的批量接入（同步开放平台接口）、在线查看（含接口基本信息、调用次数、调用方式、申请次数等）；支持批量取消接入能力；支持同步过程定时执行，也可手工执行；</w:t>
            </w:r>
          </w:p>
          <w:p>
            <w:pPr>
              <w:widowControl w:val="0"/>
              <w:numPr>
                <w:ilvl w:val="0"/>
                <w:numId w:val="48"/>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提供资源分类分组管理，分组下支持无限添加资源分类；支持分组现实开关、分组排序线上管理等；</w:t>
            </w:r>
          </w:p>
          <w:p>
            <w:pPr>
              <w:widowControl w:val="0"/>
              <w:numPr>
                <w:ilvl w:val="0"/>
                <w:numId w:val="48"/>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资源分类（数据域）管理，分类维护内容包含分类基本信息、下发部门、下发分类权限、下发编目权限、下发挂载权限等管理；支持自动获取上级分组、主管单位信息，支持分类在线显示开关、自定义排序等功能；</w:t>
            </w:r>
          </w:p>
          <w:p>
            <w:pPr>
              <w:widowControl w:val="0"/>
              <w:numPr>
                <w:ilvl w:val="0"/>
                <w:numId w:val="48"/>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提供分类下多级数据子集管理，子集以树状结构管理，层级无限制；</w:t>
            </w:r>
          </w:p>
          <w:p>
            <w:pPr>
              <w:widowControl w:val="0"/>
              <w:numPr>
                <w:ilvl w:val="0"/>
                <w:numId w:val="48"/>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支持管理员分配分类权限到业务部门管理，包含新建授权、修改授权、删除授权管理；支持下发部门及各类授权的管理；</w:t>
            </w:r>
          </w:p>
          <w:p>
            <w:pPr>
              <w:widowControl w:val="0"/>
              <w:numPr>
                <w:ilvl w:val="0"/>
                <w:numId w:val="48"/>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业务部门管理可以维护业务部门的分类授权；</w:t>
            </w:r>
          </w:p>
          <w:p>
            <w:pPr>
              <w:widowControl w:val="0"/>
              <w:numPr>
                <w:ilvl w:val="0"/>
                <w:numId w:val="48"/>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提供对数据资源目录维护的管理。主要包含：资源目录管理的新增、修改、删除以及批量导入导出、删除等操作；</w:t>
            </w:r>
          </w:p>
          <w:p>
            <w:pPr>
              <w:widowControl w:val="0"/>
              <w:numPr>
                <w:ilvl w:val="0"/>
                <w:numId w:val="48"/>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资源目录包含属性：目录基本信息、所属部门、目录所属分类、所属系统、数据来源方式、来源单位、可共享情况、可公开方式（如不公开、校内公开、校外公开）等；</w:t>
            </w:r>
          </w:p>
          <w:p>
            <w:pPr>
              <w:widowControl w:val="0"/>
              <w:numPr>
                <w:ilvl w:val="0"/>
                <w:numId w:val="48"/>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提供一个数据资源目录，可归类到多个不同的数据资源目录分类中；</w:t>
            </w:r>
          </w:p>
          <w:p>
            <w:pPr>
              <w:widowControl w:val="0"/>
              <w:numPr>
                <w:ilvl w:val="0"/>
                <w:numId w:val="48"/>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提供数据资源编目管理，按部门按类别进行二级授权管理；</w:t>
            </w:r>
          </w:p>
          <w:p>
            <w:pPr>
              <w:widowControl w:val="0"/>
              <w:numPr>
                <w:ilvl w:val="0"/>
                <w:numId w:val="48"/>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管理员分配权限到业务部门管理，维护授权分类下的资源编目；</w:t>
            </w:r>
          </w:p>
          <w:p>
            <w:pPr>
              <w:widowControl w:val="0"/>
              <w:numPr>
                <w:ilvl w:val="0"/>
                <w:numId w:val="48"/>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 xml:space="preserve">提供依据权限按照树形结构，将数据资源元数据，挂载到数据资源目录中； </w:t>
            </w:r>
          </w:p>
          <w:p>
            <w:pPr>
              <w:widowControl w:val="0"/>
              <w:numPr>
                <w:ilvl w:val="0"/>
                <w:numId w:val="48"/>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维护资源目录与数据资源元数据的挂载关系，一个数据资源元数据可以挂载到多个资源目录下；</w:t>
            </w:r>
          </w:p>
          <w:p>
            <w:pPr>
              <w:widowControl w:val="0"/>
              <w:numPr>
                <w:ilvl w:val="0"/>
                <w:numId w:val="48"/>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提供数据资源目录在未发布前，可修改其挂载关系、取消挂载，发布后不可修改；</w:t>
            </w:r>
          </w:p>
          <w:p>
            <w:pPr>
              <w:widowControl w:val="0"/>
              <w:numPr>
                <w:ilvl w:val="0"/>
                <w:numId w:val="48"/>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提供数据资源目录挂载数据批量导入和导出；</w:t>
            </w:r>
          </w:p>
          <w:p>
            <w:pPr>
              <w:widowControl w:val="0"/>
              <w:numPr>
                <w:ilvl w:val="0"/>
                <w:numId w:val="48"/>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提供数据资源目录挂载信息，按部门按类别进行二级授权管理；</w:t>
            </w:r>
          </w:p>
          <w:p>
            <w:pPr>
              <w:widowControl w:val="0"/>
              <w:numPr>
                <w:ilvl w:val="0"/>
                <w:numId w:val="48"/>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提供部门授权给业务系统开发公司，维护其业务系统的数据资源目录下的数据资源元数据的挂载关系；</w:t>
            </w:r>
          </w:p>
          <w:p>
            <w:pPr>
              <w:widowControl w:val="0"/>
              <w:numPr>
                <w:ilvl w:val="0"/>
                <w:numId w:val="48"/>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提供API接口目录挂载管理；</w:t>
            </w:r>
          </w:p>
          <w:p>
            <w:pPr>
              <w:widowControl w:val="0"/>
              <w:numPr>
                <w:ilvl w:val="0"/>
                <w:numId w:val="48"/>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提供业务部门完成编目后，提交目录发布审核，未审核的情况下可撤销审核，编辑后，重新提交；</w:t>
            </w:r>
          </w:p>
          <w:p>
            <w:pPr>
              <w:widowControl w:val="0"/>
              <w:numPr>
                <w:ilvl w:val="0"/>
                <w:numId w:val="48"/>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提供系统管理员对编目内容进行审核，审核不通过，业务部门可直接编辑修改后，重新提交；审核通过后，进行发布；</w:t>
            </w:r>
          </w:p>
          <w:p>
            <w:pPr>
              <w:widowControl w:val="0"/>
              <w:numPr>
                <w:ilvl w:val="0"/>
                <w:numId w:val="48"/>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提供系统管理员对编目内容进行修改后，审核通过；</w:t>
            </w:r>
          </w:p>
          <w:p>
            <w:pPr>
              <w:widowControl w:val="0"/>
              <w:numPr>
                <w:ilvl w:val="0"/>
                <w:numId w:val="48"/>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提供对于已发布的数据资源目录，可取消发布；</w:t>
            </w:r>
          </w:p>
          <w:p>
            <w:pPr>
              <w:widowControl w:val="0"/>
              <w:numPr>
                <w:ilvl w:val="0"/>
                <w:numId w:val="48"/>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提供目录树在线预览；</w:t>
            </w:r>
          </w:p>
          <w:p>
            <w:pPr>
              <w:widowControl w:val="0"/>
              <w:numPr>
                <w:ilvl w:val="0"/>
                <w:numId w:val="48"/>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提供批量发布、批量驳回；</w:t>
            </w:r>
          </w:p>
          <w:p>
            <w:pPr>
              <w:widowControl w:val="0"/>
              <w:numPr>
                <w:ilvl w:val="0"/>
                <w:numId w:val="48"/>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有配置权限的用户，可以按照表单／报表的审批流程，进行审核操作。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lang w:val="de-DE"/>
                <w14:textFill>
                  <w14:solidFill>
                    <w14:schemeClr w14:val="tx1"/>
                  </w14:solidFill>
                </w14:textFill>
              </w:rPr>
              <w:t>7.2</w:t>
            </w:r>
            <w:r>
              <w:rPr>
                <w:rFonts w:hint="eastAsia" w:ascii="宋体" w:hAnsi="宋体"/>
                <w:color w:val="000000" w:themeColor="text1"/>
                <w:sz w:val="18"/>
                <w:szCs w:val="18"/>
                <w:lang w:val="de-DE"/>
                <w14:textFill>
                  <w14:solidFill>
                    <w14:schemeClr w14:val="tx1"/>
                  </w14:solidFill>
                </w14:textFill>
              </w:rPr>
              <w:t>数据协同工作台</w:t>
            </w:r>
          </w:p>
        </w:tc>
        <w:tc>
          <w:tcPr>
            <w:tcW w:w="8284" w:type="dxa"/>
          </w:tcPr>
          <w:p>
            <w:pPr>
              <w:widowControl w:val="0"/>
              <w:numPr>
                <w:ilvl w:val="0"/>
                <w:numId w:val="4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提供我的工作台，根据不同用户角色提供个性化的数据协同办事中心，包括用户信息、待审批任务、待审核任务、消息中心、数据任务统计等；</w:t>
            </w:r>
          </w:p>
          <w:p>
            <w:pPr>
              <w:widowControl w:val="0"/>
              <w:numPr>
                <w:ilvl w:val="0"/>
                <w:numId w:val="4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首页包含用户数据管理、任务统计、数据仲裁、效益统计、评分统计及共享报告等；</w:t>
            </w:r>
          </w:p>
          <w:p>
            <w:pPr>
              <w:widowControl w:val="0"/>
              <w:numPr>
                <w:ilvl w:val="0"/>
                <w:numId w:val="4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数据管理：盘点用户数据资产、校级数据资产盘点（需具备权限）；</w:t>
            </w:r>
          </w:p>
          <w:p>
            <w:pPr>
              <w:widowControl w:val="0"/>
              <w:numPr>
                <w:ilvl w:val="0"/>
                <w:numId w:val="4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任务统计：按不同时间维度区间展示分析任务量、完成周期、分布等；</w:t>
            </w:r>
          </w:p>
          <w:p>
            <w:pPr>
              <w:widowControl w:val="0"/>
              <w:numPr>
                <w:ilvl w:val="0"/>
                <w:numId w:val="4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数据仲裁：针对用户提出的数据认领仲裁，跟踪状态，查看明细；</w:t>
            </w:r>
          </w:p>
          <w:p>
            <w:pPr>
              <w:widowControl w:val="0"/>
              <w:numPr>
                <w:ilvl w:val="0"/>
                <w:numId w:val="4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效益统计：对数据治理成效（工作效益提升百分比）进行量化盘点，涉及效益排行、统计；</w:t>
            </w:r>
          </w:p>
          <w:p>
            <w:pPr>
              <w:widowControl w:val="0"/>
              <w:numPr>
                <w:ilvl w:val="0"/>
                <w:numId w:val="4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评分统计：各类数据资产的数据质量、数据解释注释、标准化、更新即时性进行星级分数展示；包含评分排名、好评趋势分析等；</w:t>
            </w:r>
          </w:p>
          <w:p>
            <w:pPr>
              <w:widowControl w:val="0"/>
              <w:numPr>
                <w:ilvl w:val="0"/>
                <w:numId w:val="4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共享报告：共享数据盘点、排名、趋势、分布等；</w:t>
            </w:r>
          </w:p>
          <w:p>
            <w:pPr>
              <w:widowControl w:val="0"/>
              <w:numPr>
                <w:ilvl w:val="0"/>
                <w:numId w:val="4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消息中心：查看各类人物、申请的待办信息，支持线上跳转处理待办，提供各类任务清单处理工作台；</w:t>
            </w:r>
          </w:p>
          <w:p>
            <w:pPr>
              <w:widowControl w:val="0"/>
              <w:numPr>
                <w:ilvl w:val="0"/>
                <w:numId w:val="4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管理清单： 可快速获取数据域目录资源，查看数据资产盘点，查看数据明细与可在线进行数据申请；</w:t>
            </w:r>
          </w:p>
          <w:p>
            <w:pPr>
              <w:widowControl w:val="0"/>
              <w:numPr>
                <w:ilvl w:val="0"/>
                <w:numId w:val="4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申请清单：跟踪用户历史申请数据资产状态；可下钻查看申请明细；支持按类别展示申请清单；支持状态查看筛选清单；</w:t>
            </w:r>
          </w:p>
          <w:p>
            <w:pPr>
              <w:widowControl w:val="0"/>
              <w:numPr>
                <w:ilvl w:val="0"/>
                <w:numId w:val="4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问题清单：查看所有未完成的数据问题清单；支持按任务进度、任务状态筛选查看；支持下钻查看问题报告；问题报告包含人物基本信息、处理流程、检测报告分析统计、治理对比分析、问题明细表等；支持在线互动交流；</w:t>
            </w:r>
          </w:p>
          <w:p>
            <w:pPr>
              <w:widowControl w:val="0"/>
              <w:numPr>
                <w:ilvl w:val="0"/>
                <w:numId w:val="4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审批清单：查看所有待审批清单，包含数据接口申请、数据认领的清单；数据认领清单可查看明细，展示表级、字段级认领；支持在线仲裁、认领与驳回（支持批量）、在线互动等；数据接口申请支持跳转至开放平台对接口进行授权；数据申请支持查看明细，查看概览，在线审批通过与否；</w:t>
            </w:r>
          </w:p>
          <w:p>
            <w:pPr>
              <w:widowControl w:val="0"/>
              <w:numPr>
                <w:ilvl w:val="0"/>
                <w:numId w:val="4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 xml:space="preserve">数据预约清单： </w:t>
            </w:r>
          </w:p>
          <w:p>
            <w:pPr>
              <w:widowControl w:val="0"/>
              <w:numPr>
                <w:ilvl w:val="0"/>
                <w:numId w:val="4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提供数据使用、数据变更、代码差异、数据质量、监控预警、异常等公告；</w:t>
            </w:r>
          </w:p>
          <w:p>
            <w:pPr>
              <w:widowControl w:val="0"/>
              <w:numPr>
                <w:ilvl w:val="0"/>
                <w:numId w:val="4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提供新应用、新数据上线等消息通知/提醒/推送；</w:t>
            </w:r>
          </w:p>
          <w:p>
            <w:pPr>
              <w:widowControl w:val="0"/>
              <w:numPr>
                <w:ilvl w:val="0"/>
                <w:numId w:val="4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提供面向部门或个人的按权责划分消息机制；</w:t>
            </w:r>
          </w:p>
          <w:p>
            <w:pPr>
              <w:widowControl w:val="0"/>
              <w:numPr>
                <w:ilvl w:val="0"/>
                <w:numId w:val="4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提供消息阅读状态的标记；</w:t>
            </w:r>
          </w:p>
          <w:p>
            <w:pPr>
              <w:widowControl w:val="0"/>
              <w:numPr>
                <w:ilvl w:val="0"/>
                <w:numId w:val="4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提供消息推送与订阅的自主化设置；</w:t>
            </w:r>
          </w:p>
          <w:p>
            <w:pPr>
              <w:widowControl w:val="0"/>
              <w:numPr>
                <w:ilvl w:val="0"/>
                <w:numId w:val="4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提供一键已读所有消息的操作；</w:t>
            </w:r>
          </w:p>
          <w:p>
            <w:pPr>
              <w:widowControl w:val="0"/>
              <w:numPr>
                <w:ilvl w:val="0"/>
                <w:numId w:val="49"/>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支持用户对数据服务平台未查找到的数据资源进行在线留言申请。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lang w:val="de-DE"/>
                <w14:textFill>
                  <w14:solidFill>
                    <w14:schemeClr w14:val="tx1"/>
                  </w14:solidFill>
                </w14:textFill>
              </w:rPr>
              <w:t>7.3</w:t>
            </w:r>
            <w:r>
              <w:rPr>
                <w:rFonts w:hint="eastAsia" w:ascii="宋体" w:hAnsi="宋体"/>
                <w:color w:val="000000" w:themeColor="text1"/>
                <w:sz w:val="18"/>
                <w:szCs w:val="18"/>
                <w:lang w:val="de-DE"/>
                <w14:textFill>
                  <w14:solidFill>
                    <w14:schemeClr w14:val="tx1"/>
                  </w14:solidFill>
                </w14:textFill>
              </w:rPr>
              <w:t>数据资源门户</w:t>
            </w:r>
          </w:p>
        </w:tc>
        <w:tc>
          <w:tcPr>
            <w:tcW w:w="8284" w:type="dxa"/>
          </w:tcPr>
          <w:p>
            <w:pPr>
              <w:widowControl w:val="0"/>
              <w:numPr>
                <w:ilvl w:val="0"/>
                <w:numId w:val="50"/>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用户了解全校数据资产的快速入口，内容包括数据概览（涉及资产盘点概览、建设成果盘点、标准盘点、数据质量盘点、数据接口开放量盘点等）、数据仓库资产情况概览（涉及数据仓库中数据域的展示，数据域内数据子集盘点等，并支持链接跳转到详细数据域资产查看页面）、数据来源概览（涉及数据来源部门、数据集盘点等，支持链接跳转到详细数据域资产查看页面）、数据中心使用概览（涉及数据使用盘点）；</w:t>
            </w:r>
          </w:p>
          <w:p>
            <w:pPr>
              <w:widowControl w:val="0"/>
              <w:numPr>
                <w:ilvl w:val="0"/>
                <w:numId w:val="50"/>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提供用户了解全校数据资产的快速入口；</w:t>
            </w:r>
          </w:p>
          <w:p>
            <w:pPr>
              <w:widowControl w:val="0"/>
              <w:numPr>
                <w:ilvl w:val="0"/>
                <w:numId w:val="50"/>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可按照数据资源目录分类，形成可供查询的数据资源展示页面；</w:t>
            </w:r>
          </w:p>
          <w:p>
            <w:pPr>
              <w:widowControl w:val="0"/>
              <w:numPr>
                <w:ilvl w:val="0"/>
                <w:numId w:val="50"/>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提供数据资源展示页面，依据用户分类，进行授权显示；</w:t>
            </w:r>
          </w:p>
          <w:p>
            <w:pPr>
              <w:widowControl w:val="0"/>
              <w:numPr>
                <w:ilvl w:val="0"/>
                <w:numId w:val="50"/>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提供数据资源检索功能，可按部门、主题、最近更新等多维度进行检索；</w:t>
            </w:r>
          </w:p>
          <w:p>
            <w:pPr>
              <w:widowControl w:val="0"/>
              <w:numPr>
                <w:ilvl w:val="0"/>
                <w:numId w:val="50"/>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可按照更新时间、用户使用数据量、重要性、被收藏数量等维度，对展示的目录进行排序；</w:t>
            </w:r>
          </w:p>
          <w:p>
            <w:pPr>
              <w:widowControl w:val="0"/>
              <w:numPr>
                <w:ilvl w:val="0"/>
                <w:numId w:val="50"/>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按照不同业务部门或用户的使用习惯，提供数据资源多种展示方式，如卡片形式、列表形式等；</w:t>
            </w:r>
          </w:p>
          <w:p>
            <w:pPr>
              <w:widowControl w:val="0"/>
              <w:numPr>
                <w:ilvl w:val="0"/>
                <w:numId w:val="50"/>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按数据子集分类、数据表名逐级查看全部数据资源；支持按照数据热度查找数据资源，包括热数据、温数据和冷数据支持按照数据提供情况（全部、未提供、线上提供、线下提供）、使用频次（全部、高频、低频）进行筛选；支持通过数据的所属部门、所属系统分类排序查看数据资源；支持通过记录数、访问热度（被最多的使用部门交换/APP调用）、访问量（调用量最大）、数据质量反馈、数据更新时间、数据点赞量等动态维度对数据资源进行排序查看；</w:t>
            </w:r>
          </w:p>
          <w:p>
            <w:pPr>
              <w:widowControl w:val="0"/>
              <w:numPr>
                <w:ilvl w:val="0"/>
                <w:numId w:val="50"/>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提供数据资源目录收藏功能；</w:t>
            </w:r>
          </w:p>
          <w:p>
            <w:pPr>
              <w:widowControl w:val="0"/>
              <w:numPr>
                <w:ilvl w:val="0"/>
                <w:numId w:val="50"/>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提供数据保密和安全性管理，获取查看使用权限的用户，可以对该数据资源进行明细内容下载；没有授权的用户可以进行数据资源在线申请；</w:t>
            </w:r>
          </w:p>
          <w:p>
            <w:pPr>
              <w:widowControl w:val="0"/>
              <w:numPr>
                <w:ilvl w:val="0"/>
                <w:numId w:val="50"/>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数据分类支持切换，可按数据域、业务系统或部门进行分类切换查看数据目录；</w:t>
            </w:r>
          </w:p>
          <w:p>
            <w:pPr>
              <w:widowControl w:val="0"/>
              <w:numPr>
                <w:ilvl w:val="0"/>
                <w:numId w:val="50"/>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数据资产明细，支持查看数据资产详细信息，包含资产概览、数据字段、数据明细、数据血缘、数据质量等信息，并支持数据在线反馈；</w:t>
            </w:r>
          </w:p>
          <w:p>
            <w:pPr>
              <w:widowControl w:val="0"/>
              <w:numPr>
                <w:ilvl w:val="0"/>
                <w:numId w:val="50"/>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提供数据资源目录申请功能，申请过程中，可查看数据资源的基本信息、字段等，选择对应的数据项；</w:t>
            </w:r>
          </w:p>
          <w:p>
            <w:pPr>
              <w:widowControl w:val="0"/>
              <w:numPr>
                <w:ilvl w:val="0"/>
                <w:numId w:val="50"/>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需包含多样数据资源申请方式：在线查询、API接口、订阅推送以及数据视图等多种方式；</w:t>
            </w:r>
          </w:p>
          <w:p>
            <w:pPr>
              <w:widowControl w:val="0"/>
              <w:numPr>
                <w:ilvl w:val="0"/>
                <w:numId w:val="50"/>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 xml:space="preserve">需详细描述各申请类别的申请过程、涉及申请配置项等信息； </w:t>
            </w:r>
          </w:p>
          <w:p>
            <w:pPr>
              <w:widowControl w:val="0"/>
              <w:numPr>
                <w:ilvl w:val="0"/>
                <w:numId w:val="50"/>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提供粒度到字段级的申请模式；</w:t>
            </w:r>
          </w:p>
          <w:p>
            <w:pPr>
              <w:widowControl w:val="0"/>
              <w:numPr>
                <w:ilvl w:val="0"/>
                <w:numId w:val="50"/>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用户可以通过资源报告查看全校数据整体运行的情况的。包括：</w:t>
            </w:r>
          </w:p>
          <w:p>
            <w:pPr>
              <w:widowControl w:val="0"/>
              <w:numPr>
                <w:ilvl w:val="0"/>
                <w:numId w:val="50"/>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全校数据资产概览（数据地图）报告：涉及整体数据资产盘点、数据图谱（支持下钻查看数据流向明细，涉及字段级同步数据量；支持多样式的数据图谱展示方式）、数据提供盘点统计等；</w:t>
            </w:r>
          </w:p>
          <w:p>
            <w:pPr>
              <w:widowControl w:val="0"/>
              <w:numPr>
                <w:ilvl w:val="0"/>
                <w:numId w:val="50"/>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数据评估报告：支持对全校数据资产数据量盘点、部门级数据贡献盘点、数据活跃度统计、数据使用趋势分析、标准达成率分析、整体数据质量概览分析、核心重要数据统计、核心数据达成率分析等；</w:t>
            </w:r>
          </w:p>
          <w:p>
            <w:pPr>
              <w:widowControl w:val="0"/>
              <w:numPr>
                <w:ilvl w:val="0"/>
                <w:numId w:val="50"/>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标准执行报告：提供按全校、部门两个维度分析；报告包含数据资源达成情况（涉及标准总达成率统计、业务系统达成情况统计、主题域达成统计、达成清单明细查看）、学校执行标准（校标）达成报告（涉及代码标准概况分析（业务系统数、代码表数、累计代码量、差异数、检测数、总扫描量等）、差异类型分布统计、差异来源分布统计、已处理未处理分析等）、参考标准引用报告（涉及参照标准概况分析、参照标准引用分布、排名、引用清单明细等）；</w:t>
            </w:r>
          </w:p>
          <w:p>
            <w:pPr>
              <w:widowControl w:val="0"/>
              <w:numPr>
                <w:ilvl w:val="0"/>
                <w:numId w:val="50"/>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质量报告：提供按全校、部门两个维度分析；报告包含质量检测情况盘点（涉及检测表数、字段数、规则数、样本数等 ）、今日检测统计、数据质量问题跟踪统计、今日问题排名、问题来源类别级别分布、问题跟踪（已处理、待处理统计）、反馈追溯统计、问题反馈明细清单；</w:t>
            </w:r>
          </w:p>
          <w:p>
            <w:pPr>
              <w:widowControl w:val="0"/>
              <w:numPr>
                <w:ilvl w:val="0"/>
                <w:numId w:val="50"/>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管理人员可对自己接入的应用进行日常的管理维护操作，包括应用的启停、升级维护、删除等操作；对外发布的权限控制，目的是能让特定人群能够使用到他们所需的应用，且能进一步加强非法人员使用的安全控制；</w:t>
            </w:r>
          </w:p>
          <w:p>
            <w:pPr>
              <w:widowControl w:val="0"/>
              <w:numPr>
                <w:ilvl w:val="0"/>
                <w:numId w:val="50"/>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提供数据服务市场，用户可以在数据服务中按服务角色（用户）、服务类别对服务进行分类及模糊查询索引，并通过筛选条件快速定位选择到想要查找的应用，也可以查询关键字进行服务内容等搜索；</w:t>
            </w:r>
          </w:p>
          <w:p>
            <w:pPr>
              <w:widowControl w:val="0"/>
              <w:numPr>
                <w:ilvl w:val="0"/>
                <w:numId w:val="50"/>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提供管理员后端查询、统计用户反馈信息、用户评价信息。</w:t>
            </w:r>
          </w:p>
          <w:p>
            <w:pPr>
              <w:widowControl w:val="0"/>
              <w:numPr>
                <w:ilvl w:val="0"/>
                <w:numId w:val="50"/>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提供基于角色的访问控制（RBAC）系统，可随时添加角色，灵活定义权限，用户对应用的使用权限取决于用户所在的用户角色组，权限可重叠赋予多个角色，用户的权限分配取之角色权限的合集；</w:t>
            </w:r>
          </w:p>
          <w:p>
            <w:pPr>
              <w:widowControl w:val="0"/>
              <w:numPr>
                <w:ilvl w:val="0"/>
                <w:numId w:val="50"/>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提供不同角色可以自定义查看不同服务、不同功能模块以及不同数据。</w:t>
            </w:r>
          </w:p>
          <w:p>
            <w:pPr>
              <w:widowControl w:val="0"/>
              <w:numPr>
                <w:ilvl w:val="0"/>
                <w:numId w:val="50"/>
              </w:numPr>
              <w:suppressAutoHyphens/>
              <w:autoSpaceDE w:val="0"/>
              <w:autoSpaceDN w:val="0"/>
              <w:adjustRightInd w:val="0"/>
              <w:snapToGrid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综合检索：（1）支持教师检索，查找教师，以列表、卡片等方式显示教师基本信息和工作信息，工作信息包含但不限于：教学信息、教研信息、科研信息、财资数据、人才信息等。（2）支持专题检索：提供特定业务系统的组合条件检索，支持数据下钻。检索结果以统计图表及个人详细表单形式展示。主要专题包含但不限于：教工信息专题、科研项目专题、科研论文专题、科研专利专题、资产专题、工资发放专题、本科教学专题。（3）支持面向校领导、业务部门等查询，查询结果关联信息详细页面进行输出；具备动态过滤条件的设置，除了人员编号、姓名的模糊查询，管理员可为使用人员灵活配置部门、专业、性别等不限制的查询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widowControl w:val="0"/>
              <w:spacing w:line="280" w:lineRule="exact"/>
              <w:jc w:val="center"/>
              <w:textAlignment w:val="auto"/>
              <w:rPr>
                <w:rFonts w:ascii="宋体" w:hAnsi="宋体"/>
                <w:b/>
                <w:bCs/>
                <w:color w:val="000000" w:themeColor="text1"/>
                <w:sz w:val="18"/>
                <w:szCs w:val="18"/>
                <w:lang w:val="de-DE"/>
                <w14:textFill>
                  <w14:solidFill>
                    <w14:schemeClr w14:val="tx1"/>
                  </w14:solidFill>
                </w14:textFill>
              </w:rPr>
            </w:pPr>
            <w:r>
              <w:rPr>
                <w:rFonts w:ascii="宋体" w:hAnsi="宋体"/>
                <w:b/>
                <w:bCs/>
                <w:color w:val="000000" w:themeColor="text1"/>
                <w:sz w:val="18"/>
                <w:szCs w:val="18"/>
                <w:lang w:val="de-DE"/>
                <w14:textFill>
                  <w14:solidFill>
                    <w14:schemeClr w14:val="tx1"/>
                  </w14:solidFill>
                </w14:textFill>
              </w:rPr>
              <w:t>8.</w:t>
            </w:r>
            <w:r>
              <w:rPr>
                <w:rFonts w:hint="eastAsia" w:ascii="宋体" w:hAnsi="宋体"/>
                <w:b/>
                <w:bCs/>
                <w:color w:val="000000" w:themeColor="text1"/>
                <w:sz w:val="18"/>
                <w:szCs w:val="18"/>
                <w:lang w:val="de-DE"/>
                <w14:textFill>
                  <w14:solidFill>
                    <w14:schemeClr w14:val="tx1"/>
                  </w14:solidFill>
                </w14:textFill>
              </w:rPr>
              <w:t>指标管理系统</w:t>
            </w: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val="de-DE"/>
                <w14:textFill>
                  <w14:solidFill>
                    <w14:schemeClr w14:val="tx1"/>
                  </w14:solidFill>
                </w14:textFill>
              </w:rPr>
              <w:t>8.1</w:t>
            </w:r>
            <w:r>
              <w:rPr>
                <w:rFonts w:hint="eastAsia" w:ascii="宋体" w:hAnsi="宋体"/>
                <w:color w:val="000000" w:themeColor="text1"/>
                <w:sz w:val="18"/>
                <w:szCs w:val="18"/>
                <w:lang w:val="de-DE"/>
                <w14:textFill>
                  <w14:solidFill>
                    <w14:schemeClr w14:val="tx1"/>
                  </w14:solidFill>
                </w14:textFill>
              </w:rPr>
              <w:t>指标管理</w:t>
            </w:r>
          </w:p>
        </w:tc>
        <w:tc>
          <w:tcPr>
            <w:tcW w:w="8284" w:type="dxa"/>
          </w:tcPr>
          <w:p>
            <w:pPr>
              <w:widowControl w:val="0"/>
              <w:numPr>
                <w:ilvl w:val="0"/>
                <w:numId w:val="51"/>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平台架构须采用B/S架构，客户端兼容主流浏览器版本（基于WebKit、Chromium内核），包括但不限于Chrome、Safari、360浏览器、QQ浏览器等；</w:t>
            </w:r>
          </w:p>
          <w:p>
            <w:pPr>
              <w:widowControl w:val="0"/>
              <w:numPr>
                <w:ilvl w:val="0"/>
                <w:numId w:val="51"/>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服务端须同时支持多种云基础设施之上部署，包括但不限于Local（支持Linux/Windows环境）、Docker、Kubernate等；</w:t>
            </w:r>
          </w:p>
          <w:p>
            <w:pPr>
              <w:widowControl w:val="0"/>
              <w:numPr>
                <w:ilvl w:val="0"/>
                <w:numId w:val="51"/>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提供主流类型数据库，包括但不限于Oracle、PostgreSQL、MySQL、SQL Server、DB2等，同时可通过JDBC扩展支持其他类型数据库；</w:t>
            </w:r>
          </w:p>
          <w:p>
            <w:pPr>
              <w:widowControl w:val="0"/>
              <w:numPr>
                <w:ilvl w:val="0"/>
                <w:numId w:val="51"/>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服务端支持无状态运行，可快速转移与故障恢复，同时具备无限水平扩展能力；</w:t>
            </w:r>
          </w:p>
          <w:p>
            <w:pPr>
              <w:widowControl w:val="0"/>
              <w:numPr>
                <w:ilvl w:val="0"/>
                <w:numId w:val="51"/>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提供指标数据源定义，支持关系型数据、文件型数据、API型数据源等异构数据源，同时支持从治理平台快速导入数据源；</w:t>
            </w:r>
          </w:p>
          <w:p>
            <w:pPr>
              <w:widowControl w:val="0"/>
              <w:numPr>
                <w:ilvl w:val="0"/>
                <w:numId w:val="51"/>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提供实体模型的快速导入和创建，对源数据进行维度和度量项的快速识别和定义；</w:t>
            </w:r>
          </w:p>
          <w:p>
            <w:pPr>
              <w:widowControl w:val="0"/>
              <w:numPr>
                <w:ilvl w:val="0"/>
                <w:numId w:val="51"/>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提供指标分级目录维护与管理，支持目录的中英文命名、描述，支持无限极子目录，支持按目录进行复制、粘贴、移动、导入、导出以及排序等功能；</w:t>
            </w:r>
          </w:p>
          <w:p>
            <w:pPr>
              <w:widowControl w:val="0"/>
              <w:numPr>
                <w:ilvl w:val="0"/>
                <w:numId w:val="51"/>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提供指标元数据定义，包括中英文名称、描述、所属数据源以及规则说明定义；支持指标复制、导入、导出以及移动等管理功能；</w:t>
            </w:r>
          </w:p>
          <w:p>
            <w:pPr>
              <w:widowControl w:val="0"/>
              <w:numPr>
                <w:ilvl w:val="0"/>
                <w:numId w:val="51"/>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指标的构建方式支持可视模式、SQL模式以及混合模式，支持指标的可变系数定义，支持条件构造器、规则构造器以及公式编辑器辅助指标的构建开发；</w:t>
            </w:r>
          </w:p>
          <w:p>
            <w:pPr>
              <w:widowControl w:val="0"/>
              <w:numPr>
                <w:ilvl w:val="0"/>
                <w:numId w:val="51"/>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指标构建过程支持在线校验以及结果数据预览，支持普通可视模式向高级SQL模式平滑迁移；</w:t>
            </w:r>
          </w:p>
          <w:p>
            <w:pPr>
              <w:widowControl w:val="0"/>
              <w:numPr>
                <w:ilvl w:val="0"/>
                <w:numId w:val="51"/>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指标构建支持版本管理，可浏览历史版本，并可从任意历史中恢复指标定义，同时可对多个版本之间的差异进行可视化比较；</w:t>
            </w:r>
          </w:p>
          <w:p>
            <w:pPr>
              <w:widowControl w:val="0"/>
              <w:numPr>
                <w:ilvl w:val="0"/>
                <w:numId w:val="51"/>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提供指标数据的固化管理，可按有效期和周期（分定点、定期两种模式）对指标结果数据进行固化，以对指标结果数据进行二次复合；</w:t>
            </w:r>
          </w:p>
          <w:p>
            <w:pPr>
              <w:widowControl w:val="0"/>
              <w:numPr>
                <w:ilvl w:val="0"/>
                <w:numId w:val="51"/>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提供对已有指标数据进行复合、派生等操作，形成新指标；</w:t>
            </w:r>
          </w:p>
          <w:p>
            <w:pPr>
              <w:widowControl w:val="0"/>
              <w:numPr>
                <w:ilvl w:val="0"/>
                <w:numId w:val="51"/>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提供指标的发布管理，只有通过发布后的指标才能被外部系统使用，同时，修改后的指标，必须重新发布后才会在目标系统生效；</w:t>
            </w:r>
          </w:p>
          <w:p>
            <w:pPr>
              <w:widowControl w:val="0"/>
              <w:numPr>
                <w:ilvl w:val="0"/>
                <w:numId w:val="51"/>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提供指标数据分享，包括指标数据在线浏览以及系统API访问，支持设定分享密钥和访问有效期，支持撤销分享；</w:t>
            </w:r>
          </w:p>
          <w:p>
            <w:pPr>
              <w:widowControl w:val="0"/>
              <w:numPr>
                <w:ilvl w:val="0"/>
                <w:numId w:val="51"/>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提供指标固化编排，即将多个相关指标的固化按时间前后、顺序先后进行固化任务编排，可有效管理指标数据的一致性和有效性；</w:t>
            </w:r>
          </w:p>
          <w:p>
            <w:pPr>
              <w:widowControl w:val="0"/>
              <w:numPr>
                <w:ilvl w:val="0"/>
                <w:numId w:val="51"/>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提供指标固化任务的分布式调度，确保在同一时刻、同一任务仅执行一次，任务实例可在任意服务节点上执行，故障自动转移和恢复，支持重试机制；</w:t>
            </w:r>
          </w:p>
          <w:p>
            <w:pPr>
              <w:widowControl w:val="0"/>
              <w:numPr>
                <w:ilvl w:val="0"/>
                <w:numId w:val="51"/>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提供基于指标结果数据的预警规则管理，设定监测指标、监控时机、条件规则以及预警动作；预警实例同样支持分布式运行，可在任意节点执行，支持故障转移和重试机制；</w:t>
            </w:r>
          </w:p>
          <w:p>
            <w:pPr>
              <w:widowControl w:val="0"/>
              <w:numPr>
                <w:ilvl w:val="0"/>
                <w:numId w:val="51"/>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提供预警触发动作灵活扩展，支持上传程序包并可在线热部署，支持在线跟踪与调试；</w:t>
            </w:r>
          </w:p>
          <w:p>
            <w:pPr>
              <w:widowControl w:val="0"/>
              <w:numPr>
                <w:ilvl w:val="0"/>
                <w:numId w:val="51"/>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提供开放式访问指标元数据和结果数据，通过外部应用注册、分配访问key以及授权访问范围来对外部应用进行管理；</w:t>
            </w:r>
          </w:p>
          <w:p>
            <w:pPr>
              <w:widowControl w:val="0"/>
              <w:numPr>
                <w:ilvl w:val="0"/>
                <w:numId w:val="51"/>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提供指标平台内操作审计，管理员可记录和查询日志。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restart"/>
            <w:vAlign w:val="center"/>
          </w:tcPr>
          <w:p>
            <w:pPr>
              <w:widowControl w:val="0"/>
              <w:spacing w:line="280" w:lineRule="exact"/>
              <w:jc w:val="center"/>
              <w:textAlignment w:val="auto"/>
              <w:rPr>
                <w:rFonts w:ascii="宋体" w:hAnsi="宋体"/>
                <w:b/>
                <w:bCs/>
                <w:color w:val="000000" w:themeColor="text1"/>
                <w:sz w:val="18"/>
                <w:szCs w:val="18"/>
                <w:lang w:val="de-DE"/>
                <w14:textFill>
                  <w14:solidFill>
                    <w14:schemeClr w14:val="tx1"/>
                  </w14:solidFill>
                </w14:textFill>
              </w:rPr>
            </w:pPr>
            <w:r>
              <w:rPr>
                <w:rFonts w:ascii="宋体" w:hAnsi="宋体"/>
                <w:b/>
                <w:bCs/>
                <w:color w:val="000000" w:themeColor="text1"/>
                <w:sz w:val="18"/>
                <w:szCs w:val="18"/>
                <w:lang w:val="de-DE"/>
                <w14:textFill>
                  <w14:solidFill>
                    <w14:schemeClr w14:val="tx1"/>
                  </w14:solidFill>
                </w14:textFill>
              </w:rPr>
              <w:t>9.</w:t>
            </w:r>
            <w:r>
              <w:rPr>
                <w:rFonts w:hint="eastAsia" w:ascii="宋体" w:hAnsi="宋体"/>
                <w:b/>
                <w:bCs/>
                <w:color w:val="000000" w:themeColor="text1"/>
                <w:sz w:val="18"/>
                <w:szCs w:val="18"/>
                <w:lang w:val="de-DE"/>
                <w14:textFill>
                  <w14:solidFill>
                    <w14:schemeClr w14:val="tx1"/>
                  </w14:solidFill>
                </w14:textFill>
              </w:rPr>
              <w:t>学生综合预警平台</w:t>
            </w: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bidi="zh-CN"/>
                <w14:textFill>
                  <w14:solidFill>
                    <w14:schemeClr w14:val="tx1"/>
                  </w14:solidFill>
                </w14:textFill>
              </w:rPr>
              <w:t>9.1</w:t>
            </w:r>
            <w:r>
              <w:rPr>
                <w:rFonts w:hint="eastAsia" w:ascii="宋体" w:hAnsi="宋体"/>
                <w:color w:val="000000" w:themeColor="text1"/>
                <w:sz w:val="18"/>
                <w:szCs w:val="18"/>
                <w:lang w:bidi="zh-CN"/>
                <w14:textFill>
                  <w14:solidFill>
                    <w14:schemeClr w14:val="tx1"/>
                  </w14:solidFill>
                </w14:textFill>
              </w:rPr>
              <w:t>技术要求</w:t>
            </w:r>
          </w:p>
        </w:tc>
        <w:tc>
          <w:tcPr>
            <w:tcW w:w="8284" w:type="dxa"/>
            <w:vAlign w:val="center"/>
          </w:tcPr>
          <w:p>
            <w:pPr>
              <w:widowControl w:val="0"/>
              <w:numPr>
                <w:ilvl w:val="0"/>
                <w:numId w:val="52"/>
              </w:numPr>
              <w:autoSpaceDE w:val="0"/>
              <w:autoSpaceDN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采用B/S结构，可运行于Unix、Linux、windows等高安全性操作系统</w:t>
            </w:r>
          </w:p>
          <w:p>
            <w:pPr>
              <w:widowControl w:val="0"/>
              <w:numPr>
                <w:ilvl w:val="0"/>
                <w:numId w:val="52"/>
              </w:numPr>
              <w:autoSpaceDE w:val="0"/>
              <w:autoSpaceDN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支持全量数据的采集能力，能够采集来自业务系统的结构化数据及设备日志类非结构化数据</w:t>
            </w:r>
          </w:p>
          <w:p>
            <w:pPr>
              <w:widowControl w:val="0"/>
              <w:numPr>
                <w:ilvl w:val="0"/>
                <w:numId w:val="52"/>
              </w:numPr>
              <w:autoSpaceDE w:val="0"/>
              <w:autoSpaceDN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支持大体量计算数据的实时查询和展示</w:t>
            </w:r>
          </w:p>
          <w:p>
            <w:pPr>
              <w:widowControl w:val="0"/>
              <w:numPr>
                <w:ilvl w:val="0"/>
                <w:numId w:val="52"/>
              </w:numPr>
              <w:autoSpaceDE w:val="0"/>
              <w:autoSpaceDN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支持基于校园G</w:t>
            </w:r>
            <w:r>
              <w:rPr>
                <w:rFonts w:ascii="宋体" w:hAnsi="宋体" w:cs="Times New Roman"/>
                <w:color w:val="000000" w:themeColor="text1"/>
                <w:sz w:val="18"/>
                <w:szCs w:val="18"/>
                <w14:textFill>
                  <w14:solidFill>
                    <w14:schemeClr w14:val="tx1"/>
                  </w14:solidFill>
                </w14:textFill>
              </w:rPr>
              <w:t>IS</w:t>
            </w:r>
            <w:r>
              <w:rPr>
                <w:rFonts w:hint="eastAsia" w:ascii="宋体" w:hAnsi="宋体" w:cs="Times New Roman"/>
                <w:color w:val="000000" w:themeColor="text1"/>
                <w:sz w:val="18"/>
                <w:szCs w:val="18"/>
                <w14:textFill>
                  <w14:solidFill>
                    <w14:schemeClr w14:val="tx1"/>
                  </w14:solidFill>
                </w14:textFill>
              </w:rPr>
              <w:t>地图的二次定制开发工作</w:t>
            </w:r>
          </w:p>
          <w:p>
            <w:pPr>
              <w:widowControl w:val="0"/>
              <w:numPr>
                <w:ilvl w:val="0"/>
                <w:numId w:val="52"/>
              </w:numPr>
              <w:autoSpaceDE w:val="0"/>
              <w:autoSpaceDN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支持标准、丰富的规则模型和挖掘算法，包括聚类、分类及标签云等技术</w:t>
            </w:r>
          </w:p>
          <w:p>
            <w:pPr>
              <w:widowControl w:val="0"/>
              <w:numPr>
                <w:ilvl w:val="0"/>
                <w:numId w:val="5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采用J2EE标准、组件技术及在数据交换上对XML的支持，使系统功能最优化，同时将整体系统内部在技术上的相互依赖性减至最低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vAlign w:val="center"/>
          </w:tcPr>
          <w:p>
            <w:pPr>
              <w:widowControl w:val="0"/>
              <w:spacing w:line="280" w:lineRule="exact"/>
              <w:jc w:val="center"/>
              <w:textAlignment w:val="auto"/>
              <w:rPr>
                <w:rFonts w:ascii="宋体" w:hAnsi="宋体"/>
                <w:b/>
                <w:bCs/>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bidi="zh-CN"/>
                <w14:textFill>
                  <w14:solidFill>
                    <w14:schemeClr w14:val="tx1"/>
                  </w14:solidFill>
                </w14:textFill>
              </w:rPr>
              <w:t>9.2</w:t>
            </w:r>
            <w:r>
              <w:rPr>
                <w:rFonts w:hint="eastAsia" w:ascii="宋体" w:hAnsi="宋体"/>
                <w:color w:val="000000" w:themeColor="text1"/>
                <w:sz w:val="18"/>
                <w:szCs w:val="18"/>
                <w:lang w:bidi="zh-CN"/>
                <w14:textFill>
                  <w14:solidFill>
                    <w14:schemeClr w14:val="tx1"/>
                  </w14:solidFill>
                </w14:textFill>
              </w:rPr>
              <w:t>今日预警</w:t>
            </w:r>
          </w:p>
        </w:tc>
        <w:tc>
          <w:tcPr>
            <w:tcW w:w="8284" w:type="dxa"/>
          </w:tcPr>
          <w:p>
            <w:pPr>
              <w:widowControl w:val="0"/>
              <w:numPr>
                <w:ilvl w:val="0"/>
                <w:numId w:val="53"/>
              </w:numPr>
              <w:autoSpaceDE w:val="0"/>
              <w:autoSpaceDN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ascii="宋体" w:hAnsi="宋体" w:cs="Times New Roman"/>
                <w:color w:val="000000" w:themeColor="text1"/>
                <w:sz w:val="18"/>
                <w:szCs w:val="18"/>
                <w14:textFill>
                  <w14:solidFill>
                    <w14:schemeClr w14:val="tx1"/>
                  </w14:solidFill>
                </w14:textFill>
              </w:rPr>
              <w:t>今日预警地图</w:t>
            </w:r>
            <w:r>
              <w:rPr>
                <w:rFonts w:hint="eastAsia" w:ascii="宋体" w:hAnsi="宋体" w:cs="Times New Roman"/>
                <w:color w:val="000000" w:themeColor="text1"/>
                <w:sz w:val="18"/>
                <w:szCs w:val="18"/>
                <w14:textFill>
                  <w14:solidFill>
                    <w14:schemeClr w14:val="tx1"/>
                  </w14:solidFill>
                </w14:textFill>
              </w:rPr>
              <w:t>，可基于百度地图、高德地图、2.5</w:t>
            </w:r>
            <w:r>
              <w:rPr>
                <w:rFonts w:ascii="宋体" w:hAnsi="宋体" w:cs="Times New Roman"/>
                <w:color w:val="000000" w:themeColor="text1"/>
                <w:sz w:val="18"/>
                <w:szCs w:val="18"/>
                <w14:textFill>
                  <w14:solidFill>
                    <w14:schemeClr w14:val="tx1"/>
                  </w14:solidFill>
                </w14:textFill>
              </w:rPr>
              <w:t>DGIS</w:t>
            </w:r>
            <w:r>
              <w:rPr>
                <w:rFonts w:hint="eastAsia" w:ascii="宋体" w:hAnsi="宋体" w:cs="Times New Roman"/>
                <w:color w:val="000000" w:themeColor="text1"/>
                <w:sz w:val="18"/>
                <w:szCs w:val="18"/>
                <w14:textFill>
                  <w14:solidFill>
                    <w14:schemeClr w14:val="tx1"/>
                  </w14:solidFill>
                </w14:textFill>
              </w:rPr>
              <w:t>地图等多种地图类型进行无缝对接，实现预警分布展示。</w:t>
            </w:r>
          </w:p>
          <w:p>
            <w:pPr>
              <w:widowControl w:val="0"/>
              <w:numPr>
                <w:ilvl w:val="0"/>
                <w:numId w:val="5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预警地图</w:t>
            </w:r>
            <w:r>
              <w:rPr>
                <w:rFonts w:ascii="宋体" w:hAnsi="宋体" w:cs="Times New Roman"/>
                <w:color w:val="000000" w:themeColor="text1"/>
                <w:sz w:val="18"/>
                <w:szCs w:val="18"/>
                <w14:textFill>
                  <w14:solidFill>
                    <w14:schemeClr w14:val="tx1"/>
                  </w14:solidFill>
                </w14:textFill>
              </w:rPr>
              <w:t>以磁贴标签、地图、饼图、列表弹框等丰富的统计图表样式，多维展示当日各类预警事件和人员数量、预警形势、事件分布</w:t>
            </w:r>
            <w:r>
              <w:rPr>
                <w:rFonts w:hint="eastAsia" w:ascii="宋体" w:hAnsi="宋体" w:cs="Times New Roman"/>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vAlign w:val="center"/>
          </w:tcPr>
          <w:p>
            <w:pPr>
              <w:widowControl w:val="0"/>
              <w:spacing w:line="280" w:lineRule="exact"/>
              <w:jc w:val="center"/>
              <w:textAlignment w:val="auto"/>
              <w:rPr>
                <w:rFonts w:ascii="宋体" w:hAnsi="宋体"/>
                <w:b/>
                <w:bCs/>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bidi="zh-CN"/>
                <w14:textFill>
                  <w14:solidFill>
                    <w14:schemeClr w14:val="tx1"/>
                  </w14:solidFill>
                </w14:textFill>
              </w:rPr>
              <w:t>9.3</w:t>
            </w:r>
            <w:r>
              <w:rPr>
                <w:rFonts w:hint="eastAsia" w:ascii="宋体" w:hAnsi="宋体"/>
                <w:color w:val="000000" w:themeColor="text1"/>
                <w:sz w:val="18"/>
                <w:szCs w:val="18"/>
                <w:lang w:bidi="zh-CN"/>
                <w14:textFill>
                  <w14:solidFill>
                    <w14:schemeClr w14:val="tx1"/>
                  </w14:solidFill>
                </w14:textFill>
              </w:rPr>
              <w:t>实时动态</w:t>
            </w:r>
          </w:p>
        </w:tc>
        <w:tc>
          <w:tcPr>
            <w:tcW w:w="8284" w:type="dxa"/>
          </w:tcPr>
          <w:p>
            <w:pPr>
              <w:widowControl w:val="0"/>
              <w:numPr>
                <w:ilvl w:val="0"/>
                <w:numId w:val="5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支持实时数据抽取，如一卡通流水、人脸监控等实时数据，集中展示学生今日最新动态数据，</w:t>
            </w:r>
            <w:r>
              <w:rPr>
                <w:rFonts w:ascii="宋体" w:hAnsi="宋体" w:cs="Times New Roman"/>
                <w:color w:val="000000" w:themeColor="text1"/>
                <w:sz w:val="18"/>
                <w:szCs w:val="18"/>
                <w14:textFill>
                  <w14:solidFill>
                    <w14:schemeClr w14:val="tx1"/>
                  </w14:solidFill>
                </w14:textFill>
              </w:rPr>
              <w:t>实时</w:t>
            </w:r>
            <w:r>
              <w:rPr>
                <w:rFonts w:hint="eastAsia" w:ascii="宋体" w:hAnsi="宋体" w:cs="Times New Roman"/>
                <w:color w:val="000000" w:themeColor="text1"/>
                <w:sz w:val="18"/>
                <w:szCs w:val="18"/>
                <w14:textFill>
                  <w14:solidFill>
                    <w14:schemeClr w14:val="tx1"/>
                  </w14:solidFill>
                </w14:textFill>
              </w:rPr>
              <w:t>关注</w:t>
            </w:r>
            <w:r>
              <w:rPr>
                <w:rFonts w:ascii="宋体" w:hAnsi="宋体" w:cs="Times New Roman"/>
                <w:color w:val="000000" w:themeColor="text1"/>
                <w:sz w:val="18"/>
                <w:szCs w:val="18"/>
                <w14:textFill>
                  <w14:solidFill>
                    <w14:schemeClr w14:val="tx1"/>
                  </w14:solidFill>
                </w14:textFill>
              </w:rPr>
              <w:t>重点</w:t>
            </w:r>
            <w:r>
              <w:rPr>
                <w:rFonts w:hint="eastAsia" w:ascii="宋体" w:hAnsi="宋体" w:cs="Times New Roman"/>
                <w:color w:val="000000" w:themeColor="text1"/>
                <w:sz w:val="18"/>
                <w:szCs w:val="18"/>
                <w14:textFill>
                  <w14:solidFill>
                    <w14:schemeClr w14:val="tx1"/>
                  </w14:solidFill>
                </w14:textFill>
              </w:rPr>
              <w:t>学生</w:t>
            </w:r>
            <w:r>
              <w:rPr>
                <w:rFonts w:ascii="宋体" w:hAnsi="宋体" w:cs="Times New Roman"/>
                <w:color w:val="000000" w:themeColor="text1"/>
                <w:sz w:val="18"/>
                <w:szCs w:val="18"/>
                <w14:textFill>
                  <w14:solidFill>
                    <w14:schemeClr w14:val="tx1"/>
                  </w14:solidFill>
                </w14:textFill>
              </w:rPr>
              <w:t>的在校行为</w:t>
            </w:r>
            <w:r>
              <w:rPr>
                <w:rFonts w:hint="eastAsia" w:ascii="宋体" w:hAnsi="宋体" w:cs="Times New Roman"/>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vAlign w:val="center"/>
          </w:tcPr>
          <w:p>
            <w:pPr>
              <w:widowControl w:val="0"/>
              <w:spacing w:line="280" w:lineRule="exact"/>
              <w:jc w:val="center"/>
              <w:textAlignment w:val="auto"/>
              <w:rPr>
                <w:rFonts w:ascii="宋体" w:hAnsi="宋体"/>
                <w:b/>
                <w:bCs/>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bidi="zh-CN"/>
                <w14:textFill>
                  <w14:solidFill>
                    <w14:schemeClr w14:val="tx1"/>
                  </w14:solidFill>
                </w14:textFill>
              </w:rPr>
              <w:t>9.4</w:t>
            </w:r>
            <w:r>
              <w:rPr>
                <w:rFonts w:hint="eastAsia" w:ascii="宋体" w:hAnsi="宋体"/>
                <w:color w:val="000000" w:themeColor="text1"/>
                <w:sz w:val="18"/>
                <w:szCs w:val="18"/>
                <w:lang w:bidi="zh-CN"/>
                <w14:textFill>
                  <w14:solidFill>
                    <w14:schemeClr w14:val="tx1"/>
                  </w14:solidFill>
                </w14:textFill>
              </w:rPr>
              <w:t>预警趋势</w:t>
            </w:r>
          </w:p>
        </w:tc>
        <w:tc>
          <w:tcPr>
            <w:tcW w:w="8284" w:type="dxa"/>
          </w:tcPr>
          <w:p>
            <w:pPr>
              <w:widowControl w:val="0"/>
              <w:numPr>
                <w:ilvl w:val="0"/>
                <w:numId w:val="55"/>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预警走势分析，根据时间走势计算</w:t>
            </w:r>
            <w:r>
              <w:rPr>
                <w:rFonts w:ascii="宋体" w:hAnsi="宋体" w:cs="Times New Roman"/>
                <w:color w:val="000000" w:themeColor="text1"/>
                <w:sz w:val="18"/>
                <w:szCs w:val="18"/>
                <w14:textFill>
                  <w14:solidFill>
                    <w14:schemeClr w14:val="tx1"/>
                  </w14:solidFill>
                </w14:textFill>
              </w:rPr>
              <w:t>预警事件，通过趋势图的形式</w:t>
            </w:r>
            <w:r>
              <w:rPr>
                <w:rFonts w:hint="eastAsia" w:ascii="宋体" w:hAnsi="宋体" w:cs="Times New Roman"/>
                <w:color w:val="000000" w:themeColor="text1"/>
                <w:sz w:val="18"/>
                <w:szCs w:val="18"/>
                <w14:textFill>
                  <w14:solidFill>
                    <w14:schemeClr w14:val="tx1"/>
                  </w14:solidFill>
                </w14:textFill>
              </w:rPr>
              <w:t>直观</w:t>
            </w:r>
            <w:r>
              <w:rPr>
                <w:rFonts w:ascii="宋体" w:hAnsi="宋体" w:cs="Times New Roman"/>
                <w:color w:val="000000" w:themeColor="text1"/>
                <w:sz w:val="18"/>
                <w:szCs w:val="18"/>
                <w14:textFill>
                  <w14:solidFill>
                    <w14:schemeClr w14:val="tx1"/>
                  </w14:solidFill>
                </w14:textFill>
              </w:rPr>
              <w:t>展示</w:t>
            </w:r>
            <w:r>
              <w:rPr>
                <w:rFonts w:hint="eastAsia" w:ascii="宋体" w:hAnsi="宋体" w:cs="Times New Roman"/>
                <w:color w:val="000000" w:themeColor="text1"/>
                <w:sz w:val="18"/>
                <w:szCs w:val="18"/>
                <w14:textFill>
                  <w14:solidFill>
                    <w14:schemeClr w14:val="tx1"/>
                  </w14:solidFill>
                </w14:textFill>
              </w:rPr>
              <w:t>多种</w:t>
            </w:r>
            <w:r>
              <w:rPr>
                <w:rFonts w:ascii="宋体" w:hAnsi="宋体" w:cs="Times New Roman"/>
                <w:color w:val="000000" w:themeColor="text1"/>
                <w:sz w:val="18"/>
                <w:szCs w:val="18"/>
                <w14:textFill>
                  <w14:solidFill>
                    <w14:schemeClr w14:val="tx1"/>
                  </w14:solidFill>
                </w14:textFill>
              </w:rPr>
              <w:t>类型的预警人数</w:t>
            </w:r>
            <w:r>
              <w:rPr>
                <w:rFonts w:hint="eastAsia" w:ascii="宋体" w:hAnsi="宋体" w:cs="Times New Roman"/>
                <w:color w:val="000000" w:themeColor="text1"/>
                <w:sz w:val="18"/>
                <w:szCs w:val="18"/>
                <w14:textFill>
                  <w14:solidFill>
                    <w14:schemeClr w14:val="tx1"/>
                  </w14:solidFill>
                </w14:textFill>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vAlign w:val="center"/>
          </w:tcPr>
          <w:p>
            <w:pPr>
              <w:widowControl w:val="0"/>
              <w:spacing w:line="280" w:lineRule="exact"/>
              <w:jc w:val="center"/>
              <w:textAlignment w:val="auto"/>
              <w:rPr>
                <w:rFonts w:ascii="宋体" w:hAnsi="宋体"/>
                <w:b/>
                <w:bCs/>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bidi="zh-CN"/>
                <w14:textFill>
                  <w14:solidFill>
                    <w14:schemeClr w14:val="tx1"/>
                  </w14:solidFill>
                </w14:textFill>
              </w:rPr>
              <w:t>9.5</w:t>
            </w:r>
            <w:r>
              <w:rPr>
                <w:rFonts w:hint="eastAsia" w:ascii="宋体" w:hAnsi="宋体"/>
                <w:color w:val="000000" w:themeColor="text1"/>
                <w:sz w:val="18"/>
                <w:szCs w:val="18"/>
                <w:lang w:bidi="zh-CN"/>
                <w14:textFill>
                  <w14:solidFill>
                    <w14:schemeClr w14:val="tx1"/>
                  </w14:solidFill>
                </w14:textFill>
              </w:rPr>
              <w:t>预警排名</w:t>
            </w:r>
          </w:p>
        </w:tc>
        <w:tc>
          <w:tcPr>
            <w:tcW w:w="8284" w:type="dxa"/>
            <w:vAlign w:val="center"/>
          </w:tcPr>
          <w:p>
            <w:pPr>
              <w:widowControl w:val="0"/>
              <w:numPr>
                <w:ilvl w:val="0"/>
                <w:numId w:val="56"/>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根据预警人数的统计，支持分析各院系的预警走势，并支持预警top排名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vAlign w:val="center"/>
          </w:tcPr>
          <w:p>
            <w:pPr>
              <w:widowControl w:val="0"/>
              <w:spacing w:line="280" w:lineRule="exact"/>
              <w:jc w:val="center"/>
              <w:textAlignment w:val="auto"/>
              <w:rPr>
                <w:rFonts w:ascii="宋体" w:hAnsi="宋体"/>
                <w:b/>
                <w:bCs/>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bidi="zh-CN"/>
                <w14:textFill>
                  <w14:solidFill>
                    <w14:schemeClr w14:val="tx1"/>
                  </w14:solidFill>
                </w14:textFill>
              </w:rPr>
              <w:t>9.6</w:t>
            </w:r>
            <w:r>
              <w:rPr>
                <w:rFonts w:hint="eastAsia" w:ascii="宋体" w:hAnsi="宋体"/>
                <w:color w:val="000000" w:themeColor="text1"/>
                <w:sz w:val="18"/>
                <w:szCs w:val="18"/>
                <w:lang w:bidi="zh-CN"/>
                <w14:textFill>
                  <w14:solidFill>
                    <w14:schemeClr w14:val="tx1"/>
                  </w14:solidFill>
                </w14:textFill>
              </w:rPr>
              <w:t>自定义预警类型</w:t>
            </w:r>
          </w:p>
        </w:tc>
        <w:tc>
          <w:tcPr>
            <w:tcW w:w="8284" w:type="dxa"/>
          </w:tcPr>
          <w:p>
            <w:pPr>
              <w:widowControl w:val="0"/>
              <w:numPr>
                <w:ilvl w:val="0"/>
                <w:numId w:val="57"/>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构建学生预警的群体画像，系统支持至少内置3种不同的预警类型，根据校方需求，可进行预警类型的自定义添加。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vAlign w:val="center"/>
          </w:tcPr>
          <w:p>
            <w:pPr>
              <w:widowControl w:val="0"/>
              <w:spacing w:line="280" w:lineRule="exact"/>
              <w:jc w:val="center"/>
              <w:textAlignment w:val="auto"/>
              <w:rPr>
                <w:rFonts w:ascii="宋体" w:hAnsi="宋体"/>
                <w:b/>
                <w:bCs/>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bidi="zh-CN"/>
                <w14:textFill>
                  <w14:solidFill>
                    <w14:schemeClr w14:val="tx1"/>
                  </w14:solidFill>
                </w14:textFill>
              </w:rPr>
              <w:t>9.7</w:t>
            </w:r>
            <w:r>
              <w:rPr>
                <w:rFonts w:hint="eastAsia" w:ascii="宋体" w:hAnsi="宋体"/>
                <w:color w:val="000000" w:themeColor="text1"/>
                <w:sz w:val="18"/>
                <w:szCs w:val="18"/>
                <w:lang w:bidi="zh-CN"/>
                <w14:textFill>
                  <w14:solidFill>
                    <w14:schemeClr w14:val="tx1"/>
                  </w14:solidFill>
                </w14:textFill>
              </w:rPr>
              <w:t>自定义预警等级</w:t>
            </w:r>
          </w:p>
        </w:tc>
        <w:tc>
          <w:tcPr>
            <w:tcW w:w="8284" w:type="dxa"/>
          </w:tcPr>
          <w:p>
            <w:pPr>
              <w:widowControl w:val="0"/>
              <w:numPr>
                <w:ilvl w:val="0"/>
                <w:numId w:val="58"/>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针对不同轻重程度的预警，支持至少3种以上等级的预警设置，如红色预警、橙色预警、黄色预警等，内置预警分类算法，支持预警等级的自定义可视化配置。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vAlign w:val="center"/>
          </w:tcPr>
          <w:p>
            <w:pPr>
              <w:widowControl w:val="0"/>
              <w:spacing w:line="280" w:lineRule="exact"/>
              <w:jc w:val="center"/>
              <w:textAlignment w:val="auto"/>
              <w:rPr>
                <w:rFonts w:ascii="宋体" w:hAnsi="宋体"/>
                <w:b/>
                <w:bCs/>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bidi="zh-CN"/>
                <w14:textFill>
                  <w14:solidFill>
                    <w14:schemeClr w14:val="tx1"/>
                  </w14:solidFill>
                </w14:textFill>
              </w:rPr>
              <w:t>9.8</w:t>
            </w:r>
            <w:r>
              <w:rPr>
                <w:rFonts w:hint="eastAsia" w:ascii="宋体" w:hAnsi="宋体"/>
                <w:color w:val="000000" w:themeColor="text1"/>
                <w:sz w:val="18"/>
                <w:szCs w:val="18"/>
                <w:lang w:bidi="zh-CN"/>
                <w14:textFill>
                  <w14:solidFill>
                    <w14:schemeClr w14:val="tx1"/>
                  </w14:solidFill>
                </w14:textFill>
              </w:rPr>
              <w:t>预警模型</w:t>
            </w:r>
          </w:p>
        </w:tc>
        <w:tc>
          <w:tcPr>
            <w:tcW w:w="8284" w:type="dxa"/>
            <w:vAlign w:val="center"/>
          </w:tcPr>
          <w:p>
            <w:pPr>
              <w:widowControl w:val="0"/>
              <w:numPr>
                <w:ilvl w:val="0"/>
                <w:numId w:val="5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内置常见的预警明细模型不少于15种，便于学生安全管理工作人员及时了解学生校内动向和行为趋势，预警明细包括但不限于：最新预警分析、疑似不在校天数、年级预警分析、学院预警排名、班级预警排名、预警清单、无法毕业的预警预判、学业挂科分析、补考分析、各学院资助类型、资助类型对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vAlign w:val="center"/>
          </w:tcPr>
          <w:p>
            <w:pPr>
              <w:widowControl w:val="0"/>
              <w:spacing w:line="280" w:lineRule="exact"/>
              <w:jc w:val="center"/>
              <w:textAlignment w:val="auto"/>
              <w:rPr>
                <w:rFonts w:ascii="宋体" w:hAnsi="宋体"/>
                <w:b/>
                <w:bCs/>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bidi="zh-CN"/>
                <w14:textFill>
                  <w14:solidFill>
                    <w14:schemeClr w14:val="tx1"/>
                  </w14:solidFill>
                </w14:textFill>
              </w:rPr>
              <w:t>9.9</w:t>
            </w:r>
            <w:r>
              <w:rPr>
                <w:rFonts w:hint="eastAsia" w:ascii="宋体" w:hAnsi="宋体"/>
                <w:color w:val="000000" w:themeColor="text1"/>
                <w:sz w:val="18"/>
                <w:szCs w:val="18"/>
                <w:lang w:bidi="zh-CN"/>
                <w14:textFill>
                  <w14:solidFill>
                    <w14:schemeClr w14:val="tx1"/>
                  </w14:solidFill>
                </w14:textFill>
              </w:rPr>
              <w:t>预警明细</w:t>
            </w:r>
          </w:p>
        </w:tc>
        <w:tc>
          <w:tcPr>
            <w:tcW w:w="8284" w:type="dxa"/>
            <w:vAlign w:val="center"/>
          </w:tcPr>
          <w:p>
            <w:pPr>
              <w:widowControl w:val="0"/>
              <w:numPr>
                <w:ilvl w:val="0"/>
                <w:numId w:val="60"/>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针对预警情况，提供预警人员的明细查询，支持下钻到具体学生的个人信息中。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vAlign w:val="center"/>
          </w:tcPr>
          <w:p>
            <w:pPr>
              <w:widowControl w:val="0"/>
              <w:spacing w:line="280" w:lineRule="exact"/>
              <w:jc w:val="center"/>
              <w:textAlignment w:val="auto"/>
              <w:rPr>
                <w:rFonts w:ascii="宋体" w:hAnsi="宋体"/>
                <w:b/>
                <w:bCs/>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bidi="zh-CN"/>
                <w14:textFill>
                  <w14:solidFill>
                    <w14:schemeClr w14:val="tx1"/>
                  </w14:solidFill>
                </w14:textFill>
              </w:rPr>
              <w:t>9.10</w:t>
            </w:r>
            <w:r>
              <w:rPr>
                <w:rFonts w:hint="eastAsia" w:ascii="宋体" w:hAnsi="宋体"/>
                <w:color w:val="000000" w:themeColor="text1"/>
                <w:sz w:val="18"/>
                <w:szCs w:val="18"/>
                <w:lang w:bidi="zh-CN"/>
                <w14:textFill>
                  <w14:solidFill>
                    <w14:schemeClr w14:val="tx1"/>
                  </w14:solidFill>
                </w14:textFill>
              </w:rPr>
              <w:t>学生群体画像</w:t>
            </w:r>
          </w:p>
        </w:tc>
        <w:tc>
          <w:tcPr>
            <w:tcW w:w="8284" w:type="dxa"/>
            <w:vAlign w:val="center"/>
          </w:tcPr>
          <w:p>
            <w:pPr>
              <w:widowControl w:val="0"/>
              <w:numPr>
                <w:ilvl w:val="0"/>
                <w:numId w:val="61"/>
              </w:numPr>
              <w:adjustRightInd w:val="0"/>
              <w:snapToGrid w:val="0"/>
              <w:spacing w:line="280" w:lineRule="exact"/>
              <w:jc w:val="left"/>
              <w:textAlignment w:val="auto"/>
              <w:rPr>
                <w:rFonts w:ascii="宋体" w:hAnsi="宋体"/>
                <w:color w:val="000000" w:themeColor="text1"/>
                <w:sz w:val="18"/>
                <w:szCs w:val="18"/>
                <w:lang w:val="zh-CN"/>
                <w14:textFill>
                  <w14:solidFill>
                    <w14:schemeClr w14:val="tx1"/>
                  </w14:solidFill>
                </w14:textFill>
              </w:rPr>
            </w:pPr>
            <w:r>
              <w:rPr>
                <w:rFonts w:hint="eastAsia" w:ascii="宋体" w:hAnsi="宋体"/>
                <w:color w:val="000000" w:themeColor="text1"/>
                <w:sz w:val="18"/>
                <w:szCs w:val="18"/>
                <w:lang w:val="zh-CN"/>
                <w14:textFill>
                  <w14:solidFill>
                    <w14:schemeClr w14:val="tx1"/>
                  </w14:solidFill>
                </w14:textFill>
              </w:rPr>
              <w:t>提供学生群体的行为中心模块，以学生在校学习、生活相关的基本数据指标，展示</w:t>
            </w:r>
            <w:r>
              <w:rPr>
                <w:rFonts w:ascii="宋体" w:hAnsi="宋体"/>
                <w:color w:val="000000" w:themeColor="text1"/>
                <w:sz w:val="18"/>
                <w:szCs w:val="18"/>
                <w:lang w:val="zh-CN"/>
                <w14:textFill>
                  <w14:solidFill>
                    <w14:schemeClr w14:val="tx1"/>
                  </w14:solidFill>
                </w14:textFill>
              </w:rPr>
              <w:t>学生各类行为明细的查询和统计</w:t>
            </w:r>
            <w:r>
              <w:rPr>
                <w:rFonts w:hint="eastAsia" w:ascii="宋体" w:hAnsi="宋体"/>
                <w:color w:val="000000" w:themeColor="text1"/>
                <w:sz w:val="18"/>
                <w:szCs w:val="18"/>
                <w:lang w:val="zh-CN"/>
                <w14:textFill>
                  <w14:solidFill>
                    <w14:schemeClr w14:val="tx1"/>
                  </w14:solidFill>
                </w14:textFill>
              </w:rPr>
              <w:t>分析。</w:t>
            </w:r>
          </w:p>
          <w:p>
            <w:pPr>
              <w:widowControl w:val="0"/>
              <w:numPr>
                <w:ilvl w:val="0"/>
                <w:numId w:val="61"/>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基于学生各类分析（如图书借阅、消费、上网等）维度的综合比对、筛选，从而能够找出特征群体的分布特性，便于学生的精准化管理。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vAlign w:val="center"/>
          </w:tcPr>
          <w:p>
            <w:pPr>
              <w:widowControl w:val="0"/>
              <w:spacing w:line="280" w:lineRule="exact"/>
              <w:jc w:val="center"/>
              <w:textAlignment w:val="auto"/>
              <w:rPr>
                <w:rFonts w:ascii="宋体" w:hAnsi="宋体"/>
                <w:b/>
                <w:bCs/>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bidi="zh-CN"/>
                <w14:textFill>
                  <w14:solidFill>
                    <w14:schemeClr w14:val="tx1"/>
                  </w14:solidFill>
                </w14:textFill>
              </w:rPr>
              <w:t>9.11</w:t>
            </w:r>
            <w:r>
              <w:rPr>
                <w:rFonts w:hint="eastAsia" w:ascii="宋体" w:hAnsi="宋体"/>
                <w:color w:val="000000" w:themeColor="text1"/>
                <w:sz w:val="18"/>
                <w:szCs w:val="18"/>
                <w:lang w:bidi="zh-CN"/>
                <w14:textFill>
                  <w14:solidFill>
                    <w14:schemeClr w14:val="tx1"/>
                  </w14:solidFill>
                </w14:textFill>
              </w:rPr>
              <w:t>学生综合查询</w:t>
            </w:r>
          </w:p>
        </w:tc>
        <w:tc>
          <w:tcPr>
            <w:tcW w:w="8284" w:type="dxa"/>
            <w:vAlign w:val="center"/>
          </w:tcPr>
          <w:p>
            <w:pPr>
              <w:widowControl w:val="0"/>
              <w:numPr>
                <w:ilvl w:val="0"/>
                <w:numId w:val="62"/>
              </w:numPr>
              <w:adjustRightInd w:val="0"/>
              <w:snapToGrid w:val="0"/>
              <w:spacing w:line="280" w:lineRule="exact"/>
              <w:jc w:val="left"/>
              <w:textAlignment w:val="auto"/>
              <w:rPr>
                <w:rFonts w:ascii="宋体" w:hAnsi="宋体"/>
                <w:color w:val="000000" w:themeColor="text1"/>
                <w:sz w:val="18"/>
                <w:szCs w:val="18"/>
                <w:lang w:val="zh-CN"/>
                <w14:textFill>
                  <w14:solidFill>
                    <w14:schemeClr w14:val="tx1"/>
                  </w14:solidFill>
                </w14:textFill>
              </w:rPr>
            </w:pPr>
            <w:r>
              <w:rPr>
                <w:rFonts w:hint="eastAsia" w:ascii="宋体" w:hAnsi="宋体"/>
                <w:color w:val="000000" w:themeColor="text1"/>
                <w:sz w:val="18"/>
                <w:szCs w:val="18"/>
                <w:lang w:val="zh-CN"/>
                <w14:textFill>
                  <w14:solidFill>
                    <w14:schemeClr w14:val="tx1"/>
                  </w14:solidFill>
                </w14:textFill>
              </w:rPr>
              <w:t>支持</w:t>
            </w:r>
            <w:r>
              <w:rPr>
                <w:rFonts w:ascii="宋体" w:hAnsi="宋体"/>
                <w:color w:val="000000" w:themeColor="text1"/>
                <w:sz w:val="18"/>
                <w:szCs w:val="18"/>
                <w:lang w:val="zh-CN"/>
                <w14:textFill>
                  <w14:solidFill>
                    <w14:schemeClr w14:val="tx1"/>
                  </w14:solidFill>
                </w14:textFill>
              </w:rPr>
              <w:t>快速查询和高级查询</w:t>
            </w:r>
            <w:r>
              <w:rPr>
                <w:rFonts w:hint="eastAsia" w:ascii="宋体" w:hAnsi="宋体"/>
                <w:color w:val="000000" w:themeColor="text1"/>
                <w:sz w:val="18"/>
                <w:szCs w:val="18"/>
                <w:lang w:val="zh-CN"/>
                <w14:textFill>
                  <w14:solidFill>
                    <w14:schemeClr w14:val="tx1"/>
                  </w14:solidFill>
                </w14:textFill>
              </w:rPr>
              <w:t>两种方式。</w:t>
            </w:r>
          </w:p>
          <w:p>
            <w:pPr>
              <w:widowControl w:val="0"/>
              <w:numPr>
                <w:ilvl w:val="0"/>
                <w:numId w:val="62"/>
              </w:numPr>
              <w:adjustRightInd w:val="0"/>
              <w:snapToGrid w:val="0"/>
              <w:spacing w:line="280" w:lineRule="exact"/>
              <w:jc w:val="left"/>
              <w:textAlignment w:val="auto"/>
              <w:rPr>
                <w:rFonts w:ascii="宋体" w:hAnsi="宋体"/>
                <w:color w:val="000000" w:themeColor="text1"/>
                <w:sz w:val="18"/>
                <w:szCs w:val="18"/>
                <w:lang w:val="zh-CN"/>
                <w14:textFill>
                  <w14:solidFill>
                    <w14:schemeClr w14:val="tx1"/>
                  </w14:solidFill>
                </w14:textFill>
              </w:rPr>
            </w:pPr>
            <w:r>
              <w:rPr>
                <w:rFonts w:ascii="宋体" w:hAnsi="宋体"/>
                <w:color w:val="000000" w:themeColor="text1"/>
                <w:sz w:val="18"/>
                <w:szCs w:val="18"/>
                <w:lang w:val="zh-CN"/>
                <w14:textFill>
                  <w14:solidFill>
                    <w14:schemeClr w14:val="tx1"/>
                  </w14:solidFill>
                </w14:textFill>
              </w:rPr>
              <w:t>快速查询可以根据</w:t>
            </w:r>
            <w:r>
              <w:rPr>
                <w:rFonts w:hint="eastAsia" w:ascii="宋体" w:hAnsi="宋体"/>
                <w:color w:val="000000" w:themeColor="text1"/>
                <w:sz w:val="18"/>
                <w:szCs w:val="18"/>
                <w:lang w:val="zh-CN"/>
                <w14:textFill>
                  <w14:solidFill>
                    <w14:schemeClr w14:val="tx1"/>
                  </w14:solidFill>
                </w14:textFill>
              </w:rPr>
              <w:t>校方常用的查询条件，可自定义灵活配置学生属性（如：年级、院系、专业、班级、民族、政治面貌等）作为检索条件，支持多条件组合筛选。</w:t>
            </w:r>
          </w:p>
          <w:p>
            <w:pPr>
              <w:widowControl w:val="0"/>
              <w:numPr>
                <w:ilvl w:val="0"/>
                <w:numId w:val="62"/>
              </w:numPr>
              <w:adjustRightInd w:val="0"/>
              <w:snapToGrid w:val="0"/>
              <w:spacing w:line="280" w:lineRule="exact"/>
              <w:jc w:val="left"/>
              <w:textAlignment w:val="auto"/>
              <w:rPr>
                <w:rFonts w:ascii="宋体" w:hAnsi="宋体"/>
                <w:color w:val="000000" w:themeColor="text1"/>
                <w:sz w:val="18"/>
                <w:szCs w:val="18"/>
                <w:lang w:val="zh-CN"/>
                <w14:textFill>
                  <w14:solidFill>
                    <w14:schemeClr w14:val="tx1"/>
                  </w14:solidFill>
                </w14:textFill>
              </w:rPr>
            </w:pPr>
            <w:r>
              <w:rPr>
                <w:rFonts w:ascii="宋体" w:hAnsi="宋体"/>
                <w:color w:val="000000" w:themeColor="text1"/>
                <w:sz w:val="18"/>
                <w:szCs w:val="18"/>
                <w:lang w:val="zh-CN"/>
                <w14:textFill>
                  <w14:solidFill>
                    <w14:schemeClr w14:val="tx1"/>
                  </w14:solidFill>
                </w14:textFill>
              </w:rPr>
              <w:t>高级查询可以</w:t>
            </w:r>
            <w:r>
              <w:rPr>
                <w:rFonts w:hint="eastAsia" w:ascii="宋体" w:hAnsi="宋体"/>
                <w:color w:val="000000" w:themeColor="text1"/>
                <w:sz w:val="18"/>
                <w:szCs w:val="18"/>
                <w:lang w:val="zh-CN"/>
                <w14:textFill>
                  <w14:solidFill>
                    <w14:schemeClr w14:val="tx1"/>
                  </w14:solidFill>
                </w14:textFill>
              </w:rPr>
              <w:t>根据</w:t>
            </w:r>
            <w:r>
              <w:rPr>
                <w:rFonts w:ascii="宋体" w:hAnsi="宋体"/>
                <w:color w:val="000000" w:themeColor="text1"/>
                <w:sz w:val="18"/>
                <w:szCs w:val="18"/>
                <w:lang w:val="zh-CN"/>
                <w14:textFill>
                  <w14:solidFill>
                    <w14:schemeClr w14:val="tx1"/>
                  </w14:solidFill>
                </w14:textFill>
              </w:rPr>
              <w:t>姓名</w:t>
            </w:r>
            <w:r>
              <w:rPr>
                <w:rFonts w:hint="eastAsia" w:ascii="宋体" w:hAnsi="宋体"/>
                <w:color w:val="000000" w:themeColor="text1"/>
                <w:sz w:val="18"/>
                <w:szCs w:val="18"/>
                <w:lang w:val="zh-CN"/>
                <w14:textFill>
                  <w14:solidFill>
                    <w14:schemeClr w14:val="tx1"/>
                  </w14:solidFill>
                </w14:textFill>
              </w:rPr>
              <w:t>、</w:t>
            </w:r>
            <w:r>
              <w:rPr>
                <w:rFonts w:ascii="宋体" w:hAnsi="宋体"/>
                <w:color w:val="000000" w:themeColor="text1"/>
                <w:sz w:val="18"/>
                <w:szCs w:val="18"/>
                <w:lang w:val="zh-CN"/>
                <w14:textFill>
                  <w14:solidFill>
                    <w14:schemeClr w14:val="tx1"/>
                  </w14:solidFill>
                </w14:textFill>
              </w:rPr>
              <w:t>学号</w:t>
            </w:r>
            <w:r>
              <w:rPr>
                <w:rFonts w:hint="eastAsia" w:ascii="宋体" w:hAnsi="宋体"/>
                <w:color w:val="000000" w:themeColor="text1"/>
                <w:sz w:val="18"/>
                <w:szCs w:val="18"/>
                <w:lang w:val="zh-CN"/>
                <w14:textFill>
                  <w14:solidFill>
                    <w14:schemeClr w14:val="tx1"/>
                  </w14:solidFill>
                </w14:textFill>
              </w:rPr>
              <w:t>等</w:t>
            </w:r>
            <w:r>
              <w:rPr>
                <w:rFonts w:ascii="宋体" w:hAnsi="宋体"/>
                <w:color w:val="000000" w:themeColor="text1"/>
                <w:sz w:val="18"/>
                <w:szCs w:val="18"/>
                <w:lang w:val="zh-CN"/>
                <w14:textFill>
                  <w14:solidFill>
                    <w14:schemeClr w14:val="tx1"/>
                  </w14:solidFill>
                </w14:textFill>
              </w:rPr>
              <w:t>全文检索到相关</w:t>
            </w:r>
            <w:r>
              <w:rPr>
                <w:rFonts w:hint="eastAsia" w:ascii="宋体" w:hAnsi="宋体"/>
                <w:color w:val="000000" w:themeColor="text1"/>
                <w:sz w:val="18"/>
                <w:szCs w:val="18"/>
                <w:lang w:val="zh-CN"/>
                <w14:textFill>
                  <w14:solidFill>
                    <w14:schemeClr w14:val="tx1"/>
                  </w14:solidFill>
                </w14:textFill>
              </w:rPr>
              <w:t>学生的</w:t>
            </w:r>
            <w:r>
              <w:rPr>
                <w:rFonts w:ascii="宋体" w:hAnsi="宋体"/>
                <w:color w:val="000000" w:themeColor="text1"/>
                <w:sz w:val="18"/>
                <w:szCs w:val="18"/>
                <w:lang w:val="zh-CN"/>
                <w14:textFill>
                  <w14:solidFill>
                    <w14:schemeClr w14:val="tx1"/>
                  </w14:solidFill>
                </w14:textFill>
              </w:rPr>
              <w:t>信息，并提供</w:t>
            </w:r>
            <w:r>
              <w:rPr>
                <w:rFonts w:hint="eastAsia" w:ascii="宋体" w:hAnsi="宋体"/>
                <w:color w:val="000000" w:themeColor="text1"/>
                <w:sz w:val="18"/>
                <w:szCs w:val="18"/>
                <w:lang w:val="zh-CN"/>
                <w14:textFill>
                  <w14:solidFill>
                    <w14:schemeClr w14:val="tx1"/>
                  </w14:solidFill>
                </w14:textFill>
              </w:rPr>
              <w:t>学校</w:t>
            </w:r>
            <w:r>
              <w:rPr>
                <w:rFonts w:ascii="宋体" w:hAnsi="宋体"/>
                <w:color w:val="000000" w:themeColor="text1"/>
                <w:sz w:val="18"/>
                <w:szCs w:val="18"/>
                <w:lang w:val="zh-CN"/>
                <w14:textFill>
                  <w14:solidFill>
                    <w14:schemeClr w14:val="tx1"/>
                  </w14:solidFill>
                </w14:textFill>
              </w:rPr>
              <w:t>最新检索，以及热点检索</w:t>
            </w:r>
            <w:r>
              <w:rPr>
                <w:rFonts w:hint="eastAsia" w:ascii="宋体" w:hAnsi="宋体"/>
                <w:color w:val="000000" w:themeColor="text1"/>
                <w:sz w:val="18"/>
                <w:szCs w:val="18"/>
                <w:lang w:val="zh-CN"/>
                <w14:textFill>
                  <w14:solidFill>
                    <w14:schemeClr w14:val="tx1"/>
                  </w14:solidFill>
                </w14:textFill>
              </w:rPr>
              <w:t>的内容，</w:t>
            </w:r>
            <w:r>
              <w:rPr>
                <w:rFonts w:ascii="宋体" w:hAnsi="宋体"/>
                <w:color w:val="000000" w:themeColor="text1"/>
                <w:sz w:val="18"/>
                <w:szCs w:val="18"/>
                <w:lang w:val="zh-CN"/>
                <w14:textFill>
                  <w14:solidFill>
                    <w14:schemeClr w14:val="tx1"/>
                  </w14:solidFill>
                </w14:textFill>
              </w:rPr>
              <w:t>方便</w:t>
            </w:r>
            <w:r>
              <w:rPr>
                <w:rFonts w:hint="eastAsia" w:ascii="宋体" w:hAnsi="宋体"/>
                <w:color w:val="000000" w:themeColor="text1"/>
                <w:sz w:val="18"/>
                <w:szCs w:val="18"/>
                <w:lang w:val="zh-CN"/>
                <w14:textFill>
                  <w14:solidFill>
                    <w14:schemeClr w14:val="tx1"/>
                  </w14:solidFill>
                </w14:textFill>
              </w:rPr>
              <w:t>快速</w:t>
            </w:r>
            <w:r>
              <w:rPr>
                <w:rFonts w:ascii="宋体" w:hAnsi="宋体"/>
                <w:color w:val="000000" w:themeColor="text1"/>
                <w:sz w:val="18"/>
                <w:szCs w:val="18"/>
                <w:lang w:val="zh-CN"/>
                <w14:textFill>
                  <w14:solidFill>
                    <w14:schemeClr w14:val="tx1"/>
                  </w14:solidFill>
                </w14:textFill>
              </w:rPr>
              <w:t>找到相关信息</w:t>
            </w:r>
            <w:r>
              <w:rPr>
                <w:rFonts w:hint="eastAsia" w:ascii="宋体" w:hAnsi="宋体"/>
                <w:color w:val="000000" w:themeColor="text1"/>
                <w:sz w:val="18"/>
                <w:szCs w:val="18"/>
                <w:lang w:val="zh-CN"/>
                <w14:textFill>
                  <w14:solidFill>
                    <w14:schemeClr w14:val="tx1"/>
                  </w14:solidFill>
                </w14:textFill>
              </w:rPr>
              <w:t>。</w:t>
            </w:r>
          </w:p>
          <w:p>
            <w:pPr>
              <w:widowControl w:val="0"/>
              <w:numPr>
                <w:ilvl w:val="0"/>
                <w:numId w:val="62"/>
              </w:numPr>
              <w:adjustRightInd w:val="0"/>
              <w:snapToGrid w:val="0"/>
              <w:spacing w:line="280" w:lineRule="exact"/>
              <w:jc w:val="left"/>
              <w:textAlignment w:val="auto"/>
              <w:rPr>
                <w:rFonts w:ascii="宋体" w:hAnsi="宋体"/>
                <w:color w:val="000000" w:themeColor="text1"/>
                <w:sz w:val="18"/>
                <w:szCs w:val="18"/>
                <w:lang w:val="zh-CN"/>
                <w14:textFill>
                  <w14:solidFill>
                    <w14:schemeClr w14:val="tx1"/>
                  </w14:solidFill>
                </w14:textFill>
              </w:rPr>
            </w:pPr>
            <w:r>
              <w:rPr>
                <w:rFonts w:hint="eastAsia" w:ascii="宋体" w:hAnsi="宋体"/>
                <w:color w:val="000000" w:themeColor="text1"/>
                <w:sz w:val="18"/>
                <w:szCs w:val="18"/>
                <w:lang w:val="zh-CN"/>
                <w14:textFill>
                  <w14:solidFill>
                    <w14:schemeClr w14:val="tx1"/>
                  </w14:solidFill>
                </w14:textFill>
              </w:rPr>
              <w:t>支持通过多种查询方式</w:t>
            </w:r>
            <w:r>
              <w:rPr>
                <w:rFonts w:ascii="宋体" w:hAnsi="宋体"/>
                <w:color w:val="000000" w:themeColor="text1"/>
                <w:sz w:val="18"/>
                <w:szCs w:val="18"/>
                <w:lang w:val="zh-CN"/>
                <w14:textFill>
                  <w14:solidFill>
                    <w14:schemeClr w14:val="tx1"/>
                  </w14:solidFill>
                </w14:textFill>
              </w:rPr>
              <w:t>搜索结果，能快速查询到学生</w:t>
            </w:r>
            <w:r>
              <w:rPr>
                <w:rFonts w:hint="eastAsia" w:ascii="宋体" w:hAnsi="宋体"/>
                <w:color w:val="000000" w:themeColor="text1"/>
                <w:sz w:val="18"/>
                <w:szCs w:val="18"/>
                <w:lang w:val="zh-CN"/>
                <w14:textFill>
                  <w14:solidFill>
                    <w14:schemeClr w14:val="tx1"/>
                  </w14:solidFill>
                </w14:textFill>
              </w:rPr>
              <w:t>个人的</w:t>
            </w:r>
            <w:r>
              <w:rPr>
                <w:rFonts w:ascii="宋体" w:hAnsi="宋体"/>
                <w:color w:val="000000" w:themeColor="text1"/>
                <w:sz w:val="18"/>
                <w:szCs w:val="18"/>
                <w:lang w:val="zh-CN"/>
                <w14:textFill>
                  <w14:solidFill>
                    <w14:schemeClr w14:val="tx1"/>
                  </w14:solidFill>
                </w14:textFill>
              </w:rPr>
              <w:t>详细信息</w:t>
            </w:r>
            <w:r>
              <w:rPr>
                <w:rFonts w:hint="eastAsia" w:ascii="宋体" w:hAnsi="宋体"/>
                <w:color w:val="000000" w:themeColor="text1"/>
                <w:sz w:val="18"/>
                <w:szCs w:val="18"/>
                <w:lang w:val="zh-CN"/>
                <w14:textFill>
                  <w14:solidFill>
                    <w14:schemeClr w14:val="tx1"/>
                  </w14:solidFill>
                </w14:textFill>
              </w:rPr>
              <w:t>，展示学生个体画像，和学生个人成长中心无缝对接。</w:t>
            </w:r>
          </w:p>
          <w:p>
            <w:pPr>
              <w:widowControl w:val="0"/>
              <w:numPr>
                <w:ilvl w:val="0"/>
                <w:numId w:val="62"/>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学生综合查询，具有访问角色权限控制功能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vAlign w:val="center"/>
          </w:tcPr>
          <w:p>
            <w:pPr>
              <w:widowControl w:val="0"/>
              <w:spacing w:line="280" w:lineRule="exact"/>
              <w:jc w:val="center"/>
              <w:textAlignment w:val="auto"/>
              <w:rPr>
                <w:rFonts w:ascii="宋体" w:hAnsi="宋体"/>
                <w:b/>
                <w:bCs/>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bidi="zh-CN"/>
                <w14:textFill>
                  <w14:solidFill>
                    <w14:schemeClr w14:val="tx1"/>
                  </w14:solidFill>
                </w14:textFill>
              </w:rPr>
              <w:t>9.12</w:t>
            </w:r>
            <w:r>
              <w:rPr>
                <w:rFonts w:hint="eastAsia" w:ascii="宋体" w:hAnsi="宋体"/>
                <w:color w:val="000000" w:themeColor="text1"/>
                <w:sz w:val="18"/>
                <w:szCs w:val="18"/>
                <w:lang w:bidi="zh-CN"/>
                <w14:textFill>
                  <w14:solidFill>
                    <w14:schemeClr w14:val="tx1"/>
                  </w14:solidFill>
                </w14:textFill>
              </w:rPr>
              <w:t>轨迹动态</w:t>
            </w:r>
          </w:p>
        </w:tc>
        <w:tc>
          <w:tcPr>
            <w:tcW w:w="8284" w:type="dxa"/>
            <w:vAlign w:val="center"/>
          </w:tcPr>
          <w:p>
            <w:pPr>
              <w:widowControl w:val="0"/>
              <w:numPr>
                <w:ilvl w:val="0"/>
                <w:numId w:val="63"/>
              </w:numPr>
              <w:adjustRightInd w:val="0"/>
              <w:snapToGrid w:val="0"/>
              <w:spacing w:line="280" w:lineRule="exact"/>
              <w:jc w:val="left"/>
              <w:textAlignment w:val="auto"/>
              <w:rPr>
                <w:rFonts w:ascii="宋体" w:hAnsi="宋体"/>
                <w:color w:val="000000" w:themeColor="text1"/>
                <w:sz w:val="18"/>
                <w:szCs w:val="18"/>
                <w:lang w:val="zh-CN"/>
                <w14:textFill>
                  <w14:solidFill>
                    <w14:schemeClr w14:val="tx1"/>
                  </w14:solidFill>
                </w14:textFill>
              </w:rPr>
            </w:pPr>
            <w:r>
              <w:rPr>
                <w:rFonts w:hint="eastAsia" w:ascii="宋体" w:hAnsi="宋体"/>
                <w:color w:val="000000" w:themeColor="text1"/>
                <w:sz w:val="18"/>
                <w:szCs w:val="18"/>
                <w:lang w:val="zh-CN"/>
                <w14:textFill>
                  <w14:solidFill>
                    <w14:schemeClr w14:val="tx1"/>
                  </w14:solidFill>
                </w14:textFill>
              </w:rPr>
              <w:t>支持基于学生校内一卡通消费、门禁出入、上网认证等数据构建校内轨迹，根据指定的某一时间点，能够快速查询学生当天的轨迹和历史行为轨迹。</w:t>
            </w:r>
          </w:p>
          <w:p>
            <w:pPr>
              <w:widowControl w:val="0"/>
              <w:numPr>
                <w:ilvl w:val="0"/>
                <w:numId w:val="63"/>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支持在电子地图上动态模拟轨迹路线，及行为轨迹查询。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vAlign w:val="center"/>
          </w:tcPr>
          <w:p>
            <w:pPr>
              <w:widowControl w:val="0"/>
              <w:spacing w:line="280" w:lineRule="exact"/>
              <w:jc w:val="center"/>
              <w:textAlignment w:val="auto"/>
              <w:rPr>
                <w:rFonts w:ascii="宋体" w:hAnsi="宋体"/>
                <w:b/>
                <w:bCs/>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bidi="zh-CN"/>
                <w14:textFill>
                  <w14:solidFill>
                    <w14:schemeClr w14:val="tx1"/>
                  </w14:solidFill>
                </w14:textFill>
              </w:rPr>
              <w:t>9.13</w:t>
            </w:r>
            <w:r>
              <w:rPr>
                <w:rFonts w:hint="eastAsia" w:ascii="宋体" w:hAnsi="宋体"/>
                <w:color w:val="000000" w:themeColor="text1"/>
                <w:sz w:val="18"/>
                <w:szCs w:val="18"/>
                <w:lang w:bidi="zh-CN"/>
                <w14:textFill>
                  <w14:solidFill>
                    <w14:schemeClr w14:val="tx1"/>
                  </w14:solidFill>
                </w14:textFill>
              </w:rPr>
              <w:t>关注人员设置</w:t>
            </w:r>
          </w:p>
        </w:tc>
        <w:tc>
          <w:tcPr>
            <w:tcW w:w="8284" w:type="dxa"/>
            <w:vAlign w:val="center"/>
          </w:tcPr>
          <w:p>
            <w:pPr>
              <w:widowControl w:val="0"/>
              <w:numPr>
                <w:ilvl w:val="0"/>
                <w:numId w:val="64"/>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具有关注功能，对重点学生和需要多关注的学生进行一键关注与取消，提供集中展示管理。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vAlign w:val="center"/>
          </w:tcPr>
          <w:p>
            <w:pPr>
              <w:widowControl w:val="0"/>
              <w:spacing w:line="280" w:lineRule="exact"/>
              <w:jc w:val="center"/>
              <w:textAlignment w:val="auto"/>
              <w:rPr>
                <w:rFonts w:ascii="宋体" w:hAnsi="宋体"/>
                <w:b/>
                <w:bCs/>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bidi="zh-CN"/>
                <w14:textFill>
                  <w14:solidFill>
                    <w14:schemeClr w14:val="tx1"/>
                  </w14:solidFill>
                </w14:textFill>
              </w:rPr>
              <w:t>9.14</w:t>
            </w:r>
            <w:r>
              <w:rPr>
                <w:rFonts w:hint="eastAsia" w:ascii="宋体" w:hAnsi="宋体"/>
                <w:color w:val="000000" w:themeColor="text1"/>
                <w:sz w:val="18"/>
                <w:szCs w:val="18"/>
                <w:lang w:bidi="zh-CN"/>
                <w14:textFill>
                  <w14:solidFill>
                    <w14:schemeClr w14:val="tx1"/>
                  </w14:solidFill>
                </w14:textFill>
              </w:rPr>
              <w:t>我的学生</w:t>
            </w:r>
          </w:p>
        </w:tc>
        <w:tc>
          <w:tcPr>
            <w:tcW w:w="8284" w:type="dxa"/>
            <w:vAlign w:val="center"/>
          </w:tcPr>
          <w:p>
            <w:pPr>
              <w:widowControl w:val="0"/>
              <w:numPr>
                <w:ilvl w:val="0"/>
                <w:numId w:val="65"/>
              </w:numPr>
              <w:adjustRightInd w:val="0"/>
              <w:snapToGrid w:val="0"/>
              <w:spacing w:line="280" w:lineRule="exact"/>
              <w:jc w:val="left"/>
              <w:textAlignment w:val="auto"/>
              <w:rPr>
                <w:rFonts w:ascii="宋体" w:hAnsi="宋体"/>
                <w:color w:val="000000" w:themeColor="text1"/>
                <w:sz w:val="18"/>
                <w:szCs w:val="18"/>
                <w:lang w:val="zh-CN"/>
                <w14:textFill>
                  <w14:solidFill>
                    <w14:schemeClr w14:val="tx1"/>
                  </w14:solidFill>
                </w14:textFill>
              </w:rPr>
            </w:pPr>
            <w:r>
              <w:rPr>
                <w:rFonts w:hint="eastAsia" w:ascii="宋体" w:hAnsi="宋体"/>
                <w:color w:val="000000" w:themeColor="text1"/>
                <w:sz w:val="18"/>
                <w:szCs w:val="18"/>
                <w:lang w:val="zh-CN"/>
                <w14:textFill>
                  <w14:solidFill>
                    <w14:schemeClr w14:val="tx1"/>
                  </w14:solidFill>
                </w14:textFill>
              </w:rPr>
              <w:t>针对校级/院系/辅导员等不同角色的用户，提供集中管理，支持学生批量导入、导出功能。</w:t>
            </w:r>
          </w:p>
          <w:p>
            <w:pPr>
              <w:widowControl w:val="0"/>
              <w:numPr>
                <w:ilvl w:val="0"/>
                <w:numId w:val="65"/>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针对我管理的学生，支持转其他专业时，实现线上一站式的转出处理，全流程全生命周期管理。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vAlign w:val="center"/>
          </w:tcPr>
          <w:p>
            <w:pPr>
              <w:widowControl w:val="0"/>
              <w:spacing w:line="280" w:lineRule="exact"/>
              <w:jc w:val="center"/>
              <w:textAlignment w:val="auto"/>
              <w:rPr>
                <w:rFonts w:ascii="宋体" w:hAnsi="宋体"/>
                <w:b/>
                <w:bCs/>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bidi="zh-CN"/>
                <w14:textFill>
                  <w14:solidFill>
                    <w14:schemeClr w14:val="tx1"/>
                  </w14:solidFill>
                </w14:textFill>
              </w:rPr>
              <w:t>9.15</w:t>
            </w:r>
            <w:r>
              <w:rPr>
                <w:rFonts w:hint="eastAsia" w:ascii="宋体" w:hAnsi="宋体"/>
                <w:color w:val="000000" w:themeColor="text1"/>
                <w:sz w:val="18"/>
                <w:szCs w:val="18"/>
                <w:lang w:bidi="zh-CN"/>
                <w14:textFill>
                  <w14:solidFill>
                    <w14:schemeClr w14:val="tx1"/>
                  </w14:solidFill>
                </w14:textFill>
              </w:rPr>
              <w:t>权限管理</w:t>
            </w:r>
          </w:p>
        </w:tc>
        <w:tc>
          <w:tcPr>
            <w:tcW w:w="8284" w:type="dxa"/>
            <w:vAlign w:val="center"/>
          </w:tcPr>
          <w:p>
            <w:pPr>
              <w:widowControl w:val="0"/>
              <w:numPr>
                <w:ilvl w:val="0"/>
                <w:numId w:val="66"/>
              </w:numPr>
              <w:autoSpaceDE w:val="0"/>
              <w:autoSpaceDN w:val="0"/>
              <w:spacing w:line="280" w:lineRule="exact"/>
              <w:textAlignment w:val="auto"/>
              <w:rPr>
                <w:rFonts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支持自定义配置三级以上的用户分类，不同角色的用户可查看其权限范围内的数据。</w:t>
            </w:r>
          </w:p>
          <w:p>
            <w:pPr>
              <w:widowControl w:val="0"/>
              <w:numPr>
                <w:ilvl w:val="0"/>
                <w:numId w:val="66"/>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对角色赋予权限，支持灵活添加多个用户具备该角色。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vAlign w:val="center"/>
          </w:tcPr>
          <w:p>
            <w:pPr>
              <w:widowControl w:val="0"/>
              <w:spacing w:line="280" w:lineRule="exact"/>
              <w:jc w:val="center"/>
              <w:textAlignment w:val="auto"/>
              <w:rPr>
                <w:rFonts w:ascii="宋体" w:hAnsi="宋体"/>
                <w:b/>
                <w:bCs/>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bidi="zh-CN"/>
                <w14:textFill>
                  <w14:solidFill>
                    <w14:schemeClr w14:val="tx1"/>
                  </w14:solidFill>
                </w14:textFill>
              </w:rPr>
              <w:t>9.16</w:t>
            </w:r>
            <w:r>
              <w:rPr>
                <w:rFonts w:hint="eastAsia" w:ascii="宋体" w:hAnsi="宋体"/>
                <w:color w:val="000000" w:themeColor="text1"/>
                <w:sz w:val="18"/>
                <w:szCs w:val="18"/>
                <w:lang w:bidi="zh-CN"/>
                <w14:textFill>
                  <w14:solidFill>
                    <w14:schemeClr w14:val="tx1"/>
                  </w14:solidFill>
                </w14:textFill>
              </w:rPr>
              <w:t>规则配置</w:t>
            </w:r>
          </w:p>
        </w:tc>
        <w:tc>
          <w:tcPr>
            <w:tcW w:w="8284" w:type="dxa"/>
            <w:vAlign w:val="center"/>
          </w:tcPr>
          <w:p>
            <w:pPr>
              <w:widowControl w:val="0"/>
              <w:numPr>
                <w:ilvl w:val="0"/>
                <w:numId w:val="67"/>
              </w:numPr>
              <w:adjustRightInd w:val="0"/>
              <w:snapToGrid w:val="0"/>
              <w:spacing w:line="280" w:lineRule="exact"/>
              <w:jc w:val="left"/>
              <w:textAlignment w:val="auto"/>
              <w:rPr>
                <w:rFonts w:ascii="宋体" w:hAnsi="宋体"/>
                <w:color w:val="000000" w:themeColor="text1"/>
                <w:sz w:val="18"/>
                <w:szCs w:val="18"/>
                <w:lang w:val="zh-CN"/>
                <w14:textFill>
                  <w14:solidFill>
                    <w14:schemeClr w14:val="tx1"/>
                  </w14:solidFill>
                </w14:textFill>
              </w:rPr>
            </w:pPr>
            <w:r>
              <w:rPr>
                <w:rFonts w:hint="eastAsia" w:ascii="宋体" w:hAnsi="宋体"/>
                <w:color w:val="000000" w:themeColor="text1"/>
                <w:sz w:val="18"/>
                <w:szCs w:val="18"/>
                <w:lang w:val="zh-CN"/>
                <w14:textFill>
                  <w14:solidFill>
                    <w14:schemeClr w14:val="tx1"/>
                  </w14:solidFill>
                </w14:textFill>
              </w:rPr>
              <w:t>支持</w:t>
            </w:r>
            <w:r>
              <w:rPr>
                <w:rFonts w:ascii="宋体" w:hAnsi="宋体"/>
                <w:color w:val="000000" w:themeColor="text1"/>
                <w:sz w:val="18"/>
                <w:szCs w:val="18"/>
                <w:lang w:val="zh-CN"/>
                <w14:textFill>
                  <w14:solidFill>
                    <w14:schemeClr w14:val="tx1"/>
                  </w14:solidFill>
                </w14:textFill>
              </w:rPr>
              <w:t>选择</w:t>
            </w:r>
            <w:r>
              <w:rPr>
                <w:rFonts w:hint="eastAsia" w:ascii="宋体" w:hAnsi="宋体"/>
                <w:color w:val="000000" w:themeColor="text1"/>
                <w:sz w:val="18"/>
                <w:szCs w:val="18"/>
                <w:lang w:val="zh-CN"/>
                <w14:textFill>
                  <w14:solidFill>
                    <w14:schemeClr w14:val="tx1"/>
                  </w14:solidFill>
                </w14:textFill>
              </w:rPr>
              <w:t>角色</w:t>
            </w:r>
            <w:r>
              <w:rPr>
                <w:rFonts w:ascii="宋体" w:hAnsi="宋体"/>
                <w:color w:val="000000" w:themeColor="text1"/>
                <w:sz w:val="18"/>
                <w:szCs w:val="18"/>
                <w:lang w:val="zh-CN"/>
                <w14:textFill>
                  <w14:solidFill>
                    <w14:schemeClr w14:val="tx1"/>
                  </w14:solidFill>
                </w14:textFill>
              </w:rPr>
              <w:t>进行每个预警</w:t>
            </w:r>
            <w:r>
              <w:rPr>
                <w:rFonts w:hint="eastAsia" w:ascii="宋体" w:hAnsi="宋体"/>
                <w:color w:val="000000" w:themeColor="text1"/>
                <w:sz w:val="18"/>
                <w:szCs w:val="18"/>
                <w:lang w:val="zh-CN"/>
                <w14:textFill>
                  <w14:solidFill>
                    <w14:schemeClr w14:val="tx1"/>
                  </w14:solidFill>
                </w14:textFill>
              </w:rPr>
              <w:t>类别的</w:t>
            </w:r>
            <w:r>
              <w:rPr>
                <w:rFonts w:ascii="宋体" w:hAnsi="宋体"/>
                <w:color w:val="000000" w:themeColor="text1"/>
                <w:sz w:val="18"/>
                <w:szCs w:val="18"/>
                <w:lang w:val="zh-CN"/>
                <w14:textFill>
                  <w14:solidFill>
                    <w14:schemeClr w14:val="tx1"/>
                  </w14:solidFill>
                </w14:textFill>
              </w:rPr>
              <w:t>规则配置，当满足相应条件后会触发预警</w:t>
            </w:r>
            <w:r>
              <w:rPr>
                <w:rFonts w:hint="eastAsia" w:ascii="宋体" w:hAnsi="宋体"/>
                <w:color w:val="000000" w:themeColor="text1"/>
                <w:sz w:val="18"/>
                <w:szCs w:val="18"/>
                <w:lang w:val="zh-CN"/>
                <w14:textFill>
                  <w14:solidFill>
                    <w14:schemeClr w14:val="tx1"/>
                  </w14:solidFill>
                </w14:textFill>
              </w:rPr>
              <w:t>，平台支持部分初始化预警算法。</w:t>
            </w:r>
          </w:p>
          <w:p>
            <w:pPr>
              <w:widowControl w:val="0"/>
              <w:numPr>
                <w:ilvl w:val="0"/>
                <w:numId w:val="67"/>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根据学校需求，灵活选择是否发送预警通知。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42" w:type="dxa"/>
            <w:vMerge w:val="continue"/>
            <w:vAlign w:val="center"/>
          </w:tcPr>
          <w:p>
            <w:pPr>
              <w:widowControl w:val="0"/>
              <w:spacing w:line="280" w:lineRule="exact"/>
              <w:jc w:val="center"/>
              <w:textAlignment w:val="auto"/>
              <w:rPr>
                <w:rFonts w:ascii="宋体" w:hAnsi="宋体"/>
                <w:b/>
                <w:bCs/>
                <w:color w:val="000000" w:themeColor="text1"/>
                <w:sz w:val="18"/>
                <w:szCs w:val="18"/>
                <w:lang w:val="de-DE"/>
                <w14:textFill>
                  <w14:solidFill>
                    <w14:schemeClr w14:val="tx1"/>
                  </w14:solidFill>
                </w14:textFill>
              </w:rPr>
            </w:pP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bidi="zh-CN"/>
                <w14:textFill>
                  <w14:solidFill>
                    <w14:schemeClr w14:val="tx1"/>
                  </w14:solidFill>
                </w14:textFill>
              </w:rPr>
              <w:t>9.17</w:t>
            </w:r>
            <w:r>
              <w:rPr>
                <w:rFonts w:hint="eastAsia" w:ascii="宋体" w:hAnsi="宋体"/>
                <w:color w:val="000000" w:themeColor="text1"/>
                <w:sz w:val="18"/>
                <w:szCs w:val="18"/>
                <w:lang w:bidi="zh-CN"/>
                <w14:textFill>
                  <w14:solidFill>
                    <w14:schemeClr w14:val="tx1"/>
                  </w14:solidFill>
                </w14:textFill>
              </w:rPr>
              <w:t>白名单管理</w:t>
            </w:r>
          </w:p>
        </w:tc>
        <w:tc>
          <w:tcPr>
            <w:tcW w:w="8284" w:type="dxa"/>
            <w:vAlign w:val="center"/>
          </w:tcPr>
          <w:p>
            <w:pPr>
              <w:widowControl w:val="0"/>
              <w:numPr>
                <w:ilvl w:val="0"/>
                <w:numId w:val="68"/>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s="Times New Roman"/>
                <w:color w:val="000000" w:themeColor="text1"/>
                <w:sz w:val="18"/>
                <w:szCs w:val="18"/>
                <w14:textFill>
                  <w14:solidFill>
                    <w14:schemeClr w14:val="tx1"/>
                  </w14:solidFill>
                </w14:textFill>
              </w:rPr>
              <w:t>支持添加、编辑、删除白名单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widowControl w:val="0"/>
              <w:spacing w:line="280" w:lineRule="exact"/>
              <w:jc w:val="center"/>
              <w:textAlignment w:val="auto"/>
              <w:rPr>
                <w:rFonts w:ascii="宋体" w:hAnsi="宋体"/>
                <w:b/>
                <w:bCs/>
                <w:color w:val="000000" w:themeColor="text1"/>
                <w:sz w:val="18"/>
                <w:szCs w:val="18"/>
                <w:lang w:val="de-DE"/>
                <w14:textFill>
                  <w14:solidFill>
                    <w14:schemeClr w14:val="tx1"/>
                  </w14:solidFill>
                </w14:textFill>
              </w:rPr>
            </w:pPr>
            <w:r>
              <w:rPr>
                <w:rFonts w:hint="eastAsia" w:ascii="宋体" w:hAnsi="宋体"/>
                <w:b/>
                <w:bCs/>
                <w:color w:val="000000" w:themeColor="text1"/>
                <w:sz w:val="18"/>
                <w:szCs w:val="18"/>
                <w:lang w:val="de-DE"/>
                <w14:textFill>
                  <w14:solidFill>
                    <w14:schemeClr w14:val="tx1"/>
                  </w14:solidFill>
                </w14:textFill>
              </w:rPr>
              <w:t>1</w:t>
            </w:r>
            <w:r>
              <w:rPr>
                <w:rFonts w:ascii="宋体" w:hAnsi="宋体"/>
                <w:b/>
                <w:bCs/>
                <w:color w:val="000000" w:themeColor="text1"/>
                <w:sz w:val="18"/>
                <w:szCs w:val="18"/>
                <w:lang w:val="de-DE"/>
                <w14:textFill>
                  <w14:solidFill>
                    <w14:schemeClr w14:val="tx1"/>
                  </w14:solidFill>
                </w14:textFill>
              </w:rPr>
              <w:t>0</w:t>
            </w:r>
            <w:r>
              <w:rPr>
                <w:rFonts w:hint="eastAsia" w:ascii="宋体" w:hAnsi="宋体"/>
                <w:b/>
                <w:bCs/>
                <w:color w:val="000000" w:themeColor="text1"/>
                <w:sz w:val="18"/>
                <w:szCs w:val="18"/>
                <w:lang w:val="de-DE"/>
                <w14:textFill>
                  <w14:solidFill>
                    <w14:schemeClr w14:val="tx1"/>
                  </w14:solidFill>
                </w14:textFill>
              </w:rPr>
              <w:t>.零代码应用平台</w:t>
            </w: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1</w:t>
            </w:r>
            <w:r>
              <w:rPr>
                <w:rFonts w:ascii="宋体" w:hAnsi="宋体"/>
                <w:color w:val="000000" w:themeColor="text1"/>
                <w:sz w:val="18"/>
                <w:szCs w:val="18"/>
                <w:lang w:val="de-DE"/>
                <w14:textFill>
                  <w14:solidFill>
                    <w14:schemeClr w14:val="tx1"/>
                  </w14:solidFill>
                </w14:textFill>
              </w:rPr>
              <w:t>0.1</w:t>
            </w:r>
            <w:r>
              <w:rPr>
                <w:rFonts w:hint="eastAsia" w:ascii="宋体" w:hAnsi="宋体"/>
                <w:color w:val="000000" w:themeColor="text1"/>
                <w:sz w:val="18"/>
                <w:szCs w:val="18"/>
                <w:lang w:val="de-DE"/>
                <w14:textFill>
                  <w14:solidFill>
                    <w14:schemeClr w14:val="tx1"/>
                  </w14:solidFill>
                </w14:textFill>
              </w:rPr>
              <w:t>零代码应用平台</w:t>
            </w:r>
          </w:p>
        </w:tc>
        <w:tc>
          <w:tcPr>
            <w:tcW w:w="8284" w:type="dxa"/>
          </w:tcPr>
          <w:p>
            <w:pPr>
              <w:widowControl w:val="0"/>
              <w:numPr>
                <w:ilvl w:val="0"/>
                <w:numId w:val="6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s="仿宋"/>
                <w:bCs/>
                <w:color w:val="000000" w:themeColor="text1"/>
                <w:kern w:val="0"/>
                <w:sz w:val="18"/>
                <w:szCs w:val="18"/>
                <w14:textFill>
                  <w14:solidFill>
                    <w14:schemeClr w14:val="tx1"/>
                  </w14:solidFill>
                </w14:textFill>
              </w:rPr>
              <w:t>★</w:t>
            </w:r>
            <w:r>
              <w:rPr>
                <w:rFonts w:hint="eastAsia" w:ascii="宋体" w:hAnsi="宋体"/>
                <w:color w:val="000000" w:themeColor="text1"/>
                <w:sz w:val="18"/>
                <w:szCs w:val="18"/>
                <w:lang w:val="de-DE"/>
                <w14:textFill>
                  <w14:solidFill>
                    <w14:schemeClr w14:val="tx1"/>
                  </w14:solidFill>
                </w14:textFill>
              </w:rPr>
              <w:t>基于数据中台构建</w:t>
            </w:r>
            <w:r>
              <w:rPr>
                <w:rFonts w:hint="eastAsia" w:ascii="宋体" w:hAnsi="宋体"/>
                <w:color w:val="000000" w:themeColor="text1"/>
                <w:sz w:val="18"/>
                <w:szCs w:val="18"/>
                <w14:textFill>
                  <w14:solidFill>
                    <w14:schemeClr w14:val="tx1"/>
                  </w14:solidFill>
                </w14:textFill>
              </w:rPr>
              <w:t>零代码</w:t>
            </w:r>
            <w:r>
              <w:rPr>
                <w:rFonts w:hint="eastAsia" w:ascii="宋体" w:hAnsi="宋体"/>
                <w:color w:val="000000" w:themeColor="text1"/>
                <w:sz w:val="18"/>
                <w:szCs w:val="18"/>
                <w:lang w:val="de-DE"/>
                <w14:textFill>
                  <w14:solidFill>
                    <w14:schemeClr w14:val="tx1"/>
                  </w14:solidFill>
                </w14:textFill>
              </w:rPr>
              <w:t>应用，考虑到对</w:t>
            </w:r>
            <w:r>
              <w:rPr>
                <w:rFonts w:hint="eastAsia" w:ascii="宋体" w:hAnsi="宋体"/>
                <w:color w:val="000000" w:themeColor="text1"/>
                <w:sz w:val="18"/>
                <w:szCs w:val="18"/>
                <w14:textFill>
                  <w14:solidFill>
                    <w14:schemeClr w14:val="tx1"/>
                  </w14:solidFill>
                </w14:textFill>
              </w:rPr>
              <w:t>学校应用构建的可持续性及</w:t>
            </w:r>
            <w:r>
              <w:rPr>
                <w:rFonts w:hint="eastAsia" w:ascii="宋体" w:hAnsi="宋体"/>
                <w:color w:val="000000" w:themeColor="text1"/>
                <w:sz w:val="18"/>
                <w:szCs w:val="18"/>
                <w:lang w:val="de-DE"/>
                <w14:textFill>
                  <w14:solidFill>
                    <w14:schemeClr w14:val="tx1"/>
                  </w14:solidFill>
                </w14:textFill>
              </w:rPr>
              <w:t>非计算机专业人员的友好性需求，在“简道云”、“明道云”、“氚云”、“轻流”四个品牌中进行选型，</w:t>
            </w:r>
            <w:r>
              <w:rPr>
                <w:rFonts w:hint="eastAsia" w:ascii="宋体" w:hAnsi="宋体"/>
                <w:color w:val="000000" w:themeColor="text1"/>
                <w:sz w:val="18"/>
                <w:szCs w:val="18"/>
                <w14:textFill>
                  <w14:solidFill>
                    <w14:schemeClr w14:val="tx1"/>
                  </w14:solidFill>
                </w14:textFill>
              </w:rPr>
              <w:t>应标时须明确选型</w:t>
            </w:r>
            <w:r>
              <w:rPr>
                <w:rFonts w:hint="eastAsia" w:ascii="宋体" w:hAnsi="宋体"/>
                <w:color w:val="000000" w:themeColor="text1"/>
                <w:sz w:val="18"/>
                <w:szCs w:val="18"/>
                <w:lang w:val="de-DE"/>
                <w14:textFill>
                  <w14:solidFill>
                    <w14:schemeClr w14:val="tx1"/>
                  </w14:solidFill>
                </w14:textFill>
              </w:rPr>
              <w:t>。</w:t>
            </w:r>
            <w:r>
              <w:rPr>
                <w:rFonts w:hint="eastAsia" w:ascii="宋体" w:hAnsi="宋体"/>
                <w:b/>
                <w:bCs/>
                <w:color w:val="000000" w:themeColor="text1"/>
                <w:sz w:val="18"/>
                <w:szCs w:val="18"/>
                <w14:textFill>
                  <w14:solidFill>
                    <w14:schemeClr w14:val="tx1"/>
                  </w14:solidFill>
                </w14:textFill>
              </w:rPr>
              <w:t>如未响应本条参数，不作为中标候选人排列</w:t>
            </w:r>
            <w:r>
              <w:rPr>
                <w:rFonts w:hint="eastAsia" w:ascii="宋体" w:hAnsi="宋体"/>
                <w:color w:val="000000" w:themeColor="text1"/>
                <w:sz w:val="18"/>
                <w:szCs w:val="18"/>
                <w14:textFill>
                  <w14:solidFill>
                    <w14:schemeClr w14:val="tx1"/>
                  </w14:solidFill>
                </w14:textFill>
              </w:rPr>
              <w:t>。</w:t>
            </w:r>
          </w:p>
          <w:p>
            <w:pPr>
              <w:widowControl w:val="0"/>
              <w:numPr>
                <w:ilvl w:val="0"/>
                <w:numId w:val="6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s="仿宋"/>
                <w:bCs/>
                <w:color w:val="000000" w:themeColor="text1"/>
                <w:kern w:val="0"/>
                <w:sz w:val="18"/>
                <w:szCs w:val="18"/>
                <w14:textFill>
                  <w14:solidFill>
                    <w14:schemeClr w14:val="tx1"/>
                  </w14:solidFill>
                </w14:textFill>
              </w:rPr>
              <w:t>★</w:t>
            </w:r>
            <w:r>
              <w:rPr>
                <w:rFonts w:hint="eastAsia" w:ascii="宋体" w:hAnsi="宋体"/>
                <w:color w:val="000000" w:themeColor="text1"/>
                <w:sz w:val="18"/>
                <w:szCs w:val="18"/>
                <w:lang w:val="de-DE"/>
                <w14:textFill>
                  <w14:solidFill>
                    <w14:schemeClr w14:val="tx1"/>
                  </w14:solidFill>
                </w14:textFill>
              </w:rPr>
              <w:t>私有化部署，数据与数据中心实时同步，版本线上线下</w:t>
            </w:r>
            <w:r>
              <w:rPr>
                <w:rFonts w:hint="eastAsia" w:ascii="宋体" w:hAnsi="宋体"/>
                <w:color w:val="000000" w:themeColor="text1"/>
                <w:sz w:val="18"/>
                <w:szCs w:val="18"/>
                <w14:textFill>
                  <w14:solidFill>
                    <w14:schemeClr w14:val="tx1"/>
                  </w14:solidFill>
                </w14:textFill>
              </w:rPr>
              <w:t>一键</w:t>
            </w:r>
            <w:r>
              <w:rPr>
                <w:rFonts w:hint="eastAsia" w:ascii="宋体" w:hAnsi="宋体"/>
                <w:color w:val="000000" w:themeColor="text1"/>
                <w:sz w:val="18"/>
                <w:szCs w:val="18"/>
                <w:lang w:val="de-DE"/>
                <w14:textFill>
                  <w14:solidFill>
                    <w14:schemeClr w14:val="tx1"/>
                  </w14:solidFill>
                </w14:textFill>
              </w:rPr>
              <w:t>同步更新。</w:t>
            </w:r>
            <w:r>
              <w:rPr>
                <w:rFonts w:hint="eastAsia" w:ascii="Calibri" w:hAnsi="Calibri" w:cs="Times New Roman"/>
                <w:color w:val="000000" w:themeColor="text1"/>
                <w:sz w:val="18"/>
                <w:szCs w:val="18"/>
                <w14:textFill>
                  <w14:solidFill>
                    <w14:schemeClr w14:val="tx1"/>
                  </w14:solidFill>
                </w14:textFill>
              </w:rPr>
              <w:t>用户数、表数、使用期限、全部功能等无限制；产品线上所有应用模板免费开放，免费无限制复制使用。</w:t>
            </w:r>
          </w:p>
          <w:p>
            <w:pPr>
              <w:widowControl w:val="0"/>
              <w:numPr>
                <w:ilvl w:val="0"/>
                <w:numId w:val="6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具备表单引擎功能，非数据模型驱动，</w:t>
            </w:r>
            <w:r>
              <w:rPr>
                <w:rFonts w:hint="eastAsia" w:ascii="宋体" w:hAnsi="宋体"/>
                <w:color w:val="000000" w:themeColor="text1"/>
                <w:sz w:val="18"/>
                <w:szCs w:val="18"/>
                <w14:textFill>
                  <w14:solidFill>
                    <w14:schemeClr w14:val="tx1"/>
                  </w14:solidFill>
                </w14:textFill>
              </w:rPr>
              <w:t>支持</w:t>
            </w:r>
            <w:r>
              <w:rPr>
                <w:rFonts w:hint="eastAsia" w:ascii="宋体" w:hAnsi="宋体"/>
                <w:color w:val="000000" w:themeColor="text1"/>
                <w:sz w:val="18"/>
                <w:szCs w:val="18"/>
                <w:lang w:val="de-DE"/>
                <w14:textFill>
                  <w14:solidFill>
                    <w14:schemeClr w14:val="tx1"/>
                  </w14:solidFill>
                </w14:textFill>
              </w:rPr>
              <w:t>多表</w:t>
            </w:r>
            <w:r>
              <w:rPr>
                <w:rFonts w:hint="eastAsia" w:ascii="宋体" w:hAnsi="宋体"/>
                <w:color w:val="000000" w:themeColor="text1"/>
                <w:sz w:val="18"/>
                <w:szCs w:val="18"/>
                <w14:textFill>
                  <w14:solidFill>
                    <w14:schemeClr w14:val="tx1"/>
                  </w14:solidFill>
                </w14:textFill>
              </w:rPr>
              <w:t>协同</w:t>
            </w:r>
            <w:r>
              <w:rPr>
                <w:rFonts w:hint="eastAsia" w:ascii="宋体" w:hAnsi="宋体"/>
                <w:color w:val="000000" w:themeColor="text1"/>
                <w:sz w:val="18"/>
                <w:szCs w:val="18"/>
                <w:lang w:val="de-DE"/>
                <w14:textFill>
                  <w14:solidFill>
                    <w14:schemeClr w14:val="tx1"/>
                  </w14:solidFill>
                </w14:textFill>
              </w:rPr>
              <w:t>组成的相对复杂的</w:t>
            </w:r>
            <w:r>
              <w:rPr>
                <w:rFonts w:hint="eastAsia" w:ascii="宋体" w:hAnsi="宋体"/>
                <w:color w:val="000000" w:themeColor="text1"/>
                <w:sz w:val="18"/>
                <w:szCs w:val="18"/>
                <w14:textFill>
                  <w14:solidFill>
                    <w14:schemeClr w14:val="tx1"/>
                  </w14:solidFill>
                </w14:textFill>
              </w:rPr>
              <w:t>单</w:t>
            </w:r>
            <w:r>
              <w:rPr>
                <w:rFonts w:hint="eastAsia" w:ascii="宋体" w:hAnsi="宋体"/>
                <w:color w:val="000000" w:themeColor="text1"/>
                <w:sz w:val="18"/>
                <w:szCs w:val="18"/>
                <w:lang w:val="de-DE"/>
                <w14:textFill>
                  <w14:solidFill>
                    <w14:schemeClr w14:val="tx1"/>
                  </w14:solidFill>
                </w14:textFill>
              </w:rPr>
              <w:t>应用，支持包括数字、文本、表格、段落等数十种字段类型的组件，数据可通过扫码录入，表单样式支持自定义，提交后页面支持自定义。支持根据设置好的规则自动生成编号，无需手动填写。支持跨表数据关联，支持OCR文字识别，支持数据来源标记，设计好的表单支持通过外链的方式发布给学校现有办事大厅</w:t>
            </w:r>
            <w:r>
              <w:rPr>
                <w:rFonts w:hint="eastAsia" w:ascii="宋体" w:hAnsi="宋体"/>
                <w:color w:val="000000" w:themeColor="text1"/>
                <w:sz w:val="18"/>
                <w:szCs w:val="18"/>
                <w14:textFill>
                  <w14:solidFill>
                    <w14:schemeClr w14:val="tx1"/>
                  </w14:solidFill>
                </w14:textFill>
              </w:rPr>
              <w:t>和其他</w:t>
            </w:r>
            <w:r>
              <w:rPr>
                <w:rFonts w:hint="eastAsia" w:ascii="宋体" w:hAnsi="宋体"/>
                <w:color w:val="000000" w:themeColor="text1"/>
                <w:sz w:val="18"/>
                <w:szCs w:val="18"/>
                <w:lang w:val="de-DE"/>
                <w14:textFill>
                  <w14:solidFill>
                    <w14:schemeClr w14:val="tx1"/>
                  </w14:solidFill>
                </w14:textFill>
              </w:rPr>
              <w:t>第三方。</w:t>
            </w:r>
          </w:p>
          <w:p>
            <w:pPr>
              <w:widowControl w:val="0"/>
              <w:numPr>
                <w:ilvl w:val="0"/>
                <w:numId w:val="6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具备流程引擎功能，支持会签/或签，支持逐级审批，可自定义动态设置流程负责人。</w:t>
            </w:r>
            <w:r>
              <w:rPr>
                <w:rFonts w:hint="eastAsia" w:ascii="宋体" w:hAnsi="宋体"/>
                <w:color w:val="000000" w:themeColor="text1"/>
                <w:sz w:val="18"/>
                <w:szCs w:val="18"/>
                <w14:textFill>
                  <w14:solidFill>
                    <w14:schemeClr w14:val="tx1"/>
                  </w14:solidFill>
                </w14:textFill>
              </w:rPr>
              <w:t>提供</w:t>
            </w:r>
            <w:r>
              <w:rPr>
                <w:rFonts w:hint="eastAsia" w:ascii="宋体" w:hAnsi="宋体"/>
                <w:color w:val="000000" w:themeColor="text1"/>
                <w:sz w:val="18"/>
                <w:szCs w:val="18"/>
                <w:lang w:val="de-DE"/>
                <w14:textFill>
                  <w14:solidFill>
                    <w14:schemeClr w14:val="tx1"/>
                  </w14:solidFill>
                </w14:textFill>
              </w:rPr>
              <w:t>手写签名、电子签章等功能，</w:t>
            </w:r>
            <w:r>
              <w:rPr>
                <w:rFonts w:hint="eastAsia" w:ascii="宋体" w:hAnsi="宋体"/>
                <w:color w:val="000000" w:themeColor="text1"/>
                <w:sz w:val="18"/>
                <w:szCs w:val="18"/>
                <w14:textFill>
                  <w14:solidFill>
                    <w14:schemeClr w14:val="tx1"/>
                  </w14:solidFill>
                </w14:textFill>
              </w:rPr>
              <w:t>且无需支付其他费用</w:t>
            </w:r>
            <w:r>
              <w:rPr>
                <w:rFonts w:hint="eastAsia" w:ascii="宋体" w:hAnsi="宋体"/>
                <w:color w:val="000000" w:themeColor="text1"/>
                <w:sz w:val="18"/>
                <w:szCs w:val="18"/>
                <w:lang w:val="de-DE"/>
                <w14:textFill>
                  <w14:solidFill>
                    <w14:schemeClr w14:val="tx1"/>
                  </w14:solidFill>
                </w14:textFill>
              </w:rPr>
              <w:t>。支持流程超时管理，可设置超时预警、进行超时标记，通过邮件、微信等方式进行提醒，并可对超时情况进行统计。支持</w:t>
            </w:r>
            <w:r>
              <w:rPr>
                <w:rFonts w:ascii="Calibri" w:hAnsi="Calibri" w:cs="Times New Roman"/>
                <w:color w:val="000000" w:themeColor="text1"/>
                <w:sz w:val="18"/>
                <w:szCs w:val="18"/>
                <w14:textFill>
                  <w14:solidFill>
                    <w14:schemeClr w14:val="tx1"/>
                  </w14:solidFill>
                </w14:textFill>
              </w:rPr>
              <w:t>针对不同的节点，当业务场景要求满足一定条件才可以提交数据时，即可设置提交校验条件进行相应节点的判断</w:t>
            </w:r>
            <w:r>
              <w:rPr>
                <w:rFonts w:hint="eastAsia" w:ascii="Calibri" w:hAnsi="Calibri" w:cs="Times New Roman"/>
                <w:color w:val="000000" w:themeColor="text1"/>
                <w:sz w:val="18"/>
                <w:szCs w:val="18"/>
                <w14:textFill>
                  <w14:solidFill>
                    <w14:schemeClr w14:val="tx1"/>
                  </w14:solidFill>
                </w14:textFill>
              </w:rPr>
              <w:t>，支持字段校验和应用校验。支持通过微信认证服务号向申请人发送【提醒推送】，申请人点击该通知可直接查看审批动态及申请内容。支持在线支付。</w:t>
            </w:r>
          </w:p>
          <w:p>
            <w:pPr>
              <w:widowControl w:val="0"/>
              <w:numPr>
                <w:ilvl w:val="0"/>
                <w:numId w:val="6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Calibri" w:hAnsi="Calibri" w:cs="Times New Roman"/>
                <w:color w:val="000000" w:themeColor="text1"/>
                <w:sz w:val="18"/>
                <w:szCs w:val="18"/>
                <w14:textFill>
                  <w14:solidFill>
                    <w14:schemeClr w14:val="tx1"/>
                  </w14:solidFill>
                </w14:textFill>
              </w:rPr>
              <w:t>具备报表引擎功能，支持通过可视化的手段对收集到的数据统计、汇总。报表类型包含视图（表格视图、甘特视图、日历视图等）、可视化图表（折线图、汇总表、漏斗图、指标卡、柱状图等）、关联报表。</w:t>
            </w:r>
          </w:p>
          <w:p>
            <w:pPr>
              <w:widowControl w:val="0"/>
              <w:numPr>
                <w:ilvl w:val="0"/>
                <w:numId w:val="69"/>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Calibri" w:hAnsi="Calibri" w:cs="Times New Roman"/>
                <w:color w:val="000000" w:themeColor="text1"/>
                <w:sz w:val="18"/>
                <w:szCs w:val="18"/>
                <w14:textFill>
                  <w14:solidFill>
                    <w14:schemeClr w14:val="tx1"/>
                  </w14:solidFill>
                </w14:textFill>
              </w:rPr>
              <w:t>具备自动化引擎功能，支持业务流程自动化可实现数据自动录入、数据自动更新，以及自动触发邮件等功能。支持达到一定的条件（如时间、数值等），</w:t>
            </w:r>
            <w:r>
              <w:rPr>
                <w:rFonts w:ascii="Calibri" w:hAnsi="Calibri" w:cs="Times New Roman"/>
                <w:color w:val="000000" w:themeColor="text1"/>
                <w:sz w:val="18"/>
                <w:szCs w:val="18"/>
                <w14:textFill>
                  <w14:solidFill>
                    <w14:schemeClr w14:val="tx1"/>
                  </w14:solidFill>
                </w14:textFill>
              </w:rPr>
              <w:t>自动触发动作，如发送提醒、添加数据等</w:t>
            </w:r>
            <w:r>
              <w:rPr>
                <w:rFonts w:hint="eastAsia" w:ascii="Calibri" w:hAnsi="Calibri" w:cs="Times New Roman"/>
                <w:color w:val="000000" w:themeColor="text1"/>
                <w:sz w:val="18"/>
                <w:szCs w:val="18"/>
                <w14:textFill>
                  <w14:solidFill>
                    <w14:schemeClr w14:val="tx1"/>
                  </w14:solidFill>
                </w14:textFill>
              </w:rPr>
              <w:t>。支持消息提醒，提醒方式包括但不限于邮件、短信、微信/企业微信。</w:t>
            </w:r>
          </w:p>
          <w:p>
            <w:pPr>
              <w:widowControl w:val="0"/>
              <w:numPr>
                <w:ilvl w:val="0"/>
                <w:numId w:val="69"/>
              </w:numPr>
              <w:spacing w:line="280" w:lineRule="exact"/>
              <w:jc w:val="left"/>
              <w:textAlignment w:val="auto"/>
              <w:rPr>
                <w:rFonts w:ascii="Calibri" w:hAnsi="Calibri" w:cs="Times New Roman"/>
                <w:color w:val="000000" w:themeColor="text1"/>
                <w:sz w:val="18"/>
                <w:szCs w:val="18"/>
                <w14:textFill>
                  <w14:solidFill>
                    <w14:schemeClr w14:val="tx1"/>
                  </w14:solidFill>
                </w14:textFill>
              </w:rPr>
            </w:pPr>
            <w:r>
              <w:rPr>
                <w:rFonts w:hint="eastAsia" w:ascii="Calibri" w:hAnsi="Calibri" w:cs="Times New Roman"/>
                <w:color w:val="000000" w:themeColor="text1"/>
                <w:sz w:val="18"/>
                <w:szCs w:val="18"/>
                <w14:textFill>
                  <w14:solidFill>
                    <w14:schemeClr w14:val="tx1"/>
                  </w14:solidFill>
                </w14:textFill>
              </w:rPr>
              <w:t>具备门户引擎功能，提供</w:t>
            </w:r>
            <w:r>
              <w:rPr>
                <w:rFonts w:ascii="Calibri" w:hAnsi="Calibri" w:cs="Times New Roman"/>
                <w:color w:val="000000" w:themeColor="text1"/>
                <w:sz w:val="18"/>
                <w:szCs w:val="18"/>
                <w14:textFill>
                  <w14:solidFill>
                    <w14:schemeClr w14:val="tx1"/>
                  </w14:solidFill>
                </w14:textFill>
              </w:rPr>
              <w:t>数据可视化的看板，</w:t>
            </w:r>
            <w:r>
              <w:rPr>
                <w:rFonts w:hint="eastAsia" w:ascii="Calibri" w:hAnsi="Calibri" w:cs="Times New Roman"/>
                <w:color w:val="000000" w:themeColor="text1"/>
                <w:sz w:val="18"/>
                <w:szCs w:val="18"/>
                <w14:textFill>
                  <w14:solidFill>
                    <w14:schemeClr w14:val="tx1"/>
                  </w14:solidFill>
                </w14:textFill>
              </w:rPr>
              <w:t>可</w:t>
            </w:r>
            <w:r>
              <w:rPr>
                <w:rFonts w:ascii="Calibri" w:hAnsi="Calibri" w:cs="Times New Roman"/>
                <w:color w:val="000000" w:themeColor="text1"/>
                <w:sz w:val="18"/>
                <w:szCs w:val="18"/>
                <w14:textFill>
                  <w14:solidFill>
                    <w14:schemeClr w14:val="tx1"/>
                  </w14:solidFill>
                </w14:textFill>
              </w:rPr>
              <w:t>将多种样式的数据报表按照一定的业务逻辑进行排布展示，供使用者进行实时数据查看、筛选、分析、处理</w:t>
            </w:r>
            <w:r>
              <w:rPr>
                <w:rFonts w:hint="eastAsia" w:ascii="Calibri" w:hAnsi="Calibri" w:cs="Times New Roman"/>
                <w:color w:val="000000" w:themeColor="text1"/>
                <w:sz w:val="18"/>
                <w:szCs w:val="18"/>
                <w14:textFill>
                  <w14:solidFill>
                    <w14:schemeClr w14:val="tx1"/>
                  </w14:solidFill>
                </w14:textFill>
              </w:rPr>
              <w:t>。组件类型包含报表、筛选、文本、代办、链接、轮播、宫格、公开门户等。</w:t>
            </w:r>
          </w:p>
          <w:p>
            <w:pPr>
              <w:widowControl w:val="0"/>
              <w:numPr>
                <w:ilvl w:val="0"/>
                <w:numId w:val="69"/>
              </w:numPr>
              <w:spacing w:line="280" w:lineRule="exact"/>
              <w:jc w:val="left"/>
              <w:textAlignment w:val="auto"/>
              <w:rPr>
                <w:rFonts w:ascii="Calibri" w:hAnsi="Calibri" w:cs="Times New Roman"/>
                <w:color w:val="000000" w:themeColor="text1"/>
                <w:sz w:val="18"/>
                <w:szCs w:val="18"/>
                <w14:textFill>
                  <w14:solidFill>
                    <w14:schemeClr w14:val="tx1"/>
                  </w14:solidFill>
                </w14:textFill>
              </w:rPr>
            </w:pPr>
            <w:r>
              <w:rPr>
                <w:rFonts w:hint="eastAsia" w:ascii="Calibri" w:hAnsi="Calibri" w:cs="Times New Roman"/>
                <w:color w:val="000000" w:themeColor="text1"/>
                <w:sz w:val="18"/>
                <w:szCs w:val="18"/>
                <w14:textFill>
                  <w14:solidFill>
                    <w14:schemeClr w14:val="tx1"/>
                  </w14:solidFill>
                </w14:textFill>
              </w:rPr>
              <w:t>支持通过</w:t>
            </w:r>
            <w:r>
              <w:rPr>
                <w:rFonts w:ascii="Calibri" w:hAnsi="Calibri" w:cs="Times New Roman"/>
                <w:color w:val="000000" w:themeColor="text1"/>
                <w:sz w:val="18"/>
                <w:szCs w:val="18"/>
                <w14:textFill>
                  <w14:solidFill>
                    <w14:schemeClr w14:val="tx1"/>
                  </w14:solidFill>
                </w14:textFill>
              </w:rPr>
              <w:t>OpenAPI</w:t>
            </w:r>
            <w:r>
              <w:rPr>
                <w:rFonts w:hint="eastAsia" w:ascii="Calibri" w:hAnsi="Calibri" w:cs="Times New Roman"/>
                <w:color w:val="000000" w:themeColor="text1"/>
                <w:sz w:val="18"/>
                <w:szCs w:val="18"/>
                <w14:textFill>
                  <w14:solidFill>
                    <w14:schemeClr w14:val="tx1"/>
                  </w14:solidFill>
                </w14:textFill>
              </w:rPr>
              <w:t>、WEBHOOK、Q-L</w:t>
            </w:r>
            <w:r>
              <w:rPr>
                <w:rFonts w:ascii="Calibri" w:hAnsi="Calibri" w:cs="Times New Roman"/>
                <w:color w:val="000000" w:themeColor="text1"/>
                <w:sz w:val="18"/>
                <w:szCs w:val="18"/>
                <w14:textFill>
                  <w14:solidFill>
                    <w14:schemeClr w14:val="tx1"/>
                  </w14:solidFill>
                </w14:textFill>
              </w:rPr>
              <w:t>inker</w:t>
            </w:r>
            <w:r>
              <w:rPr>
                <w:rFonts w:hint="eastAsia" w:ascii="Calibri" w:hAnsi="Calibri" w:cs="Times New Roman"/>
                <w:color w:val="000000" w:themeColor="text1"/>
                <w:sz w:val="18"/>
                <w:szCs w:val="18"/>
                <w14:textFill>
                  <w14:solidFill>
                    <w14:schemeClr w14:val="tx1"/>
                  </w14:solidFill>
                </w14:textFill>
              </w:rPr>
              <w:t>、鉴权、身份认证、Q-source等多种方式</w:t>
            </w:r>
            <w:r>
              <w:rPr>
                <w:rFonts w:ascii="Calibri" w:hAnsi="Calibri" w:cs="Times New Roman"/>
                <w:color w:val="000000" w:themeColor="text1"/>
                <w:sz w:val="18"/>
                <w:szCs w:val="18"/>
                <w14:textFill>
                  <w14:solidFill>
                    <w14:schemeClr w14:val="tx1"/>
                  </w14:solidFill>
                </w14:textFill>
              </w:rPr>
              <w:t>实现</w:t>
            </w:r>
            <w:r>
              <w:rPr>
                <w:rFonts w:hint="eastAsia" w:ascii="Calibri" w:hAnsi="Calibri" w:cs="Times New Roman"/>
                <w:color w:val="000000" w:themeColor="text1"/>
                <w:sz w:val="18"/>
                <w:szCs w:val="18"/>
                <w14:textFill>
                  <w14:solidFill>
                    <w14:schemeClr w14:val="tx1"/>
                  </w14:solidFill>
                </w14:textFill>
              </w:rPr>
              <w:t>第</w:t>
            </w:r>
            <w:r>
              <w:rPr>
                <w:rFonts w:ascii="Calibri" w:hAnsi="Calibri" w:cs="Times New Roman"/>
                <w:color w:val="000000" w:themeColor="text1"/>
                <w:sz w:val="18"/>
                <w:szCs w:val="18"/>
                <w14:textFill>
                  <w14:solidFill>
                    <w14:schemeClr w14:val="tx1"/>
                  </w14:solidFill>
                </w14:textFill>
              </w:rPr>
              <w:t>三方系统与</w:t>
            </w:r>
            <w:r>
              <w:rPr>
                <w:rFonts w:hint="eastAsia" w:ascii="Calibri" w:hAnsi="Calibri" w:cs="Times New Roman"/>
                <w:color w:val="000000" w:themeColor="text1"/>
                <w:sz w:val="18"/>
                <w:szCs w:val="18"/>
                <w14:textFill>
                  <w14:solidFill>
                    <w14:schemeClr w14:val="tx1"/>
                  </w14:solidFill>
                </w14:textFill>
              </w:rPr>
              <w:t>平台</w:t>
            </w:r>
            <w:r>
              <w:rPr>
                <w:rFonts w:ascii="Calibri" w:hAnsi="Calibri" w:cs="Times New Roman"/>
                <w:color w:val="000000" w:themeColor="text1"/>
                <w:sz w:val="18"/>
                <w:szCs w:val="18"/>
                <w14:textFill>
                  <w14:solidFill>
                    <w14:schemeClr w14:val="tx1"/>
                  </w14:solidFill>
                </w14:textFill>
              </w:rPr>
              <w:t>的集成，实现更高自定义的打通。</w:t>
            </w:r>
            <w:r>
              <w:rPr>
                <w:rFonts w:hint="eastAsia" w:ascii="Calibri" w:hAnsi="Calibri" w:cs="Times New Roman"/>
                <w:color w:val="000000" w:themeColor="text1"/>
                <w:sz w:val="18"/>
                <w:szCs w:val="18"/>
                <w14:textFill>
                  <w14:solidFill>
                    <w14:schemeClr w14:val="tx1"/>
                  </w14:solidFill>
                </w14:textFill>
              </w:rPr>
              <w:t>提供上百个打包好的应用</w:t>
            </w:r>
            <w:r>
              <w:rPr>
                <w:rFonts w:ascii="Calibri" w:hAnsi="Calibri" w:cs="Times New Roman"/>
                <w:color w:val="000000" w:themeColor="text1"/>
                <w:sz w:val="18"/>
                <w:szCs w:val="18"/>
                <w14:textFill>
                  <w14:solidFill>
                    <w14:schemeClr w14:val="tx1"/>
                  </w14:solidFill>
                </w14:textFill>
              </w:rPr>
              <w:t>/服务/系统</w:t>
            </w:r>
            <w:r>
              <w:rPr>
                <w:rFonts w:hint="eastAsia" w:ascii="Calibri" w:hAnsi="Calibri" w:cs="Times New Roman"/>
                <w:color w:val="000000" w:themeColor="text1"/>
                <w:sz w:val="18"/>
                <w:szCs w:val="18"/>
                <w14:textFill>
                  <w14:solidFill>
                    <w14:schemeClr w14:val="tx1"/>
                  </w14:solidFill>
                </w14:textFill>
              </w:rPr>
              <w:t>，</w:t>
            </w:r>
            <w:r>
              <w:rPr>
                <w:rFonts w:ascii="Calibri" w:hAnsi="Calibri" w:cs="Times New Roman"/>
                <w:color w:val="000000" w:themeColor="text1"/>
                <w:sz w:val="18"/>
                <w:szCs w:val="18"/>
                <w14:textFill>
                  <w14:solidFill>
                    <w14:schemeClr w14:val="tx1"/>
                  </w14:solidFill>
                </w14:textFill>
              </w:rPr>
              <w:t>订阅即可使用，结合「表单引擎」「流程引擎」自主搭建业务流程，实现数据打通、消息同步。</w:t>
            </w:r>
          </w:p>
          <w:p>
            <w:pPr>
              <w:widowControl w:val="0"/>
              <w:numPr>
                <w:ilvl w:val="0"/>
                <w:numId w:val="69"/>
              </w:numPr>
              <w:spacing w:line="280" w:lineRule="exact"/>
              <w:jc w:val="left"/>
              <w:textAlignment w:val="auto"/>
              <w:rPr>
                <w:rFonts w:ascii="Calibri" w:hAnsi="Calibri" w:cs="Times New Roman"/>
                <w:color w:val="000000" w:themeColor="text1"/>
                <w:sz w:val="18"/>
                <w:szCs w:val="18"/>
                <w14:textFill>
                  <w14:solidFill>
                    <w14:schemeClr w14:val="tx1"/>
                  </w14:solidFill>
                </w14:textFill>
              </w:rPr>
            </w:pPr>
            <w:r>
              <w:rPr>
                <w:rFonts w:hint="eastAsia" w:ascii="Calibri" w:hAnsi="Calibri" w:cs="Times New Roman"/>
                <w:color w:val="000000" w:themeColor="text1"/>
                <w:sz w:val="18"/>
                <w:szCs w:val="18"/>
                <w14:textFill>
                  <w14:solidFill>
                    <w14:schemeClr w14:val="tx1"/>
                  </w14:solidFill>
                </w14:textFill>
              </w:rPr>
              <w:t>实现与学校统一身份认证对接，不需二次登录，实现与学校组织架构与用户对接，按角色划分权限，基于组织架构构建流程，可设置系统管理员和子管理员，电子签章功能无限制。</w:t>
            </w:r>
          </w:p>
          <w:p>
            <w:pPr>
              <w:widowControl w:val="0"/>
              <w:numPr>
                <w:ilvl w:val="0"/>
                <w:numId w:val="69"/>
              </w:numPr>
              <w:spacing w:line="280" w:lineRule="exact"/>
              <w:jc w:val="left"/>
              <w:textAlignment w:val="auto"/>
              <w:rPr>
                <w:rFonts w:ascii="Calibri" w:hAnsi="Calibri" w:cs="Times New Roman"/>
                <w:color w:val="000000" w:themeColor="text1"/>
                <w:sz w:val="18"/>
                <w:szCs w:val="18"/>
                <w14:textFill>
                  <w14:solidFill>
                    <w14:schemeClr w14:val="tx1"/>
                  </w14:solidFill>
                </w14:textFill>
              </w:rPr>
            </w:pPr>
            <w:r>
              <w:rPr>
                <w:rFonts w:hint="eastAsia" w:ascii="Calibri" w:hAnsi="Calibri" w:cs="Times New Roman"/>
                <w:color w:val="000000" w:themeColor="text1"/>
                <w:sz w:val="18"/>
                <w:szCs w:val="18"/>
                <w14:textFill>
                  <w14:solidFill>
                    <w14:schemeClr w14:val="tx1"/>
                  </w14:solidFill>
                </w14:textFill>
              </w:rPr>
              <w:t>支持自定义按钮、自定义主导航、支持设置world打印模板，可隐藏logo，并可支持行业插件及第三方应用插件。</w:t>
            </w:r>
          </w:p>
          <w:p>
            <w:pPr>
              <w:widowControl w:val="0"/>
              <w:numPr>
                <w:ilvl w:val="0"/>
                <w:numId w:val="69"/>
              </w:numPr>
              <w:spacing w:line="280" w:lineRule="exact"/>
              <w:jc w:val="left"/>
              <w:textAlignment w:val="auto"/>
              <w:rPr>
                <w:rFonts w:ascii="Calibri" w:hAnsi="Calibri" w:cs="Times New Roman"/>
                <w:color w:val="000000" w:themeColor="text1"/>
                <w:sz w:val="18"/>
                <w:szCs w:val="18"/>
                <w14:textFill>
                  <w14:solidFill>
                    <w14:schemeClr w14:val="tx1"/>
                  </w14:solidFill>
                </w14:textFill>
              </w:rPr>
            </w:pPr>
            <w:r>
              <w:rPr>
                <w:rFonts w:hint="eastAsia" w:ascii="Calibri" w:hAnsi="Calibri" w:cs="Times New Roman"/>
                <w:color w:val="000000" w:themeColor="text1"/>
                <w:sz w:val="18"/>
                <w:szCs w:val="18"/>
                <w14:textFill>
                  <w14:solidFill>
                    <w14:schemeClr w14:val="tx1"/>
                  </w14:solidFill>
                </w14:textFill>
              </w:rPr>
              <w:t>零代码平台与数据中心对接相关的所有技术、工具、软件、服务等均免费提供并部署实施，以“流”式与数据中心实时数据同步，没有授权、功能、应用数、用户数等所有限制。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widowControl w:val="0"/>
              <w:spacing w:line="280" w:lineRule="exact"/>
              <w:jc w:val="center"/>
              <w:textAlignment w:val="auto"/>
              <w:rPr>
                <w:rFonts w:ascii="宋体" w:hAnsi="宋体"/>
                <w:b/>
                <w:bCs/>
                <w:color w:val="000000" w:themeColor="text1"/>
                <w:sz w:val="18"/>
                <w:szCs w:val="18"/>
                <w:lang w:val="de-DE"/>
                <w14:textFill>
                  <w14:solidFill>
                    <w14:schemeClr w14:val="tx1"/>
                  </w14:solidFill>
                </w14:textFill>
              </w:rPr>
            </w:pPr>
            <w:r>
              <w:rPr>
                <w:rFonts w:ascii="宋体" w:hAnsi="宋体"/>
                <w:b/>
                <w:bCs/>
                <w:color w:val="000000" w:themeColor="text1"/>
                <w:sz w:val="18"/>
                <w:szCs w:val="18"/>
                <w:lang w:val="de-DE"/>
                <w14:textFill>
                  <w14:solidFill>
                    <w14:schemeClr w14:val="tx1"/>
                  </w14:solidFill>
                </w14:textFill>
              </w:rPr>
              <w:t>11.</w:t>
            </w:r>
            <w:r>
              <w:rPr>
                <w:rFonts w:hint="eastAsia" w:ascii="宋体" w:hAnsi="宋体"/>
                <w:b/>
                <w:bCs/>
                <w:color w:val="000000" w:themeColor="text1"/>
                <w:sz w:val="18"/>
                <w:szCs w:val="18"/>
                <w:lang w:val="de-DE"/>
                <w14:textFill>
                  <w14:solidFill>
                    <w14:schemeClr w14:val="tx1"/>
                  </w14:solidFill>
                </w14:textFill>
              </w:rPr>
              <w:t>数据集成、治理、共享服务</w:t>
            </w:r>
          </w:p>
        </w:tc>
        <w:tc>
          <w:tcPr>
            <w:tcW w:w="975" w:type="dxa"/>
            <w:vAlign w:val="center"/>
          </w:tcPr>
          <w:p>
            <w:pPr>
              <w:widowControl w:val="0"/>
              <w:spacing w:line="280" w:lineRule="exact"/>
              <w:jc w:val="center"/>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1</w:t>
            </w:r>
            <w:r>
              <w:rPr>
                <w:rFonts w:ascii="宋体" w:hAnsi="宋体"/>
                <w:color w:val="000000" w:themeColor="text1"/>
                <w:sz w:val="18"/>
                <w:szCs w:val="18"/>
                <w:lang w:val="de-DE"/>
                <w14:textFill>
                  <w14:solidFill>
                    <w14:schemeClr w14:val="tx1"/>
                  </w14:solidFill>
                </w14:textFill>
              </w:rPr>
              <w:t>1.1</w:t>
            </w:r>
            <w:r>
              <w:rPr>
                <w:rFonts w:hint="eastAsia" w:ascii="宋体" w:hAnsi="宋体"/>
                <w:color w:val="000000" w:themeColor="text1"/>
                <w:sz w:val="18"/>
                <w:szCs w:val="18"/>
                <w:lang w:val="de-DE"/>
                <w14:textFill>
                  <w14:solidFill>
                    <w14:schemeClr w14:val="tx1"/>
                  </w14:solidFill>
                </w14:textFill>
              </w:rPr>
              <w:t>数据集成实施服务</w:t>
            </w:r>
          </w:p>
        </w:tc>
        <w:tc>
          <w:tcPr>
            <w:tcW w:w="8284" w:type="dxa"/>
          </w:tcPr>
          <w:p>
            <w:pPr>
              <w:widowControl w:val="0"/>
              <w:numPr>
                <w:ilvl w:val="0"/>
                <w:numId w:val="70"/>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val="de-DE"/>
                <w14:textFill>
                  <w14:solidFill>
                    <w14:schemeClr w14:val="tx1"/>
                  </w14:solidFill>
                </w14:textFill>
              </w:rPr>
              <w:t>服务包含的工作内容：数据现状调研、信息标准规范制定、部署数据治理工具、数据采集、质量检测、清洗转换、质量提升、标准库建设、主题库建设、数据封装接口发布</w:t>
            </w:r>
            <w:r>
              <w:rPr>
                <w:rFonts w:hint="eastAsia" w:ascii="宋体" w:hAnsi="宋体"/>
                <w:color w:val="000000" w:themeColor="text1"/>
                <w:sz w:val="18"/>
                <w:szCs w:val="18"/>
                <w:lang w:val="de-DE"/>
                <w14:textFill>
                  <w14:solidFill>
                    <w14:schemeClr w14:val="tx1"/>
                  </w14:solidFill>
                </w14:textFill>
              </w:rPr>
              <w:t>、数据接口迁移</w:t>
            </w:r>
            <w:r>
              <w:rPr>
                <w:rFonts w:ascii="宋体" w:hAnsi="宋体"/>
                <w:color w:val="000000" w:themeColor="text1"/>
                <w:sz w:val="18"/>
                <w:szCs w:val="18"/>
                <w:lang w:val="de-DE"/>
                <w14:textFill>
                  <w14:solidFill>
                    <w14:schemeClr w14:val="tx1"/>
                  </w14:solidFill>
                </w14:textFill>
              </w:rPr>
              <w:t>。</w:t>
            </w:r>
          </w:p>
          <w:p>
            <w:pPr>
              <w:widowControl w:val="0"/>
              <w:numPr>
                <w:ilvl w:val="0"/>
                <w:numId w:val="70"/>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val="de-DE"/>
                <w14:textFill>
                  <w14:solidFill>
                    <w14:schemeClr w14:val="tx1"/>
                  </w14:solidFill>
                </w14:textFill>
              </w:rPr>
              <w:t>提供</w:t>
            </w:r>
            <w:r>
              <w:rPr>
                <w:rFonts w:hint="eastAsia" w:ascii="宋体" w:hAnsi="宋体"/>
                <w:color w:val="000000" w:themeColor="text1"/>
                <w:sz w:val="18"/>
                <w:szCs w:val="18"/>
                <w:lang w:val="de-DE"/>
                <w14:textFill>
                  <w14:solidFill>
                    <w14:schemeClr w14:val="tx1"/>
                  </w14:solidFill>
                </w14:textFill>
              </w:rPr>
              <w:t>智慧校园平台（金智）、网上办事大厅（金智）、教务系统（金智）、学工系统（金智）、人事系统（金智）、财务管理系统（天翼）、一卡通系统（新开普）、资产管理系统（共创）、公用房管理系统（共创）、OA系统（通达）、图书管理系统（汇文）、智慧教学系统（览众智能）、学生公寓智能门禁系统（新开普）、科研管理系统（</w:t>
            </w:r>
            <w:r>
              <w:rPr>
                <w:rFonts w:hint="eastAsia" w:ascii="宋体" w:hAnsi="宋体"/>
                <w:color w:val="000000" w:themeColor="text1"/>
                <w:sz w:val="18"/>
                <w:szCs w:val="18"/>
                <w14:textFill>
                  <w14:solidFill>
                    <w14:schemeClr w14:val="tx1"/>
                  </w14:solidFill>
                </w14:textFill>
              </w:rPr>
              <w:t>南向</w:t>
            </w:r>
            <w:r>
              <w:rPr>
                <w:rFonts w:hint="eastAsia" w:ascii="宋体" w:hAnsi="宋体"/>
                <w:color w:val="000000" w:themeColor="text1"/>
                <w:sz w:val="18"/>
                <w:szCs w:val="18"/>
                <w:lang w:val="de-DE"/>
                <w14:textFill>
                  <w14:solidFill>
                    <w14:schemeClr w14:val="tx1"/>
                  </w14:solidFill>
                </w14:textFill>
              </w:rPr>
              <w:t>）、能耗管理系统（常电）、易表通（金智）、后勤报修系统、网络计费系统（尚运）</w:t>
            </w:r>
            <w:r>
              <w:rPr>
                <w:rFonts w:ascii="宋体" w:hAnsi="宋体"/>
                <w:color w:val="000000" w:themeColor="text1"/>
                <w:sz w:val="18"/>
                <w:szCs w:val="18"/>
                <w:lang w:val="de-DE"/>
                <w14:textFill>
                  <w14:solidFill>
                    <w14:schemeClr w14:val="tx1"/>
                  </w14:solidFill>
                </w14:textFill>
              </w:rPr>
              <w:t>等</w:t>
            </w:r>
            <w:r>
              <w:rPr>
                <w:rFonts w:hint="eastAsia" w:ascii="宋体" w:hAnsi="宋体"/>
                <w:color w:val="000000" w:themeColor="text1"/>
                <w:sz w:val="18"/>
                <w:szCs w:val="18"/>
                <w14:textFill>
                  <w14:solidFill>
                    <w14:schemeClr w14:val="tx1"/>
                  </w14:solidFill>
                </w14:textFill>
              </w:rPr>
              <w:t>24个</w:t>
            </w:r>
            <w:r>
              <w:rPr>
                <w:rFonts w:ascii="宋体" w:hAnsi="宋体"/>
                <w:color w:val="000000" w:themeColor="text1"/>
                <w:sz w:val="18"/>
                <w:szCs w:val="18"/>
                <w:lang w:val="de-DE"/>
                <w14:textFill>
                  <w14:solidFill>
                    <w14:schemeClr w14:val="tx1"/>
                  </w14:solidFill>
                </w14:textFill>
              </w:rPr>
              <w:t>业务系统对接</w:t>
            </w:r>
            <w:r>
              <w:rPr>
                <w:rFonts w:hint="eastAsia" w:ascii="宋体" w:hAnsi="宋体"/>
                <w:color w:val="000000" w:themeColor="text1"/>
                <w:sz w:val="18"/>
                <w:szCs w:val="18"/>
                <w:lang w:val="de-DE"/>
                <w14:textFill>
                  <w14:solidFill>
                    <w14:schemeClr w14:val="tx1"/>
                  </w14:solidFill>
                </w14:textFill>
              </w:rPr>
              <w:t>，</w:t>
            </w:r>
            <w:r>
              <w:rPr>
                <w:rFonts w:hint="eastAsia" w:ascii="黑体" w:hAnsi="黑体" w:eastAsia="黑体" w:cs="黑体"/>
                <w:b/>
                <w:bCs/>
                <w:color w:val="000000" w:themeColor="text1"/>
                <w:sz w:val="18"/>
                <w:szCs w:val="18"/>
                <w:lang w:val="de-DE"/>
                <w14:textFill>
                  <w14:solidFill>
                    <w14:schemeClr w14:val="tx1"/>
                  </w14:solidFill>
                </w14:textFill>
              </w:rPr>
              <w:t>负责学校现有</w:t>
            </w:r>
            <w:r>
              <w:rPr>
                <w:rFonts w:hint="eastAsia" w:ascii="黑体" w:hAnsi="黑体" w:eastAsia="黑体" w:cs="黑体"/>
                <w:b/>
                <w:bCs/>
                <w:color w:val="000000" w:themeColor="text1"/>
                <w:sz w:val="18"/>
                <w:szCs w:val="18"/>
                <w14:textFill>
                  <w14:solidFill>
                    <w14:schemeClr w14:val="tx1"/>
                  </w14:solidFill>
                </w14:textFill>
              </w:rPr>
              <w:t>主</w:t>
            </w:r>
            <w:r>
              <w:rPr>
                <w:rFonts w:hint="eastAsia" w:ascii="黑体" w:hAnsi="黑体" w:eastAsia="黑体" w:cs="黑体"/>
                <w:b/>
                <w:bCs/>
                <w:color w:val="000000" w:themeColor="text1"/>
                <w:sz w:val="18"/>
                <w:szCs w:val="18"/>
                <w:lang w:val="de-DE"/>
                <w14:textFill>
                  <w14:solidFill>
                    <w14:schemeClr w14:val="tx1"/>
                  </w14:solidFill>
                </w14:textFill>
              </w:rPr>
              <w:t>数据共享交换中心的接口迁移工作，搭建底层数据资产体系，提供数据集成、治理、共享服务，并承担全部对接费用</w:t>
            </w:r>
            <w:r>
              <w:rPr>
                <w:rFonts w:ascii="宋体" w:hAnsi="宋体"/>
                <w:color w:val="000000" w:themeColor="text1"/>
                <w:sz w:val="18"/>
                <w:szCs w:val="18"/>
                <w:lang w:val="de-DE"/>
                <w14:textFill>
                  <w14:solidFill>
                    <w14:schemeClr w14:val="tx1"/>
                  </w14:solidFill>
                </w14:textFill>
              </w:rPr>
              <w:t>。</w:t>
            </w:r>
          </w:p>
          <w:p>
            <w:pPr>
              <w:widowControl w:val="0"/>
              <w:numPr>
                <w:ilvl w:val="0"/>
                <w:numId w:val="70"/>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val="de-DE"/>
                <w14:textFill>
                  <w14:solidFill>
                    <w14:schemeClr w14:val="tx1"/>
                  </w14:solidFill>
                </w14:textFill>
              </w:rPr>
              <w:t>提供数据治理成果包含：《学校数据基础调研分析报告》、《主数据中心平台需求说明书》、《学校信息标准编制规范_建议稿》、《数据治理平台数据模型设计》、《学校信息标准管理办法》、《数据交换平台数据接口》、《主数据数据资产》</w:t>
            </w:r>
            <w:r>
              <w:rPr>
                <w:rFonts w:hint="eastAsia" w:ascii="宋体" w:hAnsi="宋体"/>
                <w:color w:val="000000" w:themeColor="text1"/>
                <w:sz w:val="18"/>
                <w:szCs w:val="18"/>
                <w:lang w:val="de-DE"/>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数据资产绩效考核办法</w:t>
            </w:r>
            <w:r>
              <w:rPr>
                <w:rFonts w:hint="eastAsia" w:ascii="宋体" w:hAnsi="宋体"/>
                <w:color w:val="000000" w:themeColor="text1"/>
                <w:sz w:val="18"/>
                <w:szCs w:val="18"/>
                <w:lang w:val="de-DE"/>
                <w14:textFill>
                  <w14:solidFill>
                    <w14:schemeClr w14:val="tx1"/>
                  </w14:solidFill>
                </w14:textFill>
              </w:rPr>
              <w:t>》</w:t>
            </w:r>
            <w:r>
              <w:rPr>
                <w:rFonts w:ascii="宋体" w:hAnsi="宋体"/>
                <w:color w:val="000000" w:themeColor="text1"/>
                <w:sz w:val="18"/>
                <w:szCs w:val="18"/>
                <w:lang w:val="de-DE"/>
                <w14:textFill>
                  <w14:solidFill>
                    <w14:schemeClr w14:val="tx1"/>
                  </w14:solidFill>
                </w14:textFill>
              </w:rPr>
              <w:t>等。</w:t>
            </w:r>
          </w:p>
          <w:p>
            <w:pPr>
              <w:widowControl w:val="0"/>
              <w:numPr>
                <w:ilvl w:val="0"/>
                <w:numId w:val="70"/>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ascii="宋体" w:hAnsi="宋体"/>
                <w:color w:val="000000" w:themeColor="text1"/>
                <w:sz w:val="18"/>
                <w:szCs w:val="18"/>
                <w:lang w:val="de-DE"/>
                <w14:textFill>
                  <w14:solidFill>
                    <w14:schemeClr w14:val="tx1"/>
                  </w14:solidFill>
                </w14:textFill>
              </w:rPr>
              <w:t>提供实施期间标准核对，即制定的校标与系统标准进行核对，对映射关系做出相应的配置。提供业务数据资产盘点的调研模板，进行深度的咨询服务，输出现有业务系统的集成计划并落实数据集成工作。提供数据质量检测模板，并根据检测结果提供改善建议，实现知识的移交。采用主数据管理技术，融合信息标准、软件工具、实施方法等方面，解决数据增量同步问题，建立适合学校的数据</w:t>
            </w:r>
            <w:r>
              <w:rPr>
                <w:rFonts w:hint="eastAsia" w:ascii="宋体" w:hAnsi="宋体"/>
                <w:color w:val="000000" w:themeColor="text1"/>
                <w:sz w:val="18"/>
                <w:szCs w:val="18"/>
                <w:lang w:val="de-DE"/>
                <w14:textFill>
                  <w14:solidFill>
                    <w14:schemeClr w14:val="tx1"/>
                  </w14:solidFill>
                </w14:textFill>
              </w:rPr>
              <w:t>中台</w:t>
            </w:r>
            <w:r>
              <w:rPr>
                <w:rFonts w:ascii="宋体" w:hAnsi="宋体"/>
                <w:color w:val="000000" w:themeColor="text1"/>
                <w:sz w:val="18"/>
                <w:szCs w:val="18"/>
                <w:lang w:val="de-DE"/>
                <w14:textFill>
                  <w14:solidFill>
                    <w14:schemeClr w14:val="tx1"/>
                  </w14:solidFill>
                </w14:textFill>
              </w:rPr>
              <w:t>。</w:t>
            </w:r>
          </w:p>
          <w:p>
            <w:pPr>
              <w:widowControl w:val="0"/>
              <w:numPr>
                <w:ilvl w:val="0"/>
                <w:numId w:val="70"/>
              </w:numPr>
              <w:spacing w:line="280" w:lineRule="exact"/>
              <w:jc w:val="left"/>
              <w:textAlignment w:val="auto"/>
              <w:rPr>
                <w:rFonts w:ascii="宋体" w:hAnsi="宋体"/>
                <w:color w:val="000000" w:themeColor="text1"/>
                <w:sz w:val="18"/>
                <w:szCs w:val="18"/>
                <w:lang w:val="de-DE"/>
                <w14:textFill>
                  <w14:solidFill>
                    <w14:schemeClr w14:val="tx1"/>
                  </w14:solidFill>
                </w14:textFill>
              </w:rPr>
            </w:pPr>
            <w:r>
              <w:rPr>
                <w:rFonts w:hint="eastAsia" w:ascii="宋体" w:hAnsi="宋体"/>
                <w:color w:val="000000" w:themeColor="text1"/>
                <w:sz w:val="18"/>
                <w:szCs w:val="18"/>
                <w:lang w:val="de-DE"/>
                <w14:textFill>
                  <w14:solidFill>
                    <w14:schemeClr w14:val="tx1"/>
                  </w14:solidFill>
                </w14:textFill>
              </w:rPr>
              <w:t>数据接口迁移服务。我校原</w:t>
            </w:r>
            <w:r>
              <w:rPr>
                <w:rFonts w:hint="eastAsia" w:ascii="宋体" w:hAnsi="宋体"/>
                <w:color w:val="000000" w:themeColor="text1"/>
                <w:sz w:val="18"/>
                <w:szCs w:val="18"/>
                <w14:textFill>
                  <w14:solidFill>
                    <w14:schemeClr w14:val="tx1"/>
                  </w14:solidFill>
                </w14:textFill>
              </w:rPr>
              <w:t>主</w:t>
            </w:r>
            <w:r>
              <w:rPr>
                <w:rFonts w:hint="eastAsia" w:ascii="宋体" w:hAnsi="宋体"/>
                <w:color w:val="000000" w:themeColor="text1"/>
                <w:sz w:val="18"/>
                <w:szCs w:val="18"/>
                <w:lang w:val="de-DE"/>
                <w14:textFill>
                  <w14:solidFill>
                    <w14:schemeClr w14:val="tx1"/>
                  </w14:solidFill>
                </w14:textFill>
              </w:rPr>
              <w:t>数据</w:t>
            </w:r>
            <w:r>
              <w:rPr>
                <w:rFonts w:hint="eastAsia" w:ascii="宋体" w:hAnsi="宋体"/>
                <w:color w:val="000000" w:themeColor="text1"/>
                <w:sz w:val="18"/>
                <w:szCs w:val="18"/>
                <w14:textFill>
                  <w14:solidFill>
                    <w14:schemeClr w14:val="tx1"/>
                  </w14:solidFill>
                </w14:textFill>
              </w:rPr>
              <w:t>共享平台</w:t>
            </w:r>
            <w:r>
              <w:rPr>
                <w:rFonts w:hint="eastAsia" w:ascii="宋体" w:hAnsi="宋体"/>
                <w:color w:val="000000" w:themeColor="text1"/>
                <w:sz w:val="18"/>
                <w:szCs w:val="18"/>
                <w:lang w:val="de-DE"/>
                <w14:textFill>
                  <w14:solidFill>
                    <w14:schemeClr w14:val="tx1"/>
                  </w14:solidFill>
                </w14:textFill>
              </w:rPr>
              <w:t>（金智）已推送相关数据到部分业务系统。本项目中标人须通过原对接方式或API接口方式完成数据接口迁移，实现相关数据共享和业务系统调用需求。</w:t>
            </w:r>
          </w:p>
        </w:tc>
      </w:tr>
    </w:tbl>
    <w:p>
      <w:pPr>
        <w:spacing w:line="460" w:lineRule="exact"/>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二、项目验收交付使用要求</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1、交付使用要同时向采购人提供详细的技术文件、安装记录等，同时提供两份产品使用说明书。 </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2、为了使相关人员掌握系统的使用、维护和管理，达到能独立进行管理、故障处理、日常测试和维护等工作目的，应进行系统的技术培训，以保障系统能够正常、安全、平稳地运行，须提供以下几方面培训的描述： </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3、培训要求：投标方委派的培训讲师必须对系统的使用和功能有着丰富的经验和执行力，本次需为采购人提供不少于10个工作日的培训服务，投标人需提供具体的课程安排计划，确保采购人能熟练掌握日常维护及内容更新的能力。 </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4、培训方式：包括现场实施应用操作、实际工作的参与和集体培训，必须为原厂培训。</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5、培训内容和有关对象描述：投标人进行的培训工作包括培训方案的设计、培训制度的制定、培训实施和培训效果评估，及时监控培训效果，保证培训内容符合学校需要。提供在系统运行（含试运行）的各个阶段相应的培训内容描述，培训阶段安排包括：项目管理人员培训、系统维护人员培训、系统使用人员培训，各阶段描述标题包括：培训内容、参加对象、系统的实际操作。 </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6、要求将全面、规范的成果和文档资料交付给用户方，而且要提供明确的交付清单。同时，成果和文档资料必须符合软件工程的相关要求。要交付的成果和文档资料主要包括但不限于以下部分： </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7、执行代码和源代码：保证系统正常运行的所有执行代码，以及项目开发过程 中为用户方定制功能的源代码（中标公司或第三方已有产品的源代码除外）。 </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8、技术文档：包括项目开发中的各种技术文档，如：开发环境配置说明、需求分析说明、系统设计说明、数据库设计说明、用户手册、系统维护说明、系统培训资料以及有关系统接口的技术说明等等。 </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9、以文档形式存在的项目成果：如系统建设中形成的各类标准规范、调研分析、 规划设计报告等等。 </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10、管理文档：包括项目开发中的一些工作文档，如计划、报告、讨论纲要、 会议记录等。 </w:t>
      </w:r>
    </w:p>
    <w:p>
      <w:pPr>
        <w:spacing w:line="460" w:lineRule="exact"/>
        <w:ind w:firstLine="480" w:firstLineChars="200"/>
        <w:rPr>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11、软件不能含有使采购人受约束的使用限制。系统不设 License 限制，若有 License 的产品需提供永久授权。</w:t>
      </w:r>
    </w:p>
    <w:p>
      <w:pPr>
        <w:spacing w:line="460" w:lineRule="exact"/>
        <w:ind w:firstLine="482" w:firstLineChars="200"/>
        <w:rPr>
          <w:rFonts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三、商务要求</w:t>
      </w:r>
    </w:p>
    <w:p>
      <w:pPr>
        <w:pStyle w:val="19"/>
        <w:spacing w:before="0" w:beforeAutospacing="0" w:after="0" w:afterAutospacing="0" w:line="460" w:lineRule="exact"/>
        <w:ind w:firstLine="482" w:firstLineChars="200"/>
        <w:textAlignment w:val="auto"/>
        <w:rPr>
          <w:b/>
          <w:bCs/>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1、合同履行期限</w:t>
      </w:r>
    </w:p>
    <w:p>
      <w:pPr>
        <w:pStyle w:val="19"/>
        <w:spacing w:before="0" w:beforeAutospacing="0" w:after="0" w:afterAutospacing="0" w:line="460" w:lineRule="exact"/>
        <w:ind w:firstLine="482" w:firstLineChars="200"/>
        <w:textAlignment w:val="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（1）软件交货期：</w:t>
      </w:r>
      <w:r>
        <w:rPr>
          <w:rFonts w:hint="eastAsia"/>
          <w:color w:val="000000" w:themeColor="text1"/>
          <w:szCs w:val="24"/>
          <w14:textFill>
            <w14:solidFill>
              <w14:schemeClr w14:val="tx1"/>
            </w14:solidFill>
          </w14:textFill>
        </w:rPr>
        <w:t>签订合同后20天（如甲方需要延时交付，可另行约定时间）</w:t>
      </w:r>
    </w:p>
    <w:p>
      <w:pPr>
        <w:pStyle w:val="19"/>
        <w:spacing w:before="0" w:beforeAutospacing="0" w:after="0" w:afterAutospacing="0" w:line="460" w:lineRule="exact"/>
        <w:ind w:firstLine="482" w:firstLineChars="200"/>
        <w:textAlignment w:val="auto"/>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（2）建设期：</w:t>
      </w:r>
      <w:r>
        <w:rPr>
          <w:rFonts w:hint="eastAsia"/>
          <w:color w:val="000000" w:themeColor="text1"/>
          <w:szCs w:val="24"/>
          <w14:textFill>
            <w14:solidFill>
              <w14:schemeClr w14:val="tx1"/>
            </w14:solidFill>
          </w14:textFill>
        </w:rPr>
        <w:t>签订合同后1年，自合同签订之日起计算</w:t>
      </w:r>
      <w:r>
        <w:rPr>
          <w:rFonts w:hint="eastAsia" w:ascii="仿宋_GB2312" w:eastAsia="仿宋_GB2312"/>
          <w:color w:val="000000" w:themeColor="text1"/>
          <w:sz w:val="28"/>
          <w:szCs w:val="28"/>
          <w14:textFill>
            <w14:solidFill>
              <w14:schemeClr w14:val="tx1"/>
            </w14:solidFill>
          </w14:textFill>
        </w:rPr>
        <w:t>（</w:t>
      </w:r>
      <w:r>
        <w:rPr>
          <w:rFonts w:hint="eastAsia"/>
          <w:color w:val="000000" w:themeColor="text1"/>
          <w:szCs w:val="24"/>
          <w14:textFill>
            <w14:solidFill>
              <w14:schemeClr w14:val="tx1"/>
            </w14:solidFill>
          </w14:textFill>
        </w:rPr>
        <w:t>如甲方认为建设未达需求，不能达到验收标准，可延长建设期）。</w:t>
      </w:r>
    </w:p>
    <w:p>
      <w:pPr>
        <w:spacing w:line="460" w:lineRule="exact"/>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2、交货时间及地点</w:t>
      </w:r>
    </w:p>
    <w:p>
      <w:pPr>
        <w:spacing w:line="460" w:lineRule="exact"/>
        <w:ind w:firstLine="482" w:firstLineChars="200"/>
        <w:rPr>
          <w:bCs/>
          <w:color w:val="000000" w:themeColor="text1"/>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交货期：</w:t>
      </w:r>
      <w:r>
        <w:rPr>
          <w:rFonts w:hint="eastAsia" w:ascii="宋体" w:hAnsi="宋体"/>
          <w:color w:val="000000" w:themeColor="text1"/>
          <w:sz w:val="24"/>
          <w:szCs w:val="24"/>
          <w14:textFill>
            <w14:solidFill>
              <w14:schemeClr w14:val="tx1"/>
            </w14:solidFill>
          </w14:textFill>
        </w:rPr>
        <w:t>根据项目需求及时间要求提供相关数据中心和数据治理平台产品、相应技术服务，并通过交货验收。没有通过验收的，须于收到反馈意见后10日内完成修改，并最终通过招标方的交货验收。(如甲方需要延时交付，可另行约定时间)</w:t>
      </w:r>
    </w:p>
    <w:p>
      <w:pPr>
        <w:pStyle w:val="19"/>
        <w:spacing w:before="0" w:beforeAutospacing="0" w:after="0" w:afterAutospacing="0" w:line="460" w:lineRule="exact"/>
        <w:ind w:firstLine="482" w:firstLineChars="200"/>
        <w:textAlignment w:val="auto"/>
        <w:rPr>
          <w:rFonts w:ascii="仿宋_GB2312" w:eastAsia="仿宋_GB2312"/>
          <w:color w:val="000000" w:themeColor="text1"/>
          <w:sz w:val="28"/>
          <w:szCs w:val="28"/>
          <w14:textFill>
            <w14:solidFill>
              <w14:schemeClr w14:val="tx1"/>
            </w14:solidFill>
          </w14:textFill>
        </w:rPr>
      </w:pPr>
      <w:r>
        <w:rPr>
          <w:rFonts w:hint="eastAsia"/>
          <w:b/>
          <w:bCs/>
          <w:color w:val="000000" w:themeColor="text1"/>
          <w:szCs w:val="24"/>
          <w14:textFill>
            <w14:solidFill>
              <w14:schemeClr w14:val="tx1"/>
            </w14:solidFill>
          </w14:textFill>
        </w:rPr>
        <w:t>交货方式</w:t>
      </w:r>
      <w:r>
        <w:rPr>
          <w:rFonts w:hint="eastAsia"/>
          <w:color w:val="000000" w:themeColor="text1"/>
          <w:szCs w:val="24"/>
          <w14:textFill>
            <w14:solidFill>
              <w14:schemeClr w14:val="tx1"/>
            </w14:solidFill>
          </w14:textFill>
        </w:rPr>
        <w:t>：</w:t>
      </w:r>
      <w:r>
        <w:rPr>
          <w:rFonts w:hint="eastAsia"/>
          <w:color w:val="000000" w:themeColor="text1"/>
          <w:kern w:val="2"/>
          <w:szCs w:val="24"/>
          <w14:textFill>
            <w14:solidFill>
              <w14:schemeClr w14:val="tx1"/>
            </w14:solidFill>
          </w14:textFill>
        </w:rPr>
        <w:t>送货上门、安装与调试</w:t>
      </w:r>
    </w:p>
    <w:p>
      <w:pPr>
        <w:spacing w:line="460" w:lineRule="exact"/>
        <w:ind w:firstLine="482" w:firstLineChars="200"/>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交货地点</w:t>
      </w:r>
      <w:r>
        <w:rPr>
          <w:rFonts w:hint="eastAsia" w:ascii="宋体" w:hAnsi="宋体"/>
          <w:color w:val="000000" w:themeColor="text1"/>
          <w:sz w:val="24"/>
          <w:szCs w:val="24"/>
          <w14:textFill>
            <w14:solidFill>
              <w14:schemeClr w14:val="tx1"/>
            </w14:solidFill>
          </w14:textFill>
        </w:rPr>
        <w:t>：甲方指定地点</w:t>
      </w:r>
    </w:p>
    <w:p>
      <w:pPr>
        <w:numPr>
          <w:ilvl w:val="0"/>
          <w:numId w:val="71"/>
        </w:numPr>
        <w:spacing w:line="460" w:lineRule="exact"/>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付款方式：</w:t>
      </w:r>
    </w:p>
    <w:p>
      <w:pPr>
        <w:spacing w:line="460" w:lineRule="exact"/>
        <w:ind w:firstLine="480" w:firstLineChars="200"/>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招标范围内容全部完成，经安装调试、培训结束、验收合格后付总价的70%；余款合同总价的30%，根据售后服务情况甲方分年（质保期）逐年向乙方支付（如质保期为6年，即项目最终验收合格之日起1年后，甲方向乙方支付合同总额的5%。以此类推，逐年支付）。</w:t>
      </w:r>
    </w:p>
    <w:p>
      <w:pPr>
        <w:spacing w:line="460" w:lineRule="exact"/>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4、服务团队</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（1）项目团队人员配置科学合理、分工明确，至少应包括项目经理、技术负责人、系统设计人员、软件开发人员、测试人员、部署配置人员、用户培训人员等角色。 </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2）项目团队需保持稳定。投标人应承诺项目经理、技术负责人必须专职承担本项目工作，质保期内未经建设单位许可不得更换。投标人应提出具体管理措施，以确保该承诺得到落实。在项目实施过程中，投标人须按照建设单位的要求更换建设单位认为不合适的人员。 </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（3）投标人应明确项目经理在本项目中的岗位职责和任职资格，学校数据和代码标准制定之前，由项目经理亲自驻场开展数据摸底与调研工作。 </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（4）根据系统开发、部署实施、试运行、培训、技术支持及售后服务五个阶段和项 目管理要求，投标人须配置足够的人员组织实施项目，确保按项目进度完成建设工作。 </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（5）实施期间（开始部署至验收结束），提供至少1名工程师全程驻场服务。项目验收合格后，质保期内，每年至少安排 1 人的阶段驻场服务，每年在学校服务时间合计不得少于3个月。学校为项目实施厂家驻场人员提供工作场所，驻场人员的一切费用由投标人承担。</w:t>
      </w:r>
    </w:p>
    <w:p>
      <w:pPr>
        <w:spacing w:line="460" w:lineRule="exact"/>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5、售后服务</w:t>
      </w:r>
    </w:p>
    <w:p>
      <w:pPr>
        <w:snapToGrid w:val="0"/>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质量保证期：本项目最终验收合格之日起，承建方提供的货物及服务的免费质保期不少于6年，所投产品要求至少6年免费原厂质保（上门服务），软件终身免费升级（包括跨大版本及衍生版本升级），升级过程中产生的所有需求及工作量均免费。</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（2）质保期内承建方需要按售后服务要求安排专职人员驻场服务，提供本项目招标产品软件的维护与升级改造。在维护服务期内，承建方应向用户提供以下技术支持与服务：</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1）提供现场驻点人员 1 名，负责数据整合、数据应用、运维及管理、建模支持服务等工作；</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2）提供非现场驻点人员3名，负责远程协助现场人员处理相关工作；</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3）在质保期内，承建方负责对其提供的软件进行维修保养，不再向用户单位收取费用；</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4）在质保期内，承建方负责系统环境的维护；</w:t>
      </w:r>
    </w:p>
    <w:p>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5）响应时限要求（质保期内）：验收合格后，提供7*24小时服务</w:t>
      </w:r>
      <w:r>
        <w:rPr>
          <w:rFonts w:hint="eastAsia"/>
          <w:color w:val="000000" w:themeColor="text1"/>
          <w:kern w:val="2"/>
          <w:szCs w:val="24"/>
          <w14:textFill>
            <w14:solidFill>
              <w14:schemeClr w14:val="tx1"/>
            </w14:solidFill>
          </w14:textFill>
        </w:rPr>
        <w:t>，1小时响应（包括电话响应）,2小时到达现</w:t>
      </w:r>
      <w:r>
        <w:rPr>
          <w:rFonts w:hint="eastAsia"/>
          <w:color w:val="000000" w:themeColor="text1"/>
          <w:szCs w:val="24"/>
          <w14:textFill>
            <w14:solidFill>
              <w14:schemeClr w14:val="tx1"/>
            </w14:solidFill>
          </w14:textFill>
        </w:rPr>
        <w:t>场，4小时解决问题（如电话响应无法解决）,如在4小时内无法修复，则提供部件冗余服务或采取应急措施，以确保系统的正常</w:t>
      </w:r>
      <w:r>
        <w:rPr>
          <w:rFonts w:hint="eastAsia"/>
          <w:color w:val="000000" w:themeColor="text1"/>
          <w:kern w:val="2"/>
          <w:szCs w:val="24"/>
          <w14:textFill>
            <w14:solidFill>
              <w14:schemeClr w14:val="tx1"/>
            </w14:solidFill>
          </w14:textFill>
        </w:rPr>
        <w:t>工作。质保期内产生的维护费用由</w:t>
      </w:r>
      <w:r>
        <w:rPr>
          <w:rFonts w:hint="eastAsia"/>
          <w:color w:val="000000" w:themeColor="text1"/>
          <w:szCs w:val="24"/>
          <w14:textFill>
            <w14:solidFill>
              <w14:schemeClr w14:val="tx1"/>
            </w14:solidFill>
          </w14:textFill>
        </w:rPr>
        <w:t>承建方</w:t>
      </w:r>
      <w:r>
        <w:rPr>
          <w:rFonts w:hint="eastAsia"/>
          <w:color w:val="000000" w:themeColor="text1"/>
          <w:kern w:val="2"/>
          <w:szCs w:val="24"/>
          <w14:textFill>
            <w14:solidFill>
              <w14:schemeClr w14:val="tx1"/>
            </w14:solidFill>
          </w14:textFill>
        </w:rPr>
        <w:t>承担。</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6）3年内每年对系统运行状况进行一次免费评估服务，并出具相关正式书面报告。</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7）巡视服务：质保期内提供每月1次巡视服务，检测系统运行情况并做好系统运行记录。</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8）配合招标人对系统安全进行定期巡检、漏洞修复，在重大活动、重要领导参观期间，提供现场保障服务。</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9）质保期满后，承建方必须无条件与招标人签订续保协议，续保价格为本项目所报质保价格。</w:t>
      </w:r>
    </w:p>
    <w:p>
      <w:pPr>
        <w:spacing w:line="460" w:lineRule="exact"/>
        <w:ind w:firstLine="480" w:firstLineChars="200"/>
        <w:rPr>
          <w:color w:val="000000" w:themeColor="text1"/>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10)乙方须在接到甲方安全漏洞通知的24小时内，免费完成对所涉产品的安全漏洞修复，本条在平台的全生命周期适用，不受质保期限制。</w:t>
      </w:r>
    </w:p>
    <w:p>
      <w:pPr>
        <w:spacing w:line="460" w:lineRule="exact"/>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6、知识产权归属要求</w:t>
      </w:r>
    </w:p>
    <w:p>
      <w:pPr>
        <w:spacing w:line="460" w:lineRule="exact"/>
        <w:ind w:firstLine="480" w:firstLineChars="200"/>
        <w:rPr>
          <w:rFonts w:ascii="宋体" w:hAnsi="宋体"/>
          <w:color w:val="000000" w:themeColor="text1"/>
          <w:sz w:val="24"/>
          <w:szCs w:val="24"/>
          <w14:textFill>
            <w14:solidFill>
              <w14:schemeClr w14:val="tx1"/>
            </w14:solidFill>
          </w14:textFill>
        </w:rPr>
      </w:pPr>
      <w:bookmarkStart w:id="20" w:name="_Toc24918"/>
      <w:bookmarkStart w:id="21" w:name="_Toc5883"/>
      <w:r>
        <w:rPr>
          <w:rFonts w:hint="eastAsia" w:ascii="宋体" w:hAnsi="宋体"/>
          <w:color w:val="000000" w:themeColor="text1"/>
          <w:sz w:val="24"/>
          <w:szCs w:val="24"/>
          <w14:textFill>
            <w14:solidFill>
              <w14:schemeClr w14:val="tx1"/>
            </w14:solidFill>
          </w14:textFill>
        </w:rPr>
        <w:t>（1）本项目实施完成产生的所有技术成果（包括但不限于软件、源代码及技术资料） 的所有知识产权（包括但不限于著作权、专利权、商标权、专有技术等权利）的所有权、使用权、转让权以及收益等一切权利由招标人享有，本项目实施完成的发明创造的专利申请权、非专利技术的使用权、转让权归招标人享有。</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（2）由招标方采购或委托采购的各种设备产权归招标方所有；由中标方提供的租赁设备，产权归提供方所有，或按双方达成的协议执行。</w:t>
      </w:r>
    </w:p>
    <w:p>
      <w:pPr>
        <w:pStyle w:val="87"/>
        <w:spacing w:before="290" w:after="290"/>
        <w:jc w:val="both"/>
        <w:outlineLvl w:val="0"/>
        <w:rPr>
          <w:rStyle w:val="44"/>
          <w:b/>
          <w:color w:val="000000" w:themeColor="text1"/>
          <w:sz w:val="44"/>
          <w14:textFill>
            <w14:solidFill>
              <w14:schemeClr w14:val="tx1"/>
            </w14:solidFill>
          </w14:textFill>
        </w:rPr>
      </w:pPr>
    </w:p>
    <w:p>
      <w:pPr>
        <w:spacing w:line="360" w:lineRule="auto"/>
        <w:ind w:firstLine="413" w:firstLineChars="147"/>
        <w:jc w:val="left"/>
        <w:rPr>
          <w:rFonts w:ascii="宋体" w:hAnsi="宋体"/>
          <w:b/>
          <w:color w:val="000000" w:themeColor="text1"/>
          <w:sz w:val="28"/>
          <w:szCs w:val="28"/>
          <w:u w:val="single"/>
          <w14:textFill>
            <w14:solidFill>
              <w14:schemeClr w14:val="tx1"/>
            </w14:solidFill>
          </w14:textFill>
        </w:rPr>
      </w:pPr>
      <w:r>
        <w:rPr>
          <w:rFonts w:hint="eastAsia" w:ascii="宋体" w:hAnsi="宋体"/>
          <w:b/>
          <w:bCs/>
          <w:color w:val="000000" w:themeColor="text1"/>
          <w:sz w:val="28"/>
          <w:szCs w:val="28"/>
          <w:shd w:val="clear" w:color="auto" w:fill="FFFFFF"/>
          <w14:textFill>
            <w14:solidFill>
              <w14:schemeClr w14:val="tx1"/>
            </w14:solidFill>
          </w14:textFill>
        </w:rPr>
        <w:t xml:space="preserve">注：本次采购标的所属行业为 </w:t>
      </w:r>
      <w:r>
        <w:rPr>
          <w:rFonts w:hint="eastAsia" w:ascii="宋体" w:hAnsi="宋体"/>
          <w:b/>
          <w:bCs/>
          <w:color w:val="000000" w:themeColor="text1"/>
          <w:sz w:val="28"/>
          <w:szCs w:val="28"/>
          <w:u w:val="single"/>
          <w:shd w:val="clear" w:color="auto" w:fill="FFFFFF"/>
          <w14:textFill>
            <w14:solidFill>
              <w14:schemeClr w14:val="tx1"/>
            </w14:solidFill>
          </w14:textFill>
        </w:rPr>
        <w:t xml:space="preserve">  软件和信息技术服务业  </w:t>
      </w:r>
      <w:r>
        <w:rPr>
          <w:rFonts w:hint="eastAsia" w:ascii="宋体" w:hAnsi="宋体"/>
          <w:b/>
          <w:bCs/>
          <w:color w:val="000000" w:themeColor="text1"/>
          <w:sz w:val="28"/>
          <w:szCs w:val="28"/>
          <w:shd w:val="clear" w:color="auto" w:fill="FFFFFF"/>
          <w14:textFill>
            <w14:solidFill>
              <w14:schemeClr w14:val="tx1"/>
            </w14:solidFill>
          </w14:textFill>
        </w:rPr>
        <w:t>，根据《工业和信息化部、国家统计局、国家发展和改革委员会、财政部关于印发中小企业划型标准规定的通知》（工信部联企业[2011]300号）规定的划分标准填写。</w:t>
      </w:r>
    </w:p>
    <w:p>
      <w:pPr>
        <w:pStyle w:val="87"/>
        <w:spacing w:before="290" w:after="290"/>
        <w:jc w:val="both"/>
        <w:outlineLvl w:val="0"/>
        <w:rPr>
          <w:rStyle w:val="44"/>
          <w:b/>
          <w:color w:val="000000" w:themeColor="text1"/>
          <w:sz w:val="44"/>
          <w14:textFill>
            <w14:solidFill>
              <w14:schemeClr w14:val="tx1"/>
            </w14:solidFill>
          </w14:textFill>
        </w:rPr>
      </w:pPr>
    </w:p>
    <w:p>
      <w:pPr>
        <w:pStyle w:val="87"/>
        <w:spacing w:before="290" w:after="290"/>
        <w:ind w:firstLine="1325" w:firstLineChars="300"/>
        <w:jc w:val="both"/>
        <w:outlineLvl w:val="0"/>
        <w:rPr>
          <w:rStyle w:val="44"/>
          <w:color w:val="000000" w:themeColor="text1"/>
          <w14:textFill>
            <w14:solidFill>
              <w14:schemeClr w14:val="tx1"/>
            </w14:solidFill>
          </w14:textFill>
        </w:rPr>
      </w:pPr>
      <w:r>
        <w:rPr>
          <w:rStyle w:val="44"/>
          <w:rFonts w:hint="eastAsia"/>
          <w:b/>
          <w:color w:val="000000" w:themeColor="text1"/>
          <w:sz w:val="44"/>
          <w14:textFill>
            <w14:solidFill>
              <w14:schemeClr w14:val="tx1"/>
            </w14:solidFill>
          </w14:textFill>
        </w:rPr>
        <w:br w:type="page"/>
      </w:r>
      <w:r>
        <w:rPr>
          <w:rStyle w:val="44"/>
          <w:rFonts w:hint="eastAsia"/>
          <w:b/>
          <w:color w:val="000000" w:themeColor="text1"/>
          <w:sz w:val="44"/>
          <w14:textFill>
            <w14:solidFill>
              <w14:schemeClr w14:val="tx1"/>
            </w14:solidFill>
          </w14:textFill>
        </w:rPr>
        <w:t>第五章  评标方法与评标标准</w:t>
      </w:r>
      <w:bookmarkEnd w:id="20"/>
      <w:bookmarkEnd w:id="21"/>
    </w:p>
    <w:p>
      <w:pPr>
        <w:snapToGrid w:val="0"/>
        <w:spacing w:line="460" w:lineRule="exact"/>
        <w:ind w:firstLine="480" w:firstLineChars="200"/>
        <w:rPr>
          <w:rStyle w:val="44"/>
          <w:rFonts w:ascii="宋体" w:hAnsi="宋体" w:cs="Times New Roman"/>
          <w:bCs/>
          <w:color w:val="000000" w:themeColor="text1"/>
          <w:sz w:val="24"/>
          <w:szCs w:val="24"/>
          <w14:textFill>
            <w14:solidFill>
              <w14:schemeClr w14:val="tx1"/>
            </w14:solidFill>
          </w14:textFill>
        </w:rPr>
      </w:pPr>
      <w:r>
        <w:rPr>
          <w:rStyle w:val="44"/>
          <w:rFonts w:hint="eastAsia" w:ascii="宋体" w:hAnsi="宋体" w:cs="Times New Roman"/>
          <w:bCs/>
          <w:color w:val="000000" w:themeColor="text1"/>
          <w:sz w:val="24"/>
          <w:szCs w:val="24"/>
          <w14:textFill>
            <w14:solidFill>
              <w14:schemeClr w14:val="tx1"/>
            </w14:solidFill>
          </w14:textFill>
        </w:rPr>
        <w:t>一、评标方法与定标原则</w:t>
      </w:r>
    </w:p>
    <w:p>
      <w:pPr>
        <w:snapToGrid w:val="0"/>
        <w:spacing w:line="460" w:lineRule="exact"/>
        <w:ind w:firstLine="480" w:firstLineChars="200"/>
        <w:rPr>
          <w:rStyle w:val="44"/>
          <w:rFonts w:ascii="宋体" w:hAnsi="宋体" w:cs="Times New Roman"/>
          <w:bCs/>
          <w:color w:val="000000" w:themeColor="text1"/>
          <w:sz w:val="24"/>
          <w:szCs w:val="24"/>
          <w14:textFill>
            <w14:solidFill>
              <w14:schemeClr w14:val="tx1"/>
            </w14:solidFill>
          </w14:textFill>
        </w:rPr>
      </w:pPr>
      <w:r>
        <w:rPr>
          <w:rStyle w:val="44"/>
          <w:rFonts w:hint="eastAsia" w:ascii="宋体" w:hAnsi="宋体" w:cs="Times New Roman"/>
          <w:bCs/>
          <w:color w:val="000000" w:themeColor="text1"/>
          <w:sz w:val="24"/>
          <w:szCs w:val="24"/>
          <w14:textFill>
            <w14:solidFill>
              <w14:schemeClr w14:val="tx1"/>
            </w14:solidFill>
          </w14:textFill>
        </w:rPr>
        <w:t>评标采用综合评分法，总分为100分，评标结果按评审后得分由高到低顺序排列最高的一名供应商入围，为学校提供服务。得分相同的，按投标报价由低到高顺序排列。得分相同且投标报价相同的，按技术指标优劣顺序排列。投标文件满足招标文件全部实质性要求，且按照评审因素的量化指标评审得分最高的投标人为中标人。</w:t>
      </w:r>
    </w:p>
    <w:p>
      <w:pPr>
        <w:snapToGrid w:val="0"/>
        <w:spacing w:line="460" w:lineRule="exact"/>
        <w:ind w:firstLine="482" w:firstLineChars="200"/>
        <w:rPr>
          <w:rStyle w:val="44"/>
          <w:rFonts w:ascii="宋体" w:hAnsi="宋体" w:cs="Times New Roman"/>
          <w:bCs/>
          <w:color w:val="000000" w:themeColor="text1"/>
          <w:sz w:val="24"/>
          <w:szCs w:val="24"/>
          <w14:textFill>
            <w14:solidFill>
              <w14:schemeClr w14:val="tx1"/>
            </w14:solidFill>
          </w14:textFill>
        </w:rPr>
      </w:pPr>
      <w:r>
        <w:rPr>
          <w:rStyle w:val="44"/>
          <w:rFonts w:hint="eastAsia" w:ascii="宋体" w:hAnsi="宋体" w:cs="Times New Roman"/>
          <w:b/>
          <w:color w:val="000000" w:themeColor="text1"/>
          <w:sz w:val="24"/>
          <w:szCs w:val="24"/>
          <w14:textFill>
            <w14:solidFill>
              <w14:schemeClr w14:val="tx1"/>
            </w14:solidFill>
          </w14:textFill>
        </w:rPr>
        <w:t>评标委员会认为投标人的报价明显低于其他通过符合性审查投标人的报价，有可能影响产品质量或者不能诚信履约的，评标委员会有权要求其在评标现场合理的时间内提供书面说明，必要时提交相关证明材料；投标人不能证明其报价合理性的，评标委员会将其作为无效投标处理</w:t>
      </w:r>
      <w:r>
        <w:rPr>
          <w:rStyle w:val="44"/>
          <w:rFonts w:hint="eastAsia" w:ascii="宋体" w:hAnsi="宋体" w:cs="Times New Roman"/>
          <w:bCs/>
          <w:color w:val="000000" w:themeColor="text1"/>
          <w:sz w:val="24"/>
          <w:szCs w:val="24"/>
          <w14:textFill>
            <w14:solidFill>
              <w14:schemeClr w14:val="tx1"/>
            </w14:solidFill>
          </w14:textFill>
        </w:rPr>
        <w:t>。</w:t>
      </w:r>
    </w:p>
    <w:p>
      <w:pPr>
        <w:snapToGrid w:val="0"/>
        <w:spacing w:line="460" w:lineRule="exact"/>
        <w:ind w:firstLine="480" w:firstLineChars="200"/>
        <w:rPr>
          <w:rStyle w:val="44"/>
          <w:rFonts w:ascii="宋体" w:hAnsi="宋体" w:cs="Times New Roman"/>
          <w:bCs/>
          <w:color w:val="000000" w:themeColor="text1"/>
          <w:sz w:val="24"/>
          <w:szCs w:val="24"/>
          <w14:textFill>
            <w14:solidFill>
              <w14:schemeClr w14:val="tx1"/>
            </w14:solidFill>
          </w14:textFill>
        </w:rPr>
      </w:pPr>
      <w:r>
        <w:rPr>
          <w:rStyle w:val="44"/>
          <w:rFonts w:hint="eastAsia" w:ascii="宋体" w:hAnsi="宋体" w:cs="Times New Roman"/>
          <w:bCs/>
          <w:color w:val="000000" w:themeColor="text1"/>
          <w:sz w:val="24"/>
          <w:szCs w:val="24"/>
          <w14:textFill>
            <w14:solidFill>
              <w14:schemeClr w14:val="tx1"/>
            </w14:solidFill>
          </w14:textFill>
        </w:rPr>
        <w:t>政府采购政策功能落实</w:t>
      </w:r>
    </w:p>
    <w:p>
      <w:pPr>
        <w:snapToGrid w:val="0"/>
        <w:spacing w:line="46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1、小微型企业价格扣除</w:t>
      </w:r>
    </w:p>
    <w:p>
      <w:pPr>
        <w:snapToGrid w:val="0"/>
        <w:spacing w:line="46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（1）本项目对中、小型和微型企业产品给予10%的扣除价格，用扣除后的价格参与评审。</w:t>
      </w:r>
    </w:p>
    <w:p>
      <w:pPr>
        <w:snapToGrid w:val="0"/>
        <w:spacing w:line="46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（2）供应商需按照采购文件的要求提供相应的《企业声明函》。</w:t>
      </w:r>
    </w:p>
    <w:p>
      <w:pPr>
        <w:snapToGrid w:val="0"/>
        <w:spacing w:line="46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（3）企业标准请参照《关于印发中小企业划型标准规定的通知》（工信部联企业[2011]300号）文件规定自行填写，本次采购标的所属行业为</w:t>
      </w:r>
      <w:r>
        <w:rPr>
          <w:rFonts w:hint="eastAsia" w:ascii="宋体" w:hAnsi="宋体"/>
          <w:bCs/>
          <w:color w:val="000000" w:themeColor="text1"/>
          <w:sz w:val="24"/>
          <w:szCs w:val="24"/>
          <w:u w:val="single"/>
          <w14:textFill>
            <w14:solidFill>
              <w14:schemeClr w14:val="tx1"/>
            </w14:solidFill>
          </w14:textFill>
        </w:rPr>
        <w:t xml:space="preserve">  软件和信息技术服务业  </w:t>
      </w:r>
      <w:r>
        <w:rPr>
          <w:rFonts w:hint="eastAsia" w:ascii="宋体" w:hAnsi="宋体"/>
          <w:bCs/>
          <w:color w:val="000000" w:themeColor="text1"/>
          <w:sz w:val="24"/>
          <w:szCs w:val="24"/>
          <w14:textFill>
            <w14:solidFill>
              <w14:schemeClr w14:val="tx1"/>
            </w14:solidFill>
          </w14:textFill>
        </w:rPr>
        <w:t>，如未按要求填写，不得享受价格扣除。</w:t>
      </w:r>
    </w:p>
    <w:p>
      <w:pPr>
        <w:snapToGrid w:val="0"/>
        <w:spacing w:line="46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（4）在标的物采购项目中，供应商提供的标的物既有中小企业制造标的物，也有大型企业制造标的物的，不享受本办法规定的中小企业扶持政策。</w:t>
      </w:r>
    </w:p>
    <w:p>
      <w:pPr>
        <w:snapToGrid w:val="0"/>
        <w:spacing w:line="46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2、残疾人福利单位价格扣除</w:t>
      </w:r>
    </w:p>
    <w:p>
      <w:pPr>
        <w:snapToGrid w:val="0"/>
        <w:spacing w:line="46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（1）本项目对残疾人福利性单位视同小型、微型企业，给予10%的价格扣除，用扣除后的价格参与评审。</w:t>
      </w:r>
    </w:p>
    <w:p>
      <w:pPr>
        <w:snapToGrid w:val="0"/>
        <w:spacing w:line="46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（2）残疾人福利单位需按照采购文件的要求提供《残疾人福利性单位声明函》。</w:t>
      </w:r>
    </w:p>
    <w:p>
      <w:pPr>
        <w:snapToGrid w:val="0"/>
        <w:spacing w:line="46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（3）残疾人福利单位标准请参照《关于促进残疾人就业政府采购政策的通知》（财库〔2017〕141号），如未按要求填写，不得享受价格扣除。</w:t>
      </w:r>
    </w:p>
    <w:p>
      <w:pPr>
        <w:snapToGrid w:val="0"/>
        <w:spacing w:line="46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3、监狱和戒毒企业价格扣除</w:t>
      </w:r>
    </w:p>
    <w:p>
      <w:pPr>
        <w:snapToGrid w:val="0"/>
        <w:spacing w:line="46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（1）本项目对监狱和戒毒企业（简称监狱企业）视同小型、微型企业，给予10%的价格扣除，用扣除后的价格参与评审。</w:t>
      </w:r>
    </w:p>
    <w:p>
      <w:pPr>
        <w:snapToGrid w:val="0"/>
        <w:spacing w:line="46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46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（3）监狱企业标准请参照《关于政府采购支持监狱企业发展有关问题的通知》（财库[2014]68号）。</w:t>
      </w:r>
    </w:p>
    <w:p>
      <w:pPr>
        <w:snapToGrid w:val="0"/>
        <w:spacing w:line="46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4、残疾人福利单位、监狱企业属于小型、微型企业的，不重复享受政策。</w:t>
      </w:r>
    </w:p>
    <w:p>
      <w:pPr>
        <w:snapToGrid w:val="0"/>
        <w:spacing w:line="360" w:lineRule="auto"/>
        <w:ind w:firstLine="482" w:firstLineChars="200"/>
        <w:rPr>
          <w:rStyle w:val="44"/>
          <w:rFonts w:ascii="宋体" w:hAnsi="宋体" w:cs="Times New Roman"/>
          <w:b/>
          <w:color w:val="000000" w:themeColor="text1"/>
          <w:sz w:val="24"/>
          <w:szCs w:val="24"/>
          <w14:textFill>
            <w14:solidFill>
              <w14:schemeClr w14:val="tx1"/>
            </w14:solidFill>
          </w14:textFill>
        </w:rPr>
      </w:pPr>
    </w:p>
    <w:p>
      <w:pPr>
        <w:snapToGrid w:val="0"/>
        <w:spacing w:line="360" w:lineRule="auto"/>
        <w:ind w:firstLine="482" w:firstLineChars="200"/>
        <w:rPr>
          <w:rStyle w:val="44"/>
          <w:rFonts w:ascii="宋体" w:hAnsi="宋体" w:cs="Times New Roman"/>
          <w:b/>
          <w:color w:val="000000" w:themeColor="text1"/>
          <w:sz w:val="24"/>
          <w:szCs w:val="24"/>
          <w14:textFill>
            <w14:solidFill>
              <w14:schemeClr w14:val="tx1"/>
            </w14:solidFill>
          </w14:textFill>
        </w:rPr>
      </w:pPr>
      <w:r>
        <w:rPr>
          <w:rStyle w:val="44"/>
          <w:rFonts w:hint="eastAsia" w:ascii="宋体" w:hAnsi="宋体" w:cs="Times New Roman"/>
          <w:b/>
          <w:color w:val="000000" w:themeColor="text1"/>
          <w:sz w:val="24"/>
          <w:szCs w:val="24"/>
          <w14:textFill>
            <w14:solidFill>
              <w14:schemeClr w14:val="tx1"/>
            </w14:solidFill>
          </w14:textFill>
        </w:rPr>
        <w:t>二、评标标准</w:t>
      </w:r>
    </w:p>
    <w:p>
      <w:pPr>
        <w:spacing w:line="360" w:lineRule="auto"/>
        <w:ind w:firstLine="420" w:firstLineChars="200"/>
        <w:jc w:val="left"/>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本项目评分总分值为100分。</w:t>
      </w:r>
      <w:r>
        <w:rPr>
          <w:rFonts w:hint="eastAsia" w:ascii="宋体" w:hAnsi="宋体"/>
          <w:b/>
          <w:bCs/>
          <w:color w:val="000000" w:themeColor="text1"/>
          <w14:textFill>
            <w14:solidFill>
              <w14:schemeClr w14:val="tx1"/>
            </w14:solidFill>
          </w14:textFill>
        </w:rPr>
        <w:t>选取得分最高前三名进行排序</w:t>
      </w:r>
      <w:r>
        <w:rPr>
          <w:rFonts w:hint="eastAsia" w:ascii="宋体" w:hAnsi="宋体"/>
          <w:color w:val="000000" w:themeColor="text1"/>
          <w14:textFill>
            <w14:solidFill>
              <w14:schemeClr w14:val="tx1"/>
            </w14:solidFill>
          </w14:textFill>
        </w:rPr>
        <w:t>。</w:t>
      </w:r>
    </w:p>
    <w:tbl>
      <w:tblPr>
        <w:tblStyle w:val="22"/>
        <w:tblW w:w="10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145"/>
        <w:gridCol w:w="8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评分项目</w:t>
            </w:r>
          </w:p>
        </w:tc>
        <w:tc>
          <w:tcPr>
            <w:tcW w:w="11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分项与分值</w:t>
            </w:r>
          </w:p>
        </w:tc>
        <w:tc>
          <w:tcPr>
            <w:tcW w:w="82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Merge w:val="restart"/>
            <w:tcBorders>
              <w:left w:val="single" w:color="auto" w:sz="4" w:space="0"/>
              <w:right w:val="single" w:color="auto" w:sz="4" w:space="0"/>
            </w:tcBorders>
            <w:vAlign w:val="center"/>
          </w:tcPr>
          <w:p>
            <w:pPr>
              <w:spacing w:line="320" w:lineRule="exact"/>
              <w:jc w:val="center"/>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价格分</w:t>
            </w:r>
          </w:p>
          <w:p>
            <w:pPr>
              <w:spacing w:line="320" w:lineRule="exact"/>
              <w:jc w:val="center"/>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(50分)</w:t>
            </w:r>
          </w:p>
        </w:tc>
        <w:tc>
          <w:tcPr>
            <w:tcW w:w="1145" w:type="dxa"/>
            <w:tcBorders>
              <w:top w:val="single" w:color="auto" w:sz="4" w:space="0"/>
              <w:left w:val="single" w:color="auto" w:sz="4" w:space="0"/>
              <w:right w:val="single" w:color="auto" w:sz="4" w:space="0"/>
            </w:tcBorders>
            <w:vAlign w:val="center"/>
          </w:tcPr>
          <w:p>
            <w:pPr>
              <w:spacing w:line="320" w:lineRule="exact"/>
              <w:jc w:val="center"/>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招标报价（30分）</w:t>
            </w:r>
          </w:p>
        </w:tc>
        <w:tc>
          <w:tcPr>
            <w:tcW w:w="823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商品价格采用低价优先法计算，即满足招标文件要求且投标报价最低的投标报价为评标基准价，其价格为满分30分，其他投标人的报价统一按照下列公式计算：商品价格得分=(评标基准价/投标报价)×30，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Merge w:val="continue"/>
            <w:tcBorders>
              <w:left w:val="single" w:color="auto" w:sz="4" w:space="0"/>
              <w:right w:val="single" w:color="auto" w:sz="4" w:space="0"/>
            </w:tcBorders>
            <w:vAlign w:val="center"/>
          </w:tcPr>
          <w:p>
            <w:pPr>
              <w:spacing w:line="320" w:lineRule="exact"/>
              <w:rPr>
                <w:color w:val="000000" w:themeColor="text1"/>
                <w14:textFill>
                  <w14:solidFill>
                    <w14:schemeClr w14:val="tx1"/>
                  </w14:solidFill>
                </w14:textFill>
              </w:rPr>
            </w:pPr>
          </w:p>
        </w:tc>
        <w:tc>
          <w:tcPr>
            <w:tcW w:w="1145" w:type="dxa"/>
            <w:tcBorders>
              <w:left w:val="single" w:color="auto" w:sz="4" w:space="0"/>
              <w:right w:val="single" w:color="auto" w:sz="4" w:space="0"/>
            </w:tcBorders>
            <w:vAlign w:val="center"/>
          </w:tcPr>
          <w:p>
            <w:pPr>
              <w:spacing w:line="320" w:lineRule="exact"/>
              <w:jc w:val="center"/>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延保报价（10分）</w:t>
            </w:r>
          </w:p>
        </w:tc>
        <w:tc>
          <w:tcPr>
            <w:tcW w:w="823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延保价格为</w:t>
            </w:r>
            <w:r>
              <w:rPr>
                <w:rFonts w:hint="eastAsia" w:ascii="宋体" w:hAnsi="宋体"/>
                <w:color w:val="000000" w:themeColor="text1"/>
                <w:sz w:val="18"/>
                <w:szCs w:val="18"/>
                <w:lang w:val="zh-CN"/>
                <w14:textFill>
                  <w14:solidFill>
                    <w14:schemeClr w14:val="tx1"/>
                  </w14:solidFill>
                </w14:textFill>
              </w:rPr>
              <w:t>质保到期后每年的延保价格（</w:t>
            </w:r>
            <w:r>
              <w:rPr>
                <w:rFonts w:hint="eastAsia" w:ascii="宋体" w:hAnsi="宋体"/>
                <w:color w:val="000000" w:themeColor="text1"/>
                <w:sz w:val="18"/>
                <w:szCs w:val="18"/>
                <w14:textFill>
                  <w14:solidFill>
                    <w14:schemeClr w14:val="tx1"/>
                  </w14:solidFill>
                </w14:textFill>
              </w:rPr>
              <w:t>含本次投标提供的所有系统），延保价格为</w:t>
            </w:r>
            <w:r>
              <w:rPr>
                <w:rFonts w:hint="eastAsia" w:ascii="宋体" w:hAnsi="宋体"/>
                <w:color w:val="000000" w:themeColor="text1"/>
                <w:sz w:val="18"/>
                <w:szCs w:val="18"/>
                <w:lang w:val="zh-CN"/>
                <w14:textFill>
                  <w14:solidFill>
                    <w14:schemeClr w14:val="tx1"/>
                  </w14:solidFill>
                </w14:textFill>
              </w:rPr>
              <w:t>质保到期后每年的延保价格（</w:t>
            </w:r>
            <w:r>
              <w:rPr>
                <w:rFonts w:hint="eastAsia" w:ascii="宋体" w:hAnsi="宋体"/>
                <w:color w:val="000000" w:themeColor="text1"/>
                <w:sz w:val="18"/>
                <w:szCs w:val="18"/>
                <w14:textFill>
                  <w14:solidFill>
                    <w14:schemeClr w14:val="tx1"/>
                  </w14:solidFill>
                </w14:textFill>
              </w:rPr>
              <w:t>含本次投标提供的所有系统），不可为负值。</w:t>
            </w:r>
            <w:r>
              <w:rPr>
                <w:rFonts w:hint="eastAsia" w:ascii="宋体" w:hAnsi="宋体"/>
                <w:b/>
                <w:bCs/>
                <w:color w:val="000000" w:themeColor="text1"/>
                <w:sz w:val="18"/>
                <w:szCs w:val="18"/>
                <w14:textFill>
                  <w14:solidFill>
                    <w14:schemeClr w14:val="tx1"/>
                  </w14:solidFill>
                </w14:textFill>
              </w:rPr>
              <w:t>（最高限价为3万元/年）</w:t>
            </w:r>
          </w:p>
          <w:p>
            <w:pPr>
              <w:pStyle w:val="2"/>
              <w:spacing w:line="320" w:lineRule="exact"/>
              <w:rPr>
                <w:color w:val="000000" w:themeColor="text1"/>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采</w:t>
            </w:r>
            <w:r>
              <w:rPr>
                <w:rFonts w:hint="eastAsia" w:ascii="宋体" w:hAnsi="宋体"/>
                <w:color w:val="000000" w:themeColor="text1"/>
                <w:sz w:val="18"/>
                <w:szCs w:val="18"/>
                <w:lang w:val="zh-CN"/>
                <w14:textFill>
                  <w14:solidFill>
                    <w14:schemeClr w14:val="tx1"/>
                  </w14:solidFill>
                </w14:textFill>
              </w:rPr>
              <w:t>用</w:t>
            </w:r>
            <w:r>
              <w:rPr>
                <w:rFonts w:hint="eastAsia" w:ascii="宋体" w:hAnsi="宋体"/>
                <w:color w:val="000000" w:themeColor="text1"/>
                <w:sz w:val="18"/>
                <w:szCs w:val="18"/>
                <w14:textFill>
                  <w14:solidFill>
                    <w14:schemeClr w14:val="tx1"/>
                  </w14:solidFill>
                </w14:textFill>
              </w:rPr>
              <w:t>最</w:t>
            </w:r>
            <w:r>
              <w:rPr>
                <w:rFonts w:hint="eastAsia" w:ascii="宋体" w:hAnsi="宋体"/>
                <w:color w:val="000000" w:themeColor="text1"/>
                <w:sz w:val="18"/>
                <w:szCs w:val="18"/>
                <w:lang w:val="zh-CN"/>
                <w14:textFill>
                  <w14:solidFill>
                    <w14:schemeClr w14:val="tx1"/>
                  </w14:solidFill>
                </w14:textFill>
              </w:rPr>
              <w:t>低价优先法</w:t>
            </w:r>
            <w:r>
              <w:rPr>
                <w:rFonts w:hint="eastAsia" w:ascii="宋体" w:hAnsi="宋体"/>
                <w:color w:val="000000" w:themeColor="text1"/>
                <w:sz w:val="18"/>
                <w:szCs w:val="18"/>
                <w14:textFill>
                  <w14:solidFill>
                    <w14:schemeClr w14:val="tx1"/>
                  </w14:solidFill>
                </w14:textFill>
              </w:rPr>
              <w:t>赋分</w:t>
            </w:r>
            <w:r>
              <w:rPr>
                <w:rFonts w:hint="eastAsia" w:ascii="宋体" w:hAnsi="宋体"/>
                <w:color w:val="000000" w:themeColor="text1"/>
                <w:sz w:val="18"/>
                <w:szCs w:val="18"/>
                <w:lang w:val="zh-CN"/>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最低价得10分，第二低价得8分，第三低价得6分，第四低价得4分，第五及第五以上，得2分，不报价不得分。（价格相同得分相同并参与计数，即：A与B价格均为最低价，C为第二低价，则A与B均得10分，C得6分）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Merge w:val="continue"/>
            <w:tcBorders>
              <w:left w:val="single" w:color="auto" w:sz="4" w:space="0"/>
              <w:bottom w:val="single" w:color="auto" w:sz="4" w:space="0"/>
              <w:right w:val="single" w:color="auto" w:sz="4" w:space="0"/>
            </w:tcBorders>
            <w:vAlign w:val="center"/>
          </w:tcPr>
          <w:p>
            <w:pPr>
              <w:spacing w:line="320" w:lineRule="exact"/>
              <w:rPr>
                <w:rFonts w:ascii="宋体" w:hAnsi="宋体"/>
                <w:color w:val="000000" w:themeColor="text1"/>
                <w:sz w:val="18"/>
                <w:szCs w:val="18"/>
                <w14:textFill>
                  <w14:solidFill>
                    <w14:schemeClr w14:val="tx1"/>
                  </w14:solidFill>
                </w14:textFill>
              </w:rPr>
            </w:pPr>
          </w:p>
        </w:tc>
        <w:tc>
          <w:tcPr>
            <w:tcW w:w="1145" w:type="dxa"/>
            <w:tcBorders>
              <w:left w:val="single" w:color="auto" w:sz="4" w:space="0"/>
              <w:bottom w:val="single" w:color="auto" w:sz="4" w:space="0"/>
              <w:right w:val="single" w:color="auto" w:sz="4" w:space="0"/>
            </w:tcBorders>
            <w:vAlign w:val="center"/>
          </w:tcPr>
          <w:p>
            <w:pPr>
              <w:spacing w:line="320" w:lineRule="exact"/>
              <w:jc w:val="center"/>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原厂数据集成服务价格（10分）</w:t>
            </w:r>
          </w:p>
        </w:tc>
        <w:tc>
          <w:tcPr>
            <w:tcW w:w="823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b/>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原厂数据集成服务价格为</w:t>
            </w:r>
            <w:r>
              <w:rPr>
                <w:rFonts w:hint="eastAsia" w:ascii="宋体" w:hAnsi="宋体"/>
                <w:color w:val="000000" w:themeColor="text1"/>
                <w:sz w:val="18"/>
                <w:szCs w:val="18"/>
                <w:lang w:val="zh-CN"/>
                <w14:textFill>
                  <w14:solidFill>
                    <w14:schemeClr w14:val="tx1"/>
                  </w14:solidFill>
                </w14:textFill>
              </w:rPr>
              <w:t>质保期</w:t>
            </w:r>
            <w:r>
              <w:rPr>
                <w:rFonts w:hint="eastAsia" w:ascii="宋体" w:hAnsi="宋体"/>
                <w:color w:val="000000" w:themeColor="text1"/>
                <w:sz w:val="18"/>
                <w:szCs w:val="18"/>
                <w14:textFill>
                  <w14:solidFill>
                    <w14:schemeClr w14:val="tx1"/>
                  </w14:solidFill>
                </w14:textFill>
              </w:rPr>
              <w:t>内</w:t>
            </w:r>
            <w:r>
              <w:rPr>
                <w:rFonts w:hint="eastAsia" w:ascii="宋体" w:hAnsi="宋体"/>
                <w:color w:val="000000" w:themeColor="text1"/>
                <w:sz w:val="18"/>
                <w:szCs w:val="18"/>
                <w:lang w:val="zh-CN"/>
                <w14:textFill>
                  <w14:solidFill>
                    <w14:schemeClr w14:val="tx1"/>
                  </w14:solidFill>
                </w14:textFill>
              </w:rPr>
              <w:t>每</w:t>
            </w:r>
            <w:r>
              <w:rPr>
                <w:rFonts w:hint="eastAsia" w:ascii="宋体" w:hAnsi="宋体"/>
                <w:color w:val="000000" w:themeColor="text1"/>
                <w:sz w:val="18"/>
                <w:szCs w:val="18"/>
                <w14:textFill>
                  <w14:solidFill>
                    <w14:schemeClr w14:val="tx1"/>
                  </w14:solidFill>
                </w14:textFill>
              </w:rPr>
              <w:t>个系统的原厂数据集成服务</w:t>
            </w:r>
            <w:r>
              <w:rPr>
                <w:rFonts w:hint="eastAsia" w:ascii="宋体" w:hAnsi="宋体"/>
                <w:color w:val="000000" w:themeColor="text1"/>
                <w:sz w:val="18"/>
                <w:szCs w:val="18"/>
                <w:lang w:val="zh-CN"/>
                <w14:textFill>
                  <w14:solidFill>
                    <w14:schemeClr w14:val="tx1"/>
                  </w14:solidFill>
                </w14:textFill>
              </w:rPr>
              <w:t>价格，</w:t>
            </w:r>
            <w:r>
              <w:rPr>
                <w:rFonts w:hint="eastAsia" w:ascii="宋体" w:hAnsi="宋体"/>
                <w:color w:val="000000" w:themeColor="text1"/>
                <w:sz w:val="18"/>
                <w:szCs w:val="18"/>
                <w14:textFill>
                  <w14:solidFill>
                    <w14:schemeClr w14:val="tx1"/>
                  </w14:solidFill>
                </w14:textFill>
              </w:rPr>
              <w:t>投标人需综合考虑工程复杂度，提供最高限额价格，不可为负值。</w:t>
            </w:r>
            <w:r>
              <w:rPr>
                <w:rFonts w:hint="eastAsia" w:ascii="宋体" w:hAnsi="宋体"/>
                <w:b/>
                <w:bCs/>
                <w:color w:val="000000" w:themeColor="text1"/>
                <w:sz w:val="18"/>
                <w:szCs w:val="18"/>
                <w14:textFill>
                  <w14:solidFill>
                    <w14:schemeClr w14:val="tx1"/>
                  </w14:solidFill>
                </w14:textFill>
              </w:rPr>
              <w:t>（最高限价为2万元/个）</w:t>
            </w:r>
          </w:p>
          <w:p>
            <w:pPr>
              <w:spacing w:line="32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采</w:t>
            </w:r>
            <w:r>
              <w:rPr>
                <w:rFonts w:hint="eastAsia" w:ascii="宋体" w:hAnsi="宋体"/>
                <w:color w:val="000000" w:themeColor="text1"/>
                <w:sz w:val="18"/>
                <w:szCs w:val="18"/>
                <w:lang w:val="zh-CN"/>
                <w14:textFill>
                  <w14:solidFill>
                    <w14:schemeClr w14:val="tx1"/>
                  </w14:solidFill>
                </w14:textFill>
              </w:rPr>
              <w:t>用</w:t>
            </w:r>
            <w:r>
              <w:rPr>
                <w:rFonts w:hint="eastAsia" w:ascii="宋体" w:hAnsi="宋体"/>
                <w:color w:val="000000" w:themeColor="text1"/>
                <w:sz w:val="18"/>
                <w:szCs w:val="18"/>
                <w14:textFill>
                  <w14:solidFill>
                    <w14:schemeClr w14:val="tx1"/>
                  </w14:solidFill>
                </w14:textFill>
              </w:rPr>
              <w:t>最</w:t>
            </w:r>
            <w:r>
              <w:rPr>
                <w:rFonts w:hint="eastAsia" w:ascii="宋体" w:hAnsi="宋体"/>
                <w:color w:val="000000" w:themeColor="text1"/>
                <w:sz w:val="18"/>
                <w:szCs w:val="18"/>
                <w:lang w:val="zh-CN"/>
                <w14:textFill>
                  <w14:solidFill>
                    <w14:schemeClr w14:val="tx1"/>
                  </w14:solidFill>
                </w14:textFill>
              </w:rPr>
              <w:t>低价优先法</w:t>
            </w:r>
            <w:r>
              <w:rPr>
                <w:rFonts w:hint="eastAsia" w:ascii="宋体" w:hAnsi="宋体"/>
                <w:color w:val="000000" w:themeColor="text1"/>
                <w:sz w:val="18"/>
                <w:szCs w:val="18"/>
                <w14:textFill>
                  <w14:solidFill>
                    <w14:schemeClr w14:val="tx1"/>
                  </w14:solidFill>
                </w14:textFill>
              </w:rPr>
              <w:t>赋分</w:t>
            </w:r>
            <w:r>
              <w:rPr>
                <w:rFonts w:hint="eastAsia" w:ascii="宋体" w:hAnsi="宋体"/>
                <w:color w:val="000000" w:themeColor="text1"/>
                <w:sz w:val="18"/>
                <w:szCs w:val="18"/>
                <w:lang w:val="zh-CN"/>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最低价得10分，第二低价得8分，第三低价得6分，第四低价得4分，第五及第五以上，得2分，不报价不得分。（价格相同得分相同并参与计数，即：A与B价格均为最低价，C为第二低价，则A与B均得10分，C得6分）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Merge w:val="restart"/>
            <w:tcBorders>
              <w:top w:val="single" w:color="auto" w:sz="4" w:space="0"/>
              <w:left w:val="single" w:color="auto" w:sz="4" w:space="0"/>
              <w:right w:val="single" w:color="auto" w:sz="4" w:space="0"/>
            </w:tcBorders>
            <w:vAlign w:val="center"/>
          </w:tcPr>
          <w:p>
            <w:pPr>
              <w:spacing w:line="320" w:lineRule="exact"/>
              <w:ind w:firstLine="90" w:firstLineChars="50"/>
              <w:rPr>
                <w:rFonts w:ascii="宋体" w:hAnsi="宋体"/>
                <w:b/>
                <w:bCs/>
                <w:color w:val="000000" w:themeColor="text1"/>
                <w:sz w:val="18"/>
                <w:szCs w:val="18"/>
                <w14:textFill>
                  <w14:solidFill>
                    <w14:schemeClr w14:val="tx1"/>
                  </w14:solidFill>
                </w14:textFill>
              </w:rPr>
            </w:pPr>
          </w:p>
          <w:p>
            <w:pPr>
              <w:spacing w:line="320" w:lineRule="exact"/>
              <w:ind w:firstLine="90" w:firstLineChars="50"/>
              <w:rPr>
                <w:rFonts w:ascii="宋体" w:hAnsi="宋体"/>
                <w:b/>
                <w:bCs/>
                <w:color w:val="000000" w:themeColor="text1"/>
                <w:sz w:val="18"/>
                <w:szCs w:val="18"/>
                <w14:textFill>
                  <w14:solidFill>
                    <w14:schemeClr w14:val="tx1"/>
                  </w14:solidFill>
                </w14:textFill>
              </w:rPr>
            </w:pPr>
          </w:p>
          <w:p>
            <w:pPr>
              <w:spacing w:line="320" w:lineRule="exact"/>
              <w:ind w:firstLine="90" w:firstLineChars="50"/>
              <w:rPr>
                <w:rFonts w:ascii="宋体" w:hAnsi="宋体"/>
                <w:b/>
                <w:bCs/>
                <w:color w:val="000000" w:themeColor="text1"/>
                <w:sz w:val="18"/>
                <w:szCs w:val="18"/>
                <w14:textFill>
                  <w14:solidFill>
                    <w14:schemeClr w14:val="tx1"/>
                  </w14:solidFill>
                </w14:textFill>
              </w:rPr>
            </w:pPr>
          </w:p>
          <w:p>
            <w:pPr>
              <w:spacing w:line="320" w:lineRule="exact"/>
              <w:ind w:firstLine="90" w:firstLineChars="50"/>
              <w:rPr>
                <w:rFonts w:ascii="宋体" w:hAnsi="宋体"/>
                <w:b/>
                <w:bCs/>
                <w:color w:val="000000" w:themeColor="text1"/>
                <w:sz w:val="18"/>
                <w:szCs w:val="18"/>
                <w14:textFill>
                  <w14:solidFill>
                    <w14:schemeClr w14:val="tx1"/>
                  </w14:solidFill>
                </w14:textFill>
              </w:rPr>
            </w:pPr>
          </w:p>
          <w:p>
            <w:pPr>
              <w:spacing w:line="320" w:lineRule="exact"/>
              <w:ind w:firstLine="90" w:firstLineChars="50"/>
              <w:rPr>
                <w:rFonts w:ascii="宋体" w:hAnsi="宋体"/>
                <w:b/>
                <w:bCs/>
                <w:color w:val="000000" w:themeColor="text1"/>
                <w:sz w:val="18"/>
                <w:szCs w:val="18"/>
                <w14:textFill>
                  <w14:solidFill>
                    <w14:schemeClr w14:val="tx1"/>
                  </w14:solidFill>
                </w14:textFill>
              </w:rPr>
            </w:pPr>
          </w:p>
          <w:p>
            <w:pPr>
              <w:spacing w:line="320" w:lineRule="exact"/>
              <w:ind w:firstLine="90" w:firstLineChars="50"/>
              <w:rPr>
                <w:rFonts w:ascii="宋体" w:hAnsi="宋体"/>
                <w:b/>
                <w:bCs/>
                <w:color w:val="000000" w:themeColor="text1"/>
                <w:sz w:val="18"/>
                <w:szCs w:val="18"/>
                <w14:textFill>
                  <w14:solidFill>
                    <w14:schemeClr w14:val="tx1"/>
                  </w14:solidFill>
                </w14:textFill>
              </w:rPr>
            </w:pPr>
          </w:p>
          <w:p>
            <w:pPr>
              <w:spacing w:line="320" w:lineRule="exact"/>
              <w:ind w:firstLine="90" w:firstLineChars="50"/>
              <w:rPr>
                <w:rFonts w:ascii="宋体" w:hAnsi="宋体"/>
                <w:b/>
                <w:bCs/>
                <w:color w:val="000000" w:themeColor="text1"/>
                <w:sz w:val="18"/>
                <w:szCs w:val="18"/>
                <w14:textFill>
                  <w14:solidFill>
                    <w14:schemeClr w14:val="tx1"/>
                  </w14:solidFill>
                </w14:textFill>
              </w:rPr>
            </w:pPr>
          </w:p>
          <w:p>
            <w:pPr>
              <w:spacing w:line="320" w:lineRule="exact"/>
              <w:ind w:firstLine="90" w:firstLineChars="50"/>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技术分</w:t>
            </w:r>
          </w:p>
          <w:p>
            <w:pPr>
              <w:spacing w:line="320" w:lineRule="exact"/>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（34分）</w:t>
            </w:r>
          </w:p>
        </w:tc>
        <w:tc>
          <w:tcPr>
            <w:tcW w:w="1145" w:type="dxa"/>
            <w:tcBorders>
              <w:top w:val="single" w:color="auto" w:sz="4" w:space="0"/>
              <w:left w:val="single" w:color="auto" w:sz="4" w:space="0"/>
              <w:right w:val="single" w:color="auto" w:sz="4" w:space="0"/>
            </w:tcBorders>
            <w:vAlign w:val="center"/>
          </w:tcPr>
          <w:p>
            <w:pPr>
              <w:spacing w:line="320" w:lineRule="exact"/>
              <w:jc w:val="center"/>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参数响应</w:t>
            </w:r>
          </w:p>
          <w:p>
            <w:pPr>
              <w:spacing w:line="320" w:lineRule="exact"/>
              <w:jc w:val="center"/>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(20分)</w:t>
            </w:r>
          </w:p>
        </w:tc>
        <w:tc>
          <w:tcPr>
            <w:tcW w:w="823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Times New Roman"/>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1.完全响应即满足招标文件所有的技术指标、参数要求的得20分。</w:t>
            </w:r>
          </w:p>
          <w:p>
            <w:pPr>
              <w:spacing w:line="320" w:lineRule="exact"/>
              <w:jc w:val="lef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2.技术指标的技术规格要求中，标“</w:t>
            </w:r>
            <w:r>
              <w:rPr>
                <w:rFonts w:hint="eastAsia" w:ascii="宋体" w:hAnsi="宋体" w:cs="仿宋"/>
                <w:bCs/>
                <w:color w:val="000000" w:themeColor="text1"/>
                <w:kern w:val="0"/>
                <w:sz w:val="18"/>
                <w:szCs w:val="18"/>
                <w14:textFill>
                  <w14:solidFill>
                    <w14:schemeClr w14:val="tx1"/>
                  </w14:solidFill>
                </w14:textFill>
              </w:rPr>
              <w:t>★</w:t>
            </w:r>
            <w:r>
              <w:rPr>
                <w:rFonts w:hint="eastAsia" w:ascii="宋体" w:hAnsi="宋体"/>
                <w:color w:val="000000" w:themeColor="text1"/>
                <w:kern w:val="0"/>
                <w:sz w:val="18"/>
                <w:szCs w:val="18"/>
                <w14:textFill>
                  <w14:solidFill>
                    <w14:schemeClr w14:val="tx1"/>
                  </w14:solidFill>
                </w14:textFill>
              </w:rPr>
              <w:t>”为重要参数，有一项负偏离的每项扣</w:t>
            </w:r>
            <w:r>
              <w:rPr>
                <w:rFonts w:ascii="宋体" w:hAnsi="宋体"/>
                <w:color w:val="000000" w:themeColor="text1"/>
                <w:kern w:val="0"/>
                <w:sz w:val="18"/>
                <w:szCs w:val="18"/>
                <w14:textFill>
                  <w14:solidFill>
                    <w14:schemeClr w14:val="tx1"/>
                  </w14:solidFill>
                </w14:textFill>
              </w:rPr>
              <w:t>2</w:t>
            </w:r>
            <w:r>
              <w:rPr>
                <w:rFonts w:hint="eastAsia" w:ascii="宋体" w:hAnsi="宋体"/>
                <w:color w:val="000000" w:themeColor="text1"/>
                <w:kern w:val="0"/>
                <w:sz w:val="18"/>
                <w:szCs w:val="18"/>
                <w14:textFill>
                  <w14:solidFill>
                    <w14:schemeClr w14:val="tx1"/>
                  </w14:solidFill>
                </w14:textFill>
              </w:rPr>
              <w:t>分，无标记参数有一项负偏离的每项扣1分，扣完为止。</w:t>
            </w:r>
          </w:p>
          <w:p>
            <w:pPr>
              <w:spacing w:line="320" w:lineRule="exact"/>
              <w:jc w:val="lef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标“</w:t>
            </w:r>
            <w:r>
              <w:rPr>
                <w:rFonts w:hint="eastAsia" w:ascii="宋体" w:hAnsi="宋体" w:cs="仿宋"/>
                <w:bCs/>
                <w:color w:val="000000" w:themeColor="text1"/>
                <w:kern w:val="0"/>
                <w:sz w:val="18"/>
                <w:szCs w:val="18"/>
                <w14:textFill>
                  <w14:solidFill>
                    <w14:schemeClr w14:val="tx1"/>
                  </w14:solidFill>
                </w14:textFill>
              </w:rPr>
              <w:t>★</w:t>
            </w:r>
            <w:r>
              <w:rPr>
                <w:rFonts w:hint="eastAsia" w:ascii="宋体" w:hAnsi="宋体"/>
                <w:color w:val="000000" w:themeColor="text1"/>
                <w:kern w:val="0"/>
                <w:sz w:val="18"/>
                <w:szCs w:val="18"/>
                <w14:textFill>
                  <w14:solidFill>
                    <w14:schemeClr w14:val="tx1"/>
                  </w14:solidFill>
                </w14:textFill>
              </w:rPr>
              <w:t>”技术指标参数项超过3项负偏离，本项不得分，且不作为中标候选人排序。</w:t>
            </w:r>
          </w:p>
          <w:p>
            <w:pPr>
              <w:spacing w:line="320" w:lineRule="exact"/>
              <w:jc w:val="lef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本项得分</w:t>
            </w:r>
            <w:r>
              <w:rPr>
                <w:rFonts w:hint="eastAsia" w:ascii="宋体" w:hAnsi="宋体" w:cs="Arial"/>
                <w:color w:val="000000" w:themeColor="text1"/>
                <w:sz w:val="18"/>
                <w:szCs w:val="18"/>
                <w14:textFill>
                  <w14:solidFill>
                    <w14:schemeClr w14:val="tx1"/>
                  </w14:solidFill>
                </w14:textFill>
              </w:rPr>
              <w:t>&lt;</w:t>
            </w:r>
            <w:r>
              <w:rPr>
                <w:rFonts w:hint="eastAsia" w:ascii="宋体" w:hAnsi="宋体"/>
                <w:color w:val="000000" w:themeColor="text1"/>
                <w:sz w:val="18"/>
                <w:szCs w:val="18"/>
                <w14:textFill>
                  <w14:solidFill>
                    <w14:schemeClr w14:val="tx1"/>
                  </w14:solidFill>
                </w14:textFill>
              </w:rPr>
              <w:t>12分，</w:t>
            </w:r>
            <w:r>
              <w:rPr>
                <w:rFonts w:hint="eastAsia" w:ascii="宋体" w:hAnsi="宋体"/>
                <w:color w:val="000000" w:themeColor="text1"/>
                <w:kern w:val="0"/>
                <w:sz w:val="18"/>
                <w:szCs w:val="18"/>
                <w14:textFill>
                  <w14:solidFill>
                    <w14:schemeClr w14:val="tx1"/>
                  </w14:solidFill>
                </w14:textFill>
              </w:rPr>
              <w:t>不作为中标候选人排序。</w:t>
            </w:r>
          </w:p>
          <w:p>
            <w:pPr>
              <w:spacing w:line="320" w:lineRule="exact"/>
              <w:jc w:val="lef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项目需求中标注的“不作为中标候选人排序”的参数和要求必须满足，如不满足，扣除相应分值，且不作为中标候选人排序。</w:t>
            </w:r>
          </w:p>
          <w:p>
            <w:pPr>
              <w:spacing w:line="320" w:lineRule="exact"/>
              <w:rPr>
                <w:rFonts w:ascii="宋体" w:hAnsi="宋体"/>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注：投标人须提供技术应答表，无应答表得0分。技术应答表必须在引用本招标文件的基础上,进行逐条逐项答复、说明和解释,对有具体参数要求的指标，投标人必须提供所投产品的具体参数值。对于招标文件中标注</w:t>
            </w:r>
            <w:r>
              <w:rPr>
                <w:rFonts w:hint="eastAsia" w:ascii="宋体" w:hAnsi="宋体" w:cs="仿宋"/>
                <w:b/>
                <w:bCs/>
                <w:color w:val="000000" w:themeColor="text1"/>
                <w:sz w:val="18"/>
                <w:szCs w:val="18"/>
                <w14:textFill>
                  <w14:solidFill>
                    <w14:schemeClr w14:val="tx1"/>
                  </w14:solidFill>
                </w14:textFill>
              </w:rPr>
              <w:t>“</w:t>
            </w:r>
            <w:r>
              <w:rPr>
                <w:rFonts w:hint="eastAsia" w:ascii="宋体" w:hAnsi="宋体" w:cs="仿宋"/>
                <w:b/>
                <w:bCs/>
                <w:color w:val="000000" w:themeColor="text1"/>
                <w:kern w:val="0"/>
                <w:sz w:val="18"/>
                <w:szCs w:val="18"/>
                <w14:textFill>
                  <w14:solidFill>
                    <w14:schemeClr w14:val="tx1"/>
                  </w14:solidFill>
                </w14:textFill>
              </w:rPr>
              <w:t>★</w:t>
            </w:r>
            <w:r>
              <w:rPr>
                <w:rFonts w:hint="eastAsia" w:ascii="宋体" w:hAnsi="宋体" w:cs="仿宋"/>
                <w:b/>
                <w:bCs/>
                <w:color w:val="000000" w:themeColor="text1"/>
                <w:sz w:val="18"/>
                <w:szCs w:val="18"/>
                <w14:textFill>
                  <w14:solidFill>
                    <w14:schemeClr w14:val="tx1"/>
                  </w14:solidFill>
                </w14:textFill>
              </w:rPr>
              <w:t>”</w:t>
            </w:r>
            <w:r>
              <w:rPr>
                <w:rFonts w:hint="eastAsia" w:ascii="宋体" w:hAnsi="宋体"/>
                <w:b/>
                <w:bCs/>
                <w:color w:val="000000" w:themeColor="text1"/>
                <w:sz w:val="18"/>
                <w:szCs w:val="18"/>
                <w14:textFill>
                  <w14:solidFill>
                    <w14:schemeClr w14:val="tx1"/>
                  </w14:solidFill>
                </w14:textFill>
              </w:rPr>
              <w:t>参数，投标人需提供与功能要求对应的实际产品截图等证明材料和方案说明，不满足上述要求的视为未提供有效证明材料，不得分。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Merge w:val="continue"/>
            <w:tcBorders>
              <w:left w:val="single" w:color="auto" w:sz="4" w:space="0"/>
              <w:right w:val="single" w:color="auto" w:sz="4" w:space="0"/>
            </w:tcBorders>
            <w:vAlign w:val="center"/>
          </w:tcPr>
          <w:p>
            <w:pPr>
              <w:spacing w:line="320" w:lineRule="exact"/>
              <w:jc w:val="left"/>
              <w:rPr>
                <w:rFonts w:ascii="宋体" w:hAnsi="宋体"/>
                <w:b/>
                <w:bCs/>
                <w:color w:val="000000" w:themeColor="text1"/>
                <w:sz w:val="18"/>
                <w:szCs w:val="18"/>
                <w14:textFill>
                  <w14:solidFill>
                    <w14:schemeClr w14:val="tx1"/>
                  </w14:solidFill>
                </w14:textFill>
              </w:rPr>
            </w:pPr>
          </w:p>
        </w:tc>
        <w:tc>
          <w:tcPr>
            <w:tcW w:w="11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功能演示</w:t>
            </w:r>
          </w:p>
          <w:p>
            <w:pPr>
              <w:spacing w:line="320" w:lineRule="exact"/>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（12分）</w:t>
            </w:r>
          </w:p>
        </w:tc>
        <w:tc>
          <w:tcPr>
            <w:tcW w:w="8235" w:type="dxa"/>
            <w:tcBorders>
              <w:top w:val="single" w:color="auto" w:sz="4" w:space="0"/>
              <w:left w:val="single" w:color="auto" w:sz="4" w:space="0"/>
              <w:bottom w:val="single" w:color="auto" w:sz="4" w:space="0"/>
              <w:right w:val="single" w:color="auto" w:sz="4" w:space="0"/>
            </w:tcBorders>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评标委员会根据各供应商的方案演示情况（演示须覆盖下列内容，以真实系统演示，原型及PPT演示不得分）、实际响应程度独立进行评审，最高12分，不满足的逐项扣分，扣完为止，不演示得0分。演示得分</w:t>
            </w:r>
            <w:r>
              <w:rPr>
                <w:rFonts w:ascii="Arial" w:hAnsi="Arial" w:cs="Arial"/>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8分，</w:t>
            </w:r>
            <w:r>
              <w:rPr>
                <w:rFonts w:hint="eastAsia" w:ascii="宋体" w:hAnsi="宋体"/>
                <w:color w:val="000000" w:themeColor="text1"/>
                <w:kern w:val="0"/>
                <w:sz w:val="18"/>
                <w:szCs w:val="18"/>
                <w14:textFill>
                  <w14:solidFill>
                    <w14:schemeClr w14:val="tx1"/>
                  </w14:solidFill>
                </w14:textFill>
              </w:rPr>
              <w:t>不作为中标候选人排序。</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r>
              <w:rPr>
                <w:rFonts w:hint="eastAsia" w:ascii="宋体" w:hAnsi="宋体"/>
                <w:b/>
                <w:bCs/>
                <w:color w:val="000000" w:themeColor="text1"/>
                <w:sz w:val="18"/>
                <w:szCs w:val="18"/>
                <w14:textFill>
                  <w14:solidFill>
                    <w14:schemeClr w14:val="tx1"/>
                  </w14:solidFill>
                </w14:textFill>
              </w:rPr>
              <w:t>演示时间不超过20分钟，超时未演示部分，不得分。演示顺序抽签产生，所需设备投标人自带</w:t>
            </w:r>
            <w:r>
              <w:rPr>
                <w:rFonts w:hint="eastAsia" w:ascii="宋体" w:hAnsi="宋体"/>
                <w:color w:val="000000" w:themeColor="text1"/>
                <w:sz w:val="18"/>
                <w:szCs w:val="18"/>
                <w14:textFill>
                  <w14:solidFill>
                    <w14:schemeClr w14:val="tx1"/>
                  </w14:solidFill>
                </w14:textFill>
              </w:rPr>
              <w: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1.元数据与标准管理能力(2分)</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演示拉线式代码转标集成能力，需要数据库验证转标结果与拉线映射对应；（完成演示且符合得2分，演示不全或不演示得0分）</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2.数据集成工具治理功能（3分）</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演示数据集成方案到一键ETL集成作业流程、数据湖仓的批流一体能力；（完成演示且符合得2分，演示不全或不演示得0分）</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演示在线调研协同办公能力，确保演示出多浏览器操作一张调研表，锁死单元格、同步数据的能力；（完成演示且符合得1分，演示不全或不演示得0分）</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3.数据指标管理能力（3分）</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演示多指标组合为聚集的管理；（完成演示且符合得1分，演示不全或不演示得0分）</w:t>
            </w:r>
          </w:p>
          <w:p>
            <w:pPr>
              <w:pStyle w:val="2"/>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演示指标配置过程，可自定义表达式计算（表达式工作台需具备常见计算控件）、指标分值系数控制、配置指标转SQL能力、指标派生与多指标复合、指标运算结果预览等功能。（完成演示且符合得2分，演示不全或不演示得0分）</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4.ETL机制高容错性（2分）</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支持错误记录自动跳过功能，不会因个别记录错误导致整体ETL任务的失败，可查看任务的错误日志和报错记录的明细内容，以及导致错误的具体原因。</w:t>
            </w:r>
            <w:r>
              <w:rPr>
                <w:rFonts w:hint="eastAsia" w:ascii="宋体" w:hAnsi="宋体"/>
                <w:color w:val="000000" w:themeColor="text1"/>
                <w:sz w:val="18"/>
                <w:szCs w:val="18"/>
                <w14:textFill>
                  <w14:solidFill>
                    <w14:schemeClr w14:val="tx1"/>
                  </w14:solidFill>
                </w14:textFill>
              </w:rPr>
              <w:t>（完成演示且符合得2分，演示不全或不演示得0分）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5.友好度与易用性（2分）</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宋体" w:hAnsi="宋体"/>
                <w:color w:val="000000" w:themeColor="text1"/>
                <w:kern w:val="0"/>
                <w:sz w:val="18"/>
                <w:szCs w:val="18"/>
                <w:highlight w:val="yellow"/>
                <w:lang w:bidi="zh-CN"/>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评委根据功能的界面友好度、操作便捷性和易用性等，在0-2分之间赋分（以0.1分为计量单位），所赋分值不得相同。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Merge w:val="continue"/>
            <w:tcBorders>
              <w:left w:val="single" w:color="auto" w:sz="4" w:space="0"/>
              <w:right w:val="single" w:color="auto" w:sz="4" w:space="0"/>
            </w:tcBorders>
            <w:vAlign w:val="center"/>
          </w:tcPr>
          <w:p>
            <w:pPr>
              <w:spacing w:line="320" w:lineRule="exact"/>
              <w:jc w:val="center"/>
              <w:rPr>
                <w:rFonts w:ascii="宋体" w:hAnsi="宋体"/>
                <w:b/>
                <w:bCs/>
                <w:color w:val="000000" w:themeColor="text1"/>
                <w:sz w:val="18"/>
                <w:szCs w:val="18"/>
                <w14:textFill>
                  <w14:solidFill>
                    <w14:schemeClr w14:val="tx1"/>
                  </w14:solidFill>
                </w14:textFill>
              </w:rPr>
            </w:pPr>
          </w:p>
        </w:tc>
        <w:tc>
          <w:tcPr>
            <w:tcW w:w="1145" w:type="dxa"/>
            <w:tcBorders>
              <w:top w:val="single" w:color="auto" w:sz="4" w:space="0"/>
              <w:left w:val="single" w:color="auto" w:sz="4" w:space="0"/>
              <w:right w:val="single" w:color="auto" w:sz="4" w:space="0"/>
            </w:tcBorders>
            <w:vAlign w:val="center"/>
          </w:tcPr>
          <w:p>
            <w:pPr>
              <w:spacing w:line="320" w:lineRule="exact"/>
              <w:jc w:val="center"/>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项目团队（2分）</w:t>
            </w:r>
          </w:p>
        </w:tc>
        <w:tc>
          <w:tcPr>
            <w:tcW w:w="8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1.项目负责人具有信息系统项目管理师证书（复印件加盖公章），提供得 1分，不提供不得分。</w:t>
            </w:r>
          </w:p>
          <w:p>
            <w:pPr>
              <w:adjustRightInd w:val="0"/>
              <w:snapToGrid w:val="0"/>
              <w:spacing w:line="32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2.项目组成员不得少于5人，拟派本项目驻场技术服务人员(除项目负责人外) 具有数据库系统工程师证书，得 1 分。</w:t>
            </w:r>
          </w:p>
          <w:p>
            <w:pPr>
              <w:adjustRightInd w:val="0"/>
              <w:snapToGrid w:val="0"/>
              <w:spacing w:line="320" w:lineRule="exact"/>
              <w:rPr>
                <w:color w:val="000000" w:themeColor="text1"/>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注：提供人员证书及近半年内任意3个月的社保证明复印件加盖公章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商务分</w:t>
            </w:r>
          </w:p>
          <w:p>
            <w:pPr>
              <w:spacing w:line="320" w:lineRule="exact"/>
              <w:jc w:val="center"/>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（16分）</w:t>
            </w:r>
          </w:p>
        </w:tc>
        <w:tc>
          <w:tcPr>
            <w:tcW w:w="1145" w:type="dxa"/>
            <w:tcBorders>
              <w:top w:val="single" w:color="auto" w:sz="4" w:space="0"/>
              <w:left w:val="single" w:color="auto" w:sz="4" w:space="0"/>
              <w:right w:val="single" w:color="auto" w:sz="4" w:space="0"/>
            </w:tcBorders>
            <w:vAlign w:val="center"/>
          </w:tcPr>
          <w:p>
            <w:pPr>
              <w:spacing w:line="320" w:lineRule="exact"/>
              <w:jc w:val="center"/>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企业综合实力（2分）</w:t>
            </w:r>
          </w:p>
        </w:tc>
        <w:tc>
          <w:tcPr>
            <w:tcW w:w="8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1、投标人具备CMMI3及以上软件成熟度模型认证证书，提供得 1分，否则不得分。 </w:t>
            </w:r>
          </w:p>
          <w:p>
            <w:pPr>
              <w:adjustRightInd w:val="0"/>
              <w:snapToGrid w:val="0"/>
              <w:spacing w:line="32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2、投标人具备有效的ISO20000信息技术服务管理体系认证、ISO27001信息安全管理体系认证证书，两证齐全得1分，否则不得分。 </w:t>
            </w:r>
          </w:p>
          <w:p>
            <w:pPr>
              <w:adjustRightInd w:val="0"/>
              <w:snapToGrid w:val="0"/>
              <w:spacing w:line="32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注：提供有效的证书复印件并加盖供应商公章得分，未提供不得分， 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b/>
                <w:bCs/>
                <w:color w:val="000000" w:themeColor="text1"/>
                <w:sz w:val="18"/>
                <w:szCs w:val="18"/>
                <w14:textFill>
                  <w14:solidFill>
                    <w14:schemeClr w14:val="tx1"/>
                  </w14:solidFill>
                </w14:textFill>
              </w:rPr>
            </w:pPr>
          </w:p>
        </w:tc>
        <w:tc>
          <w:tcPr>
            <w:tcW w:w="1145"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知识产权及产品能力（3分）</w:t>
            </w:r>
          </w:p>
        </w:tc>
        <w:tc>
          <w:tcPr>
            <w:tcW w:w="8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为确保中标单位有技术能力完成项目的实施，本次项目要求投标人所投产品的软件著作权应无争议，且覆盖本项目所有所投产品，提供相关软件著作权证书及承诺函，能提供者得1分，不提供不得分。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b/>
                <w:bCs/>
                <w:color w:val="000000" w:themeColor="text1"/>
                <w:sz w:val="18"/>
                <w:szCs w:val="18"/>
                <w14:textFill>
                  <w14:solidFill>
                    <w14:schemeClr w14:val="tx1"/>
                  </w14:solidFill>
                </w14:textFill>
              </w:rPr>
            </w:pPr>
          </w:p>
        </w:tc>
        <w:tc>
          <w:tcPr>
            <w:tcW w:w="1145" w:type="dxa"/>
            <w:vMerge w:val="continue"/>
            <w:tcBorders>
              <w:left w:val="single" w:color="auto" w:sz="4" w:space="0"/>
              <w:right w:val="single" w:color="auto" w:sz="4" w:space="0"/>
            </w:tcBorders>
            <w:vAlign w:val="center"/>
          </w:tcPr>
          <w:p>
            <w:pPr>
              <w:spacing w:line="320" w:lineRule="exact"/>
              <w:jc w:val="left"/>
              <w:rPr>
                <w:rFonts w:ascii="宋体" w:hAnsi="宋体"/>
                <w:b/>
                <w:bCs/>
                <w:color w:val="000000" w:themeColor="text1"/>
                <w:sz w:val="18"/>
                <w:szCs w:val="18"/>
                <w14:textFill>
                  <w14:solidFill>
                    <w14:schemeClr w14:val="tx1"/>
                  </w14:solidFill>
                </w14:textFill>
              </w:rPr>
            </w:pPr>
          </w:p>
        </w:tc>
        <w:tc>
          <w:tcPr>
            <w:tcW w:w="8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所投产品厂商具有统一数据开放平台支持大批量数据计算和调用，单个接口请求秒级响应；并发数支持2000，并能提供专业第三方实验室性能测试证明材料，得1分。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Merge w:val="continue"/>
            <w:tcBorders>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14:textFill>
                  <w14:solidFill>
                    <w14:schemeClr w14:val="tx1"/>
                  </w14:solidFill>
                </w14:textFill>
              </w:rPr>
            </w:pPr>
          </w:p>
        </w:tc>
        <w:tc>
          <w:tcPr>
            <w:tcW w:w="1145" w:type="dxa"/>
            <w:vMerge w:val="continue"/>
            <w:tcBorders>
              <w:left w:val="single" w:color="auto" w:sz="4" w:space="0"/>
              <w:right w:val="single" w:color="auto" w:sz="4" w:space="0"/>
            </w:tcBorders>
            <w:vAlign w:val="center"/>
          </w:tcPr>
          <w:p>
            <w:pPr>
              <w:adjustRightInd w:val="0"/>
              <w:snapToGrid w:val="0"/>
              <w:spacing w:line="320" w:lineRule="exact"/>
              <w:rPr>
                <w:color w:val="000000" w:themeColor="text1"/>
                <w14:textFill>
                  <w14:solidFill>
                    <w14:schemeClr w14:val="tx1"/>
                  </w14:solidFill>
                </w14:textFill>
              </w:rPr>
            </w:pPr>
          </w:p>
        </w:tc>
        <w:tc>
          <w:tcPr>
            <w:tcW w:w="8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所投产品厂商具有在单台服务器上，对2亿条以上的数据进行统计分析，在无缓存的情况下，单页面1.5秒内可输出不少于3个不同维度的分析图表，并能提供专业第三方实验室性能测试证明材料，得1分。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b/>
                <w:bCs/>
                <w:color w:val="000000" w:themeColor="text1"/>
                <w:sz w:val="18"/>
                <w:szCs w:val="18"/>
                <w14:textFill>
                  <w14:solidFill>
                    <w14:schemeClr w14:val="tx1"/>
                  </w14:solidFill>
                </w14:textFill>
              </w:rPr>
            </w:pPr>
          </w:p>
        </w:tc>
        <w:tc>
          <w:tcPr>
            <w:tcW w:w="1145" w:type="dxa"/>
            <w:tcBorders>
              <w:top w:val="single" w:color="auto" w:sz="4" w:space="0"/>
              <w:left w:val="single" w:color="auto" w:sz="4" w:space="0"/>
              <w:right w:val="single" w:color="auto" w:sz="4" w:space="0"/>
            </w:tcBorders>
            <w:vAlign w:val="center"/>
          </w:tcPr>
          <w:p>
            <w:pPr>
              <w:spacing w:line="320" w:lineRule="exact"/>
              <w:jc w:val="center"/>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类似案例</w:t>
            </w:r>
          </w:p>
          <w:p>
            <w:pPr>
              <w:spacing w:line="320" w:lineRule="exact"/>
              <w:jc w:val="center"/>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（5分）</w:t>
            </w:r>
          </w:p>
        </w:tc>
        <w:tc>
          <w:tcPr>
            <w:tcW w:w="8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供应商提供自2018年1月1日（以合同签订时间为准）以来的已完成的项目类似（包含数据中台或数据治理建设内容）建设案例，每提供一份完整材料得1分，最高5分。同时包含数据中台和数据治理建设内容的建设案例算1份。提供的案例应多于一半案例包含数据治理建设内容，如只提供一份案例，则应为包含数据治理建设内容的案例，否则本项不得分。</w:t>
            </w:r>
          </w:p>
          <w:p>
            <w:pPr>
              <w:adjustRightInd w:val="0"/>
              <w:snapToGrid w:val="0"/>
              <w:spacing w:line="320" w:lineRule="exact"/>
              <w:rPr>
                <w:color w:val="000000" w:themeColor="text1"/>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注：提供每份业绩须提供清晰复印件加盖供应商的公章装订于正、副本中，必需提供中标通知书（或加盖公章的网上中标公告）证明，合同首页、签字盖章页、采购清单页、验收报告等。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b/>
                <w:bCs/>
                <w:color w:val="000000" w:themeColor="text1"/>
                <w:sz w:val="18"/>
                <w:szCs w:val="18"/>
                <w14:textFill>
                  <w14:solidFill>
                    <w14:schemeClr w14:val="tx1"/>
                  </w14:solidFill>
                </w14:textFill>
              </w:rPr>
            </w:pPr>
          </w:p>
        </w:tc>
        <w:tc>
          <w:tcPr>
            <w:tcW w:w="114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服务体系</w:t>
            </w:r>
          </w:p>
          <w:p>
            <w:pPr>
              <w:spacing w:line="320" w:lineRule="exact"/>
              <w:jc w:val="center"/>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（6分）</w:t>
            </w:r>
          </w:p>
        </w:tc>
        <w:tc>
          <w:tcPr>
            <w:tcW w:w="8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提供完整合理的实施方案、项目管理方案，安排实施计划、进度、质量控制、验收方案、文档提供方案。评委根据各投标人对本项目的实施方案设计的完整性、合理性进行综合评分，满分4分，未提供不得分。方案内容需包含且不限于下列内容：</w:t>
            </w:r>
          </w:p>
          <w:p>
            <w:pPr>
              <w:adjustRightInd w:val="0"/>
              <w:snapToGrid w:val="0"/>
              <w:spacing w:line="32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（1）提供驻场实施服务：方案完整合理且详细、清晰。</w:t>
            </w:r>
          </w:p>
          <w:p>
            <w:pPr>
              <w:adjustRightInd w:val="0"/>
              <w:snapToGrid w:val="0"/>
              <w:spacing w:line="32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（2）提供售后服务方案，包括售后服务体系、现场服务、在线服务等售后服务方式等：方案体系完整、操作性强。</w:t>
            </w:r>
          </w:p>
          <w:p>
            <w:pPr>
              <w:adjustRightInd w:val="0"/>
              <w:snapToGrid w:val="0"/>
              <w:spacing w:line="32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（3）提供项目培训方案：方案完整、培训计划（使用者、管理人员、开发人员）合理且详细、清晰。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b/>
                <w:bCs/>
                <w:color w:val="000000" w:themeColor="text1"/>
                <w:sz w:val="18"/>
                <w:szCs w:val="18"/>
                <w14:textFill>
                  <w14:solidFill>
                    <w14:schemeClr w14:val="tx1"/>
                  </w14:solidFill>
                </w14:textFill>
              </w:rPr>
            </w:pPr>
          </w:p>
        </w:tc>
        <w:tc>
          <w:tcPr>
            <w:tcW w:w="1145"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b/>
                <w:bCs/>
                <w:color w:val="000000" w:themeColor="text1"/>
                <w:sz w:val="18"/>
                <w:szCs w:val="18"/>
                <w14:textFill>
                  <w14:solidFill>
                    <w14:schemeClr w14:val="tx1"/>
                  </w14:solidFill>
                </w14:textFill>
              </w:rPr>
            </w:pPr>
          </w:p>
        </w:tc>
        <w:tc>
          <w:tcPr>
            <w:tcW w:w="823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质保期：所投产品要求免费原厂质保6年，每增加一年得1分，最高得2分。不承诺的、承诺不全的或承诺低于6年的，不作为中标候选人排序。</w:t>
            </w:r>
          </w:p>
        </w:tc>
      </w:tr>
    </w:tbl>
    <w:p>
      <w:pPr>
        <w:rPr>
          <w:color w:val="000000" w:themeColor="text1"/>
          <w14:textFill>
            <w14:solidFill>
              <w14:schemeClr w14:val="tx1"/>
            </w14:solidFill>
          </w14:textFill>
        </w:rPr>
      </w:pPr>
    </w:p>
    <w:p>
      <w:pPr>
        <w:snapToGrid w:val="0"/>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 xml:space="preserve">说明： </w:t>
      </w:r>
    </w:p>
    <w:p>
      <w:pPr>
        <w:snapToGrid w:val="0"/>
        <w:ind w:firstLine="480" w:firstLineChars="200"/>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1、要求供应</w:t>
      </w:r>
      <w:r>
        <w:rPr>
          <w:rFonts w:ascii="宋体" w:hAnsi="宋体"/>
          <w:bCs/>
          <w:color w:val="000000" w:themeColor="text1"/>
          <w:kern w:val="0"/>
          <w:sz w:val="24"/>
          <w:szCs w:val="24"/>
          <w14:textFill>
            <w14:solidFill>
              <w14:schemeClr w14:val="tx1"/>
            </w14:solidFill>
          </w14:textFill>
        </w:rPr>
        <w:t>商提供</w:t>
      </w:r>
      <w:r>
        <w:rPr>
          <w:rFonts w:hint="eastAsia" w:ascii="宋体" w:hAnsi="宋体"/>
          <w:bCs/>
          <w:color w:val="000000" w:themeColor="text1"/>
          <w:kern w:val="0"/>
          <w:sz w:val="24"/>
          <w:szCs w:val="24"/>
          <w14:textFill>
            <w14:solidFill>
              <w14:schemeClr w14:val="tx1"/>
            </w14:solidFill>
          </w14:textFill>
        </w:rPr>
        <w:t>盖章复印</w:t>
      </w:r>
      <w:r>
        <w:rPr>
          <w:rFonts w:ascii="宋体" w:hAnsi="宋体"/>
          <w:bCs/>
          <w:color w:val="000000" w:themeColor="text1"/>
          <w:kern w:val="0"/>
          <w:sz w:val="24"/>
          <w:szCs w:val="24"/>
          <w14:textFill>
            <w14:solidFill>
              <w14:schemeClr w14:val="tx1"/>
            </w14:solidFill>
          </w14:textFill>
        </w:rPr>
        <w:t>件</w:t>
      </w:r>
      <w:r>
        <w:rPr>
          <w:rFonts w:hint="eastAsia" w:ascii="宋体" w:hAnsi="宋体"/>
          <w:bCs/>
          <w:color w:val="000000" w:themeColor="text1"/>
          <w:kern w:val="0"/>
          <w:sz w:val="24"/>
          <w:szCs w:val="24"/>
          <w14:textFill>
            <w14:solidFill>
              <w14:schemeClr w14:val="tx1"/>
            </w14:solidFill>
          </w14:textFill>
        </w:rPr>
        <w:t>的，则</w:t>
      </w:r>
      <w:r>
        <w:rPr>
          <w:rFonts w:ascii="宋体" w:hAnsi="宋体"/>
          <w:bCs/>
          <w:color w:val="000000" w:themeColor="text1"/>
          <w:kern w:val="0"/>
          <w:sz w:val="24"/>
          <w:szCs w:val="24"/>
          <w14:textFill>
            <w14:solidFill>
              <w14:schemeClr w14:val="tx1"/>
            </w14:solidFill>
          </w14:textFill>
        </w:rPr>
        <w:t>必须</w:t>
      </w:r>
      <w:r>
        <w:rPr>
          <w:rFonts w:hint="eastAsia" w:ascii="宋体" w:hAnsi="宋体"/>
          <w:bCs/>
          <w:color w:val="000000" w:themeColor="text1"/>
          <w:kern w:val="0"/>
          <w:sz w:val="24"/>
          <w:szCs w:val="24"/>
          <w14:textFill>
            <w14:solidFill>
              <w14:schemeClr w14:val="tx1"/>
            </w14:solidFill>
          </w14:textFill>
        </w:rPr>
        <w:t>按</w:t>
      </w:r>
      <w:r>
        <w:rPr>
          <w:rFonts w:ascii="宋体" w:hAnsi="宋体"/>
          <w:bCs/>
          <w:color w:val="000000" w:themeColor="text1"/>
          <w:kern w:val="0"/>
          <w:sz w:val="24"/>
          <w:szCs w:val="24"/>
          <w14:textFill>
            <w14:solidFill>
              <w14:schemeClr w14:val="tx1"/>
            </w14:solidFill>
          </w14:textFill>
        </w:rPr>
        <w:t>要求提供，</w:t>
      </w:r>
      <w:r>
        <w:rPr>
          <w:rFonts w:hint="eastAsia" w:ascii="宋体" w:hAnsi="宋体"/>
          <w:bCs/>
          <w:color w:val="000000" w:themeColor="text1"/>
          <w:kern w:val="0"/>
          <w:sz w:val="24"/>
          <w:szCs w:val="24"/>
          <w14:textFill>
            <w14:solidFill>
              <w14:schemeClr w14:val="tx1"/>
            </w14:solidFill>
          </w14:textFill>
        </w:rPr>
        <w:t>并且</w:t>
      </w:r>
      <w:r>
        <w:rPr>
          <w:rFonts w:ascii="宋体" w:hAnsi="宋体"/>
          <w:bCs/>
          <w:color w:val="000000" w:themeColor="text1"/>
          <w:kern w:val="0"/>
          <w:sz w:val="24"/>
          <w:szCs w:val="24"/>
          <w14:textFill>
            <w14:solidFill>
              <w14:schemeClr w14:val="tx1"/>
            </w14:solidFill>
          </w14:textFill>
        </w:rPr>
        <w:t>能够识别，否则</w:t>
      </w:r>
      <w:r>
        <w:rPr>
          <w:rFonts w:hint="eastAsia" w:ascii="宋体" w:hAnsi="宋体"/>
          <w:bCs/>
          <w:color w:val="000000" w:themeColor="text1"/>
          <w:kern w:val="0"/>
          <w:sz w:val="24"/>
          <w:szCs w:val="24"/>
          <w14:textFill>
            <w14:solidFill>
              <w14:schemeClr w14:val="tx1"/>
            </w14:solidFill>
          </w14:textFill>
        </w:rPr>
        <w:t>作为不</w:t>
      </w:r>
      <w:r>
        <w:rPr>
          <w:rFonts w:ascii="宋体" w:hAnsi="宋体"/>
          <w:bCs/>
          <w:color w:val="000000" w:themeColor="text1"/>
          <w:kern w:val="0"/>
          <w:sz w:val="24"/>
          <w:szCs w:val="24"/>
          <w14:textFill>
            <w14:solidFill>
              <w14:schemeClr w14:val="tx1"/>
            </w14:solidFill>
          </w14:textFill>
        </w:rPr>
        <w:t>响</w:t>
      </w:r>
      <w:r>
        <w:rPr>
          <w:rFonts w:hint="eastAsia" w:ascii="宋体" w:hAnsi="宋体"/>
          <w:bCs/>
          <w:color w:val="000000" w:themeColor="text1"/>
          <w:kern w:val="0"/>
          <w:sz w:val="24"/>
          <w:szCs w:val="24"/>
          <w14:textFill>
            <w14:solidFill>
              <w14:schemeClr w14:val="tx1"/>
            </w14:solidFill>
          </w14:textFill>
        </w:rPr>
        <w:t>应处理</w:t>
      </w:r>
      <w:r>
        <w:rPr>
          <w:rFonts w:ascii="宋体" w:hAnsi="宋体"/>
          <w:bCs/>
          <w:color w:val="000000" w:themeColor="text1"/>
          <w:kern w:val="0"/>
          <w:sz w:val="24"/>
          <w:szCs w:val="24"/>
          <w14:textFill>
            <w14:solidFill>
              <w14:schemeClr w14:val="tx1"/>
            </w14:solidFill>
          </w14:textFill>
        </w:rPr>
        <w:t>。</w:t>
      </w:r>
      <w:r>
        <w:rPr>
          <w:rFonts w:hint="eastAsia" w:ascii="宋体" w:hAnsi="宋体"/>
          <w:bCs/>
          <w:color w:val="000000" w:themeColor="text1"/>
          <w:kern w:val="0"/>
          <w:sz w:val="24"/>
          <w:szCs w:val="24"/>
          <w14:textFill>
            <w14:solidFill>
              <w14:schemeClr w14:val="tx1"/>
            </w14:solidFill>
          </w14:textFill>
        </w:rPr>
        <w:t>若供应商提供虚假资料，一经查实取消其中标候选人资格，并向相关主管部门汇报。</w:t>
      </w:r>
    </w:p>
    <w:p>
      <w:pPr>
        <w:snapToGrid w:val="0"/>
        <w:ind w:firstLine="480" w:firstLineChars="200"/>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2、中标单位不得转包、分包，如果发现有转包、分包情况，则取消其中标候选人资格，并向相关主管部门汇报。</w:t>
      </w:r>
    </w:p>
    <w:p>
      <w:pPr>
        <w:snapToGrid w:val="0"/>
        <w:ind w:firstLine="480" w:firstLineChars="200"/>
        <w:rPr>
          <w:rStyle w:val="44"/>
          <w:rFonts w:ascii="宋体" w:hAnsi="宋体"/>
          <w:b/>
          <w:color w:val="000000" w:themeColor="text1"/>
          <w:sz w:val="4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3、中标公告期内，中标单位有义务按采购单位的</w:t>
      </w:r>
      <w:r>
        <w:rPr>
          <w:rFonts w:ascii="宋体" w:hAnsi="宋体"/>
          <w:bCs/>
          <w:color w:val="000000" w:themeColor="text1"/>
          <w:kern w:val="0"/>
          <w:sz w:val="24"/>
          <w:szCs w:val="24"/>
          <w14:textFill>
            <w14:solidFill>
              <w14:schemeClr w14:val="tx1"/>
            </w14:solidFill>
          </w14:textFill>
        </w:rPr>
        <w:t>要求</w:t>
      </w:r>
      <w:r>
        <w:rPr>
          <w:rFonts w:hint="eastAsia" w:ascii="宋体" w:hAnsi="宋体"/>
          <w:bCs/>
          <w:color w:val="000000" w:themeColor="text1"/>
          <w:kern w:val="0"/>
          <w:sz w:val="24"/>
          <w:szCs w:val="24"/>
          <w14:textFill>
            <w14:solidFill>
              <w14:schemeClr w14:val="tx1"/>
            </w14:solidFill>
          </w14:textFill>
        </w:rPr>
        <w:t>提供产品相关证明文件原件以供审核，如有不实采购人有权取消其中标资格。</w:t>
      </w:r>
      <w:bookmarkStart w:id="22" w:name="_Toc11144"/>
    </w:p>
    <w:p>
      <w:pPr>
        <w:pStyle w:val="34"/>
        <w:ind w:firstLine="2650" w:firstLineChars="600"/>
        <w:jc w:val="both"/>
        <w:outlineLvl w:val="0"/>
        <w:rPr>
          <w:rStyle w:val="44"/>
          <w:rFonts w:ascii="Times New Roman" w:eastAsia="宋体" w:cs="Times New Roman"/>
          <w:b/>
          <w:color w:val="000000" w:themeColor="text1"/>
          <w:kern w:val="0"/>
          <w:sz w:val="44"/>
          <w:szCs w:val="24"/>
          <w14:textFill>
            <w14:solidFill>
              <w14:schemeClr w14:val="tx1"/>
            </w14:solidFill>
          </w14:textFill>
        </w:rPr>
      </w:pPr>
      <w:bookmarkStart w:id="23" w:name="_Toc14626"/>
      <w:r>
        <w:rPr>
          <w:rStyle w:val="44"/>
          <w:rFonts w:hint="eastAsia" w:ascii="Times New Roman" w:eastAsia="宋体" w:cs="Times New Roman"/>
          <w:b/>
          <w:color w:val="000000" w:themeColor="text1"/>
          <w:kern w:val="0"/>
          <w:sz w:val="44"/>
          <w:szCs w:val="24"/>
          <w14:textFill>
            <w14:solidFill>
              <w14:schemeClr w14:val="tx1"/>
            </w14:solidFill>
          </w14:textFill>
        </w:rPr>
        <w:br w:type="page"/>
      </w:r>
      <w:r>
        <w:rPr>
          <w:rStyle w:val="44"/>
          <w:rFonts w:hint="eastAsia" w:ascii="Times New Roman" w:eastAsia="宋体" w:cs="Times New Roman"/>
          <w:b/>
          <w:color w:val="000000" w:themeColor="text1"/>
          <w:kern w:val="0"/>
          <w:sz w:val="44"/>
          <w:szCs w:val="24"/>
          <w14:textFill>
            <w14:solidFill>
              <w14:schemeClr w14:val="tx1"/>
            </w14:solidFill>
          </w14:textFill>
        </w:rPr>
        <w:t>第六章  投标文件格式</w:t>
      </w:r>
      <w:bookmarkEnd w:id="22"/>
      <w:bookmarkEnd w:id="23"/>
    </w:p>
    <w:p>
      <w:pPr>
        <w:jc w:val="center"/>
        <w:rPr>
          <w:rStyle w:val="44"/>
          <w:rFonts w:ascii="宋体" w:hAnsi="宋体"/>
          <w:b/>
          <w:color w:val="000000" w:themeColor="text1"/>
          <w:sz w:val="72"/>
          <w14:textFill>
            <w14:solidFill>
              <w14:schemeClr w14:val="tx1"/>
            </w14:solidFill>
          </w14:textFill>
        </w:rPr>
      </w:pPr>
    </w:p>
    <w:p>
      <w:pPr>
        <w:jc w:val="center"/>
        <w:outlineLvl w:val="0"/>
        <w:rPr>
          <w:rStyle w:val="44"/>
          <w:rFonts w:ascii="宋体" w:hAnsi="宋体"/>
          <w:b/>
          <w:color w:val="000000" w:themeColor="text1"/>
          <w:sz w:val="72"/>
          <w14:textFill>
            <w14:solidFill>
              <w14:schemeClr w14:val="tx1"/>
            </w14:solidFill>
          </w14:textFill>
        </w:rPr>
      </w:pPr>
      <w:bookmarkStart w:id="24" w:name="_Toc23900"/>
      <w:bookmarkStart w:id="25" w:name="_Toc5987"/>
      <w:r>
        <w:rPr>
          <w:rStyle w:val="44"/>
          <w:rFonts w:hint="eastAsia" w:ascii="宋体" w:hAnsi="宋体"/>
          <w:b/>
          <w:color w:val="000000" w:themeColor="text1"/>
          <w:sz w:val="72"/>
          <w14:textFill>
            <w14:solidFill>
              <w14:schemeClr w14:val="tx1"/>
            </w14:solidFill>
          </w14:textFill>
        </w:rPr>
        <w:t>投  标  文  件</w:t>
      </w:r>
      <w:bookmarkEnd w:id="24"/>
      <w:bookmarkEnd w:id="25"/>
    </w:p>
    <w:p>
      <w:pPr>
        <w:jc w:val="center"/>
        <w:outlineLvl w:val="0"/>
        <w:rPr>
          <w:rStyle w:val="44"/>
          <w:rFonts w:ascii="宋体" w:hAnsi="宋体"/>
          <w:b/>
          <w:color w:val="000000" w:themeColor="text1"/>
          <w:sz w:val="72"/>
          <w14:textFill>
            <w14:solidFill>
              <w14:schemeClr w14:val="tx1"/>
            </w14:solidFill>
          </w14:textFill>
        </w:rPr>
      </w:pPr>
      <w:bookmarkStart w:id="26" w:name="_Toc659"/>
      <w:bookmarkStart w:id="27" w:name="_Toc8364"/>
      <w:r>
        <w:rPr>
          <w:rStyle w:val="44"/>
          <w:rFonts w:hint="eastAsia" w:ascii="宋体" w:hAnsi="宋体"/>
          <w:b/>
          <w:color w:val="000000" w:themeColor="text1"/>
          <w:sz w:val="36"/>
          <w14:textFill>
            <w14:solidFill>
              <w14:schemeClr w14:val="tx1"/>
            </w14:solidFill>
          </w14:textFill>
        </w:rPr>
        <w:t>（正或副本）</w:t>
      </w:r>
      <w:bookmarkEnd w:id="26"/>
      <w:bookmarkEnd w:id="27"/>
    </w:p>
    <w:p>
      <w:pPr>
        <w:jc w:val="center"/>
        <w:rPr>
          <w:rStyle w:val="44"/>
          <w:rFonts w:ascii="宋体" w:hAnsi="宋体"/>
          <w:b/>
          <w:color w:val="000000" w:themeColor="text1"/>
          <w:sz w:val="72"/>
          <w14:textFill>
            <w14:solidFill>
              <w14:schemeClr w14:val="tx1"/>
            </w14:solidFill>
          </w14:textFill>
        </w:rPr>
      </w:pPr>
    </w:p>
    <w:p>
      <w:pPr>
        <w:jc w:val="center"/>
        <w:rPr>
          <w:rStyle w:val="44"/>
          <w:rFonts w:ascii="宋体" w:hAnsi="宋体"/>
          <w:b/>
          <w:color w:val="000000" w:themeColor="text1"/>
          <w:sz w:val="36"/>
          <w14:textFill>
            <w14:solidFill>
              <w14:schemeClr w14:val="tx1"/>
            </w14:solidFill>
          </w14:textFill>
        </w:rPr>
      </w:pPr>
    </w:p>
    <w:p>
      <w:pPr>
        <w:jc w:val="center"/>
        <w:rPr>
          <w:rStyle w:val="44"/>
          <w:rFonts w:ascii="宋体" w:hAnsi="宋体"/>
          <w:b/>
          <w:color w:val="000000" w:themeColor="text1"/>
          <w:sz w:val="36"/>
          <w14:textFill>
            <w14:solidFill>
              <w14:schemeClr w14:val="tx1"/>
            </w14:solidFill>
          </w14:textFill>
        </w:rPr>
      </w:pPr>
    </w:p>
    <w:p>
      <w:pPr>
        <w:jc w:val="center"/>
        <w:rPr>
          <w:rStyle w:val="44"/>
          <w:rFonts w:ascii="宋体" w:hAnsi="宋体"/>
          <w:b/>
          <w:color w:val="000000" w:themeColor="text1"/>
          <w:sz w:val="36"/>
          <w14:textFill>
            <w14:solidFill>
              <w14:schemeClr w14:val="tx1"/>
            </w14:solidFill>
          </w14:textFill>
        </w:rPr>
      </w:pPr>
    </w:p>
    <w:p>
      <w:pPr>
        <w:ind w:firstLine="1084" w:firstLineChars="300"/>
        <w:outlineLvl w:val="0"/>
        <w:rPr>
          <w:rStyle w:val="44"/>
          <w:rFonts w:ascii="宋体" w:hAnsi="宋体"/>
          <w:b/>
          <w:color w:val="000000" w:themeColor="text1"/>
          <w:sz w:val="36"/>
          <w14:textFill>
            <w14:solidFill>
              <w14:schemeClr w14:val="tx1"/>
            </w14:solidFill>
          </w14:textFill>
        </w:rPr>
      </w:pPr>
      <w:bookmarkStart w:id="28" w:name="_Toc24331"/>
      <w:bookmarkStart w:id="29" w:name="_Toc543"/>
      <w:r>
        <w:rPr>
          <w:rStyle w:val="44"/>
          <w:rFonts w:hint="eastAsia" w:ascii="宋体" w:hAnsi="宋体"/>
          <w:b/>
          <w:color w:val="000000" w:themeColor="text1"/>
          <w:sz w:val="36"/>
          <w14:textFill>
            <w14:solidFill>
              <w14:schemeClr w14:val="tx1"/>
            </w14:solidFill>
          </w14:textFill>
        </w:rPr>
        <w:t>项 目 名 称：</w:t>
      </w:r>
      <w:bookmarkEnd w:id="28"/>
      <w:bookmarkEnd w:id="29"/>
    </w:p>
    <w:p>
      <w:pPr>
        <w:ind w:firstLine="1084" w:firstLineChars="300"/>
        <w:outlineLvl w:val="0"/>
        <w:rPr>
          <w:rStyle w:val="44"/>
          <w:rFonts w:ascii="宋体" w:hAnsi="宋体"/>
          <w:b/>
          <w:color w:val="000000" w:themeColor="text1"/>
          <w:sz w:val="36"/>
          <w:u w:val="single" w:color="000000"/>
          <w14:textFill>
            <w14:solidFill>
              <w14:schemeClr w14:val="tx1"/>
            </w14:solidFill>
          </w14:textFill>
        </w:rPr>
      </w:pPr>
      <w:bookmarkStart w:id="30" w:name="_Toc27023"/>
      <w:bookmarkStart w:id="31" w:name="_Toc12479"/>
      <w:r>
        <w:rPr>
          <w:rStyle w:val="44"/>
          <w:rFonts w:hint="eastAsia" w:ascii="宋体" w:hAnsi="宋体"/>
          <w:b/>
          <w:color w:val="000000" w:themeColor="text1"/>
          <w:sz w:val="36"/>
          <w14:textFill>
            <w14:solidFill>
              <w14:schemeClr w14:val="tx1"/>
            </w14:solidFill>
          </w14:textFill>
        </w:rPr>
        <w:t>招 标 编 号：</w:t>
      </w:r>
      <w:bookmarkEnd w:id="30"/>
      <w:bookmarkEnd w:id="31"/>
    </w:p>
    <w:p>
      <w:pPr>
        <w:ind w:firstLine="1084" w:firstLineChars="300"/>
        <w:outlineLvl w:val="0"/>
        <w:rPr>
          <w:rStyle w:val="44"/>
          <w:rFonts w:ascii="宋体" w:hAnsi="宋体"/>
          <w:b/>
          <w:color w:val="000000" w:themeColor="text1"/>
          <w:sz w:val="36"/>
          <w:u w:val="single" w:color="000000"/>
          <w14:textFill>
            <w14:solidFill>
              <w14:schemeClr w14:val="tx1"/>
            </w14:solidFill>
          </w14:textFill>
        </w:rPr>
      </w:pPr>
      <w:bookmarkStart w:id="32" w:name="_Toc17623"/>
      <w:bookmarkStart w:id="33" w:name="_Toc25599"/>
      <w:r>
        <w:rPr>
          <w:rStyle w:val="44"/>
          <w:rFonts w:hint="eastAsia" w:ascii="宋体" w:hAnsi="宋体"/>
          <w:b/>
          <w:color w:val="000000" w:themeColor="text1"/>
          <w:sz w:val="36"/>
          <w14:textFill>
            <w14:solidFill>
              <w14:schemeClr w14:val="tx1"/>
            </w14:solidFill>
          </w14:textFill>
        </w:rPr>
        <w:t>投标人名称 ：</w:t>
      </w:r>
      <w:bookmarkEnd w:id="32"/>
      <w:bookmarkEnd w:id="33"/>
    </w:p>
    <w:p>
      <w:pPr>
        <w:ind w:firstLine="1084" w:firstLineChars="300"/>
        <w:outlineLvl w:val="0"/>
        <w:rPr>
          <w:rStyle w:val="44"/>
          <w:rFonts w:ascii="宋体" w:hAnsi="宋体"/>
          <w:b/>
          <w:color w:val="000000" w:themeColor="text1"/>
          <w:sz w:val="36"/>
          <w14:textFill>
            <w14:solidFill>
              <w14:schemeClr w14:val="tx1"/>
            </w14:solidFill>
          </w14:textFill>
        </w:rPr>
      </w:pPr>
      <w:bookmarkStart w:id="34" w:name="_Toc30742"/>
      <w:bookmarkStart w:id="35" w:name="_Toc8043"/>
      <w:r>
        <w:rPr>
          <w:rStyle w:val="44"/>
          <w:rFonts w:hint="eastAsia" w:ascii="宋体" w:hAnsi="宋体"/>
          <w:b/>
          <w:color w:val="000000" w:themeColor="text1"/>
          <w:sz w:val="36"/>
          <w14:textFill>
            <w14:solidFill>
              <w14:schemeClr w14:val="tx1"/>
            </w14:solidFill>
          </w14:textFill>
        </w:rPr>
        <w:t>日      期 ：</w:t>
      </w:r>
      <w:bookmarkEnd w:id="34"/>
      <w:bookmarkEnd w:id="35"/>
    </w:p>
    <w:p>
      <w:pPr>
        <w:spacing w:line="440" w:lineRule="exact"/>
        <w:jc w:val="center"/>
        <w:rPr>
          <w:rStyle w:val="44"/>
          <w:rFonts w:ascii="宋体" w:hAnsi="宋体"/>
          <w:b/>
          <w:bCs/>
          <w:color w:val="000000" w:themeColor="text1"/>
          <w:sz w:val="32"/>
          <w:szCs w:val="32"/>
          <w14:textFill>
            <w14:solidFill>
              <w14:schemeClr w14:val="tx1"/>
            </w14:solidFill>
          </w14:textFill>
        </w:rPr>
      </w:pPr>
    </w:p>
    <w:p>
      <w:pPr>
        <w:spacing w:line="440" w:lineRule="exact"/>
        <w:ind w:firstLine="480" w:firstLineChars="200"/>
        <w:rPr>
          <w:rStyle w:val="44"/>
          <w:rFonts w:ascii="宋体" w:hAnsi="宋体"/>
          <w:color w:val="000000" w:themeColor="text1"/>
          <w:sz w:val="24"/>
          <w14:textFill>
            <w14:solidFill>
              <w14:schemeClr w14:val="tx1"/>
            </w14:solidFill>
          </w14:textFill>
        </w:rPr>
      </w:pPr>
    </w:p>
    <w:p>
      <w:pPr>
        <w:spacing w:line="440" w:lineRule="exact"/>
        <w:ind w:firstLine="480" w:firstLineChars="200"/>
        <w:rPr>
          <w:rStyle w:val="44"/>
          <w:rFonts w:ascii="宋体" w:hAnsi="宋体"/>
          <w:color w:val="000000" w:themeColor="text1"/>
          <w:sz w:val="24"/>
          <w14:textFill>
            <w14:solidFill>
              <w14:schemeClr w14:val="tx1"/>
            </w14:solidFill>
          </w14:textFill>
        </w:rPr>
      </w:pPr>
    </w:p>
    <w:p>
      <w:pPr>
        <w:spacing w:line="440" w:lineRule="exact"/>
        <w:rPr>
          <w:rStyle w:val="44"/>
          <w:rFonts w:ascii="宋体" w:hAnsi="宋体"/>
          <w:color w:val="000000" w:themeColor="text1"/>
          <w:sz w:val="24"/>
          <w14:textFill>
            <w14:solidFill>
              <w14:schemeClr w14:val="tx1"/>
            </w14:solidFill>
          </w14:textFill>
        </w:rPr>
      </w:pPr>
    </w:p>
    <w:p>
      <w:pPr>
        <w:pStyle w:val="5"/>
        <w:tabs>
          <w:tab w:val="left" w:pos="1275"/>
        </w:tabs>
        <w:ind w:left="0"/>
        <w:rPr>
          <w:rFonts w:ascii="宋体" w:hAnsi="宋体"/>
          <w:color w:val="000000" w:themeColor="text1"/>
          <w14:textFill>
            <w14:solidFill>
              <w14:schemeClr w14:val="tx1"/>
            </w14:solidFill>
          </w14:textFill>
        </w:rPr>
      </w:pPr>
      <w:bookmarkStart w:id="36" w:name="_Toc64931899"/>
    </w:p>
    <w:p>
      <w:pPr>
        <w:pStyle w:val="5"/>
        <w:tabs>
          <w:tab w:val="left" w:pos="1275"/>
        </w:tabs>
        <w:ind w:left="1352" w:leftChars="644" w:firstLine="2122" w:firstLineChars="755"/>
        <w:rPr>
          <w:rFonts w:ascii="宋体" w:hAnsi="宋体"/>
          <w:color w:val="000000" w:themeColor="text1"/>
          <w14:textFill>
            <w14:solidFill>
              <w14:schemeClr w14:val="tx1"/>
            </w14:solidFill>
          </w14:textFill>
        </w:rPr>
      </w:pPr>
    </w:p>
    <w:p>
      <w:pPr>
        <w:pStyle w:val="5"/>
        <w:tabs>
          <w:tab w:val="left" w:pos="1275"/>
        </w:tabs>
        <w:ind w:left="1352" w:leftChars="644" w:firstLine="2122" w:firstLineChars="755"/>
        <w:rPr>
          <w:rFonts w:ascii="宋体" w:hAnsi="宋体"/>
          <w:color w:val="000000" w:themeColor="text1"/>
          <w14:textFill>
            <w14:solidFill>
              <w14:schemeClr w14:val="tx1"/>
            </w14:solidFill>
          </w14:textFill>
        </w:rPr>
      </w:pPr>
    </w:p>
    <w:p>
      <w:pPr>
        <w:pStyle w:val="5"/>
        <w:tabs>
          <w:tab w:val="left" w:pos="1275"/>
        </w:tabs>
        <w:ind w:left="1352" w:leftChars="644" w:firstLine="2122" w:firstLineChars="755"/>
        <w:rPr>
          <w:rFonts w:ascii="宋体" w:hAnsi="宋体"/>
          <w:color w:val="000000" w:themeColor="text1"/>
          <w14:textFill>
            <w14:solidFill>
              <w14:schemeClr w14:val="tx1"/>
            </w14:solidFill>
          </w14:textFill>
        </w:rPr>
      </w:pPr>
    </w:p>
    <w:p>
      <w:pPr>
        <w:pStyle w:val="5"/>
        <w:tabs>
          <w:tab w:val="left" w:pos="1275"/>
        </w:tabs>
        <w:ind w:left="1352" w:leftChars="644" w:firstLine="2122" w:firstLineChars="755"/>
        <w:rPr>
          <w:rFonts w:ascii="宋体" w:hAnsi="宋体"/>
          <w:color w:val="000000" w:themeColor="text1"/>
          <w14:textFill>
            <w14:solidFill>
              <w14:schemeClr w14:val="tx1"/>
            </w14:solidFill>
          </w14:textFill>
        </w:rPr>
      </w:pPr>
    </w:p>
    <w:p>
      <w:pPr>
        <w:pStyle w:val="5"/>
        <w:tabs>
          <w:tab w:val="left" w:pos="1275"/>
        </w:tabs>
        <w:ind w:left="1352" w:leftChars="644" w:firstLine="2122" w:firstLineChars="755"/>
        <w:rPr>
          <w:rFonts w:ascii="宋体" w:hAnsi="宋体"/>
          <w:color w:val="000000" w:themeColor="text1"/>
          <w14:textFill>
            <w14:solidFill>
              <w14:schemeClr w14:val="tx1"/>
            </w14:solidFill>
          </w14:textFill>
        </w:rPr>
      </w:pPr>
    </w:p>
    <w:p>
      <w:pPr>
        <w:pStyle w:val="5"/>
        <w:tabs>
          <w:tab w:val="left" w:pos="1275"/>
        </w:tabs>
        <w:ind w:left="1352" w:leftChars="644" w:firstLine="2122" w:firstLineChars="755"/>
        <w:rPr>
          <w:rFonts w:ascii="宋体" w:hAnsi="宋体"/>
          <w:color w:val="000000" w:themeColor="text1"/>
          <w14:textFill>
            <w14:solidFill>
              <w14:schemeClr w14:val="tx1"/>
            </w14:solidFill>
          </w14:textFill>
        </w:rPr>
      </w:pPr>
    </w:p>
    <w:p>
      <w:pPr>
        <w:pStyle w:val="5"/>
        <w:tabs>
          <w:tab w:val="left" w:pos="1275"/>
        </w:tabs>
        <w:ind w:left="1352" w:leftChars="644" w:firstLine="2122" w:firstLineChars="755"/>
        <w:rPr>
          <w:rFonts w:ascii="宋体" w:hAnsi="宋体"/>
          <w:color w:val="000000" w:themeColor="text1"/>
          <w14:textFill>
            <w14:solidFill>
              <w14:schemeClr w14:val="tx1"/>
            </w14:solidFill>
          </w14:textFill>
        </w:rPr>
      </w:pPr>
    </w:p>
    <w:p>
      <w:pPr>
        <w:pStyle w:val="5"/>
        <w:tabs>
          <w:tab w:val="left" w:pos="1275"/>
        </w:tabs>
        <w:ind w:left="1352" w:leftChars="644" w:firstLine="2122" w:firstLineChars="755"/>
        <w:rPr>
          <w:rFonts w:ascii="宋体" w:hAnsi="宋体"/>
          <w:color w:val="000000" w:themeColor="text1"/>
          <w14:textFill>
            <w14:solidFill>
              <w14:schemeClr w14:val="tx1"/>
            </w14:solidFill>
          </w14:textFill>
        </w:rPr>
      </w:pPr>
    </w:p>
    <w:p>
      <w:pPr>
        <w:pStyle w:val="5"/>
        <w:tabs>
          <w:tab w:val="left" w:pos="1275"/>
        </w:tabs>
        <w:ind w:left="1352" w:leftChars="644" w:firstLine="2122" w:firstLineChars="755"/>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评分对照表</w:t>
      </w:r>
      <w:bookmarkEnd w:id="36"/>
    </w:p>
    <w:p>
      <w:pPr>
        <w:rPr>
          <w:rFonts w:ascii="宋体" w:hAnsi="宋体"/>
          <w:b/>
          <w:bCs/>
          <w:color w:val="000000" w:themeColor="text1"/>
          <w:sz w:val="24"/>
          <w14:textFill>
            <w14:solidFill>
              <w14:schemeClr w14:val="tx1"/>
            </w14:solidFill>
          </w14:textFill>
        </w:rPr>
      </w:pPr>
    </w:p>
    <w:tbl>
      <w:tblPr>
        <w:tblStyle w:val="22"/>
        <w:tblW w:w="8974"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7"/>
        <w:gridCol w:w="3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jc w:val="center"/>
              <w:rPr>
                <w:rFonts w:ascii="宋体" w:hAnsi="宋体"/>
                <w:b/>
                <w:bCs/>
                <w:color w:val="000000" w:themeColor="text1"/>
                <w:lang w:eastAsia="zh-CN"/>
                <w14:textFill>
                  <w14:solidFill>
                    <w14:schemeClr w14:val="tx1"/>
                  </w14:solidFill>
                </w14:textFill>
              </w:rPr>
            </w:pPr>
            <w:r>
              <w:rPr>
                <w:rFonts w:hint="eastAsia" w:ascii="宋体" w:hAnsi="宋体"/>
                <w:b/>
                <w:color w:val="000000" w:themeColor="text1"/>
                <w14:textFill>
                  <w14:solidFill>
                    <w14:schemeClr w14:val="tx1"/>
                  </w14:solidFill>
                </w14:textFill>
              </w:rPr>
              <w:t>评分项目</w:t>
            </w:r>
          </w:p>
        </w:tc>
        <w:tc>
          <w:tcPr>
            <w:tcW w:w="3467" w:type="dxa"/>
            <w:noWrap/>
          </w:tcPr>
          <w:p>
            <w:pPr>
              <w:jc w:val="center"/>
              <w:rPr>
                <w:rFonts w:ascii="宋体" w:hAnsi="宋体"/>
                <w:b/>
                <w:color w:val="000000" w:themeColor="text1"/>
                <w14:textFill>
                  <w14:solidFill>
                    <w14:schemeClr w14:val="tx1"/>
                  </w14:solidFill>
                </w14:textFill>
              </w:rPr>
            </w:pPr>
            <w:r>
              <w:rPr>
                <w:rFonts w:hint="eastAsia" w:ascii="宋体" w:hAnsi="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jc w:val="both"/>
              <w:rPr>
                <w:rFonts w:ascii="宋体" w:hAnsi="宋体"/>
                <w:b/>
                <w:color w:val="000000" w:themeColor="text1"/>
                <w:lang w:eastAsia="zh-CN"/>
                <w14:textFill>
                  <w14:solidFill>
                    <w14:schemeClr w14:val="tx1"/>
                  </w14:solidFill>
                </w14:textFill>
              </w:rPr>
            </w:pPr>
          </w:p>
        </w:tc>
        <w:tc>
          <w:tcPr>
            <w:tcW w:w="3467" w:type="dxa"/>
            <w:noWrap/>
          </w:tcPr>
          <w:p>
            <w:pPr>
              <w:rPr>
                <w:rFonts w:ascii="宋体" w:hAnsi="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74" w:type="dxa"/>
            <w:gridSpan w:val="2"/>
            <w:noWrap/>
          </w:tcPr>
          <w:p>
            <w:pPr>
              <w:pStyle w:val="153"/>
              <w:shd w:val="clear" w:color="auto" w:fill="FFFFFF"/>
              <w:spacing w:line="265" w:lineRule="atLeast"/>
              <w:ind w:left="420"/>
              <w:jc w:val="both"/>
              <w:rPr>
                <w:rFonts w:ascii="宋体" w:hAnsi="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rPr>
                <w:rFonts w:ascii="宋体" w:hAnsi="宋体"/>
                <w:color w:val="000000" w:themeColor="text1"/>
                <w:lang w:eastAsia="zh-CN"/>
                <w14:textFill>
                  <w14:solidFill>
                    <w14:schemeClr w14:val="tx1"/>
                  </w14:solidFill>
                </w14:textFill>
              </w:rPr>
            </w:pPr>
          </w:p>
        </w:tc>
        <w:tc>
          <w:tcPr>
            <w:tcW w:w="3467" w:type="dxa"/>
            <w:noWrap/>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rPr>
                <w:rFonts w:ascii="宋体" w:hAnsi="宋体"/>
                <w:color w:val="000000" w:themeColor="text1"/>
                <w:lang w:eastAsia="zh-CN"/>
                <w14:textFill>
                  <w14:solidFill>
                    <w14:schemeClr w14:val="tx1"/>
                  </w14:solidFill>
                </w14:textFill>
              </w:rPr>
            </w:pPr>
          </w:p>
        </w:tc>
        <w:tc>
          <w:tcPr>
            <w:tcW w:w="3467" w:type="dxa"/>
            <w:noWrap/>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rPr>
                <w:rFonts w:ascii="宋体" w:hAnsi="宋体"/>
                <w:color w:val="000000" w:themeColor="text1"/>
                <w:lang w:eastAsia="zh-CN"/>
                <w14:textFill>
                  <w14:solidFill>
                    <w14:schemeClr w14:val="tx1"/>
                  </w14:solidFill>
                </w14:textFill>
              </w:rPr>
            </w:pPr>
          </w:p>
        </w:tc>
        <w:tc>
          <w:tcPr>
            <w:tcW w:w="3467" w:type="dxa"/>
            <w:noWrap/>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rPr>
                <w:rFonts w:ascii="宋体" w:hAnsi="宋体"/>
                <w:color w:val="000000" w:themeColor="text1"/>
                <w:lang w:eastAsia="zh-CN"/>
                <w14:textFill>
                  <w14:solidFill>
                    <w14:schemeClr w14:val="tx1"/>
                  </w14:solidFill>
                </w14:textFill>
              </w:rPr>
            </w:pPr>
          </w:p>
        </w:tc>
        <w:tc>
          <w:tcPr>
            <w:tcW w:w="3467" w:type="dxa"/>
            <w:noWrap/>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rPr>
                <w:rFonts w:ascii="宋体" w:hAnsi="宋体"/>
                <w:color w:val="000000" w:themeColor="text1"/>
                <w:lang w:eastAsia="zh-CN"/>
                <w14:textFill>
                  <w14:solidFill>
                    <w14:schemeClr w14:val="tx1"/>
                  </w14:solidFill>
                </w14:textFill>
              </w:rPr>
            </w:pPr>
          </w:p>
        </w:tc>
        <w:tc>
          <w:tcPr>
            <w:tcW w:w="3467" w:type="dxa"/>
            <w:noWrap/>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74" w:type="dxa"/>
            <w:gridSpan w:val="2"/>
            <w:noWrap/>
          </w:tcPr>
          <w:p>
            <w:pPr>
              <w:pStyle w:val="153"/>
              <w:shd w:val="clear" w:color="auto" w:fill="FFFFFF"/>
              <w:spacing w:line="265" w:lineRule="atLeast"/>
              <w:ind w:left="420"/>
              <w:jc w:val="both"/>
              <w:rPr>
                <w:rFonts w:ascii="宋体" w:hAnsi="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507" w:type="dxa"/>
            <w:noWrap/>
          </w:tcPr>
          <w:p>
            <w:pPr>
              <w:pStyle w:val="153"/>
              <w:shd w:val="clear" w:color="auto" w:fill="FFFFFF"/>
              <w:spacing w:line="265" w:lineRule="atLeast"/>
              <w:ind w:left="420"/>
              <w:rPr>
                <w:rFonts w:ascii="宋体" w:hAnsi="宋体"/>
                <w:color w:val="000000" w:themeColor="text1"/>
                <w:lang w:eastAsia="zh-CN"/>
                <w14:textFill>
                  <w14:solidFill>
                    <w14:schemeClr w14:val="tx1"/>
                  </w14:solidFill>
                </w14:textFill>
              </w:rPr>
            </w:pPr>
          </w:p>
        </w:tc>
        <w:tc>
          <w:tcPr>
            <w:tcW w:w="3467" w:type="dxa"/>
            <w:noWrap/>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rPr>
                <w:rFonts w:ascii="宋体" w:hAnsi="宋体"/>
                <w:color w:val="000000" w:themeColor="text1"/>
                <w:lang w:eastAsia="zh-CN"/>
                <w14:textFill>
                  <w14:solidFill>
                    <w14:schemeClr w14:val="tx1"/>
                  </w14:solidFill>
                </w14:textFill>
              </w:rPr>
            </w:pPr>
          </w:p>
        </w:tc>
        <w:tc>
          <w:tcPr>
            <w:tcW w:w="3467" w:type="dxa"/>
            <w:noWrap/>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rPr>
                <w:rFonts w:ascii="宋体" w:hAnsi="宋体"/>
                <w:color w:val="000000" w:themeColor="text1"/>
                <w:lang w:eastAsia="zh-CN"/>
                <w14:textFill>
                  <w14:solidFill>
                    <w14:schemeClr w14:val="tx1"/>
                  </w14:solidFill>
                </w14:textFill>
              </w:rPr>
            </w:pPr>
          </w:p>
        </w:tc>
        <w:tc>
          <w:tcPr>
            <w:tcW w:w="3467" w:type="dxa"/>
            <w:noWrap/>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rPr>
                <w:rFonts w:ascii="宋体" w:hAnsi="宋体"/>
                <w:color w:val="000000" w:themeColor="text1"/>
                <w:lang w:eastAsia="zh-CN"/>
                <w14:textFill>
                  <w14:solidFill>
                    <w14:schemeClr w14:val="tx1"/>
                  </w14:solidFill>
                </w14:textFill>
              </w:rPr>
            </w:pPr>
          </w:p>
        </w:tc>
        <w:tc>
          <w:tcPr>
            <w:tcW w:w="3467" w:type="dxa"/>
            <w:noWrap/>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rPr>
                <w:rFonts w:ascii="宋体" w:hAnsi="宋体"/>
                <w:color w:val="000000" w:themeColor="text1"/>
                <w:lang w:eastAsia="zh-CN"/>
                <w14:textFill>
                  <w14:solidFill>
                    <w14:schemeClr w14:val="tx1"/>
                  </w14:solidFill>
                </w14:textFill>
              </w:rPr>
            </w:pPr>
          </w:p>
        </w:tc>
        <w:tc>
          <w:tcPr>
            <w:tcW w:w="3467" w:type="dxa"/>
            <w:noWrap/>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74" w:type="dxa"/>
            <w:gridSpan w:val="2"/>
            <w:noWrap/>
          </w:tcPr>
          <w:p>
            <w:pPr>
              <w:pStyle w:val="153"/>
              <w:shd w:val="clear" w:color="auto" w:fill="FFFFFF"/>
              <w:spacing w:line="265" w:lineRule="atLeast"/>
              <w:ind w:left="420"/>
              <w:jc w:val="both"/>
              <w:rPr>
                <w:rFonts w:ascii="宋体" w:hAnsi="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rPr>
                <w:rFonts w:ascii="宋体" w:hAnsi="宋体"/>
                <w:b/>
                <w:bCs/>
                <w:color w:val="000000" w:themeColor="text1"/>
                <w:lang w:eastAsia="zh-CN"/>
                <w14:textFill>
                  <w14:solidFill>
                    <w14:schemeClr w14:val="tx1"/>
                  </w14:solidFill>
                </w14:textFill>
              </w:rPr>
            </w:pPr>
          </w:p>
        </w:tc>
        <w:tc>
          <w:tcPr>
            <w:tcW w:w="3467" w:type="dxa"/>
            <w:noWrap/>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rPr>
                <w:rFonts w:ascii="宋体" w:hAnsi="宋体"/>
                <w:color w:val="000000" w:themeColor="text1"/>
                <w:lang w:eastAsia="zh-CN"/>
                <w14:textFill>
                  <w14:solidFill>
                    <w14:schemeClr w14:val="tx1"/>
                  </w14:solidFill>
                </w14:textFill>
              </w:rPr>
            </w:pPr>
          </w:p>
        </w:tc>
        <w:tc>
          <w:tcPr>
            <w:tcW w:w="3467" w:type="dxa"/>
            <w:noWrap/>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rPr>
                <w:rFonts w:ascii="宋体" w:hAnsi="宋体"/>
                <w:b/>
                <w:bCs/>
                <w:color w:val="000000" w:themeColor="text1"/>
                <w:lang w:eastAsia="zh-CN"/>
                <w14:textFill>
                  <w14:solidFill>
                    <w14:schemeClr w14:val="tx1"/>
                  </w14:solidFill>
                </w14:textFill>
              </w:rPr>
            </w:pPr>
          </w:p>
        </w:tc>
        <w:tc>
          <w:tcPr>
            <w:tcW w:w="3467" w:type="dxa"/>
            <w:noWrap/>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74" w:type="dxa"/>
            <w:gridSpan w:val="2"/>
            <w:noWrap/>
          </w:tcPr>
          <w:p>
            <w:pPr>
              <w:pStyle w:val="153"/>
              <w:shd w:val="clear" w:color="auto" w:fill="FFFFFF"/>
              <w:spacing w:line="265" w:lineRule="atLeast"/>
              <w:ind w:left="420"/>
              <w:jc w:val="both"/>
              <w:rPr>
                <w:rFonts w:ascii="宋体" w:hAnsi="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0" w:firstLine="480" w:firstLineChars="200"/>
              <w:rPr>
                <w:rFonts w:ascii="宋体" w:hAnsi="宋体"/>
                <w:color w:val="000000" w:themeColor="text1"/>
                <w:szCs w:val="21"/>
                <w:lang w:eastAsia="zh-CN"/>
                <w14:textFill>
                  <w14:solidFill>
                    <w14:schemeClr w14:val="tx1"/>
                  </w14:solidFill>
                </w14:textFill>
              </w:rPr>
            </w:pPr>
          </w:p>
        </w:tc>
        <w:tc>
          <w:tcPr>
            <w:tcW w:w="3467" w:type="dxa"/>
            <w:noWrap/>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tcBorders>
              <w:bottom w:val="single" w:color="auto" w:sz="4" w:space="0"/>
            </w:tcBorders>
            <w:noWrap/>
          </w:tcPr>
          <w:p>
            <w:pPr>
              <w:pStyle w:val="153"/>
              <w:shd w:val="clear" w:color="auto" w:fill="FFFFFF"/>
              <w:spacing w:line="265" w:lineRule="atLeast"/>
              <w:ind w:left="0" w:firstLine="480" w:firstLineChars="200"/>
              <w:rPr>
                <w:rFonts w:ascii="宋体" w:hAnsi="宋体"/>
                <w:color w:val="000000" w:themeColor="text1"/>
                <w:lang w:eastAsia="zh-CN"/>
                <w14:textFill>
                  <w14:solidFill>
                    <w14:schemeClr w14:val="tx1"/>
                  </w14:solidFill>
                </w14:textFill>
              </w:rPr>
            </w:pPr>
          </w:p>
        </w:tc>
        <w:tc>
          <w:tcPr>
            <w:tcW w:w="3467" w:type="dxa"/>
            <w:tcBorders>
              <w:bottom w:val="single" w:color="auto" w:sz="4" w:space="0"/>
            </w:tcBorders>
            <w:noWrap/>
          </w:tcPr>
          <w:p>
            <w:pPr>
              <w:rPr>
                <w:rFonts w:ascii="宋体" w:hAnsi="宋体"/>
                <w:color w:val="000000" w:themeColor="text1"/>
                <w14:textFill>
                  <w14:solidFill>
                    <w14:schemeClr w14:val="tx1"/>
                  </w14:solidFill>
                </w14:textFill>
              </w:rPr>
            </w:pPr>
          </w:p>
        </w:tc>
      </w:tr>
    </w:tbl>
    <w:p>
      <w:pPr>
        <w:snapToGrid w:val="0"/>
        <w:spacing w:before="50" w:after="50"/>
        <w:rPr>
          <w:rStyle w:val="44"/>
          <w:rFonts w:ascii="宋体" w:hAnsi="宋体"/>
          <w:color w:val="000000" w:themeColor="text1"/>
          <w:sz w:val="24"/>
          <w14:textFill>
            <w14:solidFill>
              <w14:schemeClr w14:val="tx1"/>
            </w14:solidFill>
          </w14:textFill>
        </w:rPr>
      </w:pPr>
    </w:p>
    <w:p>
      <w:pPr>
        <w:snapToGrid w:val="0"/>
        <w:spacing w:before="50" w:after="50"/>
        <w:jc w:val="center"/>
        <w:outlineLvl w:val="0"/>
        <w:rPr>
          <w:rStyle w:val="44"/>
          <w:rFonts w:ascii="宋体" w:hAnsi="宋体" w:cs="Times New Roman"/>
          <w:b/>
          <w:bCs/>
          <w:color w:val="000000" w:themeColor="text1"/>
          <w:sz w:val="32"/>
          <w:szCs w:val="32"/>
          <w14:textFill>
            <w14:solidFill>
              <w14:schemeClr w14:val="tx1"/>
            </w14:solidFill>
          </w14:textFill>
        </w:rPr>
      </w:pPr>
      <w:bookmarkStart w:id="37" w:name="_Toc9946"/>
      <w:bookmarkStart w:id="38" w:name="_Toc32118"/>
      <w:r>
        <w:rPr>
          <w:rStyle w:val="44"/>
          <w:rFonts w:hint="eastAsia" w:ascii="宋体" w:hAnsi="宋体" w:cs="Times New Roman"/>
          <w:b/>
          <w:bCs/>
          <w:color w:val="000000" w:themeColor="text1"/>
          <w:sz w:val="32"/>
          <w:szCs w:val="32"/>
          <w14:textFill>
            <w14:solidFill>
              <w14:schemeClr w14:val="tx1"/>
            </w14:solidFill>
          </w14:textFill>
        </w:rPr>
        <w:t>投标主要文件目录</w:t>
      </w:r>
      <w:bookmarkEnd w:id="37"/>
    </w:p>
    <w:p>
      <w:pPr>
        <w:spacing w:line="440" w:lineRule="exact"/>
        <w:jc w:val="center"/>
        <w:rPr>
          <w:rFonts w:ascii="宋体" w:hAnsi="宋体"/>
          <w:b/>
          <w:bCs/>
          <w:color w:val="000000" w:themeColor="text1"/>
          <w:sz w:val="32"/>
          <w:szCs w:val="32"/>
          <w14:textFill>
            <w14:solidFill>
              <w14:schemeClr w14:val="tx1"/>
            </w14:solidFill>
          </w14:textFill>
        </w:rPr>
      </w:pPr>
    </w:p>
    <w:p>
      <w:pPr>
        <w:ind w:firstLine="480" w:firstLineChars="200"/>
        <w:outlineLvl w:val="0"/>
        <w:rPr>
          <w:rFonts w:ascii="宋体" w:hAnsi="宋体"/>
          <w:color w:val="000000" w:themeColor="text1"/>
          <w:sz w:val="24"/>
          <w14:textFill>
            <w14:solidFill>
              <w14:schemeClr w14:val="tx1"/>
            </w14:solidFill>
          </w14:textFill>
        </w:rPr>
      </w:pPr>
      <w:bookmarkStart w:id="39" w:name="_Toc30141"/>
      <w:r>
        <w:rPr>
          <w:rFonts w:hint="eastAsia" w:ascii="宋体" w:hAnsi="宋体"/>
          <w:color w:val="000000" w:themeColor="text1"/>
          <w:sz w:val="24"/>
          <w14:textFill>
            <w14:solidFill>
              <w14:schemeClr w14:val="tx1"/>
            </w14:solidFill>
          </w14:textFill>
        </w:rPr>
        <w:t>一、</w:t>
      </w:r>
      <w:r>
        <w:rPr>
          <w:rFonts w:hint="eastAsia" w:ascii="宋体" w:hAnsi="宋体"/>
          <w:bCs/>
          <w:color w:val="000000" w:themeColor="text1"/>
          <w:sz w:val="24"/>
          <w14:textFill>
            <w14:solidFill>
              <w14:schemeClr w14:val="tx1"/>
            </w14:solidFill>
          </w14:textFill>
        </w:rPr>
        <w:t>资信证明文件要求</w:t>
      </w:r>
      <w:bookmarkEnd w:id="39"/>
    </w:p>
    <w:p>
      <w:pPr>
        <w:ind w:firstLine="482" w:firstLineChars="200"/>
        <w:outlineLvl w:val="0"/>
        <w:rPr>
          <w:rFonts w:ascii="宋体" w:hAnsi="宋体"/>
          <w:color w:val="000000" w:themeColor="text1"/>
          <w:sz w:val="24"/>
          <w14:textFill>
            <w14:solidFill>
              <w14:schemeClr w14:val="tx1"/>
            </w14:solidFill>
          </w14:textFill>
        </w:rPr>
      </w:pPr>
      <w:bookmarkStart w:id="40" w:name="_Toc6517"/>
      <w:r>
        <w:rPr>
          <w:rFonts w:hint="eastAsia" w:ascii="宋体" w:hAnsi="宋体"/>
          <w:b/>
          <w:bCs/>
          <w:color w:val="000000" w:themeColor="text1"/>
          <w:sz w:val="24"/>
          <w14:textFill>
            <w14:solidFill>
              <w14:schemeClr w14:val="tx1"/>
            </w14:solidFill>
          </w14:textFill>
        </w:rPr>
        <w:t>二</w:t>
      </w:r>
      <w:r>
        <w:rPr>
          <w:rFonts w:hint="eastAsia" w:ascii="宋体" w:hAnsi="宋体"/>
          <w:color w:val="000000" w:themeColor="text1"/>
          <w:sz w:val="24"/>
          <w14:textFill>
            <w14:solidFill>
              <w14:schemeClr w14:val="tx1"/>
            </w14:solidFill>
          </w14:textFill>
        </w:rPr>
        <w:t>、资格性审查响应对照表</w:t>
      </w:r>
      <w:bookmarkEnd w:id="40"/>
    </w:p>
    <w:p>
      <w:pPr>
        <w:ind w:firstLine="480" w:firstLineChars="200"/>
        <w:outlineLvl w:val="0"/>
        <w:rPr>
          <w:rFonts w:ascii="宋体" w:hAnsi="宋体"/>
          <w:bCs/>
          <w:color w:val="000000" w:themeColor="text1"/>
          <w:sz w:val="24"/>
          <w14:textFill>
            <w14:solidFill>
              <w14:schemeClr w14:val="tx1"/>
            </w14:solidFill>
          </w14:textFill>
        </w:rPr>
      </w:pPr>
      <w:bookmarkStart w:id="41" w:name="_Toc32085"/>
      <w:r>
        <w:rPr>
          <w:rFonts w:hint="eastAsia" w:ascii="宋体" w:hAnsi="宋体"/>
          <w:color w:val="000000" w:themeColor="text1"/>
          <w:sz w:val="24"/>
          <w14:textFill>
            <w14:solidFill>
              <w14:schemeClr w14:val="tx1"/>
            </w14:solidFill>
          </w14:textFill>
        </w:rPr>
        <w:t>三、符合性检查响应对照表</w:t>
      </w:r>
      <w:bookmarkEnd w:id="41"/>
    </w:p>
    <w:p>
      <w:pPr>
        <w:ind w:firstLine="480" w:firstLineChars="200"/>
        <w:outlineLvl w:val="0"/>
        <w:rPr>
          <w:rFonts w:ascii="宋体" w:hAnsi="宋体"/>
          <w:color w:val="000000" w:themeColor="text1"/>
          <w:sz w:val="24"/>
          <w14:textFill>
            <w14:solidFill>
              <w14:schemeClr w14:val="tx1"/>
            </w14:solidFill>
          </w14:textFill>
        </w:rPr>
      </w:pPr>
      <w:bookmarkStart w:id="42" w:name="_Toc9227"/>
      <w:r>
        <w:rPr>
          <w:rFonts w:hint="eastAsia" w:ascii="宋体" w:hAnsi="宋体"/>
          <w:color w:val="000000" w:themeColor="text1"/>
          <w:sz w:val="24"/>
          <w14:textFill>
            <w14:solidFill>
              <w14:schemeClr w14:val="tx1"/>
            </w14:solidFill>
          </w14:textFill>
        </w:rPr>
        <w:t>四、投标函</w:t>
      </w:r>
      <w:bookmarkEnd w:id="42"/>
    </w:p>
    <w:p>
      <w:pPr>
        <w:ind w:firstLine="480" w:firstLineChars="200"/>
        <w:outlineLvl w:val="0"/>
        <w:rPr>
          <w:rFonts w:ascii="宋体" w:hAnsi="宋体"/>
          <w:color w:val="000000" w:themeColor="text1"/>
          <w:sz w:val="24"/>
          <w14:textFill>
            <w14:solidFill>
              <w14:schemeClr w14:val="tx1"/>
            </w14:solidFill>
          </w14:textFill>
        </w:rPr>
      </w:pPr>
      <w:bookmarkStart w:id="43" w:name="_Toc15001"/>
      <w:r>
        <w:rPr>
          <w:rFonts w:hint="eastAsia" w:ascii="宋体" w:hAnsi="宋体"/>
          <w:color w:val="000000" w:themeColor="text1"/>
          <w:sz w:val="24"/>
          <w14:textFill>
            <w14:solidFill>
              <w14:schemeClr w14:val="tx1"/>
            </w14:solidFill>
          </w14:textFill>
        </w:rPr>
        <w:t>五</w:t>
      </w:r>
      <w:r>
        <w:rPr>
          <w:rFonts w:hint="eastAsia" w:ascii="宋体" w:hAnsi="宋体"/>
          <w:b/>
          <w:b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开标一览表</w:t>
      </w:r>
      <w:bookmarkEnd w:id="43"/>
    </w:p>
    <w:p>
      <w:pPr>
        <w:ind w:firstLine="480" w:firstLineChars="200"/>
        <w:outlineLvl w:val="0"/>
        <w:rPr>
          <w:rFonts w:ascii="宋体" w:hAnsi="宋体"/>
          <w:color w:val="000000" w:themeColor="text1"/>
          <w:sz w:val="24"/>
          <w14:textFill>
            <w14:solidFill>
              <w14:schemeClr w14:val="tx1"/>
            </w14:solidFill>
          </w14:textFill>
        </w:rPr>
      </w:pPr>
      <w:bookmarkStart w:id="44" w:name="_Toc4553"/>
      <w:r>
        <w:rPr>
          <w:rFonts w:hint="eastAsia" w:ascii="宋体" w:hAnsi="宋体"/>
          <w:color w:val="000000" w:themeColor="text1"/>
          <w:sz w:val="24"/>
          <w:szCs w:val="24"/>
          <w14:textFill>
            <w14:solidFill>
              <w14:schemeClr w14:val="tx1"/>
            </w14:solidFill>
          </w14:textFill>
        </w:rPr>
        <w:t>六、投标产品配置及分项报价表</w:t>
      </w:r>
      <w:bookmarkEnd w:id="44"/>
    </w:p>
    <w:p>
      <w:pPr>
        <w:ind w:firstLine="480" w:firstLineChars="200"/>
        <w:outlineLvl w:val="0"/>
        <w:rPr>
          <w:rFonts w:ascii="宋体" w:hAnsi="宋体"/>
          <w:color w:val="000000" w:themeColor="text1"/>
          <w:sz w:val="24"/>
          <w14:textFill>
            <w14:solidFill>
              <w14:schemeClr w14:val="tx1"/>
            </w14:solidFill>
          </w14:textFill>
        </w:rPr>
      </w:pPr>
      <w:bookmarkStart w:id="45" w:name="_Toc19163"/>
      <w:r>
        <w:rPr>
          <w:rFonts w:hint="eastAsia" w:ascii="宋体" w:hAnsi="宋体"/>
          <w:color w:val="000000" w:themeColor="text1"/>
          <w:sz w:val="24"/>
          <w:szCs w:val="24"/>
          <w14:textFill>
            <w14:solidFill>
              <w14:schemeClr w14:val="tx1"/>
            </w14:solidFill>
          </w14:textFill>
        </w:rPr>
        <w:t>七、技术参数响应及偏离表</w:t>
      </w:r>
      <w:bookmarkEnd w:id="45"/>
    </w:p>
    <w:p>
      <w:pPr>
        <w:ind w:firstLine="480" w:firstLineChars="200"/>
        <w:outlineLvl w:val="0"/>
        <w:rPr>
          <w:rFonts w:ascii="宋体" w:hAnsi="宋体"/>
          <w:color w:val="000000" w:themeColor="text1"/>
          <w:sz w:val="24"/>
          <w14:textFill>
            <w14:solidFill>
              <w14:schemeClr w14:val="tx1"/>
            </w14:solidFill>
          </w14:textFill>
        </w:rPr>
      </w:pPr>
      <w:bookmarkStart w:id="46" w:name="_Toc30257"/>
      <w:r>
        <w:rPr>
          <w:rFonts w:hint="eastAsia" w:ascii="宋体" w:hAnsi="宋体"/>
          <w:color w:val="000000" w:themeColor="text1"/>
          <w:sz w:val="24"/>
          <w14:textFill>
            <w14:solidFill>
              <w14:schemeClr w14:val="tx1"/>
            </w14:solidFill>
          </w14:textFill>
        </w:rPr>
        <w:t>八、商务条款响应及偏离表</w:t>
      </w:r>
      <w:bookmarkEnd w:id="46"/>
    </w:p>
    <w:p>
      <w:pPr>
        <w:ind w:firstLine="480" w:firstLineChars="200"/>
        <w:outlineLvl w:val="0"/>
        <w:rPr>
          <w:rFonts w:ascii="宋体" w:hAnsi="宋体"/>
          <w:color w:val="000000" w:themeColor="text1"/>
          <w:sz w:val="24"/>
          <w14:textFill>
            <w14:solidFill>
              <w14:schemeClr w14:val="tx1"/>
            </w14:solidFill>
          </w14:textFill>
        </w:rPr>
      </w:pPr>
      <w:bookmarkStart w:id="47" w:name="_Toc31039"/>
      <w:r>
        <w:rPr>
          <w:rFonts w:hint="eastAsia" w:ascii="宋体" w:hAnsi="宋体"/>
          <w:color w:val="000000" w:themeColor="text1"/>
          <w:sz w:val="24"/>
          <w14:textFill>
            <w14:solidFill>
              <w14:schemeClr w14:val="tx1"/>
            </w14:solidFill>
          </w14:textFill>
        </w:rPr>
        <w:t>九、技术方案、服务承诺等</w:t>
      </w:r>
      <w:bookmarkEnd w:id="47"/>
    </w:p>
    <w:p>
      <w:pPr>
        <w:spacing w:line="440" w:lineRule="exact"/>
        <w:ind w:firstLine="480" w:firstLineChars="200"/>
        <w:outlineLvl w:val="0"/>
        <w:rPr>
          <w:rFonts w:ascii="宋体" w:hAnsi="宋体"/>
          <w:color w:val="000000" w:themeColor="text1"/>
          <w:sz w:val="24"/>
          <w14:textFill>
            <w14:solidFill>
              <w14:schemeClr w14:val="tx1"/>
            </w14:solidFill>
          </w14:textFill>
        </w:rPr>
      </w:pPr>
      <w:bookmarkStart w:id="48" w:name="_Toc1747"/>
      <w:r>
        <w:rPr>
          <w:rFonts w:hint="eastAsia" w:ascii="宋体" w:hAnsi="宋体"/>
          <w:color w:val="000000" w:themeColor="text1"/>
          <w:sz w:val="24"/>
          <w14:textFill>
            <w14:solidFill>
              <w14:schemeClr w14:val="tx1"/>
            </w14:solidFill>
          </w14:textFill>
        </w:rPr>
        <w:t>十、盐城市政府采购事前信用承诺书</w:t>
      </w:r>
      <w:bookmarkEnd w:id="48"/>
    </w:p>
    <w:p>
      <w:pPr>
        <w:snapToGrid w:val="0"/>
        <w:spacing w:before="50" w:after="50"/>
        <w:jc w:val="center"/>
        <w:rPr>
          <w:rStyle w:val="44"/>
          <w:rFonts w:ascii="宋体" w:hAnsi="宋体"/>
          <w:color w:val="000000" w:themeColor="text1"/>
          <w:sz w:val="32"/>
          <w:szCs w:val="32"/>
          <w14:textFill>
            <w14:solidFill>
              <w14:schemeClr w14:val="tx1"/>
            </w14:solidFill>
          </w14:textFill>
        </w:rPr>
      </w:pPr>
    </w:p>
    <w:p>
      <w:pPr>
        <w:snapToGrid w:val="0"/>
        <w:spacing w:before="50" w:after="50"/>
        <w:jc w:val="center"/>
        <w:rPr>
          <w:rStyle w:val="44"/>
          <w:rFonts w:ascii="宋体" w:hAnsi="宋体"/>
          <w:color w:val="000000" w:themeColor="text1"/>
          <w:sz w:val="32"/>
          <w:szCs w:val="32"/>
          <w14:textFill>
            <w14:solidFill>
              <w14:schemeClr w14:val="tx1"/>
            </w14:solidFill>
          </w14:textFill>
        </w:rPr>
      </w:pPr>
    </w:p>
    <w:p>
      <w:pPr>
        <w:snapToGrid w:val="0"/>
        <w:spacing w:before="50" w:after="50"/>
        <w:jc w:val="center"/>
        <w:rPr>
          <w:rStyle w:val="44"/>
          <w:rFonts w:ascii="宋体" w:hAnsi="宋体"/>
          <w:color w:val="000000" w:themeColor="text1"/>
          <w:sz w:val="32"/>
          <w:szCs w:val="32"/>
          <w14:textFill>
            <w14:solidFill>
              <w14:schemeClr w14:val="tx1"/>
            </w14:solidFill>
          </w14:textFill>
        </w:rPr>
      </w:pPr>
    </w:p>
    <w:p>
      <w:pPr>
        <w:snapToGrid w:val="0"/>
        <w:spacing w:before="50" w:after="50"/>
        <w:jc w:val="center"/>
        <w:rPr>
          <w:rStyle w:val="44"/>
          <w:rFonts w:ascii="宋体" w:hAnsi="宋体"/>
          <w:color w:val="000000" w:themeColor="text1"/>
          <w:sz w:val="32"/>
          <w:szCs w:val="32"/>
          <w14:textFill>
            <w14:solidFill>
              <w14:schemeClr w14:val="tx1"/>
            </w14:solidFill>
          </w14:textFill>
        </w:rPr>
      </w:pPr>
    </w:p>
    <w:p>
      <w:pPr>
        <w:snapToGrid w:val="0"/>
        <w:spacing w:before="50" w:after="50"/>
        <w:jc w:val="center"/>
        <w:rPr>
          <w:rStyle w:val="44"/>
          <w:rFonts w:ascii="宋体" w:hAnsi="宋体"/>
          <w:color w:val="000000" w:themeColor="text1"/>
          <w:sz w:val="32"/>
          <w:szCs w:val="32"/>
          <w14:textFill>
            <w14:solidFill>
              <w14:schemeClr w14:val="tx1"/>
            </w14:solidFill>
          </w14:textFill>
        </w:rPr>
      </w:pPr>
    </w:p>
    <w:p>
      <w:pPr>
        <w:snapToGrid w:val="0"/>
        <w:spacing w:before="50" w:after="50"/>
        <w:jc w:val="center"/>
        <w:rPr>
          <w:rStyle w:val="44"/>
          <w:rFonts w:ascii="宋体" w:hAnsi="宋体"/>
          <w:color w:val="000000" w:themeColor="text1"/>
          <w:sz w:val="32"/>
          <w:szCs w:val="32"/>
          <w14:textFill>
            <w14:solidFill>
              <w14:schemeClr w14:val="tx1"/>
            </w14:solidFill>
          </w14:textFill>
        </w:rPr>
      </w:pPr>
    </w:p>
    <w:p>
      <w:pPr>
        <w:snapToGrid w:val="0"/>
        <w:spacing w:before="50" w:after="50"/>
        <w:jc w:val="center"/>
        <w:rPr>
          <w:rStyle w:val="44"/>
          <w:rFonts w:ascii="宋体" w:hAnsi="宋体"/>
          <w:color w:val="000000" w:themeColor="text1"/>
          <w:sz w:val="32"/>
          <w:szCs w:val="32"/>
          <w14:textFill>
            <w14:solidFill>
              <w14:schemeClr w14:val="tx1"/>
            </w14:solidFill>
          </w14:textFill>
        </w:rPr>
      </w:pPr>
    </w:p>
    <w:p>
      <w:pPr>
        <w:snapToGrid w:val="0"/>
        <w:spacing w:before="50" w:after="50"/>
        <w:jc w:val="center"/>
        <w:rPr>
          <w:rStyle w:val="44"/>
          <w:rFonts w:ascii="宋体" w:hAnsi="宋体"/>
          <w:color w:val="000000" w:themeColor="text1"/>
          <w:sz w:val="32"/>
          <w:szCs w:val="32"/>
          <w14:textFill>
            <w14:solidFill>
              <w14:schemeClr w14:val="tx1"/>
            </w14:solidFill>
          </w14:textFill>
        </w:rPr>
      </w:pPr>
    </w:p>
    <w:p>
      <w:pPr>
        <w:snapToGrid w:val="0"/>
        <w:spacing w:before="50" w:after="50"/>
        <w:jc w:val="center"/>
        <w:rPr>
          <w:rStyle w:val="44"/>
          <w:rFonts w:ascii="宋体" w:hAnsi="宋体"/>
          <w:color w:val="000000" w:themeColor="text1"/>
          <w:sz w:val="32"/>
          <w:szCs w:val="32"/>
          <w14:textFill>
            <w14:solidFill>
              <w14:schemeClr w14:val="tx1"/>
            </w14:solidFill>
          </w14:textFill>
        </w:rPr>
      </w:pPr>
    </w:p>
    <w:p>
      <w:pPr>
        <w:snapToGrid w:val="0"/>
        <w:spacing w:before="50" w:after="50"/>
        <w:jc w:val="center"/>
        <w:rPr>
          <w:rStyle w:val="44"/>
          <w:rFonts w:ascii="宋体" w:hAnsi="宋体"/>
          <w:color w:val="000000" w:themeColor="text1"/>
          <w:sz w:val="32"/>
          <w:szCs w:val="32"/>
          <w14:textFill>
            <w14:solidFill>
              <w14:schemeClr w14:val="tx1"/>
            </w14:solidFill>
          </w14:textFill>
        </w:rPr>
      </w:pPr>
    </w:p>
    <w:p>
      <w:pPr>
        <w:pStyle w:val="7"/>
        <w:rPr>
          <w:color w:val="000000" w:themeColor="text1"/>
          <w14:textFill>
            <w14:solidFill>
              <w14:schemeClr w14:val="tx1"/>
            </w14:solidFill>
          </w14:textFill>
        </w:rPr>
      </w:pPr>
    </w:p>
    <w:p>
      <w:pPr>
        <w:rPr>
          <w:color w:val="000000" w:themeColor="text1"/>
          <w14:textFill>
            <w14:solidFill>
              <w14:schemeClr w14:val="tx1"/>
            </w14:solidFill>
          </w14:textFill>
        </w:rPr>
      </w:pPr>
    </w:p>
    <w:p>
      <w:pPr>
        <w:snapToGrid w:val="0"/>
        <w:spacing w:before="50" w:after="50"/>
        <w:jc w:val="center"/>
        <w:outlineLvl w:val="0"/>
        <w:rPr>
          <w:rStyle w:val="44"/>
          <w:rFonts w:ascii="宋体" w:hAnsi="宋体"/>
          <w:color w:val="000000" w:themeColor="text1"/>
          <w:sz w:val="32"/>
          <w:szCs w:val="32"/>
          <w14:textFill>
            <w14:solidFill>
              <w14:schemeClr w14:val="tx1"/>
            </w14:solidFill>
          </w14:textFill>
        </w:rPr>
      </w:pPr>
      <w:bookmarkStart w:id="49" w:name="_Toc26639"/>
    </w:p>
    <w:p>
      <w:pPr>
        <w:snapToGrid w:val="0"/>
        <w:spacing w:before="50" w:after="50"/>
        <w:jc w:val="center"/>
        <w:outlineLvl w:val="0"/>
        <w:rPr>
          <w:rStyle w:val="44"/>
          <w:rFonts w:ascii="宋体" w:hAnsi="宋体"/>
          <w:color w:val="000000" w:themeColor="text1"/>
          <w:sz w:val="32"/>
          <w:szCs w:val="32"/>
          <w14:textFill>
            <w14:solidFill>
              <w14:schemeClr w14:val="tx1"/>
            </w14:solidFill>
          </w14:textFill>
        </w:rPr>
      </w:pPr>
    </w:p>
    <w:p>
      <w:pPr>
        <w:snapToGrid w:val="0"/>
        <w:spacing w:before="50" w:after="50"/>
        <w:jc w:val="center"/>
        <w:outlineLvl w:val="0"/>
        <w:rPr>
          <w:rStyle w:val="44"/>
          <w:rFonts w:ascii="宋体" w:hAnsi="宋体"/>
          <w:b/>
          <w:bCs/>
          <w:color w:val="000000" w:themeColor="text1"/>
          <w:sz w:val="32"/>
          <w:szCs w:val="32"/>
          <w14:textFill>
            <w14:solidFill>
              <w14:schemeClr w14:val="tx1"/>
            </w14:solidFill>
          </w14:textFill>
        </w:rPr>
      </w:pPr>
      <w:r>
        <w:rPr>
          <w:rStyle w:val="44"/>
          <w:rFonts w:hint="eastAsia" w:ascii="宋体" w:hAnsi="宋体"/>
          <w:color w:val="000000" w:themeColor="text1"/>
          <w:sz w:val="32"/>
          <w:szCs w:val="32"/>
          <w14:textFill>
            <w14:solidFill>
              <w14:schemeClr w14:val="tx1"/>
            </w14:solidFill>
          </w14:textFill>
        </w:rPr>
        <w:t>一、</w:t>
      </w:r>
      <w:r>
        <w:rPr>
          <w:rStyle w:val="44"/>
          <w:rFonts w:hint="eastAsia" w:ascii="宋体" w:hAnsi="宋体"/>
          <w:b/>
          <w:bCs/>
          <w:color w:val="000000" w:themeColor="text1"/>
          <w:sz w:val="32"/>
          <w:szCs w:val="32"/>
          <w14:textFill>
            <w14:solidFill>
              <w14:schemeClr w14:val="tx1"/>
            </w14:solidFill>
          </w14:textFill>
        </w:rPr>
        <w:t>资信证明文件要求</w:t>
      </w:r>
      <w:bookmarkEnd w:id="38"/>
      <w:bookmarkEnd w:id="49"/>
    </w:p>
    <w:p>
      <w:pPr>
        <w:snapToGrid w:val="0"/>
        <w:spacing w:before="50" w:after="50"/>
        <w:rPr>
          <w:rStyle w:val="44"/>
          <w:rFonts w:ascii="宋体" w:hAnsi="宋体"/>
          <w:i/>
          <w:color w:val="000000" w:themeColor="text1"/>
          <w:szCs w:val="24"/>
          <w:u w:val="single" w:color="000000"/>
          <w14:textFill>
            <w14:solidFill>
              <w14:schemeClr w14:val="tx1"/>
            </w14:solidFill>
          </w14:textFill>
        </w:rPr>
      </w:pPr>
    </w:p>
    <w:p>
      <w:pPr>
        <w:snapToGrid w:val="0"/>
        <w:spacing w:line="500" w:lineRule="exact"/>
        <w:ind w:firstLine="482" w:firstLineChars="200"/>
        <w:rPr>
          <w:rStyle w:val="44"/>
          <w:rFonts w:ascii="宋体" w:hAnsi="宋体"/>
          <w:color w:val="000000" w:themeColor="text1"/>
          <w:sz w:val="24"/>
          <w:szCs w:val="20"/>
          <w14:textFill>
            <w14:solidFill>
              <w14:schemeClr w14:val="tx1"/>
            </w14:solidFill>
          </w14:textFill>
        </w:rPr>
      </w:pPr>
      <w:r>
        <w:rPr>
          <w:rStyle w:val="44"/>
          <w:rFonts w:hint="eastAsia" w:ascii="宋体" w:hAnsi="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文件2 上一年度（2021）财务状况报表（复印件，成立不满一年不需提供）</w:t>
      </w:r>
    </w:p>
    <w:p>
      <w:pPr>
        <w:snapToGrid w:val="0"/>
        <w:spacing w:line="500" w:lineRule="exact"/>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文件6 法人授权书</w:t>
      </w:r>
    </w:p>
    <w:p>
      <w:pPr>
        <w:pStyle w:val="36"/>
        <w:spacing w:line="240" w:lineRule="atLeast"/>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文件7 招标文件中规定要求提供的证明材料和投标人认为需要提供的其他材料</w:t>
      </w:r>
    </w:p>
    <w:p>
      <w:pPr>
        <w:pStyle w:val="36"/>
        <w:spacing w:line="240" w:lineRule="atLeast"/>
        <w:rPr>
          <w:rStyle w:val="44"/>
          <w:rFonts w:ascii="宋体" w:hAnsi="宋体"/>
          <w:color w:val="000000" w:themeColor="text1"/>
          <w:sz w:val="24"/>
          <w:szCs w:val="24"/>
          <w14:textFill>
            <w14:solidFill>
              <w14:schemeClr w14:val="tx1"/>
            </w14:solidFill>
          </w14:textFill>
        </w:rPr>
      </w:pPr>
    </w:p>
    <w:p>
      <w:pPr>
        <w:pStyle w:val="36"/>
        <w:spacing w:line="240" w:lineRule="atLeast"/>
        <w:rPr>
          <w:rStyle w:val="44"/>
          <w:rFonts w:ascii="宋体" w:hAnsi="宋体"/>
          <w:color w:val="000000" w:themeColor="text1"/>
          <w:sz w:val="24"/>
          <w:szCs w:val="24"/>
          <w14:textFill>
            <w14:solidFill>
              <w14:schemeClr w14:val="tx1"/>
            </w14:solidFill>
          </w14:textFill>
        </w:rPr>
      </w:pPr>
    </w:p>
    <w:p>
      <w:pPr>
        <w:pStyle w:val="36"/>
        <w:spacing w:line="240" w:lineRule="atLeast"/>
        <w:rPr>
          <w:rStyle w:val="44"/>
          <w:rFonts w:ascii="宋体" w:hAnsi="宋体"/>
          <w:color w:val="000000" w:themeColor="text1"/>
          <w:sz w:val="24"/>
          <w:szCs w:val="24"/>
          <w14:textFill>
            <w14:solidFill>
              <w14:schemeClr w14:val="tx1"/>
            </w14:solidFill>
          </w14:textFill>
        </w:rPr>
      </w:pPr>
    </w:p>
    <w:p>
      <w:pPr>
        <w:pStyle w:val="36"/>
        <w:spacing w:line="240" w:lineRule="atLeast"/>
        <w:rPr>
          <w:rStyle w:val="44"/>
          <w:rFonts w:ascii="宋体" w:hAnsi="宋体"/>
          <w:b/>
          <w:bCs/>
          <w:color w:val="000000" w:themeColor="text1"/>
          <w:sz w:val="24"/>
          <w14:textFill>
            <w14:solidFill>
              <w14:schemeClr w14:val="tx1"/>
            </w14:solidFill>
          </w14:textFill>
        </w:rPr>
      </w:pPr>
    </w:p>
    <w:p>
      <w:pPr>
        <w:pStyle w:val="36"/>
        <w:spacing w:line="240" w:lineRule="atLeast"/>
        <w:rPr>
          <w:rStyle w:val="44"/>
          <w:rFonts w:ascii="宋体" w:hAnsi="宋体"/>
          <w:b/>
          <w:bCs/>
          <w:color w:val="000000" w:themeColor="text1"/>
          <w:sz w:val="24"/>
          <w14:textFill>
            <w14:solidFill>
              <w14:schemeClr w14:val="tx1"/>
            </w14:solidFill>
          </w14:textFill>
        </w:rPr>
      </w:pPr>
    </w:p>
    <w:p>
      <w:pPr>
        <w:pStyle w:val="36"/>
        <w:spacing w:line="240" w:lineRule="atLeast"/>
        <w:rPr>
          <w:rStyle w:val="44"/>
          <w:rFonts w:ascii="宋体" w:hAnsi="宋体"/>
          <w:color w:val="000000" w:themeColor="text1"/>
          <w:sz w:val="24"/>
          <w:szCs w:val="24"/>
          <w14:textFill>
            <w14:solidFill>
              <w14:schemeClr w14:val="tx1"/>
            </w14:solidFill>
          </w14:textFill>
        </w:rPr>
      </w:pPr>
    </w:p>
    <w:p>
      <w:pPr>
        <w:pStyle w:val="36"/>
        <w:spacing w:line="240" w:lineRule="atLeast"/>
        <w:rPr>
          <w:rStyle w:val="44"/>
          <w:rFonts w:ascii="宋体" w:hAnsi="宋体"/>
          <w:color w:val="000000" w:themeColor="text1"/>
          <w:sz w:val="24"/>
          <w:szCs w:val="24"/>
          <w14:textFill>
            <w14:solidFill>
              <w14:schemeClr w14:val="tx1"/>
            </w14:solidFill>
          </w14:textFill>
        </w:rPr>
      </w:pPr>
    </w:p>
    <w:p>
      <w:pPr>
        <w:pStyle w:val="36"/>
        <w:spacing w:line="240" w:lineRule="atLeast"/>
        <w:rPr>
          <w:rStyle w:val="44"/>
          <w:rFonts w:ascii="宋体" w:hAnsi="宋体"/>
          <w:color w:val="000000" w:themeColor="text1"/>
          <w:sz w:val="24"/>
          <w:szCs w:val="24"/>
          <w14:textFill>
            <w14:solidFill>
              <w14:schemeClr w14:val="tx1"/>
            </w14:solidFill>
          </w14:textFill>
        </w:rPr>
      </w:pPr>
    </w:p>
    <w:p>
      <w:pPr>
        <w:pStyle w:val="36"/>
        <w:spacing w:line="240" w:lineRule="atLeast"/>
        <w:rPr>
          <w:rStyle w:val="44"/>
          <w:rFonts w:ascii="宋体" w:hAnsi="宋体"/>
          <w:color w:val="000000" w:themeColor="text1"/>
          <w:sz w:val="24"/>
          <w:szCs w:val="24"/>
          <w14:textFill>
            <w14:solidFill>
              <w14:schemeClr w14:val="tx1"/>
            </w14:solidFill>
          </w14:textFill>
        </w:rPr>
      </w:pPr>
    </w:p>
    <w:p>
      <w:pPr>
        <w:pStyle w:val="36"/>
        <w:spacing w:line="240" w:lineRule="atLeast"/>
        <w:rPr>
          <w:rStyle w:val="44"/>
          <w:rFonts w:ascii="宋体" w:hAnsi="宋体"/>
          <w:color w:val="000000" w:themeColor="text1"/>
          <w:sz w:val="24"/>
          <w:szCs w:val="24"/>
          <w14:textFill>
            <w14:solidFill>
              <w14:schemeClr w14:val="tx1"/>
            </w14:solidFill>
          </w14:textFill>
        </w:rPr>
      </w:pPr>
    </w:p>
    <w:p>
      <w:pPr>
        <w:pStyle w:val="36"/>
        <w:spacing w:line="240" w:lineRule="atLeast"/>
        <w:rPr>
          <w:rStyle w:val="44"/>
          <w:rFonts w:ascii="宋体" w:hAnsi="宋体"/>
          <w:color w:val="000000" w:themeColor="text1"/>
          <w:sz w:val="24"/>
          <w:szCs w:val="24"/>
          <w14:textFill>
            <w14:solidFill>
              <w14:schemeClr w14:val="tx1"/>
            </w14:solidFill>
          </w14:textFill>
        </w:rPr>
      </w:pPr>
    </w:p>
    <w:p>
      <w:pPr>
        <w:pStyle w:val="36"/>
        <w:spacing w:line="240" w:lineRule="atLeast"/>
        <w:rPr>
          <w:rStyle w:val="44"/>
          <w:rFonts w:ascii="宋体" w:hAnsi="宋体"/>
          <w:color w:val="000000" w:themeColor="text1"/>
          <w:sz w:val="24"/>
          <w:szCs w:val="24"/>
          <w14:textFill>
            <w14:solidFill>
              <w14:schemeClr w14:val="tx1"/>
            </w14:solidFill>
          </w14:textFill>
        </w:rPr>
      </w:pPr>
    </w:p>
    <w:p>
      <w:pPr>
        <w:pStyle w:val="37"/>
        <w:jc w:val="center"/>
        <w:rPr>
          <w:rStyle w:val="44"/>
          <w:rFonts w:ascii="宋体" w:hAnsi="宋体" w:cs="宋体"/>
          <w:b w:val="0"/>
          <w:bCs w:val="0"/>
          <w:color w:val="000000" w:themeColor="text1"/>
          <w:sz w:val="28"/>
          <w:szCs w:val="28"/>
          <w14:textFill>
            <w14:solidFill>
              <w14:schemeClr w14:val="tx1"/>
            </w14:solidFill>
          </w14:textFill>
        </w:rPr>
      </w:pPr>
      <w:r>
        <w:rPr>
          <w:rStyle w:val="44"/>
          <w:rFonts w:hint="eastAsia" w:ascii="宋体" w:hAnsi="宋体" w:cs="宋体"/>
          <w:color w:val="000000" w:themeColor="text1"/>
          <w:sz w:val="28"/>
          <w:szCs w:val="28"/>
          <w14:textFill>
            <w14:solidFill>
              <w14:schemeClr w14:val="tx1"/>
            </w14:solidFill>
          </w14:textFill>
        </w:rPr>
        <w:t>具备履行合同所必需的设备和专业技术能力的书面声明</w:t>
      </w:r>
    </w:p>
    <w:p>
      <w:pPr>
        <w:spacing w:line="460" w:lineRule="exact"/>
        <w:ind w:firstLine="492"/>
        <w:rPr>
          <w:rStyle w:val="44"/>
          <w:rFonts w:ascii="宋体" w:hAnsi="宋体"/>
          <w:bCs/>
          <w:color w:val="000000" w:themeColor="text1"/>
          <w:sz w:val="28"/>
          <w:szCs w:val="28"/>
          <w14:textFill>
            <w14:solidFill>
              <w14:schemeClr w14:val="tx1"/>
            </w14:solidFill>
          </w14:textFill>
        </w:rPr>
      </w:pPr>
      <w:r>
        <w:rPr>
          <w:rStyle w:val="44"/>
          <w:rFonts w:hint="eastAsia" w:ascii="宋体" w:hAnsi="宋体"/>
          <w:bCs/>
          <w:color w:val="000000" w:themeColor="text1"/>
          <w:sz w:val="28"/>
          <w:szCs w:val="28"/>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4"/>
          <w:rFonts w:ascii="宋体" w:hAnsi="宋体"/>
          <w:bCs/>
          <w:color w:val="000000" w:themeColor="text1"/>
          <w:sz w:val="28"/>
          <w:szCs w:val="28"/>
          <w14:textFill>
            <w14:solidFill>
              <w14:schemeClr w14:val="tx1"/>
            </w14:solidFill>
          </w14:textFill>
        </w:rPr>
      </w:pPr>
      <w:r>
        <w:rPr>
          <w:rStyle w:val="44"/>
          <w:rFonts w:hint="eastAsia" w:ascii="宋体" w:hAnsi="宋体"/>
          <w:bCs/>
          <w:color w:val="000000" w:themeColor="text1"/>
          <w:sz w:val="28"/>
          <w:szCs w:val="28"/>
          <w14:textFill>
            <w14:solidFill>
              <w14:schemeClr w14:val="tx1"/>
            </w14:solidFill>
          </w14:textFill>
        </w:rPr>
        <w:t>主要设备有：。</w:t>
      </w:r>
    </w:p>
    <w:p>
      <w:pPr>
        <w:spacing w:line="460" w:lineRule="exact"/>
        <w:ind w:firstLine="492"/>
        <w:rPr>
          <w:rStyle w:val="44"/>
          <w:rFonts w:ascii="宋体" w:hAnsi="宋体"/>
          <w:bCs/>
          <w:color w:val="000000" w:themeColor="text1"/>
          <w:sz w:val="28"/>
          <w:szCs w:val="28"/>
          <w14:textFill>
            <w14:solidFill>
              <w14:schemeClr w14:val="tx1"/>
            </w14:solidFill>
          </w14:textFill>
        </w:rPr>
      </w:pPr>
      <w:r>
        <w:rPr>
          <w:rStyle w:val="44"/>
          <w:rFonts w:hint="eastAsia" w:ascii="宋体" w:hAnsi="宋体"/>
          <w:bCs/>
          <w:color w:val="000000" w:themeColor="text1"/>
          <w:sz w:val="28"/>
          <w:szCs w:val="28"/>
          <w14:textFill>
            <w14:solidFill>
              <w14:schemeClr w14:val="tx1"/>
            </w14:solidFill>
          </w14:textFill>
        </w:rPr>
        <w:t>主要专业技术能力有：。</w:t>
      </w:r>
    </w:p>
    <w:p>
      <w:pPr>
        <w:spacing w:line="460" w:lineRule="exact"/>
        <w:ind w:firstLine="492"/>
        <w:rPr>
          <w:rStyle w:val="44"/>
          <w:rFonts w:ascii="宋体" w:hAnsi="宋体"/>
          <w:bCs/>
          <w:color w:val="000000" w:themeColor="text1"/>
          <w:sz w:val="28"/>
          <w:szCs w:val="28"/>
          <w14:textFill>
            <w14:solidFill>
              <w14:schemeClr w14:val="tx1"/>
            </w14:solidFill>
          </w14:textFill>
        </w:rPr>
      </w:pPr>
    </w:p>
    <w:p>
      <w:pPr>
        <w:spacing w:line="460" w:lineRule="exact"/>
        <w:ind w:firstLine="492"/>
        <w:rPr>
          <w:rStyle w:val="44"/>
          <w:rFonts w:ascii="宋体" w:hAnsi="宋体"/>
          <w:bCs/>
          <w:color w:val="000000" w:themeColor="text1"/>
          <w:sz w:val="28"/>
          <w:szCs w:val="28"/>
          <w14:textFill>
            <w14:solidFill>
              <w14:schemeClr w14:val="tx1"/>
            </w14:solidFill>
          </w14:textFill>
        </w:rPr>
      </w:pPr>
    </w:p>
    <w:p>
      <w:pPr>
        <w:spacing w:line="460" w:lineRule="exact"/>
        <w:ind w:firstLine="492"/>
        <w:rPr>
          <w:rStyle w:val="44"/>
          <w:rFonts w:ascii="宋体" w:hAnsi="宋体"/>
          <w:bCs/>
          <w:color w:val="000000" w:themeColor="text1"/>
          <w:sz w:val="28"/>
          <w:szCs w:val="28"/>
          <w14:textFill>
            <w14:solidFill>
              <w14:schemeClr w14:val="tx1"/>
            </w14:solidFill>
          </w14:textFill>
        </w:rPr>
      </w:pPr>
    </w:p>
    <w:p>
      <w:pPr>
        <w:spacing w:line="460" w:lineRule="exact"/>
        <w:rPr>
          <w:rStyle w:val="44"/>
          <w:rFonts w:ascii="宋体" w:hAnsi="宋体"/>
          <w:bCs/>
          <w:color w:val="000000" w:themeColor="text1"/>
          <w:sz w:val="28"/>
          <w:szCs w:val="28"/>
          <w14:textFill>
            <w14:solidFill>
              <w14:schemeClr w14:val="tx1"/>
            </w14:solidFill>
          </w14:textFill>
        </w:rPr>
      </w:pPr>
      <w:r>
        <w:rPr>
          <w:rStyle w:val="44"/>
          <w:rFonts w:hint="eastAsia" w:ascii="宋体" w:hAnsi="宋体"/>
          <w:bCs/>
          <w:color w:val="000000" w:themeColor="text1"/>
          <w:sz w:val="28"/>
          <w:szCs w:val="28"/>
          <w14:textFill>
            <w14:solidFill>
              <w14:schemeClr w14:val="tx1"/>
            </w14:solidFill>
          </w14:textFill>
        </w:rPr>
        <w:t xml:space="preserve">                                       供应商名称（公章）：</w:t>
      </w:r>
    </w:p>
    <w:p>
      <w:pPr>
        <w:spacing w:line="460" w:lineRule="exact"/>
        <w:rPr>
          <w:rStyle w:val="44"/>
          <w:rFonts w:ascii="宋体" w:hAnsi="宋体"/>
          <w:bCs/>
          <w:color w:val="000000" w:themeColor="text1"/>
          <w:sz w:val="28"/>
          <w:szCs w:val="28"/>
          <w14:textFill>
            <w14:solidFill>
              <w14:schemeClr w14:val="tx1"/>
            </w14:solidFill>
          </w14:textFill>
        </w:rPr>
      </w:pPr>
    </w:p>
    <w:p>
      <w:pPr>
        <w:spacing w:line="460" w:lineRule="exact"/>
        <w:jc w:val="right"/>
        <w:rPr>
          <w:rStyle w:val="44"/>
          <w:rFonts w:ascii="宋体" w:hAnsi="宋体"/>
          <w:bCs/>
          <w:color w:val="000000" w:themeColor="text1"/>
          <w:sz w:val="28"/>
          <w:szCs w:val="28"/>
          <w14:textFill>
            <w14:solidFill>
              <w14:schemeClr w14:val="tx1"/>
            </w14:solidFill>
          </w14:textFill>
        </w:rPr>
      </w:pPr>
      <w:r>
        <w:rPr>
          <w:rStyle w:val="44"/>
          <w:rFonts w:hint="eastAsia" w:ascii="宋体" w:hAnsi="宋体"/>
          <w:bCs/>
          <w:color w:val="000000" w:themeColor="text1"/>
          <w:sz w:val="28"/>
          <w:szCs w:val="28"/>
          <w14:textFill>
            <w14:solidFill>
              <w14:schemeClr w14:val="tx1"/>
            </w14:solidFill>
          </w14:textFill>
        </w:rPr>
        <w:t>日期：</w:t>
      </w:r>
      <w:r>
        <w:rPr>
          <w:rStyle w:val="44"/>
          <w:rFonts w:hint="eastAsia" w:ascii="宋体" w:hAnsi="宋体"/>
          <w:bCs/>
          <w:color w:val="000000" w:themeColor="text1"/>
          <w:sz w:val="28"/>
          <w:szCs w:val="28"/>
          <w:u w:val="single" w:color="000000"/>
          <w14:textFill>
            <w14:solidFill>
              <w14:schemeClr w14:val="tx1"/>
            </w14:solidFill>
          </w14:textFill>
        </w:rPr>
        <w:t xml:space="preserve">    年    月    日</w:t>
      </w:r>
    </w:p>
    <w:p>
      <w:pPr>
        <w:pStyle w:val="5"/>
        <w:jc w:val="center"/>
        <w:rPr>
          <w:rStyle w:val="44"/>
          <w:rFonts w:ascii="宋体" w:hAnsi="宋体"/>
          <w:color w:val="000000" w:themeColor="text1"/>
          <w14:textFill>
            <w14:solidFill>
              <w14:schemeClr w14:val="tx1"/>
            </w14:solidFill>
          </w14:textFill>
        </w:rPr>
      </w:pPr>
      <w:r>
        <w:rPr>
          <w:rStyle w:val="44"/>
          <w:rFonts w:hint="eastAsia" w:ascii="宋体" w:hAnsi="宋体"/>
          <w:color w:val="000000" w:themeColor="text1"/>
          <w14:textFill>
            <w14:solidFill>
              <w14:schemeClr w14:val="tx1"/>
            </w14:solidFill>
          </w14:textFill>
        </w:rPr>
        <w:br w:type="page"/>
      </w:r>
    </w:p>
    <w:p>
      <w:pPr>
        <w:pStyle w:val="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参加政府采购活动前 3 年内在经营活动中没有重大违法记录的书面声明</w:t>
      </w:r>
    </w:p>
    <w:p>
      <w:pPr>
        <w:spacing w:line="460" w:lineRule="exact"/>
        <w:rPr>
          <w:rFonts w:ascii="宋体" w:hAnsi="宋体"/>
          <w:b/>
          <w:bCs/>
          <w:color w:val="000000" w:themeColor="text1"/>
          <w:sz w:val="28"/>
          <w:szCs w:val="28"/>
          <w14:textFill>
            <w14:solidFill>
              <w14:schemeClr w14:val="tx1"/>
            </w14:solidFill>
          </w14:textFill>
        </w:rPr>
      </w:pPr>
    </w:p>
    <w:p>
      <w:pPr>
        <w:jc w:val="center"/>
        <w:rPr>
          <w:rFonts w:ascii="宋体" w:hAnsi="宋体"/>
          <w:b/>
          <w:bCs/>
          <w:color w:val="000000" w:themeColor="text1"/>
          <w:sz w:val="44"/>
          <w:szCs w:val="44"/>
          <w14:textFill>
            <w14:solidFill>
              <w14:schemeClr w14:val="tx1"/>
            </w14:solidFill>
          </w14:textFill>
        </w:rPr>
      </w:pPr>
    </w:p>
    <w:p>
      <w:pPr>
        <w:jc w:val="center"/>
        <w:rPr>
          <w:rFonts w:ascii="宋体" w:hAnsi="宋体"/>
          <w:b/>
          <w:bCs/>
          <w:color w:val="000000" w:themeColor="text1"/>
          <w:sz w:val="44"/>
          <w:szCs w:val="44"/>
          <w14:textFill>
            <w14:solidFill>
              <w14:schemeClr w14:val="tx1"/>
            </w14:solidFill>
          </w14:textFill>
        </w:rPr>
      </w:pPr>
    </w:p>
    <w:p>
      <w:pPr>
        <w:jc w:val="center"/>
        <w:rPr>
          <w:rFonts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44"/>
          <w:szCs w:val="44"/>
          <w14:textFill>
            <w14:solidFill>
              <w14:schemeClr w14:val="tx1"/>
            </w14:solidFill>
          </w14:textFill>
        </w:rPr>
        <w:t>声  明</w:t>
      </w:r>
    </w:p>
    <w:p>
      <w:pPr>
        <w:spacing w:line="460" w:lineRule="exact"/>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bCs/>
          <w:color w:val="000000" w:themeColor="text1"/>
          <w:sz w:val="24"/>
          <w:szCs w:val="24"/>
          <w14:textFill>
            <w14:solidFill>
              <w14:schemeClr w14:val="tx1"/>
            </w14:solidFill>
          </w14:textFill>
        </w:rPr>
      </w:pPr>
    </w:p>
    <w:p>
      <w:pPr>
        <w:spacing w:line="460" w:lineRule="exact"/>
        <w:ind w:firstLine="3120" w:firstLineChars="1300"/>
        <w:rPr>
          <w:rFonts w:ascii="宋体" w:hAnsi="宋体"/>
          <w:bCs/>
          <w:color w:val="000000" w:themeColor="text1"/>
          <w:sz w:val="24"/>
          <w:szCs w:val="24"/>
          <w14:textFill>
            <w14:solidFill>
              <w14:schemeClr w14:val="tx1"/>
            </w14:solidFill>
          </w14:textFill>
        </w:rPr>
      </w:pPr>
    </w:p>
    <w:p>
      <w:pPr>
        <w:spacing w:line="460" w:lineRule="exact"/>
        <w:ind w:firstLine="3120" w:firstLineChars="1300"/>
        <w:rPr>
          <w:rFonts w:ascii="宋体" w:hAnsi="宋体"/>
          <w:bCs/>
          <w:color w:val="000000" w:themeColor="text1"/>
          <w:sz w:val="24"/>
          <w:szCs w:val="24"/>
          <w14:textFill>
            <w14:solidFill>
              <w14:schemeClr w14:val="tx1"/>
            </w14:solidFill>
          </w14:textFill>
        </w:rPr>
      </w:pPr>
    </w:p>
    <w:p>
      <w:pPr>
        <w:spacing w:line="460" w:lineRule="exact"/>
        <w:ind w:firstLine="3360" w:firstLineChars="14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供应商名称（公章）：</w:t>
      </w:r>
    </w:p>
    <w:p>
      <w:pPr>
        <w:spacing w:line="460" w:lineRule="exact"/>
        <w:ind w:firstLine="3360" w:firstLineChars="14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授权代表签字：</w:t>
      </w:r>
    </w:p>
    <w:p>
      <w:pPr>
        <w:spacing w:line="460" w:lineRule="exact"/>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日期：</w:t>
      </w:r>
      <w:r>
        <w:rPr>
          <w:rFonts w:hint="eastAsia" w:ascii="宋体" w:hAnsi="宋体"/>
          <w:bCs/>
          <w:color w:val="000000" w:themeColor="text1"/>
          <w:sz w:val="24"/>
          <w:szCs w:val="24"/>
          <w:u w:val="single"/>
          <w14:textFill>
            <w14:solidFill>
              <w14:schemeClr w14:val="tx1"/>
            </w14:solidFill>
          </w14:textFill>
        </w:rPr>
        <w:t xml:space="preserve">           年    月    日</w:t>
      </w:r>
    </w:p>
    <w:p>
      <w:pPr>
        <w:spacing w:line="460" w:lineRule="exact"/>
        <w:rPr>
          <w:rFonts w:ascii="宋体" w:hAnsi="宋体"/>
          <w:bCs/>
          <w:color w:val="000000" w:themeColor="text1"/>
          <w:sz w:val="28"/>
          <w:szCs w:val="28"/>
          <w14:textFill>
            <w14:solidFill>
              <w14:schemeClr w14:val="tx1"/>
            </w14:solidFill>
          </w14:textFill>
        </w:rPr>
      </w:pPr>
    </w:p>
    <w:p>
      <w:pPr>
        <w:spacing w:line="460" w:lineRule="exact"/>
        <w:rPr>
          <w:rStyle w:val="44"/>
          <w:rFonts w:ascii="宋体" w:hAnsi="宋体"/>
          <w:bCs/>
          <w:color w:val="000000" w:themeColor="text1"/>
          <w:sz w:val="28"/>
          <w:szCs w:val="28"/>
          <w14:textFill>
            <w14:solidFill>
              <w14:schemeClr w14:val="tx1"/>
            </w14:solidFill>
          </w14:textFill>
        </w:rPr>
      </w:pPr>
    </w:p>
    <w:p>
      <w:pPr>
        <w:spacing w:line="460" w:lineRule="exact"/>
        <w:rPr>
          <w:rStyle w:val="44"/>
          <w:rFonts w:ascii="宋体" w:hAnsi="宋体"/>
          <w:bCs/>
          <w:color w:val="000000" w:themeColor="text1"/>
          <w:sz w:val="28"/>
          <w:szCs w:val="28"/>
          <w14:textFill>
            <w14:solidFill>
              <w14:schemeClr w14:val="tx1"/>
            </w14:solidFill>
          </w14:textFill>
        </w:rPr>
      </w:pPr>
    </w:p>
    <w:p>
      <w:pPr>
        <w:spacing w:line="460" w:lineRule="exact"/>
        <w:rPr>
          <w:rStyle w:val="44"/>
          <w:rFonts w:ascii="宋体" w:hAnsi="宋体"/>
          <w:bCs/>
          <w:color w:val="000000" w:themeColor="text1"/>
          <w:sz w:val="28"/>
          <w:szCs w:val="28"/>
          <w14:textFill>
            <w14:solidFill>
              <w14:schemeClr w14:val="tx1"/>
            </w14:solidFill>
          </w14:textFill>
        </w:rPr>
      </w:pPr>
    </w:p>
    <w:p>
      <w:pPr>
        <w:spacing w:line="460" w:lineRule="exact"/>
        <w:rPr>
          <w:rStyle w:val="44"/>
          <w:rFonts w:ascii="宋体" w:hAnsi="宋体"/>
          <w:bCs/>
          <w:color w:val="000000" w:themeColor="text1"/>
          <w:sz w:val="28"/>
          <w:szCs w:val="28"/>
          <w14:textFill>
            <w14:solidFill>
              <w14:schemeClr w14:val="tx1"/>
            </w14:solidFill>
          </w14:textFill>
        </w:rPr>
      </w:pPr>
    </w:p>
    <w:p>
      <w:pPr>
        <w:spacing w:line="460" w:lineRule="exact"/>
        <w:rPr>
          <w:rStyle w:val="44"/>
          <w:rFonts w:ascii="宋体" w:hAnsi="宋体"/>
          <w:bCs/>
          <w:color w:val="000000" w:themeColor="text1"/>
          <w:sz w:val="28"/>
          <w:szCs w:val="28"/>
          <w14:textFill>
            <w14:solidFill>
              <w14:schemeClr w14:val="tx1"/>
            </w14:solidFill>
          </w14:textFill>
        </w:rPr>
      </w:pPr>
    </w:p>
    <w:p>
      <w:pPr>
        <w:spacing w:line="460" w:lineRule="exact"/>
        <w:rPr>
          <w:rStyle w:val="44"/>
          <w:rFonts w:ascii="宋体" w:hAnsi="宋体"/>
          <w:bCs/>
          <w:color w:val="000000" w:themeColor="text1"/>
          <w:sz w:val="28"/>
          <w:szCs w:val="28"/>
          <w14:textFill>
            <w14:solidFill>
              <w14:schemeClr w14:val="tx1"/>
            </w14:solidFill>
          </w14:textFill>
        </w:rPr>
      </w:pPr>
    </w:p>
    <w:p>
      <w:pPr>
        <w:spacing w:line="460" w:lineRule="exact"/>
        <w:rPr>
          <w:rStyle w:val="44"/>
          <w:rFonts w:ascii="宋体" w:hAnsi="宋体"/>
          <w:bCs/>
          <w:color w:val="000000" w:themeColor="text1"/>
          <w:sz w:val="28"/>
          <w:szCs w:val="28"/>
          <w14:textFill>
            <w14:solidFill>
              <w14:schemeClr w14:val="tx1"/>
            </w14:solidFill>
          </w14:textFill>
        </w:rPr>
      </w:pPr>
    </w:p>
    <w:p>
      <w:pPr>
        <w:spacing w:line="460" w:lineRule="exact"/>
        <w:rPr>
          <w:rStyle w:val="44"/>
          <w:rFonts w:ascii="宋体" w:hAnsi="宋体"/>
          <w:bCs/>
          <w:color w:val="000000" w:themeColor="text1"/>
          <w:sz w:val="24"/>
          <w14:textFill>
            <w14:solidFill>
              <w14:schemeClr w14:val="tx1"/>
            </w14:solidFill>
          </w14:textFill>
        </w:rPr>
      </w:pPr>
    </w:p>
    <w:p>
      <w:pPr>
        <w:spacing w:line="460" w:lineRule="exact"/>
        <w:rPr>
          <w:rStyle w:val="44"/>
          <w:rFonts w:ascii="宋体" w:hAnsi="宋体"/>
          <w:bCs/>
          <w:color w:val="000000" w:themeColor="text1"/>
          <w:sz w:val="24"/>
          <w14:textFill>
            <w14:solidFill>
              <w14:schemeClr w14:val="tx1"/>
            </w14:solidFill>
          </w14:textFill>
        </w:rPr>
      </w:pPr>
    </w:p>
    <w:p>
      <w:pPr>
        <w:spacing w:line="460" w:lineRule="exact"/>
        <w:rPr>
          <w:rStyle w:val="44"/>
          <w:rFonts w:ascii="宋体" w:hAnsi="宋体"/>
          <w:bCs/>
          <w:color w:val="000000" w:themeColor="text1"/>
          <w:sz w:val="24"/>
          <w14:textFill>
            <w14:solidFill>
              <w14:schemeClr w14:val="tx1"/>
            </w14:solidFill>
          </w14:textFill>
        </w:rPr>
      </w:pPr>
    </w:p>
    <w:p>
      <w:pPr>
        <w:spacing w:line="460" w:lineRule="exact"/>
        <w:rPr>
          <w:rStyle w:val="44"/>
          <w:rFonts w:ascii="宋体" w:hAnsi="宋体"/>
          <w:bCs/>
          <w:color w:val="000000" w:themeColor="text1"/>
          <w:sz w:val="24"/>
          <w14:textFill>
            <w14:solidFill>
              <w14:schemeClr w14:val="tx1"/>
            </w14:solidFill>
          </w14:textFill>
        </w:rPr>
      </w:pPr>
    </w:p>
    <w:p>
      <w:pPr>
        <w:pStyle w:val="37"/>
        <w:jc w:val="center"/>
        <w:rPr>
          <w:rStyle w:val="44"/>
          <w:rFonts w:ascii="宋体" w:hAnsi="宋体" w:cs="宋体"/>
          <w:color w:val="000000" w:themeColor="text1"/>
          <w:sz w:val="28"/>
          <w:szCs w:val="28"/>
          <w14:textFill>
            <w14:solidFill>
              <w14:schemeClr w14:val="tx1"/>
            </w14:solidFill>
          </w14:textFill>
        </w:rPr>
      </w:pPr>
      <w:r>
        <w:rPr>
          <w:rStyle w:val="44"/>
          <w:rFonts w:hint="eastAsia" w:ascii="宋体" w:hAnsi="宋体" w:cs="宋体"/>
          <w:color w:val="000000" w:themeColor="text1"/>
          <w:sz w:val="28"/>
          <w:szCs w:val="28"/>
          <w14:textFill>
            <w14:solidFill>
              <w14:schemeClr w14:val="tx1"/>
            </w14:solidFill>
          </w14:textFill>
        </w:rPr>
        <w:t>法人授权书</w:t>
      </w:r>
    </w:p>
    <w:p>
      <w:pPr>
        <w:pStyle w:val="115"/>
        <w:ind w:firstLine="48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本授权书声明：____________（供应商名称）授权________________（被授权人的姓名）为我方就 号项目采购活动的合法代理人，以本公司名义全权处理一切与该项目采购有关的事务。</w:t>
      </w:r>
    </w:p>
    <w:p>
      <w:pPr>
        <w:pStyle w:val="115"/>
        <w:ind w:firstLine="48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本授权书于______年____月____日起生效，特此声明。</w:t>
      </w:r>
    </w:p>
    <w:p>
      <w:pPr>
        <w:pStyle w:val="115"/>
        <w:ind w:firstLineChars="0"/>
        <w:rPr>
          <w:rFonts w:ascii="宋体" w:hAnsi="宋体"/>
          <w:bCs/>
          <w:color w:val="000000" w:themeColor="text1"/>
          <w:sz w:val="24"/>
          <w:szCs w:val="24"/>
          <w14:textFill>
            <w14:solidFill>
              <w14:schemeClr w14:val="tx1"/>
            </w14:solidFill>
          </w14:textFill>
        </w:rPr>
      </w:pPr>
    </w:p>
    <w:p>
      <w:pPr>
        <w:pStyle w:val="115"/>
        <w:ind w:firstLine="2145" w:firstLineChars="894"/>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代理人（被授权人）：_______________________</w:t>
      </w:r>
    </w:p>
    <w:p>
      <w:pPr>
        <w:pStyle w:val="115"/>
        <w:ind w:firstLineChars="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 xml:space="preserve">                单位名称：_____________________________________</w:t>
      </w:r>
    </w:p>
    <w:p>
      <w:pPr>
        <w:pStyle w:val="115"/>
        <w:ind w:firstLine="480"/>
        <w:rPr>
          <w:rFonts w:ascii="宋体" w:hAnsi="宋体"/>
          <w:bCs/>
          <w:color w:val="000000" w:themeColor="text1"/>
          <w:sz w:val="24"/>
          <w:szCs w:val="24"/>
          <w14:textFill>
            <w14:solidFill>
              <w14:schemeClr w14:val="tx1"/>
            </w14:solidFill>
          </w14:textFill>
        </w:rPr>
      </w:pPr>
    </w:p>
    <w:p>
      <w:pPr>
        <w:pStyle w:val="115"/>
        <w:ind w:firstLineChars="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 xml:space="preserve">               授权单位盖章：_________________________________</w:t>
      </w:r>
    </w:p>
    <w:p>
      <w:pPr>
        <w:pStyle w:val="115"/>
        <w:ind w:firstLine="48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 xml:space="preserve">             单位名称：_____________________________________</w:t>
      </w:r>
    </w:p>
    <w:p>
      <w:pPr>
        <w:pStyle w:val="115"/>
        <w:ind w:firstLine="48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 xml:space="preserve">             地址：_____________________________________</w:t>
      </w:r>
    </w:p>
    <w:p>
      <w:pPr>
        <w:pStyle w:val="115"/>
        <w:ind w:firstLine="480"/>
        <w:rPr>
          <w:rStyle w:val="44"/>
          <w:rFonts w:ascii="宋体" w:hAnsi="宋体"/>
          <w:color w:val="000000" w:themeColor="text1"/>
          <w:szCs w:val="28"/>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 xml:space="preserve">             日期：_____________________________________      </w:t>
      </w:r>
    </w:p>
    <w:p>
      <w:pPr>
        <w:ind w:firstLine="560" w:firstLineChars="200"/>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附：</w:t>
      </w:r>
    </w:p>
    <w:tbl>
      <w:tblPr>
        <w:tblStyle w:val="22"/>
        <w:tblW w:w="825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8"/>
                <w:szCs w:val="22"/>
                <w14:textFill>
                  <w14:solidFill>
                    <w14:schemeClr w14:val="tx1"/>
                  </w14:solidFill>
                </w14:textFill>
              </w:rPr>
              <w:t>(代理人身份证复印件粘贴处)</w:t>
            </w:r>
          </w:p>
        </w:tc>
      </w:tr>
    </w:tbl>
    <w:p>
      <w:pPr>
        <w:snapToGrid w:val="0"/>
        <w:spacing w:before="50" w:after="50"/>
        <w:jc w:val="center"/>
        <w:rPr>
          <w:rStyle w:val="44"/>
          <w:rFonts w:ascii="宋体" w:hAnsi="宋体"/>
          <w:color w:val="000000" w:themeColor="text1"/>
          <w:sz w:val="32"/>
          <w:szCs w:val="32"/>
          <w14:textFill>
            <w14:solidFill>
              <w14:schemeClr w14:val="tx1"/>
            </w14:solidFill>
          </w14:textFill>
        </w:rPr>
      </w:pPr>
    </w:p>
    <w:p>
      <w:pPr>
        <w:snapToGrid w:val="0"/>
        <w:spacing w:before="50" w:after="50"/>
        <w:jc w:val="center"/>
        <w:rPr>
          <w:rStyle w:val="44"/>
          <w:rFonts w:ascii="宋体" w:hAnsi="宋体"/>
          <w:color w:val="000000" w:themeColor="text1"/>
          <w:sz w:val="32"/>
          <w:szCs w:val="32"/>
          <w14:textFill>
            <w14:solidFill>
              <w14:schemeClr w14:val="tx1"/>
            </w14:solidFill>
          </w14:textFill>
        </w:rPr>
      </w:pPr>
    </w:p>
    <w:p>
      <w:pPr>
        <w:snapToGrid w:val="0"/>
        <w:spacing w:before="50" w:after="50"/>
        <w:rPr>
          <w:rStyle w:val="44"/>
          <w:rFonts w:ascii="宋体" w:hAnsi="宋体"/>
          <w:color w:val="000000" w:themeColor="text1"/>
          <w:sz w:val="32"/>
          <w:szCs w:val="32"/>
          <w14:textFill>
            <w14:solidFill>
              <w14:schemeClr w14:val="tx1"/>
            </w14:solidFill>
          </w14:textFill>
        </w:rPr>
      </w:pPr>
      <w:bookmarkStart w:id="50" w:name="_Toc1752"/>
    </w:p>
    <w:p>
      <w:pPr>
        <w:snapToGrid w:val="0"/>
        <w:spacing w:before="50" w:after="50"/>
        <w:jc w:val="center"/>
        <w:outlineLvl w:val="0"/>
        <w:rPr>
          <w:rStyle w:val="44"/>
          <w:rFonts w:ascii="宋体" w:hAnsi="宋体"/>
          <w:b/>
          <w:bCs/>
          <w:color w:val="000000" w:themeColor="text1"/>
          <w:sz w:val="32"/>
          <w:szCs w:val="32"/>
          <w14:textFill>
            <w14:solidFill>
              <w14:schemeClr w14:val="tx1"/>
            </w14:solidFill>
          </w14:textFill>
        </w:rPr>
      </w:pPr>
      <w:bookmarkStart w:id="51" w:name="_Toc31718"/>
      <w:r>
        <w:rPr>
          <w:rStyle w:val="44"/>
          <w:rFonts w:hint="eastAsia" w:ascii="宋体" w:hAnsi="宋体"/>
          <w:b/>
          <w:bCs/>
          <w:color w:val="000000" w:themeColor="text1"/>
          <w:sz w:val="32"/>
          <w:szCs w:val="32"/>
          <w14:textFill>
            <w14:solidFill>
              <w14:schemeClr w14:val="tx1"/>
            </w14:solidFill>
          </w14:textFill>
        </w:rPr>
        <w:t>二、资格性审查响应对照表（格式）</w:t>
      </w:r>
      <w:bookmarkEnd w:id="50"/>
      <w:bookmarkEnd w:id="51"/>
    </w:p>
    <w:p>
      <w:pPr>
        <w:ind w:firstLine="309"/>
        <w:rPr>
          <w:rStyle w:val="44"/>
          <w:rFonts w:ascii="宋体" w:hAnsi="宋体"/>
          <w:color w:val="000000" w:themeColor="text1"/>
          <w:sz w:val="24"/>
          <w:szCs w:val="24"/>
          <w14:textFill>
            <w14:solidFill>
              <w14:schemeClr w14:val="tx1"/>
            </w14:solidFill>
          </w14:textFill>
        </w:rPr>
      </w:pPr>
      <w:r>
        <w:rPr>
          <w:rStyle w:val="44"/>
          <w:rFonts w:hint="eastAsia" w:ascii="宋体" w:hAnsi="宋体"/>
          <w:color w:val="000000" w:themeColor="text1"/>
          <w:sz w:val="24"/>
          <w:szCs w:val="24"/>
          <w14:textFill>
            <w14:solidFill>
              <w14:schemeClr w14:val="tx1"/>
            </w14:solidFill>
          </w14:textFill>
        </w:rPr>
        <w:t>投标人全称（加盖公章）：</w:t>
      </w:r>
    </w:p>
    <w:tbl>
      <w:tblPr>
        <w:tblStyle w:val="22"/>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b/>
                <w:color w:val="000000" w:themeColor="text1"/>
                <w14:textFill>
                  <w14:solidFill>
                    <w14:schemeClr w14:val="tx1"/>
                  </w14:solidFill>
                </w14:textFill>
              </w:rPr>
            </w:pPr>
            <w:r>
              <w:rPr>
                <w:rStyle w:val="44"/>
                <w:rFonts w:hint="eastAsia" w:ascii="宋体" w:hAnsi="宋体"/>
                <w:b/>
                <w:color w:val="000000" w:themeColor="text1"/>
                <w14:textFill>
                  <w14:solidFill>
                    <w14:schemeClr w14:val="tx1"/>
                  </w14:solidFill>
                </w14:textFill>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b/>
                <w:color w:val="000000" w:themeColor="text1"/>
                <w14:textFill>
                  <w14:solidFill>
                    <w14:schemeClr w14:val="tx1"/>
                  </w14:solidFill>
                </w14:textFill>
              </w:rPr>
            </w:pPr>
            <w:r>
              <w:rPr>
                <w:rStyle w:val="44"/>
                <w:rFonts w:hint="eastAsia" w:ascii="宋体" w:hAnsi="宋体"/>
                <w:b/>
                <w:color w:val="000000" w:themeColor="text1"/>
                <w14:textFill>
                  <w14:solidFill>
                    <w14:schemeClr w14:val="tx1"/>
                  </w14:solidFill>
                </w14:textFill>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b/>
                <w:color w:val="000000" w:themeColor="text1"/>
                <w14:textFill>
                  <w14:solidFill>
                    <w14:schemeClr w14:val="tx1"/>
                  </w14:solidFill>
                </w14:textFill>
              </w:rPr>
            </w:pPr>
            <w:r>
              <w:rPr>
                <w:rStyle w:val="44"/>
                <w:rFonts w:hint="eastAsia" w:ascii="宋体" w:hAnsi="宋体"/>
                <w:b/>
                <w:color w:val="000000" w:themeColor="text1"/>
                <w14:textFill>
                  <w14:solidFill>
                    <w14:schemeClr w14:val="tx1"/>
                  </w14:solidFill>
                </w14:textFill>
              </w:rPr>
              <w:t>是否响应</w:t>
            </w:r>
          </w:p>
          <w:p>
            <w:pPr>
              <w:snapToGrid w:val="0"/>
              <w:spacing w:line="240" w:lineRule="atLeast"/>
              <w:jc w:val="center"/>
              <w:rPr>
                <w:rStyle w:val="44"/>
                <w:rFonts w:ascii="宋体" w:hAnsi="宋体"/>
                <w:b/>
                <w:color w:val="000000" w:themeColor="text1"/>
                <w14:textFill>
                  <w14:solidFill>
                    <w14:schemeClr w14:val="tx1"/>
                  </w14:solidFill>
                </w14:textFill>
              </w:rPr>
            </w:pPr>
            <w:r>
              <w:rPr>
                <w:rStyle w:val="44"/>
                <w:rFonts w:hint="eastAsia" w:ascii="宋体" w:hAnsi="宋体"/>
                <w:b/>
                <w:color w:val="000000" w:themeColor="text1"/>
                <w14:textFill>
                  <w14:solidFill>
                    <w14:schemeClr w14:val="tx1"/>
                  </w14:solidFill>
                </w14:textFill>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b/>
                <w:color w:val="000000" w:themeColor="text1"/>
                <w14:textFill>
                  <w14:solidFill>
                    <w14:schemeClr w14:val="tx1"/>
                  </w14:solidFill>
                </w14:textFill>
              </w:rPr>
            </w:pPr>
            <w:r>
              <w:rPr>
                <w:rStyle w:val="44"/>
                <w:rFonts w:hint="eastAsia" w:ascii="宋体" w:hAnsi="宋体"/>
                <w:b/>
                <w:color w:val="000000" w:themeColor="text1"/>
                <w14:textFill>
                  <w14:solidFill>
                    <w14:schemeClr w14:val="tx1"/>
                  </w14:solidFill>
                </w14:textFill>
              </w:rPr>
              <w:t>投标文件中的</w:t>
            </w:r>
          </w:p>
          <w:p>
            <w:pPr>
              <w:snapToGrid w:val="0"/>
              <w:spacing w:line="240" w:lineRule="atLeast"/>
              <w:jc w:val="center"/>
              <w:rPr>
                <w:rStyle w:val="44"/>
                <w:rFonts w:ascii="宋体" w:hAnsi="宋体"/>
                <w:b/>
                <w:color w:val="000000" w:themeColor="text1"/>
                <w14:textFill>
                  <w14:solidFill>
                    <w14:schemeClr w14:val="tx1"/>
                  </w14:solidFill>
                </w14:textFill>
              </w:rPr>
            </w:pPr>
            <w:r>
              <w:rPr>
                <w:rStyle w:val="44"/>
                <w:rFonts w:hint="eastAsia" w:ascii="宋体" w:hAnsi="宋体"/>
                <w:b/>
                <w:color w:val="000000" w:themeColor="text1"/>
                <w14:textFill>
                  <w14:solidFill>
                    <w14:schemeClr w14:val="tx1"/>
                  </w14:solidFill>
                </w14:textFill>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b/>
                <w:color w:val="000000" w:themeColor="text1"/>
                <w14:textFill>
                  <w14:solidFill>
                    <w14:schemeClr w14:val="tx1"/>
                  </w14:solidFill>
                </w14:textFill>
              </w:rPr>
            </w:pPr>
            <w:r>
              <w:rPr>
                <w:rStyle w:val="44"/>
                <w:rFonts w:hint="eastAsia" w:ascii="宋体" w:hAnsi="宋体"/>
                <w:b/>
                <w:color w:val="000000" w:themeColor="text1"/>
                <w14:textFill>
                  <w14:solidFill>
                    <w14:schemeClr w14:val="tx1"/>
                  </w14:solidFill>
                </w14:textFill>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宋体" w:hAnsi="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b/>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b/>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14:textFill>
                  <w14:solidFill>
                    <w14:schemeClr w14:val="tx1"/>
                  </w14:solidFill>
                </w14:textFill>
              </w:rPr>
            </w:pPr>
            <w:r>
              <w:rPr>
                <w:rStyle w:val="44"/>
                <w:rFonts w:hint="eastAsia" w:ascii="宋体" w:hAnsi="宋体"/>
                <w:color w:val="000000" w:themeColor="text1"/>
                <w14:textFill>
                  <w14:solidFill>
                    <w14:schemeClr w14:val="tx1"/>
                  </w14:solidFill>
                </w14:textFill>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宋体" w:hAnsi="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14:textFill>
                  <w14:solidFill>
                    <w14:schemeClr w14:val="tx1"/>
                  </w14:solidFill>
                </w14:textFill>
              </w:rPr>
            </w:pPr>
            <w:r>
              <w:rPr>
                <w:rStyle w:val="44"/>
                <w:rFonts w:hint="eastAsia" w:ascii="宋体" w:hAnsi="宋体"/>
                <w:color w:val="000000" w:themeColor="text1"/>
                <w14:textFill>
                  <w14:solidFill>
                    <w14:schemeClr w14:val="tx1"/>
                  </w14:solidFill>
                </w14:textFill>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宋体" w:hAnsi="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14:textFill>
                  <w14:solidFill>
                    <w14:schemeClr w14:val="tx1"/>
                  </w14:solidFill>
                </w14:textFill>
              </w:rPr>
            </w:pPr>
            <w:r>
              <w:rPr>
                <w:rStyle w:val="44"/>
                <w:rFonts w:hint="eastAsia" w:ascii="宋体" w:hAnsi="宋体"/>
                <w:color w:val="000000" w:themeColor="text1"/>
                <w14:textFill>
                  <w14:solidFill>
                    <w14:schemeClr w14:val="tx1"/>
                  </w14:solidFill>
                </w14:textFill>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4"/>
                <w:rFonts w:ascii="宋体" w:hAnsi="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14:textFill>
                  <w14:solidFill>
                    <w14:schemeClr w14:val="tx1"/>
                  </w14:solidFill>
                </w14:textFill>
              </w:rPr>
            </w:pPr>
            <w:r>
              <w:rPr>
                <w:rStyle w:val="44"/>
                <w:rFonts w:hint="eastAsia" w:ascii="宋体" w:hAnsi="宋体"/>
                <w:color w:val="000000" w:themeColor="text1"/>
                <w14:textFill>
                  <w14:solidFill>
                    <w14:schemeClr w14:val="tx1"/>
                  </w14:solidFill>
                </w14:textFill>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宋体" w:hAnsi="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14:textFill>
                  <w14:solidFill>
                    <w14:schemeClr w14:val="tx1"/>
                  </w14:solidFill>
                </w14:textFill>
              </w:rPr>
            </w:pPr>
            <w:r>
              <w:rPr>
                <w:rStyle w:val="44"/>
                <w:rFonts w:hint="eastAsia" w:ascii="宋体" w:hAnsi="宋体"/>
                <w:color w:val="000000" w:themeColor="text1"/>
                <w14:textFill>
                  <w14:solidFill>
                    <w14:schemeClr w14:val="tx1"/>
                  </w14:solidFill>
                </w14:textFill>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宋体" w:hAnsi="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14:textFill>
                  <w14:solidFill>
                    <w14:schemeClr w14:val="tx1"/>
                  </w14:solidFill>
                </w14:textFill>
              </w:rPr>
            </w:pPr>
            <w:r>
              <w:rPr>
                <w:rStyle w:val="44"/>
                <w:rFonts w:hint="eastAsia" w:ascii="宋体" w:hAnsi="宋体"/>
                <w:color w:val="000000" w:themeColor="text1"/>
                <w14:textFill>
                  <w14:solidFill>
                    <w14:schemeClr w14:val="tx1"/>
                  </w14:solidFill>
                </w14:textFill>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宋体" w:hAnsi="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14:textFill>
                  <w14:solidFill>
                    <w14:schemeClr w14:val="tx1"/>
                  </w14:solidFill>
                </w14:textFill>
              </w:rPr>
            </w:pPr>
          </w:p>
        </w:tc>
      </w:tr>
    </w:tbl>
    <w:p>
      <w:pPr>
        <w:spacing w:line="440" w:lineRule="exact"/>
        <w:ind w:firstLine="480" w:firstLineChars="200"/>
        <w:rPr>
          <w:rStyle w:val="44"/>
          <w:rFonts w:ascii="宋体" w:hAnsi="宋体"/>
          <w:color w:val="000000" w:themeColor="text1"/>
          <w:sz w:val="24"/>
          <w14:textFill>
            <w14:solidFill>
              <w14:schemeClr w14:val="tx1"/>
            </w14:solidFill>
          </w14:textFill>
        </w:rPr>
      </w:pPr>
    </w:p>
    <w:p>
      <w:pPr>
        <w:snapToGrid w:val="0"/>
        <w:spacing w:before="50" w:after="50"/>
        <w:rPr>
          <w:rStyle w:val="44"/>
          <w:rFonts w:ascii="宋体" w:hAnsi="宋体"/>
          <w:color w:val="000000" w:themeColor="text1"/>
          <w:sz w:val="44"/>
          <w14:textFill>
            <w14:solidFill>
              <w14:schemeClr w14:val="tx1"/>
            </w14:solidFill>
          </w14:textFill>
        </w:rPr>
      </w:pPr>
    </w:p>
    <w:p>
      <w:pPr>
        <w:snapToGrid w:val="0"/>
        <w:spacing w:before="50" w:after="50"/>
        <w:rPr>
          <w:rStyle w:val="44"/>
          <w:rFonts w:ascii="宋体" w:hAnsi="宋体"/>
          <w:color w:val="000000" w:themeColor="text1"/>
          <w:sz w:val="44"/>
          <w14:textFill>
            <w14:solidFill>
              <w14:schemeClr w14:val="tx1"/>
            </w14:solidFill>
          </w14:textFill>
        </w:rPr>
      </w:pPr>
    </w:p>
    <w:p>
      <w:pPr>
        <w:snapToGrid w:val="0"/>
        <w:spacing w:before="50" w:after="50"/>
        <w:rPr>
          <w:rStyle w:val="44"/>
          <w:rFonts w:ascii="宋体" w:hAnsi="宋体"/>
          <w:color w:val="000000" w:themeColor="text1"/>
          <w:sz w:val="44"/>
          <w14:textFill>
            <w14:solidFill>
              <w14:schemeClr w14:val="tx1"/>
            </w14:solidFill>
          </w14:textFill>
        </w:rPr>
      </w:pPr>
    </w:p>
    <w:p>
      <w:pPr>
        <w:snapToGrid w:val="0"/>
        <w:spacing w:before="50" w:after="50"/>
        <w:rPr>
          <w:rStyle w:val="44"/>
          <w:rFonts w:ascii="宋体" w:hAnsi="宋体"/>
          <w:color w:val="000000" w:themeColor="text1"/>
          <w:sz w:val="44"/>
          <w14:textFill>
            <w14:solidFill>
              <w14:schemeClr w14:val="tx1"/>
            </w14:solidFill>
          </w14:textFill>
        </w:rPr>
      </w:pPr>
    </w:p>
    <w:p>
      <w:pPr>
        <w:pStyle w:val="5"/>
        <w:rPr>
          <w:rFonts w:ascii="宋体" w:hAnsi="宋体"/>
          <w:color w:val="000000" w:themeColor="text1"/>
          <w14:textFill>
            <w14:solidFill>
              <w14:schemeClr w14:val="tx1"/>
            </w14:solidFill>
          </w14:textFill>
        </w:rPr>
      </w:pPr>
    </w:p>
    <w:p>
      <w:pPr>
        <w:pStyle w:val="6"/>
        <w:ind w:firstLine="0"/>
        <w:rPr>
          <w:rFonts w:ascii="宋体" w:hAnsi="宋体"/>
          <w:color w:val="000000" w:themeColor="text1"/>
          <w14:textFill>
            <w14:solidFill>
              <w14:schemeClr w14:val="tx1"/>
            </w14:solidFill>
          </w14:textFill>
        </w:rPr>
      </w:pPr>
    </w:p>
    <w:p>
      <w:pPr>
        <w:pStyle w:val="7"/>
        <w:jc w:val="center"/>
        <w:rPr>
          <w:rFonts w:asciiTheme="minorEastAsia" w:hAnsiTheme="minorEastAsia" w:eastAsiaTheme="minorEastAsia" w:cstheme="minorEastAsia"/>
          <w:color w:val="000000" w:themeColor="text1"/>
          <w14:textFill>
            <w14:solidFill>
              <w14:schemeClr w14:val="tx1"/>
            </w14:solidFill>
          </w14:textFill>
        </w:rPr>
      </w:pPr>
      <w:bookmarkStart w:id="52" w:name="_Toc22891"/>
      <w:bookmarkStart w:id="53" w:name="_Toc16680"/>
      <w:r>
        <w:rPr>
          <w:rFonts w:hint="eastAsia" w:asciiTheme="minorEastAsia" w:hAnsiTheme="minorEastAsia" w:eastAsiaTheme="minorEastAsia" w:cstheme="minorEastAsia"/>
          <w:color w:val="000000" w:themeColor="text1"/>
          <w14:textFill>
            <w14:solidFill>
              <w14:schemeClr w14:val="tx1"/>
            </w14:solidFill>
          </w14:textFill>
        </w:rPr>
        <w:t>三、符合性检查响应对照表（格式）</w:t>
      </w:r>
      <w:bookmarkEnd w:id="52"/>
      <w:bookmarkEnd w:id="53"/>
    </w:p>
    <w:p>
      <w:pPr>
        <w:pStyle w:val="7"/>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投标人全称（加盖公章）：</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26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vAlign w:val="center"/>
          </w:tcPr>
          <w:p>
            <w:pPr>
              <w:widowControl w:val="0"/>
              <w:snapToGrid w:val="0"/>
              <w:spacing w:line="240" w:lineRule="atLeast"/>
              <w:jc w:val="center"/>
              <w:rPr>
                <w:rFonts w:ascii="宋体" w:hAnsiTheme="minorHAnsi" w:eastAsiaTheme="minorEastAsia"/>
                <w:b/>
                <w:color w:val="000000" w:themeColor="text1"/>
                <w:szCs w:val="24"/>
                <w14:textFill>
                  <w14:solidFill>
                    <w14:schemeClr w14:val="tx1"/>
                  </w14:solidFill>
                </w14:textFill>
              </w:rPr>
            </w:pPr>
            <w:r>
              <w:rPr>
                <w:rFonts w:hint="eastAsia" w:ascii="宋体" w:hAnsi="宋体"/>
                <w:b/>
                <w:color w:val="000000" w:themeColor="text1"/>
                <w14:textFill>
                  <w14:solidFill>
                    <w14:schemeClr w14:val="tx1"/>
                  </w14:solidFill>
                </w14:textFill>
              </w:rPr>
              <w:t>序号</w:t>
            </w:r>
          </w:p>
        </w:tc>
        <w:tc>
          <w:tcPr>
            <w:tcW w:w="3260" w:type="dxa"/>
            <w:vAlign w:val="center"/>
          </w:tcPr>
          <w:p>
            <w:pPr>
              <w:widowControl w:val="0"/>
              <w:snapToGrid w:val="0"/>
              <w:spacing w:line="240" w:lineRule="atLeast"/>
              <w:jc w:val="center"/>
              <w:rPr>
                <w:rFonts w:ascii="宋体" w:hAnsiTheme="minorHAnsi" w:eastAsiaTheme="minorEastAsia"/>
                <w:b/>
                <w:color w:val="000000" w:themeColor="text1"/>
                <w:szCs w:val="24"/>
                <w14:textFill>
                  <w14:solidFill>
                    <w14:schemeClr w14:val="tx1"/>
                  </w14:solidFill>
                </w14:textFill>
              </w:rPr>
            </w:pPr>
            <w:r>
              <w:rPr>
                <w:rFonts w:hint="eastAsia" w:ascii="宋体" w:hAnsi="宋体"/>
                <w:b/>
                <w:color w:val="000000" w:themeColor="text1"/>
                <w14:textFill>
                  <w14:solidFill>
                    <w14:schemeClr w14:val="tx1"/>
                  </w14:solidFill>
                </w14:textFill>
              </w:rPr>
              <w:t>符合性检查响应内容</w:t>
            </w:r>
          </w:p>
        </w:tc>
        <w:tc>
          <w:tcPr>
            <w:tcW w:w="2131" w:type="dxa"/>
            <w:vAlign w:val="center"/>
          </w:tcPr>
          <w:p>
            <w:pPr>
              <w:widowControl w:val="0"/>
              <w:snapToGrid w:val="0"/>
              <w:spacing w:line="240" w:lineRule="atLeast"/>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是否响应</w:t>
            </w:r>
          </w:p>
          <w:p>
            <w:pPr>
              <w:widowControl w:val="0"/>
              <w:snapToGrid w:val="0"/>
              <w:spacing w:line="240" w:lineRule="atLeast"/>
              <w:jc w:val="center"/>
              <w:rPr>
                <w:rFonts w:ascii="宋体" w:hAnsiTheme="minorHAnsi" w:eastAsiaTheme="minorEastAsia"/>
                <w:b/>
                <w:color w:val="000000" w:themeColor="text1"/>
                <w:szCs w:val="24"/>
                <w14:textFill>
                  <w14:solidFill>
                    <w14:schemeClr w14:val="tx1"/>
                  </w14:solidFill>
                </w14:textFill>
              </w:rPr>
            </w:pPr>
            <w:r>
              <w:rPr>
                <w:rFonts w:hint="eastAsia" w:ascii="宋体" w:hAnsi="宋体"/>
                <w:b/>
                <w:color w:val="000000" w:themeColor="text1"/>
                <w14:textFill>
                  <w14:solidFill>
                    <w14:schemeClr w14:val="tx1"/>
                  </w14:solidFill>
                </w14:textFill>
              </w:rPr>
              <w:t>（填是或者否）</w:t>
            </w:r>
          </w:p>
        </w:tc>
        <w:tc>
          <w:tcPr>
            <w:tcW w:w="2131" w:type="dxa"/>
            <w:vAlign w:val="center"/>
          </w:tcPr>
          <w:p>
            <w:pPr>
              <w:widowControl w:val="0"/>
              <w:snapToGrid w:val="0"/>
              <w:spacing w:line="240" w:lineRule="atLeast"/>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投标文件中的</w:t>
            </w:r>
          </w:p>
          <w:p>
            <w:pPr>
              <w:widowControl w:val="0"/>
              <w:snapToGrid w:val="0"/>
              <w:spacing w:line="240" w:lineRule="atLeast"/>
              <w:jc w:val="center"/>
              <w:rPr>
                <w:rFonts w:ascii="宋体" w:hAnsiTheme="minorHAnsi" w:eastAsiaTheme="minorEastAsia"/>
                <w:b/>
                <w:color w:val="000000" w:themeColor="text1"/>
                <w:szCs w:val="24"/>
                <w14:textFill>
                  <w14:solidFill>
                    <w14:schemeClr w14:val="tx1"/>
                  </w14:solidFill>
                </w14:textFill>
              </w:rPr>
            </w:pPr>
            <w:r>
              <w:rPr>
                <w:rFonts w:hint="eastAsia" w:ascii="宋体" w:hAnsi="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widowControl w:val="0"/>
              <w:jc w:val="center"/>
              <w:rPr>
                <w:rFonts w:eastAsia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3260" w:type="dxa"/>
          </w:tcPr>
          <w:p>
            <w:pPr>
              <w:widowControl w:val="0"/>
              <w:rPr>
                <w:color w:val="000000" w:themeColor="text1"/>
                <w14:textFill>
                  <w14:solidFill>
                    <w14:schemeClr w14:val="tx1"/>
                  </w14:solidFill>
                </w14:textFill>
              </w:rPr>
            </w:pPr>
          </w:p>
        </w:tc>
        <w:tc>
          <w:tcPr>
            <w:tcW w:w="2131" w:type="dxa"/>
          </w:tcPr>
          <w:p>
            <w:pPr>
              <w:widowControl w:val="0"/>
              <w:rPr>
                <w:color w:val="000000" w:themeColor="text1"/>
                <w14:textFill>
                  <w14:solidFill>
                    <w14:schemeClr w14:val="tx1"/>
                  </w14:solidFill>
                </w14:textFill>
              </w:rPr>
            </w:pPr>
          </w:p>
        </w:tc>
        <w:tc>
          <w:tcPr>
            <w:tcW w:w="2131" w:type="dxa"/>
          </w:tcPr>
          <w:p>
            <w:pPr>
              <w:widowControl w:val="0"/>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widowControl w:val="0"/>
              <w:jc w:val="center"/>
              <w:rPr>
                <w:rFonts w:eastAsia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3260" w:type="dxa"/>
          </w:tcPr>
          <w:p>
            <w:pPr>
              <w:widowControl w:val="0"/>
              <w:rPr>
                <w:color w:val="000000" w:themeColor="text1"/>
                <w14:textFill>
                  <w14:solidFill>
                    <w14:schemeClr w14:val="tx1"/>
                  </w14:solidFill>
                </w14:textFill>
              </w:rPr>
            </w:pPr>
          </w:p>
        </w:tc>
        <w:tc>
          <w:tcPr>
            <w:tcW w:w="2131" w:type="dxa"/>
          </w:tcPr>
          <w:p>
            <w:pPr>
              <w:widowControl w:val="0"/>
              <w:rPr>
                <w:color w:val="000000" w:themeColor="text1"/>
                <w14:textFill>
                  <w14:solidFill>
                    <w14:schemeClr w14:val="tx1"/>
                  </w14:solidFill>
                </w14:textFill>
              </w:rPr>
            </w:pPr>
          </w:p>
        </w:tc>
        <w:tc>
          <w:tcPr>
            <w:tcW w:w="2131" w:type="dxa"/>
          </w:tcPr>
          <w:p>
            <w:pPr>
              <w:widowControl w:val="0"/>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widowControl w:val="0"/>
              <w:jc w:val="center"/>
              <w:rPr>
                <w:rFonts w:eastAsia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3260" w:type="dxa"/>
          </w:tcPr>
          <w:p>
            <w:pPr>
              <w:widowControl w:val="0"/>
              <w:rPr>
                <w:color w:val="000000" w:themeColor="text1"/>
                <w14:textFill>
                  <w14:solidFill>
                    <w14:schemeClr w14:val="tx1"/>
                  </w14:solidFill>
                </w14:textFill>
              </w:rPr>
            </w:pPr>
          </w:p>
        </w:tc>
        <w:tc>
          <w:tcPr>
            <w:tcW w:w="2131" w:type="dxa"/>
          </w:tcPr>
          <w:p>
            <w:pPr>
              <w:widowControl w:val="0"/>
              <w:rPr>
                <w:color w:val="000000" w:themeColor="text1"/>
                <w14:textFill>
                  <w14:solidFill>
                    <w14:schemeClr w14:val="tx1"/>
                  </w14:solidFill>
                </w14:textFill>
              </w:rPr>
            </w:pPr>
          </w:p>
        </w:tc>
        <w:tc>
          <w:tcPr>
            <w:tcW w:w="2131" w:type="dxa"/>
          </w:tcPr>
          <w:p>
            <w:pPr>
              <w:widowControl w:val="0"/>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widowControl w:val="0"/>
              <w:jc w:val="center"/>
              <w:rPr>
                <w:rFonts w:eastAsia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3260" w:type="dxa"/>
          </w:tcPr>
          <w:p>
            <w:pPr>
              <w:widowControl w:val="0"/>
              <w:rPr>
                <w:color w:val="000000" w:themeColor="text1"/>
                <w14:textFill>
                  <w14:solidFill>
                    <w14:schemeClr w14:val="tx1"/>
                  </w14:solidFill>
                </w14:textFill>
              </w:rPr>
            </w:pPr>
          </w:p>
        </w:tc>
        <w:tc>
          <w:tcPr>
            <w:tcW w:w="2131" w:type="dxa"/>
          </w:tcPr>
          <w:p>
            <w:pPr>
              <w:widowControl w:val="0"/>
              <w:rPr>
                <w:color w:val="000000" w:themeColor="text1"/>
                <w14:textFill>
                  <w14:solidFill>
                    <w14:schemeClr w14:val="tx1"/>
                  </w14:solidFill>
                </w14:textFill>
              </w:rPr>
            </w:pPr>
          </w:p>
        </w:tc>
        <w:tc>
          <w:tcPr>
            <w:tcW w:w="2131" w:type="dxa"/>
          </w:tcPr>
          <w:p>
            <w:pPr>
              <w:widowControl w:val="0"/>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widowControl w:val="0"/>
              <w:jc w:val="center"/>
              <w:rPr>
                <w:rFonts w:eastAsia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3260" w:type="dxa"/>
          </w:tcPr>
          <w:p>
            <w:pPr>
              <w:widowControl w:val="0"/>
              <w:rPr>
                <w:color w:val="000000" w:themeColor="text1"/>
                <w14:textFill>
                  <w14:solidFill>
                    <w14:schemeClr w14:val="tx1"/>
                  </w14:solidFill>
                </w14:textFill>
              </w:rPr>
            </w:pPr>
          </w:p>
        </w:tc>
        <w:tc>
          <w:tcPr>
            <w:tcW w:w="2131" w:type="dxa"/>
          </w:tcPr>
          <w:p>
            <w:pPr>
              <w:widowControl w:val="0"/>
              <w:rPr>
                <w:color w:val="000000" w:themeColor="text1"/>
                <w14:textFill>
                  <w14:solidFill>
                    <w14:schemeClr w14:val="tx1"/>
                  </w14:solidFill>
                </w14:textFill>
              </w:rPr>
            </w:pPr>
          </w:p>
        </w:tc>
        <w:tc>
          <w:tcPr>
            <w:tcW w:w="2131" w:type="dxa"/>
          </w:tcPr>
          <w:p>
            <w:pPr>
              <w:widowControl w:val="0"/>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widowControl w:val="0"/>
              <w:jc w:val="center"/>
              <w:rPr>
                <w:rFonts w:eastAsia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3260" w:type="dxa"/>
          </w:tcPr>
          <w:p>
            <w:pPr>
              <w:widowControl w:val="0"/>
              <w:rPr>
                <w:color w:val="000000" w:themeColor="text1"/>
                <w14:textFill>
                  <w14:solidFill>
                    <w14:schemeClr w14:val="tx1"/>
                  </w14:solidFill>
                </w14:textFill>
              </w:rPr>
            </w:pPr>
          </w:p>
        </w:tc>
        <w:tc>
          <w:tcPr>
            <w:tcW w:w="2131" w:type="dxa"/>
          </w:tcPr>
          <w:p>
            <w:pPr>
              <w:widowControl w:val="0"/>
              <w:rPr>
                <w:color w:val="000000" w:themeColor="text1"/>
                <w14:textFill>
                  <w14:solidFill>
                    <w14:schemeClr w14:val="tx1"/>
                  </w14:solidFill>
                </w14:textFill>
              </w:rPr>
            </w:pPr>
          </w:p>
        </w:tc>
        <w:tc>
          <w:tcPr>
            <w:tcW w:w="2131" w:type="dxa"/>
          </w:tcPr>
          <w:p>
            <w:pPr>
              <w:widowControl w:val="0"/>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widowControl w:val="0"/>
              <w:jc w:val="center"/>
              <w:rPr>
                <w:rFonts w:eastAsia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3260" w:type="dxa"/>
          </w:tcPr>
          <w:p>
            <w:pPr>
              <w:widowControl w:val="0"/>
              <w:rPr>
                <w:color w:val="000000" w:themeColor="text1"/>
                <w14:textFill>
                  <w14:solidFill>
                    <w14:schemeClr w14:val="tx1"/>
                  </w14:solidFill>
                </w14:textFill>
              </w:rPr>
            </w:pPr>
            <w:r>
              <w:rPr>
                <w:rFonts w:hint="eastAsia" w:ascii="宋体" w:hAnsi="宋体"/>
                <w:iCs/>
                <w:color w:val="000000" w:themeColor="text1"/>
                <w:sz w:val="24"/>
                <w:szCs w:val="24"/>
                <w14:textFill>
                  <w14:solidFill>
                    <w14:schemeClr w14:val="tx1"/>
                  </w14:solidFill>
                </w14:textFill>
              </w:rPr>
              <w:t>招标文件中的其他实质性要求</w:t>
            </w:r>
          </w:p>
        </w:tc>
        <w:tc>
          <w:tcPr>
            <w:tcW w:w="2131" w:type="dxa"/>
          </w:tcPr>
          <w:p>
            <w:pPr>
              <w:widowControl w:val="0"/>
              <w:rPr>
                <w:color w:val="000000" w:themeColor="text1"/>
                <w14:textFill>
                  <w14:solidFill>
                    <w14:schemeClr w14:val="tx1"/>
                  </w14:solidFill>
                </w14:textFill>
              </w:rPr>
            </w:pPr>
          </w:p>
        </w:tc>
        <w:tc>
          <w:tcPr>
            <w:tcW w:w="2131" w:type="dxa"/>
          </w:tcPr>
          <w:p>
            <w:pPr>
              <w:widowControl w:val="0"/>
              <w:rPr>
                <w:color w:val="000000" w:themeColor="text1"/>
                <w14:textFill>
                  <w14:solidFill>
                    <w14:schemeClr w14:val="tx1"/>
                  </w14:solidFill>
                </w14:textFill>
              </w:rPr>
            </w:pPr>
          </w:p>
        </w:tc>
      </w:tr>
    </w:tbl>
    <w:p>
      <w:pPr>
        <w:rPr>
          <w:color w:val="000000" w:themeColor="text1"/>
          <w14:textFill>
            <w14:solidFill>
              <w14:schemeClr w14:val="tx1"/>
            </w14:solidFill>
          </w14:textFill>
        </w:rPr>
      </w:pPr>
    </w:p>
    <w:p>
      <w:pPr>
        <w:pStyle w:val="7"/>
        <w:rPr>
          <w:rFonts w:asciiTheme="minorEastAsia" w:hAnsiTheme="minorEastAsia" w:eastAsiaTheme="minorEastAsia" w:cstheme="minorEastAsia"/>
          <w:color w:val="000000" w:themeColor="text1"/>
          <w14:textFill>
            <w14:solidFill>
              <w14:schemeClr w14:val="tx1"/>
            </w14:solidFill>
          </w14:textFill>
        </w:rPr>
      </w:pPr>
    </w:p>
    <w:p>
      <w:pPr>
        <w:snapToGrid w:val="0"/>
        <w:spacing w:before="50" w:after="50"/>
        <w:rPr>
          <w:rStyle w:val="44"/>
          <w:rFonts w:ascii="宋体" w:hAnsi="宋体"/>
          <w:color w:val="000000" w:themeColor="text1"/>
          <w:sz w:val="44"/>
          <w14:textFill>
            <w14:solidFill>
              <w14:schemeClr w14:val="tx1"/>
            </w14:solidFill>
          </w14:textFill>
        </w:rPr>
      </w:pPr>
    </w:p>
    <w:p>
      <w:pPr>
        <w:snapToGrid w:val="0"/>
        <w:spacing w:before="50" w:after="50"/>
        <w:jc w:val="center"/>
        <w:rPr>
          <w:rStyle w:val="44"/>
          <w:rFonts w:ascii="宋体" w:hAnsi="宋体"/>
          <w:color w:val="000000" w:themeColor="text1"/>
          <w:sz w:val="32"/>
          <w:szCs w:val="32"/>
          <w14:textFill>
            <w14:solidFill>
              <w14:schemeClr w14:val="tx1"/>
            </w14:solidFill>
          </w14:textFill>
        </w:rPr>
      </w:pPr>
      <w:bookmarkStart w:id="54" w:name="_Toc17117"/>
    </w:p>
    <w:p>
      <w:pPr>
        <w:snapToGrid w:val="0"/>
        <w:spacing w:before="50" w:after="50"/>
        <w:jc w:val="center"/>
        <w:rPr>
          <w:rStyle w:val="44"/>
          <w:rFonts w:ascii="宋体" w:hAnsi="宋体"/>
          <w:color w:val="000000" w:themeColor="text1"/>
          <w:sz w:val="32"/>
          <w:szCs w:val="32"/>
          <w14:textFill>
            <w14:solidFill>
              <w14:schemeClr w14:val="tx1"/>
            </w14:solidFill>
          </w14:textFill>
        </w:rPr>
      </w:pPr>
    </w:p>
    <w:p>
      <w:pPr>
        <w:snapToGrid w:val="0"/>
        <w:spacing w:before="50" w:after="50"/>
        <w:jc w:val="center"/>
        <w:rPr>
          <w:rStyle w:val="44"/>
          <w:rFonts w:ascii="宋体" w:hAnsi="宋体"/>
          <w:color w:val="000000" w:themeColor="text1"/>
          <w:sz w:val="32"/>
          <w:szCs w:val="32"/>
          <w14:textFill>
            <w14:solidFill>
              <w14:schemeClr w14:val="tx1"/>
            </w14:solidFill>
          </w14:textFill>
        </w:rPr>
      </w:pPr>
    </w:p>
    <w:p>
      <w:pPr>
        <w:snapToGrid w:val="0"/>
        <w:spacing w:before="50" w:after="50"/>
        <w:jc w:val="center"/>
        <w:rPr>
          <w:rStyle w:val="44"/>
          <w:rFonts w:ascii="宋体" w:hAnsi="宋体"/>
          <w:color w:val="000000" w:themeColor="text1"/>
          <w:sz w:val="32"/>
          <w:szCs w:val="32"/>
          <w14:textFill>
            <w14:solidFill>
              <w14:schemeClr w14:val="tx1"/>
            </w14:solidFill>
          </w14:textFill>
        </w:rPr>
      </w:pPr>
    </w:p>
    <w:p>
      <w:pPr>
        <w:snapToGrid w:val="0"/>
        <w:spacing w:before="50" w:after="50"/>
        <w:jc w:val="center"/>
        <w:rPr>
          <w:rStyle w:val="44"/>
          <w:rFonts w:ascii="宋体" w:hAnsi="宋体"/>
          <w:color w:val="000000" w:themeColor="text1"/>
          <w:sz w:val="32"/>
          <w:szCs w:val="32"/>
          <w14:textFill>
            <w14:solidFill>
              <w14:schemeClr w14:val="tx1"/>
            </w14:solidFill>
          </w14:textFill>
        </w:rPr>
      </w:pPr>
    </w:p>
    <w:p>
      <w:pPr>
        <w:snapToGrid w:val="0"/>
        <w:spacing w:before="50" w:after="50"/>
        <w:jc w:val="center"/>
        <w:rPr>
          <w:rStyle w:val="44"/>
          <w:rFonts w:ascii="宋体" w:hAnsi="宋体"/>
          <w:color w:val="000000" w:themeColor="text1"/>
          <w:sz w:val="32"/>
          <w:szCs w:val="32"/>
          <w14:textFill>
            <w14:solidFill>
              <w14:schemeClr w14:val="tx1"/>
            </w14:solidFill>
          </w14:textFill>
        </w:rPr>
      </w:pPr>
    </w:p>
    <w:p>
      <w:pPr>
        <w:snapToGrid w:val="0"/>
        <w:spacing w:before="50" w:after="50"/>
        <w:jc w:val="center"/>
        <w:rPr>
          <w:rStyle w:val="44"/>
          <w:rFonts w:ascii="宋体" w:hAnsi="宋体"/>
          <w:color w:val="000000" w:themeColor="text1"/>
          <w:sz w:val="32"/>
          <w:szCs w:val="32"/>
          <w14:textFill>
            <w14:solidFill>
              <w14:schemeClr w14:val="tx1"/>
            </w14:solidFill>
          </w14:textFill>
        </w:rPr>
      </w:pPr>
    </w:p>
    <w:p>
      <w:pPr>
        <w:snapToGrid w:val="0"/>
        <w:spacing w:before="50" w:after="50"/>
        <w:jc w:val="center"/>
        <w:rPr>
          <w:rStyle w:val="44"/>
          <w:rFonts w:ascii="宋体" w:hAnsi="宋体"/>
          <w:color w:val="000000" w:themeColor="text1"/>
          <w:sz w:val="32"/>
          <w:szCs w:val="32"/>
          <w14:textFill>
            <w14:solidFill>
              <w14:schemeClr w14:val="tx1"/>
            </w14:solidFill>
          </w14:textFill>
        </w:rPr>
      </w:pPr>
    </w:p>
    <w:p>
      <w:pPr>
        <w:snapToGrid w:val="0"/>
        <w:spacing w:before="50" w:after="50"/>
        <w:rPr>
          <w:rStyle w:val="44"/>
          <w:rFonts w:ascii="宋体" w:hAnsi="宋体"/>
          <w:b/>
          <w:bCs/>
          <w:color w:val="000000" w:themeColor="text1"/>
          <w:sz w:val="32"/>
          <w:szCs w:val="32"/>
          <w14:textFill>
            <w14:solidFill>
              <w14:schemeClr w14:val="tx1"/>
            </w14:solidFill>
          </w14:textFill>
        </w:rPr>
      </w:pPr>
    </w:p>
    <w:p>
      <w:pPr>
        <w:snapToGrid w:val="0"/>
        <w:spacing w:before="50" w:after="50"/>
        <w:jc w:val="center"/>
        <w:outlineLvl w:val="0"/>
        <w:rPr>
          <w:rStyle w:val="44"/>
          <w:rFonts w:ascii="宋体" w:hAnsi="宋体"/>
          <w:b/>
          <w:bCs/>
          <w:color w:val="000000" w:themeColor="text1"/>
          <w:sz w:val="32"/>
          <w:szCs w:val="32"/>
          <w14:textFill>
            <w14:solidFill>
              <w14:schemeClr w14:val="tx1"/>
            </w14:solidFill>
          </w14:textFill>
        </w:rPr>
      </w:pPr>
      <w:bookmarkStart w:id="55" w:name="_Toc30378"/>
    </w:p>
    <w:p>
      <w:pPr>
        <w:snapToGrid w:val="0"/>
        <w:spacing w:before="50" w:after="50"/>
        <w:ind w:firstLine="2570" w:firstLineChars="800"/>
        <w:outlineLvl w:val="0"/>
        <w:rPr>
          <w:rStyle w:val="44"/>
          <w:rFonts w:ascii="宋体" w:hAnsi="宋体"/>
          <w:b/>
          <w:bCs/>
          <w:color w:val="000000" w:themeColor="text1"/>
          <w:sz w:val="32"/>
          <w:szCs w:val="32"/>
          <w14:textFill>
            <w14:solidFill>
              <w14:schemeClr w14:val="tx1"/>
            </w14:solidFill>
          </w14:textFill>
        </w:rPr>
      </w:pPr>
      <w:r>
        <w:rPr>
          <w:rStyle w:val="44"/>
          <w:rFonts w:hint="eastAsia" w:ascii="宋体" w:hAnsi="宋体"/>
          <w:b/>
          <w:bCs/>
          <w:color w:val="000000" w:themeColor="text1"/>
          <w:sz w:val="32"/>
          <w:szCs w:val="32"/>
          <w14:textFill>
            <w14:solidFill>
              <w14:schemeClr w14:val="tx1"/>
            </w14:solidFill>
          </w14:textFill>
        </w:rPr>
        <w:t>四、投标函（格式）</w:t>
      </w:r>
      <w:bookmarkEnd w:id="54"/>
      <w:bookmarkEnd w:id="55"/>
    </w:p>
    <w:p>
      <w:pPr>
        <w:pStyle w:val="130"/>
        <w:spacing w:before="0" w:after="0" w:line="420" w:lineRule="exact"/>
        <w:ind w:firstLine="0"/>
        <w:rPr>
          <w:rStyle w:val="44"/>
          <w:rFonts w:ascii="宋体" w:hAnsi="宋体"/>
          <w:color w:val="000000" w:themeColor="text1"/>
          <w:kern w:val="2"/>
          <w:szCs w:val="21"/>
          <w14:textFill>
            <w14:solidFill>
              <w14:schemeClr w14:val="tx1"/>
            </w14:solidFill>
          </w14:textFill>
        </w:rPr>
      </w:pPr>
      <w:r>
        <w:rPr>
          <w:rStyle w:val="44"/>
          <w:rFonts w:hint="eastAsia" w:ascii="宋体" w:hAnsi="宋体"/>
          <w:color w:val="000000" w:themeColor="text1"/>
          <w:kern w:val="2"/>
          <w:szCs w:val="21"/>
          <w14:textFill>
            <w14:solidFill>
              <w14:schemeClr w14:val="tx1"/>
            </w14:solidFill>
          </w14:textFill>
        </w:rPr>
        <w:t>致：</w:t>
      </w:r>
      <w:r>
        <w:rPr>
          <w:rStyle w:val="44"/>
          <w:rFonts w:hint="eastAsia" w:ascii="宋体" w:hAnsi="宋体"/>
          <w:color w:val="000000" w:themeColor="text1"/>
          <w:kern w:val="2"/>
          <w:szCs w:val="21"/>
          <w:u w:val="single" w:color="000000"/>
          <w14:textFill>
            <w14:solidFill>
              <w14:schemeClr w14:val="tx1"/>
            </w14:solidFill>
          </w14:textFill>
        </w:rPr>
        <w:t>盐城工业职业技术学院</w:t>
      </w:r>
    </w:p>
    <w:p>
      <w:pPr>
        <w:pStyle w:val="130"/>
        <w:spacing w:before="0" w:after="0" w:line="420" w:lineRule="exact"/>
        <w:ind w:firstLineChars="200"/>
        <w:rPr>
          <w:rStyle w:val="44"/>
          <w:rFonts w:ascii="宋体" w:hAnsi="宋体"/>
          <w:color w:val="000000" w:themeColor="text1"/>
          <w:kern w:val="2"/>
          <w:szCs w:val="21"/>
          <w14:textFill>
            <w14:solidFill>
              <w14:schemeClr w14:val="tx1"/>
            </w14:solidFill>
          </w14:textFill>
        </w:rPr>
      </w:pPr>
      <w:r>
        <w:rPr>
          <w:rStyle w:val="44"/>
          <w:rFonts w:hint="eastAsia" w:ascii="宋体" w:hAnsi="宋体"/>
          <w:color w:val="000000" w:themeColor="text1"/>
          <w:kern w:val="2"/>
          <w:szCs w:val="21"/>
          <w14:textFill>
            <w14:solidFill>
              <w14:schemeClr w14:val="tx1"/>
            </w14:solidFill>
          </w14:textFill>
        </w:rPr>
        <w:t>根据贵方的</w:t>
      </w:r>
      <w:r>
        <w:rPr>
          <w:rStyle w:val="44"/>
          <w:rFonts w:hint="eastAsia" w:ascii="宋体" w:hAnsi="宋体"/>
          <w:color w:val="000000" w:themeColor="text1"/>
          <w:kern w:val="2"/>
          <w:szCs w:val="21"/>
          <w:u w:val="single" w:color="000000"/>
          <w14:textFill>
            <w14:solidFill>
              <w14:schemeClr w14:val="tx1"/>
            </w14:solidFill>
          </w14:textFill>
        </w:rPr>
        <w:t xml:space="preserve">     号</w:t>
      </w:r>
      <w:r>
        <w:rPr>
          <w:rStyle w:val="44"/>
          <w:rFonts w:hint="eastAsia" w:ascii="宋体" w:hAnsi="宋体"/>
          <w:color w:val="000000" w:themeColor="text1"/>
          <w:kern w:val="2"/>
          <w:szCs w:val="21"/>
          <w14:textFill>
            <w14:solidFill>
              <w14:schemeClr w14:val="tx1"/>
            </w14:solidFill>
          </w14:textFill>
        </w:rPr>
        <w:t>招标文件，正式授权下述签字人_________(姓名)代表我方______________（投标人的名称），全权处理本次项目投标的有关事宜。</w:t>
      </w:r>
    </w:p>
    <w:p>
      <w:pPr>
        <w:pStyle w:val="130"/>
        <w:spacing w:before="0" w:after="0" w:line="420" w:lineRule="exact"/>
        <w:ind w:firstLineChars="200"/>
        <w:rPr>
          <w:rStyle w:val="44"/>
          <w:rFonts w:ascii="宋体" w:hAnsi="宋体"/>
          <w:color w:val="000000" w:themeColor="text1"/>
          <w:kern w:val="2"/>
          <w:szCs w:val="21"/>
          <w14:textFill>
            <w14:solidFill>
              <w14:schemeClr w14:val="tx1"/>
            </w14:solidFill>
          </w14:textFill>
        </w:rPr>
      </w:pPr>
      <w:r>
        <w:rPr>
          <w:rStyle w:val="44"/>
          <w:rFonts w:hint="eastAsia" w:ascii="宋体" w:hAnsi="宋体"/>
          <w:color w:val="000000" w:themeColor="text1"/>
          <w:kern w:val="2"/>
          <w:szCs w:val="21"/>
          <w14:textFill>
            <w14:solidFill>
              <w14:schemeClr w14:val="tx1"/>
            </w14:solidFill>
          </w14:textFill>
        </w:rPr>
        <w:t>据此函，__________签字人兹宣布同意如下：</w:t>
      </w:r>
    </w:p>
    <w:p>
      <w:pPr>
        <w:pStyle w:val="130"/>
        <w:spacing w:before="0" w:after="0" w:line="420" w:lineRule="exact"/>
        <w:rPr>
          <w:rStyle w:val="44"/>
          <w:rFonts w:ascii="宋体" w:hAnsi="宋体"/>
          <w:color w:val="000000" w:themeColor="text1"/>
          <w:kern w:val="2"/>
          <w:szCs w:val="21"/>
          <w14:textFill>
            <w14:solidFill>
              <w14:schemeClr w14:val="tx1"/>
            </w14:solidFill>
          </w14:textFill>
        </w:rPr>
      </w:pPr>
      <w:r>
        <w:rPr>
          <w:rStyle w:val="44"/>
          <w:rFonts w:hint="eastAsia" w:ascii="宋体" w:hAnsi="宋体"/>
          <w:color w:val="000000" w:themeColor="text1"/>
          <w:kern w:val="2"/>
          <w:szCs w:val="21"/>
          <w14:textFill>
            <w14:solidFill>
              <w14:schemeClr w14:val="tx1"/>
            </w14:solidFill>
          </w14:textFill>
        </w:rPr>
        <w:t>1.按招标文件规定的各项要求，向买方提供所需货物与服务。</w:t>
      </w:r>
    </w:p>
    <w:p>
      <w:pPr>
        <w:pStyle w:val="130"/>
        <w:spacing w:before="0" w:after="0" w:line="420" w:lineRule="exact"/>
        <w:ind w:firstLineChars="200"/>
        <w:rPr>
          <w:rStyle w:val="44"/>
          <w:rFonts w:ascii="宋体" w:hAnsi="宋体"/>
          <w:color w:val="000000" w:themeColor="text1"/>
          <w:kern w:val="2"/>
          <w:szCs w:val="21"/>
          <w14:textFill>
            <w14:solidFill>
              <w14:schemeClr w14:val="tx1"/>
            </w14:solidFill>
          </w14:textFill>
        </w:rPr>
      </w:pPr>
      <w:r>
        <w:rPr>
          <w:rStyle w:val="44"/>
          <w:rFonts w:hint="eastAsia" w:ascii="宋体" w:hAnsi="宋体"/>
          <w:color w:val="000000" w:themeColor="text1"/>
          <w:kern w:val="2"/>
          <w:szCs w:val="21"/>
          <w14:textFill>
            <w14:solidFill>
              <w14:schemeClr w14:val="tx1"/>
            </w14:solidFill>
          </w14:textFill>
        </w:rPr>
        <w:t>2.我们完全理解贵方不一定将合同授予最低报价的投标人。</w:t>
      </w:r>
    </w:p>
    <w:p>
      <w:pPr>
        <w:pStyle w:val="130"/>
        <w:spacing w:before="0" w:after="0" w:line="420" w:lineRule="exact"/>
        <w:ind w:firstLineChars="200"/>
        <w:rPr>
          <w:rStyle w:val="44"/>
          <w:rFonts w:ascii="宋体" w:hAnsi="宋体"/>
          <w:color w:val="000000" w:themeColor="text1"/>
          <w:kern w:val="2"/>
          <w:szCs w:val="21"/>
          <w14:textFill>
            <w14:solidFill>
              <w14:schemeClr w14:val="tx1"/>
            </w14:solidFill>
          </w14:textFill>
        </w:rPr>
      </w:pPr>
      <w:r>
        <w:rPr>
          <w:rStyle w:val="44"/>
          <w:rFonts w:hint="eastAsia" w:ascii="宋体" w:hAnsi="宋体"/>
          <w:color w:val="000000" w:themeColor="text1"/>
          <w:kern w:val="2"/>
          <w:szCs w:val="21"/>
          <w14:textFill>
            <w14:solidFill>
              <w14:schemeClr w14:val="tx1"/>
            </w14:solidFill>
          </w14:textFill>
        </w:rPr>
        <w:t>3.我们已详细审核全部招标文件及其有效补充文件，我们知道必须放弃提出含糊不清或误解问题的权利。</w:t>
      </w:r>
    </w:p>
    <w:p>
      <w:pPr>
        <w:pStyle w:val="130"/>
        <w:spacing w:before="0" w:after="0" w:line="420" w:lineRule="exact"/>
        <w:rPr>
          <w:rStyle w:val="44"/>
          <w:rFonts w:ascii="宋体" w:hAnsi="宋体"/>
          <w:color w:val="000000" w:themeColor="text1"/>
          <w:kern w:val="2"/>
          <w:szCs w:val="21"/>
          <w14:textFill>
            <w14:solidFill>
              <w14:schemeClr w14:val="tx1"/>
            </w14:solidFill>
          </w14:textFill>
        </w:rPr>
      </w:pPr>
      <w:r>
        <w:rPr>
          <w:rStyle w:val="44"/>
          <w:rFonts w:hint="eastAsia" w:ascii="宋体" w:hAnsi="宋体"/>
          <w:color w:val="000000" w:themeColor="text1"/>
          <w:kern w:val="2"/>
          <w:szCs w:val="21"/>
          <w14:textFill>
            <w14:solidFill>
              <w14:schemeClr w14:val="tx1"/>
            </w14:solidFill>
          </w14:textFill>
        </w:rPr>
        <w:t>4.我们同意从规定的开标日期起遵循本投标文件，并在规定的投标有效期期满之前均具有约束力。</w:t>
      </w:r>
    </w:p>
    <w:p>
      <w:pPr>
        <w:pStyle w:val="130"/>
        <w:spacing w:before="0" w:after="0" w:line="420" w:lineRule="exact"/>
        <w:rPr>
          <w:rStyle w:val="44"/>
          <w:rFonts w:ascii="宋体" w:hAnsi="宋体"/>
          <w:color w:val="000000" w:themeColor="text1"/>
          <w:kern w:val="2"/>
          <w:szCs w:val="21"/>
          <w14:textFill>
            <w14:solidFill>
              <w14:schemeClr w14:val="tx1"/>
            </w14:solidFill>
          </w14:textFill>
        </w:rPr>
      </w:pPr>
      <w:r>
        <w:rPr>
          <w:rStyle w:val="44"/>
          <w:rFonts w:hint="eastAsia" w:ascii="宋体" w:hAnsi="宋体"/>
          <w:color w:val="000000" w:themeColor="text1"/>
          <w:kern w:val="2"/>
          <w:szCs w:val="21"/>
          <w14:textFill>
            <w14:solidFill>
              <w14:schemeClr w14:val="tx1"/>
            </w14:solidFill>
          </w14:textFill>
        </w:rPr>
        <w:t>5.如果在开标后规定的投标有效期内撤回投标或中标后拒绝签订合同，则按照国家相关法律法规受到相应处罚。</w:t>
      </w:r>
    </w:p>
    <w:p>
      <w:pPr>
        <w:pStyle w:val="130"/>
        <w:spacing w:before="0" w:after="0" w:line="420" w:lineRule="exact"/>
        <w:rPr>
          <w:rStyle w:val="44"/>
          <w:rFonts w:ascii="宋体" w:hAnsi="宋体"/>
          <w:color w:val="000000" w:themeColor="text1"/>
          <w:kern w:val="2"/>
          <w:szCs w:val="21"/>
          <w14:textFill>
            <w14:solidFill>
              <w14:schemeClr w14:val="tx1"/>
            </w14:solidFill>
          </w14:textFill>
        </w:rPr>
      </w:pPr>
      <w:r>
        <w:rPr>
          <w:rStyle w:val="44"/>
          <w:rFonts w:hint="eastAsia" w:ascii="宋体" w:hAnsi="宋体"/>
          <w:color w:val="000000" w:themeColor="text1"/>
          <w:kern w:val="2"/>
          <w:szCs w:val="21"/>
          <w14:textFill>
            <w14:solidFill>
              <w14:schemeClr w14:val="tx1"/>
            </w14:solidFill>
          </w14:textFill>
        </w:rPr>
        <w:t>6.同意向贵方提供贵方可能另外要求的与投标有关的任何证据或资料，并保证我方已提供和将要提供的文件是真实的、准确的。</w:t>
      </w:r>
    </w:p>
    <w:p>
      <w:pPr>
        <w:pStyle w:val="130"/>
        <w:spacing w:before="0" w:after="0" w:line="420" w:lineRule="exact"/>
        <w:rPr>
          <w:rStyle w:val="44"/>
          <w:rFonts w:ascii="宋体" w:hAnsi="宋体"/>
          <w:color w:val="000000" w:themeColor="text1"/>
          <w:kern w:val="2"/>
          <w:szCs w:val="21"/>
          <w14:textFill>
            <w14:solidFill>
              <w14:schemeClr w14:val="tx1"/>
            </w14:solidFill>
          </w14:textFill>
        </w:rPr>
      </w:pPr>
      <w:r>
        <w:rPr>
          <w:rStyle w:val="44"/>
          <w:rFonts w:hint="eastAsia" w:ascii="宋体" w:hAnsi="宋体"/>
          <w:color w:val="000000" w:themeColor="text1"/>
          <w:kern w:val="2"/>
          <w:szCs w:val="21"/>
          <w14:textFill>
            <w14:solidFill>
              <w14:schemeClr w14:val="tx1"/>
            </w14:solidFill>
          </w14:textFill>
        </w:rPr>
        <w:t>7.一旦我方中标,我方将根据招标文件的规定，严格履行合同的责任和义务,并保证在招标文件规定的时间完成项目，交付买方验收、使用。</w:t>
      </w:r>
    </w:p>
    <w:p>
      <w:pPr>
        <w:pStyle w:val="130"/>
        <w:spacing w:before="0" w:after="0" w:line="420" w:lineRule="exact"/>
        <w:ind w:left="425" w:firstLine="0"/>
        <w:rPr>
          <w:rStyle w:val="44"/>
          <w:rFonts w:ascii="宋体" w:hAnsi="宋体"/>
          <w:color w:val="000000" w:themeColor="text1"/>
          <w:kern w:val="2"/>
          <w:szCs w:val="21"/>
          <w14:textFill>
            <w14:solidFill>
              <w14:schemeClr w14:val="tx1"/>
            </w14:solidFill>
          </w14:textFill>
        </w:rPr>
      </w:pPr>
      <w:r>
        <w:rPr>
          <w:rStyle w:val="44"/>
          <w:rFonts w:hint="eastAsia" w:ascii="宋体" w:hAnsi="宋体"/>
          <w:color w:val="000000" w:themeColor="text1"/>
          <w:kern w:val="2"/>
          <w:szCs w:val="21"/>
          <w14:textFill>
            <w14:solidFill>
              <w14:schemeClr w14:val="tx1"/>
            </w14:solidFill>
          </w14:textFill>
        </w:rPr>
        <w:t>8.与本投标有关的正式通讯地址为：</w:t>
      </w:r>
    </w:p>
    <w:p>
      <w:pPr>
        <w:pStyle w:val="130"/>
        <w:spacing w:before="0" w:after="0" w:line="420" w:lineRule="exact"/>
        <w:ind w:left="420" w:leftChars="200" w:firstLineChars="200"/>
        <w:rPr>
          <w:rStyle w:val="44"/>
          <w:rFonts w:ascii="宋体" w:hAnsi="宋体"/>
          <w:color w:val="000000" w:themeColor="text1"/>
          <w:kern w:val="2"/>
          <w:szCs w:val="21"/>
          <w14:textFill>
            <w14:solidFill>
              <w14:schemeClr w14:val="tx1"/>
            </w14:solidFill>
          </w14:textFill>
        </w:rPr>
      </w:pPr>
      <w:r>
        <w:rPr>
          <w:rStyle w:val="44"/>
          <w:rFonts w:hint="eastAsia" w:ascii="宋体" w:hAnsi="宋体"/>
          <w:color w:val="000000" w:themeColor="text1"/>
          <w:kern w:val="2"/>
          <w:szCs w:val="21"/>
          <w14:textFill>
            <w14:solidFill>
              <w14:schemeClr w14:val="tx1"/>
            </w14:solidFill>
          </w14:textFill>
        </w:rPr>
        <w:t>地          址：</w:t>
      </w:r>
    </w:p>
    <w:p>
      <w:pPr>
        <w:pStyle w:val="130"/>
        <w:spacing w:before="0" w:after="0" w:line="420" w:lineRule="exact"/>
        <w:ind w:left="420" w:leftChars="200" w:firstLineChars="200"/>
        <w:rPr>
          <w:rStyle w:val="44"/>
          <w:rFonts w:ascii="宋体" w:hAnsi="宋体"/>
          <w:color w:val="000000" w:themeColor="text1"/>
          <w:kern w:val="2"/>
          <w:szCs w:val="21"/>
          <w14:textFill>
            <w14:solidFill>
              <w14:schemeClr w14:val="tx1"/>
            </w14:solidFill>
          </w14:textFill>
        </w:rPr>
      </w:pPr>
      <w:r>
        <w:rPr>
          <w:rStyle w:val="44"/>
          <w:rFonts w:hint="eastAsia" w:ascii="宋体" w:hAnsi="宋体"/>
          <w:color w:val="000000" w:themeColor="text1"/>
          <w:kern w:val="2"/>
          <w:szCs w:val="21"/>
          <w14:textFill>
            <w14:solidFill>
              <w14:schemeClr w14:val="tx1"/>
            </w14:solidFill>
          </w14:textFill>
        </w:rPr>
        <w:t>邮          编：</w:t>
      </w:r>
    </w:p>
    <w:p>
      <w:pPr>
        <w:pStyle w:val="130"/>
        <w:spacing w:before="0" w:after="0" w:line="420" w:lineRule="exact"/>
        <w:ind w:left="420" w:leftChars="200" w:firstLineChars="200"/>
        <w:rPr>
          <w:rStyle w:val="44"/>
          <w:rFonts w:ascii="宋体" w:hAnsi="宋体"/>
          <w:color w:val="000000" w:themeColor="text1"/>
          <w:kern w:val="2"/>
          <w:szCs w:val="21"/>
          <w14:textFill>
            <w14:solidFill>
              <w14:schemeClr w14:val="tx1"/>
            </w14:solidFill>
          </w14:textFill>
        </w:rPr>
      </w:pPr>
      <w:r>
        <w:rPr>
          <w:rStyle w:val="44"/>
          <w:rFonts w:hint="eastAsia" w:ascii="宋体" w:hAnsi="宋体"/>
          <w:color w:val="000000" w:themeColor="text1"/>
          <w:kern w:val="2"/>
          <w:szCs w:val="21"/>
          <w14:textFill>
            <w14:solidFill>
              <w14:schemeClr w14:val="tx1"/>
            </w14:solidFill>
          </w14:textFill>
        </w:rPr>
        <w:t>电          话：</w:t>
      </w:r>
    </w:p>
    <w:p>
      <w:pPr>
        <w:pStyle w:val="130"/>
        <w:spacing w:before="0" w:after="0" w:line="420" w:lineRule="exact"/>
        <w:ind w:left="420" w:leftChars="200" w:firstLineChars="200"/>
        <w:rPr>
          <w:rStyle w:val="44"/>
          <w:rFonts w:ascii="宋体" w:hAnsi="宋体"/>
          <w:color w:val="000000" w:themeColor="text1"/>
          <w:kern w:val="2"/>
          <w:szCs w:val="21"/>
          <w14:textFill>
            <w14:solidFill>
              <w14:schemeClr w14:val="tx1"/>
            </w14:solidFill>
          </w14:textFill>
        </w:rPr>
      </w:pPr>
      <w:r>
        <w:rPr>
          <w:rStyle w:val="44"/>
          <w:rFonts w:hint="eastAsia" w:ascii="宋体" w:hAnsi="宋体"/>
          <w:color w:val="000000" w:themeColor="text1"/>
          <w:kern w:val="2"/>
          <w:szCs w:val="21"/>
          <w14:textFill>
            <w14:solidFill>
              <w14:schemeClr w14:val="tx1"/>
            </w14:solidFill>
          </w14:textFill>
        </w:rPr>
        <w:t>传          真：</w:t>
      </w:r>
    </w:p>
    <w:p>
      <w:pPr>
        <w:pStyle w:val="130"/>
        <w:spacing w:before="0" w:after="0" w:line="420" w:lineRule="exact"/>
        <w:ind w:left="420" w:leftChars="200" w:firstLineChars="200"/>
        <w:rPr>
          <w:rStyle w:val="44"/>
          <w:rFonts w:ascii="宋体" w:hAnsi="宋体"/>
          <w:color w:val="000000" w:themeColor="text1"/>
          <w:kern w:val="2"/>
          <w:szCs w:val="21"/>
          <w14:textFill>
            <w14:solidFill>
              <w14:schemeClr w14:val="tx1"/>
            </w14:solidFill>
          </w14:textFill>
        </w:rPr>
      </w:pPr>
      <w:r>
        <w:rPr>
          <w:rStyle w:val="44"/>
          <w:rFonts w:hint="eastAsia" w:ascii="宋体" w:hAnsi="宋体"/>
          <w:color w:val="000000" w:themeColor="text1"/>
          <w:kern w:val="2"/>
          <w:szCs w:val="21"/>
          <w14:textFill>
            <w14:solidFill>
              <w14:schemeClr w14:val="tx1"/>
            </w14:solidFill>
          </w14:textFill>
        </w:rPr>
        <w:t>投标人开户行：</w:t>
      </w:r>
    </w:p>
    <w:p>
      <w:pPr>
        <w:pStyle w:val="130"/>
        <w:spacing w:before="0" w:after="0" w:line="420" w:lineRule="exact"/>
        <w:ind w:left="420" w:leftChars="200" w:firstLineChars="200"/>
        <w:rPr>
          <w:rStyle w:val="44"/>
          <w:rFonts w:ascii="宋体" w:hAnsi="宋体"/>
          <w:color w:val="000000" w:themeColor="text1"/>
          <w:kern w:val="2"/>
          <w:szCs w:val="21"/>
          <w14:textFill>
            <w14:solidFill>
              <w14:schemeClr w14:val="tx1"/>
            </w14:solidFill>
          </w14:textFill>
        </w:rPr>
      </w:pPr>
      <w:r>
        <w:rPr>
          <w:rStyle w:val="44"/>
          <w:rFonts w:hint="eastAsia" w:ascii="宋体" w:hAnsi="宋体"/>
          <w:color w:val="000000" w:themeColor="text1"/>
          <w:kern w:val="2"/>
          <w:szCs w:val="21"/>
          <w14:textFill>
            <w14:solidFill>
              <w14:schemeClr w14:val="tx1"/>
            </w14:solidFill>
          </w14:textFill>
        </w:rPr>
        <w:t xml:space="preserve">账          户： </w:t>
      </w:r>
    </w:p>
    <w:p>
      <w:pPr>
        <w:pStyle w:val="130"/>
        <w:spacing w:before="0" w:after="0" w:line="420" w:lineRule="exact"/>
        <w:ind w:left="420" w:leftChars="200" w:firstLineChars="200"/>
        <w:rPr>
          <w:rStyle w:val="44"/>
          <w:rFonts w:ascii="宋体" w:hAnsi="宋体"/>
          <w:color w:val="000000" w:themeColor="text1"/>
          <w:kern w:val="2"/>
          <w:szCs w:val="21"/>
          <w14:textFill>
            <w14:solidFill>
              <w14:schemeClr w14:val="tx1"/>
            </w14:solidFill>
          </w14:textFill>
        </w:rPr>
      </w:pPr>
      <w:r>
        <w:rPr>
          <w:rStyle w:val="44"/>
          <w:rFonts w:hint="eastAsia" w:ascii="宋体" w:hAnsi="宋体"/>
          <w:color w:val="000000" w:themeColor="text1"/>
          <w:kern w:val="2"/>
          <w:szCs w:val="21"/>
          <w14:textFill>
            <w14:solidFill>
              <w14:schemeClr w14:val="tx1"/>
            </w14:solidFill>
          </w14:textFill>
        </w:rPr>
        <w:t xml:space="preserve">投标人授权代表姓名（签字）： </w:t>
      </w:r>
    </w:p>
    <w:p>
      <w:pPr>
        <w:pStyle w:val="130"/>
        <w:spacing w:before="0" w:after="0" w:line="420" w:lineRule="exact"/>
        <w:ind w:left="420" w:leftChars="200" w:firstLineChars="200"/>
        <w:rPr>
          <w:rStyle w:val="44"/>
          <w:rFonts w:ascii="宋体" w:hAnsi="宋体"/>
          <w:color w:val="000000" w:themeColor="text1"/>
          <w:kern w:val="2"/>
          <w:szCs w:val="21"/>
          <w14:textFill>
            <w14:solidFill>
              <w14:schemeClr w14:val="tx1"/>
            </w14:solidFill>
          </w14:textFill>
        </w:rPr>
      </w:pPr>
      <w:r>
        <w:rPr>
          <w:rStyle w:val="44"/>
          <w:rFonts w:hint="eastAsia" w:ascii="宋体" w:hAnsi="宋体"/>
          <w:color w:val="000000" w:themeColor="text1"/>
          <w:kern w:val="2"/>
          <w:szCs w:val="21"/>
          <w14:textFill>
            <w14:solidFill>
              <w14:schemeClr w14:val="tx1"/>
            </w14:solidFill>
          </w14:textFill>
        </w:rPr>
        <w:t xml:space="preserve">投标人名称（公章）： </w:t>
      </w:r>
    </w:p>
    <w:p>
      <w:pPr>
        <w:pStyle w:val="130"/>
        <w:spacing w:before="0" w:after="0" w:line="420" w:lineRule="exact"/>
        <w:ind w:left="420" w:leftChars="200" w:firstLineChars="200"/>
        <w:rPr>
          <w:rStyle w:val="44"/>
          <w:rFonts w:ascii="宋体" w:hAnsi="宋体"/>
          <w:color w:val="000000" w:themeColor="text1"/>
          <w:kern w:val="2"/>
          <w:szCs w:val="21"/>
          <w14:textFill>
            <w14:solidFill>
              <w14:schemeClr w14:val="tx1"/>
            </w14:solidFill>
          </w14:textFill>
        </w:rPr>
      </w:pPr>
      <w:r>
        <w:rPr>
          <w:rStyle w:val="44"/>
          <w:rFonts w:hint="eastAsia" w:ascii="宋体" w:hAnsi="宋体"/>
          <w:color w:val="000000" w:themeColor="text1"/>
          <w:kern w:val="2"/>
          <w:szCs w:val="21"/>
          <w14:textFill>
            <w14:solidFill>
              <w14:schemeClr w14:val="tx1"/>
            </w14:solidFill>
          </w14:textFill>
        </w:rPr>
        <w:t>日           期：________年____月____日</w:t>
      </w:r>
    </w:p>
    <w:p>
      <w:pPr>
        <w:snapToGrid w:val="0"/>
        <w:spacing w:before="50" w:after="145"/>
        <w:jc w:val="left"/>
        <w:rPr>
          <w:rStyle w:val="44"/>
          <w:rFonts w:ascii="宋体" w:hAnsi="宋体"/>
          <w:color w:val="000000" w:themeColor="text1"/>
          <w:sz w:val="24"/>
          <w:szCs w:val="20"/>
          <w14:textFill>
            <w14:solidFill>
              <w14:schemeClr w14:val="tx1"/>
            </w14:solidFill>
          </w14:textFill>
        </w:rPr>
      </w:pPr>
    </w:p>
    <w:p>
      <w:pPr>
        <w:jc w:val="center"/>
        <w:rPr>
          <w:rStyle w:val="44"/>
          <w:rFonts w:ascii="宋体" w:hAnsi="宋体"/>
          <w:b/>
          <w:color w:val="000000" w:themeColor="text1"/>
          <w:sz w:val="32"/>
          <w:szCs w:val="32"/>
          <w14:textFill>
            <w14:solidFill>
              <w14:schemeClr w14:val="tx1"/>
            </w14:solidFill>
          </w14:textFill>
        </w:rPr>
      </w:pPr>
    </w:p>
    <w:p>
      <w:pPr>
        <w:pStyle w:val="21"/>
        <w:rPr>
          <w:color w:val="000000" w:themeColor="text1"/>
          <w14:textFill>
            <w14:solidFill>
              <w14:schemeClr w14:val="tx1"/>
            </w14:solidFill>
          </w14:textFill>
        </w:rPr>
      </w:pPr>
    </w:p>
    <w:p>
      <w:pPr>
        <w:snapToGrid w:val="0"/>
        <w:spacing w:before="50" w:after="50"/>
        <w:rPr>
          <w:rFonts w:ascii="宋体" w:hAnsi="宋体"/>
          <w:color w:val="000000" w:themeColor="text1"/>
          <w:sz w:val="32"/>
          <w:szCs w:val="32"/>
          <w14:textFill>
            <w14:solidFill>
              <w14:schemeClr w14:val="tx1"/>
            </w14:solidFill>
          </w14:textFill>
        </w:rPr>
      </w:pPr>
      <w:bookmarkStart w:id="56" w:name="_Toc1547"/>
    </w:p>
    <w:p>
      <w:pPr>
        <w:snapToGrid w:val="0"/>
        <w:spacing w:before="50" w:after="50"/>
        <w:jc w:val="center"/>
        <w:outlineLvl w:val="0"/>
        <w:rPr>
          <w:rFonts w:ascii="宋体" w:hAnsi="宋体"/>
          <w:b/>
          <w:bCs/>
          <w:color w:val="000000" w:themeColor="text1"/>
          <w:sz w:val="32"/>
          <w:szCs w:val="32"/>
          <w14:textFill>
            <w14:solidFill>
              <w14:schemeClr w14:val="tx1"/>
            </w14:solidFill>
          </w14:textFill>
        </w:rPr>
      </w:pPr>
      <w:bookmarkStart w:id="57" w:name="_Toc15030"/>
    </w:p>
    <w:p>
      <w:pPr>
        <w:snapToGrid w:val="0"/>
        <w:spacing w:before="50" w:after="50"/>
        <w:jc w:val="center"/>
        <w:outlineLvl w:val="0"/>
        <w:rPr>
          <w:rFonts w:ascii="宋体" w:hAnsi="宋体"/>
          <w:b/>
          <w:bCs/>
          <w:color w:val="000000" w:themeColor="text1"/>
          <w:sz w:val="32"/>
          <w:szCs w:val="32"/>
          <w14:textFill>
            <w14:solidFill>
              <w14:schemeClr w14:val="tx1"/>
            </w14:solidFill>
          </w14:textFill>
        </w:rPr>
      </w:pPr>
    </w:p>
    <w:p>
      <w:pPr>
        <w:snapToGrid w:val="0"/>
        <w:spacing w:before="50" w:after="50"/>
        <w:jc w:val="center"/>
        <w:outlineLvl w:val="0"/>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五、开标一览表（格式）</w:t>
      </w:r>
      <w:bookmarkEnd w:id="57"/>
    </w:p>
    <w:tbl>
      <w:tblPr>
        <w:tblStyle w:val="22"/>
        <w:tblpPr w:leftFromText="180" w:rightFromText="180" w:vertAnchor="text" w:horzAnchor="page" w:tblpX="1213" w:tblpY="135"/>
        <w:tblOverlap w:val="never"/>
        <w:tblW w:w="96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70"/>
        <w:gridCol w:w="7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87" w:hRule="atLeast"/>
        </w:trPr>
        <w:tc>
          <w:tcPr>
            <w:tcW w:w="2570" w:type="dxa"/>
            <w:tcBorders>
              <w:top w:val="single" w:color="000000" w:sz="4" w:space="0"/>
              <w:left w:val="single" w:color="000000" w:sz="4" w:space="0"/>
              <w:bottom w:val="single" w:color="000000" w:sz="4" w:space="0"/>
              <w:right w:val="single" w:color="000000" w:sz="4" w:space="0"/>
            </w:tcBorders>
            <w:noWrap/>
            <w:vAlign w:val="center"/>
          </w:tcPr>
          <w:p>
            <w:pPr>
              <w:ind w:firstLine="420" w:firstLineChars="200"/>
              <w:rPr>
                <w:rStyle w:val="44"/>
                <w:rFonts w:ascii="宋体" w:hAnsi="宋体"/>
                <w:color w:val="000000" w:themeColor="text1"/>
                <w:szCs w:val="28"/>
                <w14:textFill>
                  <w14:solidFill>
                    <w14:schemeClr w14:val="tx1"/>
                  </w14:solidFill>
                </w14:textFill>
              </w:rPr>
            </w:pPr>
            <w:r>
              <w:rPr>
                <w:rStyle w:val="44"/>
                <w:rFonts w:hint="eastAsia" w:ascii="宋体" w:hAnsi="宋体"/>
                <w:color w:val="000000" w:themeColor="text1"/>
                <w:szCs w:val="28"/>
                <w14:textFill>
                  <w14:solidFill>
                    <w14:schemeClr w14:val="tx1"/>
                  </w14:solidFill>
                </w14:textFill>
              </w:rPr>
              <w:t>项目编号</w:t>
            </w:r>
          </w:p>
        </w:tc>
        <w:tc>
          <w:tcPr>
            <w:tcW w:w="7089" w:type="dxa"/>
            <w:tcBorders>
              <w:top w:val="single" w:color="000000" w:sz="4" w:space="0"/>
              <w:left w:val="single" w:color="000000" w:sz="4" w:space="0"/>
              <w:bottom w:val="single" w:color="000000" w:sz="4" w:space="0"/>
              <w:right w:val="single" w:color="000000" w:sz="4" w:space="0"/>
            </w:tcBorders>
            <w:noWrap/>
            <w:vAlign w:val="center"/>
          </w:tcPr>
          <w:p>
            <w:pPr>
              <w:pStyle w:val="35"/>
              <w:jc w:val="both"/>
              <w:rPr>
                <w:rStyle w:val="44"/>
                <w:rFonts w:ascii="宋体" w:hAnsi="宋体" w:eastAsia="宋体" w:cs="宋体"/>
                <w:color w:val="000000" w:themeColor="text1"/>
                <w:sz w:val="28"/>
                <w:szCs w:val="28"/>
                <w:u w:val="singl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87" w:hRule="atLeast"/>
        </w:trPr>
        <w:tc>
          <w:tcPr>
            <w:tcW w:w="2570" w:type="dxa"/>
            <w:tcBorders>
              <w:top w:val="single" w:color="000000" w:sz="4" w:space="0"/>
              <w:left w:val="single" w:color="000000" w:sz="4" w:space="0"/>
              <w:bottom w:val="single" w:color="000000" w:sz="4" w:space="0"/>
              <w:right w:val="single" w:color="000000" w:sz="4" w:space="0"/>
            </w:tcBorders>
            <w:noWrap/>
            <w:vAlign w:val="center"/>
          </w:tcPr>
          <w:p>
            <w:pPr>
              <w:ind w:firstLine="420" w:firstLineChars="200"/>
              <w:rPr>
                <w:rStyle w:val="44"/>
                <w:rFonts w:ascii="宋体" w:hAnsi="宋体"/>
                <w:color w:val="000000" w:themeColor="text1"/>
                <w:szCs w:val="28"/>
                <w14:textFill>
                  <w14:solidFill>
                    <w14:schemeClr w14:val="tx1"/>
                  </w14:solidFill>
                </w14:textFill>
              </w:rPr>
            </w:pPr>
            <w:r>
              <w:rPr>
                <w:rStyle w:val="44"/>
                <w:rFonts w:hint="eastAsia" w:ascii="宋体" w:hAnsi="宋体"/>
                <w:color w:val="000000" w:themeColor="text1"/>
                <w:szCs w:val="28"/>
                <w14:textFill>
                  <w14:solidFill>
                    <w14:schemeClr w14:val="tx1"/>
                  </w14:solidFill>
                </w14:textFill>
              </w:rPr>
              <w:t>项目名称</w:t>
            </w:r>
          </w:p>
        </w:tc>
        <w:tc>
          <w:tcPr>
            <w:tcW w:w="7089" w:type="dxa"/>
            <w:tcBorders>
              <w:top w:val="single" w:color="000000" w:sz="4" w:space="0"/>
              <w:left w:val="single" w:color="000000" w:sz="4" w:space="0"/>
              <w:bottom w:val="single" w:color="000000" w:sz="4" w:space="0"/>
              <w:right w:val="single" w:color="000000" w:sz="4" w:space="0"/>
            </w:tcBorders>
            <w:noWrap/>
            <w:vAlign w:val="center"/>
          </w:tcPr>
          <w:p>
            <w:pPr>
              <w:pStyle w:val="35"/>
              <w:jc w:val="both"/>
              <w:rPr>
                <w:rStyle w:val="44"/>
                <w:rFonts w:ascii="宋体" w:hAnsi="宋体" w:eastAsia="宋体" w:cs="宋体"/>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4" w:hRule="atLeast"/>
        </w:trPr>
        <w:tc>
          <w:tcPr>
            <w:tcW w:w="9659" w:type="dxa"/>
            <w:gridSpan w:val="2"/>
            <w:tcBorders>
              <w:top w:val="single" w:color="000000" w:sz="4" w:space="0"/>
              <w:left w:val="single" w:color="000000" w:sz="4" w:space="0"/>
              <w:bottom w:val="single" w:color="000000" w:sz="4" w:space="0"/>
              <w:right w:val="single" w:color="000000" w:sz="4" w:space="0"/>
            </w:tcBorders>
            <w:noWrap/>
            <w:vAlign w:val="center"/>
          </w:tcPr>
          <w:p>
            <w:pPr>
              <w:ind w:firstLine="420" w:firstLineChars="200"/>
              <w:rPr>
                <w:rStyle w:val="44"/>
                <w:rFonts w:ascii="宋体" w:hAnsi="宋体" w:cs="Times New Roman"/>
                <w:color w:val="000000" w:themeColor="text1"/>
                <w:szCs w:val="28"/>
                <w14:textFill>
                  <w14:solidFill>
                    <w14:schemeClr w14:val="tx1"/>
                  </w14:solidFill>
                </w14:textFill>
              </w:rPr>
            </w:pPr>
            <w:r>
              <w:rPr>
                <w:rStyle w:val="44"/>
                <w:rFonts w:hint="eastAsia" w:ascii="宋体" w:hAnsi="宋体" w:cs="Times New Roman"/>
                <w:color w:val="000000" w:themeColor="text1"/>
                <w:szCs w:val="28"/>
                <w14:textFill>
                  <w14:solidFill>
                    <w14:schemeClr w14:val="tx1"/>
                  </w14:solidFill>
                </w14:textFill>
              </w:rPr>
              <w:t>1.项目投标报价：（大写）_____元，小写：_____元。</w:t>
            </w:r>
          </w:p>
          <w:p>
            <w:pPr>
              <w:ind w:firstLine="420" w:firstLineChars="200"/>
              <w:rPr>
                <w:rStyle w:val="44"/>
                <w:rFonts w:ascii="宋体" w:hAnsi="宋体" w:cs="Times New Roman"/>
                <w:color w:val="000000" w:themeColor="text1"/>
                <w:szCs w:val="28"/>
                <w14:textFill>
                  <w14:solidFill>
                    <w14:schemeClr w14:val="tx1"/>
                  </w14:solidFill>
                </w14:textFill>
              </w:rPr>
            </w:pPr>
            <w:r>
              <w:rPr>
                <w:rStyle w:val="44"/>
                <w:rFonts w:hint="eastAsia" w:ascii="宋体" w:hAnsi="宋体" w:cs="Times New Roman"/>
                <w:color w:val="000000" w:themeColor="text1"/>
                <w:szCs w:val="28"/>
                <w14:textFill>
                  <w14:solidFill>
                    <w14:schemeClr w14:val="tx1"/>
                  </w14:solidFill>
                </w14:textFill>
              </w:rPr>
              <w:t>2.延保价格：大写_____万元/年，小写：_____万元/年。（最高限价为3万元/年）</w:t>
            </w:r>
          </w:p>
          <w:p>
            <w:pPr>
              <w:ind w:firstLine="420" w:firstLineChars="200"/>
              <w:rPr>
                <w:color w:val="000000" w:themeColor="text1"/>
                <w14:textFill>
                  <w14:solidFill>
                    <w14:schemeClr w14:val="tx1"/>
                  </w14:solidFill>
                </w14:textFill>
              </w:rPr>
            </w:pPr>
            <w:r>
              <w:rPr>
                <w:rStyle w:val="44"/>
                <w:rFonts w:hint="eastAsia" w:ascii="宋体" w:hAnsi="宋体" w:cs="Times New Roman"/>
                <w:color w:val="000000" w:themeColor="text1"/>
                <w:szCs w:val="28"/>
                <w14:textFill>
                  <w14:solidFill>
                    <w14:schemeClr w14:val="tx1"/>
                  </w14:solidFill>
                </w14:textFill>
              </w:rPr>
              <w:t>3.原厂数据集成服务价格：（大写）_____万元/个，小写：_____万元/个。（最高限价为2万元/个）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4" w:hRule="atLeast"/>
        </w:trPr>
        <w:tc>
          <w:tcPr>
            <w:tcW w:w="9659" w:type="dxa"/>
            <w:gridSpan w:val="2"/>
            <w:tcBorders>
              <w:top w:val="single" w:color="000000" w:sz="4" w:space="0"/>
              <w:left w:val="single" w:color="000000" w:sz="4" w:space="0"/>
              <w:bottom w:val="single" w:color="000000" w:sz="4" w:space="0"/>
              <w:right w:val="single" w:color="000000" w:sz="4" w:space="0"/>
            </w:tcBorders>
            <w:noWrap/>
            <w:vAlign w:val="center"/>
          </w:tcPr>
          <w:p>
            <w:pPr>
              <w:ind w:firstLine="211" w:firstLineChars="100"/>
              <w:rPr>
                <w:rStyle w:val="44"/>
                <w:rFonts w:ascii="宋体" w:hAnsi="宋体"/>
                <w:b/>
                <w:bCs/>
                <w:color w:val="000000" w:themeColor="text1"/>
                <w:szCs w:val="28"/>
                <w14:textFill>
                  <w14:solidFill>
                    <w14:schemeClr w14:val="tx1"/>
                  </w14:solidFill>
                </w14:textFill>
              </w:rPr>
            </w:pPr>
            <w:r>
              <w:rPr>
                <w:rStyle w:val="44"/>
                <w:rFonts w:hint="eastAsia" w:ascii="宋体" w:hAnsi="宋体"/>
                <w:b/>
                <w:bCs/>
                <w:color w:val="000000" w:themeColor="text1"/>
                <w:szCs w:val="28"/>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4" w:hRule="atLeast"/>
        </w:trPr>
        <w:tc>
          <w:tcPr>
            <w:tcW w:w="9659" w:type="dxa"/>
            <w:gridSpan w:val="2"/>
            <w:tcBorders>
              <w:top w:val="single" w:color="000000" w:sz="4" w:space="0"/>
              <w:left w:val="single" w:color="000000" w:sz="4" w:space="0"/>
              <w:bottom w:val="single" w:color="000000" w:sz="4" w:space="0"/>
              <w:right w:val="single" w:color="000000" w:sz="4" w:space="0"/>
            </w:tcBorders>
            <w:noWrap/>
            <w:vAlign w:val="center"/>
          </w:tcPr>
          <w:p>
            <w:pPr>
              <w:ind w:firstLine="211" w:firstLineChars="100"/>
              <w:rPr>
                <w:rStyle w:val="44"/>
                <w:rFonts w:ascii="宋体" w:hAnsi="宋体"/>
                <w:b/>
                <w:bCs/>
                <w:color w:val="000000" w:themeColor="text1"/>
                <w:szCs w:val="28"/>
                <w14:textFill>
                  <w14:solidFill>
                    <w14:schemeClr w14:val="tx1"/>
                  </w14:solidFill>
                </w14:textFill>
              </w:rPr>
            </w:pPr>
            <w:r>
              <w:rPr>
                <w:rFonts w:hint="eastAsia" w:ascii="宋体" w:hAnsi="宋体"/>
                <w:b/>
                <w:bCs/>
                <w:color w:val="000000" w:themeColor="text1"/>
                <w:szCs w:val="28"/>
                <w14:textFill>
                  <w14:solidFill>
                    <w14:schemeClr w14:val="tx1"/>
                  </w14:solidFill>
                </w14:textFill>
              </w:rPr>
              <w:t>质保期：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0" w:hRule="atLeast"/>
        </w:trPr>
        <w:tc>
          <w:tcPr>
            <w:tcW w:w="9659" w:type="dxa"/>
            <w:gridSpan w:val="2"/>
            <w:tcBorders>
              <w:top w:val="single" w:color="000000" w:sz="4" w:space="0"/>
              <w:left w:val="single" w:color="000000" w:sz="4" w:space="0"/>
              <w:bottom w:val="single" w:color="000000" w:sz="4" w:space="0"/>
              <w:right w:val="single" w:color="000000" w:sz="4" w:space="0"/>
            </w:tcBorders>
            <w:noWrap/>
            <w:vAlign w:val="center"/>
          </w:tcPr>
          <w:p>
            <w:pPr>
              <w:ind w:firstLine="211" w:firstLineChars="100"/>
              <w:rPr>
                <w:rStyle w:val="44"/>
                <w:rFonts w:ascii="宋体" w:hAnsi="宋体"/>
                <w:b/>
                <w:bCs/>
                <w:color w:val="000000" w:themeColor="text1"/>
                <w:szCs w:val="28"/>
                <w14:textFill>
                  <w14:solidFill>
                    <w14:schemeClr w14:val="tx1"/>
                  </w14:solidFill>
                </w14:textFill>
              </w:rPr>
            </w:pPr>
            <w:r>
              <w:rPr>
                <w:rStyle w:val="44"/>
                <w:rFonts w:hint="eastAsia" w:ascii="宋体" w:hAnsi="宋体"/>
                <w:b/>
                <w:bCs/>
                <w:color w:val="000000" w:themeColor="text1"/>
                <w:szCs w:val="28"/>
                <w14:textFill>
                  <w14:solidFill>
                    <w14:schemeClr w14:val="tx1"/>
                  </w14:solidFill>
                </w14:textFill>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0" w:hRule="atLeast"/>
        </w:trPr>
        <w:tc>
          <w:tcPr>
            <w:tcW w:w="9659" w:type="dxa"/>
            <w:gridSpan w:val="2"/>
            <w:tcBorders>
              <w:top w:val="single" w:color="000000" w:sz="4" w:space="0"/>
              <w:left w:val="single" w:color="000000" w:sz="4" w:space="0"/>
              <w:bottom w:val="single" w:color="000000" w:sz="4" w:space="0"/>
              <w:right w:val="single" w:color="000000" w:sz="4" w:space="0"/>
            </w:tcBorders>
            <w:noWrap/>
            <w:vAlign w:val="center"/>
          </w:tcPr>
          <w:p>
            <w:pPr>
              <w:ind w:firstLine="211" w:firstLineChars="100"/>
              <w:rPr>
                <w:rStyle w:val="44"/>
                <w:rFonts w:hint="eastAsia" w:ascii="宋体" w:hAnsi="宋体"/>
                <w:b/>
                <w:bCs/>
                <w:color w:val="000000" w:themeColor="text1"/>
                <w:szCs w:val="28"/>
                <w14:textFill>
                  <w14:solidFill>
                    <w14:schemeClr w14:val="tx1"/>
                  </w14:solidFill>
                </w14:textFill>
              </w:rPr>
            </w:pPr>
            <w:r>
              <w:rPr>
                <w:rStyle w:val="44"/>
                <w:rFonts w:hint="eastAsia" w:ascii="宋体" w:hAnsi="宋体"/>
                <w:b/>
                <w:bCs/>
                <w:color w:val="000000" w:themeColor="text1"/>
                <w:szCs w:val="28"/>
                <w14:textFill>
                  <w14:solidFill>
                    <w14:schemeClr w14:val="tx1"/>
                  </w14:solidFill>
                </w14:textFill>
              </w:rPr>
              <w:t>是否提供《企业类型申明函》（是/否）见（   ）页</w:t>
            </w:r>
          </w:p>
        </w:tc>
      </w:tr>
    </w:tbl>
    <w:p>
      <w:pPr>
        <w:spacing w:line="180" w:lineRule="atLeast"/>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填写说明：</w:t>
      </w:r>
    </w:p>
    <w:p>
      <w:pPr>
        <w:numPr>
          <w:ilvl w:val="0"/>
          <w:numId w:val="72"/>
        </w:num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开标一览表不得填报选择性报价，否则将作为无效投标；</w:t>
      </w:r>
    </w:p>
    <w:p>
      <w:pPr>
        <w:numPr>
          <w:ilvl w:val="0"/>
          <w:numId w:val="72"/>
        </w:num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开标一览表中报价与投标分项明细报价表中不符时时，以开标一览表为准；</w:t>
      </w:r>
    </w:p>
    <w:p>
      <w:pPr>
        <w:ind w:firstLine="2640" w:firstLineChars="600"/>
        <w:rPr>
          <w:rFonts w:ascii="宋体" w:hAnsi="宋体"/>
          <w:color w:val="000000" w:themeColor="text1"/>
          <w:sz w:val="44"/>
          <w14:textFill>
            <w14:solidFill>
              <w14:schemeClr w14:val="tx1"/>
            </w14:solidFill>
          </w14:textFill>
        </w:rPr>
      </w:pPr>
    </w:p>
    <w:p>
      <w:pPr>
        <w:ind w:firstLine="480"/>
        <w:rPr>
          <w:rFonts w:ascii="宋体" w:hAnsi="宋体"/>
          <w:color w:val="000000" w:themeColor="text1"/>
          <w:sz w:val="24"/>
          <w14:textFill>
            <w14:solidFill>
              <w14:schemeClr w14:val="tx1"/>
            </w14:solidFill>
          </w14:textFill>
        </w:rPr>
      </w:pPr>
    </w:p>
    <w:p>
      <w:pPr>
        <w:ind w:firstLine="480"/>
        <w:rPr>
          <w:rFonts w:ascii="宋体" w:hAnsi="宋体"/>
          <w:color w:val="000000" w:themeColor="text1"/>
          <w:sz w:val="24"/>
          <w14:textFill>
            <w14:solidFill>
              <w14:schemeClr w14:val="tx1"/>
            </w14:solidFill>
          </w14:textFill>
        </w:rPr>
      </w:pPr>
    </w:p>
    <w:p>
      <w:pPr>
        <w:ind w:right="480" w:firstLine="480"/>
        <w:jc w:val="right"/>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供应商名称（公章）：</w:t>
      </w:r>
    </w:p>
    <w:p>
      <w:pPr>
        <w:ind w:firstLine="48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  年  月  日</w:t>
      </w:r>
    </w:p>
    <w:p>
      <w:pPr>
        <w:pStyle w:val="2"/>
        <w:rPr>
          <w:rFonts w:ascii="宋体" w:hAnsi="宋体"/>
          <w:color w:val="000000" w:themeColor="text1"/>
          <w14:textFill>
            <w14:solidFill>
              <w14:schemeClr w14:val="tx1"/>
            </w14:solidFill>
          </w14:textFill>
        </w:rPr>
      </w:pPr>
    </w:p>
    <w:p>
      <w:pPr>
        <w:rPr>
          <w:rFonts w:ascii="宋体" w:hAnsi="宋体"/>
          <w:b/>
          <w:bCs/>
          <w:color w:val="000000" w:themeColor="text1"/>
          <w14:textFill>
            <w14:solidFill>
              <w14:schemeClr w14:val="tx1"/>
            </w14:solidFill>
          </w14:textFill>
        </w:rPr>
      </w:pPr>
    </w:p>
    <w:p>
      <w:pPr>
        <w:rPr>
          <w:rFonts w:ascii="宋体" w:hAnsi="宋体"/>
          <w:color w:val="000000" w:themeColor="text1"/>
          <w:sz w:val="24"/>
          <w:szCs w:val="24"/>
          <w14:textFill>
            <w14:solidFill>
              <w14:schemeClr w14:val="tx1"/>
            </w14:solidFill>
          </w14:textFill>
        </w:rPr>
      </w:pPr>
    </w:p>
    <w:p>
      <w:pPr>
        <w:rPr>
          <w:color w:val="000000" w:themeColor="text1"/>
          <w14:textFill>
            <w14:solidFill>
              <w14:schemeClr w14:val="tx1"/>
            </w14:solidFill>
          </w14:textFill>
        </w:rPr>
      </w:pPr>
    </w:p>
    <w:p>
      <w:pPr>
        <w:pStyle w:val="4"/>
        <w:ind w:firstLine="3534" w:firstLineChars="1100"/>
        <w:jc w:val="both"/>
        <w:rPr>
          <w:rFonts w:hint="default" w:ascii="宋体" w:hAnsi="宋体" w:eastAsia="宋体" w:cs="宋体"/>
          <w:color w:val="000000" w:themeColor="text1"/>
          <w:sz w:val="32"/>
          <w:szCs w:val="32"/>
          <w14:textFill>
            <w14:solidFill>
              <w14:schemeClr w14:val="tx1"/>
            </w14:solidFill>
          </w14:textFill>
        </w:rPr>
      </w:pPr>
      <w:r>
        <w:rPr>
          <w:rFonts w:ascii="宋体" w:hAnsi="宋体" w:eastAsia="宋体" w:cs="宋体"/>
          <w:color w:val="000000" w:themeColor="text1"/>
          <w:sz w:val="32"/>
          <w:szCs w:val="32"/>
          <w14:textFill>
            <w14:solidFill>
              <w14:schemeClr w14:val="tx1"/>
            </w14:solidFill>
          </w14:textFill>
        </w:rPr>
        <w:t>投标人资格声明</w:t>
      </w:r>
      <w:bookmarkEnd w:id="56"/>
    </w:p>
    <w:tbl>
      <w:tblPr>
        <w:tblStyle w:val="22"/>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31"/>
        <w:gridCol w:w="1518"/>
        <w:gridCol w:w="1583"/>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728" w:type="dxa"/>
            <w:vAlign w:val="center"/>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投标人企业名称</w:t>
            </w:r>
          </w:p>
        </w:tc>
        <w:tc>
          <w:tcPr>
            <w:tcW w:w="7668" w:type="dxa"/>
            <w:gridSpan w:val="6"/>
            <w:vAlign w:val="center"/>
          </w:tcPr>
          <w:p>
            <w:pPr>
              <w:spacing w:line="460" w:lineRule="exact"/>
              <w:rPr>
                <w:rFonts w:ascii="宋体" w:hAns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728" w:type="dxa"/>
            <w:vAlign w:val="center"/>
          </w:tcPr>
          <w:p>
            <w:pPr>
              <w:spacing w:line="460" w:lineRule="exact"/>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地 址</w:t>
            </w:r>
          </w:p>
        </w:tc>
        <w:tc>
          <w:tcPr>
            <w:tcW w:w="7668" w:type="dxa"/>
            <w:gridSpan w:val="6"/>
            <w:vAlign w:val="center"/>
          </w:tcPr>
          <w:p>
            <w:pPr>
              <w:spacing w:line="460" w:lineRule="exact"/>
              <w:rPr>
                <w:rFonts w:ascii="宋体" w:hAns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728" w:type="dxa"/>
            <w:vAlign w:val="center"/>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主管部门</w:t>
            </w:r>
          </w:p>
        </w:tc>
        <w:tc>
          <w:tcPr>
            <w:tcW w:w="1380" w:type="dxa"/>
            <w:vAlign w:val="center"/>
          </w:tcPr>
          <w:p>
            <w:pPr>
              <w:spacing w:line="460" w:lineRule="exact"/>
              <w:rPr>
                <w:rFonts w:ascii="宋体" w:hAnsi="宋体"/>
                <w:bCs/>
                <w:color w:val="000000" w:themeColor="text1"/>
                <w14:textFill>
                  <w14:solidFill>
                    <w14:schemeClr w14:val="tx1"/>
                  </w14:solidFill>
                </w14:textFill>
              </w:rPr>
            </w:pPr>
          </w:p>
        </w:tc>
        <w:tc>
          <w:tcPr>
            <w:tcW w:w="1549" w:type="dxa"/>
            <w:vAlign w:val="center"/>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法定代表人</w:t>
            </w:r>
          </w:p>
        </w:tc>
        <w:tc>
          <w:tcPr>
            <w:tcW w:w="1549" w:type="dxa"/>
            <w:gridSpan w:val="2"/>
            <w:vAlign w:val="center"/>
          </w:tcPr>
          <w:p>
            <w:pPr>
              <w:spacing w:line="460" w:lineRule="exact"/>
              <w:rPr>
                <w:rFonts w:ascii="宋体" w:hAnsi="宋体"/>
                <w:bCs/>
                <w:color w:val="000000" w:themeColor="text1"/>
                <w14:textFill>
                  <w14:solidFill>
                    <w14:schemeClr w14:val="tx1"/>
                  </w14:solidFill>
                </w14:textFill>
              </w:rPr>
            </w:pPr>
          </w:p>
        </w:tc>
        <w:tc>
          <w:tcPr>
            <w:tcW w:w="1583" w:type="dxa"/>
            <w:vAlign w:val="center"/>
          </w:tcPr>
          <w:p>
            <w:pPr>
              <w:spacing w:line="460" w:lineRule="exact"/>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职 务</w:t>
            </w:r>
          </w:p>
        </w:tc>
        <w:tc>
          <w:tcPr>
            <w:tcW w:w="1607" w:type="dxa"/>
          </w:tcPr>
          <w:p>
            <w:pPr>
              <w:spacing w:line="460" w:lineRule="exact"/>
              <w:rPr>
                <w:rFonts w:ascii="宋体" w:hAns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728" w:type="dxa"/>
            <w:vAlign w:val="center"/>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注册时间</w:t>
            </w:r>
          </w:p>
        </w:tc>
        <w:tc>
          <w:tcPr>
            <w:tcW w:w="2929" w:type="dxa"/>
            <w:gridSpan w:val="2"/>
          </w:tcPr>
          <w:p>
            <w:pPr>
              <w:spacing w:line="460" w:lineRule="exact"/>
              <w:rPr>
                <w:rFonts w:ascii="宋体" w:hAnsi="宋体"/>
                <w:bCs/>
                <w:color w:val="000000" w:themeColor="text1"/>
                <w14:textFill>
                  <w14:solidFill>
                    <w14:schemeClr w14:val="tx1"/>
                  </w14:solidFill>
                </w14:textFill>
              </w:rPr>
            </w:pPr>
          </w:p>
        </w:tc>
        <w:tc>
          <w:tcPr>
            <w:tcW w:w="1549" w:type="dxa"/>
            <w:gridSpan w:val="2"/>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经济类型</w:t>
            </w:r>
          </w:p>
        </w:tc>
        <w:tc>
          <w:tcPr>
            <w:tcW w:w="3190" w:type="dxa"/>
            <w:gridSpan w:val="2"/>
          </w:tcPr>
          <w:p>
            <w:pPr>
              <w:spacing w:line="460" w:lineRule="exact"/>
              <w:rPr>
                <w:rFonts w:ascii="宋体" w:hAns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4657" w:type="dxa"/>
            <w:gridSpan w:val="3"/>
            <w:vAlign w:val="center"/>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近三年内有经营活动中有无重大违法纪录</w:t>
            </w:r>
          </w:p>
        </w:tc>
        <w:tc>
          <w:tcPr>
            <w:tcW w:w="4739" w:type="dxa"/>
            <w:gridSpan w:val="4"/>
            <w:vAlign w:val="center"/>
          </w:tcPr>
          <w:p>
            <w:pPr>
              <w:spacing w:line="460" w:lineRule="exact"/>
              <w:rPr>
                <w:rFonts w:ascii="宋体" w:hAns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728" w:type="dxa"/>
            <w:vAlign w:val="center"/>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是否依法缴纳税收</w:t>
            </w:r>
          </w:p>
        </w:tc>
        <w:tc>
          <w:tcPr>
            <w:tcW w:w="2929" w:type="dxa"/>
            <w:gridSpan w:val="2"/>
          </w:tcPr>
          <w:p>
            <w:pPr>
              <w:spacing w:line="460" w:lineRule="exact"/>
              <w:rPr>
                <w:rFonts w:ascii="宋体" w:hAnsi="宋体"/>
                <w:bCs/>
                <w:color w:val="000000" w:themeColor="text1"/>
                <w14:textFill>
                  <w14:solidFill>
                    <w14:schemeClr w14:val="tx1"/>
                  </w14:solidFill>
                </w14:textFill>
              </w:rPr>
            </w:pPr>
          </w:p>
        </w:tc>
        <w:tc>
          <w:tcPr>
            <w:tcW w:w="1549" w:type="dxa"/>
            <w:gridSpan w:val="2"/>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是否依法缴纳社会保障资金</w:t>
            </w:r>
          </w:p>
        </w:tc>
        <w:tc>
          <w:tcPr>
            <w:tcW w:w="3190" w:type="dxa"/>
            <w:gridSpan w:val="2"/>
          </w:tcPr>
          <w:p>
            <w:pPr>
              <w:spacing w:line="460" w:lineRule="exact"/>
              <w:rPr>
                <w:rFonts w:ascii="宋体" w:hAns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728" w:type="dxa"/>
            <w:vMerge w:val="restart"/>
          </w:tcPr>
          <w:p>
            <w:pPr>
              <w:spacing w:line="460" w:lineRule="exact"/>
              <w:rPr>
                <w:rFonts w:ascii="宋体" w:hAnsi="宋体"/>
                <w:bCs/>
                <w:color w:val="000000" w:themeColor="text1"/>
                <w14:textFill>
                  <w14:solidFill>
                    <w14:schemeClr w14:val="tx1"/>
                  </w14:solidFill>
                </w14:textFill>
              </w:rPr>
            </w:pPr>
          </w:p>
          <w:p>
            <w:pPr>
              <w:spacing w:line="460" w:lineRule="exact"/>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单</w:t>
            </w:r>
          </w:p>
          <w:p>
            <w:pPr>
              <w:spacing w:line="460" w:lineRule="exact"/>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位</w:t>
            </w:r>
          </w:p>
          <w:p>
            <w:pPr>
              <w:spacing w:line="460" w:lineRule="exact"/>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概</w:t>
            </w:r>
          </w:p>
          <w:p>
            <w:pPr>
              <w:spacing w:line="460" w:lineRule="exact"/>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况</w:t>
            </w:r>
          </w:p>
        </w:tc>
        <w:tc>
          <w:tcPr>
            <w:tcW w:w="1380" w:type="dxa"/>
            <w:vAlign w:val="center"/>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注册资本</w:t>
            </w:r>
          </w:p>
        </w:tc>
        <w:tc>
          <w:tcPr>
            <w:tcW w:w="1549" w:type="dxa"/>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万元</w:t>
            </w:r>
          </w:p>
        </w:tc>
        <w:tc>
          <w:tcPr>
            <w:tcW w:w="1549" w:type="dxa"/>
            <w:gridSpan w:val="2"/>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占地面积</w:t>
            </w:r>
          </w:p>
        </w:tc>
        <w:tc>
          <w:tcPr>
            <w:tcW w:w="3190" w:type="dxa"/>
            <w:gridSpan w:val="2"/>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728" w:type="dxa"/>
            <w:vMerge w:val="continue"/>
          </w:tcPr>
          <w:p>
            <w:pPr>
              <w:spacing w:line="460" w:lineRule="exact"/>
              <w:rPr>
                <w:rFonts w:ascii="宋体" w:hAnsi="宋体"/>
                <w:bCs/>
                <w:color w:val="000000" w:themeColor="text1"/>
                <w14:textFill>
                  <w14:solidFill>
                    <w14:schemeClr w14:val="tx1"/>
                  </w14:solidFill>
                </w14:textFill>
              </w:rPr>
            </w:pPr>
          </w:p>
        </w:tc>
        <w:tc>
          <w:tcPr>
            <w:tcW w:w="1380" w:type="dxa"/>
            <w:vAlign w:val="center"/>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职工总数</w:t>
            </w:r>
          </w:p>
        </w:tc>
        <w:tc>
          <w:tcPr>
            <w:tcW w:w="1549" w:type="dxa"/>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人</w:t>
            </w:r>
          </w:p>
        </w:tc>
        <w:tc>
          <w:tcPr>
            <w:tcW w:w="1549" w:type="dxa"/>
            <w:gridSpan w:val="2"/>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建筑面积</w:t>
            </w:r>
          </w:p>
        </w:tc>
        <w:tc>
          <w:tcPr>
            <w:tcW w:w="3190" w:type="dxa"/>
            <w:gridSpan w:val="2"/>
          </w:tcPr>
          <w:p>
            <w:pPr>
              <w:spacing w:line="460" w:lineRule="exact"/>
              <w:ind w:firstLine="1575" w:firstLineChars="75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1728" w:type="dxa"/>
            <w:vMerge w:val="continue"/>
          </w:tcPr>
          <w:p>
            <w:pPr>
              <w:spacing w:line="460" w:lineRule="exact"/>
              <w:rPr>
                <w:rFonts w:ascii="宋体" w:hAnsi="宋体"/>
                <w:bCs/>
                <w:color w:val="000000" w:themeColor="text1"/>
                <w14:textFill>
                  <w14:solidFill>
                    <w14:schemeClr w14:val="tx1"/>
                  </w14:solidFill>
                </w14:textFill>
              </w:rPr>
            </w:pPr>
          </w:p>
        </w:tc>
        <w:tc>
          <w:tcPr>
            <w:tcW w:w="1380" w:type="dxa"/>
            <w:vMerge w:val="restart"/>
            <w:vAlign w:val="center"/>
          </w:tcPr>
          <w:p>
            <w:pPr>
              <w:spacing w:line="460" w:lineRule="exact"/>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资产</w:t>
            </w:r>
          </w:p>
          <w:p>
            <w:pPr>
              <w:spacing w:line="460" w:lineRule="exact"/>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情况</w:t>
            </w:r>
          </w:p>
        </w:tc>
        <w:tc>
          <w:tcPr>
            <w:tcW w:w="3098" w:type="dxa"/>
            <w:gridSpan w:val="3"/>
            <w:vAlign w:val="center"/>
          </w:tcPr>
          <w:p>
            <w:pPr>
              <w:spacing w:line="460" w:lineRule="exact"/>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净资产：        万元</w:t>
            </w:r>
          </w:p>
        </w:tc>
        <w:tc>
          <w:tcPr>
            <w:tcW w:w="3190" w:type="dxa"/>
            <w:gridSpan w:val="2"/>
            <w:vMerge w:val="restart"/>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固定资产原值 ：      万元</w:t>
            </w:r>
          </w:p>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728" w:type="dxa"/>
            <w:vMerge w:val="continue"/>
          </w:tcPr>
          <w:p>
            <w:pPr>
              <w:spacing w:line="460" w:lineRule="exact"/>
              <w:rPr>
                <w:rFonts w:ascii="宋体" w:hAnsi="宋体"/>
                <w:bCs/>
                <w:color w:val="000000" w:themeColor="text1"/>
                <w14:textFill>
                  <w14:solidFill>
                    <w14:schemeClr w14:val="tx1"/>
                  </w14:solidFill>
                </w14:textFill>
              </w:rPr>
            </w:pPr>
          </w:p>
        </w:tc>
        <w:tc>
          <w:tcPr>
            <w:tcW w:w="1380" w:type="dxa"/>
            <w:vMerge w:val="continue"/>
          </w:tcPr>
          <w:p>
            <w:pPr>
              <w:spacing w:line="460" w:lineRule="exact"/>
              <w:rPr>
                <w:rFonts w:ascii="宋体" w:hAnsi="宋体"/>
                <w:bCs/>
                <w:color w:val="000000" w:themeColor="text1"/>
                <w14:textFill>
                  <w14:solidFill>
                    <w14:schemeClr w14:val="tx1"/>
                  </w14:solidFill>
                </w14:textFill>
              </w:rPr>
            </w:pPr>
          </w:p>
        </w:tc>
        <w:tc>
          <w:tcPr>
            <w:tcW w:w="3098" w:type="dxa"/>
            <w:gridSpan w:val="3"/>
            <w:vAlign w:val="center"/>
          </w:tcPr>
          <w:p>
            <w:pPr>
              <w:spacing w:line="460" w:lineRule="exact"/>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负 债：         万元</w:t>
            </w:r>
          </w:p>
        </w:tc>
        <w:tc>
          <w:tcPr>
            <w:tcW w:w="3190" w:type="dxa"/>
            <w:gridSpan w:val="2"/>
            <w:vMerge w:val="continue"/>
          </w:tcPr>
          <w:p>
            <w:pPr>
              <w:spacing w:line="460" w:lineRule="exact"/>
              <w:rPr>
                <w:rFonts w:ascii="宋体" w:hAns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1728" w:type="dxa"/>
            <w:vMerge w:val="restart"/>
            <w:vAlign w:val="center"/>
          </w:tcPr>
          <w:p>
            <w:pPr>
              <w:spacing w:line="460" w:lineRule="exact"/>
              <w:ind w:firstLine="105" w:firstLineChars="5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财务状况</w:t>
            </w:r>
          </w:p>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（最近两年）</w:t>
            </w:r>
          </w:p>
        </w:tc>
        <w:tc>
          <w:tcPr>
            <w:tcW w:w="1380" w:type="dxa"/>
            <w:vAlign w:val="center"/>
          </w:tcPr>
          <w:p>
            <w:pPr>
              <w:spacing w:line="460" w:lineRule="exact"/>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年限</w:t>
            </w:r>
          </w:p>
        </w:tc>
        <w:tc>
          <w:tcPr>
            <w:tcW w:w="1580" w:type="dxa"/>
            <w:gridSpan w:val="2"/>
            <w:vAlign w:val="center"/>
          </w:tcPr>
          <w:p>
            <w:pPr>
              <w:spacing w:line="460" w:lineRule="exact"/>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主营收入</w:t>
            </w:r>
          </w:p>
          <w:p>
            <w:pPr>
              <w:spacing w:line="460" w:lineRule="exact"/>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（万元）</w:t>
            </w:r>
          </w:p>
        </w:tc>
        <w:tc>
          <w:tcPr>
            <w:tcW w:w="1518" w:type="dxa"/>
            <w:vAlign w:val="center"/>
          </w:tcPr>
          <w:p>
            <w:pPr>
              <w:spacing w:line="460" w:lineRule="exact"/>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收人总额</w:t>
            </w:r>
          </w:p>
          <w:p>
            <w:pPr>
              <w:spacing w:line="460" w:lineRule="exact"/>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（万元）</w:t>
            </w:r>
          </w:p>
        </w:tc>
        <w:tc>
          <w:tcPr>
            <w:tcW w:w="1583" w:type="dxa"/>
            <w:vAlign w:val="center"/>
          </w:tcPr>
          <w:p>
            <w:pPr>
              <w:spacing w:line="460" w:lineRule="exact"/>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利润总额</w:t>
            </w:r>
          </w:p>
          <w:p>
            <w:pPr>
              <w:spacing w:line="460" w:lineRule="exact"/>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（万元）</w:t>
            </w:r>
          </w:p>
        </w:tc>
        <w:tc>
          <w:tcPr>
            <w:tcW w:w="1607" w:type="dxa"/>
            <w:vAlign w:val="center"/>
          </w:tcPr>
          <w:p>
            <w:pPr>
              <w:spacing w:line="460" w:lineRule="exact"/>
              <w:ind w:firstLine="210" w:firstLineChars="10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净利润</w:t>
            </w:r>
          </w:p>
          <w:p>
            <w:pPr>
              <w:spacing w:line="460" w:lineRule="exact"/>
              <w:ind w:firstLine="210" w:firstLineChars="10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28" w:type="dxa"/>
            <w:vMerge w:val="continue"/>
            <w:vAlign w:val="center"/>
          </w:tcPr>
          <w:p>
            <w:pPr>
              <w:spacing w:line="460" w:lineRule="exact"/>
              <w:rPr>
                <w:rFonts w:ascii="宋体" w:hAnsi="宋体"/>
                <w:bCs/>
                <w:color w:val="000000" w:themeColor="text1"/>
                <w14:textFill>
                  <w14:solidFill>
                    <w14:schemeClr w14:val="tx1"/>
                  </w14:solidFill>
                </w14:textFill>
              </w:rPr>
            </w:pPr>
          </w:p>
        </w:tc>
        <w:tc>
          <w:tcPr>
            <w:tcW w:w="1380" w:type="dxa"/>
            <w:vAlign w:val="center"/>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年</w:t>
            </w:r>
          </w:p>
        </w:tc>
        <w:tc>
          <w:tcPr>
            <w:tcW w:w="1580" w:type="dxa"/>
            <w:gridSpan w:val="2"/>
            <w:vAlign w:val="center"/>
          </w:tcPr>
          <w:p>
            <w:pPr>
              <w:spacing w:line="460" w:lineRule="exact"/>
              <w:rPr>
                <w:rFonts w:ascii="宋体" w:hAnsi="宋体"/>
                <w:bCs/>
                <w:color w:val="000000" w:themeColor="text1"/>
                <w14:textFill>
                  <w14:solidFill>
                    <w14:schemeClr w14:val="tx1"/>
                  </w14:solidFill>
                </w14:textFill>
              </w:rPr>
            </w:pPr>
          </w:p>
        </w:tc>
        <w:tc>
          <w:tcPr>
            <w:tcW w:w="1518" w:type="dxa"/>
            <w:vAlign w:val="center"/>
          </w:tcPr>
          <w:p>
            <w:pPr>
              <w:spacing w:line="460" w:lineRule="exact"/>
              <w:rPr>
                <w:rFonts w:ascii="宋体" w:hAnsi="宋体"/>
                <w:bCs/>
                <w:color w:val="000000" w:themeColor="text1"/>
                <w14:textFill>
                  <w14:solidFill>
                    <w14:schemeClr w14:val="tx1"/>
                  </w14:solidFill>
                </w14:textFill>
              </w:rPr>
            </w:pPr>
          </w:p>
        </w:tc>
        <w:tc>
          <w:tcPr>
            <w:tcW w:w="1583" w:type="dxa"/>
            <w:vAlign w:val="center"/>
          </w:tcPr>
          <w:p>
            <w:pPr>
              <w:spacing w:line="460" w:lineRule="exact"/>
              <w:rPr>
                <w:rFonts w:ascii="宋体" w:hAnsi="宋体"/>
                <w:bCs/>
                <w:color w:val="000000" w:themeColor="text1"/>
                <w14:textFill>
                  <w14:solidFill>
                    <w14:schemeClr w14:val="tx1"/>
                  </w14:solidFill>
                </w14:textFill>
              </w:rPr>
            </w:pPr>
          </w:p>
        </w:tc>
        <w:tc>
          <w:tcPr>
            <w:tcW w:w="1607" w:type="dxa"/>
            <w:vAlign w:val="center"/>
          </w:tcPr>
          <w:p>
            <w:pPr>
              <w:spacing w:line="460" w:lineRule="exact"/>
              <w:rPr>
                <w:rFonts w:ascii="宋体" w:hAns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Merge w:val="continue"/>
          </w:tcPr>
          <w:p>
            <w:pPr>
              <w:spacing w:line="460" w:lineRule="exact"/>
              <w:rPr>
                <w:rFonts w:ascii="宋体" w:hAnsi="宋体"/>
                <w:bCs/>
                <w:color w:val="000000" w:themeColor="text1"/>
                <w14:textFill>
                  <w14:solidFill>
                    <w14:schemeClr w14:val="tx1"/>
                  </w14:solidFill>
                </w14:textFill>
              </w:rPr>
            </w:pPr>
          </w:p>
        </w:tc>
        <w:tc>
          <w:tcPr>
            <w:tcW w:w="1380" w:type="dxa"/>
            <w:vAlign w:val="center"/>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年</w:t>
            </w:r>
          </w:p>
        </w:tc>
        <w:tc>
          <w:tcPr>
            <w:tcW w:w="1580" w:type="dxa"/>
            <w:gridSpan w:val="2"/>
          </w:tcPr>
          <w:p>
            <w:pPr>
              <w:spacing w:line="460" w:lineRule="exact"/>
              <w:rPr>
                <w:rFonts w:ascii="宋体" w:hAnsi="宋体"/>
                <w:bCs/>
                <w:color w:val="000000" w:themeColor="text1"/>
                <w14:textFill>
                  <w14:solidFill>
                    <w14:schemeClr w14:val="tx1"/>
                  </w14:solidFill>
                </w14:textFill>
              </w:rPr>
            </w:pPr>
          </w:p>
        </w:tc>
        <w:tc>
          <w:tcPr>
            <w:tcW w:w="1518" w:type="dxa"/>
          </w:tcPr>
          <w:p>
            <w:pPr>
              <w:spacing w:line="460" w:lineRule="exact"/>
              <w:rPr>
                <w:rFonts w:ascii="宋体" w:hAnsi="宋体"/>
                <w:bCs/>
                <w:color w:val="000000" w:themeColor="text1"/>
                <w14:textFill>
                  <w14:solidFill>
                    <w14:schemeClr w14:val="tx1"/>
                  </w14:solidFill>
                </w14:textFill>
              </w:rPr>
            </w:pPr>
          </w:p>
        </w:tc>
        <w:tc>
          <w:tcPr>
            <w:tcW w:w="1583" w:type="dxa"/>
          </w:tcPr>
          <w:p>
            <w:pPr>
              <w:spacing w:line="460" w:lineRule="exact"/>
              <w:rPr>
                <w:rFonts w:ascii="宋体" w:hAnsi="宋体"/>
                <w:bCs/>
                <w:color w:val="000000" w:themeColor="text1"/>
                <w14:textFill>
                  <w14:solidFill>
                    <w14:schemeClr w14:val="tx1"/>
                  </w14:solidFill>
                </w14:textFill>
              </w:rPr>
            </w:pPr>
          </w:p>
        </w:tc>
        <w:tc>
          <w:tcPr>
            <w:tcW w:w="1607" w:type="dxa"/>
          </w:tcPr>
          <w:p>
            <w:pPr>
              <w:spacing w:line="460" w:lineRule="exact"/>
              <w:rPr>
                <w:rFonts w:ascii="宋体" w:hAnsi="宋体"/>
                <w:bCs/>
                <w:color w:val="000000" w:themeColor="text1"/>
                <w14:textFill>
                  <w14:solidFill>
                    <w14:schemeClr w14:val="tx1"/>
                  </w14:solidFill>
                </w14:textFill>
              </w:rPr>
            </w:pPr>
          </w:p>
        </w:tc>
      </w:tr>
    </w:tbl>
    <w:p>
      <w:pPr>
        <w:spacing w:line="460" w:lineRule="exact"/>
        <w:ind w:firstLine="48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我们保证上述声明中的资料和数据是真实的、正确的，我们同意如贵方要求，可以出示相关证明文件。</w:t>
      </w:r>
    </w:p>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授权代表（签字）：</w:t>
      </w:r>
    </w:p>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授权代表的职务：</w:t>
      </w:r>
    </w:p>
    <w:p>
      <w:pPr>
        <w:spacing w:line="46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电话号和传真号：</w:t>
      </w:r>
    </w:p>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投标人（公章）：</w:t>
      </w:r>
    </w:p>
    <w:p>
      <w:pPr>
        <w:spacing w:line="460" w:lineRule="exact"/>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法定代表人（签字或盖章）：</w:t>
      </w:r>
    </w:p>
    <w:p>
      <w:pPr>
        <w:spacing w:line="560" w:lineRule="exact"/>
        <w:rPr>
          <w:rFonts w:ascii="宋体" w:hAnsi="宋体"/>
          <w:b/>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日期：年月日</w:t>
      </w:r>
    </w:p>
    <w:p>
      <w:pPr>
        <w:pStyle w:val="148"/>
        <w:tabs>
          <w:tab w:val="left" w:pos="5665"/>
          <w:tab w:val="right" w:pos="8360"/>
        </w:tabs>
        <w:wordWrap w:val="0"/>
        <w:ind w:right="42"/>
        <w:jc w:val="center"/>
        <w:rPr>
          <w:rFonts w:hAnsi="宋体"/>
          <w:b/>
          <w:bCs/>
          <w:color w:val="000000" w:themeColor="text1"/>
          <w14:textFill>
            <w14:solidFill>
              <w14:schemeClr w14:val="tx1"/>
            </w14:solidFill>
          </w14:textFill>
        </w:rPr>
        <w:sectPr>
          <w:footerReference r:id="rId7" w:type="first"/>
          <w:footerReference r:id="rId6" w:type="default"/>
          <w:pgSz w:w="11906" w:h="16838"/>
          <w:pgMar w:top="1418" w:right="1588" w:bottom="1418" w:left="1365" w:header="851" w:footer="907" w:gutter="0"/>
          <w:pgNumType w:start="1"/>
          <w:cols w:space="720" w:num="1"/>
          <w:titlePg/>
          <w:docGrid w:type="lines" w:linePitch="290" w:charSpace="0"/>
        </w:sectPr>
      </w:pPr>
    </w:p>
    <w:p>
      <w:pPr>
        <w:pStyle w:val="4"/>
        <w:pageBreakBefore/>
        <w:rPr>
          <w:rFonts w:hint="default"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olor w:val="000000" w:themeColor="text1"/>
          <w14:textFill>
            <w14:solidFill>
              <w14:schemeClr w14:val="tx1"/>
            </w14:solidFill>
          </w14:textFill>
        </w:rPr>
      </w:pPr>
      <w:bookmarkStart w:id="58" w:name="_Toc5293"/>
      <w:bookmarkStart w:id="59" w:name="_Toc9130"/>
      <w:r>
        <w:rPr>
          <w:rFonts w:hint="eastAsia" w:ascii="宋体" w:hAnsi="宋体"/>
          <w:color w:val="000000" w:themeColor="text1"/>
          <w14:textFill>
            <w14:solidFill>
              <w14:schemeClr w14:val="tx1"/>
            </w14:solidFill>
          </w14:textFill>
        </w:rPr>
        <w:t>附件：1、中小企业声明函（工程、服务）</w:t>
      </w:r>
      <w:bookmarkEnd w:id="58"/>
      <w:bookmarkEnd w:id="59"/>
    </w:p>
    <w:p>
      <w:pPr>
        <w:spacing w:line="360" w:lineRule="auto"/>
        <w:ind w:firstLine="420" w:firstLineChars="200"/>
        <w:outlineLvl w:val="0"/>
        <w:rPr>
          <w:rFonts w:ascii="宋体" w:hAnsi="宋体"/>
          <w:color w:val="000000" w:themeColor="text1"/>
          <w14:textFill>
            <w14:solidFill>
              <w14:schemeClr w14:val="tx1"/>
            </w14:solidFill>
          </w14:textFill>
        </w:rPr>
      </w:pPr>
      <w:bookmarkStart w:id="60" w:name="_Toc28721"/>
      <w:bookmarkStart w:id="61" w:name="_Toc13057"/>
      <w:r>
        <w:rPr>
          <w:rFonts w:hint="eastAsia" w:ascii="宋体" w:hAnsi="宋体"/>
          <w:color w:val="000000" w:themeColor="text1"/>
          <w14:textFill>
            <w14:solidFill>
              <w14:schemeClr w14:val="tx1"/>
            </w14:solidFill>
          </w14:textFill>
        </w:rPr>
        <w:t>附件：2、中小企业声明函（货物）</w:t>
      </w:r>
      <w:bookmarkEnd w:id="60"/>
      <w:bookmarkEnd w:id="61"/>
    </w:p>
    <w:p>
      <w:pPr>
        <w:spacing w:line="360" w:lineRule="auto"/>
        <w:ind w:firstLine="420" w:firstLineChars="200"/>
        <w:outlineLvl w:val="0"/>
        <w:rPr>
          <w:rFonts w:ascii="宋体" w:hAnsi="宋体"/>
          <w:color w:val="000000" w:themeColor="text1"/>
          <w14:textFill>
            <w14:solidFill>
              <w14:schemeClr w14:val="tx1"/>
            </w14:solidFill>
          </w14:textFill>
        </w:rPr>
      </w:pPr>
      <w:bookmarkStart w:id="62" w:name="_Toc17103"/>
      <w:bookmarkStart w:id="63" w:name="_Toc16484"/>
      <w:r>
        <w:rPr>
          <w:rFonts w:hint="eastAsia" w:ascii="宋体" w:hAnsi="宋体"/>
          <w:color w:val="000000" w:themeColor="text1"/>
          <w14:textFill>
            <w14:solidFill>
              <w14:schemeClr w14:val="tx1"/>
            </w14:solidFill>
          </w14:textFill>
        </w:rPr>
        <w:t>附件：3、《残疾人福利性单位声明函》（格式）</w:t>
      </w:r>
      <w:bookmarkEnd w:id="62"/>
      <w:bookmarkEnd w:id="63"/>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b/>
          <w:color w:val="000000" w:themeColor="text1"/>
          <w14:textFill>
            <w14:solidFill>
              <w14:schemeClr w14:val="tx1"/>
            </w14:solidFill>
          </w14:textFill>
        </w:rPr>
      </w:pPr>
    </w:p>
    <w:p>
      <w:pPr>
        <w:pStyle w:val="9"/>
        <w:ind w:firstLine="562"/>
        <w:rPr>
          <w:rFonts w:ascii="宋体" w:hAnsi="宋体" w:eastAsia="宋体"/>
          <w:b/>
          <w:color w:val="000000" w:themeColor="text1"/>
          <w14:textFill>
            <w14:solidFill>
              <w14:schemeClr w14:val="tx1"/>
            </w14:solidFill>
          </w14:textFill>
        </w:rPr>
      </w:pPr>
    </w:p>
    <w:p>
      <w:pPr>
        <w:pStyle w:val="9"/>
        <w:ind w:firstLine="562"/>
        <w:rPr>
          <w:rFonts w:ascii="宋体" w:hAnsi="宋体" w:eastAsia="宋体"/>
          <w:b/>
          <w:color w:val="000000" w:themeColor="text1"/>
          <w14:textFill>
            <w14:solidFill>
              <w14:schemeClr w14:val="tx1"/>
            </w14:solidFill>
          </w14:textFill>
        </w:rPr>
      </w:pPr>
    </w:p>
    <w:p>
      <w:pPr>
        <w:pStyle w:val="9"/>
        <w:ind w:firstLine="562"/>
        <w:rPr>
          <w:rFonts w:ascii="宋体" w:hAnsi="宋体" w:eastAsia="宋体"/>
          <w:b/>
          <w:color w:val="000000" w:themeColor="text1"/>
          <w14:textFill>
            <w14:solidFill>
              <w14:schemeClr w14:val="tx1"/>
            </w14:solidFill>
          </w14:textFill>
        </w:rPr>
      </w:pPr>
    </w:p>
    <w:p>
      <w:pPr>
        <w:pStyle w:val="10"/>
        <w:rPr>
          <w:rFonts w:ascii="宋体" w:hAnsi="宋体"/>
          <w:b/>
          <w:color w:val="000000" w:themeColor="text1"/>
          <w14:textFill>
            <w14:solidFill>
              <w14:schemeClr w14:val="tx1"/>
            </w14:solidFill>
          </w14:textFill>
        </w:rPr>
      </w:pPr>
    </w:p>
    <w:p>
      <w:pPr>
        <w:pStyle w:val="10"/>
        <w:rPr>
          <w:rFonts w:ascii="宋体" w:hAnsi="宋体"/>
          <w:b/>
          <w:color w:val="000000" w:themeColor="text1"/>
          <w14:textFill>
            <w14:solidFill>
              <w14:schemeClr w14:val="tx1"/>
            </w14:solidFill>
          </w14:textFill>
        </w:rPr>
      </w:pPr>
    </w:p>
    <w:p>
      <w:pPr>
        <w:pStyle w:val="10"/>
        <w:rPr>
          <w:rFonts w:ascii="宋体" w:hAnsi="宋体"/>
          <w:b/>
          <w:color w:val="000000" w:themeColor="text1"/>
          <w14:textFill>
            <w14:solidFill>
              <w14:schemeClr w14:val="tx1"/>
            </w14:solidFill>
          </w14:textFill>
        </w:rPr>
      </w:pPr>
    </w:p>
    <w:p>
      <w:pPr>
        <w:pStyle w:val="10"/>
        <w:rPr>
          <w:rFonts w:ascii="宋体" w:hAnsi="宋体"/>
          <w:b/>
          <w:color w:val="000000" w:themeColor="text1"/>
          <w14:textFill>
            <w14:solidFill>
              <w14:schemeClr w14:val="tx1"/>
            </w14:solidFill>
          </w14:textFill>
        </w:rPr>
      </w:pPr>
    </w:p>
    <w:p>
      <w:pPr>
        <w:pStyle w:val="10"/>
        <w:rPr>
          <w:rFonts w:ascii="宋体" w:hAnsi="宋体"/>
          <w:b/>
          <w:color w:val="000000" w:themeColor="text1"/>
          <w14:textFill>
            <w14:solidFill>
              <w14:schemeClr w14:val="tx1"/>
            </w14:solidFill>
          </w14:textFill>
        </w:rPr>
      </w:pPr>
    </w:p>
    <w:p>
      <w:pPr>
        <w:pStyle w:val="10"/>
        <w:rPr>
          <w:rFonts w:ascii="宋体" w:hAnsi="宋体"/>
          <w:b/>
          <w:color w:val="000000" w:themeColor="text1"/>
          <w14:textFill>
            <w14:solidFill>
              <w14:schemeClr w14:val="tx1"/>
            </w14:solidFill>
          </w14:textFill>
        </w:rPr>
      </w:pPr>
    </w:p>
    <w:p>
      <w:pPr>
        <w:spacing w:line="560" w:lineRule="exact"/>
        <w:rPr>
          <w:rFonts w:ascii="宋体" w:hAnsi="宋体"/>
          <w:b/>
          <w:color w:val="000000" w:themeColor="text1"/>
          <w:sz w:val="24"/>
          <w:szCs w:val="24"/>
          <w14:textFill>
            <w14:solidFill>
              <w14:schemeClr w14:val="tx1"/>
            </w14:solidFill>
          </w14:textFill>
        </w:rPr>
      </w:pPr>
    </w:p>
    <w:p>
      <w:pPr>
        <w:spacing w:line="560" w:lineRule="exact"/>
        <w:outlineLvl w:val="0"/>
        <w:rPr>
          <w:rFonts w:ascii="宋体" w:hAnsi="宋体"/>
          <w:b/>
          <w:bCs/>
          <w:color w:val="000000" w:themeColor="text1"/>
          <w:sz w:val="24"/>
          <w:szCs w:val="24"/>
          <w14:textFill>
            <w14:solidFill>
              <w14:schemeClr w14:val="tx1"/>
            </w14:solidFill>
          </w14:textFill>
        </w:rPr>
      </w:pPr>
      <w:bookmarkStart w:id="64" w:name="_Toc2719"/>
      <w:bookmarkStart w:id="65" w:name="_Toc32181"/>
      <w:r>
        <w:rPr>
          <w:rFonts w:hint="eastAsia" w:ascii="宋体" w:hAnsi="宋体"/>
          <w:b/>
          <w:color w:val="000000" w:themeColor="text1"/>
          <w:sz w:val="24"/>
          <w:szCs w:val="24"/>
          <w14:textFill>
            <w14:solidFill>
              <w14:schemeClr w14:val="tx1"/>
            </w14:solidFill>
          </w14:textFill>
        </w:rPr>
        <w:t>附件：1、</w:t>
      </w:r>
      <w:r>
        <w:rPr>
          <w:rFonts w:hint="eastAsia" w:ascii="宋体" w:hAnsi="宋体"/>
          <w:b/>
          <w:bCs/>
          <w:color w:val="000000" w:themeColor="text1"/>
          <w:sz w:val="24"/>
          <w:szCs w:val="24"/>
          <w14:textFill>
            <w14:solidFill>
              <w14:schemeClr w14:val="tx1"/>
            </w14:solidFill>
          </w14:textFill>
        </w:rPr>
        <w:t>中小企业声明函（工程、服务）</w:t>
      </w:r>
      <w:bookmarkEnd w:id="64"/>
      <w:bookmarkEnd w:id="65"/>
    </w:p>
    <w:p>
      <w:pPr>
        <w:pStyle w:val="2"/>
        <w:rPr>
          <w:color w:val="000000" w:themeColor="text1"/>
          <w14:textFill>
            <w14:solidFill>
              <w14:schemeClr w14:val="tx1"/>
            </w14:solidFill>
          </w14:textFill>
        </w:rPr>
      </w:pPr>
    </w:p>
    <w:p>
      <w:pPr>
        <w:spacing w:line="560" w:lineRule="exac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中小企业声明函（工程、服务）</w:t>
      </w:r>
    </w:p>
    <w:p>
      <w:pPr>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i/>
          <w:iCs/>
          <w:color w:val="000000" w:themeColor="text1"/>
          <w:sz w:val="24"/>
          <w:szCs w:val="24"/>
          <w:u w:val="single"/>
          <w14:textFill>
            <w14:solidFill>
              <w14:schemeClr w14:val="tx1"/>
            </w14:solidFill>
          </w14:textFill>
        </w:rPr>
        <w:t xml:space="preserve">（标的名称） </w:t>
      </w:r>
      <w:r>
        <w:rPr>
          <w:rFonts w:hint="eastAsia" w:ascii="宋体" w:hAnsi="宋体"/>
          <w:color w:val="000000" w:themeColor="text1"/>
          <w:sz w:val="24"/>
          <w:szCs w:val="24"/>
          <w14:textFill>
            <w14:solidFill>
              <w14:schemeClr w14:val="tx1"/>
            </w14:solidFill>
          </w14:textFill>
        </w:rPr>
        <w:t>，属于</w:t>
      </w:r>
      <w:r>
        <w:rPr>
          <w:rFonts w:hint="eastAsia" w:ascii="宋体" w:hAnsi="宋体"/>
          <w:b w:val="0"/>
          <w:bCs/>
          <w:color w:val="000000" w:themeColor="text1"/>
          <w:sz w:val="24"/>
          <w:szCs w:val="24"/>
          <w:u w:val="single"/>
          <w14:textFill>
            <w14:solidFill>
              <w14:schemeClr w14:val="tx1"/>
            </w14:solidFill>
          </w14:textFill>
        </w:rPr>
        <w:t>软件和信息技术服务业</w:t>
      </w:r>
      <w:r>
        <w:rPr>
          <w:rFonts w:hint="eastAsia" w:ascii="宋体" w:hAnsi="宋体"/>
          <w:color w:val="000000" w:themeColor="text1"/>
          <w:sz w:val="24"/>
          <w:szCs w:val="24"/>
          <w14:textFill>
            <w14:solidFill>
              <w14:schemeClr w14:val="tx1"/>
            </w14:solidFill>
          </w14:textFill>
        </w:rPr>
        <w:t>行业；制造商为</w:t>
      </w:r>
      <w:r>
        <w:rPr>
          <w:rFonts w:hint="eastAsia" w:ascii="宋体" w:hAnsi="宋体"/>
          <w:i/>
          <w:iCs/>
          <w:color w:val="000000" w:themeColor="text1"/>
          <w:sz w:val="24"/>
          <w:szCs w:val="24"/>
          <w:u w:val="single"/>
          <w14:textFill>
            <w14:solidFill>
              <w14:schemeClr w14:val="tx1"/>
            </w14:solidFill>
          </w14:textFill>
        </w:rPr>
        <w:t>（企业名称）</w:t>
      </w:r>
      <w:r>
        <w:rPr>
          <w:rFonts w:hint="eastAsia" w:ascii="宋体" w:hAnsi="宋体"/>
          <w:color w:val="000000" w:themeColor="text1"/>
          <w:sz w:val="24"/>
          <w:szCs w:val="24"/>
          <w14:textFill>
            <w14:solidFill>
              <w14:schemeClr w14:val="tx1"/>
            </w14:solidFill>
          </w14:textFill>
        </w:rPr>
        <w:t>，从业人员人，营业收入为万元，资产总额为万元，属于</w:t>
      </w:r>
      <w:r>
        <w:rPr>
          <w:rFonts w:hint="eastAsia" w:ascii="宋体" w:hAnsi="宋体"/>
          <w:i/>
          <w:iCs/>
          <w:color w:val="000000" w:themeColor="text1"/>
          <w:sz w:val="24"/>
          <w:szCs w:val="24"/>
          <w:u w:val="single"/>
          <w14:textFill>
            <w14:solidFill>
              <w14:schemeClr w14:val="tx1"/>
            </w14:solidFill>
          </w14:textFill>
        </w:rPr>
        <w:t>（中型企业、小型企业、微型企业）</w:t>
      </w:r>
      <w:r>
        <w:rPr>
          <w:rFonts w:hint="eastAsia" w:ascii="宋体" w:hAnsi="宋体"/>
          <w:color w:val="000000" w:themeColor="text1"/>
          <w:sz w:val="24"/>
          <w:szCs w:val="24"/>
          <w14:textFill>
            <w14:solidFill>
              <w14:schemeClr w14:val="tx1"/>
            </w14:solidFill>
          </w14:textFill>
        </w:rPr>
        <w:t>；</w:t>
      </w:r>
    </w:p>
    <w:p>
      <w:pPr>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i/>
          <w:iCs/>
          <w:color w:val="000000" w:themeColor="text1"/>
          <w:sz w:val="24"/>
          <w:szCs w:val="24"/>
          <w14:textFill>
            <w14:solidFill>
              <w14:schemeClr w14:val="tx1"/>
            </w14:solidFill>
          </w14:textFill>
        </w:rPr>
        <w:t>2.</w:t>
      </w:r>
      <w:r>
        <w:rPr>
          <w:rFonts w:hint="eastAsia" w:ascii="宋体" w:hAnsi="宋体"/>
          <w:i/>
          <w:iCs/>
          <w:color w:val="000000" w:themeColor="text1"/>
          <w:sz w:val="24"/>
          <w:szCs w:val="24"/>
          <w:u w:val="single"/>
          <w14:textFill>
            <w14:solidFill>
              <w14:schemeClr w14:val="tx1"/>
            </w14:solidFill>
          </w14:textFill>
        </w:rPr>
        <w:t xml:space="preserve">（标的名称） </w:t>
      </w:r>
      <w:r>
        <w:rPr>
          <w:rFonts w:hint="eastAsia" w:ascii="宋体" w:hAnsi="宋体"/>
          <w:color w:val="000000" w:themeColor="text1"/>
          <w:sz w:val="24"/>
          <w:szCs w:val="24"/>
          <w14:textFill>
            <w14:solidFill>
              <w14:schemeClr w14:val="tx1"/>
            </w14:solidFill>
          </w14:textFill>
        </w:rPr>
        <w:t>，属于</w:t>
      </w:r>
      <w:r>
        <w:rPr>
          <w:rFonts w:hint="eastAsia" w:ascii="宋体" w:hAnsi="宋体"/>
          <w:b w:val="0"/>
          <w:bCs/>
          <w:color w:val="000000" w:themeColor="text1"/>
          <w:sz w:val="24"/>
          <w:szCs w:val="24"/>
          <w:u w:val="single"/>
          <w14:textFill>
            <w14:solidFill>
              <w14:schemeClr w14:val="tx1"/>
            </w14:solidFill>
          </w14:textFill>
        </w:rPr>
        <w:t>软件和信息技术服务业</w:t>
      </w:r>
      <w:r>
        <w:rPr>
          <w:rFonts w:hint="eastAsia" w:ascii="宋体" w:hAnsi="宋体"/>
          <w:color w:val="000000" w:themeColor="text1"/>
          <w:sz w:val="24"/>
          <w:szCs w:val="24"/>
          <w14:textFill>
            <w14:solidFill>
              <w14:schemeClr w14:val="tx1"/>
            </w14:solidFill>
          </w14:textFill>
        </w:rPr>
        <w:t>行业；制造商为</w:t>
      </w:r>
      <w:r>
        <w:rPr>
          <w:rFonts w:hint="eastAsia" w:ascii="宋体" w:hAnsi="宋体"/>
          <w:i/>
          <w:iCs/>
          <w:color w:val="000000" w:themeColor="text1"/>
          <w:sz w:val="24"/>
          <w:szCs w:val="24"/>
          <w:u w:val="single"/>
          <w14:textFill>
            <w14:solidFill>
              <w14:schemeClr w14:val="tx1"/>
            </w14:solidFill>
          </w14:textFill>
        </w:rPr>
        <w:t>（企业名称）</w:t>
      </w:r>
      <w:r>
        <w:rPr>
          <w:rFonts w:hint="eastAsia" w:ascii="宋体" w:hAnsi="宋体"/>
          <w:color w:val="000000" w:themeColor="text1"/>
          <w:sz w:val="24"/>
          <w:szCs w:val="24"/>
          <w14:textFill>
            <w14:solidFill>
              <w14:schemeClr w14:val="tx1"/>
            </w14:solidFill>
          </w14:textFill>
        </w:rPr>
        <w:t>，从业人员人，营业收入为万元，资产总额为万元，属于</w:t>
      </w:r>
      <w:r>
        <w:rPr>
          <w:rFonts w:hint="eastAsia" w:ascii="宋体" w:hAnsi="宋体"/>
          <w:i/>
          <w:iCs/>
          <w:color w:val="000000" w:themeColor="text1"/>
          <w:sz w:val="24"/>
          <w:szCs w:val="24"/>
          <w:u w:val="single"/>
          <w14:textFill>
            <w14:solidFill>
              <w14:schemeClr w14:val="tx1"/>
            </w14:solidFill>
          </w14:textFill>
        </w:rPr>
        <w:t>（中型企业、小型企业、微型企业）</w:t>
      </w:r>
      <w:r>
        <w:rPr>
          <w:rFonts w:hint="eastAsia" w:ascii="宋体" w:hAnsi="宋体"/>
          <w:color w:val="000000" w:themeColor="text1"/>
          <w:sz w:val="24"/>
          <w:szCs w:val="24"/>
          <w14:textFill>
            <w14:solidFill>
              <w14:schemeClr w14:val="tx1"/>
            </w14:solidFill>
          </w14:textFill>
        </w:rPr>
        <w:t>；</w:t>
      </w:r>
    </w:p>
    <w:p>
      <w:pPr>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p>
    <w:p>
      <w:pPr>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pPr>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本企业对上述声明内容的真实性负责。如有虚假，将依法承担相应责任。</w:t>
      </w:r>
    </w:p>
    <w:p>
      <w:pPr>
        <w:ind w:firstLine="4080" w:firstLineChars="17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企业名称（盖章）：</w:t>
      </w:r>
    </w:p>
    <w:p>
      <w:pPr>
        <w:ind w:firstLine="4080" w:firstLineChars="17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日期：</w:t>
      </w:r>
    </w:p>
    <w:p>
      <w:pPr>
        <w:jc w:val="left"/>
        <w:rPr>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从业人员、营业收入、资产总额填报上一年度数据，无上一年度数据的新成立企业可不填报。</w:t>
      </w:r>
    </w:p>
    <w:p>
      <w:pPr>
        <w:spacing w:line="360" w:lineRule="auto"/>
        <w:ind w:firstLine="3045" w:firstLineChars="1450"/>
        <w:rPr>
          <w:rFonts w:ascii="宋体" w:hAnsi="宋体"/>
          <w:color w:val="000000" w:themeColor="text1"/>
          <w:u w:val="single"/>
          <w14:textFill>
            <w14:solidFill>
              <w14:schemeClr w14:val="tx1"/>
            </w14:solidFill>
          </w14:textFill>
        </w:rPr>
      </w:pPr>
    </w:p>
    <w:p>
      <w:pPr>
        <w:spacing w:line="360" w:lineRule="auto"/>
        <w:ind w:firstLine="3045" w:firstLineChars="1450"/>
        <w:rPr>
          <w:rFonts w:ascii="宋体" w:hAnsi="宋体"/>
          <w:color w:val="000000" w:themeColor="text1"/>
          <w:u w:val="single"/>
          <w14:textFill>
            <w14:solidFill>
              <w14:schemeClr w14:val="tx1"/>
            </w14:solidFill>
          </w14:textFill>
        </w:rPr>
      </w:pPr>
    </w:p>
    <w:p>
      <w:pPr>
        <w:spacing w:line="360" w:lineRule="auto"/>
        <w:rPr>
          <w:rFonts w:ascii="宋体" w:hAnsi="宋体"/>
          <w:color w:val="000000" w:themeColor="text1"/>
          <w:kern w:val="0"/>
          <w:sz w:val="24"/>
          <w:szCs w:val="24"/>
          <w14:textFill>
            <w14:solidFill>
              <w14:schemeClr w14:val="tx1"/>
            </w14:solidFill>
          </w14:textFill>
        </w:rPr>
      </w:pPr>
    </w:p>
    <w:p>
      <w:pPr>
        <w:spacing w:line="560" w:lineRule="exact"/>
        <w:outlineLvl w:val="0"/>
        <w:rPr>
          <w:rFonts w:ascii="宋体" w:hAnsi="宋体"/>
          <w:b/>
          <w:bCs/>
          <w:color w:val="000000" w:themeColor="text1"/>
          <w:sz w:val="24"/>
          <w:szCs w:val="24"/>
          <w14:textFill>
            <w14:solidFill>
              <w14:schemeClr w14:val="tx1"/>
            </w14:solidFill>
          </w14:textFill>
        </w:rPr>
      </w:pPr>
      <w:bookmarkStart w:id="66" w:name="_Toc19971"/>
      <w:bookmarkStart w:id="67" w:name="_Toc9954"/>
      <w:bookmarkStart w:id="68" w:name="_Toc515647824"/>
      <w:bookmarkStart w:id="69" w:name="_Toc10977"/>
      <w:bookmarkStart w:id="70" w:name="_Toc13776"/>
      <w:bookmarkStart w:id="71" w:name="_Toc11803"/>
      <w:r>
        <w:rPr>
          <w:rFonts w:hint="eastAsia" w:ascii="宋体" w:hAnsi="宋体"/>
          <w:b/>
          <w:color w:val="000000" w:themeColor="text1"/>
          <w:sz w:val="24"/>
          <w:szCs w:val="24"/>
          <w14:textFill>
            <w14:solidFill>
              <w14:schemeClr w14:val="tx1"/>
            </w14:solidFill>
          </w14:textFill>
        </w:rPr>
        <w:t>附件：2、</w:t>
      </w:r>
      <w:r>
        <w:rPr>
          <w:rFonts w:hint="eastAsia" w:ascii="宋体" w:hAnsi="宋体"/>
          <w:b/>
          <w:bCs/>
          <w:color w:val="000000" w:themeColor="text1"/>
          <w:sz w:val="24"/>
          <w:szCs w:val="24"/>
          <w14:textFill>
            <w14:solidFill>
              <w14:schemeClr w14:val="tx1"/>
            </w14:solidFill>
          </w14:textFill>
        </w:rPr>
        <w:t>中小企业声明函（货物）</w:t>
      </w:r>
      <w:bookmarkEnd w:id="66"/>
      <w:bookmarkEnd w:id="67"/>
    </w:p>
    <w:p>
      <w:pPr>
        <w:pStyle w:val="21"/>
        <w:ind w:firstLine="482"/>
        <w:rPr>
          <w:b/>
          <w:bCs/>
          <w:color w:val="000000" w:themeColor="text1"/>
          <w:sz w:val="24"/>
          <w:szCs w:val="24"/>
          <w14:textFill>
            <w14:solidFill>
              <w14:schemeClr w14:val="tx1"/>
            </w14:solidFill>
          </w14:textFill>
        </w:rPr>
      </w:pPr>
    </w:p>
    <w:p>
      <w:pPr>
        <w:pStyle w:val="21"/>
        <w:ind w:firstLine="482"/>
        <w:rPr>
          <w:b/>
          <w:bCs/>
          <w:color w:val="000000" w:themeColor="text1"/>
          <w:sz w:val="24"/>
          <w:szCs w:val="24"/>
          <w14:textFill>
            <w14:solidFill>
              <w14:schemeClr w14:val="tx1"/>
            </w14:solidFill>
          </w14:textFill>
        </w:rPr>
      </w:pPr>
    </w:p>
    <w:bookmarkEnd w:id="68"/>
    <w:bookmarkEnd w:id="69"/>
    <w:bookmarkEnd w:id="70"/>
    <w:bookmarkEnd w:id="71"/>
    <w:p>
      <w:pPr>
        <w:spacing w:line="560" w:lineRule="exac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中小企业声明函（货物）</w:t>
      </w:r>
    </w:p>
    <w:p>
      <w:pPr>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i/>
          <w:iCs/>
          <w:color w:val="000000" w:themeColor="text1"/>
          <w:sz w:val="24"/>
          <w:szCs w:val="24"/>
          <w:u w:val="single"/>
          <w14:textFill>
            <w14:solidFill>
              <w14:schemeClr w14:val="tx1"/>
            </w14:solidFill>
          </w14:textFill>
        </w:rPr>
        <w:t>（单位名称）</w:t>
      </w:r>
      <w:r>
        <w:rPr>
          <w:rFonts w:hint="eastAsia" w:ascii="宋体" w:hAnsi="宋体"/>
          <w:color w:val="000000" w:themeColor="text1"/>
          <w:sz w:val="24"/>
          <w:szCs w:val="24"/>
          <w14:textFill>
            <w14:solidFill>
              <w14:schemeClr w14:val="tx1"/>
            </w14:solidFill>
          </w14:textFill>
        </w:rPr>
        <w:t>的</w:t>
      </w:r>
      <w:r>
        <w:rPr>
          <w:rFonts w:hint="eastAsia" w:ascii="宋体" w:hAnsi="宋体"/>
          <w:i/>
          <w:iCs/>
          <w:color w:val="000000" w:themeColor="text1"/>
          <w:sz w:val="24"/>
          <w:szCs w:val="24"/>
          <w:u w:val="single"/>
          <w14:textFill>
            <w14:solidFill>
              <w14:schemeClr w14:val="tx1"/>
            </w14:solidFill>
          </w14:textFill>
        </w:rPr>
        <w:t>（项目名称）</w:t>
      </w:r>
      <w:r>
        <w:rPr>
          <w:rFonts w:hint="eastAsia" w:ascii="宋体" w:hAnsi="宋体"/>
          <w:color w:val="000000" w:themeColor="text1"/>
          <w:sz w:val="24"/>
          <w:szCs w:val="24"/>
          <w14:textFill>
            <w14:solidFill>
              <w14:schemeClr w14:val="tx1"/>
            </w14:solidFill>
          </w14:textFill>
        </w:rPr>
        <w:t>采购活动，提供的货物全部由符合政策要求的中小企业制造。相关企业（含联合体中的中小企业、签订分包意向协议的中小企业）的具体情况如下：</w:t>
      </w:r>
    </w:p>
    <w:p>
      <w:pPr>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i/>
          <w:iCs/>
          <w:color w:val="000000" w:themeColor="text1"/>
          <w:sz w:val="24"/>
          <w:szCs w:val="24"/>
          <w:u w:val="single"/>
          <w14:textFill>
            <w14:solidFill>
              <w14:schemeClr w14:val="tx1"/>
            </w14:solidFill>
          </w14:textFill>
        </w:rPr>
        <w:t xml:space="preserve">（标的名称） </w:t>
      </w:r>
      <w:r>
        <w:rPr>
          <w:rFonts w:hint="eastAsia" w:ascii="宋体" w:hAnsi="宋体"/>
          <w:color w:val="000000" w:themeColor="text1"/>
          <w:sz w:val="24"/>
          <w:szCs w:val="24"/>
          <w14:textFill>
            <w14:solidFill>
              <w14:schemeClr w14:val="tx1"/>
            </w14:solidFill>
          </w14:textFill>
        </w:rPr>
        <w:t>，属于</w:t>
      </w:r>
      <w:r>
        <w:rPr>
          <w:rFonts w:hint="eastAsia" w:ascii="宋体" w:hAnsi="宋体"/>
          <w:b w:val="0"/>
          <w:bCs/>
          <w:color w:val="000000" w:themeColor="text1"/>
          <w:sz w:val="24"/>
          <w:szCs w:val="24"/>
          <w:u w:val="single"/>
          <w14:textFill>
            <w14:solidFill>
              <w14:schemeClr w14:val="tx1"/>
            </w14:solidFill>
          </w14:textFill>
        </w:rPr>
        <w:t>软件和信息技术服务业</w:t>
      </w:r>
      <w:r>
        <w:rPr>
          <w:rFonts w:hint="eastAsia" w:ascii="宋体" w:hAnsi="宋体"/>
          <w:color w:val="000000" w:themeColor="text1"/>
          <w:sz w:val="24"/>
          <w:szCs w:val="24"/>
          <w14:textFill>
            <w14:solidFill>
              <w14:schemeClr w14:val="tx1"/>
            </w14:solidFill>
          </w14:textFill>
        </w:rPr>
        <w:t>行业；制造商为</w:t>
      </w:r>
      <w:r>
        <w:rPr>
          <w:rFonts w:hint="eastAsia" w:ascii="宋体" w:hAnsi="宋体"/>
          <w:i/>
          <w:iCs/>
          <w:color w:val="000000" w:themeColor="text1"/>
          <w:sz w:val="24"/>
          <w:szCs w:val="24"/>
          <w:u w:val="single"/>
          <w14:textFill>
            <w14:solidFill>
              <w14:schemeClr w14:val="tx1"/>
            </w14:solidFill>
          </w14:textFill>
        </w:rPr>
        <w:t>（企业名称）</w:t>
      </w:r>
      <w:r>
        <w:rPr>
          <w:rFonts w:hint="eastAsia" w:ascii="宋体" w:hAnsi="宋体"/>
          <w:color w:val="000000" w:themeColor="text1"/>
          <w:sz w:val="24"/>
          <w:szCs w:val="24"/>
          <w14:textFill>
            <w14:solidFill>
              <w14:schemeClr w14:val="tx1"/>
            </w14:solidFill>
          </w14:textFill>
        </w:rPr>
        <w:t>，从业人员人，营业收入为万元，资产总额为万元，属于</w:t>
      </w:r>
      <w:r>
        <w:rPr>
          <w:rFonts w:hint="eastAsia" w:ascii="宋体" w:hAnsi="宋体"/>
          <w:i/>
          <w:iCs/>
          <w:color w:val="000000" w:themeColor="text1"/>
          <w:sz w:val="24"/>
          <w:szCs w:val="24"/>
          <w:u w:val="single"/>
          <w14:textFill>
            <w14:solidFill>
              <w14:schemeClr w14:val="tx1"/>
            </w14:solidFill>
          </w14:textFill>
        </w:rPr>
        <w:t>（中型企业、小型企业、微型企业）</w:t>
      </w:r>
      <w:r>
        <w:rPr>
          <w:rFonts w:hint="eastAsia" w:ascii="宋体" w:hAnsi="宋体"/>
          <w:color w:val="000000" w:themeColor="text1"/>
          <w:sz w:val="24"/>
          <w:szCs w:val="24"/>
          <w14:textFill>
            <w14:solidFill>
              <w14:schemeClr w14:val="tx1"/>
            </w14:solidFill>
          </w14:textFill>
        </w:rPr>
        <w:t>；</w:t>
      </w:r>
    </w:p>
    <w:p>
      <w:pPr>
        <w:numPr>
          <w:ilvl w:val="0"/>
          <w:numId w:val="73"/>
        </w:numPr>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i/>
          <w:iCs/>
          <w:color w:val="000000" w:themeColor="text1"/>
          <w:sz w:val="24"/>
          <w:szCs w:val="24"/>
          <w:u w:val="single"/>
          <w14:textFill>
            <w14:solidFill>
              <w14:schemeClr w14:val="tx1"/>
            </w14:solidFill>
          </w14:textFill>
        </w:rPr>
        <w:t xml:space="preserve">（标的名称） </w:t>
      </w:r>
      <w:r>
        <w:rPr>
          <w:rFonts w:hint="eastAsia" w:ascii="宋体" w:hAnsi="宋体"/>
          <w:color w:val="000000" w:themeColor="text1"/>
          <w:sz w:val="24"/>
          <w:szCs w:val="24"/>
          <w14:textFill>
            <w14:solidFill>
              <w14:schemeClr w14:val="tx1"/>
            </w14:solidFill>
          </w14:textFill>
        </w:rPr>
        <w:t>，属于</w:t>
      </w:r>
      <w:r>
        <w:rPr>
          <w:rFonts w:hint="eastAsia" w:ascii="宋体" w:hAnsi="宋体"/>
          <w:i/>
          <w:iCs/>
          <w:color w:val="000000" w:themeColor="text1"/>
          <w:sz w:val="24"/>
          <w:szCs w:val="24"/>
          <w:u w:val="single"/>
          <w14:textFill>
            <w14:solidFill>
              <w14:schemeClr w14:val="tx1"/>
            </w14:solidFill>
          </w14:textFill>
        </w:rPr>
        <w:t>（</w:t>
      </w:r>
      <w:r>
        <w:rPr>
          <w:rFonts w:hint="eastAsia" w:ascii="宋体" w:hAnsi="宋体"/>
          <w:b w:val="0"/>
          <w:bCs/>
          <w:color w:val="000000" w:themeColor="text1"/>
          <w:sz w:val="24"/>
          <w:szCs w:val="24"/>
          <w:u w:val="single"/>
          <w14:textFill>
            <w14:solidFill>
              <w14:schemeClr w14:val="tx1"/>
            </w14:solidFill>
          </w14:textFill>
        </w:rPr>
        <w:t>软件和信息技术服务业</w:t>
      </w:r>
      <w:r>
        <w:rPr>
          <w:rFonts w:hint="eastAsia" w:ascii="宋体" w:hAnsi="宋体"/>
          <w:color w:val="000000" w:themeColor="text1"/>
          <w:sz w:val="24"/>
          <w:szCs w:val="24"/>
          <w14:textFill>
            <w14:solidFill>
              <w14:schemeClr w14:val="tx1"/>
            </w14:solidFill>
          </w14:textFill>
        </w:rPr>
        <w:t>行业；制造商为</w:t>
      </w:r>
      <w:r>
        <w:rPr>
          <w:rFonts w:hint="eastAsia" w:ascii="宋体" w:hAnsi="宋体"/>
          <w:i/>
          <w:iCs/>
          <w:color w:val="000000" w:themeColor="text1"/>
          <w:sz w:val="24"/>
          <w:szCs w:val="24"/>
          <w:u w:val="single"/>
          <w14:textFill>
            <w14:solidFill>
              <w14:schemeClr w14:val="tx1"/>
            </w14:solidFill>
          </w14:textFill>
        </w:rPr>
        <w:t>（企业名称）</w:t>
      </w:r>
      <w:r>
        <w:rPr>
          <w:rFonts w:hint="eastAsia" w:ascii="宋体" w:hAnsi="宋体"/>
          <w:color w:val="000000" w:themeColor="text1"/>
          <w:sz w:val="24"/>
          <w:szCs w:val="24"/>
          <w14:textFill>
            <w14:solidFill>
              <w14:schemeClr w14:val="tx1"/>
            </w14:solidFill>
          </w14:textFill>
        </w:rPr>
        <w:t>，从业人员人，营业收入为万元，资产总额为万元，属于</w:t>
      </w:r>
      <w:r>
        <w:rPr>
          <w:rFonts w:hint="eastAsia" w:ascii="宋体" w:hAnsi="宋体"/>
          <w:i/>
          <w:iCs/>
          <w:color w:val="000000" w:themeColor="text1"/>
          <w:sz w:val="24"/>
          <w:szCs w:val="24"/>
          <w:u w:val="single"/>
          <w14:textFill>
            <w14:solidFill>
              <w14:schemeClr w14:val="tx1"/>
            </w14:solidFill>
          </w14:textFill>
        </w:rPr>
        <w:t>（中型企业、小型企业、微型企业）</w:t>
      </w:r>
      <w:r>
        <w:rPr>
          <w:rFonts w:hint="eastAsia" w:ascii="宋体" w:hAnsi="宋体"/>
          <w:color w:val="000000" w:themeColor="text1"/>
          <w:sz w:val="24"/>
          <w:szCs w:val="24"/>
          <w14:textFill>
            <w14:solidFill>
              <w14:schemeClr w14:val="tx1"/>
            </w14:solidFill>
          </w14:textFill>
        </w:rPr>
        <w:t>；</w:t>
      </w:r>
    </w:p>
    <w:p>
      <w:pPr>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p>
    <w:p>
      <w:pPr>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pPr>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本企业对上述声明内容的真实性负责。如有虚假，将依法承担相应责任。</w:t>
      </w:r>
    </w:p>
    <w:p>
      <w:pPr>
        <w:ind w:firstLine="4080" w:firstLineChars="17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企业名称（盖章）：</w:t>
      </w:r>
    </w:p>
    <w:p>
      <w:pPr>
        <w:ind w:firstLine="4080" w:firstLineChars="17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日期：</w:t>
      </w:r>
    </w:p>
    <w:p>
      <w:pPr>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从业人员、营业收入、资产总额填报上一年度数据，无上一年度数据的新成立企业可不填</w:t>
      </w:r>
    </w:p>
    <w:p>
      <w:pPr>
        <w:spacing w:before="100" w:beforeAutospacing="1" w:after="100" w:afterAutospacing="1" w:line="360" w:lineRule="auto"/>
        <w:ind w:firstLine="2741" w:firstLineChars="1300"/>
        <w:jc w:val="left"/>
        <w:rPr>
          <w:rFonts w:ascii="宋体" w:hAnsi="宋体"/>
          <w:b/>
          <w:bCs/>
          <w:color w:val="000000" w:themeColor="text1"/>
          <w14:textFill>
            <w14:solidFill>
              <w14:schemeClr w14:val="tx1"/>
            </w14:solidFill>
          </w14:textFill>
        </w:rPr>
      </w:pPr>
    </w:p>
    <w:p>
      <w:pPr>
        <w:spacing w:line="360" w:lineRule="auto"/>
        <w:outlineLvl w:val="0"/>
        <w:rPr>
          <w:rFonts w:ascii="宋体" w:hAnsi="宋体"/>
          <w:b/>
          <w:color w:val="000000" w:themeColor="text1"/>
          <w:sz w:val="24"/>
          <w:szCs w:val="24"/>
          <w14:textFill>
            <w14:solidFill>
              <w14:schemeClr w14:val="tx1"/>
            </w14:solidFill>
          </w14:textFill>
        </w:rPr>
      </w:pPr>
      <w:bookmarkStart w:id="72" w:name="_Toc7919"/>
      <w:bookmarkStart w:id="73" w:name="_Toc23107"/>
      <w:r>
        <w:rPr>
          <w:rFonts w:hint="eastAsia" w:ascii="宋体" w:hAnsi="宋体"/>
          <w:b/>
          <w:color w:val="000000" w:themeColor="text1"/>
          <w:sz w:val="24"/>
          <w:szCs w:val="24"/>
          <w14:textFill>
            <w14:solidFill>
              <w14:schemeClr w14:val="tx1"/>
            </w14:solidFill>
          </w14:textFill>
        </w:rPr>
        <w:t>附件：3、残疾人福利性单位声明函</w:t>
      </w:r>
      <w:bookmarkEnd w:id="72"/>
      <w:bookmarkEnd w:id="73"/>
    </w:p>
    <w:p>
      <w:pPr>
        <w:spacing w:line="360" w:lineRule="auto"/>
        <w:rPr>
          <w:rFonts w:ascii="宋体" w:hAnsi="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b/>
          <w:color w:val="000000" w:themeColor="text1"/>
          <w:sz w:val="24"/>
          <w:szCs w:val="24"/>
          <w14:textFill>
            <w14:solidFill>
              <w14:schemeClr w14:val="tx1"/>
            </w14:solidFill>
          </w14:textFill>
        </w:rPr>
      </w:pP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olor w:val="000000" w:themeColor="text1"/>
          <w:kern w:val="0"/>
          <w:sz w:val="24"/>
          <w:szCs w:val="24"/>
          <w14:textFill>
            <w14:solidFill>
              <w14:schemeClr w14:val="tx1"/>
            </w14:solidFill>
          </w14:textFill>
        </w:rPr>
      </w:pPr>
    </w:p>
    <w:p>
      <w:pPr>
        <w:spacing w:line="360" w:lineRule="auto"/>
        <w:ind w:firstLine="3960" w:firstLineChars="1650"/>
        <w:rPr>
          <w:rStyle w:val="154"/>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残疾人福利性</w:t>
      </w:r>
      <w:r>
        <w:rPr>
          <w:rFonts w:hint="eastAsia" w:ascii="宋体" w:hAnsi="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日</w:t>
      </w:r>
      <w:r>
        <w:rPr>
          <w:rStyle w:val="154"/>
          <w:rFonts w:hint="eastAsia" w:ascii="宋体" w:hAnsi="宋体"/>
          <w:color w:val="000000" w:themeColor="text1"/>
          <w:sz w:val="24"/>
          <w:szCs w:val="24"/>
          <w14:textFill>
            <w14:solidFill>
              <w14:schemeClr w14:val="tx1"/>
            </w14:solidFill>
          </w14:textFill>
        </w:rPr>
        <w:t> </w:t>
      </w:r>
      <w:r>
        <w:rPr>
          <w:rFonts w:hint="eastAsia" w:ascii="宋体" w:hAnsi="宋体"/>
          <w:color w:val="000000" w:themeColor="text1"/>
          <w:sz w:val="24"/>
          <w:szCs w:val="24"/>
          <w14:textFill>
            <w14:solidFill>
              <w14:schemeClr w14:val="tx1"/>
            </w14:solidFill>
          </w14:textFill>
        </w:rPr>
        <w:t> 期：</w:t>
      </w:r>
    </w:p>
    <w:p>
      <w:pPr>
        <w:pStyle w:val="2"/>
        <w:rPr>
          <w:rFonts w:ascii="宋体" w:hAnsi="宋体" w:cs="宋体"/>
          <w:color w:val="000000" w:themeColor="text1"/>
          <w14:textFill>
            <w14:solidFill>
              <w14:schemeClr w14:val="tx1"/>
            </w14:solidFill>
          </w14:textFill>
        </w:rPr>
      </w:pPr>
    </w:p>
    <w:p>
      <w:pPr>
        <w:pStyle w:val="7"/>
        <w:rPr>
          <w:color w:val="000000" w:themeColor="text1"/>
          <w14:textFill>
            <w14:solidFill>
              <w14:schemeClr w14:val="tx1"/>
            </w14:solidFill>
          </w14:textFill>
        </w:rPr>
      </w:pPr>
    </w:p>
    <w:p>
      <w:pPr>
        <w:jc w:val="center"/>
        <w:rPr>
          <w:rFonts w:ascii="宋体"/>
          <w:b/>
          <w:color w:val="000000" w:themeColor="text1"/>
          <w:sz w:val="32"/>
          <w:szCs w:val="32"/>
          <w14:textFill>
            <w14:solidFill>
              <w14:schemeClr w14:val="tx1"/>
            </w14:solidFill>
          </w14:textFill>
        </w:rPr>
      </w:pPr>
    </w:p>
    <w:p>
      <w:pPr>
        <w:jc w:val="center"/>
        <w:rPr>
          <w:rFonts w:ascii="宋体"/>
          <w:b/>
          <w:color w:val="000000" w:themeColor="text1"/>
          <w:sz w:val="32"/>
          <w:szCs w:val="32"/>
          <w14:textFill>
            <w14:solidFill>
              <w14:schemeClr w14:val="tx1"/>
            </w14:solidFill>
          </w14:textFill>
        </w:rPr>
      </w:pPr>
    </w:p>
    <w:p>
      <w:pPr>
        <w:jc w:val="center"/>
        <w:rPr>
          <w:rFonts w:ascii="宋体"/>
          <w:b/>
          <w:color w:val="000000" w:themeColor="text1"/>
          <w:sz w:val="32"/>
          <w:szCs w:val="32"/>
          <w14:textFill>
            <w14:solidFill>
              <w14:schemeClr w14:val="tx1"/>
            </w14:solidFill>
          </w14:textFill>
        </w:rPr>
      </w:pPr>
    </w:p>
    <w:p>
      <w:pPr>
        <w:jc w:val="center"/>
        <w:rPr>
          <w:rFonts w:ascii="宋体"/>
          <w:b/>
          <w:color w:val="000000" w:themeColor="text1"/>
          <w:sz w:val="32"/>
          <w:szCs w:val="32"/>
          <w14:textFill>
            <w14:solidFill>
              <w14:schemeClr w14:val="tx1"/>
            </w14:solidFill>
          </w14:textFill>
        </w:rPr>
      </w:pPr>
    </w:p>
    <w:p>
      <w:pPr>
        <w:jc w:val="center"/>
        <w:rPr>
          <w:rFonts w:ascii="宋体"/>
          <w:b/>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hAnsi="宋体"/>
          <w:color w:val="000000" w:themeColor="text1"/>
          <w:sz w:val="32"/>
          <w:szCs w:val="32"/>
          <w14:textFill>
            <w14:solidFill>
              <w14:schemeClr w14:val="tx1"/>
            </w14:solidFill>
          </w14:textFill>
        </w:rPr>
      </w:pPr>
    </w:p>
    <w:p>
      <w:pPr>
        <w:snapToGrid w:val="0"/>
        <w:spacing w:before="50" w:after="50"/>
        <w:jc w:val="center"/>
        <w:rPr>
          <w:rFonts w:ascii="宋体" w:hAnsi="宋体"/>
          <w:color w:val="000000" w:themeColor="text1"/>
          <w:sz w:val="32"/>
          <w:szCs w:val="32"/>
          <w14:textFill>
            <w14:solidFill>
              <w14:schemeClr w14:val="tx1"/>
            </w14:solidFill>
          </w14:textFill>
        </w:rPr>
      </w:pPr>
    </w:p>
    <w:p>
      <w:pPr>
        <w:snapToGrid w:val="0"/>
        <w:spacing w:before="50" w:after="50"/>
        <w:jc w:val="center"/>
        <w:rPr>
          <w:rFonts w:ascii="宋体" w:hAnsi="宋体"/>
          <w:color w:val="000000" w:themeColor="text1"/>
          <w:sz w:val="28"/>
          <w:szCs w:val="28"/>
          <w14:textFill>
            <w14:solidFill>
              <w14:schemeClr w14:val="tx1"/>
            </w14:solidFill>
          </w14:textFill>
        </w:rPr>
      </w:pPr>
    </w:p>
    <w:p>
      <w:pPr>
        <w:snapToGrid w:val="0"/>
        <w:spacing w:before="50" w:after="50"/>
        <w:jc w:val="center"/>
        <w:outlineLvl w:val="0"/>
        <w:rPr>
          <w:rFonts w:ascii="宋体" w:hAnsi="宋体"/>
          <w:b/>
          <w:bCs/>
          <w:color w:val="000000" w:themeColor="text1"/>
          <w:sz w:val="32"/>
          <w:szCs w:val="32"/>
          <w14:textFill>
            <w14:solidFill>
              <w14:schemeClr w14:val="tx1"/>
            </w14:solidFill>
          </w14:textFill>
        </w:rPr>
      </w:pPr>
      <w:bookmarkStart w:id="74" w:name="_Toc22330"/>
      <w:bookmarkStart w:id="75" w:name="_Toc32119"/>
      <w:r>
        <w:rPr>
          <w:rFonts w:hint="eastAsia" w:ascii="宋体" w:hAnsi="宋体"/>
          <w:b/>
          <w:bCs/>
          <w:color w:val="000000" w:themeColor="text1"/>
          <w:sz w:val="32"/>
          <w:szCs w:val="32"/>
          <w14:textFill>
            <w14:solidFill>
              <w14:schemeClr w14:val="tx1"/>
            </w14:solidFill>
          </w14:textFill>
        </w:rPr>
        <w:t>六、投标产品配置及分项报价表（格式）</w:t>
      </w:r>
      <w:bookmarkEnd w:id="74"/>
      <w:bookmarkEnd w:id="75"/>
    </w:p>
    <w:p>
      <w:pPr>
        <w:snapToGrid w:val="0"/>
        <w:spacing w:before="50" w:after="50"/>
        <w:jc w:val="center"/>
        <w:outlineLvl w:val="0"/>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1.清单分项报价表</w:t>
      </w: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投标人全称（加盖公章）：</w:t>
      </w:r>
    </w:p>
    <w:tbl>
      <w:tblPr>
        <w:tblStyle w:val="23"/>
        <w:tblW w:w="10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1002"/>
        <w:gridCol w:w="5182"/>
        <w:gridCol w:w="360"/>
        <w:gridCol w:w="370"/>
        <w:gridCol w:w="1196"/>
        <w:gridCol w:w="1196"/>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jc w:val="center"/>
        </w:trPr>
        <w:tc>
          <w:tcPr>
            <w:tcW w:w="453" w:type="dxa"/>
            <w:tcMar>
              <w:top w:w="0" w:type="dxa"/>
              <w:left w:w="51" w:type="dxa"/>
              <w:bottom w:w="0" w:type="dxa"/>
              <w:right w:w="51" w:type="dxa"/>
            </w:tcMar>
            <w:vAlign w:val="center"/>
          </w:tcPr>
          <w:p>
            <w:pPr>
              <w:widowControl w:val="0"/>
              <w:jc w:val="center"/>
              <w:rPr>
                <w:rFonts w:ascii="宋体" w:hAnsi="宋体" w:cs="Times New Roman"/>
                <w:b/>
                <w:bCs/>
                <w:color w:val="000000" w:themeColor="text1"/>
                <w:kern w:val="0"/>
                <w14:textFill>
                  <w14:solidFill>
                    <w14:schemeClr w14:val="tx1"/>
                  </w14:solidFill>
                </w14:textFill>
              </w:rPr>
            </w:pPr>
            <w:r>
              <w:rPr>
                <w:rFonts w:hint="eastAsia" w:ascii="宋体" w:hAnsi="宋体" w:cs="Times New Roman"/>
                <w:b/>
                <w:bCs/>
                <w:color w:val="000000" w:themeColor="text1"/>
                <w:kern w:val="0"/>
                <w14:textFill>
                  <w14:solidFill>
                    <w14:schemeClr w14:val="tx1"/>
                  </w14:solidFill>
                </w14:textFill>
              </w:rPr>
              <w:t>序号</w:t>
            </w:r>
          </w:p>
        </w:tc>
        <w:tc>
          <w:tcPr>
            <w:tcW w:w="6184" w:type="dxa"/>
            <w:gridSpan w:val="2"/>
            <w:tcMar>
              <w:top w:w="0" w:type="dxa"/>
              <w:left w:w="51" w:type="dxa"/>
              <w:bottom w:w="0" w:type="dxa"/>
              <w:right w:w="51" w:type="dxa"/>
            </w:tcMar>
            <w:vAlign w:val="center"/>
          </w:tcPr>
          <w:p>
            <w:pPr>
              <w:widowControl w:val="0"/>
              <w:jc w:val="center"/>
              <w:rPr>
                <w:rFonts w:ascii="宋体" w:hAnsi="宋体" w:cs="Times New Roman"/>
                <w:b/>
                <w:bCs/>
                <w:color w:val="000000" w:themeColor="text1"/>
                <w:kern w:val="0"/>
                <w14:textFill>
                  <w14:solidFill>
                    <w14:schemeClr w14:val="tx1"/>
                  </w14:solidFill>
                </w14:textFill>
              </w:rPr>
            </w:pPr>
            <w:r>
              <w:rPr>
                <w:rFonts w:hint="eastAsia" w:ascii="宋体" w:hAnsi="宋体" w:cs="Times New Roman"/>
                <w:b/>
                <w:bCs/>
                <w:color w:val="000000" w:themeColor="text1"/>
                <w:kern w:val="0"/>
                <w14:textFill>
                  <w14:solidFill>
                    <w14:schemeClr w14:val="tx1"/>
                  </w14:solidFill>
                </w14:textFill>
              </w:rPr>
              <w:t>名称及功能要求</w:t>
            </w:r>
          </w:p>
        </w:tc>
        <w:tc>
          <w:tcPr>
            <w:tcW w:w="360" w:type="dxa"/>
            <w:tcMar>
              <w:top w:w="0" w:type="dxa"/>
              <w:left w:w="51" w:type="dxa"/>
              <w:bottom w:w="0" w:type="dxa"/>
              <w:right w:w="51" w:type="dxa"/>
            </w:tcMar>
            <w:vAlign w:val="center"/>
          </w:tcPr>
          <w:p>
            <w:pPr>
              <w:widowControl w:val="0"/>
              <w:jc w:val="center"/>
              <w:rPr>
                <w:rFonts w:ascii="宋体" w:hAnsi="宋体" w:cs="Times New Roman"/>
                <w:b/>
                <w:bCs/>
                <w:color w:val="000000" w:themeColor="text1"/>
                <w:kern w:val="0"/>
                <w14:textFill>
                  <w14:solidFill>
                    <w14:schemeClr w14:val="tx1"/>
                  </w14:solidFill>
                </w14:textFill>
              </w:rPr>
            </w:pPr>
            <w:r>
              <w:rPr>
                <w:rFonts w:hint="eastAsia" w:ascii="宋体" w:hAnsi="宋体" w:cs="Times New Roman"/>
                <w:b/>
                <w:bCs/>
                <w:color w:val="000000" w:themeColor="text1"/>
                <w:kern w:val="0"/>
                <w14:textFill>
                  <w14:solidFill>
                    <w14:schemeClr w14:val="tx1"/>
                  </w14:solidFill>
                </w14:textFill>
              </w:rPr>
              <w:t>单位</w:t>
            </w:r>
          </w:p>
        </w:tc>
        <w:tc>
          <w:tcPr>
            <w:tcW w:w="370" w:type="dxa"/>
            <w:tcMar>
              <w:top w:w="0" w:type="dxa"/>
              <w:left w:w="51" w:type="dxa"/>
              <w:bottom w:w="0" w:type="dxa"/>
              <w:right w:w="51" w:type="dxa"/>
            </w:tcMar>
            <w:vAlign w:val="center"/>
          </w:tcPr>
          <w:p>
            <w:pPr>
              <w:widowControl w:val="0"/>
              <w:jc w:val="center"/>
              <w:rPr>
                <w:rFonts w:ascii="宋体" w:hAnsi="宋体" w:cs="Times New Roman"/>
                <w:b/>
                <w:bCs/>
                <w:color w:val="000000" w:themeColor="text1"/>
                <w:kern w:val="0"/>
                <w14:textFill>
                  <w14:solidFill>
                    <w14:schemeClr w14:val="tx1"/>
                  </w14:solidFill>
                </w14:textFill>
              </w:rPr>
            </w:pPr>
            <w:r>
              <w:rPr>
                <w:rFonts w:hint="eastAsia" w:ascii="宋体" w:hAnsi="宋体" w:cs="Times New Roman"/>
                <w:b/>
                <w:bCs/>
                <w:color w:val="000000" w:themeColor="text1"/>
                <w:kern w:val="0"/>
                <w14:textFill>
                  <w14:solidFill>
                    <w14:schemeClr w14:val="tx1"/>
                  </w14:solidFill>
                </w14:textFill>
              </w:rPr>
              <w:t>数量</w:t>
            </w:r>
          </w:p>
        </w:tc>
        <w:tc>
          <w:tcPr>
            <w:tcW w:w="1196" w:type="dxa"/>
            <w:tcMar>
              <w:top w:w="0" w:type="dxa"/>
              <w:left w:w="51" w:type="dxa"/>
              <w:bottom w:w="0" w:type="dxa"/>
              <w:right w:w="51" w:type="dxa"/>
            </w:tcMar>
            <w:vAlign w:val="center"/>
          </w:tcPr>
          <w:p>
            <w:pPr>
              <w:widowControl w:val="0"/>
              <w:jc w:val="center"/>
              <w:rPr>
                <w:rFonts w:ascii="宋体" w:hAnsi="宋体" w:cs="Times New Roman"/>
                <w:b/>
                <w:bCs/>
                <w:color w:val="000000" w:themeColor="text1"/>
                <w:kern w:val="0"/>
                <w14:textFill>
                  <w14:solidFill>
                    <w14:schemeClr w14:val="tx1"/>
                  </w14:solidFill>
                </w14:textFill>
              </w:rPr>
            </w:pPr>
            <w:r>
              <w:rPr>
                <w:rFonts w:hint="eastAsia" w:ascii="宋体" w:hAnsi="宋体" w:cs="Times New Roman"/>
                <w:b/>
                <w:bCs/>
                <w:color w:val="000000" w:themeColor="text1"/>
                <w:kern w:val="0"/>
                <w14:textFill>
                  <w14:solidFill>
                    <w14:schemeClr w14:val="tx1"/>
                  </w14:solidFill>
                </w14:textFill>
              </w:rPr>
              <w:t>全费用单价（元）</w:t>
            </w:r>
          </w:p>
        </w:tc>
        <w:tc>
          <w:tcPr>
            <w:tcW w:w="1196" w:type="dxa"/>
            <w:tcMar>
              <w:top w:w="0" w:type="dxa"/>
              <w:left w:w="51" w:type="dxa"/>
              <w:bottom w:w="0" w:type="dxa"/>
              <w:right w:w="51" w:type="dxa"/>
            </w:tcMar>
            <w:vAlign w:val="center"/>
          </w:tcPr>
          <w:p>
            <w:pPr>
              <w:widowControl w:val="0"/>
              <w:jc w:val="center"/>
              <w:rPr>
                <w:rFonts w:ascii="宋体" w:hAnsi="宋体" w:cs="Times New Roman"/>
                <w:b/>
                <w:bCs/>
                <w:color w:val="000000" w:themeColor="text1"/>
                <w:kern w:val="0"/>
                <w14:textFill>
                  <w14:solidFill>
                    <w14:schemeClr w14:val="tx1"/>
                  </w14:solidFill>
                </w14:textFill>
              </w:rPr>
            </w:pPr>
            <w:r>
              <w:rPr>
                <w:rFonts w:hint="eastAsia" w:ascii="宋体" w:hAnsi="宋体" w:cs="Times New Roman"/>
                <w:b/>
                <w:bCs/>
                <w:color w:val="000000" w:themeColor="text1"/>
                <w:kern w:val="0"/>
                <w14:textFill>
                  <w14:solidFill>
                    <w14:schemeClr w14:val="tx1"/>
                  </w14:solidFill>
                </w14:textFill>
              </w:rPr>
              <w:t>合价（元）</w:t>
            </w:r>
          </w:p>
        </w:tc>
        <w:tc>
          <w:tcPr>
            <w:tcW w:w="1196" w:type="dxa"/>
            <w:tcMar>
              <w:top w:w="0" w:type="dxa"/>
              <w:left w:w="51" w:type="dxa"/>
              <w:bottom w:w="0" w:type="dxa"/>
              <w:right w:w="51" w:type="dxa"/>
            </w:tcMar>
            <w:vAlign w:val="center"/>
          </w:tcPr>
          <w:p>
            <w:pPr>
              <w:widowControl w:val="0"/>
              <w:jc w:val="center"/>
              <w:rPr>
                <w:rFonts w:ascii="宋体" w:hAnsi="宋体" w:cs="Times New Roman"/>
                <w:b/>
                <w:bCs/>
                <w:color w:val="000000" w:themeColor="text1"/>
                <w:kern w:val="0"/>
                <w14:textFill>
                  <w14:solidFill>
                    <w14:schemeClr w14:val="tx1"/>
                  </w14:solidFill>
                </w14:textFill>
              </w:rPr>
            </w:pPr>
            <w:r>
              <w:rPr>
                <w:rFonts w:hint="eastAsia" w:ascii="宋体" w:hAnsi="宋体" w:cs="Times New Roman"/>
                <w:b/>
                <w:bCs/>
                <w:color w:val="000000" w:themeColor="text1"/>
                <w:kern w:val="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453"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1</w:t>
            </w:r>
          </w:p>
        </w:tc>
        <w:tc>
          <w:tcPr>
            <w:tcW w:w="1002"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数据治理平台</w:t>
            </w:r>
          </w:p>
        </w:tc>
        <w:tc>
          <w:tcPr>
            <w:tcW w:w="5182" w:type="dxa"/>
            <w:vAlign w:val="center"/>
          </w:tcPr>
          <w:p>
            <w:pPr>
              <w:widowControl w:val="0"/>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主要功能包含：数据湖及数据仓库建设与管理、元数据管理、数据标准管理、主数据（数据中心）管理、数据质量检测、历史数据归档、数据脱敏及安全管理、数据运行监控管理、数据监测查询、多元化管理等，完成一个校级的数据管理中心建设，实现全数据链智慧管理。</w:t>
            </w:r>
          </w:p>
        </w:tc>
        <w:tc>
          <w:tcPr>
            <w:tcW w:w="360"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套</w:t>
            </w:r>
          </w:p>
        </w:tc>
        <w:tc>
          <w:tcPr>
            <w:tcW w:w="370"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1</w:t>
            </w:r>
          </w:p>
        </w:tc>
        <w:tc>
          <w:tcPr>
            <w:tcW w:w="1196" w:type="dxa"/>
            <w:vAlign w:val="center"/>
          </w:tcPr>
          <w:p>
            <w:pPr>
              <w:widowControl w:val="0"/>
              <w:jc w:val="center"/>
              <w:rPr>
                <w:rFonts w:ascii="宋体" w:hAnsi="宋体" w:cs="Times New Roman"/>
                <w:color w:val="000000" w:themeColor="text1"/>
                <w:kern w:val="0"/>
                <w14:textFill>
                  <w14:solidFill>
                    <w14:schemeClr w14:val="tx1"/>
                  </w14:solidFill>
                </w14:textFill>
              </w:rPr>
            </w:pPr>
          </w:p>
        </w:tc>
        <w:tc>
          <w:tcPr>
            <w:tcW w:w="1196" w:type="dxa"/>
            <w:vAlign w:val="center"/>
          </w:tcPr>
          <w:p>
            <w:pPr>
              <w:widowControl w:val="0"/>
              <w:jc w:val="center"/>
              <w:rPr>
                <w:rFonts w:ascii="宋体" w:hAnsi="宋体" w:cs="Times New Roman"/>
                <w:color w:val="000000" w:themeColor="text1"/>
                <w:kern w:val="0"/>
                <w14:textFill>
                  <w14:solidFill>
                    <w14:schemeClr w14:val="tx1"/>
                  </w14:solidFill>
                </w14:textFill>
              </w:rPr>
            </w:pPr>
          </w:p>
        </w:tc>
        <w:tc>
          <w:tcPr>
            <w:tcW w:w="1196"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详见项目技术参数要求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453"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2</w:t>
            </w:r>
          </w:p>
        </w:tc>
        <w:tc>
          <w:tcPr>
            <w:tcW w:w="1002"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数据开放平台</w:t>
            </w:r>
          </w:p>
        </w:tc>
        <w:tc>
          <w:tcPr>
            <w:tcW w:w="5182" w:type="dxa"/>
            <w:vAlign w:val="center"/>
          </w:tcPr>
          <w:p>
            <w:pPr>
              <w:widowControl w:val="0"/>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围绕数据服务的“发布</w:t>
            </w:r>
            <w:r>
              <w:rPr>
                <w:rFonts w:ascii="宋体" w:hAnsi="宋体" w:cs="Times New Roman"/>
                <w:color w:val="000000" w:themeColor="text1"/>
                <w:kern w:val="0"/>
                <w14:textFill>
                  <w14:solidFill>
                    <w14:schemeClr w14:val="tx1"/>
                  </w14:solidFill>
                </w14:textFill>
              </w:rPr>
              <w:t>-申请-审核-管理-开放-监控”流程，通过 API 接口、数据库连接等多种方式，向数据使用者、开发者、管理者和系统管理者四个角色提供全场景、高安全的数据资源开放与共享服务，实现数据开放与共享服务自动化对接，降低数据使用难度和管理成本。</w:t>
            </w:r>
          </w:p>
        </w:tc>
        <w:tc>
          <w:tcPr>
            <w:tcW w:w="360"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套</w:t>
            </w:r>
          </w:p>
        </w:tc>
        <w:tc>
          <w:tcPr>
            <w:tcW w:w="370"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1</w:t>
            </w:r>
          </w:p>
        </w:tc>
        <w:tc>
          <w:tcPr>
            <w:tcW w:w="1196" w:type="dxa"/>
            <w:vAlign w:val="center"/>
          </w:tcPr>
          <w:p>
            <w:pPr>
              <w:widowControl w:val="0"/>
              <w:jc w:val="center"/>
              <w:rPr>
                <w:rFonts w:ascii="宋体" w:hAnsi="宋体" w:cs="Times New Roman"/>
                <w:color w:val="000000" w:themeColor="text1"/>
                <w:kern w:val="0"/>
                <w14:textFill>
                  <w14:solidFill>
                    <w14:schemeClr w14:val="tx1"/>
                  </w14:solidFill>
                </w14:textFill>
              </w:rPr>
            </w:pPr>
          </w:p>
        </w:tc>
        <w:tc>
          <w:tcPr>
            <w:tcW w:w="1196" w:type="dxa"/>
            <w:vAlign w:val="center"/>
          </w:tcPr>
          <w:p>
            <w:pPr>
              <w:widowControl w:val="0"/>
              <w:jc w:val="center"/>
              <w:rPr>
                <w:rFonts w:ascii="宋体" w:hAnsi="宋体" w:cs="Times New Roman"/>
                <w:color w:val="000000" w:themeColor="text1"/>
                <w:kern w:val="0"/>
                <w14:textFill>
                  <w14:solidFill>
                    <w14:schemeClr w14:val="tx1"/>
                  </w14:solidFill>
                </w14:textFill>
              </w:rPr>
            </w:pPr>
          </w:p>
        </w:tc>
        <w:tc>
          <w:tcPr>
            <w:tcW w:w="1196"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详见项目技术参数要求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dxa"/>
            <w:vMerge w:val="restart"/>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3</w:t>
            </w:r>
          </w:p>
        </w:tc>
        <w:tc>
          <w:tcPr>
            <w:tcW w:w="1002" w:type="dxa"/>
            <w:vMerge w:val="restart"/>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批流一体式数据湖仓</w:t>
            </w:r>
          </w:p>
        </w:tc>
        <w:tc>
          <w:tcPr>
            <w:tcW w:w="5182" w:type="dxa"/>
            <w:vAlign w:val="center"/>
          </w:tcPr>
          <w:p>
            <w:pPr>
              <w:widowControl w:val="0"/>
              <w:rPr>
                <w:rFonts w:ascii="宋体" w:hAnsi="宋体" w:cs="Times New Roman"/>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基于批流一体可视化开发工具进行多源异构数据的采集存储，以流式数据实时同步能力，构建与数据源数据实时同步湖仓一体化自动扩容的全量数据实体空间。并融合标准化的引导式开发工作台，为数据开发过程提供有力支撑。支持noETL实施方案，且在本项目中实施。</w:t>
            </w:r>
          </w:p>
        </w:tc>
        <w:tc>
          <w:tcPr>
            <w:tcW w:w="360" w:type="dxa"/>
            <w:vMerge w:val="restart"/>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套</w:t>
            </w:r>
          </w:p>
        </w:tc>
        <w:tc>
          <w:tcPr>
            <w:tcW w:w="370" w:type="dxa"/>
            <w:vMerge w:val="restart"/>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1</w:t>
            </w:r>
          </w:p>
        </w:tc>
        <w:tc>
          <w:tcPr>
            <w:tcW w:w="1196" w:type="dxa"/>
            <w:vMerge w:val="restart"/>
            <w:vAlign w:val="center"/>
          </w:tcPr>
          <w:p>
            <w:pPr>
              <w:widowControl w:val="0"/>
              <w:jc w:val="center"/>
              <w:rPr>
                <w:rFonts w:ascii="宋体" w:hAnsi="宋体" w:cs="Times New Roman"/>
                <w:color w:val="000000" w:themeColor="text1"/>
                <w:kern w:val="0"/>
                <w14:textFill>
                  <w14:solidFill>
                    <w14:schemeClr w14:val="tx1"/>
                  </w14:solidFill>
                </w14:textFill>
              </w:rPr>
            </w:pPr>
          </w:p>
        </w:tc>
        <w:tc>
          <w:tcPr>
            <w:tcW w:w="1196" w:type="dxa"/>
            <w:vMerge w:val="restart"/>
            <w:vAlign w:val="center"/>
          </w:tcPr>
          <w:p>
            <w:pPr>
              <w:widowControl w:val="0"/>
              <w:jc w:val="center"/>
              <w:rPr>
                <w:rFonts w:ascii="宋体" w:hAnsi="宋体" w:cs="Times New Roman"/>
                <w:color w:val="000000" w:themeColor="text1"/>
                <w:kern w:val="0"/>
                <w14:textFill>
                  <w14:solidFill>
                    <w14:schemeClr w14:val="tx1"/>
                  </w14:solidFill>
                </w14:textFill>
              </w:rPr>
            </w:pPr>
          </w:p>
        </w:tc>
        <w:tc>
          <w:tcPr>
            <w:tcW w:w="1196" w:type="dxa"/>
            <w:vMerge w:val="restart"/>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详见项目技术参数要求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453" w:type="dxa"/>
            <w:vMerge w:val="continue"/>
            <w:vAlign w:val="center"/>
          </w:tcPr>
          <w:p>
            <w:pPr>
              <w:widowControl w:val="0"/>
              <w:jc w:val="center"/>
              <w:rPr>
                <w:rFonts w:ascii="宋体" w:hAnsi="宋体" w:cs="Times New Roman"/>
                <w:color w:val="000000" w:themeColor="text1"/>
                <w:kern w:val="0"/>
                <w14:textFill>
                  <w14:solidFill>
                    <w14:schemeClr w14:val="tx1"/>
                  </w14:solidFill>
                </w14:textFill>
              </w:rPr>
            </w:pPr>
          </w:p>
        </w:tc>
        <w:tc>
          <w:tcPr>
            <w:tcW w:w="1002" w:type="dxa"/>
            <w:vMerge w:val="continue"/>
            <w:vAlign w:val="center"/>
          </w:tcPr>
          <w:p>
            <w:pPr>
              <w:widowControl w:val="0"/>
              <w:jc w:val="center"/>
              <w:rPr>
                <w:rFonts w:ascii="宋体" w:hAnsi="宋体" w:cs="Times New Roman"/>
                <w:color w:val="000000" w:themeColor="text1"/>
                <w:kern w:val="0"/>
                <w14:textFill>
                  <w14:solidFill>
                    <w14:schemeClr w14:val="tx1"/>
                  </w14:solidFill>
                </w14:textFill>
              </w:rPr>
            </w:pPr>
          </w:p>
        </w:tc>
        <w:tc>
          <w:tcPr>
            <w:tcW w:w="5182" w:type="dxa"/>
            <w:vAlign w:val="center"/>
          </w:tcPr>
          <w:p>
            <w:pPr>
              <w:widowControl w:val="0"/>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通用数据集成：</w:t>
            </w:r>
            <w:r>
              <w:rPr>
                <w:rFonts w:ascii="宋体" w:hAnsi="宋体" w:cs="Times New Roman"/>
                <w:color w:val="000000" w:themeColor="text1"/>
                <w:kern w:val="0"/>
                <w14:textFill>
                  <w14:solidFill>
                    <w14:schemeClr w14:val="tx1"/>
                  </w14:solidFill>
                </w14:textFill>
              </w:rPr>
              <w:t>采用纯Web架构，与数据治理平台</w:t>
            </w:r>
            <w:r>
              <w:rPr>
                <w:rFonts w:ascii="宋体" w:hAnsi="宋体"/>
                <w:color w:val="000000" w:themeColor="text1"/>
                <w:kern w:val="0"/>
                <w14:textFill>
                  <w14:solidFill>
                    <w14:schemeClr w14:val="tx1"/>
                  </w14:solidFill>
                </w14:textFill>
              </w:rPr>
              <w:t>底层数据、元数据一站式打通。支持数据的双向传递，使各类系统业务数据实时共享，实现从源到目标的数据交换。提供过程的调度和监控，异常可精确定位，能够线上处理，保障数据接口的开发及运维效率。支持在线的ETL</w:t>
            </w:r>
            <w:r>
              <w:rPr>
                <w:rFonts w:ascii="宋体" w:hAnsi="宋体"/>
                <w:color w:val="000000" w:themeColor="text1"/>
                <w:spacing w:val="-8"/>
                <w:kern w:val="0"/>
                <w14:textFill>
                  <w14:solidFill>
                    <w14:schemeClr w14:val="tx1"/>
                  </w14:solidFill>
                </w14:textFill>
              </w:rPr>
              <w:t>设计与调度，提供高校</w:t>
            </w:r>
            <w:r>
              <w:rPr>
                <w:rFonts w:ascii="宋体" w:hAnsi="宋体"/>
                <w:color w:val="000000" w:themeColor="text1"/>
                <w:kern w:val="0"/>
                <w14:textFill>
                  <w14:solidFill>
                    <w14:schemeClr w14:val="tx1"/>
                  </w14:solidFill>
                </w14:textFill>
              </w:rPr>
              <w:t>ETL知识库。</w:t>
            </w:r>
          </w:p>
        </w:tc>
        <w:tc>
          <w:tcPr>
            <w:tcW w:w="360" w:type="dxa"/>
            <w:vMerge w:val="continue"/>
            <w:vAlign w:val="center"/>
          </w:tcPr>
          <w:p>
            <w:pPr>
              <w:widowControl w:val="0"/>
              <w:jc w:val="center"/>
              <w:rPr>
                <w:rFonts w:ascii="宋体" w:hAnsi="宋体" w:cs="Times New Roman"/>
                <w:color w:val="000000" w:themeColor="text1"/>
                <w:kern w:val="0"/>
                <w14:textFill>
                  <w14:solidFill>
                    <w14:schemeClr w14:val="tx1"/>
                  </w14:solidFill>
                </w14:textFill>
              </w:rPr>
            </w:pPr>
          </w:p>
        </w:tc>
        <w:tc>
          <w:tcPr>
            <w:tcW w:w="370" w:type="dxa"/>
            <w:vMerge w:val="continue"/>
            <w:vAlign w:val="center"/>
          </w:tcPr>
          <w:p>
            <w:pPr>
              <w:widowControl w:val="0"/>
              <w:jc w:val="center"/>
              <w:rPr>
                <w:rFonts w:ascii="宋体" w:hAnsi="宋体" w:cs="Times New Roman"/>
                <w:color w:val="000000" w:themeColor="text1"/>
                <w:kern w:val="0"/>
                <w14:textFill>
                  <w14:solidFill>
                    <w14:schemeClr w14:val="tx1"/>
                  </w14:solidFill>
                </w14:textFill>
              </w:rPr>
            </w:pPr>
          </w:p>
        </w:tc>
        <w:tc>
          <w:tcPr>
            <w:tcW w:w="1196" w:type="dxa"/>
            <w:vMerge w:val="continue"/>
            <w:vAlign w:val="center"/>
          </w:tcPr>
          <w:p>
            <w:pPr>
              <w:widowControl w:val="0"/>
              <w:jc w:val="center"/>
              <w:rPr>
                <w:rFonts w:ascii="宋体" w:hAnsi="宋体" w:cs="Times New Roman"/>
                <w:color w:val="000000" w:themeColor="text1"/>
                <w:kern w:val="0"/>
                <w14:textFill>
                  <w14:solidFill>
                    <w14:schemeClr w14:val="tx1"/>
                  </w14:solidFill>
                </w14:textFill>
              </w:rPr>
            </w:pPr>
          </w:p>
        </w:tc>
        <w:tc>
          <w:tcPr>
            <w:tcW w:w="1196" w:type="dxa"/>
            <w:vMerge w:val="continue"/>
            <w:vAlign w:val="center"/>
          </w:tcPr>
          <w:p>
            <w:pPr>
              <w:widowControl w:val="0"/>
              <w:jc w:val="center"/>
              <w:rPr>
                <w:rFonts w:ascii="宋体" w:hAnsi="宋体" w:cs="Times New Roman"/>
                <w:color w:val="000000" w:themeColor="text1"/>
                <w:kern w:val="0"/>
                <w14:textFill>
                  <w14:solidFill>
                    <w14:schemeClr w14:val="tx1"/>
                  </w14:solidFill>
                </w14:textFill>
              </w:rPr>
            </w:pPr>
          </w:p>
        </w:tc>
        <w:tc>
          <w:tcPr>
            <w:tcW w:w="1196" w:type="dxa"/>
            <w:vMerge w:val="continue"/>
            <w:vAlign w:val="center"/>
          </w:tcPr>
          <w:p>
            <w:pPr>
              <w:widowControl w:val="0"/>
              <w:jc w:val="center"/>
              <w:rPr>
                <w:rFonts w:ascii="宋体" w:hAnsi="宋体" w:cs="Times New Roman"/>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453"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4</w:t>
            </w:r>
          </w:p>
        </w:tc>
        <w:tc>
          <w:tcPr>
            <w:tcW w:w="1002"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线下数据采集工具</w:t>
            </w:r>
          </w:p>
        </w:tc>
        <w:tc>
          <w:tcPr>
            <w:tcW w:w="5182" w:type="dxa"/>
            <w:vAlign w:val="center"/>
          </w:tcPr>
          <w:p>
            <w:pPr>
              <w:widowControl w:val="0"/>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提供除业务系统数据库以外的线下</w:t>
            </w:r>
            <w:r>
              <w:rPr>
                <w:rFonts w:ascii="宋体" w:hAnsi="宋体" w:cs="Times New Roman"/>
                <w:color w:val="000000" w:themeColor="text1"/>
                <w:kern w:val="0"/>
                <w14:textFill>
                  <w14:solidFill>
                    <w14:schemeClr w14:val="tx1"/>
                  </w14:solidFill>
                </w14:textFill>
              </w:rPr>
              <w:t>EXCEL等常用文档的数据采集功能， 完成数据采集的模板设置、模板下载管理、数据上传和数据在线维护，能够对数据上传过程中的数据质量和规</w:t>
            </w:r>
            <w:r>
              <w:rPr>
                <w:rFonts w:hint="eastAsia" w:ascii="宋体" w:hAnsi="宋体" w:cs="Times New Roman"/>
                <w:color w:val="000000" w:themeColor="text1"/>
                <w:kern w:val="0"/>
                <w14:textFill>
                  <w14:solidFill>
                    <w14:schemeClr w14:val="tx1"/>
                  </w14:solidFill>
                </w14:textFill>
              </w:rPr>
              <w:t>则进行校验，实现线下数据整合与流转。</w:t>
            </w:r>
          </w:p>
        </w:tc>
        <w:tc>
          <w:tcPr>
            <w:tcW w:w="360"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套</w:t>
            </w:r>
          </w:p>
        </w:tc>
        <w:tc>
          <w:tcPr>
            <w:tcW w:w="370"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1</w:t>
            </w:r>
          </w:p>
        </w:tc>
        <w:tc>
          <w:tcPr>
            <w:tcW w:w="1196" w:type="dxa"/>
            <w:vAlign w:val="center"/>
          </w:tcPr>
          <w:p>
            <w:pPr>
              <w:widowControl w:val="0"/>
              <w:jc w:val="center"/>
              <w:rPr>
                <w:rFonts w:ascii="宋体" w:hAnsi="宋体" w:cs="Times New Roman"/>
                <w:color w:val="000000" w:themeColor="text1"/>
                <w:kern w:val="0"/>
                <w14:textFill>
                  <w14:solidFill>
                    <w14:schemeClr w14:val="tx1"/>
                  </w14:solidFill>
                </w14:textFill>
              </w:rPr>
            </w:pPr>
          </w:p>
        </w:tc>
        <w:tc>
          <w:tcPr>
            <w:tcW w:w="1196" w:type="dxa"/>
            <w:vAlign w:val="center"/>
          </w:tcPr>
          <w:p>
            <w:pPr>
              <w:widowControl w:val="0"/>
              <w:jc w:val="center"/>
              <w:rPr>
                <w:rFonts w:ascii="宋体" w:hAnsi="宋体" w:cs="Times New Roman"/>
                <w:color w:val="000000" w:themeColor="text1"/>
                <w:kern w:val="0"/>
                <w14:textFill>
                  <w14:solidFill>
                    <w14:schemeClr w14:val="tx1"/>
                  </w14:solidFill>
                </w14:textFill>
              </w:rPr>
            </w:pPr>
          </w:p>
        </w:tc>
        <w:tc>
          <w:tcPr>
            <w:tcW w:w="1196"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详见项目技术参数要求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453"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5</w:t>
            </w:r>
          </w:p>
        </w:tc>
        <w:tc>
          <w:tcPr>
            <w:tcW w:w="1002"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一表通</w:t>
            </w:r>
          </w:p>
        </w:tc>
        <w:tc>
          <w:tcPr>
            <w:tcW w:w="5182" w:type="dxa"/>
            <w:vAlign w:val="center"/>
          </w:tcPr>
          <w:p>
            <w:pPr>
              <w:widowControl w:val="0"/>
              <w:autoSpaceDE w:val="0"/>
              <w:autoSpaceDN w:val="0"/>
              <w:spacing w:before="9"/>
              <w:ind w:right="156"/>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含智能填报、师生一张表等。</w:t>
            </w:r>
          </w:p>
          <w:p>
            <w:pPr>
              <w:widowControl w:val="0"/>
              <w:autoSpaceDE w:val="0"/>
              <w:autoSpaceDN w:val="0"/>
              <w:spacing w:before="9"/>
              <w:ind w:right="156"/>
              <w:rPr>
                <w:rFonts w:ascii="宋体" w:hAnsi="宋体" w:cs="Times New Roman"/>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面向校内各类用户群体进行日常填表和上报，对日常学习、工作、活动等数据进行收集、管理和展示。具备覆盖文本、数值、图像、日期等各类数据填报所用的界面元素，涵盖个人数据中心功能，实现个人数据的采集、展示、变更等数据维护功能。</w:t>
            </w:r>
          </w:p>
        </w:tc>
        <w:tc>
          <w:tcPr>
            <w:tcW w:w="360"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套</w:t>
            </w:r>
          </w:p>
        </w:tc>
        <w:tc>
          <w:tcPr>
            <w:tcW w:w="370"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1</w:t>
            </w:r>
          </w:p>
        </w:tc>
        <w:tc>
          <w:tcPr>
            <w:tcW w:w="1196" w:type="dxa"/>
            <w:vAlign w:val="center"/>
          </w:tcPr>
          <w:p>
            <w:pPr>
              <w:widowControl w:val="0"/>
              <w:jc w:val="center"/>
              <w:rPr>
                <w:rFonts w:ascii="宋体" w:hAnsi="宋体" w:cs="Times New Roman"/>
                <w:color w:val="000000" w:themeColor="text1"/>
                <w:kern w:val="0"/>
                <w14:textFill>
                  <w14:solidFill>
                    <w14:schemeClr w14:val="tx1"/>
                  </w14:solidFill>
                </w14:textFill>
              </w:rPr>
            </w:pPr>
          </w:p>
        </w:tc>
        <w:tc>
          <w:tcPr>
            <w:tcW w:w="1196" w:type="dxa"/>
            <w:vAlign w:val="center"/>
          </w:tcPr>
          <w:p>
            <w:pPr>
              <w:widowControl w:val="0"/>
              <w:jc w:val="center"/>
              <w:rPr>
                <w:rFonts w:ascii="宋体" w:hAnsi="宋体" w:cs="Times New Roman"/>
                <w:color w:val="000000" w:themeColor="text1"/>
                <w:kern w:val="0"/>
                <w14:textFill>
                  <w14:solidFill>
                    <w14:schemeClr w14:val="tx1"/>
                  </w14:solidFill>
                </w14:textFill>
              </w:rPr>
            </w:pPr>
          </w:p>
        </w:tc>
        <w:tc>
          <w:tcPr>
            <w:tcW w:w="1196"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详见项目技术参数要求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453"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ascii="宋体" w:hAnsi="宋体" w:cs="Times New Roman"/>
                <w:color w:val="000000" w:themeColor="text1"/>
                <w:kern w:val="0"/>
                <w14:textFill>
                  <w14:solidFill>
                    <w14:schemeClr w14:val="tx1"/>
                  </w14:solidFill>
                </w14:textFill>
              </w:rPr>
              <w:t>6</w:t>
            </w:r>
          </w:p>
        </w:tc>
        <w:tc>
          <w:tcPr>
            <w:tcW w:w="1002"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数据可视化分析工具</w:t>
            </w:r>
          </w:p>
        </w:tc>
        <w:tc>
          <w:tcPr>
            <w:tcW w:w="5182" w:type="dxa"/>
            <w:vAlign w:val="center"/>
          </w:tcPr>
          <w:p>
            <w:pPr>
              <w:widowControl w:val="0"/>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含基本校情、领导驾驶舱等数据分析应用。</w:t>
            </w:r>
          </w:p>
          <w:p>
            <w:pPr>
              <w:widowControl w:val="0"/>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主要功能包含：基本校情、领导驾驶舱、分析图表设计、大屏可视化设计等。能够无缝对接数据治理平台，所有数据分析应用不需要二次建模，</w:t>
            </w:r>
            <w:r>
              <w:rPr>
                <w:rFonts w:ascii="宋体" w:hAnsi="宋体" w:cs="Times New Roman"/>
                <w:color w:val="000000" w:themeColor="text1"/>
                <w:kern w:val="0"/>
                <w14:textFill>
                  <w14:solidFill>
                    <w14:schemeClr w14:val="tx1"/>
                  </w14:solidFill>
                </w14:textFill>
              </w:rPr>
              <w:t xml:space="preserve"> 可以通过平台中间件反馈数据质量问题，并能够直接关联数据提供方，实</w:t>
            </w:r>
            <w:r>
              <w:rPr>
                <w:rFonts w:hint="eastAsia" w:ascii="宋体" w:hAnsi="宋体" w:cs="Times New Roman"/>
                <w:color w:val="000000" w:themeColor="text1"/>
                <w:kern w:val="0"/>
                <w14:textFill>
                  <w14:solidFill>
                    <w14:schemeClr w14:val="tx1"/>
                  </w14:solidFill>
                </w14:textFill>
              </w:rPr>
              <w:t>现数据分析输出与呈现。</w:t>
            </w:r>
          </w:p>
        </w:tc>
        <w:tc>
          <w:tcPr>
            <w:tcW w:w="360"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套</w:t>
            </w:r>
          </w:p>
        </w:tc>
        <w:tc>
          <w:tcPr>
            <w:tcW w:w="370"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1</w:t>
            </w:r>
          </w:p>
        </w:tc>
        <w:tc>
          <w:tcPr>
            <w:tcW w:w="1196" w:type="dxa"/>
            <w:vAlign w:val="center"/>
          </w:tcPr>
          <w:p>
            <w:pPr>
              <w:widowControl w:val="0"/>
              <w:jc w:val="center"/>
              <w:rPr>
                <w:rFonts w:ascii="宋体" w:hAnsi="宋体" w:cs="Times New Roman"/>
                <w:color w:val="000000" w:themeColor="text1"/>
                <w:kern w:val="0"/>
                <w14:textFill>
                  <w14:solidFill>
                    <w14:schemeClr w14:val="tx1"/>
                  </w14:solidFill>
                </w14:textFill>
              </w:rPr>
            </w:pPr>
          </w:p>
        </w:tc>
        <w:tc>
          <w:tcPr>
            <w:tcW w:w="1196" w:type="dxa"/>
            <w:vAlign w:val="center"/>
          </w:tcPr>
          <w:p>
            <w:pPr>
              <w:widowControl w:val="0"/>
              <w:jc w:val="center"/>
              <w:rPr>
                <w:rFonts w:ascii="宋体" w:hAnsi="宋体" w:cs="Times New Roman"/>
                <w:color w:val="000000" w:themeColor="text1"/>
                <w:kern w:val="0"/>
                <w14:textFill>
                  <w14:solidFill>
                    <w14:schemeClr w14:val="tx1"/>
                  </w14:solidFill>
                </w14:textFill>
              </w:rPr>
            </w:pPr>
          </w:p>
        </w:tc>
        <w:tc>
          <w:tcPr>
            <w:tcW w:w="1196"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详见项目技术参数要求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453"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7</w:t>
            </w:r>
          </w:p>
        </w:tc>
        <w:tc>
          <w:tcPr>
            <w:tcW w:w="1002"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数据资源目录</w:t>
            </w:r>
          </w:p>
        </w:tc>
        <w:tc>
          <w:tcPr>
            <w:tcW w:w="5182" w:type="dxa"/>
            <w:vAlign w:val="center"/>
          </w:tcPr>
          <w:p>
            <w:pPr>
              <w:widowControl w:val="0"/>
              <w:autoSpaceDE w:val="0"/>
              <w:autoSpaceDN w:val="0"/>
              <w:spacing w:before="7"/>
              <w:rPr>
                <w:rFonts w:ascii="宋体" w:hAnsi="宋体" w:cs="Times New Roman"/>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主要功能包含：全校和各二级单位的数据资产统计、数据标准目录、代码标准目录、接口资源目录、综合</w:t>
            </w:r>
            <w:r>
              <w:rPr>
                <w:rFonts w:ascii="宋体" w:hAnsi="宋体"/>
                <w:color w:val="000000" w:themeColor="text1"/>
                <w:spacing w:val="-9"/>
                <w:kern w:val="0"/>
                <w14:textFill>
                  <w14:solidFill>
                    <w14:schemeClr w14:val="tx1"/>
                  </w14:solidFill>
                </w14:textFill>
              </w:rPr>
              <w:t>检索等，全面展示所提供的数据内容、数据集成时间、数据使用情况、数据</w:t>
            </w:r>
            <w:r>
              <w:rPr>
                <w:rFonts w:ascii="宋体" w:hAnsi="宋体"/>
                <w:color w:val="000000" w:themeColor="text1"/>
                <w:kern w:val="0"/>
                <w14:textFill>
                  <w14:solidFill>
                    <w14:schemeClr w14:val="tx1"/>
                  </w14:solidFill>
                </w14:textFill>
              </w:rPr>
              <w:t>质量反馈情况以及数据资源在线申请、审批、使用、监控等。</w:t>
            </w:r>
          </w:p>
        </w:tc>
        <w:tc>
          <w:tcPr>
            <w:tcW w:w="360"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套</w:t>
            </w:r>
          </w:p>
        </w:tc>
        <w:tc>
          <w:tcPr>
            <w:tcW w:w="370"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1</w:t>
            </w:r>
          </w:p>
        </w:tc>
        <w:tc>
          <w:tcPr>
            <w:tcW w:w="1196" w:type="dxa"/>
            <w:vAlign w:val="center"/>
          </w:tcPr>
          <w:p>
            <w:pPr>
              <w:widowControl w:val="0"/>
              <w:jc w:val="center"/>
              <w:rPr>
                <w:rFonts w:ascii="宋体" w:hAnsi="宋体" w:cs="Times New Roman"/>
                <w:color w:val="000000" w:themeColor="text1"/>
                <w:kern w:val="0"/>
                <w14:textFill>
                  <w14:solidFill>
                    <w14:schemeClr w14:val="tx1"/>
                  </w14:solidFill>
                </w14:textFill>
              </w:rPr>
            </w:pPr>
          </w:p>
        </w:tc>
        <w:tc>
          <w:tcPr>
            <w:tcW w:w="1196" w:type="dxa"/>
            <w:vAlign w:val="center"/>
          </w:tcPr>
          <w:p>
            <w:pPr>
              <w:widowControl w:val="0"/>
              <w:jc w:val="center"/>
              <w:rPr>
                <w:rFonts w:ascii="宋体" w:hAnsi="宋体" w:cs="Times New Roman"/>
                <w:color w:val="000000" w:themeColor="text1"/>
                <w:kern w:val="0"/>
                <w14:textFill>
                  <w14:solidFill>
                    <w14:schemeClr w14:val="tx1"/>
                  </w14:solidFill>
                </w14:textFill>
              </w:rPr>
            </w:pPr>
          </w:p>
        </w:tc>
        <w:tc>
          <w:tcPr>
            <w:tcW w:w="1196"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详见项目技术参数要求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8</w:t>
            </w:r>
          </w:p>
        </w:tc>
        <w:tc>
          <w:tcPr>
            <w:tcW w:w="1002"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指标管理系统</w:t>
            </w:r>
          </w:p>
        </w:tc>
        <w:tc>
          <w:tcPr>
            <w:tcW w:w="5182" w:type="dxa"/>
            <w:vAlign w:val="center"/>
          </w:tcPr>
          <w:p>
            <w:pPr>
              <w:widowControl w:val="0"/>
              <w:autoSpaceDE w:val="0"/>
              <w:autoSpaceDN w:val="0"/>
              <w:spacing w:before="7"/>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通过指标管理系统实现校级指标的快速计算、存储、管理，形成校级</w:t>
            </w:r>
            <w:r>
              <w:rPr>
                <w:rFonts w:ascii="宋体" w:hAnsi="宋体"/>
                <w:color w:val="000000" w:themeColor="text1"/>
                <w:kern w:val="0"/>
                <w14:textFill>
                  <w14:solidFill>
                    <w14:schemeClr w14:val="tx1"/>
                  </w14:solidFill>
                </w14:textFill>
              </w:rPr>
              <w:t>KPI库，提供个性化的、动态的标签计算能力，满足大数据分析不断增长的数据标签需求；能够结合高校行业特征，提供给学校不同场景（各类一张表工程指标计算）的指标输出应用服务。</w:t>
            </w:r>
          </w:p>
        </w:tc>
        <w:tc>
          <w:tcPr>
            <w:tcW w:w="360"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套</w:t>
            </w:r>
          </w:p>
        </w:tc>
        <w:tc>
          <w:tcPr>
            <w:tcW w:w="370"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1</w:t>
            </w:r>
          </w:p>
        </w:tc>
        <w:tc>
          <w:tcPr>
            <w:tcW w:w="1196" w:type="dxa"/>
            <w:vAlign w:val="center"/>
          </w:tcPr>
          <w:p>
            <w:pPr>
              <w:widowControl w:val="0"/>
              <w:jc w:val="center"/>
              <w:rPr>
                <w:rFonts w:ascii="宋体" w:hAnsi="宋体" w:cs="Times New Roman"/>
                <w:color w:val="000000" w:themeColor="text1"/>
                <w:kern w:val="0"/>
                <w14:textFill>
                  <w14:solidFill>
                    <w14:schemeClr w14:val="tx1"/>
                  </w14:solidFill>
                </w14:textFill>
              </w:rPr>
            </w:pPr>
          </w:p>
        </w:tc>
        <w:tc>
          <w:tcPr>
            <w:tcW w:w="1196" w:type="dxa"/>
            <w:vAlign w:val="center"/>
          </w:tcPr>
          <w:p>
            <w:pPr>
              <w:widowControl w:val="0"/>
              <w:jc w:val="center"/>
              <w:rPr>
                <w:rFonts w:ascii="宋体" w:hAnsi="宋体" w:cs="Times New Roman"/>
                <w:color w:val="000000" w:themeColor="text1"/>
                <w:kern w:val="0"/>
                <w14:textFill>
                  <w14:solidFill>
                    <w14:schemeClr w14:val="tx1"/>
                  </w14:solidFill>
                </w14:textFill>
              </w:rPr>
            </w:pPr>
          </w:p>
        </w:tc>
        <w:tc>
          <w:tcPr>
            <w:tcW w:w="1196"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详见项目技术参数要求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453"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9</w:t>
            </w:r>
          </w:p>
        </w:tc>
        <w:tc>
          <w:tcPr>
            <w:tcW w:w="1002"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学生综合预警平台</w:t>
            </w:r>
          </w:p>
        </w:tc>
        <w:tc>
          <w:tcPr>
            <w:tcW w:w="5182" w:type="dxa"/>
            <w:vAlign w:val="center"/>
          </w:tcPr>
          <w:p>
            <w:pPr>
              <w:widowControl w:val="0"/>
              <w:autoSpaceDE w:val="0"/>
              <w:autoSpaceDN w:val="0"/>
              <w:spacing w:before="7"/>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学生综合预警平台是一个服务于学生管理的大数据平台，将大数据挖掘、人工智能、规则引擎技术体系与高校业务的深度融合，将学生分散在各系统内的数据进行整合与分析，综合展示和统计分析学生在校的学习、生活等多维信息；对于高危行为进行事前预警，主动、精准的帮助学校更好了解、管理学生，综合达成对于学生的精细化管理</w:t>
            </w:r>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可以进行实时查询，实现给学生精准的关爱和培养、给老师全面的服务和指导、给学校智能的决策和管理的建设目标。</w:t>
            </w:r>
          </w:p>
        </w:tc>
        <w:tc>
          <w:tcPr>
            <w:tcW w:w="360"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套</w:t>
            </w:r>
          </w:p>
        </w:tc>
        <w:tc>
          <w:tcPr>
            <w:tcW w:w="370"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1</w:t>
            </w:r>
          </w:p>
        </w:tc>
        <w:tc>
          <w:tcPr>
            <w:tcW w:w="1196" w:type="dxa"/>
            <w:vAlign w:val="center"/>
          </w:tcPr>
          <w:p>
            <w:pPr>
              <w:widowControl w:val="0"/>
              <w:jc w:val="center"/>
              <w:rPr>
                <w:rFonts w:ascii="宋体" w:hAnsi="宋体" w:cs="Times New Roman"/>
                <w:color w:val="000000" w:themeColor="text1"/>
                <w:kern w:val="0"/>
                <w14:textFill>
                  <w14:solidFill>
                    <w14:schemeClr w14:val="tx1"/>
                  </w14:solidFill>
                </w14:textFill>
              </w:rPr>
            </w:pPr>
          </w:p>
        </w:tc>
        <w:tc>
          <w:tcPr>
            <w:tcW w:w="1196" w:type="dxa"/>
            <w:vAlign w:val="center"/>
          </w:tcPr>
          <w:p>
            <w:pPr>
              <w:widowControl w:val="0"/>
              <w:jc w:val="center"/>
              <w:rPr>
                <w:rFonts w:ascii="宋体" w:hAnsi="宋体" w:cs="Times New Roman"/>
                <w:color w:val="000000" w:themeColor="text1"/>
                <w:kern w:val="0"/>
                <w14:textFill>
                  <w14:solidFill>
                    <w14:schemeClr w14:val="tx1"/>
                  </w14:solidFill>
                </w14:textFill>
              </w:rPr>
            </w:pPr>
          </w:p>
        </w:tc>
        <w:tc>
          <w:tcPr>
            <w:tcW w:w="1196"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详见项目技术参数要求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53"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1</w:t>
            </w:r>
            <w:r>
              <w:rPr>
                <w:rFonts w:ascii="宋体" w:hAnsi="宋体" w:cs="Times New Roman"/>
                <w:color w:val="000000" w:themeColor="text1"/>
                <w:kern w:val="0"/>
                <w14:textFill>
                  <w14:solidFill>
                    <w14:schemeClr w14:val="tx1"/>
                  </w14:solidFill>
                </w14:textFill>
              </w:rPr>
              <w:t>0</w:t>
            </w:r>
          </w:p>
        </w:tc>
        <w:tc>
          <w:tcPr>
            <w:tcW w:w="1002" w:type="dxa"/>
            <w:vAlign w:val="center"/>
          </w:tcPr>
          <w:p>
            <w:pPr>
              <w:widowControl w:val="0"/>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零代码应用平台</w:t>
            </w:r>
          </w:p>
        </w:tc>
        <w:tc>
          <w:tcPr>
            <w:tcW w:w="5182" w:type="dxa"/>
            <w:vAlign w:val="center"/>
          </w:tcPr>
          <w:p>
            <w:pPr>
              <w:widowControl/>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通过零代码平台快速、灵活、高效构建一系列轻应用，与统一身份认证对接，能够直接发布到学校办事大厅或移动APP进行信息采集，可以适应学校信息化进展中的各种需求变化。</w:t>
            </w:r>
          </w:p>
        </w:tc>
        <w:tc>
          <w:tcPr>
            <w:tcW w:w="360"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套</w:t>
            </w:r>
          </w:p>
        </w:tc>
        <w:tc>
          <w:tcPr>
            <w:tcW w:w="370"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1</w:t>
            </w:r>
          </w:p>
        </w:tc>
        <w:tc>
          <w:tcPr>
            <w:tcW w:w="1196" w:type="dxa"/>
            <w:vAlign w:val="center"/>
          </w:tcPr>
          <w:p>
            <w:pPr>
              <w:widowControl w:val="0"/>
              <w:jc w:val="center"/>
              <w:rPr>
                <w:rFonts w:ascii="宋体" w:hAnsi="宋体" w:cs="Times New Roman"/>
                <w:color w:val="000000" w:themeColor="text1"/>
                <w:kern w:val="0"/>
                <w14:textFill>
                  <w14:solidFill>
                    <w14:schemeClr w14:val="tx1"/>
                  </w14:solidFill>
                </w14:textFill>
              </w:rPr>
            </w:pPr>
          </w:p>
        </w:tc>
        <w:tc>
          <w:tcPr>
            <w:tcW w:w="1196" w:type="dxa"/>
            <w:vAlign w:val="center"/>
          </w:tcPr>
          <w:p>
            <w:pPr>
              <w:widowControl w:val="0"/>
              <w:jc w:val="center"/>
              <w:rPr>
                <w:rFonts w:ascii="宋体" w:hAnsi="宋体" w:cs="Times New Roman"/>
                <w:color w:val="000000" w:themeColor="text1"/>
                <w:kern w:val="0"/>
                <w14:textFill>
                  <w14:solidFill>
                    <w14:schemeClr w14:val="tx1"/>
                  </w14:solidFill>
                </w14:textFill>
              </w:rPr>
            </w:pPr>
          </w:p>
        </w:tc>
        <w:tc>
          <w:tcPr>
            <w:tcW w:w="1196"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详见项目技术参数要求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jc w:val="center"/>
        </w:trPr>
        <w:tc>
          <w:tcPr>
            <w:tcW w:w="453"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11</w:t>
            </w:r>
          </w:p>
        </w:tc>
        <w:tc>
          <w:tcPr>
            <w:tcW w:w="1002"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 xml:space="preserve">数据集 </w:t>
            </w:r>
            <w:r>
              <w:rPr>
                <w:rFonts w:ascii="宋体" w:hAnsi="宋体"/>
                <w:color w:val="000000" w:themeColor="text1"/>
                <w:spacing w:val="-5"/>
                <w:kern w:val="0"/>
                <w14:textFill>
                  <w14:solidFill>
                    <w14:schemeClr w14:val="tx1"/>
                  </w14:solidFill>
                </w14:textFill>
              </w:rPr>
              <w:t>成、治理、共享服务</w:t>
            </w:r>
          </w:p>
        </w:tc>
        <w:tc>
          <w:tcPr>
            <w:tcW w:w="5182" w:type="dxa"/>
            <w:vAlign w:val="center"/>
          </w:tcPr>
          <w:p>
            <w:pPr>
              <w:widowControl/>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服务包含：数据现状调研、信息标准规范制定、部署数据治理工具、数据采集、质量检测、清洗转换、质量提升、标准库建设、主题库建设、数据封装接口发布</w:t>
            </w:r>
            <w:r>
              <w:rPr>
                <w:rFonts w:hint="eastAsia" w:ascii="宋体" w:hAnsi="宋体"/>
                <w:color w:val="000000" w:themeColor="text1"/>
                <w:kern w:val="0"/>
                <w:shd w:val="clear" w:color="auto" w:fill="FFFFFF"/>
                <w14:textFill>
                  <w14:solidFill>
                    <w14:schemeClr w14:val="tx1"/>
                  </w14:solidFill>
                </w14:textFill>
              </w:rPr>
              <w:t>、数据接口迁移。</w:t>
            </w:r>
          </w:p>
          <w:p>
            <w:pPr>
              <w:widowControl w:val="0"/>
              <w:autoSpaceDE w:val="0"/>
              <w:autoSpaceDN w:val="0"/>
              <w:spacing w:before="7"/>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提供智慧校园平台、网上办事大厅、教务系统、学工系统、人事系统、财务管理系统、一卡通系统、资产管理系统、公用房管理系统、OA系统、图书管理系统、智慧教学系统、学生公寓智能门禁系统、科研管理系统、能耗管理系统、易表通、后勤报修系统、网络计费系统等24个业务系统（含线下表格数据）对接，提供数据集成、治理、共享服务，并承担全部对接费用。</w:t>
            </w:r>
          </w:p>
        </w:tc>
        <w:tc>
          <w:tcPr>
            <w:tcW w:w="360"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套</w:t>
            </w:r>
          </w:p>
        </w:tc>
        <w:tc>
          <w:tcPr>
            <w:tcW w:w="370"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1</w:t>
            </w:r>
          </w:p>
        </w:tc>
        <w:tc>
          <w:tcPr>
            <w:tcW w:w="1196" w:type="dxa"/>
            <w:vAlign w:val="center"/>
          </w:tcPr>
          <w:p>
            <w:pPr>
              <w:widowControl w:val="0"/>
              <w:jc w:val="center"/>
              <w:rPr>
                <w:rFonts w:ascii="宋体" w:hAnsi="宋体" w:cs="Times New Roman"/>
                <w:color w:val="000000" w:themeColor="text1"/>
                <w:kern w:val="0"/>
                <w14:textFill>
                  <w14:solidFill>
                    <w14:schemeClr w14:val="tx1"/>
                  </w14:solidFill>
                </w14:textFill>
              </w:rPr>
            </w:pPr>
          </w:p>
        </w:tc>
        <w:tc>
          <w:tcPr>
            <w:tcW w:w="1196" w:type="dxa"/>
            <w:vAlign w:val="center"/>
          </w:tcPr>
          <w:p>
            <w:pPr>
              <w:widowControl w:val="0"/>
              <w:jc w:val="center"/>
              <w:rPr>
                <w:rFonts w:ascii="宋体" w:hAnsi="宋体" w:cs="Times New Roman"/>
                <w:color w:val="000000" w:themeColor="text1"/>
                <w:kern w:val="0"/>
                <w14:textFill>
                  <w14:solidFill>
                    <w14:schemeClr w14:val="tx1"/>
                  </w14:solidFill>
                </w14:textFill>
              </w:rPr>
            </w:pPr>
          </w:p>
        </w:tc>
        <w:tc>
          <w:tcPr>
            <w:tcW w:w="1196"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详见项目技术参数要求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53" w:type="dxa"/>
            <w:vAlign w:val="center"/>
          </w:tcPr>
          <w:p>
            <w:pPr>
              <w:widowControl w:val="0"/>
              <w:jc w:val="center"/>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12</w:t>
            </w:r>
          </w:p>
        </w:tc>
        <w:tc>
          <w:tcPr>
            <w:tcW w:w="1002" w:type="dxa"/>
            <w:vAlign w:val="center"/>
          </w:tcPr>
          <w:p>
            <w:pPr>
              <w:widowControl w:val="0"/>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合价</w:t>
            </w:r>
          </w:p>
        </w:tc>
        <w:tc>
          <w:tcPr>
            <w:tcW w:w="5182" w:type="dxa"/>
            <w:vAlign w:val="center"/>
          </w:tcPr>
          <w:p>
            <w:pPr>
              <w:widowControl w:val="0"/>
              <w:autoSpaceDE w:val="0"/>
              <w:autoSpaceDN w:val="0"/>
              <w:spacing w:before="7"/>
              <w:rPr>
                <w:rFonts w:ascii="宋体" w:hAnsi="宋体"/>
                <w:color w:val="000000" w:themeColor="text1"/>
                <w:kern w:val="0"/>
                <w14:textFill>
                  <w14:solidFill>
                    <w14:schemeClr w14:val="tx1"/>
                  </w14:solidFill>
                </w14:textFill>
              </w:rPr>
            </w:pPr>
          </w:p>
        </w:tc>
        <w:tc>
          <w:tcPr>
            <w:tcW w:w="360" w:type="dxa"/>
            <w:vAlign w:val="center"/>
          </w:tcPr>
          <w:p>
            <w:pPr>
              <w:widowControl w:val="0"/>
              <w:jc w:val="center"/>
              <w:rPr>
                <w:rFonts w:ascii="宋体" w:hAnsi="宋体" w:cs="Times New Roman"/>
                <w:color w:val="000000" w:themeColor="text1"/>
                <w:kern w:val="0"/>
                <w14:textFill>
                  <w14:solidFill>
                    <w14:schemeClr w14:val="tx1"/>
                  </w14:solidFill>
                </w14:textFill>
              </w:rPr>
            </w:pPr>
          </w:p>
        </w:tc>
        <w:tc>
          <w:tcPr>
            <w:tcW w:w="370" w:type="dxa"/>
            <w:vAlign w:val="center"/>
          </w:tcPr>
          <w:p>
            <w:pPr>
              <w:widowControl w:val="0"/>
              <w:jc w:val="center"/>
              <w:rPr>
                <w:rFonts w:ascii="宋体" w:hAnsi="宋体" w:cs="Times New Roman"/>
                <w:color w:val="000000" w:themeColor="text1"/>
                <w:kern w:val="0"/>
                <w14:textFill>
                  <w14:solidFill>
                    <w14:schemeClr w14:val="tx1"/>
                  </w14:solidFill>
                </w14:textFill>
              </w:rPr>
            </w:pPr>
          </w:p>
        </w:tc>
        <w:tc>
          <w:tcPr>
            <w:tcW w:w="2392" w:type="dxa"/>
            <w:gridSpan w:val="2"/>
            <w:vAlign w:val="center"/>
          </w:tcPr>
          <w:p>
            <w:pPr>
              <w:widowControl w:val="0"/>
              <w:jc w:val="center"/>
              <w:rPr>
                <w:rFonts w:ascii="宋体" w:hAnsi="宋体" w:cs="Times New Roman"/>
                <w:color w:val="000000" w:themeColor="text1"/>
                <w:kern w:val="0"/>
                <w14:textFill>
                  <w14:solidFill>
                    <w14:schemeClr w14:val="tx1"/>
                  </w14:solidFill>
                </w14:textFill>
              </w:rPr>
            </w:pPr>
          </w:p>
        </w:tc>
        <w:tc>
          <w:tcPr>
            <w:tcW w:w="1196" w:type="dxa"/>
            <w:vAlign w:val="center"/>
          </w:tcPr>
          <w:p>
            <w:pPr>
              <w:widowControl w:val="0"/>
              <w:jc w:val="center"/>
              <w:rPr>
                <w:rFonts w:ascii="宋体" w:hAnsi="宋体" w:cs="Times New Roman"/>
                <w:color w:val="000000" w:themeColor="text1"/>
                <w:kern w:val="0"/>
                <w14:textFill>
                  <w14:solidFill>
                    <w14:schemeClr w14:val="tx1"/>
                  </w14:solidFill>
                </w14:textFill>
              </w:rPr>
            </w:pPr>
          </w:p>
        </w:tc>
      </w:tr>
    </w:tbl>
    <w:p>
      <w:pPr>
        <w:spacing w:line="4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注: </w:t>
      </w:r>
    </w:p>
    <w:p>
      <w:pPr>
        <w:widowControl w:val="0"/>
        <w:autoSpaceDE w:val="0"/>
        <w:autoSpaceDN w:val="0"/>
        <w:spacing w:before="7"/>
        <w:ind w:firstLine="420" w:firstLineChars="200"/>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w:t>
      </w:r>
      <w:r>
        <w:rPr>
          <w:rFonts w:hint="eastAsia" w:ascii="宋体" w:hAnsi="宋体"/>
          <w:b/>
          <w:bCs/>
          <w:color w:val="000000" w:themeColor="text1"/>
          <w:kern w:val="0"/>
          <w14:textFill>
            <w14:solidFill>
              <w14:schemeClr w14:val="tx1"/>
            </w14:solidFill>
          </w14:textFill>
        </w:rPr>
        <w:t>上表中</w:t>
      </w:r>
      <w:r>
        <w:rPr>
          <w:rFonts w:hint="eastAsia" w:ascii="宋体" w:hAnsi="宋体"/>
          <w:b/>
          <w:bCs/>
          <w:color w:val="000000" w:themeColor="text1"/>
          <w:kern w:val="0"/>
          <w:u w:val="single"/>
          <w14:textFill>
            <w14:solidFill>
              <w14:schemeClr w14:val="tx1"/>
            </w14:solidFill>
          </w14:textFill>
        </w:rPr>
        <w:t>1、2、3、5、7、8</w:t>
      </w:r>
      <w:r>
        <w:rPr>
          <w:rFonts w:hint="eastAsia" w:ascii="宋体" w:hAnsi="宋体"/>
          <w:b/>
          <w:bCs/>
          <w:color w:val="000000" w:themeColor="text1"/>
          <w:kern w:val="0"/>
          <w14:textFill>
            <w14:solidFill>
              <w14:schemeClr w14:val="tx1"/>
            </w14:solidFill>
          </w14:textFill>
        </w:rPr>
        <w:t>为核心产品，须为同一品牌</w:t>
      </w:r>
      <w:r>
        <w:rPr>
          <w:rFonts w:hint="eastAsia" w:ascii="宋体" w:hAnsi="宋体"/>
          <w:color w:val="000000" w:themeColor="text1"/>
          <w:kern w:val="0"/>
          <w14:textFill>
            <w14:solidFill>
              <w14:schemeClr w14:val="tx1"/>
            </w14:solidFill>
          </w14:textFill>
        </w:rPr>
        <w:t>。</w:t>
      </w:r>
    </w:p>
    <w:p>
      <w:pPr>
        <w:spacing w:line="460" w:lineRule="exact"/>
        <w:ind w:firstLine="420" w:firstLineChars="200"/>
        <w:rPr>
          <w:rFonts w:ascii="宋体" w:hAnsi="宋体"/>
          <w:b/>
          <w:bCs/>
          <w:color w:val="000000" w:themeColor="text1"/>
          <w:sz w:val="24"/>
          <w:szCs w:val="24"/>
          <w14:textFill>
            <w14:solidFill>
              <w14:schemeClr w14:val="tx1"/>
            </w14:solidFill>
          </w14:textFill>
        </w:rPr>
      </w:pPr>
      <w:r>
        <w:rPr>
          <w:rFonts w:hint="eastAsia" w:ascii="宋体" w:hAnsi="宋体"/>
          <w:color w:val="000000" w:themeColor="text1"/>
          <w14:textFill>
            <w14:solidFill>
              <w14:schemeClr w14:val="tx1"/>
            </w14:solidFill>
          </w14:textFill>
        </w:rPr>
        <w:t>2. 本项目价格均已包含设备供货、其他附件、安装配件、配套设施、包装 一切税费（ 包括关税、增值税等）、保险费、仓储费、安装和调试、验收、图纸、资料、质保期等投标和履约过程可预见或不可预见的一切费用，采购人不再支付除此之外的其它任何费用。</w:t>
      </w:r>
    </w:p>
    <w:p>
      <w:pPr>
        <w:spacing w:line="460" w:lineRule="exact"/>
        <w:ind w:firstLine="422" w:firstLineChars="200"/>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3.</w:t>
      </w:r>
      <w:r>
        <w:rPr>
          <w:rFonts w:hint="eastAsia" w:ascii="黑体" w:hAnsi="黑体" w:eastAsia="黑体" w:cs="黑体"/>
          <w:b/>
          <w:bCs/>
          <w:color w:val="000000" w:themeColor="text1"/>
          <w14:textFill>
            <w14:solidFill>
              <w14:schemeClr w14:val="tx1"/>
            </w14:solidFill>
          </w14:textFill>
        </w:rPr>
        <w:t>本项目采购已有实际实施案例的成熟产品，不接受数据对接外的功能性二次开发，所以，第一中标人中标排序公示后7天内，须到学校部署本项目的所有实际运行环境，学校组织专家（可能邀请本项目投标企业人员）对响应参数进行逐条验证。如有虚假响应，将取消其中标人排序资格，将其列入不诚信商家名单，同时上报至上级政采部门。如第一中标人不能满足，则验证第二中标人，以此类推。</w:t>
      </w:r>
    </w:p>
    <w:p>
      <w:pPr>
        <w:spacing w:line="460" w:lineRule="exact"/>
        <w:ind w:firstLine="422" w:firstLineChars="200"/>
        <w:rPr>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4.</w:t>
      </w:r>
      <w:r>
        <w:rPr>
          <w:rFonts w:hint="eastAsia" w:ascii="黑体" w:hAnsi="黑体" w:eastAsia="黑体" w:cs="黑体"/>
          <w:b/>
          <w:bCs/>
          <w:color w:val="000000" w:themeColor="text1"/>
          <w14:textFill>
            <w14:solidFill>
              <w14:schemeClr w14:val="tx1"/>
            </w14:solidFill>
          </w14:textFill>
        </w:rPr>
        <w:t>中标后7天内，须提供原厂质保函原件（投标时可使用复印件加盖公章），否则将取消中标资格</w:t>
      </w:r>
      <w:r>
        <w:rPr>
          <w:rFonts w:hint="eastAsia" w:ascii="宋体" w:hAnsi="宋体"/>
          <w:b/>
          <w:bCs/>
          <w:color w:val="000000" w:themeColor="text1"/>
          <w14:textFill>
            <w14:solidFill>
              <w14:schemeClr w14:val="tx1"/>
            </w14:solidFill>
          </w14:textFill>
        </w:rPr>
        <w:t>。质保函须对升级（软件终身免费升级，包括跨大版本及衍生版本升级，升级过程中产生的所有需求及工作量均免费）、技术支持、服务范围（须包含本项目所有建设内容）、期限、费用（报价中的延保价格）等做明确承诺。须承诺质保期内免费根据我校要求进行数据对接修改。</w:t>
      </w:r>
    </w:p>
    <w:p>
      <w:pPr>
        <w:ind w:firstLine="4320" w:firstLineChars="1800"/>
        <w:rPr>
          <w:rFonts w:ascii="宋体" w:hAnsi="宋体"/>
          <w:color w:val="000000" w:themeColor="text1"/>
          <w:sz w:val="24"/>
          <w:szCs w:val="24"/>
          <w14:textFill>
            <w14:solidFill>
              <w14:schemeClr w14:val="tx1"/>
            </w14:solidFill>
          </w14:textFill>
        </w:rPr>
      </w:pPr>
    </w:p>
    <w:p>
      <w:pPr>
        <w:ind w:firstLine="4320" w:firstLineChars="1800"/>
        <w:rPr>
          <w:rFonts w:ascii="宋体" w:hAnsi="宋体"/>
          <w:color w:val="000000" w:themeColor="text1"/>
          <w:sz w:val="24"/>
          <w:szCs w:val="24"/>
          <w14:textFill>
            <w14:solidFill>
              <w14:schemeClr w14:val="tx1"/>
            </w14:solidFill>
          </w14:textFill>
        </w:rPr>
      </w:pPr>
    </w:p>
    <w:p>
      <w:pPr>
        <w:ind w:firstLine="4320" w:firstLineChars="1800"/>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法定代表人或授权代表签字：</w:t>
      </w:r>
    </w:p>
    <w:p>
      <w:pPr>
        <w:spacing w:line="500" w:lineRule="exact"/>
        <w:jc w:val="right"/>
        <w:outlineLvl w:val="1"/>
        <w:rPr>
          <w:rFonts w:ascii="宋体"/>
          <w:color w:val="000000" w:themeColor="text1"/>
          <w:sz w:val="32"/>
          <w:szCs w:val="32"/>
          <w14:textFill>
            <w14:solidFill>
              <w14:schemeClr w14:val="tx1"/>
            </w14:solidFill>
          </w14:textFill>
        </w:rPr>
      </w:pPr>
      <w:r>
        <w:rPr>
          <w:rFonts w:hint="eastAsia" w:ascii="宋体" w:hAnsi="宋体"/>
          <w:color w:val="000000" w:themeColor="text1"/>
          <w:sz w:val="24"/>
          <w14:textFill>
            <w14:solidFill>
              <w14:schemeClr w14:val="tx1"/>
            </w14:solidFill>
          </w14:textFill>
        </w:rPr>
        <w:t>年月日</w:t>
      </w: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pStyle w:val="11"/>
        <w:ind w:left="1470" w:right="1470"/>
        <w:rPr>
          <w:rFonts w:ascii="宋体"/>
          <w:color w:val="000000" w:themeColor="text1"/>
          <w:sz w:val="32"/>
          <w:szCs w:val="32"/>
          <w14:textFill>
            <w14:solidFill>
              <w14:schemeClr w14:val="tx1"/>
            </w14:solidFill>
          </w14:textFill>
        </w:rPr>
      </w:pPr>
    </w:p>
    <w:p>
      <w:pPr>
        <w:pStyle w:val="11"/>
        <w:ind w:left="1470" w:right="1470"/>
        <w:rPr>
          <w:rFonts w:ascii="宋体"/>
          <w:color w:val="000000" w:themeColor="text1"/>
          <w:sz w:val="32"/>
          <w:szCs w:val="32"/>
          <w14:textFill>
            <w14:solidFill>
              <w14:schemeClr w14:val="tx1"/>
            </w14:solidFill>
          </w14:textFill>
        </w:rPr>
      </w:pPr>
    </w:p>
    <w:p>
      <w:pPr>
        <w:pStyle w:val="11"/>
        <w:ind w:left="1470" w:right="1470"/>
        <w:rPr>
          <w:rFonts w:ascii="宋体"/>
          <w:color w:val="000000" w:themeColor="text1"/>
          <w:sz w:val="32"/>
          <w:szCs w:val="32"/>
          <w14:textFill>
            <w14:solidFill>
              <w14:schemeClr w14:val="tx1"/>
            </w14:solidFill>
          </w14:textFill>
        </w:rPr>
      </w:pPr>
    </w:p>
    <w:p>
      <w:pPr>
        <w:pStyle w:val="11"/>
        <w:ind w:left="1470" w:right="1470"/>
        <w:rPr>
          <w:rFonts w:ascii="宋体"/>
          <w:color w:val="000000" w:themeColor="text1"/>
          <w:sz w:val="32"/>
          <w:szCs w:val="32"/>
          <w14:textFill>
            <w14:solidFill>
              <w14:schemeClr w14:val="tx1"/>
            </w14:solidFill>
          </w14:textFill>
        </w:rPr>
      </w:pPr>
    </w:p>
    <w:p>
      <w:pPr>
        <w:keepNext/>
        <w:keepLines/>
        <w:widowControl w:val="0"/>
        <w:spacing w:before="120" w:after="120"/>
        <w:outlineLvl w:val="0"/>
        <w:rPr>
          <w:rFonts w:ascii="黑体" w:hAnsi="黑体" w:eastAsia="黑体" w:cs="黑体"/>
          <w:b/>
          <w:bCs/>
          <w:color w:val="000000" w:themeColor="text1"/>
          <w:sz w:val="30"/>
          <w:szCs w:val="30"/>
          <w14:textFill>
            <w14:solidFill>
              <w14:schemeClr w14:val="tx1"/>
            </w14:solidFill>
          </w14:textFill>
        </w:rPr>
      </w:pPr>
      <w:bookmarkStart w:id="76" w:name="_Toc15789"/>
      <w:bookmarkStart w:id="77" w:name="_Toc30772"/>
    </w:p>
    <w:p>
      <w:pPr>
        <w:keepNext/>
        <w:keepLines/>
        <w:widowControl w:val="0"/>
        <w:spacing w:before="120" w:after="120"/>
        <w:outlineLvl w:val="0"/>
        <w:rPr>
          <w:rFonts w:ascii="黑体" w:hAnsi="黑体" w:eastAsia="黑体" w:cs="黑体"/>
          <w:b/>
          <w:bCs/>
          <w:color w:val="000000" w:themeColor="text1"/>
          <w:sz w:val="30"/>
          <w:szCs w:val="30"/>
          <w14:textFill>
            <w14:solidFill>
              <w14:schemeClr w14:val="tx1"/>
            </w14:solidFill>
          </w14:textFill>
        </w:rPr>
      </w:pPr>
    </w:p>
    <w:p>
      <w:pPr>
        <w:pStyle w:val="2"/>
        <w:rPr>
          <w:color w:val="000000" w:themeColor="text1"/>
          <w14:textFill>
            <w14:solidFill>
              <w14:schemeClr w14:val="tx1"/>
            </w14:solidFill>
          </w14:textFill>
        </w:rPr>
      </w:pPr>
    </w:p>
    <w:p>
      <w:pPr>
        <w:keepNext/>
        <w:keepLines/>
        <w:widowControl w:val="0"/>
        <w:spacing w:before="120" w:after="120"/>
        <w:jc w:val="center"/>
        <w:outlineLvl w:val="0"/>
        <w:rPr>
          <w:rFonts w:ascii="黑体" w:hAnsi="黑体" w:eastAsia="黑体" w:cs="黑体"/>
          <w:b/>
          <w:bCs/>
          <w:color w:val="000000" w:themeColor="text1"/>
          <w:kern w:val="44"/>
          <w:sz w:val="30"/>
          <w:szCs w:val="30"/>
          <w14:textFill>
            <w14:solidFill>
              <w14:schemeClr w14:val="tx1"/>
            </w14:solidFill>
          </w14:textFill>
        </w:rPr>
      </w:pPr>
      <w:r>
        <w:rPr>
          <w:rFonts w:hint="eastAsia" w:ascii="黑体" w:hAnsi="黑体" w:eastAsia="黑体" w:cs="黑体"/>
          <w:b/>
          <w:bCs/>
          <w:color w:val="000000" w:themeColor="text1"/>
          <w:sz w:val="30"/>
          <w:szCs w:val="30"/>
          <w14:textFill>
            <w14:solidFill>
              <w14:schemeClr w14:val="tx1"/>
            </w14:solidFill>
          </w14:textFill>
        </w:rPr>
        <w:t>2.系统集成服务承诺函</w:t>
      </w:r>
    </w:p>
    <w:p>
      <w:pPr>
        <w:spacing w:line="46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盐城工业职业技术学院： </w:t>
      </w:r>
    </w:p>
    <w:p>
      <w:pPr>
        <w:spacing w:line="46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我方愿参与贵校“盐城工业职业技术学院数据中心与数据治理平台项目”投标，如有幸中标，我方做出以下承诺： </w:t>
      </w:r>
    </w:p>
    <w:p>
      <w:pPr>
        <w:spacing w:line="46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1、系统实施过程中，按贵校已有的统一数据信息标准实施，如涉及的数据信息标准贵校还未建立，则提交贵校信息标准主管部门审核后再实施，否则我方承担一切后果。</w:t>
      </w:r>
    </w:p>
    <w:p>
      <w:pPr>
        <w:spacing w:line="46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项目验收前，提供全量的表结构（包括表结构的血缘关系）、数据字典的电子版和纸质版，其中纸质版加盖我方公章。我方提供的全量表结构、数据字典接受校方的检查，如有错误或遗漏，同意按以下标准从中标价里扣除，作为对我方进行处罚：10000元/表；2000元/数据编码。 </w:t>
      </w:r>
    </w:p>
    <w:p>
      <w:pPr>
        <w:spacing w:line="46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3、贵校第三方系统如需与我方系统进行集成，我方提供以下内容：提供软、硬件对接接口；提供满足需要的数据库的相关数据字典；提供准确的系统接口功能清单、说明及示例代码等；提供技术支持，配合对接工作，根据校方、第三方集成需要，进行适当的二次开发以顺利完成集成（至少包含单点登录接口开发、 双向数据推送共享及必要的中间库开发）。有新的接口包须及时更新并提供学校参考。 </w:t>
      </w:r>
    </w:p>
    <w:p>
      <w:pPr>
        <w:spacing w:line="46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包含以上内容的第三方系统集成服务收费标准： </w:t>
      </w:r>
    </w:p>
    <w:p>
      <w:pPr>
        <w:spacing w:line="46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3.1 在质保期内，免费。 </w:t>
      </w:r>
    </w:p>
    <w:p>
      <w:pPr>
        <w:spacing w:line="46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 质保期结束后，系统集成价格为</w:t>
      </w:r>
      <w:r>
        <w:rPr>
          <w:rFonts w:hint="eastAsia" w:ascii="宋体" w:hAnsi="宋体"/>
          <w:color w:val="000000" w:themeColor="text1"/>
          <w:sz w:val="24"/>
          <w:u w:val="single"/>
          <w14:textFill>
            <w14:solidFill>
              <w14:schemeClr w14:val="tx1"/>
            </w14:solidFill>
          </w14:textFill>
        </w:rPr>
        <w:t xml:space="preserve"> X  </w:t>
      </w:r>
      <w:r>
        <w:rPr>
          <w:rFonts w:hint="eastAsia" w:ascii="宋体" w:hAnsi="宋体"/>
          <w:color w:val="000000" w:themeColor="text1"/>
          <w:sz w:val="24"/>
          <w14:textFill>
            <w14:solidFill>
              <w14:schemeClr w14:val="tx1"/>
            </w14:solidFill>
          </w14:textFill>
        </w:rPr>
        <w:t>万元/个。</w:t>
      </w:r>
    </w:p>
    <w:p>
      <w:pPr>
        <w:spacing w:line="460" w:lineRule="exact"/>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4、质保期结束后，整体平台的维护费（质保）为</w:t>
      </w:r>
      <w:r>
        <w:rPr>
          <w:rFonts w:hint="eastAsia" w:ascii="宋体" w:hAnsi="宋体"/>
          <w:color w:val="000000" w:themeColor="text1"/>
          <w:sz w:val="24"/>
          <w:u w:val="single"/>
          <w14:textFill>
            <w14:solidFill>
              <w14:schemeClr w14:val="tx1"/>
            </w14:solidFill>
          </w14:textFill>
        </w:rPr>
        <w:t xml:space="preserve">  Y  </w:t>
      </w:r>
      <w:r>
        <w:rPr>
          <w:rFonts w:hint="eastAsia" w:ascii="宋体" w:hAnsi="宋体"/>
          <w:color w:val="000000" w:themeColor="text1"/>
          <w:sz w:val="24"/>
          <w14:textFill>
            <w14:solidFill>
              <w14:schemeClr w14:val="tx1"/>
            </w14:solidFill>
          </w14:textFill>
        </w:rPr>
        <w:t>万元/年；信息业务系统的服务费用（包括：搭建底层数据资产体系，提供全量数据集成、治理、共享）≤5万元/个。</w:t>
      </w:r>
    </w:p>
    <w:p>
      <w:pPr>
        <w:keepNext/>
        <w:keepLines/>
        <w:widowControl w:val="0"/>
        <w:wordWrap w:val="0"/>
        <w:spacing w:line="360" w:lineRule="auto"/>
        <w:ind w:firstLine="3600" w:firstLineChars="1500"/>
        <w:outlineLvl w:val="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投标人名称（公章）： </w:t>
      </w:r>
    </w:p>
    <w:p>
      <w:pPr>
        <w:keepNext/>
        <w:keepLines/>
        <w:widowControl w:val="0"/>
        <w:wordWrap w:val="0"/>
        <w:spacing w:line="360" w:lineRule="auto"/>
        <w:ind w:firstLine="3600" w:firstLineChars="1500"/>
        <w:outlineLvl w:val="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投标人代表（签字）： </w:t>
      </w:r>
    </w:p>
    <w:p>
      <w:pPr>
        <w:keepNext/>
        <w:keepLines/>
        <w:widowControl w:val="0"/>
        <w:wordWrap w:val="0"/>
        <w:spacing w:line="360" w:lineRule="auto"/>
        <w:ind w:firstLine="3840" w:firstLineChars="1600"/>
        <w:outlineLvl w:val="0"/>
        <w:rPr>
          <w:rFonts w:ascii="宋体" w:hAnsi="宋体" w:eastAsia="黑体" w:cs="Times New Roman"/>
          <w:b/>
          <w:color w:val="000000" w:themeColor="text1"/>
          <w:kern w:val="44"/>
          <w:sz w:val="32"/>
          <w:szCs w:val="44"/>
          <w14:textFill>
            <w14:solidFill>
              <w14:schemeClr w14:val="tx1"/>
            </w14:solidFill>
          </w14:textFill>
        </w:rPr>
      </w:pPr>
      <w:r>
        <w:rPr>
          <w:rFonts w:ascii="宋体" w:hAnsi="宋体"/>
          <w:color w:val="000000" w:themeColor="text1"/>
          <w:sz w:val="24"/>
          <w:szCs w:val="24"/>
          <w14:textFill>
            <w14:solidFill>
              <w14:schemeClr w14:val="tx1"/>
            </w14:solidFill>
          </w14:textFill>
        </w:rPr>
        <w:t>日期：</w:t>
      </w:r>
    </w:p>
    <w:p>
      <w:pPr>
        <w:rPr>
          <w:rFonts w:ascii="宋体" w:hAnsi="宋体"/>
          <w:b/>
          <w:bCs/>
          <w:color w:val="000000" w:themeColor="text1"/>
          <w14:textFill>
            <w14:solidFill>
              <w14:schemeClr w14:val="tx1"/>
            </w14:solidFill>
          </w14:textFill>
        </w:rPr>
      </w:pPr>
    </w:p>
    <w:p>
      <w:pP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注：</w:t>
      </w:r>
      <w:r>
        <w:rPr>
          <w:rFonts w:hint="eastAsia" w:ascii="宋体" w:hAnsi="宋体"/>
          <w:b/>
          <w:bCs/>
          <w:color w:val="000000" w:themeColor="text1"/>
          <w14:textFill>
            <w14:solidFill>
              <w14:schemeClr w14:val="tx1"/>
            </w14:solidFill>
          </w14:textFill>
        </w:rPr>
        <w:tab/>
      </w:r>
      <w:r>
        <w:rPr>
          <w:rFonts w:hint="eastAsia" w:ascii="宋体" w:hAnsi="宋体"/>
          <w:b/>
          <w:bCs/>
          <w:color w:val="000000" w:themeColor="text1"/>
          <w14:textFill>
            <w14:solidFill>
              <w14:schemeClr w14:val="tx1"/>
            </w14:solidFill>
          </w14:textFill>
        </w:rPr>
        <w:t>1.</w:t>
      </w:r>
      <w:r>
        <w:rPr>
          <w:rFonts w:hint="eastAsia" w:ascii="宋体" w:hAnsi="宋体"/>
          <w:b/>
          <w:bCs/>
          <w:color w:val="000000" w:themeColor="text1"/>
          <w:u w:val="single"/>
          <w14:textFill>
            <w14:solidFill>
              <w14:schemeClr w14:val="tx1"/>
            </w14:solidFill>
          </w14:textFill>
        </w:rPr>
        <w:t>X</w:t>
      </w:r>
      <w:r>
        <w:rPr>
          <w:rFonts w:hint="eastAsia" w:ascii="宋体" w:hAnsi="宋体"/>
          <w:b/>
          <w:bCs/>
          <w:color w:val="000000" w:themeColor="text1"/>
          <w14:textFill>
            <w14:solidFill>
              <w14:schemeClr w14:val="tx1"/>
            </w14:solidFill>
          </w14:textFill>
        </w:rPr>
        <w:t>的值为“原厂数据集成服务价格”报价；</w:t>
      </w:r>
    </w:p>
    <w:p>
      <w:pPr>
        <w:ind w:firstLine="422" w:firstLineChars="200"/>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2.</w:t>
      </w:r>
      <w:r>
        <w:rPr>
          <w:rFonts w:hint="eastAsia" w:ascii="宋体" w:hAnsi="宋体"/>
          <w:b/>
          <w:bCs/>
          <w:color w:val="000000" w:themeColor="text1"/>
          <w:u w:val="single"/>
          <w14:textFill>
            <w14:solidFill>
              <w14:schemeClr w14:val="tx1"/>
            </w14:solidFill>
          </w14:textFill>
        </w:rPr>
        <w:t>Y</w:t>
      </w:r>
      <w:r>
        <w:rPr>
          <w:rFonts w:hint="eastAsia" w:ascii="宋体" w:hAnsi="宋体"/>
          <w:b/>
          <w:bCs/>
          <w:color w:val="000000" w:themeColor="text1"/>
          <w14:textFill>
            <w14:solidFill>
              <w14:schemeClr w14:val="tx1"/>
            </w14:solidFill>
          </w14:textFill>
        </w:rPr>
        <w:t>的值为“延保价格”报价；</w:t>
      </w:r>
    </w:p>
    <w:p>
      <w:pPr>
        <w:snapToGrid w:val="0"/>
        <w:spacing w:before="50" w:after="50"/>
        <w:ind w:firstLine="422" w:firstLineChars="200"/>
        <w:outlineLvl w:val="0"/>
        <w:rPr>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3.以上内容必须提供，且除X和Y的值外不可更改，否则不作为中标候选人排列。</w:t>
      </w:r>
    </w:p>
    <w:p>
      <w:pPr>
        <w:snapToGrid w:val="0"/>
        <w:spacing w:before="50" w:after="50"/>
        <w:jc w:val="center"/>
        <w:outlineLvl w:val="0"/>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br w:type="page"/>
      </w:r>
      <w:r>
        <w:rPr>
          <w:rFonts w:hint="eastAsia" w:ascii="宋体" w:hAnsi="宋体"/>
          <w:b/>
          <w:bCs/>
          <w:color w:val="000000" w:themeColor="text1"/>
          <w:sz w:val="32"/>
          <w:szCs w:val="32"/>
          <w14:textFill>
            <w14:solidFill>
              <w14:schemeClr w14:val="tx1"/>
            </w14:solidFill>
          </w14:textFill>
        </w:rPr>
        <w:t>七、技术参数响应及偏离表（如有）</w:t>
      </w:r>
      <w:bookmarkEnd w:id="76"/>
      <w:bookmarkEnd w:id="77"/>
    </w:p>
    <w:p>
      <w:pPr>
        <w:jc w:val="center"/>
        <w:rPr>
          <w:rFonts w:ascii="宋体"/>
          <w:color w:val="000000" w:themeColor="text1"/>
          <w:sz w:val="24"/>
          <w:szCs w:val="24"/>
          <w14:textFill>
            <w14:solidFill>
              <w14:schemeClr w14:val="tx1"/>
            </w14:solidFill>
          </w14:textFill>
        </w:rPr>
      </w:pPr>
    </w:p>
    <w:p>
      <w:pP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投标人全称（加盖公章）：</w:t>
      </w:r>
    </w:p>
    <w:tbl>
      <w:tblPr>
        <w:tblStyle w:val="22"/>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序号</w:t>
            </w:r>
          </w:p>
        </w:tc>
        <w:tc>
          <w:tcPr>
            <w:tcW w:w="2852" w:type="dxa"/>
            <w:vAlign w:val="center"/>
          </w:tcPr>
          <w:p>
            <w:pP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招标要求</w:t>
            </w:r>
          </w:p>
        </w:tc>
        <w:tc>
          <w:tcPr>
            <w:tcW w:w="2852" w:type="dxa"/>
            <w:vAlign w:val="center"/>
          </w:tcPr>
          <w:p>
            <w:pP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投标响应</w:t>
            </w:r>
          </w:p>
        </w:tc>
        <w:tc>
          <w:tcPr>
            <w:tcW w:w="1308" w:type="dxa"/>
            <w:vAlign w:val="center"/>
          </w:tcPr>
          <w:p>
            <w:pP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超出、符合或偏离</w:t>
            </w:r>
          </w:p>
        </w:tc>
        <w:tc>
          <w:tcPr>
            <w:tcW w:w="1173" w:type="dxa"/>
            <w:vAlign w:val="center"/>
          </w:tcPr>
          <w:p>
            <w:pPr>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14:textFill>
                  <w14:solidFill>
                    <w14:schemeClr w14:val="tx1"/>
                  </w14:solidFill>
                </w14:textFill>
              </w:rPr>
            </w:pPr>
          </w:p>
        </w:tc>
        <w:tc>
          <w:tcPr>
            <w:tcW w:w="2852" w:type="dxa"/>
          </w:tcPr>
          <w:p>
            <w:pPr>
              <w:jc w:val="center"/>
              <w:rPr>
                <w:rFonts w:ascii="宋体"/>
                <w:color w:val="000000" w:themeColor="text1"/>
                <w:sz w:val="24"/>
                <w:szCs w:val="24"/>
                <w14:textFill>
                  <w14:solidFill>
                    <w14:schemeClr w14:val="tx1"/>
                  </w14:solidFill>
                </w14:textFill>
              </w:rPr>
            </w:pPr>
          </w:p>
        </w:tc>
        <w:tc>
          <w:tcPr>
            <w:tcW w:w="2852" w:type="dxa"/>
          </w:tcPr>
          <w:p>
            <w:pPr>
              <w:jc w:val="center"/>
              <w:rPr>
                <w:rFonts w:ascii="宋体"/>
                <w:color w:val="000000" w:themeColor="text1"/>
                <w:sz w:val="24"/>
                <w:szCs w:val="24"/>
                <w14:textFill>
                  <w14:solidFill>
                    <w14:schemeClr w14:val="tx1"/>
                  </w14:solidFill>
                </w14:textFill>
              </w:rPr>
            </w:pPr>
          </w:p>
        </w:tc>
        <w:tc>
          <w:tcPr>
            <w:tcW w:w="1308" w:type="dxa"/>
          </w:tcPr>
          <w:p>
            <w:pPr>
              <w:jc w:val="center"/>
              <w:rPr>
                <w:rFonts w:ascii="宋体"/>
                <w:color w:val="000000" w:themeColor="text1"/>
                <w:sz w:val="24"/>
                <w:szCs w:val="24"/>
                <w14:textFill>
                  <w14:solidFill>
                    <w14:schemeClr w14:val="tx1"/>
                  </w14:solidFill>
                </w14:textFill>
              </w:rPr>
            </w:pPr>
          </w:p>
        </w:tc>
        <w:tc>
          <w:tcPr>
            <w:tcW w:w="1173" w:type="dxa"/>
          </w:tcPr>
          <w:p>
            <w:pPr>
              <w:jc w:val="cente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14:textFill>
                  <w14:solidFill>
                    <w14:schemeClr w14:val="tx1"/>
                  </w14:solidFill>
                </w14:textFill>
              </w:rPr>
            </w:pPr>
          </w:p>
        </w:tc>
        <w:tc>
          <w:tcPr>
            <w:tcW w:w="2852" w:type="dxa"/>
          </w:tcPr>
          <w:p>
            <w:pPr>
              <w:jc w:val="center"/>
              <w:rPr>
                <w:rFonts w:ascii="宋体"/>
                <w:color w:val="000000" w:themeColor="text1"/>
                <w:sz w:val="24"/>
                <w:szCs w:val="24"/>
                <w14:textFill>
                  <w14:solidFill>
                    <w14:schemeClr w14:val="tx1"/>
                  </w14:solidFill>
                </w14:textFill>
              </w:rPr>
            </w:pPr>
          </w:p>
        </w:tc>
        <w:tc>
          <w:tcPr>
            <w:tcW w:w="2852" w:type="dxa"/>
          </w:tcPr>
          <w:p>
            <w:pPr>
              <w:jc w:val="center"/>
              <w:rPr>
                <w:rFonts w:ascii="宋体"/>
                <w:color w:val="000000" w:themeColor="text1"/>
                <w:sz w:val="24"/>
                <w:szCs w:val="24"/>
                <w14:textFill>
                  <w14:solidFill>
                    <w14:schemeClr w14:val="tx1"/>
                  </w14:solidFill>
                </w14:textFill>
              </w:rPr>
            </w:pPr>
          </w:p>
        </w:tc>
        <w:tc>
          <w:tcPr>
            <w:tcW w:w="1308" w:type="dxa"/>
          </w:tcPr>
          <w:p>
            <w:pPr>
              <w:jc w:val="center"/>
              <w:rPr>
                <w:rFonts w:ascii="宋体"/>
                <w:color w:val="000000" w:themeColor="text1"/>
                <w:sz w:val="24"/>
                <w:szCs w:val="24"/>
                <w14:textFill>
                  <w14:solidFill>
                    <w14:schemeClr w14:val="tx1"/>
                  </w14:solidFill>
                </w14:textFill>
              </w:rPr>
            </w:pPr>
          </w:p>
        </w:tc>
        <w:tc>
          <w:tcPr>
            <w:tcW w:w="1173" w:type="dxa"/>
          </w:tcPr>
          <w:p>
            <w:pPr>
              <w:jc w:val="cente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14:textFill>
                  <w14:solidFill>
                    <w14:schemeClr w14:val="tx1"/>
                  </w14:solidFill>
                </w14:textFill>
              </w:rPr>
            </w:pPr>
          </w:p>
        </w:tc>
        <w:tc>
          <w:tcPr>
            <w:tcW w:w="2852" w:type="dxa"/>
          </w:tcPr>
          <w:p>
            <w:pPr>
              <w:jc w:val="center"/>
              <w:rPr>
                <w:rFonts w:ascii="宋体"/>
                <w:color w:val="000000" w:themeColor="text1"/>
                <w:sz w:val="24"/>
                <w:szCs w:val="24"/>
                <w14:textFill>
                  <w14:solidFill>
                    <w14:schemeClr w14:val="tx1"/>
                  </w14:solidFill>
                </w14:textFill>
              </w:rPr>
            </w:pPr>
          </w:p>
        </w:tc>
        <w:tc>
          <w:tcPr>
            <w:tcW w:w="2852" w:type="dxa"/>
          </w:tcPr>
          <w:p>
            <w:pPr>
              <w:jc w:val="center"/>
              <w:rPr>
                <w:rFonts w:ascii="宋体"/>
                <w:color w:val="000000" w:themeColor="text1"/>
                <w:sz w:val="24"/>
                <w:szCs w:val="24"/>
                <w14:textFill>
                  <w14:solidFill>
                    <w14:schemeClr w14:val="tx1"/>
                  </w14:solidFill>
                </w14:textFill>
              </w:rPr>
            </w:pPr>
          </w:p>
        </w:tc>
        <w:tc>
          <w:tcPr>
            <w:tcW w:w="1308" w:type="dxa"/>
          </w:tcPr>
          <w:p>
            <w:pPr>
              <w:jc w:val="center"/>
              <w:rPr>
                <w:rFonts w:ascii="宋体"/>
                <w:color w:val="000000" w:themeColor="text1"/>
                <w:sz w:val="24"/>
                <w:szCs w:val="24"/>
                <w14:textFill>
                  <w14:solidFill>
                    <w14:schemeClr w14:val="tx1"/>
                  </w14:solidFill>
                </w14:textFill>
              </w:rPr>
            </w:pPr>
          </w:p>
        </w:tc>
        <w:tc>
          <w:tcPr>
            <w:tcW w:w="1173" w:type="dxa"/>
          </w:tcPr>
          <w:p>
            <w:pPr>
              <w:jc w:val="cente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14:textFill>
                  <w14:solidFill>
                    <w14:schemeClr w14:val="tx1"/>
                  </w14:solidFill>
                </w14:textFill>
              </w:rPr>
            </w:pPr>
          </w:p>
        </w:tc>
        <w:tc>
          <w:tcPr>
            <w:tcW w:w="2852" w:type="dxa"/>
          </w:tcPr>
          <w:p>
            <w:pPr>
              <w:jc w:val="center"/>
              <w:rPr>
                <w:rFonts w:ascii="宋体"/>
                <w:color w:val="000000" w:themeColor="text1"/>
                <w:sz w:val="24"/>
                <w:szCs w:val="24"/>
                <w14:textFill>
                  <w14:solidFill>
                    <w14:schemeClr w14:val="tx1"/>
                  </w14:solidFill>
                </w14:textFill>
              </w:rPr>
            </w:pPr>
          </w:p>
        </w:tc>
        <w:tc>
          <w:tcPr>
            <w:tcW w:w="2852" w:type="dxa"/>
          </w:tcPr>
          <w:p>
            <w:pPr>
              <w:jc w:val="center"/>
              <w:rPr>
                <w:rFonts w:ascii="宋体"/>
                <w:color w:val="000000" w:themeColor="text1"/>
                <w:sz w:val="24"/>
                <w:szCs w:val="24"/>
                <w14:textFill>
                  <w14:solidFill>
                    <w14:schemeClr w14:val="tx1"/>
                  </w14:solidFill>
                </w14:textFill>
              </w:rPr>
            </w:pPr>
          </w:p>
        </w:tc>
        <w:tc>
          <w:tcPr>
            <w:tcW w:w="1308" w:type="dxa"/>
          </w:tcPr>
          <w:p>
            <w:pPr>
              <w:jc w:val="center"/>
              <w:rPr>
                <w:rFonts w:ascii="宋体"/>
                <w:color w:val="000000" w:themeColor="text1"/>
                <w:sz w:val="24"/>
                <w:szCs w:val="24"/>
                <w14:textFill>
                  <w14:solidFill>
                    <w14:schemeClr w14:val="tx1"/>
                  </w14:solidFill>
                </w14:textFill>
              </w:rPr>
            </w:pPr>
          </w:p>
        </w:tc>
        <w:tc>
          <w:tcPr>
            <w:tcW w:w="1173" w:type="dxa"/>
          </w:tcPr>
          <w:p>
            <w:pPr>
              <w:jc w:val="cente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14:textFill>
                  <w14:solidFill>
                    <w14:schemeClr w14:val="tx1"/>
                  </w14:solidFill>
                </w14:textFill>
              </w:rPr>
            </w:pPr>
          </w:p>
        </w:tc>
        <w:tc>
          <w:tcPr>
            <w:tcW w:w="2852" w:type="dxa"/>
          </w:tcPr>
          <w:p>
            <w:pPr>
              <w:jc w:val="center"/>
              <w:rPr>
                <w:rFonts w:ascii="宋体"/>
                <w:color w:val="000000" w:themeColor="text1"/>
                <w:sz w:val="24"/>
                <w:szCs w:val="24"/>
                <w14:textFill>
                  <w14:solidFill>
                    <w14:schemeClr w14:val="tx1"/>
                  </w14:solidFill>
                </w14:textFill>
              </w:rPr>
            </w:pPr>
          </w:p>
        </w:tc>
        <w:tc>
          <w:tcPr>
            <w:tcW w:w="2852" w:type="dxa"/>
          </w:tcPr>
          <w:p>
            <w:pPr>
              <w:jc w:val="center"/>
              <w:rPr>
                <w:rFonts w:ascii="宋体"/>
                <w:color w:val="000000" w:themeColor="text1"/>
                <w:sz w:val="24"/>
                <w:szCs w:val="24"/>
                <w14:textFill>
                  <w14:solidFill>
                    <w14:schemeClr w14:val="tx1"/>
                  </w14:solidFill>
                </w14:textFill>
              </w:rPr>
            </w:pPr>
          </w:p>
        </w:tc>
        <w:tc>
          <w:tcPr>
            <w:tcW w:w="1308" w:type="dxa"/>
          </w:tcPr>
          <w:p>
            <w:pPr>
              <w:jc w:val="center"/>
              <w:rPr>
                <w:rFonts w:ascii="宋体"/>
                <w:color w:val="000000" w:themeColor="text1"/>
                <w:sz w:val="24"/>
                <w:szCs w:val="24"/>
                <w14:textFill>
                  <w14:solidFill>
                    <w14:schemeClr w14:val="tx1"/>
                  </w14:solidFill>
                </w14:textFill>
              </w:rPr>
            </w:pPr>
          </w:p>
        </w:tc>
        <w:tc>
          <w:tcPr>
            <w:tcW w:w="1173" w:type="dxa"/>
          </w:tcPr>
          <w:p>
            <w:pPr>
              <w:jc w:val="cente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14:textFill>
                  <w14:solidFill>
                    <w14:schemeClr w14:val="tx1"/>
                  </w14:solidFill>
                </w14:textFill>
              </w:rPr>
            </w:pPr>
          </w:p>
        </w:tc>
        <w:tc>
          <w:tcPr>
            <w:tcW w:w="2852" w:type="dxa"/>
          </w:tcPr>
          <w:p>
            <w:pPr>
              <w:jc w:val="center"/>
              <w:rPr>
                <w:rFonts w:ascii="宋体"/>
                <w:color w:val="000000" w:themeColor="text1"/>
                <w:sz w:val="24"/>
                <w:szCs w:val="24"/>
                <w14:textFill>
                  <w14:solidFill>
                    <w14:schemeClr w14:val="tx1"/>
                  </w14:solidFill>
                </w14:textFill>
              </w:rPr>
            </w:pPr>
          </w:p>
        </w:tc>
        <w:tc>
          <w:tcPr>
            <w:tcW w:w="2852" w:type="dxa"/>
          </w:tcPr>
          <w:p>
            <w:pPr>
              <w:jc w:val="center"/>
              <w:rPr>
                <w:rFonts w:ascii="宋体"/>
                <w:color w:val="000000" w:themeColor="text1"/>
                <w:sz w:val="24"/>
                <w:szCs w:val="24"/>
                <w14:textFill>
                  <w14:solidFill>
                    <w14:schemeClr w14:val="tx1"/>
                  </w14:solidFill>
                </w14:textFill>
              </w:rPr>
            </w:pPr>
          </w:p>
        </w:tc>
        <w:tc>
          <w:tcPr>
            <w:tcW w:w="1308" w:type="dxa"/>
          </w:tcPr>
          <w:p>
            <w:pPr>
              <w:jc w:val="center"/>
              <w:rPr>
                <w:rFonts w:ascii="宋体"/>
                <w:color w:val="000000" w:themeColor="text1"/>
                <w:sz w:val="24"/>
                <w:szCs w:val="24"/>
                <w14:textFill>
                  <w14:solidFill>
                    <w14:schemeClr w14:val="tx1"/>
                  </w14:solidFill>
                </w14:textFill>
              </w:rPr>
            </w:pPr>
          </w:p>
        </w:tc>
        <w:tc>
          <w:tcPr>
            <w:tcW w:w="1173" w:type="dxa"/>
          </w:tcPr>
          <w:p>
            <w:pPr>
              <w:jc w:val="cente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14:textFill>
                  <w14:solidFill>
                    <w14:schemeClr w14:val="tx1"/>
                  </w14:solidFill>
                </w14:textFill>
              </w:rPr>
            </w:pPr>
          </w:p>
        </w:tc>
        <w:tc>
          <w:tcPr>
            <w:tcW w:w="2852" w:type="dxa"/>
          </w:tcPr>
          <w:p>
            <w:pPr>
              <w:jc w:val="center"/>
              <w:rPr>
                <w:rFonts w:ascii="宋体"/>
                <w:color w:val="000000" w:themeColor="text1"/>
                <w:sz w:val="24"/>
                <w:szCs w:val="24"/>
                <w14:textFill>
                  <w14:solidFill>
                    <w14:schemeClr w14:val="tx1"/>
                  </w14:solidFill>
                </w14:textFill>
              </w:rPr>
            </w:pPr>
          </w:p>
        </w:tc>
        <w:tc>
          <w:tcPr>
            <w:tcW w:w="2852" w:type="dxa"/>
          </w:tcPr>
          <w:p>
            <w:pPr>
              <w:jc w:val="center"/>
              <w:rPr>
                <w:rFonts w:ascii="宋体"/>
                <w:color w:val="000000" w:themeColor="text1"/>
                <w:sz w:val="24"/>
                <w:szCs w:val="24"/>
                <w14:textFill>
                  <w14:solidFill>
                    <w14:schemeClr w14:val="tx1"/>
                  </w14:solidFill>
                </w14:textFill>
              </w:rPr>
            </w:pPr>
          </w:p>
        </w:tc>
        <w:tc>
          <w:tcPr>
            <w:tcW w:w="1308" w:type="dxa"/>
          </w:tcPr>
          <w:p>
            <w:pPr>
              <w:jc w:val="center"/>
              <w:rPr>
                <w:rFonts w:ascii="宋体"/>
                <w:color w:val="000000" w:themeColor="text1"/>
                <w:sz w:val="24"/>
                <w:szCs w:val="24"/>
                <w14:textFill>
                  <w14:solidFill>
                    <w14:schemeClr w14:val="tx1"/>
                  </w14:solidFill>
                </w14:textFill>
              </w:rPr>
            </w:pPr>
          </w:p>
        </w:tc>
        <w:tc>
          <w:tcPr>
            <w:tcW w:w="1173" w:type="dxa"/>
          </w:tcPr>
          <w:p>
            <w:pPr>
              <w:jc w:val="cente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14:textFill>
                  <w14:solidFill>
                    <w14:schemeClr w14:val="tx1"/>
                  </w14:solidFill>
                </w14:textFill>
              </w:rPr>
            </w:pPr>
          </w:p>
        </w:tc>
        <w:tc>
          <w:tcPr>
            <w:tcW w:w="2852" w:type="dxa"/>
          </w:tcPr>
          <w:p>
            <w:pPr>
              <w:jc w:val="center"/>
              <w:rPr>
                <w:rFonts w:ascii="宋体"/>
                <w:color w:val="000000" w:themeColor="text1"/>
                <w:sz w:val="24"/>
                <w:szCs w:val="24"/>
                <w14:textFill>
                  <w14:solidFill>
                    <w14:schemeClr w14:val="tx1"/>
                  </w14:solidFill>
                </w14:textFill>
              </w:rPr>
            </w:pPr>
          </w:p>
        </w:tc>
        <w:tc>
          <w:tcPr>
            <w:tcW w:w="2852" w:type="dxa"/>
          </w:tcPr>
          <w:p>
            <w:pPr>
              <w:jc w:val="center"/>
              <w:rPr>
                <w:rFonts w:ascii="宋体"/>
                <w:color w:val="000000" w:themeColor="text1"/>
                <w:sz w:val="24"/>
                <w:szCs w:val="24"/>
                <w14:textFill>
                  <w14:solidFill>
                    <w14:schemeClr w14:val="tx1"/>
                  </w14:solidFill>
                </w14:textFill>
              </w:rPr>
            </w:pPr>
          </w:p>
        </w:tc>
        <w:tc>
          <w:tcPr>
            <w:tcW w:w="1308" w:type="dxa"/>
          </w:tcPr>
          <w:p>
            <w:pPr>
              <w:jc w:val="center"/>
              <w:rPr>
                <w:rFonts w:ascii="宋体"/>
                <w:color w:val="000000" w:themeColor="text1"/>
                <w:sz w:val="24"/>
                <w:szCs w:val="24"/>
                <w14:textFill>
                  <w14:solidFill>
                    <w14:schemeClr w14:val="tx1"/>
                  </w14:solidFill>
                </w14:textFill>
              </w:rPr>
            </w:pPr>
          </w:p>
        </w:tc>
        <w:tc>
          <w:tcPr>
            <w:tcW w:w="1173" w:type="dxa"/>
          </w:tcPr>
          <w:p>
            <w:pPr>
              <w:jc w:val="center"/>
              <w:rPr>
                <w:rFonts w:ascii="宋体"/>
                <w:color w:val="000000" w:themeColor="text1"/>
                <w:sz w:val="24"/>
                <w:szCs w:val="24"/>
                <w14:textFill>
                  <w14:solidFill>
                    <w14:schemeClr w14:val="tx1"/>
                  </w14:solidFill>
                </w14:textFill>
              </w:rPr>
            </w:pPr>
          </w:p>
        </w:tc>
      </w:tr>
    </w:tbl>
    <w:p>
      <w:pP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法定代表人或授权代表签字：</w:t>
      </w:r>
    </w:p>
    <w:p>
      <w:pPr>
        <w:rPr>
          <w:rFonts w:ascii="宋体"/>
          <w:color w:val="000000" w:themeColor="text1"/>
          <w:sz w:val="24"/>
          <w:szCs w:val="24"/>
          <w14:textFill>
            <w14:solidFill>
              <w14:schemeClr w14:val="tx1"/>
            </w14:solidFill>
          </w14:textFill>
        </w:rPr>
      </w:pPr>
    </w:p>
    <w:p>
      <w:pPr>
        <w:rPr>
          <w:rFonts w:ascii="宋体"/>
          <w:color w:val="000000" w:themeColor="text1"/>
          <w:sz w:val="24"/>
          <w:szCs w:val="24"/>
          <w14:textFill>
            <w14:solidFill>
              <w14:schemeClr w14:val="tx1"/>
            </w14:solidFill>
          </w14:textFill>
        </w:rPr>
      </w:pPr>
    </w:p>
    <w:p>
      <w:pP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、按照基本技术要求详细填列。</w:t>
      </w:r>
    </w:p>
    <w:p>
      <w:pPr>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、行数不够，可自行添加。</w:t>
      </w:r>
    </w:p>
    <w:p>
      <w:pPr>
        <w:rPr>
          <w:rFonts w:ascii="宋体"/>
          <w:color w:val="000000" w:themeColor="text1"/>
          <w:sz w:val="32"/>
          <w14:textFill>
            <w14:solidFill>
              <w14:schemeClr w14:val="tx1"/>
            </w14:solidFill>
          </w14:textFill>
        </w:rPr>
      </w:pPr>
    </w:p>
    <w:p>
      <w:pPr>
        <w:snapToGrid w:val="0"/>
        <w:spacing w:before="50" w:after="50"/>
        <w:jc w:val="center"/>
        <w:rPr>
          <w:rFonts w:ascii="宋体" w:hAnsi="宋体"/>
          <w:color w:val="000000" w:themeColor="text1"/>
          <w:sz w:val="28"/>
          <w:szCs w:val="28"/>
          <w14:textFill>
            <w14:solidFill>
              <w14:schemeClr w14:val="tx1"/>
            </w14:solidFill>
          </w14:textFill>
        </w:rPr>
      </w:pPr>
      <w:bookmarkStart w:id="78" w:name="_Hlt26955054"/>
      <w:bookmarkEnd w:id="78"/>
    </w:p>
    <w:p>
      <w:pPr>
        <w:snapToGrid w:val="0"/>
        <w:spacing w:before="50" w:after="50"/>
        <w:jc w:val="center"/>
        <w:outlineLvl w:val="0"/>
        <w:rPr>
          <w:rFonts w:ascii="宋体" w:hAnsi="宋体"/>
          <w:b/>
          <w:bCs/>
          <w:color w:val="000000" w:themeColor="text1"/>
          <w:sz w:val="32"/>
          <w:szCs w:val="32"/>
          <w14:textFill>
            <w14:solidFill>
              <w14:schemeClr w14:val="tx1"/>
            </w14:solidFill>
          </w14:textFill>
        </w:rPr>
      </w:pPr>
      <w:bookmarkStart w:id="79" w:name="_Toc14981"/>
      <w:bookmarkStart w:id="80" w:name="_Toc30240"/>
    </w:p>
    <w:p>
      <w:pPr>
        <w:snapToGrid w:val="0"/>
        <w:spacing w:before="50" w:after="50"/>
        <w:jc w:val="center"/>
        <w:outlineLvl w:val="0"/>
        <w:rPr>
          <w:rFonts w:ascii="宋体" w:hAnsi="宋体"/>
          <w:b/>
          <w:bCs/>
          <w:color w:val="000000" w:themeColor="text1"/>
          <w:sz w:val="32"/>
          <w:szCs w:val="32"/>
          <w14:textFill>
            <w14:solidFill>
              <w14:schemeClr w14:val="tx1"/>
            </w14:solidFill>
          </w14:textFill>
        </w:rPr>
      </w:pPr>
    </w:p>
    <w:p>
      <w:pPr>
        <w:snapToGrid w:val="0"/>
        <w:spacing w:before="50" w:after="50"/>
        <w:jc w:val="center"/>
        <w:outlineLvl w:val="0"/>
        <w:rPr>
          <w:rFonts w:ascii="宋体" w:hAnsi="宋体"/>
          <w:b/>
          <w:bCs/>
          <w:color w:val="000000" w:themeColor="text1"/>
          <w:sz w:val="32"/>
          <w:szCs w:val="32"/>
          <w14:textFill>
            <w14:solidFill>
              <w14:schemeClr w14:val="tx1"/>
            </w14:solidFill>
          </w14:textFill>
        </w:rPr>
      </w:pPr>
    </w:p>
    <w:p>
      <w:pPr>
        <w:snapToGrid w:val="0"/>
        <w:spacing w:before="50" w:after="50"/>
        <w:jc w:val="center"/>
        <w:outlineLvl w:val="0"/>
        <w:rPr>
          <w:rFonts w:ascii="宋体" w:hAnsi="宋体"/>
          <w:b/>
          <w:bCs/>
          <w:color w:val="000000" w:themeColor="text1"/>
          <w:sz w:val="32"/>
          <w:szCs w:val="32"/>
          <w14:textFill>
            <w14:solidFill>
              <w14:schemeClr w14:val="tx1"/>
            </w14:solidFill>
          </w14:textFill>
        </w:rPr>
      </w:pPr>
    </w:p>
    <w:p>
      <w:pPr>
        <w:snapToGrid w:val="0"/>
        <w:spacing w:before="50" w:after="50"/>
        <w:jc w:val="center"/>
        <w:outlineLvl w:val="0"/>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八、商务条款响应及偏离表（如有）</w:t>
      </w:r>
      <w:bookmarkEnd w:id="79"/>
      <w:bookmarkEnd w:id="80"/>
    </w:p>
    <w:p>
      <w:pPr>
        <w:jc w:val="center"/>
        <w:rPr>
          <w:rFonts w:ascii="宋体"/>
          <w:color w:val="000000" w:themeColor="text1"/>
          <w:sz w:val="24"/>
          <w:szCs w:val="24"/>
          <w14:textFill>
            <w14:solidFill>
              <w14:schemeClr w14:val="tx1"/>
            </w14:solidFill>
          </w14:textFill>
        </w:rPr>
      </w:pPr>
    </w:p>
    <w:p>
      <w:pP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投标人全称（加盖公章）：</w:t>
      </w:r>
    </w:p>
    <w:tbl>
      <w:tblPr>
        <w:tblStyle w:val="22"/>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2"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olor w:val="000000" w:themeColor="text1"/>
                <w:sz w:val="24"/>
                <w:szCs w:val="20"/>
                <w14:textFill>
                  <w14:solidFill>
                    <w14:schemeClr w14:val="tx1"/>
                  </w14:solidFill>
                </w14:textFill>
              </w:rPr>
            </w:pPr>
            <w:r>
              <w:rPr>
                <w:rFonts w:hint="eastAsia" w:ascii="宋体" w:hAnsi="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olor w:val="000000" w:themeColor="text1"/>
                <w:sz w:val="24"/>
                <w:szCs w:val="20"/>
                <w14:textFill>
                  <w14:solidFill>
                    <w14:schemeClr w14:val="tx1"/>
                  </w14:solidFill>
                </w14:textFill>
              </w:rPr>
            </w:pPr>
            <w:r>
              <w:rPr>
                <w:rFonts w:hint="eastAsia" w:ascii="宋体" w:hAnsi="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olor w:val="000000" w:themeColor="text1"/>
                <w:sz w:val="24"/>
                <w:szCs w:val="20"/>
                <w14:textFill>
                  <w14:solidFill>
                    <w14:schemeClr w14:val="tx1"/>
                  </w14:solidFill>
                </w14:textFill>
              </w:rPr>
            </w:pPr>
            <w:r>
              <w:rPr>
                <w:rFonts w:hint="eastAsia" w:ascii="宋体" w:hAnsi="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tcBorders>
          </w:tcPr>
          <w:p>
            <w:pPr>
              <w:snapToGrid w:val="0"/>
              <w:spacing w:beforeLines="50"/>
              <w:rPr>
                <w:rFonts w:ascii="宋体"/>
                <w:color w:val="000000" w:themeColor="text1"/>
                <w:sz w:val="24"/>
                <w:szCs w:val="20"/>
                <w14:textFill>
                  <w14:solidFill>
                    <w14:schemeClr w14:val="tx1"/>
                  </w14:solidFill>
                </w14:textFill>
              </w:rPr>
            </w:pPr>
            <w:r>
              <w:rPr>
                <w:rFonts w:hint="eastAsia" w:ascii="宋体" w:hAnsi="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olor w:val="000000" w:themeColor="text1"/>
                <w:sz w:val="24"/>
                <w:szCs w:val="20"/>
                <w14:textFill>
                  <w14:solidFill>
                    <w14:schemeClr w14:val="tx1"/>
                  </w14:solidFill>
                </w14:textFill>
              </w:rPr>
            </w:pPr>
            <w:r>
              <w:rPr>
                <w:rFonts w:hint="eastAsia" w:ascii="宋体" w:hAnsi="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b/>
                <w:bCs/>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b/>
                <w:bCs/>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tcBorders>
          </w:tcPr>
          <w:p>
            <w:pPr>
              <w:snapToGrid w:val="0"/>
              <w:spacing w:beforeLines="50"/>
              <w:rPr>
                <w:rFonts w:ascii="宋体"/>
                <w:b/>
                <w:bCs/>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olor w:val="000000" w:themeColor="text1"/>
                <w:sz w:val="24"/>
                <w:szCs w:val="20"/>
                <w14:textFill>
                  <w14:solidFill>
                    <w14:schemeClr w14:val="tx1"/>
                  </w14:solidFill>
                </w14:textFill>
              </w:rPr>
            </w:pPr>
            <w:r>
              <w:rPr>
                <w:rFonts w:hint="eastAsia" w:ascii="宋体" w:hAnsi="宋体"/>
                <w:color w:val="000000" w:themeColor="text1"/>
                <w:sz w:val="24"/>
                <w14:textFill>
                  <w14:solidFill>
                    <w14:schemeClr w14:val="tx1"/>
                  </w14:solidFill>
                </w14:textFill>
              </w:rPr>
              <w:t>售后技术服务要求（含质保期内产品故障服务响应时限、上门时间、故障修复时限、耗材供应响应时限等）</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b/>
                <w:bCs/>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b/>
                <w:bCs/>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tcBorders>
          </w:tcPr>
          <w:p>
            <w:pPr>
              <w:snapToGrid w:val="0"/>
              <w:spacing w:beforeLines="50"/>
              <w:rPr>
                <w:rFonts w:ascii="宋体"/>
                <w:b/>
                <w:bCs/>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olor w:val="000000" w:themeColor="text1"/>
                <w:sz w:val="24"/>
                <w:szCs w:val="20"/>
                <w14:textFill>
                  <w14:solidFill>
                    <w14:schemeClr w14:val="tx1"/>
                  </w14:solidFill>
                </w14:textFill>
              </w:rPr>
            </w:pPr>
            <w:r>
              <w:rPr>
                <w:rFonts w:hint="eastAsia" w:ascii="宋体" w:hAnsi="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olor w:val="000000" w:themeColor="text1"/>
                <w:sz w:val="24"/>
                <w:szCs w:val="20"/>
                <w14:textFill>
                  <w14:solidFill>
                    <w14:schemeClr w14:val="tx1"/>
                  </w14:solidFill>
                </w14:textFill>
              </w:rPr>
            </w:pPr>
            <w:r>
              <w:rPr>
                <w:rFonts w:hint="eastAsia" w:ascii="宋体" w:hAnsi="宋体"/>
                <w:color w:val="000000" w:themeColor="text1"/>
                <w:sz w:val="24"/>
                <w14:textFill>
                  <w14:solidFill>
                    <w14:schemeClr w14:val="tx1"/>
                  </w14:solidFill>
                </w14:textFill>
              </w:rPr>
              <w:t>合同签订后天内</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b/>
                <w:bCs/>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tcBorders>
          </w:tcPr>
          <w:p>
            <w:pPr>
              <w:snapToGrid w:val="0"/>
              <w:spacing w:beforeLines="50"/>
              <w:ind w:left="43"/>
              <w:rPr>
                <w:rFonts w:ascii="宋体"/>
                <w:b/>
                <w:bCs/>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b/>
                <w:bCs/>
                <w:color w:val="000000" w:themeColor="text1"/>
                <w:sz w:val="24"/>
                <w:szCs w:val="32"/>
                <w14:textFill>
                  <w14:solidFill>
                    <w14:schemeClr w14:val="tx1"/>
                  </w14:solidFill>
                </w14:textFill>
              </w:rPr>
            </w:pPr>
          </w:p>
          <w:p>
            <w:pPr>
              <w:snapToGrid w:val="0"/>
              <w:spacing w:beforeLines="50"/>
              <w:rPr>
                <w:rFonts w:ascii="宋体"/>
                <w:b/>
                <w:bCs/>
                <w:color w:val="000000" w:themeColor="text1"/>
                <w:sz w:val="24"/>
                <w:szCs w:val="32"/>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b/>
                <w:bCs/>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tcBorders>
          </w:tcPr>
          <w:p>
            <w:pPr>
              <w:snapToGrid w:val="0"/>
              <w:spacing w:beforeLines="50"/>
              <w:ind w:left="43"/>
              <w:rPr>
                <w:rFonts w:ascii="宋体"/>
                <w:b/>
                <w:bCs/>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b/>
                <w:bCs/>
                <w:color w:val="000000" w:themeColor="text1"/>
                <w:sz w:val="24"/>
                <w:szCs w:val="32"/>
                <w14:textFill>
                  <w14:solidFill>
                    <w14:schemeClr w14:val="tx1"/>
                  </w14:solidFill>
                </w14:textFill>
              </w:rPr>
            </w:pPr>
          </w:p>
          <w:p>
            <w:pPr>
              <w:snapToGrid w:val="0"/>
              <w:spacing w:beforeLines="50"/>
              <w:rPr>
                <w:rFonts w:ascii="宋体"/>
                <w:b/>
                <w:bCs/>
                <w:color w:val="000000" w:themeColor="text1"/>
                <w:sz w:val="24"/>
                <w:szCs w:val="32"/>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b/>
                <w:bCs/>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tcBorders>
          </w:tcPr>
          <w:p>
            <w:pPr>
              <w:snapToGrid w:val="0"/>
              <w:spacing w:beforeLines="50"/>
              <w:ind w:left="43"/>
              <w:rPr>
                <w:rFonts w:ascii="宋体"/>
                <w:b/>
                <w:bCs/>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olor w:val="000000" w:themeColor="text1"/>
                <w:sz w:val="24"/>
                <w:szCs w:val="20"/>
                <w14:textFill>
                  <w14:solidFill>
                    <w14:schemeClr w14:val="tx1"/>
                  </w14:solidFill>
                </w14:textFill>
              </w:rPr>
            </w:pPr>
            <w:r>
              <w:rPr>
                <w:rFonts w:hint="eastAsia" w:ascii="宋体" w:hAnsi="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b/>
                <w:bCs/>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b/>
                <w:bCs/>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tcBorders>
          </w:tcPr>
          <w:p>
            <w:pPr>
              <w:snapToGrid w:val="0"/>
              <w:spacing w:beforeLines="50"/>
              <w:rPr>
                <w:rFonts w:ascii="宋体"/>
                <w:b/>
                <w:bCs/>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b/>
                <w:bCs/>
                <w:color w:val="000000" w:themeColor="text1"/>
                <w:sz w:val="24"/>
                <w:szCs w:val="20"/>
                <w14:textFill>
                  <w14:solidFill>
                    <w14:schemeClr w14:val="tx1"/>
                  </w14:solidFill>
                </w14:textFill>
              </w:rPr>
            </w:pPr>
          </w:p>
          <w:p>
            <w:pPr>
              <w:snapToGrid w:val="0"/>
              <w:spacing w:beforeLines="50"/>
              <w:rPr>
                <w:rFonts w:ascii="宋体"/>
                <w:b/>
                <w:bCs/>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b/>
                <w:bCs/>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tcBorders>
          </w:tcPr>
          <w:p>
            <w:pPr>
              <w:snapToGrid w:val="0"/>
              <w:spacing w:beforeLines="50"/>
              <w:rPr>
                <w:rFonts w:ascii="宋体"/>
                <w:b/>
                <w:bCs/>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b/>
                <w:bCs/>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b/>
                <w:bCs/>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tcBorders>
          </w:tcPr>
          <w:p>
            <w:pPr>
              <w:snapToGrid w:val="0"/>
              <w:spacing w:beforeLines="50"/>
              <w:rPr>
                <w:rFonts w:ascii="宋体"/>
                <w:b/>
                <w:bCs/>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bottom w:val="single" w:color="auto" w:sz="4" w:space="0"/>
              <w:right w:val="single" w:color="auto" w:sz="4" w:space="0"/>
            </w:tcBorders>
          </w:tcPr>
          <w:p>
            <w:pPr>
              <w:snapToGrid w:val="0"/>
              <w:spacing w:beforeLines="50"/>
              <w:rPr>
                <w:rFonts w:ascii="宋体"/>
                <w:color w:val="000000" w:themeColor="text1"/>
                <w:sz w:val="24"/>
                <w:szCs w:val="20"/>
                <w14:textFill>
                  <w14:solidFill>
                    <w14:schemeClr w14:val="tx1"/>
                  </w14:solidFill>
                </w14:textFill>
              </w:rPr>
            </w:pPr>
            <w:r>
              <w:rPr>
                <w:rFonts w:hint="eastAsia" w:ascii="宋体" w:hAnsi="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b/>
                <w:bCs/>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tcBorders>
          </w:tcPr>
          <w:p>
            <w:pPr>
              <w:snapToGrid w:val="0"/>
              <w:spacing w:beforeLines="50"/>
              <w:rPr>
                <w:rFonts w:ascii="宋体"/>
                <w:color w:val="000000" w:themeColor="text1"/>
                <w:sz w:val="24"/>
                <w:szCs w:val="20"/>
                <w14:textFill>
                  <w14:solidFill>
                    <w14:schemeClr w14:val="tx1"/>
                  </w14:solidFill>
                </w14:textFill>
              </w:rPr>
            </w:pPr>
          </w:p>
        </w:tc>
      </w:tr>
    </w:tbl>
    <w:p>
      <w:pP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法定代表人或授权代表签字：</w:t>
      </w:r>
    </w:p>
    <w:p>
      <w:pPr>
        <w:pStyle w:val="6"/>
        <w:ind w:firstLine="0"/>
        <w:rPr>
          <w:rFonts w:ascii="宋体"/>
          <w:color w:val="000000" w:themeColor="text1"/>
          <w:sz w:val="24"/>
          <w14:textFill>
            <w14:solidFill>
              <w14:schemeClr w14:val="tx1"/>
            </w14:solidFill>
          </w14:textFill>
        </w:rPr>
      </w:pPr>
      <w:bookmarkStart w:id="81" w:name="_Hlt26782999"/>
      <w:bookmarkEnd w:id="81"/>
      <w:bookmarkStart w:id="82" w:name="_Hlt26955056"/>
      <w:bookmarkEnd w:id="82"/>
      <w:bookmarkStart w:id="83" w:name="_Hlt26580838"/>
      <w:bookmarkEnd w:id="83"/>
      <w:bookmarkStart w:id="84" w:name="_Hlt26955066"/>
      <w:bookmarkEnd w:id="84"/>
      <w:bookmarkStart w:id="85" w:name="_Hlt26671343"/>
      <w:bookmarkEnd w:id="85"/>
      <w:bookmarkStart w:id="86" w:name="_Hlt24879081"/>
      <w:bookmarkEnd w:id="86"/>
      <w:bookmarkStart w:id="87" w:name="_Hlt26955064"/>
      <w:bookmarkEnd w:id="87"/>
      <w:bookmarkStart w:id="88" w:name="_Hlt26609389"/>
      <w:bookmarkEnd w:id="88"/>
      <w:bookmarkStart w:id="89" w:name="_Hlt26671372"/>
      <w:bookmarkEnd w:id="89"/>
      <w:bookmarkStart w:id="90" w:name="_Hlt26609391"/>
      <w:bookmarkEnd w:id="90"/>
      <w:bookmarkStart w:id="91" w:name="_Hlt26671374"/>
      <w:bookmarkEnd w:id="91"/>
      <w:bookmarkStart w:id="92" w:name="_Toc462564146"/>
    </w:p>
    <w:p>
      <w:pPr>
        <w:pStyle w:val="6"/>
        <w:ind w:firstLine="0"/>
        <w:rPr>
          <w:rFonts w:ascii="宋体"/>
          <w:color w:val="000000" w:themeColor="text1"/>
          <w:sz w:val="24"/>
          <w14:textFill>
            <w14:solidFill>
              <w14:schemeClr w14:val="tx1"/>
            </w14:solidFill>
          </w14:textFill>
        </w:rPr>
      </w:pPr>
    </w:p>
    <w:p>
      <w:pPr>
        <w:pStyle w:val="6"/>
        <w:ind w:firstLine="0"/>
        <w:rPr>
          <w:rFonts w:ascii="宋体"/>
          <w:color w:val="000000" w:themeColor="text1"/>
          <w:sz w:val="24"/>
          <w14:textFill>
            <w14:solidFill>
              <w14:schemeClr w14:val="tx1"/>
            </w14:solidFill>
          </w14:textFill>
        </w:rPr>
      </w:pPr>
    </w:p>
    <w:p>
      <w:pPr>
        <w:snapToGrid w:val="0"/>
        <w:spacing w:before="50" w:after="50"/>
        <w:jc w:val="center"/>
        <w:outlineLvl w:val="0"/>
        <w:rPr>
          <w:rFonts w:ascii="宋体" w:hAnsi="宋体"/>
          <w:b/>
          <w:bCs/>
          <w:color w:val="000000" w:themeColor="text1"/>
          <w:sz w:val="32"/>
          <w:szCs w:val="32"/>
          <w14:textFill>
            <w14:solidFill>
              <w14:schemeClr w14:val="tx1"/>
            </w14:solidFill>
          </w14:textFill>
        </w:rPr>
      </w:pPr>
      <w:bookmarkStart w:id="93" w:name="_Toc6848"/>
      <w:bookmarkStart w:id="94" w:name="_Toc24191"/>
      <w:r>
        <w:rPr>
          <w:rFonts w:hint="eastAsia" w:ascii="宋体" w:hAnsi="宋体"/>
          <w:b/>
          <w:bCs/>
          <w:color w:val="000000" w:themeColor="text1"/>
          <w:sz w:val="32"/>
          <w:szCs w:val="32"/>
          <w14:textFill>
            <w14:solidFill>
              <w14:schemeClr w14:val="tx1"/>
            </w14:solidFill>
          </w14:textFill>
        </w:rPr>
        <w:t>九、技术方案、服务承诺、培训承诺等</w:t>
      </w:r>
      <w:bookmarkEnd w:id="92"/>
      <w:bookmarkEnd w:id="93"/>
      <w:bookmarkEnd w:id="94"/>
      <w:bookmarkStart w:id="95" w:name="_格式2__法定代表人授权书"/>
      <w:bookmarkEnd w:id="95"/>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rPr>
          <w:rFonts w:ascii="黑体" w:eastAsia="黑体"/>
          <w:color w:val="000000" w:themeColor="text1"/>
          <w:sz w:val="32"/>
          <w:szCs w:val="32"/>
          <w14:textFill>
            <w14:solidFill>
              <w14:schemeClr w14:val="tx1"/>
            </w14:solidFill>
          </w14:textFill>
        </w:rPr>
      </w:pPr>
    </w:p>
    <w:p>
      <w:pPr>
        <w:snapToGrid w:val="0"/>
        <w:spacing w:before="50" w:after="50"/>
        <w:jc w:val="center"/>
        <w:outlineLvl w:val="0"/>
        <w:rPr>
          <w:rFonts w:ascii="宋体" w:hAnsi="宋体"/>
          <w:b/>
          <w:bCs/>
          <w:color w:val="000000" w:themeColor="text1"/>
          <w:sz w:val="32"/>
          <w:szCs w:val="32"/>
          <w14:textFill>
            <w14:solidFill>
              <w14:schemeClr w14:val="tx1"/>
            </w14:solidFill>
          </w14:textFill>
        </w:rPr>
      </w:pPr>
      <w:bookmarkStart w:id="96" w:name="_Toc12520"/>
      <w:bookmarkStart w:id="97" w:name="_Toc2106"/>
    </w:p>
    <w:p>
      <w:pPr>
        <w:snapToGrid w:val="0"/>
        <w:spacing w:before="50" w:after="50"/>
        <w:jc w:val="center"/>
        <w:outlineLvl w:val="0"/>
        <w:rPr>
          <w:rFonts w:ascii="宋体" w:hAnsi="宋体"/>
          <w:b/>
          <w:bCs/>
          <w:color w:val="000000" w:themeColor="text1"/>
          <w:sz w:val="32"/>
          <w:szCs w:val="32"/>
          <w14:textFill>
            <w14:solidFill>
              <w14:schemeClr w14:val="tx1"/>
            </w14:solidFill>
          </w14:textFill>
        </w:rPr>
      </w:pPr>
    </w:p>
    <w:p>
      <w:pPr>
        <w:snapToGrid w:val="0"/>
        <w:spacing w:before="50" w:after="50"/>
        <w:jc w:val="center"/>
        <w:outlineLvl w:val="0"/>
        <w:rPr>
          <w:rFonts w:ascii="宋体" w:hAnsi="宋体"/>
          <w:b/>
          <w:bCs/>
          <w:color w:val="000000" w:themeColor="text1"/>
          <w:sz w:val="32"/>
          <w:szCs w:val="32"/>
          <w14:textFill>
            <w14:solidFill>
              <w14:schemeClr w14:val="tx1"/>
            </w14:solidFill>
          </w14:textFill>
        </w:rPr>
      </w:pPr>
    </w:p>
    <w:p>
      <w:pPr>
        <w:snapToGrid w:val="0"/>
        <w:spacing w:before="50" w:after="50"/>
        <w:jc w:val="center"/>
        <w:outlineLvl w:val="0"/>
        <w:rPr>
          <w:rFonts w:ascii="宋体" w:hAnsi="宋体"/>
          <w:b/>
          <w:bCs/>
          <w:color w:val="000000" w:themeColor="text1"/>
          <w:sz w:val="32"/>
          <w:szCs w:val="32"/>
          <w14:textFill>
            <w14:solidFill>
              <w14:schemeClr w14:val="tx1"/>
            </w14:solidFill>
          </w14:textFill>
        </w:rPr>
      </w:pPr>
    </w:p>
    <w:p>
      <w:pPr>
        <w:snapToGrid w:val="0"/>
        <w:spacing w:before="50" w:after="50"/>
        <w:jc w:val="center"/>
        <w:outlineLvl w:val="0"/>
        <w:rPr>
          <w:rFonts w:ascii="宋体" w:hAnsi="宋体"/>
          <w:b/>
          <w:bCs/>
          <w:color w:val="000000" w:themeColor="text1"/>
          <w:sz w:val="32"/>
          <w:szCs w:val="32"/>
          <w14:textFill>
            <w14:solidFill>
              <w14:schemeClr w14:val="tx1"/>
            </w14:solidFill>
          </w14:textFill>
        </w:rPr>
      </w:pPr>
    </w:p>
    <w:p>
      <w:pPr>
        <w:snapToGrid w:val="0"/>
        <w:spacing w:before="50" w:after="50"/>
        <w:jc w:val="center"/>
        <w:outlineLvl w:val="0"/>
        <w:rPr>
          <w:rFonts w:ascii="宋体" w:hAnsi="宋体"/>
          <w:b/>
          <w:bCs/>
          <w:color w:val="000000" w:themeColor="text1"/>
          <w:sz w:val="32"/>
          <w:szCs w:val="32"/>
          <w14:textFill>
            <w14:solidFill>
              <w14:schemeClr w14:val="tx1"/>
            </w14:solidFill>
          </w14:textFill>
        </w:rPr>
      </w:pPr>
    </w:p>
    <w:p>
      <w:pPr>
        <w:snapToGrid w:val="0"/>
        <w:spacing w:before="50" w:after="50"/>
        <w:jc w:val="center"/>
        <w:outlineLvl w:val="0"/>
        <w:rPr>
          <w:rFonts w:ascii="宋体" w:hAnsi="宋体"/>
          <w:b/>
          <w:bCs/>
          <w:color w:val="000000" w:themeColor="text1"/>
          <w:sz w:val="32"/>
          <w:szCs w:val="32"/>
          <w14:textFill>
            <w14:solidFill>
              <w14:schemeClr w14:val="tx1"/>
            </w14:solidFill>
          </w14:textFill>
        </w:rPr>
      </w:pPr>
    </w:p>
    <w:p>
      <w:pPr>
        <w:snapToGrid w:val="0"/>
        <w:spacing w:before="50" w:after="50"/>
        <w:jc w:val="center"/>
        <w:outlineLvl w:val="0"/>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十、盐城市政府采购事前信用承诺书</w:t>
      </w:r>
      <w:bookmarkEnd w:id="96"/>
      <w:bookmarkEnd w:id="97"/>
    </w:p>
    <w:p>
      <w:pPr>
        <w:spacing w:line="500" w:lineRule="exact"/>
        <w:ind w:firstLine="480" w:firstLineChars="200"/>
        <w:jc w:val="left"/>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为营造我市公开、公平、公正、诚实守信的政府采购交易环境，树立诚信守法的投标人形象，本人代表本单位作出以下承诺：</w:t>
      </w:r>
    </w:p>
    <w:p>
      <w:pPr>
        <w:spacing w:line="500" w:lineRule="exact"/>
        <w:jc w:val="left"/>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 </w:t>
      </w:r>
      <w:r>
        <w:rPr>
          <w:rFonts w:hint="eastAsia" w:ascii="宋体" w:hAnsi="宋体"/>
          <w:color w:val="000000" w:themeColor="text1"/>
          <w:sz w:val="24"/>
          <w14:textFill>
            <w14:solidFill>
              <w14:schemeClr w14:val="tx1"/>
            </w14:solidFill>
          </w14:textFill>
        </w:rPr>
        <w:t>（三）严格依照国家和省、市关于政府采购的法律、法规、规章、规范性文件，参加政府采购投标活动；积极履行社会责任，促进廉政建设；</w:t>
      </w:r>
    </w:p>
    <w:p>
      <w:pPr>
        <w:spacing w:line="500" w:lineRule="exact"/>
        <w:jc w:val="left"/>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 </w:t>
      </w:r>
      <w:r>
        <w:rPr>
          <w:rFonts w:hint="eastAsia" w:ascii="宋体" w:hAnsi="宋体"/>
          <w:color w:val="000000" w:themeColor="text1"/>
          <w:sz w:val="24"/>
          <w14:textFill>
            <w14:solidFill>
              <w14:schemeClr w14:val="tx1"/>
            </w14:solidFill>
          </w14:textFill>
        </w:rPr>
        <w:t>（四）严格遵守即时信息公示规定，及时维护和更新维护和更新盐城市政府采购网中与本单位相关的信息；</w:t>
      </w:r>
    </w:p>
    <w:p>
      <w:pPr>
        <w:spacing w:line="500" w:lineRule="exact"/>
        <w:jc w:val="left"/>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 </w:t>
      </w:r>
      <w:r>
        <w:rPr>
          <w:rFonts w:hint="eastAsia" w:ascii="宋体" w:hAnsi="宋体"/>
          <w:color w:val="000000" w:themeColor="text1"/>
          <w:sz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 </w:t>
      </w:r>
      <w:r>
        <w:rPr>
          <w:rFonts w:hint="eastAsia" w:ascii="宋体" w:hAnsi="宋体"/>
          <w:color w:val="000000" w:themeColor="text1"/>
          <w:sz w:val="24"/>
          <w14:textFill>
            <w14:solidFill>
              <w14:schemeClr w14:val="tx1"/>
            </w14:solidFill>
          </w14:textFill>
        </w:rPr>
        <w:t>（六）自觉接受政府、行业组织、社会公众、新闻舆论的监督；</w:t>
      </w:r>
    </w:p>
    <w:p>
      <w:pPr>
        <w:spacing w:line="500" w:lineRule="exact"/>
        <w:ind w:firstLine="480" w:firstLineChars="200"/>
        <w:jc w:val="left"/>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 </w:t>
      </w:r>
      <w:r>
        <w:rPr>
          <w:rFonts w:hint="eastAsia" w:ascii="宋体" w:hAnsi="宋体"/>
          <w:color w:val="000000" w:themeColor="text1"/>
          <w:sz w:val="24"/>
          <w14:textFill>
            <w14:solidFill>
              <w14:schemeClr w14:val="tx1"/>
            </w14:solidFill>
          </w14:textFill>
        </w:rPr>
        <w:t>（八）本人已认真阅读了上述承诺，并向本单位员工作了宣传教育。</w:t>
      </w:r>
    </w:p>
    <w:p>
      <w:pPr>
        <w:spacing w:line="500" w:lineRule="exact"/>
        <w:jc w:val="left"/>
        <w:rPr>
          <w:rFonts w:ascii="宋体"/>
          <w:color w:val="000000" w:themeColor="text1"/>
          <w:sz w:val="24"/>
          <w14:textFill>
            <w14:solidFill>
              <w14:schemeClr w14:val="tx1"/>
            </w14:solidFill>
          </w14:textFill>
        </w:rPr>
      </w:pPr>
    </w:p>
    <w:p>
      <w:pPr>
        <w:spacing w:line="500" w:lineRule="exact"/>
        <w:jc w:val="center"/>
        <w:outlineLvl w:val="1"/>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法定代表人签名：</w:t>
      </w:r>
    </w:p>
    <w:p>
      <w:pPr>
        <w:spacing w:line="500" w:lineRule="exact"/>
        <w:jc w:val="center"/>
        <w:outlineLvl w:val="1"/>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单位名称（盖章）：</w:t>
      </w:r>
    </w:p>
    <w:p>
      <w:pPr>
        <w:spacing w:line="500" w:lineRule="exact"/>
        <w:jc w:val="center"/>
        <w:outlineLvl w:val="1"/>
        <w:rPr>
          <w:rFonts w:ascii="宋体"/>
          <w:color w:val="000000" w:themeColor="text1"/>
          <w:sz w:val="32"/>
          <w:szCs w:val="32"/>
          <w14:textFill>
            <w14:solidFill>
              <w14:schemeClr w14:val="tx1"/>
            </w14:solidFill>
          </w14:textFill>
        </w:rPr>
      </w:pPr>
      <w:r>
        <w:rPr>
          <w:rFonts w:hint="eastAsia" w:ascii="宋体" w:hAnsi="宋体"/>
          <w:color w:val="000000" w:themeColor="text1"/>
          <w:sz w:val="24"/>
          <w14:textFill>
            <w14:solidFill>
              <w14:schemeClr w14:val="tx1"/>
            </w14:solidFill>
          </w14:textFill>
        </w:rPr>
        <w:t>年月日</w:t>
      </w:r>
    </w:p>
    <w:p>
      <w:pPr>
        <w:rPr>
          <w:color w:val="000000" w:themeColor="text1"/>
          <w14:textFill>
            <w14:solidFill>
              <w14:schemeClr w14:val="tx1"/>
            </w14:solidFill>
          </w14:textFill>
        </w:rPr>
      </w:pPr>
    </w:p>
    <w:p>
      <w:pPr>
        <w:pStyle w:val="139"/>
        <w:jc w:val="both"/>
        <w:rPr>
          <w:rStyle w:val="44"/>
          <w:rFonts w:ascii="宋体" w:hAnsi="宋体"/>
          <w:color w:val="000000" w:themeColor="text1"/>
          <w14:textFill>
            <w14:solidFill>
              <w14:schemeClr w14:val="tx1"/>
            </w14:solidFill>
          </w14:textFill>
        </w:rPr>
      </w:pPr>
    </w:p>
    <w:sectPr>
      <w:headerReference r:id="rId8" w:type="default"/>
      <w:footerReference r:id="rId9" w:type="default"/>
      <w:pgSz w:w="11906" w:h="16838"/>
      <w:pgMar w:top="1418" w:right="1588" w:bottom="1418" w:left="1365" w:header="851" w:footer="907" w:gutter="0"/>
      <w:pgNumType w:start="40"/>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仿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6"/>
                          </w:pPr>
                          <w:r>
                            <w:fldChar w:fldCharType="begin"/>
                          </w:r>
                          <w:r>
                            <w:instrText xml:space="preserve"> PAGE  \* MERGEFORMAT </w:instrText>
                          </w:r>
                          <w:r>
                            <w:fldChar w:fldCharType="separate"/>
                          </w:r>
                          <w:r>
                            <w:t>70</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LKs94PQAQAAqAMAAA4AAAAAAAAAAQAgAAAAHwEAAGRy&#10;cy9lMm9Eb2MueG1sUEsFBgAAAAAGAAYAWQEAAGE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70</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6"/>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OL1xbTQAQAAqAMAAA4AAAAAAAAAAQAgAAAAHwEAAGRy&#10;cy9lMm9Eb2MueG1sUEsFBgAAAAAGAAYAWQEAAGE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i/>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fldChar w:fldCharType="begin"/>
                          </w:r>
                          <w:r>
                            <w:instrText xml:space="preserve"> PAGE  \* MERGEFORMAT </w:instrText>
                          </w:r>
                          <w:r>
                            <w:fldChar w:fldCharType="separate"/>
                          </w:r>
                          <w:r>
                            <w:t>42</w:t>
                          </w:r>
                          <w:r>
                            <w:fldChar w:fldCharType="end"/>
                          </w:r>
                        </w:p>
                      </w:txbxContent>
                    </wps:txbx>
                    <wps:bodyPr vert="horz" wrap="none" lIns="0" tIns="0" rIns="0" bIns="0" anchor="t" anchorCtr="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0lY7tAA&#10;AAAFAQAADwAAAAAAAAABACAAAAAiAAAAZHJzL2Rvd25yZXYueG1sUEsBAhQAFAAAAAgAh07iQKds&#10;dyfuAQAA2AMAAA4AAAAAAAAAAQAgAAAAHwEAAGRycy9lMm9Eb2MueG1sUEsFBgAAAAAGAAYAWQEA&#10;AH8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color w:val="FF0000"/>
      </w:rPr>
      <w:t>2022-0</w:t>
    </w:r>
    <w:r>
      <w:rPr>
        <w:rFonts w:hint="eastAsia"/>
        <w:color w:val="FF0000"/>
        <w:lang w:val="en-US" w:eastAsia="zh-CN"/>
      </w:rPr>
      <w:t>27</w:t>
    </w:r>
    <w:r>
      <w:rPr>
        <w:rFonts w:hint="eastAsia"/>
        <w:color w:val="FF0000"/>
      </w:rPr>
      <w:t>Q</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color w:val="FF0000"/>
      </w:rPr>
      <w:t>2022-0</w:t>
    </w:r>
    <w:r>
      <w:rPr>
        <w:rFonts w:hint="eastAsia"/>
        <w:color w:val="FF0000"/>
        <w:lang w:val="en-US" w:eastAsia="zh-CN"/>
      </w:rPr>
      <w:t>27</w:t>
    </w:r>
    <w:r>
      <w:rPr>
        <w:rFonts w:hint="eastAsia"/>
        <w:color w:val="FF0000"/>
      </w:rPr>
      <w:t>Q</w:t>
    </w:r>
    <w:r>
      <w:rPr>
        <w:rFonts w:hint="eastAsia"/>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隶书"/>
        <w:color w:val="FF0000"/>
        <w:spacing w:val="40"/>
        <w:sz w:val="21"/>
        <w:szCs w:val="21"/>
      </w:rPr>
    </w:pPr>
    <w:r>
      <w:rPr>
        <w:rFonts w:eastAsia="隶书"/>
        <w:color w:val="FF0000"/>
        <w:spacing w:val="40"/>
        <w:sz w:val="21"/>
        <w:szCs w:val="21"/>
      </w:rPr>
      <w:t>202</w:t>
    </w:r>
    <w:r>
      <w:rPr>
        <w:rFonts w:hint="eastAsia" w:eastAsia="隶书"/>
        <w:color w:val="FF0000"/>
        <w:spacing w:val="40"/>
        <w:sz w:val="21"/>
        <w:szCs w:val="21"/>
      </w:rPr>
      <w:t>2</w:t>
    </w:r>
    <w:r>
      <w:rPr>
        <w:rFonts w:eastAsia="隶书"/>
        <w:color w:val="FF0000"/>
        <w:spacing w:val="40"/>
        <w:sz w:val="21"/>
        <w:szCs w:val="21"/>
      </w:rPr>
      <w:t>-0Q</w:t>
    </w:r>
    <w:r>
      <w:rPr>
        <w:rFonts w:hint="eastAsia" w:eastAsia="隶书"/>
        <w:color w:val="000000"/>
        <w:spacing w:val="40"/>
        <w:sz w:val="21"/>
        <w:szCs w:val="21"/>
      </w:rPr>
      <w:t>招标文件</w:t>
    </w:r>
  </w:p>
  <w:p>
    <w:pPr>
      <w:rPr>
        <w:rFonts w:ascii="宋体"/>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17A717"/>
    <w:multiLevelType w:val="singleLevel"/>
    <w:tmpl w:val="CB17A717"/>
    <w:lvl w:ilvl="0" w:tentative="0">
      <w:start w:val="4"/>
      <w:numFmt w:val="chineseCounting"/>
      <w:suff w:val="nothing"/>
      <w:lvlText w:val="%1、"/>
      <w:lvlJc w:val="left"/>
      <w:rPr>
        <w:rFonts w:hint="eastAsia"/>
      </w:rPr>
    </w:lvl>
  </w:abstractNum>
  <w:abstractNum w:abstractNumId="1">
    <w:nsid w:val="E213B912"/>
    <w:multiLevelType w:val="singleLevel"/>
    <w:tmpl w:val="E213B912"/>
    <w:lvl w:ilvl="0" w:tentative="0">
      <w:start w:val="6"/>
      <w:numFmt w:val="chineseCounting"/>
      <w:suff w:val="nothing"/>
      <w:lvlText w:val="%1、"/>
      <w:lvlJc w:val="left"/>
      <w:rPr>
        <w:rFonts w:hint="eastAsia"/>
      </w:rPr>
    </w:lvl>
  </w:abstractNum>
  <w:abstractNum w:abstractNumId="2">
    <w:nsid w:val="00000002"/>
    <w:multiLevelType w:val="multilevel"/>
    <w:tmpl w:val="00000002"/>
    <w:lvl w:ilvl="0" w:tentative="0">
      <w:start w:val="1"/>
      <w:numFmt w:val="decimal"/>
      <w:pStyle w:val="133"/>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3">
    <w:nsid w:val="00000006"/>
    <w:multiLevelType w:val="multilevel"/>
    <w:tmpl w:val="00000006"/>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0"/>
      <w:suff w:val="nothing"/>
      <w:lvlText w:val=""/>
      <w:lvlJc w:val="left"/>
      <w:pPr>
        <w:ind w:left="0" w:firstLine="0"/>
        <w:textAlignment w:val="baseline"/>
      </w:pPr>
    </w:lvl>
    <w:lvl w:ilvl="6" w:tentative="0">
      <w:start w:val="1"/>
      <w:numFmt w:val="decimal"/>
      <w:pStyle w:val="41"/>
      <w:suff w:val="nothing"/>
      <w:lvlText w:val=""/>
      <w:lvlJc w:val="left"/>
      <w:pPr>
        <w:ind w:left="0" w:firstLine="0"/>
        <w:textAlignment w:val="baseline"/>
      </w:pPr>
    </w:lvl>
    <w:lvl w:ilvl="7" w:tentative="0">
      <w:start w:val="1"/>
      <w:numFmt w:val="decimal"/>
      <w:pStyle w:val="42"/>
      <w:suff w:val="nothing"/>
      <w:lvlText w:val=""/>
      <w:lvlJc w:val="left"/>
      <w:pPr>
        <w:ind w:left="0" w:firstLine="0"/>
        <w:textAlignment w:val="baseline"/>
      </w:pPr>
    </w:lvl>
    <w:lvl w:ilvl="8" w:tentative="0">
      <w:start w:val="1"/>
      <w:numFmt w:val="decimal"/>
      <w:pStyle w:val="43"/>
      <w:suff w:val="nothing"/>
      <w:lvlText w:val=""/>
      <w:lvlJc w:val="left"/>
      <w:pPr>
        <w:ind w:left="0" w:firstLine="0"/>
        <w:textAlignment w:val="baseline"/>
      </w:pPr>
    </w:lvl>
  </w:abstractNum>
  <w:abstractNum w:abstractNumId="4">
    <w:nsid w:val="014B5A39"/>
    <w:multiLevelType w:val="multilevel"/>
    <w:tmpl w:val="014B5A39"/>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59E2159"/>
    <w:multiLevelType w:val="multilevel"/>
    <w:tmpl w:val="059E2159"/>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6290387"/>
    <w:multiLevelType w:val="multilevel"/>
    <w:tmpl w:val="06290387"/>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BAD279D"/>
    <w:multiLevelType w:val="multilevel"/>
    <w:tmpl w:val="0BAD279D"/>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DFB7B41"/>
    <w:multiLevelType w:val="multilevel"/>
    <w:tmpl w:val="0DFB7B41"/>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0DC684E"/>
    <w:multiLevelType w:val="multilevel"/>
    <w:tmpl w:val="10DC684E"/>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2305D23"/>
    <w:multiLevelType w:val="multilevel"/>
    <w:tmpl w:val="12305D23"/>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2B32325"/>
    <w:multiLevelType w:val="multilevel"/>
    <w:tmpl w:val="12B32325"/>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3A85A47"/>
    <w:multiLevelType w:val="multilevel"/>
    <w:tmpl w:val="13A85A47"/>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62129A5"/>
    <w:multiLevelType w:val="multilevel"/>
    <w:tmpl w:val="162129A5"/>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6892F95"/>
    <w:multiLevelType w:val="multilevel"/>
    <w:tmpl w:val="16892F95"/>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8BD391D"/>
    <w:multiLevelType w:val="multilevel"/>
    <w:tmpl w:val="18BD391D"/>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D6C6344"/>
    <w:multiLevelType w:val="multilevel"/>
    <w:tmpl w:val="1D6C6344"/>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FC455FD"/>
    <w:multiLevelType w:val="multilevel"/>
    <w:tmpl w:val="1FC455FD"/>
    <w:lvl w:ilvl="0" w:tentative="0">
      <w:start w:val="1"/>
      <w:numFmt w:val="decimal"/>
      <w:lvlText w:val="%1."/>
      <w:lvlJc w:val="left"/>
      <w:pPr>
        <w:ind w:left="0" w:firstLine="0"/>
      </w:pPr>
      <w:rPr>
        <w:rFonts w:hint="eastAsia"/>
      </w:rPr>
    </w:lvl>
    <w:lvl w:ilvl="1" w:tentative="0">
      <w:start w:val="5"/>
      <w:numFmt w:val="bullet"/>
      <w:lvlText w:val="★"/>
      <w:lvlJc w:val="left"/>
      <w:pPr>
        <w:ind w:left="780" w:hanging="360"/>
      </w:pPr>
      <w:rPr>
        <w:rFonts w:hint="eastAsia" w:ascii="宋体" w:hAnsi="宋体" w:eastAsia="宋体" w:cs="Segoe UI Symbo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10613E5"/>
    <w:multiLevelType w:val="multilevel"/>
    <w:tmpl w:val="210613E5"/>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2BC4A08"/>
    <w:multiLevelType w:val="multilevel"/>
    <w:tmpl w:val="22BC4A08"/>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31B049D"/>
    <w:multiLevelType w:val="multilevel"/>
    <w:tmpl w:val="231B049D"/>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3CA3DFE"/>
    <w:multiLevelType w:val="singleLevel"/>
    <w:tmpl w:val="23CA3DFE"/>
    <w:lvl w:ilvl="0" w:tentative="0">
      <w:start w:val="1"/>
      <w:numFmt w:val="decimal"/>
      <w:lvlText w:val="%1、"/>
      <w:lvlJc w:val="left"/>
      <w:pPr>
        <w:tabs>
          <w:tab w:val="left" w:pos="480"/>
        </w:tabs>
        <w:ind w:left="480" w:hanging="480"/>
      </w:pPr>
    </w:lvl>
  </w:abstractNum>
  <w:abstractNum w:abstractNumId="22">
    <w:nsid w:val="242E4096"/>
    <w:multiLevelType w:val="multilevel"/>
    <w:tmpl w:val="242E4096"/>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75345FA"/>
    <w:multiLevelType w:val="multilevel"/>
    <w:tmpl w:val="275345FA"/>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87A089C"/>
    <w:multiLevelType w:val="singleLevel"/>
    <w:tmpl w:val="287A089C"/>
    <w:lvl w:ilvl="0" w:tentative="0">
      <w:start w:val="1"/>
      <w:numFmt w:val="upperLetter"/>
      <w:pStyle w:val="82"/>
      <w:lvlText w:val="附录%1."/>
      <w:lvlJc w:val="left"/>
      <w:pPr>
        <w:tabs>
          <w:tab w:val="left" w:pos="907"/>
        </w:tabs>
        <w:ind w:left="907" w:hanging="907"/>
        <w:textAlignment w:val="baseline"/>
      </w:pPr>
    </w:lvl>
  </w:abstractNum>
  <w:abstractNum w:abstractNumId="25">
    <w:nsid w:val="2E104F05"/>
    <w:multiLevelType w:val="multilevel"/>
    <w:tmpl w:val="2E104F05"/>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2F06337A"/>
    <w:multiLevelType w:val="multilevel"/>
    <w:tmpl w:val="2F06337A"/>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0543996"/>
    <w:multiLevelType w:val="multilevel"/>
    <w:tmpl w:val="30543996"/>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2425C0E"/>
    <w:multiLevelType w:val="multilevel"/>
    <w:tmpl w:val="32425C0E"/>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32A10E85"/>
    <w:multiLevelType w:val="multilevel"/>
    <w:tmpl w:val="32A10E85"/>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60E06B0"/>
    <w:multiLevelType w:val="multilevel"/>
    <w:tmpl w:val="360E06B0"/>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368A16B7"/>
    <w:multiLevelType w:val="multilevel"/>
    <w:tmpl w:val="368A16B7"/>
    <w:lvl w:ilvl="0" w:tentative="0">
      <w:start w:val="1"/>
      <w:numFmt w:val="decimal"/>
      <w:lvlText w:val="%1."/>
      <w:lvlJc w:val="left"/>
      <w:pPr>
        <w:ind w:left="0" w:firstLine="0"/>
      </w:pPr>
      <w:rPr>
        <w:rFonts w:hint="eastAsia"/>
      </w:rPr>
    </w:lvl>
    <w:lvl w:ilvl="1" w:tentative="0">
      <w:start w:val="5"/>
      <w:numFmt w:val="bullet"/>
      <w:lvlText w:val="★"/>
      <w:lvlJc w:val="left"/>
      <w:pPr>
        <w:ind w:left="780" w:hanging="360"/>
      </w:pPr>
      <w:rPr>
        <w:rFonts w:hint="eastAsia" w:ascii="宋体" w:hAnsi="宋体" w:eastAsia="宋体" w:cs="Segoe UI Symbo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85F5C00"/>
    <w:multiLevelType w:val="multilevel"/>
    <w:tmpl w:val="385F5C00"/>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8A54C79"/>
    <w:multiLevelType w:val="multilevel"/>
    <w:tmpl w:val="38A54C79"/>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95F2FD9"/>
    <w:multiLevelType w:val="multilevel"/>
    <w:tmpl w:val="395F2FD9"/>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AA92FAB"/>
    <w:multiLevelType w:val="multilevel"/>
    <w:tmpl w:val="3AA92FAB"/>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3DDC6575"/>
    <w:multiLevelType w:val="multilevel"/>
    <w:tmpl w:val="3DDC6575"/>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3DF767BC"/>
    <w:multiLevelType w:val="multilevel"/>
    <w:tmpl w:val="3DF767BC"/>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3DFDB580"/>
    <w:multiLevelType w:val="multilevel"/>
    <w:tmpl w:val="3DFDB580"/>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3E4176A8"/>
    <w:multiLevelType w:val="multilevel"/>
    <w:tmpl w:val="3E4176A8"/>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42CA7F82"/>
    <w:multiLevelType w:val="multilevel"/>
    <w:tmpl w:val="42CA7F82"/>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43CC2034"/>
    <w:multiLevelType w:val="multilevel"/>
    <w:tmpl w:val="43CC2034"/>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46D06A92"/>
    <w:multiLevelType w:val="multilevel"/>
    <w:tmpl w:val="46D06A92"/>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3">
    <w:nsid w:val="4BDC7970"/>
    <w:multiLevelType w:val="multilevel"/>
    <w:tmpl w:val="4BDC7970"/>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4C354176"/>
    <w:multiLevelType w:val="multilevel"/>
    <w:tmpl w:val="4C354176"/>
    <w:lvl w:ilvl="0" w:tentative="0">
      <w:start w:val="1"/>
      <w:numFmt w:val="decimal"/>
      <w:lvlText w:val="%1."/>
      <w:lvlJc w:val="left"/>
      <w:pPr>
        <w:ind w:left="0" w:firstLine="0"/>
      </w:pPr>
      <w:rPr>
        <w:rFonts w:hint="eastAsia"/>
      </w:rPr>
    </w:lvl>
    <w:lvl w:ilvl="1" w:tentative="0">
      <w:start w:val="5"/>
      <w:numFmt w:val="bullet"/>
      <w:lvlText w:val="★"/>
      <w:lvlJc w:val="left"/>
      <w:pPr>
        <w:ind w:left="780" w:hanging="360"/>
      </w:pPr>
      <w:rPr>
        <w:rFonts w:hint="eastAsia" w:ascii="宋体" w:hAnsi="宋体" w:eastAsia="宋体" w:cs="Segoe UI Symbo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4CD13FF2"/>
    <w:multiLevelType w:val="multilevel"/>
    <w:tmpl w:val="4CD13FF2"/>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4E473874"/>
    <w:multiLevelType w:val="multilevel"/>
    <w:tmpl w:val="4E473874"/>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4FB0666D"/>
    <w:multiLevelType w:val="multilevel"/>
    <w:tmpl w:val="4FB0666D"/>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504A6166"/>
    <w:multiLevelType w:val="multilevel"/>
    <w:tmpl w:val="504A6166"/>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520B3FF7"/>
    <w:multiLevelType w:val="multilevel"/>
    <w:tmpl w:val="520B3FF7"/>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52FB3256"/>
    <w:multiLevelType w:val="multilevel"/>
    <w:tmpl w:val="52FB3256"/>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5A2B9532"/>
    <w:multiLevelType w:val="singleLevel"/>
    <w:tmpl w:val="5A2B9532"/>
    <w:lvl w:ilvl="0" w:tentative="0">
      <w:start w:val="2"/>
      <w:numFmt w:val="decimal"/>
      <w:suff w:val="space"/>
      <w:lvlText w:val="%1."/>
      <w:lvlJc w:val="left"/>
    </w:lvl>
  </w:abstractNum>
  <w:abstractNum w:abstractNumId="52">
    <w:nsid w:val="5AD0275F"/>
    <w:multiLevelType w:val="multilevel"/>
    <w:tmpl w:val="5AD0275F"/>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5B5E77A3"/>
    <w:multiLevelType w:val="multilevel"/>
    <w:tmpl w:val="5B5E77A3"/>
    <w:lvl w:ilvl="0" w:tentative="0">
      <w:start w:val="1"/>
      <w:numFmt w:val="decimal"/>
      <w:lvlText w:val="%1."/>
      <w:lvlJc w:val="left"/>
      <w:pPr>
        <w:ind w:left="0" w:firstLine="0"/>
      </w:pPr>
      <w:rPr>
        <w:rFonts w:hint="eastAsia"/>
      </w:rPr>
    </w:lvl>
    <w:lvl w:ilvl="1" w:tentative="0">
      <w:start w:val="5"/>
      <w:numFmt w:val="bullet"/>
      <w:lvlText w:val="★"/>
      <w:lvlJc w:val="left"/>
      <w:pPr>
        <w:ind w:left="780" w:hanging="360"/>
      </w:pPr>
      <w:rPr>
        <w:rFonts w:hint="eastAsia" w:ascii="宋体" w:hAnsi="宋体" w:eastAsia="宋体" w:cs="Segoe UI Symbo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5D6C5016"/>
    <w:multiLevelType w:val="multilevel"/>
    <w:tmpl w:val="5D6C5016"/>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20" w:hanging="360"/>
      </w:pPr>
      <w:rPr>
        <w:rFonts w:hint="eastAsia"/>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601E3535"/>
    <w:multiLevelType w:val="multilevel"/>
    <w:tmpl w:val="601E3535"/>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61CA5E9B"/>
    <w:multiLevelType w:val="multilevel"/>
    <w:tmpl w:val="61CA5E9B"/>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624663A8"/>
    <w:multiLevelType w:val="multilevel"/>
    <w:tmpl w:val="624663A8"/>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64863F1D"/>
    <w:multiLevelType w:val="multilevel"/>
    <w:tmpl w:val="64863F1D"/>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668E1467"/>
    <w:multiLevelType w:val="multilevel"/>
    <w:tmpl w:val="668E1467"/>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67457D16"/>
    <w:multiLevelType w:val="multilevel"/>
    <w:tmpl w:val="67457D16"/>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675EA69F"/>
    <w:multiLevelType w:val="singleLevel"/>
    <w:tmpl w:val="675EA69F"/>
    <w:lvl w:ilvl="0" w:tentative="0">
      <w:start w:val="3"/>
      <w:numFmt w:val="decimal"/>
      <w:suff w:val="nothing"/>
      <w:lvlText w:val="%1、"/>
      <w:lvlJc w:val="left"/>
    </w:lvl>
  </w:abstractNum>
  <w:abstractNum w:abstractNumId="62">
    <w:nsid w:val="69E12762"/>
    <w:multiLevelType w:val="multilevel"/>
    <w:tmpl w:val="69E12762"/>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6C4611E1"/>
    <w:multiLevelType w:val="multilevel"/>
    <w:tmpl w:val="6C4611E1"/>
    <w:lvl w:ilvl="0" w:tentative="0">
      <w:start w:val="1"/>
      <w:numFmt w:val="decimal"/>
      <w:lvlText w:val="%1."/>
      <w:lvlJc w:val="left"/>
      <w:pPr>
        <w:ind w:left="0" w:firstLine="0"/>
      </w:pPr>
      <w:rPr>
        <w:rFonts w:hint="eastAsia"/>
      </w:rPr>
    </w:lvl>
    <w:lvl w:ilvl="1" w:tentative="0">
      <w:start w:val="5"/>
      <w:numFmt w:val="bullet"/>
      <w:lvlText w:val="★"/>
      <w:lvlJc w:val="left"/>
      <w:pPr>
        <w:ind w:left="780" w:hanging="360"/>
      </w:pPr>
      <w:rPr>
        <w:rFonts w:hint="eastAsia" w:ascii="宋体" w:hAnsi="宋体" w:eastAsia="宋体" w:cs="Segoe UI Symbo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6CB70A34"/>
    <w:multiLevelType w:val="multilevel"/>
    <w:tmpl w:val="6CB70A34"/>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6DF9384B"/>
    <w:multiLevelType w:val="multilevel"/>
    <w:tmpl w:val="6DF9384B"/>
    <w:lvl w:ilvl="0" w:tentative="0">
      <w:start w:val="1"/>
      <w:numFmt w:val="decimal"/>
      <w:lvlText w:val="%1."/>
      <w:lvlJc w:val="left"/>
      <w:pPr>
        <w:ind w:left="0" w:firstLine="0"/>
      </w:pPr>
      <w:rPr>
        <w:rFonts w:hint="eastAsia"/>
      </w:rPr>
    </w:lvl>
    <w:lvl w:ilvl="1" w:tentative="0">
      <w:start w:val="5"/>
      <w:numFmt w:val="bullet"/>
      <w:lvlText w:val="★"/>
      <w:lvlJc w:val="left"/>
      <w:pPr>
        <w:ind w:left="780" w:hanging="360"/>
      </w:pPr>
      <w:rPr>
        <w:rFonts w:hint="eastAsia" w:ascii="宋体" w:hAnsi="宋体" w:eastAsia="宋体" w:cs="Segoe UI Symbo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6F014386"/>
    <w:multiLevelType w:val="multilevel"/>
    <w:tmpl w:val="6F014386"/>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767A7529"/>
    <w:multiLevelType w:val="multilevel"/>
    <w:tmpl w:val="767A7529"/>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789D65D6"/>
    <w:multiLevelType w:val="multilevel"/>
    <w:tmpl w:val="789D65D6"/>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78E66A44"/>
    <w:multiLevelType w:val="multilevel"/>
    <w:tmpl w:val="78E66A44"/>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79660BF4"/>
    <w:multiLevelType w:val="multilevel"/>
    <w:tmpl w:val="79660BF4"/>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7E05621B"/>
    <w:multiLevelType w:val="multilevel"/>
    <w:tmpl w:val="7E05621B"/>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2">
    <w:nsid w:val="7F96771E"/>
    <w:multiLevelType w:val="multilevel"/>
    <w:tmpl w:val="7F96771E"/>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4"/>
  </w:num>
  <w:num w:numId="3">
    <w:abstractNumId w:val="2"/>
  </w:num>
  <w:num w:numId="4">
    <w:abstractNumId w:val="1"/>
  </w:num>
  <w:num w:numId="5">
    <w:abstractNumId w:val="0"/>
  </w:num>
  <w:num w:numId="6">
    <w:abstractNumId w:val="58"/>
  </w:num>
  <w:num w:numId="7">
    <w:abstractNumId w:val="40"/>
  </w:num>
  <w:num w:numId="8">
    <w:abstractNumId w:val="47"/>
  </w:num>
  <w:num w:numId="9">
    <w:abstractNumId w:val="34"/>
  </w:num>
  <w:num w:numId="10">
    <w:abstractNumId w:val="55"/>
  </w:num>
  <w:num w:numId="11">
    <w:abstractNumId w:val="67"/>
  </w:num>
  <w:num w:numId="12">
    <w:abstractNumId w:val="23"/>
  </w:num>
  <w:num w:numId="13">
    <w:abstractNumId w:val="35"/>
  </w:num>
  <w:num w:numId="14">
    <w:abstractNumId w:val="9"/>
  </w:num>
  <w:num w:numId="15">
    <w:abstractNumId w:val="39"/>
  </w:num>
  <w:num w:numId="16">
    <w:abstractNumId w:val="26"/>
  </w:num>
  <w:num w:numId="17">
    <w:abstractNumId w:val="42"/>
  </w:num>
  <w:num w:numId="18">
    <w:abstractNumId w:val="4"/>
  </w:num>
  <w:num w:numId="19">
    <w:abstractNumId w:val="43"/>
  </w:num>
  <w:num w:numId="20">
    <w:abstractNumId w:val="6"/>
  </w:num>
  <w:num w:numId="21">
    <w:abstractNumId w:val="46"/>
  </w:num>
  <w:num w:numId="22">
    <w:abstractNumId w:val="48"/>
  </w:num>
  <w:num w:numId="23">
    <w:abstractNumId w:val="32"/>
  </w:num>
  <w:num w:numId="24">
    <w:abstractNumId w:val="17"/>
  </w:num>
  <w:num w:numId="25">
    <w:abstractNumId w:val="65"/>
  </w:num>
  <w:num w:numId="26">
    <w:abstractNumId w:val="44"/>
  </w:num>
  <w:num w:numId="27">
    <w:abstractNumId w:val="31"/>
  </w:num>
  <w:num w:numId="28">
    <w:abstractNumId w:val="63"/>
  </w:num>
  <w:num w:numId="29">
    <w:abstractNumId w:val="41"/>
  </w:num>
  <w:num w:numId="30">
    <w:abstractNumId w:val="22"/>
  </w:num>
  <w:num w:numId="31">
    <w:abstractNumId w:val="53"/>
  </w:num>
  <w:num w:numId="32">
    <w:abstractNumId w:val="33"/>
  </w:num>
  <w:num w:numId="33">
    <w:abstractNumId w:val="11"/>
  </w:num>
  <w:num w:numId="34">
    <w:abstractNumId w:val="36"/>
  </w:num>
  <w:num w:numId="35">
    <w:abstractNumId w:val="69"/>
  </w:num>
  <w:num w:numId="36">
    <w:abstractNumId w:val="10"/>
  </w:num>
  <w:num w:numId="37">
    <w:abstractNumId w:val="57"/>
  </w:num>
  <w:num w:numId="38">
    <w:abstractNumId w:val="66"/>
  </w:num>
  <w:num w:numId="39">
    <w:abstractNumId w:val="50"/>
  </w:num>
  <w:num w:numId="40">
    <w:abstractNumId w:val="8"/>
  </w:num>
  <w:num w:numId="41">
    <w:abstractNumId w:val="64"/>
  </w:num>
  <w:num w:numId="42">
    <w:abstractNumId w:val="20"/>
  </w:num>
  <w:num w:numId="43">
    <w:abstractNumId w:val="70"/>
  </w:num>
  <w:num w:numId="44">
    <w:abstractNumId w:val="49"/>
  </w:num>
  <w:num w:numId="45">
    <w:abstractNumId w:val="54"/>
  </w:num>
  <w:num w:numId="46">
    <w:abstractNumId w:val="5"/>
  </w:num>
  <w:num w:numId="47">
    <w:abstractNumId w:val="38"/>
  </w:num>
  <w:num w:numId="48">
    <w:abstractNumId w:val="71"/>
  </w:num>
  <w:num w:numId="49">
    <w:abstractNumId w:val="7"/>
  </w:num>
  <w:num w:numId="50">
    <w:abstractNumId w:val="27"/>
  </w:num>
  <w:num w:numId="51">
    <w:abstractNumId w:val="45"/>
  </w:num>
  <w:num w:numId="52">
    <w:abstractNumId w:val="16"/>
  </w:num>
  <w:num w:numId="53">
    <w:abstractNumId w:val="25"/>
  </w:num>
  <w:num w:numId="54">
    <w:abstractNumId w:val="60"/>
  </w:num>
  <w:num w:numId="55">
    <w:abstractNumId w:val="15"/>
  </w:num>
  <w:num w:numId="56">
    <w:abstractNumId w:val="13"/>
  </w:num>
  <w:num w:numId="57">
    <w:abstractNumId w:val="29"/>
  </w:num>
  <w:num w:numId="58">
    <w:abstractNumId w:val="52"/>
  </w:num>
  <w:num w:numId="59">
    <w:abstractNumId w:val="30"/>
  </w:num>
  <w:num w:numId="60">
    <w:abstractNumId w:val="18"/>
  </w:num>
  <w:num w:numId="61">
    <w:abstractNumId w:val="14"/>
  </w:num>
  <w:num w:numId="62">
    <w:abstractNumId w:val="12"/>
  </w:num>
  <w:num w:numId="63">
    <w:abstractNumId w:val="28"/>
  </w:num>
  <w:num w:numId="64">
    <w:abstractNumId w:val="72"/>
  </w:num>
  <w:num w:numId="65">
    <w:abstractNumId w:val="62"/>
  </w:num>
  <w:num w:numId="66">
    <w:abstractNumId w:val="19"/>
  </w:num>
  <w:num w:numId="67">
    <w:abstractNumId w:val="56"/>
  </w:num>
  <w:num w:numId="68">
    <w:abstractNumId w:val="68"/>
  </w:num>
  <w:num w:numId="69">
    <w:abstractNumId w:val="37"/>
  </w:num>
  <w:num w:numId="70">
    <w:abstractNumId w:val="59"/>
  </w:num>
  <w:num w:numId="71">
    <w:abstractNumId w:val="61"/>
  </w:num>
  <w:num w:numId="72">
    <w:abstractNumId w:val="21"/>
  </w:num>
  <w:num w:numId="73">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5"/>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1"/>
    </o:shapelayout>
  </w:hdrShapeDefault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iMDk2MmI3ZmY5ZjY0ODA4NjI2OWZkNjlhNWQ2MWIifQ=="/>
  </w:docVars>
  <w:rsids>
    <w:rsidRoot w:val="00574B86"/>
    <w:rsid w:val="000056EC"/>
    <w:rsid w:val="00016A10"/>
    <w:rsid w:val="000261BA"/>
    <w:rsid w:val="000C44C0"/>
    <w:rsid w:val="001368CF"/>
    <w:rsid w:val="00151743"/>
    <w:rsid w:val="0019066A"/>
    <w:rsid w:val="001A03CA"/>
    <w:rsid w:val="001B1285"/>
    <w:rsid w:val="001B7EE2"/>
    <w:rsid w:val="001F14A1"/>
    <w:rsid w:val="001F2146"/>
    <w:rsid w:val="0020185D"/>
    <w:rsid w:val="0021037F"/>
    <w:rsid w:val="002272AE"/>
    <w:rsid w:val="00247D13"/>
    <w:rsid w:val="0026331A"/>
    <w:rsid w:val="00294E53"/>
    <w:rsid w:val="002A5161"/>
    <w:rsid w:val="002B7C8B"/>
    <w:rsid w:val="002E0E2A"/>
    <w:rsid w:val="00361483"/>
    <w:rsid w:val="003649FB"/>
    <w:rsid w:val="003D796B"/>
    <w:rsid w:val="003F3116"/>
    <w:rsid w:val="004270A7"/>
    <w:rsid w:val="004461C6"/>
    <w:rsid w:val="004C74DD"/>
    <w:rsid w:val="00555231"/>
    <w:rsid w:val="00574B86"/>
    <w:rsid w:val="00575DC1"/>
    <w:rsid w:val="005A07EE"/>
    <w:rsid w:val="005C39E0"/>
    <w:rsid w:val="005F3085"/>
    <w:rsid w:val="006128E9"/>
    <w:rsid w:val="0066011C"/>
    <w:rsid w:val="00666DF6"/>
    <w:rsid w:val="00691057"/>
    <w:rsid w:val="00691CA6"/>
    <w:rsid w:val="006A6073"/>
    <w:rsid w:val="00702238"/>
    <w:rsid w:val="00731BD3"/>
    <w:rsid w:val="00747320"/>
    <w:rsid w:val="007C0381"/>
    <w:rsid w:val="007E3DC6"/>
    <w:rsid w:val="007F46E5"/>
    <w:rsid w:val="008A288D"/>
    <w:rsid w:val="008A2B46"/>
    <w:rsid w:val="008B2F76"/>
    <w:rsid w:val="00930855"/>
    <w:rsid w:val="009C3441"/>
    <w:rsid w:val="009F2AFA"/>
    <w:rsid w:val="00A0641E"/>
    <w:rsid w:val="00A35D8E"/>
    <w:rsid w:val="00A61B4D"/>
    <w:rsid w:val="00A725B4"/>
    <w:rsid w:val="00A97279"/>
    <w:rsid w:val="00AC746B"/>
    <w:rsid w:val="00AE4591"/>
    <w:rsid w:val="00B020DF"/>
    <w:rsid w:val="00B07CAA"/>
    <w:rsid w:val="00BD49E1"/>
    <w:rsid w:val="00BE463B"/>
    <w:rsid w:val="00C24134"/>
    <w:rsid w:val="00C26E4C"/>
    <w:rsid w:val="00C30C75"/>
    <w:rsid w:val="00C56ACB"/>
    <w:rsid w:val="00C638FD"/>
    <w:rsid w:val="00C77138"/>
    <w:rsid w:val="00C90BD3"/>
    <w:rsid w:val="00CB1896"/>
    <w:rsid w:val="00CF16BE"/>
    <w:rsid w:val="00D010E0"/>
    <w:rsid w:val="00D52E84"/>
    <w:rsid w:val="00D92068"/>
    <w:rsid w:val="00DB43E9"/>
    <w:rsid w:val="00E00DE3"/>
    <w:rsid w:val="00EE4A73"/>
    <w:rsid w:val="00F0060E"/>
    <w:rsid w:val="00F248EB"/>
    <w:rsid w:val="00F4330E"/>
    <w:rsid w:val="00F50FD0"/>
    <w:rsid w:val="00FC610E"/>
    <w:rsid w:val="0166373B"/>
    <w:rsid w:val="029109B6"/>
    <w:rsid w:val="053D2511"/>
    <w:rsid w:val="05946D18"/>
    <w:rsid w:val="05FF0BC0"/>
    <w:rsid w:val="0637225A"/>
    <w:rsid w:val="074D0A28"/>
    <w:rsid w:val="085472B6"/>
    <w:rsid w:val="0A584D3A"/>
    <w:rsid w:val="0ABC43D7"/>
    <w:rsid w:val="0B6934D1"/>
    <w:rsid w:val="0C1C547D"/>
    <w:rsid w:val="0CDA5EC6"/>
    <w:rsid w:val="0D5748EE"/>
    <w:rsid w:val="0E133C1B"/>
    <w:rsid w:val="0E360105"/>
    <w:rsid w:val="0FF87998"/>
    <w:rsid w:val="11680345"/>
    <w:rsid w:val="1519032E"/>
    <w:rsid w:val="192723AB"/>
    <w:rsid w:val="192D1165"/>
    <w:rsid w:val="19490ABF"/>
    <w:rsid w:val="19C702BB"/>
    <w:rsid w:val="19F81376"/>
    <w:rsid w:val="1A596857"/>
    <w:rsid w:val="1C2E1A0C"/>
    <w:rsid w:val="1EF241EB"/>
    <w:rsid w:val="214F0E3D"/>
    <w:rsid w:val="22184E8F"/>
    <w:rsid w:val="22C752AA"/>
    <w:rsid w:val="23561913"/>
    <w:rsid w:val="25A34269"/>
    <w:rsid w:val="27C41EE9"/>
    <w:rsid w:val="28730611"/>
    <w:rsid w:val="28DE33EC"/>
    <w:rsid w:val="290E126C"/>
    <w:rsid w:val="29433099"/>
    <w:rsid w:val="2A592AC3"/>
    <w:rsid w:val="2A9B49B2"/>
    <w:rsid w:val="2B807C02"/>
    <w:rsid w:val="2B8736AF"/>
    <w:rsid w:val="2C2C5328"/>
    <w:rsid w:val="2D3550A9"/>
    <w:rsid w:val="2D885811"/>
    <w:rsid w:val="2E283D2E"/>
    <w:rsid w:val="2EAD287E"/>
    <w:rsid w:val="2FAC1A65"/>
    <w:rsid w:val="30547B02"/>
    <w:rsid w:val="31397E77"/>
    <w:rsid w:val="32876DF9"/>
    <w:rsid w:val="32A2479B"/>
    <w:rsid w:val="330F3448"/>
    <w:rsid w:val="33FB130B"/>
    <w:rsid w:val="340B37C3"/>
    <w:rsid w:val="378922AD"/>
    <w:rsid w:val="37AA3F0A"/>
    <w:rsid w:val="38217BCC"/>
    <w:rsid w:val="38F33EF2"/>
    <w:rsid w:val="397701F9"/>
    <w:rsid w:val="39DF46D2"/>
    <w:rsid w:val="39F90185"/>
    <w:rsid w:val="3B431084"/>
    <w:rsid w:val="3BB719D0"/>
    <w:rsid w:val="3C917394"/>
    <w:rsid w:val="3CA45F8F"/>
    <w:rsid w:val="3D5A48D8"/>
    <w:rsid w:val="40101E63"/>
    <w:rsid w:val="42FB77D1"/>
    <w:rsid w:val="4454307E"/>
    <w:rsid w:val="459B0A5D"/>
    <w:rsid w:val="475A49EA"/>
    <w:rsid w:val="49623343"/>
    <w:rsid w:val="4A324E57"/>
    <w:rsid w:val="4B9A0336"/>
    <w:rsid w:val="4D476F50"/>
    <w:rsid w:val="4DD97A49"/>
    <w:rsid w:val="4E394ED5"/>
    <w:rsid w:val="504A6DC8"/>
    <w:rsid w:val="53D80A8B"/>
    <w:rsid w:val="54AF361A"/>
    <w:rsid w:val="56264A78"/>
    <w:rsid w:val="57617384"/>
    <w:rsid w:val="58C158C2"/>
    <w:rsid w:val="59116E9A"/>
    <w:rsid w:val="5B781E9D"/>
    <w:rsid w:val="5BEB6EEC"/>
    <w:rsid w:val="5CD22A57"/>
    <w:rsid w:val="5DEC7F1F"/>
    <w:rsid w:val="5EE13190"/>
    <w:rsid w:val="5FB342EC"/>
    <w:rsid w:val="60F63729"/>
    <w:rsid w:val="61514693"/>
    <w:rsid w:val="61D94C85"/>
    <w:rsid w:val="639055C7"/>
    <w:rsid w:val="649406A7"/>
    <w:rsid w:val="655504A7"/>
    <w:rsid w:val="6793088C"/>
    <w:rsid w:val="67B57DB9"/>
    <w:rsid w:val="681F3E80"/>
    <w:rsid w:val="691638AC"/>
    <w:rsid w:val="693536B4"/>
    <w:rsid w:val="6A58065E"/>
    <w:rsid w:val="6A7B0410"/>
    <w:rsid w:val="6B672506"/>
    <w:rsid w:val="6BBD1369"/>
    <w:rsid w:val="6C293190"/>
    <w:rsid w:val="6DF80D59"/>
    <w:rsid w:val="6E15743A"/>
    <w:rsid w:val="6E4D3340"/>
    <w:rsid w:val="6E9B1B8E"/>
    <w:rsid w:val="6F79022E"/>
    <w:rsid w:val="709C7A1D"/>
    <w:rsid w:val="71EF6021"/>
    <w:rsid w:val="71FA1EE2"/>
    <w:rsid w:val="72A34862"/>
    <w:rsid w:val="73FA7245"/>
    <w:rsid w:val="741F21EF"/>
    <w:rsid w:val="756B33ED"/>
    <w:rsid w:val="760C011A"/>
    <w:rsid w:val="76A950FF"/>
    <w:rsid w:val="77536BB7"/>
    <w:rsid w:val="778D4FB2"/>
    <w:rsid w:val="7A91187F"/>
    <w:rsid w:val="7B70608E"/>
    <w:rsid w:val="7BF2064C"/>
    <w:rsid w:val="7C887262"/>
    <w:rsid w:val="7DC9161D"/>
    <w:rsid w:val="7DCC32AE"/>
    <w:rsid w:val="7DFB7FE7"/>
    <w:rsid w:val="7E1005AE"/>
    <w:rsid w:val="7EE34405"/>
    <w:rsid w:val="7EFB7B5B"/>
    <w:rsid w:val="7F5E1F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宋体"/>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qFormat/>
    <w:uiPriority w:val="99"/>
    <w:pPr>
      <w:keepNext/>
      <w:keepLines/>
      <w:spacing w:before="260" w:after="260" w:line="416" w:lineRule="auto"/>
      <w:jc w:val="center"/>
      <w:outlineLvl w:val="1"/>
    </w:pPr>
    <w:rPr>
      <w:rFonts w:ascii="Arial" w:hAnsi="Arial" w:eastAsia="幼圆" w:cs="Arial"/>
      <w:sz w:val="44"/>
      <w:szCs w:val="44"/>
    </w:rPr>
  </w:style>
  <w:style w:type="paragraph" w:styleId="5">
    <w:name w:val="heading 3"/>
    <w:basedOn w:val="1"/>
    <w:next w:val="6"/>
    <w:qFormat/>
    <w:uiPriority w:val="1"/>
    <w:pPr>
      <w:spacing w:line="357" w:lineRule="exact"/>
      <w:ind w:left="774"/>
      <w:outlineLvl w:val="2"/>
    </w:pPr>
    <w:rPr>
      <w:b/>
      <w:bCs/>
      <w:sz w:val="28"/>
      <w:szCs w:val="28"/>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6">
    <w:name w:val="Normal Indent"/>
    <w:basedOn w:val="1"/>
    <w:link w:val="149"/>
    <w:qFormat/>
    <w:uiPriority w:val="0"/>
    <w:pPr>
      <w:ind w:firstLine="420"/>
    </w:pPr>
  </w:style>
  <w:style w:type="paragraph" w:styleId="8">
    <w:name w:val="Body Text"/>
    <w:basedOn w:val="1"/>
    <w:next w:val="1"/>
    <w:qFormat/>
    <w:uiPriority w:val="1"/>
    <w:rPr>
      <w:sz w:val="28"/>
      <w:szCs w:val="28"/>
    </w:rPr>
  </w:style>
  <w:style w:type="paragraph" w:styleId="9">
    <w:name w:val="Body Text Indent"/>
    <w:basedOn w:val="1"/>
    <w:next w:val="10"/>
    <w:qFormat/>
    <w:uiPriority w:val="0"/>
    <w:pPr>
      <w:ind w:firstLine="645"/>
    </w:pPr>
    <w:rPr>
      <w:rFonts w:ascii="楷体_GB2312" w:eastAsia="楷体_GB2312"/>
      <w:sz w:val="32"/>
      <w:szCs w:val="32"/>
    </w:rPr>
  </w:style>
  <w:style w:type="paragraph" w:styleId="10">
    <w:name w:val="envelope return"/>
    <w:basedOn w:val="1"/>
    <w:qFormat/>
    <w:uiPriority w:val="0"/>
    <w:pPr>
      <w:snapToGrid w:val="0"/>
    </w:pPr>
    <w:rPr>
      <w:rFonts w:ascii="Arial" w:hAnsi="Arial"/>
    </w:rPr>
  </w:style>
  <w:style w:type="paragraph" w:styleId="11">
    <w:name w:val="Block Text"/>
    <w:basedOn w:val="1"/>
    <w:qFormat/>
    <w:uiPriority w:val="99"/>
    <w:pPr>
      <w:spacing w:after="120"/>
      <w:ind w:left="1440" w:leftChars="700" w:right="1440" w:rightChars="700"/>
    </w:pPr>
  </w:style>
  <w:style w:type="paragraph" w:styleId="12">
    <w:name w:val="index 4"/>
    <w:basedOn w:val="1"/>
    <w:next w:val="1"/>
    <w:qFormat/>
    <w:uiPriority w:val="99"/>
    <w:pPr>
      <w:ind w:left="600" w:leftChars="600"/>
    </w:pPr>
    <w:rPr>
      <w:rFonts w:ascii="Verdana" w:hAnsi="Verdana"/>
      <w:szCs w:val="20"/>
    </w:rPr>
  </w:style>
  <w:style w:type="paragraph" w:styleId="13">
    <w:name w:val="Plain Text"/>
    <w:basedOn w:val="1"/>
    <w:qFormat/>
    <w:uiPriority w:val="0"/>
    <w:rPr>
      <w:rFonts w:ascii="宋体" w:hAnsi="Courier New"/>
    </w:rPr>
  </w:style>
  <w:style w:type="paragraph" w:styleId="14">
    <w:name w:val="Date"/>
    <w:basedOn w:val="1"/>
    <w:next w:val="1"/>
    <w:qFormat/>
    <w:uiPriority w:val="0"/>
    <w:rPr>
      <w:sz w:val="24"/>
      <w:szCs w:val="24"/>
    </w:rPr>
  </w:style>
  <w:style w:type="paragraph" w:styleId="15">
    <w:name w:val="Balloon Text"/>
    <w:basedOn w:val="1"/>
    <w:link w:val="155"/>
    <w:qFormat/>
    <w:uiPriority w:val="0"/>
    <w:rPr>
      <w:sz w:val="18"/>
      <w:szCs w:val="18"/>
    </w:rPr>
  </w:style>
  <w:style w:type="paragraph" w:styleId="16">
    <w:name w:val="footer"/>
    <w:basedOn w:val="1"/>
    <w:link w:val="73"/>
    <w:qFormat/>
    <w:uiPriority w:val="0"/>
    <w:pPr>
      <w:tabs>
        <w:tab w:val="center" w:pos="4153"/>
        <w:tab w:val="right" w:pos="8306"/>
      </w:tabs>
      <w:snapToGrid w:val="0"/>
      <w:jc w:val="left"/>
    </w:pPr>
    <w:rPr>
      <w:sz w:val="18"/>
      <w:szCs w:val="18"/>
    </w:rPr>
  </w:style>
  <w:style w:type="paragraph" w:styleId="17">
    <w:name w:val="header"/>
    <w:basedOn w:val="1"/>
    <w:link w:val="74"/>
    <w:qFormat/>
    <w:uiPriority w:val="0"/>
    <w:pPr>
      <w:pBdr>
        <w:bottom w:val="single" w:color="000000"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style>
  <w:style w:type="paragraph" w:styleId="19">
    <w:name w:val="Normal (Web)"/>
    <w:basedOn w:val="1"/>
    <w:qFormat/>
    <w:uiPriority w:val="99"/>
    <w:pPr>
      <w:spacing w:before="100" w:beforeAutospacing="1" w:after="100" w:afterAutospacing="1"/>
      <w:jc w:val="left"/>
    </w:pPr>
    <w:rPr>
      <w:rFonts w:ascii="宋体" w:hAnsi="宋体"/>
      <w:kern w:val="0"/>
      <w:sz w:val="24"/>
    </w:rPr>
  </w:style>
  <w:style w:type="paragraph" w:styleId="20">
    <w:name w:val="Body Text First Indent"/>
    <w:basedOn w:val="1"/>
    <w:qFormat/>
    <w:uiPriority w:val="99"/>
    <w:pPr>
      <w:ind w:firstLine="420" w:firstLineChars="100"/>
    </w:pPr>
  </w:style>
  <w:style w:type="paragraph" w:styleId="21">
    <w:name w:val="Body Text First Indent 2"/>
    <w:basedOn w:val="9"/>
    <w:next w:val="1"/>
    <w:qFormat/>
    <w:uiPriority w:val="0"/>
    <w:pPr>
      <w:spacing w:line="360" w:lineRule="auto"/>
      <w:ind w:firstLine="420" w:firstLineChars="200"/>
    </w:pPr>
    <w:rPr>
      <w:rFonts w:ascii="宋体" w:hAnsi="宋体" w:eastAsia="宋体"/>
      <w:sz w:val="21"/>
      <w:szCs w:val="20"/>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rFonts w:cs="Times New Roman"/>
      <w:b/>
      <w:bCs/>
    </w:rPr>
  </w:style>
  <w:style w:type="character" w:styleId="26">
    <w:name w:val="page number"/>
    <w:basedOn w:val="24"/>
    <w:qFormat/>
    <w:uiPriority w:val="0"/>
  </w:style>
  <w:style w:type="character" w:styleId="27">
    <w:name w:val="FollowedHyperlink"/>
    <w:qFormat/>
    <w:uiPriority w:val="0"/>
    <w:rPr>
      <w:color w:val="800080"/>
    </w:rPr>
  </w:style>
  <w:style w:type="character" w:styleId="28">
    <w:name w:val="Emphasis"/>
    <w:qFormat/>
    <w:uiPriority w:val="0"/>
  </w:style>
  <w:style w:type="character" w:styleId="29">
    <w:name w:val="Hyperlink"/>
    <w:qFormat/>
    <w:uiPriority w:val="0"/>
    <w:rPr>
      <w:color w:val="0000FF"/>
    </w:rPr>
  </w:style>
  <w:style w:type="paragraph" w:customStyle="1" w:styleId="30">
    <w:name w:val="一级条标题"/>
    <w:basedOn w:val="31"/>
    <w:next w:val="32"/>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1">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2">
    <w:name w:val="段"/>
    <w:next w:val="33"/>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3">
    <w:name w:val="正文 A"/>
    <w:next w:val="32"/>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4">
    <w:name w:val="Heading1"/>
    <w:basedOn w:val="1"/>
    <w:next w:val="1"/>
    <w:link w:val="62"/>
    <w:qFormat/>
    <w:uiPriority w:val="0"/>
    <w:pPr>
      <w:keepNext/>
      <w:jc w:val="center"/>
    </w:pPr>
    <w:rPr>
      <w:rFonts w:ascii="楷体_GB2312" w:eastAsia="楷体_GB2312"/>
      <w:sz w:val="28"/>
      <w:szCs w:val="28"/>
    </w:rPr>
  </w:style>
  <w:style w:type="paragraph" w:customStyle="1" w:styleId="35">
    <w:name w:val="Heading2"/>
    <w:basedOn w:val="1"/>
    <w:next w:val="36"/>
    <w:qFormat/>
    <w:uiPriority w:val="0"/>
    <w:pPr>
      <w:keepNext/>
      <w:keepLines/>
      <w:spacing w:before="260" w:after="260" w:line="416" w:lineRule="auto"/>
      <w:jc w:val="center"/>
    </w:pPr>
    <w:rPr>
      <w:rFonts w:ascii="Arial" w:hAnsi="Arial" w:eastAsia="幼圆" w:cs="Arial"/>
      <w:b/>
      <w:bCs/>
      <w:sz w:val="44"/>
      <w:szCs w:val="44"/>
    </w:rPr>
  </w:style>
  <w:style w:type="paragraph" w:customStyle="1" w:styleId="36">
    <w:name w:val="NormalIndent"/>
    <w:basedOn w:val="1"/>
    <w:link w:val="64"/>
    <w:qFormat/>
    <w:uiPriority w:val="0"/>
    <w:pPr>
      <w:ind w:firstLine="420"/>
    </w:pPr>
  </w:style>
  <w:style w:type="paragraph" w:customStyle="1" w:styleId="37">
    <w:name w:val="Heading3"/>
    <w:basedOn w:val="1"/>
    <w:next w:val="36"/>
    <w:link w:val="65"/>
    <w:qFormat/>
    <w:uiPriority w:val="0"/>
    <w:pPr>
      <w:keepNext/>
      <w:keepLines/>
      <w:spacing w:before="260" w:after="260" w:line="416" w:lineRule="auto"/>
    </w:pPr>
    <w:rPr>
      <w:rFonts w:cs="Times New Roman"/>
      <w:b/>
      <w:bCs/>
      <w:sz w:val="32"/>
      <w:szCs w:val="32"/>
    </w:rPr>
  </w:style>
  <w:style w:type="paragraph" w:customStyle="1" w:styleId="38">
    <w:name w:val="Heading4"/>
    <w:basedOn w:val="1"/>
    <w:next w:val="1"/>
    <w:link w:val="66"/>
    <w:qFormat/>
    <w:uiPriority w:val="0"/>
    <w:pPr>
      <w:keepNext/>
      <w:keepLines/>
      <w:spacing w:before="280" w:after="290" w:line="376" w:lineRule="auto"/>
    </w:pPr>
    <w:rPr>
      <w:rFonts w:ascii="Cambria" w:hAnsi="Cambria"/>
      <w:b/>
      <w:sz w:val="28"/>
      <w:szCs w:val="28"/>
    </w:rPr>
  </w:style>
  <w:style w:type="paragraph" w:customStyle="1" w:styleId="39">
    <w:name w:val="Heading5"/>
    <w:basedOn w:val="1"/>
    <w:next w:val="1"/>
    <w:qFormat/>
    <w:uiPriority w:val="0"/>
    <w:pPr>
      <w:keepNext/>
    </w:pPr>
    <w:rPr>
      <w:rFonts w:ascii="宋体"/>
      <w:color w:val="000000"/>
      <w:kern w:val="0"/>
      <w:sz w:val="28"/>
      <w:szCs w:val="28"/>
    </w:rPr>
  </w:style>
  <w:style w:type="paragraph" w:customStyle="1" w:styleId="40">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1">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2">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3">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4">
    <w:name w:val="NormalCharacter"/>
    <w:qFormat/>
    <w:uiPriority w:val="0"/>
  </w:style>
  <w:style w:type="table" w:customStyle="1" w:styleId="45">
    <w:name w:val="TableNormal"/>
    <w:qFormat/>
    <w:uiPriority w:val="0"/>
    <w:tblPr>
      <w:tblCellMar>
        <w:top w:w="0" w:type="dxa"/>
        <w:left w:w="0" w:type="dxa"/>
        <w:bottom w:w="0" w:type="dxa"/>
        <w:right w:w="0" w:type="dxa"/>
      </w:tblCellMar>
    </w:tblPr>
  </w:style>
  <w:style w:type="character" w:customStyle="1" w:styleId="46">
    <w:name w:val="htmlSamp"/>
    <w:qFormat/>
    <w:uiPriority w:val="0"/>
    <w:rPr>
      <w:rFonts w:ascii="monospace" w:hAnsi="monospace" w:eastAsia="monospace"/>
    </w:rPr>
  </w:style>
  <w:style w:type="character" w:customStyle="1" w:styleId="47">
    <w:name w:val="PageNumber"/>
    <w:basedOn w:val="44"/>
    <w:qFormat/>
    <w:uiPriority w:val="0"/>
  </w:style>
  <w:style w:type="character" w:customStyle="1" w:styleId="48">
    <w:name w:val="HtmlVar"/>
    <w:qFormat/>
    <w:uiPriority w:val="0"/>
  </w:style>
  <w:style w:type="character" w:customStyle="1" w:styleId="49">
    <w:name w:val="HtmlKbd"/>
    <w:qFormat/>
    <w:uiPriority w:val="0"/>
    <w:rPr>
      <w:rFonts w:ascii="monospace" w:hAnsi="monospace" w:eastAsia="monospace"/>
      <w:sz w:val="20"/>
    </w:rPr>
  </w:style>
  <w:style w:type="character" w:customStyle="1" w:styleId="50">
    <w:name w:val="HtmlDfn"/>
    <w:qFormat/>
    <w:uiPriority w:val="0"/>
  </w:style>
  <w:style w:type="character" w:customStyle="1" w:styleId="51">
    <w:name w:val="HtmlCite"/>
    <w:qFormat/>
    <w:uiPriority w:val="0"/>
  </w:style>
  <w:style w:type="character" w:customStyle="1" w:styleId="52">
    <w:name w:val="HtmlAcronym"/>
    <w:basedOn w:val="44"/>
    <w:qFormat/>
    <w:uiPriority w:val="0"/>
  </w:style>
  <w:style w:type="character" w:customStyle="1" w:styleId="53">
    <w:name w:val="HtmlTt"/>
    <w:qFormat/>
    <w:uiPriority w:val="0"/>
    <w:rPr>
      <w:rFonts w:ascii="monospace" w:hAnsi="monospace" w:eastAsia="monospace"/>
      <w:sz w:val="20"/>
    </w:rPr>
  </w:style>
  <w:style w:type="character" w:customStyle="1" w:styleId="54">
    <w:name w:val="AnnotationReference"/>
    <w:qFormat/>
    <w:uiPriority w:val="0"/>
    <w:rPr>
      <w:sz w:val="21"/>
      <w:szCs w:val="21"/>
    </w:rPr>
  </w:style>
  <w:style w:type="character" w:customStyle="1" w:styleId="55">
    <w:name w:val="HtmlCode"/>
    <w:qFormat/>
    <w:uiPriority w:val="0"/>
    <w:rPr>
      <w:rFonts w:ascii="monospace" w:hAnsi="monospace" w:eastAsia="monospace"/>
      <w:sz w:val="20"/>
    </w:rPr>
  </w:style>
  <w:style w:type="character" w:customStyle="1" w:styleId="56">
    <w:name w:val="UserStyle_0"/>
    <w:link w:val="57"/>
    <w:qFormat/>
    <w:uiPriority w:val="0"/>
    <w:rPr>
      <w:rFonts w:ascii="Calibri" w:hAnsi="Calibri"/>
      <w:sz w:val="24"/>
      <w:szCs w:val="24"/>
      <w:lang w:eastAsia="en-US" w:bidi="en-US"/>
    </w:rPr>
  </w:style>
  <w:style w:type="paragraph" w:customStyle="1" w:styleId="57">
    <w:name w:val="UserStyle_1"/>
    <w:basedOn w:val="1"/>
    <w:link w:val="56"/>
    <w:qFormat/>
    <w:uiPriority w:val="0"/>
    <w:pPr>
      <w:ind w:left="720"/>
      <w:contextualSpacing/>
      <w:jc w:val="left"/>
    </w:pPr>
    <w:rPr>
      <w:kern w:val="0"/>
      <w:sz w:val="24"/>
      <w:szCs w:val="24"/>
      <w:lang w:eastAsia="en-US" w:bidi="en-US"/>
    </w:rPr>
  </w:style>
  <w:style w:type="character" w:customStyle="1" w:styleId="58">
    <w:name w:val="UserStyle_2"/>
    <w:basedOn w:val="44"/>
    <w:qFormat/>
    <w:uiPriority w:val="0"/>
  </w:style>
  <w:style w:type="character" w:customStyle="1" w:styleId="59">
    <w:name w:val="UserStyle_3"/>
    <w:basedOn w:val="44"/>
    <w:qFormat/>
    <w:uiPriority w:val="0"/>
  </w:style>
  <w:style w:type="character" w:customStyle="1" w:styleId="60">
    <w:name w:val="UserStyle_4"/>
    <w:link w:val="61"/>
    <w:qFormat/>
    <w:uiPriority w:val="0"/>
    <w:rPr>
      <w:rFonts w:eastAsia="宋体"/>
      <w:kern w:val="2"/>
      <w:sz w:val="21"/>
      <w:szCs w:val="21"/>
      <w:lang w:val="en-US" w:eastAsia="zh-CN" w:bidi="ar-SA"/>
    </w:rPr>
  </w:style>
  <w:style w:type="paragraph" w:customStyle="1" w:styleId="61">
    <w:name w:val="NavPane"/>
    <w:basedOn w:val="1"/>
    <w:link w:val="60"/>
    <w:qFormat/>
    <w:uiPriority w:val="0"/>
    <w:pPr>
      <w:shd w:val="clear" w:color="auto" w:fill="000080"/>
    </w:pPr>
  </w:style>
  <w:style w:type="character" w:customStyle="1" w:styleId="62">
    <w:name w:val="UserStyle_5"/>
    <w:link w:val="34"/>
    <w:qFormat/>
    <w:uiPriority w:val="0"/>
    <w:rPr>
      <w:rFonts w:ascii="楷体_GB2312" w:eastAsia="楷体_GB2312"/>
      <w:kern w:val="2"/>
      <w:sz w:val="28"/>
      <w:szCs w:val="28"/>
    </w:rPr>
  </w:style>
  <w:style w:type="character" w:customStyle="1" w:styleId="63">
    <w:name w:val="UserStyle_6"/>
    <w:qFormat/>
    <w:uiPriority w:val="0"/>
    <w:rPr>
      <w:color w:val="999999"/>
    </w:rPr>
  </w:style>
  <w:style w:type="character" w:customStyle="1" w:styleId="64">
    <w:name w:val="UserStyle_7"/>
    <w:link w:val="36"/>
    <w:qFormat/>
    <w:uiPriority w:val="0"/>
    <w:rPr>
      <w:kern w:val="2"/>
      <w:sz w:val="21"/>
      <w:szCs w:val="21"/>
    </w:rPr>
  </w:style>
  <w:style w:type="character" w:customStyle="1" w:styleId="65">
    <w:name w:val="UserStyle_8"/>
    <w:link w:val="37"/>
    <w:qFormat/>
    <w:uiPriority w:val="0"/>
    <w:rPr>
      <w:rFonts w:eastAsia="宋体" w:cs="Times New Roman"/>
      <w:b/>
      <w:bCs/>
      <w:kern w:val="2"/>
      <w:sz w:val="32"/>
      <w:szCs w:val="32"/>
      <w:lang w:val="en-US" w:eastAsia="zh-CN" w:bidi="ar-SA"/>
    </w:rPr>
  </w:style>
  <w:style w:type="character" w:customStyle="1" w:styleId="66">
    <w:name w:val="UserStyle_9"/>
    <w:link w:val="38"/>
    <w:qFormat/>
    <w:uiPriority w:val="0"/>
    <w:rPr>
      <w:rFonts w:ascii="Cambria" w:hAnsi="Cambria" w:eastAsia="宋体"/>
      <w:b/>
      <w:kern w:val="2"/>
      <w:sz w:val="28"/>
      <w:szCs w:val="28"/>
    </w:rPr>
  </w:style>
  <w:style w:type="character" w:customStyle="1" w:styleId="67">
    <w:name w:val="UserStyle_10"/>
    <w:link w:val="68"/>
    <w:qFormat/>
    <w:uiPriority w:val="0"/>
    <w:rPr>
      <w:kern w:val="2"/>
      <w:sz w:val="21"/>
      <w:szCs w:val="21"/>
    </w:rPr>
  </w:style>
  <w:style w:type="paragraph" w:customStyle="1" w:styleId="68">
    <w:name w:val="AnnotationText"/>
    <w:basedOn w:val="1"/>
    <w:link w:val="67"/>
    <w:qFormat/>
    <w:uiPriority w:val="0"/>
    <w:pPr>
      <w:jc w:val="left"/>
    </w:pPr>
  </w:style>
  <w:style w:type="character" w:customStyle="1" w:styleId="69">
    <w:name w:val="UserStyle_11"/>
    <w:link w:val="70"/>
    <w:qFormat/>
    <w:uiPriority w:val="0"/>
    <w:rPr>
      <w:rFonts w:ascii="宋体" w:hAnsi="Courier New"/>
      <w:kern w:val="2"/>
      <w:sz w:val="21"/>
      <w:szCs w:val="21"/>
    </w:rPr>
  </w:style>
  <w:style w:type="paragraph" w:customStyle="1" w:styleId="70">
    <w:name w:val="PlainText"/>
    <w:basedOn w:val="1"/>
    <w:link w:val="69"/>
    <w:qFormat/>
    <w:uiPriority w:val="0"/>
    <w:rPr>
      <w:rFonts w:ascii="宋体" w:hAnsi="Courier New"/>
    </w:rPr>
  </w:style>
  <w:style w:type="character" w:customStyle="1" w:styleId="71">
    <w:name w:val="UserStyle_12"/>
    <w:link w:val="72"/>
    <w:qFormat/>
    <w:uiPriority w:val="0"/>
    <w:rPr>
      <w:kern w:val="2"/>
      <w:sz w:val="18"/>
      <w:szCs w:val="18"/>
    </w:rPr>
  </w:style>
  <w:style w:type="paragraph" w:customStyle="1" w:styleId="72">
    <w:name w:val="Acetate"/>
    <w:basedOn w:val="1"/>
    <w:link w:val="71"/>
    <w:qFormat/>
    <w:uiPriority w:val="0"/>
    <w:rPr>
      <w:sz w:val="18"/>
      <w:szCs w:val="18"/>
    </w:rPr>
  </w:style>
  <w:style w:type="character" w:customStyle="1" w:styleId="73">
    <w:name w:val="页脚 Char"/>
    <w:link w:val="16"/>
    <w:qFormat/>
    <w:uiPriority w:val="0"/>
    <w:rPr>
      <w:kern w:val="2"/>
      <w:sz w:val="18"/>
      <w:szCs w:val="18"/>
    </w:rPr>
  </w:style>
  <w:style w:type="character" w:customStyle="1" w:styleId="74">
    <w:name w:val="页眉 Char"/>
    <w:link w:val="17"/>
    <w:qFormat/>
    <w:uiPriority w:val="0"/>
    <w:rPr>
      <w:kern w:val="2"/>
      <w:sz w:val="18"/>
      <w:szCs w:val="18"/>
    </w:rPr>
  </w:style>
  <w:style w:type="character" w:customStyle="1" w:styleId="75">
    <w:name w:val="UserStyle_15"/>
    <w:qFormat/>
    <w:uiPriority w:val="0"/>
    <w:rPr>
      <w:rFonts w:ascii="宋体" w:hAnsi="宋体" w:eastAsia="宋体"/>
      <w:sz w:val="28"/>
      <w:szCs w:val="28"/>
      <w:lang w:val="en-US" w:eastAsia="zh-CN" w:bidi="ar-SA"/>
    </w:rPr>
  </w:style>
  <w:style w:type="character" w:customStyle="1" w:styleId="76">
    <w:name w:val="UserStyle_16"/>
    <w:basedOn w:val="44"/>
    <w:qFormat/>
    <w:uiPriority w:val="0"/>
    <w:rPr>
      <w:rFonts w:ascii="宋体" w:hAnsi="宋体" w:eastAsia="宋体"/>
      <w:color w:val="000000"/>
      <w:sz w:val="22"/>
      <w:szCs w:val="22"/>
    </w:rPr>
  </w:style>
  <w:style w:type="character" w:customStyle="1" w:styleId="77">
    <w:name w:val="UserStyle_17"/>
    <w:qFormat/>
    <w:uiPriority w:val="0"/>
    <w:rPr>
      <w:shd w:val="clear" w:color="auto" w:fill="EEEEEE"/>
    </w:rPr>
  </w:style>
  <w:style w:type="character" w:customStyle="1" w:styleId="78">
    <w:name w:val="UserStyle_18"/>
    <w:link w:val="79"/>
    <w:qFormat/>
    <w:uiPriority w:val="0"/>
    <w:rPr>
      <w:rFonts w:ascii="Tahoma" w:hAnsi="Tahoma" w:eastAsia="宋体"/>
      <w:kern w:val="2"/>
      <w:sz w:val="24"/>
      <w:szCs w:val="24"/>
      <w:lang w:val="en-US" w:eastAsia="zh-CN" w:bidi="ar-SA"/>
    </w:rPr>
  </w:style>
  <w:style w:type="paragraph" w:customStyle="1" w:styleId="79">
    <w:name w:val="UserStyle_19"/>
    <w:basedOn w:val="61"/>
    <w:link w:val="78"/>
    <w:qFormat/>
    <w:uiPriority w:val="0"/>
    <w:pPr>
      <w:snapToGrid w:val="0"/>
      <w:spacing w:line="360" w:lineRule="auto"/>
    </w:pPr>
    <w:rPr>
      <w:rFonts w:ascii="Tahoma" w:hAnsi="Tahoma"/>
      <w:sz w:val="24"/>
      <w:szCs w:val="24"/>
    </w:rPr>
  </w:style>
  <w:style w:type="character" w:customStyle="1" w:styleId="80">
    <w:name w:val="UserStyle_20"/>
    <w:qFormat/>
    <w:uiPriority w:val="0"/>
    <w:rPr>
      <w:rFonts w:eastAsia="宋体"/>
      <w:b/>
      <w:spacing w:val="-2"/>
      <w:sz w:val="24"/>
      <w:lang w:val="en-US" w:eastAsia="zh-CN" w:bidi="ar-SA"/>
    </w:rPr>
  </w:style>
  <w:style w:type="character" w:customStyle="1" w:styleId="81">
    <w:name w:val="UserStyle_21"/>
    <w:link w:val="82"/>
    <w:qFormat/>
    <w:uiPriority w:val="0"/>
    <w:rPr>
      <w:b/>
      <w:kern w:val="2"/>
      <w:sz w:val="30"/>
      <w:szCs w:val="28"/>
      <w:lang w:val="en-US" w:eastAsia="zh-CN" w:bidi="ar-SA"/>
    </w:rPr>
  </w:style>
  <w:style w:type="paragraph" w:customStyle="1" w:styleId="82">
    <w:name w:val="UserStyle_22"/>
    <w:next w:val="1"/>
    <w:link w:val="81"/>
    <w:qFormat/>
    <w:uiPriority w:val="0"/>
    <w:pPr>
      <w:numPr>
        <w:ilvl w:val="0"/>
        <w:numId w:val="2"/>
      </w:numPr>
      <w:tabs>
        <w:tab w:val="left" w:pos="1145"/>
      </w:tabs>
    </w:pPr>
    <w:rPr>
      <w:rFonts w:ascii="Times New Roman" w:hAnsi="Times New Roman" w:eastAsia="宋体" w:cs="宋体"/>
      <w:b/>
      <w:kern w:val="2"/>
      <w:sz w:val="30"/>
      <w:szCs w:val="28"/>
      <w:lang w:val="en-US" w:eastAsia="zh-CN" w:bidi="ar-SA"/>
    </w:rPr>
  </w:style>
  <w:style w:type="character" w:customStyle="1" w:styleId="83">
    <w:name w:val="UserStyle_23"/>
    <w:basedOn w:val="44"/>
    <w:qFormat/>
    <w:uiPriority w:val="0"/>
  </w:style>
  <w:style w:type="paragraph" w:customStyle="1" w:styleId="84">
    <w:name w:val="TOC4"/>
    <w:basedOn w:val="1"/>
    <w:next w:val="1"/>
    <w:qFormat/>
    <w:uiPriority w:val="0"/>
    <w:pPr>
      <w:ind w:left="630"/>
      <w:jc w:val="left"/>
    </w:pPr>
  </w:style>
  <w:style w:type="paragraph" w:customStyle="1" w:styleId="85">
    <w:name w:val="TOC1"/>
    <w:basedOn w:val="1"/>
    <w:next w:val="1"/>
    <w:qFormat/>
    <w:uiPriority w:val="0"/>
    <w:pPr>
      <w:tabs>
        <w:tab w:val="right" w:leader="dot" w:pos="8720"/>
      </w:tabs>
      <w:spacing w:before="120" w:after="120" w:line="400" w:lineRule="exact"/>
      <w:jc w:val="left"/>
    </w:pPr>
    <w:rPr>
      <w:rFonts w:ascii="宋体" w:hAnsi="宋体"/>
      <w:caps/>
      <w:sz w:val="24"/>
      <w:szCs w:val="24"/>
    </w:rPr>
  </w:style>
  <w:style w:type="paragraph" w:customStyle="1" w:styleId="86">
    <w:name w:val="BodyTextIndent2"/>
    <w:basedOn w:val="1"/>
    <w:qFormat/>
    <w:uiPriority w:val="0"/>
    <w:pPr>
      <w:ind w:left="630" w:firstLine="645"/>
    </w:pPr>
    <w:rPr>
      <w:rFonts w:ascii="Arial" w:hAnsi="Arial" w:eastAsia="仿宋_GB2312"/>
      <w:sz w:val="32"/>
      <w:szCs w:val="32"/>
    </w:rPr>
  </w:style>
  <w:style w:type="paragraph" w:customStyle="1" w:styleId="87">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8">
    <w:name w:val="EnvelopeReturn"/>
    <w:basedOn w:val="1"/>
    <w:qFormat/>
    <w:uiPriority w:val="0"/>
    <w:pPr>
      <w:snapToGrid w:val="0"/>
    </w:pPr>
    <w:rPr>
      <w:rFonts w:ascii="Arial" w:hAnsi="Arial"/>
    </w:rPr>
  </w:style>
  <w:style w:type="paragraph" w:customStyle="1" w:styleId="89">
    <w:name w:val="BodyTextIndent"/>
    <w:basedOn w:val="1"/>
    <w:next w:val="88"/>
    <w:qFormat/>
    <w:uiPriority w:val="0"/>
    <w:pPr>
      <w:ind w:firstLine="645"/>
    </w:pPr>
    <w:rPr>
      <w:rFonts w:ascii="楷体_GB2312" w:eastAsia="楷体_GB2312"/>
      <w:sz w:val="32"/>
      <w:szCs w:val="32"/>
    </w:rPr>
  </w:style>
  <w:style w:type="paragraph" w:customStyle="1" w:styleId="90">
    <w:name w:val="BodyText3"/>
    <w:basedOn w:val="1"/>
    <w:qFormat/>
    <w:uiPriority w:val="0"/>
    <w:rPr>
      <w:rFonts w:ascii="仿宋_GB2312" w:hAnsi="Arial" w:eastAsia="仿宋_GB2312"/>
      <w:sz w:val="32"/>
      <w:szCs w:val="32"/>
    </w:rPr>
  </w:style>
  <w:style w:type="paragraph" w:customStyle="1" w:styleId="91">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2">
    <w:name w:val="List2"/>
    <w:basedOn w:val="1"/>
    <w:qFormat/>
    <w:uiPriority w:val="0"/>
    <w:pPr>
      <w:ind w:left="100" w:leftChars="200" w:hanging="200" w:hangingChars="200"/>
    </w:pPr>
  </w:style>
  <w:style w:type="paragraph" w:customStyle="1" w:styleId="93">
    <w:name w:val="List3"/>
    <w:basedOn w:val="1"/>
    <w:qFormat/>
    <w:uiPriority w:val="0"/>
    <w:pPr>
      <w:ind w:left="100" w:leftChars="400" w:hanging="200" w:hangingChars="200"/>
    </w:pPr>
  </w:style>
  <w:style w:type="paragraph" w:customStyle="1" w:styleId="94">
    <w:name w:val="Index1"/>
    <w:basedOn w:val="1"/>
    <w:next w:val="1"/>
    <w:qFormat/>
    <w:uiPriority w:val="0"/>
    <w:pPr>
      <w:spacing w:line="240" w:lineRule="atLeast"/>
    </w:pPr>
    <w:rPr>
      <w:rFonts w:cs="Times New Roman"/>
      <w:b/>
      <w:bCs/>
    </w:rPr>
  </w:style>
  <w:style w:type="paragraph" w:customStyle="1" w:styleId="95">
    <w:name w:val="BodyText2"/>
    <w:basedOn w:val="1"/>
    <w:qFormat/>
    <w:uiPriority w:val="0"/>
    <w:pPr>
      <w:jc w:val="center"/>
    </w:pPr>
    <w:rPr>
      <w:rFonts w:ascii="楷体_GB2312" w:eastAsia="楷体_GB2312"/>
      <w:sz w:val="28"/>
      <w:szCs w:val="28"/>
    </w:rPr>
  </w:style>
  <w:style w:type="paragraph" w:customStyle="1" w:styleId="96">
    <w:name w:val="ToCaption"/>
    <w:basedOn w:val="1"/>
    <w:next w:val="1"/>
    <w:qFormat/>
    <w:uiPriority w:val="0"/>
    <w:pPr>
      <w:ind w:left="840" w:hanging="420"/>
    </w:pPr>
  </w:style>
  <w:style w:type="paragraph" w:customStyle="1" w:styleId="97">
    <w:name w:val="BodyTextIndent3"/>
    <w:basedOn w:val="1"/>
    <w:qFormat/>
    <w:uiPriority w:val="0"/>
    <w:pPr>
      <w:ind w:left="645" w:firstLine="645"/>
    </w:pPr>
    <w:rPr>
      <w:rFonts w:ascii="Arial" w:hAnsi="Arial" w:eastAsia="仿宋_GB2312"/>
      <w:color w:val="FFFF00"/>
      <w:sz w:val="32"/>
      <w:szCs w:val="32"/>
    </w:rPr>
  </w:style>
  <w:style w:type="paragraph" w:customStyle="1" w:styleId="98">
    <w:name w:val="TOC6"/>
    <w:basedOn w:val="1"/>
    <w:next w:val="1"/>
    <w:qFormat/>
    <w:uiPriority w:val="0"/>
    <w:pPr>
      <w:ind w:left="1050"/>
      <w:jc w:val="left"/>
    </w:pPr>
  </w:style>
  <w:style w:type="paragraph" w:customStyle="1" w:styleId="99">
    <w:name w:val="BodyText1I2"/>
    <w:basedOn w:val="89"/>
    <w:qFormat/>
    <w:uiPriority w:val="0"/>
    <w:pPr>
      <w:spacing w:line="360" w:lineRule="auto"/>
      <w:ind w:firstLine="420" w:firstLineChars="200"/>
    </w:pPr>
    <w:rPr>
      <w:rFonts w:ascii="宋体" w:hAnsi="宋体" w:eastAsia="宋体"/>
      <w:sz w:val="21"/>
      <w:szCs w:val="20"/>
    </w:rPr>
  </w:style>
  <w:style w:type="paragraph" w:customStyle="1" w:styleId="100">
    <w:name w:val="AnnotationSubject"/>
    <w:basedOn w:val="68"/>
    <w:next w:val="68"/>
    <w:qFormat/>
    <w:uiPriority w:val="0"/>
    <w:rPr>
      <w:rFonts w:cs="Times New Roman"/>
      <w:b/>
      <w:bCs/>
    </w:rPr>
  </w:style>
  <w:style w:type="paragraph" w:customStyle="1" w:styleId="101">
    <w:name w:val="TOC2"/>
    <w:basedOn w:val="1"/>
    <w:next w:val="1"/>
    <w:qFormat/>
    <w:uiPriority w:val="0"/>
    <w:pPr>
      <w:ind w:left="210"/>
      <w:jc w:val="left"/>
    </w:pPr>
    <w:rPr>
      <w:smallCaps/>
      <w:szCs w:val="24"/>
    </w:rPr>
  </w:style>
  <w:style w:type="paragraph" w:customStyle="1" w:styleId="102">
    <w:name w:val="TOC8"/>
    <w:basedOn w:val="1"/>
    <w:next w:val="1"/>
    <w:qFormat/>
    <w:uiPriority w:val="0"/>
    <w:pPr>
      <w:ind w:left="1470"/>
      <w:jc w:val="left"/>
    </w:pPr>
  </w:style>
  <w:style w:type="paragraph" w:customStyle="1" w:styleId="103">
    <w:name w:val="TOC7"/>
    <w:basedOn w:val="1"/>
    <w:next w:val="1"/>
    <w:qFormat/>
    <w:uiPriority w:val="0"/>
    <w:pPr>
      <w:ind w:left="1260"/>
      <w:jc w:val="left"/>
    </w:pPr>
  </w:style>
  <w:style w:type="paragraph" w:customStyle="1" w:styleId="104">
    <w:name w:val="BodyText"/>
    <w:basedOn w:val="1"/>
    <w:qFormat/>
    <w:uiPriority w:val="0"/>
    <w:rPr>
      <w:rFonts w:ascii="楷体_GB2312" w:hAnsi="Arial" w:eastAsia="楷体_GB2312"/>
      <w:sz w:val="28"/>
      <w:szCs w:val="28"/>
    </w:rPr>
  </w:style>
  <w:style w:type="paragraph" w:customStyle="1" w:styleId="105">
    <w:name w:val="TOC9"/>
    <w:basedOn w:val="1"/>
    <w:next w:val="1"/>
    <w:qFormat/>
    <w:uiPriority w:val="0"/>
    <w:pPr>
      <w:ind w:left="1680"/>
      <w:jc w:val="left"/>
    </w:pPr>
  </w:style>
  <w:style w:type="paragraph" w:customStyle="1" w:styleId="106">
    <w:name w:val="TOC3"/>
    <w:basedOn w:val="1"/>
    <w:next w:val="1"/>
    <w:qFormat/>
    <w:uiPriority w:val="0"/>
    <w:pPr>
      <w:ind w:left="420"/>
      <w:jc w:val="left"/>
    </w:pPr>
    <w:rPr>
      <w:i/>
      <w:iCs/>
      <w:szCs w:val="24"/>
    </w:rPr>
  </w:style>
  <w:style w:type="paragraph" w:customStyle="1" w:styleId="107">
    <w:name w:val="TOC5"/>
    <w:basedOn w:val="1"/>
    <w:next w:val="1"/>
    <w:qFormat/>
    <w:uiPriority w:val="0"/>
    <w:pPr>
      <w:ind w:left="840"/>
      <w:jc w:val="left"/>
    </w:pPr>
  </w:style>
  <w:style w:type="paragraph" w:customStyle="1" w:styleId="108">
    <w:name w:val="BlockQuote"/>
    <w:basedOn w:val="1"/>
    <w:qFormat/>
    <w:uiPriority w:val="0"/>
    <w:pPr>
      <w:spacing w:after="120"/>
      <w:ind w:left="1440" w:leftChars="700" w:right="1440" w:rightChars="700"/>
    </w:pPr>
  </w:style>
  <w:style w:type="paragraph" w:customStyle="1" w:styleId="109">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0">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1">
    <w:name w:val="179"/>
    <w:basedOn w:val="1"/>
    <w:qFormat/>
    <w:uiPriority w:val="0"/>
    <w:pPr>
      <w:ind w:left="720"/>
      <w:contextualSpacing/>
      <w:jc w:val="left"/>
    </w:pPr>
    <w:rPr>
      <w:rFonts w:ascii="Calibri" w:hAnsi="Calibri"/>
      <w:kern w:val="0"/>
      <w:sz w:val="24"/>
      <w:szCs w:val="24"/>
      <w:lang w:eastAsia="en-US" w:bidi="en-US"/>
    </w:rPr>
  </w:style>
  <w:style w:type="paragraph" w:customStyle="1" w:styleId="112">
    <w:name w:val="UserStyle_26"/>
    <w:basedOn w:val="1"/>
    <w:qFormat/>
    <w:uiPriority w:val="0"/>
    <w:pPr>
      <w:tabs>
        <w:tab w:val="left" w:pos="-720"/>
      </w:tabs>
    </w:pPr>
    <w:rPr>
      <w:spacing w:val="-3"/>
      <w:kern w:val="0"/>
      <w:sz w:val="24"/>
      <w:szCs w:val="20"/>
      <w:lang w:val="en-AU" w:eastAsia="en-US"/>
    </w:rPr>
  </w:style>
  <w:style w:type="paragraph" w:customStyle="1" w:styleId="113">
    <w:name w:val="UserStyle_27"/>
    <w:basedOn w:val="1"/>
    <w:next w:val="1"/>
    <w:qFormat/>
    <w:uiPriority w:val="0"/>
    <w:pPr>
      <w:jc w:val="center"/>
    </w:pPr>
    <w:rPr>
      <w:sz w:val="24"/>
    </w:rPr>
  </w:style>
  <w:style w:type="paragraph" w:customStyle="1" w:styleId="114">
    <w:name w:val="UserStyle_28"/>
    <w:basedOn w:val="1"/>
    <w:qFormat/>
    <w:uiPriority w:val="0"/>
    <w:pPr>
      <w:jc w:val="left"/>
    </w:pPr>
    <w:rPr>
      <w:kern w:val="0"/>
      <w:sz w:val="20"/>
      <w:szCs w:val="20"/>
      <w:lang w:val="de-DE" w:eastAsia="de-DE"/>
    </w:rPr>
  </w:style>
  <w:style w:type="paragraph" w:customStyle="1" w:styleId="115">
    <w:name w:val="UserStyle_29"/>
    <w:basedOn w:val="1"/>
    <w:qFormat/>
    <w:uiPriority w:val="0"/>
    <w:pPr>
      <w:tabs>
        <w:tab w:val="left" w:pos="360"/>
      </w:tabs>
      <w:ind w:firstLine="200" w:firstLineChars="200"/>
    </w:pPr>
    <w:rPr>
      <w:sz w:val="28"/>
      <w:szCs w:val="30"/>
    </w:rPr>
  </w:style>
  <w:style w:type="paragraph" w:customStyle="1" w:styleId="116">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7">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8">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9">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0">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1">
    <w:name w:val="UserStyle_35"/>
    <w:basedOn w:val="113"/>
    <w:qFormat/>
    <w:uiPriority w:val="0"/>
    <w:pPr>
      <w:jc w:val="left"/>
    </w:pPr>
  </w:style>
  <w:style w:type="paragraph" w:customStyle="1" w:styleId="122">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3">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宋体"/>
      <w:b/>
      <w:i/>
      <w:sz w:val="28"/>
      <w:lang w:val="en-US" w:eastAsia="zh-CN" w:bidi="ar-SA"/>
    </w:rPr>
  </w:style>
  <w:style w:type="paragraph" w:customStyle="1" w:styleId="124">
    <w:name w:val="UserStyle_38"/>
    <w:basedOn w:val="1"/>
    <w:qFormat/>
    <w:uiPriority w:val="0"/>
    <w:pPr>
      <w:spacing w:before="120"/>
      <w:jc w:val="left"/>
    </w:pPr>
    <w:rPr>
      <w:rFonts w:cs="Times New Roman"/>
      <w:bCs/>
      <w:kern w:val="0"/>
      <w:sz w:val="20"/>
      <w:szCs w:val="20"/>
      <w:lang w:val="de-DE" w:eastAsia="de-DE"/>
    </w:rPr>
  </w:style>
  <w:style w:type="paragraph" w:customStyle="1" w:styleId="125">
    <w:name w:val="UserStyle_39"/>
    <w:basedOn w:val="61"/>
    <w:qFormat/>
    <w:uiPriority w:val="0"/>
    <w:pPr>
      <w:snapToGrid w:val="0"/>
      <w:spacing w:line="360" w:lineRule="auto"/>
    </w:pPr>
    <w:rPr>
      <w:rFonts w:ascii="Tahoma" w:hAnsi="Tahoma"/>
      <w:sz w:val="24"/>
      <w:szCs w:val="24"/>
    </w:rPr>
  </w:style>
  <w:style w:type="paragraph" w:customStyle="1" w:styleId="126">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7">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8">
    <w:name w:val="UserStyle_42"/>
    <w:basedOn w:val="1"/>
    <w:qFormat/>
    <w:uiPriority w:val="0"/>
    <w:pPr>
      <w:snapToGrid w:val="0"/>
      <w:jc w:val="left"/>
    </w:pPr>
    <w:rPr>
      <w:rFonts w:ascii="Arial Unicode MS" w:hAnsi="Arial Unicode MS"/>
      <w:szCs w:val="24"/>
    </w:rPr>
  </w:style>
  <w:style w:type="paragraph" w:customStyle="1" w:styleId="129">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0">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1">
    <w:name w:val="UserStyle_45"/>
    <w:basedOn w:val="61"/>
    <w:qFormat/>
    <w:uiPriority w:val="0"/>
    <w:rPr>
      <w:rFonts w:ascii="Tahoma" w:hAnsi="Tahoma"/>
      <w:sz w:val="24"/>
      <w:szCs w:val="24"/>
    </w:rPr>
  </w:style>
  <w:style w:type="paragraph" w:customStyle="1" w:styleId="132">
    <w:name w:val="UserStyle_46"/>
    <w:basedOn w:val="1"/>
    <w:qFormat/>
    <w:uiPriority w:val="0"/>
    <w:pPr>
      <w:spacing w:line="360" w:lineRule="auto"/>
    </w:pPr>
    <w:rPr>
      <w:kern w:val="0"/>
      <w:sz w:val="24"/>
      <w:szCs w:val="20"/>
    </w:rPr>
  </w:style>
  <w:style w:type="paragraph" w:customStyle="1" w:styleId="133">
    <w:name w:val="UserStyle_47"/>
    <w:basedOn w:val="1"/>
    <w:qFormat/>
    <w:uiPriority w:val="0"/>
    <w:pPr>
      <w:numPr>
        <w:ilvl w:val="0"/>
        <w:numId w:val="3"/>
      </w:numPr>
    </w:pPr>
    <w:rPr>
      <w:rFonts w:ascii="宋体" w:hAnsi="宋体"/>
      <w:kern w:val="0"/>
    </w:rPr>
  </w:style>
  <w:style w:type="paragraph" w:customStyle="1" w:styleId="134">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5">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6">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7">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8">
    <w:name w:val="UserStyle_52"/>
    <w:basedOn w:val="1"/>
    <w:next w:val="97"/>
    <w:qFormat/>
    <w:uiPriority w:val="0"/>
    <w:pPr>
      <w:spacing w:line="360" w:lineRule="auto"/>
      <w:ind w:firstLine="420"/>
    </w:pPr>
    <w:rPr>
      <w:color w:val="FF0000"/>
      <w:sz w:val="24"/>
      <w:szCs w:val="24"/>
    </w:rPr>
  </w:style>
  <w:style w:type="paragraph" w:customStyle="1" w:styleId="139">
    <w:name w:val="UserStyle_53"/>
    <w:qFormat/>
    <w:uiPriority w:val="0"/>
    <w:pPr>
      <w:textAlignment w:val="baseline"/>
    </w:pPr>
    <w:rPr>
      <w:rFonts w:ascii="Times New Roman" w:hAnsi="Times New Roman" w:eastAsia="宋体" w:cs="宋体"/>
      <w:color w:val="000000"/>
      <w:sz w:val="24"/>
      <w:szCs w:val="24"/>
      <w:lang w:val="en-US" w:eastAsia="zh-CN" w:bidi="ar-SA"/>
    </w:rPr>
  </w:style>
  <w:style w:type="paragraph" w:customStyle="1" w:styleId="140">
    <w:name w:val="UserStyle_54"/>
    <w:basedOn w:val="1"/>
    <w:next w:val="104"/>
    <w:qFormat/>
    <w:uiPriority w:val="0"/>
    <w:pPr>
      <w:spacing w:after="120"/>
    </w:pPr>
    <w:rPr>
      <w:rFonts w:ascii="宋体" w:hAnsi="Arial" w:cs="Times New Roman"/>
      <w:bCs/>
      <w:iCs/>
      <w:szCs w:val="24"/>
    </w:rPr>
  </w:style>
  <w:style w:type="paragraph" w:customStyle="1" w:styleId="141">
    <w:name w:val="Null"/>
    <w:qFormat/>
    <w:uiPriority w:val="0"/>
    <w:pPr>
      <w:jc w:val="both"/>
      <w:textAlignment w:val="baseline"/>
    </w:pPr>
    <w:rPr>
      <w:rFonts w:ascii="Times New Roman" w:hAnsi="Times New Roman" w:eastAsia="宋体" w:cs="宋体"/>
      <w:kern w:val="2"/>
      <w:sz w:val="21"/>
      <w:szCs w:val="22"/>
      <w:lang w:val="en-US" w:eastAsia="zh-CN" w:bidi="ar-SA"/>
    </w:rPr>
  </w:style>
  <w:style w:type="paragraph" w:customStyle="1" w:styleId="142">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3">
    <w:name w:val="TableGrid"/>
    <w:basedOn w:val="45"/>
    <w:qFormat/>
    <w:uiPriority w:val="0"/>
    <w:tblPr>
      <w:tblCellMar>
        <w:top w:w="0" w:type="dxa"/>
        <w:left w:w="0" w:type="dxa"/>
        <w:bottom w:w="0" w:type="dxa"/>
        <w:right w:w="0" w:type="dxa"/>
      </w:tblCellMar>
    </w:tblPr>
  </w:style>
  <w:style w:type="paragraph" w:styleId="144">
    <w:name w:val="List Paragraph"/>
    <w:basedOn w:val="1"/>
    <w:qFormat/>
    <w:uiPriority w:val="34"/>
    <w:pPr>
      <w:ind w:left="720"/>
      <w:contextualSpacing/>
      <w:jc w:val="left"/>
    </w:pPr>
    <w:rPr>
      <w:rFonts w:ascii="Calibri" w:hAnsi="Calibri"/>
      <w:kern w:val="0"/>
      <w:sz w:val="24"/>
      <w:lang w:eastAsia="en-US" w:bidi="en-US"/>
    </w:rPr>
  </w:style>
  <w:style w:type="paragraph" w:customStyle="1" w:styleId="145">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46">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7">
    <w:name w:val="正文1"/>
    <w:basedOn w:val="1"/>
    <w:qFormat/>
    <w:uiPriority w:val="0"/>
    <w:pPr>
      <w:spacing w:line="440" w:lineRule="exact"/>
      <w:ind w:right="-167" w:rightChars="-167"/>
    </w:pPr>
    <w:rPr>
      <w:b/>
    </w:rPr>
  </w:style>
  <w:style w:type="paragraph" w:customStyle="1" w:styleId="148">
    <w:name w:val="纯文本1"/>
    <w:basedOn w:val="1"/>
    <w:qFormat/>
    <w:uiPriority w:val="0"/>
    <w:rPr>
      <w:rFonts w:ascii="宋体" w:hAnsi="Courier New"/>
      <w:sz w:val="28"/>
    </w:rPr>
  </w:style>
  <w:style w:type="character" w:customStyle="1" w:styleId="149">
    <w:name w:val="正文缩进 Char"/>
    <w:link w:val="6"/>
    <w:qFormat/>
    <w:uiPriority w:val="0"/>
    <w:rPr>
      <w:rFonts w:cs="宋体"/>
      <w:kern w:val="2"/>
      <w:sz w:val="21"/>
      <w:szCs w:val="21"/>
    </w:rPr>
  </w:style>
  <w:style w:type="table" w:customStyle="1" w:styleId="150">
    <w:name w:val="Table Normal"/>
    <w:qFormat/>
    <w:uiPriority w:val="0"/>
    <w:rPr>
      <w:rFonts w:ascii="Arial" w:hAnsi="Arial" w:cs="Arial"/>
      <w:snapToGrid w:val="0"/>
      <w:color w:val="000000"/>
      <w:sz w:val="21"/>
      <w:szCs w:val="21"/>
    </w:rPr>
    <w:tblPr>
      <w:tblCellMar>
        <w:top w:w="0" w:type="dxa"/>
        <w:left w:w="0" w:type="dxa"/>
        <w:bottom w:w="0" w:type="dxa"/>
        <w:right w:w="0" w:type="dxa"/>
      </w:tblCellMar>
    </w:tblPr>
  </w:style>
  <w:style w:type="paragraph" w:customStyle="1" w:styleId="151">
    <w:name w:val="石墨文档正文"/>
    <w:qFormat/>
    <w:uiPriority w:val="0"/>
    <w:rPr>
      <w:rFonts w:ascii="微软雅黑" w:hAnsi="微软雅黑" w:eastAsia="微软雅黑" w:cs="微软雅黑"/>
      <w:sz w:val="22"/>
      <w:szCs w:val="22"/>
      <w:lang w:val="en-US" w:eastAsia="zh-CN" w:bidi="ar-SA"/>
    </w:rPr>
  </w:style>
  <w:style w:type="paragraph" w:customStyle="1" w:styleId="152">
    <w:name w:val="WPSOffice手动目录 1"/>
    <w:qFormat/>
    <w:uiPriority w:val="0"/>
    <w:rPr>
      <w:rFonts w:ascii="Times New Roman" w:hAnsi="Times New Roman" w:eastAsia="宋体" w:cs="Times New Roman"/>
      <w:lang w:val="en-US" w:eastAsia="zh-CN" w:bidi="ar-SA"/>
    </w:rPr>
  </w:style>
  <w:style w:type="paragraph" w:customStyle="1" w:styleId="153">
    <w:name w:val="列出段落1"/>
    <w:basedOn w:val="1"/>
    <w:qFormat/>
    <w:uiPriority w:val="0"/>
    <w:pPr>
      <w:ind w:left="720"/>
      <w:contextualSpacing/>
      <w:jc w:val="left"/>
    </w:pPr>
    <w:rPr>
      <w:rFonts w:ascii="Calibri" w:hAnsi="Calibri"/>
      <w:kern w:val="0"/>
      <w:sz w:val="24"/>
      <w:szCs w:val="24"/>
      <w:lang w:eastAsia="en-US" w:bidi="en-US"/>
    </w:rPr>
  </w:style>
  <w:style w:type="character" w:customStyle="1" w:styleId="154">
    <w:name w:val="apple-converted-space"/>
    <w:basedOn w:val="24"/>
    <w:qFormat/>
    <w:uiPriority w:val="99"/>
  </w:style>
  <w:style w:type="character" w:customStyle="1" w:styleId="155">
    <w:name w:val="批注框文本 Char"/>
    <w:basedOn w:val="24"/>
    <w:link w:val="15"/>
    <w:uiPriority w:val="0"/>
    <w:rPr>
      <w:rFonts w:cs="宋体"/>
      <w:kern w:val="2"/>
      <w:sz w:val="18"/>
      <w:szCs w:val="18"/>
    </w:rPr>
  </w:style>
  <w:style w:type="character" w:customStyle="1" w:styleId="156">
    <w:name w:val="item-name"/>
    <w:basedOn w:val="24"/>
    <w:uiPriority w:val="0"/>
  </w:style>
  <w:style w:type="character" w:customStyle="1" w:styleId="157">
    <w:name w:val="item-name1"/>
    <w:basedOn w:val="24"/>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65335</Words>
  <Characters>68206</Characters>
  <Lines>518</Lines>
  <Paragraphs>146</Paragraphs>
  <TotalTime>21</TotalTime>
  <ScaleCrop>false</ScaleCrop>
  <LinksUpToDate>false</LinksUpToDate>
  <CharactersWithSpaces>70440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2022-07-22T01:22:00Z</dcterms:created>
  <dc:creator>Administrator</dc:creator>
  <cp:lastModifiedBy>hp01</cp:lastModifiedBy>
  <dcterms:modified xsi:type="dcterms:W3CDTF">2022-07-22T09:05:32Z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BC61F79E08AA4015B07545A5A202AFA4</vt:lpwstr>
  </property>
  <property fmtid="{D5CDD505-2E9C-101B-9397-08002B2CF9AE}" pid="4" name="commondata">
    <vt:lpwstr>eyJoZGlkIjoiZGUyOTdmNGQ3OTRkNDE2NWY5OGIxZTA4NWI1MjQyMTEifQ==</vt:lpwstr>
  </property>
</Properties>
</file>