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00"/>
        </w:tabs>
        <w:spacing w:line="440" w:lineRule="exact"/>
        <w:jc w:val="center"/>
        <w:rPr>
          <w:rFonts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rPr>
        <w:t>盐城工业职业技术学院铁军文化苑设计施工一体化项目</w:t>
      </w:r>
    </w:p>
    <w:p>
      <w:pPr>
        <w:tabs>
          <w:tab w:val="left" w:pos="900"/>
        </w:tabs>
        <w:spacing w:line="440" w:lineRule="exact"/>
        <w:jc w:val="center"/>
        <w:rPr>
          <w:rFonts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rPr>
        <w:t>招标公告</w:t>
      </w:r>
    </w:p>
    <w:p>
      <w:pPr>
        <w:tabs>
          <w:tab w:val="left" w:pos="900"/>
        </w:tabs>
        <w:spacing w:line="440" w:lineRule="exact"/>
        <w:ind w:firstLine="480" w:firstLineChars="200"/>
        <w:jc w:val="left"/>
        <w:rPr>
          <w:rFonts w:ascii="楷体" w:hAnsi="楷体" w:eastAsia="楷体" w:cs="楷体"/>
          <w:color w:val="auto"/>
          <w:sz w:val="24"/>
          <w:highlight w:val="none"/>
        </w:rPr>
      </w:pPr>
    </w:p>
    <w:p>
      <w:pPr>
        <w:tabs>
          <w:tab w:val="left" w:pos="900"/>
        </w:tabs>
        <w:spacing w:line="44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根据盐城工业职业技术学院招标采购计划，江苏双清工程造价咨询有限公司受盐城工业职业技术学院</w:t>
      </w:r>
      <w:r>
        <w:rPr>
          <w:rFonts w:hint="eastAsia" w:ascii="楷体" w:hAnsi="楷体" w:eastAsia="楷体" w:cs="楷体"/>
          <w:color w:val="auto"/>
          <w:sz w:val="24"/>
          <w:highlight w:val="none"/>
        </w:rPr>
        <w:softHyphen/>
      </w:r>
      <w:r>
        <w:rPr>
          <w:rFonts w:hint="eastAsia" w:ascii="楷体" w:hAnsi="楷体" w:eastAsia="楷体" w:cs="楷体"/>
          <w:color w:val="auto"/>
          <w:sz w:val="24"/>
          <w:highlight w:val="none"/>
        </w:rPr>
        <w:softHyphen/>
      </w:r>
      <w:r>
        <w:rPr>
          <w:rFonts w:hint="eastAsia" w:ascii="楷体" w:hAnsi="楷体" w:eastAsia="楷体" w:cs="楷体"/>
          <w:color w:val="auto"/>
          <w:sz w:val="24"/>
          <w:highlight w:val="none"/>
        </w:rPr>
        <w:t>的委托，就其所需的</w:t>
      </w:r>
      <w:r>
        <w:rPr>
          <w:rFonts w:hint="eastAsia" w:ascii="楷体" w:hAnsi="楷体" w:eastAsia="楷体" w:cs="楷体"/>
          <w:color w:val="auto"/>
          <w:sz w:val="24"/>
          <w:highlight w:val="none"/>
          <w:u w:val="single"/>
        </w:rPr>
        <w:t>铁军文化苑设计施工一体化项目</w:t>
      </w:r>
      <w:r>
        <w:rPr>
          <w:rFonts w:hint="eastAsia" w:ascii="楷体" w:hAnsi="楷体" w:eastAsia="楷体" w:cs="楷体"/>
          <w:color w:val="auto"/>
          <w:sz w:val="24"/>
          <w:highlight w:val="none"/>
        </w:rPr>
        <w:t>进行公开招标，欢迎符合相关条件的合格投标人投标。</w:t>
      </w:r>
    </w:p>
    <w:p>
      <w:pPr>
        <w:tabs>
          <w:tab w:val="left" w:pos="900"/>
        </w:tabs>
        <w:spacing w:line="440" w:lineRule="exact"/>
        <w:ind w:firstLine="482" w:firstLineChars="200"/>
        <w:jc w:val="left"/>
        <w:rPr>
          <w:rFonts w:ascii="楷体" w:hAnsi="楷体" w:eastAsia="楷体" w:cs="楷体"/>
          <w:b/>
          <w:bCs/>
          <w:color w:val="auto"/>
          <w:sz w:val="24"/>
          <w:highlight w:val="none"/>
        </w:rPr>
      </w:pPr>
      <w:r>
        <w:rPr>
          <w:rFonts w:hint="eastAsia" w:ascii="楷体" w:hAnsi="楷体" w:eastAsia="楷体" w:cs="楷体"/>
          <w:b/>
          <w:bCs/>
          <w:color w:val="auto"/>
          <w:sz w:val="24"/>
          <w:highlight w:val="none"/>
        </w:rPr>
        <w:t>一、招标工程名称及编号</w:t>
      </w:r>
    </w:p>
    <w:p>
      <w:pPr>
        <w:tabs>
          <w:tab w:val="left" w:pos="900"/>
        </w:tabs>
        <w:spacing w:line="44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工程名称：盐城工业职业技术学院铁军文化苑设计施工一体化项目</w:t>
      </w:r>
    </w:p>
    <w:p>
      <w:pPr>
        <w:tabs>
          <w:tab w:val="left" w:pos="900"/>
        </w:tabs>
        <w:spacing w:line="440" w:lineRule="exact"/>
        <w:ind w:firstLine="480" w:firstLineChars="200"/>
        <w:jc w:val="left"/>
        <w:rPr>
          <w:rFonts w:hint="default" w:ascii="楷体" w:hAnsi="楷体" w:eastAsia="楷体" w:cs="楷体"/>
          <w:color w:val="auto"/>
          <w:sz w:val="24"/>
          <w:highlight w:val="none"/>
          <w:lang w:val="en-US" w:eastAsia="zh-CN"/>
        </w:rPr>
      </w:pPr>
      <w:r>
        <w:rPr>
          <w:rFonts w:hint="eastAsia" w:ascii="楷体" w:hAnsi="楷体" w:eastAsia="楷体" w:cs="楷体"/>
          <w:color w:val="auto"/>
          <w:sz w:val="24"/>
          <w:highlight w:val="none"/>
        </w:rPr>
        <w:t>标书编号：2020-049S</w:t>
      </w:r>
      <w:r>
        <w:rPr>
          <w:rFonts w:hint="eastAsia" w:ascii="楷体" w:hAnsi="楷体" w:eastAsia="楷体" w:cs="楷体"/>
          <w:color w:val="auto"/>
          <w:sz w:val="24"/>
          <w:highlight w:val="none"/>
          <w:lang w:val="en-US" w:eastAsia="zh-CN"/>
        </w:rPr>
        <w:t>-01</w:t>
      </w:r>
    </w:p>
    <w:p>
      <w:pPr>
        <w:tabs>
          <w:tab w:val="left" w:pos="900"/>
        </w:tabs>
        <w:spacing w:line="440" w:lineRule="exact"/>
        <w:ind w:firstLine="482" w:firstLineChars="200"/>
        <w:jc w:val="left"/>
        <w:rPr>
          <w:rFonts w:ascii="楷体" w:hAnsi="楷体" w:eastAsia="楷体" w:cs="楷体"/>
          <w:b/>
          <w:bCs/>
          <w:color w:val="auto"/>
          <w:sz w:val="24"/>
          <w:highlight w:val="none"/>
        </w:rPr>
      </w:pPr>
      <w:r>
        <w:rPr>
          <w:rFonts w:hint="eastAsia" w:ascii="楷体" w:hAnsi="楷体" w:eastAsia="楷体" w:cs="楷体"/>
          <w:b/>
          <w:bCs/>
          <w:color w:val="auto"/>
          <w:sz w:val="24"/>
          <w:highlight w:val="none"/>
        </w:rPr>
        <w:t>二、工程概况</w:t>
      </w:r>
    </w:p>
    <w:p>
      <w:pPr>
        <w:snapToGrid w:val="0"/>
        <w:spacing w:line="44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1、工程地点：盐城工业职业技术学院内（盐城市解放南路285号）。</w:t>
      </w:r>
    </w:p>
    <w:p>
      <w:pPr>
        <w:snapToGrid w:val="0"/>
        <w:spacing w:line="44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2、工期要求：自甲方通知开工之日起30日历天（包含设计、施工等全过程工期）内全部通过竣工验收合格并交付使用。</w:t>
      </w:r>
    </w:p>
    <w:p>
      <w:pPr>
        <w:snapToGrid w:val="0"/>
        <w:spacing w:line="44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 xml:space="preserve">3、质量要求：合同约定的标准、设计图纸、设计文件中的技术数据和技术条件是工程材料设备采购、施工质量及竣工验收质量的依据。所有工程设计、采购和施工及双方约定的其他内容，须达到功能需求。 </w:t>
      </w:r>
    </w:p>
    <w:p>
      <w:pPr>
        <w:snapToGrid w:val="0"/>
        <w:spacing w:line="44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 xml:space="preserve">（1）设计质量标准：所有工程设计须符合现行国家、行业、地方的相关设计规范、标准、规定等要求，确保通过施工图审查（包括各专项审查），设计单位负责施工图送审、对接及配合并按要求进行修改。 </w:t>
      </w:r>
    </w:p>
    <w:p>
      <w:pPr>
        <w:snapToGrid w:val="0"/>
        <w:spacing w:line="44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 xml:space="preserve">（2）施工质量标准：符合现行国家施工及验收规范标准要求，符合国家“合格”标准。 </w:t>
      </w:r>
    </w:p>
    <w:p>
      <w:pPr>
        <w:snapToGrid w:val="0"/>
        <w:spacing w:line="44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 xml:space="preserve">4、资金来源及落实情况：国有资金且已落实。 </w:t>
      </w:r>
    </w:p>
    <w:p>
      <w:pPr>
        <w:snapToGrid w:val="0"/>
        <w:spacing w:line="44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5、招标范围及标段划分：本次招标共为1个标段，招标范围主要为盐城工业职业技术学院铁军文化苑设计施工一体化项目,包括项目交付使用前全部设计和施工内容，直至竣工验收合格整体移交、后期培训及缺陷责任期内的保修等设计施工一体化项目的全部工作,招标人保留进行调整的权利。具体详见设计任务书。</w:t>
      </w:r>
    </w:p>
    <w:p>
      <w:pPr>
        <w:snapToGrid w:val="0"/>
        <w:spacing w:line="44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5.1设计内容主要包含盐城工业职业技术学院铁军文化苑设计施工一体化项目范围内的方案设计、方案深化设计、施工图设计，主要包括但不限于雕塑、布展（含美工、展品展项、装饰及改造等）、设备部分（包括智能化、电气、给排水、消防、通风、多媒体、声光电声光电等。多媒体软硬件及影片制作部分至少包含拼接屏、液晶屏等）、软体部分（包括功能和展区布局、展示主题、展品内容、展示方式和手段、各展区效果图、数字及智能化系统运用等）、现场技术服务与指导等与设计相关的所有工作，以及在工程实施过程中工程规模的调整及各种变更均属本设计范围。</w:t>
      </w:r>
    </w:p>
    <w:p>
      <w:pPr>
        <w:snapToGrid w:val="0"/>
        <w:spacing w:line="44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5.2施工内容主要包含但不限于原创业一条街门店内外墙板更换为防火彩钢板、雕塑、图片的采集及修复、布展（含展品展项、装饰及改造等）、设备部分（包括智能化、电气、给排水、消防、通风、多媒体、声光电等）、软体部分等一切与项目相关的所有施工内容。</w:t>
      </w:r>
    </w:p>
    <w:p>
      <w:pPr>
        <w:snapToGrid w:val="0"/>
        <w:spacing w:line="44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本项目招标内容主要为包设计、包工、包料、包工期、包质量、包安全、包文明施工、包交付、包工程竣工验收备案、包整体移交（含档案移交）及竣工验收合格及缺陷责任期内的保修。</w:t>
      </w:r>
    </w:p>
    <w:p>
      <w:pPr>
        <w:snapToGrid w:val="0"/>
        <w:spacing w:line="44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6、工程规模：本项目采用限额设计，最高限价100万元（含暂列资金15万元）。</w:t>
      </w:r>
    </w:p>
    <w:p>
      <w:pPr>
        <w:tabs>
          <w:tab w:val="left" w:pos="900"/>
        </w:tabs>
        <w:spacing w:line="440" w:lineRule="exact"/>
        <w:ind w:firstLine="482" w:firstLineChars="200"/>
        <w:jc w:val="left"/>
        <w:rPr>
          <w:rFonts w:ascii="楷体" w:hAnsi="楷体" w:eastAsia="楷体" w:cs="楷体"/>
          <w:b/>
          <w:bCs/>
          <w:color w:val="auto"/>
          <w:sz w:val="24"/>
          <w:highlight w:val="none"/>
        </w:rPr>
      </w:pPr>
      <w:r>
        <w:rPr>
          <w:rFonts w:hint="eastAsia" w:ascii="楷体" w:hAnsi="楷体" w:eastAsia="楷体" w:cs="楷体"/>
          <w:b/>
          <w:bCs/>
          <w:color w:val="auto"/>
          <w:sz w:val="24"/>
          <w:highlight w:val="none"/>
        </w:rPr>
        <w:t>三、投标人资格要求</w:t>
      </w:r>
    </w:p>
    <w:p>
      <w:pPr>
        <w:snapToGrid w:val="0"/>
        <w:spacing w:line="44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1、申请人应同时具备下列1.1项设计资质和1.2项施工资质，并在人员、设备、资金等方面具备相应的工程总承包能力。</w:t>
      </w:r>
    </w:p>
    <w:p>
      <w:pPr>
        <w:snapToGrid w:val="0"/>
        <w:spacing w:line="44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1.1投标人须具有建设行政主管部门核发的建筑装饰工程设计专项乙级及以上资质（或有效期内的建筑装饰装修工程设计与施工二级及以上资质或工程设计综合甲级资质）；</w:t>
      </w:r>
    </w:p>
    <w:p>
      <w:pPr>
        <w:snapToGrid w:val="0"/>
        <w:spacing w:line="44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1.2投标人须具有建设行政主管部门核发的建筑装修装饰工程专业承包二级及以上资质（或有效期内的建筑装饰装修工程设计与施工二级及以上资质）的独立法人，并取得有效的安全生产许可证。</w:t>
      </w:r>
    </w:p>
    <w:p>
      <w:pPr>
        <w:snapToGrid w:val="0"/>
        <w:spacing w:line="44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2、本次招标接受联合体投标。如投标人不同时具备上述1.1项设计资质和1.2项施工资质的，可组成联合体参与本项目投标，组成联合体投标的，须满足以下要求：</w:t>
      </w:r>
    </w:p>
    <w:p>
      <w:pPr>
        <w:snapToGrid w:val="0"/>
        <w:spacing w:line="44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2.1联合体最多只能包括1家装饰工程设计企业、1家展览陈列工程设计与施工企业和1家装饰工程施工企业；</w:t>
      </w:r>
    </w:p>
    <w:p>
      <w:pPr>
        <w:snapToGrid w:val="0"/>
        <w:spacing w:line="44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 xml:space="preserve">2.2联合体各方应按招标文件提供的格式签订联合体协议书，明确联合体牵头人和各方权利义务； </w:t>
      </w:r>
    </w:p>
    <w:p>
      <w:pPr>
        <w:snapToGrid w:val="0"/>
        <w:spacing w:line="44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2.3联合体各成员单位应当具备与联合体协议中约定的分工相适应的资质和能力；</w:t>
      </w:r>
    </w:p>
    <w:p>
      <w:pPr>
        <w:snapToGrid w:val="0"/>
        <w:spacing w:line="44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2.4联合体各方不得再以自己名义单独或参加其他联合体在同一标段中投标；</w:t>
      </w:r>
    </w:p>
    <w:p>
      <w:pPr>
        <w:snapToGrid w:val="0"/>
        <w:spacing w:line="44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2.5联合体各方必须指定展览陈列工程设计与施工企业为联合体牵头人 ，授权其代表所有联合体成员负责投标和合同实施阶段的主办、协调工作；</w:t>
      </w:r>
    </w:p>
    <w:p>
      <w:pPr>
        <w:snapToGrid w:val="0"/>
        <w:spacing w:line="44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2.6联合体投标的，联合体牵头人报名即可，但递交的投标文件须由联合体各方盖章；投标保证金须以联合体中牵头人的名义提交。以联合体中牵头人名义提交的投标保证担保，对联合体各成员具有约束力。</w:t>
      </w:r>
    </w:p>
    <w:p>
      <w:pPr>
        <w:snapToGrid w:val="0"/>
        <w:spacing w:line="44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 xml:space="preserve">2.7联合体中标后，其成员不得变更。 </w:t>
      </w:r>
    </w:p>
    <w:p>
      <w:pPr>
        <w:snapToGrid w:val="0"/>
        <w:spacing w:line="44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3、项目负责人资格要求：具有建筑工程专业二级及以上注册建造师资格和安全生产考核合格证（B类），且必须满足下列条件：</w:t>
      </w:r>
    </w:p>
    <w:p>
      <w:pPr>
        <w:snapToGrid w:val="0"/>
        <w:spacing w:line="44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3.1项目负责人不得同时在两个或者两个以上单位受聘或者执业。</w:t>
      </w:r>
    </w:p>
    <w:p>
      <w:pPr>
        <w:snapToGrid w:val="0"/>
        <w:spacing w:line="440" w:lineRule="exact"/>
        <w:ind w:left="479" w:leftChars="228"/>
        <w:jc w:val="left"/>
        <w:rPr>
          <w:rFonts w:ascii="楷体" w:hAnsi="楷体" w:eastAsia="楷体" w:cs="楷体"/>
          <w:color w:val="auto"/>
          <w:sz w:val="24"/>
          <w:highlight w:val="none"/>
        </w:rPr>
      </w:pPr>
      <w:r>
        <w:rPr>
          <w:rFonts w:hint="eastAsia" w:ascii="楷体" w:hAnsi="楷体" w:eastAsia="楷体" w:cs="楷体"/>
          <w:color w:val="auto"/>
          <w:sz w:val="24"/>
          <w:highlight w:val="none"/>
        </w:rPr>
        <w:t>（1）同时在两个及以上单位签订劳动合同或交纳社会保险；</w:t>
      </w:r>
      <w:r>
        <w:rPr>
          <w:rFonts w:hint="eastAsia" w:ascii="楷体" w:hAnsi="楷体" w:eastAsia="楷体" w:cs="楷体"/>
          <w:color w:val="auto"/>
          <w:sz w:val="24"/>
          <w:highlight w:val="none"/>
        </w:rPr>
        <w:br w:type="textWrapping"/>
      </w:r>
      <w:r>
        <w:rPr>
          <w:rFonts w:hint="eastAsia" w:ascii="楷体" w:hAnsi="楷体" w:eastAsia="楷体" w:cs="楷体"/>
          <w:color w:val="auto"/>
          <w:sz w:val="24"/>
          <w:highlight w:val="none"/>
        </w:rPr>
        <w:t>（2）将本人执（职）业资格证书同时注册在两个及以上单位；</w:t>
      </w:r>
    </w:p>
    <w:p>
      <w:pPr>
        <w:snapToGrid w:val="0"/>
        <w:spacing w:line="44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（3）担任其他公司法定代表人。</w:t>
      </w:r>
    </w:p>
    <w:p>
      <w:pPr>
        <w:snapToGrid w:val="0"/>
        <w:spacing w:line="44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3.2项目负责人不得同时在两个或者两个以上工程项目上任职。</w:t>
      </w:r>
    </w:p>
    <w:p>
      <w:pPr>
        <w:snapToGrid w:val="0"/>
        <w:spacing w:line="44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3.3项目负责人无行贿犯罪行为记录；或有行贿犯罪行为记录，但自记录之日起已超过5年的。</w:t>
      </w:r>
    </w:p>
    <w:p>
      <w:pPr>
        <w:snapToGrid w:val="0"/>
        <w:spacing w:line="44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3.4项目负责人投标截止时不得同时在其他建设工程项目中担任现场管理人员、不在本项目兼任本项目的其它岗位。</w:t>
      </w:r>
    </w:p>
    <w:p>
      <w:pPr>
        <w:spacing w:line="440" w:lineRule="exact"/>
        <w:ind w:firstLine="480" w:firstLineChars="200"/>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4、财务要求：投标人应具有独立订立合同的能力，未处于财产被接管、冻结和破产状态。</w:t>
      </w:r>
    </w:p>
    <w:p>
      <w:pPr>
        <w:spacing w:line="440" w:lineRule="exact"/>
        <w:ind w:firstLine="480" w:firstLineChars="200"/>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5、信誉要求</w:t>
      </w:r>
    </w:p>
    <w:p>
      <w:pPr>
        <w:spacing w:line="440" w:lineRule="exact"/>
        <w:ind w:firstLine="480" w:firstLineChars="200"/>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（1）投标人没有被国家、江苏省省级有关部门及盐城市级有关部门暂停招投标或市场准入资格且在公示处罚期内。</w:t>
      </w:r>
    </w:p>
    <w:p>
      <w:pPr>
        <w:spacing w:line="440" w:lineRule="exact"/>
        <w:ind w:firstLine="480" w:firstLineChars="200"/>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2）投标人的失信被执行人信息在“信用中国”、“信用江苏”网站上被公布的，自载明的发布之日开始，直至撤销或者更正信息中载明的发布时间的期间，本项目的招标人拒绝其投标，资格审查不予通过，不得被确定为中标候选人、中标人。在一次招投标活动中，资格预审申请人、投标人或者中标候选人因正被列为失信被执行人，导致其资格预审不通过或者被取消中标候选人资格、中标人资格的，不因其之后失信信息被撤销或更正而改变已经作出的决定。</w:t>
      </w:r>
    </w:p>
    <w:p>
      <w:pPr>
        <w:spacing w:line="440" w:lineRule="exact"/>
        <w:ind w:firstLine="480" w:firstLineChars="200"/>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3）投标人作为失信联合惩戒对象，被采取依法限制参与建设工程招投标惩戒措施的，被有关部门推送在“信用中国”、“信用江苏”、“信用盐城”相关网站公示且在有效期内的，本项目的招标人拒绝其投标，资格审查不予通过，不得被确定为中标候选人、中标人。在一次招投标活动中，资格预审申请人、投标人或者中标候选人因正被列为联合惩戒对象，导致其资格预审不通过或者被取消中标候选人资格、中标人资格的，不因其之后失信信息被撤销或更正而改变已经作出的决定。</w:t>
      </w:r>
    </w:p>
    <w:p>
      <w:pPr>
        <w:spacing w:line="440" w:lineRule="exact"/>
        <w:ind w:firstLine="480" w:firstLineChars="200"/>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（4）投标人不存在盐住建建筑【2020】24文规定的安全生产事故情形，且在通报暂停投标资格处罚期内。</w:t>
      </w:r>
    </w:p>
    <w:p>
      <w:pPr>
        <w:spacing w:line="440" w:lineRule="exact"/>
        <w:ind w:firstLine="480" w:firstLineChars="200"/>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6、本项目招标人不接受投标人的企业法定代表人担任项目负责人。</w:t>
      </w:r>
    </w:p>
    <w:p>
      <w:pPr>
        <w:spacing w:line="440" w:lineRule="exact"/>
        <w:ind w:firstLine="480" w:firstLineChars="200"/>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7、本项目招标人不接受企业退休人员担任项目负责人。</w:t>
      </w:r>
    </w:p>
    <w:p>
      <w:pPr>
        <w:spacing w:line="440" w:lineRule="exact"/>
        <w:ind w:firstLine="480" w:firstLineChars="200"/>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8、投标申请人须保证项目负责人及代理人均为本单位的正式职工，并确保从2019年11月开始至投标截止之日当月至少连续6个月均已在本单位缴纳养老保险，中标候选人公示前、异议（投诉）提出时相关单位需提供缴费记录证明原件给招标人核验。（例：如开标日期为2015年10月的某一天，则投标单位需保证以上人员2015年2月以后任意连续6月养老保险均在本单位缴纳）。</w:t>
      </w:r>
    </w:p>
    <w:p>
      <w:pPr>
        <w:spacing w:line="440" w:lineRule="exact"/>
        <w:ind w:firstLine="482" w:firstLineChars="200"/>
        <w:jc w:val="left"/>
        <w:rPr>
          <w:rFonts w:ascii="楷体" w:hAnsi="楷体" w:eastAsia="楷体" w:cs="楷体"/>
          <w:b/>
          <w:color w:val="auto"/>
          <w:kern w:val="0"/>
          <w:sz w:val="24"/>
          <w:highlight w:val="none"/>
          <w:shd w:val="clear" w:color="auto" w:fill="FFFFFF"/>
        </w:rPr>
      </w:pPr>
      <w:r>
        <w:rPr>
          <w:rFonts w:hint="eastAsia" w:ascii="楷体" w:hAnsi="楷体" w:eastAsia="楷体" w:cs="楷体"/>
          <w:b/>
          <w:color w:val="auto"/>
          <w:kern w:val="0"/>
          <w:sz w:val="24"/>
          <w:highlight w:val="none"/>
          <w:shd w:val="clear" w:color="auto" w:fill="FFFFFF"/>
        </w:rPr>
        <w:t>四、资格审查办法：</w:t>
      </w:r>
      <w:r>
        <w:rPr>
          <w:rFonts w:hint="eastAsia" w:ascii="楷体" w:hAnsi="楷体" w:eastAsia="楷体" w:cs="楷体"/>
          <w:bCs/>
          <w:color w:val="auto"/>
          <w:kern w:val="0"/>
          <w:sz w:val="24"/>
          <w:highlight w:val="none"/>
          <w:shd w:val="clear" w:color="auto" w:fill="FFFFFF"/>
        </w:rPr>
        <w:t>资格后审。</w:t>
      </w:r>
    </w:p>
    <w:p>
      <w:pPr>
        <w:spacing w:line="440" w:lineRule="exact"/>
        <w:ind w:firstLine="482" w:firstLineChars="200"/>
        <w:jc w:val="left"/>
        <w:rPr>
          <w:rFonts w:ascii="楷体" w:hAnsi="楷体" w:eastAsia="楷体" w:cs="楷体"/>
          <w:color w:val="auto"/>
          <w:sz w:val="24"/>
          <w:highlight w:val="none"/>
        </w:rPr>
      </w:pPr>
      <w:r>
        <w:rPr>
          <w:rFonts w:hint="eastAsia" w:ascii="楷体" w:hAnsi="楷体" w:eastAsia="楷体" w:cs="楷体"/>
          <w:b/>
          <w:color w:val="auto"/>
          <w:kern w:val="0"/>
          <w:sz w:val="24"/>
          <w:highlight w:val="none"/>
          <w:shd w:val="clear" w:color="auto" w:fill="FFFFFF"/>
        </w:rPr>
        <w:t>五、评标定标办法：</w:t>
      </w:r>
      <w:r>
        <w:rPr>
          <w:rFonts w:hint="eastAsia" w:ascii="楷体" w:hAnsi="楷体" w:eastAsia="楷体" w:cs="楷体"/>
          <w:color w:val="auto"/>
          <w:sz w:val="24"/>
          <w:highlight w:val="none"/>
        </w:rPr>
        <w:t>采用</w:t>
      </w:r>
      <w:r>
        <w:rPr>
          <w:rFonts w:hint="eastAsia" w:ascii="楷体" w:hAnsi="楷体" w:eastAsia="楷体" w:cs="楷体"/>
          <w:color w:val="auto"/>
          <w:sz w:val="24"/>
          <w:highlight w:val="none"/>
          <w:u w:val="single"/>
        </w:rPr>
        <w:t>综合评估法</w:t>
      </w:r>
      <w:r>
        <w:rPr>
          <w:rFonts w:hint="eastAsia" w:ascii="楷体" w:hAnsi="楷体" w:eastAsia="楷体" w:cs="楷体"/>
          <w:color w:val="auto"/>
          <w:sz w:val="24"/>
          <w:highlight w:val="none"/>
        </w:rPr>
        <w:t>，具体详见招标文件正文。</w:t>
      </w:r>
    </w:p>
    <w:p>
      <w:pPr>
        <w:spacing w:line="440" w:lineRule="exact"/>
        <w:ind w:firstLine="482" w:firstLineChars="200"/>
        <w:jc w:val="left"/>
        <w:rPr>
          <w:rFonts w:ascii="楷体" w:hAnsi="楷体" w:eastAsia="楷体" w:cs="楷体"/>
          <w:b/>
          <w:bCs/>
          <w:color w:val="auto"/>
          <w:sz w:val="24"/>
          <w:highlight w:val="none"/>
        </w:rPr>
      </w:pPr>
      <w:r>
        <w:rPr>
          <w:rFonts w:hint="eastAsia" w:ascii="楷体" w:hAnsi="楷体" w:eastAsia="楷体" w:cs="楷体"/>
          <w:b/>
          <w:bCs/>
          <w:color w:val="auto"/>
          <w:sz w:val="24"/>
          <w:highlight w:val="none"/>
        </w:rPr>
        <w:t>六、招标文件提供信息</w:t>
      </w:r>
    </w:p>
    <w:p>
      <w:pPr>
        <w:spacing w:line="440" w:lineRule="exact"/>
        <w:ind w:firstLine="480" w:firstLineChars="200"/>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 xml:space="preserve">招标公告发布媒体：“盐城市政府采购网”和“盐城工业职业技术学院招标采购网” </w:t>
      </w:r>
    </w:p>
    <w:p>
      <w:pPr>
        <w:spacing w:line="440" w:lineRule="exact"/>
        <w:ind w:firstLine="480" w:firstLineChars="200"/>
        <w:rPr>
          <w:rFonts w:ascii="楷体" w:hAnsi="楷体" w:eastAsia="楷体" w:cs="楷体"/>
          <w:bCs/>
          <w:color w:val="auto"/>
          <w:sz w:val="24"/>
          <w:highlight w:val="none"/>
        </w:rPr>
      </w:pPr>
      <w:r>
        <w:rPr>
          <w:rFonts w:hint="eastAsia" w:ascii="楷体" w:hAnsi="楷体" w:eastAsia="楷体" w:cs="楷体"/>
          <w:bCs/>
          <w:color w:val="auto"/>
          <w:sz w:val="24"/>
          <w:highlight w:val="none"/>
        </w:rPr>
        <w:t>本招标公告发布后凡具备上述资格要求，并自愿参加本工程投标的申请人于</w:t>
      </w:r>
      <w:r>
        <w:rPr>
          <w:rFonts w:hint="eastAsia" w:ascii="楷体" w:hAnsi="楷体" w:eastAsia="楷体" w:cs="楷体"/>
          <w:bCs/>
          <w:color w:val="auto"/>
          <w:sz w:val="24"/>
          <w:highlight w:val="none"/>
          <w:u w:val="single"/>
        </w:rPr>
        <w:t>2020年10月</w:t>
      </w:r>
      <w:r>
        <w:rPr>
          <w:rFonts w:hint="eastAsia" w:ascii="楷体" w:hAnsi="楷体" w:eastAsia="楷体" w:cs="楷体"/>
          <w:bCs/>
          <w:color w:val="auto"/>
          <w:sz w:val="24"/>
          <w:highlight w:val="none"/>
          <w:u w:val="single"/>
          <w:lang w:val="en-US" w:eastAsia="zh-CN"/>
        </w:rPr>
        <w:t>30</w:t>
      </w:r>
      <w:r>
        <w:rPr>
          <w:rFonts w:hint="eastAsia" w:ascii="楷体" w:hAnsi="楷体" w:eastAsia="楷体" w:cs="楷体"/>
          <w:bCs/>
          <w:color w:val="auto"/>
          <w:sz w:val="24"/>
          <w:highlight w:val="none"/>
          <w:u w:val="single"/>
        </w:rPr>
        <w:t>日至2020年1</w:t>
      </w:r>
      <w:r>
        <w:rPr>
          <w:rFonts w:hint="eastAsia" w:ascii="楷体" w:hAnsi="楷体" w:eastAsia="楷体" w:cs="楷体"/>
          <w:bCs/>
          <w:color w:val="auto"/>
          <w:sz w:val="24"/>
          <w:highlight w:val="none"/>
          <w:u w:val="single"/>
          <w:lang w:val="en-US" w:eastAsia="zh-CN"/>
        </w:rPr>
        <w:t>1</w:t>
      </w:r>
      <w:r>
        <w:rPr>
          <w:rFonts w:hint="eastAsia" w:ascii="楷体" w:hAnsi="楷体" w:eastAsia="楷体" w:cs="楷体"/>
          <w:bCs/>
          <w:color w:val="auto"/>
          <w:sz w:val="24"/>
          <w:highlight w:val="none"/>
          <w:u w:val="single"/>
        </w:rPr>
        <w:t>月</w:t>
      </w:r>
      <w:r>
        <w:rPr>
          <w:rFonts w:hint="eastAsia" w:ascii="楷体" w:hAnsi="楷体" w:eastAsia="楷体" w:cs="楷体"/>
          <w:bCs/>
          <w:color w:val="auto"/>
          <w:sz w:val="24"/>
          <w:highlight w:val="none"/>
          <w:u w:val="single"/>
          <w:lang w:val="en-US" w:eastAsia="zh-CN"/>
        </w:rPr>
        <w:t>6</w:t>
      </w:r>
      <w:r>
        <w:rPr>
          <w:rFonts w:hint="eastAsia" w:ascii="楷体" w:hAnsi="楷体" w:eastAsia="楷体" w:cs="楷体"/>
          <w:bCs/>
          <w:color w:val="auto"/>
          <w:sz w:val="24"/>
          <w:highlight w:val="none"/>
          <w:u w:val="single"/>
        </w:rPr>
        <w:t>日18：00时</w:t>
      </w:r>
      <w:r>
        <w:rPr>
          <w:rFonts w:hint="eastAsia" w:ascii="楷体" w:hAnsi="楷体" w:eastAsia="楷体" w:cs="楷体"/>
          <w:bCs/>
          <w:color w:val="auto"/>
          <w:sz w:val="24"/>
          <w:highlight w:val="none"/>
        </w:rPr>
        <w:t>前（工作日上午8：30时至12：00时，下午14：30时至18：00时），携带《供应商参与投标确认函》原件（格式后附）、报名人身份证原件及加盖公章的复印件至江苏双清工程造价咨询有限公司（盐城市紫薇广场C区7楼）财务部报名并购买招标文件后方可参加投标。逾期报名或未购买招标文件参加投标的，招标人将予以拒绝。招标文件工本费人民币500元，售后不退。</w:t>
      </w:r>
    </w:p>
    <w:p>
      <w:pPr>
        <w:spacing w:line="440" w:lineRule="exact"/>
        <w:ind w:firstLine="480" w:firstLineChars="200"/>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有关本次招标的事项若存在变动或修改，敬请及时关注“盐城市政府采购网”和“盐城工业职业技术学院招标采购网”发布的信息更正公告。</w:t>
      </w:r>
    </w:p>
    <w:p>
      <w:pPr>
        <w:tabs>
          <w:tab w:val="left" w:pos="900"/>
        </w:tabs>
        <w:spacing w:line="440" w:lineRule="exact"/>
        <w:ind w:firstLine="482" w:firstLineChars="200"/>
        <w:jc w:val="left"/>
        <w:rPr>
          <w:rFonts w:ascii="楷体" w:hAnsi="楷体" w:eastAsia="楷体" w:cs="楷体"/>
          <w:b/>
          <w:bCs/>
          <w:color w:val="auto"/>
          <w:sz w:val="24"/>
          <w:highlight w:val="none"/>
        </w:rPr>
      </w:pPr>
      <w:r>
        <w:rPr>
          <w:rFonts w:hint="eastAsia" w:ascii="楷体" w:hAnsi="楷体" w:eastAsia="楷体" w:cs="楷体"/>
          <w:b/>
          <w:color w:val="auto"/>
          <w:sz w:val="24"/>
          <w:highlight w:val="none"/>
        </w:rPr>
        <w:t>七、</w:t>
      </w:r>
      <w:r>
        <w:rPr>
          <w:rFonts w:hint="eastAsia" w:ascii="楷体" w:hAnsi="楷体" w:eastAsia="楷体" w:cs="楷体"/>
          <w:b/>
          <w:bCs/>
          <w:color w:val="auto"/>
          <w:sz w:val="24"/>
          <w:highlight w:val="none"/>
        </w:rPr>
        <w:t>投标文件接收信息</w:t>
      </w:r>
    </w:p>
    <w:p>
      <w:pPr>
        <w:tabs>
          <w:tab w:val="left" w:pos="900"/>
        </w:tabs>
        <w:spacing w:line="44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投标文件接收时间：</w:t>
      </w:r>
      <w:r>
        <w:rPr>
          <w:rFonts w:hint="eastAsia" w:ascii="楷体" w:hAnsi="楷体" w:eastAsia="楷体" w:cs="楷体"/>
          <w:color w:val="auto"/>
          <w:sz w:val="24"/>
          <w:highlight w:val="none"/>
          <w:u w:val="single"/>
        </w:rPr>
        <w:t>2020年</w:t>
      </w:r>
      <w:r>
        <w:rPr>
          <w:rFonts w:hint="eastAsia" w:ascii="楷体" w:hAnsi="楷体" w:eastAsia="楷体" w:cs="楷体"/>
          <w:color w:val="auto"/>
          <w:sz w:val="24"/>
          <w:highlight w:val="none"/>
          <w:u w:val="single"/>
          <w:lang w:val="en-US" w:eastAsia="zh-CN"/>
        </w:rPr>
        <w:t>11月20日14</w:t>
      </w:r>
      <w:r>
        <w:rPr>
          <w:rFonts w:hint="eastAsia" w:ascii="楷体" w:hAnsi="楷体" w:eastAsia="楷体" w:cs="楷体"/>
          <w:color w:val="auto"/>
          <w:sz w:val="24"/>
          <w:highlight w:val="none"/>
          <w:u w:val="single"/>
        </w:rPr>
        <w:t>：30时</w:t>
      </w:r>
      <w:r>
        <w:rPr>
          <w:rFonts w:hint="eastAsia" w:ascii="楷体" w:hAnsi="楷体" w:eastAsia="楷体" w:cs="楷体"/>
          <w:color w:val="auto"/>
          <w:sz w:val="24"/>
          <w:highlight w:val="none"/>
        </w:rPr>
        <w:t xml:space="preserve"> </w:t>
      </w:r>
    </w:p>
    <w:p>
      <w:pPr>
        <w:tabs>
          <w:tab w:val="left" w:pos="900"/>
        </w:tabs>
        <w:spacing w:line="44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投标文件接收截止时间：</w:t>
      </w:r>
      <w:r>
        <w:rPr>
          <w:rFonts w:hint="eastAsia" w:ascii="楷体" w:hAnsi="楷体" w:eastAsia="楷体" w:cs="楷体"/>
          <w:color w:val="auto"/>
          <w:sz w:val="24"/>
          <w:highlight w:val="none"/>
          <w:u w:val="single"/>
        </w:rPr>
        <w:t>2020年</w:t>
      </w:r>
      <w:r>
        <w:rPr>
          <w:rFonts w:hint="eastAsia" w:ascii="楷体" w:hAnsi="楷体" w:eastAsia="楷体" w:cs="楷体"/>
          <w:color w:val="auto"/>
          <w:sz w:val="24"/>
          <w:highlight w:val="none"/>
          <w:u w:val="single"/>
          <w:lang w:val="en-US" w:eastAsia="zh-CN"/>
        </w:rPr>
        <w:t>11月20日15</w:t>
      </w:r>
      <w:r>
        <w:rPr>
          <w:rFonts w:hint="eastAsia" w:ascii="楷体" w:hAnsi="楷体" w:eastAsia="楷体" w:cs="楷体"/>
          <w:color w:val="auto"/>
          <w:sz w:val="24"/>
          <w:highlight w:val="none"/>
          <w:u w:val="single"/>
        </w:rPr>
        <w:t>：00时</w:t>
      </w:r>
      <w:r>
        <w:rPr>
          <w:rFonts w:hint="eastAsia" w:ascii="楷体" w:hAnsi="楷体" w:eastAsia="楷体" w:cs="楷体"/>
          <w:color w:val="auto"/>
          <w:sz w:val="24"/>
          <w:highlight w:val="none"/>
        </w:rPr>
        <w:t xml:space="preserve"> </w:t>
      </w:r>
    </w:p>
    <w:p>
      <w:pPr>
        <w:tabs>
          <w:tab w:val="left" w:pos="900"/>
        </w:tabs>
        <w:spacing w:line="440" w:lineRule="exact"/>
        <w:ind w:firstLine="480" w:firstLineChars="200"/>
        <w:jc w:val="left"/>
        <w:rPr>
          <w:rFonts w:ascii="楷体" w:hAnsi="楷体" w:eastAsia="楷体" w:cs="楷体"/>
          <w:bCs/>
          <w:color w:val="auto"/>
          <w:sz w:val="24"/>
          <w:highlight w:val="none"/>
          <w:u w:val="single"/>
        </w:rPr>
      </w:pPr>
      <w:r>
        <w:rPr>
          <w:rFonts w:hint="eastAsia" w:ascii="楷体" w:hAnsi="楷体" w:eastAsia="楷体" w:cs="楷体"/>
          <w:color w:val="auto"/>
          <w:sz w:val="24"/>
          <w:highlight w:val="none"/>
        </w:rPr>
        <w:t>投标文件接收地点：盐城工业职业技术学院（盐城市解放南路285号）后勤服务中心四楼402开标室</w:t>
      </w:r>
    </w:p>
    <w:p>
      <w:pPr>
        <w:tabs>
          <w:tab w:val="left" w:pos="900"/>
        </w:tabs>
        <w:spacing w:line="440" w:lineRule="exact"/>
        <w:ind w:firstLine="482" w:firstLineChars="200"/>
        <w:jc w:val="left"/>
        <w:rPr>
          <w:rFonts w:ascii="楷体" w:hAnsi="楷体" w:eastAsia="楷体" w:cs="楷体"/>
          <w:b/>
          <w:bCs/>
          <w:color w:val="auto"/>
          <w:sz w:val="24"/>
          <w:highlight w:val="none"/>
        </w:rPr>
      </w:pPr>
      <w:r>
        <w:rPr>
          <w:rFonts w:hint="eastAsia" w:ascii="楷体" w:hAnsi="楷体" w:eastAsia="楷体" w:cs="楷体"/>
          <w:b/>
          <w:bCs/>
          <w:color w:val="auto"/>
          <w:sz w:val="24"/>
          <w:highlight w:val="none"/>
        </w:rPr>
        <w:t>八、开标有关信息</w:t>
      </w:r>
    </w:p>
    <w:p>
      <w:pPr>
        <w:tabs>
          <w:tab w:val="left" w:pos="900"/>
        </w:tabs>
        <w:spacing w:line="44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开标时间：</w:t>
      </w:r>
      <w:r>
        <w:rPr>
          <w:rFonts w:hint="eastAsia" w:ascii="楷体" w:hAnsi="楷体" w:eastAsia="楷体" w:cs="楷体"/>
          <w:color w:val="auto"/>
          <w:sz w:val="24"/>
          <w:highlight w:val="none"/>
          <w:u w:val="single"/>
        </w:rPr>
        <w:t>2020年</w:t>
      </w:r>
      <w:r>
        <w:rPr>
          <w:rFonts w:hint="eastAsia" w:ascii="楷体" w:hAnsi="楷体" w:eastAsia="楷体" w:cs="楷体"/>
          <w:color w:val="auto"/>
          <w:sz w:val="24"/>
          <w:highlight w:val="none"/>
          <w:u w:val="single"/>
          <w:lang w:val="en-US" w:eastAsia="zh-CN"/>
        </w:rPr>
        <w:t>11月20日15</w:t>
      </w:r>
      <w:r>
        <w:rPr>
          <w:rFonts w:hint="eastAsia" w:ascii="楷体" w:hAnsi="楷体" w:eastAsia="楷体" w:cs="楷体"/>
          <w:color w:val="auto"/>
          <w:sz w:val="24"/>
          <w:highlight w:val="none"/>
          <w:u w:val="single"/>
        </w:rPr>
        <w:t>：00时</w:t>
      </w:r>
      <w:r>
        <w:rPr>
          <w:rFonts w:hint="eastAsia" w:ascii="楷体" w:hAnsi="楷体" w:eastAsia="楷体" w:cs="楷体"/>
          <w:color w:val="auto"/>
          <w:sz w:val="24"/>
          <w:highlight w:val="none"/>
        </w:rPr>
        <w:t xml:space="preserve">  </w:t>
      </w:r>
    </w:p>
    <w:p>
      <w:pPr>
        <w:tabs>
          <w:tab w:val="left" w:pos="900"/>
        </w:tabs>
        <w:spacing w:line="44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开标地点：盐城工业职业技术学院（盐城市解放南路285号）后勤服务中心四楼402开标室</w:t>
      </w:r>
    </w:p>
    <w:p>
      <w:pPr>
        <w:tabs>
          <w:tab w:val="left" w:pos="900"/>
        </w:tabs>
        <w:spacing w:line="440" w:lineRule="exact"/>
        <w:ind w:firstLine="482" w:firstLineChars="200"/>
        <w:jc w:val="left"/>
        <w:rPr>
          <w:rFonts w:ascii="楷体" w:hAnsi="楷体" w:eastAsia="楷体" w:cs="楷体"/>
          <w:b/>
          <w:bCs/>
          <w:color w:val="auto"/>
          <w:sz w:val="24"/>
          <w:highlight w:val="none"/>
        </w:rPr>
      </w:pPr>
      <w:r>
        <w:rPr>
          <w:rFonts w:hint="eastAsia" w:ascii="楷体" w:hAnsi="楷体" w:eastAsia="楷体" w:cs="楷体"/>
          <w:b/>
          <w:bCs/>
          <w:color w:val="auto"/>
          <w:sz w:val="24"/>
          <w:highlight w:val="none"/>
        </w:rPr>
        <w:t>九、本次招标联系事项</w:t>
      </w:r>
    </w:p>
    <w:p>
      <w:pPr>
        <w:tabs>
          <w:tab w:val="left" w:pos="900"/>
        </w:tabs>
        <w:spacing w:line="440" w:lineRule="exact"/>
        <w:ind w:firstLine="480" w:firstLineChars="200"/>
        <w:jc w:val="left"/>
        <w:rPr>
          <w:rFonts w:ascii="楷体" w:hAnsi="楷体" w:eastAsia="楷体" w:cs="楷体"/>
          <w:color w:val="auto"/>
          <w:sz w:val="24"/>
          <w:highlight w:val="none"/>
        </w:rPr>
      </w:pPr>
      <w:bookmarkStart w:id="0" w:name="_Hlk54448313"/>
      <w:r>
        <w:rPr>
          <w:rFonts w:hint="eastAsia" w:ascii="楷体" w:hAnsi="楷体" w:eastAsia="楷体" w:cs="楷体"/>
          <w:color w:val="auto"/>
          <w:sz w:val="24"/>
          <w:highlight w:val="none"/>
        </w:rPr>
        <w:t>（一）采购人项目联系人：陈宏武，联系电话：0515-88583909，13770061361；</w:t>
      </w:r>
    </w:p>
    <w:bookmarkEnd w:id="0"/>
    <w:p>
      <w:pPr>
        <w:tabs>
          <w:tab w:val="left" w:pos="900"/>
        </w:tabs>
        <w:spacing w:line="44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采购人招标联系人：赵萌，联系电话：0515-88588707、13056182223；</w:t>
      </w:r>
    </w:p>
    <w:p>
      <w:pPr>
        <w:tabs>
          <w:tab w:val="left" w:pos="900"/>
        </w:tabs>
        <w:spacing w:line="44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地址：盐城工业职业技术学院后勤服务中心四楼405室；</w:t>
      </w:r>
    </w:p>
    <w:p>
      <w:pPr>
        <w:tabs>
          <w:tab w:val="left" w:pos="900"/>
        </w:tabs>
        <w:spacing w:line="44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（二）招标代理机构联系人：张旭良， 联系电话：0515-88200316、13515130964；</w:t>
      </w:r>
    </w:p>
    <w:p>
      <w:pPr>
        <w:tabs>
          <w:tab w:val="left" w:pos="900"/>
        </w:tabs>
        <w:spacing w:line="44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 xml:space="preserve">招标代理机构联系地址：盐城市紫薇广场C区7楼。 </w:t>
      </w:r>
    </w:p>
    <w:p>
      <w:pPr>
        <w:spacing w:line="440" w:lineRule="exact"/>
        <w:ind w:firstLine="482" w:firstLineChars="200"/>
        <w:jc w:val="left"/>
        <w:rPr>
          <w:rFonts w:ascii="楷体" w:hAnsi="楷体" w:eastAsia="楷体" w:cs="楷体"/>
          <w:b/>
          <w:color w:val="auto"/>
          <w:sz w:val="24"/>
          <w:highlight w:val="none"/>
        </w:rPr>
      </w:pPr>
      <w:r>
        <w:rPr>
          <w:rFonts w:hint="eastAsia" w:ascii="楷体" w:hAnsi="楷体" w:eastAsia="楷体" w:cs="楷体"/>
          <w:b/>
          <w:color w:val="auto"/>
          <w:sz w:val="24"/>
          <w:highlight w:val="none"/>
        </w:rPr>
        <w:t>十、投标文件制作份数要求</w:t>
      </w:r>
    </w:p>
    <w:p>
      <w:pPr>
        <w:spacing w:line="44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正本份数：1份，副本份数：4份。</w:t>
      </w:r>
    </w:p>
    <w:p>
      <w:pPr>
        <w:spacing w:line="440" w:lineRule="exact"/>
        <w:ind w:firstLine="482" w:firstLineChars="200"/>
        <w:jc w:val="left"/>
        <w:rPr>
          <w:rFonts w:ascii="楷体" w:hAnsi="楷体" w:eastAsia="楷体" w:cs="楷体"/>
          <w:b/>
          <w:bCs/>
          <w:color w:val="auto"/>
          <w:sz w:val="24"/>
          <w:highlight w:val="none"/>
        </w:rPr>
      </w:pPr>
      <w:r>
        <w:rPr>
          <w:rFonts w:hint="eastAsia" w:ascii="楷体" w:hAnsi="楷体" w:eastAsia="楷体" w:cs="楷体"/>
          <w:b/>
          <w:bCs/>
          <w:color w:val="auto"/>
          <w:sz w:val="24"/>
          <w:highlight w:val="none"/>
        </w:rPr>
        <w:t>十一、本次招标投标保证金</w:t>
      </w:r>
    </w:p>
    <w:p>
      <w:pPr>
        <w:spacing w:line="440" w:lineRule="exact"/>
        <w:ind w:firstLine="480" w:firstLineChars="200"/>
        <w:outlineLvl w:val="1"/>
        <w:rPr>
          <w:rFonts w:ascii="楷体" w:hAnsi="楷体" w:eastAsia="楷体" w:cs="楷体"/>
          <w:color w:val="auto"/>
          <w:sz w:val="24"/>
          <w:highlight w:val="none"/>
        </w:rPr>
      </w:pPr>
      <w:r>
        <w:rPr>
          <w:rFonts w:hint="eastAsia" w:ascii="楷体" w:hAnsi="楷体" w:eastAsia="楷体" w:cs="楷体"/>
          <w:color w:val="auto"/>
          <w:sz w:val="24"/>
          <w:highlight w:val="none"/>
        </w:rPr>
        <w:t>本次招标收取保证金。本工程投标保证金金额为人民币</w:t>
      </w:r>
      <w:r>
        <w:rPr>
          <w:rFonts w:hint="eastAsia" w:ascii="楷体" w:hAnsi="楷体" w:eastAsia="楷体" w:cs="楷体"/>
          <w:color w:val="auto"/>
          <w:sz w:val="24"/>
          <w:highlight w:val="none"/>
          <w:u w:val="single"/>
        </w:rPr>
        <w:t>壹万元整</w:t>
      </w:r>
      <w:r>
        <w:rPr>
          <w:rFonts w:hint="eastAsia" w:ascii="楷体" w:hAnsi="楷体" w:eastAsia="楷体" w:cs="楷体"/>
          <w:color w:val="auto"/>
          <w:sz w:val="24"/>
          <w:highlight w:val="none"/>
        </w:rPr>
        <w:t>，投标保证金必须在</w:t>
      </w:r>
      <w:r>
        <w:rPr>
          <w:rFonts w:hint="eastAsia" w:ascii="楷体" w:hAnsi="楷体" w:eastAsia="楷体" w:cs="楷体"/>
          <w:bCs/>
          <w:color w:val="auto"/>
          <w:sz w:val="24"/>
          <w:highlight w:val="none"/>
        </w:rPr>
        <w:t>投标文件接收截止时间</w:t>
      </w:r>
      <w:r>
        <w:rPr>
          <w:rFonts w:hint="eastAsia" w:ascii="楷体" w:hAnsi="楷体" w:eastAsia="楷体" w:cs="楷体"/>
          <w:color w:val="auto"/>
          <w:sz w:val="24"/>
          <w:highlight w:val="none"/>
        </w:rPr>
        <w:t>前与投标文件一起送达投标文件接收地点（不要密封在响应文件中）。</w:t>
      </w:r>
    </w:p>
    <w:p>
      <w:pPr>
        <w:spacing w:line="440" w:lineRule="exact"/>
        <w:ind w:firstLine="482" w:firstLineChars="200"/>
        <w:outlineLvl w:val="1"/>
        <w:rPr>
          <w:rFonts w:ascii="楷体" w:hAnsi="楷体" w:eastAsia="楷体" w:cs="楷体"/>
          <w:color w:val="auto"/>
          <w:sz w:val="24"/>
          <w:highlight w:val="none"/>
        </w:rPr>
      </w:pPr>
      <w:r>
        <w:rPr>
          <w:rFonts w:hint="eastAsia" w:ascii="楷体" w:hAnsi="楷体" w:eastAsia="楷体" w:cs="楷体"/>
          <w:b/>
          <w:color w:val="auto"/>
          <w:kern w:val="0"/>
          <w:sz w:val="24"/>
          <w:highlight w:val="none"/>
        </w:rPr>
        <w:t>投标保证金必须采用有效银行本票或银行汇票，不接受电汇、转账、现金、现金交款单、支票或其他形式的保证金。</w:t>
      </w:r>
      <w:r>
        <w:rPr>
          <w:rFonts w:hint="eastAsia" w:ascii="楷体" w:hAnsi="楷体" w:eastAsia="楷体" w:cs="楷体"/>
          <w:color w:val="auto"/>
          <w:kern w:val="0"/>
          <w:sz w:val="24"/>
          <w:highlight w:val="none"/>
        </w:rPr>
        <w:t>各投标人须在</w:t>
      </w:r>
      <w:r>
        <w:rPr>
          <w:rFonts w:hint="eastAsia" w:ascii="楷体" w:hAnsi="楷体" w:eastAsia="楷体" w:cs="楷体"/>
          <w:bCs/>
          <w:color w:val="auto"/>
          <w:sz w:val="24"/>
          <w:highlight w:val="none"/>
        </w:rPr>
        <w:t>投标文件接收截止时间</w:t>
      </w:r>
      <w:r>
        <w:rPr>
          <w:rFonts w:hint="eastAsia" w:ascii="楷体" w:hAnsi="楷体" w:eastAsia="楷体" w:cs="楷体"/>
          <w:color w:val="auto"/>
          <w:kern w:val="0"/>
          <w:sz w:val="24"/>
          <w:highlight w:val="none"/>
        </w:rPr>
        <w:t>前将投标保证金从投标人本单位的基本账户上汇出（不入账），以投标人汇出资金的银行日期为准，且保证金汇出单位必须与投标人名称一致，收款人名称：</w:t>
      </w:r>
      <w:r>
        <w:rPr>
          <w:rFonts w:hint="eastAsia" w:ascii="楷体" w:hAnsi="楷体" w:eastAsia="楷体" w:cs="楷体"/>
          <w:color w:val="auto"/>
          <w:sz w:val="24"/>
          <w:highlight w:val="none"/>
        </w:rPr>
        <w:t>江苏双清工程造价咨询有限公司，开户行：中行盐城分行营业部，账号：513158208001</w:t>
      </w:r>
      <w:r>
        <w:rPr>
          <w:rFonts w:hint="eastAsia" w:ascii="楷体" w:hAnsi="楷体" w:eastAsia="楷体" w:cs="楷体"/>
          <w:color w:val="auto"/>
          <w:kern w:val="0"/>
          <w:sz w:val="24"/>
          <w:highlight w:val="none"/>
        </w:rPr>
        <w:t>。</w:t>
      </w:r>
      <w:r>
        <w:rPr>
          <w:rFonts w:hint="eastAsia" w:ascii="楷体" w:hAnsi="楷体" w:eastAsia="楷体" w:cs="楷体"/>
          <w:bCs/>
          <w:color w:val="auto"/>
          <w:sz w:val="24"/>
          <w:highlight w:val="none"/>
        </w:rPr>
        <w:t>投标文件接收截止时间前</w:t>
      </w:r>
      <w:r>
        <w:rPr>
          <w:rFonts w:hint="eastAsia" w:ascii="楷体" w:hAnsi="楷体" w:eastAsia="楷体" w:cs="楷体"/>
          <w:color w:val="auto"/>
          <w:kern w:val="0"/>
          <w:sz w:val="24"/>
          <w:highlight w:val="none"/>
        </w:rPr>
        <w:t>，各投标人将有效银行本票原件或银行汇票原件带至开标现场交工作人员核验，未按上述要求交纳投标保证金的，</w:t>
      </w:r>
      <w:r>
        <w:rPr>
          <w:rFonts w:hint="eastAsia" w:ascii="楷体" w:hAnsi="楷体" w:eastAsia="楷体" w:cs="楷体"/>
          <w:color w:val="auto"/>
          <w:sz w:val="24"/>
          <w:highlight w:val="none"/>
        </w:rPr>
        <w:t>将被视为非响应性投标而予以拒绝。</w:t>
      </w:r>
    </w:p>
    <w:p>
      <w:pPr>
        <w:spacing w:line="440" w:lineRule="exact"/>
        <w:ind w:firstLine="480" w:firstLineChars="200"/>
        <w:outlineLvl w:val="1"/>
        <w:rPr>
          <w:rFonts w:ascii="楷体" w:hAnsi="楷体" w:eastAsia="楷体" w:cs="楷体"/>
          <w:color w:val="auto"/>
          <w:kern w:val="0"/>
          <w:sz w:val="24"/>
          <w:highlight w:val="none"/>
        </w:rPr>
      </w:pPr>
      <w:r>
        <w:rPr>
          <w:rFonts w:hint="eastAsia" w:ascii="楷体" w:hAnsi="楷体" w:eastAsia="楷体" w:cs="楷体"/>
          <w:color w:val="auto"/>
          <w:sz w:val="24"/>
          <w:highlight w:val="none"/>
        </w:rPr>
        <w:t>投标保证金退还方式：未中标人的投标保证金现场退还，中标人的投标保证金在签订合同并交纳招标代理服务费后，凭合同原件及交费凭证至招标代理机构财务部退还。</w:t>
      </w:r>
    </w:p>
    <w:p>
      <w:pPr>
        <w:spacing w:line="440" w:lineRule="exact"/>
        <w:ind w:firstLine="482" w:firstLineChars="200"/>
        <w:outlineLvl w:val="1"/>
        <w:rPr>
          <w:rFonts w:ascii="楷体" w:hAnsi="楷体" w:eastAsia="楷体" w:cs="楷体"/>
          <w:b/>
          <w:bCs/>
          <w:color w:val="auto"/>
          <w:sz w:val="24"/>
          <w:highlight w:val="none"/>
        </w:rPr>
      </w:pPr>
      <w:r>
        <w:rPr>
          <w:rFonts w:hint="eastAsia" w:ascii="楷体" w:hAnsi="楷体" w:eastAsia="楷体" w:cs="楷体"/>
          <w:b/>
          <w:bCs/>
          <w:color w:val="auto"/>
          <w:sz w:val="24"/>
          <w:highlight w:val="none"/>
        </w:rPr>
        <w:t>十二、疫情防控期间投标人注意事项</w:t>
      </w:r>
    </w:p>
    <w:p>
      <w:pPr>
        <w:spacing w:line="440" w:lineRule="exact"/>
        <w:ind w:firstLine="480" w:firstLineChars="200"/>
        <w:outlineLvl w:val="1"/>
        <w:rPr>
          <w:rFonts w:ascii="楷体" w:hAnsi="楷体" w:eastAsia="楷体" w:cs="楷体"/>
          <w:color w:val="auto"/>
          <w:sz w:val="24"/>
          <w:highlight w:val="none"/>
        </w:rPr>
      </w:pPr>
      <w:r>
        <w:rPr>
          <w:rFonts w:hint="eastAsia" w:ascii="楷体" w:hAnsi="楷体" w:eastAsia="楷体" w:cs="楷体"/>
          <w:color w:val="auto"/>
          <w:sz w:val="24"/>
          <w:highlight w:val="none"/>
        </w:rPr>
        <w:t>因疫情防控需要，为确保校园安全，投标人进入盐城工业职业技术学院校区时应服从下列疫情防控措施：</w:t>
      </w:r>
    </w:p>
    <w:p>
      <w:pPr>
        <w:spacing w:line="440" w:lineRule="exact"/>
        <w:ind w:firstLine="480" w:firstLineChars="200"/>
        <w:outlineLvl w:val="1"/>
        <w:rPr>
          <w:rFonts w:ascii="楷体" w:hAnsi="楷体" w:eastAsia="楷体" w:cs="楷体"/>
          <w:color w:val="auto"/>
          <w:sz w:val="24"/>
          <w:highlight w:val="none"/>
        </w:rPr>
      </w:pPr>
      <w:r>
        <w:rPr>
          <w:rFonts w:hint="eastAsia" w:ascii="楷体" w:hAnsi="楷体" w:eastAsia="楷体" w:cs="楷体"/>
          <w:color w:val="auto"/>
          <w:sz w:val="24"/>
          <w:highlight w:val="none"/>
        </w:rPr>
        <w:t>（1）投标人从解放南路东门进出；投标人车辆一律不得进入校园。</w:t>
      </w:r>
    </w:p>
    <w:p>
      <w:pPr>
        <w:spacing w:line="440" w:lineRule="exact"/>
        <w:ind w:firstLine="480" w:firstLineChars="200"/>
        <w:outlineLvl w:val="1"/>
        <w:rPr>
          <w:rFonts w:ascii="楷体" w:hAnsi="楷体" w:eastAsia="楷体" w:cs="楷体"/>
          <w:color w:val="auto"/>
          <w:sz w:val="24"/>
          <w:highlight w:val="none"/>
        </w:rPr>
      </w:pPr>
      <w:r>
        <w:rPr>
          <w:rFonts w:hint="eastAsia" w:ascii="楷体" w:hAnsi="楷体" w:eastAsia="楷体" w:cs="楷体"/>
          <w:color w:val="auto"/>
          <w:sz w:val="24"/>
          <w:highlight w:val="none"/>
        </w:rPr>
        <w:t>（2）各投标人项目授权代表限1人进入校园；项目授权代表进入校园时须自行配戴口罩、做好手部消毒及投标文件等消毒防护工作。</w:t>
      </w:r>
    </w:p>
    <w:p>
      <w:pPr>
        <w:spacing w:line="440" w:lineRule="exact"/>
        <w:ind w:firstLine="480" w:firstLineChars="200"/>
        <w:outlineLvl w:val="1"/>
        <w:rPr>
          <w:rFonts w:ascii="楷体" w:hAnsi="楷体" w:eastAsia="楷体" w:cs="楷体"/>
          <w:color w:val="auto"/>
          <w:sz w:val="24"/>
          <w:highlight w:val="none"/>
        </w:rPr>
      </w:pPr>
      <w:r>
        <w:rPr>
          <w:rFonts w:hint="eastAsia" w:ascii="楷体" w:hAnsi="楷体" w:eastAsia="楷体" w:cs="楷体"/>
          <w:color w:val="auto"/>
          <w:sz w:val="24"/>
          <w:highlight w:val="none"/>
        </w:rPr>
        <w:t>（3）投标人进入校园前须在东门外相关工作人员处进行信息实名登记并接受体温测量（体温异常者拒绝进入校园），主动出示有效“健康码”（非绿色健康码拒绝进入校园），出示本人近14天的出行轨迹（可通过手机短信查询），来校前14天内有疫情中高风险疫区（以开标前一日权威发布的疫情风险等级区域划分为依据）旅居史的人员一律不得进入校园。</w:t>
      </w:r>
    </w:p>
    <w:p>
      <w:pPr>
        <w:spacing w:line="440" w:lineRule="exact"/>
        <w:ind w:firstLine="480" w:firstLineChars="200"/>
        <w:outlineLvl w:val="1"/>
        <w:rPr>
          <w:rFonts w:ascii="楷体" w:hAnsi="楷体" w:eastAsia="楷体" w:cs="楷体"/>
          <w:color w:val="auto"/>
          <w:sz w:val="24"/>
          <w:highlight w:val="none"/>
        </w:rPr>
      </w:pPr>
      <w:r>
        <w:rPr>
          <w:rFonts w:hint="eastAsia" w:ascii="楷体" w:hAnsi="楷体" w:eastAsia="楷体" w:cs="楷体"/>
          <w:color w:val="auto"/>
          <w:sz w:val="24"/>
          <w:highlight w:val="none"/>
        </w:rPr>
        <w:t>（4）投标人进入校园后应在指定地点参与投标活动，不到非相关场所活动；投标工作结束后应立即离开校园，不逗留。</w:t>
      </w:r>
    </w:p>
    <w:p>
      <w:pPr>
        <w:spacing w:line="440" w:lineRule="exact"/>
        <w:ind w:firstLine="480" w:firstLineChars="200"/>
        <w:outlineLvl w:val="1"/>
        <w:rPr>
          <w:rFonts w:ascii="楷体" w:hAnsi="楷体" w:eastAsia="楷体" w:cs="楷体"/>
          <w:color w:val="auto"/>
          <w:sz w:val="24"/>
          <w:highlight w:val="none"/>
        </w:rPr>
      </w:pPr>
      <w:r>
        <w:rPr>
          <w:rFonts w:hint="eastAsia" w:ascii="楷体" w:hAnsi="楷体" w:eastAsia="楷体" w:cs="楷体"/>
          <w:color w:val="auto"/>
          <w:sz w:val="24"/>
          <w:highlight w:val="none"/>
        </w:rPr>
        <w:t>请各投标人预留好相应时间，配合做好上述管控措施。</w:t>
      </w:r>
    </w:p>
    <w:p>
      <w:pPr>
        <w:tabs>
          <w:tab w:val="left" w:pos="900"/>
        </w:tabs>
        <w:spacing w:line="440" w:lineRule="exact"/>
        <w:ind w:firstLine="480" w:firstLineChars="200"/>
        <w:jc w:val="right"/>
        <w:rPr>
          <w:rFonts w:ascii="楷体" w:hAnsi="楷体" w:eastAsia="楷体" w:cs="楷体"/>
          <w:color w:val="auto"/>
          <w:sz w:val="24"/>
          <w:highlight w:val="none"/>
        </w:rPr>
      </w:pPr>
    </w:p>
    <w:p>
      <w:pPr>
        <w:tabs>
          <w:tab w:val="left" w:pos="900"/>
        </w:tabs>
        <w:spacing w:line="440" w:lineRule="exact"/>
        <w:ind w:firstLine="480" w:firstLineChars="200"/>
        <w:jc w:val="right"/>
        <w:rPr>
          <w:rFonts w:ascii="楷体" w:hAnsi="楷体" w:eastAsia="楷体" w:cs="楷体"/>
          <w:color w:val="auto"/>
          <w:sz w:val="24"/>
          <w:highlight w:val="none"/>
        </w:rPr>
      </w:pPr>
      <w:r>
        <w:rPr>
          <w:rFonts w:hint="eastAsia" w:ascii="楷体" w:hAnsi="楷体" w:eastAsia="楷体" w:cs="楷体"/>
          <w:color w:val="auto"/>
          <w:sz w:val="24"/>
          <w:highlight w:val="none"/>
        </w:rPr>
        <w:t>盐城工业职业技术学院</w:t>
      </w:r>
    </w:p>
    <w:p>
      <w:pPr>
        <w:tabs>
          <w:tab w:val="left" w:pos="900"/>
        </w:tabs>
        <w:spacing w:line="440" w:lineRule="exact"/>
        <w:ind w:firstLine="480" w:firstLineChars="200"/>
        <w:jc w:val="right"/>
        <w:rPr>
          <w:rFonts w:ascii="楷体" w:hAnsi="楷体" w:eastAsia="楷体" w:cs="楷体"/>
          <w:color w:val="auto"/>
          <w:sz w:val="24"/>
          <w:highlight w:val="none"/>
        </w:rPr>
      </w:pPr>
      <w:r>
        <w:rPr>
          <w:rFonts w:hint="eastAsia" w:ascii="楷体" w:hAnsi="楷体" w:eastAsia="楷体" w:cs="楷体"/>
          <w:color w:val="auto"/>
          <w:sz w:val="24"/>
          <w:highlight w:val="none"/>
        </w:rPr>
        <w:t>江苏双清工程造价咨询有限公司</w:t>
      </w:r>
    </w:p>
    <w:p>
      <w:pPr>
        <w:tabs>
          <w:tab w:val="left" w:pos="900"/>
        </w:tabs>
        <w:spacing w:line="440" w:lineRule="exact"/>
        <w:ind w:firstLine="480" w:firstLineChars="200"/>
        <w:jc w:val="right"/>
        <w:rPr>
          <w:rFonts w:ascii="楷体" w:hAnsi="楷体" w:eastAsia="楷体" w:cs="楷体"/>
          <w:color w:val="auto"/>
          <w:sz w:val="24"/>
          <w:highlight w:val="none"/>
        </w:rPr>
      </w:pPr>
      <w:r>
        <w:rPr>
          <w:rFonts w:hint="eastAsia" w:ascii="楷体" w:hAnsi="楷体" w:eastAsia="楷体" w:cs="楷体"/>
          <w:color w:val="auto"/>
          <w:sz w:val="24"/>
          <w:highlight w:val="none"/>
        </w:rPr>
        <w:t>2020年10月</w:t>
      </w:r>
      <w:r>
        <w:rPr>
          <w:rFonts w:hint="eastAsia" w:ascii="楷体" w:hAnsi="楷体" w:eastAsia="楷体" w:cs="楷体"/>
          <w:color w:val="auto"/>
          <w:sz w:val="24"/>
          <w:highlight w:val="none"/>
          <w:lang w:val="en-US" w:eastAsia="zh-CN"/>
        </w:rPr>
        <w:t>30</w:t>
      </w:r>
      <w:r>
        <w:rPr>
          <w:rFonts w:hint="eastAsia" w:ascii="楷体" w:hAnsi="楷体" w:eastAsia="楷体" w:cs="楷体"/>
          <w:color w:val="auto"/>
          <w:sz w:val="24"/>
          <w:highlight w:val="none"/>
        </w:rPr>
        <w:t>日</w:t>
      </w:r>
    </w:p>
    <w:p>
      <w:pPr>
        <w:widowControl/>
        <w:jc w:val="center"/>
        <w:rPr>
          <w:rFonts w:ascii="楷体" w:hAnsi="楷体" w:eastAsia="楷体" w:cs="楷体"/>
          <w:b/>
          <w:color w:val="auto"/>
          <w:sz w:val="44"/>
          <w:szCs w:val="44"/>
          <w:highlight w:val="none"/>
        </w:rPr>
      </w:pPr>
      <w:r>
        <w:rPr>
          <w:rFonts w:hint="eastAsia" w:ascii="楷体" w:hAnsi="楷体" w:eastAsia="楷体" w:cs="楷体"/>
          <w:b/>
          <w:color w:val="auto"/>
          <w:sz w:val="44"/>
          <w:szCs w:val="44"/>
          <w:highlight w:val="none"/>
        </w:rPr>
        <w:br w:type="page"/>
      </w:r>
      <w:r>
        <w:rPr>
          <w:rFonts w:hint="eastAsia" w:ascii="楷体" w:hAnsi="楷体" w:eastAsia="楷体" w:cs="楷体"/>
          <w:b/>
          <w:color w:val="auto"/>
          <w:sz w:val="44"/>
          <w:szCs w:val="44"/>
          <w:highlight w:val="none"/>
        </w:rPr>
        <w:t>投标人参与投标确认函</w:t>
      </w:r>
    </w:p>
    <w:p>
      <w:pPr>
        <w:jc w:val="left"/>
        <w:rPr>
          <w:rFonts w:ascii="楷体" w:hAnsi="楷体" w:eastAsia="楷体" w:cs="楷体"/>
          <w:color w:val="auto"/>
          <w:sz w:val="32"/>
          <w:szCs w:val="32"/>
          <w:highlight w:val="none"/>
        </w:rPr>
      </w:pPr>
    </w:p>
    <w:p>
      <w:pPr>
        <w:jc w:val="left"/>
        <w:rPr>
          <w:rFonts w:ascii="楷体" w:hAnsi="楷体" w:eastAsia="楷体" w:cs="楷体"/>
          <w:color w:val="auto"/>
          <w:sz w:val="32"/>
          <w:szCs w:val="32"/>
          <w:highlight w:val="none"/>
        </w:rPr>
      </w:pPr>
      <w:r>
        <w:rPr>
          <w:rFonts w:hint="eastAsia" w:ascii="楷体" w:hAnsi="楷体" w:eastAsia="楷体" w:cs="楷体"/>
          <w:color w:val="auto"/>
          <w:sz w:val="32"/>
          <w:szCs w:val="32"/>
          <w:highlight w:val="none"/>
        </w:rPr>
        <w:t>盐城工业职业技术学院</w:t>
      </w:r>
    </w:p>
    <w:p>
      <w:pPr>
        <w:jc w:val="left"/>
        <w:rPr>
          <w:rFonts w:ascii="楷体" w:hAnsi="楷体" w:eastAsia="楷体" w:cs="楷体"/>
          <w:color w:val="auto"/>
          <w:sz w:val="32"/>
          <w:szCs w:val="32"/>
          <w:highlight w:val="none"/>
        </w:rPr>
      </w:pPr>
      <w:r>
        <w:rPr>
          <w:rFonts w:hint="eastAsia" w:ascii="楷体" w:hAnsi="楷体" w:eastAsia="楷体" w:cs="楷体"/>
          <w:color w:val="auto"/>
          <w:sz w:val="32"/>
          <w:szCs w:val="32"/>
          <w:highlight w:val="none"/>
        </w:rPr>
        <w:t>江苏双清工程造价咨询有限公司：</w:t>
      </w:r>
    </w:p>
    <w:p>
      <w:pPr>
        <w:rPr>
          <w:rFonts w:ascii="楷体" w:hAnsi="楷体" w:eastAsia="楷体" w:cs="楷体"/>
          <w:color w:val="auto"/>
          <w:sz w:val="32"/>
          <w:szCs w:val="32"/>
          <w:highlight w:val="none"/>
        </w:rPr>
      </w:pPr>
      <w:r>
        <w:rPr>
          <w:rFonts w:hint="eastAsia" w:ascii="楷体" w:hAnsi="楷体" w:eastAsia="楷体" w:cs="楷体"/>
          <w:color w:val="auto"/>
          <w:sz w:val="32"/>
          <w:szCs w:val="32"/>
          <w:highlight w:val="none"/>
        </w:rPr>
        <w:t>　　</w:t>
      </w:r>
    </w:p>
    <w:p>
      <w:pPr>
        <w:ind w:firstLine="640" w:firstLineChars="200"/>
        <w:rPr>
          <w:rFonts w:ascii="楷体" w:hAnsi="楷体" w:eastAsia="楷体" w:cs="楷体"/>
          <w:color w:val="auto"/>
          <w:sz w:val="32"/>
          <w:szCs w:val="32"/>
          <w:highlight w:val="none"/>
        </w:rPr>
      </w:pPr>
      <w:r>
        <w:rPr>
          <w:rFonts w:hint="eastAsia" w:ascii="楷体" w:hAnsi="楷体" w:eastAsia="楷体" w:cs="楷体"/>
          <w:color w:val="auto"/>
          <w:sz w:val="32"/>
          <w:szCs w:val="32"/>
          <w:highlight w:val="none"/>
        </w:rPr>
        <w:t>根据网站上查询到的招标公告，本单位将参与</w:t>
      </w:r>
      <w:r>
        <w:rPr>
          <w:rFonts w:hint="eastAsia" w:ascii="楷体" w:hAnsi="楷体" w:eastAsia="楷体" w:cs="楷体"/>
          <w:color w:val="auto"/>
          <w:sz w:val="32"/>
          <w:szCs w:val="32"/>
          <w:highlight w:val="none"/>
          <w:u w:val="single"/>
        </w:rPr>
        <w:t>2020-049S</w:t>
      </w:r>
      <w:r>
        <w:rPr>
          <w:rFonts w:hint="eastAsia" w:ascii="楷体" w:hAnsi="楷体" w:eastAsia="楷体" w:cs="楷体"/>
          <w:color w:val="auto"/>
          <w:sz w:val="32"/>
          <w:szCs w:val="32"/>
          <w:highlight w:val="none"/>
          <w:u w:val="single"/>
          <w:lang w:val="en-US" w:eastAsia="zh-CN"/>
        </w:rPr>
        <w:t>-01</w:t>
      </w:r>
      <w:r>
        <w:rPr>
          <w:rFonts w:hint="eastAsia" w:ascii="楷体" w:hAnsi="楷体" w:eastAsia="楷体" w:cs="楷体"/>
          <w:color w:val="auto"/>
          <w:sz w:val="32"/>
          <w:szCs w:val="32"/>
          <w:highlight w:val="none"/>
        </w:rPr>
        <w:t>编号</w:t>
      </w:r>
      <w:r>
        <w:rPr>
          <w:rFonts w:hint="eastAsia" w:ascii="楷体" w:hAnsi="楷体" w:eastAsia="楷体" w:cs="楷体"/>
          <w:color w:val="auto"/>
          <w:sz w:val="32"/>
          <w:szCs w:val="32"/>
          <w:highlight w:val="none"/>
          <w:u w:val="single"/>
        </w:rPr>
        <w:t>盐城工业职业技术学院铁军文化苑设计施工一体化项目</w:t>
      </w:r>
      <w:r>
        <w:rPr>
          <w:rFonts w:hint="eastAsia" w:ascii="楷体" w:hAnsi="楷体" w:eastAsia="楷体" w:cs="楷体"/>
          <w:color w:val="auto"/>
          <w:sz w:val="32"/>
          <w:szCs w:val="32"/>
          <w:highlight w:val="none"/>
        </w:rPr>
        <w:t>的投标，特发函确认并到招标代理机构购买招标文件。</w:t>
      </w:r>
    </w:p>
    <w:p>
      <w:pPr>
        <w:rPr>
          <w:rFonts w:ascii="楷体" w:hAnsi="楷体" w:eastAsia="楷体" w:cs="楷体"/>
          <w:color w:val="auto"/>
          <w:sz w:val="32"/>
          <w:szCs w:val="32"/>
          <w:highlight w:val="none"/>
          <w:u w:val="single"/>
        </w:rPr>
      </w:pPr>
      <w:r>
        <w:rPr>
          <w:rFonts w:hint="eastAsia" w:ascii="楷体" w:hAnsi="楷体" w:eastAsia="楷体" w:cs="楷体"/>
          <w:color w:val="auto"/>
          <w:sz w:val="32"/>
          <w:szCs w:val="32"/>
          <w:highlight w:val="none"/>
        </w:rPr>
        <w:t>　　单位名称：</w:t>
      </w:r>
      <w:r>
        <w:rPr>
          <w:rFonts w:hint="eastAsia" w:ascii="楷体" w:hAnsi="楷体" w:eastAsia="楷体" w:cs="楷体"/>
          <w:color w:val="auto"/>
          <w:sz w:val="32"/>
          <w:szCs w:val="32"/>
          <w:highlight w:val="none"/>
          <w:u w:val="single"/>
        </w:rPr>
        <w:t xml:space="preserve">              </w:t>
      </w:r>
    </w:p>
    <w:p>
      <w:pPr>
        <w:rPr>
          <w:rFonts w:ascii="楷体" w:hAnsi="楷体" w:eastAsia="楷体" w:cs="楷体"/>
          <w:color w:val="auto"/>
          <w:sz w:val="32"/>
          <w:szCs w:val="32"/>
          <w:highlight w:val="none"/>
        </w:rPr>
      </w:pPr>
      <w:r>
        <w:rPr>
          <w:rFonts w:hint="eastAsia" w:ascii="楷体" w:hAnsi="楷体" w:eastAsia="楷体" w:cs="楷体"/>
          <w:color w:val="auto"/>
          <w:sz w:val="32"/>
          <w:szCs w:val="32"/>
          <w:highlight w:val="none"/>
        </w:rPr>
        <w:t>　　项目负责人：</w:t>
      </w:r>
      <w:r>
        <w:rPr>
          <w:rFonts w:hint="eastAsia" w:ascii="楷体" w:hAnsi="楷体" w:eastAsia="楷体" w:cs="楷体"/>
          <w:color w:val="auto"/>
          <w:sz w:val="32"/>
          <w:szCs w:val="32"/>
          <w:highlight w:val="none"/>
          <w:u w:val="single"/>
        </w:rPr>
        <w:t xml:space="preserve">            </w:t>
      </w:r>
    </w:p>
    <w:p>
      <w:pPr>
        <w:ind w:firstLine="640" w:firstLineChars="200"/>
        <w:rPr>
          <w:rFonts w:ascii="楷体" w:hAnsi="楷体" w:eastAsia="楷体" w:cs="楷体"/>
          <w:color w:val="auto"/>
          <w:sz w:val="32"/>
          <w:szCs w:val="32"/>
          <w:highlight w:val="none"/>
        </w:rPr>
      </w:pPr>
      <w:r>
        <w:rPr>
          <w:rFonts w:hint="eastAsia" w:ascii="楷体" w:hAnsi="楷体" w:eastAsia="楷体" w:cs="楷体"/>
          <w:color w:val="auto"/>
          <w:sz w:val="32"/>
          <w:szCs w:val="32"/>
          <w:highlight w:val="none"/>
        </w:rPr>
        <w:t>联系电话：</w:t>
      </w:r>
      <w:r>
        <w:rPr>
          <w:rFonts w:hint="eastAsia" w:ascii="楷体" w:hAnsi="楷体" w:eastAsia="楷体" w:cs="楷体"/>
          <w:color w:val="auto"/>
          <w:sz w:val="32"/>
          <w:szCs w:val="32"/>
          <w:highlight w:val="none"/>
          <w:u w:val="single"/>
        </w:rPr>
        <w:t xml:space="preserve">              </w:t>
      </w:r>
    </w:p>
    <w:p>
      <w:pPr>
        <w:rPr>
          <w:rFonts w:ascii="楷体" w:hAnsi="楷体" w:eastAsia="楷体" w:cs="楷体"/>
          <w:color w:val="auto"/>
          <w:sz w:val="32"/>
          <w:szCs w:val="32"/>
          <w:highlight w:val="none"/>
        </w:rPr>
      </w:pPr>
      <w:r>
        <w:rPr>
          <w:rFonts w:hint="eastAsia" w:ascii="楷体" w:hAnsi="楷体" w:eastAsia="楷体" w:cs="楷体"/>
          <w:color w:val="auto"/>
          <w:sz w:val="32"/>
          <w:szCs w:val="32"/>
          <w:highlight w:val="none"/>
        </w:rPr>
        <w:t>　　法人授权代表（投标代表）：＿＿＿＿＿</w:t>
      </w:r>
    </w:p>
    <w:p>
      <w:pPr>
        <w:ind w:firstLine="645"/>
        <w:rPr>
          <w:rFonts w:ascii="楷体" w:hAnsi="楷体" w:eastAsia="楷体" w:cs="楷体"/>
          <w:color w:val="auto"/>
          <w:sz w:val="32"/>
          <w:szCs w:val="32"/>
          <w:highlight w:val="none"/>
        </w:rPr>
      </w:pPr>
      <w:r>
        <w:rPr>
          <w:rFonts w:hint="eastAsia" w:ascii="楷体" w:hAnsi="楷体" w:eastAsia="楷体" w:cs="楷体"/>
          <w:color w:val="auto"/>
          <w:sz w:val="32"/>
          <w:szCs w:val="32"/>
          <w:highlight w:val="none"/>
        </w:rPr>
        <w:t>联系电话：</w:t>
      </w:r>
      <w:r>
        <w:rPr>
          <w:rFonts w:hint="eastAsia" w:ascii="楷体" w:hAnsi="楷体" w:eastAsia="楷体" w:cs="楷体"/>
          <w:color w:val="auto"/>
          <w:sz w:val="32"/>
          <w:szCs w:val="32"/>
          <w:highlight w:val="none"/>
          <w:u w:val="single"/>
        </w:rPr>
        <w:t xml:space="preserve">              </w:t>
      </w:r>
      <w:r>
        <w:rPr>
          <w:rFonts w:hint="eastAsia" w:ascii="楷体" w:hAnsi="楷体" w:eastAsia="楷体" w:cs="楷体"/>
          <w:color w:val="auto"/>
          <w:sz w:val="32"/>
          <w:szCs w:val="32"/>
          <w:highlight w:val="none"/>
        </w:rPr>
        <w:t xml:space="preserve">                  </w:t>
      </w:r>
    </w:p>
    <w:p>
      <w:pPr>
        <w:ind w:firstLine="645"/>
        <w:rPr>
          <w:rFonts w:ascii="楷体" w:hAnsi="楷体" w:eastAsia="楷体" w:cs="楷体"/>
          <w:color w:val="auto"/>
          <w:sz w:val="32"/>
          <w:szCs w:val="32"/>
          <w:highlight w:val="none"/>
        </w:rPr>
      </w:pPr>
      <w:r>
        <w:rPr>
          <w:rFonts w:hint="eastAsia" w:ascii="楷体" w:hAnsi="楷体" w:eastAsia="楷体" w:cs="楷体"/>
          <w:color w:val="auto"/>
          <w:sz w:val="32"/>
          <w:szCs w:val="32"/>
          <w:highlight w:val="none"/>
        </w:rPr>
        <w:t>传真：</w:t>
      </w:r>
      <w:r>
        <w:rPr>
          <w:rFonts w:hint="eastAsia" w:ascii="楷体" w:hAnsi="楷体" w:eastAsia="楷体" w:cs="楷体"/>
          <w:color w:val="auto"/>
          <w:sz w:val="32"/>
          <w:szCs w:val="32"/>
          <w:highlight w:val="none"/>
          <w:u w:val="single"/>
        </w:rPr>
        <w:t xml:space="preserve">                  </w:t>
      </w:r>
    </w:p>
    <w:p>
      <w:pPr>
        <w:ind w:firstLine="645"/>
        <w:rPr>
          <w:rFonts w:ascii="楷体" w:hAnsi="楷体" w:eastAsia="楷体" w:cs="楷体"/>
          <w:color w:val="auto"/>
          <w:sz w:val="32"/>
          <w:szCs w:val="32"/>
          <w:highlight w:val="none"/>
        </w:rPr>
      </w:pPr>
      <w:r>
        <w:rPr>
          <w:rFonts w:hint="eastAsia" w:ascii="楷体" w:hAnsi="楷体" w:eastAsia="楷体" w:cs="楷体"/>
          <w:color w:val="auto"/>
          <w:sz w:val="32"/>
          <w:szCs w:val="32"/>
          <w:highlight w:val="none"/>
        </w:rPr>
        <w:t>邮箱：</w:t>
      </w:r>
      <w:r>
        <w:rPr>
          <w:rFonts w:hint="eastAsia" w:ascii="楷体" w:hAnsi="楷体" w:eastAsia="楷体" w:cs="楷体"/>
          <w:color w:val="auto"/>
          <w:sz w:val="32"/>
          <w:szCs w:val="32"/>
          <w:highlight w:val="none"/>
          <w:u w:val="single"/>
        </w:rPr>
        <w:t xml:space="preserve">                  </w:t>
      </w:r>
    </w:p>
    <w:p>
      <w:pPr>
        <w:ind w:left="4160" w:hanging="4160" w:hangingChars="1300"/>
        <w:rPr>
          <w:rFonts w:ascii="楷体" w:hAnsi="楷体" w:eastAsia="楷体" w:cs="楷体"/>
          <w:color w:val="auto"/>
          <w:sz w:val="32"/>
          <w:szCs w:val="32"/>
          <w:highlight w:val="none"/>
        </w:rPr>
      </w:pPr>
      <w:r>
        <w:rPr>
          <w:rFonts w:hint="eastAsia" w:ascii="楷体" w:hAnsi="楷体" w:eastAsia="楷体" w:cs="楷体"/>
          <w:color w:val="auto"/>
          <w:sz w:val="32"/>
          <w:szCs w:val="32"/>
          <w:highlight w:val="none"/>
        </w:rPr>
        <w:t>　　　　　　　　　　　　　　　　</w:t>
      </w:r>
    </w:p>
    <w:p>
      <w:pPr>
        <w:ind w:left="4160" w:hanging="4160" w:hangingChars="1300"/>
        <w:jc w:val="right"/>
        <w:rPr>
          <w:rFonts w:ascii="楷体" w:hAnsi="楷体" w:eastAsia="楷体" w:cs="楷体"/>
          <w:color w:val="auto"/>
          <w:sz w:val="32"/>
          <w:szCs w:val="32"/>
          <w:highlight w:val="none"/>
        </w:rPr>
      </w:pPr>
      <w:r>
        <w:rPr>
          <w:rFonts w:hint="eastAsia" w:ascii="楷体" w:hAnsi="楷体" w:eastAsia="楷体" w:cs="楷体"/>
          <w:color w:val="auto"/>
          <w:sz w:val="32"/>
          <w:szCs w:val="32"/>
          <w:highlight w:val="none"/>
        </w:rPr>
        <w:t>＿＿＿＿＿＿（单位公章）</w:t>
      </w:r>
    </w:p>
    <w:p>
      <w:pPr>
        <w:ind w:left="5280" w:hanging="5280" w:hangingChars="1650"/>
        <w:rPr>
          <w:rFonts w:ascii="楷体" w:hAnsi="楷体" w:eastAsia="楷体" w:cs="楷体"/>
          <w:color w:val="auto"/>
          <w:sz w:val="32"/>
          <w:szCs w:val="32"/>
          <w:highlight w:val="none"/>
        </w:rPr>
      </w:pPr>
      <w:r>
        <w:rPr>
          <w:rFonts w:hint="eastAsia" w:ascii="楷体" w:hAnsi="楷体" w:eastAsia="楷体" w:cs="楷体"/>
          <w:color w:val="auto"/>
          <w:sz w:val="32"/>
          <w:szCs w:val="32"/>
          <w:highlight w:val="none"/>
        </w:rPr>
        <w:t>　　　　　　　　　　　　　　　　　　　　　　　　　　　　　</w:t>
      </w:r>
      <w:r>
        <w:rPr>
          <w:rFonts w:hint="eastAsia" w:ascii="楷体" w:hAnsi="楷体" w:eastAsia="楷体" w:cs="楷体"/>
          <w:color w:val="auto"/>
          <w:sz w:val="32"/>
          <w:szCs w:val="32"/>
          <w:highlight w:val="none"/>
          <w:u w:val="single"/>
        </w:rPr>
        <w:t>2020年  月　日</w:t>
      </w:r>
    </w:p>
    <w:p>
      <w:pPr>
        <w:ind w:left="5280" w:hanging="5280" w:hangingChars="1650"/>
        <w:rPr>
          <w:rFonts w:ascii="楷体" w:hAnsi="楷体" w:eastAsia="楷体" w:cs="楷体"/>
          <w:color w:val="auto"/>
          <w:sz w:val="32"/>
          <w:szCs w:val="32"/>
          <w:highlight w:val="none"/>
        </w:rPr>
      </w:pPr>
    </w:p>
    <w:p>
      <w:pPr>
        <w:spacing w:line="500" w:lineRule="exact"/>
        <w:rPr>
          <w:rFonts w:ascii="楷体" w:hAnsi="楷体" w:eastAsia="楷体" w:cs="楷体"/>
          <w:b/>
          <w:color w:val="auto"/>
          <w:sz w:val="24"/>
          <w:highlight w:val="none"/>
        </w:rPr>
      </w:pPr>
    </w:p>
    <w:p>
      <w:pPr>
        <w:spacing w:line="500" w:lineRule="exact"/>
        <w:rPr>
          <w:rFonts w:ascii="楷体" w:hAnsi="楷体" w:eastAsia="楷体" w:cs="楷体"/>
          <w:b/>
          <w:color w:val="auto"/>
          <w:sz w:val="24"/>
          <w:highlight w:val="none"/>
        </w:rPr>
      </w:pPr>
    </w:p>
    <w:p>
      <w:pPr>
        <w:spacing w:line="500" w:lineRule="exact"/>
        <w:rPr>
          <w:rFonts w:ascii="楷体" w:hAnsi="楷体" w:eastAsia="楷体" w:cs="楷体"/>
          <w:b/>
          <w:color w:val="auto"/>
          <w:sz w:val="28"/>
          <w:szCs w:val="28"/>
          <w:highlight w:val="none"/>
        </w:rPr>
      </w:pPr>
    </w:p>
    <w:p>
      <w:pPr>
        <w:pStyle w:val="19"/>
        <w:ind w:firstLine="422"/>
        <w:rPr>
          <w:rFonts w:ascii="楷体" w:hAnsi="楷体" w:eastAsia="楷体" w:cs="楷体"/>
          <w:color w:val="auto"/>
          <w:highlight w:val="none"/>
        </w:rPr>
      </w:pPr>
    </w:p>
    <w:p>
      <w:pPr>
        <w:spacing w:line="360" w:lineRule="auto"/>
        <w:jc w:val="center"/>
        <w:rPr>
          <w:rFonts w:ascii="楷体" w:hAnsi="楷体" w:eastAsia="楷体" w:cs="楷体"/>
          <w:b/>
          <w:color w:val="auto"/>
          <w:sz w:val="44"/>
          <w:szCs w:val="44"/>
          <w:highlight w:val="none"/>
        </w:rPr>
      </w:pPr>
      <w:r>
        <w:rPr>
          <w:rFonts w:hint="eastAsia" w:ascii="楷体" w:hAnsi="楷体" w:eastAsia="楷体" w:cs="楷体"/>
          <w:b/>
          <w:color w:val="auto"/>
          <w:sz w:val="44"/>
          <w:szCs w:val="44"/>
          <w:highlight w:val="none"/>
        </w:rPr>
        <w:t>盐城工业职业技术学院铁军文化苑设计施工一体化项目</w:t>
      </w:r>
    </w:p>
    <w:p>
      <w:pPr>
        <w:spacing w:line="480" w:lineRule="auto"/>
        <w:rPr>
          <w:rFonts w:ascii="楷体" w:hAnsi="楷体" w:eastAsia="楷体" w:cs="楷体"/>
          <w:color w:val="auto"/>
          <w:sz w:val="24"/>
          <w:highlight w:val="none"/>
        </w:rPr>
      </w:pPr>
    </w:p>
    <w:p>
      <w:pPr>
        <w:spacing w:line="480" w:lineRule="auto"/>
        <w:rPr>
          <w:rFonts w:ascii="楷体" w:hAnsi="楷体" w:eastAsia="楷体" w:cs="楷体"/>
          <w:color w:val="auto"/>
          <w:sz w:val="24"/>
          <w:highlight w:val="none"/>
        </w:rPr>
      </w:pPr>
    </w:p>
    <w:p>
      <w:pPr>
        <w:spacing w:line="480" w:lineRule="auto"/>
        <w:jc w:val="center"/>
        <w:rPr>
          <w:rFonts w:ascii="楷体" w:hAnsi="楷体" w:eastAsia="楷体" w:cs="楷体"/>
          <w:b/>
          <w:color w:val="auto"/>
          <w:sz w:val="84"/>
          <w:szCs w:val="84"/>
          <w:highlight w:val="none"/>
        </w:rPr>
      </w:pPr>
      <w:r>
        <w:rPr>
          <w:rFonts w:hint="eastAsia" w:ascii="楷体" w:hAnsi="楷体" w:eastAsia="楷体" w:cs="楷体"/>
          <w:b/>
          <w:color w:val="auto"/>
          <w:sz w:val="84"/>
          <w:szCs w:val="84"/>
          <w:highlight w:val="none"/>
        </w:rPr>
        <w:t>招 标 文 件</w:t>
      </w:r>
    </w:p>
    <w:p>
      <w:pPr>
        <w:jc w:val="center"/>
        <w:rPr>
          <w:rFonts w:ascii="楷体" w:hAnsi="楷体" w:eastAsia="楷体" w:cs="楷体"/>
          <w:b/>
          <w:color w:val="auto"/>
          <w:sz w:val="72"/>
          <w:szCs w:val="72"/>
          <w:highlight w:val="none"/>
        </w:rPr>
      </w:pPr>
    </w:p>
    <w:p>
      <w:pPr>
        <w:jc w:val="center"/>
        <w:rPr>
          <w:rFonts w:hint="default" w:ascii="楷体" w:hAnsi="楷体" w:eastAsia="楷体" w:cs="楷体"/>
          <w:b/>
          <w:color w:val="auto"/>
          <w:sz w:val="30"/>
          <w:szCs w:val="30"/>
          <w:highlight w:val="none"/>
          <w:lang w:val="en-US" w:eastAsia="zh-CN"/>
        </w:rPr>
      </w:pPr>
      <w:r>
        <w:rPr>
          <w:rFonts w:hint="eastAsia" w:ascii="楷体" w:hAnsi="楷体" w:eastAsia="楷体" w:cs="楷体"/>
          <w:b/>
          <w:color w:val="auto"/>
          <w:sz w:val="30"/>
          <w:szCs w:val="30"/>
          <w:highlight w:val="none"/>
        </w:rPr>
        <w:t>项目编号：2020-049S</w:t>
      </w:r>
      <w:r>
        <w:rPr>
          <w:rFonts w:hint="eastAsia" w:ascii="楷体" w:hAnsi="楷体" w:eastAsia="楷体" w:cs="楷体"/>
          <w:b/>
          <w:color w:val="auto"/>
          <w:sz w:val="30"/>
          <w:szCs w:val="30"/>
          <w:highlight w:val="none"/>
          <w:lang w:val="en-US" w:eastAsia="zh-CN"/>
        </w:rPr>
        <w:t>-01</w:t>
      </w:r>
    </w:p>
    <w:p>
      <w:pPr>
        <w:spacing w:line="500" w:lineRule="exact"/>
        <w:rPr>
          <w:rFonts w:ascii="楷体" w:hAnsi="楷体" w:eastAsia="楷体" w:cs="楷体"/>
          <w:color w:val="auto"/>
          <w:highlight w:val="none"/>
        </w:rPr>
      </w:pPr>
    </w:p>
    <w:p>
      <w:pPr>
        <w:spacing w:line="500" w:lineRule="exact"/>
        <w:rPr>
          <w:rFonts w:ascii="楷体" w:hAnsi="楷体" w:eastAsia="楷体" w:cs="楷体"/>
          <w:color w:val="auto"/>
          <w:highlight w:val="none"/>
        </w:rPr>
      </w:pPr>
    </w:p>
    <w:p>
      <w:pPr>
        <w:spacing w:line="500" w:lineRule="exact"/>
        <w:rPr>
          <w:rFonts w:ascii="楷体" w:hAnsi="楷体" w:eastAsia="楷体" w:cs="楷体"/>
          <w:color w:val="auto"/>
          <w:highlight w:val="none"/>
        </w:rPr>
      </w:pPr>
    </w:p>
    <w:p>
      <w:pPr>
        <w:spacing w:line="500" w:lineRule="exact"/>
        <w:rPr>
          <w:rFonts w:ascii="楷体" w:hAnsi="楷体" w:eastAsia="楷体" w:cs="楷体"/>
          <w:color w:val="auto"/>
          <w:highlight w:val="none"/>
        </w:rPr>
      </w:pPr>
    </w:p>
    <w:p>
      <w:pPr>
        <w:spacing w:line="500" w:lineRule="exact"/>
        <w:rPr>
          <w:rFonts w:ascii="楷体" w:hAnsi="楷体" w:eastAsia="楷体" w:cs="楷体"/>
          <w:color w:val="auto"/>
          <w:highlight w:val="none"/>
        </w:rPr>
      </w:pPr>
    </w:p>
    <w:p>
      <w:pPr>
        <w:spacing w:line="500" w:lineRule="exact"/>
        <w:rPr>
          <w:rFonts w:ascii="楷体" w:hAnsi="楷体" w:eastAsia="楷体" w:cs="楷体"/>
          <w:color w:val="auto"/>
          <w:highlight w:val="none"/>
        </w:rPr>
      </w:pPr>
    </w:p>
    <w:p>
      <w:pPr>
        <w:spacing w:line="500" w:lineRule="exact"/>
        <w:rPr>
          <w:rFonts w:ascii="楷体" w:hAnsi="楷体" w:eastAsia="楷体" w:cs="楷体"/>
          <w:color w:val="auto"/>
          <w:highlight w:val="none"/>
        </w:rPr>
      </w:pPr>
    </w:p>
    <w:p>
      <w:pPr>
        <w:spacing w:line="500" w:lineRule="exact"/>
        <w:rPr>
          <w:rFonts w:ascii="楷体" w:hAnsi="楷体" w:eastAsia="楷体" w:cs="楷体"/>
          <w:color w:val="auto"/>
          <w:highlight w:val="none"/>
        </w:rPr>
      </w:pPr>
    </w:p>
    <w:p>
      <w:pPr>
        <w:spacing w:line="500" w:lineRule="exact"/>
        <w:rPr>
          <w:rFonts w:ascii="楷体" w:hAnsi="楷体" w:eastAsia="楷体" w:cs="楷体"/>
          <w:color w:val="auto"/>
          <w:highlight w:val="none"/>
        </w:rPr>
      </w:pPr>
    </w:p>
    <w:p>
      <w:pPr>
        <w:jc w:val="center"/>
        <w:rPr>
          <w:rFonts w:ascii="楷体" w:hAnsi="楷体" w:eastAsia="楷体" w:cs="楷体"/>
          <w:bCs/>
          <w:color w:val="auto"/>
          <w:sz w:val="36"/>
          <w:szCs w:val="36"/>
          <w:highlight w:val="none"/>
        </w:rPr>
      </w:pPr>
      <w:r>
        <w:rPr>
          <w:rFonts w:hint="eastAsia" w:ascii="楷体" w:hAnsi="楷体" w:eastAsia="楷体" w:cs="楷体"/>
          <w:bCs/>
          <w:color w:val="auto"/>
          <w:sz w:val="36"/>
          <w:szCs w:val="36"/>
          <w:highlight w:val="none"/>
        </w:rPr>
        <w:t>盐城工业职业技术学院</w:t>
      </w:r>
    </w:p>
    <w:p>
      <w:pPr>
        <w:jc w:val="center"/>
        <w:rPr>
          <w:rFonts w:ascii="楷体" w:hAnsi="楷体" w:eastAsia="楷体" w:cs="楷体"/>
          <w:color w:val="auto"/>
          <w:sz w:val="36"/>
          <w:szCs w:val="36"/>
          <w:highlight w:val="none"/>
        </w:rPr>
      </w:pPr>
      <w:r>
        <w:rPr>
          <w:rFonts w:hint="eastAsia" w:ascii="楷体" w:hAnsi="楷体" w:eastAsia="楷体" w:cs="楷体"/>
          <w:color w:val="auto"/>
          <w:sz w:val="36"/>
          <w:szCs w:val="36"/>
          <w:highlight w:val="none"/>
        </w:rPr>
        <w:t>江苏双清工程造价咨询有限公司</w:t>
      </w:r>
    </w:p>
    <w:p>
      <w:pPr>
        <w:jc w:val="center"/>
        <w:rPr>
          <w:rFonts w:ascii="楷体" w:hAnsi="楷体" w:eastAsia="楷体" w:cs="楷体"/>
          <w:color w:val="auto"/>
          <w:sz w:val="36"/>
          <w:szCs w:val="36"/>
          <w:highlight w:val="none"/>
        </w:rPr>
      </w:pPr>
      <w:r>
        <w:rPr>
          <w:rFonts w:hint="eastAsia" w:ascii="楷体" w:hAnsi="楷体" w:eastAsia="楷体" w:cs="楷体"/>
          <w:color w:val="auto"/>
          <w:sz w:val="36"/>
          <w:szCs w:val="36"/>
          <w:highlight w:val="none"/>
        </w:rPr>
        <w:t>2020年10月</w:t>
      </w:r>
      <w:r>
        <w:rPr>
          <w:rFonts w:hint="eastAsia" w:ascii="楷体" w:hAnsi="楷体" w:eastAsia="楷体" w:cs="楷体"/>
          <w:color w:val="auto"/>
          <w:sz w:val="36"/>
          <w:szCs w:val="36"/>
          <w:highlight w:val="none"/>
          <w:lang w:val="en-US" w:eastAsia="zh-CN"/>
        </w:rPr>
        <w:t>30</w:t>
      </w:r>
      <w:r>
        <w:rPr>
          <w:rFonts w:hint="eastAsia" w:ascii="楷体" w:hAnsi="楷体" w:eastAsia="楷体" w:cs="楷体"/>
          <w:color w:val="auto"/>
          <w:sz w:val="36"/>
          <w:szCs w:val="36"/>
          <w:highlight w:val="none"/>
        </w:rPr>
        <w:t>日</w:t>
      </w:r>
    </w:p>
    <w:p>
      <w:pPr>
        <w:spacing w:line="400" w:lineRule="exact"/>
        <w:rPr>
          <w:rFonts w:ascii="楷体" w:hAnsi="楷体" w:eastAsia="楷体" w:cs="楷体"/>
          <w:color w:val="auto"/>
          <w:sz w:val="24"/>
          <w:highlight w:val="none"/>
        </w:rPr>
      </w:pPr>
    </w:p>
    <w:p>
      <w:pPr>
        <w:jc w:val="center"/>
        <w:rPr>
          <w:rFonts w:ascii="楷体" w:hAnsi="楷体" w:eastAsia="楷体" w:cs="楷体"/>
          <w:b/>
          <w:bCs/>
          <w:color w:val="auto"/>
          <w:sz w:val="44"/>
          <w:highlight w:val="none"/>
        </w:rPr>
      </w:pPr>
      <w:r>
        <w:rPr>
          <w:rFonts w:hint="eastAsia" w:ascii="楷体" w:hAnsi="楷体" w:eastAsia="楷体" w:cs="楷体"/>
          <w:color w:val="auto"/>
          <w:sz w:val="24"/>
          <w:highlight w:val="none"/>
        </w:rPr>
        <w:br w:type="page"/>
      </w:r>
      <w:r>
        <w:rPr>
          <w:rFonts w:hint="eastAsia" w:ascii="楷体" w:hAnsi="楷体" w:eastAsia="楷体" w:cs="楷体"/>
          <w:b/>
          <w:color w:val="auto"/>
          <w:sz w:val="44"/>
          <w:szCs w:val="44"/>
          <w:highlight w:val="none"/>
        </w:rPr>
        <w:t>第一部分  投标须知</w:t>
      </w:r>
    </w:p>
    <w:p>
      <w:pPr>
        <w:spacing w:line="500" w:lineRule="exact"/>
        <w:jc w:val="center"/>
        <w:rPr>
          <w:rFonts w:ascii="楷体" w:hAnsi="楷体" w:eastAsia="楷体" w:cs="楷体"/>
          <w:b/>
          <w:color w:val="auto"/>
          <w:sz w:val="28"/>
          <w:szCs w:val="28"/>
          <w:highlight w:val="none"/>
        </w:rPr>
      </w:pPr>
      <w:r>
        <w:rPr>
          <w:rFonts w:hint="eastAsia" w:ascii="楷体" w:hAnsi="楷体" w:eastAsia="楷体" w:cs="楷体"/>
          <w:b/>
          <w:color w:val="auto"/>
          <w:sz w:val="28"/>
          <w:szCs w:val="28"/>
          <w:highlight w:val="none"/>
        </w:rPr>
        <w:t>前 附 表</w:t>
      </w:r>
    </w:p>
    <w:tbl>
      <w:tblPr>
        <w:tblStyle w:val="20"/>
        <w:tblW w:w="928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15"/>
        <w:gridCol w:w="866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615" w:type="dxa"/>
            <w:tcBorders>
              <w:top w:val="single" w:color="auto" w:sz="8" w:space="0"/>
              <w:left w:val="single" w:color="auto" w:sz="8" w:space="0"/>
              <w:bottom w:val="single" w:color="auto" w:sz="4" w:space="0"/>
              <w:right w:val="single" w:color="auto" w:sz="4" w:space="0"/>
            </w:tcBorders>
            <w:vAlign w:val="center"/>
          </w:tcPr>
          <w:p>
            <w:pPr>
              <w:pStyle w:val="10"/>
              <w:adjustRightInd w:val="0"/>
              <w:snapToGrid w:val="0"/>
              <w:spacing w:line="320" w:lineRule="exact"/>
              <w:jc w:val="center"/>
              <w:rPr>
                <w:rFonts w:ascii="楷体" w:hAnsi="楷体" w:eastAsia="楷体" w:cs="楷体"/>
                <w:color w:val="auto"/>
                <w:kern w:val="2"/>
                <w:sz w:val="24"/>
                <w:highlight w:val="none"/>
              </w:rPr>
            </w:pPr>
            <w:r>
              <w:rPr>
                <w:rFonts w:hint="eastAsia" w:ascii="楷体" w:hAnsi="楷体" w:eastAsia="楷体" w:cs="楷体"/>
                <w:color w:val="auto"/>
                <w:kern w:val="2"/>
                <w:sz w:val="24"/>
                <w:highlight w:val="none"/>
              </w:rPr>
              <w:t>序号</w:t>
            </w:r>
          </w:p>
        </w:tc>
        <w:tc>
          <w:tcPr>
            <w:tcW w:w="8666" w:type="dxa"/>
            <w:tcBorders>
              <w:top w:val="single" w:color="auto" w:sz="8" w:space="0"/>
              <w:left w:val="single" w:color="auto" w:sz="4" w:space="0"/>
              <w:bottom w:val="single" w:color="auto" w:sz="4" w:space="0"/>
              <w:right w:val="single" w:color="auto" w:sz="8" w:space="0"/>
            </w:tcBorders>
            <w:vAlign w:val="center"/>
          </w:tcPr>
          <w:p>
            <w:pPr>
              <w:pStyle w:val="10"/>
              <w:adjustRightInd w:val="0"/>
              <w:snapToGrid w:val="0"/>
              <w:spacing w:line="320" w:lineRule="exact"/>
              <w:jc w:val="center"/>
              <w:rPr>
                <w:rFonts w:ascii="楷体" w:hAnsi="楷体" w:eastAsia="楷体" w:cs="楷体"/>
                <w:color w:val="auto"/>
                <w:kern w:val="2"/>
                <w:sz w:val="24"/>
                <w:highlight w:val="none"/>
              </w:rPr>
            </w:pPr>
            <w:r>
              <w:rPr>
                <w:rFonts w:hint="eastAsia" w:ascii="楷体" w:hAnsi="楷体" w:eastAsia="楷体" w:cs="楷体"/>
                <w:color w:val="auto"/>
                <w:kern w:val="2"/>
                <w:sz w:val="24"/>
                <w:highlight w:val="none"/>
              </w:rPr>
              <w:t>招      标      概      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90" w:hRule="atLeast"/>
          <w:jc w:val="center"/>
        </w:trPr>
        <w:tc>
          <w:tcPr>
            <w:tcW w:w="615" w:type="dxa"/>
            <w:tcBorders>
              <w:top w:val="single" w:color="auto" w:sz="4" w:space="0"/>
              <w:left w:val="single" w:color="auto" w:sz="8" w:space="0"/>
              <w:bottom w:val="single" w:color="auto" w:sz="4" w:space="0"/>
              <w:right w:val="single" w:color="auto" w:sz="4" w:space="0"/>
            </w:tcBorders>
            <w:vAlign w:val="center"/>
          </w:tcPr>
          <w:p>
            <w:pPr>
              <w:pStyle w:val="10"/>
              <w:adjustRightInd w:val="0"/>
              <w:snapToGrid w:val="0"/>
              <w:spacing w:line="320" w:lineRule="exact"/>
              <w:jc w:val="center"/>
              <w:rPr>
                <w:rFonts w:ascii="楷体" w:hAnsi="楷体" w:eastAsia="楷体" w:cs="楷体"/>
                <w:color w:val="auto"/>
                <w:kern w:val="2"/>
                <w:sz w:val="24"/>
                <w:highlight w:val="none"/>
              </w:rPr>
            </w:pPr>
            <w:r>
              <w:rPr>
                <w:rFonts w:hint="eastAsia" w:ascii="楷体" w:hAnsi="楷体" w:eastAsia="楷体" w:cs="楷体"/>
                <w:color w:val="auto"/>
                <w:kern w:val="2"/>
                <w:sz w:val="24"/>
                <w:highlight w:val="none"/>
              </w:rPr>
              <w:t>1</w:t>
            </w:r>
          </w:p>
        </w:tc>
        <w:tc>
          <w:tcPr>
            <w:tcW w:w="8666" w:type="dxa"/>
            <w:tcBorders>
              <w:top w:val="single" w:color="auto" w:sz="4" w:space="0"/>
              <w:left w:val="single" w:color="auto" w:sz="4" w:space="0"/>
              <w:bottom w:val="single" w:color="auto" w:sz="4" w:space="0"/>
              <w:right w:val="single" w:color="auto" w:sz="8" w:space="0"/>
            </w:tcBorders>
            <w:vAlign w:val="center"/>
          </w:tcPr>
          <w:p>
            <w:pPr>
              <w:spacing w:line="300" w:lineRule="exact"/>
              <w:rPr>
                <w:rFonts w:ascii="楷体" w:hAnsi="楷体" w:eastAsia="楷体" w:cs="楷体"/>
                <w:color w:val="auto"/>
                <w:sz w:val="24"/>
                <w:highlight w:val="none"/>
              </w:rPr>
            </w:pPr>
            <w:r>
              <w:rPr>
                <w:rFonts w:hint="eastAsia" w:ascii="楷体" w:hAnsi="楷体" w:eastAsia="楷体" w:cs="楷体"/>
                <w:b/>
                <w:bCs/>
                <w:color w:val="auto"/>
                <w:sz w:val="24"/>
                <w:highlight w:val="none"/>
              </w:rPr>
              <w:t>工程名称：</w:t>
            </w:r>
            <w:r>
              <w:rPr>
                <w:rFonts w:hint="eastAsia" w:ascii="楷体" w:hAnsi="楷体" w:eastAsia="楷体" w:cs="楷体"/>
                <w:color w:val="auto"/>
                <w:sz w:val="24"/>
                <w:highlight w:val="none"/>
              </w:rPr>
              <w:t>盐城工业职业技术学院铁军文化苑设计施工一体化项目　　　　　</w:t>
            </w:r>
          </w:p>
          <w:p>
            <w:pPr>
              <w:spacing w:line="300" w:lineRule="exact"/>
              <w:rPr>
                <w:rFonts w:ascii="楷体" w:hAnsi="楷体" w:eastAsia="楷体" w:cs="楷体"/>
                <w:color w:val="auto"/>
                <w:sz w:val="24"/>
                <w:highlight w:val="none"/>
              </w:rPr>
            </w:pPr>
            <w:r>
              <w:rPr>
                <w:rFonts w:hint="eastAsia" w:ascii="楷体" w:hAnsi="楷体" w:eastAsia="楷体" w:cs="楷体"/>
                <w:b/>
                <w:bCs/>
                <w:color w:val="auto"/>
                <w:sz w:val="24"/>
                <w:highlight w:val="none"/>
              </w:rPr>
              <w:t>招标人名称：</w:t>
            </w:r>
            <w:r>
              <w:rPr>
                <w:rFonts w:hint="eastAsia" w:ascii="楷体" w:hAnsi="楷体" w:eastAsia="楷体" w:cs="楷体"/>
                <w:color w:val="auto"/>
                <w:sz w:val="24"/>
                <w:highlight w:val="none"/>
              </w:rPr>
              <w:t>盐城工业职业技术学院</w:t>
            </w:r>
          </w:p>
          <w:p>
            <w:pPr>
              <w:spacing w:line="300" w:lineRule="exact"/>
              <w:rPr>
                <w:rFonts w:ascii="楷体" w:hAnsi="楷体" w:eastAsia="楷体" w:cs="楷体"/>
                <w:color w:val="auto"/>
                <w:sz w:val="24"/>
                <w:highlight w:val="none"/>
              </w:rPr>
            </w:pPr>
            <w:r>
              <w:rPr>
                <w:rFonts w:hint="eastAsia" w:ascii="楷体" w:hAnsi="楷体" w:eastAsia="楷体" w:cs="楷体"/>
                <w:b/>
                <w:bCs/>
                <w:color w:val="auto"/>
                <w:sz w:val="24"/>
                <w:highlight w:val="none"/>
              </w:rPr>
              <w:t>招标范围及标段划分：</w:t>
            </w:r>
            <w:r>
              <w:rPr>
                <w:rFonts w:hint="eastAsia" w:ascii="楷体" w:hAnsi="楷体" w:eastAsia="楷体" w:cs="楷体"/>
                <w:color w:val="auto"/>
                <w:sz w:val="24"/>
                <w:highlight w:val="none"/>
              </w:rPr>
              <w:t>本次招标共为1个标段，招标范围主要为盐城工业职业技术学院铁军文化苑设计施工一体化项目,包括项目交付使用前全部设计和施工内容，直至竣工验收合格整体移交、后期培训及缺陷责任期内的保修等设计施工一体化项目的全部工作,招标人保留进行调整的权利。具体详见设计任务书。</w:t>
            </w:r>
          </w:p>
          <w:p>
            <w:pPr>
              <w:spacing w:line="300" w:lineRule="exact"/>
              <w:rPr>
                <w:rFonts w:ascii="楷体" w:hAnsi="楷体" w:eastAsia="楷体" w:cs="楷体"/>
                <w:color w:val="auto"/>
                <w:sz w:val="24"/>
                <w:highlight w:val="none"/>
              </w:rPr>
            </w:pPr>
            <w:r>
              <w:rPr>
                <w:rFonts w:hint="eastAsia" w:ascii="楷体" w:hAnsi="楷体" w:eastAsia="楷体" w:cs="楷体"/>
                <w:color w:val="auto"/>
                <w:sz w:val="24"/>
                <w:highlight w:val="none"/>
              </w:rPr>
              <w:t>设计内容主要包含盐城工业职业技术学院铁军文化苑设计施工一体化项目范围内的方案设计、方案深化设计、施工图设计，主要包括但不限于雕塑、布展（含美工、展品展项、装饰及改造等）、设备部分（包括智能化、电气、给排水、消防、通风、多媒体、声光电声光电等。多媒体软硬件及影片制作部分至少包含拼接屏、液晶屏等）、软体部分（包括功能和展区布局、展示主题、展品内容、展示方式和手段、各展区效果图、数字及智能化系统运用等）、现场技术服务与指导等与设计相关的所有工作，以及在工程实施过程中工程规模的调整及各种变更均属本设计范围。</w:t>
            </w:r>
          </w:p>
          <w:p>
            <w:pPr>
              <w:spacing w:line="300" w:lineRule="exact"/>
              <w:rPr>
                <w:rFonts w:ascii="楷体" w:hAnsi="楷体" w:eastAsia="楷体" w:cs="楷体"/>
                <w:color w:val="auto"/>
                <w:sz w:val="24"/>
                <w:highlight w:val="none"/>
              </w:rPr>
            </w:pPr>
            <w:r>
              <w:rPr>
                <w:rFonts w:hint="eastAsia" w:ascii="楷体" w:hAnsi="楷体" w:eastAsia="楷体" w:cs="楷体"/>
                <w:color w:val="auto"/>
                <w:sz w:val="24"/>
                <w:highlight w:val="none"/>
              </w:rPr>
              <w:t>施工内容主要包含但不限于原创业一条街门店内外墙板更换为防火彩钢板，雕塑、图片的采集及修复、布展（含展品展项、装饰及改造等）、设备部分（包括智能化、电气、给排水、消防、通风、多媒体、声光电等）、软体部分等一切与项目相关的所有施工内容。</w:t>
            </w:r>
          </w:p>
          <w:p>
            <w:pPr>
              <w:spacing w:line="300" w:lineRule="exact"/>
              <w:rPr>
                <w:rFonts w:ascii="楷体" w:hAnsi="楷体" w:eastAsia="楷体" w:cs="楷体"/>
                <w:color w:val="auto"/>
                <w:sz w:val="24"/>
                <w:highlight w:val="none"/>
              </w:rPr>
            </w:pPr>
            <w:r>
              <w:rPr>
                <w:rFonts w:hint="eastAsia" w:ascii="楷体" w:hAnsi="楷体" w:eastAsia="楷体" w:cs="楷体"/>
                <w:color w:val="auto"/>
                <w:sz w:val="24"/>
                <w:highlight w:val="none"/>
              </w:rPr>
              <w:t>本项目招标内容主要为包设计、包工、包料、包工期、包质量、包安全、包文明施工、包交付、包工程竣工验收备案、包整体移交（含档案移交）及竣工验收合格及缺陷责任期内的保修。</w:t>
            </w:r>
          </w:p>
          <w:p>
            <w:pPr>
              <w:spacing w:line="300" w:lineRule="exact"/>
              <w:rPr>
                <w:rFonts w:ascii="楷体" w:hAnsi="楷体" w:eastAsia="楷体" w:cs="楷体"/>
                <w:color w:val="auto"/>
                <w:sz w:val="24"/>
                <w:highlight w:val="none"/>
              </w:rPr>
            </w:pPr>
            <w:r>
              <w:rPr>
                <w:rFonts w:hint="eastAsia" w:ascii="楷体" w:hAnsi="楷体" w:eastAsia="楷体" w:cs="楷体"/>
                <w:b/>
                <w:bCs/>
                <w:color w:val="auto"/>
                <w:sz w:val="24"/>
                <w:highlight w:val="none"/>
              </w:rPr>
              <w:t>质量标准：</w:t>
            </w:r>
            <w:r>
              <w:rPr>
                <w:rFonts w:hint="eastAsia" w:ascii="楷体" w:hAnsi="楷体" w:eastAsia="楷体" w:cs="楷体"/>
                <w:color w:val="auto"/>
                <w:sz w:val="24"/>
                <w:highlight w:val="none"/>
              </w:rPr>
              <w:t xml:space="preserve">合同约定的标准、设计图纸、设计文件中的技术数据和技术条件是工程材料设备采购、施工质量及竣工验收质量的依据。所有工程设计、采购和施工及双方约定的其他内容，须达到功能需求。 </w:t>
            </w:r>
          </w:p>
          <w:p>
            <w:pPr>
              <w:spacing w:line="300" w:lineRule="exact"/>
              <w:rPr>
                <w:rFonts w:ascii="楷体" w:hAnsi="楷体" w:eastAsia="楷体" w:cs="楷体"/>
                <w:color w:val="auto"/>
                <w:sz w:val="24"/>
                <w:highlight w:val="none"/>
              </w:rPr>
            </w:pPr>
            <w:r>
              <w:rPr>
                <w:rFonts w:hint="eastAsia" w:ascii="楷体" w:hAnsi="楷体" w:eastAsia="楷体" w:cs="楷体"/>
                <w:color w:val="auto"/>
                <w:sz w:val="24"/>
                <w:highlight w:val="none"/>
              </w:rPr>
              <w:t xml:space="preserve">（1）设计质量标准：所有工程设计须符合现行国家、行业、地方的相关设计规范、标准、规定等要求，确保通过施工图审查（包括各专项审查），设计单位负责施工图送审、对接及配合并按要求进行修改。 </w:t>
            </w:r>
          </w:p>
          <w:p>
            <w:pPr>
              <w:spacing w:line="300" w:lineRule="exact"/>
              <w:rPr>
                <w:rFonts w:ascii="楷体" w:hAnsi="楷体" w:eastAsia="楷体" w:cs="楷体"/>
                <w:color w:val="auto"/>
                <w:sz w:val="24"/>
                <w:highlight w:val="none"/>
              </w:rPr>
            </w:pPr>
            <w:r>
              <w:rPr>
                <w:rFonts w:hint="eastAsia" w:ascii="楷体" w:hAnsi="楷体" w:eastAsia="楷体" w:cs="楷体"/>
                <w:color w:val="auto"/>
                <w:sz w:val="24"/>
                <w:highlight w:val="none"/>
              </w:rPr>
              <w:t xml:space="preserve">（2）施工质量标准：符合现行国家施工及验收规范标准要求，符合国家“合格”标准。 </w:t>
            </w:r>
          </w:p>
          <w:p>
            <w:pPr>
              <w:spacing w:line="300" w:lineRule="exact"/>
              <w:rPr>
                <w:rFonts w:ascii="楷体" w:hAnsi="楷体" w:eastAsia="楷体" w:cs="楷体"/>
                <w:color w:val="auto"/>
                <w:sz w:val="24"/>
                <w:highlight w:val="none"/>
              </w:rPr>
            </w:pPr>
            <w:r>
              <w:rPr>
                <w:rFonts w:hint="eastAsia" w:ascii="楷体" w:hAnsi="楷体" w:eastAsia="楷体" w:cs="楷体"/>
                <w:b/>
                <w:bCs/>
                <w:color w:val="auto"/>
                <w:sz w:val="24"/>
                <w:highlight w:val="none"/>
              </w:rPr>
              <w:t>工期要求：</w:t>
            </w:r>
            <w:r>
              <w:rPr>
                <w:rFonts w:hint="eastAsia" w:ascii="楷体" w:hAnsi="楷体" w:eastAsia="楷体" w:cs="楷体"/>
                <w:color w:val="auto"/>
                <w:sz w:val="24"/>
                <w:highlight w:val="none"/>
              </w:rPr>
              <w:t>自甲方通知开工之日起30日历天（包含设计、施工等全过程工期）内全部通过竣工验收合格并交付使用。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15" w:type="dxa"/>
            <w:tcBorders>
              <w:top w:val="single" w:color="auto" w:sz="4" w:space="0"/>
              <w:left w:val="single" w:color="auto" w:sz="8" w:space="0"/>
              <w:bottom w:val="single" w:color="auto" w:sz="4" w:space="0"/>
              <w:right w:val="single" w:color="auto" w:sz="4" w:space="0"/>
            </w:tcBorders>
            <w:vAlign w:val="center"/>
          </w:tcPr>
          <w:p>
            <w:pPr>
              <w:pStyle w:val="34"/>
              <w:adjustRightInd w:val="0"/>
              <w:snapToGrid w:val="0"/>
              <w:spacing w:line="320" w:lineRule="exact"/>
              <w:jc w:val="center"/>
              <w:rPr>
                <w:rFonts w:ascii="楷体" w:hAnsi="楷体" w:eastAsia="楷体" w:cs="楷体"/>
                <w:color w:val="auto"/>
                <w:sz w:val="24"/>
                <w:highlight w:val="none"/>
              </w:rPr>
            </w:pPr>
            <w:r>
              <w:rPr>
                <w:rFonts w:hint="eastAsia" w:ascii="楷体" w:hAnsi="楷体" w:eastAsia="楷体" w:cs="楷体"/>
                <w:color w:val="auto"/>
                <w:sz w:val="24"/>
                <w:highlight w:val="none"/>
              </w:rPr>
              <w:t>2</w:t>
            </w:r>
          </w:p>
        </w:tc>
        <w:tc>
          <w:tcPr>
            <w:tcW w:w="8666" w:type="dxa"/>
            <w:tcBorders>
              <w:top w:val="single" w:color="auto" w:sz="4" w:space="0"/>
              <w:left w:val="single" w:color="auto" w:sz="4" w:space="0"/>
              <w:bottom w:val="single" w:color="auto" w:sz="4" w:space="0"/>
              <w:right w:val="single" w:color="auto" w:sz="8" w:space="0"/>
            </w:tcBorders>
            <w:vAlign w:val="center"/>
          </w:tcPr>
          <w:p>
            <w:pPr>
              <w:spacing w:line="300" w:lineRule="exact"/>
              <w:outlineLvl w:val="1"/>
              <w:rPr>
                <w:rFonts w:ascii="楷体" w:hAnsi="楷体" w:eastAsia="楷体" w:cs="楷体"/>
                <w:color w:val="auto"/>
                <w:sz w:val="24"/>
                <w:highlight w:val="none"/>
              </w:rPr>
            </w:pPr>
            <w:r>
              <w:rPr>
                <w:rFonts w:hint="eastAsia" w:ascii="楷体" w:hAnsi="楷体" w:eastAsia="楷体" w:cs="楷体"/>
                <w:color w:val="auto"/>
                <w:sz w:val="24"/>
                <w:highlight w:val="none"/>
              </w:rPr>
              <w:t>本次招标收取保证金。本工程投标保证金金额为人民币</w:t>
            </w:r>
            <w:r>
              <w:rPr>
                <w:rFonts w:hint="eastAsia" w:ascii="楷体" w:hAnsi="楷体" w:eastAsia="楷体" w:cs="楷体"/>
                <w:color w:val="auto"/>
                <w:sz w:val="24"/>
                <w:highlight w:val="none"/>
                <w:u w:val="single"/>
              </w:rPr>
              <w:t>壹万元整</w:t>
            </w:r>
            <w:r>
              <w:rPr>
                <w:rFonts w:hint="eastAsia" w:ascii="楷体" w:hAnsi="楷体" w:eastAsia="楷体" w:cs="楷体"/>
                <w:color w:val="auto"/>
                <w:sz w:val="24"/>
                <w:highlight w:val="none"/>
              </w:rPr>
              <w:t>，投标保证金必须在投标文件接收截止时间前与投标文件一起送达投标文件接收地点（不要密封在响应文件中）。</w:t>
            </w:r>
          </w:p>
          <w:p>
            <w:pPr>
              <w:spacing w:line="300" w:lineRule="exact"/>
              <w:outlineLvl w:val="1"/>
              <w:rPr>
                <w:rFonts w:ascii="楷体" w:hAnsi="楷体" w:eastAsia="楷体" w:cs="楷体"/>
                <w:color w:val="auto"/>
                <w:sz w:val="24"/>
                <w:highlight w:val="none"/>
              </w:rPr>
            </w:pPr>
            <w:r>
              <w:rPr>
                <w:rFonts w:hint="eastAsia" w:ascii="楷体" w:hAnsi="楷体" w:eastAsia="楷体" w:cs="楷体"/>
                <w:b/>
                <w:color w:val="auto"/>
                <w:kern w:val="0"/>
                <w:sz w:val="24"/>
                <w:highlight w:val="none"/>
              </w:rPr>
              <w:t>投标保证金必须采用有效银行本票或银行汇票，不接受电汇、转账、现金、现金交款单、支票或其他形式的保证金。</w:t>
            </w:r>
            <w:r>
              <w:rPr>
                <w:rFonts w:hint="eastAsia" w:ascii="楷体" w:hAnsi="楷体" w:eastAsia="楷体" w:cs="楷体"/>
                <w:color w:val="auto"/>
                <w:kern w:val="0"/>
                <w:sz w:val="24"/>
                <w:highlight w:val="none"/>
              </w:rPr>
              <w:t>各投标人须在</w:t>
            </w:r>
            <w:r>
              <w:rPr>
                <w:rFonts w:hint="eastAsia" w:ascii="楷体" w:hAnsi="楷体" w:eastAsia="楷体" w:cs="楷体"/>
                <w:bCs/>
                <w:color w:val="auto"/>
                <w:sz w:val="24"/>
                <w:highlight w:val="none"/>
              </w:rPr>
              <w:t>投标文件接收截止时间</w:t>
            </w:r>
            <w:r>
              <w:rPr>
                <w:rFonts w:hint="eastAsia" w:ascii="楷体" w:hAnsi="楷体" w:eastAsia="楷体" w:cs="楷体"/>
                <w:color w:val="auto"/>
                <w:kern w:val="0"/>
                <w:sz w:val="24"/>
                <w:highlight w:val="none"/>
              </w:rPr>
              <w:t>前将投标保证金从投标人本单位的基本账户上汇出（不入账），以投标人汇出资金的银行日期为准，且保证金汇出单位必须与投标人名称一致，收款人名称：</w:t>
            </w:r>
            <w:r>
              <w:rPr>
                <w:rFonts w:hint="eastAsia" w:ascii="楷体" w:hAnsi="楷体" w:eastAsia="楷体" w:cs="楷体"/>
                <w:color w:val="auto"/>
                <w:sz w:val="24"/>
                <w:highlight w:val="none"/>
              </w:rPr>
              <w:t>江苏双清工程造价咨询有限公司，开户行：中国银行股份有限公司盐城分行，账号：51315820801</w:t>
            </w:r>
            <w:r>
              <w:rPr>
                <w:rFonts w:hint="eastAsia" w:ascii="楷体" w:hAnsi="楷体" w:eastAsia="楷体" w:cs="楷体"/>
                <w:color w:val="auto"/>
                <w:kern w:val="0"/>
                <w:sz w:val="24"/>
                <w:highlight w:val="none"/>
              </w:rPr>
              <w:t>。</w:t>
            </w:r>
            <w:r>
              <w:rPr>
                <w:rFonts w:hint="eastAsia" w:ascii="楷体" w:hAnsi="楷体" w:eastAsia="楷体" w:cs="楷体"/>
                <w:bCs/>
                <w:color w:val="auto"/>
                <w:sz w:val="24"/>
                <w:highlight w:val="none"/>
              </w:rPr>
              <w:t>投标文件接收截止时间前</w:t>
            </w:r>
            <w:r>
              <w:rPr>
                <w:rFonts w:hint="eastAsia" w:ascii="楷体" w:hAnsi="楷体" w:eastAsia="楷体" w:cs="楷体"/>
                <w:color w:val="auto"/>
                <w:kern w:val="0"/>
                <w:sz w:val="24"/>
                <w:highlight w:val="none"/>
              </w:rPr>
              <w:t>，各投标人将有效银行本票原件或银行汇票原件带至开标现场交工作人员核验，未按上述要求交纳投标保证金的，</w:t>
            </w:r>
            <w:r>
              <w:rPr>
                <w:rFonts w:hint="eastAsia" w:ascii="楷体" w:hAnsi="楷体" w:eastAsia="楷体" w:cs="楷体"/>
                <w:color w:val="auto"/>
                <w:sz w:val="24"/>
                <w:highlight w:val="none"/>
              </w:rPr>
              <w:t>将被视为非响应性投标而予以拒绝。</w:t>
            </w:r>
          </w:p>
          <w:p>
            <w:pPr>
              <w:spacing w:line="300" w:lineRule="exact"/>
              <w:outlineLvl w:val="1"/>
              <w:rPr>
                <w:rFonts w:ascii="楷体" w:hAnsi="楷体" w:eastAsia="楷体" w:cs="楷体"/>
                <w:color w:val="auto"/>
                <w:kern w:val="0"/>
                <w:sz w:val="24"/>
                <w:highlight w:val="none"/>
              </w:rPr>
            </w:pPr>
            <w:r>
              <w:rPr>
                <w:rFonts w:hint="eastAsia" w:ascii="楷体" w:hAnsi="楷体" w:eastAsia="楷体" w:cs="楷体"/>
                <w:color w:val="auto"/>
                <w:sz w:val="24"/>
                <w:highlight w:val="none"/>
              </w:rPr>
              <w:t>投标保证金退还方式：未中标人的投标保证金现场退还，中标人的投标保证金在签订合同并交纳招标代理服务费后，凭合同原件及交费凭证至招标代理机构财务部退还。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22" w:hRule="atLeast"/>
          <w:jc w:val="center"/>
        </w:trPr>
        <w:tc>
          <w:tcPr>
            <w:tcW w:w="615" w:type="dxa"/>
            <w:tcBorders>
              <w:top w:val="single" w:color="auto" w:sz="4" w:space="0"/>
              <w:left w:val="single" w:color="auto" w:sz="8" w:space="0"/>
              <w:bottom w:val="single" w:color="auto" w:sz="4" w:space="0"/>
              <w:right w:val="single" w:color="auto" w:sz="4" w:space="0"/>
            </w:tcBorders>
            <w:vAlign w:val="center"/>
          </w:tcPr>
          <w:p>
            <w:pPr>
              <w:pStyle w:val="34"/>
              <w:adjustRightInd w:val="0"/>
              <w:snapToGrid w:val="0"/>
              <w:spacing w:line="320" w:lineRule="exact"/>
              <w:jc w:val="center"/>
              <w:rPr>
                <w:rFonts w:ascii="楷体" w:hAnsi="楷体" w:eastAsia="楷体" w:cs="楷体"/>
                <w:color w:val="auto"/>
                <w:sz w:val="24"/>
                <w:highlight w:val="none"/>
              </w:rPr>
            </w:pPr>
            <w:r>
              <w:rPr>
                <w:rFonts w:hint="eastAsia" w:ascii="楷体" w:hAnsi="楷体" w:eastAsia="楷体" w:cs="楷体"/>
                <w:color w:val="auto"/>
                <w:sz w:val="24"/>
                <w:highlight w:val="none"/>
              </w:rPr>
              <w:t>3</w:t>
            </w:r>
          </w:p>
        </w:tc>
        <w:tc>
          <w:tcPr>
            <w:tcW w:w="8666" w:type="dxa"/>
            <w:tcBorders>
              <w:top w:val="single" w:color="auto" w:sz="4" w:space="0"/>
              <w:left w:val="single" w:color="auto" w:sz="4" w:space="0"/>
              <w:bottom w:val="single" w:color="auto" w:sz="4" w:space="0"/>
              <w:right w:val="single" w:color="auto" w:sz="8" w:space="0"/>
            </w:tcBorders>
            <w:vAlign w:val="center"/>
          </w:tcPr>
          <w:p>
            <w:pPr>
              <w:pStyle w:val="10"/>
              <w:adjustRightInd w:val="0"/>
              <w:snapToGrid w:val="0"/>
              <w:spacing w:line="300" w:lineRule="exact"/>
              <w:rPr>
                <w:rFonts w:ascii="楷体" w:hAnsi="楷体" w:eastAsia="楷体" w:cs="楷体"/>
                <w:color w:val="auto"/>
                <w:kern w:val="2"/>
                <w:sz w:val="24"/>
                <w:highlight w:val="none"/>
              </w:rPr>
            </w:pPr>
            <w:r>
              <w:rPr>
                <w:rFonts w:hint="eastAsia" w:ascii="楷体" w:hAnsi="楷体" w:eastAsia="楷体" w:cs="楷体"/>
                <w:color w:val="auto"/>
                <w:kern w:val="2"/>
                <w:sz w:val="24"/>
                <w:highlight w:val="none"/>
              </w:rPr>
              <w:t xml:space="preserve">递交疑问时间：投标文件接收截止时间10日前； </w:t>
            </w:r>
          </w:p>
          <w:p>
            <w:pPr>
              <w:pStyle w:val="10"/>
              <w:adjustRightInd w:val="0"/>
              <w:snapToGrid w:val="0"/>
              <w:spacing w:line="300" w:lineRule="exact"/>
              <w:rPr>
                <w:rFonts w:ascii="楷体" w:hAnsi="楷体" w:eastAsia="楷体" w:cs="楷体"/>
                <w:color w:val="auto"/>
                <w:kern w:val="2"/>
                <w:sz w:val="24"/>
                <w:highlight w:val="none"/>
              </w:rPr>
            </w:pPr>
            <w:r>
              <w:rPr>
                <w:rFonts w:hint="eastAsia" w:ascii="楷体" w:hAnsi="楷体" w:eastAsia="楷体" w:cs="楷体"/>
                <w:color w:val="auto"/>
                <w:kern w:val="2"/>
                <w:sz w:val="24"/>
                <w:highlight w:val="none"/>
              </w:rPr>
              <w:t>递交方式：发送电子邮件并电话告知，递交地址（邮箱）：</w:t>
            </w:r>
            <w:r>
              <w:rPr>
                <w:color w:val="auto"/>
                <w:highlight w:val="none"/>
              </w:rPr>
              <w:fldChar w:fldCharType="begin"/>
            </w:r>
            <w:r>
              <w:rPr>
                <w:color w:val="auto"/>
                <w:highlight w:val="none"/>
              </w:rPr>
              <w:instrText xml:space="preserve"> HYPERLINK "mailto:310920981@qq.com" </w:instrText>
            </w:r>
            <w:r>
              <w:rPr>
                <w:color w:val="auto"/>
                <w:highlight w:val="none"/>
              </w:rPr>
              <w:fldChar w:fldCharType="separate"/>
            </w:r>
            <w:r>
              <w:rPr>
                <w:rFonts w:hint="eastAsia" w:ascii="楷体" w:hAnsi="楷体" w:eastAsia="楷体" w:cs="楷体"/>
                <w:color w:val="auto"/>
                <w:kern w:val="2"/>
                <w:sz w:val="24"/>
                <w:highlight w:val="none"/>
              </w:rPr>
              <w:t>310920981@qq.com</w:t>
            </w:r>
            <w:r>
              <w:rPr>
                <w:rFonts w:hint="eastAsia" w:ascii="楷体" w:hAnsi="楷体" w:eastAsia="楷体" w:cs="楷体"/>
                <w:color w:val="auto"/>
                <w:kern w:val="2"/>
                <w:sz w:val="24"/>
                <w:highlight w:val="none"/>
              </w:rPr>
              <w:fldChar w:fldCharType="end"/>
            </w:r>
            <w:r>
              <w:rPr>
                <w:rFonts w:hint="eastAsia" w:ascii="楷体" w:hAnsi="楷体" w:eastAsia="楷体" w:cs="楷体"/>
                <w:color w:val="auto"/>
                <w:kern w:val="2"/>
                <w:sz w:val="24"/>
                <w:highlight w:val="none"/>
              </w:rPr>
              <w:t xml:space="preserve">。 </w:t>
            </w:r>
            <w:r>
              <w:rPr>
                <w:rFonts w:hint="eastAsia" w:ascii="楷体" w:hAnsi="楷体" w:eastAsia="楷体" w:cs="楷体"/>
                <w:bCs/>
                <w:color w:val="auto"/>
                <w:sz w:val="24"/>
                <w:highlight w:val="none"/>
              </w:rPr>
              <w:t xml:space="preserve"> </w:t>
            </w:r>
            <w:r>
              <w:rPr>
                <w:rFonts w:hint="eastAsia" w:ascii="楷体" w:hAnsi="楷体" w:eastAsia="楷体" w:cs="楷体"/>
                <w:color w:val="auto"/>
                <w:kern w:val="2"/>
                <w:sz w:val="24"/>
                <w:highlight w:val="none"/>
              </w:rPr>
              <w:t xml:space="preserve"> </w:t>
            </w:r>
          </w:p>
          <w:p>
            <w:pPr>
              <w:pStyle w:val="10"/>
              <w:adjustRightInd w:val="0"/>
              <w:snapToGrid w:val="0"/>
              <w:spacing w:line="300" w:lineRule="exact"/>
              <w:rPr>
                <w:rFonts w:ascii="楷体" w:hAnsi="楷体" w:eastAsia="楷体" w:cs="楷体"/>
                <w:color w:val="auto"/>
                <w:kern w:val="2"/>
                <w:sz w:val="24"/>
                <w:highlight w:val="none"/>
              </w:rPr>
            </w:pPr>
            <w:r>
              <w:rPr>
                <w:rFonts w:hint="eastAsia" w:ascii="楷体" w:hAnsi="楷体" w:eastAsia="楷体" w:cs="楷体"/>
                <w:color w:val="auto"/>
                <w:kern w:val="2"/>
                <w:sz w:val="24"/>
                <w:highlight w:val="none"/>
              </w:rPr>
              <w:t>投标人须及时登录</w:t>
            </w:r>
            <w:r>
              <w:rPr>
                <w:rFonts w:hint="eastAsia" w:ascii="楷体" w:hAnsi="楷体" w:eastAsia="楷体" w:cs="楷体"/>
                <w:bCs/>
                <w:color w:val="auto"/>
                <w:sz w:val="24"/>
                <w:highlight w:val="none"/>
              </w:rPr>
              <w:t>“盐城市政府采购网”和“盐城工业职业技术学院招标采购网”</w:t>
            </w:r>
            <w:r>
              <w:rPr>
                <w:rFonts w:hint="eastAsia" w:ascii="楷体" w:hAnsi="楷体" w:eastAsia="楷体" w:cs="楷体"/>
                <w:color w:val="auto"/>
                <w:kern w:val="2"/>
                <w:sz w:val="24"/>
                <w:highlight w:val="none"/>
              </w:rPr>
              <w:t>，查询招标答疑、补充通知、中标结果等相关内容，以上内容均在网上发布，不再另行通知。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8" w:hRule="atLeast"/>
          <w:jc w:val="center"/>
        </w:trPr>
        <w:tc>
          <w:tcPr>
            <w:tcW w:w="615" w:type="dxa"/>
            <w:tcBorders>
              <w:top w:val="single" w:color="auto" w:sz="4" w:space="0"/>
              <w:left w:val="single" w:color="auto" w:sz="8" w:space="0"/>
              <w:bottom w:val="single" w:color="auto" w:sz="4" w:space="0"/>
              <w:right w:val="single" w:color="auto" w:sz="4" w:space="0"/>
            </w:tcBorders>
            <w:vAlign w:val="center"/>
          </w:tcPr>
          <w:p>
            <w:pPr>
              <w:pStyle w:val="10"/>
              <w:adjustRightInd w:val="0"/>
              <w:snapToGrid w:val="0"/>
              <w:spacing w:line="320" w:lineRule="exact"/>
              <w:jc w:val="center"/>
              <w:rPr>
                <w:rFonts w:ascii="楷体" w:hAnsi="楷体" w:eastAsia="楷体" w:cs="楷体"/>
                <w:color w:val="auto"/>
                <w:kern w:val="2"/>
                <w:sz w:val="24"/>
                <w:highlight w:val="none"/>
              </w:rPr>
            </w:pPr>
            <w:r>
              <w:rPr>
                <w:rFonts w:hint="eastAsia" w:ascii="楷体" w:hAnsi="楷体" w:eastAsia="楷体" w:cs="楷体"/>
                <w:color w:val="auto"/>
                <w:kern w:val="2"/>
                <w:sz w:val="24"/>
                <w:highlight w:val="none"/>
              </w:rPr>
              <w:t>4</w:t>
            </w:r>
          </w:p>
        </w:tc>
        <w:tc>
          <w:tcPr>
            <w:tcW w:w="8666" w:type="dxa"/>
            <w:vAlign w:val="center"/>
          </w:tcPr>
          <w:p>
            <w:pPr>
              <w:pStyle w:val="10"/>
              <w:adjustRightInd w:val="0"/>
              <w:snapToGrid w:val="0"/>
              <w:spacing w:line="300" w:lineRule="exact"/>
              <w:rPr>
                <w:rFonts w:ascii="楷体" w:hAnsi="楷体" w:eastAsia="楷体" w:cs="楷体"/>
                <w:color w:val="auto"/>
                <w:kern w:val="2"/>
                <w:sz w:val="24"/>
                <w:highlight w:val="none"/>
              </w:rPr>
            </w:pPr>
            <w:r>
              <w:rPr>
                <w:rFonts w:hint="eastAsia" w:ascii="楷体" w:hAnsi="楷体" w:eastAsia="楷体" w:cs="楷体"/>
                <w:color w:val="auto"/>
                <w:kern w:val="2"/>
                <w:sz w:val="24"/>
                <w:highlight w:val="none"/>
              </w:rPr>
              <w:t>投标文件递交截止时间：</w:t>
            </w:r>
            <w:r>
              <w:rPr>
                <w:rFonts w:hint="eastAsia" w:ascii="楷体" w:hAnsi="楷体" w:eastAsia="楷体" w:cs="楷体"/>
                <w:color w:val="auto"/>
                <w:sz w:val="24"/>
                <w:highlight w:val="none"/>
                <w:u w:val="single"/>
              </w:rPr>
              <w:t>2020年</w:t>
            </w:r>
            <w:r>
              <w:rPr>
                <w:rFonts w:hint="eastAsia" w:ascii="楷体" w:hAnsi="楷体" w:eastAsia="楷体" w:cs="楷体"/>
                <w:color w:val="auto"/>
                <w:sz w:val="24"/>
                <w:highlight w:val="none"/>
                <w:u w:val="single"/>
                <w:lang w:val="en-US" w:eastAsia="zh-CN"/>
              </w:rPr>
              <w:t>11月20日15</w:t>
            </w:r>
            <w:r>
              <w:rPr>
                <w:rFonts w:hint="eastAsia" w:ascii="楷体" w:hAnsi="楷体" w:eastAsia="楷体" w:cs="楷体"/>
                <w:color w:val="auto"/>
                <w:sz w:val="24"/>
                <w:highlight w:val="none"/>
                <w:u w:val="single"/>
              </w:rPr>
              <w:t>：00时</w:t>
            </w:r>
            <w:r>
              <w:rPr>
                <w:rFonts w:hint="eastAsia" w:ascii="楷体" w:hAnsi="楷体" w:eastAsia="楷体" w:cs="楷体"/>
                <w:color w:val="auto"/>
                <w:kern w:val="2"/>
                <w:sz w:val="24"/>
                <w:highlight w:val="none"/>
              </w:rPr>
              <w:t>；</w:t>
            </w:r>
          </w:p>
          <w:p>
            <w:pPr>
              <w:pStyle w:val="10"/>
              <w:adjustRightInd w:val="0"/>
              <w:snapToGrid w:val="0"/>
              <w:spacing w:line="300" w:lineRule="exact"/>
              <w:rPr>
                <w:rFonts w:ascii="楷体" w:hAnsi="楷体" w:eastAsia="楷体" w:cs="楷体"/>
                <w:color w:val="auto"/>
                <w:kern w:val="2"/>
                <w:sz w:val="24"/>
                <w:highlight w:val="none"/>
              </w:rPr>
            </w:pPr>
            <w:r>
              <w:rPr>
                <w:rFonts w:hint="eastAsia" w:ascii="楷体" w:hAnsi="楷体" w:eastAsia="楷体" w:cs="楷体"/>
                <w:color w:val="auto"/>
                <w:kern w:val="2"/>
                <w:sz w:val="24"/>
                <w:highlight w:val="none"/>
              </w:rPr>
              <w:t xml:space="preserve">地点: </w:t>
            </w:r>
            <w:r>
              <w:rPr>
                <w:rFonts w:hint="eastAsia" w:ascii="楷体" w:hAnsi="楷体" w:eastAsia="楷体" w:cs="楷体"/>
                <w:color w:val="auto"/>
                <w:sz w:val="24"/>
                <w:highlight w:val="none"/>
              </w:rPr>
              <w:t>盐城工业职业技术学院（盐城市解放南路285号）后勤服务中心四楼402开标室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15" w:type="dxa"/>
            <w:tcBorders>
              <w:top w:val="single" w:color="auto" w:sz="4" w:space="0"/>
              <w:left w:val="single" w:color="auto" w:sz="8" w:space="0"/>
              <w:bottom w:val="single" w:color="auto" w:sz="4" w:space="0"/>
              <w:right w:val="single" w:color="auto" w:sz="4" w:space="0"/>
            </w:tcBorders>
            <w:vAlign w:val="center"/>
          </w:tcPr>
          <w:p>
            <w:pPr>
              <w:pStyle w:val="10"/>
              <w:adjustRightInd w:val="0"/>
              <w:snapToGrid w:val="0"/>
              <w:spacing w:line="320" w:lineRule="exact"/>
              <w:jc w:val="center"/>
              <w:rPr>
                <w:rFonts w:ascii="楷体" w:hAnsi="楷体" w:eastAsia="楷体" w:cs="楷体"/>
                <w:color w:val="auto"/>
                <w:kern w:val="2"/>
                <w:sz w:val="24"/>
                <w:highlight w:val="none"/>
              </w:rPr>
            </w:pPr>
            <w:r>
              <w:rPr>
                <w:rFonts w:hint="eastAsia" w:ascii="楷体" w:hAnsi="楷体" w:eastAsia="楷体" w:cs="楷体"/>
                <w:color w:val="auto"/>
                <w:kern w:val="2"/>
                <w:sz w:val="24"/>
                <w:highlight w:val="none"/>
              </w:rPr>
              <w:t>5</w:t>
            </w:r>
          </w:p>
        </w:tc>
        <w:tc>
          <w:tcPr>
            <w:tcW w:w="8666" w:type="dxa"/>
            <w:tcBorders>
              <w:top w:val="single" w:color="auto" w:sz="4" w:space="0"/>
              <w:left w:val="single" w:color="auto" w:sz="4" w:space="0"/>
              <w:bottom w:val="single" w:color="auto" w:sz="4" w:space="0"/>
              <w:right w:val="single" w:color="auto" w:sz="8" w:space="0"/>
            </w:tcBorders>
            <w:vAlign w:val="center"/>
          </w:tcPr>
          <w:p>
            <w:pPr>
              <w:pStyle w:val="10"/>
              <w:adjustRightInd w:val="0"/>
              <w:snapToGrid w:val="0"/>
              <w:spacing w:line="300" w:lineRule="exact"/>
              <w:rPr>
                <w:rFonts w:ascii="楷体" w:hAnsi="楷体" w:eastAsia="楷体" w:cs="楷体"/>
                <w:color w:val="auto"/>
                <w:kern w:val="2"/>
                <w:sz w:val="24"/>
                <w:highlight w:val="none"/>
              </w:rPr>
            </w:pPr>
            <w:r>
              <w:rPr>
                <w:rFonts w:hint="eastAsia" w:ascii="楷体" w:hAnsi="楷体" w:eastAsia="楷体" w:cs="楷体"/>
                <w:color w:val="auto"/>
                <w:kern w:val="2"/>
                <w:sz w:val="24"/>
                <w:highlight w:val="none"/>
              </w:rPr>
              <w:t>开标时间：</w:t>
            </w:r>
            <w:r>
              <w:rPr>
                <w:rFonts w:hint="eastAsia" w:ascii="楷体" w:hAnsi="楷体" w:eastAsia="楷体" w:cs="楷体"/>
                <w:color w:val="auto"/>
                <w:sz w:val="24"/>
                <w:highlight w:val="none"/>
                <w:u w:val="single"/>
              </w:rPr>
              <w:t>2020年</w:t>
            </w:r>
            <w:r>
              <w:rPr>
                <w:rFonts w:hint="eastAsia" w:ascii="楷体" w:hAnsi="楷体" w:eastAsia="楷体" w:cs="楷体"/>
                <w:color w:val="auto"/>
                <w:sz w:val="24"/>
                <w:highlight w:val="none"/>
                <w:u w:val="single"/>
                <w:lang w:val="en-US" w:eastAsia="zh-CN"/>
              </w:rPr>
              <w:t>11月20日15</w:t>
            </w:r>
            <w:r>
              <w:rPr>
                <w:rFonts w:hint="eastAsia" w:ascii="楷体" w:hAnsi="楷体" w:eastAsia="楷体" w:cs="楷体"/>
                <w:color w:val="auto"/>
                <w:sz w:val="24"/>
                <w:highlight w:val="none"/>
                <w:u w:val="single"/>
              </w:rPr>
              <w:t>：00时</w:t>
            </w:r>
            <w:r>
              <w:rPr>
                <w:rFonts w:hint="eastAsia" w:ascii="楷体" w:hAnsi="楷体" w:eastAsia="楷体" w:cs="楷体"/>
                <w:color w:val="auto"/>
                <w:kern w:val="2"/>
                <w:sz w:val="24"/>
                <w:highlight w:val="none"/>
              </w:rPr>
              <w:t>；</w:t>
            </w:r>
          </w:p>
          <w:p>
            <w:pPr>
              <w:pStyle w:val="10"/>
              <w:adjustRightInd w:val="0"/>
              <w:snapToGrid w:val="0"/>
              <w:spacing w:line="300" w:lineRule="exact"/>
              <w:rPr>
                <w:rFonts w:ascii="楷体" w:hAnsi="楷体" w:eastAsia="楷体" w:cs="楷体"/>
                <w:color w:val="auto"/>
                <w:kern w:val="2"/>
                <w:sz w:val="24"/>
                <w:highlight w:val="none"/>
                <w:u w:val="single"/>
              </w:rPr>
            </w:pPr>
            <w:r>
              <w:rPr>
                <w:rFonts w:hint="eastAsia" w:ascii="楷体" w:hAnsi="楷体" w:eastAsia="楷体" w:cs="楷体"/>
                <w:color w:val="auto"/>
                <w:kern w:val="2"/>
                <w:sz w:val="24"/>
                <w:highlight w:val="none"/>
              </w:rPr>
              <w:t>地点:</w:t>
            </w:r>
            <w:r>
              <w:rPr>
                <w:rFonts w:hint="eastAsia" w:ascii="楷体" w:hAnsi="楷体" w:eastAsia="楷体" w:cs="楷体"/>
                <w:color w:val="auto"/>
                <w:sz w:val="24"/>
                <w:highlight w:val="none"/>
              </w:rPr>
              <w:t>盐城工业职业技术学院（盐城市解放南路285号）后勤服务中心四楼402开标室</w:t>
            </w:r>
          </w:p>
          <w:p>
            <w:pPr>
              <w:spacing w:line="300" w:lineRule="exact"/>
              <w:rPr>
                <w:rFonts w:ascii="楷体" w:hAnsi="楷体" w:eastAsia="楷体" w:cs="楷体"/>
                <w:color w:val="auto"/>
                <w:sz w:val="24"/>
                <w:highlight w:val="none"/>
              </w:rPr>
            </w:pPr>
            <w:r>
              <w:rPr>
                <w:rFonts w:hint="eastAsia" w:ascii="楷体" w:hAnsi="楷体" w:eastAsia="楷体" w:cs="楷体"/>
                <w:color w:val="auto"/>
                <w:sz w:val="24"/>
                <w:highlight w:val="none"/>
              </w:rPr>
              <w:t>必须出席开标会的人员：投标人的法定代表人或委托代理人；</w:t>
            </w:r>
          </w:p>
          <w:p>
            <w:pPr>
              <w:spacing w:line="300" w:lineRule="exact"/>
              <w:rPr>
                <w:rFonts w:ascii="楷体" w:hAnsi="楷体" w:eastAsia="楷体" w:cs="楷体"/>
                <w:color w:val="auto"/>
                <w:sz w:val="24"/>
                <w:highlight w:val="none"/>
                <w:u w:val="single"/>
              </w:rPr>
            </w:pPr>
            <w:r>
              <w:rPr>
                <w:rFonts w:hint="eastAsia" w:ascii="楷体" w:hAnsi="楷体" w:eastAsia="楷体" w:cs="楷体"/>
                <w:color w:val="auto"/>
                <w:sz w:val="24"/>
                <w:highlight w:val="none"/>
              </w:rPr>
              <w:t>招标人要求所有投标人出席开标会的人员，应当按时参加开标会；以上招标人要求出席开标会议的人员，应在招标人按开标程序进行点名时，出示本人二代身份证原件（不含临时身份证），凡二代身份证在开标时不能出示的或提供虚假证件的，招标人当场退回其投标文件。</w:t>
            </w:r>
          </w:p>
        </w:tc>
      </w:tr>
    </w:tbl>
    <w:p>
      <w:pPr>
        <w:spacing w:line="500" w:lineRule="exact"/>
        <w:ind w:firstLine="482" w:firstLineChars="200"/>
        <w:jc w:val="center"/>
        <w:rPr>
          <w:rFonts w:ascii="楷体" w:hAnsi="楷体" w:eastAsia="楷体" w:cs="楷体"/>
          <w:b/>
          <w:bCs/>
          <w:color w:val="auto"/>
          <w:sz w:val="44"/>
          <w:highlight w:val="none"/>
        </w:rPr>
      </w:pPr>
      <w:r>
        <w:rPr>
          <w:rFonts w:hint="eastAsia" w:ascii="楷体" w:hAnsi="楷体" w:eastAsia="楷体" w:cs="楷体"/>
          <w:b/>
          <w:color w:val="auto"/>
          <w:sz w:val="24"/>
          <w:highlight w:val="none"/>
        </w:rPr>
        <w:br w:type="page"/>
      </w:r>
      <w:r>
        <w:rPr>
          <w:rFonts w:hint="eastAsia" w:ascii="楷体" w:hAnsi="楷体" w:eastAsia="楷体" w:cs="楷体"/>
          <w:b/>
          <w:color w:val="auto"/>
          <w:sz w:val="44"/>
          <w:szCs w:val="44"/>
          <w:highlight w:val="none"/>
        </w:rPr>
        <w:t>第二部分  总则</w:t>
      </w:r>
    </w:p>
    <w:p>
      <w:pPr>
        <w:spacing w:line="500" w:lineRule="exact"/>
        <w:ind w:firstLine="482"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1、综合说明</w:t>
      </w:r>
    </w:p>
    <w:p>
      <w:pPr>
        <w:spacing w:line="500" w:lineRule="exact"/>
        <w:ind w:firstLine="482" w:firstLineChars="200"/>
        <w:rPr>
          <w:rFonts w:ascii="楷体" w:hAnsi="楷体" w:eastAsia="楷体" w:cs="楷体"/>
          <w:bCs/>
          <w:color w:val="auto"/>
          <w:sz w:val="24"/>
          <w:highlight w:val="none"/>
        </w:rPr>
      </w:pPr>
      <w:r>
        <w:rPr>
          <w:rFonts w:hint="eastAsia" w:ascii="楷体" w:hAnsi="楷体" w:eastAsia="楷体" w:cs="楷体"/>
          <w:b/>
          <w:color w:val="auto"/>
          <w:sz w:val="24"/>
          <w:highlight w:val="none"/>
        </w:rPr>
        <w:t>1.1招标范围及标段划分：</w:t>
      </w:r>
      <w:r>
        <w:rPr>
          <w:rFonts w:hint="eastAsia" w:ascii="楷体" w:hAnsi="楷体" w:eastAsia="楷体" w:cs="楷体"/>
          <w:bCs/>
          <w:color w:val="auto"/>
          <w:sz w:val="24"/>
          <w:highlight w:val="none"/>
        </w:rPr>
        <w:t>本次招标共为1个标段，招标范围主要为盐城工业职业技术学院铁军文化苑设计施工一体化项目,包括项目交付使用前全部设计和施工内容，直至竣工验收合格整体移交、后期培训及缺陷责任期内的保修等设计施工一体化项目的全部工作,招标人保留进行调整的权利。具体详见设计任务书。</w:t>
      </w:r>
    </w:p>
    <w:p>
      <w:pPr>
        <w:spacing w:line="500" w:lineRule="exact"/>
        <w:ind w:firstLine="480" w:firstLineChars="200"/>
        <w:rPr>
          <w:rFonts w:ascii="楷体" w:hAnsi="楷体" w:eastAsia="楷体" w:cs="楷体"/>
          <w:bCs/>
          <w:color w:val="auto"/>
          <w:sz w:val="24"/>
          <w:highlight w:val="none"/>
        </w:rPr>
      </w:pPr>
      <w:r>
        <w:rPr>
          <w:rFonts w:hint="eastAsia" w:ascii="楷体" w:hAnsi="楷体" w:eastAsia="楷体" w:cs="楷体"/>
          <w:bCs/>
          <w:color w:val="auto"/>
          <w:sz w:val="24"/>
          <w:highlight w:val="none"/>
        </w:rPr>
        <w:t>设计内容主要包含盐城工业职业技术学院铁军文化苑设计施工一体化项目范围内的方案设计、方案深化设计、施工图设计，主要包括但不限于布展（含美工、展品展项、装饰及改造等）、设备部分（包括智能化、电气、给排水、消防、通风、多媒体、声光电声光电等。多媒体软硬件及影片制作部分至少包含拼接屏、液晶屏等）、软体部分（包括功能和展区布局、展示主题、展品内容、展示方式和手段、各展区效果图、数字及智能化系统运用等）、现场技术服务与指导等与设计相关的所有工作，以及在工程实施过程中工程规模的调整及各种变更均属本设计范围。</w:t>
      </w:r>
    </w:p>
    <w:p>
      <w:pPr>
        <w:spacing w:line="500" w:lineRule="exact"/>
        <w:ind w:firstLine="480" w:firstLineChars="200"/>
        <w:rPr>
          <w:rFonts w:ascii="楷体" w:hAnsi="楷体" w:eastAsia="楷体" w:cs="楷体"/>
          <w:bCs/>
          <w:color w:val="auto"/>
          <w:sz w:val="24"/>
          <w:highlight w:val="none"/>
        </w:rPr>
      </w:pPr>
      <w:r>
        <w:rPr>
          <w:rFonts w:hint="eastAsia" w:ascii="楷体" w:hAnsi="楷体" w:eastAsia="楷体" w:cs="楷体"/>
          <w:bCs/>
          <w:color w:val="auto"/>
          <w:sz w:val="24"/>
          <w:highlight w:val="none"/>
        </w:rPr>
        <w:t>施工内容主要包含原创业一条街门店内外墙板更换为防火彩钢板，布展（含展品展项、装饰及改造等）、设备部分（包括智能化、电气、给排水、消防、通风、多媒体、声光电等）、软体部分等一切与项目相关的所有施工内容。</w:t>
      </w:r>
    </w:p>
    <w:p>
      <w:pPr>
        <w:spacing w:line="500" w:lineRule="exact"/>
        <w:ind w:firstLine="480" w:firstLineChars="200"/>
        <w:rPr>
          <w:rFonts w:ascii="楷体" w:hAnsi="楷体" w:eastAsia="楷体" w:cs="楷体"/>
          <w:color w:val="auto"/>
          <w:highlight w:val="none"/>
        </w:rPr>
      </w:pPr>
      <w:r>
        <w:rPr>
          <w:rFonts w:hint="eastAsia" w:ascii="楷体" w:hAnsi="楷体" w:eastAsia="楷体" w:cs="楷体"/>
          <w:bCs/>
          <w:color w:val="auto"/>
          <w:sz w:val="24"/>
          <w:highlight w:val="none"/>
        </w:rPr>
        <w:t>本项目招标内容主要为包设计、包工、包料、包工期、包质量、包安全、包文明施工、包交付、包工程竣工验收备案、包整体移交（含档案移交）及竣工验收合格及缺陷责任期内的保修。</w:t>
      </w:r>
    </w:p>
    <w:p>
      <w:pPr>
        <w:spacing w:line="500" w:lineRule="exact"/>
        <w:ind w:firstLine="482"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1.2项目地点：</w:t>
      </w:r>
      <w:r>
        <w:rPr>
          <w:rFonts w:hint="eastAsia" w:ascii="楷体" w:hAnsi="楷体" w:eastAsia="楷体" w:cs="楷体"/>
          <w:color w:val="auto"/>
          <w:sz w:val="24"/>
          <w:highlight w:val="none"/>
        </w:rPr>
        <w:t>盐城工业职业技术学院内（盐城市解放南路285号）。</w:t>
      </w:r>
    </w:p>
    <w:p>
      <w:pPr>
        <w:spacing w:line="500" w:lineRule="exact"/>
        <w:ind w:firstLine="482"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1.3承包方式：</w:t>
      </w:r>
      <w:r>
        <w:rPr>
          <w:rFonts w:hint="eastAsia" w:ascii="楷体" w:hAnsi="楷体" w:eastAsia="楷体" w:cs="楷体"/>
          <w:color w:val="auto"/>
          <w:sz w:val="24"/>
          <w:highlight w:val="none"/>
        </w:rPr>
        <w:t>包工包料。</w:t>
      </w:r>
    </w:p>
    <w:p>
      <w:pPr>
        <w:spacing w:line="500" w:lineRule="exact"/>
        <w:ind w:firstLine="482"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1.4资金来源及比例：</w:t>
      </w:r>
      <w:r>
        <w:rPr>
          <w:rFonts w:hint="eastAsia" w:ascii="楷体" w:hAnsi="楷体" w:eastAsia="楷体" w:cs="楷体"/>
          <w:color w:val="auto"/>
          <w:sz w:val="24"/>
          <w:highlight w:val="none"/>
        </w:rPr>
        <w:t>国有资金100%。</w:t>
      </w:r>
    </w:p>
    <w:p>
      <w:pPr>
        <w:spacing w:line="500" w:lineRule="exact"/>
        <w:ind w:firstLine="482"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2、招标方式</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color w:val="auto"/>
          <w:sz w:val="24"/>
          <w:highlight w:val="none"/>
        </w:rPr>
        <w:t>2.1 本项目招标方式：公开招标。</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color w:val="auto"/>
          <w:sz w:val="24"/>
          <w:highlight w:val="none"/>
        </w:rPr>
        <w:t>2.2 招标文件的组成：本项目招标文件由投标须知、总则、技术参数、投标文件编制方法及要求、开标、评标、定标、合同主要条款、评标定标办法、附件等八部分等内容组成。</w:t>
      </w:r>
    </w:p>
    <w:p>
      <w:pPr>
        <w:snapToGrid w:val="0"/>
        <w:spacing w:line="500" w:lineRule="exact"/>
        <w:ind w:firstLine="482" w:firstLineChars="200"/>
        <w:jc w:val="left"/>
        <w:rPr>
          <w:rFonts w:ascii="楷体" w:hAnsi="楷体" w:eastAsia="楷体" w:cs="楷体"/>
          <w:b/>
          <w:color w:val="auto"/>
          <w:sz w:val="24"/>
          <w:highlight w:val="none"/>
        </w:rPr>
      </w:pPr>
      <w:r>
        <w:rPr>
          <w:rFonts w:hint="eastAsia" w:ascii="楷体" w:hAnsi="楷体" w:eastAsia="楷体" w:cs="楷体"/>
          <w:b/>
          <w:color w:val="auto"/>
          <w:sz w:val="24"/>
          <w:highlight w:val="none"/>
        </w:rPr>
        <w:t>3、投标人资格要求</w:t>
      </w:r>
    </w:p>
    <w:p>
      <w:pPr>
        <w:snapToGrid w:val="0"/>
        <w:spacing w:line="44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3.1申请人应同时具备下列3.1.1项设计资质和3.1.2项施工资质，并在人员、设备、资金等方面具备相应的工程总承包能力。</w:t>
      </w:r>
    </w:p>
    <w:p>
      <w:pPr>
        <w:snapToGrid w:val="0"/>
        <w:spacing w:line="44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3.1.1投标人须具有建设行政主管部门核发的建筑装饰工程设计专项乙级及以上资质（或有效期内的建筑装饰装修工程设计与施工二级及以上资质或工程设计综合甲级资质）；</w:t>
      </w:r>
    </w:p>
    <w:p>
      <w:pPr>
        <w:snapToGrid w:val="0"/>
        <w:spacing w:line="44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3.1.2投标人须具有建设行政主管部门核发的建筑装修装饰工程专业承包二级及以上资质（或有效期内的建筑装饰装修工程设计与施工二级及以上资质）的独立法人，并取得有效的安全生产许可证。</w:t>
      </w:r>
    </w:p>
    <w:p>
      <w:pPr>
        <w:snapToGrid w:val="0"/>
        <w:spacing w:line="44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3.2本次招标接受联合体投标。如投标人不同时具备上述3.1.1项设计资质和3.1.2项施工资质的，可组成联合体参与本项目投标，组成联合体投标的，须满足以下要求：</w:t>
      </w:r>
    </w:p>
    <w:p>
      <w:pPr>
        <w:snapToGrid w:val="0"/>
        <w:spacing w:line="44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3.2.1联合体最多只能包括1家装饰工程设计企业、1家展览陈列工程设计与施工企业和1家装饰工程施工企业；</w:t>
      </w:r>
    </w:p>
    <w:p>
      <w:pPr>
        <w:snapToGrid w:val="0"/>
        <w:spacing w:line="44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 xml:space="preserve">3.2.2联合体各方应按招标文件提供的格式签订联合体协议书，明确联合体牵头人和各方权利义务； </w:t>
      </w:r>
    </w:p>
    <w:p>
      <w:pPr>
        <w:snapToGrid w:val="0"/>
        <w:spacing w:line="44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3.2.3联合体各成员单位应当具备与联合体协议中约定的分工相适应的资质和能力；</w:t>
      </w:r>
    </w:p>
    <w:p>
      <w:pPr>
        <w:snapToGrid w:val="0"/>
        <w:spacing w:line="44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3.2.4联合体各方不得再以自己名义单独或参加其他联合体在同一标段中投标；</w:t>
      </w:r>
    </w:p>
    <w:p>
      <w:pPr>
        <w:snapToGrid w:val="0"/>
        <w:spacing w:line="44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3.2.5联合体各方必须指定展览陈列工程设计与施工企业为联合体牵头人 ，授权其代表所有联合体成员负责投标和合同实施阶段的主办、协调工作；</w:t>
      </w:r>
    </w:p>
    <w:p>
      <w:pPr>
        <w:snapToGrid w:val="0"/>
        <w:spacing w:line="44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3.2.6联合体投标的，联合体牵头人报名即可，但递交的投标文件须由联合体各方盖章；投标保证金须以联合体中牵头人的名义提交。以联合体中牵头人名义提交的投标保证担保，对联合体各成员具有约束力。</w:t>
      </w:r>
    </w:p>
    <w:p>
      <w:pPr>
        <w:snapToGrid w:val="0"/>
        <w:spacing w:line="44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 xml:space="preserve">3.2.7联合体中标后，其成员不得变更。 </w:t>
      </w:r>
    </w:p>
    <w:p>
      <w:pPr>
        <w:snapToGrid w:val="0"/>
        <w:spacing w:line="44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3.3项目负责人资格要求：具有建筑工程专业二级及以上注册建造师资格和安全生产考核合格证（B类），且必须满足下列条件：</w:t>
      </w:r>
    </w:p>
    <w:p>
      <w:pPr>
        <w:snapToGrid w:val="0"/>
        <w:spacing w:line="44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3.3.1项目负责人不得同时在两个或者两个以上单位受聘或者执业。</w:t>
      </w:r>
    </w:p>
    <w:p>
      <w:pPr>
        <w:snapToGrid w:val="0"/>
        <w:spacing w:line="44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（1）同时在两个及以上单位签订劳动合同或交纳社会保险；</w:t>
      </w:r>
    </w:p>
    <w:p>
      <w:pPr>
        <w:snapToGrid w:val="0"/>
        <w:spacing w:line="44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（2）将本人执（职）业资格证书同时注册在两个及以上单位；</w:t>
      </w:r>
    </w:p>
    <w:p>
      <w:pPr>
        <w:snapToGrid w:val="0"/>
        <w:spacing w:line="44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（3）担任其他公司法定代表人。</w:t>
      </w:r>
    </w:p>
    <w:p>
      <w:pPr>
        <w:snapToGrid w:val="0"/>
        <w:spacing w:line="44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3.3.2项目负责人不得同时在两个或者两个以上工程项目上任职。</w:t>
      </w:r>
    </w:p>
    <w:p>
      <w:pPr>
        <w:snapToGrid w:val="0"/>
        <w:spacing w:line="44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3.3.3项目负责人无行贿犯罪行为记录；或有行贿犯罪行为记录，但自记录之日起已超过5年的。</w:t>
      </w:r>
    </w:p>
    <w:p>
      <w:pPr>
        <w:snapToGrid w:val="0"/>
        <w:spacing w:line="44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3.3.4项目负责人投标截止时不得同时在其他建设工程项目中担任现场管理人员、不在本项目兼任本项目的其它岗位。</w:t>
      </w:r>
    </w:p>
    <w:p>
      <w:pPr>
        <w:spacing w:line="440" w:lineRule="exact"/>
        <w:ind w:firstLine="480" w:firstLineChars="200"/>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3.4财务要求：投标人应具有独立订立合同的能力，未处于财产被接管、冻结和破产状态。</w:t>
      </w:r>
    </w:p>
    <w:p>
      <w:pPr>
        <w:spacing w:line="440" w:lineRule="exact"/>
        <w:ind w:firstLine="480" w:firstLineChars="200"/>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3.5信誉要求</w:t>
      </w:r>
    </w:p>
    <w:p>
      <w:pPr>
        <w:spacing w:line="440" w:lineRule="exact"/>
        <w:ind w:firstLine="480" w:firstLineChars="200"/>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（1）投标人没有被国家、江苏省省级有关部门及盐城市级有关部门暂停招投标或市场准入资格且在公示处罚期内。</w:t>
      </w:r>
    </w:p>
    <w:p>
      <w:pPr>
        <w:spacing w:line="440" w:lineRule="exact"/>
        <w:ind w:firstLine="480" w:firstLineChars="200"/>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2）投标人的失信被执行人信息在“信用中国”、“信用江苏”网站上被公布的，自载明的发布之日开始，直至撤销或者更正信息中载明的发布时间的期间，本项目的招标人拒绝其投标，资格审查不予通过，不得被确定为中标候选人、中标人。在一次招投标活动中，资格预审申请人、投标人或者中标候选人因正被列为失信被执行人，导致其资格预审不通过或者被取消中标候选人资格、中标人资格的，不因其之后失信信息被撤销或更正而改变已经作出的决定。</w:t>
      </w:r>
    </w:p>
    <w:p>
      <w:pPr>
        <w:spacing w:line="440" w:lineRule="exact"/>
        <w:ind w:firstLine="480" w:firstLineChars="200"/>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3）投标人作为失信联合惩戒对象，被采取依法限制参与建设工程招投标惩戒措施的，被有关部门推送在“信用中国”、“信用江苏”、“信用盐城”相关网站公示且在有效期内的，本项目的招标人拒绝其投标，资格审查不予通过，不得被确定为中标候选人、中标人。在一次招投标活动中，资格预审申请人、投标人或者中标候选人因正被列为联合惩戒对象，导致其资格预审不通过或者被取消中标候选人资格、中标人资格的，不因其之后失信信息被撤销或更正而改变已经作出的决定。</w:t>
      </w:r>
    </w:p>
    <w:p>
      <w:pPr>
        <w:spacing w:line="440" w:lineRule="exact"/>
        <w:ind w:firstLine="480" w:firstLineChars="200"/>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（4）投标人不存在盐住建建筑【2020】24文规定的安全生产事故情形，且在通报暂停投标资格处罚期内。</w:t>
      </w:r>
    </w:p>
    <w:p>
      <w:pPr>
        <w:spacing w:line="440" w:lineRule="exact"/>
        <w:ind w:firstLine="480" w:firstLineChars="200"/>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3.6本项目招标人不接受投标人的企业法定代表人担任项目负责人。</w:t>
      </w:r>
    </w:p>
    <w:p>
      <w:pPr>
        <w:spacing w:line="440" w:lineRule="exact"/>
        <w:ind w:firstLine="480" w:firstLineChars="200"/>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3.7本项目招标人不接受企业退休人员担任项目负责人。</w:t>
      </w:r>
    </w:p>
    <w:p>
      <w:pPr>
        <w:spacing w:line="440" w:lineRule="exact"/>
        <w:ind w:firstLine="480" w:firstLineChars="200"/>
        <w:jc w:val="left"/>
        <w:rPr>
          <w:rFonts w:ascii="楷体" w:hAnsi="楷体" w:eastAsia="楷体" w:cs="楷体"/>
          <w:bCs/>
          <w:color w:val="auto"/>
          <w:sz w:val="24"/>
          <w:highlight w:val="none"/>
        </w:rPr>
      </w:pPr>
      <w:r>
        <w:rPr>
          <w:rFonts w:hint="eastAsia" w:ascii="楷体" w:hAnsi="楷体" w:eastAsia="楷体" w:cs="楷体"/>
          <w:bCs/>
          <w:color w:val="auto"/>
          <w:sz w:val="24"/>
          <w:highlight w:val="none"/>
        </w:rPr>
        <w:t>3.8投标申请人须保证项目负责人及代理人均为本单位的正式职工，并确保从2019年11月开始至投标截止之日当月至少连续6个月均已在本单位缴纳养老保险，中标候选人公示前、异议（投诉）提出时相关单位需提供缴费记录证明原件给招标人核验。（例：如开标日期为2015年10月的某一天，则投标单位需保证以上人员2015年2月以后任意连续6月养老保险均在本单位缴纳）。</w:t>
      </w:r>
    </w:p>
    <w:p>
      <w:pPr>
        <w:spacing w:line="50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3.9投标人不得存在下列情形之一：</w:t>
      </w:r>
    </w:p>
    <w:p>
      <w:pPr>
        <w:spacing w:line="50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3.9.1.为招标人不具有独立法人资格的附属机构（单位）。</w:t>
      </w:r>
    </w:p>
    <w:p>
      <w:pPr>
        <w:spacing w:line="50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3.9.2.为本招标项目的监理人、代建人、项目管理人，以及为本招标项目提供招标代理、设计服务的。</w:t>
      </w:r>
    </w:p>
    <w:p>
      <w:pPr>
        <w:spacing w:line="50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3.9.3.与本招标项目的监理人、代建人、招标代理机构同为一个法定代表人的，或者相互控股、参股的。</w:t>
      </w:r>
    </w:p>
    <w:p>
      <w:pPr>
        <w:spacing w:line="50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3.9.4.与招标人存在利害关系可能影响招标公正性的。</w:t>
      </w:r>
    </w:p>
    <w:p>
      <w:pPr>
        <w:spacing w:line="50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 xml:space="preserve">3.9.5.单位负责人为同一人或者存在控股、管理关系的不同单位。    </w:t>
      </w:r>
    </w:p>
    <w:p>
      <w:pPr>
        <w:spacing w:line="50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3.9.6.处于被责令停业、财产被接管、冻结和破产状态，以及投标资格被取消或者被暂停且在暂停期内。</w:t>
      </w:r>
    </w:p>
    <w:p>
      <w:pPr>
        <w:spacing w:line="50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3.9.7.因拖欠工人工资或者因发生质量安全事故被有关部门限制在招标项目所在地承接工程的。</w:t>
      </w:r>
    </w:p>
    <w:p>
      <w:pPr>
        <w:snapToGrid w:val="0"/>
        <w:spacing w:line="50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3.10不符合法律、法规规定的其他条件。</w:t>
      </w:r>
    </w:p>
    <w:p>
      <w:pPr>
        <w:spacing w:line="500" w:lineRule="exact"/>
        <w:ind w:firstLine="482" w:firstLineChars="200"/>
        <w:outlineLvl w:val="0"/>
        <w:rPr>
          <w:rFonts w:ascii="楷体" w:hAnsi="楷体" w:eastAsia="楷体" w:cs="楷体"/>
          <w:b/>
          <w:color w:val="auto"/>
          <w:sz w:val="24"/>
          <w:highlight w:val="none"/>
        </w:rPr>
      </w:pPr>
      <w:r>
        <w:rPr>
          <w:rFonts w:hint="eastAsia" w:ascii="楷体" w:hAnsi="楷体" w:eastAsia="楷体" w:cs="楷体"/>
          <w:b/>
          <w:color w:val="auto"/>
          <w:sz w:val="24"/>
          <w:highlight w:val="none"/>
        </w:rPr>
        <w:t xml:space="preserve">4、资格审查方式 </w:t>
      </w:r>
    </w:p>
    <w:p>
      <w:pPr>
        <w:snapToGrid w:val="0"/>
        <w:spacing w:line="50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4.1本招标项目资格审查方式：采用</w:t>
      </w:r>
      <w:r>
        <w:rPr>
          <w:rFonts w:hint="eastAsia" w:ascii="楷体" w:hAnsi="楷体" w:eastAsia="楷体" w:cs="楷体"/>
          <w:b/>
          <w:color w:val="auto"/>
          <w:sz w:val="24"/>
          <w:highlight w:val="none"/>
          <w:u w:val="single"/>
        </w:rPr>
        <w:t>资格后审</w:t>
      </w:r>
      <w:r>
        <w:rPr>
          <w:rFonts w:hint="eastAsia" w:ascii="楷体" w:hAnsi="楷体" w:eastAsia="楷体" w:cs="楷体"/>
          <w:color w:val="auto"/>
          <w:sz w:val="24"/>
          <w:highlight w:val="none"/>
        </w:rPr>
        <w:t>办法。</w:t>
      </w:r>
    </w:p>
    <w:p>
      <w:pPr>
        <w:snapToGrid w:val="0"/>
        <w:spacing w:line="500" w:lineRule="exact"/>
        <w:ind w:firstLine="482" w:firstLineChars="200"/>
        <w:jc w:val="left"/>
        <w:rPr>
          <w:rFonts w:ascii="楷体" w:hAnsi="楷体" w:eastAsia="楷体" w:cs="楷体"/>
          <w:b/>
          <w:color w:val="auto"/>
          <w:sz w:val="24"/>
          <w:highlight w:val="none"/>
        </w:rPr>
      </w:pPr>
      <w:r>
        <w:rPr>
          <w:rFonts w:hint="eastAsia" w:ascii="楷体" w:hAnsi="楷体" w:eastAsia="楷体" w:cs="楷体"/>
          <w:b/>
          <w:color w:val="auto"/>
          <w:sz w:val="24"/>
          <w:highlight w:val="none"/>
        </w:rPr>
        <w:t>5、投标有效期</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 xml:space="preserve">本招标项目投标有效期为 </w:t>
      </w:r>
      <w:r>
        <w:rPr>
          <w:rFonts w:hint="eastAsia" w:ascii="楷体" w:hAnsi="楷体" w:eastAsia="楷体" w:cs="楷体"/>
          <w:color w:val="auto"/>
          <w:sz w:val="24"/>
          <w:highlight w:val="none"/>
          <w:u w:val="single"/>
        </w:rPr>
        <w:t xml:space="preserve">90 </w:t>
      </w:r>
      <w:r>
        <w:rPr>
          <w:rFonts w:hint="eastAsia" w:ascii="楷体" w:hAnsi="楷体" w:eastAsia="楷体" w:cs="楷体"/>
          <w:color w:val="auto"/>
          <w:sz w:val="24"/>
          <w:highlight w:val="none"/>
        </w:rPr>
        <w:t>日。</w:t>
      </w:r>
    </w:p>
    <w:p>
      <w:pPr>
        <w:spacing w:line="500" w:lineRule="exact"/>
        <w:ind w:firstLine="482" w:firstLineChars="200"/>
        <w:outlineLvl w:val="0"/>
        <w:rPr>
          <w:rFonts w:ascii="楷体" w:hAnsi="楷体" w:eastAsia="楷体" w:cs="楷体"/>
          <w:b/>
          <w:color w:val="auto"/>
          <w:sz w:val="24"/>
          <w:highlight w:val="none"/>
        </w:rPr>
      </w:pPr>
      <w:r>
        <w:rPr>
          <w:rFonts w:hint="eastAsia" w:ascii="楷体" w:hAnsi="楷体" w:eastAsia="楷体" w:cs="楷体"/>
          <w:b/>
          <w:color w:val="auto"/>
          <w:sz w:val="24"/>
          <w:highlight w:val="none"/>
        </w:rPr>
        <w:t>6、投标保证金</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6.1本次投标收取保证金，具体详见招标须知前附表。投标人必须以企业法人的名义提交投标保证金，并必须从投标人的法人基本存款账户缴纳。以个人、企业的办事处、分公司、子公司、项目部名义或从他人账户、投标人的其他账户缴纳的保证金无效。</w:t>
      </w:r>
    </w:p>
    <w:p>
      <w:pPr>
        <w:spacing w:line="500" w:lineRule="exact"/>
        <w:ind w:firstLine="480" w:firstLineChars="200"/>
        <w:rPr>
          <w:rFonts w:ascii="楷体" w:hAnsi="楷体" w:eastAsia="楷体" w:cs="楷体"/>
          <w:color w:val="auto"/>
          <w:kern w:val="0"/>
          <w:sz w:val="24"/>
          <w:highlight w:val="none"/>
        </w:rPr>
      </w:pPr>
      <w:r>
        <w:rPr>
          <w:rFonts w:hint="eastAsia" w:ascii="楷体" w:hAnsi="楷体" w:eastAsia="楷体" w:cs="楷体"/>
          <w:color w:val="auto"/>
          <w:sz w:val="24"/>
          <w:highlight w:val="none"/>
        </w:rPr>
        <w:t>投标人缴纳投标保证金的，无故不投标的投标保证金暂扣；如因特殊原因不能投标的，应与开标前向招标人提出书面申请并说明原因，获得招标人的认可。</w:t>
      </w:r>
    </w:p>
    <w:p>
      <w:pPr>
        <w:adjustRightInd w:val="0"/>
        <w:snapToGrid w:val="0"/>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 xml:space="preserve">6.2　除不可抗力情况外，投标人出现下列情形之一的，没收其投标保证金，已中标的，取消其中标资格，给招标人造成的损失超过投标保证金数额的，中标人还应当对超过部分予以赔偿：  </w:t>
      </w:r>
    </w:p>
    <w:p>
      <w:pPr>
        <w:adjustRightInd w:val="0"/>
        <w:snapToGrid w:val="0"/>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6.2.1投标人在投标有效期内撤回或修改其投标文件的；</w:t>
      </w:r>
    </w:p>
    <w:p>
      <w:pPr>
        <w:adjustRightInd w:val="0"/>
        <w:snapToGrid w:val="0"/>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6.2.2中标后无正当理由放弃中标项目的；</w:t>
      </w:r>
    </w:p>
    <w:p>
      <w:pPr>
        <w:adjustRightInd w:val="0"/>
        <w:snapToGrid w:val="0"/>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6.2.3中标后拒不按照招标文件的要求提交履约保证金的；</w:t>
      </w:r>
    </w:p>
    <w:p>
      <w:pPr>
        <w:adjustRightInd w:val="0"/>
        <w:snapToGrid w:val="0"/>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6.2.4中标后无正当理由不与招标人签订合同，或者在签订合同时向招标人提出附加条件或者更改合同实质性内容要求的。</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6.2.5投标有效期间，投标人在中国行政区域有不良行为记录且在公示期内，经查属实的；</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6.2.6投标人的</w:t>
      </w:r>
      <w:r>
        <w:rPr>
          <w:rFonts w:hint="eastAsia" w:ascii="楷体" w:hAnsi="楷体" w:eastAsia="楷体" w:cs="楷体"/>
          <w:color w:val="auto"/>
          <w:sz w:val="24"/>
          <w:highlight w:val="none"/>
          <w:shd w:val="clear" w:color="auto" w:fill="FFFFFF"/>
        </w:rPr>
        <w:t>项目负责人</w:t>
      </w:r>
      <w:r>
        <w:rPr>
          <w:rFonts w:hint="eastAsia" w:ascii="楷体" w:hAnsi="楷体" w:eastAsia="楷体" w:cs="楷体"/>
          <w:color w:val="auto"/>
          <w:sz w:val="24"/>
          <w:highlight w:val="none"/>
        </w:rPr>
        <w:t>被反映或投诉有在建工程，并经查属实的。</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6.2.7 投标人存在串通投标行为的。</w:t>
      </w:r>
    </w:p>
    <w:p>
      <w:pPr>
        <w:adjustRightInd w:val="0"/>
        <w:snapToGrid w:val="0"/>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color w:val="auto"/>
          <w:sz w:val="24"/>
          <w:highlight w:val="none"/>
        </w:rPr>
        <w:t>投标人（中标人）存在前款所述情形的，除按有关法律法规规定处罚外，还将作为其不良行为记录在有关网站上予以公示。</w:t>
      </w:r>
    </w:p>
    <w:p>
      <w:pPr>
        <w:widowControl/>
        <w:jc w:val="left"/>
        <w:rPr>
          <w:rFonts w:ascii="楷体" w:hAnsi="楷体" w:eastAsia="楷体" w:cs="楷体"/>
          <w:b/>
          <w:color w:val="auto"/>
          <w:sz w:val="44"/>
          <w:szCs w:val="44"/>
          <w:highlight w:val="none"/>
        </w:rPr>
      </w:pPr>
    </w:p>
    <w:p>
      <w:pPr>
        <w:rPr>
          <w:rFonts w:ascii="楷体" w:hAnsi="楷体" w:eastAsia="楷体" w:cs="楷体"/>
          <w:b/>
          <w:color w:val="auto"/>
          <w:sz w:val="44"/>
          <w:szCs w:val="44"/>
          <w:highlight w:val="none"/>
        </w:rPr>
      </w:pPr>
      <w:r>
        <w:rPr>
          <w:rFonts w:hint="eastAsia" w:ascii="楷体" w:hAnsi="楷体" w:eastAsia="楷体" w:cs="楷体"/>
          <w:b/>
          <w:color w:val="auto"/>
          <w:sz w:val="44"/>
          <w:szCs w:val="44"/>
          <w:highlight w:val="none"/>
        </w:rPr>
        <w:br w:type="page"/>
      </w:r>
    </w:p>
    <w:p>
      <w:pPr>
        <w:spacing w:line="500" w:lineRule="exact"/>
        <w:jc w:val="center"/>
        <w:rPr>
          <w:rFonts w:ascii="楷体" w:hAnsi="楷体" w:eastAsia="楷体" w:cs="楷体"/>
          <w:b/>
          <w:color w:val="auto"/>
          <w:sz w:val="44"/>
          <w:szCs w:val="44"/>
          <w:highlight w:val="none"/>
        </w:rPr>
      </w:pPr>
      <w:r>
        <w:rPr>
          <w:rFonts w:hint="eastAsia" w:ascii="楷体" w:hAnsi="楷体" w:eastAsia="楷体" w:cs="楷体"/>
          <w:b/>
          <w:color w:val="auto"/>
          <w:sz w:val="44"/>
          <w:szCs w:val="44"/>
          <w:highlight w:val="none"/>
        </w:rPr>
        <w:t>第三部分  技术参数</w:t>
      </w:r>
    </w:p>
    <w:p>
      <w:pPr>
        <w:keepNext w:val="0"/>
        <w:keepLines w:val="0"/>
        <w:pageBreakBefore w:val="0"/>
        <w:widowControl w:val="0"/>
        <w:kinsoku/>
        <w:wordWrap/>
        <w:overflowPunct/>
        <w:topLinePunct w:val="0"/>
        <w:autoSpaceDE/>
        <w:autoSpaceDN/>
        <w:bidi w:val="0"/>
        <w:adjustRightInd/>
        <w:spacing w:line="460" w:lineRule="exact"/>
        <w:jc w:val="center"/>
        <w:textAlignment w:val="auto"/>
        <w:rPr>
          <w:rFonts w:ascii="楷体" w:hAnsi="楷体" w:eastAsia="楷体" w:cs="楷体"/>
          <w:b/>
          <w:color w:val="auto"/>
          <w:sz w:val="44"/>
          <w:szCs w:val="44"/>
          <w:highlight w:val="none"/>
        </w:rPr>
      </w:pPr>
    </w:p>
    <w:p>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楷体" w:hAnsi="楷体" w:eastAsia="楷体" w:cs="楷体"/>
          <w:b/>
          <w:color w:val="auto"/>
          <w:sz w:val="24"/>
          <w:highlight w:val="none"/>
        </w:rPr>
      </w:pPr>
      <w:r>
        <w:rPr>
          <w:rFonts w:hint="eastAsia" w:ascii="楷体" w:hAnsi="楷体" w:eastAsia="楷体" w:cs="楷体"/>
          <w:b/>
          <w:color w:val="auto"/>
          <w:sz w:val="24"/>
          <w:highlight w:val="none"/>
        </w:rPr>
        <w:t>1、计税方式</w:t>
      </w:r>
    </w:p>
    <w:p>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楷体" w:hAnsi="楷体" w:eastAsia="楷体" w:cs="楷体"/>
          <w:b/>
          <w:color w:val="auto"/>
          <w:sz w:val="24"/>
          <w:highlight w:val="none"/>
        </w:rPr>
      </w:pPr>
      <w:r>
        <w:rPr>
          <w:rFonts w:hint="eastAsia" w:ascii="楷体" w:hAnsi="楷体" w:eastAsia="楷体" w:cs="楷体"/>
          <w:b/>
          <w:color w:val="auto"/>
          <w:sz w:val="24"/>
          <w:highlight w:val="none"/>
        </w:rPr>
        <w:t>本项目采用增值税一般计税方法。</w:t>
      </w:r>
    </w:p>
    <w:p>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楷体" w:hAnsi="楷体" w:eastAsia="楷体" w:cs="楷体"/>
          <w:b/>
          <w:color w:val="auto"/>
          <w:sz w:val="24"/>
          <w:highlight w:val="none"/>
        </w:rPr>
      </w:pPr>
      <w:r>
        <w:rPr>
          <w:rFonts w:hint="eastAsia" w:ascii="楷体" w:hAnsi="楷体" w:eastAsia="楷体" w:cs="楷体"/>
          <w:b/>
          <w:color w:val="auto"/>
          <w:sz w:val="24"/>
          <w:highlight w:val="none"/>
        </w:rPr>
        <w:t>2、合同定价方式</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楷体" w:hAnsi="楷体" w:eastAsia="楷体" w:cs="楷体"/>
          <w:color w:val="auto"/>
          <w:highlight w:val="none"/>
        </w:rPr>
      </w:pPr>
      <w:r>
        <w:rPr>
          <w:rFonts w:hint="eastAsia" w:ascii="楷体" w:hAnsi="楷体" w:eastAsia="楷体" w:cs="楷体"/>
          <w:color w:val="auto"/>
          <w:sz w:val="24"/>
          <w:highlight w:val="none"/>
        </w:rPr>
        <w:t>2.1固定总价合同：本项目合同采用“固定总价合同”，投标人中标后对整个招标项目实行总价包干。投标人在投标前应复核并确认招标人提供的相关资料的准确性，如有疑问，投标人应在答疑时提出，否则由此引起的价格变化由中标人承担。</w:t>
      </w:r>
    </w:p>
    <w:p>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楷体" w:hAnsi="楷体" w:eastAsia="楷体" w:cs="楷体"/>
          <w:b/>
          <w:color w:val="auto"/>
          <w:sz w:val="24"/>
          <w:highlight w:val="none"/>
        </w:rPr>
      </w:pPr>
      <w:bookmarkStart w:id="1" w:name="_Toc508286089"/>
      <w:bookmarkStart w:id="2" w:name="_Toc45449510"/>
      <w:bookmarkStart w:id="3" w:name="_Toc389065164"/>
      <w:r>
        <w:rPr>
          <w:rFonts w:hint="eastAsia" w:ascii="楷体" w:hAnsi="楷体" w:eastAsia="楷体" w:cs="楷体"/>
          <w:b/>
          <w:color w:val="auto"/>
          <w:sz w:val="24"/>
          <w:highlight w:val="none"/>
        </w:rPr>
        <w:t>3、投标报价</w:t>
      </w:r>
      <w:bookmarkEnd w:id="1"/>
      <w:bookmarkEnd w:id="2"/>
      <w:bookmarkEnd w:id="3"/>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3.1投标人应充分了解施工场地的位置、周边环境、道路、装卸、保管、安装限制以及影响投标报价的其他要素。投标人根据投标设计，结合市场情况进行投标报价。</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3.2投标人的投标报价不得超过最高投标限价。</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 xml:space="preserve">3.3 投标报价须按现行工程量清单计价规范、计价定额、江苏省、盐城市相关计价文件进行报价，投标报价的具体要求： </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 xml:space="preserve">（1）按照投标人设计的施工图纸、《建设工程工程量清单计价规范》（GB50500-2013）、《房屋建筑与装饰工程工程量计算规范》（GB50854-2013）、《通用安装工程工程量计算规范》（GB50856-2013）......（以下简称《工程量计算规范》）、参照《江苏省建筑与装饰工程计价定额》（2014版）、《江苏省安装工程计价定额》（2014版）......（以下简称《计价定额》）、《江苏省建设工程费用定额》（2014年）及其营改增后调整内容（以下简称《费用定额》）、材料价格参照 2020 年第9期《盐城工程造价》建材信息价或建材市场参考价、无信息价的由投标人自行进行市场询价、人工工资单价参照苏建函价[2020]382号文件及现行相关计价文件规定、计税方式按苏建价（2016）154号文（本项目采用增值税一般计税方法）等，计算出分部分项工程费、措施项目费、其它项目费、规费、税金等确定投标报价。 </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2）投标报价的计价文件至少包括：应附详细的封面、扉页、总说明、建设项目投标报价汇总表、单项工程投标报价汇总表、单位工程投标报价汇总表、分部分项工程和单价措施项目清单与计价表、综合单价分析表、总价措施项目清单与计价表、其他项目清单与计价汇总表、暂列金额明细表、材料（工程设备）暂估单价及调整表、专业工程暂估价及结算价表、计日工表、总承包服务费计价表、规格、税金项目计价表、承包人提供主要材料和工程设备一览表等内容。</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 xml:space="preserve">（3）投标报价时必须满足以下要求： </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 xml:space="preserve">①材料价格参照 2020年第9期《盐城工程造价》建材信息价或建材市场参考价、无信息价的由投标人自行进行市场询价。 </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 xml:space="preserve">②人工工资参照并小于苏建函价[2020]382号文件规定的人工单价。 </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 xml:space="preserve">③管理费费率参照并≤苏建价（2016）154号文并结合2014年《费用定额》规定的费率。 </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 xml:space="preserve">④利润费率参照并≤苏建价（2016）154号文并结合2014年《费用定额》规定的费率。 </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 xml:space="preserve">⑤措施项目费不高于费用定额规定的费率，如费用定额规定浮动区间的，不高于浮动区间的中值，费用定额中未确定费率的项目不计取措施项目费。非夜间施工照明费、冬雨季施工增加费、已完工程及设备保护费、按质论价费不计取。 </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 xml:space="preserve">⑥现场安全文明施工措施费投标时按规定计取，结算时不论核定多少均包干结算，节余或不足均投标人承担。 </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投标报价的其他要求见投标人须知前附表。</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 xml:space="preserve">3.4投标报价统一采用人民币作为计量单位，并且精确到元、角、分(精确到小数点后二位数)。 </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3.5 投标人应参照国家的相应标准，结合自身综合实力、市场行情、本项目具体特点和技术要求对项目的设计费用和施工费用进行分开报价。项目设计费用是指完成设计范围内所进行初设、施工图设计的费用。</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 xml:space="preserve">3.6项目设计费用包括但不限于招标范围的相关费用（包含方案设计、方案优化、施工图设计费等）、获取相关设计资料、办公、交通、保险、人员、差旅、税费、施工图图审费用、专家评审费用、测试工具等费用、批文申报及协调及招标文件要求的其他费用等全部价格费用。 </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 xml:space="preserve">3.7 项目施工费用包括但不限于招标范围的相关费用、人工费、材料费、机械使用费、施工组织及技术措施费、管理费、利润、所有措施项目费、其他项目费、规费、税金、总承包服务费、附属工程临时工程、环境保护、特殊条件施工、地方矛盾处理、设备主材费、辅材费、现场施工围栏、竣工面的清理、垃圾清运、成品保护以及各种管线、建筑物、构筑物的加固围护费，以及政策性文件规定和市场风险及招标文件要求的其他费用等审批后施工图纸内的全部施工费用。 </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3.8本项目投标报价包括但不限于上述设计费用、上述施工费用、设备主材及辅材费（包括所有硬件、附件、配件、备品备件及专用工具费等）、手续办理费用、保险费、运输费、质保期内的维修费、验收费用、其他费用（如包装费、仓储费、质保、资料费以及完成本项目所需要的其他费用等）、招标文件要求的其他费用及所有价内价外税金及合理利润等。凡漏项或少计均视为已包含在本次投标报价的范围内，招标人不再另行增加费用，竣工结算时均不调整。</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3.9投标报价的其他要求：</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3.9.1工程总承包报价范围一般包括勘察费、设计费、建筑安装工程费、设备购置费、总承包其他费及暂列金额等（具体参考《房屋建筑和市政基础设施项目工程总承包计价计量规范》）；投标人应充分了解施工场地的位置、周边环境、道路、装卸、保管、安装限制以及影响投标报价的其他要素。投标人根据投标设计，结合市场情况进行投标报价。投标报价应根据招标文件中的有关计价要求，并按照下列依据自主报价，但不得低于成本。</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(1) 本招标文件及其补充通知、答疑纪要；</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(2) 参考《建设工程工程量清单计价规范》 (GB50500-2013)及其9本计算规范；</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(3) 国家或省级、行业建设主管部门颁发的计价办法；</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(4) 企业定额，国家或省级、行业建设主管部门颁发的计价定额；</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(5) 投标设计文件及相关资料；</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(6) 施工现场情况、工程特点及拟定的投标施工组织设计或施工方案；</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(7) 与建设项目相关的标准、规范、规程等技术资料；</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(8) 市场价格信息或工程造价管理机构发布的工程造价信息；</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(9) 其他的相关资料。</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3.9.2投标报价中应考虑招标文件中要求投标人承担的风险范围以及相关的费用。</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3.9.3投标总价为投标人在投标文件中提出的各项支付金额的总和，为实施、完成招标工程并修补缺陷以及履行招标文件中约定的风险范围内的所有责任和义务所发生的全部费用。</w:t>
      </w:r>
    </w:p>
    <w:p>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楷体" w:hAnsi="楷体" w:eastAsia="楷体" w:cs="楷体"/>
          <w:b/>
          <w:bCs/>
          <w:color w:val="auto"/>
          <w:sz w:val="24"/>
          <w:highlight w:val="none"/>
        </w:rPr>
      </w:pPr>
      <w:r>
        <w:rPr>
          <w:rFonts w:hint="eastAsia" w:ascii="楷体" w:hAnsi="楷体" w:eastAsia="楷体" w:cs="楷体"/>
          <w:b/>
          <w:bCs/>
          <w:color w:val="auto"/>
          <w:sz w:val="24"/>
          <w:highlight w:val="none"/>
        </w:rPr>
        <w:t>4、</w:t>
      </w:r>
      <w:bookmarkStart w:id="4" w:name="_Toc247527571"/>
      <w:bookmarkEnd w:id="4"/>
      <w:bookmarkStart w:id="5" w:name="_Toc300834967"/>
      <w:bookmarkEnd w:id="5"/>
      <w:bookmarkStart w:id="6" w:name="_Toc152042322"/>
      <w:bookmarkEnd w:id="6"/>
      <w:bookmarkStart w:id="7" w:name="_Toc152045546"/>
      <w:bookmarkEnd w:id="7"/>
      <w:bookmarkStart w:id="8" w:name="_Toc144974514"/>
      <w:bookmarkEnd w:id="8"/>
      <w:bookmarkStart w:id="9" w:name="_Toc247513970"/>
      <w:bookmarkEnd w:id="9"/>
      <w:r>
        <w:rPr>
          <w:rFonts w:hint="eastAsia" w:ascii="楷体" w:hAnsi="楷体" w:eastAsia="楷体" w:cs="楷体"/>
          <w:b/>
          <w:bCs/>
          <w:color w:val="auto"/>
          <w:sz w:val="24"/>
          <w:highlight w:val="none"/>
        </w:rPr>
        <w:t>招标控制价</w:t>
      </w:r>
    </w:p>
    <w:p>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jc w:val="left"/>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4.1本工程招标控制价为人民币</w:t>
      </w:r>
      <w:r>
        <w:rPr>
          <w:rFonts w:hint="eastAsia" w:ascii="楷体" w:hAnsi="楷体" w:eastAsia="楷体" w:cs="楷体"/>
          <w:b/>
          <w:bCs/>
          <w:color w:val="auto"/>
          <w:sz w:val="24"/>
          <w:highlight w:val="none"/>
          <w:u w:val="single"/>
        </w:rPr>
        <w:t>100万元（含暂列资金15万元）</w:t>
      </w:r>
      <w:r>
        <w:rPr>
          <w:rFonts w:hint="eastAsia" w:ascii="楷体" w:hAnsi="楷体" w:eastAsia="楷体" w:cs="楷体"/>
          <w:color w:val="auto"/>
          <w:sz w:val="24"/>
          <w:highlight w:val="none"/>
        </w:rPr>
        <w:t>。投标人的投标报价不得超过招标控制价，否则作为无效标书处理。</w:t>
      </w:r>
    </w:p>
    <w:p>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楷体" w:hAnsi="楷体" w:eastAsia="楷体" w:cs="楷体"/>
          <w:b/>
          <w:bCs/>
          <w:color w:val="auto"/>
          <w:sz w:val="24"/>
          <w:highlight w:val="none"/>
        </w:rPr>
      </w:pPr>
      <w:r>
        <w:rPr>
          <w:rFonts w:hint="eastAsia" w:ascii="楷体" w:hAnsi="楷体" w:eastAsia="楷体" w:cs="楷体"/>
          <w:b/>
          <w:bCs/>
          <w:color w:val="auto"/>
          <w:sz w:val="24"/>
          <w:highlight w:val="none"/>
        </w:rPr>
        <w:t>5、设计任务书、发包人要求</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盐城工业职业技术学院展铁军文化苑策展方案</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5.1指导思想</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为贯彻落实习近平总书记“把红色资源利用好、把红色传统发扬好、把红色基因传承好”的重要指示精神和《新时代公民道德建设实施纲要》《新时代爱国主义教育实施纲要》，引导盐城工业职业技术学院师生知晓党史军史，增进爱国情感、激发爱国热情，拟在盐城工业职业技术学院校园内建设铁军文化苑，以铁军精神广场、铁军文化展馆。</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5.2观众群定位：学校师生</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5.3主标题：铁军文化苑</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5.4设计内容</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5.4.1铁军精神广场及展廊周边展示</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创作主题雕塑，形成一定规模的具有仪式感的广场空间。同时通过展廊周边的提升，周边设计雕塑、或者制字、灯箱等方式进行整体新四军氛围的营造，展廊周边雕塑等展示单体个数不少于</w:t>
      </w:r>
      <w:r>
        <w:rPr>
          <w:rFonts w:ascii="楷体" w:hAnsi="楷体" w:eastAsia="楷体" w:cs="楷体"/>
          <w:color w:val="auto"/>
          <w:sz w:val="24"/>
          <w:highlight w:val="none"/>
        </w:rPr>
        <w:t>3</w:t>
      </w:r>
      <w:r>
        <w:rPr>
          <w:rFonts w:hint="eastAsia" w:ascii="楷体" w:hAnsi="楷体" w:eastAsia="楷体" w:cs="楷体"/>
          <w:color w:val="auto"/>
          <w:sz w:val="24"/>
          <w:highlight w:val="none"/>
        </w:rPr>
        <w:t>个，其中要有凸显“铁军精神”内涵的展示-- “听党指挥的铁的信念、报国为民的铁的担当、英勇顽强的铁的作风、执纪严明的铁的纪律”。</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楷体" w:hAnsi="楷体" w:eastAsia="楷体" w:cs="楷体"/>
          <w:color w:val="auto"/>
          <w:sz w:val="24"/>
          <w:highlight w:val="none"/>
        </w:rPr>
      </w:pP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5.4.2内部展示</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前厅：适当留下一个空间，以习近平同志的讲话作为整个铁军文化展馆的引领。</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让信仰之火熊熊不息，让红色基因融入血脉。让红色精神激发力量。</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四个展区。四个展区反映的《铁军征程》《铁军楷模》《铁军保障》《铁军廉政》和一个互动区域“铭记  传承”，但在展示时，在前后呼应的同时，展示内容又是各自独立的，设计时应有考虑，不能做成一个风格、一个展览贯穿始终。</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五个独立的展区组成</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（1）《铁军征程》简要介绍新四军历史征程</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（2）《铁军楷模》介绍中宣部、江苏省委宣传部评选出的为“新中国成立作出突出贡献的英雄模范人物”中的新四军代表</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（3）《铁军保障》展示新四军后勤工作发展的内容</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（4）《铁军廉政》展示新四军廉政建设工作。</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（5）《铭记 传承》，以跳跃、活泼的形式展示学校对新四军文化的继承与弘扬。</w:t>
      </w:r>
    </w:p>
    <w:p>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楷体" w:hAnsi="楷体" w:eastAsia="楷体" w:cs="楷体"/>
          <w:b/>
          <w:bCs/>
          <w:color w:val="auto"/>
          <w:sz w:val="24"/>
          <w:highlight w:val="none"/>
        </w:rPr>
      </w:pPr>
      <w:r>
        <w:rPr>
          <w:rFonts w:hint="eastAsia" w:ascii="楷体" w:hAnsi="楷体" w:eastAsia="楷体" w:cs="楷体"/>
          <w:b/>
          <w:bCs/>
          <w:color w:val="auto"/>
          <w:sz w:val="24"/>
          <w:highlight w:val="none"/>
        </w:rPr>
        <w:t>6、展示脚本（见附件）</w:t>
      </w:r>
    </w:p>
    <w:p>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楷体" w:hAnsi="楷体" w:eastAsia="楷体" w:cs="楷体"/>
          <w:b/>
          <w:bCs/>
          <w:color w:val="auto"/>
          <w:sz w:val="24"/>
          <w:highlight w:val="none"/>
        </w:rPr>
      </w:pPr>
      <w:r>
        <w:rPr>
          <w:rFonts w:hint="eastAsia" w:ascii="楷体" w:hAnsi="楷体" w:eastAsia="楷体" w:cs="楷体"/>
          <w:b/>
          <w:bCs/>
          <w:color w:val="auto"/>
          <w:sz w:val="24"/>
          <w:highlight w:val="none"/>
        </w:rPr>
        <w:t>7、展示材质要求：室外雕塑、半室外展廊展品要有一定的耐晒耐风雨耐腐蚀性能。 </w:t>
      </w:r>
    </w:p>
    <w:p>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楷体" w:hAnsi="楷体" w:eastAsia="楷体" w:cs="楷体"/>
          <w:b/>
          <w:bCs/>
          <w:color w:val="auto"/>
          <w:sz w:val="24"/>
          <w:highlight w:val="none"/>
        </w:rPr>
      </w:pPr>
      <w:r>
        <w:rPr>
          <w:rFonts w:hint="eastAsia" w:ascii="楷体" w:hAnsi="楷体" w:eastAsia="楷体" w:cs="楷体"/>
          <w:b/>
          <w:bCs/>
          <w:color w:val="auto"/>
          <w:sz w:val="24"/>
          <w:highlight w:val="none"/>
        </w:rPr>
        <w:t>8、中标人在深化设计方案优化后并经学校同意，方可施工，否则招标人有权不予以结算。</w:t>
      </w:r>
    </w:p>
    <w:p>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楷体" w:hAnsi="楷体" w:eastAsia="楷体" w:cs="楷体"/>
          <w:b/>
          <w:bCs/>
          <w:color w:val="auto"/>
          <w:sz w:val="24"/>
          <w:highlight w:val="none"/>
        </w:rPr>
      </w:pPr>
      <w:r>
        <w:rPr>
          <w:rFonts w:hint="eastAsia" w:ascii="楷体" w:hAnsi="楷体" w:eastAsia="楷体" w:cs="楷体"/>
          <w:b/>
          <w:bCs/>
          <w:color w:val="auto"/>
          <w:sz w:val="24"/>
          <w:highlight w:val="none"/>
        </w:rPr>
        <w:t>9、技术成果经济补偿</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招标人对符合招标文件规定的设计方案得分（仅指评标办法中专业工程设计文件得分）第一名、第二名单位的技术成果进行补偿，其中第一名补偿费用人民币1万元整、第二名补偿费用人民币3000元整，如是中标人（总得分排名第一）的则不给予补偿，计方案得分第三及以后的也不给予补偿。招标人享有对支付技术成果经济补偿费的各投标人的设计方案的知识产权和所有权，并有权使用此设计方案。</w:t>
      </w:r>
    </w:p>
    <w:p>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楷体" w:hAnsi="楷体" w:eastAsia="楷体" w:cs="楷体"/>
          <w:b/>
          <w:bCs/>
          <w:color w:val="auto"/>
          <w:sz w:val="24"/>
          <w:highlight w:val="none"/>
        </w:rPr>
      </w:pPr>
      <w:r>
        <w:rPr>
          <w:rFonts w:hint="eastAsia" w:ascii="楷体" w:hAnsi="楷体" w:eastAsia="楷体" w:cs="楷体"/>
          <w:b/>
          <w:bCs/>
          <w:color w:val="auto"/>
          <w:sz w:val="24"/>
          <w:highlight w:val="none"/>
        </w:rPr>
        <w:t>10、现场踏勘</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10.1投标人在投标前须踏勘现场，以便充分了解工地位置、涉及到现场需要改造及装修等部分内容、现场实际情况、道路、储存空间、装卸限制及任何其它足以影响报价的情况，并根据现场的实际情况将本项目可预见的相关费用和不可预见的相关费用自行考虑到投标报价中包干使用。采购人向投标人提供的有关现场的数据和资料，是采购人现有的能够被投标人利用的资料，投标人对该数据和资料做出的任何推论、理解和结论，采购人均不负责任。</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10.2投标人踏勘现场发生的费用自理，承担踏勘所发生的各种风险和损失。</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10.3现场踏勘时间：</w:t>
      </w:r>
      <w:r>
        <w:rPr>
          <w:rFonts w:hint="eastAsia" w:ascii="楷体" w:hAnsi="楷体" w:eastAsia="楷体" w:cs="楷体"/>
          <w:color w:val="auto"/>
          <w:sz w:val="24"/>
          <w:highlight w:val="none"/>
          <w:u w:val="single"/>
        </w:rPr>
        <w:t>2020年</w:t>
      </w:r>
      <w:r>
        <w:rPr>
          <w:rFonts w:hint="eastAsia" w:ascii="楷体" w:hAnsi="楷体" w:eastAsia="楷体" w:cs="楷体"/>
          <w:color w:val="auto"/>
          <w:sz w:val="24"/>
          <w:highlight w:val="none"/>
          <w:u w:val="single"/>
          <w:lang w:val="en-US" w:eastAsia="zh-CN"/>
        </w:rPr>
        <w:t>11</w:t>
      </w:r>
      <w:r>
        <w:rPr>
          <w:rFonts w:hint="eastAsia" w:ascii="楷体" w:hAnsi="楷体" w:eastAsia="楷体" w:cs="楷体"/>
          <w:color w:val="auto"/>
          <w:sz w:val="24"/>
          <w:highlight w:val="none"/>
          <w:u w:val="single"/>
        </w:rPr>
        <w:t>月</w:t>
      </w:r>
      <w:r>
        <w:rPr>
          <w:rFonts w:hint="eastAsia" w:ascii="楷体" w:hAnsi="楷体" w:eastAsia="楷体" w:cs="楷体"/>
          <w:color w:val="auto"/>
          <w:sz w:val="24"/>
          <w:highlight w:val="none"/>
          <w:u w:val="single"/>
          <w:lang w:val="en-US" w:eastAsia="zh-CN"/>
        </w:rPr>
        <w:t>9</w:t>
      </w:r>
      <w:r>
        <w:rPr>
          <w:rFonts w:hint="eastAsia" w:ascii="楷体" w:hAnsi="楷体" w:eastAsia="楷体" w:cs="楷体"/>
          <w:color w:val="auto"/>
          <w:sz w:val="24"/>
          <w:highlight w:val="none"/>
          <w:u w:val="single"/>
        </w:rPr>
        <w:t>日</w:t>
      </w:r>
      <w:r>
        <w:rPr>
          <w:rFonts w:hint="eastAsia" w:ascii="宋体" w:hAnsi="宋体" w:eastAsia="宋体" w:cs="宋体"/>
          <w:color w:val="auto"/>
          <w:sz w:val="24"/>
          <w:highlight w:val="none"/>
          <w:u w:val="single"/>
          <w:lang w:val="en-US" w:eastAsia="zh-CN"/>
        </w:rPr>
        <w:t>～</w:t>
      </w:r>
      <w:r>
        <w:rPr>
          <w:rFonts w:hint="eastAsia" w:ascii="楷体" w:hAnsi="楷体" w:eastAsia="楷体" w:cs="楷体"/>
          <w:color w:val="auto"/>
          <w:sz w:val="24"/>
          <w:highlight w:val="none"/>
          <w:u w:val="single"/>
          <w:lang w:val="en-US" w:eastAsia="zh-CN"/>
        </w:rPr>
        <w:t>11月11日每天</w:t>
      </w:r>
      <w:r>
        <w:rPr>
          <w:rFonts w:hint="eastAsia" w:ascii="楷体" w:hAnsi="楷体" w:eastAsia="楷体" w:cs="楷体"/>
          <w:color w:val="auto"/>
          <w:sz w:val="24"/>
          <w:highlight w:val="none"/>
          <w:u w:val="single"/>
        </w:rPr>
        <w:t>9：00-11：00</w:t>
      </w:r>
      <w:r>
        <w:rPr>
          <w:rFonts w:hint="eastAsia" w:ascii="楷体" w:hAnsi="楷体" w:eastAsia="楷体" w:cs="楷体"/>
          <w:color w:val="auto"/>
          <w:sz w:val="24"/>
          <w:highlight w:val="none"/>
        </w:rPr>
        <w:t>，因疫情防控需要，各投标人在前述时间段内到达学校。联系人：陈宏武，联系电话：0515-88583909，13770061361。</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br w:type="page"/>
      </w:r>
    </w:p>
    <w:p>
      <w:pPr>
        <w:spacing w:line="500" w:lineRule="exact"/>
        <w:jc w:val="center"/>
        <w:rPr>
          <w:rFonts w:ascii="楷体" w:hAnsi="楷体" w:eastAsia="楷体" w:cs="楷体"/>
          <w:b/>
          <w:bCs/>
          <w:color w:val="auto"/>
          <w:sz w:val="44"/>
          <w:highlight w:val="none"/>
        </w:rPr>
      </w:pPr>
      <w:r>
        <w:rPr>
          <w:rFonts w:hint="eastAsia" w:ascii="楷体" w:hAnsi="楷体" w:eastAsia="楷体" w:cs="楷体"/>
          <w:b/>
          <w:color w:val="auto"/>
          <w:sz w:val="44"/>
          <w:szCs w:val="44"/>
          <w:highlight w:val="none"/>
        </w:rPr>
        <w:t>第四部分  投标文件编制方法及要求</w:t>
      </w:r>
    </w:p>
    <w:p>
      <w:pPr>
        <w:spacing w:line="500" w:lineRule="exact"/>
        <w:ind w:firstLine="482" w:firstLineChars="200"/>
        <w:rPr>
          <w:rFonts w:ascii="楷体" w:hAnsi="楷体" w:eastAsia="楷体" w:cs="楷体"/>
          <w:b/>
          <w:bCs/>
          <w:color w:val="auto"/>
          <w:sz w:val="24"/>
          <w:highlight w:val="none"/>
        </w:rPr>
      </w:pPr>
    </w:p>
    <w:p>
      <w:pPr>
        <w:spacing w:line="500" w:lineRule="exact"/>
        <w:ind w:firstLine="482" w:firstLineChars="200"/>
        <w:rPr>
          <w:rFonts w:ascii="楷体" w:hAnsi="楷体" w:eastAsia="楷体" w:cs="楷体"/>
          <w:b/>
          <w:bCs/>
          <w:color w:val="auto"/>
          <w:sz w:val="24"/>
          <w:highlight w:val="none"/>
        </w:rPr>
      </w:pPr>
      <w:r>
        <w:rPr>
          <w:rFonts w:hint="eastAsia" w:ascii="楷体" w:hAnsi="楷体" w:eastAsia="楷体" w:cs="楷体"/>
          <w:b/>
          <w:bCs/>
          <w:color w:val="auto"/>
          <w:sz w:val="24"/>
          <w:highlight w:val="none"/>
        </w:rPr>
        <w:t>1、投标报价文件的编制依据及要求</w:t>
      </w:r>
    </w:p>
    <w:p>
      <w:pPr>
        <w:spacing w:line="500" w:lineRule="exact"/>
        <w:ind w:left="-1" w:firstLine="482" w:firstLineChars="200"/>
        <w:outlineLvl w:val="0"/>
        <w:rPr>
          <w:rFonts w:ascii="楷体" w:hAnsi="楷体" w:eastAsia="楷体" w:cs="楷体"/>
          <w:b/>
          <w:color w:val="auto"/>
          <w:sz w:val="24"/>
          <w:highlight w:val="none"/>
        </w:rPr>
      </w:pPr>
      <w:r>
        <w:rPr>
          <w:rFonts w:hint="eastAsia" w:ascii="楷体" w:hAnsi="楷体" w:eastAsia="楷体" w:cs="楷体"/>
          <w:b/>
          <w:color w:val="auto"/>
          <w:sz w:val="24"/>
          <w:highlight w:val="none"/>
        </w:rPr>
        <w:t>1.1投标报价文件编制的依据：</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1.1.1招标人发出的招标文件、答疑文件、补充通知；</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1.1.2招标人提供的设计任务书和设定的招标控制价；</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1.1.3《建设工程工程量清单计价规范》（GB50500-2013）、《房屋建筑与装饰工程工程量计算规范》（GB50854-2013）、《市政工程工程量计算规范》（GB50857-2013）、《通用安装工程工程量计算规范》（GB50856-2013）……（以下简称《工程量计算规范》）、《江苏省房屋建筑与装饰工程计价定额》（2014版）、《江苏省安装工程计价定额》（2014版）和《江苏省</w:t>
      </w:r>
      <w:r>
        <w:rPr>
          <w:rFonts w:hint="eastAsia" w:ascii="楷体" w:hAnsi="楷体" w:eastAsia="楷体" w:cs="楷体"/>
          <w:color w:val="auto"/>
          <w:sz w:val="24"/>
          <w:highlight w:val="none"/>
          <w:u w:val="single"/>
        </w:rPr>
        <w:t>市政</w:t>
      </w:r>
      <w:r>
        <w:rPr>
          <w:rFonts w:hint="eastAsia" w:ascii="楷体" w:hAnsi="楷体" w:eastAsia="楷体" w:cs="楷体"/>
          <w:color w:val="auto"/>
          <w:sz w:val="24"/>
          <w:highlight w:val="none"/>
        </w:rPr>
        <w:t>工程计价定额》（2014版）……（以下简称《计价定额》）、《江苏省建设工程费用定额》（2014年）及</w:t>
      </w:r>
      <w:r>
        <w:rPr>
          <w:rFonts w:hint="eastAsia" w:ascii="楷体" w:hAnsi="楷体" w:eastAsia="楷体" w:cs="楷体"/>
          <w:b/>
          <w:color w:val="auto"/>
          <w:sz w:val="24"/>
          <w:highlight w:val="none"/>
        </w:rPr>
        <w:t>营改增后调整内容</w:t>
      </w:r>
      <w:r>
        <w:rPr>
          <w:rFonts w:hint="eastAsia" w:ascii="楷体" w:hAnsi="楷体" w:eastAsia="楷体" w:cs="楷体"/>
          <w:color w:val="auto"/>
          <w:sz w:val="24"/>
          <w:highlight w:val="none"/>
        </w:rPr>
        <w:t>（以下简称《费用定额》）、《盐城工程造价》、相关计价文件等。</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1.1.4省、市现行其他相关配套文件；　　　</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1.1.5与建设项目相关的标准、施工和验收规范等技术资料；</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1.1.6 施工现场情况、工程特点及投标人拟采用的施工组织设计和施工技术方案；</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1.1.7 投标人的企业定额及投标期间的各类材料市场价格信息或工程造价管理机构发布的工程造价信息；</w:t>
      </w:r>
    </w:p>
    <w:p>
      <w:pPr>
        <w:spacing w:line="500" w:lineRule="exact"/>
        <w:ind w:left="-1" w:firstLine="482" w:firstLineChars="200"/>
        <w:outlineLvl w:val="0"/>
        <w:rPr>
          <w:rFonts w:ascii="楷体" w:hAnsi="楷体" w:eastAsia="楷体" w:cs="楷体"/>
          <w:b/>
          <w:color w:val="auto"/>
          <w:sz w:val="24"/>
          <w:highlight w:val="none"/>
        </w:rPr>
      </w:pPr>
      <w:r>
        <w:rPr>
          <w:rFonts w:hint="eastAsia" w:ascii="楷体" w:hAnsi="楷体" w:eastAsia="楷体" w:cs="楷体"/>
          <w:b/>
          <w:color w:val="auto"/>
          <w:sz w:val="24"/>
          <w:highlight w:val="none"/>
        </w:rPr>
        <w:t>1.2投标报价文件编制的要求：</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1.2.1投标报价应包括投标人在承诺工期内，达到投标人所承诺的质量标准，为完成施工图纸、招标文件等所确定的招标范围内（包括完成缺陷责任期内的全部工作）的全部内容所需要支付的各项金额的总和。投标人须充分考虑为完成上述内容所必须的设计费、人工费、材料费、机械费、管理费、利润、规费、措施费、税金以及场地整理、附属工程、临时工程、环境保护、特殊条件施工、材料损耗、现场施工围栏、竣工面的清理、垃圾清运、成品保护、各种管线、建筑物、构筑物的加固围护费用、天气变化、不同专业的交叉施工影响、一周内临时停电或停水导致停工累计不超过8小时所发生的费用、施工用水、施工用电、招标综合服务费、设计费、一定范围内的风险因素等其他各项应有的全部费用，并计入投标报价中，凡漏项或少计均视为已包含在本次投标报价的范围以内，采购人不再另行增加费用，竣工结算时不再调整价格。</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1.2.2投标人必须按现行有关规定的费率计取现场安全文明施工措施费基本费、标化增加费及扬尘污染防治增加费、为完成本项目发生的所有措施项目费、管理费、利润、规费（包括环境保护税、社会保险费、住房公积金）和税金，上述费用含在投标报价中。</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1.2.3投标人在投标报价时未填报报价的工程量清单项目，招标人视为已包括在总价中，无论何种原因使该清单项目发生工程量的变更，结算时均不作调整。</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1.2.4投标人在投标报价时，不得进行投标总价或合价的优惠（或降价、让利）或隐性提价；综合单价与工程量的乘积应与合价一致。</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1.2.5投标人应充分考虑施工期间各类材料的市场风险和国家政策性调整风险系数，除合同约定可以调整的因素外，在合同实施期间材料价格不因市场变化或其他任何因素变化而变动，投标人在投标报价时应充分考虑本项目合同的风险。</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 xml:space="preserve">1.2.6除计价规范另有规定外，投标文件使用的度量衡单位，均采用中华人民共和国法定计量单位，投标文件和与投标有关的所有文件均应使用中文，投标报价统一采用人民币作为计量单位。 </w:t>
      </w:r>
    </w:p>
    <w:p>
      <w:pPr>
        <w:spacing w:line="500" w:lineRule="exact"/>
        <w:ind w:firstLine="482" w:firstLineChars="200"/>
        <w:rPr>
          <w:rFonts w:ascii="楷体" w:hAnsi="楷体" w:eastAsia="楷体" w:cs="楷体"/>
          <w:b/>
          <w:bCs/>
          <w:color w:val="auto"/>
          <w:sz w:val="24"/>
          <w:highlight w:val="none"/>
        </w:rPr>
      </w:pPr>
      <w:r>
        <w:rPr>
          <w:rFonts w:hint="eastAsia" w:ascii="楷体" w:hAnsi="楷体" w:eastAsia="楷体" w:cs="楷体"/>
          <w:b/>
          <w:bCs/>
          <w:color w:val="auto"/>
          <w:sz w:val="24"/>
          <w:highlight w:val="none"/>
        </w:rPr>
        <w:t>2、投标文件的编制方法及要求</w:t>
      </w:r>
    </w:p>
    <w:p>
      <w:pPr>
        <w:spacing w:line="480" w:lineRule="exact"/>
        <w:ind w:left="-1" w:firstLine="482"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2.1本次招标的投标文件共为</w:t>
      </w:r>
      <w:r>
        <w:rPr>
          <w:rFonts w:hint="eastAsia" w:ascii="楷体" w:hAnsi="楷体" w:eastAsia="楷体" w:cs="楷体"/>
          <w:b/>
          <w:color w:val="auto"/>
          <w:sz w:val="24"/>
          <w:szCs w:val="30"/>
          <w:highlight w:val="none"/>
        </w:rPr>
        <w:t>一号标书1个</w:t>
      </w:r>
      <w:r>
        <w:rPr>
          <w:rFonts w:hint="eastAsia" w:ascii="楷体" w:hAnsi="楷体" w:eastAsia="楷体" w:cs="楷体"/>
          <w:b/>
          <w:color w:val="auto"/>
          <w:sz w:val="24"/>
          <w:highlight w:val="none"/>
        </w:rPr>
        <w:t>标书，份数为正本1份、副本4份。</w:t>
      </w:r>
    </w:p>
    <w:p>
      <w:pPr>
        <w:spacing w:line="480" w:lineRule="exact"/>
        <w:ind w:left="-1" w:firstLine="482"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2.2 一号标书应包括的内容：</w:t>
      </w:r>
    </w:p>
    <w:p>
      <w:pPr>
        <w:spacing w:line="48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2.2.1 封面（样式见附件）。</w:t>
      </w:r>
    </w:p>
    <w:p>
      <w:pPr>
        <w:spacing w:line="48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2.2.2 投标承诺书；法定代表人投标的须提供法定代表人身份证明书（如委托代理人投标的须提供授权委托书）；诚信承诺书</w:t>
      </w:r>
      <w:r>
        <w:rPr>
          <w:rFonts w:hint="eastAsia" w:ascii="楷体" w:hAnsi="楷体" w:eastAsia="楷体" w:cs="楷体"/>
          <w:color w:val="auto"/>
          <w:sz w:val="24"/>
          <w:szCs w:val="30"/>
          <w:highlight w:val="none"/>
        </w:rPr>
        <w:t>（格式见附件）</w:t>
      </w:r>
      <w:r>
        <w:rPr>
          <w:rFonts w:hint="eastAsia" w:ascii="楷体" w:hAnsi="楷体" w:eastAsia="楷体" w:cs="楷体"/>
          <w:color w:val="auto"/>
          <w:sz w:val="24"/>
          <w:highlight w:val="none"/>
        </w:rPr>
        <w:t>。</w:t>
      </w:r>
    </w:p>
    <w:p>
      <w:pPr>
        <w:spacing w:line="48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2.2.3工程量清单计价成果文件（投标报价明细表）；</w:t>
      </w:r>
    </w:p>
    <w:p>
      <w:pPr>
        <w:tabs>
          <w:tab w:val="left" w:pos="6161"/>
        </w:tabs>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2.2.4符合招标文件要求的有效的投标人资质证书（如为联合体的，所有单位均须提供）、安全生产许可证（如为联合体的，装饰工程施工企业提供）、营业执照（如为联合体的，所有单位均须提供）、项目负责人建造师注册证书（如为联合体的，任一单位提供）、项目负责人安全生产考核合格证书（B类）（如为联合体的，任一单位提供）的原件及复印件。注：能有效识别二维码的复印件加盖证书持有单位公章和能有效识别二维码的电子证书加盖证书持有单位公章可视为原件；</w:t>
      </w:r>
    </w:p>
    <w:p>
      <w:pPr>
        <w:tabs>
          <w:tab w:val="left" w:pos="6161"/>
        </w:tabs>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2.2.5联合体协议书（如为联合体投标时须提供）；</w:t>
      </w:r>
    </w:p>
    <w:p>
      <w:pPr>
        <w:tabs>
          <w:tab w:val="left" w:pos="6161"/>
        </w:tabs>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2.2.6项目管理组织方案（具体内容详按设计任务书要求和评标办法中评审标准进行针对性编制）；</w:t>
      </w:r>
    </w:p>
    <w:p>
      <w:pPr>
        <w:tabs>
          <w:tab w:val="left" w:pos="6161"/>
        </w:tabs>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2.2.7设计方案（具体内容详按设计任务书要求和评标办法中评审标准进行针对性编制）。</w:t>
      </w:r>
      <w:r>
        <w:rPr>
          <w:rFonts w:hint="eastAsia" w:ascii="楷体" w:hAnsi="楷体" w:eastAsia="楷体" w:cs="楷体"/>
          <w:color w:val="auto"/>
          <w:sz w:val="24"/>
          <w:highlight w:val="none"/>
        </w:rPr>
        <w:tab/>
      </w:r>
    </w:p>
    <w:p>
      <w:pPr>
        <w:spacing w:line="500" w:lineRule="exact"/>
        <w:ind w:firstLine="482"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注：以上2.2.1～2.2.7项材料装订成册,如有证书原件无需装订直接放入封袋中。如投标人投标文件中正副本不全，将不作为中标候选人。</w:t>
      </w:r>
    </w:p>
    <w:p>
      <w:pPr>
        <w:spacing w:line="500" w:lineRule="exact"/>
        <w:ind w:firstLine="482"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评审过程中对投标人所提供的资料要求以评标办法及上述一号标书组成规定为准，其他部分如有涉及，一律不作为评审依据。</w:t>
      </w:r>
    </w:p>
    <w:p>
      <w:pPr>
        <w:spacing w:line="500" w:lineRule="exact"/>
        <w:ind w:firstLine="482"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2.4投标文件编制的其他要求：</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2.4.1招标文件提供的表式投标人应使用，但表式可以按同样格式拓展。</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2.4.2投标文件须用不能擦去的黑字书写或打印，正、副本分别装订成册，并在封面上正确标明“正本”、“副本”字样。正、副本不一致时，以正本为准。如投标人未按要求标明“正本”或“副本”标志，出现投标文件相互矛盾的情况时，评标委员会将作出不利于投标人的认定。</w:t>
      </w:r>
    </w:p>
    <w:p>
      <w:pPr>
        <w:spacing w:line="500" w:lineRule="exact"/>
        <w:ind w:firstLine="482" w:firstLineChars="200"/>
        <w:outlineLvl w:val="0"/>
        <w:rPr>
          <w:rFonts w:ascii="楷体" w:hAnsi="楷体" w:eastAsia="楷体" w:cs="楷体"/>
          <w:b/>
          <w:bCs/>
          <w:color w:val="auto"/>
          <w:sz w:val="24"/>
          <w:highlight w:val="none"/>
        </w:rPr>
      </w:pPr>
      <w:r>
        <w:rPr>
          <w:rFonts w:hint="eastAsia" w:ascii="楷体" w:hAnsi="楷体" w:eastAsia="楷体" w:cs="楷体"/>
          <w:b/>
          <w:bCs/>
          <w:color w:val="auto"/>
          <w:sz w:val="24"/>
          <w:highlight w:val="none"/>
        </w:rPr>
        <w:t>3、投标有效期</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3.1本招标项目投标有效期见第一部分投标须知。</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 xml:space="preserve">3.2在投标有效期内，投标人不得要求撤销或修改其投标文件。 </w:t>
      </w:r>
      <w:r>
        <w:rPr>
          <w:rFonts w:hint="eastAsia" w:ascii="楷体" w:hAnsi="楷体" w:eastAsia="楷体" w:cs="楷体"/>
          <w:color w:val="auto"/>
          <w:sz w:val="24"/>
          <w:highlight w:val="none"/>
        </w:rPr>
        <w:cr/>
      </w:r>
      <w:r>
        <w:rPr>
          <w:rFonts w:hint="eastAsia" w:ascii="楷体" w:hAnsi="楷体" w:eastAsia="楷体" w:cs="楷体"/>
          <w:color w:val="auto"/>
          <w:sz w:val="24"/>
          <w:highlight w:val="none"/>
        </w:rPr>
        <w:t xml:space="preserve">    3.3在投标有效期结束前，出现特殊情况需要延长投标有效期的，招标人可以书面形式要求所有投标人延长投标有效期。投标人同意延长的，不得要求或被允许修改其投标文件，但相应延长其投标保证金的有效期；投标人拒绝延长的，其投标失败，但投标人有权收回其投标保证金。</w:t>
      </w:r>
    </w:p>
    <w:p>
      <w:pPr>
        <w:spacing w:line="500" w:lineRule="exact"/>
        <w:ind w:firstLine="482"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4、投标文件的密封与标志</w:t>
      </w:r>
    </w:p>
    <w:p>
      <w:pPr>
        <w:spacing w:line="500" w:lineRule="exact"/>
        <w:ind w:firstLine="480" w:firstLineChars="200"/>
        <w:rPr>
          <w:rFonts w:ascii="楷体" w:hAnsi="楷体" w:eastAsia="楷体" w:cs="楷体"/>
          <w:color w:val="auto"/>
          <w:sz w:val="24"/>
          <w:highlight w:val="none"/>
          <w:u w:val="single"/>
        </w:rPr>
      </w:pPr>
      <w:r>
        <w:rPr>
          <w:rFonts w:hint="eastAsia" w:ascii="楷体" w:hAnsi="楷体" w:eastAsia="楷体" w:cs="楷体"/>
          <w:color w:val="auto"/>
          <w:sz w:val="24"/>
          <w:highlight w:val="none"/>
        </w:rPr>
        <w:t>4.1投标文件按招标文件和格式、样式要求装订、签署和盖章后应装入一号标书封袋，封袋大小根据需要自行制作，在每个封袋上正确标明工程名称、投标人名称、标书号。</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4.2所有投标文件装入封袋后都必须在封口处密封并加盖投标人公章。</w:t>
      </w:r>
    </w:p>
    <w:p>
      <w:pPr>
        <w:spacing w:line="500" w:lineRule="exact"/>
        <w:ind w:firstLine="482"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5、投标文件的递交</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5.1投标人必须在招标文件规定的投标文件递交截止时间前完成投标文件的递交。</w:t>
      </w:r>
    </w:p>
    <w:p>
      <w:pPr>
        <w:snapToGrid w:val="0"/>
        <w:spacing w:line="440" w:lineRule="exact"/>
        <w:ind w:firstLine="480" w:firstLineChars="200"/>
        <w:jc w:val="left"/>
        <w:rPr>
          <w:rFonts w:ascii="楷体" w:hAnsi="楷体" w:eastAsia="楷体" w:cs="楷体"/>
          <w:color w:val="auto"/>
          <w:sz w:val="24"/>
          <w:highlight w:val="none"/>
        </w:rPr>
      </w:pPr>
      <w:r>
        <w:rPr>
          <w:rFonts w:hint="eastAsia" w:ascii="楷体" w:hAnsi="楷体" w:eastAsia="楷体" w:cs="楷体"/>
          <w:color w:val="auto"/>
          <w:sz w:val="24"/>
          <w:highlight w:val="none"/>
        </w:rPr>
        <w:t>5.2投标人递交投标文件的地点：见投标须知前附表。</w:t>
      </w:r>
    </w:p>
    <w:p>
      <w:pPr>
        <w:pStyle w:val="10"/>
        <w:adjustRightInd w:val="0"/>
        <w:snapToGrid w:val="0"/>
        <w:spacing w:line="440" w:lineRule="exact"/>
        <w:ind w:firstLine="482"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6、投标文件的修改与撤回</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 xml:space="preserve">6.1在招标文件规定的投标截止时间之前，投标人可对所递交的投标文件进行修改或撤回，但必须以书面形式通知招标人。 </w:t>
      </w:r>
      <w:r>
        <w:rPr>
          <w:rFonts w:hint="eastAsia" w:ascii="楷体" w:hAnsi="楷体" w:eastAsia="楷体" w:cs="楷体"/>
          <w:color w:val="auto"/>
          <w:sz w:val="24"/>
          <w:highlight w:val="none"/>
        </w:rPr>
        <w:cr/>
      </w:r>
      <w:r>
        <w:rPr>
          <w:rFonts w:hint="eastAsia" w:ascii="楷体" w:hAnsi="楷体" w:eastAsia="楷体" w:cs="楷体"/>
          <w:color w:val="auto"/>
          <w:sz w:val="24"/>
          <w:highlight w:val="none"/>
        </w:rPr>
        <w:t xml:space="preserve">    6.2所递交的修改或撤回通知必须按照本招标文件中对投标文件的要求进行编制、装订、密封、标志（在包封上标明“修改”或“撤回”字样，并注明修改或撤回的时间）和递交。</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6.3修改的内容为投标文件的组成部分。</w:t>
      </w:r>
    </w:p>
    <w:p>
      <w:pPr>
        <w:spacing w:line="500" w:lineRule="exact"/>
        <w:ind w:firstLine="482"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7、投标费用</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投标人应承担其编制和递交投标文件所涉及的一切费用，无论投标结果如何，招标人对上述费用不负任何责任。</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本项目招标代理服务费（收费标准按计价格（2002）1980号文规定的标准×42%计取，如低于3000元的直接按3000元计取）由中标人承担，各投标人在投标报价时须将上述两项费用自行综合考虑分摊含进投标报价中，且不得单列，在开具中标通知书前一次性交纳。招标人不再承担上述费用。</w:t>
      </w:r>
    </w:p>
    <w:p>
      <w:pPr>
        <w:spacing w:line="500" w:lineRule="exact"/>
        <w:rPr>
          <w:rFonts w:ascii="楷体" w:hAnsi="楷体" w:eastAsia="楷体" w:cs="楷体"/>
          <w:b/>
          <w:color w:val="auto"/>
          <w:sz w:val="44"/>
          <w:szCs w:val="44"/>
          <w:highlight w:val="none"/>
        </w:rPr>
      </w:pPr>
    </w:p>
    <w:p>
      <w:pPr>
        <w:pStyle w:val="7"/>
        <w:rPr>
          <w:rFonts w:ascii="楷体" w:hAnsi="楷体" w:eastAsia="楷体" w:cs="楷体"/>
          <w:b/>
          <w:color w:val="auto"/>
          <w:sz w:val="44"/>
          <w:szCs w:val="44"/>
          <w:highlight w:val="none"/>
        </w:rPr>
      </w:pPr>
    </w:p>
    <w:p>
      <w:pPr>
        <w:rPr>
          <w:rFonts w:hint="eastAsia" w:ascii="楷体" w:hAnsi="楷体" w:eastAsia="楷体" w:cs="楷体"/>
          <w:b/>
          <w:color w:val="auto"/>
          <w:sz w:val="44"/>
          <w:szCs w:val="44"/>
          <w:highlight w:val="none"/>
        </w:rPr>
      </w:pPr>
      <w:r>
        <w:rPr>
          <w:rFonts w:hint="eastAsia" w:ascii="楷体" w:hAnsi="楷体" w:eastAsia="楷体" w:cs="楷体"/>
          <w:b/>
          <w:color w:val="auto"/>
          <w:sz w:val="44"/>
          <w:szCs w:val="44"/>
          <w:highlight w:val="none"/>
        </w:rPr>
        <w:br w:type="page"/>
      </w:r>
    </w:p>
    <w:p>
      <w:pPr>
        <w:widowControl/>
        <w:jc w:val="center"/>
        <w:rPr>
          <w:rFonts w:ascii="楷体" w:hAnsi="楷体" w:eastAsia="楷体" w:cs="楷体"/>
          <w:b/>
          <w:bCs/>
          <w:color w:val="auto"/>
          <w:sz w:val="44"/>
          <w:highlight w:val="none"/>
        </w:rPr>
      </w:pPr>
      <w:r>
        <w:rPr>
          <w:rFonts w:hint="eastAsia" w:ascii="楷体" w:hAnsi="楷体" w:eastAsia="楷体" w:cs="楷体"/>
          <w:b/>
          <w:color w:val="auto"/>
          <w:sz w:val="44"/>
          <w:szCs w:val="44"/>
          <w:highlight w:val="none"/>
        </w:rPr>
        <w:t>第五部分  开标 评标 定标</w:t>
      </w:r>
    </w:p>
    <w:p>
      <w:pPr>
        <w:spacing w:line="500" w:lineRule="exact"/>
        <w:ind w:left="-1" w:firstLine="480" w:firstLineChars="200"/>
        <w:rPr>
          <w:rFonts w:ascii="楷体" w:hAnsi="楷体" w:eastAsia="楷体" w:cs="楷体"/>
          <w:color w:val="auto"/>
          <w:sz w:val="24"/>
          <w:highlight w:val="none"/>
        </w:rPr>
      </w:pPr>
    </w:p>
    <w:p>
      <w:pPr>
        <w:spacing w:line="500" w:lineRule="exact"/>
        <w:ind w:firstLine="482"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1、评标定标办法和评标规则</w:t>
      </w:r>
    </w:p>
    <w:p>
      <w:pPr>
        <w:spacing w:line="500" w:lineRule="exact"/>
        <w:ind w:firstLine="480" w:firstLineChars="200"/>
        <w:rPr>
          <w:rFonts w:ascii="楷体" w:hAnsi="楷体" w:eastAsia="楷体" w:cs="楷体"/>
          <w:b/>
          <w:color w:val="auto"/>
          <w:sz w:val="24"/>
          <w:highlight w:val="none"/>
        </w:rPr>
      </w:pPr>
      <w:r>
        <w:rPr>
          <w:rFonts w:hint="eastAsia" w:ascii="楷体" w:hAnsi="楷体" w:eastAsia="楷体" w:cs="楷体"/>
          <w:color w:val="auto"/>
          <w:sz w:val="24"/>
          <w:highlight w:val="none"/>
        </w:rPr>
        <w:t>本项目评标办法采用</w:t>
      </w:r>
      <w:r>
        <w:rPr>
          <w:rFonts w:hint="eastAsia" w:ascii="楷体" w:hAnsi="楷体" w:eastAsia="楷体" w:cs="楷体"/>
          <w:color w:val="auto"/>
          <w:sz w:val="24"/>
          <w:highlight w:val="none"/>
          <w:u w:val="single"/>
        </w:rPr>
        <w:t>综合评估法</w:t>
      </w:r>
      <w:r>
        <w:rPr>
          <w:rFonts w:hint="eastAsia" w:ascii="楷体" w:hAnsi="楷体" w:eastAsia="楷体" w:cs="楷体"/>
          <w:color w:val="auto"/>
          <w:sz w:val="24"/>
          <w:highlight w:val="none"/>
        </w:rPr>
        <w:t>，评标委员会按评标办法推荐有排序的中标候选人，由招标人依照国家有关法律、法规及定标办法确定中标人，具体评标定标办法及评标规则详见第七部分。</w:t>
      </w:r>
    </w:p>
    <w:p>
      <w:pPr>
        <w:spacing w:line="500" w:lineRule="exact"/>
        <w:ind w:firstLine="482"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2、开标、评标、定标</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2.1开标按投标须知前附表规定的时间、地点举行。</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开标由招标人或其委托的招标代理机构主持，并由投标人代表或招标人委托的公证人员检查投标文件的密封情况，工作人员当众启封有效投标文件及修改文件，宣读投标文件的主要内容。</w:t>
      </w:r>
    </w:p>
    <w:p>
      <w:pPr>
        <w:spacing w:line="500" w:lineRule="exact"/>
        <w:ind w:left="-1" w:firstLine="482"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投标人对开标内容有异议的，应当在开标现场提出，否则视同认可。</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2.2评标由招标人依法组建的评标委员会负责。评标委员会应当按照招标文件确定的评标标准和方法，对投标文件进行评审和比较，并根据评标办法约定的数量推荐标明顺序的中标候选人。</w:t>
      </w:r>
    </w:p>
    <w:p>
      <w:pPr>
        <w:spacing w:line="44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2.3招标人根据评标委员会提出的书面评标报告和推荐的中标候选人依法确定中标人。</w:t>
      </w:r>
    </w:p>
    <w:p>
      <w:pPr>
        <w:spacing w:line="500" w:lineRule="exact"/>
        <w:ind w:firstLine="482"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3、评标定标办法</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详见第七部分。</w:t>
      </w:r>
    </w:p>
    <w:p>
      <w:pPr>
        <w:spacing w:line="500" w:lineRule="exact"/>
        <w:ind w:firstLine="482"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4、投标文件有下列情况之一的，属于重大偏差，视为未能对招标文件作出实质性响应，作为无效投标予以否决：</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4.1投标文件中的投标函未加盖投标人的公章；</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4.2投标文件中的投标函未加盖企业法定代表人（或企业法定代表人委托代理人）印章（或签字）的；</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4.3投标函加盖企业法定代表人委托代理人印章（或签字），企业法定代表人委托代理人没有合法、有效的委托书（原件）的；</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4.4投标人资质条件不符合国家有关规定，或者不满足招标文件规定的资格条件；</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4.5投标报价低于工程成本或者高于招标文件设定的招标控制价的；</w:t>
      </w:r>
    </w:p>
    <w:p>
      <w:pPr>
        <w:spacing w:line="500" w:lineRule="exact"/>
        <w:rPr>
          <w:rFonts w:ascii="楷体" w:hAnsi="楷体" w:eastAsia="楷体" w:cs="楷体"/>
          <w:vanish/>
          <w:color w:val="auto"/>
          <w:sz w:val="24"/>
          <w:highlight w:val="none"/>
        </w:rPr>
      </w:pPr>
      <w:r>
        <w:rPr>
          <w:rFonts w:hint="eastAsia" w:ascii="楷体" w:hAnsi="楷体" w:eastAsia="楷体" w:cs="楷体"/>
          <w:vanish/>
          <w:color w:val="auto"/>
          <w:sz w:val="24"/>
          <w:highlight w:val="none"/>
        </w:rPr>
        <w:t>情况除外于成本或者高于招标文件设定的最高投标限价的）绝其投标）</w:t>
      </w:r>
    </w:p>
    <w:p>
      <w:pPr>
        <w:spacing w:line="500" w:lineRule="exact"/>
        <w:ind w:firstLine="480"/>
        <w:rPr>
          <w:rFonts w:ascii="楷体" w:hAnsi="楷体" w:eastAsia="楷体" w:cs="楷体"/>
          <w:color w:val="auto"/>
          <w:sz w:val="24"/>
          <w:highlight w:val="none"/>
        </w:rPr>
      </w:pPr>
      <w:r>
        <w:rPr>
          <w:rFonts w:hint="eastAsia" w:ascii="楷体" w:hAnsi="楷体" w:eastAsia="楷体" w:cs="楷体"/>
          <w:color w:val="auto"/>
          <w:sz w:val="24"/>
          <w:highlight w:val="none"/>
        </w:rPr>
        <w:t>4.6同一投标人提交两个及以上不同的投标文件或者投标报价，但招标文件规定提交备选投标的除外；</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4.7投标文件中已标价工程量清单与招标文件规定的暂估价、暂列金额及甲供材料价格不一致的；</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4.8投标文件中已标价工程量清单与招标文件明确列出的不可竞争费用项目或费率或计算基础不一致的；</w:t>
      </w:r>
    </w:p>
    <w:p>
      <w:pPr>
        <w:spacing w:line="500" w:lineRule="exact"/>
        <w:ind w:firstLine="480"/>
        <w:rPr>
          <w:rFonts w:ascii="楷体" w:hAnsi="楷体" w:eastAsia="楷体" w:cs="楷体"/>
          <w:color w:val="auto"/>
          <w:sz w:val="24"/>
          <w:highlight w:val="none"/>
        </w:rPr>
      </w:pPr>
      <w:r>
        <w:rPr>
          <w:rFonts w:hint="eastAsia" w:ascii="楷体" w:hAnsi="楷体" w:eastAsia="楷体" w:cs="楷体"/>
          <w:vanish/>
          <w:color w:val="auto"/>
          <w:sz w:val="24"/>
          <w:highlight w:val="none"/>
        </w:rPr>
        <w:t xml:space="preserve">    16.15</w:t>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color w:val="auto"/>
          <w:sz w:val="24"/>
          <w:highlight w:val="none"/>
        </w:rPr>
        <w:t>4.9投标文件中已标价工程量清单与招标文件提供的工程量清单中的序号、项目名称、项目特征、单位、数量不一致的；</w:t>
      </w:r>
    </w:p>
    <w:p>
      <w:pPr>
        <w:spacing w:line="500" w:lineRule="exact"/>
        <w:rPr>
          <w:rFonts w:ascii="楷体" w:hAnsi="楷体" w:eastAsia="楷体" w:cs="楷体"/>
          <w:color w:val="auto"/>
          <w:sz w:val="24"/>
          <w:highlight w:val="none"/>
        </w:rPr>
      </w:pPr>
      <w:r>
        <w:rPr>
          <w:rFonts w:hint="eastAsia" w:ascii="楷体" w:hAnsi="楷体" w:eastAsia="楷体" w:cs="楷体"/>
          <w:color w:val="auto"/>
          <w:sz w:val="24"/>
          <w:highlight w:val="none"/>
        </w:rPr>
        <w:t xml:space="preserve">    4.10未按招标文件要求提供投标保证金的；</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4.11投标文件载明的招标项目完成期限超过招标文件规定的期限的；</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4.12明显不符合技术规范、技术标准的要求；</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4.13投标文件载明的货物包装方式、检验标准和方法等不符合招标文件的要求的；</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4.14投标文件提出了不能满足招标文件要求或招标人不能接受的工程验收、计量、价款结算和支付办法的；</w:t>
      </w:r>
    </w:p>
    <w:p>
      <w:pPr>
        <w:spacing w:line="500" w:lineRule="exact"/>
        <w:rPr>
          <w:rFonts w:ascii="楷体" w:hAnsi="楷体" w:eastAsia="楷体" w:cs="楷体"/>
          <w:color w:val="auto"/>
          <w:sz w:val="24"/>
          <w:highlight w:val="none"/>
        </w:rPr>
      </w:pPr>
      <w:r>
        <w:rPr>
          <w:rFonts w:hint="eastAsia" w:ascii="楷体" w:hAnsi="楷体" w:eastAsia="楷体" w:cs="楷体"/>
          <w:vanish/>
          <w:color w:val="auto"/>
          <w:sz w:val="24"/>
          <w:highlight w:val="none"/>
        </w:rPr>
        <w:cr/>
      </w:r>
      <w:r>
        <w:rPr>
          <w:rFonts w:hint="eastAsia" w:ascii="楷体" w:hAnsi="楷体" w:eastAsia="楷体" w:cs="楷体"/>
          <w:vanish/>
          <w:color w:val="auto"/>
          <w:sz w:val="24"/>
          <w:highlight w:val="none"/>
        </w:rPr>
        <w:t xml:space="preserve">   0明的招标项目完成期限超过招标文件规定的期限、</w:t>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vanish/>
          <w:color w:val="auto"/>
          <w:sz w:val="24"/>
          <w:highlight w:val="none"/>
        </w:rPr>
        <w:pgNum/>
      </w:r>
      <w:r>
        <w:rPr>
          <w:rFonts w:hint="eastAsia" w:ascii="楷体" w:hAnsi="楷体" w:eastAsia="楷体" w:cs="楷体"/>
          <w:color w:val="auto"/>
          <w:sz w:val="24"/>
          <w:highlight w:val="none"/>
        </w:rPr>
        <w:t xml:space="preserve">    4.15不同投标人的投标文件制作过程出现了评标委员会认为不应当雷同的情况；</w:t>
      </w:r>
    </w:p>
    <w:p>
      <w:pPr>
        <w:spacing w:line="500" w:lineRule="exact"/>
        <w:ind w:firstLine="480"/>
        <w:rPr>
          <w:rFonts w:ascii="楷体" w:hAnsi="楷体" w:eastAsia="楷体" w:cs="楷体"/>
          <w:color w:val="auto"/>
          <w:sz w:val="24"/>
          <w:highlight w:val="none"/>
        </w:rPr>
      </w:pPr>
      <w:r>
        <w:rPr>
          <w:rFonts w:hint="eastAsia" w:ascii="楷体" w:hAnsi="楷体" w:eastAsia="楷体" w:cs="楷体"/>
          <w:color w:val="auto"/>
          <w:sz w:val="24"/>
          <w:highlight w:val="none"/>
        </w:rPr>
        <w:t>4.16以他人的名义投标、串通投标、以行贿手段谋取中标或者以其他弄虚作假方式投标的；</w:t>
      </w:r>
    </w:p>
    <w:p>
      <w:pPr>
        <w:spacing w:line="500" w:lineRule="exact"/>
        <w:ind w:firstLine="480"/>
        <w:rPr>
          <w:rFonts w:ascii="楷体" w:hAnsi="楷体" w:eastAsia="楷体" w:cs="楷体"/>
          <w:color w:val="auto"/>
          <w:sz w:val="24"/>
          <w:highlight w:val="none"/>
        </w:rPr>
      </w:pPr>
      <w:r>
        <w:rPr>
          <w:rFonts w:hint="eastAsia" w:ascii="楷体" w:hAnsi="楷体" w:eastAsia="楷体" w:cs="楷体"/>
          <w:color w:val="auto"/>
          <w:sz w:val="24"/>
          <w:highlight w:val="none"/>
        </w:rPr>
        <w:t>4.17投标文件关键内容模糊、无法辨认的；</w:t>
      </w:r>
    </w:p>
    <w:p>
      <w:pPr>
        <w:spacing w:line="500" w:lineRule="exact"/>
        <w:ind w:firstLine="480"/>
        <w:rPr>
          <w:rFonts w:ascii="楷体" w:hAnsi="楷体" w:eastAsia="楷体" w:cs="楷体"/>
          <w:color w:val="auto"/>
          <w:sz w:val="24"/>
          <w:highlight w:val="none"/>
        </w:rPr>
      </w:pPr>
      <w:r>
        <w:rPr>
          <w:rFonts w:hint="eastAsia" w:ascii="楷体" w:hAnsi="楷体" w:eastAsia="楷体" w:cs="楷体"/>
          <w:color w:val="auto"/>
          <w:sz w:val="24"/>
          <w:highlight w:val="none"/>
        </w:rPr>
        <w:t>4.18以联合体方式投标，未提供联合体投标协议的。</w:t>
      </w:r>
    </w:p>
    <w:p>
      <w:pPr>
        <w:spacing w:line="500" w:lineRule="exact"/>
        <w:ind w:firstLine="482"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5、投标文件的澄清</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5.1 在评标过程中，评标委员会认为需要，可以书面方式要求投标人对所提交的投标文件中不明确的内容进行书面澄清或说明，或者对细微偏差进行补正；澄清、说明或者补正应以书面方式进行并不得超出投标文件的范围或者改变投标文件的实质性内容。</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 xml:space="preserve">5.2评标委员会不接受投标人主动提出的澄清、说明或补正。 </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5.3对于评标委员会要求澄清、说明或者补正的内容，投标人应做出书面答复，但书面答复中不得改变投标文件的实质性内容；书面答复须经投标人法定代表人或其代理人的签署或加盖印章，并视为投标文件的组成部分。</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5.4评标委员会对投标人提交的答复仍有疑问的，可以要求投标人进一步澄清、说明或补正，直至满足评标委员会的要求。</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5.5投标截止时间后，投标文件中没有列入的价格和优惠条件或投标人对投标报价或其他实质性内容修正的函件和增加的任何优惠条件，一律不得作为评标、定标的依据。</w:t>
      </w:r>
    </w:p>
    <w:p>
      <w:pPr>
        <w:spacing w:line="500" w:lineRule="exact"/>
        <w:ind w:firstLine="482"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6、评标、定标</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6.1评标委员会组成</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6.1.1评标委员会由招标人组织相关专家和其他人员组成。</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6.1.2评标委员会在评标时独立开展工作，负责评审所有投标文件，并根据评标办法推荐中标候选人。</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6.1.3评标委员会决定投标文件的响应性只根据投标文件本身的内容，而不寻求外部的证据。</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6.1.4 在评标过程中，除出现下列情形外，评标委员会认为因招标文件缺陷无法确定中标候选人或中标人的，招标人应当重新组织招标。</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招标人编制的资格预审文件、招标文件的内容违反法律、行政法规的强制性规定，违反公开、公平、公正和诚实信用原则，影响资格预审结果或者潜在投标人投标的，依法必须进行招标的项目的招标人应当在修改资格预审文件或者招标文件后重新招标。</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6.1.5招标人根据评标委员会推荐的中标候选人，确定排名第一的中标候选人为中标人。</w:t>
      </w:r>
    </w:p>
    <w:p>
      <w:pPr>
        <w:spacing w:line="500" w:lineRule="exact"/>
        <w:ind w:left="-1" w:firstLine="482" w:firstLineChars="200"/>
        <w:rPr>
          <w:rFonts w:ascii="楷体" w:hAnsi="楷体" w:eastAsia="楷体" w:cs="楷体"/>
          <w:b/>
          <w:bCs/>
          <w:color w:val="auto"/>
          <w:sz w:val="24"/>
          <w:highlight w:val="none"/>
        </w:rPr>
      </w:pPr>
      <w:r>
        <w:rPr>
          <w:rFonts w:hint="eastAsia" w:ascii="楷体" w:hAnsi="楷体" w:eastAsia="楷体" w:cs="楷体"/>
          <w:b/>
          <w:bCs/>
          <w:color w:val="auto"/>
          <w:sz w:val="24"/>
          <w:highlight w:val="none"/>
        </w:rPr>
        <w:t>7、评标结果公示</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招标人应当自收到评标报告之日起3日内在招标公告发布媒介上发布评标结果公示表，公示期不得少于3日。</w:t>
      </w:r>
    </w:p>
    <w:p>
      <w:pPr>
        <w:spacing w:line="500" w:lineRule="exact"/>
        <w:ind w:left="-1" w:firstLine="482" w:firstLineChars="200"/>
        <w:rPr>
          <w:rFonts w:ascii="楷体" w:hAnsi="楷体" w:eastAsia="楷体" w:cs="楷体"/>
          <w:b/>
          <w:bCs/>
          <w:color w:val="auto"/>
          <w:sz w:val="24"/>
          <w:highlight w:val="none"/>
        </w:rPr>
      </w:pPr>
      <w:r>
        <w:rPr>
          <w:rFonts w:hint="eastAsia" w:ascii="楷体" w:hAnsi="楷体" w:eastAsia="楷体" w:cs="楷体"/>
          <w:b/>
          <w:bCs/>
          <w:color w:val="auto"/>
          <w:sz w:val="24"/>
          <w:highlight w:val="none"/>
        </w:rPr>
        <w:t>8、中标通知</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招标人一般应当在15日内确定中标人，但最迟应当在投标有效期前确定。中标人确定后招标人应当以书面形式发出中标通知书，同时将中标人名称、中标价和项目负责人在相关媒介上予以公告。</w:t>
      </w:r>
      <w:bookmarkStart w:id="22" w:name="_GoBack"/>
      <w:bookmarkEnd w:id="22"/>
    </w:p>
    <w:p>
      <w:pPr>
        <w:spacing w:line="500" w:lineRule="exact"/>
        <w:ind w:firstLine="482"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9、授予合同</w:t>
      </w:r>
    </w:p>
    <w:p>
      <w:pPr>
        <w:spacing w:line="500" w:lineRule="exact"/>
        <w:ind w:left="-1" w:firstLine="480" w:firstLineChars="200"/>
        <w:rPr>
          <w:rFonts w:ascii="楷体" w:hAnsi="楷体" w:eastAsia="楷体" w:cs="楷体"/>
          <w:b/>
          <w:color w:val="auto"/>
          <w:sz w:val="24"/>
          <w:highlight w:val="none"/>
        </w:rPr>
      </w:pPr>
      <w:r>
        <w:rPr>
          <w:rFonts w:hint="eastAsia" w:ascii="楷体" w:hAnsi="楷体" w:eastAsia="楷体" w:cs="楷体"/>
          <w:color w:val="auto"/>
          <w:sz w:val="24"/>
          <w:highlight w:val="none"/>
        </w:rPr>
        <w:t>9.1招标人和中标人应当自《中标通知书》发出之日起30日内，按照国家有关规定和招标文件及中标人的投标文件订立书面合同，合同的标的、价款、质量、履行期限、付款方式、结算办法等主要条款应当与招标文件和中标人的投标文件的内容一致，合同双方不得再订立背离合同实质性内容的其他协议。</w:t>
      </w:r>
    </w:p>
    <w:p>
      <w:pPr>
        <w:spacing w:line="500" w:lineRule="exact"/>
        <w:ind w:firstLine="482" w:firstLineChars="200"/>
        <w:rPr>
          <w:rFonts w:ascii="楷体" w:hAnsi="楷体" w:eastAsia="楷体" w:cs="楷体"/>
          <w:b/>
          <w:bCs/>
          <w:color w:val="auto"/>
          <w:sz w:val="24"/>
          <w:highlight w:val="none"/>
        </w:rPr>
      </w:pPr>
      <w:r>
        <w:rPr>
          <w:rFonts w:hint="eastAsia" w:ascii="楷体" w:hAnsi="楷体" w:eastAsia="楷体" w:cs="楷体"/>
          <w:b/>
          <w:bCs/>
          <w:color w:val="auto"/>
          <w:sz w:val="24"/>
          <w:highlight w:val="none"/>
        </w:rPr>
        <w:t>10、其他</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10.1</w:t>
      </w:r>
      <w:r>
        <w:rPr>
          <w:rFonts w:hint="eastAsia" w:ascii="楷体" w:hAnsi="楷体" w:eastAsia="楷体" w:cs="楷体"/>
          <w:b/>
          <w:color w:val="auto"/>
          <w:sz w:val="24"/>
          <w:highlight w:val="none"/>
        </w:rPr>
        <w:t>中标结果在网上公示后，投标人或者其他利害关系人对依法必须进行招标的项目的评标结果有异议的（异议书格式详见附件），应当在中标候选人公示期间提出。</w:t>
      </w:r>
      <w:r>
        <w:rPr>
          <w:rFonts w:hint="eastAsia" w:ascii="楷体" w:hAnsi="楷体" w:eastAsia="楷体" w:cs="楷体"/>
          <w:color w:val="auto"/>
          <w:sz w:val="24"/>
          <w:highlight w:val="none"/>
        </w:rPr>
        <w:t>除原件外，所有的投标文件均不予退还，请投标人另行存档备份。</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10.2招投标相关单位及个人在招投标活动中存在以下10.2.1以及10.2.2条失信行为的，在“江苏省建设工程招标网”公示期间，本项目的招标人拒绝其投标。</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10.2.1 招投标各方主体及个人在招投标活动中违反法律法规和规章规定受到行政处罚的，公示不少于3个月。</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10.2.2投标人在招投标活动中出现如下失信行为，公示1-3个月：</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（1）除不可抗力的外，资格预审合格的投标人无故不获取 招标文件或者获取招标文件后放弃投标，或者投标人在投标截止后无故撤销投标文件等，公示2个月；</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（2）递交无竞争力的投标文件的（无竞争力投标是指不以 中标为目的的投标，包括投标报价畸高、投标文件故意漏项缺项、 施工组织设计文件不符合篇幅要求、以及故意违反招标文件中已醒目标识的无效投标条款且事先未质疑等情形），公示1个月；</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（3）企业一年内4次在全省投诉反映情况不属实，缺乏事实或法律依据的，公示1个月；</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（4）投诉人故意捏造事实、伪造证明材料的，或者以非法手段取得证明材料等进行恶意投诉的，公示3个月。</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10.3投标须知以及答疑文件、补充通知对本条款作出补充调整的，从其规定。</w:t>
      </w:r>
    </w:p>
    <w:p>
      <w:pPr>
        <w:spacing w:line="500" w:lineRule="exact"/>
        <w:ind w:left="-1"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10.4本条款未尽事宜，按国家和省有关法律、法规规定处理。</w:t>
      </w:r>
    </w:p>
    <w:p>
      <w:pPr>
        <w:spacing w:line="360" w:lineRule="auto"/>
        <w:rPr>
          <w:rFonts w:ascii="楷体" w:hAnsi="楷体" w:eastAsia="楷体" w:cs="楷体"/>
          <w:color w:val="auto"/>
          <w:sz w:val="28"/>
          <w:szCs w:val="28"/>
          <w:highlight w:val="none"/>
        </w:rPr>
      </w:pPr>
    </w:p>
    <w:p>
      <w:pPr>
        <w:spacing w:line="500" w:lineRule="exact"/>
        <w:ind w:firstLine="562" w:firstLineChars="200"/>
        <w:jc w:val="center"/>
        <w:rPr>
          <w:rFonts w:ascii="楷体" w:hAnsi="楷体" w:eastAsia="楷体" w:cs="楷体"/>
          <w:b/>
          <w:color w:val="auto"/>
          <w:sz w:val="44"/>
          <w:szCs w:val="44"/>
          <w:highlight w:val="none"/>
        </w:rPr>
      </w:pPr>
      <w:r>
        <w:rPr>
          <w:rFonts w:hint="eastAsia" w:ascii="楷体" w:hAnsi="楷体" w:eastAsia="楷体" w:cs="楷体"/>
          <w:b/>
          <w:color w:val="auto"/>
          <w:sz w:val="28"/>
          <w:szCs w:val="28"/>
          <w:highlight w:val="none"/>
        </w:rPr>
        <w:br w:type="page"/>
      </w:r>
      <w:r>
        <w:rPr>
          <w:rFonts w:hint="eastAsia" w:ascii="楷体" w:hAnsi="楷体" w:eastAsia="楷体" w:cs="楷体"/>
          <w:b/>
          <w:color w:val="auto"/>
          <w:sz w:val="44"/>
          <w:szCs w:val="44"/>
          <w:highlight w:val="none"/>
        </w:rPr>
        <w:t>第六部分  合同主要条款</w:t>
      </w:r>
    </w:p>
    <w:p>
      <w:pPr>
        <w:spacing w:line="500" w:lineRule="exact"/>
        <w:ind w:firstLine="482" w:firstLineChars="200"/>
        <w:rPr>
          <w:rFonts w:ascii="楷体" w:hAnsi="楷体" w:eastAsia="楷体" w:cs="楷体"/>
          <w:b/>
          <w:color w:val="auto"/>
          <w:sz w:val="24"/>
          <w:highlight w:val="none"/>
        </w:rPr>
      </w:pPr>
    </w:p>
    <w:p>
      <w:pPr>
        <w:widowControl/>
        <w:jc w:val="left"/>
        <w:rPr>
          <w:rFonts w:ascii="楷体" w:hAnsi="楷体" w:eastAsia="楷体" w:cs="楷体"/>
          <w:b/>
          <w:bCs/>
          <w:color w:val="auto"/>
          <w:sz w:val="30"/>
          <w:szCs w:val="30"/>
          <w:highlight w:val="none"/>
        </w:rPr>
      </w:pPr>
      <w:r>
        <w:rPr>
          <w:rFonts w:hint="eastAsia" w:ascii="楷体" w:hAnsi="楷体" w:eastAsia="楷体" w:cs="楷体"/>
          <w:b/>
          <w:bCs/>
          <w:color w:val="auto"/>
          <w:sz w:val="30"/>
          <w:szCs w:val="30"/>
          <w:highlight w:val="none"/>
        </w:rPr>
        <w:t>GF-2011-0216</w:t>
      </w:r>
    </w:p>
    <w:p>
      <w:pPr>
        <w:jc w:val="center"/>
        <w:rPr>
          <w:rFonts w:ascii="楷体" w:hAnsi="楷体" w:eastAsia="楷体" w:cs="楷体"/>
          <w:b/>
          <w:bCs/>
          <w:color w:val="auto"/>
          <w:sz w:val="48"/>
          <w:szCs w:val="48"/>
          <w:highlight w:val="none"/>
        </w:rPr>
      </w:pPr>
      <w:r>
        <w:rPr>
          <w:rFonts w:hint="eastAsia" w:ascii="楷体" w:hAnsi="楷体" w:eastAsia="楷体" w:cs="楷体"/>
          <w:b/>
          <w:bCs/>
          <w:color w:val="auto"/>
          <w:sz w:val="48"/>
          <w:szCs w:val="48"/>
          <w:highlight w:val="none"/>
        </w:rPr>
        <w:t xml:space="preserve"> </w:t>
      </w:r>
    </w:p>
    <w:p>
      <w:pPr>
        <w:rPr>
          <w:rFonts w:ascii="楷体" w:hAnsi="楷体" w:eastAsia="楷体" w:cs="楷体"/>
          <w:b/>
          <w:bCs/>
          <w:color w:val="auto"/>
          <w:sz w:val="48"/>
          <w:szCs w:val="48"/>
          <w:highlight w:val="none"/>
        </w:rPr>
      </w:pPr>
      <w:r>
        <w:rPr>
          <w:rFonts w:hint="eastAsia" w:ascii="楷体" w:hAnsi="楷体" w:eastAsia="楷体" w:cs="楷体"/>
          <w:b/>
          <w:bCs/>
          <w:color w:val="auto"/>
          <w:sz w:val="48"/>
          <w:szCs w:val="48"/>
          <w:highlight w:val="none"/>
        </w:rPr>
        <w:t xml:space="preserve"> </w:t>
      </w:r>
    </w:p>
    <w:p>
      <w:pPr>
        <w:rPr>
          <w:rFonts w:ascii="楷体" w:hAnsi="楷体" w:eastAsia="楷体" w:cs="楷体"/>
          <w:b/>
          <w:bCs/>
          <w:color w:val="auto"/>
          <w:sz w:val="48"/>
          <w:szCs w:val="48"/>
          <w:highlight w:val="none"/>
        </w:rPr>
      </w:pPr>
    </w:p>
    <w:p>
      <w:pPr>
        <w:jc w:val="center"/>
        <w:rPr>
          <w:rFonts w:ascii="楷体" w:hAnsi="楷体" w:eastAsia="楷体" w:cs="楷体"/>
          <w:b/>
          <w:bCs/>
          <w:color w:val="auto"/>
          <w:sz w:val="48"/>
          <w:szCs w:val="48"/>
          <w:highlight w:val="none"/>
        </w:rPr>
      </w:pPr>
      <w:r>
        <w:rPr>
          <w:rFonts w:hint="eastAsia" w:ascii="楷体" w:hAnsi="楷体" w:eastAsia="楷体" w:cs="楷体"/>
          <w:b/>
          <w:bCs/>
          <w:color w:val="auto"/>
          <w:sz w:val="48"/>
          <w:szCs w:val="48"/>
          <w:highlight w:val="none"/>
        </w:rPr>
        <w:t xml:space="preserve"> </w:t>
      </w:r>
    </w:p>
    <w:p>
      <w:pPr>
        <w:jc w:val="center"/>
        <w:rPr>
          <w:rFonts w:ascii="楷体" w:hAnsi="楷体" w:eastAsia="楷体" w:cs="楷体"/>
          <w:b/>
          <w:bCs/>
          <w:color w:val="auto"/>
          <w:sz w:val="48"/>
          <w:szCs w:val="48"/>
          <w:highlight w:val="none"/>
        </w:rPr>
      </w:pPr>
      <w:r>
        <w:rPr>
          <w:rFonts w:hint="eastAsia" w:ascii="楷体" w:hAnsi="楷体" w:eastAsia="楷体" w:cs="楷体"/>
          <w:b/>
          <w:bCs/>
          <w:color w:val="auto"/>
          <w:sz w:val="48"/>
          <w:szCs w:val="48"/>
          <w:highlight w:val="none"/>
        </w:rPr>
        <w:t>建设项目工程总承包合同示范文本</w:t>
      </w:r>
    </w:p>
    <w:p>
      <w:pPr>
        <w:jc w:val="center"/>
        <w:rPr>
          <w:rFonts w:ascii="楷体" w:hAnsi="楷体" w:eastAsia="楷体" w:cs="楷体"/>
          <w:b/>
          <w:bCs/>
          <w:color w:val="auto"/>
          <w:sz w:val="28"/>
          <w:szCs w:val="28"/>
          <w:highlight w:val="none"/>
        </w:rPr>
      </w:pPr>
      <w:r>
        <w:rPr>
          <w:rFonts w:hint="eastAsia" w:ascii="楷体" w:hAnsi="楷体" w:eastAsia="楷体" w:cs="楷体"/>
          <w:b/>
          <w:bCs/>
          <w:color w:val="auto"/>
          <w:sz w:val="28"/>
          <w:szCs w:val="28"/>
          <w:highlight w:val="none"/>
        </w:rPr>
        <w:t xml:space="preserve"> </w:t>
      </w:r>
    </w:p>
    <w:p>
      <w:pPr>
        <w:jc w:val="center"/>
        <w:rPr>
          <w:rFonts w:ascii="楷体" w:hAnsi="楷体" w:eastAsia="楷体" w:cs="楷体"/>
          <w:color w:val="auto"/>
          <w:sz w:val="30"/>
          <w:szCs w:val="30"/>
          <w:highlight w:val="none"/>
        </w:rPr>
      </w:pPr>
    </w:p>
    <w:p>
      <w:pPr>
        <w:jc w:val="cente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xml:space="preserve"> </w:t>
      </w:r>
    </w:p>
    <w:p>
      <w:pPr>
        <w:jc w:val="cente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xml:space="preserve"> </w:t>
      </w:r>
    </w:p>
    <w:p>
      <w:pPr>
        <w:jc w:val="cente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xml:space="preserve"> </w:t>
      </w:r>
    </w:p>
    <w:p>
      <w:pPr>
        <w:jc w:val="center"/>
        <w:rPr>
          <w:rFonts w:ascii="楷体" w:hAnsi="楷体" w:eastAsia="楷体" w:cs="楷体"/>
          <w:color w:val="auto"/>
          <w:sz w:val="28"/>
          <w:szCs w:val="28"/>
          <w:highlight w:val="none"/>
        </w:rPr>
      </w:pPr>
    </w:p>
    <w:p>
      <w:pPr>
        <w:jc w:val="cente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xml:space="preserve"> </w:t>
      </w:r>
    </w:p>
    <w:p>
      <w:pPr>
        <w:jc w:val="cente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xml:space="preserve"> </w:t>
      </w:r>
    </w:p>
    <w:p>
      <w:pPr>
        <w:jc w:val="cente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xml:space="preserve"> </w:t>
      </w:r>
    </w:p>
    <w:p>
      <w:pPr>
        <w:rPr>
          <w:rFonts w:ascii="楷体" w:hAnsi="楷体" w:eastAsia="楷体" w:cs="楷体"/>
          <w:color w:val="auto"/>
          <w:sz w:val="28"/>
          <w:szCs w:val="28"/>
          <w:highlight w:val="none"/>
        </w:rPr>
      </w:pPr>
    </w:p>
    <w:p>
      <w:pPr>
        <w:jc w:val="cente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 xml:space="preserve"> </w:t>
      </w:r>
    </w:p>
    <w:p>
      <w:pPr>
        <w:spacing w:line="320" w:lineRule="exact"/>
        <w:jc w:val="cente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住房和城乡建设部</w:t>
      </w:r>
    </w:p>
    <w:p>
      <w:pPr>
        <w:spacing w:line="320" w:lineRule="exact"/>
        <w:ind w:left="4200" w:firstLine="420"/>
        <w:jc w:val="center"/>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制定</w:t>
      </w:r>
    </w:p>
    <w:p>
      <w:pPr>
        <w:spacing w:line="320" w:lineRule="exact"/>
        <w:jc w:val="center"/>
        <w:rPr>
          <w:rFonts w:ascii="楷体" w:hAnsi="楷体" w:eastAsia="楷体" w:cs="楷体"/>
          <w:b/>
          <w:bCs/>
          <w:color w:val="auto"/>
          <w:sz w:val="36"/>
          <w:szCs w:val="36"/>
          <w:highlight w:val="none"/>
        </w:rPr>
        <w:sectPr>
          <w:headerReference r:id="rId3" w:type="default"/>
          <w:pgSz w:w="11906" w:h="16838"/>
          <w:pgMar w:top="1440" w:right="1417" w:bottom="1440" w:left="1417" w:header="720" w:footer="720" w:gutter="0"/>
          <w:cols w:space="720" w:num="1"/>
          <w:docGrid w:type="lines" w:linePitch="312" w:charSpace="0"/>
        </w:sectPr>
      </w:pPr>
      <w:r>
        <w:rPr>
          <w:rFonts w:hint="eastAsia" w:ascii="楷体" w:hAnsi="楷体" w:eastAsia="楷体" w:cs="楷体"/>
          <w:color w:val="auto"/>
          <w:sz w:val="28"/>
          <w:szCs w:val="28"/>
          <w:highlight w:val="none"/>
        </w:rPr>
        <w:t>国家工商行政管理总局</w:t>
      </w:r>
    </w:p>
    <w:p>
      <w:pPr>
        <w:jc w:val="center"/>
        <w:rPr>
          <w:rFonts w:ascii="楷体" w:hAnsi="楷体" w:eastAsia="楷体" w:cs="楷体"/>
          <w:b/>
          <w:bCs/>
          <w:color w:val="auto"/>
          <w:sz w:val="44"/>
          <w:szCs w:val="44"/>
          <w:highlight w:val="none"/>
        </w:rPr>
      </w:pPr>
      <w:r>
        <w:rPr>
          <w:rFonts w:hint="eastAsia" w:ascii="楷体" w:hAnsi="楷体" w:eastAsia="楷体" w:cs="楷体"/>
          <w:b/>
          <w:bCs/>
          <w:color w:val="auto"/>
          <w:sz w:val="36"/>
          <w:szCs w:val="36"/>
          <w:highlight w:val="none"/>
        </w:rPr>
        <w:t>第一部分  合同协议书</w:t>
      </w:r>
    </w:p>
    <w:p>
      <w:pPr>
        <w:spacing w:line="400" w:lineRule="exact"/>
        <w:rPr>
          <w:rFonts w:ascii="楷体" w:hAnsi="楷体" w:eastAsia="楷体" w:cs="楷体"/>
          <w:color w:val="auto"/>
          <w:szCs w:val="21"/>
          <w:highlight w:val="none"/>
        </w:rPr>
      </w:pPr>
      <w:r>
        <w:rPr>
          <w:rFonts w:hint="eastAsia" w:ascii="楷体" w:hAnsi="楷体" w:eastAsia="楷体" w:cs="楷体"/>
          <w:color w:val="auto"/>
          <w:szCs w:val="21"/>
          <w:highlight w:val="none"/>
        </w:rPr>
        <w:t xml:space="preserve">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rPr>
        <w:t>发包人（全称）：</w:t>
      </w:r>
      <w:r>
        <w:rPr>
          <w:rFonts w:hint="eastAsia" w:ascii="楷体" w:hAnsi="楷体" w:eastAsia="楷体" w:cs="楷体"/>
          <w:color w:val="auto"/>
          <w:szCs w:val="21"/>
          <w:highlight w:val="none"/>
          <w:u w:val="single"/>
        </w:rPr>
        <w:t>盐城工业职业技术学院</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rPr>
        <w:t>承包人（全称）：</w:t>
      </w:r>
      <w:r>
        <w:rPr>
          <w:rFonts w:hint="eastAsia" w:ascii="楷体" w:hAnsi="楷体" w:eastAsia="楷体" w:cs="楷体"/>
          <w:color w:val="auto"/>
          <w:szCs w:val="21"/>
          <w:highlight w:val="none"/>
          <w:u w:val="single"/>
        </w:rPr>
        <w:t>中标人</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依照《中华人民共和国合同法》、《中华人民共和国建筑法》、《中华人民共和国招标投标法》及相关法律、行政法规，遵循平等、自愿、公平和诚信原则，合同双方就</w:t>
      </w:r>
      <w:r>
        <w:rPr>
          <w:rFonts w:hint="eastAsia" w:ascii="楷体" w:hAnsi="楷体" w:eastAsia="楷体" w:cs="楷体"/>
          <w:color w:val="auto"/>
          <w:szCs w:val="21"/>
          <w:highlight w:val="none"/>
          <w:u w:val="single"/>
        </w:rPr>
        <w:t>盐城工业职业技术学院铁军文化苑设计施工一体化项目</w:t>
      </w:r>
      <w:r>
        <w:rPr>
          <w:rFonts w:hint="eastAsia" w:ascii="楷体" w:hAnsi="楷体" w:eastAsia="楷体" w:cs="楷体"/>
          <w:color w:val="auto"/>
          <w:szCs w:val="21"/>
          <w:highlight w:val="none"/>
        </w:rPr>
        <w:t>事宜经协商一致，订立本合同。</w:t>
      </w:r>
    </w:p>
    <w:p>
      <w:pPr>
        <w:spacing w:line="400" w:lineRule="exact"/>
        <w:ind w:left="482"/>
        <w:outlineLvl w:val="0"/>
        <w:rPr>
          <w:rFonts w:ascii="楷体" w:hAnsi="楷体" w:eastAsia="楷体" w:cs="楷体"/>
          <w:b/>
          <w:bCs/>
          <w:color w:val="auto"/>
          <w:szCs w:val="21"/>
          <w:highlight w:val="none"/>
          <w:u w:val="single"/>
        </w:rPr>
      </w:pPr>
      <w:r>
        <w:rPr>
          <w:rFonts w:hint="eastAsia" w:ascii="楷体" w:hAnsi="楷体" w:eastAsia="楷体" w:cs="楷体"/>
          <w:b/>
          <w:bCs/>
          <w:color w:val="auto"/>
          <w:szCs w:val="21"/>
          <w:highlight w:val="none"/>
        </w:rPr>
        <w:t>一、工程概况</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工程名称：</w:t>
      </w:r>
      <w:r>
        <w:rPr>
          <w:rFonts w:hint="eastAsia" w:ascii="楷体" w:hAnsi="楷体" w:eastAsia="楷体" w:cs="楷体"/>
          <w:color w:val="auto"/>
          <w:szCs w:val="21"/>
          <w:highlight w:val="none"/>
          <w:u w:val="single"/>
        </w:rPr>
        <w:t>盐城工业职业技术学院铁军文化苑设计施工一体化项目</w:t>
      </w:r>
      <w:r>
        <w:rPr>
          <w:rFonts w:hint="eastAsia" w:ascii="楷体" w:hAnsi="楷体" w:eastAsia="楷体" w:cs="楷体"/>
          <w:color w:val="auto"/>
          <w:szCs w:val="21"/>
          <w:highlight w:val="none"/>
        </w:rPr>
        <w:t xml:space="preserve"> </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工程批准、核准或备案文号：</w:t>
      </w:r>
      <w:r>
        <w:rPr>
          <w:rFonts w:hint="eastAsia" w:ascii="楷体" w:hAnsi="楷体" w:eastAsia="楷体" w:cs="楷体"/>
          <w:color w:val="auto"/>
          <w:szCs w:val="21"/>
          <w:highlight w:val="none"/>
          <w:u w:val="single"/>
        </w:rPr>
        <w:t>/</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 xml:space="preserve">工程内容及规模：        </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工程所在省市详细地址：</w:t>
      </w:r>
      <w:r>
        <w:rPr>
          <w:rFonts w:hint="eastAsia" w:ascii="楷体" w:hAnsi="楷体" w:eastAsia="楷体" w:cs="楷体"/>
          <w:color w:val="auto"/>
          <w:szCs w:val="21"/>
          <w:highlight w:val="none"/>
          <w:u w:val="single"/>
        </w:rPr>
        <w:t>盐城工业职业技术学院内。</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rPr>
        <w:t>工程承包范围：</w:t>
      </w:r>
      <w:r>
        <w:rPr>
          <w:rFonts w:hint="eastAsia" w:ascii="楷体" w:hAnsi="楷体" w:eastAsia="楷体" w:cs="楷体"/>
          <w:color w:val="auto"/>
          <w:szCs w:val="21"/>
          <w:highlight w:val="none"/>
          <w:u w:val="single"/>
        </w:rPr>
        <w:t>承包范围主要为盐城工业职业技术学院铁军文化苑设计施工一体化项目,包括项目交付使用前全部设计和施工内容，直至竣工验收合格整体移交、后期培训及缺陷责任期内的保修等设计施工一体化项目的全部工作,发包人保留进行调整的权利。具体详见设计任务书。</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设计内容主要包含盐城工业职业技术学院铁军文化苑设计施工一体化项目范围内的方案设计、方案深化设计、施工图设计，主要包括但不限于布展（含美工、展品展项、装饰及改造等）、设备部分（包括智能化、电气、给排水、消防、通风、多媒体、声光电声光电等。多媒体软硬件及影片制作部分至少包含拼接屏、液晶屏等）、软体部分（包括功能和展区布局、展示主题、展品内容、展示方式和手段、各展区效果图、数字及智能化系统运用等）、现场技术服务与指导等与设计相关的所有工作，以及在工程实施过程中工程规模的调整及各种变更均属本设计范围。</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施工内容主要包含原创业一条街门店内外墙板更换为防火彩钢板，布展（含展品展项、装饰及改造等）、设备部分（包括智能化、电气、给排水、消防、通风、多媒体、声光电等）、软体部分等一切与项目相关的所有施工内容。</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本项目承包内容主要为包设计、包工、包料、包工期、包质量、包安全、包文明施工、包交付、包工程竣工验收备案、包整体移交（含档案移交）及竣工验收合格及缺陷责任期内的保修。</w:t>
      </w:r>
    </w:p>
    <w:p>
      <w:pPr>
        <w:spacing w:line="400" w:lineRule="exact"/>
        <w:ind w:left="482"/>
        <w:outlineLvl w:val="0"/>
        <w:rPr>
          <w:rFonts w:ascii="楷体" w:hAnsi="楷体" w:eastAsia="楷体" w:cs="楷体"/>
          <w:color w:val="auto"/>
          <w:szCs w:val="21"/>
          <w:highlight w:val="none"/>
          <w:u w:val="single"/>
        </w:rPr>
      </w:pPr>
      <w:r>
        <w:rPr>
          <w:rFonts w:hint="eastAsia" w:ascii="楷体" w:hAnsi="楷体" w:eastAsia="楷体" w:cs="楷体"/>
          <w:b/>
          <w:bCs/>
          <w:color w:val="auto"/>
          <w:szCs w:val="21"/>
          <w:highlight w:val="none"/>
        </w:rPr>
        <w:t>二、工程主要生产技术（或建筑设计方案）来源：/</w:t>
      </w:r>
    </w:p>
    <w:p>
      <w:pPr>
        <w:spacing w:line="400" w:lineRule="exact"/>
        <w:ind w:left="482"/>
        <w:outlineLvl w:val="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 xml:space="preserve">三、主要日期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rPr>
        <w:t>设计开工日期(绝对日期或相对日期)：</w:t>
      </w:r>
      <w:r>
        <w:rPr>
          <w:rFonts w:hint="eastAsia" w:ascii="楷体" w:hAnsi="楷体" w:eastAsia="楷体" w:cs="楷体"/>
          <w:color w:val="auto"/>
          <w:szCs w:val="21"/>
          <w:highlight w:val="none"/>
          <w:u w:val="single"/>
        </w:rPr>
        <w:t>2020</w:t>
      </w:r>
      <w:r>
        <w:rPr>
          <w:rFonts w:hint="eastAsia" w:ascii="楷体" w:hAnsi="楷体" w:eastAsia="楷体" w:cs="楷体"/>
          <w:color w:val="auto"/>
          <w:szCs w:val="21"/>
          <w:highlight w:val="none"/>
        </w:rPr>
        <w:t>年</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月</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 xml:space="preserve">日 </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施工开工日期(绝对日期或相对日期)：</w:t>
      </w:r>
      <w:r>
        <w:rPr>
          <w:rFonts w:hint="eastAsia" w:ascii="楷体" w:hAnsi="楷体" w:eastAsia="楷体" w:cs="楷体"/>
          <w:color w:val="auto"/>
          <w:szCs w:val="21"/>
          <w:highlight w:val="none"/>
          <w:u w:val="single"/>
        </w:rPr>
        <w:t>2020</w:t>
      </w:r>
      <w:r>
        <w:rPr>
          <w:rFonts w:hint="eastAsia" w:ascii="楷体" w:hAnsi="楷体" w:eastAsia="楷体" w:cs="楷体"/>
          <w:color w:val="auto"/>
          <w:szCs w:val="21"/>
          <w:highlight w:val="none"/>
        </w:rPr>
        <w:t>年</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月</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日</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工程竣工日期(绝对日期或相对日期)：</w:t>
      </w:r>
      <w:r>
        <w:rPr>
          <w:rFonts w:hint="eastAsia" w:ascii="楷体" w:hAnsi="楷体" w:eastAsia="楷体" w:cs="楷体"/>
          <w:color w:val="auto"/>
          <w:szCs w:val="21"/>
          <w:highlight w:val="none"/>
          <w:u w:val="single"/>
        </w:rPr>
        <w:t>2020</w:t>
      </w:r>
      <w:r>
        <w:rPr>
          <w:rFonts w:hint="eastAsia" w:ascii="楷体" w:hAnsi="楷体" w:eastAsia="楷体" w:cs="楷体"/>
          <w:color w:val="auto"/>
          <w:szCs w:val="21"/>
          <w:highlight w:val="none"/>
        </w:rPr>
        <w:t>年</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月</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日</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总工期要求：</w:t>
      </w:r>
      <w:r>
        <w:rPr>
          <w:rFonts w:hint="eastAsia" w:ascii="楷体" w:hAnsi="楷体" w:eastAsia="楷体" w:cs="楷体"/>
          <w:color w:val="auto"/>
          <w:szCs w:val="21"/>
          <w:highlight w:val="none"/>
          <w:u w:val="single"/>
        </w:rPr>
        <w:t>30日历天（包含设计、施工等全过程工期）</w:t>
      </w:r>
      <w:r>
        <w:rPr>
          <w:rFonts w:hint="eastAsia" w:ascii="楷体" w:hAnsi="楷体" w:eastAsia="楷体" w:cs="楷体"/>
          <w:color w:val="auto"/>
          <w:szCs w:val="21"/>
          <w:highlight w:val="none"/>
        </w:rPr>
        <w:t>。</w:t>
      </w:r>
    </w:p>
    <w:p>
      <w:pPr>
        <w:spacing w:line="400" w:lineRule="exact"/>
        <w:ind w:left="482"/>
        <w:outlineLvl w:val="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四、工程质量标准</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合同约定的标准、设计图纸、设计文件中的技术数据和技术条件是工程材料设备采购、施工质量及竣工验收质量的依据。所有工程设计、采购和施工及双方约定的其他内容，须达到功能需求。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（1）设计质量标准：所有工程设计须符合现行国家、行业、地方的相关设计规范、标准、规定等要求，确保通过施工图审查（包括各专项审查），设计单位负责施工图送审、对接及配合并按要求进行修改。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（2）施工质量标准：符合现行国家施工及验收规范标准要求，符合国家“合格”标准。</w:t>
      </w:r>
    </w:p>
    <w:p>
      <w:pPr>
        <w:spacing w:line="400" w:lineRule="exact"/>
        <w:ind w:left="482"/>
        <w:outlineLvl w:val="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五、格和付款货币</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合同价格为人民币（大写）：</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元（小写金额：</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元）。</w:t>
      </w:r>
    </w:p>
    <w:p>
      <w:pPr>
        <w:spacing w:line="400" w:lineRule="exact"/>
        <w:ind w:firstLine="420" w:firstLineChars="200"/>
        <w:rPr>
          <w:rFonts w:ascii="楷体" w:hAnsi="楷体" w:eastAsia="楷体" w:cs="楷体"/>
          <w:b/>
          <w:bCs/>
          <w:color w:val="auto"/>
          <w:szCs w:val="21"/>
          <w:highlight w:val="none"/>
        </w:rPr>
      </w:pPr>
      <w:r>
        <w:rPr>
          <w:rFonts w:hint="eastAsia" w:ascii="楷体" w:hAnsi="楷体" w:eastAsia="楷体" w:cs="楷体"/>
          <w:color w:val="auto"/>
          <w:szCs w:val="21"/>
          <w:highlight w:val="none"/>
        </w:rPr>
        <w:t>详见合同价格清单分项表。除根据合同约定的在工程实施过程中需进行增减的款项外，合同价格不作调整。</w:t>
      </w:r>
    </w:p>
    <w:p>
      <w:pPr>
        <w:spacing w:line="400" w:lineRule="exact"/>
        <w:ind w:left="482"/>
        <w:outlineLvl w:val="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六、定义与解释</w:t>
      </w:r>
    </w:p>
    <w:p>
      <w:pPr>
        <w:spacing w:line="400" w:lineRule="exact"/>
        <w:ind w:left="482"/>
        <w:rPr>
          <w:rFonts w:ascii="楷体" w:hAnsi="楷体" w:eastAsia="楷体" w:cs="楷体"/>
          <w:color w:val="auto"/>
          <w:szCs w:val="21"/>
          <w:highlight w:val="none"/>
        </w:rPr>
      </w:pPr>
      <w:r>
        <w:rPr>
          <w:rFonts w:hint="eastAsia" w:ascii="楷体" w:hAnsi="楷体" w:eastAsia="楷体" w:cs="楷体"/>
          <w:color w:val="auto"/>
          <w:szCs w:val="21"/>
          <w:highlight w:val="none"/>
        </w:rPr>
        <w:t>本协议书中有关词语的含义与通用条款中赋予的定义与解释相同。</w:t>
      </w:r>
    </w:p>
    <w:p>
      <w:pPr>
        <w:spacing w:line="400" w:lineRule="exact"/>
        <w:ind w:left="482"/>
        <w:outlineLvl w:val="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七、合同订立</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1、订立时间：</w:t>
      </w:r>
      <w:r>
        <w:rPr>
          <w:rFonts w:hint="eastAsia" w:ascii="楷体" w:hAnsi="楷体" w:eastAsia="楷体" w:cs="楷体"/>
          <w:color w:val="auto"/>
          <w:szCs w:val="21"/>
          <w:highlight w:val="none"/>
          <w:u w:val="single"/>
        </w:rPr>
        <w:t>2020</w:t>
      </w:r>
      <w:r>
        <w:rPr>
          <w:rFonts w:hint="eastAsia" w:ascii="楷体" w:hAnsi="楷体" w:eastAsia="楷体" w:cs="楷体"/>
          <w:color w:val="auto"/>
          <w:szCs w:val="21"/>
          <w:highlight w:val="none"/>
        </w:rPr>
        <w:t>年</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月</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日。</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2、订立地点：</w:t>
      </w:r>
      <w:r>
        <w:rPr>
          <w:rFonts w:hint="eastAsia" w:ascii="楷体" w:hAnsi="楷体" w:eastAsia="楷体" w:cs="楷体"/>
          <w:color w:val="auto"/>
          <w:szCs w:val="21"/>
          <w:highlight w:val="none"/>
          <w:u w:val="single"/>
        </w:rPr>
        <w:t>盐城工业职业技术学院</w:t>
      </w:r>
      <w:r>
        <w:rPr>
          <w:rFonts w:hint="eastAsia" w:ascii="楷体" w:hAnsi="楷体" w:eastAsia="楷体" w:cs="楷体"/>
          <w:color w:val="auto"/>
          <w:szCs w:val="21"/>
          <w:highlight w:val="none"/>
        </w:rPr>
        <w:t>。</w:t>
      </w:r>
    </w:p>
    <w:p>
      <w:pPr>
        <w:spacing w:line="400" w:lineRule="exact"/>
        <w:ind w:firstLine="420" w:firstLineChars="200"/>
        <w:rPr>
          <w:rFonts w:ascii="楷体" w:hAnsi="楷体" w:eastAsia="楷体" w:cs="楷体"/>
          <w:b/>
          <w:bCs/>
          <w:color w:val="auto"/>
          <w:szCs w:val="21"/>
          <w:highlight w:val="none"/>
        </w:rPr>
      </w:pPr>
      <w:r>
        <w:rPr>
          <w:rFonts w:hint="eastAsia" w:ascii="楷体" w:hAnsi="楷体" w:eastAsia="楷体" w:cs="楷体"/>
          <w:color w:val="auto"/>
          <w:szCs w:val="21"/>
          <w:highlight w:val="none"/>
        </w:rPr>
        <w:t>3、本合同一式</w:t>
      </w:r>
      <w:r>
        <w:rPr>
          <w:rFonts w:hint="eastAsia" w:ascii="楷体" w:hAnsi="楷体" w:eastAsia="楷体" w:cs="楷体"/>
          <w:color w:val="auto"/>
          <w:szCs w:val="21"/>
          <w:highlight w:val="none"/>
          <w:u w:val="single"/>
        </w:rPr>
        <w:t>11</w:t>
      </w:r>
      <w:r>
        <w:rPr>
          <w:rFonts w:hint="eastAsia" w:ascii="楷体" w:hAnsi="楷体" w:eastAsia="楷体" w:cs="楷体"/>
          <w:color w:val="auto"/>
          <w:szCs w:val="21"/>
          <w:highlight w:val="none"/>
        </w:rPr>
        <w:t>份，具有同等法律效力，双方各执</w:t>
      </w:r>
      <w:r>
        <w:rPr>
          <w:rFonts w:hint="eastAsia" w:ascii="楷体" w:hAnsi="楷体" w:eastAsia="楷体" w:cs="楷体"/>
          <w:color w:val="auto"/>
          <w:szCs w:val="21"/>
          <w:highlight w:val="none"/>
          <w:u w:val="single"/>
        </w:rPr>
        <w:t>5</w:t>
      </w:r>
      <w:r>
        <w:rPr>
          <w:rFonts w:hint="eastAsia" w:ascii="楷体" w:hAnsi="楷体" w:eastAsia="楷体" w:cs="楷体"/>
          <w:color w:val="auto"/>
          <w:szCs w:val="21"/>
          <w:highlight w:val="none"/>
        </w:rPr>
        <w:t>份。</w:t>
      </w:r>
    </w:p>
    <w:p>
      <w:pPr>
        <w:spacing w:line="400" w:lineRule="exact"/>
        <w:ind w:left="482"/>
        <w:outlineLvl w:val="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八、合同生效</w:t>
      </w:r>
    </w:p>
    <w:p>
      <w:pPr>
        <w:spacing w:line="400" w:lineRule="exact"/>
        <w:ind w:left="482"/>
        <w:rPr>
          <w:rFonts w:ascii="楷体" w:hAnsi="楷体" w:eastAsia="楷体" w:cs="楷体"/>
          <w:color w:val="auto"/>
          <w:szCs w:val="21"/>
          <w:highlight w:val="none"/>
          <w:u w:val="single"/>
        </w:rPr>
      </w:pPr>
      <w:r>
        <w:rPr>
          <w:rFonts w:hint="eastAsia" w:ascii="楷体" w:hAnsi="楷体" w:eastAsia="楷体" w:cs="楷体"/>
          <w:color w:val="auto"/>
          <w:szCs w:val="21"/>
          <w:highlight w:val="none"/>
        </w:rPr>
        <w:t>本合同在以下条件全部满足之后生效：</w:t>
      </w:r>
    </w:p>
    <w:p>
      <w:pPr>
        <w:spacing w:line="400" w:lineRule="exact"/>
        <w:rPr>
          <w:rFonts w:ascii="楷体" w:hAnsi="楷体" w:eastAsia="楷体" w:cs="楷体"/>
          <w:color w:val="auto"/>
          <w:szCs w:val="21"/>
          <w:highlight w:val="none"/>
        </w:rPr>
      </w:pPr>
      <w:r>
        <w:rPr>
          <w:rFonts w:hint="eastAsia" w:ascii="楷体" w:hAnsi="楷体" w:eastAsia="楷体" w:cs="楷体"/>
          <w:color w:val="auto"/>
          <w:szCs w:val="21"/>
          <w:highlight w:val="none"/>
        </w:rPr>
        <w:t xml:space="preserve"> </w:t>
      </w:r>
    </w:p>
    <w:p>
      <w:pPr>
        <w:spacing w:line="400" w:lineRule="exact"/>
        <w:ind w:firstLine="480"/>
        <w:rPr>
          <w:rFonts w:ascii="楷体" w:hAnsi="楷体" w:eastAsia="楷体" w:cs="楷体"/>
          <w:color w:val="auto"/>
          <w:szCs w:val="21"/>
          <w:highlight w:val="none"/>
        </w:rPr>
      </w:pPr>
      <w:r>
        <w:rPr>
          <w:rFonts w:hint="eastAsia" w:ascii="楷体" w:hAnsi="楷体" w:eastAsia="楷体" w:cs="楷体"/>
          <w:color w:val="auto"/>
          <w:szCs w:val="21"/>
          <w:highlight w:val="none"/>
        </w:rPr>
        <w:t>发包人：                            承包人：</w:t>
      </w:r>
    </w:p>
    <w:p>
      <w:pPr>
        <w:spacing w:line="400" w:lineRule="exact"/>
        <w:ind w:firstLine="315" w:firstLineChars="150"/>
        <w:rPr>
          <w:rFonts w:ascii="楷体" w:hAnsi="楷体" w:eastAsia="楷体" w:cs="楷体"/>
          <w:color w:val="auto"/>
          <w:szCs w:val="21"/>
          <w:highlight w:val="none"/>
        </w:rPr>
      </w:pPr>
      <w:r>
        <w:rPr>
          <w:rFonts w:hint="eastAsia" w:ascii="楷体" w:hAnsi="楷体" w:eastAsia="楷体" w:cs="楷体"/>
          <w:color w:val="auto"/>
          <w:szCs w:val="21"/>
          <w:highlight w:val="none"/>
        </w:rPr>
        <w:t>（公章或合同专用章）                （公章或合同专用章）</w:t>
      </w:r>
    </w:p>
    <w:p>
      <w:pPr>
        <w:spacing w:line="400" w:lineRule="exact"/>
        <w:ind w:firstLine="480"/>
        <w:rPr>
          <w:rFonts w:ascii="楷体" w:hAnsi="楷体" w:eastAsia="楷体" w:cs="楷体"/>
          <w:color w:val="auto"/>
          <w:szCs w:val="21"/>
          <w:highlight w:val="none"/>
        </w:rPr>
      </w:pPr>
      <w:r>
        <w:rPr>
          <w:rFonts w:hint="eastAsia" w:ascii="楷体" w:hAnsi="楷体" w:eastAsia="楷体" w:cs="楷体"/>
          <w:color w:val="auto"/>
          <w:szCs w:val="21"/>
          <w:highlight w:val="none"/>
        </w:rPr>
        <w:t xml:space="preserve">法定代表人或其授权代表：            法定代表人或其授权代表：  </w:t>
      </w:r>
    </w:p>
    <w:p>
      <w:pPr>
        <w:spacing w:line="400" w:lineRule="exact"/>
        <w:ind w:firstLine="315" w:firstLineChars="150"/>
        <w:rPr>
          <w:rFonts w:ascii="楷体" w:hAnsi="楷体" w:eastAsia="楷体" w:cs="楷体"/>
          <w:color w:val="auto"/>
          <w:szCs w:val="21"/>
          <w:highlight w:val="none"/>
        </w:rPr>
      </w:pPr>
      <w:r>
        <w:rPr>
          <w:rFonts w:hint="eastAsia" w:ascii="楷体" w:hAnsi="楷体" w:eastAsia="楷体" w:cs="楷体"/>
          <w:color w:val="auto"/>
          <w:szCs w:val="21"/>
          <w:highlight w:val="none"/>
        </w:rPr>
        <w:t>（签字）                            （签字）</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工商注册住所：                      工商注册住所：</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企业组织机构代码：                  企业组织机构代码：</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 xml:space="preserve">邮政编码：                          邮政编码：  </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 xml:space="preserve">法定代表人：                        法定代表人：    </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 xml:space="preserve">授权代表：                          授权代表：    </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 xml:space="preserve">电  话：                            电  话：    </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传  真：                            传  真：</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 xml:space="preserve">电子邮箱：                          电子邮箱：    </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 xml:space="preserve">开户银行：                          开户银行：    </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 xml:space="preserve">账  号：                            账  号：     </w:t>
      </w:r>
    </w:p>
    <w:p>
      <w:pPr>
        <w:spacing w:line="360" w:lineRule="auto"/>
        <w:rPr>
          <w:rFonts w:ascii="楷体" w:hAnsi="楷体" w:eastAsia="楷体" w:cs="楷体"/>
          <w:color w:val="auto"/>
          <w:highlight w:val="none"/>
        </w:rPr>
      </w:pPr>
      <w:r>
        <w:rPr>
          <w:rFonts w:hint="eastAsia" w:ascii="楷体" w:hAnsi="楷体" w:eastAsia="楷体" w:cs="楷体"/>
          <w:color w:val="auto"/>
          <w:highlight w:val="none"/>
        </w:rPr>
        <w:t xml:space="preserve"> </w:t>
      </w:r>
    </w:p>
    <w:p>
      <w:pPr>
        <w:jc w:val="center"/>
        <w:rPr>
          <w:rFonts w:ascii="楷体" w:hAnsi="楷体" w:eastAsia="楷体" w:cs="楷体"/>
          <w:b/>
          <w:bCs/>
          <w:color w:val="auto"/>
          <w:sz w:val="44"/>
          <w:szCs w:val="44"/>
          <w:highlight w:val="none"/>
        </w:rPr>
      </w:pPr>
      <w:r>
        <w:rPr>
          <w:rFonts w:hint="eastAsia" w:ascii="楷体" w:hAnsi="楷体" w:eastAsia="楷体" w:cs="楷体"/>
          <w:b/>
          <w:bCs/>
          <w:color w:val="auto"/>
          <w:sz w:val="44"/>
          <w:szCs w:val="44"/>
          <w:highlight w:val="none"/>
        </w:rPr>
        <w:t xml:space="preserve"> </w:t>
      </w:r>
      <w:r>
        <w:rPr>
          <w:rFonts w:hint="eastAsia" w:ascii="楷体" w:hAnsi="楷体" w:eastAsia="楷体" w:cs="楷体"/>
          <w:b/>
          <w:bCs/>
          <w:color w:val="auto"/>
          <w:sz w:val="36"/>
          <w:szCs w:val="36"/>
          <w:highlight w:val="none"/>
        </w:rPr>
        <w:t>第二部分通用条款</w:t>
      </w:r>
    </w:p>
    <w:p>
      <w:pPr>
        <w:spacing w:line="360" w:lineRule="auto"/>
        <w:rPr>
          <w:rFonts w:ascii="楷体" w:hAnsi="楷体" w:eastAsia="楷体" w:cs="楷体"/>
          <w:color w:val="auto"/>
          <w:szCs w:val="21"/>
          <w:highlight w:val="none"/>
        </w:rPr>
      </w:pPr>
      <w:r>
        <w:rPr>
          <w:rFonts w:hint="eastAsia" w:ascii="楷体" w:hAnsi="楷体" w:eastAsia="楷体" w:cs="楷体"/>
          <w:color w:val="auto"/>
          <w:highlight w:val="none"/>
        </w:rPr>
        <w:t xml:space="preserve"> </w:t>
      </w:r>
    </w:p>
    <w:p>
      <w:pPr>
        <w:spacing w:line="360" w:lineRule="auto"/>
        <w:jc w:val="center"/>
        <w:rPr>
          <w:rFonts w:ascii="楷体" w:hAnsi="楷体" w:eastAsia="楷体" w:cs="楷体"/>
          <w:color w:val="auto"/>
          <w:sz w:val="24"/>
          <w:highlight w:val="none"/>
        </w:rPr>
      </w:pPr>
      <w:r>
        <w:rPr>
          <w:rFonts w:hint="eastAsia" w:ascii="楷体" w:hAnsi="楷体" w:eastAsia="楷体" w:cs="楷体"/>
          <w:color w:val="auto"/>
          <w:sz w:val="24"/>
          <w:highlight w:val="none"/>
        </w:rPr>
        <w:t>同建设项目工程总承包合同示范文本（GF-2011-0216）内的通用合同条款</w:t>
      </w:r>
    </w:p>
    <w:p>
      <w:pPr>
        <w:spacing w:line="360" w:lineRule="auto"/>
        <w:jc w:val="center"/>
        <w:rPr>
          <w:rFonts w:ascii="楷体" w:hAnsi="楷体" w:eastAsia="楷体" w:cs="楷体"/>
          <w:color w:val="auto"/>
          <w:sz w:val="24"/>
          <w:highlight w:val="none"/>
        </w:rPr>
      </w:pPr>
    </w:p>
    <w:p>
      <w:pPr>
        <w:spacing w:line="360" w:lineRule="auto"/>
        <w:jc w:val="center"/>
        <w:rPr>
          <w:rFonts w:ascii="楷体" w:hAnsi="楷体" w:eastAsia="楷体" w:cs="楷体"/>
          <w:color w:val="auto"/>
          <w:sz w:val="24"/>
          <w:highlight w:val="none"/>
        </w:rPr>
      </w:pPr>
    </w:p>
    <w:p>
      <w:pPr>
        <w:spacing w:line="360" w:lineRule="auto"/>
        <w:jc w:val="center"/>
        <w:rPr>
          <w:rFonts w:ascii="楷体" w:hAnsi="楷体" w:eastAsia="楷体" w:cs="楷体"/>
          <w:b/>
          <w:bCs/>
          <w:color w:val="auto"/>
          <w:sz w:val="44"/>
          <w:szCs w:val="44"/>
          <w:highlight w:val="none"/>
        </w:rPr>
      </w:pPr>
      <w:r>
        <w:rPr>
          <w:rFonts w:hint="eastAsia" w:ascii="楷体" w:hAnsi="楷体" w:eastAsia="楷体" w:cs="楷体"/>
          <w:b/>
          <w:bCs/>
          <w:color w:val="auto"/>
          <w:sz w:val="36"/>
          <w:szCs w:val="36"/>
          <w:highlight w:val="none"/>
        </w:rPr>
        <w:t>第三部分专用条款</w:t>
      </w:r>
    </w:p>
    <w:p>
      <w:pPr>
        <w:spacing w:line="400" w:lineRule="exact"/>
        <w:ind w:firstLine="411" w:firstLineChars="196"/>
        <w:rPr>
          <w:rFonts w:ascii="楷体" w:hAnsi="楷体" w:eastAsia="楷体" w:cs="楷体"/>
          <w:b/>
          <w:bCs/>
          <w:color w:val="auto"/>
          <w:szCs w:val="21"/>
          <w:highlight w:val="none"/>
        </w:rPr>
      </w:pPr>
      <w:r>
        <w:rPr>
          <w:rFonts w:hint="eastAsia" w:ascii="楷体" w:hAnsi="楷体" w:eastAsia="楷体" w:cs="楷体"/>
          <w:b/>
          <w:bCs/>
          <w:color w:val="auto"/>
          <w:szCs w:val="21"/>
          <w:highlight w:val="none"/>
        </w:rPr>
        <w:t>第1条一般规定</w:t>
      </w:r>
    </w:p>
    <w:p>
      <w:pPr>
        <w:spacing w:line="400" w:lineRule="exact"/>
        <w:ind w:firstLine="420" w:firstLineChars="200"/>
        <w:outlineLvl w:val="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1.1  定义与解释</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rPr>
        <w:t>1.1.51 双方约定的视为不可抗力处理的其它情形如下：</w:t>
      </w:r>
      <w:r>
        <w:rPr>
          <w:rFonts w:hint="eastAsia" w:ascii="楷体" w:hAnsi="楷体" w:eastAsia="楷体" w:cs="楷体"/>
          <w:color w:val="auto"/>
          <w:szCs w:val="21"/>
          <w:highlight w:val="none"/>
          <w:u w:val="single"/>
        </w:rPr>
        <w:t xml:space="preserve">按照国家法律法规等规定执行，包括：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（1）战争、叛乱、恐怖主义、骚乱、空中飞行物体坠落或其他非发包人或承包人责任造成的爆炸、火灾、自然灾害等以及《合同法》中不可抗力定义的内容。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（2）本地区发生烈度Ⅶ度以上(含Ⅶ度)的地震。</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1.1.52 双方根据本合同工程的特点，补充约定的其它定义：/</w:t>
      </w:r>
    </w:p>
    <w:p>
      <w:pPr>
        <w:spacing w:line="400" w:lineRule="exact"/>
        <w:ind w:firstLine="420" w:firstLineChars="20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1.3  语言文字</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本合同除使用汉语外，还使用</w:t>
      </w:r>
      <w:r>
        <w:rPr>
          <w:rFonts w:hint="eastAsia" w:ascii="楷体" w:hAnsi="楷体" w:eastAsia="楷体" w:cs="楷体"/>
          <w:color w:val="auto"/>
          <w:szCs w:val="21"/>
          <w:highlight w:val="none"/>
          <w:u w:val="single"/>
        </w:rPr>
        <w:t xml:space="preserve">  /  </w:t>
      </w:r>
      <w:r>
        <w:rPr>
          <w:rFonts w:hint="eastAsia" w:ascii="楷体" w:hAnsi="楷体" w:eastAsia="楷体" w:cs="楷体"/>
          <w:color w:val="auto"/>
          <w:szCs w:val="21"/>
          <w:highlight w:val="none"/>
        </w:rPr>
        <w:t>语言。</w:t>
      </w:r>
    </w:p>
    <w:p>
      <w:pPr>
        <w:spacing w:line="400" w:lineRule="exact"/>
        <w:ind w:firstLine="420" w:firstLineChars="200"/>
        <w:outlineLvl w:val="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1.4  适用法律</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rPr>
        <w:t>合同双方需要明示的法律、行政法规、地方性法规：</w:t>
      </w:r>
      <w:r>
        <w:rPr>
          <w:rFonts w:hint="eastAsia" w:ascii="楷体" w:hAnsi="楷体" w:eastAsia="楷体" w:cs="楷体"/>
          <w:color w:val="auto"/>
          <w:szCs w:val="21"/>
          <w:highlight w:val="none"/>
          <w:u w:val="single"/>
        </w:rPr>
        <w:t>《中华人民共和国合同法》、《中华人民共和国建筑法》、《中华人民共和国招标投标法》、《建设工程质量管理条例》、《中华人民共和国安全生产法》及部省市建设主管部门现行的法律、法规。</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按照通用条款约定执行，但通用条款中约定范围的技术标准与规范不一致的，应按两者间最高标准执行；承包人应当加强对工程总承包项目的管理，按照《建设项目工程总承包管理规范（GB-T50358-2017）要求对本工程进行总承包管理。</w:t>
      </w:r>
    </w:p>
    <w:p>
      <w:pPr>
        <w:spacing w:line="400" w:lineRule="exact"/>
        <w:ind w:firstLine="420" w:firstLineChars="200"/>
        <w:outlineLvl w:val="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1.5  标准、规范</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1.5.1 本合同适用的标准、规范（名称）：</w:t>
      </w:r>
      <w:r>
        <w:rPr>
          <w:rFonts w:hint="eastAsia" w:ascii="楷体" w:hAnsi="楷体" w:eastAsia="楷体" w:cs="楷体"/>
          <w:color w:val="auto"/>
          <w:szCs w:val="21"/>
          <w:highlight w:val="none"/>
          <w:u w:val="single"/>
        </w:rPr>
        <w:t xml:space="preserve">  按照通用条款约定执行  </w:t>
      </w:r>
      <w:r>
        <w:rPr>
          <w:rFonts w:hint="eastAsia" w:ascii="楷体" w:hAnsi="楷体" w:eastAsia="楷体" w:cs="楷体"/>
          <w:color w:val="auto"/>
          <w:szCs w:val="21"/>
          <w:highlight w:val="none"/>
        </w:rPr>
        <w:t>。</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1.5.2  发包人提供的国外标准、规范的名称、份数和时间：</w:t>
      </w:r>
      <w:r>
        <w:rPr>
          <w:rFonts w:hint="eastAsia" w:ascii="楷体" w:hAnsi="楷体" w:eastAsia="楷体" w:cs="楷体"/>
          <w:color w:val="auto"/>
          <w:szCs w:val="21"/>
          <w:highlight w:val="none"/>
          <w:u w:val="single"/>
        </w:rPr>
        <w:t xml:space="preserve"> 不提供 </w:t>
      </w:r>
      <w:r>
        <w:rPr>
          <w:rFonts w:hint="eastAsia" w:ascii="楷体" w:hAnsi="楷体" w:eastAsia="楷体" w:cs="楷体"/>
          <w:color w:val="auto"/>
          <w:szCs w:val="21"/>
          <w:highlight w:val="none"/>
        </w:rPr>
        <w:t>。</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rPr>
        <w:t>1.5.3  没有成文规范、标准规定的约定：</w:t>
      </w:r>
      <w:r>
        <w:rPr>
          <w:rFonts w:hint="eastAsia" w:ascii="楷体" w:hAnsi="楷体" w:eastAsia="楷体" w:cs="楷体"/>
          <w:color w:val="auto"/>
          <w:szCs w:val="21"/>
          <w:highlight w:val="none"/>
          <w:u w:val="single"/>
        </w:rPr>
        <w:t xml:space="preserve"> 执行通用条款约定 </w:t>
      </w:r>
      <w:r>
        <w:rPr>
          <w:rFonts w:hint="eastAsia" w:ascii="楷体" w:hAnsi="楷体" w:eastAsia="楷体" w:cs="楷体"/>
          <w:color w:val="auto"/>
          <w:szCs w:val="21"/>
          <w:highlight w:val="none"/>
        </w:rPr>
        <w:t>。</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发包人的技术要求及提交时间：</w:t>
      </w:r>
      <w:r>
        <w:rPr>
          <w:rFonts w:hint="eastAsia" w:ascii="楷体" w:hAnsi="楷体" w:eastAsia="楷体" w:cs="楷体"/>
          <w:color w:val="auto"/>
          <w:szCs w:val="21"/>
          <w:highlight w:val="none"/>
          <w:u w:val="single"/>
        </w:rPr>
        <w:t xml:space="preserve">按招标文件要求提出相关技术要求或建设标准。 </w:t>
      </w:r>
    </w:p>
    <w:p>
      <w:pPr>
        <w:spacing w:line="400" w:lineRule="exact"/>
        <w:ind w:firstLine="465"/>
        <w:rPr>
          <w:rFonts w:ascii="楷体" w:hAnsi="楷体" w:eastAsia="楷体" w:cs="楷体"/>
          <w:color w:val="auto"/>
          <w:szCs w:val="21"/>
          <w:highlight w:val="none"/>
          <w:u w:val="single"/>
        </w:rPr>
      </w:pPr>
      <w:r>
        <w:rPr>
          <w:rFonts w:hint="eastAsia" w:ascii="楷体" w:hAnsi="楷体" w:eastAsia="楷体" w:cs="楷体"/>
          <w:color w:val="auto"/>
          <w:szCs w:val="21"/>
          <w:highlight w:val="none"/>
        </w:rPr>
        <w:t>承包人提交实施方法的时间：</w:t>
      </w:r>
      <w:r>
        <w:rPr>
          <w:rFonts w:hint="eastAsia" w:ascii="楷体" w:hAnsi="楷体" w:eastAsia="楷体" w:cs="楷体"/>
          <w:color w:val="auto"/>
          <w:szCs w:val="21"/>
          <w:highlight w:val="none"/>
          <w:u w:val="single"/>
        </w:rPr>
        <w:t>中标通知书发放后3日内</w:t>
      </w:r>
      <w:r>
        <w:rPr>
          <w:rFonts w:hint="eastAsia" w:ascii="楷体" w:hAnsi="楷体" w:eastAsia="楷体" w:cs="楷体"/>
          <w:color w:val="auto"/>
          <w:szCs w:val="21"/>
          <w:highlight w:val="none"/>
        </w:rPr>
        <w:t xml:space="preserve"> 。</w:t>
      </w:r>
    </w:p>
    <w:p>
      <w:pPr>
        <w:spacing w:line="400" w:lineRule="exact"/>
        <w:ind w:firstLine="420" w:firstLineChars="200"/>
        <w:outlineLvl w:val="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1.6  保密事项</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双方签订的商业保密协议（名称）：</w:t>
      </w:r>
      <w:r>
        <w:rPr>
          <w:rFonts w:hint="eastAsia" w:ascii="楷体" w:hAnsi="楷体" w:eastAsia="楷体" w:cs="楷体"/>
          <w:color w:val="auto"/>
          <w:szCs w:val="21"/>
          <w:highlight w:val="none"/>
          <w:u w:val="single"/>
        </w:rPr>
        <w:t xml:space="preserve">  /  </w:t>
      </w:r>
      <w:r>
        <w:rPr>
          <w:rFonts w:hint="eastAsia" w:ascii="楷体" w:hAnsi="楷体" w:eastAsia="楷体" w:cs="楷体"/>
          <w:color w:val="auto"/>
          <w:szCs w:val="21"/>
          <w:highlight w:val="none"/>
        </w:rPr>
        <w:t>，作为本合同附件。</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双方签订的技术保密协议（名称）：</w:t>
      </w:r>
      <w:r>
        <w:rPr>
          <w:rFonts w:hint="eastAsia" w:ascii="楷体" w:hAnsi="楷体" w:eastAsia="楷体" w:cs="楷体"/>
          <w:color w:val="auto"/>
          <w:szCs w:val="21"/>
          <w:highlight w:val="none"/>
          <w:u w:val="single"/>
        </w:rPr>
        <w:t xml:space="preserve">  /  </w:t>
      </w:r>
      <w:r>
        <w:rPr>
          <w:rFonts w:hint="eastAsia" w:ascii="楷体" w:hAnsi="楷体" w:eastAsia="楷体" w:cs="楷体"/>
          <w:color w:val="auto"/>
          <w:szCs w:val="21"/>
          <w:highlight w:val="none"/>
        </w:rPr>
        <w:t>，作为本合同附件。</w:t>
      </w:r>
    </w:p>
    <w:p>
      <w:pPr>
        <w:spacing w:line="400" w:lineRule="exact"/>
        <w:ind w:firstLine="411" w:firstLineChars="196"/>
        <w:rPr>
          <w:rFonts w:ascii="楷体" w:hAnsi="楷体" w:eastAsia="楷体" w:cs="楷体"/>
          <w:b/>
          <w:bCs/>
          <w:color w:val="auto"/>
          <w:szCs w:val="21"/>
          <w:highlight w:val="none"/>
        </w:rPr>
      </w:pPr>
      <w:r>
        <w:rPr>
          <w:rFonts w:hint="eastAsia" w:ascii="楷体" w:hAnsi="楷体" w:eastAsia="楷体" w:cs="楷体"/>
          <w:b/>
          <w:bCs/>
          <w:color w:val="auto"/>
          <w:szCs w:val="21"/>
          <w:highlight w:val="none"/>
        </w:rPr>
        <w:t>第2条发包人</w:t>
      </w:r>
    </w:p>
    <w:p>
      <w:pPr>
        <w:spacing w:line="400" w:lineRule="exact"/>
        <w:ind w:firstLine="420" w:firstLineChars="200"/>
        <w:outlineLvl w:val="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2.2  发包人代表</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发包人代表的姓名：</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发包人代表的职务：</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 xml:space="preserve">发包人代表的职责：代表发包方全权行使工程管理中依法规定应给予的发包人职责；根据工程实际需要，提请召开工程协调会，协调工程建设中急需解决的问题。 </w:t>
      </w:r>
    </w:p>
    <w:p>
      <w:pPr>
        <w:spacing w:line="400" w:lineRule="exact"/>
        <w:ind w:firstLine="420" w:firstLineChars="200"/>
        <w:outlineLvl w:val="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2.3 监理人</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rPr>
        <w:t>监理单位名称：</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w:t>
      </w:r>
      <w:r>
        <w:rPr>
          <w:rFonts w:hint="eastAsia" w:ascii="楷体" w:hAnsi="楷体" w:eastAsia="楷体" w:cs="楷体"/>
          <w:color w:val="auto"/>
          <w:szCs w:val="21"/>
          <w:highlight w:val="none"/>
          <w:u w:val="single"/>
        </w:rPr>
        <w:t xml:space="preserve"> </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工程总监理姓名：</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监理的范围：</w:t>
      </w:r>
      <w:r>
        <w:rPr>
          <w:rFonts w:hint="eastAsia" w:ascii="楷体" w:hAnsi="楷体" w:eastAsia="楷体" w:cs="楷体"/>
          <w:color w:val="auto"/>
          <w:szCs w:val="21"/>
          <w:highlight w:val="none"/>
          <w:u w:val="single"/>
        </w:rPr>
        <w:t xml:space="preserve">执行本工程发包人和监理人签订的《工程监理合同》的约定 </w:t>
      </w:r>
      <w:r>
        <w:rPr>
          <w:rFonts w:hint="eastAsia" w:ascii="楷体" w:hAnsi="楷体" w:eastAsia="楷体" w:cs="楷体"/>
          <w:color w:val="auto"/>
          <w:szCs w:val="21"/>
          <w:highlight w:val="none"/>
        </w:rPr>
        <w:t>；</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监理的内容：</w:t>
      </w:r>
      <w:r>
        <w:rPr>
          <w:rFonts w:hint="eastAsia" w:ascii="楷体" w:hAnsi="楷体" w:eastAsia="楷体" w:cs="楷体"/>
          <w:color w:val="auto"/>
          <w:szCs w:val="21"/>
          <w:highlight w:val="none"/>
          <w:u w:val="single"/>
        </w:rPr>
        <w:t xml:space="preserve">执行本工程发包人和监理人签订的《工程监理合同》的约定 </w:t>
      </w:r>
      <w:r>
        <w:rPr>
          <w:rFonts w:hint="eastAsia" w:ascii="楷体" w:hAnsi="楷体" w:eastAsia="楷体" w:cs="楷体"/>
          <w:color w:val="auto"/>
          <w:szCs w:val="21"/>
          <w:highlight w:val="none"/>
        </w:rPr>
        <w:t xml:space="preserve">； </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 xml:space="preserve">监理的权限：根据本工程的《建设工程委托监理合同》行使监理人权限，监理人权限的行使需预先取得发包人的同意和授权，监理人应向承包人出具相关同意的证明。 </w:t>
      </w:r>
    </w:p>
    <w:p>
      <w:pPr>
        <w:spacing w:line="400" w:lineRule="exact"/>
        <w:ind w:firstLine="420" w:firstLineChars="200"/>
        <w:outlineLvl w:val="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2.5  保安责任</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2.5.1现场保安责任的约定。在以下两者中选择其一，作为合同双方对现场保安责任的约定。</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□发包人负责保安的归口管理</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R委托承包人负责保安管理</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rPr>
        <w:t>2.5.2保安区域责任划分及双方相关保安制度、责任制度和报告制度的约定：</w:t>
      </w:r>
      <w:r>
        <w:rPr>
          <w:rFonts w:hint="eastAsia" w:ascii="楷体" w:hAnsi="楷体" w:eastAsia="楷体" w:cs="楷体"/>
          <w:color w:val="auto"/>
          <w:szCs w:val="21"/>
          <w:highlight w:val="none"/>
          <w:u w:val="single"/>
        </w:rPr>
        <w:t>由承包人负责。</w:t>
      </w:r>
    </w:p>
    <w:p>
      <w:pPr>
        <w:spacing w:line="400" w:lineRule="exact"/>
        <w:ind w:firstLine="420" w:firstLineChars="20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第3条承包人</w:t>
      </w:r>
    </w:p>
    <w:p>
      <w:pPr>
        <w:spacing w:line="400" w:lineRule="exact"/>
        <w:ind w:firstLine="420" w:firstLineChars="200"/>
        <w:outlineLvl w:val="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 xml:space="preserve">3.1 承包人权利和义务的相关约定 </w:t>
      </w:r>
    </w:p>
    <w:p>
      <w:pPr>
        <w:spacing w:line="400" w:lineRule="exact"/>
        <w:ind w:firstLine="420" w:firstLineChars="200"/>
        <w:outlineLvl w:val="0"/>
        <w:rPr>
          <w:rFonts w:ascii="楷体" w:hAnsi="楷体" w:eastAsia="楷体" w:cs="楷体"/>
          <w:color w:val="auto"/>
          <w:szCs w:val="21"/>
          <w:highlight w:val="none"/>
        </w:rPr>
      </w:pPr>
      <w:r>
        <w:rPr>
          <w:rFonts w:hint="eastAsia" w:ascii="楷体" w:hAnsi="楷体" w:eastAsia="楷体" w:cs="楷体"/>
          <w:color w:val="auto"/>
          <w:szCs w:val="21"/>
          <w:highlight w:val="none"/>
        </w:rPr>
        <w:t xml:space="preserve">3.1.1 除执行《建设项目工程总承包管理规范》（GB-T50358-2017）要求和本合同通用条款约定外，承包人还应根据本项目情况加强如下管理和协调工作，包括： </w:t>
      </w:r>
    </w:p>
    <w:p>
      <w:pPr>
        <w:spacing w:line="400" w:lineRule="exact"/>
        <w:ind w:firstLine="420" w:firstLineChars="200"/>
        <w:outlineLvl w:val="0"/>
        <w:rPr>
          <w:rFonts w:ascii="楷体" w:hAnsi="楷体" w:eastAsia="楷体" w:cs="楷体"/>
          <w:color w:val="auto"/>
          <w:szCs w:val="21"/>
          <w:highlight w:val="none"/>
        </w:rPr>
      </w:pPr>
      <w:r>
        <w:rPr>
          <w:rFonts w:hint="eastAsia" w:ascii="楷体" w:hAnsi="楷体" w:eastAsia="楷体" w:cs="楷体"/>
          <w:color w:val="auto"/>
          <w:szCs w:val="21"/>
          <w:highlight w:val="none"/>
        </w:rPr>
        <w:t>（1）</w:t>
      </w:r>
      <w:r>
        <w:rPr>
          <w:rFonts w:hint="eastAsia" w:ascii="楷体" w:hAnsi="楷体" w:eastAsia="楷体" w:cs="楷体"/>
          <w:color w:val="auto"/>
          <w:szCs w:val="21"/>
          <w:highlight w:val="none"/>
          <w:u w:val="single"/>
        </w:rPr>
        <w:t>与相关部门沟通协调，为工程顺利实施创造条件</w:t>
      </w:r>
      <w:r>
        <w:rPr>
          <w:rFonts w:hint="eastAsia" w:ascii="楷体" w:hAnsi="楷体" w:eastAsia="楷体" w:cs="楷体"/>
          <w:color w:val="auto"/>
          <w:szCs w:val="21"/>
          <w:highlight w:val="none"/>
        </w:rPr>
        <w:t xml:space="preserve">。 </w:t>
      </w:r>
    </w:p>
    <w:p>
      <w:pPr>
        <w:spacing w:line="400" w:lineRule="exact"/>
        <w:ind w:firstLine="420" w:firstLineChars="200"/>
        <w:outlineLvl w:val="0"/>
        <w:rPr>
          <w:rFonts w:ascii="楷体" w:hAnsi="楷体" w:eastAsia="楷体" w:cs="楷体"/>
          <w:color w:val="auto"/>
          <w:szCs w:val="21"/>
          <w:highlight w:val="none"/>
        </w:rPr>
      </w:pPr>
      <w:r>
        <w:rPr>
          <w:rFonts w:hint="eastAsia" w:ascii="楷体" w:hAnsi="楷体" w:eastAsia="楷体" w:cs="楷体"/>
          <w:color w:val="auto"/>
          <w:szCs w:val="21"/>
          <w:highlight w:val="none"/>
        </w:rPr>
        <w:t>（2）</w:t>
      </w:r>
      <w:r>
        <w:rPr>
          <w:rFonts w:hint="eastAsia" w:ascii="楷体" w:hAnsi="楷体" w:eastAsia="楷体" w:cs="楷体"/>
          <w:color w:val="auto"/>
          <w:szCs w:val="21"/>
          <w:highlight w:val="none"/>
          <w:u w:val="single"/>
        </w:rPr>
        <w:t>服从发包人、监理人、跟踪审计、质监和安监管理部门及监察、审计部门的监管，加强质量管理、进度监控、安全文明管理和工程造价控制等。</w:t>
      </w:r>
      <w:r>
        <w:rPr>
          <w:rFonts w:hint="eastAsia" w:ascii="楷体" w:hAnsi="楷体" w:eastAsia="楷体" w:cs="楷体"/>
          <w:color w:val="auto"/>
          <w:szCs w:val="21"/>
          <w:highlight w:val="none"/>
        </w:rPr>
        <w:t xml:space="preserve"> </w:t>
      </w:r>
    </w:p>
    <w:p>
      <w:pPr>
        <w:spacing w:line="400" w:lineRule="exact"/>
        <w:ind w:firstLine="420" w:firstLineChars="200"/>
        <w:outlineLvl w:val="0"/>
        <w:rPr>
          <w:rFonts w:ascii="楷体" w:hAnsi="楷体" w:eastAsia="楷体" w:cs="楷体"/>
          <w:color w:val="auto"/>
          <w:szCs w:val="21"/>
          <w:highlight w:val="none"/>
        </w:rPr>
      </w:pPr>
      <w:r>
        <w:rPr>
          <w:rFonts w:hint="eastAsia" w:ascii="楷体" w:hAnsi="楷体" w:eastAsia="楷体" w:cs="楷体"/>
          <w:color w:val="auto"/>
          <w:szCs w:val="21"/>
          <w:highlight w:val="none"/>
        </w:rPr>
        <w:t>（3）</w:t>
      </w:r>
      <w:r>
        <w:rPr>
          <w:rFonts w:hint="eastAsia" w:ascii="楷体" w:hAnsi="楷体" w:eastAsia="楷体" w:cs="楷体"/>
          <w:color w:val="auto"/>
          <w:szCs w:val="21"/>
          <w:highlight w:val="none"/>
          <w:u w:val="single"/>
        </w:rPr>
        <w:t>与其它专业单位及其它协作单位密切配合，杜绝工程实施的阻力与风险</w:t>
      </w:r>
      <w:r>
        <w:rPr>
          <w:rFonts w:hint="eastAsia" w:ascii="楷体" w:hAnsi="楷体" w:eastAsia="楷体" w:cs="楷体"/>
          <w:color w:val="auto"/>
          <w:szCs w:val="21"/>
          <w:highlight w:val="none"/>
        </w:rPr>
        <w:t xml:space="preserve">。 </w:t>
      </w:r>
    </w:p>
    <w:p>
      <w:pPr>
        <w:spacing w:line="400" w:lineRule="exact"/>
        <w:ind w:firstLine="420" w:firstLineChars="200"/>
        <w:outlineLvl w:val="0"/>
        <w:rPr>
          <w:rFonts w:ascii="楷体" w:hAnsi="楷体" w:eastAsia="楷体" w:cs="楷体"/>
          <w:color w:val="auto"/>
          <w:szCs w:val="21"/>
          <w:highlight w:val="none"/>
          <w:u w:val="single"/>
        </w:rPr>
      </w:pPr>
      <w:r>
        <w:rPr>
          <w:rFonts w:hint="eastAsia" w:ascii="楷体" w:hAnsi="楷体" w:eastAsia="楷体" w:cs="楷体"/>
          <w:color w:val="auto"/>
          <w:szCs w:val="21"/>
          <w:highlight w:val="none"/>
        </w:rPr>
        <w:t>（4）</w:t>
      </w:r>
      <w:r>
        <w:rPr>
          <w:rFonts w:hint="eastAsia" w:ascii="楷体" w:hAnsi="楷体" w:eastAsia="楷体" w:cs="楷体"/>
          <w:color w:val="auto"/>
          <w:szCs w:val="21"/>
          <w:highlight w:val="none"/>
          <w:u w:val="single"/>
        </w:rPr>
        <w:t xml:space="preserve">加强与发包人及审计单位沟通，使项目按预定目标发挥社会效益和经济效益。 </w:t>
      </w:r>
    </w:p>
    <w:p>
      <w:pPr>
        <w:spacing w:line="400" w:lineRule="exact"/>
        <w:ind w:firstLine="420" w:firstLineChars="200"/>
        <w:outlineLvl w:val="0"/>
        <w:rPr>
          <w:rFonts w:ascii="楷体" w:hAnsi="楷体" w:eastAsia="楷体" w:cs="楷体"/>
          <w:b/>
          <w:bCs/>
          <w:color w:val="auto"/>
          <w:szCs w:val="21"/>
          <w:highlight w:val="none"/>
          <w:u w:val="single"/>
        </w:rPr>
      </w:pPr>
      <w:r>
        <w:rPr>
          <w:rFonts w:hint="eastAsia" w:ascii="楷体" w:hAnsi="楷体" w:eastAsia="楷体" w:cs="楷体"/>
          <w:b/>
          <w:bCs/>
          <w:color w:val="auto"/>
          <w:szCs w:val="21"/>
          <w:highlight w:val="none"/>
        </w:rPr>
        <w:t>（5）</w:t>
      </w:r>
      <w:r>
        <w:rPr>
          <w:rFonts w:hint="eastAsia" w:ascii="楷体" w:hAnsi="楷体" w:eastAsia="楷体" w:cs="楷体"/>
          <w:b/>
          <w:bCs/>
          <w:color w:val="auto"/>
          <w:szCs w:val="21"/>
          <w:highlight w:val="none"/>
          <w:u w:val="single"/>
        </w:rPr>
        <w:t xml:space="preserve">在中标通知书发放后3日内，承包人须按发包人要求提交5份书面详细的工程施工组织设计方案和所需施工专项方案（含电子档）。对于关键部位和节点工程，应按发包人要求提交切实可行的专项施工方案，经审查批准后按方案实施；中标通知书发放后3日内应按发包人要求提供签字盖章的总进度计划和周进度计划各3份，发包人依此计划进行督查考核。 </w:t>
      </w:r>
    </w:p>
    <w:p>
      <w:pPr>
        <w:spacing w:line="400" w:lineRule="exact"/>
        <w:ind w:firstLine="420" w:firstLineChars="200"/>
        <w:outlineLvl w:val="0"/>
        <w:rPr>
          <w:rFonts w:ascii="楷体" w:hAnsi="楷体" w:eastAsia="楷体" w:cs="楷体"/>
          <w:color w:val="auto"/>
          <w:szCs w:val="21"/>
          <w:highlight w:val="none"/>
          <w:u w:val="single"/>
        </w:rPr>
      </w:pPr>
      <w:r>
        <w:rPr>
          <w:rFonts w:hint="eastAsia" w:ascii="楷体" w:hAnsi="楷体" w:eastAsia="楷体" w:cs="楷体"/>
          <w:color w:val="auto"/>
          <w:szCs w:val="21"/>
          <w:highlight w:val="none"/>
        </w:rPr>
        <w:t>（6）</w:t>
      </w:r>
      <w:r>
        <w:rPr>
          <w:rFonts w:hint="eastAsia" w:ascii="楷体" w:hAnsi="楷体" w:eastAsia="楷体" w:cs="楷体"/>
          <w:color w:val="auto"/>
          <w:szCs w:val="21"/>
          <w:highlight w:val="none"/>
          <w:u w:val="single"/>
        </w:rPr>
        <w:t xml:space="preserve">承担施工安全保卫工作及夜间施工照明的责任和要求：在实施和完成本工程过程中，承包人应加强安全管理，非施工人员不得进入现场，保证施工现场所有人员安全，采取有效措施，使施工区域内的施工秩序有条不紊；为保护工程免遭损坏，或为现场附近和过往人群的安全与方便，在确有必要的时候和地方，或当发包人或有关主管部门要求时，承包人应增加安全防护措施并承担相应费用，竣工结算时发包人不另行增加费用。 </w:t>
      </w:r>
    </w:p>
    <w:p>
      <w:pPr>
        <w:spacing w:line="400" w:lineRule="exact"/>
        <w:ind w:firstLine="420" w:firstLineChars="200"/>
        <w:outlineLvl w:val="0"/>
        <w:rPr>
          <w:rFonts w:ascii="楷体" w:hAnsi="楷体" w:eastAsia="楷体" w:cs="楷体"/>
          <w:color w:val="auto"/>
          <w:szCs w:val="21"/>
          <w:highlight w:val="none"/>
        </w:rPr>
      </w:pPr>
      <w:r>
        <w:rPr>
          <w:rFonts w:hint="eastAsia" w:ascii="楷体" w:hAnsi="楷体" w:eastAsia="楷体" w:cs="楷体"/>
          <w:color w:val="auto"/>
          <w:szCs w:val="21"/>
          <w:highlight w:val="none"/>
        </w:rPr>
        <w:t>（7）</w:t>
      </w:r>
      <w:r>
        <w:rPr>
          <w:rFonts w:hint="eastAsia" w:ascii="楷体" w:hAnsi="楷体" w:eastAsia="楷体" w:cs="楷体"/>
          <w:color w:val="auto"/>
          <w:szCs w:val="21"/>
          <w:highlight w:val="none"/>
          <w:u w:val="single"/>
        </w:rPr>
        <w:t xml:space="preserve">承包人应自行办理的有关施工场地交通、环卫和施工噪音管理等手续包括：涉及交通、环卫、市容(含建筑垃圾外运)、环保及劳务用工管理等所有协调工作，承包人须按照地方管理部门及发包人的要求执行并承担所发生的一切费用，竣工结算时发包人不另行增加费用。 </w:t>
      </w:r>
    </w:p>
    <w:p>
      <w:pPr>
        <w:spacing w:line="400" w:lineRule="exact"/>
        <w:ind w:firstLine="420" w:firstLineChars="200"/>
        <w:outlineLvl w:val="0"/>
        <w:rPr>
          <w:rFonts w:ascii="楷体" w:hAnsi="楷体" w:eastAsia="楷体" w:cs="楷体"/>
          <w:color w:val="auto"/>
          <w:szCs w:val="21"/>
          <w:highlight w:val="none"/>
          <w:u w:val="single"/>
        </w:rPr>
      </w:pPr>
      <w:r>
        <w:rPr>
          <w:rFonts w:hint="eastAsia" w:ascii="楷体" w:hAnsi="楷体" w:eastAsia="楷体" w:cs="楷体"/>
          <w:color w:val="auto"/>
          <w:szCs w:val="21"/>
          <w:highlight w:val="none"/>
        </w:rPr>
        <w:t>（8）</w:t>
      </w:r>
      <w:r>
        <w:rPr>
          <w:rFonts w:hint="eastAsia" w:ascii="楷体" w:hAnsi="楷体" w:eastAsia="楷体" w:cs="楷体"/>
          <w:color w:val="auto"/>
          <w:szCs w:val="21"/>
          <w:highlight w:val="none"/>
          <w:u w:val="single"/>
        </w:rPr>
        <w:t xml:space="preserve">已完工程成品保护的特殊要求及费用承担：由承包人负责成品保护并承担费用。 </w:t>
      </w:r>
    </w:p>
    <w:p>
      <w:pPr>
        <w:spacing w:line="400" w:lineRule="exact"/>
        <w:ind w:firstLine="420" w:firstLineChars="200"/>
        <w:outlineLvl w:val="0"/>
        <w:rPr>
          <w:rFonts w:ascii="楷体" w:hAnsi="楷体" w:eastAsia="楷体" w:cs="楷体"/>
          <w:color w:val="auto"/>
          <w:szCs w:val="21"/>
          <w:highlight w:val="none"/>
          <w:u w:val="single"/>
        </w:rPr>
      </w:pPr>
      <w:r>
        <w:rPr>
          <w:rFonts w:hint="eastAsia" w:ascii="楷体" w:hAnsi="楷体" w:eastAsia="楷体" w:cs="楷体"/>
          <w:color w:val="auto"/>
          <w:szCs w:val="21"/>
          <w:highlight w:val="none"/>
        </w:rPr>
        <w:t>（9）</w:t>
      </w:r>
      <w:r>
        <w:rPr>
          <w:rFonts w:hint="eastAsia" w:ascii="楷体" w:hAnsi="楷体" w:eastAsia="楷体" w:cs="楷体"/>
          <w:color w:val="auto"/>
          <w:szCs w:val="21"/>
          <w:highlight w:val="none"/>
          <w:u w:val="single"/>
        </w:rPr>
        <w:t>施工场地清洁卫生的要求：按江苏省、盐城市有关规定执行，文明施工，保证工完场清。按发包人要求统一制作承包人施工区域内施工围挡，各项标识，标牌并进行日常维护，便于检查、视察或参观。</w:t>
      </w:r>
    </w:p>
    <w:p>
      <w:pPr>
        <w:spacing w:line="400" w:lineRule="exact"/>
        <w:ind w:firstLine="420" w:firstLineChars="200"/>
        <w:outlineLvl w:val="0"/>
        <w:rPr>
          <w:rFonts w:ascii="楷体" w:hAnsi="楷体" w:eastAsia="楷体" w:cs="楷体"/>
          <w:color w:val="auto"/>
          <w:szCs w:val="21"/>
          <w:highlight w:val="none"/>
        </w:rPr>
      </w:pPr>
      <w:r>
        <w:rPr>
          <w:rFonts w:hint="eastAsia" w:ascii="楷体" w:hAnsi="楷体" w:eastAsia="楷体" w:cs="楷体"/>
          <w:color w:val="auto"/>
          <w:szCs w:val="21"/>
          <w:highlight w:val="none"/>
        </w:rPr>
        <w:t>（10）</w:t>
      </w:r>
      <w:r>
        <w:rPr>
          <w:rFonts w:hint="eastAsia" w:ascii="楷体" w:hAnsi="楷体" w:eastAsia="楷体" w:cs="楷体"/>
          <w:color w:val="auto"/>
          <w:szCs w:val="21"/>
          <w:highlight w:val="none"/>
          <w:u w:val="single"/>
        </w:rPr>
        <w:t>承包人应严格执行江苏省、盐城市相关民工工资保障金管理办法，不论何种原因，均不得拖欠民工工资。</w:t>
      </w:r>
      <w:r>
        <w:rPr>
          <w:rFonts w:hint="eastAsia" w:ascii="楷体" w:hAnsi="楷体" w:eastAsia="楷体" w:cs="楷体"/>
          <w:color w:val="auto"/>
          <w:szCs w:val="21"/>
          <w:highlight w:val="none"/>
        </w:rPr>
        <w:t xml:space="preserve"> </w:t>
      </w:r>
    </w:p>
    <w:p>
      <w:pPr>
        <w:spacing w:line="400" w:lineRule="exact"/>
        <w:ind w:firstLine="420" w:firstLineChars="200"/>
        <w:outlineLvl w:val="0"/>
        <w:rPr>
          <w:rFonts w:ascii="楷体" w:hAnsi="楷体" w:eastAsia="楷体" w:cs="楷体"/>
          <w:color w:val="auto"/>
          <w:szCs w:val="21"/>
          <w:highlight w:val="none"/>
        </w:rPr>
      </w:pPr>
      <w:r>
        <w:rPr>
          <w:rFonts w:hint="eastAsia" w:ascii="楷体" w:hAnsi="楷体" w:eastAsia="楷体" w:cs="楷体"/>
          <w:color w:val="auto"/>
          <w:szCs w:val="21"/>
          <w:highlight w:val="none"/>
        </w:rPr>
        <w:t>（11）</w:t>
      </w:r>
      <w:r>
        <w:rPr>
          <w:rFonts w:hint="eastAsia" w:ascii="楷体" w:hAnsi="楷体" w:eastAsia="楷体" w:cs="楷体"/>
          <w:color w:val="auto"/>
          <w:szCs w:val="21"/>
          <w:highlight w:val="none"/>
          <w:u w:val="single"/>
        </w:rPr>
        <w:t xml:space="preserve">为确保本项目整体目标全面实现，承包人负责办理相关手续包括(但不限于)办理施工许可证、报检、施工图审查（含消防图审）等手续审批，承包人负责办理上述相关工作所发生的所有费用按规定执行。 </w:t>
      </w:r>
    </w:p>
    <w:p>
      <w:pPr>
        <w:spacing w:line="400" w:lineRule="exact"/>
        <w:ind w:firstLine="420" w:firstLineChars="200"/>
        <w:outlineLvl w:val="0"/>
        <w:rPr>
          <w:rFonts w:ascii="楷体" w:hAnsi="楷体" w:eastAsia="楷体" w:cs="楷体"/>
          <w:color w:val="auto"/>
          <w:szCs w:val="21"/>
          <w:highlight w:val="none"/>
        </w:rPr>
      </w:pPr>
      <w:r>
        <w:rPr>
          <w:rFonts w:hint="eastAsia" w:ascii="楷体" w:hAnsi="楷体" w:eastAsia="楷体" w:cs="楷体"/>
          <w:color w:val="auto"/>
          <w:szCs w:val="21"/>
          <w:highlight w:val="none"/>
        </w:rPr>
        <w:t>（12）</w:t>
      </w:r>
      <w:r>
        <w:rPr>
          <w:rFonts w:hint="eastAsia" w:ascii="楷体" w:hAnsi="楷体" w:eastAsia="楷体" w:cs="楷体"/>
          <w:color w:val="auto"/>
          <w:szCs w:val="21"/>
          <w:highlight w:val="none"/>
          <w:u w:val="single"/>
        </w:rPr>
        <w:t xml:space="preserve">承包人完成的其他永久工程或临时工程，包括但不限于：承包人须完成的临时设施，包括安全文明施工等。 </w:t>
      </w:r>
    </w:p>
    <w:p>
      <w:pPr>
        <w:spacing w:line="400" w:lineRule="exact"/>
        <w:ind w:firstLine="420" w:firstLineChars="200"/>
        <w:outlineLvl w:val="0"/>
        <w:rPr>
          <w:rFonts w:ascii="楷体" w:hAnsi="楷体" w:eastAsia="楷体" w:cs="楷体"/>
          <w:color w:val="auto"/>
          <w:szCs w:val="21"/>
          <w:highlight w:val="none"/>
        </w:rPr>
      </w:pPr>
      <w:r>
        <w:rPr>
          <w:rFonts w:hint="eastAsia" w:ascii="楷体" w:hAnsi="楷体" w:eastAsia="楷体" w:cs="楷体"/>
          <w:color w:val="auto"/>
          <w:szCs w:val="21"/>
          <w:highlight w:val="none"/>
        </w:rPr>
        <w:t xml:space="preserve">（13）相关各方约定承包人应做的相关工作： </w:t>
      </w:r>
    </w:p>
    <w:p>
      <w:pPr>
        <w:spacing w:line="400" w:lineRule="exact"/>
        <w:ind w:firstLine="420" w:firstLineChars="200"/>
        <w:outlineLvl w:val="0"/>
        <w:rPr>
          <w:rFonts w:ascii="楷体" w:hAnsi="楷体" w:eastAsia="楷体" w:cs="楷体"/>
          <w:color w:val="auto"/>
          <w:szCs w:val="21"/>
          <w:highlight w:val="none"/>
          <w:u w:val="single"/>
        </w:rPr>
      </w:pPr>
      <w:r>
        <w:rPr>
          <w:rFonts w:hint="eastAsia" w:ascii="楷体" w:hAnsi="楷体" w:eastAsia="楷体" w:cs="楷体"/>
          <w:color w:val="auto"/>
          <w:szCs w:val="21"/>
          <w:highlight w:val="none"/>
        </w:rPr>
        <w:t xml:space="preserve">① </w:t>
      </w:r>
      <w:r>
        <w:rPr>
          <w:rFonts w:hint="eastAsia" w:ascii="楷体" w:hAnsi="楷体" w:eastAsia="楷体" w:cs="楷体"/>
          <w:color w:val="auto"/>
          <w:szCs w:val="21"/>
          <w:highlight w:val="none"/>
          <w:u w:val="single"/>
        </w:rPr>
        <w:t xml:space="preserve">应接受发包人、监理人的现场协调管理，合理调动资源，保障工期目标的实现。 </w:t>
      </w:r>
    </w:p>
    <w:p>
      <w:pPr>
        <w:spacing w:line="400" w:lineRule="exact"/>
        <w:ind w:firstLine="420" w:firstLineChars="200"/>
        <w:outlineLvl w:val="0"/>
        <w:rPr>
          <w:rFonts w:ascii="楷体" w:hAnsi="楷体" w:eastAsia="楷体" w:cs="楷体"/>
          <w:color w:val="auto"/>
          <w:szCs w:val="21"/>
          <w:highlight w:val="none"/>
          <w:u w:val="single"/>
        </w:rPr>
      </w:pPr>
      <w:r>
        <w:rPr>
          <w:rFonts w:hint="eastAsia" w:ascii="楷体" w:hAnsi="楷体" w:eastAsia="楷体" w:cs="楷体"/>
          <w:color w:val="auto"/>
          <w:szCs w:val="21"/>
          <w:highlight w:val="none"/>
        </w:rPr>
        <w:t xml:space="preserve">② </w:t>
      </w:r>
      <w:r>
        <w:rPr>
          <w:rFonts w:hint="eastAsia" w:ascii="楷体" w:hAnsi="楷体" w:eastAsia="楷体" w:cs="楷体"/>
          <w:color w:val="auto"/>
          <w:szCs w:val="21"/>
          <w:highlight w:val="none"/>
          <w:u w:val="single"/>
        </w:rPr>
        <w:t xml:space="preserve">施工协调管理：承包人应能与施工现场各方做到协调良好、配合一致、专业互补，在工地现场服从发包人的统筹协调管理，如有违反，承包人承担违约责任，发包人有权对承包人进行处罚。 </w:t>
      </w:r>
    </w:p>
    <w:p>
      <w:pPr>
        <w:spacing w:line="400" w:lineRule="exact"/>
        <w:ind w:firstLine="420" w:firstLineChars="200"/>
        <w:outlineLvl w:val="0"/>
        <w:rPr>
          <w:rFonts w:ascii="楷体" w:hAnsi="楷体" w:eastAsia="楷体" w:cs="楷体"/>
          <w:color w:val="auto"/>
          <w:szCs w:val="21"/>
          <w:highlight w:val="none"/>
          <w:u w:val="single"/>
        </w:rPr>
      </w:pPr>
      <w:r>
        <w:rPr>
          <w:rFonts w:hint="eastAsia" w:ascii="楷体" w:hAnsi="楷体" w:eastAsia="楷体" w:cs="楷体"/>
          <w:color w:val="auto"/>
          <w:szCs w:val="21"/>
          <w:highlight w:val="none"/>
        </w:rPr>
        <w:t xml:space="preserve">③ </w:t>
      </w:r>
      <w:r>
        <w:rPr>
          <w:rFonts w:hint="eastAsia" w:ascii="楷体" w:hAnsi="楷体" w:eastAsia="楷体" w:cs="楷体"/>
          <w:color w:val="auto"/>
          <w:szCs w:val="21"/>
          <w:highlight w:val="none"/>
          <w:u w:val="single"/>
        </w:rPr>
        <w:t xml:space="preserve">承包人必须遵守建设工程施工等方面的相关规定，服从行政主管部门的管理。凡涉及到承包人的施工备案、夜间施工、车辆准运等有关证、照，均由承包人自行办理，发包人给予配合，所发生的费用均由承包人承担，包括排污管理费、噪声管理费、垃圾管理费等。 </w:t>
      </w:r>
    </w:p>
    <w:p>
      <w:pPr>
        <w:spacing w:line="400" w:lineRule="exact"/>
        <w:ind w:firstLine="420" w:firstLineChars="200"/>
        <w:outlineLvl w:val="0"/>
        <w:rPr>
          <w:rFonts w:ascii="楷体" w:hAnsi="楷体" w:eastAsia="楷体" w:cs="楷体"/>
          <w:color w:val="auto"/>
          <w:szCs w:val="21"/>
          <w:highlight w:val="none"/>
        </w:rPr>
      </w:pPr>
      <w:r>
        <w:rPr>
          <w:rFonts w:hint="eastAsia" w:ascii="楷体" w:hAnsi="楷体" w:eastAsia="楷体" w:cs="楷体"/>
          <w:b/>
          <w:bCs/>
          <w:color w:val="auto"/>
          <w:szCs w:val="21"/>
          <w:highlight w:val="none"/>
        </w:rPr>
        <w:t xml:space="preserve">④ </w:t>
      </w:r>
      <w:r>
        <w:rPr>
          <w:rFonts w:hint="eastAsia" w:ascii="楷体" w:hAnsi="楷体" w:eastAsia="楷体" w:cs="楷体"/>
          <w:color w:val="auto"/>
          <w:szCs w:val="21"/>
          <w:highlight w:val="none"/>
          <w:u w:val="single"/>
        </w:rPr>
        <w:t xml:space="preserve">工程施工过程中，如因城市重大活动等，可能对工期产生不利影响，承包人应按照要求做出必要的调整和配合，费用自理，工期不顺延。 </w:t>
      </w:r>
    </w:p>
    <w:p>
      <w:pPr>
        <w:spacing w:line="400" w:lineRule="exact"/>
        <w:ind w:firstLine="420" w:firstLineChars="200"/>
        <w:outlineLvl w:val="0"/>
        <w:rPr>
          <w:rFonts w:ascii="楷体" w:hAnsi="楷体" w:eastAsia="楷体" w:cs="楷体"/>
          <w:color w:val="auto"/>
          <w:szCs w:val="21"/>
          <w:highlight w:val="none"/>
        </w:rPr>
      </w:pPr>
      <w:r>
        <w:rPr>
          <w:rFonts w:hint="eastAsia" w:ascii="楷体" w:hAnsi="楷体" w:eastAsia="楷体" w:cs="楷体"/>
          <w:color w:val="auto"/>
          <w:szCs w:val="21"/>
          <w:highlight w:val="none"/>
        </w:rPr>
        <w:t xml:space="preserve">（14）承包人应承担的其他义务，包括但不限于： </w:t>
      </w:r>
    </w:p>
    <w:p>
      <w:pPr>
        <w:spacing w:line="400" w:lineRule="exact"/>
        <w:ind w:firstLine="420" w:firstLineChars="200"/>
        <w:outlineLvl w:val="0"/>
        <w:rPr>
          <w:rFonts w:ascii="楷体" w:hAnsi="楷体" w:eastAsia="楷体" w:cs="楷体"/>
          <w:color w:val="auto"/>
          <w:szCs w:val="21"/>
          <w:highlight w:val="none"/>
        </w:rPr>
      </w:pPr>
      <w:r>
        <w:rPr>
          <w:rFonts w:hint="eastAsia" w:ascii="楷体" w:hAnsi="楷体" w:eastAsia="楷体" w:cs="楷体"/>
          <w:color w:val="auto"/>
          <w:szCs w:val="21"/>
          <w:highlight w:val="none"/>
        </w:rPr>
        <w:t>①</w:t>
      </w:r>
      <w:r>
        <w:rPr>
          <w:rFonts w:hint="eastAsia" w:ascii="楷体" w:hAnsi="楷体" w:eastAsia="楷体" w:cs="楷体"/>
          <w:color w:val="auto"/>
          <w:szCs w:val="21"/>
          <w:highlight w:val="none"/>
          <w:u w:val="single"/>
        </w:rPr>
        <w:t xml:space="preserve">采取环保措施，达到环保要求的责任和费用，包括：环境污染防治措施；大气污染防治措施；施工噪音防护措施等； </w:t>
      </w:r>
    </w:p>
    <w:p>
      <w:pPr>
        <w:spacing w:line="400" w:lineRule="exact"/>
        <w:ind w:firstLine="420" w:firstLineChars="200"/>
        <w:outlineLvl w:val="0"/>
        <w:rPr>
          <w:rFonts w:ascii="楷体" w:hAnsi="楷体" w:eastAsia="楷体" w:cs="楷体"/>
          <w:color w:val="auto"/>
          <w:szCs w:val="21"/>
          <w:highlight w:val="none"/>
          <w:u w:val="single"/>
        </w:rPr>
      </w:pPr>
      <w:r>
        <w:rPr>
          <w:rFonts w:hint="eastAsia" w:ascii="楷体" w:hAnsi="楷体" w:eastAsia="楷体" w:cs="楷体"/>
          <w:color w:val="auto"/>
          <w:szCs w:val="21"/>
          <w:highlight w:val="none"/>
        </w:rPr>
        <w:t>②</w:t>
      </w:r>
      <w:r>
        <w:rPr>
          <w:rFonts w:hint="eastAsia" w:ascii="楷体" w:hAnsi="楷体" w:eastAsia="楷体" w:cs="楷体"/>
          <w:color w:val="auto"/>
          <w:szCs w:val="21"/>
          <w:highlight w:val="none"/>
          <w:u w:val="single"/>
        </w:rPr>
        <w:t xml:space="preserve">招标阶段发包人提供给承包人的相关资料仅供参考，承包人应自行踏勘现场，了解招标范围、设计要求、工期要求、工艺要求、工作界面、道路装卸限制，现场水源、电源情况，并将上述因素在投标报价时充分考虑，任何因误解工地情况导致的费用索赔招标人不予接受。 </w:t>
      </w:r>
    </w:p>
    <w:p>
      <w:pPr>
        <w:spacing w:line="400" w:lineRule="exact"/>
        <w:ind w:firstLine="420" w:firstLineChars="200"/>
        <w:outlineLvl w:val="0"/>
        <w:rPr>
          <w:rFonts w:ascii="楷体" w:hAnsi="楷体" w:eastAsia="楷体" w:cs="楷体"/>
          <w:color w:val="auto"/>
          <w:szCs w:val="21"/>
          <w:highlight w:val="none"/>
          <w:u w:val="single"/>
        </w:rPr>
      </w:pPr>
      <w:r>
        <w:rPr>
          <w:rFonts w:hint="eastAsia" w:ascii="楷体" w:hAnsi="楷体" w:eastAsia="楷体" w:cs="楷体"/>
          <w:color w:val="auto"/>
          <w:szCs w:val="21"/>
          <w:highlight w:val="none"/>
        </w:rPr>
        <w:t>（15）</w:t>
      </w:r>
      <w:r>
        <w:rPr>
          <w:rFonts w:hint="eastAsia" w:ascii="楷体" w:hAnsi="楷体" w:eastAsia="楷体" w:cs="楷体"/>
          <w:color w:val="auto"/>
          <w:szCs w:val="21"/>
          <w:highlight w:val="none"/>
          <w:u w:val="single"/>
        </w:rPr>
        <w:t xml:space="preserve">在工程实施过程中发生未按发包人审核确认后的图纸进行施工的，每发生一次须向发包人支付人民币 10000 元违约金，且须按发包人审核确认后的图纸无条件整改到位，已施工且未按发包人审核确认后图纸要求的部分由承包人自行拆除，并承担由此造成的一切损失（即发包人对上述拆除、整改等增加的费用不给予任何补偿，且工期不予顺延）。 </w:t>
      </w:r>
    </w:p>
    <w:p>
      <w:pPr>
        <w:spacing w:line="400" w:lineRule="exact"/>
        <w:ind w:firstLine="420" w:firstLineChars="200"/>
        <w:outlineLvl w:val="0"/>
        <w:rPr>
          <w:rFonts w:ascii="楷体" w:hAnsi="楷体" w:eastAsia="楷体" w:cs="楷体"/>
          <w:color w:val="auto"/>
          <w:szCs w:val="21"/>
          <w:highlight w:val="none"/>
        </w:rPr>
      </w:pPr>
      <w:r>
        <w:rPr>
          <w:rFonts w:hint="eastAsia" w:ascii="楷体" w:hAnsi="楷体" w:eastAsia="楷体" w:cs="楷体"/>
          <w:color w:val="auto"/>
          <w:szCs w:val="21"/>
          <w:highlight w:val="none"/>
        </w:rPr>
        <w:t xml:space="preserve">（16）风险约定：除本合同专用条款约定允许调整的合同价格外，其余一切可预见或不可预见的风险均由承包人承担。竣工结算时，发包人不另行增加费用。具体详见本合同专用条款的结算办法。 </w:t>
      </w:r>
    </w:p>
    <w:p>
      <w:pPr>
        <w:spacing w:line="400" w:lineRule="exact"/>
        <w:ind w:firstLine="420" w:firstLineChars="200"/>
        <w:outlineLvl w:val="0"/>
        <w:rPr>
          <w:rFonts w:ascii="楷体" w:hAnsi="楷体" w:eastAsia="楷体" w:cs="楷体"/>
          <w:color w:val="auto"/>
          <w:szCs w:val="21"/>
          <w:highlight w:val="none"/>
          <w:u w:val="single"/>
        </w:rPr>
      </w:pPr>
      <w:r>
        <w:rPr>
          <w:rFonts w:hint="eastAsia" w:ascii="楷体" w:hAnsi="楷体" w:eastAsia="楷体" w:cs="楷体"/>
          <w:color w:val="auto"/>
          <w:szCs w:val="21"/>
          <w:highlight w:val="none"/>
        </w:rPr>
        <w:t>3.1.3 经合同双方商定，承包人应提交的报表类别、名称、要求、报告期、提交的时间和份数：</w:t>
      </w:r>
      <w:r>
        <w:rPr>
          <w:rFonts w:hint="eastAsia" w:ascii="楷体" w:hAnsi="楷体" w:eastAsia="楷体" w:cs="楷体"/>
          <w:color w:val="auto"/>
          <w:szCs w:val="21"/>
          <w:highlight w:val="none"/>
          <w:u w:val="single"/>
        </w:rPr>
        <w:t xml:space="preserve">设计进度计划、采购计划、施工总进度计划、周进度计划和施工组织设计，书面一式3份及电子档一份。如因承包人编制的各项计划无法通过监理单位审查，发包人有权终止合同。 </w:t>
      </w:r>
    </w:p>
    <w:p>
      <w:pPr>
        <w:spacing w:line="400" w:lineRule="exact"/>
        <w:ind w:firstLine="420" w:firstLineChars="200"/>
        <w:outlineLvl w:val="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 xml:space="preserve">3.2 总承包项目各级负责人 </w:t>
      </w:r>
    </w:p>
    <w:p>
      <w:pPr>
        <w:spacing w:line="400" w:lineRule="exact"/>
        <w:ind w:firstLine="420" w:firstLineChars="200"/>
        <w:outlineLvl w:val="0"/>
        <w:rPr>
          <w:rFonts w:ascii="楷体" w:hAnsi="楷体" w:eastAsia="楷体" w:cs="楷体"/>
          <w:color w:val="auto"/>
          <w:szCs w:val="21"/>
          <w:highlight w:val="none"/>
        </w:rPr>
      </w:pPr>
      <w:r>
        <w:rPr>
          <w:rFonts w:hint="eastAsia" w:ascii="楷体" w:hAnsi="楷体" w:eastAsia="楷体" w:cs="楷体"/>
          <w:color w:val="auto"/>
          <w:szCs w:val="21"/>
          <w:highlight w:val="none"/>
        </w:rPr>
        <w:t>3.2.1</w:t>
      </w:r>
      <w:r>
        <w:rPr>
          <w:rFonts w:hint="eastAsia" w:ascii="楷体" w:hAnsi="楷体" w:eastAsia="楷体" w:cs="楷体"/>
          <w:color w:val="auto"/>
          <w:szCs w:val="21"/>
          <w:highlight w:val="none"/>
          <w:u w:val="single"/>
        </w:rPr>
        <w:t xml:space="preserve">按招标时约定，承包人须委派一名项目负责人，具体负责项目实施的计划、组织、协调、领导和控制，对项目的设计、采购、施工质量、安全文明、进度和费用等全面负责。项目负责人应常驻现场进行管理，中途如须离开，必须经发包人同意。 </w:t>
      </w:r>
    </w:p>
    <w:p>
      <w:pPr>
        <w:spacing w:line="400" w:lineRule="exact"/>
        <w:ind w:firstLine="420" w:firstLineChars="200"/>
        <w:outlineLvl w:val="0"/>
        <w:rPr>
          <w:rFonts w:ascii="楷体" w:hAnsi="楷体" w:eastAsia="楷体" w:cs="楷体"/>
          <w:color w:val="auto"/>
          <w:szCs w:val="21"/>
          <w:highlight w:val="none"/>
          <w:u w:val="single"/>
        </w:rPr>
      </w:pPr>
      <w:r>
        <w:rPr>
          <w:rFonts w:hint="eastAsia" w:ascii="楷体" w:hAnsi="楷体" w:eastAsia="楷体" w:cs="楷体"/>
          <w:color w:val="auto"/>
          <w:szCs w:val="21"/>
          <w:highlight w:val="none"/>
        </w:rPr>
        <w:t>3.2.2</w:t>
      </w:r>
      <w:r>
        <w:rPr>
          <w:rFonts w:hint="eastAsia" w:ascii="楷体" w:hAnsi="楷体" w:eastAsia="楷体" w:cs="楷体"/>
          <w:color w:val="auto"/>
          <w:szCs w:val="21"/>
          <w:highlight w:val="none"/>
          <w:u w:val="single"/>
        </w:rPr>
        <w:t xml:space="preserve">中途项目负责人需离岗必须履行书面请假手续并经发包人同意。若未经发包人同意而擅自离岗的，将处以每天5000元的违约金，承包人必须在发包人处罚决定后 3 日内以现金形式交由发包人。若擅自离岗连续达7天以上的，经发包人提出仍未改正的，发包人有权终止合同，因此给发包人造成损失的，发包人将依法追偿。 </w:t>
      </w:r>
    </w:p>
    <w:p>
      <w:pPr>
        <w:spacing w:line="400" w:lineRule="exact"/>
        <w:ind w:firstLine="420" w:firstLineChars="200"/>
        <w:outlineLvl w:val="0"/>
        <w:rPr>
          <w:rFonts w:ascii="楷体" w:hAnsi="楷体" w:eastAsia="楷体" w:cs="楷体"/>
          <w:color w:val="auto"/>
          <w:szCs w:val="21"/>
          <w:highlight w:val="none"/>
          <w:u w:val="single"/>
        </w:rPr>
      </w:pPr>
      <w:r>
        <w:rPr>
          <w:rFonts w:hint="eastAsia" w:ascii="楷体" w:hAnsi="楷体" w:eastAsia="楷体" w:cs="楷体"/>
          <w:b/>
          <w:bCs/>
          <w:color w:val="auto"/>
          <w:szCs w:val="21"/>
          <w:highlight w:val="none"/>
        </w:rPr>
        <w:t>3.2.3</w:t>
      </w:r>
      <w:r>
        <w:rPr>
          <w:rFonts w:hint="eastAsia" w:ascii="楷体" w:hAnsi="楷体" w:eastAsia="楷体" w:cs="楷体"/>
          <w:color w:val="auto"/>
          <w:szCs w:val="21"/>
          <w:highlight w:val="none"/>
          <w:u w:val="single"/>
        </w:rPr>
        <w:t xml:space="preserve">未经发包人同意承包人擅自更换项目负责人的，发包人可中止合同，因此给发包人造成损失的，发包人将依法追偿。 </w:t>
      </w:r>
    </w:p>
    <w:p>
      <w:pPr>
        <w:spacing w:line="400" w:lineRule="exact"/>
        <w:ind w:firstLine="420" w:firstLineChars="200"/>
        <w:outlineLvl w:val="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 xml:space="preserve">项目负责人（即总承包项目经理） </w:t>
      </w:r>
    </w:p>
    <w:p>
      <w:pPr>
        <w:spacing w:line="400" w:lineRule="exact"/>
        <w:ind w:firstLine="420" w:firstLineChars="200"/>
        <w:outlineLvl w:val="0"/>
        <w:rPr>
          <w:rFonts w:ascii="楷体" w:hAnsi="楷体" w:eastAsia="楷体" w:cs="楷体"/>
          <w:color w:val="auto"/>
          <w:szCs w:val="21"/>
          <w:highlight w:val="none"/>
        </w:rPr>
      </w:pPr>
      <w:r>
        <w:rPr>
          <w:rFonts w:hint="eastAsia" w:ascii="楷体" w:hAnsi="楷体" w:eastAsia="楷体" w:cs="楷体"/>
          <w:color w:val="auto"/>
          <w:szCs w:val="21"/>
          <w:highlight w:val="none"/>
        </w:rPr>
        <w:t>姓名：</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 xml:space="preserve">； </w:t>
      </w:r>
    </w:p>
    <w:p>
      <w:pPr>
        <w:spacing w:line="400" w:lineRule="exact"/>
        <w:ind w:firstLine="420" w:firstLineChars="200"/>
        <w:outlineLvl w:val="0"/>
        <w:rPr>
          <w:rFonts w:ascii="楷体" w:hAnsi="楷体" w:eastAsia="楷体" w:cs="楷体"/>
          <w:color w:val="auto"/>
          <w:szCs w:val="21"/>
          <w:highlight w:val="none"/>
        </w:rPr>
      </w:pPr>
      <w:r>
        <w:rPr>
          <w:rFonts w:hint="eastAsia" w:ascii="楷体" w:hAnsi="楷体" w:eastAsia="楷体" w:cs="楷体"/>
          <w:color w:val="auto"/>
          <w:szCs w:val="21"/>
          <w:highlight w:val="none"/>
        </w:rPr>
        <w:t>执业资格等级（如有）：</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 xml:space="preserve">； </w:t>
      </w:r>
    </w:p>
    <w:p>
      <w:pPr>
        <w:spacing w:line="400" w:lineRule="exact"/>
        <w:ind w:firstLine="420" w:firstLineChars="200"/>
        <w:outlineLvl w:val="0"/>
        <w:rPr>
          <w:rFonts w:ascii="楷体" w:hAnsi="楷体" w:eastAsia="楷体" w:cs="楷体"/>
          <w:color w:val="auto"/>
          <w:szCs w:val="21"/>
          <w:highlight w:val="none"/>
        </w:rPr>
      </w:pPr>
      <w:r>
        <w:rPr>
          <w:rFonts w:hint="eastAsia" w:ascii="楷体" w:hAnsi="楷体" w:eastAsia="楷体" w:cs="楷体"/>
          <w:color w:val="auto"/>
          <w:szCs w:val="21"/>
          <w:highlight w:val="none"/>
        </w:rPr>
        <w:t>建设工程系列技术职称：</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 xml:space="preserve">； </w:t>
      </w:r>
    </w:p>
    <w:p>
      <w:pPr>
        <w:spacing w:line="400" w:lineRule="exact"/>
        <w:ind w:firstLine="420" w:firstLineChars="200"/>
        <w:outlineLvl w:val="0"/>
        <w:rPr>
          <w:rFonts w:ascii="楷体" w:hAnsi="楷体" w:eastAsia="楷体" w:cs="楷体"/>
          <w:color w:val="auto"/>
          <w:szCs w:val="21"/>
          <w:highlight w:val="none"/>
        </w:rPr>
      </w:pPr>
      <w:r>
        <w:rPr>
          <w:rFonts w:hint="eastAsia" w:ascii="楷体" w:hAnsi="楷体" w:eastAsia="楷体" w:cs="楷体"/>
          <w:color w:val="auto"/>
          <w:szCs w:val="21"/>
          <w:highlight w:val="none"/>
        </w:rPr>
        <w:t>技术职称证书号：</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 xml:space="preserve">； </w:t>
      </w:r>
    </w:p>
    <w:p>
      <w:pPr>
        <w:spacing w:line="400" w:lineRule="exact"/>
        <w:ind w:firstLine="420" w:firstLineChars="200"/>
        <w:outlineLvl w:val="0"/>
        <w:rPr>
          <w:rFonts w:ascii="楷体" w:hAnsi="楷体" w:eastAsia="楷体" w:cs="楷体"/>
          <w:color w:val="auto"/>
          <w:szCs w:val="21"/>
          <w:highlight w:val="none"/>
        </w:rPr>
      </w:pPr>
      <w:r>
        <w:rPr>
          <w:rFonts w:hint="eastAsia" w:ascii="楷体" w:hAnsi="楷体" w:eastAsia="楷体" w:cs="楷体"/>
          <w:color w:val="auto"/>
          <w:szCs w:val="21"/>
          <w:highlight w:val="none"/>
        </w:rPr>
        <w:t>身份证号：</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w:t>
      </w:r>
    </w:p>
    <w:p>
      <w:pPr>
        <w:spacing w:line="400" w:lineRule="exact"/>
        <w:ind w:firstLine="420" w:firstLineChars="200"/>
        <w:outlineLvl w:val="0"/>
        <w:rPr>
          <w:rFonts w:ascii="楷体" w:hAnsi="楷体" w:eastAsia="楷体" w:cs="楷体"/>
          <w:color w:val="auto"/>
          <w:szCs w:val="21"/>
          <w:highlight w:val="none"/>
        </w:rPr>
      </w:pPr>
      <w:r>
        <w:rPr>
          <w:rFonts w:hint="eastAsia" w:ascii="楷体" w:hAnsi="楷体" w:eastAsia="楷体" w:cs="楷体"/>
          <w:color w:val="auto"/>
          <w:szCs w:val="21"/>
          <w:highlight w:val="none"/>
        </w:rPr>
        <w:t>职务：</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w:t>
      </w:r>
    </w:p>
    <w:p>
      <w:pPr>
        <w:spacing w:line="400" w:lineRule="exact"/>
        <w:ind w:firstLine="420" w:firstLineChars="200"/>
        <w:outlineLvl w:val="0"/>
        <w:rPr>
          <w:rFonts w:ascii="楷体" w:hAnsi="楷体" w:eastAsia="楷体" w:cs="楷体"/>
          <w:color w:val="auto"/>
          <w:szCs w:val="21"/>
          <w:highlight w:val="none"/>
        </w:rPr>
      </w:pPr>
      <w:r>
        <w:rPr>
          <w:rFonts w:hint="eastAsia" w:ascii="楷体" w:hAnsi="楷体" w:eastAsia="楷体" w:cs="楷体"/>
          <w:color w:val="auto"/>
          <w:szCs w:val="21"/>
          <w:highlight w:val="none"/>
        </w:rPr>
        <w:t>联系电话：</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 xml:space="preserve">； </w:t>
      </w:r>
    </w:p>
    <w:p>
      <w:pPr>
        <w:spacing w:line="400" w:lineRule="exact"/>
        <w:ind w:firstLine="420" w:firstLineChars="200"/>
        <w:outlineLvl w:val="0"/>
        <w:rPr>
          <w:rFonts w:ascii="楷体" w:hAnsi="楷体" w:eastAsia="楷体" w:cs="楷体"/>
          <w:color w:val="auto"/>
          <w:szCs w:val="21"/>
          <w:highlight w:val="none"/>
        </w:rPr>
      </w:pPr>
      <w:r>
        <w:rPr>
          <w:rFonts w:hint="eastAsia" w:ascii="楷体" w:hAnsi="楷体" w:eastAsia="楷体" w:cs="楷体"/>
          <w:color w:val="auto"/>
          <w:szCs w:val="21"/>
          <w:highlight w:val="none"/>
        </w:rPr>
        <w:t>电子信箱：</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 xml:space="preserve">。 </w:t>
      </w:r>
    </w:p>
    <w:p>
      <w:pPr>
        <w:spacing w:line="400" w:lineRule="exact"/>
        <w:ind w:firstLine="420" w:firstLineChars="200"/>
        <w:outlineLvl w:val="0"/>
        <w:rPr>
          <w:rFonts w:ascii="楷体" w:hAnsi="楷体" w:eastAsia="楷体" w:cs="楷体"/>
          <w:color w:val="auto"/>
          <w:szCs w:val="21"/>
          <w:highlight w:val="none"/>
          <w:u w:val="single"/>
        </w:rPr>
      </w:pPr>
      <w:r>
        <w:rPr>
          <w:rFonts w:hint="eastAsia" w:ascii="楷体" w:hAnsi="楷体" w:eastAsia="楷体" w:cs="楷体"/>
          <w:color w:val="auto"/>
          <w:szCs w:val="21"/>
          <w:highlight w:val="none"/>
        </w:rPr>
        <w:t>项目负责人权限：</w:t>
      </w:r>
      <w:r>
        <w:rPr>
          <w:rFonts w:hint="eastAsia" w:ascii="楷体" w:hAnsi="楷体" w:eastAsia="楷体" w:cs="楷体"/>
          <w:color w:val="auto"/>
          <w:szCs w:val="21"/>
          <w:highlight w:val="none"/>
          <w:u w:val="single"/>
        </w:rPr>
        <w:t xml:space="preserve">全面负责本合同中所有工程的设计（优化和深化）、采购和施工及验收等全过程总承包及其管理协调工作，并对工程的质量、安全、进度、文明施工等负总责。 </w:t>
      </w:r>
    </w:p>
    <w:p>
      <w:pPr>
        <w:spacing w:line="400" w:lineRule="exact"/>
        <w:ind w:firstLine="420" w:firstLineChars="200"/>
        <w:outlineLvl w:val="0"/>
        <w:rPr>
          <w:rFonts w:ascii="楷体" w:hAnsi="楷体" w:eastAsia="楷体" w:cs="楷体"/>
          <w:color w:val="auto"/>
          <w:szCs w:val="21"/>
          <w:highlight w:val="none"/>
          <w:u w:val="single"/>
        </w:rPr>
      </w:pPr>
      <w:r>
        <w:rPr>
          <w:rFonts w:hint="eastAsia" w:ascii="楷体" w:hAnsi="楷体" w:eastAsia="楷体" w:cs="楷体"/>
          <w:color w:val="auto"/>
          <w:szCs w:val="21"/>
          <w:highlight w:val="none"/>
        </w:rPr>
        <w:t>因擅自更换项目负责人或项目负责人兼职其它项目经理的违约约定：</w:t>
      </w:r>
      <w:r>
        <w:rPr>
          <w:rFonts w:hint="eastAsia" w:ascii="楷体" w:hAnsi="楷体" w:eastAsia="楷体" w:cs="楷体"/>
          <w:color w:val="auto"/>
          <w:szCs w:val="21"/>
          <w:highlight w:val="none"/>
          <w:u w:val="single"/>
        </w:rPr>
        <w:t xml:space="preserve">中标的项目负责人，不因任何情形而更换，且出勤率不少于80%（确定为每月22个工作日），如发生更换或出勤率少于80%，除接受招标文件约定的处罚外，自愿另行接受合同价 2%的扣款。 </w:t>
      </w:r>
    </w:p>
    <w:p>
      <w:pPr>
        <w:spacing w:line="400" w:lineRule="exact"/>
        <w:ind w:firstLine="420" w:firstLineChars="200"/>
        <w:outlineLvl w:val="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 xml:space="preserve">承包人须根据行业、地方主管部门、发包人的要求和实际施工需要，增加或调整相关专业的施工负责人员。 </w:t>
      </w:r>
    </w:p>
    <w:p>
      <w:pPr>
        <w:spacing w:line="400" w:lineRule="exact"/>
        <w:ind w:firstLine="420" w:firstLineChars="200"/>
        <w:outlineLvl w:val="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 xml:space="preserve">3.3 承包人人员 </w:t>
      </w:r>
    </w:p>
    <w:p>
      <w:pPr>
        <w:spacing w:line="400" w:lineRule="exact"/>
        <w:ind w:firstLine="420" w:firstLineChars="200"/>
        <w:outlineLvl w:val="0"/>
        <w:rPr>
          <w:rFonts w:ascii="楷体" w:hAnsi="楷体" w:eastAsia="楷体" w:cs="楷体"/>
          <w:color w:val="auto"/>
          <w:szCs w:val="21"/>
          <w:highlight w:val="none"/>
          <w:u w:val="single"/>
        </w:rPr>
      </w:pPr>
      <w:r>
        <w:rPr>
          <w:rFonts w:hint="eastAsia" w:ascii="楷体" w:hAnsi="楷体" w:eastAsia="楷体" w:cs="楷体"/>
          <w:color w:val="auto"/>
          <w:szCs w:val="21"/>
          <w:highlight w:val="none"/>
        </w:rPr>
        <w:t>3.3.1 承包人提交项目管理机构及施工现场管理人员安排报告的期限：</w:t>
      </w:r>
      <w:r>
        <w:rPr>
          <w:rFonts w:hint="eastAsia" w:ascii="楷体" w:hAnsi="楷体" w:eastAsia="楷体" w:cs="楷体"/>
          <w:color w:val="auto"/>
          <w:szCs w:val="21"/>
          <w:highlight w:val="none"/>
          <w:u w:val="single"/>
        </w:rPr>
        <w:t xml:space="preserve">中标通知书发放后3日内 。 </w:t>
      </w:r>
    </w:p>
    <w:p>
      <w:pPr>
        <w:spacing w:line="400" w:lineRule="exact"/>
        <w:ind w:firstLine="420" w:firstLineChars="200"/>
        <w:outlineLvl w:val="0"/>
        <w:rPr>
          <w:rFonts w:ascii="楷体" w:hAnsi="楷体" w:eastAsia="楷体" w:cs="楷体"/>
          <w:color w:val="auto"/>
          <w:szCs w:val="21"/>
          <w:highlight w:val="none"/>
        </w:rPr>
      </w:pPr>
      <w:r>
        <w:rPr>
          <w:rFonts w:hint="eastAsia" w:ascii="楷体" w:hAnsi="楷体" w:eastAsia="楷体" w:cs="楷体"/>
          <w:color w:val="auto"/>
          <w:szCs w:val="21"/>
          <w:highlight w:val="none"/>
        </w:rPr>
        <w:t>施工现场主要管理人员：技术负责人</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，质检员</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，施工员</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，安全员</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 xml:space="preserve">。 </w:t>
      </w:r>
    </w:p>
    <w:p>
      <w:pPr>
        <w:spacing w:line="400" w:lineRule="exact"/>
        <w:ind w:firstLine="420" w:firstLineChars="200"/>
        <w:outlineLvl w:val="0"/>
        <w:rPr>
          <w:rFonts w:ascii="楷体" w:hAnsi="楷体" w:eastAsia="楷体" w:cs="楷体"/>
          <w:color w:val="auto"/>
          <w:szCs w:val="21"/>
          <w:highlight w:val="none"/>
          <w:u w:val="single"/>
        </w:rPr>
      </w:pPr>
      <w:r>
        <w:rPr>
          <w:rFonts w:hint="eastAsia" w:ascii="楷体" w:hAnsi="楷体" w:eastAsia="楷体" w:cs="楷体"/>
          <w:color w:val="auto"/>
          <w:szCs w:val="21"/>
          <w:highlight w:val="none"/>
        </w:rPr>
        <w:t>3.3.2承包人无正当理由拒绝撤换主要施工管理人员的违约责任：</w:t>
      </w:r>
      <w:r>
        <w:rPr>
          <w:rFonts w:hint="eastAsia" w:ascii="楷体" w:hAnsi="楷体" w:eastAsia="楷体" w:cs="楷体"/>
          <w:color w:val="auto"/>
          <w:szCs w:val="21"/>
          <w:highlight w:val="none"/>
          <w:u w:val="single"/>
        </w:rPr>
        <w:t xml:space="preserve">经发包人提出后，承包人拒绝更换的，发包人有权终止合同，因此给发包人造成损失的，发包人将依法追偿。 </w:t>
      </w:r>
    </w:p>
    <w:p>
      <w:pPr>
        <w:spacing w:line="400" w:lineRule="exact"/>
        <w:ind w:firstLine="420" w:firstLineChars="200"/>
        <w:outlineLvl w:val="0"/>
        <w:rPr>
          <w:rFonts w:ascii="楷体" w:hAnsi="楷体" w:eastAsia="楷体" w:cs="楷体"/>
          <w:color w:val="auto"/>
          <w:szCs w:val="21"/>
          <w:highlight w:val="none"/>
          <w:u w:val="single"/>
        </w:rPr>
      </w:pPr>
      <w:r>
        <w:rPr>
          <w:rFonts w:hint="eastAsia" w:ascii="楷体" w:hAnsi="楷体" w:eastAsia="楷体" w:cs="楷体"/>
          <w:color w:val="auto"/>
          <w:szCs w:val="21"/>
          <w:highlight w:val="none"/>
        </w:rPr>
        <w:t>3.3.3承包人主要施工管理人员离开施工现场的批准要求：</w:t>
      </w:r>
      <w:r>
        <w:rPr>
          <w:rFonts w:hint="eastAsia" w:ascii="楷体" w:hAnsi="楷体" w:eastAsia="楷体" w:cs="楷体"/>
          <w:color w:val="auto"/>
          <w:szCs w:val="21"/>
          <w:highlight w:val="none"/>
          <w:u w:val="single"/>
        </w:rPr>
        <w:t xml:space="preserve">中途主要施工管理人员需离岗必须履行书面请假手续并经发包人同意。 </w:t>
      </w:r>
    </w:p>
    <w:p>
      <w:pPr>
        <w:spacing w:line="400" w:lineRule="exact"/>
        <w:ind w:firstLine="420" w:firstLineChars="200"/>
        <w:outlineLvl w:val="0"/>
        <w:rPr>
          <w:rFonts w:ascii="楷体" w:hAnsi="楷体" w:eastAsia="楷体" w:cs="楷体"/>
          <w:color w:val="auto"/>
          <w:szCs w:val="21"/>
          <w:highlight w:val="none"/>
        </w:rPr>
      </w:pPr>
      <w:r>
        <w:rPr>
          <w:rFonts w:hint="eastAsia" w:ascii="楷体" w:hAnsi="楷体" w:eastAsia="楷体" w:cs="楷体"/>
          <w:color w:val="auto"/>
          <w:szCs w:val="21"/>
          <w:highlight w:val="none"/>
        </w:rPr>
        <w:t>3.3.4承包人擅自更换主要施工管理人员的违约责任：</w:t>
      </w:r>
      <w:r>
        <w:rPr>
          <w:rFonts w:hint="eastAsia" w:ascii="楷体" w:hAnsi="楷体" w:eastAsia="楷体" w:cs="楷体"/>
          <w:color w:val="auto"/>
          <w:szCs w:val="21"/>
          <w:highlight w:val="none"/>
          <w:u w:val="single"/>
        </w:rPr>
        <w:t xml:space="preserve">发包人有权终止合同，因此给发包人造成损失的，发包人将依法追偿。工程开工时，承包人应出具书面授权委托书明确主要施工管理人员，并按投标文件要求明确现场管理机构。项目负责人和项目部人员必须和投标文件一致并常驻现场，如项目实施过程中，提供的人员中每少一人参与项目实施或提供的人员不能胜任工作的，发包人将有权建议更换，直至更换至能胜任现场管理工作为止，并且发包人有权处承包人不少于5000元/人的处罚，承包人必须在发包人处罚决定后3日内以现金形式交由发包人；项目负责人和项目部人员中途如需离开，必须书面申请，具体细则详见本合同条款及格式中的约定。 </w:t>
      </w:r>
    </w:p>
    <w:p>
      <w:pPr>
        <w:spacing w:line="400" w:lineRule="exact"/>
        <w:ind w:firstLine="420" w:firstLineChars="200"/>
        <w:outlineLvl w:val="0"/>
        <w:rPr>
          <w:rFonts w:ascii="楷体" w:hAnsi="楷体" w:eastAsia="楷体" w:cs="楷体"/>
          <w:color w:val="auto"/>
          <w:szCs w:val="21"/>
          <w:highlight w:val="none"/>
        </w:rPr>
      </w:pPr>
      <w:r>
        <w:rPr>
          <w:rFonts w:hint="eastAsia" w:ascii="楷体" w:hAnsi="楷体" w:eastAsia="楷体" w:cs="楷体"/>
          <w:color w:val="auto"/>
          <w:szCs w:val="21"/>
          <w:highlight w:val="none"/>
        </w:rPr>
        <w:t>3.3.5承包人主要施工管理人员擅自离开施工现场的违约责任：</w:t>
      </w:r>
      <w:r>
        <w:rPr>
          <w:rFonts w:hint="eastAsia" w:ascii="楷体" w:hAnsi="楷体" w:eastAsia="楷体" w:cs="楷体"/>
          <w:color w:val="auto"/>
          <w:szCs w:val="21"/>
          <w:highlight w:val="none"/>
          <w:u w:val="single"/>
        </w:rPr>
        <w:t xml:space="preserve">若未经发包人同意而擅自离岗的，将处以每人每天3000元的违约金，承包人必须在发包人处罚决定后3日内以现金形式交由发包人。若擅自离岗连续达7天以上的，经发包人提出仍未改正的，发包人有权终止合同，因此给发包人造成损失的，发包人将依法追偿。 </w:t>
      </w:r>
    </w:p>
    <w:p>
      <w:pPr>
        <w:spacing w:line="400" w:lineRule="exact"/>
        <w:ind w:firstLine="420" w:firstLineChars="200"/>
        <w:outlineLvl w:val="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 xml:space="preserve">注：工程项目部管理人员必须严格按招投标文件要求及时配备到位。所有人员有持证要求的必须持证上岗，在项目经理的统一领导下，尽心尽职地做好本职工作。如不能胜任工作的，发包人将有权建议更换，直到更换至能胜任现场管理工作为止。 </w:t>
      </w:r>
    </w:p>
    <w:p>
      <w:pPr>
        <w:spacing w:line="400" w:lineRule="exact"/>
        <w:ind w:firstLine="420" w:firstLineChars="200"/>
        <w:outlineLvl w:val="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3.8 分包</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3.3.1 分包约定</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约定的分包工作事项：</w:t>
      </w:r>
      <w:r>
        <w:rPr>
          <w:rFonts w:hint="eastAsia" w:ascii="楷体" w:hAnsi="楷体" w:eastAsia="楷体" w:cs="楷体"/>
          <w:color w:val="auto"/>
          <w:szCs w:val="21"/>
          <w:highlight w:val="none"/>
          <w:u w:val="single"/>
        </w:rPr>
        <w:t xml:space="preserve">承包人必须就分包事项向发包人提出申请，经发包人审核批准后方可依法分包，但不得转包和违法分包。承包人必须按国家相关规定依法组织分包并经发包人同意，并就分包工程向发包人承担连带责任。分包人应符合国家法律规定的企业资质等级，并在分包前报发包人审批同意。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rPr>
        <w:t>（1）</w:t>
      </w:r>
      <w:r>
        <w:rPr>
          <w:rFonts w:hint="eastAsia" w:ascii="楷体" w:hAnsi="楷体" w:eastAsia="楷体" w:cs="楷体"/>
          <w:color w:val="auto"/>
          <w:szCs w:val="21"/>
          <w:highlight w:val="none"/>
          <w:u w:val="single"/>
        </w:rPr>
        <w:t xml:space="preserve">承包人不得将本合同范围内的关键施工任务进行分包，特殊专业工程施工须经发包人同意后分包给具有相应资质的施工单位。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rPr>
        <w:t>（2）</w:t>
      </w:r>
      <w:r>
        <w:rPr>
          <w:rFonts w:hint="eastAsia" w:ascii="楷体" w:hAnsi="楷体" w:eastAsia="楷体" w:cs="楷体"/>
          <w:color w:val="auto"/>
          <w:szCs w:val="21"/>
          <w:highlight w:val="none"/>
          <w:u w:val="single"/>
        </w:rPr>
        <w:t xml:space="preserve">承包人可根据法律规定、投标分包计划并经发包人同意，将专业工程分包给具有相应资质的施工单位。承包人应当加强对分包单位的管理，监督分包单位不得将工程转包或分包。 </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（3）</w:t>
      </w:r>
      <w:r>
        <w:rPr>
          <w:rFonts w:hint="eastAsia" w:ascii="楷体" w:hAnsi="楷体" w:eastAsia="楷体" w:cs="楷体"/>
          <w:color w:val="auto"/>
          <w:szCs w:val="21"/>
          <w:highlight w:val="none"/>
          <w:u w:val="single"/>
        </w:rPr>
        <w:t>承包人对本工程总承包合同项下所有建设工程的“深化设计（遵循原设计成果）、采购、施工、验收”整个过程负总责。</w:t>
      </w:r>
      <w:r>
        <w:rPr>
          <w:rFonts w:hint="eastAsia" w:ascii="楷体" w:hAnsi="楷体" w:eastAsia="楷体" w:cs="楷体"/>
          <w:color w:val="auto"/>
          <w:szCs w:val="21"/>
          <w:highlight w:val="none"/>
        </w:rPr>
        <w:t xml:space="preserve"> </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（4）</w:t>
      </w:r>
      <w:r>
        <w:rPr>
          <w:rFonts w:hint="eastAsia" w:ascii="楷体" w:hAnsi="楷体" w:eastAsia="楷体" w:cs="楷体"/>
          <w:color w:val="auto"/>
          <w:szCs w:val="21"/>
          <w:highlight w:val="none"/>
          <w:u w:val="single"/>
        </w:rPr>
        <w:t>发包人对承包人与分包单位之间的法律与经济纠纷不承担任何义务和责任。</w:t>
      </w:r>
      <w:r>
        <w:rPr>
          <w:rFonts w:hint="eastAsia" w:ascii="楷体" w:hAnsi="楷体" w:eastAsia="楷体" w:cs="楷体"/>
          <w:color w:val="auto"/>
          <w:szCs w:val="21"/>
          <w:highlight w:val="none"/>
        </w:rPr>
        <w:t xml:space="preserve"> </w:t>
      </w:r>
    </w:p>
    <w:p>
      <w:pPr>
        <w:spacing w:line="400" w:lineRule="exact"/>
        <w:ind w:firstLine="420" w:firstLineChars="20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第4条进度计划、延误和暂停</w:t>
      </w:r>
    </w:p>
    <w:p>
      <w:pPr>
        <w:spacing w:line="400" w:lineRule="exact"/>
        <w:ind w:firstLine="420" w:firstLineChars="200"/>
        <w:outlineLvl w:val="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4.1项目进度计划</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rPr>
        <w:t>承包人提交项目进度计划的份数和时间：</w:t>
      </w:r>
      <w:r>
        <w:rPr>
          <w:rFonts w:hint="eastAsia" w:ascii="楷体" w:hAnsi="楷体" w:eastAsia="楷体" w:cs="楷体"/>
          <w:color w:val="auto"/>
          <w:szCs w:val="21"/>
          <w:highlight w:val="none"/>
          <w:u w:val="single"/>
        </w:rPr>
        <w:t xml:space="preserve">一式 3份及电子档一份，中标通知书发放3日内将进度计划提交总监理工程师审核，并严格按审核的进度计划进行施工并接受发包人的考核。 </w:t>
      </w:r>
    </w:p>
    <w:p>
      <w:pPr>
        <w:spacing w:line="400" w:lineRule="exact"/>
        <w:ind w:firstLine="420" w:firstLineChars="20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4.3采购进度计划</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rPr>
        <w:t>4.3.1采购进度计划提交的份数和日期：</w:t>
      </w:r>
      <w:r>
        <w:rPr>
          <w:rFonts w:hint="eastAsia" w:ascii="楷体" w:hAnsi="楷体" w:eastAsia="楷体" w:cs="楷体"/>
          <w:color w:val="auto"/>
          <w:szCs w:val="21"/>
          <w:highlight w:val="none"/>
          <w:u w:val="single"/>
        </w:rPr>
        <w:t>根据项目进度按监理人或发包人及跟踪审计的要求执行，并应与承包人提供的项目进度计划时间安排相一致，份数满足需要（同时提交相同内容的电子档一份。</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rPr>
        <w:t>4.3.2采购开始日期：</w:t>
      </w:r>
      <w:r>
        <w:rPr>
          <w:rFonts w:hint="eastAsia" w:ascii="楷体" w:hAnsi="楷体" w:eastAsia="楷体" w:cs="楷体"/>
          <w:color w:val="auto"/>
          <w:szCs w:val="21"/>
          <w:highlight w:val="none"/>
          <w:u w:val="single"/>
        </w:rPr>
        <w:t>承包人须根据项目进度按监理人或发包人及其跟踪审计的要求执行，并应与经监理人等单位审核的项目总体进度计划、周进度计划时间安排相一致。</w:t>
      </w:r>
    </w:p>
    <w:p>
      <w:pPr>
        <w:spacing w:line="400" w:lineRule="exact"/>
        <w:ind w:firstLine="420" w:firstLineChars="20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4.4 施工进度计划</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4.4.1施工进度计划（以表格或文字表述）</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提交关键单项工程施工计划的名称、份数和时间：</w:t>
      </w:r>
      <w:r>
        <w:rPr>
          <w:rFonts w:hint="eastAsia" w:ascii="楷体" w:hAnsi="楷体" w:eastAsia="楷体" w:cs="楷体"/>
          <w:color w:val="auto"/>
          <w:szCs w:val="21"/>
          <w:highlight w:val="none"/>
          <w:u w:val="single"/>
        </w:rPr>
        <w:t>在确保合同总工期的前提下，关键单项工程开工前3天（关键单项工程计划以发包人的要求为准），承包人须提交给总监理工程师，份数满足需要（同时提交相同内容的电子档一份）</w:t>
      </w:r>
      <w:r>
        <w:rPr>
          <w:rFonts w:hint="eastAsia" w:ascii="楷体" w:hAnsi="楷体" w:eastAsia="楷体" w:cs="楷体"/>
          <w:color w:val="auto"/>
          <w:szCs w:val="21"/>
          <w:highlight w:val="none"/>
        </w:rPr>
        <w:t xml:space="preserve">。 </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 xml:space="preserve">4.4.2 施工开工日期的延误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rPr>
        <w:t>（1）</w:t>
      </w:r>
      <w:r>
        <w:rPr>
          <w:rFonts w:hint="eastAsia" w:ascii="楷体" w:hAnsi="楷体" w:eastAsia="楷体" w:cs="楷体"/>
          <w:color w:val="auto"/>
          <w:szCs w:val="21"/>
          <w:highlight w:val="none"/>
          <w:u w:val="single"/>
        </w:rPr>
        <w:t xml:space="preserve">因发包人原因或不可抗力原因造成不能按时开工的，工期顺延，但承包人须调整工期计划，仍须确保按总工期目标实现，如确须发生抢工等措施，由发包人签证确认。 </w:t>
      </w:r>
    </w:p>
    <w:p>
      <w:pPr>
        <w:spacing w:line="400" w:lineRule="exact"/>
        <w:ind w:firstLine="420" w:firstLineChars="200"/>
        <w:rPr>
          <w:rFonts w:ascii="楷体" w:hAnsi="楷体" w:eastAsia="楷体" w:cs="楷体"/>
          <w:b/>
          <w:bCs/>
          <w:color w:val="auto"/>
          <w:szCs w:val="21"/>
          <w:highlight w:val="none"/>
        </w:rPr>
      </w:pPr>
      <w:r>
        <w:rPr>
          <w:rFonts w:hint="eastAsia" w:ascii="楷体" w:hAnsi="楷体" w:eastAsia="楷体" w:cs="楷体"/>
          <w:color w:val="auto"/>
          <w:szCs w:val="21"/>
          <w:highlight w:val="none"/>
        </w:rPr>
        <w:t>（2）</w:t>
      </w:r>
      <w:r>
        <w:rPr>
          <w:rFonts w:hint="eastAsia" w:ascii="楷体" w:hAnsi="楷体" w:eastAsia="楷体" w:cs="楷体"/>
          <w:color w:val="auto"/>
          <w:szCs w:val="21"/>
          <w:highlight w:val="none"/>
          <w:u w:val="single"/>
        </w:rPr>
        <w:t>因承包人不能按时开工的，承包人须自费采取紧急措施尽早开工并不影响总工期实现。如不及时开工的，则承包人须确保在三天内能开工，同时按每延误一天按人民币10000元违约金；若三天内还不能确保开工的，发包人有权终止合同，承包人承担赔偿发包人的损失</w:t>
      </w:r>
      <w:r>
        <w:rPr>
          <w:rFonts w:hint="eastAsia" w:ascii="楷体" w:hAnsi="楷体" w:eastAsia="楷体" w:cs="楷体"/>
          <w:color w:val="auto"/>
          <w:szCs w:val="21"/>
          <w:highlight w:val="none"/>
        </w:rPr>
        <w:t>。</w:t>
      </w:r>
    </w:p>
    <w:p>
      <w:pPr>
        <w:spacing w:line="400" w:lineRule="exact"/>
        <w:ind w:firstLine="420" w:firstLineChars="20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4.5 误期赔偿</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开工时间以发包人和监理工程师批准的开工报告日期为准。如遇特殊情况推迟开工，承包人须调整工期计划，仍须确保按总工期目标实现。承包人应按照投标文件承诺的工期确保工程验收，不得以任何借口停工怠工，且必须满足工程项目竣工验收交付要求。承包人应按照投标文件承诺的工期确保工程验收，不得以任何借口停工怠工，如承包人无故提出停工、怠工二天以上，发包人有权中止合同，清退出场，已完工程量不予结算。如因承包人原因延误工期的，承包人应承担违约责任，按每拖延一天向发包人支付合同价千分之一的违约金。如因发包人原因并且符合工程工期顺延的情况，经监理和发包人签证确认后顺延。 </w:t>
      </w:r>
    </w:p>
    <w:p>
      <w:pPr>
        <w:spacing w:line="400" w:lineRule="exact"/>
        <w:ind w:firstLine="420" w:firstLineChars="20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第5条技术与设计</w:t>
      </w:r>
    </w:p>
    <w:p>
      <w:pPr>
        <w:spacing w:line="400" w:lineRule="exact"/>
        <w:ind w:firstLine="420" w:firstLineChars="200"/>
        <w:outlineLvl w:val="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5.1 生产工艺技术、建筑艺术造型</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rPr>
        <w:t>承包人应承担的工程和（或）单项工程试运行考核保证值和（或）使用功能说明如下：</w:t>
      </w:r>
      <w:r>
        <w:rPr>
          <w:rFonts w:hint="eastAsia" w:ascii="楷体" w:hAnsi="楷体" w:eastAsia="楷体" w:cs="楷体"/>
          <w:color w:val="auto"/>
          <w:szCs w:val="21"/>
          <w:highlight w:val="none"/>
          <w:u w:val="single"/>
        </w:rPr>
        <w:t xml:space="preserve">/   </w:t>
      </w:r>
    </w:p>
    <w:p>
      <w:pPr>
        <w:spacing w:line="400" w:lineRule="exact"/>
        <w:ind w:firstLine="420" w:firstLineChars="20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5.2设计</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设计总负责人：</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 xml:space="preserve">； </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姓名：</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 xml:space="preserve">； </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职称：</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 xml:space="preserve">； </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执业资格等级：</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执业资格证书号：</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 xml:space="preserve">； </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注册证书号：</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 xml:space="preserve">； </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执业印章号：</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 xml:space="preserve">； </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身份证号：</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 xml:space="preserve">； </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联系电话：</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 xml:space="preserve">； </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电子信箱：</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 xml:space="preserve">。 </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设计总负责人职责：</w:t>
      </w:r>
      <w:r>
        <w:rPr>
          <w:rFonts w:hint="eastAsia" w:ascii="楷体" w:hAnsi="楷体" w:eastAsia="楷体" w:cs="楷体"/>
          <w:color w:val="auto"/>
          <w:szCs w:val="21"/>
          <w:highlight w:val="none"/>
          <w:u w:val="single"/>
        </w:rPr>
        <w:t>负责组织、指导、协调项目的设计工作，确保设计工作按合同要求组织实施，对设计进度、质量和费用进行有效的管理与控制；接受发包人委托的设计咨询单位及监理等单位对本项目的业务要求和指导。</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5.2.1发包人的义务</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（1）提供项目基础资料。发包人提供的项目基础资料的类别、内容、份数和时间：</w:t>
      </w:r>
      <w:r>
        <w:rPr>
          <w:rFonts w:hint="eastAsia" w:ascii="楷体" w:hAnsi="楷体" w:eastAsia="楷体" w:cs="楷体"/>
          <w:color w:val="auto"/>
          <w:szCs w:val="21"/>
          <w:highlight w:val="none"/>
          <w:u w:val="single"/>
        </w:rPr>
        <w:t>招标时提供，如需补充，中标通知书发放后5天内</w:t>
      </w:r>
      <w:r>
        <w:rPr>
          <w:rFonts w:hint="eastAsia" w:ascii="楷体" w:hAnsi="楷体" w:eastAsia="楷体" w:cs="楷体"/>
          <w:color w:val="auto"/>
          <w:szCs w:val="21"/>
          <w:highlight w:val="none"/>
        </w:rPr>
        <w:t xml:space="preserve">。 </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（2）提供现场障碍资料。发包人提供的现场障碍资料的类别、内容、份数和时间：</w:t>
      </w:r>
      <w:r>
        <w:rPr>
          <w:rFonts w:hint="eastAsia" w:ascii="楷体" w:hAnsi="楷体" w:eastAsia="楷体" w:cs="楷体"/>
          <w:color w:val="auto"/>
          <w:szCs w:val="21"/>
          <w:highlight w:val="none"/>
          <w:u w:val="single"/>
        </w:rPr>
        <w:t>不提供，由承包人自行踏勘现场和收集，发包人仅提供协调服务</w:t>
      </w:r>
      <w:r>
        <w:rPr>
          <w:rFonts w:hint="eastAsia" w:ascii="楷体" w:hAnsi="楷体" w:eastAsia="楷体" w:cs="楷体"/>
          <w:color w:val="auto"/>
          <w:szCs w:val="21"/>
          <w:highlight w:val="none"/>
        </w:rPr>
        <w:t>。</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5.2.2承包人的义务</w:t>
      </w:r>
    </w:p>
    <w:p>
      <w:pPr>
        <w:spacing w:line="400" w:lineRule="exact"/>
        <w:ind w:firstLine="420" w:firstLineChars="200"/>
        <w:outlineLvl w:val="0"/>
        <w:rPr>
          <w:rFonts w:ascii="楷体" w:hAnsi="楷体" w:eastAsia="楷体" w:cs="楷体"/>
          <w:color w:val="auto"/>
          <w:szCs w:val="21"/>
          <w:highlight w:val="none"/>
        </w:rPr>
      </w:pPr>
      <w:r>
        <w:rPr>
          <w:rFonts w:hint="eastAsia" w:ascii="楷体" w:hAnsi="楷体" w:eastAsia="楷体" w:cs="楷体"/>
          <w:color w:val="auto"/>
          <w:szCs w:val="21"/>
          <w:highlight w:val="none"/>
        </w:rPr>
        <w:t>（1）</w:t>
      </w:r>
      <w:r>
        <w:rPr>
          <w:rFonts w:hint="eastAsia" w:ascii="楷体" w:hAnsi="楷体" w:eastAsia="楷体" w:cs="楷体"/>
          <w:color w:val="auto"/>
          <w:szCs w:val="21"/>
          <w:highlight w:val="none"/>
          <w:u w:val="single"/>
        </w:rPr>
        <w:t xml:space="preserve">经合同双方商定，发包人提供的项目基础资料的如下部分，可按本款中约定的如下时间期限，提出进一步要求发包人须积极配合承包人收集设计所必须的基础资料及地方相关部门的规定和要求，承包人可在5天内提出进一步要求。 </w:t>
      </w:r>
    </w:p>
    <w:p>
      <w:pPr>
        <w:spacing w:line="400" w:lineRule="exact"/>
        <w:ind w:firstLine="420" w:firstLineChars="200"/>
        <w:outlineLvl w:val="0"/>
        <w:rPr>
          <w:rFonts w:ascii="楷体" w:hAnsi="楷体" w:eastAsia="楷体" w:cs="楷体"/>
          <w:color w:val="auto"/>
          <w:szCs w:val="21"/>
          <w:highlight w:val="none"/>
        </w:rPr>
      </w:pPr>
      <w:r>
        <w:rPr>
          <w:rFonts w:hint="eastAsia" w:ascii="楷体" w:hAnsi="楷体" w:eastAsia="楷体" w:cs="楷体"/>
          <w:color w:val="auto"/>
          <w:szCs w:val="21"/>
          <w:highlight w:val="none"/>
        </w:rPr>
        <w:t xml:space="preserve">（2）除执行通用条款约定外，发包人对承包人设计的一般要求还包括： </w:t>
      </w:r>
    </w:p>
    <w:p>
      <w:pPr>
        <w:spacing w:line="400" w:lineRule="exact"/>
        <w:ind w:firstLine="420" w:firstLineChars="200"/>
        <w:outlineLvl w:val="0"/>
        <w:rPr>
          <w:rFonts w:ascii="楷体" w:hAnsi="楷体" w:eastAsia="楷体" w:cs="楷体"/>
          <w:color w:val="auto"/>
          <w:szCs w:val="21"/>
          <w:highlight w:val="none"/>
        </w:rPr>
      </w:pPr>
      <w:r>
        <w:rPr>
          <w:rFonts w:hint="eastAsia" w:ascii="楷体" w:hAnsi="楷体" w:eastAsia="楷体" w:cs="楷体"/>
          <w:color w:val="auto"/>
          <w:szCs w:val="21"/>
          <w:highlight w:val="none"/>
        </w:rPr>
        <w:t>①</w:t>
      </w:r>
      <w:r>
        <w:rPr>
          <w:rFonts w:hint="eastAsia" w:ascii="楷体" w:hAnsi="楷体" w:eastAsia="楷体" w:cs="楷体"/>
          <w:color w:val="auto"/>
          <w:szCs w:val="21"/>
          <w:highlight w:val="none"/>
          <w:u w:val="single"/>
        </w:rPr>
        <w:t>承包人根据发包人的要求编制优化设计方案并完成施工图设计</w:t>
      </w:r>
      <w:r>
        <w:rPr>
          <w:rFonts w:hint="eastAsia" w:ascii="楷体" w:hAnsi="楷体" w:eastAsia="楷体" w:cs="楷体"/>
          <w:color w:val="auto"/>
          <w:szCs w:val="21"/>
          <w:highlight w:val="none"/>
        </w:rPr>
        <w:t xml:space="preserve">。 </w:t>
      </w:r>
    </w:p>
    <w:p>
      <w:pPr>
        <w:spacing w:line="400" w:lineRule="exact"/>
        <w:ind w:firstLine="420" w:firstLineChars="200"/>
        <w:outlineLvl w:val="0"/>
        <w:rPr>
          <w:rFonts w:ascii="楷体" w:hAnsi="楷体" w:eastAsia="楷体" w:cs="楷体"/>
          <w:color w:val="auto"/>
          <w:szCs w:val="21"/>
          <w:highlight w:val="none"/>
        </w:rPr>
      </w:pPr>
      <w:r>
        <w:rPr>
          <w:rFonts w:hint="eastAsia" w:ascii="楷体" w:hAnsi="楷体" w:eastAsia="楷体" w:cs="楷体"/>
          <w:color w:val="auto"/>
          <w:szCs w:val="21"/>
          <w:highlight w:val="none"/>
        </w:rPr>
        <w:t>②</w:t>
      </w:r>
      <w:r>
        <w:rPr>
          <w:rFonts w:hint="eastAsia" w:ascii="楷体" w:hAnsi="楷体" w:eastAsia="楷体" w:cs="楷体"/>
          <w:color w:val="auto"/>
          <w:szCs w:val="21"/>
          <w:highlight w:val="none"/>
          <w:u w:val="single"/>
        </w:rPr>
        <w:t>承包人应当按照法律、法规和工程建设强制性标准进行设计，提交的设计文件应当满足本工程安全使用和功能使用的需要，符合“安全、适用、耐久、经济、美观”的综合要求，防止因设计不合理导致安全隐患或安全事故的发生，因此发生的一切责任，由承包人承担</w:t>
      </w:r>
      <w:r>
        <w:rPr>
          <w:rFonts w:hint="eastAsia" w:ascii="楷体" w:hAnsi="楷体" w:eastAsia="楷体" w:cs="楷体"/>
          <w:color w:val="auto"/>
          <w:szCs w:val="21"/>
          <w:highlight w:val="none"/>
        </w:rPr>
        <w:t>。</w:t>
      </w:r>
      <w:r>
        <w:rPr>
          <w:rFonts w:hint="eastAsia" w:ascii="楷体" w:hAnsi="楷体" w:eastAsia="楷体" w:cs="楷体"/>
          <w:color w:val="auto"/>
          <w:szCs w:val="21"/>
          <w:highlight w:val="none"/>
          <w:u w:val="single"/>
        </w:rPr>
        <w:t xml:space="preserve"> </w:t>
      </w:r>
    </w:p>
    <w:p>
      <w:pPr>
        <w:spacing w:line="400" w:lineRule="exact"/>
        <w:ind w:firstLine="420" w:firstLineChars="200"/>
        <w:outlineLvl w:val="0"/>
        <w:rPr>
          <w:rFonts w:ascii="楷体" w:hAnsi="楷体" w:eastAsia="楷体" w:cs="楷体"/>
          <w:color w:val="auto"/>
          <w:szCs w:val="21"/>
          <w:highlight w:val="none"/>
          <w:u w:val="single"/>
        </w:rPr>
      </w:pPr>
      <w:r>
        <w:rPr>
          <w:rFonts w:hint="eastAsia" w:ascii="楷体" w:hAnsi="楷体" w:eastAsia="楷体" w:cs="楷体"/>
          <w:b/>
          <w:bCs/>
          <w:color w:val="auto"/>
          <w:szCs w:val="21"/>
          <w:highlight w:val="none"/>
          <w:u w:val="single"/>
        </w:rPr>
        <w:t>承包人须无条件服从发包人对本合同范围内所有工程的设计质量进行把关和管理，发包人所提出的所有优化设计要求和优化建议，承包人必须无条件采纳并细化和落实到具体设计中，直至发包人满意为止，否则，发包人有权对其进行经济处罚。</w:t>
      </w:r>
      <w:r>
        <w:rPr>
          <w:rFonts w:hint="eastAsia" w:ascii="楷体" w:hAnsi="楷体" w:eastAsia="楷体" w:cs="楷体"/>
          <w:color w:val="auto"/>
          <w:szCs w:val="21"/>
          <w:highlight w:val="none"/>
          <w:u w:val="single"/>
        </w:rPr>
        <w:t xml:space="preserve"> </w:t>
      </w:r>
    </w:p>
    <w:p>
      <w:pPr>
        <w:spacing w:line="400" w:lineRule="exact"/>
        <w:ind w:firstLine="420" w:firstLineChars="200"/>
        <w:outlineLvl w:val="0"/>
        <w:rPr>
          <w:rFonts w:ascii="楷体" w:hAnsi="楷体" w:eastAsia="楷体" w:cs="楷体"/>
          <w:color w:val="auto"/>
          <w:szCs w:val="21"/>
          <w:highlight w:val="none"/>
        </w:rPr>
      </w:pPr>
      <w:r>
        <w:rPr>
          <w:rFonts w:hint="eastAsia" w:ascii="楷体" w:hAnsi="楷体" w:eastAsia="楷体" w:cs="楷体"/>
          <w:color w:val="auto"/>
          <w:szCs w:val="21"/>
          <w:highlight w:val="none"/>
        </w:rPr>
        <w:t xml:space="preserve">（3）承包人的设计成果文件要求 </w:t>
      </w:r>
    </w:p>
    <w:p>
      <w:pPr>
        <w:spacing w:line="400" w:lineRule="exact"/>
        <w:ind w:firstLine="420" w:firstLineChars="200"/>
        <w:outlineLvl w:val="0"/>
        <w:rPr>
          <w:rFonts w:ascii="楷体" w:hAnsi="楷体" w:eastAsia="楷体" w:cs="楷体"/>
          <w:color w:val="auto"/>
          <w:szCs w:val="21"/>
          <w:highlight w:val="none"/>
        </w:rPr>
      </w:pPr>
      <w:r>
        <w:rPr>
          <w:rFonts w:hint="eastAsia" w:ascii="楷体" w:hAnsi="楷体" w:eastAsia="楷体" w:cs="楷体"/>
          <w:color w:val="auto"/>
          <w:szCs w:val="21"/>
          <w:highlight w:val="none"/>
        </w:rPr>
        <w:t>①</w:t>
      </w:r>
      <w:r>
        <w:rPr>
          <w:rFonts w:hint="eastAsia" w:ascii="楷体" w:hAnsi="楷体" w:eastAsia="楷体" w:cs="楷体"/>
          <w:color w:val="auto"/>
          <w:szCs w:val="21"/>
          <w:highlight w:val="none"/>
          <w:u w:val="single"/>
        </w:rPr>
        <w:t>承包人所提供的经审絯的施工图份数不少于8套；同时承包人应向发包人提供全套施工图电子文件一份，该项费用已包含在投标报价和合同价中</w:t>
      </w:r>
      <w:r>
        <w:rPr>
          <w:rFonts w:hint="eastAsia" w:ascii="楷体" w:hAnsi="楷体" w:eastAsia="楷体" w:cs="楷体"/>
          <w:color w:val="auto"/>
          <w:szCs w:val="21"/>
          <w:highlight w:val="none"/>
        </w:rPr>
        <w:t>。</w:t>
      </w:r>
    </w:p>
    <w:p>
      <w:pPr>
        <w:spacing w:line="400" w:lineRule="exact"/>
        <w:ind w:firstLine="420" w:firstLineChars="200"/>
        <w:outlineLvl w:val="0"/>
        <w:rPr>
          <w:rFonts w:ascii="楷体" w:hAnsi="楷体" w:eastAsia="楷体" w:cs="楷体"/>
          <w:color w:val="auto"/>
          <w:szCs w:val="21"/>
          <w:highlight w:val="none"/>
        </w:rPr>
      </w:pPr>
      <w:r>
        <w:rPr>
          <w:rFonts w:hint="eastAsia" w:ascii="楷体" w:hAnsi="楷体" w:eastAsia="楷体" w:cs="楷体"/>
          <w:color w:val="auto"/>
          <w:szCs w:val="21"/>
          <w:highlight w:val="none"/>
        </w:rPr>
        <w:t>5.2.4 操作维修手册</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rPr>
        <w:t xml:space="preserve">发包人提交的操作指南、分析手册的份数和提交期限：/ </w:t>
      </w:r>
      <w:r>
        <w:rPr>
          <w:rFonts w:hint="eastAsia" w:ascii="楷体" w:hAnsi="楷体" w:eastAsia="楷体" w:cs="楷体"/>
          <w:color w:val="auto"/>
          <w:szCs w:val="21"/>
          <w:highlight w:val="none"/>
          <w:u w:val="single"/>
        </w:rPr>
        <w:t xml:space="preserve">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rPr>
        <w:t>承包人提交的操作维修手册的份数和最终提交期限：</w:t>
      </w:r>
      <w:r>
        <w:rPr>
          <w:rFonts w:hint="eastAsia" w:ascii="楷体" w:hAnsi="楷体" w:eastAsia="楷体" w:cs="楷体"/>
          <w:color w:val="auto"/>
          <w:szCs w:val="21"/>
          <w:highlight w:val="none"/>
          <w:u w:val="single"/>
        </w:rPr>
        <w:t>竣工验收合格后一个月内提交操作维修手册10份及电子档一份。</w:t>
      </w:r>
    </w:p>
    <w:p>
      <w:pPr>
        <w:spacing w:line="400" w:lineRule="exact"/>
        <w:ind w:firstLine="420" w:firstLineChars="200"/>
        <w:outlineLvl w:val="0"/>
        <w:rPr>
          <w:rFonts w:ascii="楷体" w:hAnsi="楷体" w:eastAsia="楷体" w:cs="楷体"/>
          <w:color w:val="auto"/>
          <w:szCs w:val="21"/>
          <w:highlight w:val="none"/>
        </w:rPr>
      </w:pPr>
      <w:r>
        <w:rPr>
          <w:rFonts w:hint="eastAsia" w:ascii="楷体" w:hAnsi="楷体" w:eastAsia="楷体" w:cs="楷体"/>
          <w:color w:val="auto"/>
          <w:szCs w:val="21"/>
          <w:highlight w:val="none"/>
        </w:rPr>
        <w:t>5.2.5设计文件的份数和提交时间</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规划设计阶段设计文件、资料和图纸的份数和提交时间：/</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rPr>
        <w:t>深化设计文件、资料和图纸的份数和提交时间：</w:t>
      </w:r>
      <w:r>
        <w:rPr>
          <w:rFonts w:hint="eastAsia" w:ascii="楷体" w:hAnsi="楷体" w:eastAsia="楷体" w:cs="楷体"/>
          <w:color w:val="auto"/>
          <w:szCs w:val="21"/>
          <w:highlight w:val="none"/>
          <w:u w:val="single"/>
        </w:rPr>
        <w:t>按项目进度计划及发包人要求执行</w:t>
      </w:r>
      <w:r>
        <w:rPr>
          <w:rFonts w:hint="eastAsia" w:ascii="楷体" w:hAnsi="楷体" w:eastAsia="楷体" w:cs="楷体"/>
          <w:color w:val="auto"/>
          <w:szCs w:val="21"/>
          <w:highlight w:val="none"/>
        </w:rPr>
        <w:t>。</w:t>
      </w:r>
      <w:r>
        <w:rPr>
          <w:rFonts w:hint="eastAsia" w:ascii="楷体" w:hAnsi="楷体" w:eastAsia="楷体" w:cs="楷体"/>
          <w:color w:val="auto"/>
          <w:szCs w:val="21"/>
          <w:highlight w:val="none"/>
          <w:u w:val="single"/>
        </w:rPr>
        <w:t xml:space="preserve">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rPr>
        <w:t>施工图设计阶段设计文件、资料和图纸的份数和提交时间：</w:t>
      </w:r>
      <w:r>
        <w:rPr>
          <w:rFonts w:hint="eastAsia" w:ascii="楷体" w:hAnsi="楷体" w:eastAsia="楷体" w:cs="楷体"/>
          <w:color w:val="auto"/>
          <w:szCs w:val="21"/>
          <w:highlight w:val="none"/>
          <w:u w:val="single"/>
        </w:rPr>
        <w:t>按项目进度计划及发包人要求执行</w:t>
      </w:r>
      <w:r>
        <w:rPr>
          <w:rFonts w:hint="eastAsia" w:ascii="楷体" w:hAnsi="楷体" w:eastAsia="楷体" w:cs="楷体"/>
          <w:color w:val="auto"/>
          <w:szCs w:val="21"/>
          <w:highlight w:val="none"/>
        </w:rPr>
        <w:t>。</w:t>
      </w:r>
      <w:r>
        <w:rPr>
          <w:rFonts w:hint="eastAsia" w:ascii="楷体" w:hAnsi="楷体" w:eastAsia="楷体" w:cs="楷体"/>
          <w:color w:val="auto"/>
          <w:szCs w:val="21"/>
          <w:highlight w:val="none"/>
          <w:u w:val="single"/>
        </w:rPr>
        <w:t xml:space="preserve"> </w:t>
      </w:r>
    </w:p>
    <w:p>
      <w:pPr>
        <w:spacing w:line="400" w:lineRule="exact"/>
        <w:ind w:firstLine="420" w:firstLineChars="200"/>
        <w:outlineLvl w:val="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5.3设计阶段审查</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设计审查阶段及其审查会议的时间安排：</w:t>
      </w:r>
      <w:r>
        <w:rPr>
          <w:rFonts w:hint="eastAsia" w:ascii="楷体" w:hAnsi="楷体" w:eastAsia="楷体" w:cs="楷体"/>
          <w:color w:val="auto"/>
          <w:szCs w:val="21"/>
          <w:highlight w:val="none"/>
          <w:u w:val="single"/>
        </w:rPr>
        <w:t>中标后5日内发包人安排设计审查会议，承包人须无条件服从，否则，发包人有权对其进行经济处罚。</w:t>
      </w:r>
    </w:p>
    <w:p>
      <w:pPr>
        <w:spacing w:line="400" w:lineRule="exact"/>
        <w:ind w:firstLine="420" w:firstLineChars="20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第6条工程物资</w:t>
      </w:r>
    </w:p>
    <w:p>
      <w:pPr>
        <w:spacing w:line="400" w:lineRule="exact"/>
        <w:ind w:firstLine="420" w:firstLineChars="200"/>
        <w:outlineLvl w:val="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6.1工程物资的提供</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rPr>
        <w:t>6.1.1发包人提供的工程物资：</w:t>
      </w:r>
      <w:r>
        <w:rPr>
          <w:rFonts w:hint="eastAsia" w:ascii="楷体" w:hAnsi="楷体" w:eastAsia="楷体" w:cs="楷体"/>
          <w:color w:val="auto"/>
          <w:szCs w:val="21"/>
          <w:highlight w:val="none"/>
          <w:u w:val="single"/>
        </w:rPr>
        <w:t xml:space="preserve">在项目实施过程中，如有工程物资确须发包人提供的，发包人列出清单，承包人须无条件接受。 </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6.1.2承包人提供的工程物资</w:t>
      </w:r>
    </w:p>
    <w:p>
      <w:pPr>
        <w:spacing w:line="400" w:lineRule="exact"/>
        <w:ind w:firstLine="420" w:firstLineChars="200"/>
        <w:outlineLvl w:val="0"/>
        <w:rPr>
          <w:rFonts w:ascii="楷体" w:hAnsi="楷体" w:eastAsia="楷体" w:cs="楷体"/>
          <w:color w:val="auto"/>
          <w:szCs w:val="21"/>
          <w:highlight w:val="none"/>
          <w:u w:val="single"/>
        </w:rPr>
      </w:pPr>
      <w:r>
        <w:rPr>
          <w:rFonts w:hint="eastAsia" w:ascii="楷体" w:hAnsi="楷体" w:eastAsia="楷体" w:cs="楷体"/>
          <w:color w:val="auto"/>
          <w:szCs w:val="21"/>
          <w:highlight w:val="none"/>
        </w:rPr>
        <w:t>关于承包人采购物资的约定：</w:t>
      </w:r>
      <w:r>
        <w:rPr>
          <w:rFonts w:hint="eastAsia" w:ascii="楷体" w:hAnsi="楷体" w:eastAsia="楷体" w:cs="楷体"/>
          <w:color w:val="auto"/>
          <w:szCs w:val="21"/>
          <w:highlight w:val="none"/>
          <w:u w:val="single"/>
        </w:rPr>
        <w:t>本工程所有材料和设备均由承包人自行组织采购。凡由承包人采购的材料和设备，承包人应按照设计要求、技术标准及招标文件的约定采购符合上述要求的材料和设备。并向发包人提供质量保证书、出厂合格证及现场抽样检测报告等证明材料，对材料质量负责。如不符合质量及技术标准要求或规格有差异或实际使用品牌不在发包人推荐品牌范围内的，承包人应按发包人要求的时间将不符合要求的材料和设备运出施工场地，重新采购符合要求的材料和设备。若已使用，由承包人负责整改处理，确保达到要求的质量目标。因使用不符合要求的材料和设备对工程造成的损失由承包人负责，由此延误的工期不予顺延；另外，每发生一次上述情形，承包人还须按合同价的2%向发包人支付违约金。</w:t>
      </w:r>
    </w:p>
    <w:p>
      <w:pPr>
        <w:spacing w:line="400" w:lineRule="exact"/>
        <w:ind w:firstLine="420" w:firstLineChars="200"/>
        <w:outlineLvl w:val="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6.2 检验</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6.2.1工程检验与报告</w:t>
      </w:r>
    </w:p>
    <w:p>
      <w:pPr>
        <w:spacing w:line="400" w:lineRule="exact"/>
        <w:ind w:firstLine="420" w:firstLineChars="200"/>
        <w:rPr>
          <w:rFonts w:ascii="楷体" w:hAnsi="楷体" w:eastAsia="楷体" w:cs="楷体"/>
          <w:b/>
          <w:bCs/>
          <w:color w:val="auto"/>
          <w:szCs w:val="21"/>
          <w:highlight w:val="none"/>
          <w:u w:val="single"/>
        </w:rPr>
      </w:pPr>
      <w:r>
        <w:rPr>
          <w:rFonts w:hint="eastAsia" w:ascii="楷体" w:hAnsi="楷体" w:eastAsia="楷体" w:cs="楷体"/>
          <w:color w:val="auto"/>
          <w:szCs w:val="21"/>
          <w:highlight w:val="none"/>
        </w:rPr>
        <w:t>（1）报告提交日记、报告内容和提交份数：</w:t>
      </w:r>
      <w:r>
        <w:rPr>
          <w:rFonts w:hint="eastAsia" w:ascii="楷体" w:hAnsi="楷体" w:eastAsia="楷体" w:cs="楷体"/>
          <w:color w:val="auto"/>
          <w:szCs w:val="21"/>
          <w:highlight w:val="none"/>
          <w:u w:val="single"/>
        </w:rPr>
        <w:t>按本项目总监理工程师的要求和内容提交日记、报告，份数为一式十份及一份电子档。</w:t>
      </w:r>
    </w:p>
    <w:p>
      <w:pPr>
        <w:spacing w:line="400" w:lineRule="exact"/>
        <w:ind w:firstLine="420" w:firstLineChars="200"/>
        <w:outlineLvl w:val="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6.3进口工程物资的采购、</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rPr>
        <w:t>6.3.1采购责任方及采购方式：</w:t>
      </w:r>
      <w:r>
        <w:rPr>
          <w:rFonts w:hint="eastAsia" w:ascii="楷体" w:hAnsi="楷体" w:eastAsia="楷体" w:cs="楷体"/>
          <w:color w:val="auto"/>
          <w:szCs w:val="21"/>
          <w:highlight w:val="none"/>
          <w:u w:val="single"/>
        </w:rPr>
        <w:t>除发包人有特殊要求的除外，由承包人自行采购</w:t>
      </w:r>
      <w:r>
        <w:rPr>
          <w:rFonts w:hint="eastAsia" w:ascii="楷体" w:hAnsi="楷体" w:eastAsia="楷体" w:cs="楷体"/>
          <w:color w:val="auto"/>
          <w:szCs w:val="21"/>
          <w:highlight w:val="none"/>
        </w:rPr>
        <w:t xml:space="preserve">。 </w:t>
      </w:r>
    </w:p>
    <w:p>
      <w:pPr>
        <w:spacing w:line="400" w:lineRule="exact"/>
        <w:ind w:firstLine="420" w:firstLineChars="20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6.6工程物资保管与剩余</w:t>
      </w:r>
    </w:p>
    <w:p>
      <w:pPr>
        <w:spacing w:line="400" w:lineRule="exact"/>
        <w:ind w:firstLine="420" w:firstLineChars="200"/>
        <w:outlineLvl w:val="0"/>
        <w:rPr>
          <w:rFonts w:ascii="楷体" w:hAnsi="楷体" w:eastAsia="楷体" w:cs="楷体"/>
          <w:color w:val="auto"/>
          <w:szCs w:val="21"/>
          <w:highlight w:val="none"/>
        </w:rPr>
      </w:pPr>
      <w:r>
        <w:rPr>
          <w:rFonts w:hint="eastAsia" w:ascii="楷体" w:hAnsi="楷体" w:eastAsia="楷体" w:cs="楷体"/>
          <w:color w:val="auto"/>
          <w:szCs w:val="21"/>
          <w:highlight w:val="none"/>
        </w:rPr>
        <w:t>6.6.1工程物资保管</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委托承包人保管的工程物资的类别和估算数量：</w:t>
      </w:r>
      <w:r>
        <w:rPr>
          <w:rFonts w:hint="eastAsia" w:ascii="楷体" w:hAnsi="楷体" w:eastAsia="楷体" w:cs="楷体"/>
          <w:color w:val="auto"/>
          <w:szCs w:val="21"/>
          <w:highlight w:val="none"/>
          <w:u w:val="single"/>
        </w:rPr>
        <w:t>按发包人的要求</w:t>
      </w:r>
      <w:r>
        <w:rPr>
          <w:rFonts w:hint="eastAsia" w:ascii="楷体" w:hAnsi="楷体" w:eastAsia="楷体" w:cs="楷体"/>
          <w:color w:val="auto"/>
          <w:szCs w:val="21"/>
          <w:highlight w:val="none"/>
        </w:rPr>
        <w:t>。</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承包人提交保管、维护方案的时间：</w:t>
      </w:r>
      <w:r>
        <w:rPr>
          <w:rFonts w:hint="eastAsia" w:ascii="楷体" w:hAnsi="楷体" w:eastAsia="楷体" w:cs="楷体"/>
          <w:color w:val="auto"/>
          <w:szCs w:val="21"/>
          <w:highlight w:val="none"/>
          <w:u w:val="single"/>
        </w:rPr>
        <w:t>发包人的工程物资实际发生需承包人保管前 7天</w:t>
      </w:r>
      <w:r>
        <w:rPr>
          <w:rFonts w:hint="eastAsia" w:ascii="楷体" w:hAnsi="楷体" w:eastAsia="楷体" w:cs="楷体"/>
          <w:color w:val="auto"/>
          <w:szCs w:val="21"/>
          <w:highlight w:val="none"/>
        </w:rPr>
        <w:t>。</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由发包人提供的库房、堆场、设施及设备：</w:t>
      </w:r>
      <w:r>
        <w:rPr>
          <w:rFonts w:hint="eastAsia" w:ascii="楷体" w:hAnsi="楷体" w:eastAsia="楷体" w:cs="楷体"/>
          <w:color w:val="auto"/>
          <w:szCs w:val="21"/>
          <w:highlight w:val="none"/>
          <w:u w:val="single"/>
        </w:rPr>
        <w:t>发包人不提供，由承包人自行解决</w:t>
      </w:r>
      <w:r>
        <w:rPr>
          <w:rFonts w:hint="eastAsia" w:ascii="楷体" w:hAnsi="楷体" w:eastAsia="楷体" w:cs="楷体"/>
          <w:color w:val="auto"/>
          <w:szCs w:val="21"/>
          <w:highlight w:val="none"/>
        </w:rPr>
        <w:t>。</w:t>
      </w:r>
    </w:p>
    <w:p>
      <w:pPr>
        <w:spacing w:line="400" w:lineRule="exact"/>
        <w:ind w:firstLine="420" w:firstLineChars="20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第7条施工</w:t>
      </w:r>
    </w:p>
    <w:p>
      <w:pPr>
        <w:spacing w:line="400" w:lineRule="exact"/>
        <w:ind w:firstLine="420" w:firstLineChars="200"/>
        <w:outlineLvl w:val="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7.1 发包人的义务</w:t>
      </w:r>
    </w:p>
    <w:p>
      <w:pPr>
        <w:spacing w:line="400" w:lineRule="exact"/>
        <w:ind w:firstLine="420" w:firstLineChars="200"/>
        <w:outlineLvl w:val="0"/>
        <w:rPr>
          <w:rFonts w:ascii="楷体" w:hAnsi="楷体" w:eastAsia="楷体" w:cs="楷体"/>
          <w:color w:val="auto"/>
          <w:szCs w:val="21"/>
          <w:highlight w:val="none"/>
        </w:rPr>
      </w:pPr>
      <w:r>
        <w:rPr>
          <w:rFonts w:hint="eastAsia" w:ascii="楷体" w:hAnsi="楷体" w:eastAsia="楷体" w:cs="楷体"/>
          <w:color w:val="auto"/>
          <w:szCs w:val="21"/>
          <w:highlight w:val="none"/>
        </w:rPr>
        <w:t>7.1.3 进场条件和进场日期</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承包人的进场条件：</w:t>
      </w:r>
      <w:r>
        <w:rPr>
          <w:rFonts w:hint="eastAsia" w:ascii="楷体" w:hAnsi="楷体" w:eastAsia="楷体" w:cs="楷体"/>
          <w:color w:val="auto"/>
          <w:szCs w:val="21"/>
          <w:highlight w:val="none"/>
          <w:u w:val="single"/>
        </w:rPr>
        <w:t>现场现有条件</w:t>
      </w:r>
      <w:r>
        <w:rPr>
          <w:rFonts w:hint="eastAsia" w:ascii="楷体" w:hAnsi="楷体" w:eastAsia="楷体" w:cs="楷体"/>
          <w:color w:val="auto"/>
          <w:szCs w:val="21"/>
          <w:highlight w:val="none"/>
        </w:rPr>
        <w:t xml:space="preserve">。 </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承包人的进场日期：</w:t>
      </w:r>
      <w:r>
        <w:rPr>
          <w:rFonts w:hint="eastAsia" w:ascii="楷体" w:hAnsi="楷体" w:eastAsia="楷体" w:cs="楷体"/>
          <w:color w:val="auto"/>
          <w:szCs w:val="21"/>
          <w:highlight w:val="none"/>
          <w:u w:val="single"/>
        </w:rPr>
        <w:t>以总监理工程师开工令中的开工日期为发包人确认的进场日期</w:t>
      </w:r>
      <w:r>
        <w:rPr>
          <w:rFonts w:hint="eastAsia" w:ascii="楷体" w:hAnsi="楷体" w:eastAsia="楷体" w:cs="楷体"/>
          <w:color w:val="auto"/>
          <w:szCs w:val="21"/>
          <w:highlight w:val="none"/>
        </w:rPr>
        <w:t>。</w:t>
      </w:r>
    </w:p>
    <w:p>
      <w:pPr>
        <w:spacing w:line="400" w:lineRule="exact"/>
        <w:ind w:firstLine="420" w:firstLineChars="200"/>
        <w:outlineLvl w:val="0"/>
        <w:rPr>
          <w:rFonts w:ascii="楷体" w:hAnsi="楷体" w:eastAsia="楷体" w:cs="楷体"/>
          <w:color w:val="auto"/>
          <w:szCs w:val="21"/>
          <w:highlight w:val="none"/>
        </w:rPr>
      </w:pPr>
      <w:r>
        <w:rPr>
          <w:rFonts w:hint="eastAsia" w:ascii="楷体" w:hAnsi="楷体" w:eastAsia="楷体" w:cs="楷体"/>
          <w:color w:val="auto"/>
          <w:szCs w:val="21"/>
          <w:highlight w:val="none"/>
        </w:rPr>
        <w:t>7.1.4 临时用水电等提供和节点铺设</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发包人提供的临时用水、用电等类别、取费单价：</w:t>
      </w:r>
      <w:r>
        <w:rPr>
          <w:rFonts w:hint="eastAsia" w:ascii="楷体" w:hAnsi="楷体" w:eastAsia="楷体" w:cs="楷体"/>
          <w:color w:val="auto"/>
          <w:szCs w:val="21"/>
          <w:highlight w:val="none"/>
          <w:u w:val="single"/>
        </w:rPr>
        <w:t>发包人提供接水、接电地点，施工用水、电由承包人现场单独挂表计量，费用由承包人负责</w:t>
      </w:r>
      <w:r>
        <w:rPr>
          <w:rFonts w:hint="eastAsia" w:ascii="楷体" w:hAnsi="楷体" w:eastAsia="楷体" w:cs="楷体"/>
          <w:color w:val="auto"/>
          <w:szCs w:val="21"/>
          <w:highlight w:val="none"/>
        </w:rPr>
        <w:t>。</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rPr>
        <w:t>7.1.10 由发包人履行的其它义务：</w:t>
      </w:r>
      <w:r>
        <w:rPr>
          <w:rFonts w:hint="eastAsia" w:ascii="楷体" w:hAnsi="楷体" w:eastAsia="楷体" w:cs="楷体"/>
          <w:color w:val="auto"/>
          <w:szCs w:val="21"/>
          <w:highlight w:val="none"/>
          <w:u w:val="single"/>
        </w:rPr>
        <w:t xml:space="preserve">施工场地与公共通道，开工前由发包人配合承包人进行，费用由承包人负责；承包人自行勘探现场，并自行承担相关费用，主动向发包人了解地形情况，索取地质勘探资料，了解施工现场区域划分位置，充分了解工地位置、地形地貌情况（工地现场的地形对施工可能造成的影响）、道路、储存空间、装卸限制及任何其它足以影响承包价的情况；施工用水源、电源，由承包人自行解决，该费用由承包人在投标报价中考虑；在投标报价时承包人同时需考虑各种地方矛盾协调费；施工现场场内交通条件，如不具备，则由承包人实施，并承担费用；所有现场的成品保护由承包人负责，损坏的无条件恢复至原状，所发生的一切费用由承包人承担。任何因忽视或误解工地情况而导致的索赔或工期延长申请将不被批准。 </w:t>
      </w:r>
    </w:p>
    <w:p>
      <w:pPr>
        <w:spacing w:line="400" w:lineRule="exact"/>
        <w:ind w:firstLine="420" w:firstLineChars="200"/>
        <w:outlineLvl w:val="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7.2 对承包人的义务</w:t>
      </w:r>
    </w:p>
    <w:p>
      <w:pPr>
        <w:spacing w:line="400" w:lineRule="exact"/>
        <w:ind w:firstLine="420" w:firstLineChars="200"/>
        <w:outlineLvl w:val="0"/>
        <w:rPr>
          <w:rFonts w:ascii="楷体" w:hAnsi="楷体" w:eastAsia="楷体" w:cs="楷体"/>
          <w:color w:val="auto"/>
          <w:szCs w:val="21"/>
          <w:highlight w:val="none"/>
        </w:rPr>
      </w:pPr>
      <w:r>
        <w:rPr>
          <w:rFonts w:hint="eastAsia" w:ascii="楷体" w:hAnsi="楷体" w:eastAsia="楷体" w:cs="楷体"/>
          <w:color w:val="auto"/>
          <w:szCs w:val="21"/>
          <w:highlight w:val="none"/>
        </w:rPr>
        <w:t>7.2.2 施工组织设计</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提交工程总体施工组织设计的份数和时间：</w:t>
      </w:r>
      <w:r>
        <w:rPr>
          <w:rFonts w:hint="eastAsia" w:ascii="楷体" w:hAnsi="楷体" w:eastAsia="楷体" w:cs="楷体"/>
          <w:color w:val="auto"/>
          <w:szCs w:val="21"/>
          <w:highlight w:val="none"/>
          <w:u w:val="single"/>
        </w:rPr>
        <w:t>同本专用条款第3.1条约定</w:t>
      </w:r>
      <w:r>
        <w:rPr>
          <w:rFonts w:hint="eastAsia" w:ascii="楷体" w:hAnsi="楷体" w:eastAsia="楷体" w:cs="楷体"/>
          <w:color w:val="auto"/>
          <w:szCs w:val="21"/>
          <w:highlight w:val="none"/>
        </w:rPr>
        <w:t xml:space="preserve">。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rPr>
        <w:t>需要提交的主要单项工程、主要分部分项工程施工组织设计的名称、份数和时间：</w:t>
      </w:r>
    </w:p>
    <w:p>
      <w:pPr>
        <w:spacing w:line="400" w:lineRule="exact"/>
        <w:ind w:firstLine="420" w:firstLineChars="200"/>
        <w:outlineLvl w:val="0"/>
        <w:rPr>
          <w:rFonts w:ascii="楷体" w:hAnsi="楷体" w:eastAsia="楷体" w:cs="楷体"/>
          <w:color w:val="auto"/>
          <w:szCs w:val="21"/>
          <w:highlight w:val="none"/>
        </w:rPr>
      </w:pPr>
      <w:r>
        <w:rPr>
          <w:rFonts w:hint="eastAsia" w:ascii="楷体" w:hAnsi="楷体" w:eastAsia="楷体" w:cs="楷体"/>
          <w:color w:val="auto"/>
          <w:szCs w:val="21"/>
          <w:highlight w:val="none"/>
        </w:rPr>
        <w:t>7.2.3 提交临时占地资料</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提交临时占地资料的时间：</w:t>
      </w:r>
      <w:r>
        <w:rPr>
          <w:rFonts w:hint="eastAsia" w:ascii="楷体" w:hAnsi="楷体" w:eastAsia="楷体" w:cs="楷体"/>
          <w:color w:val="auto"/>
          <w:szCs w:val="21"/>
          <w:highlight w:val="none"/>
          <w:u w:val="single"/>
        </w:rPr>
        <w:t>在临时占地实际发生前5天内提交</w:t>
      </w:r>
      <w:r>
        <w:rPr>
          <w:rFonts w:hint="eastAsia" w:ascii="楷体" w:hAnsi="楷体" w:eastAsia="楷体" w:cs="楷体"/>
          <w:color w:val="auto"/>
          <w:szCs w:val="21"/>
          <w:highlight w:val="none"/>
        </w:rPr>
        <w:t>。</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7.2.4 提供临时用水电等资料</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rPr>
        <w:t>承包人需要水电等品质、正常用量、高峰量和使用时间：</w:t>
      </w:r>
      <w:r>
        <w:rPr>
          <w:rFonts w:hint="eastAsia" w:ascii="楷体" w:hAnsi="楷体" w:eastAsia="楷体" w:cs="楷体"/>
          <w:color w:val="auto"/>
          <w:szCs w:val="21"/>
          <w:highlight w:val="none"/>
          <w:u w:val="single"/>
        </w:rPr>
        <w:t>承包人正式进场后三日内提交。</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7.2.5 项目安全生产的达标目标及相应事项的约定：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（1）承包人必须遵守江苏省建设厅及盐城市建设主管部门颁布的《建设工程施工安全管理规定》和《建设工程文明施工管理规定》。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（2）承包人进场后，遵守发包人各项规章制度，必须服从发包人和监理单位对施工场地总平面的规划，服从发包人和监理单位的统一调度和指挥。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3）本工程必须确保安全，承包人自行承担工程施工过程中的工程质量、任何状况下的安全责任。非发包人原因，发生的一切问题和责任与发包人无关，相关一切费用或民事、刑事责任均由承包人自理。承包人应按有关规定采取严格的安全防护措施，确保工程施工安全管理到位，并接受发包人及相关部门不定时的安全监督和检查，后者的安全监督和检查确保不影响工程施工为前提，对于发包人及相关部门在监督和检查过程中发现安全隐患，承包人必须在限期内进行整改。由于整改造成工期延误的责任由承包人承担。发包人及相关部门对于本项目的监督和检查不能免除承包人对于项目建设期间可能发生的安全事故的责任承担，施工期间发生重大伤亡事故时，承包人应按有关规定立即上报有关部门并通知发包人，同时按相关规定处理。若承包人不能及时处理所发生的问题和责任，并且影响到工程进度时，发包人有权处理相关事务，所发生的费用在支付工程款时扣除。如发生安全事故，承包人除赔偿受害者外，还须向发包人缴纳同等金额的罚款。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（4）施工过程中如遇地下管线、原预埋管线、电线、电缆等破坏修复费用、施工过程中及保修期内未及时修复而发生的一切安全责任，均由承包人自行承担。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（5）承包人应保障施工现场过往车辆及行人的安全，对安全生产负全责。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6）承包人在组织施工时需及时清运施工废弃物，材料堆放整齐有序，保持施工场地整洁、交通畅顺。服从发包人及相关主管部门的管理要求，主动协调、解决问题，若在施工期间出现因场地脏乱、交通不顺等违反文明施工管理规定的情况，所发生的一切费用均由承包人承担，同时还须接受发包人每次 5000 元的罚金。本工程所有施工建筑垃圾均应由承包人全部清运出施工现场，并自行弃置，费用已包含在合同价中。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（7）文明施工的约定：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①承包人必须遵守江苏省建设厅及盐城市建设主管部门颁布的《建设工程施工安全管理规定》和《建设工程文明施工管理规定》；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② 施工现场围护要求坚固、稳定、整洁、美观。发包人和监理人有权监督承包人的文明施工措施按照相关管理规定实施到位。由于承包人疏于采取文明施工措施所造成的必要费用的支出，应由承包人自行承担。发包人将对承包人的现场安全文明施工措施进行考核，未按规定使用到位的，即使有造价管理部门的核定单，结算时也不予计算。承包人在施工中污染周围环境、施工噪音干扰他人等所引起的政府职能部门罚款或停工整改或引起周围居民纠纷和索赔时，其所有发生的费用与损失将全部由承包人自行承担，工期不予顺延。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③ 承包人必须确保工程安全（施工场地内及施工运输过程中），若发生不安全问题，自行负责处理并承担一切责任，并同时向发包人承担中标价的 3%违约金。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④ 承包人进场后，必须服从发包人和监理单位对施工场地总平面的规划，服从发包人和监理单位的统一调度和指挥。如出现不服从管理和下列现象的，发包人将视情节轻重认定 承包人是否违约，并根据情况要求承包人承担违约责任，支付违约金。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⑤工程必须确保安全，承包人自行承担工程施工过程中的工程质量、任何状况下的安全责任。非发包人原因，发生的一切问题和责任与发包人无关，相关一切费用或民事、刑事责任均由承包人自理。若承包人不能及时处理所发生的问题和责任，并且影响到工程进度时，发包人有权处理相关事务，所发生的费用，承包人必须在发包人通知后3日内以现金形式交由发包人。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⑥ 发包人将定期对承包人的施工质量、安全、文明施工进行检查，如发现工程现场及生活区内安全、文明施工管理较差的，有权要求承包人整改并通报批评，如发生二次通报批评情况，可按照合同总价0.1%对承包人处以违约金。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⑦严禁在施工现场焚烧垃圾,如发现一次, 可按照合同总价0.2%对承包人处以违约金。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⑧进入施工现场的所有施工人员必须带好安全帽,如发现有一人次进入施工现场未带安全帽,发包人则按200元/人次对承包人处以违约金,如一天发现3人以上进入施工现场未带安全帽, 发包人则按2000元/人次对承包人处以违约金。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⑨承包人不得在施工现场发生打架、斗殴、偷窃行为，发生一次，发包人可对承包人处20000元/次违约金。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⑩其它：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1）承包人须按国家、地方相关法律、法规及相关管理规定要求，完成各项安全文明施工管理工作。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2）承包人未按国家、地方相关法律、法规及相关管理规定要求完成安全文明施工管理工作的，发包人有权在应付工程款中扣除招标文件和合同规定的未按要求完成部分的安全文明施工措施管理费用。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3）承包人未按国家及地方相关规定要求完成安全文明管理工程的，须限期改正到位。承包人拒不整改或整改后仍达不到要求的，发包人有权终止施工合同，且发包人可以直接委托第三方按国家及地方相关规定进行代为整改，所发生的费用由承包人承担，承包人必须在发包人处罚决定后3日内以现金形式交由发包人。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4）承包人必须服从发包人统一管理，发包人可根据现场考核制度对工程的质量、安全、工程等方面进行考核，如未达到发包人要求或国家验收规范标准的，该工程的本期工程款发包人有权不付或缓付、少付，并同时对承包人进行处罚，包括通报和罚款。罚款金额由发包人和监理单位根据现场情况进行处罚。承包人施工时，不得对现有建筑、环境进行破坏和污染，同时承包人必须对自己施工的各分项工程。在合同期间进行保洁管理和安全维护。承包人施工车辆通行必须服从发包人指定路线通行，违者罚款2000元/车次。如导致道路破坏或损坏，承包人必须及时修整完好，同时发包人有权按实际恢复工程造价的2倍罚款。承包人必须严格执行盐政办发【2013】38号文件《盐城市人民政府办公室转发市城乡建设局关于市区建设工程施工现场扬尘污染治理工作方案和市公安局市城市管理局关于市区建设工程渣土运输联合整治工作方案的通知》要求，如违反规定，除整改外，发包人有权处每次不少于2000元的罚款，承包人必须在发包人处罚决定后3日内以现金形式交由发包人。承包人须充分考虑发包人各种（如廉政文化进工地等）需要的现场打扫、清洗、横幅、宣传等费用，如不积极配合，则发包人有权处每次不少于2000元的罚款，承包人必须在发包人处罚决定后3日内以现金形式交由发包人。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5）本工程实施期间，施工场地内做到道路平坦畅通，无积水，建筑材料堆放有序；施工区域裸露地块、易形成扬尘的建筑材料等均须覆盖处理；生活垃圾、建筑垃圾等日产日清，及时清运出场地，如不能清运出场地的，必须覆盖处理，减少扬尘；其他应严格按照文明工地的要求组织施工。覆盖用材料及其他和本工程有关的各项措施费投标人自行考虑，请各投标人充分考虑各项措施所涉及的费用，并将其考虑至投标报价措施项目费中，不考虑或考虑不足均视为投标人让利，实施过程中不再增加相关费用。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6）承包人考虑按中标通知书发出之日起的时间进场，接受现场不一定完全具备施工条件，套插施工，合理组织安排工期，确保按期完成。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7）承包人除做好自身已完工程的保护及进场材料、设备的管护外，还要做好其他施工单位、交叉施工单位的已完工程的保护，如有损坏、污染或其他影响，承包人无偿修复到位。承包人还应考虑保护其他施工单位已经做好的管道或成品，或进场施工期间和可预见到的工程进展变化而完成的管道或成品，包干在综合报价中，并不再提出额外要求。否则发包人另行安排施工队伍恢复，无须得到承包人确认的前提下，在监理、审计见证下，在承包人工程总价中直接扣除所恢复费用的二倍罚款。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8）承包人须服从发包人委托的监理单位管理，材料、设备进场提供产品合格证和检验报告，每道工序完成后隐蔽前提请发包人及监理单位验收合格才能进入下一道工序。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7.2.6 由承包人履行的其它义务：①安排专人24小时负责安全保卫工作，非夜间施工照明应注意安全要求，费用由承包人承担；②承包人必须按规定对施工现场成品进行保护，专业施工项目验收合格之日起交付给发包人止，专业工程施工现场成品保护由专业工程施工单位负责；③承包人必须对施工场地周围地下管线和构筑物（含文物保护建筑）做好保护工作，费用由承包人负责；④如因承包人没有及时报告和保护而造成的一切经济损失和法律责任由承包人承担；承包人必须按文明施工要求组织施工，保持场地整洁卫生，费用由承包人负责；⑤承包人在本工程竣工验收后七日内拆除所有临时设施，并清运出现场，费用由承包人负责。否则，如发生相关费用由发包人在工程竣工结算价款中扣除；⑥如发包人代扣代缴本工程应由承包人缴纳的各种费用，承包人必须履行发包人要求的各项手续，费用由承包人负责；⑦本工程向建设主管部门办理的工程施工许可手续，由承包人代为办理发包人协助，费用按规定执行。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7.3 对涉及造价的部分施工技术或方法的约定：/ </w:t>
      </w:r>
    </w:p>
    <w:p>
      <w:pPr>
        <w:spacing w:line="400" w:lineRule="exact"/>
        <w:ind w:firstLine="420" w:firstLineChars="20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7.4人力和机具资源</w:t>
      </w:r>
    </w:p>
    <w:p>
      <w:pPr>
        <w:spacing w:line="400" w:lineRule="exact"/>
        <w:ind w:firstLine="420" w:firstLineChars="200"/>
        <w:outlineLvl w:val="0"/>
        <w:rPr>
          <w:rFonts w:ascii="楷体" w:hAnsi="楷体" w:eastAsia="楷体" w:cs="楷体"/>
          <w:color w:val="auto"/>
          <w:szCs w:val="21"/>
          <w:highlight w:val="none"/>
          <w:u w:val="single"/>
        </w:rPr>
      </w:pPr>
      <w:r>
        <w:rPr>
          <w:rFonts w:hint="eastAsia" w:ascii="楷体" w:hAnsi="楷体" w:eastAsia="楷体" w:cs="楷体"/>
          <w:color w:val="auto"/>
          <w:szCs w:val="21"/>
          <w:highlight w:val="none"/>
        </w:rPr>
        <w:t>7.4.1人力资源计划一览表的格式、内容、份数和提交时间：</w:t>
      </w:r>
      <w:r>
        <w:rPr>
          <w:rFonts w:hint="eastAsia" w:ascii="楷体" w:hAnsi="楷体" w:eastAsia="楷体" w:cs="楷体"/>
          <w:color w:val="auto"/>
          <w:szCs w:val="21"/>
          <w:highlight w:val="none"/>
          <w:u w:val="single"/>
        </w:rPr>
        <w:t>收到总监的指令单后按指令单要求的格式、内容、份数在3天内提交。</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人力资源实际进场的报表格式、份数和报告期：</w:t>
      </w:r>
      <w:r>
        <w:rPr>
          <w:rFonts w:hint="eastAsia" w:ascii="楷体" w:hAnsi="楷体" w:eastAsia="楷体" w:cs="楷体"/>
          <w:color w:val="auto"/>
          <w:szCs w:val="21"/>
          <w:highlight w:val="none"/>
          <w:u w:val="single"/>
        </w:rPr>
        <w:t>总监的指令单执行 。</w:t>
      </w:r>
    </w:p>
    <w:p>
      <w:pPr>
        <w:spacing w:line="400" w:lineRule="exact"/>
        <w:ind w:firstLine="420" w:firstLineChars="200"/>
        <w:outlineLvl w:val="0"/>
        <w:rPr>
          <w:rFonts w:ascii="楷体" w:hAnsi="楷体" w:eastAsia="楷体" w:cs="楷体"/>
          <w:color w:val="auto"/>
          <w:szCs w:val="21"/>
          <w:highlight w:val="none"/>
          <w:u w:val="single"/>
        </w:rPr>
      </w:pPr>
      <w:r>
        <w:rPr>
          <w:rFonts w:hint="eastAsia" w:ascii="楷体" w:hAnsi="楷体" w:eastAsia="楷体" w:cs="楷体"/>
          <w:color w:val="auto"/>
          <w:szCs w:val="21"/>
          <w:highlight w:val="none"/>
        </w:rPr>
        <w:t>7.4.2 主要机具计划一览表的格式、内容、份数和提交时间：</w:t>
      </w:r>
      <w:r>
        <w:rPr>
          <w:rFonts w:hint="eastAsia" w:ascii="楷体" w:hAnsi="楷体" w:eastAsia="楷体" w:cs="楷体"/>
          <w:color w:val="auto"/>
          <w:szCs w:val="21"/>
          <w:highlight w:val="none"/>
          <w:u w:val="single"/>
        </w:rPr>
        <w:t>按总监的指令单执行。</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主要机具实际进场的报表格式、份数和报告期：</w:t>
      </w:r>
      <w:r>
        <w:rPr>
          <w:rFonts w:hint="eastAsia" w:ascii="楷体" w:hAnsi="楷体" w:eastAsia="楷体" w:cs="楷体"/>
          <w:color w:val="auto"/>
          <w:szCs w:val="21"/>
          <w:highlight w:val="none"/>
          <w:u w:val="single"/>
        </w:rPr>
        <w:t>按总监的指令单执行</w:t>
      </w:r>
      <w:r>
        <w:rPr>
          <w:rFonts w:hint="eastAsia" w:ascii="楷体" w:hAnsi="楷体" w:eastAsia="楷体" w:cs="楷体"/>
          <w:color w:val="auto"/>
          <w:szCs w:val="21"/>
          <w:highlight w:val="none"/>
        </w:rPr>
        <w:t>。</w:t>
      </w:r>
    </w:p>
    <w:p>
      <w:pPr>
        <w:spacing w:line="400" w:lineRule="exact"/>
        <w:ind w:firstLine="420" w:firstLineChars="200"/>
        <w:outlineLvl w:val="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7.5质量与检验</w:t>
      </w:r>
    </w:p>
    <w:p>
      <w:pPr>
        <w:spacing w:line="400" w:lineRule="exact"/>
        <w:ind w:firstLine="420" w:firstLineChars="200"/>
        <w:outlineLvl w:val="0"/>
        <w:rPr>
          <w:rFonts w:ascii="楷体" w:hAnsi="楷体" w:eastAsia="楷体" w:cs="楷体"/>
          <w:color w:val="auto"/>
          <w:szCs w:val="21"/>
          <w:highlight w:val="none"/>
        </w:rPr>
      </w:pPr>
      <w:r>
        <w:rPr>
          <w:rFonts w:hint="eastAsia" w:ascii="楷体" w:hAnsi="楷体" w:eastAsia="楷体" w:cs="楷体"/>
          <w:color w:val="auto"/>
          <w:szCs w:val="21"/>
          <w:highlight w:val="none"/>
        </w:rPr>
        <w:t xml:space="preserve">7.5.1特殊质量标准和要求： </w:t>
      </w:r>
    </w:p>
    <w:p>
      <w:pPr>
        <w:spacing w:line="400" w:lineRule="exact"/>
        <w:ind w:firstLine="420" w:firstLineChars="200"/>
        <w:outlineLvl w:val="0"/>
        <w:rPr>
          <w:rFonts w:ascii="楷体" w:hAnsi="楷体" w:eastAsia="楷体" w:cs="楷体"/>
          <w:color w:val="auto"/>
          <w:szCs w:val="21"/>
          <w:highlight w:val="none"/>
        </w:rPr>
      </w:pPr>
      <w:r>
        <w:rPr>
          <w:rFonts w:hint="eastAsia" w:ascii="楷体" w:hAnsi="楷体" w:eastAsia="楷体" w:cs="楷体"/>
          <w:color w:val="auto"/>
          <w:szCs w:val="21"/>
          <w:highlight w:val="none"/>
        </w:rPr>
        <w:t>（1）</w:t>
      </w:r>
      <w:r>
        <w:rPr>
          <w:rFonts w:hint="eastAsia" w:ascii="楷体" w:hAnsi="楷体" w:eastAsia="楷体" w:cs="楷体"/>
          <w:color w:val="auto"/>
          <w:szCs w:val="21"/>
          <w:highlight w:val="none"/>
          <w:u w:val="single"/>
        </w:rPr>
        <w:t>本工程质量标准为国家“合格”标准。 若一次性验收不合格的，承包人按分部分项工程费的3 %向发包人支付违约金，直接从本工程的履约保证金或工程款中扣除。由此造成的工期延误将不予顺延，给发包人造成实际损失的还将承担经济赔偿责任。同时，承包人必须无偿整改达到符合质量要求，保证工程按期交付使用。</w:t>
      </w:r>
      <w:r>
        <w:rPr>
          <w:rFonts w:hint="eastAsia" w:ascii="楷体" w:hAnsi="楷体" w:eastAsia="楷体" w:cs="楷体"/>
          <w:color w:val="auto"/>
          <w:szCs w:val="21"/>
          <w:highlight w:val="none"/>
        </w:rPr>
        <w:t xml:space="preserve"> </w:t>
      </w:r>
    </w:p>
    <w:p>
      <w:pPr>
        <w:spacing w:line="400" w:lineRule="exact"/>
        <w:ind w:firstLine="420" w:firstLineChars="200"/>
        <w:outlineLvl w:val="0"/>
        <w:rPr>
          <w:rFonts w:ascii="楷体" w:hAnsi="楷体" w:eastAsia="楷体" w:cs="楷体"/>
          <w:color w:val="auto"/>
          <w:szCs w:val="21"/>
          <w:highlight w:val="none"/>
        </w:rPr>
      </w:pPr>
      <w:r>
        <w:rPr>
          <w:rFonts w:hint="eastAsia" w:ascii="楷体" w:hAnsi="楷体" w:eastAsia="楷体" w:cs="楷体"/>
          <w:color w:val="auto"/>
          <w:szCs w:val="21"/>
          <w:highlight w:val="none"/>
        </w:rPr>
        <w:t>（2）</w:t>
      </w:r>
      <w:r>
        <w:rPr>
          <w:rFonts w:hint="eastAsia" w:ascii="楷体" w:hAnsi="楷体" w:eastAsia="楷体" w:cs="楷体"/>
          <w:color w:val="auto"/>
          <w:szCs w:val="21"/>
          <w:highlight w:val="none"/>
          <w:u w:val="single"/>
        </w:rPr>
        <w:t>非发包人原因，质量整改所发生的费用不予增加</w:t>
      </w:r>
      <w:r>
        <w:rPr>
          <w:rFonts w:hint="eastAsia" w:ascii="楷体" w:hAnsi="楷体" w:eastAsia="楷体" w:cs="楷体"/>
          <w:color w:val="auto"/>
          <w:szCs w:val="21"/>
          <w:highlight w:val="none"/>
        </w:rPr>
        <w:t xml:space="preserve">。 </w:t>
      </w:r>
    </w:p>
    <w:p>
      <w:pPr>
        <w:spacing w:line="400" w:lineRule="exact"/>
        <w:ind w:firstLine="420" w:firstLineChars="200"/>
        <w:outlineLvl w:val="0"/>
        <w:rPr>
          <w:rFonts w:ascii="楷体" w:hAnsi="楷体" w:eastAsia="楷体" w:cs="楷体"/>
          <w:color w:val="auto"/>
          <w:szCs w:val="21"/>
          <w:highlight w:val="none"/>
        </w:rPr>
      </w:pPr>
      <w:r>
        <w:rPr>
          <w:rFonts w:hint="eastAsia" w:ascii="楷体" w:hAnsi="楷体" w:eastAsia="楷体" w:cs="楷体"/>
          <w:color w:val="auto"/>
          <w:szCs w:val="21"/>
          <w:highlight w:val="none"/>
        </w:rPr>
        <w:t>（3）</w:t>
      </w:r>
      <w:r>
        <w:rPr>
          <w:rFonts w:hint="eastAsia" w:ascii="楷体" w:hAnsi="楷体" w:eastAsia="楷体" w:cs="楷体"/>
          <w:color w:val="auto"/>
          <w:szCs w:val="21"/>
          <w:highlight w:val="none"/>
          <w:u w:val="single"/>
        </w:rPr>
        <w:t>质量管理：承包人须严格按照设计图纸、质量标准、验收规范等组织施工，接受发包人、监理单位的检查。若发生工序、检验批等验收不符合质量目标要求的，每发生一次接受发包人以每次5000元的经济处罚，承包人必须在发包人处罚决定后 3日内以现金形式交由发包人。若发生分项工程验收不符合质量目标要求的，每发生一次接受发包人以每次20000元的经济处罚，承包人必须在发包人处罚决定后3日内以现金形式交由发包人。若发生分部工程验收不符合质量目标要求的，每发生一次接受发包人以每次10000元的经济处罚，承包人必须在发包人处罚决定后 3 日内以现金形式交由发包人。另外承包人在执行上述要求的同时，并不免除在限期内整改到位、继续履行其他合同条款的义务，由此发生的所有费用均由承包人承担,工期不顺延、造价不补偿。若未按照发包人要求及时整改到位的,发包人有权委托第三方代为实施，所发生的费用由承包人承担。拒不整改的发包人有权终止施工合同，已经发生的合格工作量按照 70%结算。承包人必须按发包人审核通过的方案和图纸要求进行施工，除发包人要求变更外，承包人未按上述要求施工，发包人将对承包人按投标单价的 5 倍进行处罚，承包人必须在发包人处罚决定后 3 日内以现金形式交由发包人；材料品种、规格、数量等必须按发包人确认的图实施，如发包人需要调整工程内容时，承包人在接到书面通知后，必须按发包人的要求进行施工，且不得有任何理由拖延工期，确保按期完工；承包人确保竣工验收必须一次性验收合格，如承包人未按设计图纸及发包人要求进行施工的，导致竣工验收不合格，承包人必须无条件返工至合格，且每处按5000元处罚，承包人必须在发包人处罚决定后3日内以现金形式交由发包人。</w:t>
      </w:r>
    </w:p>
    <w:p>
      <w:pPr>
        <w:spacing w:line="400" w:lineRule="exact"/>
        <w:ind w:firstLine="420" w:firstLineChars="200"/>
        <w:outlineLvl w:val="0"/>
        <w:rPr>
          <w:rFonts w:ascii="楷体" w:hAnsi="楷体" w:eastAsia="楷体" w:cs="楷体"/>
          <w:color w:val="auto"/>
          <w:szCs w:val="21"/>
          <w:highlight w:val="none"/>
        </w:rPr>
      </w:pPr>
      <w:r>
        <w:rPr>
          <w:rFonts w:hint="eastAsia" w:ascii="楷体" w:hAnsi="楷体" w:eastAsia="楷体" w:cs="楷体"/>
          <w:color w:val="auto"/>
          <w:szCs w:val="21"/>
          <w:highlight w:val="none"/>
        </w:rPr>
        <w:t>（4）质保期：</w:t>
      </w:r>
      <w:r>
        <w:rPr>
          <w:rFonts w:hint="eastAsia" w:ascii="楷体" w:hAnsi="楷体" w:eastAsia="楷体" w:cs="楷体"/>
          <w:color w:val="auto"/>
          <w:szCs w:val="21"/>
          <w:highlight w:val="none"/>
          <w:u w:val="single"/>
        </w:rPr>
        <w:t>自工程竣工验收通过之日起2年，在此期间承包人负责免费维修和定期保养，并免费提供、更换维修保养所需的所有零部件和材料。2年后，承包人有义务继续承本项目的维护保养，可收取相应的材料成本费</w:t>
      </w:r>
      <w:r>
        <w:rPr>
          <w:rFonts w:hint="eastAsia" w:ascii="楷体" w:hAnsi="楷体" w:eastAsia="楷体" w:cs="楷体"/>
          <w:color w:val="auto"/>
          <w:szCs w:val="21"/>
          <w:highlight w:val="none"/>
        </w:rPr>
        <w:t>。</w:t>
      </w:r>
    </w:p>
    <w:p>
      <w:pPr>
        <w:spacing w:line="400" w:lineRule="exact"/>
        <w:ind w:firstLine="420" w:firstLineChars="200"/>
        <w:outlineLvl w:val="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（5）展示材质要求：室外雕塑、半室外展廊展品要有一定的耐晒耐风雨耐腐蚀性能。 </w:t>
      </w:r>
    </w:p>
    <w:p>
      <w:pPr>
        <w:spacing w:line="400" w:lineRule="exact"/>
        <w:ind w:firstLine="420" w:firstLineChars="200"/>
        <w:outlineLvl w:val="0"/>
        <w:rPr>
          <w:rFonts w:ascii="楷体" w:hAnsi="楷体" w:eastAsia="楷体" w:cs="楷体"/>
          <w:color w:val="auto"/>
          <w:szCs w:val="21"/>
          <w:highlight w:val="none"/>
        </w:rPr>
      </w:pPr>
      <w:r>
        <w:rPr>
          <w:rFonts w:hint="eastAsia" w:ascii="楷体" w:hAnsi="楷体" w:eastAsia="楷体" w:cs="楷体"/>
          <w:color w:val="auto"/>
          <w:szCs w:val="21"/>
          <w:highlight w:val="none"/>
        </w:rPr>
        <w:t>7.5.2 质检部位与参检方</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rPr>
        <w:t>三方参检的部位、标准及表格形式：</w:t>
      </w:r>
      <w:r>
        <w:rPr>
          <w:rFonts w:hint="eastAsia" w:ascii="楷体" w:hAnsi="楷体" w:eastAsia="楷体" w:cs="楷体"/>
          <w:color w:val="auto"/>
          <w:szCs w:val="21"/>
          <w:highlight w:val="none"/>
          <w:u w:val="single"/>
        </w:rPr>
        <w:t>按国家、省、市建设行政主管部门的有关规定执行</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rPr>
        <w:t>两方参检的部位、标准及表格形式：</w:t>
      </w:r>
      <w:r>
        <w:rPr>
          <w:rFonts w:hint="eastAsia" w:ascii="楷体" w:hAnsi="楷体" w:eastAsia="楷体" w:cs="楷体"/>
          <w:color w:val="auto"/>
          <w:szCs w:val="21"/>
          <w:highlight w:val="none"/>
          <w:u w:val="single"/>
        </w:rPr>
        <w:t>按国家、省、市建设行政主管部门的有关规定执行</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rPr>
        <w:t>第三方检查的部位、标准及表格形式：</w:t>
      </w:r>
      <w:r>
        <w:rPr>
          <w:rFonts w:hint="eastAsia" w:ascii="楷体" w:hAnsi="楷体" w:eastAsia="楷体" w:cs="楷体"/>
          <w:color w:val="auto"/>
          <w:szCs w:val="21"/>
          <w:highlight w:val="none"/>
          <w:u w:val="single"/>
        </w:rPr>
        <w:t>按国家、省、市建设行政主管部门有关规定执行</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rPr>
        <w:t>承包人自检的部位、标准及表格形式：</w:t>
      </w:r>
      <w:r>
        <w:rPr>
          <w:rFonts w:hint="eastAsia" w:ascii="楷体" w:hAnsi="楷体" w:eastAsia="楷体" w:cs="楷体"/>
          <w:color w:val="auto"/>
          <w:szCs w:val="21"/>
          <w:highlight w:val="none"/>
          <w:u w:val="single"/>
        </w:rPr>
        <w:t>按国家、省、市建设行政主管部门有关规定执行</w:t>
      </w:r>
    </w:p>
    <w:p>
      <w:pPr>
        <w:spacing w:line="400" w:lineRule="exact"/>
        <w:ind w:firstLine="420" w:firstLineChars="200"/>
        <w:outlineLvl w:val="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7.6 隐蔽工程和中间验收</w:t>
      </w:r>
    </w:p>
    <w:p>
      <w:pPr>
        <w:spacing w:line="400" w:lineRule="exact"/>
        <w:ind w:firstLine="420" w:firstLineChars="200"/>
        <w:outlineLvl w:val="0"/>
        <w:rPr>
          <w:rFonts w:ascii="楷体" w:hAnsi="楷体" w:eastAsia="楷体" w:cs="楷体"/>
          <w:color w:val="auto"/>
          <w:szCs w:val="21"/>
          <w:highlight w:val="none"/>
          <w:u w:val="single"/>
        </w:rPr>
      </w:pPr>
      <w:r>
        <w:rPr>
          <w:rFonts w:hint="eastAsia" w:ascii="楷体" w:hAnsi="楷体" w:eastAsia="楷体" w:cs="楷体"/>
          <w:color w:val="auto"/>
          <w:szCs w:val="21"/>
          <w:highlight w:val="none"/>
        </w:rPr>
        <w:t>7.6.1隐蔽工程检查：承包人提前通知监理人隐蔽工程检查的期限的约定：</w:t>
      </w:r>
      <w:r>
        <w:rPr>
          <w:rFonts w:hint="eastAsia" w:ascii="楷体" w:hAnsi="楷体" w:eastAsia="楷体" w:cs="楷体"/>
          <w:color w:val="auto"/>
          <w:szCs w:val="21"/>
          <w:highlight w:val="none"/>
          <w:u w:val="single"/>
        </w:rPr>
        <w:t xml:space="preserve">施工过程中所有隐蔽工程，承包人应进行自检，并在隐蔽或中间验收前48小时以书面形式通知监理工程师验收，通知中应载明隐蔽检查的内容、时间和地点，并应附有自检记录和必要的检查资料，未经监理工程师验收合格，不得进入下道工序的施工。检查验收不合格时，影响正常施工的费用由承包人承担。如果承包人未自检合格就报验，对存在问题蒙混、侥幸，发现一次，当场处罚5000元。所有质量问题均由承包人负责，如使用后，发现质量问题，承包人应及时维修，因承包人维修不及时、不到位的一切责任由承包人负责。非发包人原因，质量整改所发生的费用不予增加。 </w:t>
      </w:r>
    </w:p>
    <w:p>
      <w:pPr>
        <w:spacing w:line="400" w:lineRule="exact"/>
        <w:ind w:firstLine="420" w:firstLineChars="200"/>
        <w:outlineLvl w:val="0"/>
        <w:rPr>
          <w:rFonts w:ascii="楷体" w:hAnsi="楷体" w:eastAsia="楷体" w:cs="楷体"/>
          <w:color w:val="auto"/>
          <w:szCs w:val="21"/>
          <w:highlight w:val="none"/>
          <w:u w:val="single"/>
        </w:rPr>
      </w:pPr>
      <w:r>
        <w:rPr>
          <w:rFonts w:hint="eastAsia" w:ascii="楷体" w:hAnsi="楷体" w:eastAsia="楷体" w:cs="楷体"/>
          <w:color w:val="auto"/>
          <w:szCs w:val="21"/>
          <w:highlight w:val="none"/>
        </w:rPr>
        <w:t>7.6.2 隐蔽工程和中间验收。需要质检的隐蔽工程和中间验收部位的分类、部位、质检内容、标准、表格和参检方的约定：</w:t>
      </w:r>
      <w:r>
        <w:rPr>
          <w:rFonts w:hint="eastAsia" w:ascii="楷体" w:hAnsi="楷体" w:eastAsia="楷体" w:cs="楷体"/>
          <w:color w:val="auto"/>
          <w:szCs w:val="21"/>
          <w:highlight w:val="none"/>
          <w:u w:val="single"/>
        </w:rPr>
        <w:t>按国家、省、市建设行政主管部门的有关规定执行</w:t>
      </w:r>
    </w:p>
    <w:p>
      <w:pPr>
        <w:spacing w:line="400" w:lineRule="exact"/>
        <w:ind w:firstLine="420" w:firstLineChars="200"/>
        <w:outlineLvl w:val="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7.8职业健康、安全、环境保护</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7.8.1职业健康、安全、环境保护管理</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7.8.2提交职业健康、安全、环境管理计划的份数和时间：</w:t>
      </w:r>
      <w:r>
        <w:rPr>
          <w:rFonts w:hint="eastAsia" w:ascii="楷体" w:hAnsi="楷体" w:eastAsia="楷体" w:cs="楷体"/>
          <w:color w:val="auto"/>
          <w:szCs w:val="21"/>
          <w:highlight w:val="none"/>
          <w:u w:val="single"/>
        </w:rPr>
        <w:t xml:space="preserve">本合同签订合一个月内提交发包人 </w:t>
      </w:r>
      <w:r>
        <w:rPr>
          <w:rFonts w:hint="eastAsia" w:ascii="楷体" w:hAnsi="楷体" w:eastAsia="楷体" w:cs="楷体"/>
          <w:color w:val="auto"/>
          <w:szCs w:val="21"/>
          <w:highlight w:val="none"/>
        </w:rPr>
        <w:t>。</w:t>
      </w:r>
    </w:p>
    <w:p>
      <w:pPr>
        <w:spacing w:line="400" w:lineRule="exact"/>
        <w:ind w:firstLine="420" w:firstLineChars="20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第8条竣工试验</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 xml:space="preserve">8.1承包人提供下列齐全的资料后方可申请竣工验收： </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8.1.1</w:t>
      </w:r>
      <w:r>
        <w:rPr>
          <w:rFonts w:hint="eastAsia" w:ascii="楷体" w:hAnsi="楷体" w:eastAsia="楷体" w:cs="楷体"/>
          <w:color w:val="auto"/>
          <w:szCs w:val="21"/>
          <w:highlight w:val="none"/>
          <w:u w:val="single"/>
        </w:rPr>
        <w:t>承包人完成本合同约定的各项内容</w:t>
      </w:r>
      <w:r>
        <w:rPr>
          <w:rFonts w:hint="eastAsia" w:ascii="楷体" w:hAnsi="楷体" w:eastAsia="楷体" w:cs="楷体"/>
          <w:color w:val="auto"/>
          <w:szCs w:val="21"/>
          <w:highlight w:val="none"/>
        </w:rPr>
        <w:t xml:space="preserve">。 </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8.1.2</w:t>
      </w:r>
      <w:r>
        <w:rPr>
          <w:rFonts w:hint="eastAsia" w:ascii="楷体" w:hAnsi="楷体" w:eastAsia="楷体" w:cs="楷体"/>
          <w:color w:val="auto"/>
          <w:szCs w:val="21"/>
          <w:highlight w:val="none"/>
          <w:u w:val="single"/>
        </w:rPr>
        <w:t>有竣工图及完整的技术档案和施工管理资料</w:t>
      </w:r>
      <w:r>
        <w:rPr>
          <w:rFonts w:hint="eastAsia" w:ascii="楷体" w:hAnsi="楷体" w:eastAsia="楷体" w:cs="楷体"/>
          <w:color w:val="auto"/>
          <w:szCs w:val="21"/>
          <w:highlight w:val="none"/>
        </w:rPr>
        <w:t xml:space="preserve">。 </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8.1.3</w:t>
      </w:r>
      <w:r>
        <w:rPr>
          <w:rFonts w:hint="eastAsia" w:ascii="楷体" w:hAnsi="楷体" w:eastAsia="楷体" w:cs="楷体"/>
          <w:color w:val="auto"/>
          <w:szCs w:val="21"/>
          <w:highlight w:val="none"/>
          <w:u w:val="single"/>
        </w:rPr>
        <w:t>有本工程使用的主要建筑材料、建筑构配件和设备的进场试验报告</w:t>
      </w:r>
      <w:r>
        <w:rPr>
          <w:rFonts w:hint="eastAsia" w:ascii="楷体" w:hAnsi="楷体" w:eastAsia="楷体" w:cs="楷体"/>
          <w:color w:val="auto"/>
          <w:szCs w:val="21"/>
          <w:highlight w:val="none"/>
        </w:rPr>
        <w:t xml:space="preserve">。 </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8.1.4</w:t>
      </w:r>
      <w:r>
        <w:rPr>
          <w:rFonts w:hint="eastAsia" w:ascii="楷体" w:hAnsi="楷体" w:eastAsia="楷体" w:cs="楷体"/>
          <w:color w:val="auto"/>
          <w:szCs w:val="21"/>
          <w:highlight w:val="none"/>
          <w:u w:val="single"/>
        </w:rPr>
        <w:t>有相关单位分别签署的质量合格文件</w:t>
      </w:r>
      <w:r>
        <w:rPr>
          <w:rFonts w:hint="eastAsia" w:ascii="楷体" w:hAnsi="楷体" w:eastAsia="楷体" w:cs="楷体"/>
          <w:color w:val="auto"/>
          <w:szCs w:val="21"/>
          <w:highlight w:val="none"/>
        </w:rPr>
        <w:t xml:space="preserve">。 </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8.1.5</w:t>
      </w:r>
      <w:r>
        <w:rPr>
          <w:rFonts w:hint="eastAsia" w:ascii="楷体" w:hAnsi="楷体" w:eastAsia="楷体" w:cs="楷体"/>
          <w:color w:val="auto"/>
          <w:szCs w:val="21"/>
          <w:highlight w:val="none"/>
          <w:u w:val="single"/>
        </w:rPr>
        <w:t>承包人总包范围内各专业已经通过专项验收</w:t>
      </w:r>
      <w:r>
        <w:rPr>
          <w:rFonts w:hint="eastAsia" w:ascii="楷体" w:hAnsi="楷体" w:eastAsia="楷体" w:cs="楷体"/>
          <w:color w:val="auto"/>
          <w:szCs w:val="21"/>
          <w:highlight w:val="none"/>
        </w:rPr>
        <w:t xml:space="preserve">。 </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8.1.6</w:t>
      </w:r>
      <w:r>
        <w:rPr>
          <w:rFonts w:hint="eastAsia" w:ascii="楷体" w:hAnsi="楷体" w:eastAsia="楷体" w:cs="楷体"/>
          <w:color w:val="auto"/>
          <w:szCs w:val="21"/>
          <w:highlight w:val="none"/>
          <w:u w:val="single"/>
        </w:rPr>
        <w:t>有承包人签署的工程质量保修书</w:t>
      </w:r>
      <w:r>
        <w:rPr>
          <w:rFonts w:hint="eastAsia" w:ascii="楷体" w:hAnsi="楷体" w:eastAsia="楷体" w:cs="楷体"/>
          <w:color w:val="auto"/>
          <w:szCs w:val="21"/>
          <w:highlight w:val="none"/>
        </w:rPr>
        <w:t>。</w:t>
      </w:r>
    </w:p>
    <w:p>
      <w:pPr>
        <w:spacing w:line="400" w:lineRule="exact"/>
        <w:ind w:firstLine="420" w:firstLineChars="20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第9条工程接收</w:t>
      </w:r>
    </w:p>
    <w:p>
      <w:pPr>
        <w:spacing w:line="400" w:lineRule="exact"/>
        <w:ind w:firstLine="420" w:firstLineChars="20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9.1工程接收</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9.1.1按单项工程或（和）按工程接收</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在以下两种情况中选择其一，作为双方对工程接受的约定。</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rPr>
        <w:t>□由承包人负责指导发包人进行单项工程或（和）工程竣工后试验，并承担试运行考核责任的，接收单项工程的先后顺序及时间安排，或接受工程的时间安排如下：</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rPr>
        <w:t>R由发包人负责单项工程或（和）工程竣工后试验及其试运行考核责任的，接收单项工程的先后顺序及时间安排，或接受工程的时间安排如下：</w:t>
      </w:r>
      <w:r>
        <w:rPr>
          <w:rFonts w:hint="eastAsia" w:ascii="楷体" w:hAnsi="楷体" w:eastAsia="楷体" w:cs="楷体"/>
          <w:color w:val="auto"/>
          <w:szCs w:val="21"/>
          <w:highlight w:val="none"/>
          <w:u w:val="single"/>
        </w:rPr>
        <w:t>按相关规定进行单项工程验收，单项工程验收合格后，发包人与承包人按阶段办理工程接收手续，该工程同时开始办理相关结算手续。</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9.1.2 接收工程提交的资料</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提交竣工试验资料的类别、内容、份数和时间：</w:t>
      </w:r>
      <w:r>
        <w:rPr>
          <w:rFonts w:hint="eastAsia" w:ascii="楷体" w:hAnsi="楷体" w:eastAsia="楷体" w:cs="楷体"/>
          <w:color w:val="auto"/>
          <w:szCs w:val="21"/>
          <w:highlight w:val="none"/>
          <w:u w:val="single"/>
        </w:rPr>
        <w:t>/</w:t>
      </w:r>
    </w:p>
    <w:p>
      <w:pPr>
        <w:spacing w:line="400" w:lineRule="exact"/>
        <w:ind w:firstLine="420" w:firstLineChars="20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第10条竣工后试验</w:t>
      </w:r>
    </w:p>
    <w:p>
      <w:pPr>
        <w:spacing w:line="400" w:lineRule="exact"/>
        <w:ind w:firstLine="420" w:firstLineChars="200"/>
        <w:outlineLvl w:val="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10.1 权利和义务：/</w:t>
      </w:r>
    </w:p>
    <w:p>
      <w:pPr>
        <w:spacing w:line="400" w:lineRule="exact"/>
        <w:ind w:firstLine="420" w:firstLineChars="20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10.2竣工后试验程序</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10.2.5竣工后试验日期的通知</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单项工程或（和）工程竣工后试验开始日期的约定：</w:t>
      </w:r>
      <w:r>
        <w:rPr>
          <w:rFonts w:hint="eastAsia" w:ascii="楷体" w:hAnsi="楷体" w:eastAsia="楷体" w:cs="楷体"/>
          <w:color w:val="auto"/>
          <w:szCs w:val="21"/>
          <w:highlight w:val="none"/>
          <w:u w:val="single"/>
        </w:rPr>
        <w:t>/</w:t>
      </w:r>
    </w:p>
    <w:p>
      <w:pPr>
        <w:spacing w:line="400" w:lineRule="exact"/>
        <w:ind w:firstLine="420" w:firstLineChars="200"/>
        <w:outlineLvl w:val="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10.3 竣工后试验及试运行考核</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10.3.3试运行考核</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（3）试运行考核周期：</w:t>
      </w:r>
      <w:r>
        <w:rPr>
          <w:rFonts w:hint="eastAsia" w:ascii="楷体" w:hAnsi="楷体" w:eastAsia="楷体" w:cs="楷体"/>
          <w:color w:val="auto"/>
          <w:szCs w:val="21"/>
          <w:highlight w:val="none"/>
          <w:u w:val="single"/>
        </w:rPr>
        <w:t xml:space="preserve">  / </w:t>
      </w:r>
      <w:r>
        <w:rPr>
          <w:rFonts w:hint="eastAsia" w:ascii="楷体" w:hAnsi="楷体" w:eastAsia="楷体" w:cs="楷体"/>
          <w:color w:val="auto"/>
          <w:szCs w:val="21"/>
          <w:highlight w:val="none"/>
        </w:rPr>
        <w:t>小时（或日、周、月、年）</w:t>
      </w:r>
    </w:p>
    <w:p>
      <w:pPr>
        <w:spacing w:line="400" w:lineRule="exact"/>
        <w:ind w:firstLine="420" w:firstLineChars="20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第11条质量保修责任</w:t>
      </w:r>
    </w:p>
    <w:p>
      <w:pPr>
        <w:spacing w:line="400" w:lineRule="exact"/>
        <w:ind w:firstLine="420" w:firstLineChars="200"/>
        <w:outlineLvl w:val="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11.2 缺陷责任保修金</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11.2.1 缺陷责任保修金金额：</w:t>
      </w:r>
      <w:r>
        <w:rPr>
          <w:rFonts w:hint="eastAsia" w:ascii="楷体" w:hAnsi="楷体" w:eastAsia="楷体" w:cs="楷体"/>
          <w:color w:val="auto"/>
          <w:szCs w:val="21"/>
          <w:highlight w:val="none"/>
          <w:u w:val="single"/>
        </w:rPr>
        <w:t>经审定后工程总价款的3%</w:t>
      </w:r>
      <w:r>
        <w:rPr>
          <w:rFonts w:hint="eastAsia" w:ascii="楷体" w:hAnsi="楷体" w:eastAsia="楷体" w:cs="楷体"/>
          <w:color w:val="auto"/>
          <w:szCs w:val="21"/>
          <w:highlight w:val="none"/>
        </w:rPr>
        <w:t xml:space="preserve"> 。</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11.2.2 缺陷责任保修金金额的暂扣</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rPr>
        <w:t>缺陷责任保修金金额的暂扣方式：</w:t>
      </w:r>
      <w:r>
        <w:rPr>
          <w:rFonts w:hint="eastAsia" w:ascii="楷体" w:hAnsi="楷体" w:eastAsia="楷体" w:cs="楷体"/>
          <w:color w:val="auto"/>
          <w:szCs w:val="21"/>
          <w:highlight w:val="none"/>
          <w:u w:val="single"/>
        </w:rPr>
        <w:t xml:space="preserve">质量保修金，按审定总价款的3%暂扣为缺陷责任保修金；工程质量保修金的支付办法按照本合同工程质量保修书的相关规定执行，在工程缺陷责任期满，并经发包人认可后14日内办理支付。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在保修期内，承包人应负责修复工程质量缺陷，并承担因承包人的责任而发生的相应费用。如承包人不及时维修，发包人可委托第三方进行维修。因承包人的责任而发生的相应费用可直接从保修金内扣除，不足部分由承包人补足（若发包人预留保修金已支付完，承包人仍应负责修复工程质量缺陷及相应费用），承包人维修并承担相应费用后，不免除对工程的损失负赔偿责任。 </w:t>
      </w:r>
    </w:p>
    <w:p>
      <w:pPr>
        <w:spacing w:line="400" w:lineRule="exact"/>
        <w:ind w:firstLine="420" w:firstLineChars="20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第12条工程竣工验收</w:t>
      </w:r>
    </w:p>
    <w:p>
      <w:pPr>
        <w:spacing w:line="400" w:lineRule="exact"/>
        <w:ind w:firstLine="420" w:firstLineChars="20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12.1竣工资料及竣工验收报告</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rPr>
        <w:t>12.1</w:t>
      </w:r>
      <w:r>
        <w:rPr>
          <w:rFonts w:hint="eastAsia" w:ascii="楷体" w:hAnsi="楷体" w:eastAsia="楷体" w:cs="楷体"/>
          <w:color w:val="auto"/>
          <w:szCs w:val="21"/>
          <w:highlight w:val="none"/>
          <w:u w:val="single"/>
        </w:rPr>
        <w:t xml:space="preserve">当本工程达到竣工验收条件，承包人完成自评自查工作，填写工程竣工报验单，同时将完整的竣工资料及竣工验收报告，报送监理单位总监理工程师，申请竣工验收。同时向发包人提供竣工资料肆套(包括竣工图四套)、电子竣工图两套。承包人提交的竣工图必须为蓝图，设计变更和实际的施工变更必须在竣工图上全面、准确地反映。总监理工程师在5天内组织各专业监理工程师对竣工资料及各专业工程的质量情况进行全面检查，检查验收合格，由总监理工程师签署竣工报验单，并向发包人提出质量评估报告。检查验收不合格，督促承包人在限定的时间内整改完毕并重新检查验收。 </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12.2</w:t>
      </w:r>
      <w:r>
        <w:rPr>
          <w:rFonts w:hint="eastAsia" w:ascii="楷体" w:hAnsi="楷体" w:eastAsia="楷体" w:cs="楷体"/>
          <w:color w:val="auto"/>
          <w:szCs w:val="21"/>
          <w:highlight w:val="none"/>
          <w:u w:val="single"/>
        </w:rPr>
        <w:t xml:space="preserve">承包人须按照现行验收管理办法施工，其它在办法中未加以说明的内容须按照国家技术规范；对于办法内施工技术和方法不具备施工条件时或因其它原因无法执行时，承包人须向发包人提供其它施工技术方案，且须经监理单位批准和发包人备案后方可实施。 </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12.3</w:t>
      </w:r>
      <w:r>
        <w:rPr>
          <w:rFonts w:hint="eastAsia" w:ascii="楷体" w:hAnsi="楷体" w:eastAsia="楷体" w:cs="楷体"/>
          <w:color w:val="auto"/>
          <w:szCs w:val="21"/>
          <w:highlight w:val="none"/>
          <w:u w:val="single"/>
        </w:rPr>
        <w:t xml:space="preserve">发包人收到完整的竣工资料和竣工图及监理单位出具的质量评估报告后28 天内组织有关单位验收, 并在验收后14天内给予认可或提出修改意见。验收不合格，承包人按要求修改，并承担由自身原因造成修改的费用。工程竣工验收合格，承包人送交竣工验收报告的日期为实际竣工日期。工程按发包人要求修改后通过竣工验收的，实际竣工日期为承包人修改后提请发包人验收的日期 </w:t>
      </w:r>
      <w:r>
        <w:rPr>
          <w:rFonts w:hint="eastAsia" w:ascii="楷体" w:hAnsi="楷体" w:eastAsia="楷体" w:cs="楷体"/>
          <w:color w:val="auto"/>
          <w:szCs w:val="21"/>
          <w:highlight w:val="none"/>
        </w:rPr>
        <w:t xml:space="preserve">。 </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12.4</w:t>
      </w:r>
      <w:r>
        <w:rPr>
          <w:rFonts w:hint="eastAsia" w:ascii="楷体" w:hAnsi="楷体" w:eastAsia="楷体" w:cs="楷体"/>
          <w:color w:val="auto"/>
          <w:szCs w:val="21"/>
          <w:highlight w:val="none"/>
          <w:u w:val="single"/>
        </w:rPr>
        <w:t xml:space="preserve">发包人组织在竣工验收通过后15日内取得当地建设管理部门为本工程颁发的《建设工程竣工验收备案证明书》，主要工作在承包人。否则按竣工日期迟延支付违约金，并赔偿发包人因此造成的经济损失，因发包人原因造成不能备案的除外 </w:t>
      </w:r>
      <w:r>
        <w:rPr>
          <w:rFonts w:hint="eastAsia" w:ascii="楷体" w:hAnsi="楷体" w:eastAsia="楷体" w:cs="楷体"/>
          <w:color w:val="auto"/>
          <w:szCs w:val="21"/>
          <w:highlight w:val="none"/>
        </w:rPr>
        <w:t xml:space="preserve">。 </w:t>
      </w:r>
    </w:p>
    <w:p>
      <w:pPr>
        <w:spacing w:line="400" w:lineRule="exact"/>
        <w:ind w:firstLine="420" w:firstLineChars="20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第13条变更和合同价格调整</w:t>
      </w:r>
    </w:p>
    <w:p>
      <w:pPr>
        <w:spacing w:line="400" w:lineRule="exact"/>
        <w:ind w:firstLine="420" w:firstLineChars="20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13.2变更范围</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13.2.6其它变更</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双方根据本工程特点，商定的其它变更范围：</w:t>
      </w:r>
      <w:r>
        <w:rPr>
          <w:rFonts w:hint="eastAsia" w:ascii="楷体" w:hAnsi="楷体" w:eastAsia="楷体" w:cs="楷体"/>
          <w:color w:val="auto"/>
          <w:szCs w:val="21"/>
          <w:highlight w:val="none"/>
          <w:u w:val="single"/>
        </w:rPr>
        <w:t>合同示范文本通用条款中基本约定了可能出现的工程变更情形，除此之外其他变更情况发生时，由发包人、审计单位和总监理工程师等一起研究确定后以补充协议方式解决</w:t>
      </w:r>
      <w:r>
        <w:rPr>
          <w:rFonts w:hint="eastAsia" w:ascii="楷体" w:hAnsi="楷体" w:eastAsia="楷体" w:cs="楷体"/>
          <w:color w:val="auto"/>
          <w:szCs w:val="21"/>
          <w:highlight w:val="none"/>
        </w:rPr>
        <w:t>。</w:t>
      </w:r>
    </w:p>
    <w:p>
      <w:pPr>
        <w:spacing w:line="400" w:lineRule="exact"/>
        <w:ind w:firstLine="420" w:firstLineChars="200"/>
        <w:outlineLvl w:val="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13.6 建议变更的利益分享</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建议变更的利益分享的约定：</w:t>
      </w:r>
      <w:r>
        <w:rPr>
          <w:rFonts w:hint="eastAsia" w:ascii="楷体" w:hAnsi="楷体" w:eastAsia="楷体" w:cs="楷体"/>
          <w:color w:val="auto"/>
          <w:szCs w:val="21"/>
          <w:highlight w:val="none"/>
          <w:u w:val="single"/>
        </w:rPr>
        <w:t>/</w:t>
      </w:r>
    </w:p>
    <w:p>
      <w:pPr>
        <w:spacing w:line="400" w:lineRule="exact"/>
        <w:ind w:firstLine="420" w:firstLineChars="20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 xml:space="preserve">13.7 工程结算和合同价格调整 </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13.7.1 合同价格形式：</w:t>
      </w:r>
      <w:r>
        <w:rPr>
          <w:rFonts w:hint="eastAsia" w:ascii="楷体" w:hAnsi="楷体" w:eastAsia="楷体" w:cs="楷体"/>
          <w:color w:val="auto"/>
          <w:szCs w:val="21"/>
          <w:highlight w:val="none"/>
          <w:u w:val="single"/>
        </w:rPr>
        <w:t>“固定总价”合同</w:t>
      </w:r>
      <w:r>
        <w:rPr>
          <w:rFonts w:hint="eastAsia" w:ascii="楷体" w:hAnsi="楷体" w:eastAsia="楷体" w:cs="楷体"/>
          <w:color w:val="auto"/>
          <w:szCs w:val="21"/>
          <w:highlight w:val="none"/>
        </w:rPr>
        <w:t xml:space="preserve">。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rPr>
        <w:t>包含的风险范围：</w:t>
      </w:r>
      <w:r>
        <w:rPr>
          <w:rFonts w:hint="eastAsia" w:ascii="楷体" w:hAnsi="楷体" w:eastAsia="楷体" w:cs="楷体"/>
          <w:color w:val="auto"/>
          <w:szCs w:val="21"/>
          <w:highlight w:val="none"/>
          <w:u w:val="single"/>
        </w:rPr>
        <w:t xml:space="preserve">本项目为“固定总价”合同，中标后人工、材料价格波动及政策性调整的风险均包含在投标报价中，除本合同专用条款明确约定价格可调整外，竣工结算时均不调整 。 </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风险费用的计算方法：</w:t>
      </w:r>
      <w:r>
        <w:rPr>
          <w:rFonts w:hint="eastAsia" w:ascii="楷体" w:hAnsi="楷体" w:eastAsia="楷体" w:cs="楷体"/>
          <w:color w:val="auto"/>
          <w:szCs w:val="21"/>
          <w:highlight w:val="none"/>
          <w:u w:val="single"/>
        </w:rPr>
        <w:t>根据招标文件的相关条款，在投标报价时综合考虑风险费用</w:t>
      </w:r>
      <w:r>
        <w:rPr>
          <w:rFonts w:hint="eastAsia" w:ascii="楷体" w:hAnsi="楷体" w:eastAsia="楷体" w:cs="楷体"/>
          <w:color w:val="auto"/>
          <w:szCs w:val="21"/>
          <w:highlight w:val="none"/>
        </w:rPr>
        <w:t xml:space="preserve">。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rPr>
        <w:t>13.7.2 风险范围以外合同价格的调整方法：</w:t>
      </w:r>
      <w:r>
        <w:rPr>
          <w:rFonts w:hint="eastAsia" w:ascii="楷体" w:hAnsi="楷体" w:eastAsia="楷体" w:cs="楷体"/>
          <w:color w:val="auto"/>
          <w:szCs w:val="21"/>
          <w:highlight w:val="none"/>
          <w:u w:val="single"/>
        </w:rPr>
        <w:t xml:space="preserve">本工程采用“固定总价”合同，合同实施过程中除以下约定外，总价不作调整。最终结算价=合同总价+根据13.7.2约定调整的价格。具体约定内容如下：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1）由于承包人报价内容不齐全或不完善，承包人的设计图已设计的施工内容，但在投标报价中未体现的，中标后该部分报价不增加，承包人不得以投标时未报价要求增加造价也不得以未报价要求减去该部分设计。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2）因承包人设计图纸达不到发包人的设计要求、不满足现行规范要求或设计方案不合理等进行的修改，如修改后投标报价增加的，发包人视为该部分投标报价含在原投标报价中，其投标报价不增加。如设计修改后造价减少的，按实际减少结算。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3）中标后发包人可对承包人的设计方案及施工图提出进一步优化的建议，设计方案优化并形成施工图后，其方案及施工图已经发包人确认并同意按该图纸施工，在施工过程中，对确认的方案再次优化，发生的施工内容变化（已施工后拆除的或对原有方案的设计进行调整的其施工内容发生变化的），其施工费用参照以下标准调整：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①原工程量清单中有单价且单价合理的，按原工程量清单中的单价执行。</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②原工程量清单中无单价的，按原招标文件3.2.6条投标报价第（1）条要求计价，管理费、利润按计价文件规定执行，人工工资按苏建函价[2020]382号文件规定的人工单价执行（装饰工程取中值），材料价格统一按施工期间《盐城工程造价》建材信息价或建材市场参考价的平均价，缺项的材料由发包人按市场价（市场询价）执行。对于施工调整其设计费用不另行增加。结算价格按招标时确定的“中标下浮率”结算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中标下浮率（下同）=1-中标价/招标控制价。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③措施费仍按原投标时的措施费不调整。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4）如设计方案作实质性修改，导致原有设计方案和投标报价无法使用的，其结算价格根据原招标文件、现行计价文件规定【省住房城乡建设厅关于调整建设工程计价增值税税率的通知（苏建函价〔2019〕178号）、苏建函价〔2018〕298号文、江苏省住房和城乡建设厅〔2018〕24号等文件】、《建设工程工程量清单计价规范》（GB50500-2013）、《房屋建筑与装饰工程工程量计算规范》（GB50854-2013）、《通用安装工程工程量计算规范》（GB50856-2013）、《江苏省建筑与装饰工程计价定额》（2014版）、《江苏省安装工程计价定额》（2014版）、《江苏省建设工程费用定额》（2014年）（费用有区间值的均以中值为准）、计税方式按苏建价（2016）154号文（本项目采用增值种税一般计税方法），人工工资单价参照苏建函价〔2020〕382号文（装饰工程取中值），材料价格统一按施工期间《盐城工程造价》建材信息价或建材市场参考价的平均价，缺项的材料由发包人按市场价（市场询价）执行。其结算价下浮中标时确定的下浮率进行结算。对于施工调整其费用全部重新结算的其设计费用按结算费用的3%计算。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设备位置的调整引起的综合布线的调整，其投标报价不调整。</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（5）投标人应根据投标时的设计图纸和报价要求逐一详细进行投标报价，中标后审计时如发现承包人存在以下情况，发包人有权调减工程造价。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① 投标报价中工程量严重错误（误差在10%以上）且实际发生的工程量少于投标工程量的 10%以上时，有权对该工程量超出10%以上的部分按实际数量进行调减。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② 投标时有该项工程量，但设计图纸及施工时均无该工作内容，有权取消该项工程量的报价，对结算价款进行调减。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③投标单价（含综合单价）严重偏离市场价且无法说明原因和理由的，有权对该综合单价按市场价进行调减。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④投标报价按深化方案及施工图进行报价，但发包人对深化设计方案进行了调整导致工程造价调减的，投标报价按规定调减。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⑤承包人在投标时须提供详细的施工图并保证设计的施工图纸其最后效果与设计的效果图一致，如达不到，发包人有权对达不到效果的部分报价进行扣减，该部分造价按原投标价的80%计算。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（6）发包人对施工图提出修改内容，其总体装饰范围及装饰风格未作实质性增加（主要材料未调整，仅对细节或颜色等作调整，如龙骨间距微调、面层石材位置调整等），其投标总价不予增加。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（7）确定承包人后，发包人对部分设计内容要求选用其它投标人的设计方案，费用按经审核的该投标人的报价执行，承包人须无条件服从，承包人不得以任何理由提出无法完成或增加造价。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（8）项目实施过程中，发包人及监理单位对承包人供应的材料进行核验。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9）为防止不平衡报价（投标报价偏离市场价），如设计方案作实质性调整导致工程量调整的，应对调整部分的报价作合理性分析，如有不平衡报价的，在工程结算时调整。如变更造成工程量增加超过10%以上，应对变更增加部分的报价作合理性分析，如有不平衡报价的，在工程结算时调整。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（10）对新增材料及设备，如在限额以上的按规定进行招标，如限额以下的，由发包人、跟踪审单位、监理单位集体组织询价，最终由发包人签字确认。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11）工程结算时，新增项目及调整工程量的，其措施项目费不高于费用定额规定的费率，如费用定额规定浮动区间的，不高于浮动区间的中值，费用定额中未确定费率的项目不计取措施项目费。非夜间施工照明费、冬雨季施工增加费、已完工程及设备保护费、按质论价费不计取。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注：因新冠肺炎疫情防控造成的承包人损失以及施工现场疫情防控的费用支出和人工、材料设备、机械价格的波动等费用增加均由承包人承担，结算时不再增加相关费用。</w:t>
      </w:r>
    </w:p>
    <w:p>
      <w:pPr>
        <w:spacing w:line="400" w:lineRule="exact"/>
        <w:ind w:firstLine="420" w:firstLineChars="20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第14条合同总价和付款</w:t>
      </w:r>
    </w:p>
    <w:p>
      <w:pPr>
        <w:spacing w:line="400" w:lineRule="exact"/>
        <w:ind w:firstLine="420" w:firstLineChars="20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14.1付款计划申请；按通用条款</w:t>
      </w:r>
    </w:p>
    <w:p>
      <w:pPr>
        <w:spacing w:line="400" w:lineRule="exact"/>
        <w:ind w:firstLine="420" w:firstLineChars="20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14.2 担保</w:t>
      </w:r>
    </w:p>
    <w:p>
      <w:pPr>
        <w:spacing w:line="400" w:lineRule="exact"/>
        <w:ind w:firstLine="420" w:firstLineChars="200"/>
        <w:outlineLvl w:val="0"/>
        <w:rPr>
          <w:rFonts w:ascii="楷体" w:hAnsi="楷体" w:eastAsia="楷体" w:cs="楷体"/>
          <w:color w:val="auto"/>
          <w:szCs w:val="21"/>
          <w:highlight w:val="none"/>
        </w:rPr>
      </w:pPr>
      <w:r>
        <w:rPr>
          <w:rFonts w:hint="eastAsia" w:ascii="楷体" w:hAnsi="楷体" w:eastAsia="楷体" w:cs="楷体"/>
          <w:color w:val="auto"/>
          <w:szCs w:val="21"/>
          <w:highlight w:val="none"/>
        </w:rPr>
        <w:t xml:space="preserve">14.2.1 履约保函的约定： </w:t>
      </w:r>
    </w:p>
    <w:p>
      <w:pPr>
        <w:spacing w:line="400" w:lineRule="exact"/>
        <w:ind w:firstLine="420" w:firstLineChars="200"/>
        <w:outlineLvl w:val="0"/>
        <w:rPr>
          <w:rFonts w:ascii="楷体" w:hAnsi="楷体" w:eastAsia="楷体" w:cs="楷体"/>
          <w:color w:val="auto"/>
          <w:szCs w:val="21"/>
          <w:highlight w:val="none"/>
          <w:u w:val="single"/>
        </w:rPr>
      </w:pPr>
      <w:r>
        <w:rPr>
          <w:rFonts w:hint="eastAsia" w:ascii="楷体" w:hAnsi="楷体" w:eastAsia="楷体" w:cs="楷体"/>
          <w:color w:val="auto"/>
          <w:szCs w:val="21"/>
          <w:highlight w:val="none"/>
        </w:rPr>
        <w:t>承包人提交履约保函的格式、金额和时间：</w:t>
      </w:r>
      <w:r>
        <w:rPr>
          <w:rFonts w:hint="eastAsia" w:ascii="楷体" w:hAnsi="楷体" w:eastAsia="楷体" w:cs="楷体"/>
          <w:color w:val="auto"/>
          <w:szCs w:val="21"/>
          <w:highlight w:val="none"/>
          <w:u w:val="single"/>
        </w:rPr>
        <w:t>履约保证金为合同价款（中标金额）的10%，投标人在收到中标通知书后，须在7日内向发包人足额提交履约保证金，否则发包人可以取消其中标资格。</w:t>
      </w:r>
    </w:p>
    <w:p>
      <w:pPr>
        <w:spacing w:line="400" w:lineRule="exact"/>
        <w:ind w:firstLine="420" w:firstLineChars="200"/>
        <w:outlineLvl w:val="0"/>
        <w:rPr>
          <w:rFonts w:ascii="楷体" w:hAnsi="楷体" w:eastAsia="楷体" w:cs="楷体"/>
          <w:color w:val="auto"/>
          <w:szCs w:val="21"/>
          <w:highlight w:val="none"/>
          <w:u w:val="single"/>
        </w:rPr>
      </w:pPr>
      <w:r>
        <w:rPr>
          <w:rFonts w:hint="eastAsia" w:ascii="楷体" w:hAnsi="楷体" w:eastAsia="楷体" w:cs="楷体"/>
          <w:b/>
          <w:bCs/>
          <w:color w:val="auto"/>
          <w:szCs w:val="21"/>
          <w:highlight w:val="none"/>
          <w:u w:val="single"/>
        </w:rPr>
        <w:t>关于履约保证金还需执行以下条款</w:t>
      </w:r>
      <w:r>
        <w:rPr>
          <w:rFonts w:hint="eastAsia" w:ascii="楷体" w:hAnsi="楷体" w:eastAsia="楷体" w:cs="楷体"/>
          <w:color w:val="auto"/>
          <w:szCs w:val="21"/>
          <w:highlight w:val="none"/>
          <w:u w:val="single"/>
        </w:rPr>
        <w:t xml:space="preserve">：中标人采用银行履约保函作为履约保证金的，中标人在规定时间内提供给招标人并配合招标人核实其真实性，银行履约保函的有效期自签订的合同生效之日起至工程验收合格之日止，如中标人不能配合招标人核实银行保函的真实性，则在规定时间内重新以现金方式缴纳保证金。合同须在招标文件规定时间办理和签订。招标人对中标人不能遵守招标文件约定，不能按时办理中标手续和缴纳履约保证金等费用，影响或者推迟签订合同的，招标人有权在中标结果公示后第8日起宣布该中标人废标，有权没收其投标保证金，并按照国家相关法律、法规和规章的规定，建议行政主管部门予以处罚。发包人保证金专用帐户（收款单位：                ；开户银行：                ；账号：                ）。 </w:t>
      </w:r>
    </w:p>
    <w:p>
      <w:pPr>
        <w:spacing w:line="400" w:lineRule="exact"/>
        <w:ind w:firstLine="420" w:firstLineChars="200"/>
        <w:outlineLvl w:val="0"/>
        <w:rPr>
          <w:rFonts w:ascii="楷体" w:hAnsi="楷体" w:eastAsia="楷体" w:cs="楷体"/>
          <w:color w:val="auto"/>
          <w:szCs w:val="21"/>
          <w:highlight w:val="none"/>
        </w:rPr>
      </w:pPr>
      <w:r>
        <w:rPr>
          <w:rFonts w:hint="eastAsia" w:ascii="楷体" w:hAnsi="楷体" w:eastAsia="楷体" w:cs="楷体"/>
          <w:b/>
          <w:bCs/>
          <w:color w:val="auto"/>
          <w:szCs w:val="21"/>
          <w:highlight w:val="none"/>
          <w:u w:val="single"/>
        </w:rPr>
        <w:t>退还时间</w:t>
      </w:r>
      <w:r>
        <w:rPr>
          <w:rFonts w:hint="eastAsia" w:ascii="楷体" w:hAnsi="楷体" w:eastAsia="楷体" w:cs="楷体"/>
          <w:color w:val="auto"/>
          <w:szCs w:val="21"/>
          <w:highlight w:val="none"/>
          <w:u w:val="single"/>
        </w:rPr>
        <w:t>：工程竣工验收合格且无违约、无农民工工资拖欠情形下一次性无息退还（如遇特殊情况，可通过会商形式确定退还方式和比例），无息。</w:t>
      </w:r>
      <w:r>
        <w:rPr>
          <w:rFonts w:hint="eastAsia" w:ascii="楷体" w:hAnsi="楷体" w:eastAsia="楷体" w:cs="楷体"/>
          <w:color w:val="auto"/>
          <w:szCs w:val="21"/>
          <w:highlight w:val="none"/>
        </w:rPr>
        <w:t xml:space="preserve"> </w:t>
      </w:r>
    </w:p>
    <w:p>
      <w:pPr>
        <w:spacing w:line="400" w:lineRule="exact"/>
        <w:ind w:firstLine="420" w:firstLineChars="200"/>
        <w:outlineLvl w:val="0"/>
        <w:rPr>
          <w:rFonts w:ascii="楷体" w:hAnsi="楷体" w:eastAsia="楷体" w:cs="楷体"/>
          <w:color w:val="auto"/>
          <w:szCs w:val="21"/>
          <w:highlight w:val="none"/>
        </w:rPr>
      </w:pPr>
      <w:r>
        <w:rPr>
          <w:rFonts w:hint="eastAsia" w:ascii="楷体" w:hAnsi="楷体" w:eastAsia="楷体" w:cs="楷体"/>
          <w:color w:val="auto"/>
          <w:szCs w:val="21"/>
          <w:highlight w:val="none"/>
        </w:rPr>
        <w:t xml:space="preserve">14.2.2 支付保函的约定： </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 xml:space="preserve">。 </w:t>
      </w:r>
    </w:p>
    <w:p>
      <w:pPr>
        <w:spacing w:line="400" w:lineRule="exact"/>
        <w:ind w:firstLine="420" w:firstLineChars="200"/>
        <w:outlineLvl w:val="0"/>
        <w:rPr>
          <w:rFonts w:ascii="楷体" w:hAnsi="楷体" w:eastAsia="楷体" w:cs="楷体"/>
          <w:color w:val="auto"/>
          <w:szCs w:val="21"/>
          <w:highlight w:val="none"/>
        </w:rPr>
      </w:pPr>
      <w:r>
        <w:rPr>
          <w:rFonts w:hint="eastAsia" w:ascii="楷体" w:hAnsi="楷体" w:eastAsia="楷体" w:cs="楷体"/>
          <w:color w:val="auto"/>
          <w:szCs w:val="21"/>
          <w:highlight w:val="none"/>
        </w:rPr>
        <w:t>14.2.3 预付款保函的约定：</w:t>
      </w:r>
      <w:r>
        <w:rPr>
          <w:rFonts w:hint="eastAsia" w:ascii="楷体" w:hAnsi="楷体" w:eastAsia="楷体" w:cs="楷体"/>
          <w:color w:val="auto"/>
          <w:szCs w:val="21"/>
          <w:highlight w:val="none"/>
          <w:u w:val="single"/>
        </w:rPr>
        <w:t>承包人不提交预付款保函</w:t>
      </w:r>
      <w:r>
        <w:rPr>
          <w:rFonts w:hint="eastAsia" w:ascii="楷体" w:hAnsi="楷体" w:eastAsia="楷体" w:cs="楷体"/>
          <w:color w:val="auto"/>
          <w:szCs w:val="21"/>
          <w:highlight w:val="none"/>
        </w:rPr>
        <w:t xml:space="preserve"> 。  </w:t>
      </w:r>
    </w:p>
    <w:p>
      <w:pPr>
        <w:spacing w:line="400" w:lineRule="exact"/>
        <w:ind w:firstLine="420" w:firstLineChars="200"/>
        <w:outlineLvl w:val="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14.3 预付款</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14.3.1 预付款金额</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预付款的金额为：</w:t>
      </w:r>
      <w:r>
        <w:rPr>
          <w:rFonts w:hint="eastAsia" w:ascii="楷体" w:hAnsi="楷体" w:eastAsia="楷体" w:cs="楷体"/>
          <w:color w:val="auto"/>
          <w:szCs w:val="21"/>
          <w:highlight w:val="none"/>
          <w:u w:val="single"/>
        </w:rPr>
        <w:t xml:space="preserve"> 详见 14.4工程进度款  </w:t>
      </w:r>
      <w:r>
        <w:rPr>
          <w:rFonts w:hint="eastAsia" w:ascii="楷体" w:hAnsi="楷体" w:eastAsia="楷体" w:cs="楷体"/>
          <w:color w:val="auto"/>
          <w:szCs w:val="21"/>
          <w:highlight w:val="none"/>
        </w:rPr>
        <w:t>。</w:t>
      </w:r>
    </w:p>
    <w:p>
      <w:pPr>
        <w:spacing w:line="400" w:lineRule="exact"/>
        <w:ind w:firstLine="420" w:firstLineChars="200"/>
        <w:outlineLvl w:val="0"/>
        <w:rPr>
          <w:rFonts w:ascii="楷体" w:hAnsi="楷体" w:eastAsia="楷体" w:cs="楷体"/>
          <w:color w:val="auto"/>
          <w:szCs w:val="21"/>
          <w:highlight w:val="none"/>
        </w:rPr>
      </w:pPr>
      <w:r>
        <w:rPr>
          <w:rFonts w:hint="eastAsia" w:ascii="楷体" w:hAnsi="楷体" w:eastAsia="楷体" w:cs="楷体"/>
          <w:color w:val="auto"/>
          <w:szCs w:val="21"/>
          <w:highlight w:val="none"/>
        </w:rPr>
        <w:t>14.3.3 预付款抵扣</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（1）预付款的抵扣方式、抵扣比例和抵扣时间安排：</w:t>
      </w:r>
      <w:r>
        <w:rPr>
          <w:rFonts w:hint="eastAsia" w:ascii="楷体" w:hAnsi="楷体" w:eastAsia="楷体" w:cs="楷体"/>
          <w:color w:val="auto"/>
          <w:szCs w:val="21"/>
          <w:highlight w:val="none"/>
          <w:u w:val="single"/>
        </w:rPr>
        <w:t xml:space="preserve">  /  </w:t>
      </w:r>
      <w:r>
        <w:rPr>
          <w:rFonts w:hint="eastAsia" w:ascii="楷体" w:hAnsi="楷体" w:eastAsia="楷体" w:cs="楷体"/>
          <w:color w:val="auto"/>
          <w:szCs w:val="21"/>
          <w:highlight w:val="none"/>
        </w:rPr>
        <w:t xml:space="preserve"> 。</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（2）预付款的扣回：</w:t>
      </w:r>
      <w:r>
        <w:rPr>
          <w:rFonts w:hint="eastAsia" w:ascii="楷体" w:hAnsi="楷体" w:eastAsia="楷体" w:cs="楷体"/>
          <w:color w:val="auto"/>
          <w:szCs w:val="21"/>
          <w:highlight w:val="none"/>
          <w:u w:val="single"/>
        </w:rPr>
        <w:t xml:space="preserve">  /   </w:t>
      </w:r>
      <w:r>
        <w:rPr>
          <w:rFonts w:hint="eastAsia" w:ascii="楷体" w:hAnsi="楷体" w:eastAsia="楷体" w:cs="楷体"/>
          <w:color w:val="auto"/>
          <w:szCs w:val="21"/>
          <w:highlight w:val="none"/>
        </w:rPr>
        <w:t xml:space="preserve">。 </w:t>
      </w:r>
    </w:p>
    <w:p>
      <w:pPr>
        <w:spacing w:line="400" w:lineRule="exact"/>
        <w:ind w:firstLine="420" w:firstLineChars="20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14.4  工程进度款</w:t>
      </w:r>
    </w:p>
    <w:p>
      <w:pPr>
        <w:spacing w:line="400" w:lineRule="exact"/>
        <w:ind w:firstLine="420" w:firstLineChars="200"/>
        <w:outlineLvl w:val="0"/>
        <w:rPr>
          <w:rFonts w:ascii="楷体" w:hAnsi="楷体" w:eastAsia="楷体" w:cs="楷体"/>
          <w:color w:val="auto"/>
          <w:szCs w:val="21"/>
          <w:highlight w:val="none"/>
        </w:rPr>
      </w:pPr>
      <w:r>
        <w:rPr>
          <w:rFonts w:hint="eastAsia" w:ascii="楷体" w:hAnsi="楷体" w:eastAsia="楷体" w:cs="楷体"/>
          <w:color w:val="auto"/>
          <w:szCs w:val="21"/>
          <w:highlight w:val="none"/>
        </w:rPr>
        <w:t>工程付款时，承包人实施工期要求须符合招标文件约定并按相关规定按时发放农民工工资，具体付款幅度如下：</w:t>
      </w:r>
    </w:p>
    <w:p>
      <w:pPr>
        <w:spacing w:line="400" w:lineRule="exact"/>
        <w:ind w:firstLine="420" w:firstLineChars="200"/>
        <w:outlineLvl w:val="0"/>
        <w:rPr>
          <w:rFonts w:ascii="楷体" w:hAnsi="楷体" w:eastAsia="楷体" w:cs="楷体"/>
          <w:color w:val="auto"/>
          <w:szCs w:val="21"/>
          <w:highlight w:val="none"/>
          <w:u w:val="single"/>
        </w:rPr>
      </w:pPr>
      <w:bookmarkStart w:id="10" w:name="_Hlk54447964"/>
      <w:r>
        <w:rPr>
          <w:rFonts w:hint="eastAsia" w:ascii="楷体" w:hAnsi="楷体" w:eastAsia="楷体" w:cs="楷体"/>
          <w:color w:val="auto"/>
          <w:szCs w:val="21"/>
          <w:highlight w:val="none"/>
          <w:u w:val="single"/>
        </w:rPr>
        <w:t>（1）工程完成合同工作量的50%以上，经发包人审核后，可付至已完成工程量的70%；工程全部完成并经发包人验收合格后，付至全部已完成工程量的70%，同时无息退还履约保证金（考核扣款除外）；</w:t>
      </w:r>
    </w:p>
    <w:bookmarkEnd w:id="10"/>
    <w:p>
      <w:pPr>
        <w:spacing w:line="400" w:lineRule="exact"/>
        <w:ind w:firstLine="420" w:firstLineChars="200"/>
        <w:outlineLvl w:val="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（2）按相关审计要求审计结束后，付至审定价款的97%；</w:t>
      </w:r>
    </w:p>
    <w:p>
      <w:pPr>
        <w:spacing w:line="400" w:lineRule="exact"/>
        <w:ind w:firstLine="420" w:firstLineChars="200"/>
        <w:outlineLvl w:val="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（3）余款作为质保金，质保期（两年）满后结清余款。</w:t>
      </w:r>
    </w:p>
    <w:p>
      <w:pPr>
        <w:spacing w:line="400" w:lineRule="exact"/>
        <w:ind w:firstLine="420" w:firstLineChars="200"/>
        <w:outlineLvl w:val="0"/>
        <w:rPr>
          <w:rFonts w:ascii="楷体" w:hAnsi="楷体" w:eastAsia="楷体" w:cs="楷体"/>
          <w:color w:val="auto"/>
          <w:szCs w:val="21"/>
          <w:highlight w:val="none"/>
        </w:rPr>
      </w:pPr>
      <w:r>
        <w:rPr>
          <w:rFonts w:hint="eastAsia" w:ascii="楷体" w:hAnsi="楷体" w:eastAsia="楷体" w:cs="楷体"/>
          <w:color w:val="auto"/>
          <w:szCs w:val="21"/>
          <w:highlight w:val="none"/>
          <w:u w:val="single"/>
        </w:rPr>
        <w:t>（4）本工程价款一律通过银行非现金结算，承包人提供提供增值税专用发票。按以上付款进度，无任何利息补偿。</w:t>
      </w:r>
    </w:p>
    <w:p>
      <w:pPr>
        <w:spacing w:line="400" w:lineRule="exact"/>
        <w:ind w:firstLine="420" w:firstLineChars="200"/>
        <w:outlineLvl w:val="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14.5缺陷责任保修金的暂扣与支付</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14.5.2缺陷责任保修金的支付</w:t>
      </w:r>
    </w:p>
    <w:p>
      <w:pPr>
        <w:numPr>
          <w:ilvl w:val="0"/>
          <w:numId w:val="1"/>
        </w:num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缺陷责任保修金保函的格式、金额和时间：</w:t>
      </w:r>
      <w:r>
        <w:rPr>
          <w:rFonts w:hint="eastAsia" w:ascii="楷体" w:hAnsi="楷体" w:eastAsia="楷体" w:cs="楷体"/>
          <w:color w:val="auto"/>
          <w:szCs w:val="21"/>
          <w:highlight w:val="none"/>
          <w:u w:val="single"/>
        </w:rPr>
        <w:t>/</w:t>
      </w:r>
    </w:p>
    <w:p>
      <w:pPr>
        <w:spacing w:line="400" w:lineRule="exact"/>
        <w:ind w:firstLine="420" w:firstLineChars="20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14.6按月工程进度申请付款</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rPr>
        <w:t>按月付款申请报告的格式、内容、份数和提交时间：</w:t>
      </w:r>
      <w:r>
        <w:rPr>
          <w:rFonts w:hint="eastAsia" w:ascii="楷体" w:hAnsi="楷体" w:eastAsia="楷体" w:cs="楷体"/>
          <w:color w:val="auto"/>
          <w:szCs w:val="21"/>
          <w:highlight w:val="none"/>
          <w:u w:val="single"/>
        </w:rPr>
        <w:t>按通用条款</w:t>
      </w:r>
    </w:p>
    <w:p>
      <w:pPr>
        <w:spacing w:line="400" w:lineRule="exact"/>
        <w:ind w:firstLine="420" w:firstLineChars="200"/>
        <w:outlineLvl w:val="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14.7按付款计划表申请付款</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rPr>
        <w:t>付款期数、每期付款金额、每期需达到的主要计划形象进度和主要计划工程量进度：</w:t>
      </w:r>
      <w:r>
        <w:rPr>
          <w:rFonts w:hint="eastAsia" w:ascii="楷体" w:hAnsi="楷体" w:eastAsia="楷体" w:cs="楷体"/>
          <w:color w:val="auto"/>
          <w:szCs w:val="21"/>
          <w:highlight w:val="none"/>
          <w:u w:val="single"/>
        </w:rPr>
        <w:t>执行通用条款</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rPr>
        <w:t>付款申请报告的格式、内容、份数和提交时间：</w:t>
      </w:r>
      <w:r>
        <w:rPr>
          <w:rFonts w:hint="eastAsia" w:ascii="楷体" w:hAnsi="楷体" w:eastAsia="楷体" w:cs="楷体"/>
          <w:color w:val="auto"/>
          <w:szCs w:val="21"/>
          <w:highlight w:val="none"/>
          <w:u w:val="single"/>
        </w:rPr>
        <w:t xml:space="preserve">同14.6条款约定   </w:t>
      </w:r>
    </w:p>
    <w:p>
      <w:pPr>
        <w:spacing w:line="400" w:lineRule="exact"/>
        <w:ind w:firstLine="420" w:firstLineChars="200"/>
        <w:outlineLvl w:val="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14.12  竣工结算</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 xml:space="preserve">14.12.1 </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提交竣工结算资料竣工结算资料的格式、内容和份数：</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（1）承包人在工程竣工验收合格并取得《建设工程竣工验收备案证明书》后30天内，向发包人递交竣工结算书及完整有效的结算资料。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2）完整有效的结算资料包括：结算竣工图（发包人、监理需在15天内审核完成）、设计变更通知单、现场签证（需经发包人确认、并且符合本合同对签证的流程及时间要求）、会议纪要、施工组织设计、工程业务联系单、材料定价单、工程结算书、工程量计算稿（书面稿和电子版（计价软件采用金石计价软件）及Excel格式的电子版）等。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①工程签证必须有配套的经发包人盖章的工程联系单及其他相关资料。如不能完整提供视为承包人放弃此项权利，不予结算。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②有效的结算资料可以为复印件，须有原件复查，否则不予结算。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③发包人收到承包人送交的完整有效的结算资料后90天内进行资料核对、造价计算并安排核对工程量和工程造价（如由审计部门直接审核的项目，执行审计部门的安排,如需复审项目，双方要及时配合。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④竣工资料必须正确反应现场情况，并按有关规定正确绘制。若发现竣工图失实或弄虚作假，每发现一处承包人向发包人支付违约金5000元。发现三处以上，除支付违约金外，承包人须重新绘制竣工图。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⑤承包人如未在规定时间内提供完整的工程竣工结算资料，经发包人催促后14天内仍未提供的，承包人向发包人支付100000元的违约金，且发包人有权聘请审计单位自行审查，出具的结算书有效，承包人不得有异议。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⑥竣工结算审核期间，承包人有义务及时配合发包人或发包人聘请的审计单位的审查工作，提供发包人或审计单位需要的资料和进行相关的解释说明，在发包人或发包人聘请的审计单位催促后10天内，承包人仍无正当理由不配合及不签字认可结算结果的，发包人或发包人聘请的审计单位有权自行审查，出具的结算书有效，承包人不得有异议。 </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 xml:space="preserve">14.12.2 承包人提交结算的其它要求：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1）承包人完成合同约定及发包人要求的全部工作量后，向发包人提交竣工验收申请报告，发包人及时组织工程竣工验收。如因工程质量问题导致的验收延误，责任由承包人承担，如因发包人原因导致的验收延误，责任由发包人承担，工期顺延。工程验收必须在质量合格的基础上进行，承包人须自检合格。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（2）工程项目结算审计要求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本工程实施结算审计期间，承包人必须确保所提供的工程招投标文件、施工合同、协议、工程联系单（工程量核定单）、施工图、竣工图、工程结算造价、工程监理资料等其他审计资料是完整的、真实的。承包人授权 （预算员或造价师），联系方式 全权代表承包人处理本工程有关结算事宜，中途承诺不另换他人。如遇特殊情况，承包人应以书面的形式征得发包人的同意。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承包人在计算竣工结算资料报送前，需进行认真审查，承包人所编报的工程结算误差率控制在5%以内。承包人所编报的工程结算，经审计单位审核后，其误差率达 5%以上者，承包人承担 5%以上按工程核减额部分的5%的审核费；一审不超 5%，但复审或抽审与一审累计超过5%的，承包人承担复审或抽审核减额部分的 20%的审核费用；审核费用在工程结算时予以扣款。由于承包人上报结算漏算、少算而造成工程造价核增，则核增部分的审核费用由承包人承担。承包人报送的结算中，有关经济签证已齐全，手续也已完善，若在审核工程中，发现签证不全或手续不完善的，承包人承诺不再补办，也不要求计取。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承包人报送的结算资料是复印件的，报审时携带原件核对。审核过程中，承包人保证密切配合，以确保及时、准确地完成工程结算审核工作。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本招标文件中所有涉及发包人对承包人的经济处罚，承包人必须在发包人处罚决定后3日内以现金形式交由发包人，如不能按期提供现金罚款的，发包人将从承包人履约保证金中以现金两倍的数额予以扣除。 </w:t>
      </w:r>
    </w:p>
    <w:p>
      <w:pPr>
        <w:spacing w:line="400" w:lineRule="exact"/>
        <w:ind w:firstLine="420" w:firstLine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该工程不允许挂靠、转包或分包现象。若发现，发包人有权取消承包资格；如在工程施工过程中发现此现象，发包人有权责令投标人无条件退场；或在工程结束后发现此现象，发包人只支付工程审计款的70%。 </w:t>
      </w:r>
    </w:p>
    <w:p>
      <w:pPr>
        <w:spacing w:line="400" w:lineRule="exact"/>
        <w:ind w:firstLine="420" w:firstLineChars="20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第15条保险</w:t>
      </w:r>
    </w:p>
    <w:p>
      <w:pPr>
        <w:spacing w:line="400" w:lineRule="exact"/>
        <w:ind w:firstLine="420" w:firstLineChars="200"/>
        <w:outlineLvl w:val="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15.1 承包人的投保</w:t>
      </w:r>
    </w:p>
    <w:p>
      <w:pPr>
        <w:spacing w:line="400" w:lineRule="exact"/>
        <w:ind w:firstLine="420" w:firstLineChars="200"/>
        <w:outlineLvl w:val="0"/>
        <w:rPr>
          <w:rFonts w:ascii="楷体" w:hAnsi="楷体" w:eastAsia="楷体" w:cs="楷体"/>
          <w:color w:val="auto"/>
          <w:szCs w:val="21"/>
          <w:highlight w:val="none"/>
        </w:rPr>
      </w:pPr>
      <w:r>
        <w:rPr>
          <w:rFonts w:hint="eastAsia" w:ascii="楷体" w:hAnsi="楷体" w:eastAsia="楷体" w:cs="楷体"/>
          <w:color w:val="auto"/>
          <w:szCs w:val="21"/>
          <w:highlight w:val="none"/>
        </w:rPr>
        <w:t>15.1.1合同双方商定，由承包人负责投保的保险种类、保险范围、投保金额、保险期限和持续有效的时间：</w:t>
      </w:r>
      <w:r>
        <w:rPr>
          <w:rFonts w:hint="eastAsia" w:ascii="楷体" w:hAnsi="楷体" w:eastAsia="楷体" w:cs="楷体"/>
          <w:color w:val="auto"/>
          <w:szCs w:val="21"/>
          <w:highlight w:val="none"/>
          <w:u w:val="single"/>
        </w:rPr>
        <w:t>均由承包人按规定和通用条款要求办理</w:t>
      </w:r>
      <w:r>
        <w:rPr>
          <w:rFonts w:hint="eastAsia" w:ascii="楷体" w:hAnsi="楷体" w:eastAsia="楷体" w:cs="楷体"/>
          <w:color w:val="auto"/>
          <w:szCs w:val="21"/>
          <w:highlight w:val="none"/>
        </w:rPr>
        <w:t>。</w:t>
      </w:r>
    </w:p>
    <w:p>
      <w:pPr>
        <w:spacing w:line="400" w:lineRule="exact"/>
        <w:ind w:firstLine="420" w:firstLineChars="200"/>
        <w:outlineLvl w:val="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15.2 一切险和第三方责任</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土建工程一切险的投保方及对投保的相关要求：</w:t>
      </w:r>
      <w:r>
        <w:rPr>
          <w:rFonts w:hint="eastAsia" w:ascii="楷体" w:hAnsi="楷体" w:eastAsia="楷体" w:cs="楷体"/>
          <w:color w:val="auto"/>
          <w:szCs w:val="21"/>
          <w:highlight w:val="none"/>
          <w:u w:val="single"/>
        </w:rPr>
        <w:t>均由承包人按规定和通用条款要求办理</w:t>
      </w:r>
      <w:r>
        <w:rPr>
          <w:rFonts w:hint="eastAsia" w:ascii="楷体" w:hAnsi="楷体" w:eastAsia="楷体" w:cs="楷体"/>
          <w:color w:val="auto"/>
          <w:szCs w:val="21"/>
          <w:highlight w:val="none"/>
        </w:rPr>
        <w:t>；</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安装工程及竣工试验一切险的投保方及对投保的相关要求：</w:t>
      </w:r>
      <w:r>
        <w:rPr>
          <w:rFonts w:hint="eastAsia" w:ascii="楷体" w:hAnsi="楷体" w:eastAsia="楷体" w:cs="楷体"/>
          <w:color w:val="auto"/>
          <w:szCs w:val="21"/>
          <w:highlight w:val="none"/>
          <w:u w:val="single"/>
        </w:rPr>
        <w:t>均由承包人按规定和通用条款要求办理</w:t>
      </w:r>
      <w:r>
        <w:rPr>
          <w:rFonts w:hint="eastAsia" w:ascii="楷体" w:hAnsi="楷体" w:eastAsia="楷体" w:cs="楷体"/>
          <w:color w:val="auto"/>
          <w:szCs w:val="21"/>
          <w:highlight w:val="none"/>
        </w:rPr>
        <w:t>；</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第三者责任险的应投保方及对投保的相关要求：</w:t>
      </w:r>
      <w:r>
        <w:rPr>
          <w:rFonts w:hint="eastAsia" w:ascii="楷体" w:hAnsi="楷体" w:eastAsia="楷体" w:cs="楷体"/>
          <w:color w:val="auto"/>
          <w:szCs w:val="21"/>
          <w:highlight w:val="none"/>
          <w:u w:val="single"/>
        </w:rPr>
        <w:t>均由承包人按规定和通用条款要求办理</w:t>
      </w:r>
      <w:r>
        <w:rPr>
          <w:rFonts w:hint="eastAsia" w:ascii="楷体" w:hAnsi="楷体" w:eastAsia="楷体" w:cs="楷体"/>
          <w:color w:val="auto"/>
          <w:szCs w:val="21"/>
          <w:highlight w:val="none"/>
        </w:rPr>
        <w:t>。</w:t>
      </w:r>
    </w:p>
    <w:p>
      <w:pPr>
        <w:spacing w:line="400" w:lineRule="exact"/>
        <w:ind w:firstLine="420" w:firstLineChars="20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第16条违约、索赔和裁决</w:t>
      </w:r>
    </w:p>
    <w:p>
      <w:pPr>
        <w:spacing w:line="400" w:lineRule="exact"/>
        <w:ind w:firstLine="420" w:firstLineChars="200"/>
        <w:outlineLvl w:val="0"/>
        <w:rPr>
          <w:rFonts w:ascii="楷体" w:hAnsi="楷体" w:eastAsia="楷体" w:cs="楷体"/>
          <w:color w:val="auto"/>
          <w:szCs w:val="21"/>
          <w:highlight w:val="none"/>
        </w:rPr>
      </w:pPr>
      <w:r>
        <w:rPr>
          <w:rFonts w:hint="eastAsia" w:ascii="楷体" w:hAnsi="楷体" w:eastAsia="楷体" w:cs="楷体"/>
          <w:color w:val="auto"/>
          <w:szCs w:val="21"/>
          <w:highlight w:val="none"/>
        </w:rPr>
        <w:t xml:space="preserve">16.1 承包人违约责任的承担方式和计算方法：/ </w:t>
      </w:r>
    </w:p>
    <w:p>
      <w:pPr>
        <w:spacing w:line="400" w:lineRule="exact"/>
        <w:ind w:firstLine="420" w:firstLineChars="200"/>
        <w:outlineLvl w:val="0"/>
        <w:rPr>
          <w:rFonts w:ascii="楷体" w:hAnsi="楷体" w:eastAsia="楷体" w:cs="楷体"/>
          <w:color w:val="auto"/>
          <w:szCs w:val="21"/>
          <w:highlight w:val="none"/>
        </w:rPr>
      </w:pPr>
      <w:r>
        <w:rPr>
          <w:rFonts w:hint="eastAsia" w:ascii="楷体" w:hAnsi="楷体" w:eastAsia="楷体" w:cs="楷体"/>
          <w:color w:val="auto"/>
          <w:szCs w:val="21"/>
          <w:highlight w:val="none"/>
        </w:rPr>
        <w:t xml:space="preserve">16.2 承包人的违约责任的特别约定： </w:t>
      </w:r>
    </w:p>
    <w:p>
      <w:pPr>
        <w:spacing w:line="400" w:lineRule="exact"/>
        <w:ind w:firstLine="420" w:firstLineChars="200"/>
        <w:outlineLvl w:val="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16.2.1 承包人在选择材料、设备时，应在满足本项目设计标准、质量和使用要求的前提下，选用同档次的优质优价的产品，如选用的产品不符合要求，视为违约。 </w:t>
      </w:r>
    </w:p>
    <w:p>
      <w:pPr>
        <w:spacing w:line="400" w:lineRule="exact"/>
        <w:ind w:firstLine="420" w:firstLineChars="200"/>
        <w:outlineLvl w:val="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16.2.2 承包人已对现场进行了充分勘察，并将临时施工通道考虑在投标报价中，费用包干，承包方提出与此有关费用的索赔发包人不予支付。 </w:t>
      </w:r>
    </w:p>
    <w:p>
      <w:pPr>
        <w:spacing w:line="400" w:lineRule="exact"/>
        <w:ind w:firstLine="420" w:firstLineChars="200"/>
        <w:outlineLvl w:val="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16.2.3 承包人自行承担工程施工过程中的工程质量、任何状况下的安全责任。非发包人原因，发生的一切问题和责任与发包人无关，相关一切费用或民事、刑事责任均由承包人自理。若承包人不能及时处理所发生的问题和责任，并且影响到工程进度时，发包人有权处理相关事务，所发生的费用在支付工程款时扣除。</w:t>
      </w:r>
    </w:p>
    <w:p>
      <w:pPr>
        <w:spacing w:line="400" w:lineRule="exact"/>
        <w:ind w:firstLine="420" w:firstLineChars="200"/>
        <w:outlineLvl w:val="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16.3 争议和裁决</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16.3.1争议的解决程序</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在争议提交调解之日起30日内，双方仍存有争议时，或合同任何一方不同意调解的，在以下方式中选择其一，作为双方解决争议事项的约定。</w:t>
      </w:r>
    </w:p>
    <w:p>
      <w:pPr>
        <w:spacing w:line="400" w:lineRule="exact"/>
        <w:ind w:left="420" w:leftChars="200"/>
        <w:rPr>
          <w:rFonts w:ascii="楷体" w:hAnsi="楷体" w:eastAsia="楷体" w:cs="楷体"/>
          <w:color w:val="auto"/>
          <w:szCs w:val="21"/>
          <w:highlight w:val="none"/>
        </w:rPr>
      </w:pPr>
      <w:r>
        <w:rPr>
          <w:rFonts w:hint="eastAsia" w:ascii="楷体" w:hAnsi="楷体" w:eastAsia="楷体" w:cs="楷体"/>
          <w:color w:val="auto"/>
          <w:szCs w:val="21"/>
          <w:highlight w:val="none"/>
        </w:rPr>
        <w:t>√向工程所在地人民法院提起诉讼。</w:t>
      </w:r>
    </w:p>
    <w:p>
      <w:pPr>
        <w:spacing w:line="400" w:lineRule="exact"/>
        <w:ind w:left="420" w:leftChars="20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第18条合同解除</w:t>
      </w:r>
    </w:p>
    <w:p>
      <w:pPr>
        <w:spacing w:line="400" w:lineRule="exact"/>
        <w:ind w:left="420" w:leftChars="200"/>
        <w:rPr>
          <w:rFonts w:ascii="楷体" w:hAnsi="楷体" w:eastAsia="楷体" w:cs="楷体"/>
          <w:color w:val="auto"/>
          <w:szCs w:val="21"/>
          <w:highlight w:val="none"/>
        </w:rPr>
      </w:pPr>
      <w:r>
        <w:rPr>
          <w:rFonts w:hint="eastAsia" w:ascii="楷体" w:hAnsi="楷体" w:eastAsia="楷体" w:cs="楷体"/>
          <w:color w:val="auto"/>
          <w:szCs w:val="21"/>
          <w:highlight w:val="none"/>
        </w:rPr>
        <w:t xml:space="preserve">除执行通用条款约定外，由发包人解除合同情况下还约定： </w:t>
      </w:r>
    </w:p>
    <w:p>
      <w:pPr>
        <w:spacing w:line="400" w:lineRule="exact"/>
        <w:ind w:left="420" w:left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18.1 发包人解除合同后,仍然享有向承包人索赔的权利。 </w:t>
      </w:r>
    </w:p>
    <w:p>
      <w:pPr>
        <w:spacing w:line="400" w:lineRule="exact"/>
        <w:ind w:left="420" w:left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18.2 发包人不承担继续使用承包人在施工现场的材料、设备、临时工程、承包人文件和由承包人或以其名义编制的其他文件的费用。 </w:t>
      </w:r>
    </w:p>
    <w:p>
      <w:pPr>
        <w:spacing w:line="400" w:lineRule="exact"/>
        <w:ind w:left="420" w:leftChars="200"/>
        <w:rPr>
          <w:rFonts w:ascii="楷体" w:hAnsi="楷体" w:eastAsia="楷体" w:cs="楷体"/>
          <w:color w:val="auto"/>
          <w:szCs w:val="21"/>
          <w:highlight w:val="none"/>
          <w:u w:val="single"/>
        </w:rPr>
      </w:pPr>
      <w:r>
        <w:rPr>
          <w:rFonts w:hint="eastAsia" w:ascii="楷体" w:hAnsi="楷体" w:eastAsia="楷体" w:cs="楷体"/>
          <w:color w:val="auto"/>
          <w:szCs w:val="21"/>
          <w:highlight w:val="none"/>
          <w:u w:val="single"/>
        </w:rPr>
        <w:t xml:space="preserve">18.3 发包人终止的权利。发包人应有权因政府政策、计划的变更、或者其他需要，通过向承包人发出终止通知，解除合同；此项终止应在承包人收到该通知时生效。合同终止后发包人退回履约担保。发包人不应为了自己实施或安排其他承包人实施工程，根据本款解除合同。 </w:t>
      </w:r>
    </w:p>
    <w:p>
      <w:pPr>
        <w:spacing w:line="400" w:lineRule="exact"/>
        <w:ind w:firstLine="420" w:firstLineChars="20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第19条合同生效与合同终止</w:t>
      </w:r>
    </w:p>
    <w:p>
      <w:pPr>
        <w:spacing w:line="400" w:lineRule="exact"/>
        <w:ind w:firstLine="420" w:firstLineChars="20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19.2 合同份数</w:t>
      </w:r>
    </w:p>
    <w:p>
      <w:pPr>
        <w:spacing w:line="400" w:lineRule="exact"/>
        <w:ind w:firstLine="420" w:firstLineChars="200"/>
        <w:rPr>
          <w:rFonts w:ascii="楷体" w:hAnsi="楷体" w:eastAsia="楷体" w:cs="楷体"/>
          <w:b/>
          <w:bCs/>
          <w:color w:val="auto"/>
          <w:szCs w:val="21"/>
          <w:highlight w:val="none"/>
          <w:u w:val="single"/>
        </w:rPr>
      </w:pPr>
      <w:r>
        <w:rPr>
          <w:rFonts w:hint="eastAsia" w:ascii="楷体" w:hAnsi="楷体" w:eastAsia="楷体" w:cs="楷体"/>
          <w:color w:val="auto"/>
          <w:szCs w:val="21"/>
          <w:highlight w:val="none"/>
          <w:u w:val="single"/>
        </w:rPr>
        <w:t>本合同一式拾壹份，合同双方各持伍份，招投标监管部门壹份。</w:t>
      </w:r>
      <w:r>
        <w:rPr>
          <w:rFonts w:hint="eastAsia" w:ascii="楷体" w:hAnsi="楷体" w:eastAsia="楷体" w:cs="楷体"/>
          <w:b/>
          <w:bCs/>
          <w:color w:val="auto"/>
          <w:szCs w:val="21"/>
          <w:highlight w:val="none"/>
          <w:u w:val="single"/>
        </w:rPr>
        <w:t xml:space="preserve"> </w:t>
      </w:r>
    </w:p>
    <w:p>
      <w:pPr>
        <w:spacing w:line="400" w:lineRule="exact"/>
        <w:ind w:firstLine="420" w:firstLineChars="20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第20条补充条款</w:t>
      </w:r>
    </w:p>
    <w:p>
      <w:pPr>
        <w:spacing w:line="400" w:lineRule="exact"/>
        <w:jc w:val="left"/>
        <w:rPr>
          <w:rFonts w:ascii="楷体" w:hAnsi="楷体" w:eastAsia="楷体" w:cs="楷体"/>
          <w:color w:val="auto"/>
          <w:kern w:val="44"/>
          <w:szCs w:val="21"/>
          <w:highlight w:val="none"/>
          <w:u w:val="single"/>
        </w:rPr>
      </w:pPr>
      <w:r>
        <w:rPr>
          <w:rFonts w:hint="eastAsia" w:ascii="楷体" w:hAnsi="楷体" w:eastAsia="楷体" w:cs="楷体"/>
          <w:color w:val="auto"/>
          <w:kern w:val="44"/>
          <w:szCs w:val="21"/>
          <w:highlight w:val="none"/>
        </w:rPr>
        <w:t xml:space="preserve">  </w:t>
      </w:r>
      <w:r>
        <w:rPr>
          <w:rFonts w:hint="eastAsia" w:ascii="楷体" w:hAnsi="楷体" w:eastAsia="楷体" w:cs="楷体"/>
          <w:color w:val="auto"/>
          <w:kern w:val="44"/>
          <w:szCs w:val="21"/>
          <w:highlight w:val="none"/>
          <w:u w:val="single"/>
        </w:rPr>
        <w:t xml:space="preserve">  1、本工程施工过程中遇到的一切地方矛盾及由此发生的费用均由承包人自行负责，与发包人无涉。 </w:t>
      </w:r>
    </w:p>
    <w:p>
      <w:pPr>
        <w:spacing w:line="400" w:lineRule="exact"/>
        <w:ind w:firstLine="420" w:firstLineChars="200"/>
        <w:jc w:val="left"/>
        <w:rPr>
          <w:rFonts w:ascii="楷体" w:hAnsi="楷体" w:eastAsia="楷体" w:cs="楷体"/>
          <w:color w:val="auto"/>
          <w:kern w:val="44"/>
          <w:szCs w:val="21"/>
          <w:highlight w:val="none"/>
          <w:u w:val="single"/>
        </w:rPr>
      </w:pPr>
      <w:r>
        <w:rPr>
          <w:rFonts w:hint="eastAsia" w:ascii="楷体" w:hAnsi="楷体" w:eastAsia="楷体" w:cs="楷体"/>
          <w:color w:val="auto"/>
          <w:kern w:val="44"/>
          <w:szCs w:val="21"/>
          <w:highlight w:val="none"/>
          <w:u w:val="single"/>
        </w:rPr>
        <w:t xml:space="preserve">2、本工程合同签订时，法定代表人或发包人要求的承包人代表必须到现场签字。 </w:t>
      </w:r>
    </w:p>
    <w:p>
      <w:pPr>
        <w:spacing w:line="400" w:lineRule="exact"/>
        <w:ind w:firstLine="420" w:firstLineChars="200"/>
        <w:jc w:val="left"/>
        <w:rPr>
          <w:rFonts w:ascii="楷体" w:hAnsi="楷体" w:eastAsia="楷体" w:cs="楷体"/>
          <w:color w:val="auto"/>
          <w:kern w:val="44"/>
          <w:szCs w:val="21"/>
          <w:highlight w:val="none"/>
          <w:u w:val="single"/>
        </w:rPr>
      </w:pPr>
      <w:r>
        <w:rPr>
          <w:rFonts w:hint="eastAsia" w:ascii="楷体" w:hAnsi="楷体" w:eastAsia="楷体" w:cs="楷体"/>
          <w:color w:val="auto"/>
          <w:kern w:val="44"/>
          <w:szCs w:val="21"/>
          <w:highlight w:val="none"/>
          <w:u w:val="single"/>
        </w:rPr>
        <w:t xml:space="preserve">3、本工程价款一律通过银行非现金结算，工程款汇入企业基本帐户，实行专款专用。 </w:t>
      </w:r>
    </w:p>
    <w:p>
      <w:pPr>
        <w:spacing w:line="400" w:lineRule="exact"/>
        <w:ind w:firstLine="420" w:firstLineChars="200"/>
        <w:jc w:val="left"/>
        <w:rPr>
          <w:rFonts w:ascii="楷体" w:hAnsi="楷体" w:eastAsia="楷体" w:cs="楷体"/>
          <w:color w:val="auto"/>
          <w:kern w:val="44"/>
          <w:szCs w:val="21"/>
          <w:highlight w:val="none"/>
          <w:u w:val="single"/>
        </w:rPr>
      </w:pPr>
      <w:r>
        <w:rPr>
          <w:rFonts w:hint="eastAsia" w:ascii="楷体" w:hAnsi="楷体" w:eastAsia="楷体" w:cs="楷体"/>
          <w:color w:val="auto"/>
          <w:kern w:val="44"/>
          <w:szCs w:val="21"/>
          <w:highlight w:val="none"/>
          <w:u w:val="single"/>
        </w:rPr>
        <w:t xml:space="preserve">4、中标人自行承担工程施工过程中的质量、安全责任。 </w:t>
      </w:r>
    </w:p>
    <w:p>
      <w:pPr>
        <w:spacing w:line="400" w:lineRule="exact"/>
        <w:ind w:firstLine="420" w:firstLineChars="200"/>
        <w:jc w:val="left"/>
        <w:rPr>
          <w:rFonts w:ascii="楷体" w:hAnsi="楷体" w:eastAsia="楷体" w:cs="楷体"/>
          <w:color w:val="auto"/>
          <w:kern w:val="44"/>
          <w:szCs w:val="21"/>
          <w:highlight w:val="none"/>
          <w:u w:val="single"/>
        </w:rPr>
      </w:pPr>
      <w:r>
        <w:rPr>
          <w:rFonts w:hint="eastAsia" w:ascii="楷体" w:hAnsi="楷体" w:eastAsia="楷体" w:cs="楷体"/>
          <w:color w:val="auto"/>
          <w:kern w:val="44"/>
          <w:szCs w:val="21"/>
          <w:highlight w:val="none"/>
          <w:u w:val="single"/>
        </w:rPr>
        <w:t xml:space="preserve">5、在本合同履行过程中，如承包人发生如下情形之一，发包人将视承包人严重违约，立即中止合同，冻结专户资金，承包人承担违约责任并承担由此造成的一切损失，承包人在现场的人员无条件退场，承包人在现场的设备和材料无条件供发包人使用，其设备租金和材料价值待人民法院判决后，如有剩余，在判决书生效后7天内支付。 </w:t>
      </w:r>
    </w:p>
    <w:p>
      <w:pPr>
        <w:spacing w:line="400" w:lineRule="exact"/>
        <w:ind w:firstLine="420" w:firstLineChars="200"/>
        <w:jc w:val="left"/>
        <w:rPr>
          <w:rFonts w:ascii="楷体" w:hAnsi="楷体" w:eastAsia="楷体" w:cs="楷体"/>
          <w:color w:val="auto"/>
          <w:kern w:val="44"/>
          <w:szCs w:val="21"/>
          <w:highlight w:val="none"/>
          <w:u w:val="single"/>
        </w:rPr>
      </w:pPr>
      <w:r>
        <w:rPr>
          <w:rFonts w:hint="eastAsia" w:ascii="楷体" w:hAnsi="楷体" w:eastAsia="楷体" w:cs="楷体"/>
          <w:color w:val="auto"/>
          <w:kern w:val="44"/>
          <w:szCs w:val="21"/>
          <w:highlight w:val="none"/>
          <w:u w:val="single"/>
        </w:rPr>
        <w:t xml:space="preserve">①不同意本工程合同条件； </w:t>
      </w:r>
    </w:p>
    <w:p>
      <w:pPr>
        <w:spacing w:line="400" w:lineRule="exact"/>
        <w:ind w:firstLine="420" w:firstLineChars="200"/>
        <w:jc w:val="left"/>
        <w:rPr>
          <w:rFonts w:ascii="楷体" w:hAnsi="楷体" w:eastAsia="楷体" w:cs="楷体"/>
          <w:color w:val="auto"/>
          <w:kern w:val="44"/>
          <w:szCs w:val="21"/>
          <w:highlight w:val="none"/>
          <w:u w:val="single"/>
        </w:rPr>
      </w:pPr>
      <w:r>
        <w:rPr>
          <w:rFonts w:hint="eastAsia" w:ascii="楷体" w:hAnsi="楷体" w:eastAsia="楷体" w:cs="楷体"/>
          <w:color w:val="auto"/>
          <w:kern w:val="44"/>
          <w:szCs w:val="21"/>
          <w:highlight w:val="none"/>
          <w:u w:val="single"/>
        </w:rPr>
        <w:t xml:space="preserve">②自认合同价款比例和时间； </w:t>
      </w:r>
    </w:p>
    <w:p>
      <w:pPr>
        <w:spacing w:line="400" w:lineRule="exact"/>
        <w:ind w:firstLine="420" w:firstLineChars="200"/>
        <w:jc w:val="left"/>
        <w:rPr>
          <w:rFonts w:ascii="楷体" w:hAnsi="楷体" w:eastAsia="楷体" w:cs="楷体"/>
          <w:color w:val="auto"/>
          <w:kern w:val="44"/>
          <w:szCs w:val="21"/>
          <w:highlight w:val="none"/>
          <w:u w:val="single"/>
        </w:rPr>
      </w:pPr>
      <w:r>
        <w:rPr>
          <w:rFonts w:hint="eastAsia" w:ascii="楷体" w:hAnsi="楷体" w:eastAsia="楷体" w:cs="楷体"/>
          <w:color w:val="auto"/>
          <w:kern w:val="44"/>
          <w:szCs w:val="21"/>
          <w:highlight w:val="none"/>
          <w:u w:val="single"/>
        </w:rPr>
        <w:t xml:space="preserve">③无故停工或拖延施工进度或影响施工质量； </w:t>
      </w:r>
    </w:p>
    <w:p>
      <w:pPr>
        <w:spacing w:line="400" w:lineRule="exact"/>
        <w:ind w:firstLine="420" w:firstLineChars="200"/>
        <w:jc w:val="left"/>
        <w:rPr>
          <w:rFonts w:ascii="楷体" w:hAnsi="楷体" w:eastAsia="楷体" w:cs="楷体"/>
          <w:color w:val="auto"/>
          <w:kern w:val="44"/>
          <w:szCs w:val="21"/>
          <w:highlight w:val="none"/>
          <w:u w:val="single"/>
        </w:rPr>
      </w:pPr>
      <w:r>
        <w:rPr>
          <w:rFonts w:hint="eastAsia" w:ascii="楷体" w:hAnsi="楷体" w:eastAsia="楷体" w:cs="楷体"/>
          <w:color w:val="auto"/>
          <w:kern w:val="44"/>
          <w:szCs w:val="21"/>
          <w:highlight w:val="none"/>
          <w:u w:val="single"/>
        </w:rPr>
        <w:t xml:space="preserve">④要挟发包人提高合同价款； </w:t>
      </w:r>
    </w:p>
    <w:p>
      <w:pPr>
        <w:spacing w:line="400" w:lineRule="exact"/>
        <w:ind w:firstLine="420" w:firstLineChars="200"/>
        <w:jc w:val="left"/>
        <w:rPr>
          <w:rFonts w:ascii="楷体" w:hAnsi="楷体" w:eastAsia="楷体" w:cs="楷体"/>
          <w:color w:val="auto"/>
          <w:kern w:val="44"/>
          <w:szCs w:val="21"/>
          <w:highlight w:val="none"/>
          <w:u w:val="single"/>
        </w:rPr>
      </w:pPr>
      <w:r>
        <w:rPr>
          <w:rFonts w:hint="eastAsia" w:ascii="楷体" w:hAnsi="楷体" w:eastAsia="楷体" w:cs="楷体"/>
          <w:color w:val="auto"/>
          <w:kern w:val="44"/>
          <w:szCs w:val="21"/>
          <w:highlight w:val="none"/>
          <w:u w:val="single"/>
        </w:rPr>
        <w:t xml:space="preserve">⑤要挟发包人给予某种补偿者。 </w:t>
      </w:r>
    </w:p>
    <w:p>
      <w:pPr>
        <w:spacing w:line="400" w:lineRule="exact"/>
        <w:ind w:firstLine="420" w:firstLineChars="200"/>
        <w:jc w:val="left"/>
        <w:rPr>
          <w:rFonts w:ascii="楷体" w:hAnsi="楷体" w:eastAsia="楷体" w:cs="楷体"/>
          <w:color w:val="auto"/>
          <w:kern w:val="44"/>
          <w:szCs w:val="21"/>
          <w:highlight w:val="none"/>
          <w:u w:val="single"/>
        </w:rPr>
      </w:pPr>
      <w:r>
        <w:rPr>
          <w:rFonts w:hint="eastAsia" w:ascii="楷体" w:hAnsi="楷体" w:eastAsia="楷体" w:cs="楷体"/>
          <w:color w:val="auto"/>
          <w:kern w:val="44"/>
          <w:szCs w:val="21"/>
          <w:highlight w:val="none"/>
          <w:u w:val="single"/>
        </w:rPr>
        <w:t xml:space="preserve">6、自觉接受发包人对本工程（项目）监督和飞行再监督管理。甲方发现或者认定乙方存在不符合工程招标文件、工程合同、国家工程技术规范和其他约定等问题，有权向乙方提出限期整改要求，乙方应当按期保质予以整改。同时，甲方对乙方存在问题，有权要求乙方进行赔偿，有权对乙方进行经济扣（罚）款，扣（罚）款额度由甲方根据乙方违反工程招标文件、工程合同、国家工程技术规范，以及其他约定的情况和程度量定。乙方被扣（罚）款项，可在甲方应支付乙方款项中扣除。甲方对乙方不能遵守工程招标文件、工程合同和其他约定，屡纠不改或者屡查屡犯，甲方有权与其单方面废标或解除合同。由于乙方责任，导致甲方废标或解除合同的，乙方已完工程量不予结算。 </w:t>
      </w:r>
    </w:p>
    <w:p>
      <w:pPr>
        <w:spacing w:line="400" w:lineRule="exact"/>
        <w:ind w:firstLine="420" w:firstLineChars="200"/>
        <w:jc w:val="left"/>
        <w:rPr>
          <w:rFonts w:ascii="楷体" w:hAnsi="楷体" w:eastAsia="楷体" w:cs="楷体"/>
          <w:color w:val="auto"/>
          <w:kern w:val="44"/>
          <w:szCs w:val="21"/>
          <w:highlight w:val="none"/>
          <w:u w:val="single"/>
        </w:rPr>
      </w:pPr>
      <w:r>
        <w:rPr>
          <w:rFonts w:hint="eastAsia" w:ascii="楷体" w:hAnsi="楷体" w:eastAsia="楷体" w:cs="楷体"/>
          <w:color w:val="auto"/>
          <w:kern w:val="44"/>
          <w:szCs w:val="21"/>
          <w:highlight w:val="none"/>
          <w:u w:val="single"/>
        </w:rPr>
        <w:t xml:space="preserve">7、关于农民工工资支付等的约定 </w:t>
      </w:r>
    </w:p>
    <w:p>
      <w:pPr>
        <w:spacing w:line="400" w:lineRule="exact"/>
        <w:jc w:val="left"/>
        <w:rPr>
          <w:rFonts w:ascii="楷体" w:hAnsi="楷体" w:eastAsia="楷体" w:cs="楷体"/>
          <w:color w:val="auto"/>
          <w:kern w:val="44"/>
          <w:szCs w:val="21"/>
          <w:highlight w:val="none"/>
          <w:u w:val="single"/>
        </w:rPr>
      </w:pPr>
      <w:r>
        <w:rPr>
          <w:rFonts w:hint="eastAsia" w:ascii="楷体" w:hAnsi="楷体" w:eastAsia="楷体" w:cs="楷体"/>
          <w:color w:val="auto"/>
          <w:kern w:val="44"/>
          <w:szCs w:val="21"/>
          <w:highlight w:val="none"/>
          <w:u w:val="single"/>
        </w:rPr>
        <w:t xml:space="preserve">①工程竣工验收后且在合同约定付款时，承包人应当优先全额结清包括但不限于农民工在内的工人工资。 </w:t>
      </w:r>
    </w:p>
    <w:p>
      <w:pPr>
        <w:spacing w:line="400" w:lineRule="exact"/>
        <w:jc w:val="left"/>
        <w:rPr>
          <w:rFonts w:ascii="楷体" w:hAnsi="楷体" w:eastAsia="楷体" w:cs="楷体"/>
          <w:color w:val="auto"/>
          <w:kern w:val="44"/>
          <w:szCs w:val="21"/>
          <w:highlight w:val="none"/>
          <w:u w:val="single"/>
        </w:rPr>
      </w:pPr>
      <w:r>
        <w:rPr>
          <w:rFonts w:hint="eastAsia" w:ascii="楷体" w:hAnsi="楷体" w:eastAsia="楷体" w:cs="楷体"/>
          <w:color w:val="auto"/>
          <w:kern w:val="44"/>
          <w:szCs w:val="21"/>
          <w:highlight w:val="none"/>
          <w:u w:val="single"/>
        </w:rPr>
        <w:t xml:space="preserve">②工程竣工验收后且在合同约定付款时，承包人未按上条约定履行的，或在工程施工过程中、竣工后发生一起包括但不限于农民工在内的工人上访讨薪事件的均视为承包人违约，由发包人垫付，发包人同时对承包人处以 5 倍的罚款。 </w:t>
      </w:r>
    </w:p>
    <w:p>
      <w:pPr>
        <w:spacing w:line="400" w:lineRule="exact"/>
        <w:jc w:val="left"/>
        <w:rPr>
          <w:rFonts w:ascii="楷体" w:hAnsi="楷体" w:eastAsia="楷体" w:cs="楷体"/>
          <w:color w:val="auto"/>
          <w:kern w:val="44"/>
          <w:szCs w:val="21"/>
          <w:highlight w:val="none"/>
          <w:u w:val="single"/>
        </w:rPr>
      </w:pPr>
      <w:r>
        <w:rPr>
          <w:rFonts w:hint="eastAsia" w:ascii="楷体" w:hAnsi="楷体" w:eastAsia="楷体" w:cs="楷体"/>
          <w:color w:val="auto"/>
          <w:kern w:val="44"/>
          <w:szCs w:val="21"/>
          <w:highlight w:val="none"/>
          <w:u w:val="single"/>
        </w:rPr>
        <w:t xml:space="preserve">③承包人须对施工现场所有从业人员，建立电脑用工台账，实行日常考勤管理。 </w:t>
      </w:r>
    </w:p>
    <w:p>
      <w:pPr>
        <w:spacing w:line="400" w:lineRule="exact"/>
        <w:jc w:val="left"/>
        <w:rPr>
          <w:rFonts w:ascii="楷体" w:hAnsi="楷体" w:eastAsia="楷体" w:cs="楷体"/>
          <w:color w:val="auto"/>
          <w:kern w:val="44"/>
          <w:szCs w:val="21"/>
          <w:highlight w:val="none"/>
          <w:u w:val="single"/>
        </w:rPr>
      </w:pPr>
      <w:r>
        <w:rPr>
          <w:rFonts w:hint="eastAsia" w:ascii="楷体" w:hAnsi="楷体" w:eastAsia="楷体" w:cs="楷体"/>
          <w:color w:val="auto"/>
          <w:kern w:val="44"/>
          <w:szCs w:val="21"/>
          <w:highlight w:val="none"/>
          <w:u w:val="single"/>
        </w:rPr>
        <w:t xml:space="preserve">④承包人必须在第一时间内主动向建设单位、监理单位，提供与劳务公司签订的用工合同，或提供班组人员与施工单位签订的用工合同。 </w:t>
      </w:r>
    </w:p>
    <w:p>
      <w:pPr>
        <w:spacing w:line="400" w:lineRule="exact"/>
        <w:jc w:val="left"/>
        <w:rPr>
          <w:rFonts w:ascii="楷体" w:hAnsi="楷体" w:eastAsia="楷体" w:cs="楷体"/>
          <w:color w:val="auto"/>
          <w:kern w:val="44"/>
          <w:szCs w:val="21"/>
          <w:highlight w:val="none"/>
          <w:u w:val="single"/>
        </w:rPr>
      </w:pPr>
      <w:r>
        <w:rPr>
          <w:rFonts w:hint="eastAsia" w:ascii="楷体" w:hAnsi="楷体" w:eastAsia="楷体" w:cs="楷体"/>
          <w:color w:val="auto"/>
          <w:kern w:val="44"/>
          <w:szCs w:val="21"/>
          <w:highlight w:val="none"/>
          <w:u w:val="single"/>
        </w:rPr>
        <w:t xml:space="preserve">⑤由监理单位全程实施检查、监督和管理承包人的农民工工资支付发放工作及信息反馈工作。发现存在拖欠农民工资现象的，及时向发包人反映。 </w:t>
      </w:r>
    </w:p>
    <w:p>
      <w:pPr>
        <w:spacing w:line="400" w:lineRule="exact"/>
        <w:jc w:val="left"/>
        <w:rPr>
          <w:rFonts w:ascii="楷体" w:hAnsi="楷体" w:eastAsia="楷体" w:cs="楷体"/>
          <w:color w:val="auto"/>
          <w:kern w:val="44"/>
          <w:szCs w:val="21"/>
          <w:highlight w:val="none"/>
          <w:u w:val="single"/>
        </w:rPr>
      </w:pPr>
      <w:r>
        <w:rPr>
          <w:rFonts w:hint="eastAsia" w:ascii="楷体" w:hAnsi="楷体" w:eastAsia="楷体" w:cs="楷体"/>
          <w:color w:val="auto"/>
          <w:kern w:val="44"/>
          <w:szCs w:val="21"/>
          <w:highlight w:val="none"/>
          <w:u w:val="single"/>
        </w:rPr>
        <w:t xml:space="preserve">⑥在履行合同过程中，承包人应遵守国家或地方的法律、法规、规章、条例、规范性文件或任何对工程有管辖权的部门的规章，并按要求支付有关费用。 </w:t>
      </w:r>
    </w:p>
    <w:p>
      <w:pPr>
        <w:spacing w:line="400" w:lineRule="exact"/>
        <w:ind w:firstLine="420" w:firstLineChars="200"/>
        <w:jc w:val="left"/>
        <w:rPr>
          <w:rFonts w:ascii="楷体" w:hAnsi="楷体" w:eastAsia="楷体" w:cs="楷体"/>
          <w:color w:val="auto"/>
          <w:kern w:val="44"/>
          <w:szCs w:val="21"/>
          <w:highlight w:val="none"/>
          <w:u w:val="single"/>
        </w:rPr>
      </w:pPr>
      <w:r>
        <w:rPr>
          <w:rFonts w:hint="eastAsia" w:ascii="楷体" w:hAnsi="楷体" w:eastAsia="楷体" w:cs="楷体"/>
          <w:color w:val="auto"/>
          <w:kern w:val="44"/>
          <w:szCs w:val="21"/>
          <w:highlight w:val="none"/>
          <w:u w:val="single"/>
        </w:rPr>
        <w:t xml:space="preserve">8、无论发包人是否给予了批准或同意，承包人应对现场作业、施工方法及所施工工程的完备性、稳定性和安全性承担全部责任，负责完成对工程的稳定、完整、安全、可靠及有效运行所必须的全部工作。 </w:t>
      </w:r>
    </w:p>
    <w:p>
      <w:pPr>
        <w:spacing w:line="400" w:lineRule="exact"/>
        <w:ind w:firstLine="420" w:firstLineChars="200"/>
        <w:jc w:val="left"/>
        <w:rPr>
          <w:rFonts w:ascii="楷体" w:hAnsi="楷体" w:eastAsia="楷体" w:cs="楷体"/>
          <w:color w:val="auto"/>
          <w:kern w:val="44"/>
          <w:szCs w:val="21"/>
          <w:highlight w:val="none"/>
          <w:u w:val="single"/>
        </w:rPr>
      </w:pPr>
      <w:r>
        <w:rPr>
          <w:rFonts w:hint="eastAsia" w:ascii="楷体" w:hAnsi="楷体" w:eastAsia="楷体" w:cs="楷体"/>
          <w:color w:val="auto"/>
          <w:kern w:val="44"/>
          <w:szCs w:val="21"/>
          <w:highlight w:val="none"/>
          <w:u w:val="single"/>
        </w:rPr>
        <w:t xml:space="preserve">9、施工过程中的排污、环保、市容、城建城管、消防、治安、人口管理等办理相关手续以及对临近居民、行人的影响等，由承包人负责协调处理，并承担相关的费用。 </w:t>
      </w:r>
    </w:p>
    <w:p>
      <w:pPr>
        <w:spacing w:line="400" w:lineRule="exact"/>
        <w:ind w:firstLine="420" w:firstLineChars="200"/>
        <w:jc w:val="left"/>
        <w:rPr>
          <w:rFonts w:ascii="楷体" w:hAnsi="楷体" w:eastAsia="楷体" w:cs="楷体"/>
          <w:color w:val="auto"/>
          <w:kern w:val="44"/>
          <w:szCs w:val="21"/>
          <w:highlight w:val="none"/>
          <w:u w:val="single"/>
        </w:rPr>
      </w:pPr>
      <w:r>
        <w:rPr>
          <w:rFonts w:hint="eastAsia" w:ascii="楷体" w:hAnsi="楷体" w:eastAsia="楷体" w:cs="楷体"/>
          <w:color w:val="auto"/>
          <w:kern w:val="44"/>
          <w:szCs w:val="21"/>
          <w:highlight w:val="none"/>
          <w:u w:val="single"/>
        </w:rPr>
        <w:t xml:space="preserve">10、承包人在中标后须派专人配合发包人办理相关手续，该人员办理手续期间，服从发包人工作安排，相关费用在投标报价时考虑。承包人未按照发包人要求办理的，发包人有权处以5000元的违约处罚。须根据工程建设进度需要派专人负责工程所有相关资料的填写、审签、完善工作，服从发包人检查的需要，相关费用在投标报价时考虑。承包人未按照发包人要求及时完成的，每发生一次承包人须向发包人承担 5000 元的违约金。 </w:t>
      </w:r>
    </w:p>
    <w:p>
      <w:pPr>
        <w:spacing w:line="400" w:lineRule="exact"/>
        <w:ind w:firstLine="420" w:firstLineChars="200"/>
        <w:jc w:val="left"/>
        <w:rPr>
          <w:rFonts w:ascii="楷体" w:hAnsi="楷体" w:eastAsia="楷体" w:cs="楷体"/>
          <w:color w:val="auto"/>
          <w:kern w:val="44"/>
          <w:szCs w:val="21"/>
          <w:highlight w:val="none"/>
          <w:u w:val="single"/>
        </w:rPr>
      </w:pPr>
      <w:r>
        <w:rPr>
          <w:rFonts w:hint="eastAsia" w:ascii="楷体" w:hAnsi="楷体" w:eastAsia="楷体" w:cs="楷体"/>
          <w:color w:val="auto"/>
          <w:kern w:val="44"/>
          <w:szCs w:val="21"/>
          <w:highlight w:val="none"/>
          <w:u w:val="single"/>
        </w:rPr>
        <w:t xml:space="preserve">11、承包人需服从发包人对施工现场的统筹管理，合理组织，推进工程建设，参加发包人召集的工作例会，并按照要求每周向发包人及现场监理上报进度计划，经监理单位审查后，如未能按照制定的进度计划完成施工，需对实际进度与总进度计划进行对比分析，及时纠偏，并且采取弥补措施，赶上原进度计划，赶工费用由承包人自行承担；如承包人不服从发包人管理、无故缺席工作例会、未能按照进度计划完成工作的，发包人有权对承包人处以 20000元/次的经济处罚； </w:t>
      </w:r>
    </w:p>
    <w:p>
      <w:pPr>
        <w:spacing w:line="400" w:lineRule="exact"/>
        <w:ind w:firstLine="420" w:firstLineChars="200"/>
        <w:jc w:val="left"/>
        <w:rPr>
          <w:rFonts w:ascii="楷体" w:hAnsi="楷体" w:eastAsia="楷体" w:cs="楷体"/>
          <w:color w:val="auto"/>
          <w:kern w:val="44"/>
          <w:szCs w:val="21"/>
          <w:highlight w:val="none"/>
          <w:u w:val="single"/>
        </w:rPr>
      </w:pPr>
      <w:r>
        <w:rPr>
          <w:rFonts w:hint="eastAsia" w:ascii="楷体" w:hAnsi="楷体" w:eastAsia="楷体" w:cs="楷体"/>
          <w:color w:val="auto"/>
          <w:kern w:val="44"/>
          <w:szCs w:val="21"/>
          <w:highlight w:val="none"/>
          <w:u w:val="single"/>
        </w:rPr>
        <w:t xml:space="preserve">12、发包人根据现场进展情况有权要求承包人增加机械、人员，所发生的费用承包人自行承担，不服从管理的，发包人有权处以 20000元每次的违约金处罚； </w:t>
      </w:r>
    </w:p>
    <w:p>
      <w:pPr>
        <w:spacing w:line="400" w:lineRule="exact"/>
        <w:ind w:firstLine="420" w:firstLineChars="200"/>
        <w:jc w:val="left"/>
        <w:rPr>
          <w:rFonts w:ascii="楷体" w:hAnsi="楷体" w:eastAsia="楷体" w:cs="楷体"/>
          <w:color w:val="auto"/>
          <w:kern w:val="44"/>
          <w:szCs w:val="21"/>
          <w:highlight w:val="none"/>
          <w:u w:val="single"/>
        </w:rPr>
      </w:pPr>
      <w:r>
        <w:rPr>
          <w:rFonts w:hint="eastAsia" w:ascii="楷体" w:hAnsi="楷体" w:eastAsia="楷体" w:cs="楷体"/>
          <w:color w:val="auto"/>
          <w:kern w:val="44"/>
          <w:szCs w:val="21"/>
          <w:highlight w:val="none"/>
          <w:u w:val="single"/>
        </w:rPr>
        <w:t xml:space="preserve">13、承包人必须服从发包人统一管理，发包人可根据现场考核制度对工程的质量、安全、工程等方面进行考核，如未达到发包人要求或国家验收规范标准的，该工程的本期工程款发包人有权不付或缓付或少付，并同时对承包人进行处罚，包括通报和罚款。罚款金额由发包人和监理单位根据现场情况进行处罚 。承包人施工时，不得对已建道路进行破坏和污染，同时承包人必须对自己施工的各分项工程在合同期间进行保洁管理和安全维护。承包人施工车辆通行必须服从发包人指定路线通行，违者罚款 2000元/车次。如导致道路破坏或损坏，承包人必须及时修整完好，同时发包人有权按实际恢复工程造价的2倍罚款。承包人必须严格执行盐政办发【2013】38 号文件《盐城市人民政府办公室转发市城乡建设局关于市区建设工程施工现场扬尘污染治理工作方案和市公安局市城市管理局关于市区建设工程渣土运输联合整治工作方案的通知》要求，如违反规定，除整改外，发包人有权处每次不少于2000元的罚款，承包人必须在发包人处罚决定后3日内以现金形式交由发包人。承包人须充分考虑发包人各种参观或检查需要的现场打扫、清洗、横幅、宣传等费用，如不积极配合，则发包人有权处每次不少于2000元的罚款，承包人必须在发包人处罚决定后3日内以现金形式交由发包人。 </w:t>
      </w:r>
    </w:p>
    <w:p>
      <w:pPr>
        <w:spacing w:line="400" w:lineRule="exact"/>
        <w:ind w:firstLine="420" w:firstLineChars="200"/>
        <w:jc w:val="left"/>
        <w:rPr>
          <w:rFonts w:ascii="楷体" w:hAnsi="楷体" w:eastAsia="楷体" w:cs="楷体"/>
          <w:color w:val="auto"/>
          <w:kern w:val="44"/>
          <w:szCs w:val="21"/>
          <w:highlight w:val="none"/>
          <w:u w:val="single"/>
        </w:rPr>
      </w:pPr>
      <w:r>
        <w:rPr>
          <w:rFonts w:hint="eastAsia" w:ascii="楷体" w:hAnsi="楷体" w:eastAsia="楷体" w:cs="楷体"/>
          <w:color w:val="auto"/>
          <w:kern w:val="44"/>
          <w:szCs w:val="21"/>
          <w:highlight w:val="none"/>
          <w:u w:val="single"/>
        </w:rPr>
        <w:t xml:space="preserve">14、本工程实施期间，建筑材料堆放有序；施工区域裸露地块、易形成扬尘的建筑材料等均须覆盖处理；生活垃圾、建筑垃圾、工程渣土等日产日清，及时清运出场地，如不能清运出场地的，必须覆盖处理，减少扬尘；其他应严格按照文明工地的要求组织施工。覆盖用材料及其他和本工程有关的各项措施费承包人自行考虑，请各承包人充分考虑各项措施所涉及的费用 并将其考虑至投标报价措施项目费中，不考虑或考虑不足均视为承包人让利，实施过程中不再增加相关费用。 </w:t>
      </w:r>
    </w:p>
    <w:p>
      <w:pPr>
        <w:spacing w:line="400" w:lineRule="exact"/>
        <w:ind w:firstLine="420" w:firstLineChars="200"/>
        <w:jc w:val="left"/>
        <w:rPr>
          <w:rFonts w:ascii="楷体" w:hAnsi="楷体" w:eastAsia="楷体" w:cs="楷体"/>
          <w:color w:val="auto"/>
          <w:kern w:val="44"/>
          <w:szCs w:val="21"/>
          <w:highlight w:val="none"/>
          <w:u w:val="single"/>
        </w:rPr>
      </w:pPr>
      <w:r>
        <w:rPr>
          <w:rFonts w:hint="eastAsia" w:ascii="楷体" w:hAnsi="楷体" w:eastAsia="楷体" w:cs="楷体"/>
          <w:color w:val="auto"/>
          <w:kern w:val="44"/>
          <w:szCs w:val="21"/>
          <w:highlight w:val="none"/>
          <w:u w:val="single"/>
        </w:rPr>
        <w:t xml:space="preserve">15、承包人须考虑进场后接受现场不一定完全具备施工条件，套插施工，合理组织安排工期，确保按期完成。 </w:t>
      </w:r>
    </w:p>
    <w:p>
      <w:pPr>
        <w:spacing w:line="400" w:lineRule="exact"/>
        <w:ind w:firstLine="420" w:firstLineChars="200"/>
        <w:jc w:val="left"/>
        <w:rPr>
          <w:rFonts w:ascii="楷体" w:hAnsi="楷体" w:eastAsia="楷体" w:cs="楷体"/>
          <w:color w:val="auto"/>
          <w:kern w:val="44"/>
          <w:szCs w:val="21"/>
          <w:highlight w:val="none"/>
          <w:u w:val="single"/>
        </w:rPr>
      </w:pPr>
      <w:r>
        <w:rPr>
          <w:rFonts w:hint="eastAsia" w:ascii="楷体" w:hAnsi="楷体" w:eastAsia="楷体" w:cs="楷体"/>
          <w:color w:val="auto"/>
          <w:kern w:val="44"/>
          <w:szCs w:val="21"/>
          <w:highlight w:val="none"/>
          <w:u w:val="single"/>
        </w:rPr>
        <w:t xml:space="preserve">16、承包人须服从发包人委托的监理单位管理，材料、设备进场提供产品合格证和检验报告，每道工序完成后隐蔽前提请发包人及监理单位验收合格才能进入下一道工序。 </w:t>
      </w:r>
    </w:p>
    <w:p>
      <w:pPr>
        <w:spacing w:line="400" w:lineRule="exact"/>
        <w:ind w:firstLine="420" w:firstLineChars="200"/>
        <w:jc w:val="left"/>
        <w:rPr>
          <w:rFonts w:ascii="楷体" w:hAnsi="楷体" w:eastAsia="楷体" w:cs="楷体"/>
          <w:color w:val="auto"/>
          <w:kern w:val="44"/>
          <w:szCs w:val="21"/>
          <w:highlight w:val="none"/>
          <w:u w:val="single"/>
        </w:rPr>
      </w:pPr>
      <w:r>
        <w:rPr>
          <w:rFonts w:hint="eastAsia" w:ascii="楷体" w:hAnsi="楷体" w:eastAsia="楷体" w:cs="楷体"/>
          <w:color w:val="auto"/>
          <w:kern w:val="44"/>
          <w:szCs w:val="21"/>
          <w:highlight w:val="none"/>
          <w:u w:val="single"/>
        </w:rPr>
        <w:t xml:space="preserve">17、无论是货物、材料还是施工如有质量问题，承包人必须按发包人或监理提出整改意见整改到位后，提请验收。 </w:t>
      </w:r>
    </w:p>
    <w:p>
      <w:pPr>
        <w:spacing w:line="400" w:lineRule="exact"/>
        <w:ind w:firstLine="420" w:firstLineChars="200"/>
        <w:jc w:val="left"/>
        <w:rPr>
          <w:rFonts w:ascii="楷体" w:hAnsi="楷体" w:eastAsia="楷体" w:cs="楷体"/>
          <w:color w:val="auto"/>
          <w:kern w:val="44"/>
          <w:szCs w:val="21"/>
          <w:highlight w:val="none"/>
          <w:u w:val="single"/>
        </w:rPr>
      </w:pPr>
      <w:r>
        <w:rPr>
          <w:rFonts w:hint="eastAsia" w:ascii="楷体" w:hAnsi="楷体" w:eastAsia="楷体" w:cs="楷体"/>
          <w:color w:val="auto"/>
          <w:kern w:val="44"/>
          <w:szCs w:val="21"/>
          <w:highlight w:val="none"/>
          <w:u w:val="single"/>
        </w:rPr>
        <w:t>18、工程竣工验收前，承包人应完成场地清理，并将所有垃圾运出场外，费用由承包人承担。</w:t>
      </w:r>
    </w:p>
    <w:p>
      <w:pPr>
        <w:spacing w:line="400" w:lineRule="exact"/>
        <w:ind w:firstLine="420" w:firstLineChars="200"/>
        <w:jc w:val="left"/>
        <w:rPr>
          <w:rFonts w:ascii="楷体" w:hAnsi="楷体" w:eastAsia="楷体" w:cs="楷体"/>
          <w:color w:val="auto"/>
          <w:kern w:val="44"/>
          <w:szCs w:val="21"/>
          <w:highlight w:val="none"/>
          <w:u w:val="single"/>
        </w:rPr>
      </w:pPr>
      <w:r>
        <w:rPr>
          <w:rFonts w:hint="eastAsia" w:ascii="楷体" w:hAnsi="楷体" w:eastAsia="楷体" w:cs="楷体"/>
          <w:color w:val="auto"/>
          <w:kern w:val="44"/>
          <w:szCs w:val="21"/>
          <w:highlight w:val="none"/>
          <w:u w:val="single"/>
        </w:rPr>
        <w:t xml:space="preserve">19、工程质保期为2年，并从工程竣工验收合格之日起计算。在质保期内如出现产品质量问题或安装施工质量问题，责任由承包人负责。 </w:t>
      </w:r>
    </w:p>
    <w:p>
      <w:pPr>
        <w:spacing w:line="400" w:lineRule="exact"/>
        <w:ind w:firstLine="420" w:firstLineChars="200"/>
        <w:jc w:val="left"/>
        <w:rPr>
          <w:rFonts w:ascii="楷体" w:hAnsi="楷体" w:eastAsia="楷体" w:cs="楷体"/>
          <w:color w:val="auto"/>
          <w:kern w:val="44"/>
          <w:szCs w:val="21"/>
          <w:highlight w:val="none"/>
          <w:u w:val="single"/>
        </w:rPr>
      </w:pPr>
      <w:r>
        <w:rPr>
          <w:rFonts w:hint="eastAsia" w:ascii="楷体" w:hAnsi="楷体" w:eastAsia="楷体" w:cs="楷体"/>
          <w:color w:val="auto"/>
          <w:kern w:val="44"/>
          <w:szCs w:val="21"/>
          <w:highlight w:val="none"/>
          <w:u w:val="single"/>
        </w:rPr>
        <w:t xml:space="preserve">20、本招标文件中所有涉及发包人对承包人的经济处罚，承包人必须在发包人处罚决定后3日内以现金形式交由发包人，如不能按期提供现金罚款的，发包人将从承包人履约保证金中或工程款中以现金两倍的数额予以扣除。 </w:t>
      </w:r>
    </w:p>
    <w:p>
      <w:pPr>
        <w:spacing w:line="400" w:lineRule="exact"/>
        <w:jc w:val="left"/>
        <w:rPr>
          <w:rFonts w:ascii="楷体" w:hAnsi="楷体" w:eastAsia="楷体" w:cs="楷体"/>
          <w:b/>
          <w:bCs/>
          <w:color w:val="auto"/>
          <w:kern w:val="44"/>
          <w:szCs w:val="21"/>
          <w:highlight w:val="none"/>
        </w:rPr>
      </w:pPr>
      <w:r>
        <w:rPr>
          <w:rFonts w:hint="eastAsia" w:ascii="楷体" w:hAnsi="楷体" w:eastAsia="楷体" w:cs="楷体"/>
          <w:b/>
          <w:bCs/>
          <w:color w:val="auto"/>
          <w:kern w:val="44"/>
          <w:szCs w:val="21"/>
          <w:highlight w:val="none"/>
        </w:rPr>
        <w:t xml:space="preserve"> </w:t>
      </w:r>
    </w:p>
    <w:p>
      <w:pPr>
        <w:spacing w:line="400" w:lineRule="exact"/>
        <w:jc w:val="left"/>
        <w:rPr>
          <w:rFonts w:ascii="楷体" w:hAnsi="楷体" w:eastAsia="楷体" w:cs="楷体"/>
          <w:color w:val="auto"/>
          <w:kern w:val="44"/>
          <w:szCs w:val="21"/>
          <w:highlight w:val="none"/>
        </w:rPr>
      </w:pPr>
      <w:r>
        <w:rPr>
          <w:rFonts w:hint="eastAsia" w:ascii="楷体" w:hAnsi="楷体" w:eastAsia="楷体" w:cs="楷体"/>
          <w:b/>
          <w:bCs/>
          <w:color w:val="auto"/>
          <w:kern w:val="44"/>
          <w:szCs w:val="21"/>
          <w:highlight w:val="none"/>
        </w:rPr>
        <w:t>合同附件：工程质量保修书</w:t>
      </w:r>
      <w:r>
        <w:rPr>
          <w:rFonts w:hint="eastAsia" w:ascii="楷体" w:hAnsi="楷体" w:eastAsia="楷体" w:cs="楷体"/>
          <w:color w:val="auto"/>
          <w:kern w:val="44"/>
          <w:szCs w:val="21"/>
          <w:highlight w:val="none"/>
        </w:rPr>
        <w:t xml:space="preserve"> </w:t>
      </w:r>
    </w:p>
    <w:p>
      <w:pPr>
        <w:widowControl/>
        <w:jc w:val="left"/>
        <w:rPr>
          <w:rFonts w:ascii="楷体" w:hAnsi="楷体" w:eastAsia="楷体" w:cs="楷体"/>
          <w:b/>
          <w:bCs/>
          <w:color w:val="auto"/>
          <w:kern w:val="44"/>
          <w:szCs w:val="21"/>
          <w:highlight w:val="none"/>
        </w:rPr>
      </w:pPr>
      <w:r>
        <w:rPr>
          <w:rFonts w:hint="eastAsia" w:ascii="楷体" w:hAnsi="楷体" w:eastAsia="楷体" w:cs="楷体"/>
          <w:b/>
          <w:bCs/>
          <w:color w:val="auto"/>
          <w:kern w:val="44"/>
          <w:szCs w:val="21"/>
          <w:highlight w:val="none"/>
        </w:rPr>
        <w:br w:type="page"/>
      </w:r>
    </w:p>
    <w:p>
      <w:pPr>
        <w:spacing w:line="400" w:lineRule="exact"/>
        <w:jc w:val="left"/>
        <w:rPr>
          <w:rFonts w:ascii="楷体" w:hAnsi="楷体" w:eastAsia="楷体" w:cs="楷体"/>
          <w:color w:val="auto"/>
          <w:kern w:val="44"/>
          <w:szCs w:val="21"/>
          <w:highlight w:val="none"/>
        </w:rPr>
      </w:pPr>
      <w:r>
        <w:rPr>
          <w:rFonts w:hint="eastAsia" w:ascii="楷体" w:hAnsi="楷体" w:eastAsia="楷体" w:cs="楷体"/>
          <w:b/>
          <w:bCs/>
          <w:color w:val="auto"/>
          <w:kern w:val="44"/>
          <w:szCs w:val="21"/>
          <w:highlight w:val="none"/>
        </w:rPr>
        <w:t>附件 1：工程质量保修书</w:t>
      </w:r>
      <w:r>
        <w:rPr>
          <w:rFonts w:hint="eastAsia" w:ascii="楷体" w:hAnsi="楷体" w:eastAsia="楷体" w:cs="楷体"/>
          <w:color w:val="auto"/>
          <w:kern w:val="44"/>
          <w:szCs w:val="21"/>
          <w:highlight w:val="none"/>
        </w:rPr>
        <w:t xml:space="preserve"> </w:t>
      </w:r>
    </w:p>
    <w:p>
      <w:pPr>
        <w:spacing w:line="400" w:lineRule="exact"/>
        <w:jc w:val="center"/>
        <w:rPr>
          <w:rFonts w:ascii="楷体" w:hAnsi="楷体" w:eastAsia="楷体" w:cs="楷体"/>
          <w:color w:val="auto"/>
          <w:kern w:val="44"/>
          <w:szCs w:val="21"/>
          <w:highlight w:val="none"/>
        </w:rPr>
      </w:pPr>
      <w:r>
        <w:rPr>
          <w:rFonts w:hint="eastAsia" w:ascii="楷体" w:hAnsi="楷体" w:eastAsia="楷体" w:cs="楷体"/>
          <w:color w:val="auto"/>
          <w:kern w:val="44"/>
          <w:szCs w:val="21"/>
          <w:highlight w:val="none"/>
        </w:rPr>
        <w:t>工程质量保修书</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kern w:val="44"/>
          <w:szCs w:val="21"/>
          <w:highlight w:val="none"/>
        </w:rPr>
        <w:t>发包人(全称）：</w:t>
      </w:r>
      <w:r>
        <w:rPr>
          <w:rFonts w:hint="eastAsia" w:ascii="楷体" w:hAnsi="楷体" w:eastAsia="楷体" w:cs="楷体"/>
          <w:color w:val="auto"/>
          <w:kern w:val="44"/>
          <w:szCs w:val="21"/>
          <w:highlight w:val="none"/>
          <w:u w:val="single"/>
        </w:rPr>
        <w:t xml:space="preserve"> 盐城工业职业技术学院</w:t>
      </w:r>
    </w:p>
    <w:p>
      <w:pPr>
        <w:spacing w:line="400" w:lineRule="exact"/>
        <w:ind w:firstLine="420" w:firstLineChars="200"/>
        <w:jc w:val="left"/>
        <w:rPr>
          <w:rFonts w:ascii="楷体" w:hAnsi="楷体" w:eastAsia="楷体" w:cs="楷体"/>
          <w:color w:val="auto"/>
          <w:kern w:val="44"/>
          <w:szCs w:val="21"/>
          <w:highlight w:val="none"/>
        </w:rPr>
      </w:pPr>
      <w:r>
        <w:rPr>
          <w:rFonts w:hint="eastAsia" w:ascii="楷体" w:hAnsi="楷体" w:eastAsia="楷体" w:cs="楷体"/>
          <w:color w:val="auto"/>
          <w:kern w:val="44"/>
          <w:szCs w:val="21"/>
          <w:highlight w:val="none"/>
        </w:rPr>
        <w:t xml:space="preserve">承包人(全称）： </w:t>
      </w:r>
    </w:p>
    <w:p>
      <w:pPr>
        <w:spacing w:line="400" w:lineRule="exact"/>
        <w:ind w:firstLine="420" w:firstLineChars="200"/>
        <w:rPr>
          <w:rFonts w:ascii="楷体" w:hAnsi="楷体" w:eastAsia="楷体" w:cs="楷体"/>
          <w:color w:val="auto"/>
          <w:szCs w:val="21"/>
          <w:highlight w:val="none"/>
        </w:rPr>
      </w:pPr>
      <w:r>
        <w:rPr>
          <w:rFonts w:hint="eastAsia" w:ascii="楷体" w:hAnsi="楷体" w:eastAsia="楷体" w:cs="楷体"/>
          <w:color w:val="auto"/>
          <w:kern w:val="44"/>
          <w:szCs w:val="21"/>
          <w:highlight w:val="none"/>
        </w:rPr>
        <w:t>发包人和承包人根据《中华人民共和国建筑法》和《建设工程质量管理条例》，经协商一致就</w:t>
      </w:r>
      <w:r>
        <w:rPr>
          <w:rFonts w:hint="eastAsia" w:ascii="楷体" w:hAnsi="楷体" w:eastAsia="楷体" w:cs="楷体"/>
          <w:color w:val="auto"/>
          <w:kern w:val="44"/>
          <w:szCs w:val="21"/>
          <w:highlight w:val="none"/>
          <w:u w:val="single"/>
        </w:rPr>
        <w:t>盐城工业职业技术学院铁军文化苑设计施工一体化项目</w:t>
      </w:r>
      <w:r>
        <w:rPr>
          <w:rFonts w:hint="eastAsia" w:ascii="楷体" w:hAnsi="楷体" w:eastAsia="楷体" w:cs="楷体"/>
          <w:color w:val="auto"/>
          <w:kern w:val="44"/>
          <w:szCs w:val="21"/>
          <w:highlight w:val="none"/>
        </w:rPr>
        <w:t xml:space="preserve">签订工程质量保修书。 </w:t>
      </w:r>
    </w:p>
    <w:p>
      <w:pPr>
        <w:numPr>
          <w:ilvl w:val="0"/>
          <w:numId w:val="2"/>
        </w:numPr>
        <w:spacing w:line="400" w:lineRule="exact"/>
        <w:ind w:firstLine="420" w:firstLineChars="200"/>
        <w:jc w:val="left"/>
        <w:rPr>
          <w:rFonts w:ascii="楷体" w:hAnsi="楷体" w:eastAsia="楷体" w:cs="楷体"/>
          <w:color w:val="auto"/>
          <w:kern w:val="44"/>
          <w:szCs w:val="21"/>
          <w:highlight w:val="none"/>
        </w:rPr>
      </w:pPr>
      <w:r>
        <w:rPr>
          <w:rFonts w:hint="eastAsia" w:ascii="楷体" w:hAnsi="楷体" w:eastAsia="楷体" w:cs="楷体"/>
          <w:color w:val="auto"/>
          <w:kern w:val="44"/>
          <w:szCs w:val="21"/>
          <w:highlight w:val="none"/>
        </w:rPr>
        <w:t>工程质量保修范围和内容承包人在质量保修期内，按照有关法律规定和合同约定，承担工程质量保修责任。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spacing w:line="400" w:lineRule="exact"/>
        <w:ind w:firstLine="420" w:firstLineChars="200"/>
        <w:jc w:val="left"/>
        <w:rPr>
          <w:rFonts w:ascii="楷体" w:hAnsi="楷体" w:eastAsia="楷体" w:cs="楷体"/>
          <w:color w:val="auto"/>
          <w:kern w:val="44"/>
          <w:szCs w:val="21"/>
          <w:highlight w:val="none"/>
        </w:rPr>
      </w:pPr>
      <w:r>
        <w:rPr>
          <w:rFonts w:hint="eastAsia" w:ascii="楷体" w:hAnsi="楷体" w:eastAsia="楷体" w:cs="楷体"/>
          <w:color w:val="auto"/>
          <w:kern w:val="44"/>
          <w:szCs w:val="21"/>
          <w:highlight w:val="none"/>
        </w:rPr>
        <w:t xml:space="preserve">本工程保修按中华人民共和国国务院 279 号《建设工程质量管理条例》等法律法规规定执行。 </w:t>
      </w:r>
    </w:p>
    <w:p>
      <w:pPr>
        <w:spacing w:line="400" w:lineRule="exact"/>
        <w:ind w:firstLine="420" w:firstLineChars="200"/>
        <w:jc w:val="left"/>
        <w:rPr>
          <w:rFonts w:ascii="楷体" w:hAnsi="楷体" w:eastAsia="楷体" w:cs="楷体"/>
          <w:color w:val="auto"/>
          <w:kern w:val="44"/>
          <w:szCs w:val="21"/>
          <w:highlight w:val="none"/>
        </w:rPr>
      </w:pPr>
      <w:r>
        <w:rPr>
          <w:rFonts w:hint="eastAsia" w:ascii="楷体" w:hAnsi="楷体" w:eastAsia="楷体" w:cs="楷体"/>
          <w:color w:val="auto"/>
          <w:kern w:val="44"/>
          <w:szCs w:val="21"/>
          <w:highlight w:val="none"/>
        </w:rPr>
        <w:t xml:space="preserve">二、质量保修期根据《建设工程质量管理条例》及有关规定，工程的质量保修期如下： </w:t>
      </w:r>
    </w:p>
    <w:p>
      <w:pPr>
        <w:spacing w:line="400" w:lineRule="exact"/>
        <w:ind w:firstLine="420" w:firstLineChars="200"/>
        <w:jc w:val="left"/>
        <w:rPr>
          <w:rFonts w:ascii="楷体" w:hAnsi="楷体" w:eastAsia="楷体" w:cs="楷体"/>
          <w:color w:val="auto"/>
          <w:kern w:val="44"/>
          <w:szCs w:val="21"/>
          <w:highlight w:val="none"/>
        </w:rPr>
      </w:pPr>
      <w:r>
        <w:rPr>
          <w:rFonts w:hint="eastAsia" w:ascii="楷体" w:hAnsi="楷体" w:eastAsia="楷体" w:cs="楷体"/>
          <w:color w:val="auto"/>
          <w:kern w:val="44"/>
          <w:szCs w:val="21"/>
          <w:highlight w:val="none"/>
        </w:rPr>
        <w:t xml:space="preserve">1.地基基础工程和主体结构工程为设计文件规定的工程合理使用年限； </w:t>
      </w:r>
    </w:p>
    <w:p>
      <w:pPr>
        <w:spacing w:line="400" w:lineRule="exact"/>
        <w:ind w:firstLine="420" w:firstLineChars="200"/>
        <w:jc w:val="left"/>
        <w:rPr>
          <w:rFonts w:ascii="楷体" w:hAnsi="楷体" w:eastAsia="楷体" w:cs="楷体"/>
          <w:color w:val="auto"/>
          <w:kern w:val="44"/>
          <w:szCs w:val="21"/>
          <w:highlight w:val="none"/>
        </w:rPr>
      </w:pPr>
      <w:r>
        <w:rPr>
          <w:rFonts w:hint="eastAsia" w:ascii="楷体" w:hAnsi="楷体" w:eastAsia="楷体" w:cs="楷体"/>
          <w:color w:val="auto"/>
          <w:kern w:val="44"/>
          <w:szCs w:val="21"/>
          <w:highlight w:val="none"/>
        </w:rPr>
        <w:t xml:space="preserve">2.屋面防水工程、有防水要求的卫生间、房间和外墙面的防渗为5年； </w:t>
      </w:r>
    </w:p>
    <w:p>
      <w:pPr>
        <w:spacing w:line="400" w:lineRule="exact"/>
        <w:ind w:firstLine="420" w:firstLineChars="200"/>
        <w:jc w:val="left"/>
        <w:rPr>
          <w:rFonts w:ascii="楷体" w:hAnsi="楷体" w:eastAsia="楷体" w:cs="楷体"/>
          <w:color w:val="auto"/>
          <w:kern w:val="44"/>
          <w:szCs w:val="21"/>
          <w:highlight w:val="none"/>
        </w:rPr>
      </w:pPr>
      <w:r>
        <w:rPr>
          <w:rFonts w:hint="eastAsia" w:ascii="楷体" w:hAnsi="楷体" w:eastAsia="楷体" w:cs="楷体"/>
          <w:color w:val="auto"/>
          <w:kern w:val="44"/>
          <w:szCs w:val="21"/>
          <w:highlight w:val="none"/>
        </w:rPr>
        <w:t xml:space="preserve">3.装修工程为2年； </w:t>
      </w:r>
    </w:p>
    <w:p>
      <w:pPr>
        <w:spacing w:line="400" w:lineRule="exact"/>
        <w:ind w:firstLine="420" w:firstLineChars="200"/>
        <w:jc w:val="left"/>
        <w:rPr>
          <w:rFonts w:ascii="楷体" w:hAnsi="楷体" w:eastAsia="楷体" w:cs="楷体"/>
          <w:color w:val="auto"/>
          <w:kern w:val="44"/>
          <w:szCs w:val="21"/>
          <w:highlight w:val="none"/>
        </w:rPr>
      </w:pPr>
      <w:r>
        <w:rPr>
          <w:rFonts w:hint="eastAsia" w:ascii="楷体" w:hAnsi="楷体" w:eastAsia="楷体" w:cs="楷体"/>
          <w:color w:val="auto"/>
          <w:kern w:val="44"/>
          <w:szCs w:val="21"/>
          <w:highlight w:val="none"/>
        </w:rPr>
        <w:t xml:space="preserve">4.电气管线、给排水管道、设备安装工程为2年； </w:t>
      </w:r>
    </w:p>
    <w:p>
      <w:pPr>
        <w:spacing w:line="400" w:lineRule="exact"/>
        <w:ind w:firstLine="420" w:firstLineChars="200"/>
        <w:jc w:val="left"/>
        <w:rPr>
          <w:rFonts w:ascii="楷体" w:hAnsi="楷体" w:eastAsia="楷体" w:cs="楷体"/>
          <w:color w:val="auto"/>
          <w:kern w:val="44"/>
          <w:szCs w:val="21"/>
          <w:highlight w:val="none"/>
        </w:rPr>
      </w:pPr>
      <w:r>
        <w:rPr>
          <w:rFonts w:hint="eastAsia" w:ascii="楷体" w:hAnsi="楷体" w:eastAsia="楷体" w:cs="楷体"/>
          <w:color w:val="auto"/>
          <w:kern w:val="44"/>
          <w:szCs w:val="21"/>
          <w:highlight w:val="none"/>
        </w:rPr>
        <w:t xml:space="preserve">5.供热与供冷系统为2个采暖期、供冷期； </w:t>
      </w:r>
    </w:p>
    <w:p>
      <w:pPr>
        <w:spacing w:line="400" w:lineRule="exact"/>
        <w:ind w:firstLine="420" w:firstLineChars="200"/>
        <w:jc w:val="left"/>
        <w:rPr>
          <w:rFonts w:ascii="楷体" w:hAnsi="楷体" w:eastAsia="楷体" w:cs="楷体"/>
          <w:color w:val="auto"/>
          <w:kern w:val="44"/>
          <w:szCs w:val="21"/>
          <w:highlight w:val="none"/>
        </w:rPr>
      </w:pPr>
      <w:r>
        <w:rPr>
          <w:rFonts w:hint="eastAsia" w:ascii="楷体" w:hAnsi="楷体" w:eastAsia="楷体" w:cs="楷体"/>
          <w:color w:val="auto"/>
          <w:kern w:val="44"/>
          <w:szCs w:val="21"/>
          <w:highlight w:val="none"/>
        </w:rPr>
        <w:t xml:space="preserve">6.住宅小区内的给排水设施、道路等配套工程为2年； </w:t>
      </w:r>
    </w:p>
    <w:p>
      <w:pPr>
        <w:spacing w:line="400" w:lineRule="exact"/>
        <w:ind w:firstLine="420" w:firstLineChars="200"/>
        <w:jc w:val="left"/>
        <w:rPr>
          <w:rFonts w:ascii="楷体" w:hAnsi="楷体" w:eastAsia="楷体" w:cs="楷体"/>
          <w:color w:val="auto"/>
          <w:kern w:val="44"/>
          <w:szCs w:val="21"/>
          <w:highlight w:val="none"/>
        </w:rPr>
      </w:pPr>
      <w:r>
        <w:rPr>
          <w:rFonts w:hint="eastAsia" w:ascii="楷体" w:hAnsi="楷体" w:eastAsia="楷体" w:cs="楷体"/>
          <w:color w:val="auto"/>
          <w:kern w:val="44"/>
          <w:szCs w:val="21"/>
          <w:highlight w:val="none"/>
        </w:rPr>
        <w:t>7.其他项目保修期限约定：</w:t>
      </w:r>
      <w:r>
        <w:rPr>
          <w:rFonts w:hint="eastAsia" w:ascii="楷体" w:hAnsi="楷体" w:eastAsia="楷体" w:cs="楷体"/>
          <w:color w:val="auto"/>
          <w:kern w:val="44"/>
          <w:szCs w:val="21"/>
          <w:highlight w:val="none"/>
          <w:u w:val="single"/>
        </w:rPr>
        <w:t>绿化部分养护期不低于3年，成活率达100%；其他未明确的统一不低于2年</w:t>
      </w:r>
      <w:r>
        <w:rPr>
          <w:rFonts w:hint="eastAsia" w:ascii="楷体" w:hAnsi="楷体" w:eastAsia="楷体" w:cs="楷体"/>
          <w:color w:val="auto"/>
          <w:kern w:val="44"/>
          <w:szCs w:val="21"/>
          <w:highlight w:val="none"/>
        </w:rPr>
        <w:t>。</w:t>
      </w:r>
    </w:p>
    <w:p>
      <w:pPr>
        <w:spacing w:line="400" w:lineRule="exact"/>
        <w:ind w:firstLine="420" w:firstLineChars="200"/>
        <w:jc w:val="left"/>
        <w:rPr>
          <w:rFonts w:ascii="楷体" w:hAnsi="楷体" w:eastAsia="楷体" w:cs="楷体"/>
          <w:color w:val="auto"/>
          <w:kern w:val="44"/>
          <w:szCs w:val="21"/>
          <w:highlight w:val="none"/>
        </w:rPr>
      </w:pPr>
      <w:r>
        <w:rPr>
          <w:rFonts w:hint="eastAsia" w:ascii="楷体" w:hAnsi="楷体" w:eastAsia="楷体" w:cs="楷体"/>
          <w:color w:val="auto"/>
          <w:kern w:val="44"/>
          <w:szCs w:val="21"/>
          <w:highlight w:val="none"/>
          <w:u w:val="single"/>
        </w:rPr>
        <w:t>上述质量保修期约定的未尽事宜，按中华人民共和国国务院令第279号《建设工程质量管理条例》执行</w:t>
      </w:r>
      <w:r>
        <w:rPr>
          <w:rFonts w:hint="eastAsia" w:ascii="楷体" w:hAnsi="楷体" w:eastAsia="楷体" w:cs="楷体"/>
          <w:color w:val="auto"/>
          <w:kern w:val="44"/>
          <w:szCs w:val="21"/>
          <w:highlight w:val="none"/>
        </w:rPr>
        <w:t>。</w:t>
      </w:r>
    </w:p>
    <w:p>
      <w:pPr>
        <w:spacing w:line="400" w:lineRule="exact"/>
        <w:ind w:firstLine="420" w:firstLineChars="200"/>
        <w:jc w:val="left"/>
        <w:rPr>
          <w:rFonts w:ascii="楷体" w:hAnsi="楷体" w:eastAsia="楷体" w:cs="楷体"/>
          <w:color w:val="auto"/>
          <w:kern w:val="44"/>
          <w:szCs w:val="21"/>
          <w:highlight w:val="none"/>
        </w:rPr>
      </w:pPr>
      <w:r>
        <w:rPr>
          <w:rFonts w:hint="eastAsia" w:ascii="楷体" w:hAnsi="楷体" w:eastAsia="楷体" w:cs="楷体"/>
          <w:color w:val="auto"/>
          <w:kern w:val="44"/>
          <w:szCs w:val="21"/>
          <w:highlight w:val="none"/>
        </w:rPr>
        <w:t xml:space="preserve">质量保修期自工程交工验收合格之日起计算。 </w:t>
      </w:r>
    </w:p>
    <w:p>
      <w:pPr>
        <w:spacing w:line="400" w:lineRule="exact"/>
        <w:ind w:firstLine="420" w:firstLineChars="200"/>
        <w:jc w:val="left"/>
        <w:rPr>
          <w:rFonts w:ascii="楷体" w:hAnsi="楷体" w:eastAsia="楷体" w:cs="楷体"/>
          <w:color w:val="auto"/>
          <w:kern w:val="44"/>
          <w:szCs w:val="21"/>
          <w:highlight w:val="none"/>
        </w:rPr>
      </w:pPr>
      <w:r>
        <w:rPr>
          <w:rFonts w:hint="eastAsia" w:ascii="楷体" w:hAnsi="楷体" w:eastAsia="楷体" w:cs="楷体"/>
          <w:color w:val="auto"/>
          <w:kern w:val="44"/>
          <w:szCs w:val="21"/>
          <w:highlight w:val="none"/>
        </w:rPr>
        <w:t xml:space="preserve">三、缺陷责任期 </w:t>
      </w:r>
    </w:p>
    <w:p>
      <w:pPr>
        <w:spacing w:line="400" w:lineRule="exact"/>
        <w:ind w:firstLine="420" w:firstLineChars="200"/>
        <w:jc w:val="left"/>
        <w:rPr>
          <w:rFonts w:ascii="楷体" w:hAnsi="楷体" w:eastAsia="楷体" w:cs="楷体"/>
          <w:color w:val="auto"/>
          <w:kern w:val="44"/>
          <w:szCs w:val="21"/>
          <w:highlight w:val="none"/>
        </w:rPr>
      </w:pPr>
      <w:r>
        <w:rPr>
          <w:rFonts w:hint="eastAsia" w:ascii="楷体" w:hAnsi="楷体" w:eastAsia="楷体" w:cs="楷体"/>
          <w:color w:val="auto"/>
          <w:kern w:val="44"/>
          <w:szCs w:val="21"/>
          <w:highlight w:val="none"/>
        </w:rPr>
        <w:t>本总承包合同范围内除绿化工程缺陷责任期为36个月外，其他所有工程的缺陷责任期均为</w:t>
      </w:r>
      <w:r>
        <w:rPr>
          <w:rFonts w:hint="eastAsia" w:ascii="楷体" w:hAnsi="楷体" w:eastAsia="楷体" w:cs="楷体"/>
          <w:color w:val="auto"/>
          <w:kern w:val="44"/>
          <w:szCs w:val="21"/>
          <w:highlight w:val="none"/>
          <w:u w:val="single"/>
        </w:rPr>
        <w:t xml:space="preserve"> 24 </w:t>
      </w:r>
      <w:r>
        <w:rPr>
          <w:rFonts w:hint="eastAsia" w:ascii="楷体" w:hAnsi="楷体" w:eastAsia="楷体" w:cs="楷体"/>
          <w:color w:val="auto"/>
          <w:kern w:val="44"/>
          <w:szCs w:val="21"/>
          <w:highlight w:val="none"/>
        </w:rPr>
        <w:t xml:space="preserve">个月，缺陷责任期自各单项工程验收合格之日起计算。单位工程先于全部工程进行验收，单位工程缺陷责任期自单位工程验收合格之日起算。 </w:t>
      </w:r>
    </w:p>
    <w:p>
      <w:pPr>
        <w:spacing w:line="400" w:lineRule="exact"/>
        <w:ind w:firstLine="420" w:firstLineChars="200"/>
        <w:jc w:val="left"/>
        <w:rPr>
          <w:rFonts w:ascii="楷体" w:hAnsi="楷体" w:eastAsia="楷体" w:cs="楷体"/>
          <w:color w:val="auto"/>
          <w:kern w:val="44"/>
          <w:szCs w:val="21"/>
          <w:highlight w:val="none"/>
        </w:rPr>
      </w:pPr>
      <w:r>
        <w:rPr>
          <w:rFonts w:hint="eastAsia" w:ascii="楷体" w:hAnsi="楷体" w:eastAsia="楷体" w:cs="楷体"/>
          <w:color w:val="auto"/>
          <w:kern w:val="44"/>
          <w:szCs w:val="21"/>
          <w:highlight w:val="none"/>
        </w:rPr>
        <w:t xml:space="preserve">缺陷责任期终止并且质量保修期满无任何质量问题后，发包人应退还剩余的质量保证金。 </w:t>
      </w:r>
    </w:p>
    <w:p>
      <w:pPr>
        <w:spacing w:line="400" w:lineRule="exact"/>
        <w:ind w:firstLine="420" w:firstLineChars="200"/>
        <w:jc w:val="left"/>
        <w:rPr>
          <w:rFonts w:ascii="楷体" w:hAnsi="楷体" w:eastAsia="楷体" w:cs="楷体"/>
          <w:color w:val="auto"/>
          <w:kern w:val="44"/>
          <w:szCs w:val="21"/>
          <w:highlight w:val="none"/>
        </w:rPr>
      </w:pPr>
      <w:r>
        <w:rPr>
          <w:rFonts w:hint="eastAsia" w:ascii="楷体" w:hAnsi="楷体" w:eastAsia="楷体" w:cs="楷体"/>
          <w:color w:val="auto"/>
          <w:kern w:val="44"/>
          <w:szCs w:val="21"/>
          <w:highlight w:val="none"/>
        </w:rPr>
        <w:t xml:space="preserve">四、质量保修责任 </w:t>
      </w:r>
    </w:p>
    <w:p>
      <w:pPr>
        <w:spacing w:line="400" w:lineRule="exact"/>
        <w:ind w:firstLine="420" w:firstLineChars="200"/>
        <w:jc w:val="left"/>
        <w:rPr>
          <w:rFonts w:ascii="楷体" w:hAnsi="楷体" w:eastAsia="楷体" w:cs="楷体"/>
          <w:color w:val="auto"/>
          <w:kern w:val="44"/>
          <w:szCs w:val="21"/>
          <w:highlight w:val="none"/>
        </w:rPr>
      </w:pPr>
      <w:r>
        <w:rPr>
          <w:rFonts w:hint="eastAsia" w:ascii="楷体" w:hAnsi="楷体" w:eastAsia="楷体" w:cs="楷体"/>
          <w:color w:val="auto"/>
          <w:kern w:val="44"/>
          <w:szCs w:val="21"/>
          <w:highlight w:val="none"/>
        </w:rPr>
        <w:t xml:space="preserve">1.属于保修范围、内容的项目，承包人应当在接到保修通知之日起 7 天内派人保修。承包人不在约定期限内派人保修的，发包人可以委托他人修理。 </w:t>
      </w:r>
    </w:p>
    <w:p>
      <w:pPr>
        <w:spacing w:line="400" w:lineRule="exact"/>
        <w:ind w:firstLine="420" w:firstLineChars="200"/>
        <w:jc w:val="left"/>
        <w:rPr>
          <w:rFonts w:ascii="楷体" w:hAnsi="楷体" w:eastAsia="楷体" w:cs="楷体"/>
          <w:color w:val="auto"/>
          <w:kern w:val="44"/>
          <w:szCs w:val="21"/>
          <w:highlight w:val="none"/>
        </w:rPr>
      </w:pPr>
      <w:r>
        <w:rPr>
          <w:rFonts w:hint="eastAsia" w:ascii="楷体" w:hAnsi="楷体" w:eastAsia="楷体" w:cs="楷体"/>
          <w:color w:val="auto"/>
          <w:kern w:val="44"/>
          <w:szCs w:val="21"/>
          <w:highlight w:val="none"/>
        </w:rPr>
        <w:t xml:space="preserve">2.发生紧急事故需抢修的，承包人在接到事故通知后，应当立即到达事故现场抢修。 </w:t>
      </w:r>
    </w:p>
    <w:p>
      <w:pPr>
        <w:spacing w:line="400" w:lineRule="exact"/>
        <w:ind w:firstLine="420" w:firstLineChars="200"/>
        <w:jc w:val="left"/>
        <w:rPr>
          <w:rFonts w:ascii="楷体" w:hAnsi="楷体" w:eastAsia="楷体" w:cs="楷体"/>
          <w:color w:val="auto"/>
          <w:kern w:val="44"/>
          <w:szCs w:val="21"/>
          <w:highlight w:val="none"/>
        </w:rPr>
      </w:pPr>
      <w:r>
        <w:rPr>
          <w:rFonts w:hint="eastAsia" w:ascii="楷体" w:hAnsi="楷体" w:eastAsia="楷体" w:cs="楷体"/>
          <w:color w:val="auto"/>
          <w:kern w:val="44"/>
          <w:szCs w:val="21"/>
          <w:highlight w:val="none"/>
        </w:rPr>
        <w:t xml:space="preserve">3.对于涉及结构安全的质量问题，应当按照《建设工程质量管理条例》的规定，立即向当地建设行政主管部门和有关部门报告，采取安全防范措施，并由原设计人或者具有相应资质等级的设计人提出保修方案，承包人实施保修。 </w:t>
      </w:r>
    </w:p>
    <w:p>
      <w:pPr>
        <w:spacing w:line="400" w:lineRule="exact"/>
        <w:ind w:firstLine="420" w:firstLineChars="200"/>
        <w:jc w:val="left"/>
        <w:rPr>
          <w:rFonts w:ascii="楷体" w:hAnsi="楷体" w:eastAsia="楷体" w:cs="楷体"/>
          <w:color w:val="auto"/>
          <w:kern w:val="44"/>
          <w:szCs w:val="21"/>
          <w:highlight w:val="none"/>
        </w:rPr>
      </w:pPr>
      <w:r>
        <w:rPr>
          <w:rFonts w:hint="eastAsia" w:ascii="楷体" w:hAnsi="楷体" w:eastAsia="楷体" w:cs="楷体"/>
          <w:color w:val="auto"/>
          <w:kern w:val="44"/>
          <w:szCs w:val="21"/>
          <w:highlight w:val="none"/>
        </w:rPr>
        <w:t xml:space="preserve">4.质量保修完成后，由发包人组织验收。 </w:t>
      </w:r>
    </w:p>
    <w:p>
      <w:pPr>
        <w:spacing w:line="400" w:lineRule="exact"/>
        <w:ind w:firstLine="420" w:firstLineChars="200"/>
        <w:jc w:val="left"/>
        <w:rPr>
          <w:rFonts w:ascii="楷体" w:hAnsi="楷体" w:eastAsia="楷体" w:cs="楷体"/>
          <w:color w:val="auto"/>
          <w:kern w:val="44"/>
          <w:szCs w:val="21"/>
          <w:highlight w:val="none"/>
        </w:rPr>
      </w:pPr>
      <w:r>
        <w:rPr>
          <w:rFonts w:hint="eastAsia" w:ascii="楷体" w:hAnsi="楷体" w:eastAsia="楷体" w:cs="楷体"/>
          <w:color w:val="auto"/>
          <w:kern w:val="44"/>
          <w:szCs w:val="21"/>
          <w:highlight w:val="none"/>
        </w:rPr>
        <w:t xml:space="preserve">五、保修费用：保修费用由造成质量缺陷的责任方承担。 </w:t>
      </w:r>
    </w:p>
    <w:p>
      <w:pPr>
        <w:spacing w:line="400" w:lineRule="exact"/>
        <w:ind w:firstLine="420" w:firstLineChars="200"/>
        <w:jc w:val="left"/>
        <w:rPr>
          <w:rFonts w:ascii="楷体" w:hAnsi="楷体" w:eastAsia="楷体" w:cs="楷体"/>
          <w:color w:val="auto"/>
          <w:kern w:val="44"/>
          <w:szCs w:val="21"/>
          <w:highlight w:val="none"/>
        </w:rPr>
      </w:pPr>
      <w:r>
        <w:rPr>
          <w:rFonts w:hint="eastAsia" w:ascii="楷体" w:hAnsi="楷体" w:eastAsia="楷体" w:cs="楷体"/>
          <w:color w:val="auto"/>
          <w:kern w:val="44"/>
          <w:szCs w:val="21"/>
          <w:highlight w:val="none"/>
        </w:rPr>
        <w:t>六、双方约定的其他工程质量保修事项：</w:t>
      </w:r>
      <w:r>
        <w:rPr>
          <w:rFonts w:hint="eastAsia" w:ascii="楷体" w:hAnsi="楷体" w:eastAsia="楷体" w:cs="楷体"/>
          <w:color w:val="auto"/>
          <w:kern w:val="44"/>
          <w:szCs w:val="21"/>
          <w:highlight w:val="none"/>
          <w:u w:val="single"/>
        </w:rPr>
        <w:t>/</w:t>
      </w:r>
      <w:r>
        <w:rPr>
          <w:rFonts w:hint="eastAsia" w:ascii="楷体" w:hAnsi="楷体" w:eastAsia="楷体" w:cs="楷体"/>
          <w:color w:val="auto"/>
          <w:kern w:val="44"/>
          <w:szCs w:val="21"/>
          <w:highlight w:val="none"/>
        </w:rPr>
        <w:t xml:space="preserve">。 </w:t>
      </w:r>
    </w:p>
    <w:p>
      <w:pPr>
        <w:spacing w:line="400" w:lineRule="exact"/>
        <w:ind w:firstLine="420" w:firstLineChars="200"/>
        <w:jc w:val="left"/>
        <w:rPr>
          <w:rFonts w:ascii="楷体" w:hAnsi="楷体" w:eastAsia="楷体" w:cs="楷体"/>
          <w:color w:val="auto"/>
          <w:kern w:val="44"/>
          <w:szCs w:val="21"/>
          <w:highlight w:val="none"/>
        </w:rPr>
      </w:pPr>
      <w:r>
        <w:rPr>
          <w:rFonts w:hint="eastAsia" w:ascii="楷体" w:hAnsi="楷体" w:eastAsia="楷体" w:cs="楷体"/>
          <w:color w:val="auto"/>
          <w:kern w:val="44"/>
          <w:szCs w:val="21"/>
          <w:highlight w:val="none"/>
        </w:rPr>
        <w:t xml:space="preserve">工程质量保修书由发包人、承包人在工程交工验收前共同签署，作为施工合同附件，其有效期限至保修期满。 </w:t>
      </w:r>
    </w:p>
    <w:p>
      <w:pPr>
        <w:spacing w:line="400" w:lineRule="exact"/>
        <w:jc w:val="left"/>
        <w:rPr>
          <w:rFonts w:ascii="楷体" w:hAnsi="楷体" w:eastAsia="楷体" w:cs="楷体"/>
          <w:color w:val="auto"/>
          <w:kern w:val="44"/>
          <w:szCs w:val="21"/>
          <w:highlight w:val="none"/>
        </w:rPr>
      </w:pPr>
      <w:r>
        <w:rPr>
          <w:rFonts w:hint="eastAsia" w:ascii="楷体" w:hAnsi="楷体" w:eastAsia="楷体" w:cs="楷体"/>
          <w:color w:val="auto"/>
          <w:kern w:val="44"/>
          <w:szCs w:val="21"/>
          <w:highlight w:val="none"/>
        </w:rPr>
        <w:t xml:space="preserve"> </w:t>
      </w:r>
    </w:p>
    <w:p>
      <w:pPr>
        <w:spacing w:line="400" w:lineRule="exact"/>
        <w:jc w:val="left"/>
        <w:rPr>
          <w:rFonts w:ascii="楷体" w:hAnsi="楷体" w:eastAsia="楷体" w:cs="楷体"/>
          <w:color w:val="auto"/>
          <w:kern w:val="44"/>
          <w:szCs w:val="21"/>
          <w:highlight w:val="none"/>
        </w:rPr>
      </w:pPr>
      <w:r>
        <w:rPr>
          <w:rFonts w:hint="eastAsia" w:ascii="楷体" w:hAnsi="楷体" w:eastAsia="楷体" w:cs="楷体"/>
          <w:color w:val="auto"/>
          <w:kern w:val="44"/>
          <w:szCs w:val="21"/>
          <w:highlight w:val="none"/>
        </w:rPr>
        <w:t xml:space="preserve">发包人：（盖公章） </w:t>
      </w:r>
    </w:p>
    <w:p>
      <w:pPr>
        <w:spacing w:line="400" w:lineRule="exact"/>
        <w:jc w:val="left"/>
        <w:rPr>
          <w:rFonts w:ascii="楷体" w:hAnsi="楷体" w:eastAsia="楷体" w:cs="楷体"/>
          <w:color w:val="auto"/>
          <w:kern w:val="44"/>
          <w:szCs w:val="21"/>
          <w:highlight w:val="none"/>
        </w:rPr>
      </w:pPr>
      <w:r>
        <w:rPr>
          <w:rFonts w:hint="eastAsia" w:ascii="楷体" w:hAnsi="楷体" w:eastAsia="楷体" w:cs="楷体"/>
          <w:color w:val="auto"/>
          <w:kern w:val="44"/>
          <w:szCs w:val="21"/>
          <w:highlight w:val="none"/>
        </w:rPr>
        <w:t>法定代表人或其委托代理人：（签字）</w:t>
      </w:r>
    </w:p>
    <w:p>
      <w:pPr>
        <w:spacing w:line="400" w:lineRule="exact"/>
        <w:jc w:val="left"/>
        <w:rPr>
          <w:rFonts w:ascii="楷体" w:hAnsi="楷体" w:eastAsia="楷体" w:cs="楷体"/>
          <w:color w:val="auto"/>
          <w:kern w:val="44"/>
          <w:szCs w:val="21"/>
          <w:highlight w:val="none"/>
        </w:rPr>
      </w:pPr>
      <w:r>
        <w:rPr>
          <w:rFonts w:hint="eastAsia" w:ascii="楷体" w:hAnsi="楷体" w:eastAsia="楷体" w:cs="楷体"/>
          <w:color w:val="auto"/>
          <w:kern w:val="44"/>
          <w:szCs w:val="21"/>
          <w:highlight w:val="none"/>
        </w:rPr>
        <w:t xml:space="preserve">地 址： </w:t>
      </w:r>
    </w:p>
    <w:p>
      <w:pPr>
        <w:spacing w:line="400" w:lineRule="exact"/>
        <w:jc w:val="left"/>
        <w:rPr>
          <w:rFonts w:ascii="楷体" w:hAnsi="楷体" w:eastAsia="楷体" w:cs="楷体"/>
          <w:color w:val="auto"/>
          <w:kern w:val="44"/>
          <w:szCs w:val="21"/>
          <w:highlight w:val="none"/>
        </w:rPr>
      </w:pPr>
      <w:r>
        <w:rPr>
          <w:rFonts w:hint="eastAsia" w:ascii="楷体" w:hAnsi="楷体" w:eastAsia="楷体" w:cs="楷体"/>
          <w:color w:val="auto"/>
          <w:kern w:val="44"/>
          <w:szCs w:val="21"/>
          <w:highlight w:val="none"/>
        </w:rPr>
        <w:t xml:space="preserve">年 月 日 </w:t>
      </w:r>
    </w:p>
    <w:p>
      <w:pPr>
        <w:spacing w:line="400" w:lineRule="exact"/>
        <w:jc w:val="left"/>
        <w:rPr>
          <w:rFonts w:ascii="楷体" w:hAnsi="楷体" w:eastAsia="楷体" w:cs="楷体"/>
          <w:color w:val="auto"/>
          <w:kern w:val="44"/>
          <w:szCs w:val="21"/>
          <w:highlight w:val="none"/>
        </w:rPr>
      </w:pPr>
      <w:r>
        <w:rPr>
          <w:rFonts w:hint="eastAsia" w:ascii="楷体" w:hAnsi="楷体" w:eastAsia="楷体" w:cs="楷体"/>
          <w:color w:val="auto"/>
          <w:kern w:val="44"/>
          <w:szCs w:val="21"/>
          <w:highlight w:val="none"/>
        </w:rPr>
        <w:t xml:space="preserve"> </w:t>
      </w:r>
    </w:p>
    <w:p>
      <w:pPr>
        <w:spacing w:line="400" w:lineRule="exact"/>
        <w:jc w:val="left"/>
        <w:rPr>
          <w:rFonts w:ascii="楷体" w:hAnsi="楷体" w:eastAsia="楷体" w:cs="楷体"/>
          <w:color w:val="auto"/>
          <w:kern w:val="44"/>
          <w:szCs w:val="21"/>
          <w:highlight w:val="none"/>
        </w:rPr>
      </w:pPr>
      <w:r>
        <w:rPr>
          <w:rFonts w:hint="eastAsia" w:ascii="楷体" w:hAnsi="楷体" w:eastAsia="楷体" w:cs="楷体"/>
          <w:color w:val="auto"/>
          <w:kern w:val="44"/>
          <w:szCs w:val="21"/>
          <w:highlight w:val="none"/>
        </w:rPr>
        <w:t xml:space="preserve">承包人：（盖公章） </w:t>
      </w:r>
    </w:p>
    <w:p>
      <w:pPr>
        <w:spacing w:line="400" w:lineRule="exact"/>
        <w:jc w:val="left"/>
        <w:rPr>
          <w:rFonts w:ascii="楷体" w:hAnsi="楷体" w:eastAsia="楷体" w:cs="楷体"/>
          <w:color w:val="auto"/>
          <w:kern w:val="44"/>
          <w:szCs w:val="21"/>
          <w:highlight w:val="none"/>
        </w:rPr>
      </w:pPr>
      <w:r>
        <w:rPr>
          <w:rFonts w:hint="eastAsia" w:ascii="楷体" w:hAnsi="楷体" w:eastAsia="楷体" w:cs="楷体"/>
          <w:color w:val="auto"/>
          <w:kern w:val="44"/>
          <w:szCs w:val="21"/>
          <w:highlight w:val="none"/>
        </w:rPr>
        <w:t>法定代表人或其委托代理人：（签字）</w:t>
      </w:r>
    </w:p>
    <w:p>
      <w:pPr>
        <w:spacing w:line="400" w:lineRule="exact"/>
        <w:jc w:val="left"/>
        <w:rPr>
          <w:rFonts w:ascii="楷体" w:hAnsi="楷体" w:eastAsia="楷体" w:cs="楷体"/>
          <w:color w:val="auto"/>
          <w:kern w:val="44"/>
          <w:szCs w:val="21"/>
          <w:highlight w:val="none"/>
        </w:rPr>
      </w:pPr>
      <w:r>
        <w:rPr>
          <w:rFonts w:hint="eastAsia" w:ascii="楷体" w:hAnsi="楷体" w:eastAsia="楷体" w:cs="楷体"/>
          <w:color w:val="auto"/>
          <w:kern w:val="44"/>
          <w:szCs w:val="21"/>
          <w:highlight w:val="none"/>
        </w:rPr>
        <w:t xml:space="preserve">地 址： </w:t>
      </w:r>
    </w:p>
    <w:p>
      <w:pPr>
        <w:spacing w:line="400" w:lineRule="exact"/>
        <w:jc w:val="left"/>
        <w:rPr>
          <w:rFonts w:ascii="楷体" w:hAnsi="楷体" w:eastAsia="楷体" w:cs="楷体"/>
          <w:color w:val="auto"/>
          <w:kern w:val="44"/>
          <w:szCs w:val="21"/>
          <w:highlight w:val="none"/>
        </w:rPr>
      </w:pPr>
      <w:r>
        <w:rPr>
          <w:rFonts w:hint="eastAsia" w:ascii="楷体" w:hAnsi="楷体" w:eastAsia="楷体" w:cs="楷体"/>
          <w:color w:val="auto"/>
          <w:kern w:val="44"/>
          <w:szCs w:val="21"/>
          <w:highlight w:val="none"/>
        </w:rPr>
        <w:t xml:space="preserve">年 月 日 </w:t>
      </w:r>
    </w:p>
    <w:p>
      <w:pPr>
        <w:spacing w:line="400" w:lineRule="exact"/>
        <w:jc w:val="left"/>
        <w:rPr>
          <w:rFonts w:ascii="楷体" w:hAnsi="楷体" w:eastAsia="楷体" w:cs="楷体"/>
          <w:color w:val="auto"/>
          <w:kern w:val="44"/>
          <w:szCs w:val="21"/>
          <w:highlight w:val="none"/>
        </w:rPr>
      </w:pPr>
      <w:r>
        <w:rPr>
          <w:rFonts w:hint="eastAsia" w:ascii="楷体" w:hAnsi="楷体" w:eastAsia="楷体" w:cs="楷体"/>
          <w:color w:val="auto"/>
          <w:kern w:val="44"/>
          <w:szCs w:val="21"/>
          <w:highlight w:val="none"/>
        </w:rPr>
        <w:t xml:space="preserve"> </w:t>
      </w:r>
    </w:p>
    <w:p>
      <w:pPr>
        <w:spacing w:line="400" w:lineRule="exact"/>
        <w:jc w:val="left"/>
        <w:rPr>
          <w:rFonts w:ascii="楷体" w:hAnsi="楷体" w:eastAsia="楷体" w:cs="楷体"/>
          <w:color w:val="auto"/>
          <w:kern w:val="44"/>
          <w:szCs w:val="21"/>
          <w:highlight w:val="none"/>
        </w:rPr>
      </w:pPr>
      <w:r>
        <w:rPr>
          <w:rFonts w:hint="eastAsia" w:ascii="楷体" w:hAnsi="楷体" w:eastAsia="楷体" w:cs="楷体"/>
          <w:color w:val="auto"/>
          <w:kern w:val="44"/>
          <w:szCs w:val="21"/>
          <w:highlight w:val="none"/>
        </w:rPr>
        <w:t xml:space="preserve">连带承包人（：指按法律法规规定和招标文件约定允许承包人分包的各专业承包人，盖公章）法定代表人或其委托代理人：（签字） </w:t>
      </w:r>
    </w:p>
    <w:p>
      <w:pPr>
        <w:spacing w:line="400" w:lineRule="exact"/>
        <w:jc w:val="left"/>
        <w:rPr>
          <w:rFonts w:ascii="楷体" w:hAnsi="楷体" w:eastAsia="楷体" w:cs="楷体"/>
          <w:color w:val="auto"/>
          <w:kern w:val="44"/>
          <w:szCs w:val="21"/>
          <w:highlight w:val="none"/>
        </w:rPr>
      </w:pPr>
      <w:r>
        <w:rPr>
          <w:rFonts w:hint="eastAsia" w:ascii="楷体" w:hAnsi="楷体" w:eastAsia="楷体" w:cs="楷体"/>
          <w:color w:val="auto"/>
          <w:kern w:val="44"/>
          <w:szCs w:val="21"/>
          <w:highlight w:val="none"/>
        </w:rPr>
        <w:t xml:space="preserve">地 址： </w:t>
      </w:r>
    </w:p>
    <w:p>
      <w:pPr>
        <w:spacing w:line="400" w:lineRule="exact"/>
        <w:jc w:val="left"/>
        <w:rPr>
          <w:rFonts w:ascii="楷体" w:hAnsi="楷体" w:eastAsia="楷体" w:cs="楷体"/>
          <w:color w:val="auto"/>
          <w:kern w:val="44"/>
          <w:szCs w:val="21"/>
          <w:highlight w:val="none"/>
        </w:rPr>
      </w:pPr>
      <w:r>
        <w:rPr>
          <w:rFonts w:hint="eastAsia" w:ascii="楷体" w:hAnsi="楷体" w:eastAsia="楷体" w:cs="楷体"/>
          <w:color w:val="auto"/>
          <w:kern w:val="44"/>
          <w:szCs w:val="21"/>
          <w:highlight w:val="none"/>
        </w:rPr>
        <w:t>年 月 日</w:t>
      </w:r>
    </w:p>
    <w:p>
      <w:pPr>
        <w:widowControl/>
        <w:jc w:val="left"/>
        <w:rPr>
          <w:rFonts w:ascii="楷体" w:hAnsi="楷体" w:eastAsia="楷体" w:cs="楷体"/>
          <w:b/>
          <w:color w:val="auto"/>
          <w:sz w:val="44"/>
          <w:szCs w:val="44"/>
          <w:highlight w:val="none"/>
        </w:rPr>
      </w:pPr>
      <w:r>
        <w:rPr>
          <w:rFonts w:hint="eastAsia" w:ascii="楷体" w:hAnsi="楷体" w:eastAsia="楷体" w:cs="楷体"/>
          <w:b/>
          <w:color w:val="auto"/>
          <w:sz w:val="44"/>
          <w:szCs w:val="44"/>
          <w:highlight w:val="none"/>
        </w:rPr>
        <w:br w:type="page"/>
      </w:r>
    </w:p>
    <w:p>
      <w:pPr>
        <w:spacing w:line="500" w:lineRule="exact"/>
        <w:jc w:val="center"/>
        <w:rPr>
          <w:rFonts w:ascii="楷体" w:hAnsi="楷体" w:eastAsia="楷体" w:cs="楷体"/>
          <w:b/>
          <w:color w:val="auto"/>
          <w:sz w:val="44"/>
          <w:szCs w:val="44"/>
          <w:highlight w:val="none"/>
        </w:rPr>
      </w:pPr>
      <w:r>
        <w:rPr>
          <w:rFonts w:hint="eastAsia" w:ascii="楷体" w:hAnsi="楷体" w:eastAsia="楷体" w:cs="楷体"/>
          <w:b/>
          <w:color w:val="auto"/>
          <w:sz w:val="44"/>
          <w:szCs w:val="44"/>
          <w:highlight w:val="none"/>
        </w:rPr>
        <w:t>第七部分  评标定标办法</w:t>
      </w:r>
    </w:p>
    <w:p>
      <w:pPr>
        <w:spacing w:line="440" w:lineRule="exact"/>
        <w:ind w:firstLine="880" w:firstLineChars="200"/>
        <w:jc w:val="center"/>
        <w:rPr>
          <w:rFonts w:ascii="楷体" w:hAnsi="楷体" w:eastAsia="楷体" w:cs="楷体"/>
          <w:b/>
          <w:color w:val="auto"/>
          <w:sz w:val="44"/>
          <w:szCs w:val="44"/>
          <w:highlight w:val="none"/>
        </w:rPr>
      </w:pPr>
    </w:p>
    <w:tbl>
      <w:tblPr>
        <w:tblStyle w:val="20"/>
        <w:tblW w:w="9397" w:type="dxa"/>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817"/>
        <w:gridCol w:w="73"/>
        <w:gridCol w:w="1061"/>
        <w:gridCol w:w="827"/>
        <w:gridCol w:w="1841"/>
        <w:gridCol w:w="4778"/>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9397" w:type="dxa"/>
            <w:gridSpan w:val="6"/>
            <w:tcBorders>
              <w:top w:val="outset" w:color="auto" w:sz="6" w:space="0"/>
              <w:left w:val="outset" w:color="auto" w:sz="6" w:space="0"/>
              <w:bottom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初步评审</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2778" w:type="dxa"/>
            <w:gridSpan w:val="4"/>
            <w:tcBorders>
              <w:top w:val="outset" w:color="auto" w:sz="6" w:space="0"/>
              <w:left w:val="outset" w:color="auto" w:sz="6" w:space="0"/>
              <w:bottom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highlight w:val="none"/>
              </w:rPr>
            </w:pPr>
            <w:r>
              <w:rPr>
                <w:rFonts w:hint="eastAsia" w:ascii="楷体" w:hAnsi="楷体" w:eastAsia="楷体" w:cs="楷体"/>
                <w:color w:val="auto"/>
                <w:highlight w:val="none"/>
              </w:rPr>
              <w:t>条款号</w:t>
            </w:r>
          </w:p>
        </w:tc>
        <w:tc>
          <w:tcPr>
            <w:tcW w:w="1841" w:type="dxa"/>
            <w:tcBorders>
              <w:top w:val="outset" w:color="auto" w:sz="6" w:space="0"/>
              <w:left w:val="outset" w:color="auto" w:sz="6" w:space="0"/>
              <w:bottom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highlight w:val="none"/>
              </w:rPr>
            </w:pPr>
            <w:r>
              <w:rPr>
                <w:rFonts w:hint="eastAsia" w:ascii="楷体" w:hAnsi="楷体" w:eastAsia="楷体" w:cs="楷体"/>
                <w:color w:val="auto"/>
                <w:highlight w:val="none"/>
              </w:rPr>
              <w:t>评审因素</w:t>
            </w:r>
          </w:p>
        </w:tc>
        <w:tc>
          <w:tcPr>
            <w:tcW w:w="4778" w:type="dxa"/>
            <w:tcBorders>
              <w:top w:val="outset" w:color="auto" w:sz="6" w:space="0"/>
              <w:left w:val="outset" w:color="auto" w:sz="6" w:space="0"/>
              <w:bottom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highlight w:val="none"/>
              </w:rPr>
            </w:pPr>
            <w:r>
              <w:rPr>
                <w:rFonts w:hint="eastAsia" w:ascii="楷体" w:hAnsi="楷体" w:eastAsia="楷体" w:cs="楷体"/>
                <w:color w:val="auto"/>
                <w:highlight w:val="none"/>
              </w:rPr>
              <w:t>评审标准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890" w:type="dxa"/>
            <w:gridSpan w:val="2"/>
            <w:vMerge w:val="restart"/>
            <w:tcBorders>
              <w:top w:val="outset" w:color="auto" w:sz="6" w:space="0"/>
              <w:left w:val="outset" w:color="auto" w:sz="6" w:space="0"/>
              <w:bottom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highlight w:val="none"/>
              </w:rPr>
            </w:pPr>
            <w:r>
              <w:rPr>
                <w:rFonts w:hint="eastAsia" w:ascii="楷体" w:hAnsi="楷体" w:eastAsia="楷体" w:cs="楷体"/>
                <w:color w:val="auto"/>
                <w:highlight w:val="none"/>
              </w:rPr>
              <w:t>1.1.1</w:t>
            </w:r>
          </w:p>
        </w:tc>
        <w:tc>
          <w:tcPr>
            <w:tcW w:w="1888" w:type="dxa"/>
            <w:gridSpan w:val="2"/>
            <w:vMerge w:val="restart"/>
            <w:tcBorders>
              <w:top w:val="outset" w:color="auto" w:sz="6" w:space="0"/>
              <w:left w:val="outset" w:color="auto" w:sz="6" w:space="0"/>
              <w:bottom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highlight w:val="none"/>
              </w:rPr>
            </w:pPr>
            <w:r>
              <w:rPr>
                <w:rFonts w:hint="eastAsia" w:ascii="楷体" w:hAnsi="楷体" w:eastAsia="楷体" w:cs="楷体"/>
                <w:color w:val="auto"/>
                <w:highlight w:val="none"/>
              </w:rPr>
              <w:t>形式性评审标准</w:t>
            </w:r>
          </w:p>
        </w:tc>
        <w:tc>
          <w:tcPr>
            <w:tcW w:w="1841" w:type="dxa"/>
            <w:tcBorders>
              <w:top w:val="outset" w:color="auto" w:sz="6" w:space="0"/>
              <w:left w:val="outset" w:color="auto" w:sz="6" w:space="0"/>
              <w:bottom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left"/>
              <w:textAlignment w:val="auto"/>
              <w:rPr>
                <w:rFonts w:ascii="楷体" w:hAnsi="楷体" w:eastAsia="楷体" w:cs="楷体"/>
                <w:color w:val="auto"/>
                <w:highlight w:val="none"/>
              </w:rPr>
            </w:pPr>
            <w:r>
              <w:rPr>
                <w:rFonts w:hint="eastAsia" w:ascii="楷体" w:hAnsi="楷体" w:eastAsia="楷体" w:cs="楷体"/>
                <w:color w:val="auto"/>
                <w:highlight w:val="none"/>
              </w:rPr>
              <w:t>投标人名称</w:t>
            </w:r>
          </w:p>
        </w:tc>
        <w:tc>
          <w:tcPr>
            <w:tcW w:w="4778" w:type="dxa"/>
            <w:tcBorders>
              <w:top w:val="outset" w:color="auto" w:sz="6" w:space="0"/>
              <w:left w:val="outset" w:color="auto" w:sz="6" w:space="0"/>
              <w:bottom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left"/>
              <w:textAlignment w:val="auto"/>
              <w:rPr>
                <w:rFonts w:ascii="楷体" w:hAnsi="楷体" w:eastAsia="楷体" w:cs="楷体"/>
                <w:color w:val="auto"/>
                <w:highlight w:val="none"/>
              </w:rPr>
            </w:pPr>
            <w:r>
              <w:rPr>
                <w:rFonts w:hint="eastAsia" w:ascii="楷体" w:hAnsi="楷体" w:eastAsia="楷体" w:cs="楷体"/>
                <w:color w:val="auto"/>
                <w:highlight w:val="none"/>
              </w:rPr>
              <w:t>与营业执照、资质证书、安全生产许可证一致；</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890" w:type="dxa"/>
            <w:gridSpan w:val="2"/>
            <w:vMerge w:val="continue"/>
            <w:tcBorders>
              <w:top w:val="outset" w:color="auto" w:sz="6" w:space="0"/>
              <w:left w:val="outset" w:color="auto" w:sz="6" w:space="0"/>
              <w:bottom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highlight w:val="none"/>
              </w:rPr>
            </w:pPr>
          </w:p>
        </w:tc>
        <w:tc>
          <w:tcPr>
            <w:tcW w:w="1888" w:type="dxa"/>
            <w:gridSpan w:val="2"/>
            <w:vMerge w:val="continue"/>
            <w:tcBorders>
              <w:top w:val="outset" w:color="auto" w:sz="6" w:space="0"/>
              <w:left w:val="outset" w:color="auto" w:sz="6" w:space="0"/>
              <w:bottom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highlight w:val="none"/>
              </w:rPr>
            </w:pPr>
          </w:p>
        </w:tc>
        <w:tc>
          <w:tcPr>
            <w:tcW w:w="1841" w:type="dxa"/>
            <w:tcBorders>
              <w:top w:val="outset" w:color="auto" w:sz="6" w:space="0"/>
              <w:left w:val="outset" w:color="auto" w:sz="6" w:space="0"/>
              <w:bottom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left"/>
              <w:textAlignment w:val="auto"/>
              <w:rPr>
                <w:rFonts w:ascii="楷体" w:hAnsi="楷体" w:eastAsia="楷体" w:cs="楷体"/>
                <w:color w:val="auto"/>
                <w:highlight w:val="none"/>
              </w:rPr>
            </w:pPr>
            <w:r>
              <w:rPr>
                <w:rFonts w:hint="eastAsia" w:ascii="楷体" w:hAnsi="楷体" w:eastAsia="楷体" w:cs="楷体"/>
                <w:color w:val="auto"/>
                <w:highlight w:val="none"/>
              </w:rPr>
              <w:t>投标函签字盖章</w:t>
            </w:r>
          </w:p>
        </w:tc>
        <w:tc>
          <w:tcPr>
            <w:tcW w:w="4778" w:type="dxa"/>
            <w:tcBorders>
              <w:top w:val="outset" w:color="auto" w:sz="6" w:space="0"/>
              <w:left w:val="outset" w:color="auto" w:sz="6" w:space="0"/>
              <w:bottom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left"/>
              <w:textAlignment w:val="auto"/>
              <w:rPr>
                <w:rFonts w:ascii="楷体" w:hAnsi="楷体" w:eastAsia="楷体" w:cs="楷体"/>
                <w:color w:val="auto"/>
                <w:highlight w:val="none"/>
              </w:rPr>
            </w:pPr>
            <w:r>
              <w:rPr>
                <w:rFonts w:hint="eastAsia" w:ascii="楷体" w:hAnsi="楷体" w:eastAsia="楷体" w:cs="楷体"/>
                <w:color w:val="auto"/>
                <w:highlight w:val="none"/>
              </w:rPr>
              <w:t>有法定代表人的签章并加盖法人印章</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61" w:hRule="atLeast"/>
          <w:jc w:val="center"/>
        </w:trPr>
        <w:tc>
          <w:tcPr>
            <w:tcW w:w="890" w:type="dxa"/>
            <w:gridSpan w:val="2"/>
            <w:vMerge w:val="continue"/>
            <w:tcBorders>
              <w:top w:val="outset" w:color="auto" w:sz="6" w:space="0"/>
              <w:left w:val="outset" w:color="auto" w:sz="6" w:space="0"/>
              <w:bottom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highlight w:val="none"/>
              </w:rPr>
            </w:pPr>
          </w:p>
        </w:tc>
        <w:tc>
          <w:tcPr>
            <w:tcW w:w="1888" w:type="dxa"/>
            <w:gridSpan w:val="2"/>
            <w:vMerge w:val="continue"/>
            <w:tcBorders>
              <w:top w:val="outset" w:color="auto" w:sz="6" w:space="0"/>
              <w:left w:val="outset" w:color="auto" w:sz="6" w:space="0"/>
              <w:bottom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highlight w:val="none"/>
              </w:rPr>
            </w:pPr>
          </w:p>
        </w:tc>
        <w:tc>
          <w:tcPr>
            <w:tcW w:w="1841" w:type="dxa"/>
            <w:tcBorders>
              <w:top w:val="outset" w:color="auto" w:sz="6" w:space="0"/>
              <w:left w:val="outset" w:color="auto" w:sz="6" w:space="0"/>
              <w:bottom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left"/>
              <w:textAlignment w:val="auto"/>
              <w:rPr>
                <w:rFonts w:ascii="楷体" w:hAnsi="楷体" w:eastAsia="楷体" w:cs="楷体"/>
                <w:color w:val="auto"/>
                <w:highlight w:val="none"/>
              </w:rPr>
            </w:pPr>
            <w:r>
              <w:rPr>
                <w:rFonts w:hint="eastAsia" w:ascii="楷体" w:hAnsi="楷体" w:eastAsia="楷体" w:cs="楷体"/>
                <w:color w:val="auto"/>
                <w:highlight w:val="none"/>
              </w:rPr>
              <w:t>报价唯一</w:t>
            </w:r>
          </w:p>
        </w:tc>
        <w:tc>
          <w:tcPr>
            <w:tcW w:w="4778" w:type="dxa"/>
            <w:tcBorders>
              <w:top w:val="outset" w:color="auto" w:sz="6" w:space="0"/>
              <w:left w:val="outset" w:color="auto" w:sz="6" w:space="0"/>
              <w:bottom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left"/>
              <w:textAlignment w:val="auto"/>
              <w:rPr>
                <w:rFonts w:ascii="楷体" w:hAnsi="楷体" w:eastAsia="楷体" w:cs="楷体"/>
                <w:color w:val="auto"/>
                <w:highlight w:val="none"/>
              </w:rPr>
            </w:pPr>
            <w:r>
              <w:rPr>
                <w:rFonts w:hint="eastAsia" w:ascii="楷体" w:hAnsi="楷体" w:eastAsia="楷体" w:cs="楷体"/>
                <w:color w:val="auto"/>
                <w:highlight w:val="none"/>
              </w:rPr>
              <w:t>只能有一个有效报价</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57" w:hRule="atLeast"/>
          <w:jc w:val="center"/>
        </w:trPr>
        <w:tc>
          <w:tcPr>
            <w:tcW w:w="890" w:type="dxa"/>
            <w:gridSpan w:val="2"/>
            <w:vMerge w:val="restart"/>
            <w:tcBorders>
              <w:top w:val="outset" w:color="auto" w:sz="6" w:space="0"/>
              <w:left w:val="outset" w:color="auto" w:sz="6" w:space="0"/>
              <w:bottom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highlight w:val="none"/>
              </w:rPr>
            </w:pPr>
            <w:r>
              <w:rPr>
                <w:rFonts w:hint="eastAsia" w:ascii="楷体" w:hAnsi="楷体" w:eastAsia="楷体" w:cs="楷体"/>
                <w:color w:val="auto"/>
                <w:highlight w:val="none"/>
              </w:rPr>
              <w:t>1.1.2</w:t>
            </w:r>
          </w:p>
        </w:tc>
        <w:tc>
          <w:tcPr>
            <w:tcW w:w="1888" w:type="dxa"/>
            <w:gridSpan w:val="2"/>
            <w:vMerge w:val="restart"/>
            <w:tcBorders>
              <w:top w:val="outset" w:color="auto" w:sz="6" w:space="0"/>
              <w:left w:val="outset" w:color="auto" w:sz="6" w:space="0"/>
              <w:bottom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highlight w:val="none"/>
              </w:rPr>
            </w:pPr>
            <w:r>
              <w:rPr>
                <w:rFonts w:hint="eastAsia" w:ascii="楷体" w:hAnsi="楷体" w:eastAsia="楷体" w:cs="楷体"/>
                <w:color w:val="auto"/>
                <w:highlight w:val="none"/>
              </w:rPr>
              <w:t>资格评审标准</w:t>
            </w:r>
          </w:p>
        </w:tc>
        <w:tc>
          <w:tcPr>
            <w:tcW w:w="1841" w:type="dxa"/>
            <w:tcBorders>
              <w:top w:val="outset" w:color="auto" w:sz="6" w:space="0"/>
              <w:left w:val="outset" w:color="auto" w:sz="6" w:space="0"/>
              <w:bottom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left"/>
              <w:textAlignment w:val="auto"/>
              <w:rPr>
                <w:rFonts w:ascii="楷体" w:hAnsi="楷体" w:eastAsia="楷体" w:cs="楷体"/>
                <w:color w:val="auto"/>
                <w:highlight w:val="none"/>
              </w:rPr>
            </w:pPr>
            <w:r>
              <w:rPr>
                <w:rFonts w:hint="eastAsia" w:ascii="楷体" w:hAnsi="楷体" w:eastAsia="楷体" w:cs="楷体"/>
                <w:color w:val="auto"/>
                <w:highlight w:val="none"/>
              </w:rPr>
              <w:t>营业执照</w:t>
            </w:r>
          </w:p>
        </w:tc>
        <w:tc>
          <w:tcPr>
            <w:tcW w:w="4778" w:type="dxa"/>
            <w:tcBorders>
              <w:top w:val="outset" w:color="auto" w:sz="6" w:space="0"/>
              <w:left w:val="outset" w:color="auto" w:sz="6" w:space="0"/>
              <w:bottom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left"/>
              <w:textAlignment w:val="auto"/>
              <w:rPr>
                <w:rFonts w:ascii="楷体" w:hAnsi="楷体" w:eastAsia="楷体" w:cs="楷体"/>
                <w:color w:val="auto"/>
                <w:highlight w:val="none"/>
              </w:rPr>
            </w:pPr>
            <w:r>
              <w:rPr>
                <w:rFonts w:hint="eastAsia" w:ascii="楷体" w:hAnsi="楷体" w:eastAsia="楷体" w:cs="楷体"/>
                <w:color w:val="auto"/>
                <w:highlight w:val="none"/>
              </w:rPr>
              <w:t>具备有效的营业执照</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53" w:hRule="atLeast"/>
          <w:jc w:val="center"/>
        </w:trPr>
        <w:tc>
          <w:tcPr>
            <w:tcW w:w="890" w:type="dxa"/>
            <w:gridSpan w:val="2"/>
            <w:vMerge w:val="continue"/>
            <w:tcBorders>
              <w:top w:val="outset" w:color="auto" w:sz="6" w:space="0"/>
              <w:left w:val="outset" w:color="auto" w:sz="6" w:space="0"/>
              <w:bottom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highlight w:val="none"/>
              </w:rPr>
            </w:pPr>
          </w:p>
        </w:tc>
        <w:tc>
          <w:tcPr>
            <w:tcW w:w="1888" w:type="dxa"/>
            <w:gridSpan w:val="2"/>
            <w:vMerge w:val="continue"/>
            <w:tcBorders>
              <w:top w:val="outset" w:color="auto" w:sz="6" w:space="0"/>
              <w:left w:val="outset" w:color="auto" w:sz="6" w:space="0"/>
              <w:bottom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highlight w:val="none"/>
              </w:rPr>
            </w:pPr>
          </w:p>
        </w:tc>
        <w:tc>
          <w:tcPr>
            <w:tcW w:w="1841" w:type="dxa"/>
            <w:tcBorders>
              <w:top w:val="outset" w:color="auto" w:sz="6" w:space="0"/>
              <w:left w:val="outset" w:color="auto" w:sz="6" w:space="0"/>
              <w:bottom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left"/>
              <w:textAlignment w:val="auto"/>
              <w:rPr>
                <w:rFonts w:ascii="楷体" w:hAnsi="楷体" w:eastAsia="楷体" w:cs="楷体"/>
                <w:color w:val="auto"/>
                <w:highlight w:val="none"/>
              </w:rPr>
            </w:pPr>
            <w:r>
              <w:rPr>
                <w:rFonts w:hint="eastAsia" w:ascii="楷体" w:hAnsi="楷体" w:eastAsia="楷体" w:cs="楷体"/>
                <w:color w:val="auto"/>
                <w:highlight w:val="none"/>
              </w:rPr>
              <w:t>安全生产许可证</w:t>
            </w:r>
          </w:p>
        </w:tc>
        <w:tc>
          <w:tcPr>
            <w:tcW w:w="4778" w:type="dxa"/>
            <w:tcBorders>
              <w:top w:val="outset" w:color="auto" w:sz="6" w:space="0"/>
              <w:left w:val="outset" w:color="auto" w:sz="6" w:space="0"/>
              <w:bottom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left"/>
              <w:textAlignment w:val="auto"/>
              <w:rPr>
                <w:rFonts w:ascii="楷体" w:hAnsi="楷体" w:eastAsia="楷体" w:cs="楷体"/>
                <w:color w:val="auto"/>
                <w:highlight w:val="none"/>
              </w:rPr>
            </w:pPr>
            <w:r>
              <w:rPr>
                <w:rFonts w:hint="eastAsia" w:ascii="楷体" w:hAnsi="楷体" w:eastAsia="楷体" w:cs="楷体"/>
                <w:color w:val="auto"/>
                <w:highlight w:val="none"/>
              </w:rPr>
              <w:t>具备有效的安全生产许可证</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46" w:hRule="atLeast"/>
          <w:jc w:val="center"/>
        </w:trPr>
        <w:tc>
          <w:tcPr>
            <w:tcW w:w="890" w:type="dxa"/>
            <w:gridSpan w:val="2"/>
            <w:vMerge w:val="continue"/>
            <w:tcBorders>
              <w:top w:val="outset" w:color="auto" w:sz="6" w:space="0"/>
              <w:left w:val="outset" w:color="auto" w:sz="6" w:space="0"/>
              <w:bottom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highlight w:val="none"/>
              </w:rPr>
            </w:pPr>
          </w:p>
        </w:tc>
        <w:tc>
          <w:tcPr>
            <w:tcW w:w="1888" w:type="dxa"/>
            <w:gridSpan w:val="2"/>
            <w:vMerge w:val="continue"/>
            <w:tcBorders>
              <w:top w:val="outset" w:color="auto" w:sz="6" w:space="0"/>
              <w:left w:val="outset" w:color="auto" w:sz="6" w:space="0"/>
              <w:bottom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highlight w:val="none"/>
              </w:rPr>
            </w:pPr>
          </w:p>
        </w:tc>
        <w:tc>
          <w:tcPr>
            <w:tcW w:w="1841" w:type="dxa"/>
            <w:tcBorders>
              <w:top w:val="outset" w:color="auto" w:sz="6" w:space="0"/>
              <w:left w:val="outset" w:color="auto" w:sz="6" w:space="0"/>
              <w:bottom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left"/>
              <w:textAlignment w:val="auto"/>
              <w:rPr>
                <w:rFonts w:ascii="楷体" w:hAnsi="楷体" w:eastAsia="楷体" w:cs="楷体"/>
                <w:color w:val="auto"/>
                <w:highlight w:val="none"/>
              </w:rPr>
            </w:pPr>
            <w:r>
              <w:rPr>
                <w:rFonts w:hint="eastAsia" w:ascii="楷体" w:hAnsi="楷体" w:eastAsia="楷体" w:cs="楷体"/>
                <w:color w:val="auto"/>
                <w:highlight w:val="none"/>
              </w:rPr>
              <w:t>资质证书</w:t>
            </w:r>
          </w:p>
        </w:tc>
        <w:tc>
          <w:tcPr>
            <w:tcW w:w="4778" w:type="dxa"/>
            <w:tcBorders>
              <w:top w:val="outset" w:color="auto" w:sz="6" w:space="0"/>
              <w:left w:val="outset" w:color="auto" w:sz="6" w:space="0"/>
              <w:bottom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left"/>
              <w:textAlignment w:val="auto"/>
              <w:rPr>
                <w:rFonts w:ascii="楷体" w:hAnsi="楷体" w:eastAsia="楷体" w:cs="楷体"/>
                <w:color w:val="auto"/>
                <w:highlight w:val="none"/>
              </w:rPr>
            </w:pPr>
            <w:r>
              <w:rPr>
                <w:rFonts w:hint="eastAsia" w:ascii="楷体" w:hAnsi="楷体" w:eastAsia="楷体" w:cs="楷体"/>
                <w:color w:val="auto"/>
                <w:highlight w:val="none"/>
              </w:rPr>
              <w:t>具备有效的资质证书</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890" w:type="dxa"/>
            <w:gridSpan w:val="2"/>
            <w:vMerge w:val="continue"/>
            <w:tcBorders>
              <w:top w:val="outset" w:color="auto" w:sz="6" w:space="0"/>
              <w:left w:val="outset" w:color="auto" w:sz="6" w:space="0"/>
              <w:bottom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highlight w:val="none"/>
              </w:rPr>
            </w:pPr>
          </w:p>
        </w:tc>
        <w:tc>
          <w:tcPr>
            <w:tcW w:w="1888" w:type="dxa"/>
            <w:gridSpan w:val="2"/>
            <w:vMerge w:val="continue"/>
            <w:tcBorders>
              <w:top w:val="outset" w:color="auto" w:sz="6" w:space="0"/>
              <w:left w:val="outset" w:color="auto" w:sz="6" w:space="0"/>
              <w:bottom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highlight w:val="none"/>
              </w:rPr>
            </w:pPr>
          </w:p>
        </w:tc>
        <w:tc>
          <w:tcPr>
            <w:tcW w:w="1841" w:type="dxa"/>
            <w:tcBorders>
              <w:top w:val="outset" w:color="auto" w:sz="6" w:space="0"/>
              <w:left w:val="outset" w:color="auto" w:sz="6" w:space="0"/>
              <w:bottom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left"/>
              <w:textAlignment w:val="auto"/>
              <w:rPr>
                <w:rFonts w:ascii="楷体" w:hAnsi="楷体" w:eastAsia="楷体" w:cs="楷体"/>
                <w:color w:val="auto"/>
                <w:highlight w:val="none"/>
              </w:rPr>
            </w:pPr>
            <w:r>
              <w:rPr>
                <w:rFonts w:hint="eastAsia" w:ascii="楷体" w:hAnsi="楷体" w:eastAsia="楷体" w:cs="楷体"/>
                <w:color w:val="auto"/>
                <w:highlight w:val="none"/>
              </w:rPr>
              <w:t>资质等级</w:t>
            </w:r>
          </w:p>
        </w:tc>
        <w:tc>
          <w:tcPr>
            <w:tcW w:w="4778" w:type="dxa"/>
            <w:tcBorders>
              <w:top w:val="outset" w:color="auto" w:sz="6" w:space="0"/>
              <w:left w:val="outset" w:color="auto" w:sz="6" w:space="0"/>
              <w:bottom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left"/>
              <w:textAlignment w:val="auto"/>
              <w:rPr>
                <w:rFonts w:ascii="楷体" w:hAnsi="楷体" w:eastAsia="楷体" w:cs="楷体"/>
                <w:color w:val="auto"/>
                <w:highlight w:val="none"/>
              </w:rPr>
            </w:pPr>
            <w:r>
              <w:rPr>
                <w:rFonts w:hint="eastAsia" w:ascii="楷体" w:hAnsi="楷体" w:eastAsia="楷体" w:cs="楷体"/>
                <w:color w:val="auto"/>
                <w:highlight w:val="none"/>
              </w:rPr>
              <w:t>符合投标人资格要求中对应规定</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48" w:hRule="atLeast"/>
          <w:jc w:val="center"/>
        </w:trPr>
        <w:tc>
          <w:tcPr>
            <w:tcW w:w="890" w:type="dxa"/>
            <w:gridSpan w:val="2"/>
            <w:vMerge w:val="continue"/>
            <w:tcBorders>
              <w:top w:val="outset" w:color="auto" w:sz="6" w:space="0"/>
              <w:left w:val="outset" w:color="auto" w:sz="6" w:space="0"/>
              <w:bottom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highlight w:val="none"/>
              </w:rPr>
            </w:pPr>
          </w:p>
        </w:tc>
        <w:tc>
          <w:tcPr>
            <w:tcW w:w="1888" w:type="dxa"/>
            <w:gridSpan w:val="2"/>
            <w:vMerge w:val="continue"/>
            <w:tcBorders>
              <w:top w:val="outset" w:color="auto" w:sz="6" w:space="0"/>
              <w:left w:val="outset" w:color="auto" w:sz="6" w:space="0"/>
              <w:bottom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highlight w:val="none"/>
              </w:rPr>
            </w:pPr>
          </w:p>
        </w:tc>
        <w:tc>
          <w:tcPr>
            <w:tcW w:w="1841" w:type="dxa"/>
            <w:tcBorders>
              <w:top w:val="outset" w:color="auto" w:sz="6" w:space="0"/>
              <w:left w:val="outset" w:color="auto" w:sz="6" w:space="0"/>
              <w:bottom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left"/>
              <w:textAlignment w:val="auto"/>
              <w:rPr>
                <w:rFonts w:ascii="楷体" w:hAnsi="楷体" w:eastAsia="楷体" w:cs="楷体"/>
                <w:color w:val="auto"/>
                <w:highlight w:val="none"/>
              </w:rPr>
            </w:pPr>
            <w:r>
              <w:rPr>
                <w:rFonts w:hint="eastAsia" w:ascii="楷体" w:hAnsi="楷体" w:eastAsia="楷体" w:cs="楷体"/>
                <w:color w:val="auto"/>
                <w:highlight w:val="none"/>
              </w:rPr>
              <w:t>财务要求</w:t>
            </w:r>
          </w:p>
        </w:tc>
        <w:tc>
          <w:tcPr>
            <w:tcW w:w="4778" w:type="dxa"/>
            <w:tcBorders>
              <w:top w:val="outset" w:color="auto" w:sz="6" w:space="0"/>
              <w:left w:val="outset" w:color="auto" w:sz="6" w:space="0"/>
              <w:bottom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left"/>
              <w:textAlignment w:val="auto"/>
              <w:rPr>
                <w:rFonts w:ascii="楷体" w:hAnsi="楷体" w:eastAsia="楷体" w:cs="楷体"/>
                <w:color w:val="auto"/>
                <w:highlight w:val="none"/>
              </w:rPr>
            </w:pPr>
            <w:r>
              <w:rPr>
                <w:rFonts w:hint="eastAsia" w:ascii="楷体" w:hAnsi="楷体" w:eastAsia="楷体" w:cs="楷体"/>
                <w:color w:val="auto"/>
                <w:highlight w:val="none"/>
              </w:rPr>
              <w:t>符合投标人资格要求中对应规定</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41" w:hRule="atLeast"/>
          <w:jc w:val="center"/>
        </w:trPr>
        <w:tc>
          <w:tcPr>
            <w:tcW w:w="890" w:type="dxa"/>
            <w:gridSpan w:val="2"/>
            <w:vMerge w:val="continue"/>
            <w:tcBorders>
              <w:top w:val="outset" w:color="auto" w:sz="6" w:space="0"/>
              <w:left w:val="outset" w:color="auto" w:sz="6" w:space="0"/>
              <w:bottom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highlight w:val="none"/>
              </w:rPr>
            </w:pPr>
          </w:p>
        </w:tc>
        <w:tc>
          <w:tcPr>
            <w:tcW w:w="1888" w:type="dxa"/>
            <w:gridSpan w:val="2"/>
            <w:vMerge w:val="continue"/>
            <w:tcBorders>
              <w:top w:val="outset" w:color="auto" w:sz="6" w:space="0"/>
              <w:left w:val="outset" w:color="auto" w:sz="6" w:space="0"/>
              <w:bottom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highlight w:val="none"/>
              </w:rPr>
            </w:pPr>
          </w:p>
        </w:tc>
        <w:tc>
          <w:tcPr>
            <w:tcW w:w="1841" w:type="dxa"/>
            <w:tcBorders>
              <w:top w:val="outset" w:color="auto" w:sz="6" w:space="0"/>
              <w:left w:val="outset" w:color="auto" w:sz="6" w:space="0"/>
              <w:bottom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left"/>
              <w:textAlignment w:val="auto"/>
              <w:rPr>
                <w:rFonts w:ascii="楷体" w:hAnsi="楷体" w:eastAsia="楷体" w:cs="楷体"/>
                <w:color w:val="auto"/>
                <w:highlight w:val="none"/>
              </w:rPr>
            </w:pPr>
            <w:r>
              <w:rPr>
                <w:rFonts w:hint="eastAsia" w:ascii="楷体" w:hAnsi="楷体" w:eastAsia="楷体" w:cs="楷体"/>
                <w:color w:val="auto"/>
                <w:highlight w:val="none"/>
              </w:rPr>
              <w:t>业绩要求</w:t>
            </w:r>
          </w:p>
        </w:tc>
        <w:tc>
          <w:tcPr>
            <w:tcW w:w="4778" w:type="dxa"/>
            <w:tcBorders>
              <w:top w:val="outset" w:color="auto" w:sz="6" w:space="0"/>
              <w:left w:val="outset" w:color="auto" w:sz="6" w:space="0"/>
              <w:bottom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left"/>
              <w:textAlignment w:val="auto"/>
              <w:rPr>
                <w:rFonts w:ascii="楷体" w:hAnsi="楷体" w:eastAsia="楷体" w:cs="楷体"/>
                <w:color w:val="auto"/>
                <w:highlight w:val="none"/>
              </w:rPr>
            </w:pPr>
            <w:r>
              <w:rPr>
                <w:rFonts w:hint="eastAsia" w:ascii="楷体" w:hAnsi="楷体" w:eastAsia="楷体" w:cs="楷体"/>
                <w:color w:val="auto"/>
                <w:highlight w:val="none"/>
              </w:rPr>
              <w:t>符合投标人资格要求中对应规定</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49" w:hRule="atLeast"/>
          <w:jc w:val="center"/>
        </w:trPr>
        <w:tc>
          <w:tcPr>
            <w:tcW w:w="890" w:type="dxa"/>
            <w:gridSpan w:val="2"/>
            <w:vMerge w:val="continue"/>
            <w:tcBorders>
              <w:top w:val="outset" w:color="auto" w:sz="6" w:space="0"/>
              <w:left w:val="outset" w:color="auto" w:sz="6" w:space="0"/>
              <w:bottom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highlight w:val="none"/>
              </w:rPr>
            </w:pPr>
          </w:p>
        </w:tc>
        <w:tc>
          <w:tcPr>
            <w:tcW w:w="1888" w:type="dxa"/>
            <w:gridSpan w:val="2"/>
            <w:vMerge w:val="continue"/>
            <w:tcBorders>
              <w:top w:val="outset" w:color="auto" w:sz="6" w:space="0"/>
              <w:left w:val="outset" w:color="auto" w:sz="6" w:space="0"/>
              <w:bottom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highlight w:val="none"/>
              </w:rPr>
            </w:pPr>
          </w:p>
        </w:tc>
        <w:tc>
          <w:tcPr>
            <w:tcW w:w="1841" w:type="dxa"/>
            <w:tcBorders>
              <w:top w:val="outset" w:color="auto" w:sz="6" w:space="0"/>
              <w:left w:val="outset" w:color="auto" w:sz="6" w:space="0"/>
              <w:bottom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left"/>
              <w:textAlignment w:val="auto"/>
              <w:rPr>
                <w:rFonts w:ascii="楷体" w:hAnsi="楷体" w:eastAsia="楷体" w:cs="楷体"/>
                <w:color w:val="auto"/>
                <w:highlight w:val="none"/>
              </w:rPr>
            </w:pPr>
            <w:r>
              <w:rPr>
                <w:rFonts w:hint="eastAsia" w:ascii="楷体" w:hAnsi="楷体" w:eastAsia="楷体" w:cs="楷体"/>
                <w:color w:val="auto"/>
                <w:highlight w:val="none"/>
              </w:rPr>
              <w:t>拟派工程总承包项目经理（项目负责人，余同）要求</w:t>
            </w:r>
          </w:p>
        </w:tc>
        <w:tc>
          <w:tcPr>
            <w:tcW w:w="4778" w:type="dxa"/>
            <w:tcBorders>
              <w:top w:val="outset" w:color="auto" w:sz="6" w:space="0"/>
              <w:left w:val="outset" w:color="auto" w:sz="6" w:space="0"/>
              <w:bottom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left"/>
              <w:textAlignment w:val="auto"/>
              <w:rPr>
                <w:rFonts w:ascii="楷体" w:hAnsi="楷体" w:eastAsia="楷体" w:cs="楷体"/>
                <w:color w:val="auto"/>
                <w:highlight w:val="none"/>
              </w:rPr>
            </w:pPr>
            <w:r>
              <w:rPr>
                <w:rFonts w:hint="eastAsia" w:ascii="楷体" w:hAnsi="楷体" w:eastAsia="楷体" w:cs="楷体"/>
                <w:color w:val="auto"/>
                <w:highlight w:val="none"/>
              </w:rPr>
              <w:t>符合投标人资格要求中对应规定</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890" w:type="dxa"/>
            <w:gridSpan w:val="2"/>
            <w:vMerge w:val="continue"/>
            <w:tcBorders>
              <w:top w:val="outset" w:color="auto" w:sz="6" w:space="0"/>
              <w:left w:val="outset" w:color="auto" w:sz="6" w:space="0"/>
              <w:bottom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highlight w:val="none"/>
              </w:rPr>
            </w:pPr>
          </w:p>
        </w:tc>
        <w:tc>
          <w:tcPr>
            <w:tcW w:w="1888" w:type="dxa"/>
            <w:gridSpan w:val="2"/>
            <w:vMerge w:val="continue"/>
            <w:tcBorders>
              <w:top w:val="outset" w:color="auto" w:sz="6" w:space="0"/>
              <w:left w:val="outset" w:color="auto" w:sz="6" w:space="0"/>
              <w:bottom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highlight w:val="none"/>
              </w:rPr>
            </w:pPr>
          </w:p>
        </w:tc>
        <w:tc>
          <w:tcPr>
            <w:tcW w:w="1841" w:type="dxa"/>
            <w:tcBorders>
              <w:top w:val="outset" w:color="auto" w:sz="6" w:space="0"/>
              <w:left w:val="outset" w:color="auto" w:sz="6" w:space="0"/>
              <w:bottom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left"/>
              <w:textAlignment w:val="auto"/>
              <w:rPr>
                <w:rFonts w:ascii="楷体" w:hAnsi="楷体" w:eastAsia="楷体" w:cs="楷体"/>
                <w:color w:val="auto"/>
                <w:highlight w:val="none"/>
              </w:rPr>
            </w:pPr>
            <w:r>
              <w:rPr>
                <w:rFonts w:hint="eastAsia" w:ascii="楷体" w:hAnsi="楷体" w:eastAsia="楷体" w:cs="楷体"/>
                <w:color w:val="auto"/>
                <w:highlight w:val="none"/>
              </w:rPr>
              <w:t>其他要求</w:t>
            </w:r>
          </w:p>
        </w:tc>
        <w:tc>
          <w:tcPr>
            <w:tcW w:w="4778" w:type="dxa"/>
            <w:tcBorders>
              <w:top w:val="outset" w:color="auto" w:sz="6" w:space="0"/>
              <w:left w:val="outset" w:color="auto" w:sz="6" w:space="0"/>
              <w:bottom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left"/>
              <w:textAlignment w:val="auto"/>
              <w:rPr>
                <w:rFonts w:ascii="楷体" w:hAnsi="楷体" w:eastAsia="楷体" w:cs="楷体"/>
                <w:color w:val="auto"/>
                <w:highlight w:val="none"/>
              </w:rPr>
            </w:pPr>
            <w:r>
              <w:rPr>
                <w:rFonts w:hint="eastAsia" w:ascii="楷体" w:hAnsi="楷体" w:eastAsia="楷体" w:cs="楷体"/>
                <w:color w:val="auto"/>
                <w:highlight w:val="none"/>
              </w:rPr>
              <w:t>符合投标人资格要求中对应规定</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83" w:hRule="atLeast"/>
          <w:jc w:val="center"/>
        </w:trPr>
        <w:tc>
          <w:tcPr>
            <w:tcW w:w="890" w:type="dxa"/>
            <w:gridSpan w:val="2"/>
            <w:vMerge w:val="restart"/>
            <w:tcBorders>
              <w:top w:val="outset" w:color="auto" w:sz="6" w:space="0"/>
              <w:left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highlight w:val="none"/>
              </w:rPr>
            </w:pPr>
            <w:r>
              <w:rPr>
                <w:rFonts w:hint="eastAsia" w:ascii="楷体" w:hAnsi="楷体" w:eastAsia="楷体" w:cs="楷体"/>
                <w:color w:val="auto"/>
                <w:highlight w:val="none"/>
              </w:rPr>
              <w:t>1.1.3</w:t>
            </w:r>
          </w:p>
        </w:tc>
        <w:tc>
          <w:tcPr>
            <w:tcW w:w="1888" w:type="dxa"/>
            <w:gridSpan w:val="2"/>
            <w:vMerge w:val="restart"/>
            <w:tcBorders>
              <w:top w:val="outset" w:color="auto" w:sz="6" w:space="0"/>
              <w:left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highlight w:val="none"/>
              </w:rPr>
            </w:pPr>
            <w:r>
              <w:rPr>
                <w:rFonts w:hint="eastAsia" w:ascii="楷体" w:hAnsi="楷体" w:eastAsia="楷体" w:cs="楷体"/>
                <w:color w:val="auto"/>
                <w:highlight w:val="none"/>
              </w:rPr>
              <w:t>响应性评审标准</w:t>
            </w:r>
          </w:p>
        </w:tc>
        <w:tc>
          <w:tcPr>
            <w:tcW w:w="1841" w:type="dxa"/>
            <w:tcBorders>
              <w:top w:val="outset" w:color="auto" w:sz="6" w:space="0"/>
              <w:left w:val="outset" w:color="auto" w:sz="6" w:space="0"/>
              <w:bottom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left"/>
              <w:textAlignment w:val="auto"/>
              <w:rPr>
                <w:rFonts w:ascii="楷体" w:hAnsi="楷体" w:eastAsia="楷体" w:cs="楷体"/>
                <w:color w:val="auto"/>
                <w:highlight w:val="none"/>
              </w:rPr>
            </w:pPr>
            <w:r>
              <w:rPr>
                <w:rFonts w:hint="eastAsia" w:ascii="楷体" w:hAnsi="楷体" w:eastAsia="楷体" w:cs="楷体"/>
                <w:color w:val="auto"/>
                <w:highlight w:val="none"/>
              </w:rPr>
              <w:t>投标内容</w:t>
            </w:r>
          </w:p>
        </w:tc>
        <w:tc>
          <w:tcPr>
            <w:tcW w:w="4778" w:type="dxa"/>
            <w:tcBorders>
              <w:top w:val="outset" w:color="auto" w:sz="6" w:space="0"/>
              <w:left w:val="outset" w:color="auto" w:sz="6" w:space="0"/>
              <w:bottom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left"/>
              <w:textAlignment w:val="auto"/>
              <w:rPr>
                <w:rFonts w:ascii="楷体" w:hAnsi="楷体" w:eastAsia="楷体" w:cs="楷体"/>
                <w:color w:val="auto"/>
                <w:highlight w:val="none"/>
              </w:rPr>
            </w:pPr>
            <w:r>
              <w:rPr>
                <w:rFonts w:hint="eastAsia" w:ascii="楷体" w:hAnsi="楷体" w:eastAsia="楷体" w:cs="楷体"/>
                <w:color w:val="auto"/>
                <w:highlight w:val="none"/>
              </w:rPr>
              <w:t>符合投标人须知前附表中对应规定</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890" w:type="dxa"/>
            <w:gridSpan w:val="2"/>
            <w:vMerge w:val="continue"/>
            <w:tcBorders>
              <w:left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left"/>
              <w:textAlignment w:val="auto"/>
              <w:rPr>
                <w:rFonts w:ascii="楷体" w:hAnsi="楷体" w:eastAsia="楷体" w:cs="楷体"/>
                <w:color w:val="auto"/>
                <w:highlight w:val="none"/>
              </w:rPr>
            </w:pPr>
          </w:p>
        </w:tc>
        <w:tc>
          <w:tcPr>
            <w:tcW w:w="1888" w:type="dxa"/>
            <w:gridSpan w:val="2"/>
            <w:vMerge w:val="continue"/>
            <w:tcBorders>
              <w:left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left"/>
              <w:textAlignment w:val="auto"/>
              <w:rPr>
                <w:rFonts w:ascii="楷体" w:hAnsi="楷体" w:eastAsia="楷体" w:cs="楷体"/>
                <w:color w:val="auto"/>
                <w:highlight w:val="none"/>
              </w:rPr>
            </w:pPr>
          </w:p>
        </w:tc>
        <w:tc>
          <w:tcPr>
            <w:tcW w:w="1841" w:type="dxa"/>
            <w:tcBorders>
              <w:top w:val="outset" w:color="auto" w:sz="6" w:space="0"/>
              <w:left w:val="outset" w:color="auto" w:sz="6" w:space="0"/>
              <w:bottom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left"/>
              <w:textAlignment w:val="auto"/>
              <w:rPr>
                <w:rFonts w:ascii="楷体" w:hAnsi="楷体" w:eastAsia="楷体" w:cs="楷体"/>
                <w:color w:val="auto"/>
                <w:highlight w:val="none"/>
              </w:rPr>
            </w:pPr>
            <w:r>
              <w:rPr>
                <w:rFonts w:hint="eastAsia" w:ascii="楷体" w:hAnsi="楷体" w:eastAsia="楷体" w:cs="楷体"/>
                <w:color w:val="auto"/>
                <w:highlight w:val="none"/>
              </w:rPr>
              <w:t>工期</w:t>
            </w:r>
          </w:p>
        </w:tc>
        <w:tc>
          <w:tcPr>
            <w:tcW w:w="4778" w:type="dxa"/>
            <w:tcBorders>
              <w:top w:val="outset" w:color="auto" w:sz="6" w:space="0"/>
              <w:left w:val="outset" w:color="auto" w:sz="6" w:space="0"/>
              <w:bottom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left"/>
              <w:textAlignment w:val="auto"/>
              <w:rPr>
                <w:rFonts w:ascii="楷体" w:hAnsi="楷体" w:eastAsia="楷体" w:cs="楷体"/>
                <w:color w:val="auto"/>
                <w:highlight w:val="none"/>
              </w:rPr>
            </w:pPr>
            <w:r>
              <w:rPr>
                <w:rFonts w:hint="eastAsia" w:ascii="楷体" w:hAnsi="楷体" w:eastAsia="楷体" w:cs="楷体"/>
                <w:color w:val="auto"/>
                <w:highlight w:val="none"/>
              </w:rPr>
              <w:t>符合投标人须知前附表中对应规定</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890" w:type="dxa"/>
            <w:gridSpan w:val="2"/>
            <w:vMerge w:val="continue"/>
            <w:tcBorders>
              <w:left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left"/>
              <w:textAlignment w:val="auto"/>
              <w:rPr>
                <w:rFonts w:ascii="楷体" w:hAnsi="楷体" w:eastAsia="楷体" w:cs="楷体"/>
                <w:color w:val="auto"/>
                <w:highlight w:val="none"/>
              </w:rPr>
            </w:pPr>
          </w:p>
        </w:tc>
        <w:tc>
          <w:tcPr>
            <w:tcW w:w="1888" w:type="dxa"/>
            <w:gridSpan w:val="2"/>
            <w:vMerge w:val="continue"/>
            <w:tcBorders>
              <w:left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left"/>
              <w:textAlignment w:val="auto"/>
              <w:rPr>
                <w:rFonts w:ascii="楷体" w:hAnsi="楷体" w:eastAsia="楷体" w:cs="楷体"/>
                <w:color w:val="auto"/>
                <w:highlight w:val="none"/>
              </w:rPr>
            </w:pPr>
          </w:p>
        </w:tc>
        <w:tc>
          <w:tcPr>
            <w:tcW w:w="1841" w:type="dxa"/>
            <w:tcBorders>
              <w:top w:val="outset" w:color="auto" w:sz="6" w:space="0"/>
              <w:left w:val="outset" w:color="auto" w:sz="6" w:space="0"/>
              <w:bottom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left"/>
              <w:textAlignment w:val="auto"/>
              <w:rPr>
                <w:rFonts w:ascii="楷体" w:hAnsi="楷体" w:eastAsia="楷体" w:cs="楷体"/>
                <w:color w:val="auto"/>
                <w:highlight w:val="none"/>
              </w:rPr>
            </w:pPr>
            <w:r>
              <w:rPr>
                <w:rFonts w:hint="eastAsia" w:ascii="楷体" w:hAnsi="楷体" w:eastAsia="楷体" w:cs="楷体"/>
                <w:color w:val="auto"/>
                <w:highlight w:val="none"/>
              </w:rPr>
              <w:t>工程质量</w:t>
            </w:r>
          </w:p>
        </w:tc>
        <w:tc>
          <w:tcPr>
            <w:tcW w:w="4778" w:type="dxa"/>
            <w:tcBorders>
              <w:top w:val="outset" w:color="auto" w:sz="6" w:space="0"/>
              <w:left w:val="outset" w:color="auto" w:sz="6" w:space="0"/>
              <w:bottom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left"/>
              <w:textAlignment w:val="auto"/>
              <w:rPr>
                <w:rFonts w:ascii="楷体" w:hAnsi="楷体" w:eastAsia="楷体" w:cs="楷体"/>
                <w:color w:val="auto"/>
                <w:highlight w:val="none"/>
              </w:rPr>
            </w:pPr>
            <w:r>
              <w:rPr>
                <w:rFonts w:hint="eastAsia" w:ascii="楷体" w:hAnsi="楷体" w:eastAsia="楷体" w:cs="楷体"/>
                <w:color w:val="auto"/>
                <w:highlight w:val="none"/>
              </w:rPr>
              <w:t>符合投标人须知前附表中对应规定</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890" w:type="dxa"/>
            <w:gridSpan w:val="2"/>
            <w:vMerge w:val="continue"/>
            <w:tcBorders>
              <w:left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left"/>
              <w:textAlignment w:val="auto"/>
              <w:rPr>
                <w:rFonts w:ascii="楷体" w:hAnsi="楷体" w:eastAsia="楷体" w:cs="楷体"/>
                <w:color w:val="auto"/>
                <w:highlight w:val="none"/>
              </w:rPr>
            </w:pPr>
          </w:p>
        </w:tc>
        <w:tc>
          <w:tcPr>
            <w:tcW w:w="1888" w:type="dxa"/>
            <w:gridSpan w:val="2"/>
            <w:vMerge w:val="continue"/>
            <w:tcBorders>
              <w:left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left"/>
              <w:textAlignment w:val="auto"/>
              <w:rPr>
                <w:rFonts w:ascii="楷体" w:hAnsi="楷体" w:eastAsia="楷体" w:cs="楷体"/>
                <w:color w:val="auto"/>
                <w:highlight w:val="none"/>
              </w:rPr>
            </w:pPr>
          </w:p>
        </w:tc>
        <w:tc>
          <w:tcPr>
            <w:tcW w:w="1841" w:type="dxa"/>
            <w:tcBorders>
              <w:top w:val="outset" w:color="auto" w:sz="6" w:space="0"/>
              <w:left w:val="outset" w:color="auto" w:sz="6" w:space="0"/>
              <w:bottom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left"/>
              <w:textAlignment w:val="auto"/>
              <w:rPr>
                <w:rFonts w:ascii="楷体" w:hAnsi="楷体" w:eastAsia="楷体" w:cs="楷体"/>
                <w:color w:val="auto"/>
                <w:highlight w:val="none"/>
              </w:rPr>
            </w:pPr>
            <w:r>
              <w:rPr>
                <w:rFonts w:hint="eastAsia" w:ascii="楷体" w:hAnsi="楷体" w:eastAsia="楷体" w:cs="楷体"/>
                <w:color w:val="auto"/>
                <w:highlight w:val="none"/>
              </w:rPr>
              <w:t>投标有效期</w:t>
            </w:r>
          </w:p>
        </w:tc>
        <w:tc>
          <w:tcPr>
            <w:tcW w:w="4778" w:type="dxa"/>
            <w:tcBorders>
              <w:top w:val="outset" w:color="auto" w:sz="6" w:space="0"/>
              <w:left w:val="outset" w:color="auto" w:sz="6" w:space="0"/>
              <w:bottom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left"/>
              <w:textAlignment w:val="auto"/>
              <w:rPr>
                <w:rFonts w:ascii="楷体" w:hAnsi="楷体" w:eastAsia="楷体" w:cs="楷体"/>
                <w:color w:val="auto"/>
                <w:highlight w:val="none"/>
              </w:rPr>
            </w:pPr>
            <w:r>
              <w:rPr>
                <w:rFonts w:hint="eastAsia" w:ascii="楷体" w:hAnsi="楷体" w:eastAsia="楷体" w:cs="楷体"/>
                <w:color w:val="auto"/>
                <w:highlight w:val="none"/>
              </w:rPr>
              <w:t>符合第二部分总则中对应规定</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890" w:type="dxa"/>
            <w:gridSpan w:val="2"/>
            <w:vMerge w:val="continue"/>
            <w:tcBorders>
              <w:left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left"/>
              <w:textAlignment w:val="auto"/>
              <w:rPr>
                <w:rFonts w:ascii="楷体" w:hAnsi="楷体" w:eastAsia="楷体" w:cs="楷体"/>
                <w:color w:val="auto"/>
                <w:highlight w:val="none"/>
              </w:rPr>
            </w:pPr>
          </w:p>
        </w:tc>
        <w:tc>
          <w:tcPr>
            <w:tcW w:w="1888" w:type="dxa"/>
            <w:gridSpan w:val="2"/>
            <w:vMerge w:val="continue"/>
            <w:tcBorders>
              <w:left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left"/>
              <w:textAlignment w:val="auto"/>
              <w:rPr>
                <w:rFonts w:ascii="楷体" w:hAnsi="楷体" w:eastAsia="楷体" w:cs="楷体"/>
                <w:color w:val="auto"/>
                <w:highlight w:val="none"/>
              </w:rPr>
            </w:pPr>
          </w:p>
        </w:tc>
        <w:tc>
          <w:tcPr>
            <w:tcW w:w="1841" w:type="dxa"/>
            <w:tcBorders>
              <w:top w:val="outset" w:color="auto" w:sz="6" w:space="0"/>
              <w:left w:val="outset" w:color="auto" w:sz="6" w:space="0"/>
              <w:bottom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left"/>
              <w:textAlignment w:val="auto"/>
              <w:rPr>
                <w:rFonts w:ascii="楷体" w:hAnsi="楷体" w:eastAsia="楷体" w:cs="楷体"/>
                <w:color w:val="auto"/>
                <w:highlight w:val="none"/>
              </w:rPr>
            </w:pPr>
            <w:r>
              <w:rPr>
                <w:rFonts w:hint="eastAsia" w:ascii="楷体" w:hAnsi="楷体" w:eastAsia="楷体" w:cs="楷体"/>
                <w:color w:val="auto"/>
                <w:highlight w:val="none"/>
              </w:rPr>
              <w:t>投标保证金</w:t>
            </w:r>
          </w:p>
        </w:tc>
        <w:tc>
          <w:tcPr>
            <w:tcW w:w="4778" w:type="dxa"/>
            <w:tcBorders>
              <w:top w:val="outset" w:color="auto" w:sz="6" w:space="0"/>
              <w:left w:val="outset" w:color="auto" w:sz="6" w:space="0"/>
              <w:bottom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left"/>
              <w:textAlignment w:val="auto"/>
              <w:rPr>
                <w:rFonts w:ascii="楷体" w:hAnsi="楷体" w:eastAsia="楷体" w:cs="楷体"/>
                <w:color w:val="auto"/>
                <w:highlight w:val="none"/>
              </w:rPr>
            </w:pPr>
            <w:r>
              <w:rPr>
                <w:rFonts w:hint="eastAsia" w:ascii="楷体" w:hAnsi="楷体" w:eastAsia="楷体" w:cs="楷体"/>
                <w:color w:val="auto"/>
                <w:highlight w:val="none"/>
              </w:rPr>
              <w:t>符合投标人须知前附表中对应规定</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92" w:hRule="atLeast"/>
          <w:jc w:val="center"/>
        </w:trPr>
        <w:tc>
          <w:tcPr>
            <w:tcW w:w="890" w:type="dxa"/>
            <w:gridSpan w:val="2"/>
            <w:vMerge w:val="continue"/>
            <w:tcBorders>
              <w:left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left"/>
              <w:textAlignment w:val="auto"/>
              <w:rPr>
                <w:rFonts w:ascii="楷体" w:hAnsi="楷体" w:eastAsia="楷体" w:cs="楷体"/>
                <w:color w:val="auto"/>
                <w:highlight w:val="none"/>
              </w:rPr>
            </w:pPr>
          </w:p>
        </w:tc>
        <w:tc>
          <w:tcPr>
            <w:tcW w:w="1888" w:type="dxa"/>
            <w:gridSpan w:val="2"/>
            <w:vMerge w:val="continue"/>
            <w:tcBorders>
              <w:left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left"/>
              <w:textAlignment w:val="auto"/>
              <w:rPr>
                <w:rFonts w:ascii="楷体" w:hAnsi="楷体" w:eastAsia="楷体" w:cs="楷体"/>
                <w:color w:val="auto"/>
                <w:highlight w:val="none"/>
              </w:rPr>
            </w:pPr>
          </w:p>
        </w:tc>
        <w:tc>
          <w:tcPr>
            <w:tcW w:w="1841" w:type="dxa"/>
            <w:tcBorders>
              <w:top w:val="outset" w:color="auto" w:sz="6" w:space="0"/>
              <w:left w:val="outset" w:color="auto" w:sz="6" w:space="0"/>
              <w:bottom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left"/>
              <w:textAlignment w:val="auto"/>
              <w:rPr>
                <w:rFonts w:ascii="楷体" w:hAnsi="楷体" w:eastAsia="楷体" w:cs="楷体"/>
                <w:color w:val="auto"/>
                <w:highlight w:val="none"/>
              </w:rPr>
            </w:pPr>
            <w:r>
              <w:rPr>
                <w:rFonts w:hint="eastAsia" w:ascii="楷体" w:hAnsi="楷体" w:eastAsia="楷体" w:cs="楷体"/>
                <w:color w:val="auto"/>
                <w:highlight w:val="none"/>
              </w:rPr>
              <w:t>其他要求：</w:t>
            </w:r>
          </w:p>
        </w:tc>
        <w:tc>
          <w:tcPr>
            <w:tcW w:w="4778" w:type="dxa"/>
            <w:tcBorders>
              <w:top w:val="outset" w:color="auto" w:sz="6" w:space="0"/>
              <w:left w:val="outset" w:color="auto" w:sz="6" w:space="0"/>
              <w:bottom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left"/>
              <w:textAlignment w:val="auto"/>
              <w:rPr>
                <w:rFonts w:ascii="楷体" w:hAnsi="楷体" w:eastAsia="楷体" w:cs="楷体"/>
                <w:color w:val="auto"/>
                <w:highlight w:val="none"/>
              </w:rPr>
            </w:pPr>
            <w:r>
              <w:rPr>
                <w:rFonts w:hint="eastAsia" w:ascii="楷体" w:hAnsi="楷体" w:eastAsia="楷体" w:cs="楷体"/>
                <w:color w:val="auto"/>
                <w:highlight w:val="none"/>
              </w:rPr>
              <w:t>无重大偏差所列情形</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9397" w:type="dxa"/>
            <w:gridSpan w:val="6"/>
            <w:tcBorders>
              <w:top w:val="outset" w:color="auto" w:sz="6" w:space="0"/>
              <w:left w:val="outset" w:color="auto" w:sz="6" w:space="0"/>
              <w:bottom w:val="outset" w:color="auto" w:sz="6" w:space="0"/>
              <w:right w:val="outset" w:color="auto" w:sz="6" w:space="0"/>
            </w:tcBorders>
            <w:vAlign w:val="center"/>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sz w:val="24"/>
                <w:highlight w:val="none"/>
              </w:rPr>
            </w:pPr>
            <w:r>
              <w:rPr>
                <w:rFonts w:hint="eastAsia" w:ascii="楷体" w:hAnsi="楷体" w:eastAsia="楷体" w:cs="楷体"/>
                <w:color w:val="auto"/>
                <w:sz w:val="24"/>
                <w:highlight w:val="none"/>
              </w:rPr>
              <w:t>详细评审</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9397" w:type="dxa"/>
            <w:gridSpan w:val="6"/>
            <w:tcBorders>
              <w:top w:val="outset" w:color="auto" w:sz="6" w:space="0"/>
              <w:left w:val="outset" w:color="auto" w:sz="6" w:space="0"/>
              <w:bottom w:val="outset" w:color="auto" w:sz="6" w:space="0"/>
              <w:right w:val="outset" w:color="auto" w:sz="6" w:space="0"/>
            </w:tcBorders>
            <w:vAlign w:val="center"/>
          </w:tcPr>
          <w:p>
            <w:pPr>
              <w:pStyle w:val="3"/>
              <w:pageBreakBefore w:val="0"/>
              <w:widowControl w:val="0"/>
              <w:kinsoku/>
              <w:wordWrap/>
              <w:overflowPunct/>
              <w:topLinePunct w:val="0"/>
              <w:bidi w:val="0"/>
              <w:snapToGrid/>
              <w:spacing w:before="0" w:after="0" w:line="400" w:lineRule="exact"/>
              <w:jc w:val="center"/>
              <w:textAlignment w:val="auto"/>
              <w:rPr>
                <w:rFonts w:ascii="楷体" w:hAnsi="楷体" w:eastAsia="楷体" w:cs="楷体"/>
                <w:color w:val="auto"/>
                <w:highlight w:val="none"/>
              </w:rPr>
            </w:pPr>
            <w:bookmarkStart w:id="11" w:name="_Toc5845"/>
            <w:r>
              <w:rPr>
                <w:rFonts w:hint="eastAsia" w:ascii="楷体" w:hAnsi="楷体" w:eastAsia="楷体" w:cs="楷体"/>
                <w:color w:val="auto"/>
                <w:sz w:val="30"/>
                <w:szCs w:val="30"/>
                <w:highlight w:val="none"/>
              </w:rPr>
              <w:t>评标方案</w:t>
            </w:r>
            <w:bookmarkEnd w:id="11"/>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619" w:type="dxa"/>
            <w:gridSpan w:val="5"/>
            <w:tcBorders>
              <w:bottom w:val="single" w:color="auto" w:sz="4" w:space="0"/>
              <w:right w:val="single" w:color="auto" w:sz="4" w:space="0"/>
            </w:tcBorders>
            <w:vAlign w:val="center"/>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szCs w:val="21"/>
                <w:highlight w:val="none"/>
              </w:rPr>
            </w:pPr>
            <w:r>
              <w:rPr>
                <w:rFonts w:hint="eastAsia" w:ascii="楷体" w:hAnsi="楷体" w:eastAsia="楷体" w:cs="楷体"/>
                <w:color w:val="auto"/>
                <w:szCs w:val="21"/>
                <w:highlight w:val="none"/>
              </w:rPr>
              <w:t>分值构成</w:t>
            </w:r>
          </w:p>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szCs w:val="21"/>
                <w:highlight w:val="none"/>
              </w:rPr>
            </w:pPr>
            <w:r>
              <w:rPr>
                <w:rFonts w:hint="eastAsia" w:ascii="楷体" w:hAnsi="楷体" w:eastAsia="楷体" w:cs="楷体"/>
                <w:color w:val="auto"/>
                <w:szCs w:val="21"/>
                <w:highlight w:val="none"/>
              </w:rPr>
              <w:t>(总分100分)</w:t>
            </w:r>
          </w:p>
        </w:tc>
        <w:tc>
          <w:tcPr>
            <w:tcW w:w="4778"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snapToGrid/>
              <w:spacing w:line="400" w:lineRule="exact"/>
              <w:textAlignment w:val="auto"/>
              <w:rPr>
                <w:rFonts w:ascii="楷体" w:hAnsi="楷体" w:eastAsia="楷体" w:cs="楷体"/>
                <w:color w:val="auto"/>
                <w:szCs w:val="21"/>
                <w:highlight w:val="none"/>
              </w:rPr>
            </w:pPr>
            <w:r>
              <w:rPr>
                <w:rFonts w:hint="eastAsia" w:ascii="楷体" w:hAnsi="楷体" w:eastAsia="楷体" w:cs="楷体"/>
                <w:color w:val="auto"/>
                <w:szCs w:val="21"/>
                <w:highlight w:val="none"/>
              </w:rPr>
              <w:t>技术标：专业工程设计文件：35分</w:t>
            </w:r>
          </w:p>
          <w:p>
            <w:pPr>
              <w:pageBreakBefore w:val="0"/>
              <w:widowControl w:val="0"/>
              <w:kinsoku/>
              <w:wordWrap/>
              <w:overflowPunct/>
              <w:topLinePunct w:val="0"/>
              <w:bidi w:val="0"/>
              <w:snapToGrid/>
              <w:spacing w:line="400" w:lineRule="exact"/>
              <w:ind w:firstLine="840" w:firstLineChars="400"/>
              <w:textAlignment w:val="auto"/>
              <w:rPr>
                <w:rFonts w:ascii="楷体" w:hAnsi="楷体" w:eastAsia="楷体" w:cs="楷体"/>
                <w:color w:val="auto"/>
                <w:szCs w:val="21"/>
                <w:highlight w:val="none"/>
              </w:rPr>
            </w:pPr>
            <w:r>
              <w:rPr>
                <w:rFonts w:hint="eastAsia" w:ascii="楷体" w:hAnsi="楷体" w:eastAsia="楷体" w:cs="楷体"/>
                <w:color w:val="auto"/>
                <w:szCs w:val="21"/>
                <w:highlight w:val="none"/>
              </w:rPr>
              <w:t>项目管理组织方案：5分</w:t>
            </w:r>
          </w:p>
          <w:p>
            <w:pPr>
              <w:pageBreakBefore w:val="0"/>
              <w:widowControl w:val="0"/>
              <w:kinsoku/>
              <w:wordWrap/>
              <w:overflowPunct/>
              <w:topLinePunct w:val="0"/>
              <w:bidi w:val="0"/>
              <w:snapToGrid/>
              <w:spacing w:line="400" w:lineRule="exact"/>
              <w:ind w:firstLine="840" w:firstLineChars="400"/>
              <w:textAlignment w:val="auto"/>
              <w:rPr>
                <w:rFonts w:ascii="楷体" w:hAnsi="楷体" w:eastAsia="楷体" w:cs="楷体"/>
                <w:color w:val="auto"/>
                <w:szCs w:val="21"/>
                <w:highlight w:val="none"/>
              </w:rPr>
            </w:pPr>
            <w:r>
              <w:rPr>
                <w:rFonts w:hint="eastAsia" w:ascii="楷体" w:hAnsi="楷体" w:eastAsia="楷体" w:cs="楷体"/>
                <w:color w:val="auto"/>
                <w:szCs w:val="21"/>
                <w:highlight w:val="none"/>
              </w:rPr>
              <w:t>现场演示陈述：10分</w:t>
            </w:r>
          </w:p>
          <w:p>
            <w:pPr>
              <w:pageBreakBefore w:val="0"/>
              <w:widowControl w:val="0"/>
              <w:kinsoku/>
              <w:wordWrap/>
              <w:overflowPunct/>
              <w:topLinePunct w:val="0"/>
              <w:bidi w:val="0"/>
              <w:snapToGrid/>
              <w:spacing w:line="400" w:lineRule="exact"/>
              <w:textAlignment w:val="auto"/>
              <w:rPr>
                <w:rFonts w:ascii="楷体" w:hAnsi="楷体" w:eastAsia="楷体" w:cs="楷体"/>
                <w:color w:val="auto"/>
                <w:szCs w:val="21"/>
                <w:highlight w:val="none"/>
              </w:rPr>
            </w:pPr>
            <w:r>
              <w:rPr>
                <w:rFonts w:hint="eastAsia" w:ascii="楷体" w:hAnsi="楷体" w:eastAsia="楷体" w:cs="楷体"/>
                <w:color w:val="auto"/>
                <w:szCs w:val="21"/>
                <w:highlight w:val="none"/>
              </w:rPr>
              <w:t>经济标：工程总承包报价：50分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17" w:type="dxa"/>
            <w:tcBorders>
              <w:bottom w:val="single" w:color="auto" w:sz="4" w:space="0"/>
              <w:right w:val="single" w:color="auto" w:sz="4" w:space="0"/>
            </w:tcBorders>
            <w:vAlign w:val="center"/>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szCs w:val="21"/>
                <w:highlight w:val="none"/>
              </w:rPr>
            </w:pPr>
            <w:r>
              <w:rPr>
                <w:rFonts w:hint="eastAsia" w:ascii="楷体" w:hAnsi="楷体" w:eastAsia="楷体" w:cs="楷体"/>
                <w:color w:val="auto"/>
                <w:szCs w:val="21"/>
                <w:highlight w:val="none"/>
              </w:rPr>
              <w:t>序号</w:t>
            </w:r>
          </w:p>
        </w:tc>
        <w:tc>
          <w:tcPr>
            <w:tcW w:w="1134" w:type="dxa"/>
            <w:gridSpan w:val="2"/>
            <w:tcBorders>
              <w:bottom w:val="single" w:color="auto" w:sz="4" w:space="0"/>
              <w:right w:val="single" w:color="auto" w:sz="4" w:space="0"/>
            </w:tcBorders>
            <w:vAlign w:val="center"/>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szCs w:val="21"/>
                <w:highlight w:val="none"/>
              </w:rPr>
            </w:pPr>
            <w:r>
              <w:rPr>
                <w:rFonts w:hint="eastAsia" w:ascii="楷体" w:hAnsi="楷体" w:eastAsia="楷体" w:cs="楷体"/>
                <w:color w:val="auto"/>
                <w:szCs w:val="21"/>
                <w:highlight w:val="none"/>
              </w:rPr>
              <w:t>评分项</w:t>
            </w:r>
          </w:p>
        </w:tc>
        <w:tc>
          <w:tcPr>
            <w:tcW w:w="2668" w:type="dxa"/>
            <w:gridSpan w:val="2"/>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szCs w:val="21"/>
                <w:highlight w:val="none"/>
              </w:rPr>
            </w:pPr>
            <w:r>
              <w:rPr>
                <w:rFonts w:hint="eastAsia" w:ascii="楷体" w:hAnsi="楷体" w:eastAsia="楷体" w:cs="楷体"/>
                <w:color w:val="auto"/>
                <w:szCs w:val="21"/>
                <w:highlight w:val="none"/>
              </w:rPr>
              <w:t>评分因素（偏差率）</w:t>
            </w:r>
          </w:p>
        </w:tc>
        <w:tc>
          <w:tcPr>
            <w:tcW w:w="4778"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szCs w:val="21"/>
                <w:highlight w:val="none"/>
              </w:rPr>
            </w:pPr>
            <w:r>
              <w:rPr>
                <w:rFonts w:hint="eastAsia" w:ascii="楷体" w:hAnsi="楷体" w:eastAsia="楷体" w:cs="楷体"/>
                <w:b/>
                <w:color w:val="auto"/>
                <w:szCs w:val="21"/>
                <w:highlight w:val="none"/>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17" w:type="dxa"/>
            <w:vMerge w:val="restart"/>
            <w:tcBorders>
              <w:right w:val="single" w:color="000000" w:sz="4" w:space="0"/>
            </w:tcBorders>
            <w:vAlign w:val="center"/>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szCs w:val="21"/>
                <w:highlight w:val="none"/>
              </w:rPr>
            </w:pPr>
            <w:r>
              <w:rPr>
                <w:rFonts w:hint="eastAsia" w:ascii="楷体" w:hAnsi="楷体" w:eastAsia="楷体" w:cs="楷体"/>
                <w:color w:val="auto"/>
                <w:szCs w:val="21"/>
                <w:highlight w:val="none"/>
              </w:rPr>
              <w:t>1</w:t>
            </w:r>
          </w:p>
        </w:tc>
        <w:tc>
          <w:tcPr>
            <w:tcW w:w="1134" w:type="dxa"/>
            <w:gridSpan w:val="2"/>
            <w:vMerge w:val="restart"/>
            <w:tcBorders>
              <w:left w:val="single" w:color="000000" w:sz="4" w:space="0"/>
              <w:right w:val="single" w:color="auto" w:sz="4" w:space="0"/>
            </w:tcBorders>
            <w:vAlign w:val="center"/>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szCs w:val="21"/>
                <w:highlight w:val="none"/>
              </w:rPr>
            </w:pPr>
            <w:r>
              <w:rPr>
                <w:rFonts w:hint="eastAsia" w:ascii="楷体" w:hAnsi="楷体" w:eastAsia="楷体" w:cs="楷体"/>
                <w:color w:val="auto"/>
                <w:szCs w:val="21"/>
                <w:highlight w:val="none"/>
              </w:rPr>
              <w:t>专业工程设计文件（35分）</w:t>
            </w:r>
          </w:p>
        </w:tc>
        <w:tc>
          <w:tcPr>
            <w:tcW w:w="2668" w:type="dxa"/>
            <w:gridSpan w:val="2"/>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snapToGrid/>
              <w:spacing w:line="400" w:lineRule="exact"/>
              <w:textAlignment w:val="auto"/>
              <w:rPr>
                <w:rFonts w:ascii="楷体" w:hAnsi="楷体" w:eastAsia="楷体" w:cs="楷体"/>
                <w:color w:val="auto"/>
                <w:szCs w:val="22"/>
                <w:highlight w:val="none"/>
              </w:rPr>
            </w:pPr>
            <w:r>
              <w:rPr>
                <w:rFonts w:hint="eastAsia" w:ascii="楷体" w:hAnsi="楷体" w:eastAsia="楷体" w:cs="楷体"/>
                <w:color w:val="auto"/>
                <w:szCs w:val="22"/>
                <w:highlight w:val="none"/>
              </w:rPr>
              <w:t>1．设计说明</w:t>
            </w:r>
            <w:r>
              <w:rPr>
                <w:rFonts w:hint="eastAsia" w:ascii="楷体" w:hAnsi="楷体" w:eastAsia="楷体" w:cs="楷体"/>
                <w:color w:val="auto"/>
                <w:szCs w:val="22"/>
                <w:highlight w:val="none"/>
                <w:lang w:eastAsia="zh-CN"/>
              </w:rPr>
              <w:t>（</w:t>
            </w:r>
            <w:r>
              <w:rPr>
                <w:rFonts w:hint="eastAsia" w:ascii="楷体" w:hAnsi="楷体" w:eastAsia="楷体" w:cs="楷体"/>
                <w:color w:val="auto"/>
                <w:szCs w:val="22"/>
                <w:highlight w:val="none"/>
                <w:lang w:val="en-US" w:eastAsia="zh-CN"/>
              </w:rPr>
              <w:t>10分</w:t>
            </w:r>
            <w:r>
              <w:rPr>
                <w:rFonts w:hint="eastAsia" w:ascii="楷体" w:hAnsi="楷体" w:eastAsia="楷体" w:cs="楷体"/>
                <w:color w:val="auto"/>
                <w:szCs w:val="22"/>
                <w:highlight w:val="none"/>
                <w:lang w:eastAsia="zh-CN"/>
              </w:rPr>
              <w:t>）</w:t>
            </w:r>
          </w:p>
        </w:tc>
        <w:tc>
          <w:tcPr>
            <w:tcW w:w="4778"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snapToGrid/>
              <w:spacing w:line="400" w:lineRule="exact"/>
              <w:textAlignment w:val="auto"/>
              <w:rPr>
                <w:rFonts w:ascii="楷体" w:hAnsi="楷体" w:eastAsia="楷体" w:cs="楷体"/>
                <w:color w:val="auto"/>
                <w:highlight w:val="none"/>
              </w:rPr>
            </w:pPr>
            <w:r>
              <w:rPr>
                <w:rFonts w:hint="eastAsia" w:ascii="楷体" w:hAnsi="楷体" w:eastAsia="楷体" w:cs="楷体"/>
                <w:color w:val="auto"/>
                <w:highlight w:val="none"/>
              </w:rPr>
              <w:t>1．设计说明能对项目解读充分，理解深刻，分析准确，构思新颖。</w:t>
            </w:r>
          </w:p>
          <w:p>
            <w:pPr>
              <w:pageBreakBefore w:val="0"/>
              <w:widowControl w:val="0"/>
              <w:kinsoku/>
              <w:wordWrap/>
              <w:overflowPunct/>
              <w:topLinePunct w:val="0"/>
              <w:bidi w:val="0"/>
              <w:snapToGrid/>
              <w:spacing w:line="400" w:lineRule="exact"/>
              <w:textAlignment w:val="auto"/>
              <w:rPr>
                <w:rFonts w:ascii="楷体" w:hAnsi="楷体" w:eastAsia="楷体" w:cs="楷体"/>
                <w:color w:val="auto"/>
                <w:highlight w:val="none"/>
              </w:rPr>
            </w:pPr>
            <w:r>
              <w:rPr>
                <w:rFonts w:hint="eastAsia" w:ascii="楷体" w:hAnsi="楷体" w:eastAsia="楷体" w:cs="楷体"/>
                <w:color w:val="auto"/>
                <w:highlight w:val="none"/>
              </w:rPr>
              <w:t>2．项目设计的各项主要技术经济指标是否满足招标人功能需求。</w:t>
            </w:r>
          </w:p>
          <w:p>
            <w:pPr>
              <w:pageBreakBefore w:val="0"/>
              <w:widowControl w:val="0"/>
              <w:kinsoku/>
              <w:wordWrap/>
              <w:overflowPunct/>
              <w:topLinePunct w:val="0"/>
              <w:bidi w:val="0"/>
              <w:snapToGrid/>
              <w:spacing w:line="400" w:lineRule="exact"/>
              <w:textAlignment w:val="auto"/>
              <w:rPr>
                <w:rFonts w:ascii="楷体" w:hAnsi="楷体" w:eastAsia="楷体" w:cs="楷体"/>
                <w:color w:val="auto"/>
                <w:highlight w:val="none"/>
              </w:rPr>
            </w:pPr>
            <w:r>
              <w:rPr>
                <w:rFonts w:hint="eastAsia" w:ascii="楷体" w:hAnsi="楷体" w:eastAsia="楷体" w:cs="楷体"/>
                <w:color w:val="auto"/>
                <w:highlight w:val="none"/>
              </w:rPr>
              <w:t>3．项目设计是否国家规范标准及地方规划要求。</w:t>
            </w:r>
          </w:p>
          <w:p>
            <w:pPr>
              <w:pStyle w:val="19"/>
              <w:pageBreakBefore w:val="0"/>
              <w:widowControl w:val="0"/>
              <w:kinsoku/>
              <w:wordWrap/>
              <w:overflowPunct/>
              <w:topLinePunct w:val="0"/>
              <w:bidi w:val="0"/>
              <w:snapToGrid/>
              <w:spacing w:after="0" w:line="400" w:lineRule="exact"/>
              <w:ind w:left="0" w:leftChars="0" w:firstLine="0" w:firstLineChars="0"/>
              <w:textAlignment w:val="auto"/>
              <w:rPr>
                <w:rFonts w:ascii="楷体" w:hAnsi="楷体" w:eastAsia="楷体" w:cs="楷体"/>
                <w:color w:val="auto"/>
                <w:highlight w:val="none"/>
              </w:rPr>
            </w:pPr>
            <w:r>
              <w:rPr>
                <w:rFonts w:hint="eastAsia" w:ascii="楷体" w:hAnsi="楷体" w:eastAsia="楷体" w:cs="楷体"/>
                <w:color w:val="auto"/>
                <w:szCs w:val="21"/>
                <w:highlight w:val="none"/>
              </w:rPr>
              <w:t>4.设计理念、各专业（附属）工程设计说明。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17" w:type="dxa"/>
            <w:vMerge w:val="continue"/>
            <w:tcBorders>
              <w:right w:val="single" w:color="000000" w:sz="4" w:space="0"/>
            </w:tcBorders>
            <w:vAlign w:val="center"/>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szCs w:val="21"/>
                <w:highlight w:val="none"/>
              </w:rPr>
            </w:pPr>
          </w:p>
        </w:tc>
        <w:tc>
          <w:tcPr>
            <w:tcW w:w="1134" w:type="dxa"/>
            <w:gridSpan w:val="2"/>
            <w:vMerge w:val="continue"/>
            <w:tcBorders>
              <w:left w:val="single" w:color="000000" w:sz="4" w:space="0"/>
              <w:right w:val="single" w:color="auto" w:sz="4" w:space="0"/>
            </w:tcBorders>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szCs w:val="21"/>
                <w:highlight w:val="none"/>
              </w:rPr>
            </w:pPr>
          </w:p>
        </w:tc>
        <w:tc>
          <w:tcPr>
            <w:tcW w:w="2668" w:type="dxa"/>
            <w:gridSpan w:val="2"/>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snapToGrid/>
              <w:spacing w:line="400" w:lineRule="exact"/>
              <w:textAlignment w:val="auto"/>
              <w:rPr>
                <w:rFonts w:hint="eastAsia" w:ascii="楷体" w:hAnsi="楷体" w:eastAsia="楷体" w:cs="楷体"/>
                <w:color w:val="auto"/>
                <w:szCs w:val="22"/>
                <w:highlight w:val="none"/>
                <w:lang w:eastAsia="zh-CN"/>
              </w:rPr>
            </w:pPr>
            <w:r>
              <w:rPr>
                <w:rFonts w:hint="eastAsia" w:ascii="楷体" w:hAnsi="楷体" w:eastAsia="楷体" w:cs="楷体"/>
                <w:color w:val="auto"/>
                <w:szCs w:val="22"/>
                <w:highlight w:val="none"/>
              </w:rPr>
              <w:t>2．专业工程设计文件</w:t>
            </w:r>
            <w:r>
              <w:rPr>
                <w:rFonts w:hint="eastAsia" w:ascii="楷体" w:hAnsi="楷体" w:eastAsia="楷体" w:cs="楷体"/>
                <w:color w:val="auto"/>
                <w:szCs w:val="22"/>
                <w:highlight w:val="none"/>
                <w:lang w:eastAsia="zh-CN"/>
              </w:rPr>
              <w:t>（</w:t>
            </w:r>
            <w:r>
              <w:rPr>
                <w:rFonts w:hint="eastAsia" w:ascii="楷体" w:hAnsi="楷体" w:eastAsia="楷体" w:cs="楷体"/>
                <w:color w:val="auto"/>
                <w:szCs w:val="22"/>
                <w:highlight w:val="none"/>
                <w:lang w:val="en-US" w:eastAsia="zh-CN"/>
              </w:rPr>
              <w:t>12.5分</w:t>
            </w:r>
            <w:r>
              <w:rPr>
                <w:rFonts w:hint="eastAsia" w:ascii="楷体" w:hAnsi="楷体" w:eastAsia="楷体" w:cs="楷体"/>
                <w:color w:val="auto"/>
                <w:szCs w:val="22"/>
                <w:highlight w:val="none"/>
                <w:lang w:eastAsia="zh-CN"/>
              </w:rPr>
              <w:t>）</w:t>
            </w:r>
          </w:p>
        </w:tc>
        <w:tc>
          <w:tcPr>
            <w:tcW w:w="4778"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snapToGrid/>
              <w:spacing w:line="400" w:lineRule="exact"/>
              <w:textAlignment w:val="auto"/>
              <w:rPr>
                <w:rFonts w:ascii="楷体" w:hAnsi="楷体" w:eastAsia="楷体" w:cs="楷体"/>
                <w:color w:val="auto"/>
                <w:highlight w:val="none"/>
              </w:rPr>
            </w:pPr>
            <w:r>
              <w:rPr>
                <w:rFonts w:hint="eastAsia" w:ascii="楷体" w:hAnsi="楷体" w:eastAsia="楷体" w:cs="楷体"/>
                <w:color w:val="auto"/>
                <w:highlight w:val="none"/>
              </w:rPr>
              <w:t>1．设计文件是否满足设计任务书要求。</w:t>
            </w:r>
          </w:p>
          <w:p>
            <w:pPr>
              <w:pageBreakBefore w:val="0"/>
              <w:widowControl w:val="0"/>
              <w:kinsoku/>
              <w:wordWrap/>
              <w:overflowPunct/>
              <w:topLinePunct w:val="0"/>
              <w:bidi w:val="0"/>
              <w:snapToGrid/>
              <w:spacing w:line="400" w:lineRule="exact"/>
              <w:textAlignment w:val="auto"/>
              <w:rPr>
                <w:rFonts w:ascii="楷体" w:hAnsi="楷体" w:eastAsia="楷体" w:cs="楷体"/>
                <w:color w:val="auto"/>
                <w:highlight w:val="none"/>
              </w:rPr>
            </w:pPr>
            <w:r>
              <w:rPr>
                <w:rFonts w:hint="eastAsia" w:ascii="楷体" w:hAnsi="楷体" w:eastAsia="楷体" w:cs="楷体"/>
                <w:color w:val="auto"/>
                <w:highlight w:val="none"/>
              </w:rPr>
              <w:t>2．</w:t>
            </w:r>
            <w:r>
              <w:rPr>
                <w:rFonts w:hint="eastAsia" w:ascii="楷体" w:hAnsi="楷体" w:eastAsia="楷体" w:cs="楷体"/>
                <w:bCs/>
                <w:color w:val="auto"/>
                <w:highlight w:val="none"/>
              </w:rPr>
              <w:t>整体布局和总体理念。整体布局科学、合理，总体设计理念先进、新颖</w:t>
            </w:r>
            <w:r>
              <w:rPr>
                <w:rFonts w:hint="eastAsia" w:ascii="楷体" w:hAnsi="楷体" w:eastAsia="楷体" w:cs="楷体"/>
                <w:color w:val="auto"/>
                <w:highlight w:val="none"/>
              </w:rPr>
              <w:t>。</w:t>
            </w:r>
          </w:p>
          <w:p>
            <w:pPr>
              <w:pageBreakBefore w:val="0"/>
              <w:widowControl w:val="0"/>
              <w:kinsoku/>
              <w:wordWrap/>
              <w:overflowPunct/>
              <w:topLinePunct w:val="0"/>
              <w:bidi w:val="0"/>
              <w:snapToGrid/>
              <w:spacing w:line="400" w:lineRule="exact"/>
              <w:textAlignment w:val="auto"/>
              <w:rPr>
                <w:rFonts w:ascii="楷体" w:hAnsi="楷体" w:eastAsia="楷体" w:cs="楷体"/>
                <w:color w:val="auto"/>
                <w:highlight w:val="none"/>
              </w:rPr>
            </w:pPr>
            <w:r>
              <w:rPr>
                <w:rFonts w:hint="eastAsia" w:ascii="楷体" w:hAnsi="楷体" w:eastAsia="楷体" w:cs="楷体"/>
                <w:color w:val="auto"/>
                <w:highlight w:val="none"/>
              </w:rPr>
              <w:t>3．与建筑的协调性。</w:t>
            </w:r>
          </w:p>
          <w:p>
            <w:pPr>
              <w:pStyle w:val="19"/>
              <w:pageBreakBefore w:val="0"/>
              <w:widowControl w:val="0"/>
              <w:kinsoku/>
              <w:wordWrap/>
              <w:overflowPunct/>
              <w:topLinePunct w:val="0"/>
              <w:bidi w:val="0"/>
              <w:snapToGrid/>
              <w:spacing w:after="0" w:line="400" w:lineRule="exact"/>
              <w:ind w:left="0" w:leftChars="0" w:firstLine="0" w:firstLineChars="0"/>
              <w:textAlignment w:val="auto"/>
              <w:rPr>
                <w:rFonts w:ascii="楷体" w:hAnsi="楷体" w:eastAsia="楷体" w:cs="楷体"/>
                <w:color w:val="auto"/>
                <w:highlight w:val="none"/>
              </w:rPr>
            </w:pPr>
            <w:r>
              <w:rPr>
                <w:rFonts w:hint="eastAsia" w:ascii="楷体" w:hAnsi="楷体" w:eastAsia="楷体" w:cs="楷体"/>
                <w:color w:val="auto"/>
                <w:szCs w:val="21"/>
                <w:highlight w:val="none"/>
              </w:rPr>
              <w:t>4.设</w:t>
            </w:r>
            <w:r>
              <w:rPr>
                <w:rFonts w:hint="eastAsia" w:ascii="楷体" w:hAnsi="楷体" w:eastAsia="楷体" w:cs="楷体"/>
                <w:color w:val="auto"/>
                <w:highlight w:val="none"/>
              </w:rPr>
              <w:t>计效果（重点、亮点的营造和表现）。重点突出，有新意且视觉新颖、造型独特，有很强的参与性，高科技手段运用合理，辅助艺术品的艺术水准较高亮点突出。</w:t>
            </w:r>
          </w:p>
          <w:p>
            <w:pPr>
              <w:pStyle w:val="19"/>
              <w:pageBreakBefore w:val="0"/>
              <w:widowControl w:val="0"/>
              <w:kinsoku/>
              <w:wordWrap/>
              <w:overflowPunct/>
              <w:topLinePunct w:val="0"/>
              <w:bidi w:val="0"/>
              <w:snapToGrid/>
              <w:spacing w:after="0" w:line="400" w:lineRule="exact"/>
              <w:ind w:left="0" w:leftChars="0" w:firstLine="0" w:firstLineChars="0"/>
              <w:textAlignment w:val="auto"/>
              <w:rPr>
                <w:rFonts w:ascii="楷体" w:hAnsi="楷体" w:eastAsia="楷体" w:cs="楷体"/>
                <w:color w:val="auto"/>
                <w:spacing w:val="-7"/>
                <w:highlight w:val="none"/>
              </w:rPr>
            </w:pPr>
            <w:r>
              <w:rPr>
                <w:rFonts w:hint="eastAsia" w:ascii="楷体" w:hAnsi="楷体" w:eastAsia="楷体" w:cs="楷体"/>
                <w:color w:val="auto"/>
                <w:highlight w:val="none"/>
              </w:rPr>
              <w:t>5.</w:t>
            </w:r>
            <w:r>
              <w:rPr>
                <w:rFonts w:hint="eastAsia" w:ascii="楷体" w:hAnsi="楷体" w:eastAsia="楷体" w:cs="楷体"/>
                <w:color w:val="auto"/>
                <w:spacing w:val="-7"/>
                <w:highlight w:val="none"/>
              </w:rPr>
              <w:t>总体设计参观流线：在保证单个展区主题鲜明的同时，应充分</w:t>
            </w:r>
            <w:r>
              <w:rPr>
                <w:rFonts w:hint="eastAsia" w:ascii="楷体" w:hAnsi="楷体" w:eastAsia="楷体" w:cs="楷体"/>
                <w:color w:val="auto"/>
                <w:highlight w:val="none"/>
              </w:rPr>
              <w:t>考虑各展区之间的相互关系，空间布局明确合理，注意人流走向和人流分布。重视参观流线的科学性，各展示衔接恰当，达到移步换景的景观效果，同时也能欣赏户外宜人的景色。特别是交通及公共空间使用，并要考虑游客的习惯及管理等方面。形成科学</w:t>
            </w:r>
            <w:r>
              <w:rPr>
                <w:rFonts w:hint="eastAsia" w:ascii="楷体" w:hAnsi="楷体" w:eastAsia="楷体" w:cs="楷体"/>
                <w:color w:val="auto"/>
                <w:spacing w:val="-7"/>
                <w:highlight w:val="none"/>
              </w:rPr>
              <w:t>合理的参观路线。</w:t>
            </w:r>
          </w:p>
          <w:p>
            <w:pPr>
              <w:pStyle w:val="19"/>
              <w:pageBreakBefore w:val="0"/>
              <w:widowControl w:val="0"/>
              <w:kinsoku/>
              <w:wordWrap/>
              <w:overflowPunct/>
              <w:topLinePunct w:val="0"/>
              <w:bidi w:val="0"/>
              <w:snapToGrid/>
              <w:spacing w:after="0" w:line="400" w:lineRule="exact"/>
              <w:ind w:left="0" w:leftChars="0" w:firstLine="0" w:firstLineChars="0"/>
              <w:textAlignment w:val="auto"/>
              <w:rPr>
                <w:rFonts w:ascii="楷体" w:hAnsi="楷体" w:eastAsia="楷体" w:cs="楷体"/>
                <w:color w:val="auto"/>
                <w:highlight w:val="none"/>
              </w:rPr>
            </w:pPr>
            <w:r>
              <w:rPr>
                <w:rFonts w:hint="eastAsia" w:ascii="楷体" w:hAnsi="楷体" w:eastAsia="楷体" w:cs="楷体"/>
                <w:color w:val="auto"/>
                <w:spacing w:val="-7"/>
                <w:highlight w:val="none"/>
              </w:rPr>
              <w:t>6.布展方式：对艺术场景及道具的艺术效果展示，并对制作工艺</w:t>
            </w:r>
            <w:r>
              <w:rPr>
                <w:rFonts w:hint="eastAsia" w:ascii="楷体" w:hAnsi="楷体" w:eastAsia="楷体" w:cs="楷体"/>
                <w:color w:val="auto"/>
                <w:spacing w:val="-6"/>
                <w:highlight w:val="none"/>
              </w:rPr>
              <w:t>及构思的重点及亮点进行阐述说明。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17" w:type="dxa"/>
            <w:vMerge w:val="restart"/>
            <w:tcBorders>
              <w:right w:val="single" w:color="000000" w:sz="4" w:space="0"/>
            </w:tcBorders>
            <w:vAlign w:val="center"/>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szCs w:val="21"/>
                <w:highlight w:val="none"/>
              </w:rPr>
            </w:pPr>
          </w:p>
        </w:tc>
        <w:tc>
          <w:tcPr>
            <w:tcW w:w="1134" w:type="dxa"/>
            <w:gridSpan w:val="2"/>
            <w:vMerge w:val="continue"/>
            <w:tcBorders>
              <w:left w:val="single" w:color="000000" w:sz="4" w:space="0"/>
              <w:right w:val="single" w:color="auto" w:sz="4" w:space="0"/>
            </w:tcBorders>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szCs w:val="21"/>
                <w:highlight w:val="none"/>
              </w:rPr>
            </w:pPr>
          </w:p>
        </w:tc>
        <w:tc>
          <w:tcPr>
            <w:tcW w:w="2668" w:type="dxa"/>
            <w:gridSpan w:val="2"/>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snapToGrid/>
              <w:spacing w:line="400" w:lineRule="exact"/>
              <w:textAlignment w:val="auto"/>
              <w:rPr>
                <w:rFonts w:ascii="楷体" w:hAnsi="楷体" w:eastAsia="楷体" w:cs="楷体"/>
                <w:color w:val="auto"/>
                <w:szCs w:val="22"/>
                <w:highlight w:val="none"/>
              </w:rPr>
            </w:pPr>
            <w:r>
              <w:rPr>
                <w:rFonts w:hint="eastAsia" w:ascii="楷体" w:hAnsi="楷体" w:eastAsia="楷体" w:cs="楷体"/>
                <w:color w:val="auto"/>
                <w:szCs w:val="22"/>
                <w:highlight w:val="none"/>
              </w:rPr>
              <w:t>3. 新技术、新材料、新设备和新结构应用</w:t>
            </w:r>
            <w:r>
              <w:rPr>
                <w:rFonts w:hint="eastAsia" w:ascii="楷体" w:hAnsi="楷体" w:eastAsia="楷体" w:cs="楷体"/>
                <w:color w:val="auto"/>
                <w:szCs w:val="22"/>
                <w:highlight w:val="none"/>
                <w:lang w:eastAsia="zh-CN"/>
              </w:rPr>
              <w:t>（</w:t>
            </w:r>
            <w:r>
              <w:rPr>
                <w:rFonts w:hint="eastAsia" w:ascii="楷体" w:hAnsi="楷体" w:eastAsia="楷体" w:cs="楷体"/>
                <w:color w:val="auto"/>
                <w:szCs w:val="22"/>
                <w:highlight w:val="none"/>
                <w:lang w:val="en-US" w:eastAsia="zh-CN"/>
              </w:rPr>
              <w:t>2.5分</w:t>
            </w:r>
            <w:r>
              <w:rPr>
                <w:rFonts w:hint="eastAsia" w:ascii="楷体" w:hAnsi="楷体" w:eastAsia="楷体" w:cs="楷体"/>
                <w:color w:val="auto"/>
                <w:szCs w:val="22"/>
                <w:highlight w:val="none"/>
                <w:lang w:eastAsia="zh-CN"/>
              </w:rPr>
              <w:t>）</w:t>
            </w:r>
          </w:p>
        </w:tc>
        <w:tc>
          <w:tcPr>
            <w:tcW w:w="4778"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snapToGrid/>
              <w:spacing w:line="400" w:lineRule="exact"/>
              <w:textAlignment w:val="auto"/>
              <w:rPr>
                <w:rFonts w:ascii="楷体" w:hAnsi="楷体" w:eastAsia="楷体" w:cs="楷体"/>
                <w:color w:val="auto"/>
                <w:szCs w:val="21"/>
                <w:highlight w:val="none"/>
              </w:rPr>
            </w:pPr>
            <w:r>
              <w:rPr>
                <w:rFonts w:hint="eastAsia" w:ascii="楷体" w:hAnsi="楷体" w:eastAsia="楷体" w:cs="楷体"/>
                <w:color w:val="auto"/>
                <w:szCs w:val="21"/>
                <w:highlight w:val="none"/>
              </w:rPr>
              <w:t>1.对采用新技术、新材料、新设备和新结构的内容进行评分。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17" w:type="dxa"/>
            <w:vMerge w:val="continue"/>
            <w:tcBorders>
              <w:right w:val="single" w:color="000000" w:sz="4" w:space="0"/>
            </w:tcBorders>
            <w:vAlign w:val="center"/>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szCs w:val="21"/>
                <w:highlight w:val="none"/>
              </w:rPr>
            </w:pPr>
          </w:p>
        </w:tc>
        <w:tc>
          <w:tcPr>
            <w:tcW w:w="1134" w:type="dxa"/>
            <w:gridSpan w:val="2"/>
            <w:vMerge w:val="continue"/>
            <w:tcBorders>
              <w:left w:val="single" w:color="000000" w:sz="4" w:space="0"/>
              <w:right w:val="single" w:color="auto" w:sz="4" w:space="0"/>
            </w:tcBorders>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szCs w:val="21"/>
                <w:highlight w:val="none"/>
              </w:rPr>
            </w:pPr>
          </w:p>
        </w:tc>
        <w:tc>
          <w:tcPr>
            <w:tcW w:w="2668" w:type="dxa"/>
            <w:gridSpan w:val="2"/>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snapToGrid/>
              <w:spacing w:line="400" w:lineRule="exact"/>
              <w:textAlignment w:val="auto"/>
              <w:rPr>
                <w:rFonts w:ascii="楷体" w:hAnsi="楷体" w:eastAsia="楷体" w:cs="楷体"/>
                <w:color w:val="auto"/>
                <w:szCs w:val="22"/>
                <w:highlight w:val="none"/>
              </w:rPr>
            </w:pPr>
            <w:r>
              <w:rPr>
                <w:rFonts w:hint="eastAsia" w:ascii="楷体" w:hAnsi="楷体" w:eastAsia="楷体" w:cs="楷体"/>
                <w:color w:val="auto"/>
                <w:szCs w:val="22"/>
                <w:highlight w:val="none"/>
              </w:rPr>
              <w:t>4.绿色设计</w:t>
            </w:r>
            <w:r>
              <w:rPr>
                <w:rFonts w:hint="eastAsia" w:ascii="楷体" w:hAnsi="楷体" w:eastAsia="楷体" w:cs="楷体"/>
                <w:color w:val="auto"/>
                <w:szCs w:val="22"/>
                <w:highlight w:val="none"/>
                <w:lang w:eastAsia="zh-CN"/>
              </w:rPr>
              <w:t>（</w:t>
            </w:r>
            <w:r>
              <w:rPr>
                <w:rFonts w:hint="eastAsia" w:ascii="楷体" w:hAnsi="楷体" w:eastAsia="楷体" w:cs="楷体"/>
                <w:color w:val="auto"/>
                <w:szCs w:val="22"/>
                <w:highlight w:val="none"/>
                <w:lang w:val="en-US" w:eastAsia="zh-CN"/>
              </w:rPr>
              <w:t>2.5分</w:t>
            </w:r>
            <w:r>
              <w:rPr>
                <w:rFonts w:hint="eastAsia" w:ascii="楷体" w:hAnsi="楷体" w:eastAsia="楷体" w:cs="楷体"/>
                <w:color w:val="auto"/>
                <w:szCs w:val="22"/>
                <w:highlight w:val="none"/>
                <w:lang w:eastAsia="zh-CN"/>
              </w:rPr>
              <w:t>）</w:t>
            </w:r>
          </w:p>
        </w:tc>
        <w:tc>
          <w:tcPr>
            <w:tcW w:w="4778"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snapToGrid/>
              <w:spacing w:line="400" w:lineRule="exact"/>
              <w:textAlignment w:val="auto"/>
              <w:rPr>
                <w:rFonts w:ascii="楷体" w:hAnsi="楷体" w:eastAsia="楷体" w:cs="楷体"/>
                <w:color w:val="auto"/>
                <w:highlight w:val="none"/>
              </w:rPr>
            </w:pPr>
            <w:r>
              <w:rPr>
                <w:rFonts w:hint="eastAsia" w:ascii="楷体" w:hAnsi="楷体" w:eastAsia="楷体" w:cs="楷体"/>
                <w:color w:val="auto"/>
                <w:highlight w:val="none"/>
              </w:rPr>
              <w:t>1.采用科学合理的绿色节能措施。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17" w:type="dxa"/>
            <w:vMerge w:val="continue"/>
            <w:tcBorders>
              <w:right w:val="single" w:color="000000" w:sz="4" w:space="0"/>
            </w:tcBorders>
            <w:vAlign w:val="center"/>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szCs w:val="21"/>
                <w:highlight w:val="none"/>
              </w:rPr>
            </w:pPr>
          </w:p>
        </w:tc>
        <w:tc>
          <w:tcPr>
            <w:tcW w:w="1134" w:type="dxa"/>
            <w:gridSpan w:val="2"/>
            <w:vMerge w:val="continue"/>
            <w:tcBorders>
              <w:left w:val="single" w:color="000000" w:sz="4" w:space="0"/>
              <w:right w:val="single" w:color="auto" w:sz="4" w:space="0"/>
            </w:tcBorders>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szCs w:val="21"/>
                <w:highlight w:val="none"/>
              </w:rPr>
            </w:pPr>
          </w:p>
        </w:tc>
        <w:tc>
          <w:tcPr>
            <w:tcW w:w="2668" w:type="dxa"/>
            <w:gridSpan w:val="2"/>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snapToGrid/>
              <w:spacing w:line="400" w:lineRule="exact"/>
              <w:textAlignment w:val="auto"/>
              <w:rPr>
                <w:rFonts w:ascii="楷体" w:hAnsi="楷体" w:eastAsia="楷体" w:cs="楷体"/>
                <w:color w:val="auto"/>
                <w:szCs w:val="22"/>
                <w:highlight w:val="none"/>
              </w:rPr>
            </w:pPr>
            <w:r>
              <w:rPr>
                <w:rFonts w:hint="eastAsia" w:ascii="楷体" w:hAnsi="楷体" w:eastAsia="楷体" w:cs="楷体"/>
                <w:color w:val="auto"/>
                <w:szCs w:val="22"/>
                <w:highlight w:val="none"/>
              </w:rPr>
              <w:t>5.设计深度</w:t>
            </w:r>
            <w:r>
              <w:rPr>
                <w:rFonts w:hint="eastAsia" w:ascii="楷体" w:hAnsi="楷体" w:eastAsia="楷体" w:cs="楷体"/>
                <w:color w:val="auto"/>
                <w:szCs w:val="22"/>
                <w:highlight w:val="none"/>
                <w:lang w:eastAsia="zh-CN"/>
              </w:rPr>
              <w:t>（</w:t>
            </w:r>
            <w:r>
              <w:rPr>
                <w:rFonts w:hint="eastAsia" w:ascii="楷体" w:hAnsi="楷体" w:eastAsia="楷体" w:cs="楷体"/>
                <w:color w:val="auto"/>
                <w:szCs w:val="22"/>
                <w:highlight w:val="none"/>
                <w:lang w:val="en-US" w:eastAsia="zh-CN"/>
              </w:rPr>
              <w:t>7.5分</w:t>
            </w:r>
            <w:r>
              <w:rPr>
                <w:rFonts w:hint="eastAsia" w:ascii="楷体" w:hAnsi="楷体" w:eastAsia="楷体" w:cs="楷体"/>
                <w:color w:val="auto"/>
                <w:szCs w:val="22"/>
                <w:highlight w:val="none"/>
                <w:lang w:eastAsia="zh-CN"/>
              </w:rPr>
              <w:t>）</w:t>
            </w:r>
          </w:p>
        </w:tc>
        <w:tc>
          <w:tcPr>
            <w:tcW w:w="4778"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snapToGrid/>
              <w:spacing w:line="400" w:lineRule="exact"/>
              <w:textAlignment w:val="auto"/>
              <w:rPr>
                <w:rFonts w:ascii="楷体" w:hAnsi="楷体" w:eastAsia="楷体" w:cs="楷体"/>
                <w:color w:val="auto"/>
                <w:szCs w:val="21"/>
                <w:highlight w:val="none"/>
              </w:rPr>
            </w:pPr>
            <w:r>
              <w:rPr>
                <w:rFonts w:hint="eastAsia" w:ascii="楷体" w:hAnsi="楷体" w:eastAsia="楷体" w:cs="楷体"/>
                <w:color w:val="auto"/>
                <w:szCs w:val="21"/>
                <w:highlight w:val="none"/>
              </w:rPr>
              <w:t>1．是否符合设计任务书要求。</w:t>
            </w:r>
          </w:p>
          <w:p>
            <w:pPr>
              <w:pageBreakBefore w:val="0"/>
              <w:widowControl w:val="0"/>
              <w:kinsoku/>
              <w:wordWrap/>
              <w:overflowPunct/>
              <w:topLinePunct w:val="0"/>
              <w:bidi w:val="0"/>
              <w:snapToGrid/>
              <w:spacing w:line="400" w:lineRule="exact"/>
              <w:textAlignment w:val="auto"/>
              <w:rPr>
                <w:rFonts w:ascii="楷体" w:hAnsi="楷体" w:eastAsia="楷体" w:cs="楷体"/>
                <w:color w:val="auto"/>
                <w:szCs w:val="21"/>
                <w:highlight w:val="none"/>
              </w:rPr>
            </w:pPr>
            <w:r>
              <w:rPr>
                <w:rFonts w:hint="eastAsia" w:ascii="楷体" w:hAnsi="楷体" w:eastAsia="楷体" w:cs="楷体"/>
                <w:color w:val="auto"/>
                <w:szCs w:val="21"/>
                <w:highlight w:val="none"/>
              </w:rPr>
              <w:t>2．是否符合国家规定的相关设</w:t>
            </w:r>
            <w:r>
              <w:rPr>
                <w:rFonts w:hint="eastAsia" w:ascii="楷体" w:hAnsi="楷体" w:eastAsia="楷体" w:cs="楷体"/>
                <w:color w:val="auto"/>
                <w:spacing w:val="-8"/>
                <w:highlight w:val="none"/>
              </w:rPr>
              <w:t>计文件深度</w:t>
            </w:r>
            <w:r>
              <w:rPr>
                <w:rFonts w:hint="eastAsia" w:ascii="楷体" w:hAnsi="楷体" w:eastAsia="楷体" w:cs="楷体"/>
                <w:color w:val="auto"/>
                <w:szCs w:val="21"/>
                <w:highlight w:val="none"/>
              </w:rPr>
              <w:t>。</w:t>
            </w:r>
          </w:p>
          <w:p>
            <w:pPr>
              <w:pageBreakBefore w:val="0"/>
              <w:widowControl w:val="0"/>
              <w:kinsoku/>
              <w:wordWrap/>
              <w:overflowPunct/>
              <w:topLinePunct w:val="0"/>
              <w:bidi w:val="0"/>
              <w:snapToGrid/>
              <w:spacing w:line="400" w:lineRule="exact"/>
              <w:textAlignment w:val="auto"/>
              <w:rPr>
                <w:rFonts w:ascii="楷体" w:hAnsi="楷体" w:eastAsia="楷体" w:cs="楷体"/>
                <w:color w:val="auto"/>
                <w:highlight w:val="none"/>
              </w:rPr>
            </w:pPr>
            <w:r>
              <w:rPr>
                <w:rFonts w:hint="eastAsia" w:ascii="楷体" w:hAnsi="楷体" w:eastAsia="楷体" w:cs="楷体"/>
                <w:color w:val="auto"/>
                <w:szCs w:val="21"/>
                <w:highlight w:val="none"/>
              </w:rPr>
              <w:t>3．</w:t>
            </w:r>
            <w:r>
              <w:rPr>
                <w:rFonts w:hint="eastAsia" w:ascii="楷体" w:hAnsi="楷体" w:eastAsia="楷体" w:cs="楷体"/>
                <w:bCs/>
                <w:color w:val="auto"/>
                <w:highlight w:val="none"/>
              </w:rPr>
              <w:t>各专业设计达到方案设计深度，多媒体、艺术品、场景、灯光等设计内容详实。</w:t>
            </w:r>
          </w:p>
          <w:p>
            <w:pPr>
              <w:pageBreakBefore w:val="0"/>
              <w:widowControl w:val="0"/>
              <w:kinsoku/>
              <w:wordWrap/>
              <w:overflowPunct/>
              <w:topLinePunct w:val="0"/>
              <w:bidi w:val="0"/>
              <w:snapToGrid/>
              <w:spacing w:line="400" w:lineRule="exact"/>
              <w:textAlignment w:val="auto"/>
              <w:rPr>
                <w:rFonts w:ascii="楷体" w:hAnsi="楷体" w:eastAsia="楷体" w:cs="楷体"/>
                <w:color w:val="auto"/>
                <w:szCs w:val="21"/>
                <w:highlight w:val="none"/>
              </w:rPr>
            </w:pPr>
            <w:r>
              <w:rPr>
                <w:rFonts w:hint="eastAsia" w:ascii="楷体" w:hAnsi="楷体" w:eastAsia="楷体" w:cs="楷体"/>
                <w:color w:val="auto"/>
                <w:szCs w:val="21"/>
                <w:highlight w:val="none"/>
              </w:rPr>
              <w:t>注：本项可视设计深度符合程度酌情打分。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17" w:type="dxa"/>
            <w:vMerge w:val="continue"/>
            <w:tcBorders>
              <w:bottom w:val="single" w:color="auto" w:sz="4" w:space="0"/>
              <w:right w:val="single" w:color="000000" w:sz="4" w:space="0"/>
            </w:tcBorders>
            <w:vAlign w:val="center"/>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szCs w:val="21"/>
                <w:highlight w:val="none"/>
              </w:rPr>
            </w:pPr>
          </w:p>
        </w:tc>
        <w:tc>
          <w:tcPr>
            <w:tcW w:w="1134" w:type="dxa"/>
            <w:gridSpan w:val="2"/>
            <w:vMerge w:val="continue"/>
            <w:tcBorders>
              <w:left w:val="single" w:color="000000" w:sz="4" w:space="0"/>
              <w:bottom w:val="single" w:color="auto" w:sz="4" w:space="0"/>
              <w:right w:val="single" w:color="auto" w:sz="4" w:space="0"/>
            </w:tcBorders>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szCs w:val="21"/>
                <w:highlight w:val="none"/>
              </w:rPr>
            </w:pPr>
          </w:p>
        </w:tc>
        <w:tc>
          <w:tcPr>
            <w:tcW w:w="7446" w:type="dxa"/>
            <w:gridSpan w:val="3"/>
            <w:tcBorders>
              <w:top w:val="single" w:color="auto" w:sz="4" w:space="0"/>
              <w:left w:val="single" w:color="auto" w:sz="4" w:space="0"/>
              <w:bottom w:val="single" w:color="auto" w:sz="4" w:space="0"/>
              <w:right w:val="single" w:color="auto" w:sz="4" w:space="0"/>
            </w:tcBorders>
          </w:tcPr>
          <w:p>
            <w:pPr>
              <w:pStyle w:val="7"/>
              <w:pageBreakBefore w:val="0"/>
              <w:widowControl w:val="0"/>
              <w:kinsoku/>
              <w:wordWrap/>
              <w:overflowPunct/>
              <w:topLinePunct w:val="0"/>
              <w:bidi w:val="0"/>
              <w:snapToGrid/>
              <w:spacing w:after="0" w:line="400" w:lineRule="exact"/>
              <w:jc w:val="left"/>
              <w:textAlignment w:val="auto"/>
              <w:rPr>
                <w:rFonts w:ascii="楷体" w:hAnsi="楷体" w:eastAsia="楷体" w:cs="楷体"/>
                <w:color w:val="auto"/>
                <w:szCs w:val="21"/>
                <w:highlight w:val="none"/>
              </w:rPr>
            </w:pPr>
            <w:r>
              <w:rPr>
                <w:rFonts w:hint="eastAsia" w:ascii="楷体" w:hAnsi="楷体" w:eastAsia="楷体" w:cs="楷体"/>
                <w:color w:val="auto"/>
                <w:highlight w:val="none"/>
              </w:rPr>
              <w:t>注：1、设计文件</w:t>
            </w:r>
            <w:r>
              <w:rPr>
                <w:rFonts w:hint="eastAsia" w:ascii="楷体" w:hAnsi="楷体" w:eastAsia="楷体" w:cs="楷体"/>
                <w:color w:val="auto"/>
                <w:szCs w:val="21"/>
                <w:highlight w:val="none"/>
              </w:rPr>
              <w:t>中缺少相应内容的评审要点不得分。</w:t>
            </w:r>
          </w:p>
          <w:p>
            <w:pPr>
              <w:pageBreakBefore w:val="0"/>
              <w:widowControl w:val="0"/>
              <w:kinsoku/>
              <w:wordWrap/>
              <w:overflowPunct/>
              <w:topLinePunct w:val="0"/>
              <w:bidi w:val="0"/>
              <w:snapToGrid/>
              <w:spacing w:line="400" w:lineRule="exact"/>
              <w:textAlignment w:val="auto"/>
              <w:rPr>
                <w:rFonts w:ascii="楷体" w:hAnsi="楷体" w:eastAsia="楷体" w:cs="楷体"/>
                <w:color w:val="auto"/>
                <w:szCs w:val="21"/>
                <w:highlight w:val="none"/>
              </w:rPr>
            </w:pPr>
            <w:r>
              <w:rPr>
                <w:rFonts w:hint="eastAsia" w:ascii="楷体" w:hAnsi="楷体" w:eastAsia="楷体" w:cs="楷体"/>
                <w:color w:val="auto"/>
                <w:szCs w:val="21"/>
                <w:highlight w:val="none"/>
              </w:rPr>
              <w:t>2、评标委员会对各投标人的设计文件先进行等级评审，评审等级分为优、良、中三个等级，其中优仅限1名、良2名、中不限；优、良、中各等级的得分系数分别为：0.9＜优≤1.0；0.7＜良≤0.8；0.5＜中≤0.6，以0.01为一个记分单位，按</w:t>
            </w:r>
            <w:r>
              <w:rPr>
                <w:rFonts w:hint="eastAsia" w:ascii="楷体" w:hAnsi="楷体" w:eastAsia="楷体" w:cs="楷体"/>
                <w:color w:val="auto"/>
                <w:szCs w:val="21"/>
                <w:highlight w:val="none"/>
                <w:lang w:eastAsia="zh-CN"/>
              </w:rPr>
              <w:t>各子项的分值（例如：设计说明</w:t>
            </w:r>
            <w:r>
              <w:rPr>
                <w:rFonts w:hint="eastAsia" w:ascii="楷体" w:hAnsi="楷体" w:eastAsia="楷体" w:cs="楷体"/>
                <w:color w:val="auto"/>
                <w:szCs w:val="21"/>
                <w:highlight w:val="none"/>
                <w:lang w:val="en-US" w:eastAsia="zh-CN"/>
              </w:rPr>
              <w:t>10分</w:t>
            </w:r>
            <w:r>
              <w:rPr>
                <w:rFonts w:hint="eastAsia" w:ascii="楷体" w:hAnsi="楷体" w:eastAsia="楷体" w:cs="楷体"/>
                <w:color w:val="auto"/>
                <w:szCs w:val="21"/>
                <w:highlight w:val="none"/>
                <w:lang w:eastAsia="zh-CN"/>
              </w:rPr>
              <w:t>）</w:t>
            </w:r>
            <w:r>
              <w:rPr>
                <w:rFonts w:hint="eastAsia" w:ascii="楷体" w:hAnsi="楷体" w:eastAsia="楷体" w:cs="楷体"/>
                <w:color w:val="auto"/>
                <w:szCs w:val="21"/>
                <w:highlight w:val="none"/>
              </w:rPr>
              <w:t>×得分系数进行计分、汇总。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817" w:type="dxa"/>
            <w:vMerge w:val="restart"/>
            <w:tcBorders>
              <w:top w:val="single" w:color="auto" w:sz="4" w:space="0"/>
              <w:right w:val="single" w:color="000000" w:sz="4" w:space="0"/>
            </w:tcBorders>
            <w:vAlign w:val="center"/>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szCs w:val="21"/>
                <w:highlight w:val="none"/>
              </w:rPr>
            </w:pPr>
            <w:r>
              <w:rPr>
                <w:rFonts w:hint="eastAsia" w:ascii="楷体" w:hAnsi="楷体" w:eastAsia="楷体" w:cs="楷体"/>
                <w:color w:val="auto"/>
                <w:szCs w:val="21"/>
                <w:highlight w:val="none"/>
              </w:rPr>
              <w:t>2</w:t>
            </w:r>
          </w:p>
        </w:tc>
        <w:tc>
          <w:tcPr>
            <w:tcW w:w="1134" w:type="dxa"/>
            <w:gridSpan w:val="2"/>
            <w:vMerge w:val="restart"/>
            <w:tcBorders>
              <w:top w:val="single" w:color="auto" w:sz="4" w:space="0"/>
              <w:left w:val="single" w:color="000000" w:sz="4" w:space="0"/>
              <w:right w:val="single" w:color="auto" w:sz="4" w:space="0"/>
            </w:tcBorders>
            <w:vAlign w:val="center"/>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szCs w:val="21"/>
                <w:highlight w:val="none"/>
              </w:rPr>
            </w:pPr>
            <w:r>
              <w:rPr>
                <w:rFonts w:hint="eastAsia" w:ascii="楷体" w:hAnsi="楷体" w:eastAsia="楷体" w:cs="楷体"/>
                <w:color w:val="auto"/>
                <w:szCs w:val="21"/>
                <w:highlight w:val="none"/>
              </w:rPr>
              <w:t>工程总承包报价（50分）</w:t>
            </w:r>
          </w:p>
        </w:tc>
        <w:tc>
          <w:tcPr>
            <w:tcW w:w="2668" w:type="dxa"/>
            <w:gridSpan w:val="2"/>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szCs w:val="21"/>
                <w:highlight w:val="none"/>
              </w:rPr>
            </w:pPr>
            <w:r>
              <w:rPr>
                <w:rFonts w:hint="eastAsia" w:ascii="楷体" w:hAnsi="楷体" w:eastAsia="楷体" w:cs="楷体"/>
                <w:color w:val="auto"/>
                <w:szCs w:val="21"/>
                <w:highlight w:val="none"/>
              </w:rPr>
              <w:t>报价评审（包括设计费、工程费）（48分）</w:t>
            </w:r>
          </w:p>
        </w:tc>
        <w:tc>
          <w:tcPr>
            <w:tcW w:w="4778"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snapToGrid/>
              <w:spacing w:line="400" w:lineRule="exact"/>
              <w:textAlignment w:val="auto"/>
              <w:rPr>
                <w:rFonts w:ascii="楷体" w:hAnsi="楷体" w:eastAsia="楷体" w:cs="楷体"/>
                <w:color w:val="auto"/>
                <w:szCs w:val="21"/>
                <w:highlight w:val="none"/>
              </w:rPr>
            </w:pPr>
            <w:r>
              <w:rPr>
                <w:rFonts w:hint="eastAsia" w:ascii="楷体" w:hAnsi="楷体" w:eastAsia="楷体" w:cs="楷体"/>
                <w:color w:val="auto"/>
                <w:szCs w:val="21"/>
                <w:highlight w:val="none"/>
              </w:rPr>
              <w:t>以有效投标文件的评标价进行算术平均，该平均值下浮3%-7%（3%、3.5%、4%、4.5%、5%、5.5%、6%、6.5%、7%，开标时随机抽取）为评标基准价。评标价等于评标基准价的得满分；每低于评标基准价1%扣0.1分；每高于评标基准价1%扣0.2分。偏离不足1%的，按照插入法计算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12" w:hRule="atLeast"/>
          <w:jc w:val="center"/>
        </w:trPr>
        <w:tc>
          <w:tcPr>
            <w:tcW w:w="817" w:type="dxa"/>
            <w:vMerge w:val="continue"/>
            <w:tcBorders>
              <w:top w:val="single" w:color="auto" w:sz="4" w:space="0"/>
              <w:right w:val="single" w:color="000000" w:sz="4" w:space="0"/>
            </w:tcBorders>
            <w:vAlign w:val="center"/>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szCs w:val="21"/>
                <w:highlight w:val="none"/>
              </w:rPr>
            </w:pPr>
          </w:p>
        </w:tc>
        <w:tc>
          <w:tcPr>
            <w:tcW w:w="1134" w:type="dxa"/>
            <w:gridSpan w:val="2"/>
            <w:vMerge w:val="continue"/>
            <w:tcBorders>
              <w:top w:val="single" w:color="auto" w:sz="4" w:space="0"/>
              <w:left w:val="single" w:color="000000" w:sz="4" w:space="0"/>
              <w:right w:val="single" w:color="auto" w:sz="4" w:space="0"/>
            </w:tcBorders>
            <w:vAlign w:val="center"/>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szCs w:val="21"/>
                <w:highlight w:val="none"/>
              </w:rPr>
            </w:pPr>
          </w:p>
        </w:tc>
        <w:tc>
          <w:tcPr>
            <w:tcW w:w="2668" w:type="dxa"/>
            <w:gridSpan w:val="2"/>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snapToGrid/>
              <w:spacing w:line="400" w:lineRule="exact"/>
              <w:textAlignment w:val="auto"/>
              <w:rPr>
                <w:rFonts w:ascii="楷体" w:hAnsi="楷体" w:eastAsia="楷体" w:cs="楷体"/>
                <w:color w:val="auto"/>
                <w:szCs w:val="21"/>
                <w:highlight w:val="none"/>
              </w:rPr>
            </w:pPr>
            <w:r>
              <w:rPr>
                <w:rFonts w:hint="eastAsia" w:ascii="楷体" w:hAnsi="楷体" w:eastAsia="楷体" w:cs="楷体"/>
                <w:color w:val="auto"/>
                <w:szCs w:val="21"/>
                <w:highlight w:val="none"/>
              </w:rPr>
              <w:t>投标报价合理性（2 分）</w:t>
            </w:r>
          </w:p>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szCs w:val="21"/>
                <w:highlight w:val="none"/>
              </w:rPr>
            </w:pPr>
          </w:p>
        </w:tc>
        <w:tc>
          <w:tcPr>
            <w:tcW w:w="4778"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snapToGrid/>
              <w:spacing w:line="400" w:lineRule="exact"/>
              <w:textAlignment w:val="auto"/>
              <w:rPr>
                <w:rFonts w:ascii="楷体" w:hAnsi="楷体" w:eastAsia="楷体" w:cs="楷体"/>
                <w:color w:val="auto"/>
                <w:szCs w:val="21"/>
                <w:highlight w:val="none"/>
              </w:rPr>
            </w:pPr>
            <w:r>
              <w:rPr>
                <w:rFonts w:hint="eastAsia" w:ascii="楷体" w:hAnsi="楷体" w:eastAsia="楷体" w:cs="楷体"/>
                <w:color w:val="auto"/>
                <w:szCs w:val="21"/>
                <w:highlight w:val="none"/>
              </w:rPr>
              <w:t>1．工程总承包报价是否与招标范围相一致；</w:t>
            </w:r>
          </w:p>
          <w:p>
            <w:pPr>
              <w:pageBreakBefore w:val="0"/>
              <w:widowControl w:val="0"/>
              <w:kinsoku/>
              <w:wordWrap/>
              <w:overflowPunct/>
              <w:topLinePunct w:val="0"/>
              <w:bidi w:val="0"/>
              <w:snapToGrid/>
              <w:spacing w:line="400" w:lineRule="exact"/>
              <w:textAlignment w:val="auto"/>
              <w:rPr>
                <w:rFonts w:ascii="楷体" w:hAnsi="楷体" w:eastAsia="楷体" w:cs="楷体"/>
                <w:color w:val="auto"/>
                <w:szCs w:val="21"/>
                <w:highlight w:val="none"/>
              </w:rPr>
            </w:pPr>
            <w:r>
              <w:rPr>
                <w:rFonts w:hint="eastAsia" w:ascii="楷体" w:hAnsi="楷体" w:eastAsia="楷体" w:cs="楷体"/>
                <w:color w:val="auto"/>
                <w:szCs w:val="21"/>
                <w:highlight w:val="none"/>
              </w:rPr>
              <w:t>2．工程总承包报价是否与投标专业工程设计文件相匹配；</w:t>
            </w:r>
          </w:p>
          <w:p>
            <w:pPr>
              <w:pageBreakBefore w:val="0"/>
              <w:widowControl w:val="0"/>
              <w:kinsoku/>
              <w:wordWrap/>
              <w:overflowPunct/>
              <w:topLinePunct w:val="0"/>
              <w:bidi w:val="0"/>
              <w:snapToGrid/>
              <w:spacing w:line="400" w:lineRule="exact"/>
              <w:textAlignment w:val="auto"/>
              <w:rPr>
                <w:rFonts w:ascii="楷体" w:hAnsi="楷体" w:eastAsia="楷体" w:cs="楷体"/>
                <w:color w:val="auto"/>
                <w:szCs w:val="21"/>
                <w:highlight w:val="none"/>
              </w:rPr>
            </w:pPr>
            <w:r>
              <w:rPr>
                <w:rFonts w:hint="eastAsia" w:ascii="楷体" w:hAnsi="楷体" w:eastAsia="楷体" w:cs="楷体"/>
                <w:color w:val="auto"/>
                <w:szCs w:val="21"/>
                <w:highlight w:val="none"/>
              </w:rPr>
              <w:t>3．工程总承包报价是否与投标项目管理组织方案相匹配；</w:t>
            </w:r>
          </w:p>
          <w:p>
            <w:pPr>
              <w:pageBreakBefore w:val="0"/>
              <w:widowControl w:val="0"/>
              <w:kinsoku/>
              <w:wordWrap/>
              <w:overflowPunct/>
              <w:topLinePunct w:val="0"/>
              <w:bidi w:val="0"/>
              <w:snapToGrid/>
              <w:spacing w:line="400" w:lineRule="exact"/>
              <w:textAlignment w:val="auto"/>
              <w:rPr>
                <w:rFonts w:ascii="楷体" w:hAnsi="楷体" w:eastAsia="楷体" w:cs="楷体"/>
                <w:color w:val="auto"/>
                <w:szCs w:val="21"/>
                <w:highlight w:val="none"/>
              </w:rPr>
            </w:pPr>
            <w:r>
              <w:rPr>
                <w:rFonts w:hint="eastAsia" w:ascii="楷体" w:hAnsi="楷体" w:eastAsia="楷体" w:cs="楷体"/>
                <w:color w:val="auto"/>
                <w:szCs w:val="21"/>
                <w:highlight w:val="none"/>
              </w:rPr>
              <w:t>4．工程总承包报价中的风险金计取是否明确、合理。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83" w:hRule="atLeast"/>
          <w:jc w:val="center"/>
        </w:trPr>
        <w:tc>
          <w:tcPr>
            <w:tcW w:w="817" w:type="dxa"/>
            <w:vMerge w:val="continue"/>
            <w:tcBorders>
              <w:bottom w:val="single" w:color="000000" w:sz="4" w:space="0"/>
              <w:right w:val="single" w:color="000000" w:sz="4" w:space="0"/>
            </w:tcBorders>
            <w:vAlign w:val="center"/>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szCs w:val="21"/>
                <w:highlight w:val="none"/>
              </w:rPr>
            </w:pPr>
          </w:p>
        </w:tc>
        <w:tc>
          <w:tcPr>
            <w:tcW w:w="1134" w:type="dxa"/>
            <w:gridSpan w:val="2"/>
            <w:vMerge w:val="continue"/>
            <w:tcBorders>
              <w:left w:val="single" w:color="000000" w:sz="4" w:space="0"/>
              <w:bottom w:val="single" w:color="000000" w:sz="4" w:space="0"/>
              <w:right w:val="single" w:color="auto" w:sz="4" w:space="0"/>
            </w:tcBorders>
            <w:vAlign w:val="center"/>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szCs w:val="21"/>
                <w:highlight w:val="none"/>
              </w:rPr>
            </w:pPr>
          </w:p>
        </w:tc>
        <w:tc>
          <w:tcPr>
            <w:tcW w:w="7446" w:type="dxa"/>
            <w:gridSpan w:val="3"/>
            <w:tcBorders>
              <w:top w:val="single" w:color="auto" w:sz="4" w:space="0"/>
              <w:left w:val="single" w:color="auto" w:sz="4" w:space="0"/>
              <w:right w:val="single" w:color="auto" w:sz="4" w:space="0"/>
            </w:tcBorders>
            <w:vAlign w:val="center"/>
          </w:tcPr>
          <w:p>
            <w:pPr>
              <w:pageBreakBefore w:val="0"/>
              <w:widowControl w:val="0"/>
              <w:kinsoku/>
              <w:wordWrap/>
              <w:overflowPunct/>
              <w:topLinePunct w:val="0"/>
              <w:bidi w:val="0"/>
              <w:snapToGrid/>
              <w:spacing w:line="400" w:lineRule="exact"/>
              <w:textAlignment w:val="auto"/>
              <w:rPr>
                <w:rFonts w:ascii="楷体" w:hAnsi="楷体" w:eastAsia="楷体" w:cs="楷体"/>
                <w:color w:val="auto"/>
                <w:szCs w:val="21"/>
                <w:highlight w:val="none"/>
              </w:rPr>
            </w:pPr>
            <w:r>
              <w:rPr>
                <w:rFonts w:hint="eastAsia" w:ascii="楷体" w:hAnsi="楷体" w:eastAsia="楷体" w:cs="楷体"/>
                <w:color w:val="auto"/>
                <w:szCs w:val="21"/>
                <w:highlight w:val="none"/>
              </w:rPr>
              <w:t>说明：</w:t>
            </w:r>
          </w:p>
          <w:p>
            <w:pPr>
              <w:pageBreakBefore w:val="0"/>
              <w:widowControl w:val="0"/>
              <w:kinsoku/>
              <w:wordWrap/>
              <w:overflowPunct/>
              <w:topLinePunct w:val="0"/>
              <w:bidi w:val="0"/>
              <w:snapToGrid/>
              <w:spacing w:line="400" w:lineRule="exact"/>
              <w:textAlignment w:val="auto"/>
              <w:rPr>
                <w:rFonts w:ascii="楷体" w:hAnsi="楷体" w:eastAsia="楷体" w:cs="楷体"/>
                <w:color w:val="auto"/>
                <w:szCs w:val="21"/>
                <w:highlight w:val="none"/>
              </w:rPr>
            </w:pPr>
            <w:r>
              <w:rPr>
                <w:rFonts w:hint="eastAsia" w:ascii="楷体" w:hAnsi="楷体" w:eastAsia="楷体" w:cs="楷体"/>
                <w:color w:val="auto"/>
                <w:szCs w:val="21"/>
                <w:highlight w:val="none"/>
              </w:rPr>
              <w:t>1.评标价指经澄清、补正和修正算术计算错误的投标报价；</w:t>
            </w:r>
          </w:p>
          <w:p>
            <w:pPr>
              <w:pageBreakBefore w:val="0"/>
              <w:widowControl w:val="0"/>
              <w:kinsoku/>
              <w:wordWrap/>
              <w:overflowPunct/>
              <w:topLinePunct w:val="0"/>
              <w:bidi w:val="0"/>
              <w:snapToGrid/>
              <w:spacing w:line="400" w:lineRule="exact"/>
              <w:textAlignment w:val="auto"/>
              <w:rPr>
                <w:rFonts w:ascii="楷体" w:hAnsi="楷体" w:eastAsia="楷体" w:cs="楷体"/>
                <w:color w:val="auto"/>
                <w:szCs w:val="21"/>
                <w:highlight w:val="none"/>
              </w:rPr>
            </w:pPr>
            <w:r>
              <w:rPr>
                <w:rFonts w:hint="eastAsia" w:ascii="楷体" w:hAnsi="楷体" w:eastAsia="楷体" w:cs="楷体"/>
                <w:color w:val="auto"/>
                <w:szCs w:val="21"/>
                <w:highlight w:val="none"/>
              </w:rPr>
              <w:t>2.有效投标文件是指未被评标委员会判定为无效标的投标文件。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00" w:hRule="atLeast"/>
          <w:jc w:val="center"/>
        </w:trPr>
        <w:tc>
          <w:tcPr>
            <w:tcW w:w="817" w:type="dxa"/>
            <w:vMerge w:val="restart"/>
            <w:tcBorders>
              <w:top w:val="single" w:color="000000" w:sz="4" w:space="0"/>
              <w:right w:val="single" w:color="000000" w:sz="4" w:space="0"/>
            </w:tcBorders>
            <w:vAlign w:val="center"/>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szCs w:val="21"/>
                <w:highlight w:val="none"/>
              </w:rPr>
            </w:pPr>
            <w:r>
              <w:rPr>
                <w:rFonts w:hint="eastAsia" w:ascii="楷体" w:hAnsi="楷体" w:eastAsia="楷体" w:cs="楷体"/>
                <w:color w:val="auto"/>
                <w:szCs w:val="21"/>
                <w:highlight w:val="none"/>
              </w:rPr>
              <w:t>3</w:t>
            </w:r>
          </w:p>
        </w:tc>
        <w:tc>
          <w:tcPr>
            <w:tcW w:w="1134" w:type="dxa"/>
            <w:gridSpan w:val="2"/>
            <w:vMerge w:val="restart"/>
            <w:tcBorders>
              <w:top w:val="single" w:color="000000" w:sz="4" w:space="0"/>
              <w:left w:val="single" w:color="000000" w:sz="4" w:space="0"/>
              <w:right w:val="single" w:color="auto" w:sz="4" w:space="0"/>
            </w:tcBorders>
            <w:vAlign w:val="center"/>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szCs w:val="21"/>
                <w:highlight w:val="none"/>
              </w:rPr>
            </w:pPr>
            <w:r>
              <w:rPr>
                <w:rFonts w:hint="eastAsia" w:ascii="楷体" w:hAnsi="楷体" w:eastAsia="楷体" w:cs="楷体"/>
                <w:color w:val="auto"/>
                <w:szCs w:val="21"/>
                <w:highlight w:val="none"/>
              </w:rPr>
              <w:t>项目管理组织方案（5分）</w:t>
            </w:r>
          </w:p>
        </w:tc>
        <w:tc>
          <w:tcPr>
            <w:tcW w:w="2668" w:type="dxa"/>
            <w:gridSpan w:val="2"/>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snapToGrid/>
              <w:spacing w:line="400" w:lineRule="exact"/>
              <w:textAlignment w:val="auto"/>
              <w:rPr>
                <w:rFonts w:ascii="楷体" w:hAnsi="楷体" w:eastAsia="楷体" w:cs="楷体"/>
                <w:color w:val="auto"/>
                <w:szCs w:val="22"/>
                <w:highlight w:val="none"/>
              </w:rPr>
            </w:pPr>
            <w:r>
              <w:rPr>
                <w:rFonts w:hint="eastAsia" w:ascii="楷体" w:hAnsi="楷体" w:eastAsia="楷体" w:cs="楷体"/>
                <w:color w:val="auto"/>
                <w:szCs w:val="22"/>
                <w:highlight w:val="none"/>
              </w:rPr>
              <w:t>1．总体概述</w:t>
            </w:r>
          </w:p>
        </w:tc>
        <w:tc>
          <w:tcPr>
            <w:tcW w:w="4778"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snapToGrid/>
              <w:spacing w:line="400" w:lineRule="exact"/>
              <w:textAlignment w:val="auto"/>
              <w:rPr>
                <w:rFonts w:ascii="楷体" w:hAnsi="楷体" w:eastAsia="楷体" w:cs="楷体"/>
                <w:color w:val="auto"/>
                <w:szCs w:val="21"/>
                <w:highlight w:val="none"/>
              </w:rPr>
            </w:pPr>
            <w:r>
              <w:rPr>
                <w:rFonts w:hint="eastAsia" w:ascii="楷体" w:hAnsi="楷体" w:eastAsia="楷体" w:cs="楷体"/>
                <w:color w:val="auto"/>
                <w:szCs w:val="21"/>
                <w:highlight w:val="none"/>
              </w:rPr>
              <w:t>对工程总承包的总体设想、组织形式、各项管理目标及控制措施、设计、施工实施计划、设计与施工的协调措施等内容进行评分。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0" w:hRule="atLeast"/>
          <w:jc w:val="center"/>
        </w:trPr>
        <w:tc>
          <w:tcPr>
            <w:tcW w:w="817" w:type="dxa"/>
            <w:vMerge w:val="continue"/>
            <w:tcBorders>
              <w:right w:val="single" w:color="000000" w:sz="4" w:space="0"/>
            </w:tcBorders>
            <w:vAlign w:val="center"/>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szCs w:val="21"/>
                <w:highlight w:val="none"/>
              </w:rPr>
            </w:pPr>
          </w:p>
        </w:tc>
        <w:tc>
          <w:tcPr>
            <w:tcW w:w="1134" w:type="dxa"/>
            <w:gridSpan w:val="2"/>
            <w:vMerge w:val="continue"/>
            <w:tcBorders>
              <w:left w:val="single" w:color="000000" w:sz="4" w:space="0"/>
              <w:right w:val="single" w:color="auto" w:sz="4" w:space="0"/>
            </w:tcBorders>
            <w:vAlign w:val="center"/>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szCs w:val="21"/>
                <w:highlight w:val="none"/>
              </w:rPr>
            </w:pPr>
          </w:p>
        </w:tc>
        <w:tc>
          <w:tcPr>
            <w:tcW w:w="2668" w:type="dxa"/>
            <w:gridSpan w:val="2"/>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snapToGrid/>
              <w:spacing w:line="400" w:lineRule="exact"/>
              <w:textAlignment w:val="auto"/>
              <w:rPr>
                <w:rFonts w:ascii="楷体" w:hAnsi="楷体" w:eastAsia="楷体" w:cs="楷体"/>
                <w:color w:val="auto"/>
                <w:szCs w:val="22"/>
                <w:highlight w:val="none"/>
              </w:rPr>
            </w:pPr>
            <w:r>
              <w:rPr>
                <w:rFonts w:hint="eastAsia" w:ascii="楷体" w:hAnsi="楷体" w:eastAsia="楷体" w:cs="楷体"/>
                <w:color w:val="auto"/>
                <w:szCs w:val="22"/>
                <w:highlight w:val="none"/>
              </w:rPr>
              <w:t>2．采购管理方案</w:t>
            </w:r>
          </w:p>
        </w:tc>
        <w:tc>
          <w:tcPr>
            <w:tcW w:w="4778"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snapToGrid/>
              <w:spacing w:line="400" w:lineRule="exact"/>
              <w:textAlignment w:val="auto"/>
              <w:rPr>
                <w:rFonts w:ascii="楷体" w:hAnsi="楷体" w:eastAsia="楷体" w:cs="楷体"/>
                <w:color w:val="auto"/>
                <w:szCs w:val="21"/>
                <w:highlight w:val="none"/>
              </w:rPr>
            </w:pPr>
            <w:r>
              <w:rPr>
                <w:rFonts w:hint="eastAsia" w:ascii="楷体" w:hAnsi="楷体" w:eastAsia="楷体" w:cs="楷体"/>
                <w:color w:val="auto"/>
                <w:szCs w:val="21"/>
                <w:highlight w:val="none"/>
              </w:rPr>
              <w:t>对采购工作程序、采购执行计划、采买、催交与检验、运输与交付、采购变更管理、仓储管理等内容进行评分。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17" w:type="dxa"/>
            <w:vMerge w:val="continue"/>
            <w:tcBorders>
              <w:right w:val="single" w:color="000000" w:sz="4" w:space="0"/>
            </w:tcBorders>
            <w:vAlign w:val="center"/>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szCs w:val="21"/>
                <w:highlight w:val="none"/>
              </w:rPr>
            </w:pPr>
          </w:p>
        </w:tc>
        <w:tc>
          <w:tcPr>
            <w:tcW w:w="1134" w:type="dxa"/>
            <w:gridSpan w:val="2"/>
            <w:vMerge w:val="continue"/>
            <w:tcBorders>
              <w:left w:val="single" w:color="000000" w:sz="4" w:space="0"/>
              <w:right w:val="single" w:color="auto" w:sz="4" w:space="0"/>
            </w:tcBorders>
            <w:vAlign w:val="center"/>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szCs w:val="21"/>
                <w:highlight w:val="none"/>
              </w:rPr>
            </w:pPr>
          </w:p>
        </w:tc>
        <w:tc>
          <w:tcPr>
            <w:tcW w:w="2668" w:type="dxa"/>
            <w:gridSpan w:val="2"/>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snapToGrid/>
              <w:spacing w:line="400" w:lineRule="exact"/>
              <w:textAlignment w:val="auto"/>
              <w:rPr>
                <w:rFonts w:ascii="楷体" w:hAnsi="楷体" w:eastAsia="楷体" w:cs="楷体"/>
                <w:color w:val="auto"/>
                <w:szCs w:val="22"/>
                <w:highlight w:val="none"/>
              </w:rPr>
            </w:pPr>
            <w:r>
              <w:rPr>
                <w:rFonts w:hint="eastAsia" w:ascii="楷体" w:hAnsi="楷体" w:eastAsia="楷体" w:cs="楷体"/>
                <w:color w:val="auto"/>
                <w:szCs w:val="22"/>
                <w:highlight w:val="none"/>
              </w:rPr>
              <w:t>4．施工的重点难点（</w:t>
            </w:r>
          </w:p>
        </w:tc>
        <w:tc>
          <w:tcPr>
            <w:tcW w:w="4778"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snapToGrid/>
              <w:spacing w:line="400" w:lineRule="exact"/>
              <w:textAlignment w:val="auto"/>
              <w:rPr>
                <w:rFonts w:ascii="楷体" w:hAnsi="楷体" w:eastAsia="楷体" w:cs="楷体"/>
                <w:color w:val="auto"/>
                <w:szCs w:val="21"/>
                <w:highlight w:val="none"/>
              </w:rPr>
            </w:pPr>
            <w:r>
              <w:rPr>
                <w:rFonts w:hint="eastAsia" w:ascii="楷体" w:hAnsi="楷体" w:eastAsia="楷体" w:cs="楷体"/>
                <w:color w:val="auto"/>
                <w:szCs w:val="21"/>
                <w:highlight w:val="none"/>
              </w:rPr>
              <w:t>对关键施工技术、工艺及工程项目实施的重点、难点和解决方案等内容进行评分。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17" w:type="dxa"/>
            <w:vMerge w:val="continue"/>
            <w:tcBorders>
              <w:right w:val="single" w:color="000000" w:sz="4" w:space="0"/>
            </w:tcBorders>
            <w:vAlign w:val="center"/>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szCs w:val="21"/>
                <w:highlight w:val="none"/>
              </w:rPr>
            </w:pPr>
          </w:p>
        </w:tc>
        <w:tc>
          <w:tcPr>
            <w:tcW w:w="1134" w:type="dxa"/>
            <w:gridSpan w:val="2"/>
            <w:vMerge w:val="continue"/>
            <w:tcBorders>
              <w:left w:val="single" w:color="000000" w:sz="4" w:space="0"/>
              <w:right w:val="single" w:color="auto" w:sz="4" w:space="0"/>
            </w:tcBorders>
            <w:vAlign w:val="center"/>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szCs w:val="21"/>
                <w:highlight w:val="none"/>
              </w:rPr>
            </w:pPr>
          </w:p>
        </w:tc>
        <w:tc>
          <w:tcPr>
            <w:tcW w:w="2668" w:type="dxa"/>
            <w:gridSpan w:val="2"/>
            <w:tcBorders>
              <w:top w:val="single" w:color="auto" w:sz="4" w:space="0"/>
              <w:left w:val="single" w:color="auto" w:sz="4" w:space="0"/>
              <w:bottom w:val="single" w:color="auto" w:sz="4" w:space="0"/>
              <w:right w:val="single" w:color="auto" w:sz="4" w:space="0"/>
            </w:tcBorders>
          </w:tcPr>
          <w:p>
            <w:pPr>
              <w:pageBreakBefore w:val="0"/>
              <w:widowControl w:val="0"/>
              <w:kinsoku/>
              <w:wordWrap/>
              <w:overflowPunct/>
              <w:topLinePunct w:val="0"/>
              <w:bidi w:val="0"/>
              <w:snapToGrid/>
              <w:spacing w:line="400" w:lineRule="exact"/>
              <w:textAlignment w:val="auto"/>
              <w:rPr>
                <w:rFonts w:ascii="楷体" w:hAnsi="楷体" w:eastAsia="楷体" w:cs="楷体"/>
                <w:color w:val="auto"/>
                <w:szCs w:val="22"/>
                <w:highlight w:val="none"/>
              </w:rPr>
            </w:pPr>
            <w:r>
              <w:rPr>
                <w:rFonts w:hint="eastAsia" w:ascii="楷体" w:hAnsi="楷体" w:eastAsia="楷体" w:cs="楷体"/>
                <w:color w:val="auto"/>
                <w:szCs w:val="22"/>
                <w:highlight w:val="none"/>
              </w:rPr>
              <w:t>5. 施工平面布置规划，施工资源投入计划</w:t>
            </w:r>
          </w:p>
        </w:tc>
        <w:tc>
          <w:tcPr>
            <w:tcW w:w="4778" w:type="dxa"/>
            <w:tcBorders>
              <w:top w:val="single" w:color="auto" w:sz="4" w:space="0"/>
              <w:left w:val="single" w:color="auto" w:sz="4" w:space="0"/>
              <w:bottom w:val="single" w:color="auto" w:sz="4" w:space="0"/>
              <w:right w:val="single" w:color="auto" w:sz="4" w:space="0"/>
            </w:tcBorders>
          </w:tcPr>
          <w:p>
            <w:pPr>
              <w:pageBreakBefore w:val="0"/>
              <w:widowControl w:val="0"/>
              <w:kinsoku/>
              <w:wordWrap/>
              <w:overflowPunct/>
              <w:topLinePunct w:val="0"/>
              <w:bidi w:val="0"/>
              <w:snapToGrid/>
              <w:spacing w:line="400" w:lineRule="exact"/>
              <w:textAlignment w:val="auto"/>
              <w:rPr>
                <w:rFonts w:ascii="楷体" w:hAnsi="楷体" w:eastAsia="楷体" w:cs="楷体"/>
                <w:color w:val="auto"/>
                <w:szCs w:val="22"/>
                <w:highlight w:val="none"/>
              </w:rPr>
            </w:pPr>
            <w:r>
              <w:rPr>
                <w:rFonts w:hint="eastAsia" w:ascii="楷体" w:hAnsi="楷体" w:eastAsia="楷体" w:cs="楷体"/>
                <w:color w:val="auto"/>
                <w:szCs w:val="22"/>
                <w:highlight w:val="none"/>
              </w:rPr>
              <w:t>对施</w:t>
            </w:r>
            <w:r>
              <w:rPr>
                <w:rFonts w:hint="eastAsia" w:ascii="楷体" w:hAnsi="楷体" w:eastAsia="楷体" w:cs="楷体"/>
                <w:color w:val="auto"/>
                <w:szCs w:val="21"/>
                <w:highlight w:val="none"/>
              </w:rPr>
              <w:t>工现场平面布置和临时设施、临时道路布置等内容以及</w:t>
            </w:r>
            <w:r>
              <w:rPr>
                <w:rFonts w:hint="eastAsia" w:ascii="楷体" w:hAnsi="楷体" w:eastAsia="楷体" w:cs="楷体"/>
                <w:color w:val="auto"/>
                <w:szCs w:val="22"/>
                <w:highlight w:val="none"/>
              </w:rPr>
              <w:t>劳动力、机械设备和材料投入计划进行评分。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6" w:hRule="atLeast"/>
          <w:jc w:val="center"/>
        </w:trPr>
        <w:tc>
          <w:tcPr>
            <w:tcW w:w="817" w:type="dxa"/>
            <w:vMerge w:val="continue"/>
            <w:tcBorders>
              <w:right w:val="single" w:color="000000" w:sz="4" w:space="0"/>
            </w:tcBorders>
            <w:vAlign w:val="center"/>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szCs w:val="21"/>
                <w:highlight w:val="none"/>
              </w:rPr>
            </w:pPr>
          </w:p>
        </w:tc>
        <w:tc>
          <w:tcPr>
            <w:tcW w:w="1134" w:type="dxa"/>
            <w:gridSpan w:val="2"/>
            <w:vMerge w:val="continue"/>
            <w:tcBorders>
              <w:left w:val="single" w:color="000000" w:sz="4" w:space="0"/>
              <w:right w:val="single" w:color="auto" w:sz="4" w:space="0"/>
            </w:tcBorders>
            <w:vAlign w:val="center"/>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szCs w:val="21"/>
                <w:highlight w:val="none"/>
              </w:rPr>
            </w:pPr>
          </w:p>
        </w:tc>
        <w:tc>
          <w:tcPr>
            <w:tcW w:w="2668" w:type="dxa"/>
            <w:gridSpan w:val="2"/>
            <w:tcBorders>
              <w:top w:val="single" w:color="auto" w:sz="4" w:space="0"/>
              <w:left w:val="single" w:color="auto" w:sz="4" w:space="0"/>
              <w:bottom w:val="single" w:color="auto" w:sz="4" w:space="0"/>
              <w:right w:val="single" w:color="auto" w:sz="4" w:space="0"/>
            </w:tcBorders>
          </w:tcPr>
          <w:p>
            <w:pPr>
              <w:pageBreakBefore w:val="0"/>
              <w:widowControl w:val="0"/>
              <w:kinsoku/>
              <w:wordWrap/>
              <w:overflowPunct/>
              <w:topLinePunct w:val="0"/>
              <w:bidi w:val="0"/>
              <w:snapToGrid/>
              <w:spacing w:line="400" w:lineRule="exact"/>
              <w:textAlignment w:val="auto"/>
              <w:rPr>
                <w:rFonts w:ascii="楷体" w:hAnsi="楷体" w:eastAsia="楷体" w:cs="楷体"/>
                <w:color w:val="auto"/>
                <w:szCs w:val="22"/>
                <w:highlight w:val="none"/>
              </w:rPr>
            </w:pPr>
            <w:r>
              <w:rPr>
                <w:rFonts w:hint="eastAsia" w:ascii="楷体" w:hAnsi="楷体" w:eastAsia="楷体" w:cs="楷体"/>
                <w:color w:val="auto"/>
                <w:szCs w:val="22"/>
                <w:highlight w:val="none"/>
              </w:rPr>
              <w:t>6.新技术、新产品、新工艺、新材料应用</w:t>
            </w:r>
          </w:p>
        </w:tc>
        <w:tc>
          <w:tcPr>
            <w:tcW w:w="4778" w:type="dxa"/>
            <w:tcBorders>
              <w:top w:val="single" w:color="auto" w:sz="4" w:space="0"/>
              <w:left w:val="single" w:color="auto" w:sz="4" w:space="0"/>
              <w:bottom w:val="single" w:color="auto" w:sz="4" w:space="0"/>
              <w:right w:val="single" w:color="auto" w:sz="4" w:space="0"/>
            </w:tcBorders>
          </w:tcPr>
          <w:p>
            <w:pPr>
              <w:pageBreakBefore w:val="0"/>
              <w:widowControl w:val="0"/>
              <w:kinsoku/>
              <w:wordWrap/>
              <w:overflowPunct/>
              <w:topLinePunct w:val="0"/>
              <w:bidi w:val="0"/>
              <w:snapToGrid/>
              <w:spacing w:line="400" w:lineRule="exact"/>
              <w:textAlignment w:val="auto"/>
              <w:rPr>
                <w:rFonts w:ascii="楷体" w:hAnsi="楷体" w:eastAsia="楷体" w:cs="楷体"/>
                <w:color w:val="auto"/>
                <w:szCs w:val="22"/>
                <w:highlight w:val="none"/>
              </w:rPr>
            </w:pPr>
            <w:r>
              <w:rPr>
                <w:rFonts w:hint="eastAsia" w:ascii="楷体" w:hAnsi="楷体" w:eastAsia="楷体" w:cs="楷体"/>
                <w:color w:val="auto"/>
                <w:szCs w:val="22"/>
                <w:highlight w:val="none"/>
              </w:rPr>
              <w:t>对采用新技术、新产品、新工艺、新材料的情况进行评分。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5" w:hRule="atLeast"/>
          <w:jc w:val="center"/>
        </w:trPr>
        <w:tc>
          <w:tcPr>
            <w:tcW w:w="817" w:type="dxa"/>
            <w:vMerge w:val="continue"/>
            <w:tcBorders>
              <w:right w:val="single" w:color="000000" w:sz="4" w:space="0"/>
            </w:tcBorders>
            <w:vAlign w:val="center"/>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szCs w:val="21"/>
                <w:highlight w:val="none"/>
              </w:rPr>
            </w:pPr>
          </w:p>
        </w:tc>
        <w:tc>
          <w:tcPr>
            <w:tcW w:w="1134" w:type="dxa"/>
            <w:gridSpan w:val="2"/>
            <w:vMerge w:val="continue"/>
            <w:tcBorders>
              <w:left w:val="single" w:color="000000" w:sz="4" w:space="0"/>
              <w:right w:val="single" w:color="auto" w:sz="4" w:space="0"/>
            </w:tcBorders>
            <w:vAlign w:val="center"/>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szCs w:val="21"/>
                <w:highlight w:val="none"/>
              </w:rPr>
            </w:pPr>
          </w:p>
        </w:tc>
        <w:tc>
          <w:tcPr>
            <w:tcW w:w="2668" w:type="dxa"/>
            <w:gridSpan w:val="2"/>
            <w:tcBorders>
              <w:top w:val="single" w:color="auto" w:sz="4" w:space="0"/>
              <w:left w:val="single" w:color="auto" w:sz="4" w:space="0"/>
              <w:bottom w:val="single" w:color="auto" w:sz="4" w:space="0"/>
              <w:right w:val="single" w:color="auto" w:sz="4" w:space="0"/>
            </w:tcBorders>
          </w:tcPr>
          <w:p>
            <w:pPr>
              <w:pageBreakBefore w:val="0"/>
              <w:widowControl w:val="0"/>
              <w:kinsoku/>
              <w:wordWrap/>
              <w:overflowPunct/>
              <w:topLinePunct w:val="0"/>
              <w:bidi w:val="0"/>
              <w:snapToGrid/>
              <w:spacing w:line="400" w:lineRule="exact"/>
              <w:textAlignment w:val="auto"/>
              <w:rPr>
                <w:rFonts w:ascii="楷体" w:hAnsi="楷体" w:eastAsia="楷体" w:cs="楷体"/>
                <w:color w:val="auto"/>
                <w:szCs w:val="22"/>
                <w:highlight w:val="none"/>
              </w:rPr>
            </w:pPr>
            <w:r>
              <w:rPr>
                <w:rFonts w:hint="eastAsia" w:ascii="楷体" w:hAnsi="楷体" w:eastAsia="楷体" w:cs="楷体"/>
                <w:color w:val="auto"/>
                <w:szCs w:val="22"/>
                <w:highlight w:val="none"/>
              </w:rPr>
              <w:t>7.施工过程各阶段质量安全的保证措施</w:t>
            </w:r>
          </w:p>
        </w:tc>
        <w:tc>
          <w:tcPr>
            <w:tcW w:w="4778" w:type="dxa"/>
            <w:tcBorders>
              <w:top w:val="single" w:color="auto" w:sz="4" w:space="0"/>
              <w:left w:val="single" w:color="auto" w:sz="4" w:space="0"/>
              <w:bottom w:val="single" w:color="auto" w:sz="4" w:space="0"/>
              <w:right w:val="single" w:color="auto" w:sz="4" w:space="0"/>
            </w:tcBorders>
          </w:tcPr>
          <w:p>
            <w:pPr>
              <w:pageBreakBefore w:val="0"/>
              <w:widowControl w:val="0"/>
              <w:kinsoku/>
              <w:wordWrap/>
              <w:overflowPunct/>
              <w:topLinePunct w:val="0"/>
              <w:bidi w:val="0"/>
              <w:snapToGrid/>
              <w:spacing w:line="400" w:lineRule="exact"/>
              <w:textAlignment w:val="auto"/>
              <w:rPr>
                <w:rFonts w:ascii="楷体" w:hAnsi="楷体" w:eastAsia="楷体" w:cs="楷体"/>
                <w:color w:val="auto"/>
                <w:szCs w:val="22"/>
                <w:highlight w:val="none"/>
              </w:rPr>
            </w:pPr>
            <w:r>
              <w:rPr>
                <w:rFonts w:hint="eastAsia" w:ascii="楷体" w:hAnsi="楷体" w:eastAsia="楷体" w:cs="楷体"/>
                <w:color w:val="auto"/>
                <w:szCs w:val="22"/>
                <w:highlight w:val="none"/>
              </w:rPr>
              <w:t>对施工过程各阶段质量安全的保证措施进行评分。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17" w:type="dxa"/>
            <w:vMerge w:val="continue"/>
            <w:tcBorders>
              <w:bottom w:val="single" w:color="auto" w:sz="4" w:space="0"/>
              <w:right w:val="single" w:color="000000" w:sz="4" w:space="0"/>
            </w:tcBorders>
            <w:vAlign w:val="center"/>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szCs w:val="21"/>
                <w:highlight w:val="none"/>
              </w:rPr>
            </w:pPr>
          </w:p>
        </w:tc>
        <w:tc>
          <w:tcPr>
            <w:tcW w:w="1134" w:type="dxa"/>
            <w:gridSpan w:val="2"/>
            <w:vMerge w:val="continue"/>
            <w:tcBorders>
              <w:left w:val="single" w:color="000000" w:sz="4" w:space="0"/>
              <w:bottom w:val="single" w:color="auto" w:sz="4" w:space="0"/>
              <w:right w:val="single" w:color="auto" w:sz="4" w:space="0"/>
            </w:tcBorders>
            <w:vAlign w:val="center"/>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szCs w:val="21"/>
                <w:highlight w:val="none"/>
              </w:rPr>
            </w:pPr>
          </w:p>
        </w:tc>
        <w:tc>
          <w:tcPr>
            <w:tcW w:w="7446" w:type="dxa"/>
            <w:gridSpan w:val="3"/>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snapToGrid/>
              <w:spacing w:line="400" w:lineRule="exact"/>
              <w:textAlignment w:val="auto"/>
              <w:rPr>
                <w:rFonts w:ascii="楷体" w:hAnsi="楷体" w:eastAsia="楷体" w:cs="楷体"/>
                <w:color w:val="auto"/>
                <w:szCs w:val="21"/>
                <w:highlight w:val="none"/>
              </w:rPr>
            </w:pPr>
            <w:r>
              <w:rPr>
                <w:rFonts w:hint="eastAsia" w:ascii="楷体" w:hAnsi="楷体" w:eastAsia="楷体" w:cs="楷体"/>
                <w:color w:val="auto"/>
                <w:szCs w:val="21"/>
                <w:highlight w:val="none"/>
              </w:rPr>
              <w:t>注：1、项目管理组织方案中缺少相应内容的评审要点不得分。</w:t>
            </w:r>
          </w:p>
          <w:p>
            <w:pPr>
              <w:pStyle w:val="2"/>
              <w:pageBreakBefore w:val="0"/>
              <w:widowControl w:val="0"/>
              <w:kinsoku/>
              <w:wordWrap/>
              <w:overflowPunct/>
              <w:topLinePunct w:val="0"/>
              <w:bidi w:val="0"/>
              <w:snapToGrid/>
              <w:spacing w:line="400" w:lineRule="exact"/>
              <w:textAlignment w:val="auto"/>
              <w:rPr>
                <w:color w:val="auto"/>
                <w:highlight w:val="none"/>
              </w:rPr>
            </w:pPr>
            <w:r>
              <w:rPr>
                <w:rFonts w:hint="eastAsia" w:ascii="楷体" w:hAnsi="楷体" w:eastAsia="楷体" w:cs="楷体"/>
                <w:color w:val="auto"/>
                <w:kern w:val="2"/>
                <w:sz w:val="21"/>
                <w:szCs w:val="21"/>
                <w:highlight w:val="none"/>
              </w:rPr>
              <w:t>2、评标委员会对各投标人的项目管理组织方案进行综合评审，评审计分区间1-5分，以0.01为一个记分单位。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17" w:type="dxa"/>
            <w:tcBorders>
              <w:top w:val="single" w:color="auto" w:sz="4" w:space="0"/>
              <w:bottom w:val="single" w:color="auto" w:sz="4" w:space="0"/>
              <w:right w:val="single" w:color="000000" w:sz="4" w:space="0"/>
            </w:tcBorders>
            <w:vAlign w:val="center"/>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szCs w:val="22"/>
                <w:highlight w:val="none"/>
              </w:rPr>
            </w:pPr>
            <w:r>
              <w:rPr>
                <w:rFonts w:hint="eastAsia" w:ascii="楷体" w:hAnsi="楷体" w:eastAsia="楷体" w:cs="楷体"/>
                <w:color w:val="auto"/>
                <w:szCs w:val="22"/>
                <w:highlight w:val="none"/>
              </w:rPr>
              <w:t>4</w:t>
            </w:r>
          </w:p>
        </w:tc>
        <w:tc>
          <w:tcPr>
            <w:tcW w:w="1134" w:type="dxa"/>
            <w:gridSpan w:val="2"/>
            <w:tcBorders>
              <w:top w:val="single" w:color="auto" w:sz="4" w:space="0"/>
              <w:left w:val="single" w:color="000000" w:sz="4" w:space="0"/>
              <w:bottom w:val="single" w:color="auto" w:sz="4" w:space="0"/>
              <w:right w:val="single" w:color="auto" w:sz="4" w:space="0"/>
            </w:tcBorders>
            <w:vAlign w:val="center"/>
          </w:tcPr>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szCs w:val="22"/>
                <w:highlight w:val="none"/>
              </w:rPr>
            </w:pPr>
            <w:r>
              <w:rPr>
                <w:rFonts w:hint="eastAsia" w:ascii="楷体" w:hAnsi="楷体" w:eastAsia="楷体" w:cs="楷体"/>
                <w:color w:val="auto"/>
                <w:szCs w:val="22"/>
                <w:highlight w:val="none"/>
              </w:rPr>
              <w:t>现场演示陈述</w:t>
            </w:r>
          </w:p>
          <w:p>
            <w:pPr>
              <w:pageBreakBefore w:val="0"/>
              <w:widowControl w:val="0"/>
              <w:kinsoku/>
              <w:wordWrap/>
              <w:overflowPunct/>
              <w:topLinePunct w:val="0"/>
              <w:bidi w:val="0"/>
              <w:snapToGrid/>
              <w:spacing w:line="400" w:lineRule="exact"/>
              <w:jc w:val="center"/>
              <w:textAlignment w:val="auto"/>
              <w:rPr>
                <w:rFonts w:ascii="楷体" w:hAnsi="楷体" w:eastAsia="楷体" w:cs="楷体"/>
                <w:color w:val="auto"/>
                <w:szCs w:val="22"/>
                <w:highlight w:val="none"/>
              </w:rPr>
            </w:pPr>
            <w:r>
              <w:rPr>
                <w:rFonts w:hint="eastAsia" w:ascii="楷体" w:hAnsi="楷体" w:eastAsia="楷体" w:cs="楷体"/>
                <w:color w:val="auto"/>
                <w:szCs w:val="22"/>
                <w:highlight w:val="none"/>
              </w:rPr>
              <w:t>（10分）</w:t>
            </w:r>
          </w:p>
        </w:tc>
        <w:tc>
          <w:tcPr>
            <w:tcW w:w="7446" w:type="dxa"/>
            <w:gridSpan w:val="3"/>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bidi w:val="0"/>
              <w:snapToGrid/>
              <w:spacing w:line="400" w:lineRule="exact"/>
              <w:textAlignment w:val="auto"/>
              <w:rPr>
                <w:rFonts w:ascii="楷体" w:hAnsi="楷体" w:eastAsia="楷体" w:cs="楷体"/>
                <w:color w:val="auto"/>
                <w:szCs w:val="21"/>
                <w:highlight w:val="none"/>
              </w:rPr>
            </w:pPr>
            <w:r>
              <w:rPr>
                <w:rFonts w:hint="eastAsia" w:ascii="楷体" w:hAnsi="楷体" w:eastAsia="楷体" w:cs="楷体"/>
                <w:color w:val="auto"/>
                <w:szCs w:val="21"/>
                <w:highlight w:val="none"/>
              </w:rPr>
              <w:t>现场演示：评标委员会根据各投标人的现场演示讲解及针对现场提问的回答情况酌情打分，以0.01为一个记分单位。</w:t>
            </w:r>
          </w:p>
          <w:p>
            <w:pPr>
              <w:pageBreakBefore w:val="0"/>
              <w:widowControl w:val="0"/>
              <w:kinsoku/>
              <w:wordWrap/>
              <w:overflowPunct/>
              <w:topLinePunct w:val="0"/>
              <w:bidi w:val="0"/>
              <w:snapToGrid/>
              <w:spacing w:line="400" w:lineRule="exact"/>
              <w:textAlignment w:val="auto"/>
              <w:rPr>
                <w:rFonts w:ascii="楷体" w:hAnsi="楷体" w:eastAsia="楷体" w:cs="楷体"/>
                <w:color w:val="auto"/>
                <w:szCs w:val="21"/>
                <w:highlight w:val="none"/>
              </w:rPr>
            </w:pPr>
            <w:r>
              <w:rPr>
                <w:rFonts w:hint="eastAsia" w:ascii="楷体" w:hAnsi="楷体" w:eastAsia="楷体" w:cs="楷体"/>
                <w:color w:val="auto"/>
                <w:szCs w:val="21"/>
                <w:highlight w:val="none"/>
              </w:rPr>
              <w:t>演示内容包含但不限于：</w:t>
            </w:r>
          </w:p>
          <w:p>
            <w:pPr>
              <w:pageBreakBefore w:val="0"/>
              <w:widowControl w:val="0"/>
              <w:kinsoku/>
              <w:wordWrap/>
              <w:overflowPunct/>
              <w:topLinePunct w:val="0"/>
              <w:bidi w:val="0"/>
              <w:snapToGrid/>
              <w:spacing w:line="400" w:lineRule="exact"/>
              <w:textAlignment w:val="auto"/>
              <w:rPr>
                <w:rFonts w:hint="eastAsia" w:ascii="楷体" w:hAnsi="楷体" w:eastAsia="楷体" w:cs="楷体"/>
                <w:color w:val="auto"/>
                <w:szCs w:val="21"/>
                <w:highlight w:val="none"/>
                <w:lang w:eastAsia="zh-CN"/>
              </w:rPr>
            </w:pPr>
            <w:r>
              <w:rPr>
                <w:rFonts w:hint="eastAsia" w:ascii="楷体" w:hAnsi="楷体" w:eastAsia="楷体" w:cs="楷体"/>
                <w:color w:val="auto"/>
                <w:szCs w:val="21"/>
                <w:highlight w:val="none"/>
              </w:rPr>
              <w:t>1、布展设计先进，契合展示空间。</w:t>
            </w:r>
            <w:r>
              <w:rPr>
                <w:rFonts w:hint="eastAsia" w:ascii="楷体" w:hAnsi="楷体" w:eastAsia="楷体" w:cs="楷体"/>
                <w:color w:val="auto"/>
                <w:szCs w:val="21"/>
                <w:highlight w:val="none"/>
                <w:lang w:eastAsia="zh-CN"/>
              </w:rPr>
              <w:t>（</w:t>
            </w:r>
            <w:r>
              <w:rPr>
                <w:rFonts w:hint="eastAsia" w:ascii="楷体" w:hAnsi="楷体" w:eastAsia="楷体" w:cs="楷体"/>
                <w:color w:val="auto"/>
                <w:szCs w:val="21"/>
                <w:highlight w:val="none"/>
                <w:lang w:val="en-US" w:eastAsia="zh-CN"/>
              </w:rPr>
              <w:t>0-2分</w:t>
            </w:r>
            <w:r>
              <w:rPr>
                <w:rFonts w:hint="eastAsia" w:ascii="楷体" w:hAnsi="楷体" w:eastAsia="楷体" w:cs="楷体"/>
                <w:color w:val="auto"/>
                <w:szCs w:val="21"/>
                <w:highlight w:val="none"/>
                <w:lang w:eastAsia="zh-CN"/>
              </w:rPr>
              <w:t>）</w:t>
            </w:r>
          </w:p>
          <w:p>
            <w:pPr>
              <w:pageBreakBefore w:val="0"/>
              <w:widowControl w:val="0"/>
              <w:kinsoku/>
              <w:wordWrap/>
              <w:overflowPunct/>
              <w:topLinePunct w:val="0"/>
              <w:bidi w:val="0"/>
              <w:snapToGrid/>
              <w:spacing w:line="400" w:lineRule="exact"/>
              <w:textAlignment w:val="auto"/>
              <w:rPr>
                <w:rFonts w:ascii="楷体" w:hAnsi="楷体" w:eastAsia="楷体" w:cs="楷体"/>
                <w:color w:val="auto"/>
                <w:szCs w:val="21"/>
                <w:highlight w:val="none"/>
              </w:rPr>
            </w:pPr>
            <w:r>
              <w:rPr>
                <w:rFonts w:hint="eastAsia" w:ascii="楷体" w:hAnsi="楷体" w:eastAsia="楷体" w:cs="楷体"/>
                <w:color w:val="auto"/>
                <w:szCs w:val="21"/>
                <w:highlight w:val="none"/>
              </w:rPr>
              <w:t>2、布展设计风格及整体协调性。</w:t>
            </w:r>
            <w:r>
              <w:rPr>
                <w:rFonts w:hint="eastAsia" w:ascii="楷体" w:hAnsi="楷体" w:eastAsia="楷体" w:cs="楷体"/>
                <w:color w:val="auto"/>
                <w:szCs w:val="21"/>
                <w:highlight w:val="none"/>
                <w:lang w:eastAsia="zh-CN"/>
              </w:rPr>
              <w:t>（</w:t>
            </w:r>
            <w:r>
              <w:rPr>
                <w:rFonts w:hint="eastAsia" w:ascii="楷体" w:hAnsi="楷体" w:eastAsia="楷体" w:cs="楷体"/>
                <w:color w:val="auto"/>
                <w:szCs w:val="21"/>
                <w:highlight w:val="none"/>
                <w:lang w:val="en-US" w:eastAsia="zh-CN"/>
              </w:rPr>
              <w:t>0-2分</w:t>
            </w:r>
            <w:r>
              <w:rPr>
                <w:rFonts w:hint="eastAsia" w:ascii="楷体" w:hAnsi="楷体" w:eastAsia="楷体" w:cs="楷体"/>
                <w:color w:val="auto"/>
                <w:szCs w:val="21"/>
                <w:highlight w:val="none"/>
                <w:lang w:eastAsia="zh-CN"/>
              </w:rPr>
              <w:t>）</w:t>
            </w:r>
          </w:p>
          <w:p>
            <w:pPr>
              <w:pageBreakBefore w:val="0"/>
              <w:widowControl w:val="0"/>
              <w:kinsoku/>
              <w:wordWrap/>
              <w:overflowPunct/>
              <w:topLinePunct w:val="0"/>
              <w:bidi w:val="0"/>
              <w:snapToGrid/>
              <w:spacing w:line="400" w:lineRule="exact"/>
              <w:textAlignment w:val="auto"/>
              <w:rPr>
                <w:rFonts w:ascii="楷体" w:hAnsi="楷体" w:eastAsia="楷体" w:cs="楷体"/>
                <w:color w:val="auto"/>
                <w:szCs w:val="21"/>
                <w:highlight w:val="none"/>
              </w:rPr>
            </w:pPr>
            <w:r>
              <w:rPr>
                <w:rFonts w:hint="eastAsia" w:ascii="楷体" w:hAnsi="楷体" w:eastAsia="楷体" w:cs="楷体"/>
                <w:color w:val="auto"/>
                <w:szCs w:val="21"/>
                <w:highlight w:val="none"/>
              </w:rPr>
              <w:t>3、展陈方式设计。</w:t>
            </w:r>
            <w:r>
              <w:rPr>
                <w:rFonts w:hint="eastAsia" w:ascii="楷体" w:hAnsi="楷体" w:eastAsia="楷体" w:cs="楷体"/>
                <w:color w:val="auto"/>
                <w:szCs w:val="21"/>
                <w:highlight w:val="none"/>
                <w:lang w:eastAsia="zh-CN"/>
              </w:rPr>
              <w:t>（</w:t>
            </w:r>
            <w:r>
              <w:rPr>
                <w:rFonts w:hint="eastAsia" w:ascii="楷体" w:hAnsi="楷体" w:eastAsia="楷体" w:cs="楷体"/>
                <w:color w:val="auto"/>
                <w:szCs w:val="21"/>
                <w:highlight w:val="none"/>
                <w:lang w:val="en-US" w:eastAsia="zh-CN"/>
              </w:rPr>
              <w:t>0-2分</w:t>
            </w:r>
            <w:r>
              <w:rPr>
                <w:rFonts w:hint="eastAsia" w:ascii="楷体" w:hAnsi="楷体" w:eastAsia="楷体" w:cs="楷体"/>
                <w:color w:val="auto"/>
                <w:szCs w:val="21"/>
                <w:highlight w:val="none"/>
                <w:lang w:eastAsia="zh-CN"/>
              </w:rPr>
              <w:t>）</w:t>
            </w:r>
          </w:p>
          <w:p>
            <w:pPr>
              <w:pageBreakBefore w:val="0"/>
              <w:widowControl w:val="0"/>
              <w:kinsoku/>
              <w:wordWrap/>
              <w:overflowPunct/>
              <w:topLinePunct w:val="0"/>
              <w:bidi w:val="0"/>
              <w:snapToGrid/>
              <w:spacing w:line="400" w:lineRule="exact"/>
              <w:textAlignment w:val="auto"/>
              <w:rPr>
                <w:rFonts w:ascii="楷体" w:hAnsi="楷体" w:eastAsia="楷体" w:cs="楷体"/>
                <w:color w:val="auto"/>
                <w:szCs w:val="21"/>
                <w:highlight w:val="none"/>
              </w:rPr>
            </w:pPr>
            <w:r>
              <w:rPr>
                <w:rFonts w:hint="eastAsia" w:ascii="楷体" w:hAnsi="楷体" w:eastAsia="楷体" w:cs="楷体"/>
                <w:color w:val="auto"/>
                <w:szCs w:val="21"/>
                <w:highlight w:val="none"/>
              </w:rPr>
              <w:t>4、展馆内部地方元素设计、实施方案。</w:t>
            </w:r>
            <w:r>
              <w:rPr>
                <w:rFonts w:hint="eastAsia" w:ascii="楷体" w:hAnsi="楷体" w:eastAsia="楷体" w:cs="楷体"/>
                <w:color w:val="auto"/>
                <w:szCs w:val="21"/>
                <w:highlight w:val="none"/>
                <w:lang w:eastAsia="zh-CN"/>
              </w:rPr>
              <w:t>（</w:t>
            </w:r>
            <w:r>
              <w:rPr>
                <w:rFonts w:hint="eastAsia" w:ascii="楷体" w:hAnsi="楷体" w:eastAsia="楷体" w:cs="楷体"/>
                <w:color w:val="auto"/>
                <w:szCs w:val="21"/>
                <w:highlight w:val="none"/>
                <w:lang w:val="en-US" w:eastAsia="zh-CN"/>
              </w:rPr>
              <w:t>0-2分</w:t>
            </w:r>
            <w:r>
              <w:rPr>
                <w:rFonts w:hint="eastAsia" w:ascii="楷体" w:hAnsi="楷体" w:eastAsia="楷体" w:cs="楷体"/>
                <w:color w:val="auto"/>
                <w:szCs w:val="21"/>
                <w:highlight w:val="none"/>
                <w:lang w:eastAsia="zh-CN"/>
              </w:rPr>
              <w:t>）</w:t>
            </w:r>
          </w:p>
          <w:p>
            <w:pPr>
              <w:pageBreakBefore w:val="0"/>
              <w:widowControl w:val="0"/>
              <w:kinsoku/>
              <w:wordWrap/>
              <w:overflowPunct/>
              <w:topLinePunct w:val="0"/>
              <w:bidi w:val="0"/>
              <w:snapToGrid/>
              <w:spacing w:line="400" w:lineRule="exact"/>
              <w:textAlignment w:val="auto"/>
              <w:rPr>
                <w:rFonts w:ascii="楷体" w:hAnsi="楷体" w:eastAsia="楷体" w:cs="楷体"/>
                <w:color w:val="auto"/>
                <w:szCs w:val="21"/>
                <w:highlight w:val="none"/>
              </w:rPr>
            </w:pPr>
            <w:r>
              <w:rPr>
                <w:rFonts w:hint="eastAsia" w:ascii="楷体" w:hAnsi="楷体" w:eastAsia="楷体" w:cs="楷体"/>
                <w:color w:val="auto"/>
                <w:szCs w:val="21"/>
                <w:highlight w:val="none"/>
              </w:rPr>
              <w:t>5、结合投标人的实际情况,对本次展览项目的服务创新、亮点特色、合理化建议等多方面进行综合论述。</w:t>
            </w:r>
            <w:r>
              <w:rPr>
                <w:rFonts w:hint="eastAsia" w:ascii="楷体" w:hAnsi="楷体" w:eastAsia="楷体" w:cs="楷体"/>
                <w:color w:val="auto"/>
                <w:szCs w:val="21"/>
                <w:highlight w:val="none"/>
                <w:lang w:eastAsia="zh-CN"/>
              </w:rPr>
              <w:t>（</w:t>
            </w:r>
            <w:r>
              <w:rPr>
                <w:rFonts w:hint="eastAsia" w:ascii="楷体" w:hAnsi="楷体" w:eastAsia="楷体" w:cs="楷体"/>
                <w:color w:val="auto"/>
                <w:szCs w:val="21"/>
                <w:highlight w:val="none"/>
                <w:lang w:val="en-US" w:eastAsia="zh-CN"/>
              </w:rPr>
              <w:t>0-2分</w:t>
            </w:r>
            <w:r>
              <w:rPr>
                <w:rFonts w:hint="eastAsia" w:ascii="楷体" w:hAnsi="楷体" w:eastAsia="楷体" w:cs="楷体"/>
                <w:color w:val="auto"/>
                <w:szCs w:val="21"/>
                <w:highlight w:val="none"/>
                <w:lang w:eastAsia="zh-CN"/>
              </w:rPr>
              <w:t>）</w:t>
            </w:r>
          </w:p>
          <w:p>
            <w:pPr>
              <w:pageBreakBefore w:val="0"/>
              <w:widowControl w:val="0"/>
              <w:kinsoku/>
              <w:wordWrap/>
              <w:overflowPunct/>
              <w:topLinePunct w:val="0"/>
              <w:bidi w:val="0"/>
              <w:snapToGrid/>
              <w:spacing w:line="400" w:lineRule="exact"/>
              <w:textAlignment w:val="auto"/>
              <w:rPr>
                <w:color w:val="auto"/>
                <w:highlight w:val="none"/>
              </w:rPr>
            </w:pPr>
            <w:r>
              <w:rPr>
                <w:rFonts w:hint="eastAsia" w:ascii="楷体" w:hAnsi="楷体" w:eastAsia="楷体" w:cs="楷体"/>
                <w:color w:val="auto"/>
                <w:szCs w:val="21"/>
                <w:highlight w:val="none"/>
              </w:rPr>
              <w:t>【注：演示中需要用到的设备均由投标人自行准备提供；演示述标时间不得超过10分钟（由各投标人自行分配所有演示内容的所需时间），评委现场问答时间不得超过5分钟】。</w:t>
            </w:r>
          </w:p>
        </w:tc>
      </w:tr>
    </w:tbl>
    <w:p>
      <w:pPr>
        <w:keepNext/>
        <w:keepLines/>
        <w:spacing w:line="360" w:lineRule="exact"/>
        <w:outlineLvl w:val="0"/>
        <w:rPr>
          <w:rFonts w:ascii="楷体" w:hAnsi="楷体" w:eastAsia="楷体" w:cs="楷体"/>
          <w:b/>
          <w:bCs/>
          <w:color w:val="auto"/>
          <w:szCs w:val="21"/>
          <w:highlight w:val="none"/>
        </w:rPr>
      </w:pPr>
      <w:bookmarkStart w:id="12" w:name="_Toc1720210"/>
      <w:bookmarkStart w:id="13" w:name="_Toc530564467"/>
      <w:r>
        <w:rPr>
          <w:rFonts w:hint="eastAsia" w:ascii="楷体" w:hAnsi="楷体" w:eastAsia="楷体" w:cs="楷体"/>
          <w:b/>
          <w:bCs/>
          <w:color w:val="auto"/>
          <w:szCs w:val="21"/>
          <w:highlight w:val="none"/>
        </w:rPr>
        <w:t>1. 评审标准</w:t>
      </w:r>
      <w:bookmarkEnd w:id="12"/>
      <w:bookmarkEnd w:id="13"/>
    </w:p>
    <w:p>
      <w:pPr>
        <w:pStyle w:val="4"/>
        <w:spacing w:before="0" w:after="0" w:line="360" w:lineRule="exact"/>
        <w:rPr>
          <w:rFonts w:ascii="楷体" w:hAnsi="楷体" w:eastAsia="楷体" w:cs="楷体"/>
          <w:color w:val="auto"/>
          <w:sz w:val="21"/>
          <w:szCs w:val="21"/>
          <w:highlight w:val="none"/>
        </w:rPr>
      </w:pPr>
      <w:bookmarkStart w:id="14" w:name="_Toc530564468"/>
      <w:bookmarkStart w:id="15" w:name="_Toc1720211"/>
      <w:r>
        <w:rPr>
          <w:rFonts w:hint="eastAsia" w:ascii="楷体" w:hAnsi="楷体" w:eastAsia="楷体" w:cs="楷体"/>
          <w:color w:val="auto"/>
          <w:sz w:val="21"/>
          <w:szCs w:val="21"/>
          <w:highlight w:val="none"/>
        </w:rPr>
        <w:t>1.1初步评审标准</w:t>
      </w:r>
      <w:bookmarkEnd w:id="14"/>
      <w:bookmarkEnd w:id="15"/>
    </w:p>
    <w:p>
      <w:pPr>
        <w:spacing w:line="36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1.1.1 形式性评审标准：见评标办法前附表。</w:t>
      </w:r>
    </w:p>
    <w:p>
      <w:pPr>
        <w:spacing w:line="36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1.1.2 资格评审标准：见评标办法前附表。</w:t>
      </w:r>
    </w:p>
    <w:p>
      <w:pPr>
        <w:spacing w:line="36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1.1.3 响应性评审标准：见评标办法前附表。</w:t>
      </w:r>
    </w:p>
    <w:p>
      <w:pPr>
        <w:pStyle w:val="4"/>
        <w:spacing w:before="0" w:after="0" w:line="360" w:lineRule="exact"/>
        <w:rPr>
          <w:rFonts w:ascii="楷体" w:hAnsi="楷体" w:eastAsia="楷体" w:cs="楷体"/>
          <w:color w:val="auto"/>
          <w:sz w:val="21"/>
          <w:szCs w:val="21"/>
          <w:highlight w:val="none"/>
        </w:rPr>
      </w:pPr>
      <w:bookmarkStart w:id="16" w:name="_Toc530564469"/>
      <w:bookmarkStart w:id="17" w:name="_Toc1720212"/>
      <w:r>
        <w:rPr>
          <w:rFonts w:hint="eastAsia" w:ascii="楷体" w:hAnsi="楷体" w:eastAsia="楷体" w:cs="楷体"/>
          <w:color w:val="auto"/>
          <w:sz w:val="21"/>
          <w:szCs w:val="21"/>
          <w:highlight w:val="none"/>
        </w:rPr>
        <w:t>1.2详细评审标准</w:t>
      </w:r>
      <w:bookmarkEnd w:id="16"/>
      <w:bookmarkEnd w:id="17"/>
    </w:p>
    <w:p>
      <w:pPr>
        <w:spacing w:line="36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1.2.1 商务标主要由项目管理机构具体评审标准见评标办法。</w:t>
      </w:r>
    </w:p>
    <w:p>
      <w:pPr>
        <w:spacing w:line="36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1.2.2 经济标主要由投标报价组成，具体评审标准见评标办法。</w:t>
      </w:r>
    </w:p>
    <w:p>
      <w:pPr>
        <w:spacing w:line="36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1.2.3技术标主要由项目管理组织方案组成，具体评审标准见评标办法。</w:t>
      </w:r>
    </w:p>
    <w:p>
      <w:pPr>
        <w:spacing w:line="36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1.2.4 各评审因素的具体分值由招标人参照综合评估法的评分细则制订。</w:t>
      </w:r>
    </w:p>
    <w:p>
      <w:pPr>
        <w:keepNext/>
        <w:keepLines/>
        <w:spacing w:line="360" w:lineRule="exact"/>
        <w:outlineLvl w:val="0"/>
        <w:rPr>
          <w:rFonts w:ascii="楷体" w:hAnsi="楷体" w:eastAsia="楷体" w:cs="楷体"/>
          <w:b/>
          <w:bCs/>
          <w:color w:val="auto"/>
          <w:szCs w:val="21"/>
          <w:highlight w:val="none"/>
        </w:rPr>
      </w:pPr>
      <w:r>
        <w:rPr>
          <w:rFonts w:hint="eastAsia" w:ascii="楷体" w:hAnsi="楷体" w:eastAsia="楷体" w:cs="楷体"/>
          <w:b/>
          <w:bCs/>
          <w:color w:val="auto"/>
          <w:szCs w:val="21"/>
          <w:highlight w:val="none"/>
        </w:rPr>
        <w:t>2. 评标程序</w:t>
      </w:r>
    </w:p>
    <w:p>
      <w:pPr>
        <w:pStyle w:val="4"/>
        <w:spacing w:before="0" w:after="0" w:line="360" w:lineRule="exact"/>
        <w:rPr>
          <w:rFonts w:ascii="楷体" w:hAnsi="楷体" w:eastAsia="楷体" w:cs="楷体"/>
          <w:color w:val="auto"/>
          <w:sz w:val="21"/>
          <w:szCs w:val="21"/>
          <w:highlight w:val="none"/>
        </w:rPr>
      </w:pPr>
      <w:r>
        <w:rPr>
          <w:rFonts w:hint="eastAsia" w:ascii="楷体" w:hAnsi="楷体" w:eastAsia="楷体" w:cs="楷体"/>
          <w:color w:val="auto"/>
          <w:sz w:val="21"/>
          <w:szCs w:val="21"/>
          <w:highlight w:val="none"/>
        </w:rPr>
        <w:t>2.1评标准备（清标）</w:t>
      </w:r>
    </w:p>
    <w:p>
      <w:pPr>
        <w:spacing w:line="36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2.1.1 评标前，招标人应当组织进行下列评标准备（清标）工作，并向评标委员会提供相关信息；采用电子招标投标的，应当使用电子交易系统自动开展评标准备（清标）工作：</w:t>
      </w:r>
    </w:p>
    <w:p>
      <w:pPr>
        <w:spacing w:line="36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（一）根据招标文件，编制评标使用的相应表格；</w:t>
      </w:r>
    </w:p>
    <w:p>
      <w:pPr>
        <w:spacing w:line="36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（二）对投标报价进行算术性校核；</w:t>
      </w:r>
    </w:p>
    <w:p>
      <w:pPr>
        <w:spacing w:line="36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（三）以评标标准和方法为依据，列出第一阶段开标的投标文件部分相对于招标文件的所有偏差，并进行归类汇总；</w:t>
      </w:r>
    </w:p>
    <w:p>
      <w:pPr>
        <w:spacing w:line="36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（四）核实投标人和项目负责人的资质和资格、经历和业绩、在建工程和信用状况等方面的情况。</w:t>
      </w:r>
    </w:p>
    <w:p>
      <w:pPr>
        <w:spacing w:line="36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招标人应当依据招标文件，采用同样的标准对所有投标文件进行全面的审查，但不对投标文件作出评价。</w:t>
      </w:r>
    </w:p>
    <w:p>
      <w:pPr>
        <w:spacing w:line="36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招标人认为投标人的投标价有可能无法完成招标文件规定的所有工程内容，招标人可以提请评标委员会要求该投标人作出书面说明并提供相关证明材料。</w:t>
      </w:r>
    </w:p>
    <w:p>
      <w:pPr>
        <w:spacing w:line="36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评标准备（清标）工作结束后,评标委员会收到评标准备（清标）报告后方可开始评标；评标委员会要复核评标准备（清标）报告，并承担相应责任。</w:t>
      </w:r>
    </w:p>
    <w:p>
      <w:pPr>
        <w:spacing w:line="36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2.1.2评标委员会成员首先推选一名评标委员会负责人，负责评标活动的组织领导工作，具有与评标委员会其他成员同等的表决权。</w:t>
      </w:r>
    </w:p>
    <w:p>
      <w:pPr>
        <w:spacing w:line="36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2.1.3招标人或招标代理机构应向评标委员会提供评标所需的信息和数据。评标委员会负责人应组织评标委员会成员认真研究招标文件，未在招标文件中规定的标准和方法不得作为评标的依据。</w:t>
      </w:r>
    </w:p>
    <w:p>
      <w:pPr>
        <w:spacing w:line="36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2.1.4评标委员会应当根据招标文件规定，全面、独立评审所有投标文件，并对招标人提供的评标准备（清标）相关信息进行复核，发现错误或者遗漏的，应当进行补正。</w:t>
      </w:r>
    </w:p>
    <w:p>
      <w:pPr>
        <w:pStyle w:val="4"/>
        <w:spacing w:before="0" w:after="0" w:line="360" w:lineRule="exact"/>
        <w:rPr>
          <w:rFonts w:ascii="楷体" w:hAnsi="楷体" w:eastAsia="楷体" w:cs="楷体"/>
          <w:color w:val="auto"/>
          <w:sz w:val="21"/>
          <w:szCs w:val="21"/>
          <w:highlight w:val="none"/>
        </w:rPr>
      </w:pPr>
      <w:r>
        <w:rPr>
          <w:rFonts w:hint="eastAsia" w:ascii="楷体" w:hAnsi="楷体" w:eastAsia="楷体" w:cs="楷体"/>
          <w:color w:val="auto"/>
          <w:sz w:val="21"/>
          <w:szCs w:val="21"/>
          <w:highlight w:val="none"/>
        </w:rPr>
        <w:t>2.2初步评审</w:t>
      </w:r>
    </w:p>
    <w:p>
      <w:pPr>
        <w:adjustRightInd w:val="0"/>
        <w:snapToGrid w:val="0"/>
        <w:spacing w:line="36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2.2.1形式性评审</w:t>
      </w:r>
    </w:p>
    <w:p>
      <w:pPr>
        <w:adjustRightInd w:val="0"/>
        <w:snapToGrid w:val="0"/>
        <w:spacing w:line="36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评标委员会根据本章前附表列出的评审标准，有一项不符合评审标准的，作无效标处理。</w:t>
      </w:r>
    </w:p>
    <w:p>
      <w:pPr>
        <w:adjustRightInd w:val="0"/>
        <w:snapToGrid w:val="0"/>
        <w:spacing w:line="36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2.2.2资格评审</w:t>
      </w:r>
    </w:p>
    <w:p>
      <w:pPr>
        <w:adjustRightInd w:val="0"/>
        <w:snapToGrid w:val="0"/>
        <w:spacing w:line="36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评标委员会根据本章前附表列出的评审标准，有一项不符合评审标准的，作无效标处理。</w:t>
      </w:r>
    </w:p>
    <w:p>
      <w:pPr>
        <w:adjustRightInd w:val="0"/>
        <w:snapToGrid w:val="0"/>
        <w:spacing w:line="36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2.2.3响应性评审</w:t>
      </w:r>
    </w:p>
    <w:p>
      <w:pPr>
        <w:adjustRightInd w:val="0"/>
        <w:snapToGrid w:val="0"/>
        <w:spacing w:line="36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评标委员会根据本章前附表列出的评审标准，有一项不符合评审标准的，作无效标处理。</w:t>
      </w:r>
    </w:p>
    <w:p>
      <w:pPr>
        <w:adjustRightInd w:val="0"/>
        <w:snapToGrid w:val="0"/>
        <w:spacing w:line="36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2.2.4投标报价有算术错误的，评标委员会按以下原则对投标报价进行修正，修正的价格经投标人书面确认后具有约束力。投标人不接受修正价格的，评标委员会应当否决其投标。</w:t>
      </w:r>
    </w:p>
    <w:p>
      <w:pPr>
        <w:adjustRightInd w:val="0"/>
        <w:snapToGrid w:val="0"/>
        <w:spacing w:line="36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（1）投标文件中的大写金额与小写金额不一致的，以大写金额为准；</w:t>
      </w:r>
    </w:p>
    <w:p>
      <w:pPr>
        <w:adjustRightInd w:val="0"/>
        <w:snapToGrid w:val="0"/>
        <w:spacing w:line="36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（2）总价金额与依据单价计算出的结果不一致的，以单价金额为准修正总价，但单价金额小数点有明显错误、四舍五入原因的除外；</w:t>
      </w:r>
    </w:p>
    <w:p>
      <w:pPr>
        <w:adjustRightInd w:val="0"/>
        <w:snapToGrid w:val="0"/>
        <w:spacing w:line="36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2.2.5澄清、说明或补正</w:t>
      </w:r>
    </w:p>
    <w:p>
      <w:pPr>
        <w:adjustRightInd w:val="0"/>
        <w:snapToGrid w:val="0"/>
        <w:spacing w:line="36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在初步评审过程中，评标委员会应当就投标文件中不明确的内容要求投标人进行澄清、说明或补正，澄清、说明或补正按照本章第2.4款的规定进行。</w:t>
      </w:r>
    </w:p>
    <w:p>
      <w:pPr>
        <w:pStyle w:val="4"/>
        <w:spacing w:before="0" w:after="0" w:line="360" w:lineRule="exact"/>
        <w:rPr>
          <w:rFonts w:ascii="楷体" w:hAnsi="楷体" w:eastAsia="楷体" w:cs="楷体"/>
          <w:color w:val="auto"/>
          <w:sz w:val="21"/>
          <w:szCs w:val="21"/>
          <w:highlight w:val="none"/>
        </w:rPr>
      </w:pPr>
      <w:r>
        <w:rPr>
          <w:rFonts w:hint="eastAsia" w:ascii="楷体" w:hAnsi="楷体" w:eastAsia="楷体" w:cs="楷体"/>
          <w:color w:val="auto"/>
          <w:sz w:val="21"/>
          <w:szCs w:val="21"/>
          <w:highlight w:val="none"/>
        </w:rPr>
        <w:t>2.3详细评审</w:t>
      </w:r>
    </w:p>
    <w:p>
      <w:pPr>
        <w:spacing w:line="36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2.3.1评标委员会对满足招标文件实质要求的投标文件的，按照本章前附表规定的评分标准进行打分，并按最终得分由高到低顺序推荐3名中标候选人。综合评分相等时，以投标报价低的优先；投标报价也相等的，由招标人自行确定。</w:t>
      </w:r>
    </w:p>
    <w:p>
      <w:pPr>
        <w:spacing w:line="36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2.3.2评分分值计算保留小数点后两位，第三位“四舍五入”。</w:t>
      </w:r>
    </w:p>
    <w:p>
      <w:pPr>
        <w:pStyle w:val="4"/>
        <w:spacing w:before="0" w:after="0" w:line="360" w:lineRule="exact"/>
        <w:rPr>
          <w:rFonts w:ascii="楷体" w:hAnsi="楷体" w:eastAsia="楷体" w:cs="楷体"/>
          <w:color w:val="auto"/>
          <w:sz w:val="21"/>
          <w:szCs w:val="21"/>
          <w:highlight w:val="none"/>
        </w:rPr>
      </w:pPr>
      <w:r>
        <w:rPr>
          <w:rFonts w:hint="eastAsia" w:ascii="楷体" w:hAnsi="楷体" w:eastAsia="楷体" w:cs="楷体"/>
          <w:color w:val="auto"/>
          <w:sz w:val="21"/>
          <w:szCs w:val="21"/>
          <w:highlight w:val="none"/>
        </w:rPr>
        <w:t>2.4投标文件的澄清和补正</w:t>
      </w:r>
    </w:p>
    <w:p>
      <w:pPr>
        <w:spacing w:line="36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2.4.1在评标过程中，评标委员会可以书面形式要求投标人对所提交的投标文件中不明确的内容进行书面澄清或说明。评标委员会不接受投标人主动提出的澄清、说明或补正。</w:t>
      </w:r>
    </w:p>
    <w:p>
      <w:pPr>
        <w:spacing w:line="36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2.4.2 澄清、说明和补正不得改变投标文件的实质性内容。投标人的书面澄清、说明和补正属于投标文件的组成部分。</w:t>
      </w:r>
    </w:p>
    <w:p>
      <w:pPr>
        <w:spacing w:line="36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2.4.3 评标委员会对投标人提交的澄清、说明或补正有疑问的，可以要求投标人进一步澄清、说明或补正，直至满足评标委员会的要求。</w:t>
      </w:r>
    </w:p>
    <w:p>
      <w:pPr>
        <w:spacing w:line="36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2.4.4 在评标过程中，评标委员会发现投标人的报价明显低于其他投标报价，使得其投标报价可能低于其个别成本的，有可能影响质量或者不能诚信履约的，应当要求其在评标现场合理的时间内提供书面说明并提供相关证明材料。投标人不能合理说明或者不能提供相关证明材料的，评标委员会应当否决其投标。</w:t>
      </w:r>
    </w:p>
    <w:p>
      <w:pPr>
        <w:keepNext/>
        <w:keepLines/>
        <w:spacing w:line="360" w:lineRule="exact"/>
        <w:outlineLvl w:val="2"/>
        <w:rPr>
          <w:rFonts w:ascii="楷体" w:hAnsi="楷体" w:eastAsia="楷体" w:cs="楷体"/>
          <w:b/>
          <w:bCs/>
          <w:color w:val="auto"/>
          <w:szCs w:val="21"/>
          <w:highlight w:val="none"/>
        </w:rPr>
      </w:pPr>
      <w:r>
        <w:rPr>
          <w:rFonts w:hint="eastAsia" w:ascii="楷体" w:hAnsi="楷体" w:eastAsia="楷体" w:cs="楷体"/>
          <w:b/>
          <w:bCs/>
          <w:color w:val="auto"/>
          <w:szCs w:val="21"/>
          <w:highlight w:val="none"/>
        </w:rPr>
        <w:t>2.5推荐中标候选人</w:t>
      </w:r>
    </w:p>
    <w:p>
      <w:pPr>
        <w:spacing w:line="36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评标委员会在推荐中标候选人时，应遵照以下原则:</w:t>
      </w:r>
    </w:p>
    <w:p>
      <w:pPr>
        <w:spacing w:line="36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2.5.1评标委员会推荐3名中标候选人。</w:t>
      </w:r>
    </w:p>
    <w:p>
      <w:pPr>
        <w:spacing w:line="36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2.5.2如果评标委员会根据本章的规定作无效标处理后，有效投标不足三个，评标委员会应当对是否具有竞争性进行判断。有竞争性的，评标委员会继续推荐中标候选人；缺乏竞争的，评标委员会应当否决全部投标。</w:t>
      </w:r>
    </w:p>
    <w:p>
      <w:pPr>
        <w:spacing w:line="360" w:lineRule="exact"/>
        <w:ind w:firstLine="420" w:firstLineChars="200"/>
        <w:jc w:val="left"/>
        <w:rPr>
          <w:rFonts w:ascii="楷体" w:hAnsi="楷体" w:eastAsia="楷体" w:cs="楷体"/>
          <w:color w:val="auto"/>
          <w:szCs w:val="21"/>
          <w:highlight w:val="none"/>
        </w:rPr>
      </w:pPr>
      <w:r>
        <w:rPr>
          <w:rFonts w:hint="eastAsia" w:ascii="楷体" w:hAnsi="楷体" w:eastAsia="楷体" w:cs="楷体"/>
          <w:color w:val="auto"/>
          <w:szCs w:val="21"/>
          <w:highlight w:val="none"/>
        </w:rPr>
        <w:t>2.5.3评标委员会完成评标后，应当向招标人提交评标报告。</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rPr>
          <w:rFonts w:ascii="楷体" w:hAnsi="楷体" w:eastAsia="楷体" w:cs="楷体"/>
          <w:color w:val="auto"/>
          <w:szCs w:val="21"/>
          <w:highlight w:val="none"/>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156" w:afterLines="50" w:line="500" w:lineRule="exact"/>
        <w:ind w:right="-4" w:rightChars="-2"/>
        <w:rPr>
          <w:rFonts w:ascii="楷体" w:hAnsi="楷体" w:eastAsia="楷体" w:cs="楷体"/>
          <w:color w:val="auto"/>
          <w:sz w:val="24"/>
          <w:highlight w:val="none"/>
        </w:rPr>
      </w:pPr>
    </w:p>
    <w:p>
      <w:pPr>
        <w:rPr>
          <w:rFonts w:hint="eastAsia"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rPr>
        <w:br w:type="page"/>
      </w:r>
    </w:p>
    <w:p>
      <w:pPr>
        <w:pStyle w:val="18"/>
        <w:spacing w:before="0" w:beforeAutospacing="0" w:after="0" w:afterAutospacing="0" w:line="420" w:lineRule="exact"/>
        <w:jc w:val="both"/>
        <w:textAlignment w:val="baseline"/>
        <w:rPr>
          <w:rFonts w:ascii="楷体" w:hAnsi="楷体" w:eastAsia="楷体" w:cs="楷体"/>
          <w:b/>
          <w:bCs/>
          <w:color w:val="auto"/>
          <w:sz w:val="44"/>
          <w:szCs w:val="44"/>
          <w:highlight w:val="none"/>
        </w:rPr>
      </w:pPr>
      <w:r>
        <w:rPr>
          <w:rFonts w:hint="eastAsia" w:ascii="楷体" w:hAnsi="楷体" w:eastAsia="楷体" w:cs="楷体"/>
          <w:b/>
          <w:bCs/>
          <w:color w:val="auto"/>
          <w:sz w:val="32"/>
          <w:szCs w:val="32"/>
          <w:highlight w:val="none"/>
        </w:rPr>
        <w:t>附件1</w:t>
      </w:r>
    </w:p>
    <w:p>
      <w:pPr>
        <w:pStyle w:val="18"/>
        <w:spacing w:before="0" w:beforeAutospacing="0" w:after="0" w:afterAutospacing="0" w:line="700" w:lineRule="exact"/>
        <w:jc w:val="center"/>
        <w:textAlignment w:val="baseline"/>
        <w:rPr>
          <w:rFonts w:ascii="楷体" w:hAnsi="楷体" w:eastAsia="楷体" w:cs="楷体"/>
          <w:b/>
          <w:bCs/>
          <w:color w:val="auto"/>
          <w:sz w:val="48"/>
          <w:szCs w:val="48"/>
          <w:highlight w:val="none"/>
        </w:rPr>
      </w:pPr>
      <w:r>
        <w:rPr>
          <w:rFonts w:hint="eastAsia" w:ascii="楷体" w:hAnsi="楷体" w:eastAsia="楷体" w:cs="楷体"/>
          <w:b/>
          <w:bCs/>
          <w:color w:val="auto"/>
          <w:sz w:val="48"/>
          <w:szCs w:val="48"/>
          <w:highlight w:val="none"/>
        </w:rPr>
        <w:t>诚信承诺书</w:t>
      </w:r>
    </w:p>
    <w:p>
      <w:pPr>
        <w:pStyle w:val="18"/>
        <w:spacing w:before="0" w:beforeAutospacing="0" w:after="0" w:afterAutospacing="0" w:line="400" w:lineRule="exact"/>
        <w:jc w:val="both"/>
        <w:textAlignment w:val="baseline"/>
        <w:rPr>
          <w:rFonts w:ascii="楷体" w:hAnsi="楷体" w:eastAsia="楷体" w:cs="楷体"/>
          <w:bCs/>
          <w:color w:val="auto"/>
          <w:highlight w:val="none"/>
        </w:rPr>
      </w:pPr>
    </w:p>
    <w:p>
      <w:pPr>
        <w:pStyle w:val="18"/>
        <w:spacing w:before="0" w:beforeAutospacing="0" w:after="0" w:afterAutospacing="0" w:line="400" w:lineRule="exact"/>
        <w:ind w:firstLine="470" w:firstLineChars="196"/>
        <w:textAlignment w:val="baseline"/>
        <w:rPr>
          <w:rFonts w:ascii="楷体" w:hAnsi="楷体" w:eastAsia="楷体" w:cs="楷体"/>
          <w:bCs/>
          <w:color w:val="auto"/>
          <w:highlight w:val="none"/>
        </w:rPr>
      </w:pPr>
      <w:r>
        <w:rPr>
          <w:rFonts w:hint="eastAsia" w:ascii="楷体" w:hAnsi="楷体" w:eastAsia="楷体" w:cs="楷体"/>
          <w:bCs/>
          <w:color w:val="auto"/>
          <w:highlight w:val="none"/>
        </w:rPr>
        <w:t>本人__________（法定代表人全名）系</w:t>
      </w:r>
      <w:r>
        <w:rPr>
          <w:rFonts w:hint="eastAsia" w:ascii="楷体" w:hAnsi="楷体" w:eastAsia="楷体" w:cs="楷体"/>
          <w:bCs/>
          <w:color w:val="auto"/>
          <w:highlight w:val="none"/>
          <w:u w:val="single"/>
        </w:rPr>
        <w:t xml:space="preserve">                    </w:t>
      </w:r>
      <w:r>
        <w:rPr>
          <w:rFonts w:hint="eastAsia" w:ascii="楷体" w:hAnsi="楷体" w:eastAsia="楷体" w:cs="楷体"/>
          <w:bCs/>
          <w:color w:val="auto"/>
          <w:highlight w:val="none"/>
        </w:rPr>
        <w:t>（公司名）法定代表人，现对</w:t>
      </w:r>
      <w:r>
        <w:rPr>
          <w:rFonts w:hint="eastAsia" w:ascii="楷体" w:hAnsi="楷体" w:eastAsia="楷体" w:cs="楷体"/>
          <w:bCs/>
          <w:color w:val="auto"/>
          <w:highlight w:val="none"/>
          <w:u w:val="single"/>
        </w:rPr>
        <w:t>盐城工业职业技术学院铁军文化苑设计施工一体化项目</w:t>
      </w:r>
      <w:r>
        <w:rPr>
          <w:rFonts w:hint="eastAsia" w:ascii="楷体" w:hAnsi="楷体" w:eastAsia="楷体" w:cs="楷体"/>
          <w:bCs/>
          <w:color w:val="auto"/>
          <w:highlight w:val="none"/>
        </w:rPr>
        <w:t>做出如下诚信承诺：</w:t>
      </w:r>
    </w:p>
    <w:p>
      <w:pPr>
        <w:pStyle w:val="18"/>
        <w:spacing w:before="0" w:beforeAutospacing="0" w:after="0" w:afterAutospacing="0" w:line="400" w:lineRule="exact"/>
        <w:ind w:firstLine="480" w:firstLineChars="200"/>
        <w:textAlignment w:val="baseline"/>
        <w:rPr>
          <w:rFonts w:ascii="楷体" w:hAnsi="楷体" w:eastAsia="楷体" w:cs="楷体"/>
          <w:bCs/>
          <w:color w:val="auto"/>
          <w:highlight w:val="none"/>
        </w:rPr>
      </w:pPr>
      <w:r>
        <w:rPr>
          <w:rFonts w:hint="eastAsia" w:ascii="楷体" w:hAnsi="楷体" w:eastAsia="楷体" w:cs="楷体"/>
          <w:bCs/>
          <w:color w:val="auto"/>
          <w:highlight w:val="none"/>
        </w:rPr>
        <w:t>① 我方申报的所有资料都是真实、有效的;</w:t>
      </w:r>
    </w:p>
    <w:p>
      <w:pPr>
        <w:pStyle w:val="18"/>
        <w:spacing w:before="0" w:beforeAutospacing="0" w:after="0" w:afterAutospacing="0" w:line="400" w:lineRule="exact"/>
        <w:ind w:firstLine="480" w:firstLineChars="200"/>
        <w:textAlignment w:val="baseline"/>
        <w:rPr>
          <w:rFonts w:ascii="楷体" w:hAnsi="楷体" w:eastAsia="楷体" w:cs="楷体"/>
          <w:bCs/>
          <w:color w:val="auto"/>
          <w:highlight w:val="none"/>
        </w:rPr>
      </w:pPr>
      <w:r>
        <w:rPr>
          <w:rFonts w:hint="eastAsia" w:ascii="楷体" w:hAnsi="楷体" w:eastAsia="楷体" w:cs="楷体"/>
          <w:bCs/>
          <w:color w:val="auto"/>
          <w:highlight w:val="none"/>
        </w:rPr>
        <w:t>② 我方不存在资质挂靠或参与串标、围标情形;</w:t>
      </w:r>
    </w:p>
    <w:p>
      <w:pPr>
        <w:pStyle w:val="18"/>
        <w:spacing w:before="0" w:beforeAutospacing="0" w:after="0" w:afterAutospacing="0" w:line="400" w:lineRule="exact"/>
        <w:ind w:firstLine="480" w:firstLineChars="200"/>
        <w:textAlignment w:val="baseline"/>
        <w:rPr>
          <w:rFonts w:ascii="楷体" w:hAnsi="楷体" w:eastAsia="楷体" w:cs="楷体"/>
          <w:bCs/>
          <w:color w:val="auto"/>
          <w:highlight w:val="none"/>
        </w:rPr>
      </w:pPr>
      <w:r>
        <w:rPr>
          <w:rFonts w:hint="eastAsia" w:ascii="楷体" w:hAnsi="楷体" w:eastAsia="楷体" w:cs="楷体"/>
          <w:bCs/>
          <w:color w:val="auto"/>
          <w:highlight w:val="none"/>
        </w:rPr>
        <w:t>③ 我方投标项目负责人无在建工程；</w:t>
      </w:r>
    </w:p>
    <w:p>
      <w:pPr>
        <w:pStyle w:val="18"/>
        <w:spacing w:before="0" w:beforeAutospacing="0" w:after="0" w:afterAutospacing="0" w:line="400" w:lineRule="exact"/>
        <w:ind w:firstLine="480" w:firstLineChars="200"/>
        <w:textAlignment w:val="baseline"/>
        <w:rPr>
          <w:rFonts w:ascii="楷体" w:hAnsi="楷体" w:eastAsia="楷体" w:cs="楷体"/>
          <w:bCs/>
          <w:color w:val="auto"/>
          <w:highlight w:val="none"/>
        </w:rPr>
      </w:pPr>
      <w:r>
        <w:rPr>
          <w:rFonts w:hint="eastAsia" w:ascii="楷体" w:hAnsi="楷体" w:eastAsia="楷体" w:cs="楷体"/>
          <w:bCs/>
          <w:color w:val="auto"/>
          <w:highlight w:val="none"/>
        </w:rPr>
        <w:t>④ 我方未被各级行政主管部门做出停止市场行为的处罚;</w:t>
      </w:r>
    </w:p>
    <w:p>
      <w:pPr>
        <w:pStyle w:val="18"/>
        <w:spacing w:before="0" w:beforeAutospacing="0" w:after="0" w:afterAutospacing="0" w:line="400" w:lineRule="exact"/>
        <w:ind w:firstLine="480" w:firstLineChars="200"/>
        <w:textAlignment w:val="baseline"/>
        <w:rPr>
          <w:rFonts w:ascii="楷体" w:hAnsi="楷体" w:eastAsia="楷体" w:cs="楷体"/>
          <w:bCs/>
          <w:color w:val="auto"/>
          <w:highlight w:val="none"/>
        </w:rPr>
      </w:pPr>
      <w:r>
        <w:rPr>
          <w:rFonts w:hint="eastAsia" w:ascii="楷体" w:hAnsi="楷体" w:eastAsia="楷体" w:cs="楷体"/>
          <w:bCs/>
          <w:color w:val="auto"/>
          <w:highlight w:val="none"/>
        </w:rPr>
        <w:t>⑤ 若我方中标，将严格按照规定及时与招标单位按照招标文件签订合同;</w:t>
      </w:r>
    </w:p>
    <w:p>
      <w:pPr>
        <w:pStyle w:val="18"/>
        <w:spacing w:before="0" w:beforeAutospacing="0" w:after="0" w:afterAutospacing="0" w:line="400" w:lineRule="exact"/>
        <w:ind w:firstLine="480" w:firstLineChars="200"/>
        <w:textAlignment w:val="baseline"/>
        <w:rPr>
          <w:rFonts w:ascii="楷体" w:hAnsi="楷体" w:eastAsia="楷体" w:cs="楷体"/>
          <w:bCs/>
          <w:color w:val="auto"/>
          <w:highlight w:val="none"/>
        </w:rPr>
      </w:pPr>
      <w:r>
        <w:rPr>
          <w:rFonts w:hint="eastAsia" w:ascii="楷体" w:hAnsi="楷体" w:eastAsia="楷体" w:cs="楷体"/>
          <w:bCs/>
          <w:color w:val="auto"/>
          <w:highlight w:val="none"/>
        </w:rPr>
        <w:t>⑥ 我方未与其他投标人串通投标，采取不正当手段诋毁、排挤其他投标人的公平竞争，损害招标人或其他投标人的合法权益；</w:t>
      </w:r>
    </w:p>
    <w:p>
      <w:pPr>
        <w:pStyle w:val="18"/>
        <w:spacing w:before="0" w:beforeAutospacing="0" w:after="0" w:afterAutospacing="0" w:line="400" w:lineRule="exact"/>
        <w:ind w:firstLine="480" w:firstLineChars="200"/>
        <w:textAlignment w:val="baseline"/>
        <w:rPr>
          <w:rFonts w:ascii="楷体" w:hAnsi="楷体" w:eastAsia="楷体" w:cs="楷体"/>
          <w:bCs/>
          <w:color w:val="auto"/>
          <w:highlight w:val="none"/>
        </w:rPr>
      </w:pPr>
      <w:r>
        <w:rPr>
          <w:rFonts w:hint="eastAsia" w:ascii="楷体" w:hAnsi="楷体" w:eastAsia="楷体" w:cs="楷体"/>
          <w:bCs/>
          <w:color w:val="auto"/>
          <w:highlight w:val="none"/>
        </w:rPr>
        <w:fldChar w:fldCharType="begin"/>
      </w:r>
      <w:r>
        <w:rPr>
          <w:rFonts w:hint="eastAsia" w:ascii="楷体" w:hAnsi="楷体" w:eastAsia="楷体" w:cs="楷体"/>
          <w:bCs/>
          <w:color w:val="auto"/>
          <w:highlight w:val="none"/>
        </w:rPr>
        <w:instrText xml:space="preserve">= 7 \* GB3</w:instrText>
      </w:r>
      <w:r>
        <w:rPr>
          <w:rFonts w:hint="eastAsia" w:ascii="楷体" w:hAnsi="楷体" w:eastAsia="楷体" w:cs="楷体"/>
          <w:bCs/>
          <w:color w:val="auto"/>
          <w:highlight w:val="none"/>
        </w:rPr>
        <w:fldChar w:fldCharType="separate"/>
      </w:r>
      <w:r>
        <w:rPr>
          <w:rFonts w:hint="eastAsia" w:ascii="楷体" w:hAnsi="楷体" w:eastAsia="楷体" w:cs="楷体"/>
          <w:bCs/>
          <w:color w:val="auto"/>
          <w:highlight w:val="none"/>
        </w:rPr>
        <w:t>⑦</w:t>
      </w:r>
      <w:r>
        <w:rPr>
          <w:rFonts w:hint="eastAsia" w:ascii="楷体" w:hAnsi="楷体" w:eastAsia="楷体" w:cs="楷体"/>
          <w:bCs/>
          <w:color w:val="auto"/>
          <w:highlight w:val="none"/>
        </w:rPr>
        <w:fldChar w:fldCharType="end"/>
      </w:r>
      <w:r>
        <w:rPr>
          <w:rFonts w:hint="eastAsia" w:ascii="楷体" w:hAnsi="楷体" w:eastAsia="楷体" w:cs="楷体"/>
          <w:bCs/>
          <w:color w:val="auto"/>
          <w:highlight w:val="none"/>
        </w:rPr>
        <w:t>我方杜绝捏造、虚构事实等方式进行恶意投诉的行为；</w:t>
      </w:r>
    </w:p>
    <w:p>
      <w:pPr>
        <w:pStyle w:val="18"/>
        <w:spacing w:before="0" w:beforeAutospacing="0" w:after="0" w:afterAutospacing="0" w:line="400" w:lineRule="exact"/>
        <w:ind w:firstLine="480" w:firstLineChars="200"/>
        <w:textAlignment w:val="baseline"/>
        <w:rPr>
          <w:rFonts w:ascii="楷体" w:hAnsi="楷体" w:eastAsia="楷体" w:cs="楷体"/>
          <w:bCs/>
          <w:color w:val="auto"/>
          <w:highlight w:val="none"/>
        </w:rPr>
      </w:pPr>
      <w:r>
        <w:rPr>
          <w:rFonts w:hint="eastAsia" w:ascii="楷体" w:hAnsi="楷体" w:eastAsia="楷体" w:cs="楷体"/>
          <w:bCs/>
          <w:color w:val="auto"/>
          <w:highlight w:val="none"/>
        </w:rPr>
        <w:t>⑧如在投标过程和公示期间发生异议、投诉行为，保证按照《关于进一步规范建设工程招标投标投诉（异议）处理的通知》（盐建招投〔2016〕1号）要求进行，不捏造事实恶意投诉（异议），不借投诉（异议）之名进行敲诈勒索，不以非法手段获取相关证据材料。如有投诉（异议），投诉书形式要件合法、有效，内容符合有关规定。不一诉多投、不越级投诉。如投诉（异议）不实，给他人造成的损失的，应承担赔偿责任的，我同意招标人在我公司投标保证金中直接扣减相应数额，不足部分补足；</w:t>
      </w:r>
    </w:p>
    <w:p>
      <w:pPr>
        <w:pStyle w:val="18"/>
        <w:spacing w:before="0" w:beforeAutospacing="0" w:after="0" w:afterAutospacing="0" w:line="400" w:lineRule="exact"/>
        <w:ind w:firstLine="480" w:firstLineChars="200"/>
        <w:textAlignment w:val="baseline"/>
        <w:rPr>
          <w:rFonts w:ascii="楷体" w:hAnsi="楷体" w:eastAsia="楷体" w:cs="楷体"/>
          <w:bCs/>
          <w:color w:val="auto"/>
          <w:highlight w:val="none"/>
        </w:rPr>
      </w:pPr>
      <w:r>
        <w:rPr>
          <w:rFonts w:hint="eastAsia" w:ascii="楷体" w:hAnsi="楷体" w:eastAsia="楷体" w:cs="楷体"/>
          <w:bCs/>
          <w:color w:val="auto"/>
          <w:highlight w:val="none"/>
        </w:rPr>
        <w:t>⑨若对本次投标有投诉（异议），我保证由我投标时授权的代理人全权处理投诉（异议）事项，不再另行委托他人处理，如若违背，招标人或监管机构有权拒绝受理我公司投诉（异议）事项。</w:t>
      </w:r>
    </w:p>
    <w:p>
      <w:pPr>
        <w:pStyle w:val="18"/>
        <w:spacing w:before="0" w:beforeAutospacing="0" w:after="0" w:afterAutospacing="0" w:line="400" w:lineRule="exact"/>
        <w:ind w:firstLine="480" w:firstLineChars="200"/>
        <w:textAlignment w:val="baseline"/>
        <w:rPr>
          <w:rFonts w:ascii="楷体" w:hAnsi="楷体" w:eastAsia="楷体" w:cs="楷体"/>
          <w:bCs/>
          <w:color w:val="auto"/>
          <w:highlight w:val="none"/>
        </w:rPr>
      </w:pPr>
      <w:r>
        <w:rPr>
          <w:rFonts w:hint="eastAsia" w:ascii="楷体" w:hAnsi="楷体" w:eastAsia="楷体" w:cs="楷体"/>
          <w:bCs/>
          <w:color w:val="auto"/>
          <w:highlight w:val="none"/>
        </w:rPr>
        <w:t>我方在本次招投标活动过程中如有违背上述承诺诚实行为的：</w:t>
      </w:r>
    </w:p>
    <w:p>
      <w:pPr>
        <w:pStyle w:val="18"/>
        <w:spacing w:before="0" w:beforeAutospacing="0" w:after="0" w:afterAutospacing="0" w:line="400" w:lineRule="exact"/>
        <w:ind w:firstLine="480" w:firstLineChars="200"/>
        <w:textAlignment w:val="baseline"/>
        <w:rPr>
          <w:rFonts w:ascii="楷体" w:hAnsi="楷体" w:eastAsia="楷体" w:cs="楷体"/>
          <w:bCs/>
          <w:color w:val="auto"/>
          <w:highlight w:val="none"/>
        </w:rPr>
      </w:pPr>
      <w:r>
        <w:rPr>
          <w:rFonts w:hint="eastAsia" w:ascii="楷体" w:hAnsi="楷体" w:eastAsia="楷体" w:cs="楷体"/>
          <w:bCs/>
          <w:color w:val="auto"/>
          <w:highlight w:val="none"/>
        </w:rPr>
        <w:t>① 自愿扣除本项目投标保证金。</w:t>
      </w:r>
    </w:p>
    <w:p>
      <w:pPr>
        <w:pStyle w:val="18"/>
        <w:spacing w:before="0" w:beforeAutospacing="0" w:after="0" w:afterAutospacing="0" w:line="400" w:lineRule="exact"/>
        <w:ind w:firstLine="480" w:firstLineChars="200"/>
        <w:textAlignment w:val="baseline"/>
        <w:rPr>
          <w:rFonts w:ascii="楷体" w:hAnsi="楷体" w:eastAsia="楷体" w:cs="楷体"/>
          <w:bCs/>
          <w:color w:val="auto"/>
          <w:highlight w:val="none"/>
        </w:rPr>
      </w:pPr>
      <w:r>
        <w:rPr>
          <w:rFonts w:hint="eastAsia" w:ascii="楷体" w:hAnsi="楷体" w:eastAsia="楷体" w:cs="楷体"/>
          <w:bCs/>
          <w:color w:val="auto"/>
          <w:highlight w:val="none"/>
        </w:rPr>
        <w:t>②处罚公示期内，不得参与盐城市国有资金投资项目的投标。</w:t>
      </w:r>
    </w:p>
    <w:p>
      <w:pPr>
        <w:pStyle w:val="18"/>
        <w:spacing w:before="0" w:beforeAutospacing="0" w:after="0" w:afterAutospacing="0" w:line="400" w:lineRule="exact"/>
        <w:ind w:firstLine="480" w:firstLineChars="200"/>
        <w:textAlignment w:val="baseline"/>
        <w:rPr>
          <w:rFonts w:ascii="楷体" w:hAnsi="楷体" w:eastAsia="楷体" w:cs="楷体"/>
          <w:bCs/>
          <w:color w:val="auto"/>
          <w:highlight w:val="none"/>
        </w:rPr>
      </w:pPr>
      <w:r>
        <w:rPr>
          <w:rFonts w:hint="eastAsia" w:ascii="楷体" w:hAnsi="楷体" w:eastAsia="楷体" w:cs="楷体"/>
          <w:bCs/>
          <w:color w:val="auto"/>
          <w:highlight w:val="none"/>
        </w:rPr>
        <w:t>③对造成的损失，任何法律和经济责任完全由我方负责。</w:t>
      </w:r>
    </w:p>
    <w:p>
      <w:pPr>
        <w:pStyle w:val="18"/>
        <w:spacing w:before="0" w:beforeAutospacing="0" w:after="0" w:afterAutospacing="0" w:line="400" w:lineRule="exact"/>
        <w:ind w:firstLine="480" w:firstLineChars="200"/>
        <w:textAlignment w:val="baseline"/>
        <w:rPr>
          <w:rFonts w:ascii="楷体" w:hAnsi="楷体" w:eastAsia="楷体" w:cs="楷体"/>
          <w:b/>
          <w:color w:val="auto"/>
          <w:highlight w:val="none"/>
        </w:rPr>
      </w:pPr>
      <w:r>
        <w:rPr>
          <w:rFonts w:hint="eastAsia" w:ascii="楷体" w:hAnsi="楷体" w:eastAsia="楷体" w:cs="楷体"/>
          <w:b/>
          <w:color w:val="auto"/>
          <w:highlight w:val="none"/>
        </w:rPr>
        <w:t>投标人的法定代表人必须本人签署诚信承诺书，否则招标人将拒收（退回）其投标文件。</w:t>
      </w:r>
    </w:p>
    <w:p>
      <w:pPr>
        <w:pStyle w:val="8"/>
        <w:ind w:firstLine="0"/>
        <w:rPr>
          <w:rFonts w:ascii="楷体" w:hAnsi="楷体" w:eastAsia="楷体" w:cs="楷体"/>
          <w:b w:val="0"/>
          <w:color w:val="auto"/>
          <w:highlight w:val="none"/>
        </w:rPr>
      </w:pPr>
    </w:p>
    <w:p>
      <w:pPr>
        <w:pStyle w:val="8"/>
        <w:ind w:firstLine="1200" w:firstLineChars="500"/>
        <w:jc w:val="left"/>
        <w:rPr>
          <w:rFonts w:ascii="楷体" w:hAnsi="楷体" w:eastAsia="楷体" w:cs="楷体"/>
          <w:b w:val="0"/>
          <w:color w:val="auto"/>
          <w:highlight w:val="none"/>
        </w:rPr>
      </w:pPr>
      <w:r>
        <w:rPr>
          <w:rFonts w:hint="eastAsia" w:ascii="楷体" w:hAnsi="楷体" w:eastAsia="楷体" w:cs="楷体"/>
          <w:b w:val="0"/>
          <w:color w:val="auto"/>
          <w:highlight w:val="none"/>
        </w:rPr>
        <w:t>投标人（盖章）：</w:t>
      </w:r>
    </w:p>
    <w:p>
      <w:pPr>
        <w:pStyle w:val="8"/>
        <w:ind w:firstLine="1200" w:firstLineChars="500"/>
        <w:jc w:val="left"/>
        <w:rPr>
          <w:rFonts w:ascii="楷体" w:hAnsi="楷体" w:eastAsia="楷体" w:cs="楷体"/>
          <w:b w:val="0"/>
          <w:color w:val="auto"/>
          <w:highlight w:val="none"/>
        </w:rPr>
      </w:pPr>
      <w:r>
        <w:rPr>
          <w:rFonts w:hint="eastAsia" w:ascii="楷体" w:hAnsi="楷体" w:eastAsia="楷体" w:cs="楷体"/>
          <w:b w:val="0"/>
          <w:color w:val="auto"/>
          <w:highlight w:val="none"/>
        </w:rPr>
        <w:t>法定代表人（签字）：</w:t>
      </w:r>
    </w:p>
    <w:p>
      <w:pPr>
        <w:pStyle w:val="8"/>
        <w:ind w:firstLine="1200" w:firstLineChars="500"/>
        <w:jc w:val="left"/>
        <w:rPr>
          <w:rFonts w:ascii="楷体" w:hAnsi="楷体" w:eastAsia="楷体" w:cs="楷体"/>
          <w:b w:val="0"/>
          <w:bCs w:val="0"/>
          <w:color w:val="auto"/>
          <w:highlight w:val="none"/>
        </w:rPr>
      </w:pPr>
      <w:r>
        <w:rPr>
          <w:rFonts w:hint="eastAsia" w:ascii="楷体" w:hAnsi="楷体" w:eastAsia="楷体" w:cs="楷体"/>
          <w:b w:val="0"/>
          <w:bCs w:val="0"/>
          <w:color w:val="auto"/>
          <w:highlight w:val="none"/>
        </w:rPr>
        <w:t>日期：　 年　  月　　日</w:t>
      </w:r>
    </w:p>
    <w:p>
      <w:pPr>
        <w:spacing w:line="500" w:lineRule="exact"/>
        <w:jc w:val="left"/>
        <w:rPr>
          <w:rFonts w:ascii="楷体" w:hAnsi="楷体" w:eastAsia="楷体" w:cs="楷体"/>
          <w:b/>
          <w:color w:val="auto"/>
          <w:sz w:val="32"/>
          <w:szCs w:val="32"/>
          <w:highlight w:val="none"/>
        </w:rPr>
      </w:pPr>
    </w:p>
    <w:p>
      <w:pPr>
        <w:spacing w:line="500" w:lineRule="exact"/>
        <w:jc w:val="left"/>
        <w:rPr>
          <w:rFonts w:ascii="楷体" w:hAnsi="楷体" w:eastAsia="楷体" w:cs="楷体"/>
          <w:b/>
          <w:color w:val="auto"/>
          <w:sz w:val="32"/>
          <w:szCs w:val="32"/>
          <w:highlight w:val="none"/>
        </w:rPr>
      </w:pPr>
      <w:r>
        <w:rPr>
          <w:rFonts w:hint="eastAsia" w:ascii="楷体" w:hAnsi="楷体" w:eastAsia="楷体" w:cs="楷体"/>
          <w:b/>
          <w:color w:val="auto"/>
          <w:sz w:val="32"/>
          <w:szCs w:val="32"/>
          <w:highlight w:val="none"/>
        </w:rPr>
        <w:t>附件2</w:t>
      </w:r>
    </w:p>
    <w:p>
      <w:pPr>
        <w:spacing w:line="500" w:lineRule="exact"/>
        <w:jc w:val="center"/>
        <w:rPr>
          <w:rFonts w:ascii="楷体" w:hAnsi="楷体" w:eastAsia="楷体" w:cs="楷体"/>
          <w:b/>
          <w:color w:val="auto"/>
          <w:sz w:val="32"/>
          <w:szCs w:val="32"/>
          <w:highlight w:val="none"/>
        </w:rPr>
      </w:pPr>
    </w:p>
    <w:p>
      <w:pPr>
        <w:spacing w:line="500" w:lineRule="exact"/>
        <w:jc w:val="center"/>
        <w:rPr>
          <w:rFonts w:ascii="楷体" w:hAnsi="楷体" w:eastAsia="楷体" w:cs="楷体"/>
          <w:b/>
          <w:color w:val="auto"/>
          <w:sz w:val="44"/>
          <w:szCs w:val="44"/>
          <w:highlight w:val="none"/>
        </w:rPr>
      </w:pPr>
      <w:r>
        <w:rPr>
          <w:rFonts w:hint="eastAsia" w:ascii="楷体" w:hAnsi="楷体" w:eastAsia="楷体" w:cs="楷体"/>
          <w:b/>
          <w:color w:val="auto"/>
          <w:sz w:val="44"/>
          <w:szCs w:val="44"/>
          <w:highlight w:val="none"/>
        </w:rPr>
        <w:t>法定代表人身份证明书</w:t>
      </w:r>
    </w:p>
    <w:p>
      <w:pPr>
        <w:spacing w:line="500" w:lineRule="exact"/>
        <w:rPr>
          <w:rFonts w:ascii="楷体" w:hAnsi="楷体" w:eastAsia="楷体" w:cs="楷体"/>
          <w:color w:val="auto"/>
          <w:sz w:val="28"/>
          <w:highlight w:val="none"/>
        </w:rPr>
      </w:pPr>
    </w:p>
    <w:p>
      <w:pPr>
        <w:spacing w:line="500" w:lineRule="exact"/>
        <w:ind w:firstLine="480" w:firstLineChars="200"/>
        <w:rPr>
          <w:rFonts w:ascii="楷体" w:hAnsi="楷体" w:eastAsia="楷体" w:cs="楷体"/>
          <w:color w:val="auto"/>
          <w:sz w:val="24"/>
          <w:highlight w:val="none"/>
          <w:u w:val="single"/>
        </w:rPr>
      </w:pPr>
      <w:r>
        <w:rPr>
          <w:rFonts w:hint="eastAsia" w:ascii="楷体" w:hAnsi="楷体" w:eastAsia="楷体" w:cs="楷体"/>
          <w:color w:val="auto"/>
          <w:sz w:val="24"/>
          <w:highlight w:val="none"/>
        </w:rPr>
        <w:t>单位名称：</w:t>
      </w:r>
      <w:r>
        <w:rPr>
          <w:rFonts w:hint="eastAsia" w:ascii="楷体" w:hAnsi="楷体" w:eastAsia="楷体" w:cs="楷体"/>
          <w:color w:val="auto"/>
          <w:sz w:val="24"/>
          <w:highlight w:val="none"/>
          <w:u w:val="single"/>
        </w:rPr>
        <w:t xml:space="preserve">                                     </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单位性质：</w:t>
      </w:r>
      <w:r>
        <w:rPr>
          <w:rFonts w:hint="eastAsia" w:ascii="楷体" w:hAnsi="楷体" w:eastAsia="楷体" w:cs="楷体"/>
          <w:color w:val="auto"/>
          <w:sz w:val="24"/>
          <w:highlight w:val="none"/>
          <w:u w:val="single"/>
        </w:rPr>
        <w:t xml:space="preserve">                                     </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地    址：</w:t>
      </w:r>
      <w:r>
        <w:rPr>
          <w:rFonts w:hint="eastAsia" w:ascii="楷体" w:hAnsi="楷体" w:eastAsia="楷体" w:cs="楷体"/>
          <w:color w:val="auto"/>
          <w:sz w:val="24"/>
          <w:highlight w:val="none"/>
          <w:u w:val="single"/>
        </w:rPr>
        <w:t xml:space="preserve">                                     </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成立时间：</w:t>
      </w:r>
      <w:r>
        <w:rPr>
          <w:rFonts w:hint="eastAsia" w:ascii="楷体" w:hAnsi="楷体" w:eastAsia="楷体" w:cs="楷体"/>
          <w:color w:val="auto"/>
          <w:sz w:val="24"/>
          <w:highlight w:val="none"/>
          <w:u w:val="single"/>
        </w:rPr>
        <w:t xml:space="preserve">          </w:t>
      </w:r>
      <w:r>
        <w:rPr>
          <w:rFonts w:hint="eastAsia" w:ascii="楷体" w:hAnsi="楷体" w:eastAsia="楷体" w:cs="楷体"/>
          <w:color w:val="auto"/>
          <w:sz w:val="24"/>
          <w:highlight w:val="none"/>
        </w:rPr>
        <w:t>年</w:t>
      </w:r>
      <w:r>
        <w:rPr>
          <w:rFonts w:hint="eastAsia" w:ascii="楷体" w:hAnsi="楷体" w:eastAsia="楷体" w:cs="楷体"/>
          <w:color w:val="auto"/>
          <w:sz w:val="24"/>
          <w:highlight w:val="none"/>
          <w:u w:val="single"/>
        </w:rPr>
        <w:t xml:space="preserve">         </w:t>
      </w:r>
      <w:r>
        <w:rPr>
          <w:rFonts w:hint="eastAsia" w:ascii="楷体" w:hAnsi="楷体" w:eastAsia="楷体" w:cs="楷体"/>
          <w:color w:val="auto"/>
          <w:sz w:val="24"/>
          <w:highlight w:val="none"/>
        </w:rPr>
        <w:t>月</w:t>
      </w:r>
      <w:r>
        <w:rPr>
          <w:rFonts w:hint="eastAsia" w:ascii="楷体" w:hAnsi="楷体" w:eastAsia="楷体" w:cs="楷体"/>
          <w:color w:val="auto"/>
          <w:sz w:val="24"/>
          <w:highlight w:val="none"/>
          <w:u w:val="single"/>
        </w:rPr>
        <w:t xml:space="preserve">         </w:t>
      </w:r>
      <w:r>
        <w:rPr>
          <w:rFonts w:hint="eastAsia" w:ascii="楷体" w:hAnsi="楷体" w:eastAsia="楷体" w:cs="楷体"/>
          <w:color w:val="auto"/>
          <w:sz w:val="24"/>
          <w:highlight w:val="none"/>
        </w:rPr>
        <w:t>日</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经营期限：</w:t>
      </w:r>
      <w:r>
        <w:rPr>
          <w:rFonts w:hint="eastAsia" w:ascii="楷体" w:hAnsi="楷体" w:eastAsia="楷体" w:cs="楷体"/>
          <w:color w:val="auto"/>
          <w:sz w:val="24"/>
          <w:highlight w:val="none"/>
          <w:u w:val="single"/>
        </w:rPr>
        <w:t xml:space="preserve">                                     </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姓名：</w:t>
      </w:r>
      <w:r>
        <w:rPr>
          <w:rFonts w:hint="eastAsia" w:ascii="楷体" w:hAnsi="楷体" w:eastAsia="楷体" w:cs="楷体"/>
          <w:color w:val="auto"/>
          <w:sz w:val="24"/>
          <w:highlight w:val="none"/>
          <w:u w:val="single"/>
        </w:rPr>
        <w:t xml:space="preserve">        </w:t>
      </w:r>
      <w:r>
        <w:rPr>
          <w:rFonts w:hint="eastAsia" w:ascii="楷体" w:hAnsi="楷体" w:eastAsia="楷体" w:cs="楷体"/>
          <w:color w:val="auto"/>
          <w:sz w:val="24"/>
          <w:highlight w:val="none"/>
        </w:rPr>
        <w:t xml:space="preserve"> 性别：</w:t>
      </w:r>
      <w:r>
        <w:rPr>
          <w:rFonts w:hint="eastAsia" w:ascii="楷体" w:hAnsi="楷体" w:eastAsia="楷体" w:cs="楷体"/>
          <w:color w:val="auto"/>
          <w:sz w:val="24"/>
          <w:highlight w:val="none"/>
          <w:u w:val="single"/>
        </w:rPr>
        <w:t xml:space="preserve">      </w:t>
      </w:r>
      <w:r>
        <w:rPr>
          <w:rFonts w:hint="eastAsia" w:ascii="楷体" w:hAnsi="楷体" w:eastAsia="楷体" w:cs="楷体"/>
          <w:color w:val="auto"/>
          <w:sz w:val="24"/>
          <w:highlight w:val="none"/>
        </w:rPr>
        <w:t xml:space="preserve"> 年龄：</w:t>
      </w:r>
      <w:r>
        <w:rPr>
          <w:rFonts w:hint="eastAsia" w:ascii="楷体" w:hAnsi="楷体" w:eastAsia="楷体" w:cs="楷体"/>
          <w:color w:val="auto"/>
          <w:sz w:val="24"/>
          <w:highlight w:val="none"/>
          <w:u w:val="single"/>
        </w:rPr>
        <w:t xml:space="preserve">       </w:t>
      </w:r>
      <w:r>
        <w:rPr>
          <w:rFonts w:hint="eastAsia" w:ascii="楷体" w:hAnsi="楷体" w:eastAsia="楷体" w:cs="楷体"/>
          <w:color w:val="auto"/>
          <w:sz w:val="24"/>
          <w:highlight w:val="none"/>
        </w:rPr>
        <w:t xml:space="preserve"> 职务：</w:t>
      </w:r>
      <w:r>
        <w:rPr>
          <w:rFonts w:hint="eastAsia" w:ascii="楷体" w:hAnsi="楷体" w:eastAsia="楷体" w:cs="楷体"/>
          <w:color w:val="auto"/>
          <w:sz w:val="24"/>
          <w:highlight w:val="none"/>
          <w:u w:val="single"/>
        </w:rPr>
        <w:t xml:space="preserve">       </w:t>
      </w:r>
    </w:p>
    <w:p>
      <w:pPr>
        <w:spacing w:line="500" w:lineRule="exact"/>
        <w:rPr>
          <w:rFonts w:ascii="楷体" w:hAnsi="楷体" w:eastAsia="楷体" w:cs="楷体"/>
          <w:color w:val="auto"/>
          <w:sz w:val="24"/>
          <w:highlight w:val="none"/>
        </w:rPr>
      </w:pPr>
      <w:r>
        <w:rPr>
          <w:rFonts w:hint="eastAsia" w:ascii="楷体" w:hAnsi="楷体" w:eastAsia="楷体" w:cs="楷体"/>
          <w:color w:val="auto"/>
          <w:sz w:val="24"/>
          <w:highlight w:val="none"/>
        </w:rPr>
        <w:t>系</w:t>
      </w:r>
      <w:r>
        <w:rPr>
          <w:rFonts w:hint="eastAsia" w:ascii="楷体" w:hAnsi="楷体" w:eastAsia="楷体" w:cs="楷体"/>
          <w:color w:val="auto"/>
          <w:sz w:val="24"/>
          <w:highlight w:val="none"/>
          <w:u w:val="single"/>
        </w:rPr>
        <w:t xml:space="preserve">                                </w:t>
      </w:r>
      <w:r>
        <w:rPr>
          <w:rFonts w:hint="eastAsia" w:ascii="楷体" w:hAnsi="楷体" w:eastAsia="楷体" w:cs="楷体"/>
          <w:color w:val="auto"/>
          <w:sz w:val="24"/>
          <w:highlight w:val="none"/>
        </w:rPr>
        <w:t>（投标人）的法定代表人。</w:t>
      </w:r>
    </w:p>
    <w:p>
      <w:pPr>
        <w:spacing w:line="500" w:lineRule="exact"/>
        <w:ind w:firstLine="480" w:firstLineChars="200"/>
        <w:rPr>
          <w:rFonts w:ascii="楷体" w:hAnsi="楷体" w:eastAsia="楷体" w:cs="楷体"/>
          <w:color w:val="auto"/>
          <w:sz w:val="24"/>
          <w:highlight w:val="none"/>
        </w:rPr>
      </w:pPr>
    </w:p>
    <w:p>
      <w:pPr>
        <w:spacing w:line="500" w:lineRule="exact"/>
        <w:ind w:firstLine="480" w:firstLineChars="200"/>
        <w:rPr>
          <w:rFonts w:ascii="楷体" w:hAnsi="楷体" w:eastAsia="楷体" w:cs="楷体"/>
          <w:color w:val="auto"/>
          <w:sz w:val="24"/>
          <w:highlight w:val="none"/>
        </w:rPr>
      </w:pPr>
    </w:p>
    <w:p>
      <w:pPr>
        <w:spacing w:line="500" w:lineRule="exact"/>
        <w:ind w:firstLine="480" w:firstLineChars="200"/>
        <w:rPr>
          <w:rFonts w:ascii="楷体" w:hAnsi="楷体" w:eastAsia="楷体" w:cs="楷体"/>
          <w:color w:val="auto"/>
          <w:sz w:val="24"/>
          <w:highlight w:val="none"/>
        </w:rPr>
      </w:pP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特此证明。</w:t>
      </w:r>
    </w:p>
    <w:p>
      <w:pPr>
        <w:spacing w:line="500" w:lineRule="exact"/>
        <w:ind w:firstLine="480" w:firstLineChars="200"/>
        <w:rPr>
          <w:rFonts w:ascii="楷体" w:hAnsi="楷体" w:eastAsia="楷体" w:cs="楷体"/>
          <w:color w:val="auto"/>
          <w:sz w:val="24"/>
          <w:highlight w:val="none"/>
        </w:rPr>
      </w:pPr>
    </w:p>
    <w:p>
      <w:pPr>
        <w:spacing w:line="520" w:lineRule="atLeas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身份证复印件粘贴处：</w:t>
      </w:r>
    </w:p>
    <w:p>
      <w:pPr>
        <w:spacing w:line="500" w:lineRule="exact"/>
        <w:ind w:firstLine="480" w:firstLineChars="200"/>
        <w:rPr>
          <w:rFonts w:ascii="楷体" w:hAnsi="楷体" w:eastAsia="楷体" w:cs="楷体"/>
          <w:color w:val="auto"/>
          <w:sz w:val="24"/>
          <w:highlight w:val="none"/>
        </w:rPr>
      </w:pPr>
    </w:p>
    <w:p>
      <w:pPr>
        <w:spacing w:line="500" w:lineRule="exact"/>
        <w:ind w:firstLine="480" w:firstLineChars="200"/>
        <w:rPr>
          <w:rFonts w:ascii="楷体" w:hAnsi="楷体" w:eastAsia="楷体" w:cs="楷体"/>
          <w:color w:val="auto"/>
          <w:sz w:val="24"/>
          <w:highlight w:val="none"/>
        </w:rPr>
      </w:pPr>
    </w:p>
    <w:p>
      <w:pPr>
        <w:spacing w:line="500" w:lineRule="exact"/>
        <w:ind w:firstLine="480" w:firstLineChars="200"/>
        <w:rPr>
          <w:rFonts w:ascii="楷体" w:hAnsi="楷体" w:eastAsia="楷体" w:cs="楷体"/>
          <w:color w:val="auto"/>
          <w:sz w:val="24"/>
          <w:highlight w:val="none"/>
        </w:rPr>
      </w:pPr>
    </w:p>
    <w:p>
      <w:pPr>
        <w:spacing w:line="500" w:lineRule="exact"/>
        <w:ind w:firstLine="480" w:firstLineChars="200"/>
        <w:rPr>
          <w:rFonts w:ascii="楷体" w:hAnsi="楷体" w:eastAsia="楷体" w:cs="楷体"/>
          <w:color w:val="auto"/>
          <w:sz w:val="24"/>
          <w:highlight w:val="none"/>
        </w:rPr>
      </w:pPr>
    </w:p>
    <w:p>
      <w:pPr>
        <w:spacing w:line="500" w:lineRule="exact"/>
        <w:rPr>
          <w:rFonts w:ascii="楷体" w:hAnsi="楷体" w:eastAsia="楷体" w:cs="楷体"/>
          <w:color w:val="auto"/>
          <w:sz w:val="24"/>
          <w:highlight w:val="none"/>
        </w:rPr>
      </w:pPr>
    </w:p>
    <w:p>
      <w:pPr>
        <w:spacing w:line="500" w:lineRule="exact"/>
        <w:ind w:firstLine="6240" w:firstLineChars="2600"/>
        <w:rPr>
          <w:rFonts w:ascii="楷体" w:hAnsi="楷体" w:eastAsia="楷体" w:cs="楷体"/>
          <w:color w:val="auto"/>
          <w:sz w:val="24"/>
          <w:highlight w:val="none"/>
        </w:rPr>
      </w:pPr>
      <w:r>
        <w:rPr>
          <w:rFonts w:hint="eastAsia" w:ascii="楷体" w:hAnsi="楷体" w:eastAsia="楷体" w:cs="楷体"/>
          <w:color w:val="auto"/>
          <w:sz w:val="24"/>
          <w:highlight w:val="none"/>
        </w:rPr>
        <w:t>投标人（盖章）：</w:t>
      </w:r>
    </w:p>
    <w:p>
      <w:pPr>
        <w:spacing w:line="500" w:lineRule="exact"/>
        <w:ind w:firstLine="3840" w:firstLineChars="1600"/>
        <w:rPr>
          <w:rFonts w:ascii="楷体" w:hAnsi="楷体" w:eastAsia="楷体" w:cs="楷体"/>
          <w:color w:val="auto"/>
          <w:sz w:val="24"/>
          <w:highlight w:val="none"/>
        </w:rPr>
      </w:pPr>
    </w:p>
    <w:p>
      <w:pPr>
        <w:spacing w:line="500" w:lineRule="exact"/>
        <w:jc w:val="right"/>
        <w:rPr>
          <w:rFonts w:ascii="楷体" w:hAnsi="楷体" w:eastAsia="楷体" w:cs="楷体"/>
          <w:color w:val="auto"/>
          <w:sz w:val="24"/>
          <w:highlight w:val="none"/>
        </w:rPr>
      </w:pPr>
      <w:r>
        <w:rPr>
          <w:rFonts w:hint="eastAsia" w:ascii="楷体" w:hAnsi="楷体" w:eastAsia="楷体" w:cs="楷体"/>
          <w:color w:val="auto"/>
          <w:sz w:val="24"/>
          <w:highlight w:val="none"/>
        </w:rPr>
        <w:t>日期：    年   月   日</w:t>
      </w:r>
    </w:p>
    <w:p>
      <w:pPr>
        <w:spacing w:line="500" w:lineRule="exact"/>
        <w:jc w:val="left"/>
        <w:rPr>
          <w:rFonts w:ascii="楷体" w:hAnsi="楷体" w:eastAsia="楷体" w:cs="楷体"/>
          <w:color w:val="auto"/>
          <w:sz w:val="24"/>
          <w:highlight w:val="none"/>
        </w:rPr>
      </w:pPr>
    </w:p>
    <w:p>
      <w:pPr>
        <w:spacing w:line="500" w:lineRule="exact"/>
        <w:jc w:val="left"/>
        <w:rPr>
          <w:rFonts w:ascii="楷体" w:hAnsi="楷体" w:eastAsia="楷体" w:cs="楷体"/>
          <w:b/>
          <w:color w:val="auto"/>
          <w:sz w:val="32"/>
          <w:szCs w:val="32"/>
          <w:highlight w:val="none"/>
        </w:rPr>
      </w:pPr>
    </w:p>
    <w:p>
      <w:pPr>
        <w:spacing w:line="500" w:lineRule="exact"/>
        <w:jc w:val="left"/>
        <w:rPr>
          <w:rFonts w:ascii="楷体" w:hAnsi="楷体" w:eastAsia="楷体" w:cs="楷体"/>
          <w:b/>
          <w:color w:val="auto"/>
          <w:sz w:val="32"/>
          <w:szCs w:val="32"/>
          <w:highlight w:val="none"/>
        </w:rPr>
      </w:pPr>
      <w:r>
        <w:rPr>
          <w:rFonts w:hint="eastAsia" w:ascii="楷体" w:hAnsi="楷体" w:eastAsia="楷体" w:cs="楷体"/>
          <w:b/>
          <w:color w:val="auto"/>
          <w:sz w:val="32"/>
          <w:szCs w:val="32"/>
          <w:highlight w:val="none"/>
        </w:rPr>
        <w:t>附件3</w:t>
      </w:r>
    </w:p>
    <w:p>
      <w:pPr>
        <w:spacing w:line="500" w:lineRule="exact"/>
        <w:jc w:val="center"/>
        <w:rPr>
          <w:rFonts w:ascii="楷体" w:hAnsi="楷体" w:eastAsia="楷体" w:cs="楷体"/>
          <w:b/>
          <w:color w:val="auto"/>
          <w:sz w:val="44"/>
          <w:szCs w:val="44"/>
          <w:highlight w:val="none"/>
        </w:rPr>
      </w:pPr>
      <w:r>
        <w:rPr>
          <w:rFonts w:hint="eastAsia" w:ascii="楷体" w:hAnsi="楷体" w:eastAsia="楷体" w:cs="楷体"/>
          <w:b/>
          <w:color w:val="auto"/>
          <w:sz w:val="44"/>
          <w:szCs w:val="44"/>
          <w:highlight w:val="none"/>
        </w:rPr>
        <w:t>授 权 委 托 书</w:t>
      </w:r>
    </w:p>
    <w:p>
      <w:pPr>
        <w:spacing w:line="520" w:lineRule="atLeast"/>
        <w:jc w:val="center"/>
        <w:rPr>
          <w:rFonts w:ascii="楷体" w:hAnsi="楷体" w:eastAsia="楷体" w:cs="楷体"/>
          <w:color w:val="auto"/>
          <w:sz w:val="44"/>
          <w:highlight w:val="none"/>
        </w:rPr>
      </w:pPr>
    </w:p>
    <w:p>
      <w:pPr>
        <w:spacing w:line="520" w:lineRule="atLeas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本授权委托书声明：我</w:t>
      </w:r>
      <w:r>
        <w:rPr>
          <w:rFonts w:hint="eastAsia" w:ascii="楷体" w:hAnsi="楷体" w:eastAsia="楷体" w:cs="楷体"/>
          <w:color w:val="auto"/>
          <w:sz w:val="24"/>
          <w:highlight w:val="none"/>
          <w:u w:val="single"/>
        </w:rPr>
        <w:t xml:space="preserve">            </w:t>
      </w:r>
      <w:r>
        <w:rPr>
          <w:rFonts w:hint="eastAsia" w:ascii="楷体" w:hAnsi="楷体" w:eastAsia="楷体" w:cs="楷体"/>
          <w:color w:val="auto"/>
          <w:sz w:val="24"/>
          <w:highlight w:val="none"/>
        </w:rPr>
        <w:t>（姓名）系</w:t>
      </w:r>
      <w:r>
        <w:rPr>
          <w:rFonts w:hint="eastAsia" w:ascii="楷体" w:hAnsi="楷体" w:eastAsia="楷体" w:cs="楷体"/>
          <w:color w:val="auto"/>
          <w:sz w:val="24"/>
          <w:highlight w:val="none"/>
          <w:u w:val="single"/>
        </w:rPr>
        <w:t xml:space="preserve">                 </w:t>
      </w:r>
      <w:r>
        <w:rPr>
          <w:rFonts w:hint="eastAsia" w:ascii="楷体" w:hAnsi="楷体" w:eastAsia="楷体" w:cs="楷体"/>
          <w:color w:val="auto"/>
          <w:sz w:val="24"/>
          <w:highlight w:val="none"/>
        </w:rPr>
        <w:t>（投标人名称）的法定代表人，现授权委托</w:t>
      </w:r>
      <w:r>
        <w:rPr>
          <w:rFonts w:hint="eastAsia" w:ascii="楷体" w:hAnsi="楷体" w:eastAsia="楷体" w:cs="楷体"/>
          <w:color w:val="auto"/>
          <w:sz w:val="28"/>
          <w:highlight w:val="none"/>
          <w:u w:val="single"/>
        </w:rPr>
        <w:t xml:space="preserve">        </w:t>
      </w:r>
      <w:r>
        <w:rPr>
          <w:rFonts w:hint="eastAsia" w:ascii="楷体" w:hAnsi="楷体" w:eastAsia="楷体" w:cs="楷体"/>
          <w:color w:val="auto"/>
          <w:sz w:val="24"/>
          <w:highlight w:val="none"/>
          <w:u w:val="single"/>
        </w:rPr>
        <w:t xml:space="preserve">      </w:t>
      </w:r>
      <w:r>
        <w:rPr>
          <w:rFonts w:hint="eastAsia" w:ascii="楷体" w:hAnsi="楷体" w:eastAsia="楷体" w:cs="楷体"/>
          <w:color w:val="auto"/>
          <w:sz w:val="24"/>
          <w:highlight w:val="none"/>
        </w:rPr>
        <w:t>（单位名称）的</w:t>
      </w:r>
      <w:r>
        <w:rPr>
          <w:rFonts w:hint="eastAsia" w:ascii="楷体" w:hAnsi="楷体" w:eastAsia="楷体" w:cs="楷体"/>
          <w:color w:val="auto"/>
          <w:sz w:val="24"/>
          <w:highlight w:val="none"/>
          <w:u w:val="single"/>
        </w:rPr>
        <w:t xml:space="preserve">               </w:t>
      </w:r>
      <w:r>
        <w:rPr>
          <w:rFonts w:hint="eastAsia" w:ascii="楷体" w:hAnsi="楷体" w:eastAsia="楷体" w:cs="楷体"/>
          <w:color w:val="auto"/>
          <w:sz w:val="24"/>
          <w:highlight w:val="none"/>
        </w:rPr>
        <w:t>（姓名）为我单位的代理人，以本单位的名义参加</w:t>
      </w:r>
      <w:r>
        <w:rPr>
          <w:rFonts w:hint="eastAsia" w:ascii="楷体" w:hAnsi="楷体" w:eastAsia="楷体" w:cs="楷体"/>
          <w:color w:val="auto"/>
          <w:sz w:val="24"/>
          <w:highlight w:val="none"/>
          <w:u w:val="single"/>
        </w:rPr>
        <w:t>盐城工业职业技术学院</w:t>
      </w:r>
      <w:r>
        <w:rPr>
          <w:rFonts w:hint="eastAsia" w:ascii="楷体" w:hAnsi="楷体" w:eastAsia="楷体" w:cs="楷体"/>
          <w:color w:val="auto"/>
          <w:sz w:val="24"/>
          <w:highlight w:val="none"/>
        </w:rPr>
        <w:t>（招标人名称）的</w:t>
      </w:r>
      <w:r>
        <w:rPr>
          <w:rFonts w:hint="eastAsia" w:ascii="楷体" w:hAnsi="楷体" w:eastAsia="楷体" w:cs="楷体"/>
          <w:color w:val="auto"/>
          <w:sz w:val="24"/>
          <w:highlight w:val="none"/>
          <w:u w:val="single"/>
        </w:rPr>
        <w:t>盐城工业职业技术学院铁军文化苑设计施工一体化项目</w:t>
      </w:r>
      <w:r>
        <w:rPr>
          <w:rFonts w:hint="eastAsia" w:ascii="楷体" w:hAnsi="楷体" w:eastAsia="楷体" w:cs="楷体"/>
          <w:color w:val="auto"/>
          <w:sz w:val="24"/>
          <w:highlight w:val="none"/>
        </w:rPr>
        <w:t>的投标活动。代理人在开标、评标、合同谈判过程中所签署的一切文件和处理与之有关的一切事务，我均予以承认。代理人无转委托权。</w:t>
      </w:r>
    </w:p>
    <w:p>
      <w:pPr>
        <w:spacing w:line="520" w:lineRule="atLeas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特此委托。</w:t>
      </w:r>
    </w:p>
    <w:p>
      <w:pPr>
        <w:spacing w:line="520" w:lineRule="atLeast"/>
        <w:rPr>
          <w:rFonts w:ascii="楷体" w:hAnsi="楷体" w:eastAsia="楷体" w:cs="楷体"/>
          <w:color w:val="auto"/>
          <w:sz w:val="24"/>
          <w:highlight w:val="none"/>
        </w:rPr>
      </w:pPr>
    </w:p>
    <w:p>
      <w:pPr>
        <w:spacing w:line="520" w:lineRule="atLeas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代理人姓名：              性别：          身份证号码：</w:t>
      </w:r>
    </w:p>
    <w:p>
      <w:pPr>
        <w:spacing w:line="520" w:lineRule="atLeas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电话：                    传真：          手机：</w:t>
      </w:r>
    </w:p>
    <w:p>
      <w:pPr>
        <w:spacing w:line="520" w:lineRule="atLeast"/>
        <w:rPr>
          <w:rFonts w:ascii="楷体" w:hAnsi="楷体" w:eastAsia="楷体" w:cs="楷体"/>
          <w:color w:val="auto"/>
          <w:sz w:val="24"/>
          <w:highlight w:val="none"/>
        </w:rPr>
      </w:pPr>
    </w:p>
    <w:p>
      <w:pPr>
        <w:spacing w:line="520" w:lineRule="atLeast"/>
        <w:jc w:val="center"/>
        <w:rPr>
          <w:rFonts w:ascii="楷体" w:hAnsi="楷体" w:eastAsia="楷体" w:cs="楷体"/>
          <w:color w:val="auto"/>
          <w:sz w:val="24"/>
          <w:highlight w:val="none"/>
        </w:rPr>
      </w:pPr>
      <w:r>
        <w:rPr>
          <w:rFonts w:hint="eastAsia" w:ascii="楷体" w:hAnsi="楷体" w:eastAsia="楷体" w:cs="楷体"/>
          <w:color w:val="auto"/>
          <w:sz w:val="24"/>
          <w:highlight w:val="none"/>
        </w:rPr>
        <w:t xml:space="preserve">        投标人（盖章）： </w:t>
      </w:r>
    </w:p>
    <w:p>
      <w:pPr>
        <w:spacing w:line="520" w:lineRule="atLeast"/>
        <w:jc w:val="center"/>
        <w:rPr>
          <w:rFonts w:ascii="楷体" w:hAnsi="楷体" w:eastAsia="楷体" w:cs="楷体"/>
          <w:color w:val="auto"/>
          <w:sz w:val="24"/>
          <w:highlight w:val="none"/>
        </w:rPr>
      </w:pPr>
      <w:r>
        <w:rPr>
          <w:rFonts w:hint="eastAsia" w:ascii="楷体" w:hAnsi="楷体" w:eastAsia="楷体" w:cs="楷体"/>
          <w:color w:val="auto"/>
          <w:sz w:val="24"/>
          <w:highlight w:val="none"/>
        </w:rPr>
        <w:t xml:space="preserve">                  </w:t>
      </w:r>
    </w:p>
    <w:p>
      <w:pPr>
        <w:spacing w:line="520" w:lineRule="atLeast"/>
        <w:jc w:val="center"/>
        <w:rPr>
          <w:rFonts w:ascii="楷体" w:hAnsi="楷体" w:eastAsia="楷体" w:cs="楷体"/>
          <w:color w:val="auto"/>
          <w:sz w:val="24"/>
          <w:highlight w:val="none"/>
        </w:rPr>
      </w:pPr>
      <w:r>
        <w:rPr>
          <w:rFonts w:hint="eastAsia" w:ascii="楷体" w:hAnsi="楷体" w:eastAsia="楷体" w:cs="楷体"/>
          <w:color w:val="auto"/>
          <w:sz w:val="24"/>
          <w:highlight w:val="none"/>
        </w:rPr>
        <w:t xml:space="preserve">                  法定代表人（签字或盖章）：</w:t>
      </w:r>
    </w:p>
    <w:p>
      <w:pPr>
        <w:spacing w:line="520" w:lineRule="atLeast"/>
        <w:rPr>
          <w:rFonts w:ascii="楷体" w:hAnsi="楷体" w:eastAsia="楷体" w:cs="楷体"/>
          <w:color w:val="auto"/>
          <w:sz w:val="24"/>
          <w:highlight w:val="none"/>
        </w:rPr>
      </w:pPr>
    </w:p>
    <w:p>
      <w:pPr>
        <w:spacing w:line="520" w:lineRule="atLeast"/>
        <w:rPr>
          <w:rFonts w:ascii="楷体" w:hAnsi="楷体" w:eastAsia="楷体" w:cs="楷体"/>
          <w:color w:val="auto"/>
          <w:sz w:val="24"/>
          <w:highlight w:val="none"/>
        </w:rPr>
      </w:pPr>
    </w:p>
    <w:p>
      <w:pPr>
        <w:spacing w:line="520" w:lineRule="atLeast"/>
        <w:ind w:firstLine="480" w:firstLineChars="200"/>
        <w:rPr>
          <w:rFonts w:ascii="楷体" w:hAnsi="楷体" w:eastAsia="楷体" w:cs="楷体"/>
          <w:b/>
          <w:color w:val="auto"/>
          <w:sz w:val="24"/>
          <w:highlight w:val="none"/>
        </w:rPr>
      </w:pPr>
      <w:r>
        <w:rPr>
          <w:rFonts w:hint="eastAsia" w:ascii="楷体" w:hAnsi="楷体" w:eastAsia="楷体" w:cs="楷体"/>
          <w:b/>
          <w:color w:val="auto"/>
          <w:sz w:val="24"/>
          <w:highlight w:val="none"/>
        </w:rPr>
        <w:t>身份证复印件粘贴处：</w:t>
      </w:r>
    </w:p>
    <w:p>
      <w:pPr>
        <w:spacing w:line="500" w:lineRule="exact"/>
        <w:jc w:val="left"/>
        <w:rPr>
          <w:rFonts w:ascii="楷体" w:hAnsi="楷体" w:eastAsia="楷体" w:cs="楷体"/>
          <w:color w:val="auto"/>
          <w:sz w:val="24"/>
          <w:highlight w:val="none"/>
        </w:rPr>
      </w:pPr>
      <w:r>
        <w:rPr>
          <w:rFonts w:hint="eastAsia" w:ascii="楷体" w:hAnsi="楷体" w:eastAsia="楷体" w:cs="楷体"/>
          <w:color w:val="auto"/>
          <w:sz w:val="24"/>
          <w:highlight w:val="none"/>
        </w:rPr>
        <w:br w:type="page"/>
      </w:r>
    </w:p>
    <w:p>
      <w:pPr>
        <w:pStyle w:val="8"/>
        <w:tabs>
          <w:tab w:val="left" w:pos="840"/>
        </w:tabs>
        <w:spacing w:after="156" w:afterLines="50" w:line="320" w:lineRule="exact"/>
        <w:ind w:firstLine="0"/>
        <w:rPr>
          <w:rFonts w:ascii="楷体" w:hAnsi="楷体" w:eastAsia="楷体" w:cs="楷体"/>
          <w:color w:val="auto"/>
          <w:highlight w:val="none"/>
        </w:rPr>
      </w:pPr>
      <w:r>
        <w:rPr>
          <w:rFonts w:hint="eastAsia" w:ascii="楷体" w:hAnsi="楷体" w:eastAsia="楷体" w:cs="楷体"/>
          <w:bCs w:val="0"/>
          <w:color w:val="auto"/>
          <w:sz w:val="32"/>
          <w:szCs w:val="32"/>
          <w:highlight w:val="none"/>
        </w:rPr>
        <w:t>附件4</w:t>
      </w:r>
    </w:p>
    <w:p>
      <w:pPr>
        <w:pStyle w:val="8"/>
        <w:spacing w:after="156" w:afterLines="50" w:line="240" w:lineRule="auto"/>
        <w:ind w:firstLine="516"/>
        <w:jc w:val="center"/>
        <w:rPr>
          <w:rFonts w:ascii="楷体" w:hAnsi="楷体" w:eastAsia="楷体" w:cs="楷体"/>
          <w:bCs w:val="0"/>
          <w:color w:val="auto"/>
          <w:sz w:val="32"/>
          <w:szCs w:val="32"/>
          <w:highlight w:val="none"/>
        </w:rPr>
      </w:pPr>
      <w:r>
        <w:rPr>
          <w:rFonts w:hint="eastAsia" w:ascii="楷体" w:hAnsi="楷体" w:eastAsia="楷体" w:cs="楷体"/>
          <w:bCs w:val="0"/>
          <w:color w:val="auto"/>
          <w:sz w:val="44"/>
          <w:szCs w:val="44"/>
          <w:highlight w:val="none"/>
        </w:rPr>
        <w:t>投标承诺书</w:t>
      </w:r>
    </w:p>
    <w:p>
      <w:pPr>
        <w:pStyle w:val="8"/>
        <w:spacing w:line="380" w:lineRule="exact"/>
        <w:ind w:firstLine="0"/>
        <w:rPr>
          <w:rFonts w:ascii="楷体" w:hAnsi="楷体" w:eastAsia="楷体" w:cs="楷体"/>
          <w:b w:val="0"/>
          <w:color w:val="auto"/>
          <w:highlight w:val="none"/>
          <w:u w:val="single"/>
        </w:rPr>
      </w:pPr>
      <w:r>
        <w:rPr>
          <w:rFonts w:hint="eastAsia" w:ascii="楷体" w:hAnsi="楷体" w:eastAsia="楷体" w:cs="楷体"/>
          <w:b w:val="0"/>
          <w:color w:val="auto"/>
          <w:highlight w:val="none"/>
        </w:rPr>
        <w:t>致：</w:t>
      </w:r>
      <w:r>
        <w:rPr>
          <w:rFonts w:hint="eastAsia" w:ascii="楷体" w:hAnsi="楷体" w:eastAsia="楷体" w:cs="楷体"/>
          <w:b w:val="0"/>
          <w:bCs w:val="0"/>
          <w:color w:val="auto"/>
          <w:highlight w:val="none"/>
          <w:u w:val="single"/>
        </w:rPr>
        <w:t>盐城工业职业技术学院</w:t>
      </w:r>
    </w:p>
    <w:p>
      <w:pPr>
        <w:pStyle w:val="8"/>
        <w:spacing w:line="420" w:lineRule="exact"/>
        <w:ind w:firstLine="520" w:firstLineChars="200"/>
        <w:rPr>
          <w:rFonts w:ascii="楷体" w:hAnsi="楷体" w:eastAsia="楷体" w:cs="楷体"/>
          <w:b w:val="0"/>
          <w:color w:val="auto"/>
          <w:highlight w:val="none"/>
        </w:rPr>
      </w:pPr>
      <w:r>
        <w:rPr>
          <w:rFonts w:hint="eastAsia" w:ascii="楷体" w:hAnsi="楷体" w:eastAsia="楷体" w:cs="楷体"/>
          <w:b w:val="0"/>
          <w:color w:val="auto"/>
          <w:spacing w:val="10"/>
          <w:highlight w:val="none"/>
        </w:rPr>
        <w:t>1.根据你方招标项目</w:t>
      </w:r>
      <w:r>
        <w:rPr>
          <w:rFonts w:hint="eastAsia" w:ascii="楷体" w:hAnsi="楷体" w:eastAsia="楷体" w:cs="楷体"/>
          <w:b w:val="0"/>
          <w:bCs w:val="0"/>
          <w:color w:val="auto"/>
          <w:highlight w:val="none"/>
          <w:u w:val="single"/>
        </w:rPr>
        <w:t>盐城工业职业技术学院铁军文化苑设计施工一体化项目</w:t>
      </w:r>
      <w:r>
        <w:rPr>
          <w:rFonts w:hint="eastAsia" w:ascii="楷体" w:hAnsi="楷体" w:eastAsia="楷体" w:cs="楷体"/>
          <w:b w:val="0"/>
          <w:color w:val="auto"/>
          <w:spacing w:val="10"/>
          <w:highlight w:val="none"/>
        </w:rPr>
        <w:t>的招标文件、遵照《中华人民共和国招标投标法》等有关规定，经踏勘项目现场和研究上述招标文件的投标须知、合同条</w:t>
      </w:r>
      <w:r>
        <w:rPr>
          <w:rFonts w:hint="eastAsia" w:ascii="楷体" w:hAnsi="楷体" w:eastAsia="楷体" w:cs="楷体"/>
          <w:b w:val="0"/>
          <w:color w:val="auto"/>
          <w:spacing w:val="10"/>
          <w:kern w:val="24"/>
          <w:highlight w:val="none"/>
        </w:rPr>
        <w:t>款、图</w:t>
      </w:r>
      <w:r>
        <w:rPr>
          <w:rFonts w:hint="eastAsia" w:ascii="楷体" w:hAnsi="楷体" w:eastAsia="楷体" w:cs="楷体"/>
          <w:b w:val="0"/>
          <w:color w:val="auto"/>
          <w:spacing w:val="10"/>
          <w:highlight w:val="none"/>
        </w:rPr>
        <w:t>纸</w:t>
      </w:r>
      <w:r>
        <w:rPr>
          <w:rFonts w:hint="eastAsia" w:ascii="楷体" w:hAnsi="楷体" w:eastAsia="楷体" w:cs="楷体"/>
          <w:b w:val="0"/>
          <w:color w:val="auto"/>
          <w:spacing w:val="10"/>
          <w:kern w:val="24"/>
          <w:highlight w:val="none"/>
        </w:rPr>
        <w:t>、建设标准和工程量清单及其他有关文件后，我方愿以人民币</w:t>
      </w:r>
      <w:r>
        <w:rPr>
          <w:rFonts w:hint="eastAsia" w:ascii="楷体" w:hAnsi="楷体" w:eastAsia="楷体" w:cs="楷体"/>
          <w:b w:val="0"/>
          <w:color w:val="auto"/>
          <w:spacing w:val="10"/>
          <w:kern w:val="24"/>
          <w:highlight w:val="none"/>
          <w:u w:val="single"/>
        </w:rPr>
        <w:t>（大写）   　　</w:t>
      </w:r>
      <w:r>
        <w:rPr>
          <w:rFonts w:hint="eastAsia" w:ascii="楷体" w:hAnsi="楷体" w:eastAsia="楷体" w:cs="楷体"/>
          <w:b w:val="0"/>
          <w:color w:val="auto"/>
          <w:spacing w:val="10"/>
          <w:kern w:val="24"/>
          <w:highlight w:val="none"/>
        </w:rPr>
        <w:t>（小写：</w:t>
      </w:r>
      <w:r>
        <w:rPr>
          <w:rFonts w:hint="eastAsia" w:ascii="楷体" w:hAnsi="楷体" w:eastAsia="楷体" w:cs="楷体"/>
          <w:b w:val="0"/>
          <w:color w:val="auto"/>
          <w:spacing w:val="10"/>
          <w:kern w:val="24"/>
          <w:highlight w:val="none"/>
          <w:u w:val="single"/>
        </w:rPr>
        <w:t>　 　</w:t>
      </w:r>
      <w:r>
        <w:rPr>
          <w:rFonts w:hint="eastAsia" w:ascii="楷体" w:hAnsi="楷体" w:eastAsia="楷体" w:cs="楷体"/>
          <w:b w:val="0"/>
          <w:color w:val="auto"/>
          <w:spacing w:val="10"/>
          <w:kern w:val="24"/>
          <w:highlight w:val="none"/>
        </w:rPr>
        <w:t>元）</w:t>
      </w:r>
      <w:r>
        <w:rPr>
          <w:rFonts w:hint="eastAsia" w:ascii="楷体" w:hAnsi="楷体" w:eastAsia="楷体" w:cs="楷体"/>
          <w:b w:val="0"/>
          <w:color w:val="auto"/>
          <w:spacing w:val="10"/>
          <w:highlight w:val="none"/>
        </w:rPr>
        <w:t>的投标报价并按上述图</w:t>
      </w:r>
      <w:r>
        <w:rPr>
          <w:rFonts w:hint="eastAsia" w:ascii="楷体" w:hAnsi="楷体" w:eastAsia="楷体" w:cs="楷体"/>
          <w:b w:val="0"/>
          <w:color w:val="auto"/>
          <w:highlight w:val="none"/>
        </w:rPr>
        <w:t>纸、</w:t>
      </w:r>
      <w:r>
        <w:rPr>
          <w:rFonts w:hint="eastAsia" w:ascii="楷体" w:hAnsi="楷体" w:eastAsia="楷体" w:cs="楷体"/>
          <w:b w:val="0"/>
          <w:color w:val="auto"/>
          <w:spacing w:val="10"/>
          <w:highlight w:val="none"/>
        </w:rPr>
        <w:t>合同条款、工程建设标准和工程</w:t>
      </w:r>
      <w:r>
        <w:rPr>
          <w:rFonts w:hint="eastAsia" w:ascii="楷体" w:hAnsi="楷体" w:eastAsia="楷体" w:cs="楷体"/>
          <w:b w:val="0"/>
          <w:color w:val="auto"/>
          <w:highlight w:val="none"/>
        </w:rPr>
        <w:t>量清单的条件要求承包上述工程的设计、采购、施工、竣工，并承担任何质量缺陷保修责任。</w:t>
      </w:r>
    </w:p>
    <w:p>
      <w:pPr>
        <w:pStyle w:val="8"/>
        <w:spacing w:line="380" w:lineRule="exact"/>
        <w:ind w:firstLine="480" w:firstLineChars="200"/>
        <w:rPr>
          <w:rFonts w:ascii="楷体" w:hAnsi="楷体" w:eastAsia="楷体" w:cs="楷体"/>
          <w:b w:val="0"/>
          <w:color w:val="auto"/>
          <w:highlight w:val="none"/>
        </w:rPr>
      </w:pPr>
      <w:r>
        <w:rPr>
          <w:rFonts w:hint="eastAsia" w:ascii="楷体" w:hAnsi="楷体" w:eastAsia="楷体" w:cs="楷体"/>
          <w:b w:val="0"/>
          <w:color w:val="auto"/>
          <w:highlight w:val="none"/>
        </w:rPr>
        <w:t>2.我方派出</w:t>
      </w:r>
      <w:r>
        <w:rPr>
          <w:rFonts w:hint="eastAsia" w:ascii="楷体" w:hAnsi="楷体" w:eastAsia="楷体" w:cs="楷体"/>
          <w:b w:val="0"/>
          <w:color w:val="auto"/>
          <w:highlight w:val="none"/>
          <w:u w:val="single"/>
        </w:rPr>
        <w:t>　　　</w:t>
      </w:r>
      <w:r>
        <w:rPr>
          <w:rFonts w:hint="eastAsia" w:ascii="楷体" w:hAnsi="楷体" w:eastAsia="楷体" w:cs="楷体"/>
          <w:b w:val="0"/>
          <w:color w:val="auto"/>
          <w:highlight w:val="none"/>
        </w:rPr>
        <w:t>（项目负责人姓名）作为本次招标项目的项目负责人，项目负责人的联系电话为</w:t>
      </w:r>
      <w:r>
        <w:rPr>
          <w:rFonts w:hint="eastAsia" w:ascii="楷体" w:hAnsi="楷体" w:eastAsia="楷体" w:cs="楷体"/>
          <w:b w:val="0"/>
          <w:color w:val="auto"/>
          <w:highlight w:val="none"/>
          <w:u w:val="single"/>
        </w:rPr>
        <w:t xml:space="preserve">              </w:t>
      </w:r>
      <w:r>
        <w:rPr>
          <w:rFonts w:hint="eastAsia" w:ascii="楷体" w:hAnsi="楷体" w:eastAsia="楷体" w:cs="楷体"/>
          <w:b w:val="0"/>
          <w:color w:val="auto"/>
          <w:highlight w:val="none"/>
        </w:rPr>
        <w:t>。</w:t>
      </w:r>
    </w:p>
    <w:p>
      <w:pPr>
        <w:pStyle w:val="8"/>
        <w:spacing w:line="380" w:lineRule="exact"/>
        <w:ind w:firstLine="480" w:firstLineChars="200"/>
        <w:rPr>
          <w:rFonts w:ascii="楷体" w:hAnsi="楷体" w:eastAsia="楷体" w:cs="楷体"/>
          <w:b w:val="0"/>
          <w:color w:val="auto"/>
          <w:highlight w:val="none"/>
        </w:rPr>
      </w:pPr>
      <w:r>
        <w:rPr>
          <w:rFonts w:hint="eastAsia" w:ascii="楷体" w:hAnsi="楷体" w:eastAsia="楷体" w:cs="楷体"/>
          <w:b w:val="0"/>
          <w:color w:val="auto"/>
          <w:highlight w:val="none"/>
        </w:rPr>
        <w:t>3.我方已详细阅读全部招标文件，包括修改文件、答疑及有关附件，我方承诺完全响应并认可上述文件的所有内容。</w:t>
      </w:r>
    </w:p>
    <w:p>
      <w:pPr>
        <w:pStyle w:val="8"/>
        <w:spacing w:line="380" w:lineRule="exact"/>
        <w:ind w:firstLine="480" w:firstLineChars="200"/>
        <w:rPr>
          <w:rFonts w:ascii="楷体" w:hAnsi="楷体" w:eastAsia="楷体" w:cs="楷体"/>
          <w:b w:val="0"/>
          <w:color w:val="auto"/>
          <w:highlight w:val="none"/>
        </w:rPr>
      </w:pPr>
      <w:r>
        <w:rPr>
          <w:rFonts w:hint="eastAsia" w:ascii="楷体" w:hAnsi="楷体" w:eastAsia="楷体" w:cs="楷体"/>
          <w:b w:val="0"/>
          <w:color w:val="auto"/>
          <w:highlight w:val="none"/>
        </w:rPr>
        <w:t>4.我方承认投标函附件是我方投标函的组成部分。</w:t>
      </w:r>
    </w:p>
    <w:p>
      <w:pPr>
        <w:pStyle w:val="8"/>
        <w:spacing w:line="380" w:lineRule="exact"/>
        <w:ind w:firstLine="480" w:firstLineChars="200"/>
        <w:rPr>
          <w:rFonts w:ascii="楷体" w:hAnsi="楷体" w:eastAsia="楷体" w:cs="楷体"/>
          <w:b w:val="0"/>
          <w:color w:val="auto"/>
          <w:highlight w:val="none"/>
        </w:rPr>
      </w:pPr>
      <w:r>
        <w:rPr>
          <w:rFonts w:hint="eastAsia" w:ascii="楷体" w:hAnsi="楷体" w:eastAsia="楷体" w:cs="楷体"/>
          <w:b w:val="0"/>
          <w:color w:val="auto"/>
          <w:highlight w:val="none"/>
        </w:rPr>
        <w:t>5.一旦我方中标，我方保证在招标人要求的工期</w:t>
      </w:r>
      <w:r>
        <w:rPr>
          <w:rFonts w:hint="eastAsia" w:ascii="楷体" w:hAnsi="楷体" w:eastAsia="楷体" w:cs="楷体"/>
          <w:b w:val="0"/>
          <w:color w:val="auto"/>
          <w:highlight w:val="none"/>
          <w:u w:val="single"/>
        </w:rPr>
        <w:t>　　</w:t>
      </w:r>
      <w:r>
        <w:rPr>
          <w:rFonts w:hint="eastAsia" w:ascii="楷体" w:hAnsi="楷体" w:eastAsia="楷体" w:cs="楷体"/>
          <w:b w:val="0"/>
          <w:color w:val="auto"/>
          <w:highlight w:val="none"/>
        </w:rPr>
        <w:t>日历天内完成并移交全部工程，并确保工程质量达到</w:t>
      </w:r>
      <w:r>
        <w:rPr>
          <w:rFonts w:hint="eastAsia" w:ascii="楷体" w:hAnsi="楷体" w:eastAsia="楷体" w:cs="楷体"/>
          <w:b w:val="0"/>
          <w:color w:val="auto"/>
          <w:highlight w:val="none"/>
          <w:u w:val="single"/>
        </w:rPr>
        <w:t>　　</w:t>
      </w:r>
      <w:r>
        <w:rPr>
          <w:rFonts w:hint="eastAsia" w:ascii="楷体" w:hAnsi="楷体" w:eastAsia="楷体" w:cs="楷体"/>
          <w:b w:val="0"/>
          <w:color w:val="auto"/>
          <w:highlight w:val="none"/>
        </w:rPr>
        <w:t>标准，同时严格执行《建设工程质量管理条例》中有关工程保修条款。</w:t>
      </w:r>
    </w:p>
    <w:p>
      <w:pPr>
        <w:pStyle w:val="8"/>
        <w:spacing w:line="380" w:lineRule="exact"/>
        <w:ind w:firstLine="480" w:firstLineChars="200"/>
        <w:rPr>
          <w:rFonts w:ascii="楷体" w:hAnsi="楷体" w:eastAsia="楷体" w:cs="楷体"/>
          <w:b w:val="0"/>
          <w:color w:val="auto"/>
          <w:highlight w:val="none"/>
        </w:rPr>
      </w:pPr>
      <w:r>
        <w:rPr>
          <w:rFonts w:hint="eastAsia" w:ascii="楷体" w:hAnsi="楷体" w:eastAsia="楷体" w:cs="楷体"/>
          <w:b w:val="0"/>
          <w:color w:val="auto"/>
          <w:highlight w:val="none"/>
        </w:rPr>
        <w:t>6、如果我方在投标有效期内撤回投标、无故放弃中标资格，或违反招标文件、法律、法规规定的其他事项，我方的投标保证金贵方不予退还。</w:t>
      </w:r>
    </w:p>
    <w:p>
      <w:pPr>
        <w:pStyle w:val="8"/>
        <w:spacing w:line="380" w:lineRule="exact"/>
        <w:ind w:firstLine="480" w:firstLineChars="200"/>
        <w:rPr>
          <w:rFonts w:ascii="楷体" w:hAnsi="楷体" w:eastAsia="楷体" w:cs="楷体"/>
          <w:b w:val="0"/>
          <w:color w:val="auto"/>
          <w:highlight w:val="none"/>
        </w:rPr>
      </w:pPr>
      <w:r>
        <w:rPr>
          <w:rFonts w:hint="eastAsia" w:ascii="楷体" w:hAnsi="楷体" w:eastAsia="楷体" w:cs="楷体"/>
          <w:b w:val="0"/>
          <w:color w:val="auto"/>
          <w:highlight w:val="none"/>
        </w:rPr>
        <w:t>7.  我方同意所提交的投标文件在招标文件规定的投标有效期内有效，在此期间内如果中标，我方将受此约束。</w:t>
      </w:r>
    </w:p>
    <w:p>
      <w:pPr>
        <w:pStyle w:val="8"/>
        <w:spacing w:line="380" w:lineRule="exact"/>
        <w:ind w:firstLine="480" w:firstLineChars="200"/>
        <w:rPr>
          <w:rFonts w:ascii="楷体" w:hAnsi="楷体" w:eastAsia="楷体" w:cs="楷体"/>
          <w:b w:val="0"/>
          <w:color w:val="auto"/>
          <w:highlight w:val="none"/>
        </w:rPr>
      </w:pPr>
      <w:r>
        <w:rPr>
          <w:rFonts w:hint="eastAsia" w:ascii="楷体" w:hAnsi="楷体" w:eastAsia="楷体" w:cs="楷体"/>
          <w:b w:val="0"/>
          <w:color w:val="auto"/>
          <w:highlight w:val="none"/>
        </w:rPr>
        <w:t>8. 除非另外达成协议生效，你方的《中标通知书》和本投标文件将成为约束双方的合同文件的组成部分。</w:t>
      </w:r>
    </w:p>
    <w:p>
      <w:pPr>
        <w:pStyle w:val="8"/>
        <w:spacing w:line="380" w:lineRule="exact"/>
        <w:ind w:firstLine="1473" w:firstLineChars="614"/>
        <w:rPr>
          <w:rFonts w:ascii="楷体" w:hAnsi="楷体" w:eastAsia="楷体" w:cs="楷体"/>
          <w:b w:val="0"/>
          <w:color w:val="auto"/>
          <w:highlight w:val="none"/>
        </w:rPr>
      </w:pPr>
    </w:p>
    <w:p>
      <w:pPr>
        <w:pStyle w:val="8"/>
        <w:spacing w:line="380" w:lineRule="exact"/>
        <w:ind w:firstLine="1305" w:firstLineChars="544"/>
        <w:rPr>
          <w:rFonts w:ascii="楷体" w:hAnsi="楷体" w:eastAsia="楷体" w:cs="楷体"/>
          <w:b w:val="0"/>
          <w:color w:val="auto"/>
          <w:highlight w:val="none"/>
        </w:rPr>
      </w:pPr>
      <w:r>
        <w:rPr>
          <w:rFonts w:hint="eastAsia" w:ascii="楷体" w:hAnsi="楷体" w:eastAsia="楷体" w:cs="楷体"/>
          <w:b w:val="0"/>
          <w:color w:val="auto"/>
          <w:highlight w:val="none"/>
        </w:rPr>
        <w:t>投标人（盖章）：</w:t>
      </w:r>
      <w:r>
        <w:rPr>
          <w:rFonts w:hint="eastAsia" w:ascii="楷体" w:hAnsi="楷体" w:eastAsia="楷体" w:cs="楷体"/>
          <w:b w:val="0"/>
          <w:color w:val="auto"/>
          <w:highlight w:val="none"/>
          <w:u w:val="single"/>
        </w:rPr>
        <w:t>　　　　　　　　　　　　　　　   　　　　</w:t>
      </w:r>
    </w:p>
    <w:p>
      <w:pPr>
        <w:pStyle w:val="8"/>
        <w:spacing w:line="380" w:lineRule="exact"/>
        <w:ind w:firstLine="1200" w:firstLineChars="500"/>
        <w:rPr>
          <w:rFonts w:ascii="楷体" w:hAnsi="楷体" w:eastAsia="楷体" w:cs="楷体"/>
          <w:b w:val="0"/>
          <w:color w:val="auto"/>
          <w:highlight w:val="none"/>
          <w:u w:val="single"/>
        </w:rPr>
      </w:pPr>
      <w:r>
        <w:rPr>
          <w:rFonts w:hint="eastAsia" w:ascii="楷体" w:hAnsi="楷体" w:eastAsia="楷体" w:cs="楷体"/>
          <w:b w:val="0"/>
          <w:color w:val="auto"/>
          <w:highlight w:val="none"/>
        </w:rPr>
        <w:t>地址：</w:t>
      </w:r>
      <w:r>
        <w:rPr>
          <w:rFonts w:hint="eastAsia" w:ascii="楷体" w:hAnsi="楷体" w:eastAsia="楷体" w:cs="楷体"/>
          <w:b w:val="0"/>
          <w:color w:val="auto"/>
          <w:highlight w:val="none"/>
          <w:u w:val="single"/>
        </w:rPr>
        <w:t>　　　　　　　　　   　　　　　　　　　　 　　　　</w:t>
      </w:r>
    </w:p>
    <w:p>
      <w:pPr>
        <w:pStyle w:val="8"/>
        <w:spacing w:line="380" w:lineRule="exact"/>
        <w:ind w:firstLine="1200" w:firstLineChars="500"/>
        <w:rPr>
          <w:rFonts w:ascii="楷体" w:hAnsi="楷体" w:eastAsia="楷体" w:cs="楷体"/>
          <w:b w:val="0"/>
          <w:color w:val="auto"/>
          <w:highlight w:val="none"/>
          <w:u w:val="single"/>
        </w:rPr>
      </w:pPr>
      <w:r>
        <w:rPr>
          <w:rFonts w:hint="eastAsia" w:ascii="楷体" w:hAnsi="楷体" w:eastAsia="楷体" w:cs="楷体"/>
          <w:b w:val="0"/>
          <w:color w:val="auto"/>
          <w:highlight w:val="none"/>
        </w:rPr>
        <w:t>法定代表人或其委托代理人（签字或盖章）：</w:t>
      </w:r>
      <w:r>
        <w:rPr>
          <w:rFonts w:hint="eastAsia" w:ascii="楷体" w:hAnsi="楷体" w:eastAsia="楷体" w:cs="楷体"/>
          <w:b w:val="0"/>
          <w:color w:val="auto"/>
          <w:highlight w:val="none"/>
          <w:u w:val="single"/>
        </w:rPr>
        <w:t>　　　　　　 　　</w:t>
      </w:r>
    </w:p>
    <w:p>
      <w:pPr>
        <w:pStyle w:val="8"/>
        <w:spacing w:line="380" w:lineRule="exact"/>
        <w:ind w:firstLine="1200" w:firstLineChars="500"/>
        <w:rPr>
          <w:rFonts w:ascii="楷体" w:hAnsi="楷体" w:eastAsia="楷体" w:cs="楷体"/>
          <w:b w:val="0"/>
          <w:color w:val="auto"/>
          <w:highlight w:val="none"/>
        </w:rPr>
      </w:pPr>
      <w:r>
        <w:rPr>
          <w:rFonts w:hint="eastAsia" w:ascii="楷体" w:hAnsi="楷体" w:eastAsia="楷体" w:cs="楷体"/>
          <w:b w:val="0"/>
          <w:color w:val="auto"/>
          <w:highlight w:val="none"/>
        </w:rPr>
        <w:t>邮政编码：</w:t>
      </w:r>
      <w:r>
        <w:rPr>
          <w:rFonts w:hint="eastAsia" w:ascii="楷体" w:hAnsi="楷体" w:eastAsia="楷体" w:cs="楷体"/>
          <w:b w:val="0"/>
          <w:color w:val="auto"/>
          <w:highlight w:val="none"/>
          <w:u w:val="single"/>
        </w:rPr>
        <w:t>　　　　</w:t>
      </w:r>
      <w:r>
        <w:rPr>
          <w:rFonts w:hint="eastAsia" w:ascii="楷体" w:hAnsi="楷体" w:eastAsia="楷体" w:cs="楷体"/>
          <w:b w:val="0"/>
          <w:color w:val="auto"/>
          <w:highlight w:val="none"/>
        </w:rPr>
        <w:t>电话：</w:t>
      </w:r>
      <w:r>
        <w:rPr>
          <w:rFonts w:hint="eastAsia" w:ascii="楷体" w:hAnsi="楷体" w:eastAsia="楷体" w:cs="楷体"/>
          <w:b w:val="0"/>
          <w:color w:val="auto"/>
          <w:highlight w:val="none"/>
          <w:u w:val="single"/>
        </w:rPr>
        <w:t>　　　　</w:t>
      </w:r>
      <w:r>
        <w:rPr>
          <w:rFonts w:hint="eastAsia" w:ascii="楷体" w:hAnsi="楷体" w:eastAsia="楷体" w:cs="楷体"/>
          <w:b w:val="0"/>
          <w:color w:val="auto"/>
          <w:highlight w:val="none"/>
        </w:rPr>
        <w:t>传真：</w:t>
      </w:r>
      <w:r>
        <w:rPr>
          <w:rFonts w:hint="eastAsia" w:ascii="楷体" w:hAnsi="楷体" w:eastAsia="楷体" w:cs="楷体"/>
          <w:b w:val="0"/>
          <w:color w:val="auto"/>
          <w:highlight w:val="none"/>
          <w:u w:val="single"/>
        </w:rPr>
        <w:t>　　　　　</w:t>
      </w:r>
      <w:r>
        <w:rPr>
          <w:rFonts w:hint="eastAsia" w:ascii="楷体" w:hAnsi="楷体" w:eastAsia="楷体" w:cs="楷体"/>
          <w:b w:val="0"/>
          <w:color w:val="auto"/>
          <w:highlight w:val="none"/>
        </w:rPr>
        <w:t>邮箱：</w:t>
      </w:r>
      <w:r>
        <w:rPr>
          <w:rFonts w:hint="eastAsia" w:ascii="楷体" w:hAnsi="楷体" w:eastAsia="楷体" w:cs="楷体"/>
          <w:b w:val="0"/>
          <w:color w:val="auto"/>
          <w:highlight w:val="none"/>
          <w:u w:val="single"/>
        </w:rPr>
        <w:t>　　</w:t>
      </w:r>
    </w:p>
    <w:p>
      <w:pPr>
        <w:spacing w:line="380" w:lineRule="exact"/>
        <w:ind w:firstLine="5145" w:firstLineChars="2450"/>
        <w:jc w:val="left"/>
        <w:rPr>
          <w:rFonts w:ascii="楷体" w:hAnsi="楷体" w:eastAsia="楷体" w:cs="楷体"/>
          <w:color w:val="auto"/>
          <w:highlight w:val="none"/>
        </w:rPr>
      </w:pPr>
      <w:r>
        <w:rPr>
          <w:rFonts w:hint="eastAsia" w:ascii="楷体" w:hAnsi="楷体" w:eastAsia="楷体" w:cs="楷体"/>
          <w:color w:val="auto"/>
          <w:highlight w:val="none"/>
        </w:rPr>
        <w:t>日期：</w:t>
      </w:r>
      <w:r>
        <w:rPr>
          <w:rFonts w:hint="eastAsia" w:ascii="楷体" w:hAnsi="楷体" w:eastAsia="楷体" w:cs="楷体"/>
          <w:color w:val="auto"/>
          <w:highlight w:val="none"/>
          <w:u w:val="single"/>
        </w:rPr>
        <w:t>　　　年　  月　　日</w:t>
      </w:r>
    </w:p>
    <w:p>
      <w:pPr>
        <w:spacing w:line="500" w:lineRule="exact"/>
        <w:jc w:val="left"/>
        <w:rPr>
          <w:rFonts w:ascii="楷体" w:hAnsi="楷体" w:eastAsia="楷体" w:cs="楷体"/>
          <w:color w:val="auto"/>
          <w:highlight w:val="none"/>
        </w:rPr>
      </w:pPr>
    </w:p>
    <w:p>
      <w:pPr>
        <w:widowControl/>
        <w:jc w:val="left"/>
        <w:rPr>
          <w:rFonts w:ascii="楷体" w:hAnsi="楷体" w:eastAsia="楷体" w:cs="楷体"/>
          <w:b/>
          <w:color w:val="auto"/>
          <w:sz w:val="32"/>
          <w:szCs w:val="32"/>
          <w:highlight w:val="none"/>
        </w:rPr>
      </w:pPr>
      <w:r>
        <w:rPr>
          <w:rFonts w:hint="eastAsia" w:ascii="楷体" w:hAnsi="楷体" w:eastAsia="楷体" w:cs="楷体"/>
          <w:b/>
          <w:color w:val="auto"/>
          <w:sz w:val="32"/>
          <w:szCs w:val="32"/>
          <w:highlight w:val="none"/>
        </w:rPr>
        <w:br w:type="page"/>
      </w:r>
    </w:p>
    <w:p>
      <w:pPr>
        <w:spacing w:line="500" w:lineRule="exact"/>
        <w:jc w:val="left"/>
        <w:rPr>
          <w:rFonts w:ascii="楷体" w:hAnsi="楷体" w:eastAsia="楷体" w:cs="楷体"/>
          <w:b/>
          <w:color w:val="auto"/>
          <w:sz w:val="32"/>
          <w:szCs w:val="32"/>
          <w:highlight w:val="none"/>
        </w:rPr>
      </w:pPr>
      <w:r>
        <w:rPr>
          <w:rFonts w:hint="eastAsia" w:ascii="楷体" w:hAnsi="楷体" w:eastAsia="楷体" w:cs="楷体"/>
          <w:b/>
          <w:color w:val="auto"/>
          <w:sz w:val="32"/>
          <w:szCs w:val="32"/>
          <w:highlight w:val="none"/>
        </w:rPr>
        <w:t>附件5</w:t>
      </w:r>
    </w:p>
    <w:p>
      <w:pPr>
        <w:spacing w:line="500" w:lineRule="exact"/>
        <w:rPr>
          <w:rFonts w:ascii="楷体" w:hAnsi="楷体" w:eastAsia="楷体" w:cs="楷体"/>
          <w:color w:val="auto"/>
          <w:sz w:val="24"/>
          <w:highlight w:val="none"/>
        </w:rPr>
      </w:pPr>
      <w:r>
        <w:rPr>
          <w:rFonts w:hint="eastAsia" w:ascii="楷体" w:hAnsi="楷体" w:eastAsia="楷体" w:cs="楷体"/>
          <w:color w:val="auto"/>
          <w:sz w:val="24"/>
          <w:highlight w:val="none"/>
        </w:rPr>
        <w:t>一号标书封面样式：</w:t>
      </w:r>
    </w:p>
    <w:p>
      <w:pPr>
        <w:spacing w:line="520" w:lineRule="atLeast"/>
        <w:jc w:val="right"/>
        <w:rPr>
          <w:rFonts w:ascii="楷体" w:hAnsi="楷体" w:eastAsia="楷体" w:cs="楷体"/>
          <w:color w:val="auto"/>
          <w:sz w:val="28"/>
          <w:highlight w:val="none"/>
        </w:rPr>
      </w:pPr>
      <w:r>
        <w:rPr>
          <w:rFonts w:hint="eastAsia" w:ascii="楷体" w:hAnsi="楷体" w:eastAsia="楷体" w:cs="楷体"/>
          <w:color w:val="auto"/>
          <w:sz w:val="28"/>
          <w:highlight w:val="none"/>
          <w:u w:val="single"/>
        </w:rPr>
        <w:t xml:space="preserve">    </w:t>
      </w:r>
      <w:r>
        <w:rPr>
          <w:rFonts w:hint="eastAsia" w:ascii="楷体" w:hAnsi="楷体" w:eastAsia="楷体" w:cs="楷体"/>
          <w:color w:val="auto"/>
          <w:sz w:val="28"/>
          <w:highlight w:val="none"/>
        </w:rPr>
        <w:t>本</w:t>
      </w:r>
    </w:p>
    <w:p>
      <w:pPr>
        <w:pStyle w:val="10"/>
        <w:adjustRightInd w:val="0"/>
        <w:snapToGrid w:val="0"/>
        <w:spacing w:line="300" w:lineRule="exact"/>
        <w:ind w:left="109" w:leftChars="52"/>
        <w:rPr>
          <w:rFonts w:ascii="楷体" w:hAnsi="楷体" w:eastAsia="楷体" w:cs="楷体"/>
          <w:b/>
          <w:bCs/>
          <w:color w:val="auto"/>
          <w:sz w:val="32"/>
          <w:szCs w:val="32"/>
          <w:highlight w:val="none"/>
        </w:rPr>
      </w:pPr>
    </w:p>
    <w:p>
      <w:pPr>
        <w:pStyle w:val="10"/>
        <w:adjustRightInd w:val="0"/>
        <w:snapToGrid w:val="0"/>
        <w:spacing w:line="300" w:lineRule="exact"/>
        <w:rPr>
          <w:rFonts w:ascii="楷体" w:hAnsi="楷体" w:eastAsia="楷体" w:cs="楷体"/>
          <w:b/>
          <w:bCs/>
          <w:color w:val="auto"/>
          <w:sz w:val="32"/>
          <w:szCs w:val="32"/>
          <w:highlight w:val="none"/>
        </w:rPr>
      </w:pPr>
    </w:p>
    <w:p>
      <w:pPr>
        <w:pStyle w:val="10"/>
        <w:adjustRightInd w:val="0"/>
        <w:snapToGrid w:val="0"/>
        <w:spacing w:line="300" w:lineRule="exact"/>
        <w:ind w:left="109" w:leftChars="52"/>
        <w:rPr>
          <w:rFonts w:ascii="楷体" w:hAnsi="楷体" w:eastAsia="楷体" w:cs="楷体"/>
          <w:b/>
          <w:bCs/>
          <w:color w:val="auto"/>
          <w:sz w:val="32"/>
          <w:szCs w:val="32"/>
          <w:highlight w:val="none"/>
        </w:rPr>
      </w:pPr>
    </w:p>
    <w:p>
      <w:pPr>
        <w:pStyle w:val="10"/>
        <w:adjustRightInd w:val="0"/>
        <w:snapToGrid w:val="0"/>
        <w:jc w:val="center"/>
        <w:rPr>
          <w:rFonts w:ascii="楷体" w:hAnsi="楷体" w:eastAsia="楷体" w:cs="楷体"/>
          <w:b/>
          <w:color w:val="auto"/>
          <w:kern w:val="2"/>
          <w:sz w:val="44"/>
          <w:szCs w:val="44"/>
          <w:highlight w:val="none"/>
        </w:rPr>
      </w:pPr>
      <w:r>
        <w:rPr>
          <w:rFonts w:hint="eastAsia" w:ascii="楷体" w:hAnsi="楷体" w:eastAsia="楷体" w:cs="楷体"/>
          <w:b/>
          <w:color w:val="auto"/>
          <w:kern w:val="2"/>
          <w:sz w:val="44"/>
          <w:szCs w:val="44"/>
          <w:highlight w:val="none"/>
        </w:rPr>
        <w:t>盐城工业职业技术学院铁军文化苑设计施工一体化项目</w:t>
      </w:r>
    </w:p>
    <w:p>
      <w:pPr>
        <w:spacing w:line="480" w:lineRule="auto"/>
        <w:jc w:val="center"/>
        <w:rPr>
          <w:rFonts w:ascii="楷体" w:hAnsi="楷体" w:eastAsia="楷体" w:cs="楷体"/>
          <w:b/>
          <w:color w:val="auto"/>
          <w:sz w:val="32"/>
          <w:szCs w:val="32"/>
          <w:highlight w:val="none"/>
        </w:rPr>
      </w:pPr>
    </w:p>
    <w:p>
      <w:pPr>
        <w:spacing w:line="520" w:lineRule="atLeast"/>
        <w:rPr>
          <w:rFonts w:ascii="楷体" w:hAnsi="楷体" w:eastAsia="楷体" w:cs="楷体"/>
          <w:color w:val="auto"/>
          <w:sz w:val="48"/>
          <w:highlight w:val="none"/>
        </w:rPr>
      </w:pPr>
    </w:p>
    <w:p>
      <w:pPr>
        <w:pStyle w:val="19"/>
        <w:ind w:firstLine="422"/>
        <w:rPr>
          <w:rFonts w:ascii="楷体" w:hAnsi="楷体" w:eastAsia="楷体" w:cs="楷体"/>
          <w:color w:val="auto"/>
          <w:highlight w:val="none"/>
        </w:rPr>
      </w:pPr>
    </w:p>
    <w:p>
      <w:pPr>
        <w:spacing w:line="520" w:lineRule="atLeast"/>
        <w:jc w:val="center"/>
        <w:rPr>
          <w:rFonts w:ascii="楷体" w:hAnsi="楷体" w:eastAsia="楷体" w:cs="楷体"/>
          <w:b/>
          <w:bCs/>
          <w:color w:val="auto"/>
          <w:sz w:val="72"/>
          <w:highlight w:val="none"/>
        </w:rPr>
      </w:pPr>
      <w:r>
        <w:rPr>
          <w:rFonts w:hint="eastAsia" w:ascii="楷体" w:hAnsi="楷体" w:eastAsia="楷体" w:cs="楷体"/>
          <w:b/>
          <w:bCs/>
          <w:color w:val="auto"/>
          <w:sz w:val="72"/>
          <w:highlight w:val="none"/>
        </w:rPr>
        <w:t>投 标 文 件</w:t>
      </w:r>
    </w:p>
    <w:p>
      <w:pPr>
        <w:spacing w:line="520" w:lineRule="atLeast"/>
        <w:jc w:val="center"/>
        <w:rPr>
          <w:rFonts w:ascii="楷体" w:hAnsi="楷体" w:eastAsia="楷体" w:cs="楷体"/>
          <w:b/>
          <w:bCs/>
          <w:color w:val="auto"/>
          <w:sz w:val="36"/>
          <w:highlight w:val="none"/>
        </w:rPr>
      </w:pPr>
    </w:p>
    <w:p>
      <w:pPr>
        <w:spacing w:line="520" w:lineRule="atLeast"/>
        <w:jc w:val="center"/>
        <w:rPr>
          <w:rFonts w:ascii="楷体" w:hAnsi="楷体" w:eastAsia="楷体" w:cs="楷体"/>
          <w:b/>
          <w:bCs/>
          <w:color w:val="auto"/>
          <w:sz w:val="36"/>
          <w:highlight w:val="none"/>
        </w:rPr>
      </w:pPr>
      <w:r>
        <w:rPr>
          <w:rFonts w:hint="eastAsia" w:ascii="楷体" w:hAnsi="楷体" w:eastAsia="楷体" w:cs="楷体"/>
          <w:b/>
          <w:bCs/>
          <w:color w:val="auto"/>
          <w:sz w:val="36"/>
          <w:highlight w:val="none"/>
        </w:rPr>
        <w:t>（一号标书）</w:t>
      </w:r>
    </w:p>
    <w:p>
      <w:pPr>
        <w:spacing w:line="520" w:lineRule="atLeast"/>
        <w:rPr>
          <w:rFonts w:ascii="楷体" w:hAnsi="楷体" w:eastAsia="楷体" w:cs="楷体"/>
          <w:b/>
          <w:bCs/>
          <w:color w:val="auto"/>
          <w:sz w:val="48"/>
          <w:highlight w:val="none"/>
        </w:rPr>
      </w:pPr>
    </w:p>
    <w:p>
      <w:pPr>
        <w:spacing w:line="520" w:lineRule="atLeast"/>
        <w:rPr>
          <w:rFonts w:ascii="楷体" w:hAnsi="楷体" w:eastAsia="楷体" w:cs="楷体"/>
          <w:color w:val="auto"/>
          <w:sz w:val="28"/>
          <w:highlight w:val="none"/>
        </w:rPr>
      </w:pPr>
    </w:p>
    <w:p>
      <w:pPr>
        <w:spacing w:line="520" w:lineRule="atLeast"/>
        <w:rPr>
          <w:rFonts w:ascii="楷体" w:hAnsi="楷体" w:eastAsia="楷体" w:cs="楷体"/>
          <w:color w:val="auto"/>
          <w:sz w:val="28"/>
          <w:highlight w:val="none"/>
        </w:rPr>
      </w:pPr>
    </w:p>
    <w:p>
      <w:pPr>
        <w:spacing w:line="520" w:lineRule="atLeast"/>
        <w:rPr>
          <w:rFonts w:ascii="楷体" w:hAnsi="楷体" w:eastAsia="楷体" w:cs="楷体"/>
          <w:color w:val="auto"/>
          <w:sz w:val="28"/>
          <w:highlight w:val="none"/>
        </w:rPr>
      </w:pPr>
    </w:p>
    <w:p>
      <w:pPr>
        <w:spacing w:line="500" w:lineRule="exact"/>
        <w:ind w:firstLine="480" w:firstLineChars="200"/>
        <w:rPr>
          <w:rFonts w:ascii="楷体" w:hAnsi="楷体" w:eastAsia="楷体" w:cs="楷体"/>
          <w:color w:val="auto"/>
          <w:sz w:val="24"/>
          <w:highlight w:val="none"/>
          <w:u w:val="single"/>
        </w:rPr>
      </w:pPr>
      <w:r>
        <w:rPr>
          <w:rFonts w:hint="eastAsia" w:ascii="楷体" w:hAnsi="楷体" w:eastAsia="楷体" w:cs="楷体"/>
          <w:color w:val="auto"/>
          <w:sz w:val="24"/>
          <w:highlight w:val="none"/>
        </w:rPr>
        <w:t>投标人（盖章）：</w:t>
      </w:r>
      <w:r>
        <w:rPr>
          <w:rFonts w:hint="eastAsia" w:ascii="楷体" w:hAnsi="楷体" w:eastAsia="楷体" w:cs="楷体"/>
          <w:color w:val="auto"/>
          <w:sz w:val="24"/>
          <w:highlight w:val="none"/>
          <w:u w:val="single"/>
        </w:rPr>
        <w:t xml:space="preserve">                                            </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 xml:space="preserve"> </w:t>
      </w:r>
    </w:p>
    <w:p>
      <w:pPr>
        <w:spacing w:line="500" w:lineRule="exact"/>
        <w:ind w:firstLine="480" w:firstLineChars="200"/>
        <w:rPr>
          <w:rFonts w:ascii="楷体" w:hAnsi="楷体" w:eastAsia="楷体" w:cs="楷体"/>
          <w:color w:val="auto"/>
          <w:sz w:val="24"/>
          <w:highlight w:val="none"/>
          <w:u w:val="single"/>
        </w:rPr>
      </w:pPr>
      <w:r>
        <w:rPr>
          <w:rFonts w:hint="eastAsia" w:ascii="楷体" w:hAnsi="楷体" w:eastAsia="楷体" w:cs="楷体"/>
          <w:color w:val="auto"/>
          <w:sz w:val="24"/>
          <w:highlight w:val="none"/>
        </w:rPr>
        <w:t>法定代表人或授权委托人（签字或盖章）：</w:t>
      </w:r>
      <w:r>
        <w:rPr>
          <w:rFonts w:hint="eastAsia" w:ascii="楷体" w:hAnsi="楷体" w:eastAsia="楷体" w:cs="楷体"/>
          <w:color w:val="auto"/>
          <w:sz w:val="24"/>
          <w:highlight w:val="none"/>
          <w:u w:val="single"/>
        </w:rPr>
        <w:t xml:space="preserve">                      </w:t>
      </w:r>
    </w:p>
    <w:p>
      <w:pPr>
        <w:spacing w:line="500" w:lineRule="exact"/>
        <w:ind w:firstLine="480" w:firstLineChars="200"/>
        <w:rPr>
          <w:rFonts w:ascii="楷体" w:hAnsi="楷体" w:eastAsia="楷体" w:cs="楷体"/>
          <w:color w:val="auto"/>
          <w:sz w:val="24"/>
          <w:highlight w:val="none"/>
        </w:rPr>
      </w:pPr>
      <w:r>
        <w:rPr>
          <w:rFonts w:hint="eastAsia" w:ascii="楷体" w:hAnsi="楷体" w:eastAsia="楷体" w:cs="楷体"/>
          <w:color w:val="auto"/>
          <w:sz w:val="24"/>
          <w:highlight w:val="none"/>
        </w:rPr>
        <w:t xml:space="preserve"> </w:t>
      </w:r>
    </w:p>
    <w:p>
      <w:pPr>
        <w:spacing w:line="500" w:lineRule="exact"/>
        <w:ind w:firstLine="480" w:firstLineChars="200"/>
        <w:rPr>
          <w:rFonts w:ascii="楷体" w:hAnsi="楷体" w:eastAsia="楷体" w:cs="楷体"/>
          <w:color w:val="auto"/>
          <w:sz w:val="24"/>
          <w:highlight w:val="none"/>
        </w:rPr>
      </w:pPr>
    </w:p>
    <w:p>
      <w:pPr>
        <w:spacing w:line="500" w:lineRule="exact"/>
        <w:ind w:firstLine="480" w:firstLineChars="200"/>
        <w:jc w:val="center"/>
        <w:rPr>
          <w:rFonts w:ascii="楷体" w:hAnsi="楷体" w:eastAsia="楷体" w:cs="楷体"/>
          <w:b/>
          <w:color w:val="auto"/>
          <w:sz w:val="32"/>
          <w:szCs w:val="32"/>
          <w:highlight w:val="none"/>
        </w:rPr>
      </w:pPr>
      <w:r>
        <w:rPr>
          <w:rFonts w:hint="eastAsia" w:ascii="楷体" w:hAnsi="楷体" w:eastAsia="楷体" w:cs="楷体"/>
          <w:color w:val="auto"/>
          <w:sz w:val="24"/>
          <w:highlight w:val="none"/>
        </w:rPr>
        <w:t>年     月     日</w:t>
      </w:r>
    </w:p>
    <w:p>
      <w:pPr>
        <w:pStyle w:val="19"/>
        <w:ind w:left="0" w:leftChars="0" w:firstLine="0" w:firstLineChars="0"/>
        <w:rPr>
          <w:rFonts w:ascii="楷体" w:hAnsi="楷体" w:eastAsia="楷体" w:cs="楷体"/>
          <w:color w:val="auto"/>
          <w:highlight w:val="none"/>
        </w:rPr>
      </w:pPr>
    </w:p>
    <w:p>
      <w:pPr>
        <w:spacing w:line="500" w:lineRule="exact"/>
        <w:rPr>
          <w:rFonts w:ascii="楷体" w:hAnsi="楷体" w:eastAsia="楷体" w:cs="楷体"/>
          <w:b/>
          <w:color w:val="auto"/>
          <w:sz w:val="32"/>
          <w:szCs w:val="32"/>
          <w:highlight w:val="none"/>
        </w:rPr>
      </w:pPr>
      <w:r>
        <w:rPr>
          <w:rFonts w:hint="eastAsia" w:ascii="楷体" w:hAnsi="楷体" w:eastAsia="楷体" w:cs="楷体"/>
          <w:b/>
          <w:color w:val="auto"/>
          <w:sz w:val="32"/>
          <w:szCs w:val="32"/>
          <w:highlight w:val="none"/>
        </w:rPr>
        <w:t>附件6</w:t>
      </w:r>
    </w:p>
    <w:tbl>
      <w:tblPr>
        <w:tblStyle w:val="20"/>
        <w:tblW w:w="9469" w:type="dxa"/>
        <w:tblInd w:w="0" w:type="dxa"/>
        <w:tblLayout w:type="fixed"/>
        <w:tblCellMar>
          <w:top w:w="0" w:type="dxa"/>
          <w:left w:w="108" w:type="dxa"/>
          <w:bottom w:w="0" w:type="dxa"/>
          <w:right w:w="108" w:type="dxa"/>
        </w:tblCellMar>
      </w:tblPr>
      <w:tblGrid>
        <w:gridCol w:w="1103"/>
        <w:gridCol w:w="1833"/>
        <w:gridCol w:w="3113"/>
        <w:gridCol w:w="3420"/>
      </w:tblGrid>
      <w:tr>
        <w:tblPrEx>
          <w:tblCellMar>
            <w:top w:w="0" w:type="dxa"/>
            <w:left w:w="108" w:type="dxa"/>
            <w:bottom w:w="0" w:type="dxa"/>
            <w:right w:w="108" w:type="dxa"/>
          </w:tblCellMar>
        </w:tblPrEx>
        <w:trPr>
          <w:trHeight w:val="975" w:hRule="atLeast"/>
        </w:trPr>
        <w:tc>
          <w:tcPr>
            <w:tcW w:w="9469" w:type="dxa"/>
            <w:gridSpan w:val="4"/>
            <w:tcBorders>
              <w:top w:val="nil"/>
              <w:left w:val="nil"/>
              <w:bottom w:val="nil"/>
              <w:right w:val="nil"/>
            </w:tcBorders>
            <w:vAlign w:val="center"/>
          </w:tcPr>
          <w:p>
            <w:pPr>
              <w:widowControl/>
              <w:jc w:val="center"/>
              <w:rPr>
                <w:rFonts w:ascii="楷体" w:hAnsi="楷体" w:eastAsia="楷体" w:cs="楷体"/>
                <w:b/>
                <w:bCs/>
                <w:color w:val="auto"/>
                <w:kern w:val="0"/>
                <w:sz w:val="44"/>
                <w:szCs w:val="44"/>
                <w:highlight w:val="none"/>
              </w:rPr>
            </w:pPr>
            <w:r>
              <w:rPr>
                <w:rFonts w:hint="eastAsia" w:ascii="楷体" w:hAnsi="楷体" w:eastAsia="楷体" w:cs="楷体"/>
                <w:b/>
                <w:bCs/>
                <w:color w:val="auto"/>
                <w:kern w:val="0"/>
                <w:sz w:val="44"/>
                <w:szCs w:val="44"/>
                <w:highlight w:val="none"/>
              </w:rPr>
              <w:t>投标文件原件清单</w:t>
            </w:r>
          </w:p>
        </w:tc>
      </w:tr>
      <w:tr>
        <w:tblPrEx>
          <w:tblCellMar>
            <w:top w:w="0" w:type="dxa"/>
            <w:left w:w="108" w:type="dxa"/>
            <w:bottom w:w="0" w:type="dxa"/>
            <w:right w:w="108" w:type="dxa"/>
          </w:tblCellMar>
        </w:tblPrEx>
        <w:trPr>
          <w:trHeight w:val="600" w:hRule="atLeast"/>
        </w:trPr>
        <w:tc>
          <w:tcPr>
            <w:tcW w:w="2936" w:type="dxa"/>
            <w:gridSpan w:val="2"/>
            <w:tcBorders>
              <w:top w:val="nil"/>
              <w:left w:val="nil"/>
              <w:bottom w:val="single" w:color="auto" w:sz="4" w:space="0"/>
              <w:right w:val="nil"/>
            </w:tcBorders>
            <w:vAlign w:val="center"/>
          </w:tcPr>
          <w:p>
            <w:pPr>
              <w:widowControl/>
              <w:jc w:val="left"/>
              <w:rPr>
                <w:rFonts w:ascii="楷体" w:hAnsi="楷体" w:eastAsia="楷体" w:cs="楷体"/>
                <w:b/>
                <w:bCs/>
                <w:color w:val="auto"/>
                <w:kern w:val="0"/>
                <w:sz w:val="22"/>
                <w:szCs w:val="22"/>
                <w:highlight w:val="none"/>
              </w:rPr>
            </w:pPr>
            <w:r>
              <w:rPr>
                <w:rFonts w:hint="eastAsia" w:ascii="楷体" w:hAnsi="楷体" w:eastAsia="楷体" w:cs="楷体"/>
                <w:b/>
                <w:bCs/>
                <w:color w:val="auto"/>
                <w:kern w:val="0"/>
                <w:sz w:val="22"/>
                <w:szCs w:val="22"/>
                <w:highlight w:val="none"/>
              </w:rPr>
              <w:t>投标人名称：</w:t>
            </w:r>
          </w:p>
        </w:tc>
        <w:tc>
          <w:tcPr>
            <w:tcW w:w="3113" w:type="dxa"/>
            <w:tcBorders>
              <w:top w:val="nil"/>
              <w:left w:val="nil"/>
              <w:bottom w:val="single" w:color="auto" w:sz="4" w:space="0"/>
              <w:right w:val="nil"/>
            </w:tcBorders>
            <w:vAlign w:val="center"/>
          </w:tcPr>
          <w:p>
            <w:pPr>
              <w:widowControl/>
              <w:jc w:val="center"/>
              <w:rPr>
                <w:rFonts w:ascii="楷体" w:hAnsi="楷体" w:eastAsia="楷体" w:cs="楷体"/>
                <w:b/>
                <w:bCs/>
                <w:color w:val="auto"/>
                <w:kern w:val="0"/>
                <w:sz w:val="32"/>
                <w:szCs w:val="32"/>
                <w:highlight w:val="none"/>
              </w:rPr>
            </w:pPr>
            <w:r>
              <w:rPr>
                <w:rFonts w:hint="eastAsia" w:ascii="楷体" w:hAnsi="楷体" w:eastAsia="楷体" w:cs="楷体"/>
                <w:b/>
                <w:bCs/>
                <w:color w:val="auto"/>
                <w:kern w:val="0"/>
                <w:sz w:val="32"/>
                <w:szCs w:val="32"/>
                <w:highlight w:val="none"/>
              </w:rPr>
              <w:t>　</w:t>
            </w:r>
          </w:p>
        </w:tc>
        <w:tc>
          <w:tcPr>
            <w:tcW w:w="3420" w:type="dxa"/>
            <w:tcBorders>
              <w:top w:val="nil"/>
              <w:left w:val="nil"/>
              <w:bottom w:val="single" w:color="auto" w:sz="4" w:space="0"/>
              <w:right w:val="nil"/>
            </w:tcBorders>
            <w:vAlign w:val="center"/>
          </w:tcPr>
          <w:p>
            <w:pPr>
              <w:widowControl/>
              <w:jc w:val="center"/>
              <w:rPr>
                <w:rFonts w:ascii="楷体" w:hAnsi="楷体" w:eastAsia="楷体" w:cs="楷体"/>
                <w:b/>
                <w:bCs/>
                <w:color w:val="auto"/>
                <w:kern w:val="0"/>
                <w:sz w:val="32"/>
                <w:szCs w:val="32"/>
                <w:highlight w:val="none"/>
              </w:rPr>
            </w:pPr>
            <w:r>
              <w:rPr>
                <w:rFonts w:hint="eastAsia" w:ascii="楷体" w:hAnsi="楷体" w:eastAsia="楷体" w:cs="楷体"/>
                <w:b/>
                <w:bCs/>
                <w:color w:val="auto"/>
                <w:kern w:val="0"/>
                <w:sz w:val="32"/>
                <w:szCs w:val="32"/>
                <w:highlight w:val="none"/>
              </w:rPr>
              <w:t>　</w:t>
            </w:r>
          </w:p>
        </w:tc>
      </w:tr>
      <w:tr>
        <w:tblPrEx>
          <w:tblCellMar>
            <w:top w:w="0" w:type="dxa"/>
            <w:left w:w="108" w:type="dxa"/>
            <w:bottom w:w="0" w:type="dxa"/>
            <w:right w:w="108" w:type="dxa"/>
          </w:tblCellMar>
        </w:tblPrEx>
        <w:trPr>
          <w:trHeight w:val="780"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b/>
                <w:bCs/>
                <w:color w:val="auto"/>
                <w:kern w:val="0"/>
                <w:sz w:val="24"/>
                <w:highlight w:val="none"/>
              </w:rPr>
              <w:t>序</w:t>
            </w:r>
            <w:r>
              <w:rPr>
                <w:rFonts w:hint="eastAsia" w:ascii="楷体" w:hAnsi="楷体" w:eastAsia="楷体" w:cs="楷体"/>
                <w:b/>
                <w:bCs/>
                <w:color w:val="auto"/>
                <w:kern w:val="0"/>
                <w:sz w:val="24"/>
                <w:highlight w:val="none"/>
              </w:rPr>
              <w:br w:type="textWrapping"/>
            </w:r>
            <w:r>
              <w:rPr>
                <w:rFonts w:hint="eastAsia" w:ascii="楷体" w:hAnsi="楷体" w:eastAsia="楷体" w:cs="楷体"/>
                <w:b/>
                <w:bCs/>
                <w:color w:val="auto"/>
                <w:kern w:val="0"/>
                <w:sz w:val="24"/>
                <w:highlight w:val="none"/>
              </w:rPr>
              <w:t>号</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b/>
                <w:bCs/>
                <w:color w:val="auto"/>
                <w:kern w:val="0"/>
                <w:sz w:val="24"/>
                <w:highlight w:val="none"/>
              </w:rPr>
            </w:pPr>
            <w:r>
              <w:rPr>
                <w:rFonts w:hint="eastAsia" w:ascii="楷体" w:hAnsi="楷体" w:eastAsia="楷体" w:cs="楷体"/>
                <w:b/>
                <w:bCs/>
                <w:color w:val="auto"/>
                <w:kern w:val="0"/>
                <w:sz w:val="24"/>
                <w:highlight w:val="none"/>
              </w:rPr>
              <w:t>原件名称</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b/>
                <w:bCs/>
                <w:color w:val="auto"/>
                <w:kern w:val="0"/>
                <w:sz w:val="24"/>
                <w:highlight w:val="none"/>
              </w:rPr>
              <w:t>备　　注</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1</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2</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3</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4</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5</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6</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7</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8</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9</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11</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11</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12</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c>
          <w:tcPr>
            <w:tcW w:w="3420" w:type="dxa"/>
            <w:tcBorders>
              <w:top w:val="nil"/>
              <w:left w:val="nil"/>
              <w:bottom w:val="single" w:color="auto" w:sz="4" w:space="0"/>
              <w:right w:val="single" w:color="auto" w:sz="4" w:space="0"/>
            </w:tcBorders>
            <w:vAlign w:val="center"/>
          </w:tcPr>
          <w:p>
            <w:pPr>
              <w:widowControl/>
              <w:jc w:val="center"/>
              <w:rPr>
                <w:rFonts w:ascii="楷体" w:hAnsi="楷体" w:eastAsia="楷体" w:cs="楷体"/>
                <w:color w:val="auto"/>
                <w:kern w:val="0"/>
                <w:sz w:val="20"/>
                <w:szCs w:val="20"/>
                <w:highlight w:val="none"/>
              </w:rPr>
            </w:pPr>
            <w:r>
              <w:rPr>
                <w:rFonts w:hint="eastAsia" w:ascii="楷体" w:hAnsi="楷体" w:eastAsia="楷体" w:cs="楷体"/>
                <w:color w:val="auto"/>
                <w:kern w:val="0"/>
                <w:sz w:val="20"/>
                <w:szCs w:val="20"/>
                <w:highlight w:val="none"/>
              </w:rPr>
              <w:t>　</w:t>
            </w:r>
          </w:p>
        </w:tc>
      </w:tr>
      <w:tr>
        <w:tblPrEx>
          <w:tblCellMar>
            <w:top w:w="0" w:type="dxa"/>
            <w:left w:w="108" w:type="dxa"/>
            <w:bottom w:w="0" w:type="dxa"/>
            <w:right w:w="108" w:type="dxa"/>
          </w:tblCellMar>
        </w:tblPrEx>
        <w:trPr>
          <w:trHeight w:val="1395" w:hRule="atLeast"/>
        </w:trPr>
        <w:tc>
          <w:tcPr>
            <w:tcW w:w="9469" w:type="dxa"/>
            <w:gridSpan w:val="4"/>
            <w:tcBorders>
              <w:top w:val="single" w:color="auto" w:sz="4" w:space="0"/>
              <w:left w:val="nil"/>
              <w:bottom w:val="nil"/>
              <w:right w:val="nil"/>
            </w:tcBorders>
            <w:vAlign w:val="center"/>
          </w:tcPr>
          <w:p>
            <w:pPr>
              <w:widowControl/>
              <w:spacing w:line="440" w:lineRule="exact"/>
              <w:jc w:val="left"/>
              <w:rPr>
                <w:rFonts w:ascii="楷体" w:hAnsi="楷体" w:eastAsia="楷体" w:cs="楷体"/>
                <w:color w:val="auto"/>
                <w:kern w:val="0"/>
                <w:sz w:val="24"/>
                <w:highlight w:val="none"/>
              </w:rPr>
            </w:pPr>
            <w:r>
              <w:rPr>
                <w:rFonts w:hint="eastAsia" w:ascii="楷体" w:hAnsi="楷体" w:eastAsia="楷体" w:cs="楷体"/>
                <w:color w:val="auto"/>
                <w:kern w:val="0"/>
                <w:sz w:val="24"/>
                <w:highlight w:val="none"/>
              </w:rPr>
              <w:t>注：</w:t>
            </w:r>
          </w:p>
          <w:p>
            <w:pPr>
              <w:widowControl/>
              <w:spacing w:line="440" w:lineRule="exact"/>
              <w:ind w:firstLine="480" w:firstLineChars="200"/>
              <w:jc w:val="left"/>
              <w:rPr>
                <w:rFonts w:ascii="楷体" w:hAnsi="楷体" w:eastAsia="楷体" w:cs="楷体"/>
                <w:color w:val="auto"/>
                <w:kern w:val="0"/>
                <w:sz w:val="20"/>
                <w:szCs w:val="20"/>
                <w:highlight w:val="none"/>
              </w:rPr>
            </w:pPr>
            <w:r>
              <w:rPr>
                <w:rFonts w:hint="eastAsia" w:ascii="楷体" w:hAnsi="楷体" w:eastAsia="楷体" w:cs="楷体"/>
                <w:color w:val="auto"/>
                <w:kern w:val="0"/>
                <w:sz w:val="24"/>
                <w:highlight w:val="none"/>
              </w:rPr>
              <w:t>1、本表仅为核对投标人提供的证书等招标项目评标所需材料原件之用，如本表填写不下可按相同格式进行扩展；</w:t>
            </w:r>
            <w:r>
              <w:rPr>
                <w:rFonts w:hint="eastAsia" w:ascii="楷体" w:hAnsi="楷体" w:eastAsia="楷体" w:cs="楷体"/>
                <w:color w:val="auto"/>
                <w:kern w:val="0"/>
                <w:sz w:val="24"/>
                <w:highlight w:val="none"/>
              </w:rPr>
              <w:br w:type="textWrapping"/>
            </w:r>
            <w:r>
              <w:rPr>
                <w:rFonts w:hint="eastAsia" w:ascii="楷体" w:hAnsi="楷体" w:eastAsia="楷体" w:cs="楷体"/>
                <w:color w:val="auto"/>
                <w:kern w:val="0"/>
                <w:sz w:val="24"/>
                <w:highlight w:val="none"/>
              </w:rPr>
              <w:t>　　2、如因投标人未按要求填写本表或填写内容表述不清造成原件材料缺失或无法核对，后果由投标人自负。</w:t>
            </w:r>
          </w:p>
        </w:tc>
      </w:tr>
    </w:tbl>
    <w:p>
      <w:pPr>
        <w:spacing w:line="300" w:lineRule="auto"/>
        <w:rPr>
          <w:rFonts w:ascii="楷体" w:hAnsi="楷体" w:eastAsia="楷体" w:cs="楷体"/>
          <w:color w:val="auto"/>
          <w:highlight w:val="none"/>
        </w:rPr>
      </w:pPr>
    </w:p>
    <w:p>
      <w:pPr>
        <w:pStyle w:val="19"/>
        <w:ind w:firstLine="422"/>
        <w:rPr>
          <w:rFonts w:ascii="楷体" w:hAnsi="楷体" w:eastAsia="楷体" w:cs="楷体"/>
          <w:color w:val="auto"/>
          <w:highlight w:val="none"/>
        </w:rPr>
      </w:pPr>
    </w:p>
    <w:p>
      <w:pPr>
        <w:pStyle w:val="19"/>
        <w:ind w:firstLine="422"/>
        <w:rPr>
          <w:rFonts w:ascii="楷体" w:hAnsi="楷体" w:eastAsia="楷体" w:cs="楷体"/>
          <w:color w:val="auto"/>
          <w:highlight w:val="none"/>
        </w:rPr>
      </w:pPr>
    </w:p>
    <w:p>
      <w:pPr>
        <w:rPr>
          <w:rFonts w:ascii="楷体" w:hAnsi="楷体" w:eastAsia="楷体" w:cs="楷体"/>
          <w:color w:val="auto"/>
          <w:highlight w:val="none"/>
        </w:rPr>
      </w:pPr>
    </w:p>
    <w:p>
      <w:pPr>
        <w:rPr>
          <w:rFonts w:ascii="楷体" w:hAnsi="楷体" w:eastAsia="楷体" w:cs="楷体"/>
          <w:b/>
          <w:color w:val="auto"/>
          <w:sz w:val="32"/>
          <w:szCs w:val="32"/>
          <w:highlight w:val="none"/>
        </w:rPr>
      </w:pPr>
      <w:r>
        <w:rPr>
          <w:rFonts w:hint="eastAsia" w:ascii="楷体" w:hAnsi="楷体" w:eastAsia="楷体" w:cs="楷体"/>
          <w:b/>
          <w:color w:val="auto"/>
          <w:sz w:val="32"/>
          <w:szCs w:val="32"/>
          <w:highlight w:val="none"/>
        </w:rPr>
        <w:t>附件7</w:t>
      </w:r>
    </w:p>
    <w:p>
      <w:pPr>
        <w:jc w:val="center"/>
        <w:rPr>
          <w:rFonts w:ascii="楷体" w:hAnsi="楷体" w:eastAsia="楷体" w:cs="楷体"/>
          <w:b/>
          <w:color w:val="auto"/>
          <w:sz w:val="44"/>
          <w:szCs w:val="44"/>
          <w:highlight w:val="none"/>
        </w:rPr>
      </w:pPr>
      <w:r>
        <w:rPr>
          <w:rFonts w:hint="eastAsia" w:ascii="楷体" w:hAnsi="楷体" w:eastAsia="楷体" w:cs="楷体"/>
          <w:b/>
          <w:color w:val="auto"/>
          <w:sz w:val="44"/>
          <w:szCs w:val="44"/>
          <w:highlight w:val="none"/>
        </w:rPr>
        <w:t>异议书（格式）</w:t>
      </w:r>
    </w:p>
    <w:p>
      <w:pPr>
        <w:jc w:val="center"/>
        <w:rPr>
          <w:rFonts w:ascii="楷体" w:hAnsi="楷体" w:eastAsia="楷体" w:cs="楷体"/>
          <w:color w:val="auto"/>
          <w:sz w:val="36"/>
          <w:szCs w:val="36"/>
          <w:highlight w:val="none"/>
        </w:rPr>
      </w:pPr>
    </w:p>
    <w:p>
      <w:pPr>
        <w:spacing w:line="360" w:lineRule="auto"/>
        <w:jc w:val="left"/>
        <w:rPr>
          <w:rFonts w:ascii="楷体" w:hAnsi="楷体" w:eastAsia="楷体" w:cs="楷体"/>
          <w:color w:val="auto"/>
          <w:sz w:val="24"/>
          <w:highlight w:val="none"/>
        </w:rPr>
      </w:pPr>
      <w:r>
        <w:rPr>
          <w:rFonts w:hint="eastAsia" w:ascii="楷体" w:hAnsi="楷体" w:eastAsia="楷体" w:cs="楷体"/>
          <w:color w:val="auto"/>
          <w:sz w:val="24"/>
          <w:highlight w:val="none"/>
        </w:rPr>
        <w:t>项目名称：</w:t>
      </w:r>
    </w:p>
    <w:p>
      <w:pPr>
        <w:spacing w:line="360" w:lineRule="auto"/>
        <w:jc w:val="left"/>
        <w:rPr>
          <w:rFonts w:ascii="楷体" w:hAnsi="楷体" w:eastAsia="楷体" w:cs="楷体"/>
          <w:color w:val="auto"/>
          <w:sz w:val="24"/>
          <w:highlight w:val="none"/>
        </w:rPr>
      </w:pPr>
      <w:r>
        <w:rPr>
          <w:rFonts w:hint="eastAsia" w:ascii="楷体" w:hAnsi="楷体" w:eastAsia="楷体" w:cs="楷体"/>
          <w:color w:val="auto"/>
          <w:sz w:val="24"/>
          <w:highlight w:val="none"/>
        </w:rPr>
        <w:t>异议人：</w:t>
      </w:r>
    </w:p>
    <w:p>
      <w:pPr>
        <w:spacing w:line="360" w:lineRule="auto"/>
        <w:jc w:val="left"/>
        <w:rPr>
          <w:rFonts w:ascii="楷体" w:hAnsi="楷体" w:eastAsia="楷体" w:cs="楷体"/>
          <w:color w:val="auto"/>
          <w:sz w:val="24"/>
          <w:highlight w:val="none"/>
        </w:rPr>
      </w:pPr>
      <w:r>
        <w:rPr>
          <w:rFonts w:hint="eastAsia" w:ascii="楷体" w:hAnsi="楷体" w:eastAsia="楷体" w:cs="楷体"/>
          <w:color w:val="auto"/>
          <w:sz w:val="24"/>
          <w:highlight w:val="none"/>
        </w:rPr>
        <w:t>住所地：                  邮编：</w:t>
      </w:r>
    </w:p>
    <w:p>
      <w:pPr>
        <w:spacing w:line="360" w:lineRule="auto"/>
        <w:jc w:val="left"/>
        <w:rPr>
          <w:rFonts w:ascii="楷体" w:hAnsi="楷体" w:eastAsia="楷体" w:cs="楷体"/>
          <w:color w:val="auto"/>
          <w:sz w:val="24"/>
          <w:highlight w:val="none"/>
        </w:rPr>
      </w:pPr>
      <w:r>
        <w:rPr>
          <w:rFonts w:hint="eastAsia" w:ascii="楷体" w:hAnsi="楷体" w:eastAsia="楷体" w:cs="楷体"/>
          <w:color w:val="auto"/>
          <w:sz w:val="24"/>
          <w:highlight w:val="none"/>
        </w:rPr>
        <w:t>法定代表人：             联系电话</w:t>
      </w:r>
    </w:p>
    <w:p>
      <w:pPr>
        <w:spacing w:line="360" w:lineRule="auto"/>
        <w:jc w:val="left"/>
        <w:rPr>
          <w:rFonts w:ascii="楷体" w:hAnsi="楷体" w:eastAsia="楷体" w:cs="楷体"/>
          <w:color w:val="auto"/>
          <w:sz w:val="24"/>
          <w:highlight w:val="none"/>
        </w:rPr>
      </w:pPr>
      <w:r>
        <w:rPr>
          <w:rFonts w:hint="eastAsia" w:ascii="楷体" w:hAnsi="楷体" w:eastAsia="楷体" w:cs="楷体"/>
          <w:color w:val="auto"/>
          <w:sz w:val="24"/>
          <w:highlight w:val="none"/>
        </w:rPr>
        <w:t>异议人授权代表：        性别：        年龄：</w:t>
      </w:r>
    </w:p>
    <w:p>
      <w:pPr>
        <w:spacing w:line="360" w:lineRule="auto"/>
        <w:jc w:val="left"/>
        <w:rPr>
          <w:rFonts w:ascii="楷体" w:hAnsi="楷体" w:eastAsia="楷体" w:cs="楷体"/>
          <w:color w:val="auto"/>
          <w:sz w:val="24"/>
          <w:highlight w:val="none"/>
        </w:rPr>
      </w:pPr>
      <w:r>
        <w:rPr>
          <w:rFonts w:hint="eastAsia" w:ascii="楷体" w:hAnsi="楷体" w:eastAsia="楷体" w:cs="楷体"/>
          <w:color w:val="auto"/>
          <w:sz w:val="24"/>
          <w:highlight w:val="none"/>
        </w:rPr>
        <w:t>住址：                    联系电话：</w:t>
      </w:r>
    </w:p>
    <w:p>
      <w:pPr>
        <w:spacing w:line="360" w:lineRule="auto"/>
        <w:jc w:val="left"/>
        <w:rPr>
          <w:rFonts w:ascii="楷体" w:hAnsi="楷体" w:eastAsia="楷体" w:cs="楷体"/>
          <w:color w:val="auto"/>
          <w:sz w:val="24"/>
          <w:highlight w:val="none"/>
        </w:rPr>
      </w:pPr>
      <w:r>
        <w:rPr>
          <w:rFonts w:hint="eastAsia" w:ascii="楷体" w:hAnsi="楷体" w:eastAsia="楷体" w:cs="楷体"/>
          <w:color w:val="auto"/>
          <w:sz w:val="24"/>
          <w:highlight w:val="none"/>
        </w:rPr>
        <w:t>提起异议事项的基本事实：</w:t>
      </w:r>
    </w:p>
    <w:p>
      <w:pPr>
        <w:spacing w:line="360" w:lineRule="auto"/>
        <w:jc w:val="left"/>
        <w:rPr>
          <w:rFonts w:ascii="楷体" w:hAnsi="楷体" w:eastAsia="楷体" w:cs="楷体"/>
          <w:color w:val="auto"/>
          <w:sz w:val="24"/>
          <w:highlight w:val="none"/>
        </w:rPr>
      </w:pPr>
    </w:p>
    <w:p>
      <w:pPr>
        <w:spacing w:line="360" w:lineRule="auto"/>
        <w:jc w:val="left"/>
        <w:rPr>
          <w:rFonts w:ascii="楷体" w:hAnsi="楷体" w:eastAsia="楷体" w:cs="楷体"/>
          <w:color w:val="auto"/>
          <w:sz w:val="24"/>
          <w:highlight w:val="none"/>
        </w:rPr>
      </w:pPr>
    </w:p>
    <w:p>
      <w:pPr>
        <w:spacing w:line="360" w:lineRule="auto"/>
        <w:jc w:val="left"/>
        <w:rPr>
          <w:rFonts w:ascii="楷体" w:hAnsi="楷体" w:eastAsia="楷体" w:cs="楷体"/>
          <w:color w:val="auto"/>
          <w:sz w:val="24"/>
          <w:highlight w:val="none"/>
        </w:rPr>
      </w:pPr>
      <w:r>
        <w:rPr>
          <w:rFonts w:hint="eastAsia" w:ascii="楷体" w:hAnsi="楷体" w:eastAsia="楷体" w:cs="楷体"/>
          <w:color w:val="auto"/>
          <w:sz w:val="24"/>
          <w:highlight w:val="none"/>
        </w:rPr>
        <w:t>相关请求及主张：</w:t>
      </w:r>
    </w:p>
    <w:p>
      <w:pPr>
        <w:spacing w:line="360" w:lineRule="auto"/>
        <w:jc w:val="left"/>
        <w:rPr>
          <w:rFonts w:ascii="楷体" w:hAnsi="楷体" w:eastAsia="楷体" w:cs="楷体"/>
          <w:color w:val="auto"/>
          <w:sz w:val="24"/>
          <w:highlight w:val="none"/>
        </w:rPr>
      </w:pPr>
    </w:p>
    <w:p>
      <w:pPr>
        <w:spacing w:line="360" w:lineRule="auto"/>
        <w:jc w:val="left"/>
        <w:rPr>
          <w:rFonts w:ascii="楷体" w:hAnsi="楷体" w:eastAsia="楷体" w:cs="楷体"/>
          <w:color w:val="auto"/>
          <w:sz w:val="24"/>
          <w:highlight w:val="none"/>
        </w:rPr>
      </w:pPr>
    </w:p>
    <w:p>
      <w:pPr>
        <w:spacing w:line="360" w:lineRule="auto"/>
        <w:jc w:val="left"/>
        <w:rPr>
          <w:rFonts w:ascii="楷体" w:hAnsi="楷体" w:eastAsia="楷体" w:cs="楷体"/>
          <w:color w:val="auto"/>
          <w:sz w:val="24"/>
          <w:highlight w:val="none"/>
        </w:rPr>
      </w:pPr>
      <w:r>
        <w:rPr>
          <w:rFonts w:hint="eastAsia" w:ascii="楷体" w:hAnsi="楷体" w:eastAsia="楷体" w:cs="楷体"/>
          <w:color w:val="auto"/>
          <w:sz w:val="24"/>
          <w:highlight w:val="none"/>
        </w:rPr>
        <w:t>有效线索和相关证明材料：</w:t>
      </w:r>
    </w:p>
    <w:p>
      <w:pPr>
        <w:spacing w:line="360" w:lineRule="auto"/>
        <w:jc w:val="left"/>
        <w:rPr>
          <w:rFonts w:ascii="楷体" w:hAnsi="楷体" w:eastAsia="楷体" w:cs="楷体"/>
          <w:color w:val="auto"/>
          <w:sz w:val="24"/>
          <w:highlight w:val="none"/>
        </w:rPr>
      </w:pPr>
    </w:p>
    <w:p>
      <w:pPr>
        <w:spacing w:line="360" w:lineRule="auto"/>
        <w:jc w:val="left"/>
        <w:rPr>
          <w:rFonts w:ascii="楷体" w:hAnsi="楷体" w:eastAsia="楷体" w:cs="楷体"/>
          <w:color w:val="auto"/>
          <w:sz w:val="24"/>
          <w:highlight w:val="none"/>
        </w:rPr>
      </w:pPr>
    </w:p>
    <w:p>
      <w:pPr>
        <w:spacing w:line="360" w:lineRule="auto"/>
        <w:jc w:val="left"/>
        <w:rPr>
          <w:rFonts w:ascii="楷体" w:hAnsi="楷体" w:eastAsia="楷体" w:cs="楷体"/>
          <w:color w:val="auto"/>
          <w:sz w:val="24"/>
          <w:highlight w:val="none"/>
        </w:rPr>
      </w:pPr>
      <w:r>
        <w:rPr>
          <w:rFonts w:hint="eastAsia" w:ascii="楷体" w:hAnsi="楷体" w:eastAsia="楷体" w:cs="楷体"/>
          <w:color w:val="auto"/>
          <w:sz w:val="24"/>
          <w:highlight w:val="none"/>
        </w:rPr>
        <w:t>异议人与提起项目有利害关系的证明材料：</w:t>
      </w:r>
    </w:p>
    <w:p>
      <w:pPr>
        <w:spacing w:line="360" w:lineRule="auto"/>
        <w:jc w:val="center"/>
        <w:rPr>
          <w:rFonts w:ascii="楷体" w:hAnsi="楷体" w:eastAsia="楷体" w:cs="楷体"/>
          <w:color w:val="auto"/>
          <w:sz w:val="24"/>
          <w:highlight w:val="none"/>
        </w:rPr>
      </w:pPr>
    </w:p>
    <w:p>
      <w:pPr>
        <w:spacing w:line="360" w:lineRule="auto"/>
        <w:jc w:val="center"/>
        <w:rPr>
          <w:rFonts w:ascii="楷体" w:hAnsi="楷体" w:eastAsia="楷体" w:cs="楷体"/>
          <w:color w:val="auto"/>
          <w:sz w:val="24"/>
          <w:highlight w:val="none"/>
        </w:rPr>
      </w:pPr>
    </w:p>
    <w:p>
      <w:pPr>
        <w:spacing w:line="360" w:lineRule="auto"/>
        <w:jc w:val="center"/>
        <w:rPr>
          <w:rFonts w:ascii="楷体" w:hAnsi="楷体" w:eastAsia="楷体" w:cs="楷体"/>
          <w:color w:val="auto"/>
          <w:sz w:val="24"/>
          <w:highlight w:val="none"/>
        </w:rPr>
      </w:pPr>
      <w:r>
        <w:rPr>
          <w:rFonts w:hint="eastAsia" w:ascii="楷体" w:hAnsi="楷体" w:eastAsia="楷体" w:cs="楷体"/>
          <w:color w:val="auto"/>
          <w:sz w:val="24"/>
          <w:highlight w:val="none"/>
        </w:rPr>
        <w:t xml:space="preserve">                                           异议人（公章）：</w:t>
      </w:r>
    </w:p>
    <w:p>
      <w:pPr>
        <w:spacing w:line="360" w:lineRule="auto"/>
        <w:jc w:val="center"/>
        <w:rPr>
          <w:rFonts w:ascii="楷体" w:hAnsi="楷体" w:eastAsia="楷体" w:cs="楷体"/>
          <w:color w:val="auto"/>
          <w:sz w:val="24"/>
          <w:highlight w:val="none"/>
        </w:rPr>
      </w:pPr>
      <w:r>
        <w:rPr>
          <w:rFonts w:hint="eastAsia" w:ascii="楷体" w:hAnsi="楷体" w:eastAsia="楷体" w:cs="楷体"/>
          <w:color w:val="auto"/>
          <w:sz w:val="24"/>
          <w:highlight w:val="none"/>
        </w:rPr>
        <w:t xml:space="preserve">                                          法定代表人或授权代表（签字）</w:t>
      </w:r>
    </w:p>
    <w:p>
      <w:pPr>
        <w:spacing w:line="360" w:lineRule="auto"/>
        <w:jc w:val="center"/>
        <w:rPr>
          <w:rFonts w:ascii="楷体" w:hAnsi="楷体" w:eastAsia="楷体" w:cs="楷体"/>
          <w:color w:val="auto"/>
          <w:sz w:val="24"/>
          <w:highlight w:val="none"/>
        </w:rPr>
      </w:pPr>
      <w:r>
        <w:rPr>
          <w:rFonts w:hint="eastAsia" w:ascii="楷体" w:hAnsi="楷体" w:eastAsia="楷体" w:cs="楷体"/>
          <w:color w:val="auto"/>
          <w:sz w:val="24"/>
          <w:highlight w:val="none"/>
        </w:rPr>
        <w:t xml:space="preserve">                                      年     月     日</w:t>
      </w:r>
    </w:p>
    <w:p>
      <w:pPr>
        <w:spacing w:line="360" w:lineRule="auto"/>
        <w:jc w:val="center"/>
        <w:rPr>
          <w:rFonts w:ascii="楷体" w:hAnsi="楷体" w:eastAsia="楷体" w:cs="楷体"/>
          <w:color w:val="auto"/>
          <w:sz w:val="24"/>
          <w:highlight w:val="none"/>
        </w:rPr>
      </w:pPr>
    </w:p>
    <w:p>
      <w:pPr>
        <w:spacing w:line="360" w:lineRule="auto"/>
        <w:jc w:val="left"/>
        <w:rPr>
          <w:rFonts w:ascii="楷体" w:hAnsi="楷体" w:eastAsia="楷体" w:cs="楷体"/>
          <w:color w:val="auto"/>
          <w:sz w:val="24"/>
          <w:highlight w:val="none"/>
        </w:rPr>
      </w:pPr>
      <w:r>
        <w:rPr>
          <w:rFonts w:hint="eastAsia" w:ascii="楷体" w:hAnsi="楷体" w:eastAsia="楷体" w:cs="楷体"/>
          <w:color w:val="auto"/>
          <w:sz w:val="24"/>
          <w:highlight w:val="none"/>
        </w:rPr>
        <w:t>说明：</w:t>
      </w:r>
    </w:p>
    <w:p>
      <w:pPr>
        <w:spacing w:line="360" w:lineRule="auto"/>
        <w:jc w:val="left"/>
        <w:rPr>
          <w:rFonts w:ascii="楷体" w:hAnsi="楷体" w:eastAsia="楷体" w:cs="楷体"/>
          <w:color w:val="auto"/>
          <w:sz w:val="24"/>
          <w:highlight w:val="none"/>
        </w:rPr>
      </w:pPr>
      <w:r>
        <w:rPr>
          <w:rFonts w:hint="eastAsia" w:ascii="楷体" w:hAnsi="楷体" w:eastAsia="楷体" w:cs="楷体"/>
          <w:color w:val="auto"/>
          <w:sz w:val="24"/>
          <w:highlight w:val="none"/>
        </w:rPr>
        <w:t>1.异议人是法人的，异议书必须由其法定代表人或者授权代表签字并盖章。</w:t>
      </w:r>
    </w:p>
    <w:p>
      <w:pPr>
        <w:spacing w:line="360" w:lineRule="auto"/>
        <w:jc w:val="left"/>
        <w:rPr>
          <w:rFonts w:ascii="楷体" w:hAnsi="楷体" w:eastAsia="楷体" w:cs="楷体"/>
          <w:b/>
          <w:color w:val="auto"/>
          <w:sz w:val="32"/>
          <w:szCs w:val="32"/>
          <w:highlight w:val="none"/>
        </w:rPr>
        <w:sectPr>
          <w:headerReference r:id="rId4" w:type="default"/>
          <w:footerReference r:id="rId5" w:type="default"/>
          <w:pgSz w:w="11906" w:h="16838"/>
          <w:pgMar w:top="1701" w:right="1418" w:bottom="1440" w:left="1418" w:header="851" w:footer="992" w:gutter="0"/>
          <w:cols w:space="425" w:num="1"/>
          <w:docGrid w:type="linesAndChars" w:linePitch="312" w:charSpace="0"/>
        </w:sectPr>
      </w:pPr>
      <w:r>
        <w:rPr>
          <w:rFonts w:hint="eastAsia" w:ascii="楷体" w:hAnsi="楷体" w:eastAsia="楷体" w:cs="楷体"/>
          <w:color w:val="auto"/>
          <w:sz w:val="24"/>
          <w:highlight w:val="none"/>
        </w:rPr>
        <w:t>2.异议书有关材料是外文的，异议人应当同时提供其中文译本。</w:t>
      </w:r>
    </w:p>
    <w:p>
      <w:pPr>
        <w:rPr>
          <w:rFonts w:ascii="楷体" w:hAnsi="楷体" w:eastAsia="楷体" w:cs="楷体"/>
          <w:b/>
          <w:color w:val="auto"/>
          <w:sz w:val="32"/>
          <w:szCs w:val="32"/>
          <w:highlight w:val="none"/>
        </w:rPr>
      </w:pPr>
      <w:r>
        <w:rPr>
          <w:rFonts w:hint="eastAsia" w:ascii="楷体" w:hAnsi="楷体" w:eastAsia="楷体" w:cs="楷体"/>
          <w:b/>
          <w:color w:val="auto"/>
          <w:sz w:val="32"/>
          <w:szCs w:val="32"/>
          <w:highlight w:val="none"/>
        </w:rPr>
        <w:t>附件8</w:t>
      </w:r>
    </w:p>
    <w:p>
      <w:pPr>
        <w:pStyle w:val="4"/>
        <w:rPr>
          <w:rFonts w:ascii="楷体" w:hAnsi="楷体" w:eastAsia="楷体" w:cs="楷体"/>
          <w:b w:val="0"/>
          <w:color w:val="auto"/>
          <w:sz w:val="28"/>
          <w:highlight w:val="none"/>
        </w:rPr>
      </w:pPr>
      <w:bookmarkStart w:id="18" w:name="_Toc10943"/>
      <w:r>
        <w:rPr>
          <w:rFonts w:hint="eastAsia" w:ascii="楷体" w:hAnsi="楷体" w:eastAsia="楷体" w:cs="楷体"/>
          <w:b w:val="0"/>
          <w:color w:val="auto"/>
          <w:sz w:val="28"/>
          <w:highlight w:val="none"/>
        </w:rPr>
        <w:t>联合体协议书（如有时）</w:t>
      </w:r>
      <w:bookmarkEnd w:id="18"/>
    </w:p>
    <w:p>
      <w:pPr>
        <w:jc w:val="center"/>
        <w:rPr>
          <w:rFonts w:ascii="楷体" w:hAnsi="楷体" w:eastAsia="楷体" w:cs="楷体"/>
          <w:b/>
          <w:color w:val="auto"/>
          <w:sz w:val="32"/>
          <w:szCs w:val="32"/>
          <w:highlight w:val="none"/>
        </w:rPr>
      </w:pPr>
      <w:r>
        <w:rPr>
          <w:rFonts w:hint="eastAsia" w:ascii="楷体" w:hAnsi="楷体" w:eastAsia="楷体" w:cs="楷体"/>
          <w:b/>
          <w:color w:val="auto"/>
          <w:sz w:val="32"/>
          <w:szCs w:val="32"/>
          <w:highlight w:val="none"/>
        </w:rPr>
        <w:t>联合体协议书</w:t>
      </w:r>
    </w:p>
    <w:p>
      <w:pPr>
        <w:jc w:val="center"/>
        <w:rPr>
          <w:rFonts w:ascii="楷体" w:hAnsi="楷体" w:eastAsia="楷体" w:cs="楷体"/>
          <w:color w:val="auto"/>
          <w:sz w:val="30"/>
          <w:szCs w:val="30"/>
          <w:highlight w:val="none"/>
        </w:rPr>
      </w:pPr>
    </w:p>
    <w:p>
      <w:pPr>
        <w:topLinePunct/>
        <w:spacing w:line="440" w:lineRule="exact"/>
        <w:ind w:firstLine="420" w:firstLineChars="200"/>
        <w:jc w:val="left"/>
        <w:rPr>
          <w:rFonts w:ascii="楷体" w:hAnsi="楷体" w:eastAsia="楷体" w:cs="楷体"/>
          <w:color w:val="auto"/>
          <w:szCs w:val="21"/>
          <w:highlight w:val="none"/>
        </w:rPr>
      </w:pP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（所有成员单位名称）自愿组成</w:t>
      </w:r>
      <w:r>
        <w:rPr>
          <w:rFonts w:hint="eastAsia" w:ascii="楷体" w:hAnsi="楷体" w:eastAsia="楷体" w:cs="楷体"/>
          <w:color w:val="auto"/>
          <w:szCs w:val="21"/>
          <w:highlight w:val="none"/>
          <w:u w:val="single"/>
        </w:rPr>
        <w:t>（联合体名称）</w:t>
      </w:r>
      <w:r>
        <w:rPr>
          <w:rFonts w:hint="eastAsia" w:ascii="楷体" w:hAnsi="楷体" w:eastAsia="楷体" w:cs="楷体"/>
          <w:color w:val="auto"/>
          <w:szCs w:val="21"/>
          <w:highlight w:val="none"/>
        </w:rPr>
        <w:t>联合体，共同参加</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（项目名称）工程总承包投标。现就联合体投标事宜订立如下协议。</w:t>
      </w:r>
    </w:p>
    <w:p>
      <w:pPr>
        <w:topLinePunct/>
        <w:spacing w:line="44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1、</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（某成员单位名称）为</w:t>
      </w:r>
      <w:r>
        <w:rPr>
          <w:rFonts w:hint="eastAsia" w:ascii="楷体" w:hAnsi="楷体" w:eastAsia="楷体" w:cs="楷体"/>
          <w:color w:val="auto"/>
          <w:szCs w:val="21"/>
          <w:highlight w:val="none"/>
          <w:u w:val="single"/>
        </w:rPr>
        <w:t>（联合体名称）</w:t>
      </w:r>
      <w:r>
        <w:rPr>
          <w:rFonts w:hint="eastAsia" w:ascii="楷体" w:hAnsi="楷体" w:eastAsia="楷体" w:cs="楷体"/>
          <w:color w:val="auto"/>
          <w:szCs w:val="21"/>
          <w:highlight w:val="none"/>
        </w:rPr>
        <w:t>牵头人。</w:t>
      </w:r>
    </w:p>
    <w:p>
      <w:pPr>
        <w:topLinePunct/>
        <w:spacing w:line="44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topLinePunct/>
        <w:spacing w:line="44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3、联合体将严格按照招标文件的各项要求，递交投标文件，履行合同，并对外承担连带责任。</w:t>
      </w:r>
    </w:p>
    <w:p>
      <w:pPr>
        <w:topLinePunct/>
        <w:spacing w:line="44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4、联合体各成员单位内部的职责分工如下：</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 xml:space="preserve"> 。</w:t>
      </w:r>
    </w:p>
    <w:p>
      <w:pPr>
        <w:topLinePunct/>
        <w:spacing w:line="44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 xml:space="preserve">5、本协议书自签署之日起生效，合同履行完毕后自动失效。 </w:t>
      </w:r>
    </w:p>
    <w:p>
      <w:pPr>
        <w:topLinePunct/>
        <w:spacing w:line="44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6、本协议书一式</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份，联合体成员和招标人各执一份。</w:t>
      </w:r>
    </w:p>
    <w:p>
      <w:pPr>
        <w:topLinePunct/>
        <w:spacing w:line="440" w:lineRule="exact"/>
        <w:rPr>
          <w:rFonts w:ascii="楷体" w:hAnsi="楷体" w:eastAsia="楷体" w:cs="楷体"/>
          <w:color w:val="auto"/>
          <w:szCs w:val="21"/>
          <w:highlight w:val="none"/>
        </w:rPr>
      </w:pPr>
    </w:p>
    <w:p>
      <w:pPr>
        <w:topLinePunct/>
        <w:spacing w:line="44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注：本协议书由委托代理人签字的，应附法定代表人签字的授权委托书。</w:t>
      </w:r>
    </w:p>
    <w:p>
      <w:pPr>
        <w:topLinePunct/>
        <w:spacing w:line="440" w:lineRule="exact"/>
        <w:rPr>
          <w:rFonts w:ascii="楷体" w:hAnsi="楷体" w:eastAsia="楷体" w:cs="楷体"/>
          <w:color w:val="auto"/>
          <w:szCs w:val="21"/>
          <w:highlight w:val="none"/>
        </w:rPr>
      </w:pPr>
    </w:p>
    <w:p>
      <w:pPr>
        <w:topLinePunct/>
        <w:spacing w:line="44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牵头人名称：</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（盖单位章）</w:t>
      </w:r>
    </w:p>
    <w:p>
      <w:pPr>
        <w:topLinePunct/>
        <w:spacing w:line="44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法定代表人或其委托代理人：</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（签字）</w:t>
      </w:r>
    </w:p>
    <w:p>
      <w:pPr>
        <w:topLinePunct/>
        <w:spacing w:line="440" w:lineRule="exact"/>
        <w:rPr>
          <w:rFonts w:ascii="楷体" w:hAnsi="楷体" w:eastAsia="楷体" w:cs="楷体"/>
          <w:color w:val="auto"/>
          <w:szCs w:val="21"/>
          <w:highlight w:val="none"/>
        </w:rPr>
      </w:pPr>
    </w:p>
    <w:p>
      <w:pPr>
        <w:topLinePunct/>
        <w:spacing w:line="44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成员一名称：</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（盖单位章）</w:t>
      </w:r>
    </w:p>
    <w:p>
      <w:pPr>
        <w:topLinePunct/>
        <w:spacing w:line="440" w:lineRule="exact"/>
        <w:ind w:firstLine="420" w:firstLineChars="200"/>
        <w:rPr>
          <w:rFonts w:ascii="楷体" w:hAnsi="楷体" w:eastAsia="楷体" w:cs="楷体"/>
          <w:color w:val="auto"/>
          <w:szCs w:val="21"/>
          <w:highlight w:val="none"/>
        </w:rPr>
      </w:pPr>
      <w:r>
        <w:rPr>
          <w:rFonts w:hint="eastAsia" w:ascii="楷体" w:hAnsi="楷体" w:eastAsia="楷体" w:cs="楷体"/>
          <w:color w:val="auto"/>
          <w:szCs w:val="21"/>
          <w:highlight w:val="none"/>
        </w:rPr>
        <w:t>法定代表人或其委托代理人：</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（签字）</w:t>
      </w:r>
    </w:p>
    <w:p>
      <w:pPr>
        <w:topLinePunct/>
        <w:spacing w:line="440" w:lineRule="exact"/>
        <w:rPr>
          <w:rFonts w:ascii="楷体" w:hAnsi="楷体" w:eastAsia="楷体" w:cs="楷体"/>
          <w:color w:val="auto"/>
          <w:szCs w:val="21"/>
          <w:highlight w:val="none"/>
        </w:rPr>
      </w:pPr>
      <w:r>
        <w:rPr>
          <w:rFonts w:hint="eastAsia" w:ascii="楷体" w:hAnsi="楷体" w:eastAsia="楷体" w:cs="楷体"/>
          <w:color w:val="auto"/>
          <w:szCs w:val="21"/>
          <w:highlight w:val="none"/>
        </w:rPr>
        <w:t xml:space="preserve"> </w:t>
      </w:r>
    </w:p>
    <w:p>
      <w:pPr>
        <w:topLinePunct/>
        <w:spacing w:line="440" w:lineRule="exact"/>
        <w:rPr>
          <w:rFonts w:ascii="楷体" w:hAnsi="楷体" w:eastAsia="楷体" w:cs="楷体"/>
          <w:color w:val="auto"/>
          <w:szCs w:val="21"/>
          <w:highlight w:val="none"/>
        </w:rPr>
      </w:pPr>
    </w:p>
    <w:p>
      <w:pPr>
        <w:ind w:firstLine="2879" w:firstLineChars="1371"/>
        <w:rPr>
          <w:rFonts w:ascii="楷体" w:hAnsi="楷体" w:eastAsia="楷体" w:cs="楷体"/>
          <w:color w:val="auto"/>
          <w:highlight w:val="none"/>
        </w:rPr>
      </w:pPr>
      <w:r>
        <w:rPr>
          <w:rFonts w:hint="eastAsia" w:ascii="楷体" w:hAnsi="楷体" w:eastAsia="楷体" w:cs="楷体"/>
          <w:color w:val="auto"/>
          <w:highlight w:val="none"/>
          <w:u w:val="single"/>
        </w:rPr>
        <w:t xml:space="preserve">        </w:t>
      </w:r>
      <w:r>
        <w:rPr>
          <w:rFonts w:hint="eastAsia" w:ascii="楷体" w:hAnsi="楷体" w:eastAsia="楷体" w:cs="楷体"/>
          <w:color w:val="auto"/>
          <w:highlight w:val="none"/>
        </w:rPr>
        <w:t>年</w:t>
      </w:r>
      <w:r>
        <w:rPr>
          <w:rFonts w:hint="eastAsia" w:ascii="楷体" w:hAnsi="楷体" w:eastAsia="楷体" w:cs="楷体"/>
          <w:color w:val="auto"/>
          <w:highlight w:val="none"/>
          <w:u w:val="single"/>
        </w:rPr>
        <w:t xml:space="preserve">       </w:t>
      </w:r>
      <w:r>
        <w:rPr>
          <w:rFonts w:hint="eastAsia" w:ascii="楷体" w:hAnsi="楷体" w:eastAsia="楷体" w:cs="楷体"/>
          <w:color w:val="auto"/>
          <w:highlight w:val="none"/>
        </w:rPr>
        <w:t>月</w:t>
      </w:r>
      <w:r>
        <w:rPr>
          <w:rFonts w:hint="eastAsia" w:ascii="楷体" w:hAnsi="楷体" w:eastAsia="楷体" w:cs="楷体"/>
          <w:color w:val="auto"/>
          <w:highlight w:val="none"/>
          <w:u w:val="single"/>
        </w:rPr>
        <w:t xml:space="preserve">       </w:t>
      </w:r>
      <w:r>
        <w:rPr>
          <w:rFonts w:hint="eastAsia" w:ascii="楷体" w:hAnsi="楷体" w:eastAsia="楷体" w:cs="楷体"/>
          <w:color w:val="auto"/>
          <w:highlight w:val="none"/>
        </w:rPr>
        <w:t>日</w:t>
      </w:r>
    </w:p>
    <w:p>
      <w:pPr>
        <w:ind w:firstLine="2879" w:firstLineChars="1371"/>
        <w:rPr>
          <w:rFonts w:ascii="楷体" w:hAnsi="楷体" w:eastAsia="楷体" w:cs="楷体"/>
          <w:color w:val="auto"/>
          <w:highlight w:val="none"/>
        </w:rPr>
      </w:pPr>
    </w:p>
    <w:p>
      <w:pPr>
        <w:spacing w:line="360" w:lineRule="auto"/>
        <w:ind w:firstLine="490"/>
        <w:jc w:val="center"/>
        <w:rPr>
          <w:rFonts w:ascii="楷体" w:hAnsi="楷体" w:eastAsia="楷体" w:cs="楷体"/>
          <w:color w:val="auto"/>
          <w:sz w:val="28"/>
          <w:szCs w:val="20"/>
          <w:highlight w:val="none"/>
        </w:rPr>
      </w:pPr>
      <w:r>
        <w:rPr>
          <w:rFonts w:hint="eastAsia" w:ascii="楷体" w:hAnsi="楷体" w:eastAsia="楷体" w:cs="楷体"/>
          <w:color w:val="auto"/>
          <w:sz w:val="28"/>
          <w:szCs w:val="20"/>
          <w:highlight w:val="none"/>
        </w:rPr>
        <w:br w:type="page"/>
      </w:r>
    </w:p>
    <w:p>
      <w:pPr>
        <w:rPr>
          <w:rFonts w:hint="eastAsia" w:ascii="楷体" w:hAnsi="楷体" w:eastAsia="楷体" w:cs="楷体"/>
          <w:b/>
          <w:color w:val="auto"/>
          <w:sz w:val="32"/>
          <w:szCs w:val="32"/>
          <w:highlight w:val="none"/>
          <w:lang w:val="en-US" w:eastAsia="zh-CN"/>
        </w:rPr>
      </w:pPr>
      <w:bookmarkStart w:id="19" w:name="_Toc14019"/>
      <w:r>
        <w:rPr>
          <w:rFonts w:hint="eastAsia" w:ascii="楷体" w:hAnsi="楷体" w:eastAsia="楷体" w:cs="楷体"/>
          <w:b/>
          <w:color w:val="auto"/>
          <w:sz w:val="32"/>
          <w:szCs w:val="32"/>
          <w:highlight w:val="none"/>
        </w:rPr>
        <w:t>附件</w:t>
      </w:r>
      <w:r>
        <w:rPr>
          <w:rFonts w:hint="eastAsia" w:ascii="楷体" w:hAnsi="楷体" w:eastAsia="楷体" w:cs="楷体"/>
          <w:b/>
          <w:color w:val="auto"/>
          <w:sz w:val="32"/>
          <w:szCs w:val="32"/>
          <w:highlight w:val="none"/>
          <w:lang w:val="en-US" w:eastAsia="zh-CN"/>
        </w:rPr>
        <w:t>9</w:t>
      </w:r>
    </w:p>
    <w:p>
      <w:pPr>
        <w:pStyle w:val="4"/>
        <w:jc w:val="center"/>
        <w:rPr>
          <w:rFonts w:ascii="楷体" w:hAnsi="楷体" w:eastAsia="楷体" w:cs="楷体"/>
          <w:color w:val="auto"/>
          <w:highlight w:val="none"/>
        </w:rPr>
      </w:pPr>
      <w:r>
        <w:rPr>
          <w:rFonts w:hint="eastAsia" w:ascii="楷体" w:hAnsi="楷体" w:eastAsia="楷体" w:cs="楷体"/>
          <w:b w:val="0"/>
          <w:color w:val="auto"/>
          <w:highlight w:val="none"/>
        </w:rPr>
        <w:t>工程总承包报价</w:t>
      </w:r>
      <w:bookmarkEnd w:id="19"/>
    </w:p>
    <w:p>
      <w:pPr>
        <w:spacing w:line="360" w:lineRule="auto"/>
        <w:ind w:firstLine="490"/>
        <w:jc w:val="center"/>
        <w:rPr>
          <w:rFonts w:ascii="楷体" w:hAnsi="楷体" w:eastAsia="楷体" w:cs="楷体"/>
          <w:color w:val="auto"/>
          <w:highlight w:val="none"/>
        </w:rPr>
      </w:pPr>
      <w:r>
        <w:rPr>
          <w:rFonts w:hint="eastAsia" w:ascii="楷体" w:hAnsi="楷体" w:eastAsia="楷体" w:cs="楷体"/>
          <w:color w:val="auto"/>
          <w:kern w:val="0"/>
          <w:sz w:val="28"/>
          <w:szCs w:val="28"/>
          <w:highlight w:val="none"/>
        </w:rPr>
        <w:t>（格式自理，参照现行计价规范要求）</w:t>
      </w:r>
    </w:p>
    <w:p>
      <w:pPr>
        <w:spacing w:line="360" w:lineRule="auto"/>
        <w:ind w:firstLine="490"/>
        <w:jc w:val="center"/>
        <w:rPr>
          <w:rFonts w:ascii="楷体" w:hAnsi="楷体" w:eastAsia="楷体" w:cs="楷体"/>
          <w:color w:val="auto"/>
          <w:highlight w:val="none"/>
        </w:rPr>
      </w:pPr>
    </w:p>
    <w:p>
      <w:pPr>
        <w:spacing w:line="360" w:lineRule="auto"/>
        <w:ind w:firstLine="490"/>
        <w:jc w:val="center"/>
        <w:rPr>
          <w:rFonts w:ascii="楷体" w:hAnsi="楷体" w:eastAsia="楷体" w:cs="楷体"/>
          <w:color w:val="auto"/>
          <w:highlight w:val="none"/>
        </w:rPr>
      </w:pPr>
    </w:p>
    <w:p>
      <w:pPr>
        <w:spacing w:line="360" w:lineRule="auto"/>
        <w:ind w:firstLine="490"/>
        <w:jc w:val="center"/>
        <w:rPr>
          <w:rFonts w:ascii="楷体" w:hAnsi="楷体" w:eastAsia="楷体" w:cs="楷体"/>
          <w:color w:val="auto"/>
          <w:highlight w:val="none"/>
        </w:rPr>
      </w:pPr>
    </w:p>
    <w:p>
      <w:pPr>
        <w:widowControl/>
        <w:jc w:val="left"/>
        <w:rPr>
          <w:rFonts w:ascii="楷体" w:hAnsi="楷体" w:eastAsia="楷体" w:cs="楷体"/>
          <w:color w:val="auto"/>
          <w:highlight w:val="none"/>
        </w:rPr>
      </w:pPr>
      <w:r>
        <w:rPr>
          <w:rFonts w:hint="eastAsia" w:ascii="楷体" w:hAnsi="楷体" w:eastAsia="楷体" w:cs="楷体"/>
          <w:color w:val="auto"/>
          <w:highlight w:val="none"/>
        </w:rPr>
        <w:br w:type="page"/>
      </w:r>
    </w:p>
    <w:p>
      <w:pPr>
        <w:pStyle w:val="4"/>
        <w:jc w:val="center"/>
        <w:rPr>
          <w:rFonts w:ascii="楷体" w:hAnsi="楷体" w:eastAsia="楷体" w:cs="楷体"/>
          <w:color w:val="auto"/>
          <w:highlight w:val="none"/>
        </w:rPr>
      </w:pPr>
      <w:bookmarkStart w:id="20" w:name="_Toc6761"/>
      <w:r>
        <w:rPr>
          <w:rFonts w:hint="eastAsia" w:ascii="楷体" w:hAnsi="楷体" w:eastAsia="楷体" w:cs="楷体"/>
          <w:b w:val="0"/>
          <w:color w:val="auto"/>
          <w:highlight w:val="none"/>
        </w:rPr>
        <w:t>投标分项报价汇总表</w:t>
      </w:r>
      <w:bookmarkEnd w:id="20"/>
    </w:p>
    <w:tbl>
      <w:tblPr>
        <w:tblStyle w:val="20"/>
        <w:tblW w:w="96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275"/>
        <w:gridCol w:w="1984"/>
        <w:gridCol w:w="2408"/>
        <w:gridCol w:w="1417"/>
        <w:gridCol w:w="1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675" w:type="dxa"/>
            <w:vAlign w:val="center"/>
          </w:tcPr>
          <w:p>
            <w:pPr>
              <w:jc w:val="center"/>
              <w:rPr>
                <w:rFonts w:ascii="楷体" w:hAnsi="楷体" w:eastAsia="楷体" w:cs="楷体"/>
                <w:color w:val="auto"/>
                <w:szCs w:val="21"/>
                <w:highlight w:val="none"/>
              </w:rPr>
            </w:pPr>
            <w:r>
              <w:rPr>
                <w:rFonts w:hint="eastAsia" w:ascii="楷体" w:hAnsi="楷体" w:eastAsia="楷体" w:cs="楷体"/>
                <w:color w:val="auto"/>
                <w:szCs w:val="21"/>
                <w:highlight w:val="none"/>
              </w:rPr>
              <w:t>序号</w:t>
            </w:r>
          </w:p>
        </w:tc>
        <w:tc>
          <w:tcPr>
            <w:tcW w:w="1276" w:type="dxa"/>
            <w:vAlign w:val="center"/>
          </w:tcPr>
          <w:p>
            <w:pPr>
              <w:jc w:val="center"/>
              <w:rPr>
                <w:rFonts w:ascii="楷体" w:hAnsi="楷体" w:eastAsia="楷体" w:cs="楷体"/>
                <w:color w:val="auto"/>
                <w:szCs w:val="21"/>
                <w:highlight w:val="none"/>
              </w:rPr>
            </w:pPr>
            <w:r>
              <w:rPr>
                <w:rFonts w:hint="eastAsia" w:ascii="楷体" w:hAnsi="楷体" w:eastAsia="楷体" w:cs="楷体"/>
                <w:color w:val="auto"/>
                <w:szCs w:val="21"/>
                <w:highlight w:val="none"/>
              </w:rPr>
              <w:t>分项名称</w:t>
            </w:r>
          </w:p>
        </w:tc>
        <w:tc>
          <w:tcPr>
            <w:tcW w:w="1985" w:type="dxa"/>
            <w:vAlign w:val="center"/>
          </w:tcPr>
          <w:p>
            <w:pPr>
              <w:jc w:val="center"/>
              <w:rPr>
                <w:rFonts w:ascii="楷体" w:hAnsi="楷体" w:eastAsia="楷体" w:cs="楷体"/>
                <w:color w:val="auto"/>
                <w:szCs w:val="21"/>
                <w:highlight w:val="none"/>
              </w:rPr>
            </w:pPr>
            <w:r>
              <w:rPr>
                <w:rFonts w:hint="eastAsia" w:ascii="楷体" w:hAnsi="楷体" w:eastAsia="楷体" w:cs="楷体"/>
                <w:color w:val="auto"/>
                <w:szCs w:val="21"/>
                <w:highlight w:val="none"/>
              </w:rPr>
              <w:t>范围、规模</w:t>
            </w:r>
          </w:p>
        </w:tc>
        <w:tc>
          <w:tcPr>
            <w:tcW w:w="2409" w:type="dxa"/>
            <w:vAlign w:val="center"/>
          </w:tcPr>
          <w:p>
            <w:pPr>
              <w:jc w:val="center"/>
              <w:rPr>
                <w:rFonts w:ascii="楷体" w:hAnsi="楷体" w:eastAsia="楷体" w:cs="楷体"/>
                <w:color w:val="auto"/>
                <w:szCs w:val="21"/>
                <w:highlight w:val="none"/>
              </w:rPr>
            </w:pPr>
            <w:r>
              <w:rPr>
                <w:rFonts w:hint="eastAsia" w:ascii="楷体" w:hAnsi="楷体" w:eastAsia="楷体" w:cs="楷体"/>
                <w:color w:val="auto"/>
                <w:szCs w:val="21"/>
                <w:highlight w:val="none"/>
              </w:rPr>
              <w:t>工作内容</w:t>
            </w:r>
          </w:p>
        </w:tc>
        <w:tc>
          <w:tcPr>
            <w:tcW w:w="1418" w:type="dxa"/>
            <w:vAlign w:val="center"/>
          </w:tcPr>
          <w:p>
            <w:pPr>
              <w:jc w:val="center"/>
              <w:rPr>
                <w:rFonts w:ascii="楷体" w:hAnsi="楷体" w:eastAsia="楷体" w:cs="楷体"/>
                <w:color w:val="auto"/>
                <w:szCs w:val="21"/>
                <w:highlight w:val="none"/>
              </w:rPr>
            </w:pPr>
            <w:r>
              <w:rPr>
                <w:rFonts w:hint="eastAsia" w:ascii="楷体" w:hAnsi="楷体" w:eastAsia="楷体" w:cs="楷体"/>
                <w:color w:val="auto"/>
                <w:szCs w:val="21"/>
                <w:highlight w:val="none"/>
              </w:rPr>
              <w:t>投标报价（元）</w:t>
            </w:r>
          </w:p>
        </w:tc>
        <w:tc>
          <w:tcPr>
            <w:tcW w:w="1882" w:type="dxa"/>
            <w:vAlign w:val="center"/>
          </w:tcPr>
          <w:p>
            <w:pPr>
              <w:jc w:val="center"/>
              <w:rPr>
                <w:rFonts w:ascii="楷体" w:hAnsi="楷体" w:eastAsia="楷体" w:cs="楷体"/>
                <w:color w:val="auto"/>
                <w:szCs w:val="21"/>
                <w:highlight w:val="none"/>
              </w:rPr>
            </w:pPr>
            <w:r>
              <w:rPr>
                <w:rFonts w:hint="eastAsia" w:ascii="楷体" w:hAnsi="楷体" w:eastAsia="楷体" w:cs="楷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675" w:type="dxa"/>
            <w:vAlign w:val="center"/>
          </w:tcPr>
          <w:p>
            <w:pPr>
              <w:spacing w:line="360" w:lineRule="auto"/>
              <w:jc w:val="center"/>
              <w:rPr>
                <w:rFonts w:ascii="楷体" w:hAnsi="楷体" w:eastAsia="楷体" w:cs="楷体"/>
                <w:color w:val="auto"/>
                <w:szCs w:val="21"/>
                <w:highlight w:val="none"/>
              </w:rPr>
            </w:pPr>
            <w:r>
              <w:rPr>
                <w:rFonts w:hint="eastAsia" w:ascii="楷体" w:hAnsi="楷体" w:eastAsia="楷体" w:cs="楷体"/>
                <w:color w:val="auto"/>
                <w:szCs w:val="21"/>
                <w:highlight w:val="none"/>
              </w:rPr>
              <w:t>1</w:t>
            </w:r>
          </w:p>
        </w:tc>
        <w:tc>
          <w:tcPr>
            <w:tcW w:w="7088" w:type="dxa"/>
            <w:gridSpan w:val="4"/>
            <w:vAlign w:val="center"/>
          </w:tcPr>
          <w:p>
            <w:pPr>
              <w:spacing w:line="360" w:lineRule="auto"/>
              <w:jc w:val="center"/>
              <w:rPr>
                <w:rFonts w:ascii="楷体" w:hAnsi="楷体" w:eastAsia="楷体" w:cs="楷体"/>
                <w:color w:val="auto"/>
                <w:szCs w:val="21"/>
                <w:highlight w:val="none"/>
              </w:rPr>
            </w:pPr>
            <w:r>
              <w:rPr>
                <w:rFonts w:hint="eastAsia" w:ascii="楷体" w:hAnsi="楷体" w:eastAsia="楷体" w:cs="楷体"/>
                <w:color w:val="auto"/>
                <w:szCs w:val="21"/>
                <w:highlight w:val="none"/>
              </w:rPr>
              <w:t>工程设计费</w:t>
            </w:r>
          </w:p>
        </w:tc>
        <w:tc>
          <w:tcPr>
            <w:tcW w:w="1882" w:type="dxa"/>
            <w:vAlign w:val="center"/>
          </w:tcPr>
          <w:p>
            <w:pPr>
              <w:spacing w:line="360" w:lineRule="auto"/>
              <w:jc w:val="center"/>
              <w:rPr>
                <w:rFonts w:ascii="楷体" w:hAnsi="楷体" w:eastAsia="楷体" w:cs="楷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675" w:type="dxa"/>
            <w:vAlign w:val="center"/>
          </w:tcPr>
          <w:p>
            <w:pPr>
              <w:spacing w:line="360" w:lineRule="auto"/>
              <w:jc w:val="center"/>
              <w:rPr>
                <w:rFonts w:ascii="楷体" w:hAnsi="楷体" w:eastAsia="楷体" w:cs="楷体"/>
                <w:color w:val="auto"/>
                <w:szCs w:val="21"/>
                <w:highlight w:val="none"/>
              </w:rPr>
            </w:pPr>
            <w:r>
              <w:rPr>
                <w:rFonts w:hint="eastAsia" w:ascii="楷体" w:hAnsi="楷体" w:eastAsia="楷体" w:cs="楷体"/>
                <w:color w:val="auto"/>
                <w:szCs w:val="21"/>
                <w:highlight w:val="none"/>
              </w:rPr>
              <w:t>1.1</w:t>
            </w:r>
          </w:p>
        </w:tc>
        <w:tc>
          <w:tcPr>
            <w:tcW w:w="1276" w:type="dxa"/>
            <w:vAlign w:val="center"/>
          </w:tcPr>
          <w:p>
            <w:pPr>
              <w:spacing w:line="360" w:lineRule="auto"/>
              <w:jc w:val="center"/>
              <w:rPr>
                <w:rFonts w:ascii="楷体" w:hAnsi="楷体" w:eastAsia="楷体" w:cs="楷体"/>
                <w:color w:val="auto"/>
                <w:szCs w:val="21"/>
                <w:highlight w:val="none"/>
              </w:rPr>
            </w:pPr>
            <w:r>
              <w:rPr>
                <w:rFonts w:hint="eastAsia" w:ascii="楷体" w:hAnsi="楷体" w:eastAsia="楷体" w:cs="楷体"/>
                <w:color w:val="auto"/>
                <w:szCs w:val="21"/>
                <w:highlight w:val="none"/>
              </w:rPr>
              <w:t>工程设计</w:t>
            </w:r>
          </w:p>
        </w:tc>
        <w:tc>
          <w:tcPr>
            <w:tcW w:w="1985" w:type="dxa"/>
            <w:vAlign w:val="center"/>
          </w:tcPr>
          <w:p>
            <w:pPr>
              <w:spacing w:line="360" w:lineRule="auto"/>
              <w:jc w:val="center"/>
              <w:rPr>
                <w:rFonts w:ascii="楷体" w:hAnsi="楷体" w:eastAsia="楷体" w:cs="楷体"/>
                <w:color w:val="auto"/>
                <w:szCs w:val="21"/>
                <w:highlight w:val="none"/>
                <w:u w:val="single"/>
              </w:rPr>
            </w:pPr>
          </w:p>
        </w:tc>
        <w:tc>
          <w:tcPr>
            <w:tcW w:w="2409" w:type="dxa"/>
            <w:vAlign w:val="center"/>
          </w:tcPr>
          <w:p>
            <w:pPr>
              <w:spacing w:line="360" w:lineRule="auto"/>
              <w:jc w:val="center"/>
              <w:rPr>
                <w:rFonts w:ascii="楷体" w:hAnsi="楷体" w:eastAsia="楷体" w:cs="楷体"/>
                <w:color w:val="auto"/>
                <w:szCs w:val="21"/>
                <w:highlight w:val="none"/>
                <w:u w:val="single"/>
              </w:rPr>
            </w:pPr>
          </w:p>
        </w:tc>
        <w:tc>
          <w:tcPr>
            <w:tcW w:w="1418" w:type="dxa"/>
            <w:vAlign w:val="center"/>
          </w:tcPr>
          <w:p>
            <w:pPr>
              <w:spacing w:line="360" w:lineRule="auto"/>
              <w:jc w:val="center"/>
              <w:rPr>
                <w:rFonts w:ascii="楷体" w:hAnsi="楷体" w:eastAsia="楷体" w:cs="楷体"/>
                <w:color w:val="auto"/>
                <w:szCs w:val="21"/>
                <w:highlight w:val="none"/>
                <w:u w:val="single"/>
              </w:rPr>
            </w:pPr>
          </w:p>
        </w:tc>
        <w:tc>
          <w:tcPr>
            <w:tcW w:w="1882" w:type="dxa"/>
            <w:vAlign w:val="center"/>
          </w:tcPr>
          <w:p>
            <w:pPr>
              <w:spacing w:line="360" w:lineRule="auto"/>
              <w:jc w:val="center"/>
              <w:rPr>
                <w:rFonts w:ascii="楷体" w:hAnsi="楷体" w:eastAsia="楷体" w:cs="楷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675" w:type="dxa"/>
            <w:vAlign w:val="center"/>
          </w:tcPr>
          <w:p>
            <w:pPr>
              <w:spacing w:line="360" w:lineRule="auto"/>
              <w:jc w:val="center"/>
              <w:rPr>
                <w:rFonts w:ascii="楷体" w:hAnsi="楷体" w:eastAsia="楷体" w:cs="楷体"/>
                <w:color w:val="auto"/>
                <w:szCs w:val="21"/>
                <w:highlight w:val="none"/>
              </w:rPr>
            </w:pPr>
            <w:r>
              <w:rPr>
                <w:rFonts w:hint="eastAsia" w:ascii="楷体" w:hAnsi="楷体" w:eastAsia="楷体" w:cs="楷体"/>
                <w:color w:val="auto"/>
                <w:szCs w:val="21"/>
                <w:highlight w:val="none"/>
              </w:rPr>
              <w:t>1.2</w:t>
            </w:r>
          </w:p>
        </w:tc>
        <w:tc>
          <w:tcPr>
            <w:tcW w:w="1276" w:type="dxa"/>
            <w:vAlign w:val="center"/>
          </w:tcPr>
          <w:p>
            <w:pPr>
              <w:spacing w:line="360" w:lineRule="auto"/>
              <w:jc w:val="center"/>
              <w:rPr>
                <w:rFonts w:ascii="楷体" w:hAnsi="楷体" w:eastAsia="楷体" w:cs="楷体"/>
                <w:color w:val="auto"/>
                <w:szCs w:val="21"/>
                <w:highlight w:val="none"/>
              </w:rPr>
            </w:pPr>
            <w:r>
              <w:rPr>
                <w:rFonts w:hint="eastAsia" w:ascii="楷体" w:hAnsi="楷体" w:eastAsia="楷体" w:cs="楷体"/>
                <w:color w:val="auto"/>
                <w:szCs w:val="21"/>
                <w:highlight w:val="none"/>
              </w:rPr>
              <w:t>……</w:t>
            </w:r>
          </w:p>
        </w:tc>
        <w:tc>
          <w:tcPr>
            <w:tcW w:w="1985" w:type="dxa"/>
            <w:vAlign w:val="center"/>
          </w:tcPr>
          <w:p>
            <w:pPr>
              <w:spacing w:line="360" w:lineRule="auto"/>
              <w:jc w:val="center"/>
              <w:rPr>
                <w:rFonts w:ascii="楷体" w:hAnsi="楷体" w:eastAsia="楷体" w:cs="楷体"/>
                <w:color w:val="auto"/>
                <w:szCs w:val="21"/>
                <w:highlight w:val="none"/>
                <w:u w:val="single"/>
              </w:rPr>
            </w:pPr>
          </w:p>
        </w:tc>
        <w:tc>
          <w:tcPr>
            <w:tcW w:w="2409" w:type="dxa"/>
            <w:vAlign w:val="center"/>
          </w:tcPr>
          <w:p>
            <w:pPr>
              <w:spacing w:line="360" w:lineRule="auto"/>
              <w:jc w:val="center"/>
              <w:rPr>
                <w:rFonts w:ascii="楷体" w:hAnsi="楷体" w:eastAsia="楷体" w:cs="楷体"/>
                <w:color w:val="auto"/>
                <w:szCs w:val="21"/>
                <w:highlight w:val="none"/>
                <w:u w:val="single"/>
              </w:rPr>
            </w:pPr>
          </w:p>
        </w:tc>
        <w:tc>
          <w:tcPr>
            <w:tcW w:w="1418" w:type="dxa"/>
            <w:vAlign w:val="center"/>
          </w:tcPr>
          <w:p>
            <w:pPr>
              <w:spacing w:line="360" w:lineRule="auto"/>
              <w:jc w:val="center"/>
              <w:rPr>
                <w:rFonts w:ascii="楷体" w:hAnsi="楷体" w:eastAsia="楷体" w:cs="楷体"/>
                <w:color w:val="auto"/>
                <w:szCs w:val="21"/>
                <w:highlight w:val="none"/>
                <w:u w:val="single"/>
              </w:rPr>
            </w:pPr>
          </w:p>
        </w:tc>
        <w:tc>
          <w:tcPr>
            <w:tcW w:w="1882" w:type="dxa"/>
            <w:vAlign w:val="center"/>
          </w:tcPr>
          <w:p>
            <w:pPr>
              <w:spacing w:line="360" w:lineRule="auto"/>
              <w:jc w:val="center"/>
              <w:rPr>
                <w:rFonts w:ascii="楷体" w:hAnsi="楷体" w:eastAsia="楷体" w:cs="楷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675" w:type="dxa"/>
            <w:vAlign w:val="center"/>
          </w:tcPr>
          <w:p>
            <w:pPr>
              <w:spacing w:line="360" w:lineRule="auto"/>
              <w:jc w:val="center"/>
              <w:rPr>
                <w:rFonts w:ascii="楷体" w:hAnsi="楷体" w:eastAsia="楷体" w:cs="楷体"/>
                <w:color w:val="auto"/>
                <w:szCs w:val="21"/>
                <w:highlight w:val="none"/>
              </w:rPr>
            </w:pPr>
            <w:r>
              <w:rPr>
                <w:rFonts w:hint="eastAsia" w:ascii="楷体" w:hAnsi="楷体" w:eastAsia="楷体" w:cs="楷体"/>
                <w:color w:val="auto"/>
                <w:szCs w:val="21"/>
                <w:highlight w:val="none"/>
              </w:rPr>
              <w:t>2</w:t>
            </w:r>
          </w:p>
        </w:tc>
        <w:tc>
          <w:tcPr>
            <w:tcW w:w="7088" w:type="dxa"/>
            <w:gridSpan w:val="4"/>
            <w:vAlign w:val="center"/>
          </w:tcPr>
          <w:p>
            <w:pPr>
              <w:spacing w:line="360" w:lineRule="auto"/>
              <w:jc w:val="center"/>
              <w:rPr>
                <w:rFonts w:ascii="楷体" w:hAnsi="楷体" w:eastAsia="楷体" w:cs="楷体"/>
                <w:color w:val="auto"/>
                <w:szCs w:val="21"/>
                <w:highlight w:val="none"/>
                <w:u w:val="single"/>
              </w:rPr>
            </w:pPr>
            <w:r>
              <w:rPr>
                <w:rFonts w:hint="eastAsia" w:ascii="楷体" w:hAnsi="楷体" w:eastAsia="楷体" w:cs="楷体"/>
                <w:color w:val="auto"/>
                <w:szCs w:val="21"/>
                <w:highlight w:val="none"/>
              </w:rPr>
              <w:t>工程采购费（如有）</w:t>
            </w:r>
          </w:p>
        </w:tc>
        <w:tc>
          <w:tcPr>
            <w:tcW w:w="1882" w:type="dxa"/>
            <w:vAlign w:val="center"/>
          </w:tcPr>
          <w:p>
            <w:pPr>
              <w:spacing w:line="360" w:lineRule="auto"/>
              <w:jc w:val="center"/>
              <w:rPr>
                <w:rFonts w:ascii="楷体" w:hAnsi="楷体" w:eastAsia="楷体" w:cs="楷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675" w:type="dxa"/>
            <w:vAlign w:val="center"/>
          </w:tcPr>
          <w:p>
            <w:pPr>
              <w:spacing w:line="360" w:lineRule="auto"/>
              <w:jc w:val="center"/>
              <w:rPr>
                <w:rFonts w:ascii="楷体" w:hAnsi="楷体" w:eastAsia="楷体" w:cs="楷体"/>
                <w:color w:val="auto"/>
                <w:szCs w:val="21"/>
                <w:highlight w:val="none"/>
              </w:rPr>
            </w:pPr>
            <w:r>
              <w:rPr>
                <w:rFonts w:hint="eastAsia" w:ascii="楷体" w:hAnsi="楷体" w:eastAsia="楷体" w:cs="楷体"/>
                <w:color w:val="auto"/>
                <w:szCs w:val="21"/>
                <w:highlight w:val="none"/>
              </w:rPr>
              <w:t>2.1</w:t>
            </w:r>
          </w:p>
        </w:tc>
        <w:tc>
          <w:tcPr>
            <w:tcW w:w="1276" w:type="dxa"/>
            <w:vAlign w:val="center"/>
          </w:tcPr>
          <w:p>
            <w:pPr>
              <w:spacing w:line="360" w:lineRule="auto"/>
              <w:jc w:val="center"/>
              <w:rPr>
                <w:rFonts w:ascii="楷体" w:hAnsi="楷体" w:eastAsia="楷体" w:cs="楷体"/>
                <w:color w:val="auto"/>
                <w:szCs w:val="21"/>
                <w:highlight w:val="none"/>
              </w:rPr>
            </w:pPr>
            <w:r>
              <w:rPr>
                <w:rFonts w:hint="eastAsia" w:ascii="楷体" w:hAnsi="楷体" w:eastAsia="楷体" w:cs="楷体"/>
                <w:color w:val="auto"/>
                <w:szCs w:val="21"/>
                <w:highlight w:val="none"/>
              </w:rPr>
              <w:t>工程采购</w:t>
            </w:r>
          </w:p>
        </w:tc>
        <w:tc>
          <w:tcPr>
            <w:tcW w:w="1985" w:type="dxa"/>
            <w:vAlign w:val="center"/>
          </w:tcPr>
          <w:p>
            <w:pPr>
              <w:spacing w:line="360" w:lineRule="auto"/>
              <w:jc w:val="center"/>
              <w:rPr>
                <w:rFonts w:ascii="楷体" w:hAnsi="楷体" w:eastAsia="楷体" w:cs="楷体"/>
                <w:color w:val="auto"/>
                <w:szCs w:val="21"/>
                <w:highlight w:val="none"/>
                <w:u w:val="single"/>
              </w:rPr>
            </w:pPr>
          </w:p>
        </w:tc>
        <w:tc>
          <w:tcPr>
            <w:tcW w:w="2409" w:type="dxa"/>
            <w:vAlign w:val="center"/>
          </w:tcPr>
          <w:p>
            <w:pPr>
              <w:spacing w:line="360" w:lineRule="auto"/>
              <w:jc w:val="center"/>
              <w:rPr>
                <w:rFonts w:ascii="楷体" w:hAnsi="楷体" w:eastAsia="楷体" w:cs="楷体"/>
                <w:color w:val="auto"/>
                <w:szCs w:val="21"/>
                <w:highlight w:val="none"/>
                <w:u w:val="single"/>
              </w:rPr>
            </w:pPr>
          </w:p>
        </w:tc>
        <w:tc>
          <w:tcPr>
            <w:tcW w:w="1418" w:type="dxa"/>
            <w:vAlign w:val="center"/>
          </w:tcPr>
          <w:p>
            <w:pPr>
              <w:spacing w:line="360" w:lineRule="auto"/>
              <w:jc w:val="center"/>
              <w:rPr>
                <w:rFonts w:ascii="楷体" w:hAnsi="楷体" w:eastAsia="楷体" w:cs="楷体"/>
                <w:color w:val="auto"/>
                <w:szCs w:val="21"/>
                <w:highlight w:val="none"/>
                <w:u w:val="single"/>
              </w:rPr>
            </w:pPr>
          </w:p>
        </w:tc>
        <w:tc>
          <w:tcPr>
            <w:tcW w:w="1882" w:type="dxa"/>
            <w:vAlign w:val="center"/>
          </w:tcPr>
          <w:p>
            <w:pPr>
              <w:spacing w:line="360" w:lineRule="auto"/>
              <w:jc w:val="center"/>
              <w:rPr>
                <w:rFonts w:ascii="楷体" w:hAnsi="楷体" w:eastAsia="楷体" w:cs="楷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675" w:type="dxa"/>
            <w:vAlign w:val="center"/>
          </w:tcPr>
          <w:p>
            <w:pPr>
              <w:spacing w:line="360" w:lineRule="auto"/>
              <w:jc w:val="center"/>
              <w:rPr>
                <w:rFonts w:ascii="楷体" w:hAnsi="楷体" w:eastAsia="楷体" w:cs="楷体"/>
                <w:color w:val="auto"/>
                <w:szCs w:val="21"/>
                <w:highlight w:val="none"/>
              </w:rPr>
            </w:pPr>
            <w:r>
              <w:rPr>
                <w:rFonts w:hint="eastAsia" w:ascii="楷体" w:hAnsi="楷体" w:eastAsia="楷体" w:cs="楷体"/>
                <w:color w:val="auto"/>
                <w:szCs w:val="21"/>
                <w:highlight w:val="none"/>
              </w:rPr>
              <w:t>2.2</w:t>
            </w:r>
          </w:p>
        </w:tc>
        <w:tc>
          <w:tcPr>
            <w:tcW w:w="1276" w:type="dxa"/>
            <w:vAlign w:val="center"/>
          </w:tcPr>
          <w:p>
            <w:pPr>
              <w:spacing w:line="360" w:lineRule="auto"/>
              <w:jc w:val="center"/>
              <w:rPr>
                <w:rFonts w:ascii="楷体" w:hAnsi="楷体" w:eastAsia="楷体" w:cs="楷体"/>
                <w:color w:val="auto"/>
                <w:szCs w:val="21"/>
                <w:highlight w:val="none"/>
              </w:rPr>
            </w:pPr>
            <w:r>
              <w:rPr>
                <w:rFonts w:hint="eastAsia" w:ascii="楷体" w:hAnsi="楷体" w:eastAsia="楷体" w:cs="楷体"/>
                <w:color w:val="auto"/>
                <w:szCs w:val="21"/>
                <w:highlight w:val="none"/>
              </w:rPr>
              <w:t>……</w:t>
            </w:r>
          </w:p>
        </w:tc>
        <w:tc>
          <w:tcPr>
            <w:tcW w:w="1985" w:type="dxa"/>
            <w:vAlign w:val="center"/>
          </w:tcPr>
          <w:p>
            <w:pPr>
              <w:spacing w:line="360" w:lineRule="auto"/>
              <w:jc w:val="center"/>
              <w:rPr>
                <w:rFonts w:ascii="楷体" w:hAnsi="楷体" w:eastAsia="楷体" w:cs="楷体"/>
                <w:color w:val="auto"/>
                <w:szCs w:val="21"/>
                <w:highlight w:val="none"/>
                <w:u w:val="single"/>
              </w:rPr>
            </w:pPr>
          </w:p>
        </w:tc>
        <w:tc>
          <w:tcPr>
            <w:tcW w:w="2409" w:type="dxa"/>
            <w:vAlign w:val="center"/>
          </w:tcPr>
          <w:p>
            <w:pPr>
              <w:spacing w:line="360" w:lineRule="auto"/>
              <w:jc w:val="center"/>
              <w:rPr>
                <w:rFonts w:ascii="楷体" w:hAnsi="楷体" w:eastAsia="楷体" w:cs="楷体"/>
                <w:color w:val="auto"/>
                <w:szCs w:val="21"/>
                <w:highlight w:val="none"/>
                <w:u w:val="single"/>
              </w:rPr>
            </w:pPr>
          </w:p>
        </w:tc>
        <w:tc>
          <w:tcPr>
            <w:tcW w:w="1418" w:type="dxa"/>
            <w:vAlign w:val="center"/>
          </w:tcPr>
          <w:p>
            <w:pPr>
              <w:spacing w:line="360" w:lineRule="auto"/>
              <w:jc w:val="center"/>
              <w:rPr>
                <w:rFonts w:ascii="楷体" w:hAnsi="楷体" w:eastAsia="楷体" w:cs="楷体"/>
                <w:color w:val="auto"/>
                <w:szCs w:val="21"/>
                <w:highlight w:val="none"/>
                <w:u w:val="single"/>
              </w:rPr>
            </w:pPr>
          </w:p>
        </w:tc>
        <w:tc>
          <w:tcPr>
            <w:tcW w:w="1882" w:type="dxa"/>
            <w:vAlign w:val="center"/>
          </w:tcPr>
          <w:p>
            <w:pPr>
              <w:spacing w:line="360" w:lineRule="auto"/>
              <w:jc w:val="center"/>
              <w:rPr>
                <w:rFonts w:ascii="楷体" w:hAnsi="楷体" w:eastAsia="楷体" w:cs="楷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675" w:type="dxa"/>
            <w:vAlign w:val="center"/>
          </w:tcPr>
          <w:p>
            <w:pPr>
              <w:spacing w:line="360" w:lineRule="auto"/>
              <w:jc w:val="center"/>
              <w:rPr>
                <w:rFonts w:ascii="楷体" w:hAnsi="楷体" w:eastAsia="楷体" w:cs="楷体"/>
                <w:color w:val="auto"/>
                <w:szCs w:val="21"/>
                <w:highlight w:val="none"/>
              </w:rPr>
            </w:pPr>
            <w:r>
              <w:rPr>
                <w:rFonts w:hint="eastAsia" w:ascii="楷体" w:hAnsi="楷体" w:eastAsia="楷体" w:cs="楷体"/>
                <w:color w:val="auto"/>
                <w:szCs w:val="21"/>
                <w:highlight w:val="none"/>
              </w:rPr>
              <w:t>3</w:t>
            </w:r>
          </w:p>
        </w:tc>
        <w:tc>
          <w:tcPr>
            <w:tcW w:w="7088" w:type="dxa"/>
            <w:gridSpan w:val="4"/>
            <w:vAlign w:val="center"/>
          </w:tcPr>
          <w:p>
            <w:pPr>
              <w:spacing w:line="360" w:lineRule="auto"/>
              <w:jc w:val="center"/>
              <w:rPr>
                <w:rFonts w:ascii="楷体" w:hAnsi="楷体" w:eastAsia="楷体" w:cs="楷体"/>
                <w:color w:val="auto"/>
                <w:szCs w:val="21"/>
                <w:highlight w:val="none"/>
                <w:u w:val="single"/>
              </w:rPr>
            </w:pPr>
            <w:r>
              <w:rPr>
                <w:rFonts w:hint="eastAsia" w:ascii="楷体" w:hAnsi="楷体" w:eastAsia="楷体" w:cs="楷体"/>
                <w:color w:val="auto"/>
                <w:szCs w:val="21"/>
                <w:highlight w:val="none"/>
              </w:rPr>
              <w:t>工程施工费</w:t>
            </w:r>
          </w:p>
        </w:tc>
        <w:tc>
          <w:tcPr>
            <w:tcW w:w="1882" w:type="dxa"/>
            <w:vAlign w:val="center"/>
          </w:tcPr>
          <w:p>
            <w:pPr>
              <w:spacing w:line="360" w:lineRule="auto"/>
              <w:jc w:val="center"/>
              <w:rPr>
                <w:rFonts w:ascii="楷体" w:hAnsi="楷体" w:eastAsia="楷体" w:cs="楷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675" w:type="dxa"/>
            <w:vAlign w:val="center"/>
          </w:tcPr>
          <w:p>
            <w:pPr>
              <w:spacing w:line="360" w:lineRule="auto"/>
              <w:jc w:val="center"/>
              <w:rPr>
                <w:rFonts w:ascii="楷体" w:hAnsi="楷体" w:eastAsia="楷体" w:cs="楷体"/>
                <w:color w:val="auto"/>
                <w:szCs w:val="21"/>
                <w:highlight w:val="none"/>
              </w:rPr>
            </w:pPr>
            <w:r>
              <w:rPr>
                <w:rFonts w:hint="eastAsia" w:ascii="楷体" w:hAnsi="楷体" w:eastAsia="楷体" w:cs="楷体"/>
                <w:color w:val="auto"/>
                <w:szCs w:val="21"/>
                <w:highlight w:val="none"/>
              </w:rPr>
              <w:t>3.1</w:t>
            </w:r>
          </w:p>
        </w:tc>
        <w:tc>
          <w:tcPr>
            <w:tcW w:w="1276" w:type="dxa"/>
            <w:vAlign w:val="center"/>
          </w:tcPr>
          <w:p>
            <w:pPr>
              <w:spacing w:line="360" w:lineRule="auto"/>
              <w:jc w:val="center"/>
              <w:rPr>
                <w:rFonts w:ascii="楷体" w:hAnsi="楷体" w:eastAsia="楷体" w:cs="楷体"/>
                <w:color w:val="auto"/>
                <w:szCs w:val="21"/>
                <w:highlight w:val="none"/>
              </w:rPr>
            </w:pPr>
            <w:r>
              <w:rPr>
                <w:rFonts w:hint="eastAsia" w:ascii="楷体" w:hAnsi="楷体" w:eastAsia="楷体" w:cs="楷体"/>
                <w:color w:val="auto"/>
                <w:szCs w:val="21"/>
                <w:highlight w:val="none"/>
              </w:rPr>
              <w:t>工程施工</w:t>
            </w:r>
          </w:p>
        </w:tc>
        <w:tc>
          <w:tcPr>
            <w:tcW w:w="1985" w:type="dxa"/>
            <w:vAlign w:val="center"/>
          </w:tcPr>
          <w:p>
            <w:pPr>
              <w:spacing w:line="360" w:lineRule="auto"/>
              <w:jc w:val="center"/>
              <w:rPr>
                <w:rFonts w:ascii="楷体" w:hAnsi="楷体" w:eastAsia="楷体" w:cs="楷体"/>
                <w:color w:val="auto"/>
                <w:szCs w:val="21"/>
                <w:highlight w:val="none"/>
                <w:u w:val="single"/>
              </w:rPr>
            </w:pPr>
          </w:p>
        </w:tc>
        <w:tc>
          <w:tcPr>
            <w:tcW w:w="2409" w:type="dxa"/>
            <w:vAlign w:val="center"/>
          </w:tcPr>
          <w:p>
            <w:pPr>
              <w:spacing w:line="360" w:lineRule="auto"/>
              <w:jc w:val="center"/>
              <w:rPr>
                <w:rFonts w:ascii="楷体" w:hAnsi="楷体" w:eastAsia="楷体" w:cs="楷体"/>
                <w:color w:val="auto"/>
                <w:szCs w:val="21"/>
                <w:highlight w:val="none"/>
                <w:u w:val="single"/>
              </w:rPr>
            </w:pPr>
          </w:p>
        </w:tc>
        <w:tc>
          <w:tcPr>
            <w:tcW w:w="1418" w:type="dxa"/>
            <w:vAlign w:val="center"/>
          </w:tcPr>
          <w:p>
            <w:pPr>
              <w:spacing w:line="360" w:lineRule="auto"/>
              <w:jc w:val="center"/>
              <w:rPr>
                <w:rFonts w:ascii="楷体" w:hAnsi="楷体" w:eastAsia="楷体" w:cs="楷体"/>
                <w:color w:val="auto"/>
                <w:szCs w:val="21"/>
                <w:highlight w:val="none"/>
                <w:u w:val="single"/>
              </w:rPr>
            </w:pPr>
          </w:p>
        </w:tc>
        <w:tc>
          <w:tcPr>
            <w:tcW w:w="1882" w:type="dxa"/>
            <w:vAlign w:val="center"/>
          </w:tcPr>
          <w:p>
            <w:pPr>
              <w:spacing w:line="360" w:lineRule="auto"/>
              <w:jc w:val="center"/>
              <w:rPr>
                <w:rFonts w:ascii="楷体" w:hAnsi="楷体" w:eastAsia="楷体" w:cs="楷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675" w:type="dxa"/>
            <w:vAlign w:val="center"/>
          </w:tcPr>
          <w:p>
            <w:pPr>
              <w:spacing w:line="360" w:lineRule="auto"/>
              <w:jc w:val="center"/>
              <w:rPr>
                <w:rFonts w:ascii="楷体" w:hAnsi="楷体" w:eastAsia="楷体" w:cs="楷体"/>
                <w:color w:val="auto"/>
                <w:szCs w:val="21"/>
                <w:highlight w:val="none"/>
              </w:rPr>
            </w:pPr>
            <w:r>
              <w:rPr>
                <w:rFonts w:hint="eastAsia" w:ascii="楷体" w:hAnsi="楷体" w:eastAsia="楷体" w:cs="楷体"/>
                <w:color w:val="auto"/>
                <w:szCs w:val="21"/>
                <w:highlight w:val="none"/>
              </w:rPr>
              <w:t>3.2</w:t>
            </w:r>
          </w:p>
        </w:tc>
        <w:tc>
          <w:tcPr>
            <w:tcW w:w="1276" w:type="dxa"/>
            <w:vAlign w:val="center"/>
          </w:tcPr>
          <w:p>
            <w:pPr>
              <w:spacing w:line="360" w:lineRule="auto"/>
              <w:jc w:val="center"/>
              <w:rPr>
                <w:rFonts w:ascii="楷体" w:hAnsi="楷体" w:eastAsia="楷体" w:cs="楷体"/>
                <w:color w:val="auto"/>
                <w:szCs w:val="21"/>
                <w:highlight w:val="none"/>
              </w:rPr>
            </w:pPr>
            <w:r>
              <w:rPr>
                <w:rFonts w:hint="eastAsia" w:ascii="楷体" w:hAnsi="楷体" w:eastAsia="楷体" w:cs="楷体"/>
                <w:color w:val="auto"/>
                <w:szCs w:val="21"/>
                <w:highlight w:val="none"/>
              </w:rPr>
              <w:t>……</w:t>
            </w:r>
          </w:p>
        </w:tc>
        <w:tc>
          <w:tcPr>
            <w:tcW w:w="1985" w:type="dxa"/>
            <w:vAlign w:val="center"/>
          </w:tcPr>
          <w:p>
            <w:pPr>
              <w:spacing w:line="360" w:lineRule="auto"/>
              <w:jc w:val="center"/>
              <w:rPr>
                <w:rFonts w:ascii="楷体" w:hAnsi="楷体" w:eastAsia="楷体" w:cs="楷体"/>
                <w:color w:val="auto"/>
                <w:szCs w:val="21"/>
                <w:highlight w:val="none"/>
                <w:u w:val="single"/>
              </w:rPr>
            </w:pPr>
          </w:p>
        </w:tc>
        <w:tc>
          <w:tcPr>
            <w:tcW w:w="2409" w:type="dxa"/>
            <w:vAlign w:val="center"/>
          </w:tcPr>
          <w:p>
            <w:pPr>
              <w:spacing w:line="360" w:lineRule="auto"/>
              <w:jc w:val="center"/>
              <w:rPr>
                <w:rFonts w:ascii="楷体" w:hAnsi="楷体" w:eastAsia="楷体" w:cs="楷体"/>
                <w:color w:val="auto"/>
                <w:szCs w:val="21"/>
                <w:highlight w:val="none"/>
                <w:u w:val="single"/>
              </w:rPr>
            </w:pPr>
          </w:p>
        </w:tc>
        <w:tc>
          <w:tcPr>
            <w:tcW w:w="1418" w:type="dxa"/>
            <w:vAlign w:val="center"/>
          </w:tcPr>
          <w:p>
            <w:pPr>
              <w:spacing w:line="360" w:lineRule="auto"/>
              <w:jc w:val="center"/>
              <w:rPr>
                <w:rFonts w:ascii="楷体" w:hAnsi="楷体" w:eastAsia="楷体" w:cs="楷体"/>
                <w:color w:val="auto"/>
                <w:szCs w:val="21"/>
                <w:highlight w:val="none"/>
                <w:u w:val="single"/>
              </w:rPr>
            </w:pPr>
          </w:p>
        </w:tc>
        <w:tc>
          <w:tcPr>
            <w:tcW w:w="1882" w:type="dxa"/>
            <w:vAlign w:val="center"/>
          </w:tcPr>
          <w:p>
            <w:pPr>
              <w:spacing w:line="360" w:lineRule="auto"/>
              <w:jc w:val="center"/>
              <w:rPr>
                <w:rFonts w:ascii="楷体" w:hAnsi="楷体" w:eastAsia="楷体" w:cs="楷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80" w:type="dxa"/>
            <w:vAlign w:val="center"/>
          </w:tcPr>
          <w:p>
            <w:pPr>
              <w:spacing w:line="360" w:lineRule="auto"/>
              <w:jc w:val="center"/>
              <w:rPr>
                <w:rFonts w:ascii="楷体" w:hAnsi="楷体" w:eastAsia="楷体" w:cs="楷体"/>
                <w:color w:val="auto"/>
                <w:szCs w:val="21"/>
                <w:highlight w:val="none"/>
              </w:rPr>
            </w:pPr>
            <w:r>
              <w:rPr>
                <w:rFonts w:hint="eastAsia" w:ascii="楷体" w:hAnsi="楷体" w:eastAsia="楷体" w:cs="楷体"/>
                <w:color w:val="auto"/>
                <w:szCs w:val="21"/>
                <w:highlight w:val="none"/>
              </w:rPr>
              <w:t>4</w:t>
            </w:r>
          </w:p>
        </w:tc>
        <w:tc>
          <w:tcPr>
            <w:tcW w:w="7083" w:type="dxa"/>
            <w:gridSpan w:val="4"/>
            <w:vAlign w:val="center"/>
          </w:tcPr>
          <w:p>
            <w:pPr>
              <w:spacing w:line="360" w:lineRule="auto"/>
              <w:jc w:val="center"/>
              <w:rPr>
                <w:rFonts w:ascii="楷体" w:hAnsi="楷体" w:eastAsia="楷体" w:cs="楷体"/>
                <w:color w:val="auto"/>
                <w:szCs w:val="21"/>
                <w:highlight w:val="none"/>
              </w:rPr>
            </w:pPr>
            <w:r>
              <w:rPr>
                <w:rFonts w:hint="eastAsia" w:ascii="楷体" w:hAnsi="楷体" w:eastAsia="楷体" w:cs="楷体"/>
                <w:color w:val="auto"/>
                <w:szCs w:val="21"/>
                <w:highlight w:val="none"/>
              </w:rPr>
              <w:t>暂列资金</w:t>
            </w:r>
          </w:p>
        </w:tc>
        <w:tc>
          <w:tcPr>
            <w:tcW w:w="1882" w:type="dxa"/>
            <w:vAlign w:val="center"/>
          </w:tcPr>
          <w:p>
            <w:pPr>
              <w:spacing w:line="360" w:lineRule="auto"/>
              <w:jc w:val="center"/>
              <w:rPr>
                <w:rFonts w:ascii="楷体" w:hAnsi="楷体" w:eastAsia="楷体" w:cs="楷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80" w:type="dxa"/>
            <w:vAlign w:val="center"/>
          </w:tcPr>
          <w:p>
            <w:pPr>
              <w:spacing w:line="360" w:lineRule="auto"/>
              <w:jc w:val="center"/>
              <w:rPr>
                <w:rFonts w:ascii="楷体" w:hAnsi="楷体" w:eastAsia="楷体" w:cs="楷体"/>
                <w:color w:val="FF0000"/>
                <w:szCs w:val="21"/>
                <w:highlight w:val="none"/>
              </w:rPr>
            </w:pPr>
            <w:r>
              <w:rPr>
                <w:rFonts w:hint="eastAsia" w:ascii="楷体" w:hAnsi="楷体" w:eastAsia="楷体" w:cs="楷体"/>
                <w:color w:val="FF0000"/>
                <w:szCs w:val="21"/>
                <w:highlight w:val="none"/>
              </w:rPr>
              <w:t>4.1</w:t>
            </w:r>
          </w:p>
        </w:tc>
        <w:tc>
          <w:tcPr>
            <w:tcW w:w="1276" w:type="dxa"/>
            <w:vAlign w:val="center"/>
          </w:tcPr>
          <w:p>
            <w:pPr>
              <w:spacing w:line="360" w:lineRule="auto"/>
              <w:jc w:val="center"/>
              <w:rPr>
                <w:rFonts w:ascii="楷体" w:hAnsi="楷体" w:eastAsia="楷体" w:cs="楷体"/>
                <w:color w:val="FF0000"/>
                <w:szCs w:val="21"/>
                <w:highlight w:val="none"/>
              </w:rPr>
            </w:pPr>
            <w:r>
              <w:rPr>
                <w:rFonts w:hint="eastAsia" w:ascii="楷体" w:hAnsi="楷体" w:eastAsia="楷体" w:cs="楷体"/>
                <w:color w:val="FF0000"/>
                <w:szCs w:val="21"/>
                <w:highlight w:val="none"/>
              </w:rPr>
              <w:t>暂列资金</w:t>
            </w:r>
          </w:p>
        </w:tc>
        <w:tc>
          <w:tcPr>
            <w:tcW w:w="4389" w:type="dxa"/>
            <w:gridSpan w:val="2"/>
            <w:vAlign w:val="center"/>
          </w:tcPr>
          <w:p>
            <w:pPr>
              <w:jc w:val="left"/>
              <w:rPr>
                <w:rFonts w:ascii="楷体" w:hAnsi="楷体" w:eastAsia="楷体" w:cs="楷体"/>
                <w:color w:val="FF0000"/>
                <w:szCs w:val="21"/>
                <w:highlight w:val="none"/>
              </w:rPr>
            </w:pPr>
            <w:r>
              <w:rPr>
                <w:rFonts w:hint="eastAsia" w:ascii="楷体" w:hAnsi="楷体" w:eastAsia="楷体" w:cs="楷体"/>
                <w:color w:val="FF0000"/>
                <w:szCs w:val="21"/>
                <w:highlight w:val="none"/>
              </w:rPr>
              <w:t>暂列金额，不作为承包人费用；当实际发生价格调整后，发生的费用纳入合同总价中，扣除实际发生额后余额归发包人所有。暂列金额按发包人签证认可的价格执行。</w:t>
            </w:r>
          </w:p>
        </w:tc>
        <w:tc>
          <w:tcPr>
            <w:tcW w:w="1418" w:type="dxa"/>
            <w:vAlign w:val="center"/>
          </w:tcPr>
          <w:p>
            <w:pPr>
              <w:spacing w:line="360" w:lineRule="auto"/>
              <w:jc w:val="center"/>
              <w:rPr>
                <w:rFonts w:ascii="楷体" w:hAnsi="楷体" w:eastAsia="楷体" w:cs="楷体"/>
                <w:color w:val="FF0000"/>
                <w:szCs w:val="21"/>
                <w:highlight w:val="none"/>
              </w:rPr>
            </w:pPr>
            <w:r>
              <w:rPr>
                <w:rFonts w:hint="eastAsia" w:ascii="楷体" w:hAnsi="楷体" w:eastAsia="楷体" w:cs="楷体"/>
                <w:color w:val="FF0000"/>
                <w:szCs w:val="21"/>
                <w:highlight w:val="none"/>
              </w:rPr>
              <w:t>150000.00</w:t>
            </w:r>
          </w:p>
        </w:tc>
        <w:tc>
          <w:tcPr>
            <w:tcW w:w="1882" w:type="dxa"/>
            <w:vAlign w:val="center"/>
          </w:tcPr>
          <w:p>
            <w:pPr>
              <w:jc w:val="left"/>
              <w:rPr>
                <w:rFonts w:ascii="楷体" w:hAnsi="楷体" w:eastAsia="楷体" w:cs="楷体"/>
                <w:color w:val="FF0000"/>
                <w:szCs w:val="21"/>
                <w:highlight w:val="none"/>
              </w:rPr>
            </w:pPr>
            <w:r>
              <w:rPr>
                <w:rFonts w:hint="eastAsia" w:ascii="楷体" w:hAnsi="楷体" w:eastAsia="楷体" w:cs="楷体"/>
                <w:color w:val="FF0000"/>
                <w:szCs w:val="21"/>
                <w:highlight w:val="none"/>
              </w:rPr>
              <w:t>各投标人投标时对本项暂列资金不得作任何调整，直接按150000.00元计取。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7763" w:type="dxa"/>
            <w:gridSpan w:val="5"/>
            <w:vAlign w:val="center"/>
          </w:tcPr>
          <w:p>
            <w:pPr>
              <w:spacing w:line="360" w:lineRule="auto"/>
              <w:jc w:val="center"/>
              <w:rPr>
                <w:rFonts w:ascii="楷体" w:hAnsi="楷体" w:eastAsia="楷体" w:cs="楷体"/>
                <w:color w:val="auto"/>
                <w:szCs w:val="21"/>
                <w:highlight w:val="none"/>
              </w:rPr>
            </w:pPr>
            <w:r>
              <w:rPr>
                <w:rFonts w:hint="eastAsia" w:ascii="楷体" w:hAnsi="楷体" w:eastAsia="楷体" w:cs="楷体"/>
                <w:color w:val="auto"/>
                <w:szCs w:val="21"/>
                <w:highlight w:val="none"/>
              </w:rPr>
              <w:t>工程总承包（设计施工一体化）报价</w:t>
            </w:r>
          </w:p>
        </w:tc>
        <w:tc>
          <w:tcPr>
            <w:tcW w:w="1882" w:type="dxa"/>
            <w:vAlign w:val="center"/>
          </w:tcPr>
          <w:p>
            <w:pPr>
              <w:spacing w:line="360" w:lineRule="auto"/>
              <w:jc w:val="center"/>
              <w:rPr>
                <w:rFonts w:ascii="楷体" w:hAnsi="楷体" w:eastAsia="楷体" w:cs="楷体"/>
                <w:color w:val="auto"/>
                <w:szCs w:val="21"/>
                <w:highlight w:val="none"/>
              </w:rPr>
            </w:pPr>
          </w:p>
        </w:tc>
      </w:tr>
    </w:tbl>
    <w:p>
      <w:pPr>
        <w:jc w:val="center"/>
        <w:rPr>
          <w:rFonts w:ascii="楷体" w:hAnsi="楷体" w:eastAsia="楷体" w:cs="楷体"/>
          <w:color w:val="auto"/>
          <w:szCs w:val="21"/>
          <w:highlight w:val="none"/>
        </w:rPr>
      </w:pPr>
    </w:p>
    <w:p>
      <w:pPr>
        <w:spacing w:line="360" w:lineRule="auto"/>
        <w:ind w:left="359" w:leftChars="171" w:firstLine="4410" w:firstLineChars="2100"/>
        <w:rPr>
          <w:rFonts w:ascii="楷体" w:hAnsi="楷体" w:eastAsia="楷体" w:cs="楷体"/>
          <w:color w:val="auto"/>
          <w:szCs w:val="21"/>
          <w:highlight w:val="none"/>
        </w:rPr>
      </w:pPr>
      <w:r>
        <w:rPr>
          <w:rFonts w:hint="eastAsia" w:ascii="楷体" w:hAnsi="楷体" w:eastAsia="楷体" w:cs="楷体"/>
          <w:color w:val="auto"/>
          <w:szCs w:val="21"/>
          <w:highlight w:val="none"/>
        </w:rPr>
        <w:t>投标人：（盖单位章）</w:t>
      </w:r>
    </w:p>
    <w:p>
      <w:pPr>
        <w:spacing w:line="360" w:lineRule="auto"/>
        <w:ind w:left="359" w:leftChars="171" w:firstLine="4410" w:firstLineChars="2100"/>
        <w:rPr>
          <w:rFonts w:ascii="楷体" w:hAnsi="楷体" w:eastAsia="楷体" w:cs="楷体"/>
          <w:color w:val="auto"/>
          <w:szCs w:val="21"/>
          <w:highlight w:val="none"/>
        </w:rPr>
      </w:pPr>
    </w:p>
    <w:p>
      <w:pPr>
        <w:spacing w:line="360" w:lineRule="auto"/>
        <w:ind w:left="359" w:leftChars="171" w:firstLine="3990" w:firstLineChars="1900"/>
        <w:rPr>
          <w:rFonts w:ascii="楷体" w:hAnsi="楷体" w:eastAsia="楷体" w:cs="楷体"/>
          <w:color w:val="auto"/>
          <w:szCs w:val="21"/>
          <w:highlight w:val="none"/>
        </w:rPr>
      </w:pPr>
      <w:r>
        <w:rPr>
          <w:rFonts w:hint="eastAsia" w:ascii="楷体" w:hAnsi="楷体" w:eastAsia="楷体" w:cs="楷体"/>
          <w:color w:val="auto"/>
          <w:szCs w:val="21"/>
          <w:highlight w:val="none"/>
        </w:rPr>
        <w:t>法定代表人或其委托代理人：(签字或盖章)</w:t>
      </w:r>
    </w:p>
    <w:p>
      <w:pPr>
        <w:spacing w:line="360" w:lineRule="auto"/>
        <w:ind w:left="359" w:leftChars="171" w:firstLine="3990" w:firstLineChars="1900"/>
        <w:rPr>
          <w:rFonts w:ascii="楷体" w:hAnsi="楷体" w:eastAsia="楷体" w:cs="楷体"/>
          <w:color w:val="auto"/>
          <w:szCs w:val="21"/>
          <w:highlight w:val="none"/>
        </w:rPr>
      </w:pPr>
    </w:p>
    <w:p>
      <w:pPr>
        <w:wordWrap w:val="0"/>
        <w:spacing w:before="156" w:beforeLines="50" w:after="312" w:afterLines="100" w:line="440" w:lineRule="exact"/>
        <w:jc w:val="right"/>
        <w:rPr>
          <w:rFonts w:ascii="楷体" w:hAnsi="楷体" w:eastAsia="楷体" w:cs="楷体"/>
          <w:color w:val="auto"/>
          <w:highlight w:val="none"/>
        </w:rPr>
      </w:pPr>
      <w:r>
        <w:rPr>
          <w:rFonts w:hint="eastAsia" w:ascii="楷体" w:hAnsi="楷体" w:eastAsia="楷体" w:cs="楷体"/>
          <w:color w:val="auto"/>
          <w:highlight w:val="none"/>
        </w:rPr>
        <w:t xml:space="preserve">  日期:</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年</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月</w:t>
      </w:r>
      <w:r>
        <w:rPr>
          <w:rFonts w:hint="eastAsia" w:ascii="楷体" w:hAnsi="楷体" w:eastAsia="楷体" w:cs="楷体"/>
          <w:color w:val="auto"/>
          <w:szCs w:val="21"/>
          <w:highlight w:val="none"/>
          <w:u w:val="single"/>
        </w:rPr>
        <w:t xml:space="preserve">    </w:t>
      </w:r>
      <w:r>
        <w:rPr>
          <w:rFonts w:hint="eastAsia" w:ascii="楷体" w:hAnsi="楷体" w:eastAsia="楷体" w:cs="楷体"/>
          <w:color w:val="auto"/>
          <w:szCs w:val="21"/>
          <w:highlight w:val="none"/>
        </w:rPr>
        <w:t>日</w:t>
      </w:r>
    </w:p>
    <w:p>
      <w:pPr>
        <w:spacing w:line="360" w:lineRule="auto"/>
        <w:rPr>
          <w:rFonts w:ascii="楷体" w:hAnsi="楷体" w:eastAsia="楷体" w:cs="楷体"/>
          <w:color w:val="auto"/>
          <w:sz w:val="24"/>
          <w:highlight w:val="none"/>
        </w:rPr>
      </w:pPr>
      <w:r>
        <w:rPr>
          <w:rFonts w:hint="eastAsia" w:ascii="楷体" w:hAnsi="楷体" w:eastAsia="楷体" w:cs="楷体"/>
          <w:color w:val="auto"/>
          <w:sz w:val="24"/>
          <w:highlight w:val="none"/>
        </w:rPr>
        <w:t>注：投标报价附表的格式及内容可由招标人根据项目具体情况修改调整。</w:t>
      </w:r>
    </w:p>
    <w:p>
      <w:pPr>
        <w:keepNext/>
        <w:keepLines/>
        <w:spacing w:before="260" w:after="260" w:line="415" w:lineRule="auto"/>
        <w:ind w:firstLine="137" w:firstLineChars="49"/>
        <w:jc w:val="center"/>
        <w:outlineLvl w:val="2"/>
        <w:rPr>
          <w:rFonts w:ascii="楷体" w:hAnsi="楷体" w:eastAsia="楷体" w:cs="楷体"/>
          <w:color w:val="auto"/>
          <w:szCs w:val="21"/>
          <w:highlight w:val="none"/>
        </w:rPr>
      </w:pPr>
      <w:r>
        <w:rPr>
          <w:rFonts w:hint="eastAsia" w:ascii="楷体" w:hAnsi="楷体" w:eastAsia="楷体" w:cs="楷体"/>
          <w:b/>
          <w:color w:val="auto"/>
          <w:sz w:val="28"/>
          <w:highlight w:val="none"/>
        </w:rPr>
        <w:br w:type="page"/>
      </w:r>
    </w:p>
    <w:p>
      <w:pPr>
        <w:pStyle w:val="4"/>
        <w:jc w:val="center"/>
        <w:rPr>
          <w:rFonts w:ascii="楷体" w:hAnsi="楷体" w:eastAsia="楷体" w:cs="楷体"/>
          <w:color w:val="auto"/>
          <w:highlight w:val="none"/>
        </w:rPr>
      </w:pPr>
      <w:bookmarkStart w:id="21" w:name="_Toc21383"/>
      <w:r>
        <w:rPr>
          <w:rFonts w:hint="eastAsia" w:ascii="楷体" w:hAnsi="楷体" w:eastAsia="楷体" w:cs="楷体"/>
          <w:b w:val="0"/>
          <w:color w:val="auto"/>
          <w:highlight w:val="none"/>
        </w:rPr>
        <w:t>各投标分项报价明细表</w:t>
      </w:r>
      <w:bookmarkEnd w:id="21"/>
      <w:r>
        <w:rPr>
          <w:rFonts w:hint="eastAsia" w:ascii="楷体" w:hAnsi="楷体" w:eastAsia="楷体" w:cs="楷体"/>
          <w:b w:val="0"/>
          <w:color w:val="auto"/>
          <w:highlight w:val="none"/>
        </w:rPr>
        <w:t>（</w:t>
      </w:r>
      <w:r>
        <w:rPr>
          <w:rFonts w:hint="eastAsia" w:ascii="楷体" w:hAnsi="楷体" w:eastAsia="楷体" w:cs="楷体"/>
          <w:color w:val="auto"/>
          <w:kern w:val="0"/>
          <w:sz w:val="28"/>
          <w:szCs w:val="28"/>
          <w:highlight w:val="none"/>
        </w:rPr>
        <w:t>已标价工程量清单）</w:t>
      </w:r>
    </w:p>
    <w:p>
      <w:pPr>
        <w:spacing w:line="360" w:lineRule="auto"/>
        <w:ind w:firstLine="490"/>
        <w:jc w:val="center"/>
        <w:rPr>
          <w:rFonts w:ascii="楷体" w:hAnsi="楷体" w:eastAsia="楷体" w:cs="楷体"/>
          <w:color w:val="auto"/>
          <w:kern w:val="0"/>
          <w:sz w:val="28"/>
          <w:szCs w:val="28"/>
          <w:highlight w:val="none"/>
        </w:rPr>
      </w:pPr>
      <w:r>
        <w:rPr>
          <w:rFonts w:hint="eastAsia" w:ascii="楷体" w:hAnsi="楷体" w:eastAsia="楷体" w:cs="楷体"/>
          <w:color w:val="auto"/>
          <w:kern w:val="0"/>
          <w:sz w:val="28"/>
          <w:szCs w:val="28"/>
          <w:highlight w:val="none"/>
        </w:rPr>
        <w:t>（格式自理，参照现行计价规范要求）</w:t>
      </w:r>
    </w:p>
    <w:p>
      <w:pPr>
        <w:spacing w:line="360" w:lineRule="auto"/>
        <w:ind w:right="1260" w:firstLine="3990" w:firstLineChars="1900"/>
        <w:rPr>
          <w:rFonts w:ascii="楷体" w:hAnsi="楷体" w:eastAsia="楷体" w:cs="楷体"/>
          <w:color w:val="auto"/>
          <w:highlight w:val="none"/>
        </w:rPr>
      </w:pPr>
    </w:p>
    <w:p>
      <w:pPr>
        <w:pStyle w:val="30"/>
        <w:tabs>
          <w:tab w:val="left" w:pos="900"/>
        </w:tabs>
        <w:spacing w:line="400" w:lineRule="exact"/>
        <w:ind w:firstLine="0" w:firstLineChars="0"/>
        <w:jc w:val="left"/>
        <w:outlineLvl w:val="0"/>
        <w:rPr>
          <w:rFonts w:ascii="仿宋" w:hAnsi="仿宋" w:eastAsia="仿宋"/>
          <w:color w:val="auto"/>
          <w:kern w:val="0"/>
          <w:sz w:val="28"/>
          <w:szCs w:val="28"/>
          <w:highlight w:val="none"/>
        </w:rPr>
      </w:pPr>
    </w:p>
    <w:sectPr>
      <w:pgSz w:w="11906" w:h="16838"/>
      <w:pgMar w:top="1701" w:right="1418" w:bottom="1440" w:left="141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858313"/>
    </w:sdtPr>
    <w:sdtContent>
      <w:p>
        <w:pPr>
          <w:pStyle w:val="14"/>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single" w:color="auto" w:sz="4" w:space="0"/>
      </w:pBdr>
    </w:pPr>
    <w:r>
      <w:rPr>
        <w:rFonts w:hint="eastAsia" w:eastAsia="隶书"/>
        <w:color w:val="000000"/>
        <w:spacing w:val="40"/>
        <w:sz w:val="21"/>
        <w:szCs w:val="21"/>
      </w:rPr>
      <w:t>2020-049S</w:t>
    </w:r>
    <w:r>
      <w:rPr>
        <w:rFonts w:hint="eastAsia" w:eastAsia="隶书"/>
        <w:color w:val="000000"/>
        <w:spacing w:val="40"/>
        <w:sz w:val="21"/>
        <w:szCs w:val="21"/>
        <w:lang w:val="en-US" w:eastAsia="zh-CN"/>
      </w:rPr>
      <w:t>-01</w:t>
    </w:r>
    <w:r>
      <w:rPr>
        <w:rFonts w:eastAsia="隶书"/>
        <w:color w:val="000000"/>
        <w:spacing w:val="40"/>
        <w:sz w:val="21"/>
        <w:szCs w:val="21"/>
      </w:rPr>
      <w:t>招标文件</w:t>
    </w:r>
  </w:p>
  <w:p>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single" w:color="auto" w:sz="4" w:space="0"/>
      </w:pBdr>
    </w:pPr>
    <w:r>
      <w:rPr>
        <w:rFonts w:hint="eastAsia" w:eastAsia="隶书"/>
        <w:color w:val="000000"/>
        <w:spacing w:val="40"/>
        <w:sz w:val="21"/>
        <w:szCs w:val="21"/>
      </w:rPr>
      <w:t>2020-049S</w:t>
    </w:r>
    <w:r>
      <w:rPr>
        <w:rFonts w:hint="eastAsia" w:eastAsia="隶书"/>
        <w:color w:val="000000"/>
        <w:spacing w:val="40"/>
        <w:sz w:val="21"/>
        <w:szCs w:val="21"/>
        <w:lang w:val="en-US" w:eastAsia="zh-CN"/>
      </w:rPr>
      <w:t>-01</w:t>
    </w:r>
    <w:r>
      <w:rPr>
        <w:rFonts w:eastAsia="隶书"/>
        <w:color w:val="000000"/>
        <w:spacing w:val="40"/>
        <w:sz w:val="21"/>
        <w:szCs w:val="21"/>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385716"/>
    <w:multiLevelType w:val="multilevel"/>
    <w:tmpl w:val="1B385716"/>
    <w:lvl w:ilvl="0" w:tentative="0">
      <w:start w:val="2"/>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789965F2"/>
    <w:multiLevelType w:val="multilevel"/>
    <w:tmpl w:val="789965F2"/>
    <w:lvl w:ilvl="0" w:tentative="0">
      <w:start w:val="1"/>
      <w:numFmt w:val="chineseCounting"/>
      <w:suff w:val="nothing"/>
      <w:lvlText w:val="%1、"/>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5087D"/>
    <w:rsid w:val="0000757E"/>
    <w:rsid w:val="0001164C"/>
    <w:rsid w:val="00011AE2"/>
    <w:rsid w:val="00013E51"/>
    <w:rsid w:val="000153D1"/>
    <w:rsid w:val="0002247A"/>
    <w:rsid w:val="0002673F"/>
    <w:rsid w:val="000318DC"/>
    <w:rsid w:val="00031EAE"/>
    <w:rsid w:val="000376BA"/>
    <w:rsid w:val="0003797F"/>
    <w:rsid w:val="00044B92"/>
    <w:rsid w:val="000461E2"/>
    <w:rsid w:val="00047565"/>
    <w:rsid w:val="000500FB"/>
    <w:rsid w:val="00050C8A"/>
    <w:rsid w:val="000513D7"/>
    <w:rsid w:val="00052B02"/>
    <w:rsid w:val="00054067"/>
    <w:rsid w:val="00061576"/>
    <w:rsid w:val="0006674D"/>
    <w:rsid w:val="000675E0"/>
    <w:rsid w:val="000737B2"/>
    <w:rsid w:val="000738A3"/>
    <w:rsid w:val="00074832"/>
    <w:rsid w:val="000804DE"/>
    <w:rsid w:val="00080B8A"/>
    <w:rsid w:val="00080C74"/>
    <w:rsid w:val="00083C67"/>
    <w:rsid w:val="00085F8D"/>
    <w:rsid w:val="0008794F"/>
    <w:rsid w:val="000918C7"/>
    <w:rsid w:val="000919B1"/>
    <w:rsid w:val="00091F28"/>
    <w:rsid w:val="00092A1C"/>
    <w:rsid w:val="00092D89"/>
    <w:rsid w:val="000A1CCD"/>
    <w:rsid w:val="000A4844"/>
    <w:rsid w:val="000A6CF6"/>
    <w:rsid w:val="000A7B5C"/>
    <w:rsid w:val="000B0EE1"/>
    <w:rsid w:val="000B4700"/>
    <w:rsid w:val="000B52EC"/>
    <w:rsid w:val="000B55DE"/>
    <w:rsid w:val="000B6527"/>
    <w:rsid w:val="000B726D"/>
    <w:rsid w:val="000C00DA"/>
    <w:rsid w:val="000C0EDC"/>
    <w:rsid w:val="000C0F75"/>
    <w:rsid w:val="000C3A0B"/>
    <w:rsid w:val="000C7B78"/>
    <w:rsid w:val="000D14E7"/>
    <w:rsid w:val="000D1A2C"/>
    <w:rsid w:val="000D1CBD"/>
    <w:rsid w:val="000D41B8"/>
    <w:rsid w:val="000D4424"/>
    <w:rsid w:val="000E7051"/>
    <w:rsid w:val="000F03B8"/>
    <w:rsid w:val="000F3684"/>
    <w:rsid w:val="000F5044"/>
    <w:rsid w:val="001050DA"/>
    <w:rsid w:val="00105FDE"/>
    <w:rsid w:val="001135E1"/>
    <w:rsid w:val="00113950"/>
    <w:rsid w:val="001143A1"/>
    <w:rsid w:val="00114568"/>
    <w:rsid w:val="00122C5E"/>
    <w:rsid w:val="00122D66"/>
    <w:rsid w:val="001231A3"/>
    <w:rsid w:val="001319D8"/>
    <w:rsid w:val="00131AC1"/>
    <w:rsid w:val="00132713"/>
    <w:rsid w:val="00133497"/>
    <w:rsid w:val="0014051D"/>
    <w:rsid w:val="001407DC"/>
    <w:rsid w:val="00142AA3"/>
    <w:rsid w:val="001434AA"/>
    <w:rsid w:val="00144D54"/>
    <w:rsid w:val="0014684E"/>
    <w:rsid w:val="001505DC"/>
    <w:rsid w:val="00153DBB"/>
    <w:rsid w:val="0015495A"/>
    <w:rsid w:val="00154E48"/>
    <w:rsid w:val="001550FC"/>
    <w:rsid w:val="00157A8D"/>
    <w:rsid w:val="00161C33"/>
    <w:rsid w:val="00165312"/>
    <w:rsid w:val="00165C49"/>
    <w:rsid w:val="001661BD"/>
    <w:rsid w:val="0017083D"/>
    <w:rsid w:val="0017134C"/>
    <w:rsid w:val="001725D1"/>
    <w:rsid w:val="001810C4"/>
    <w:rsid w:val="0018189F"/>
    <w:rsid w:val="00181C4C"/>
    <w:rsid w:val="0018483C"/>
    <w:rsid w:val="00185854"/>
    <w:rsid w:val="001873B0"/>
    <w:rsid w:val="00187E68"/>
    <w:rsid w:val="001915AE"/>
    <w:rsid w:val="001925D8"/>
    <w:rsid w:val="00195827"/>
    <w:rsid w:val="001A01B1"/>
    <w:rsid w:val="001A1B05"/>
    <w:rsid w:val="001A31F3"/>
    <w:rsid w:val="001A6958"/>
    <w:rsid w:val="001A6D0C"/>
    <w:rsid w:val="001B139E"/>
    <w:rsid w:val="001B32B5"/>
    <w:rsid w:val="001C048B"/>
    <w:rsid w:val="001C34C5"/>
    <w:rsid w:val="001C41C8"/>
    <w:rsid w:val="001C528F"/>
    <w:rsid w:val="001C7CA7"/>
    <w:rsid w:val="001D057D"/>
    <w:rsid w:val="001D1CAC"/>
    <w:rsid w:val="001D246C"/>
    <w:rsid w:val="001D4339"/>
    <w:rsid w:val="001D7082"/>
    <w:rsid w:val="001E2EE7"/>
    <w:rsid w:val="001E327E"/>
    <w:rsid w:val="001E66E7"/>
    <w:rsid w:val="001E72EF"/>
    <w:rsid w:val="001F0F75"/>
    <w:rsid w:val="001F57B5"/>
    <w:rsid w:val="001F67DC"/>
    <w:rsid w:val="0020223D"/>
    <w:rsid w:val="00204EFF"/>
    <w:rsid w:val="002154D0"/>
    <w:rsid w:val="00217EBA"/>
    <w:rsid w:val="00217F79"/>
    <w:rsid w:val="00224A89"/>
    <w:rsid w:val="00226851"/>
    <w:rsid w:val="002278A4"/>
    <w:rsid w:val="00231F9D"/>
    <w:rsid w:val="00232888"/>
    <w:rsid w:val="00242CC1"/>
    <w:rsid w:val="00250A52"/>
    <w:rsid w:val="00250C94"/>
    <w:rsid w:val="002512AD"/>
    <w:rsid w:val="002555C3"/>
    <w:rsid w:val="00255D7A"/>
    <w:rsid w:val="0025705C"/>
    <w:rsid w:val="002628E6"/>
    <w:rsid w:val="00262F96"/>
    <w:rsid w:val="00264FC2"/>
    <w:rsid w:val="002653AA"/>
    <w:rsid w:val="002666F2"/>
    <w:rsid w:val="00266834"/>
    <w:rsid w:val="00267E3C"/>
    <w:rsid w:val="002821D7"/>
    <w:rsid w:val="00282F6F"/>
    <w:rsid w:val="002843DB"/>
    <w:rsid w:val="00285806"/>
    <w:rsid w:val="00285ABF"/>
    <w:rsid w:val="00287DEB"/>
    <w:rsid w:val="00290D91"/>
    <w:rsid w:val="002A1E5A"/>
    <w:rsid w:val="002A27BA"/>
    <w:rsid w:val="002A34EC"/>
    <w:rsid w:val="002A4B60"/>
    <w:rsid w:val="002B2936"/>
    <w:rsid w:val="002B2AED"/>
    <w:rsid w:val="002B6B12"/>
    <w:rsid w:val="002B6E60"/>
    <w:rsid w:val="002B7029"/>
    <w:rsid w:val="002B7C98"/>
    <w:rsid w:val="002C2420"/>
    <w:rsid w:val="002C2BE3"/>
    <w:rsid w:val="002C465E"/>
    <w:rsid w:val="002D0727"/>
    <w:rsid w:val="002D3CD0"/>
    <w:rsid w:val="002D4B8C"/>
    <w:rsid w:val="002D594D"/>
    <w:rsid w:val="002D6414"/>
    <w:rsid w:val="002E45D9"/>
    <w:rsid w:val="002E4DB3"/>
    <w:rsid w:val="002E5A1B"/>
    <w:rsid w:val="002E5CAC"/>
    <w:rsid w:val="002F0AF2"/>
    <w:rsid w:val="002F7130"/>
    <w:rsid w:val="002F71DD"/>
    <w:rsid w:val="00302DB1"/>
    <w:rsid w:val="003036ED"/>
    <w:rsid w:val="003062FC"/>
    <w:rsid w:val="00314BA6"/>
    <w:rsid w:val="003208EC"/>
    <w:rsid w:val="003226E4"/>
    <w:rsid w:val="00324DCE"/>
    <w:rsid w:val="00330BF0"/>
    <w:rsid w:val="003340DF"/>
    <w:rsid w:val="003431B7"/>
    <w:rsid w:val="0034434B"/>
    <w:rsid w:val="003446D1"/>
    <w:rsid w:val="00344ACC"/>
    <w:rsid w:val="00346867"/>
    <w:rsid w:val="00346C72"/>
    <w:rsid w:val="00351FC9"/>
    <w:rsid w:val="00353AF1"/>
    <w:rsid w:val="00353F05"/>
    <w:rsid w:val="00354A4A"/>
    <w:rsid w:val="00355A6B"/>
    <w:rsid w:val="003613A1"/>
    <w:rsid w:val="003618BC"/>
    <w:rsid w:val="00363057"/>
    <w:rsid w:val="00363C5B"/>
    <w:rsid w:val="003652D9"/>
    <w:rsid w:val="0036698E"/>
    <w:rsid w:val="003714F3"/>
    <w:rsid w:val="00372EA1"/>
    <w:rsid w:val="00380B48"/>
    <w:rsid w:val="003815FD"/>
    <w:rsid w:val="00382705"/>
    <w:rsid w:val="00385C64"/>
    <w:rsid w:val="003874D6"/>
    <w:rsid w:val="003977BF"/>
    <w:rsid w:val="003A21A0"/>
    <w:rsid w:val="003A345E"/>
    <w:rsid w:val="003A63FC"/>
    <w:rsid w:val="003A6792"/>
    <w:rsid w:val="003B0FB9"/>
    <w:rsid w:val="003B212E"/>
    <w:rsid w:val="003B7BD1"/>
    <w:rsid w:val="003C0153"/>
    <w:rsid w:val="003C40B0"/>
    <w:rsid w:val="003C47FA"/>
    <w:rsid w:val="003C4C91"/>
    <w:rsid w:val="003D0885"/>
    <w:rsid w:val="003D210A"/>
    <w:rsid w:val="003D22AC"/>
    <w:rsid w:val="003D687B"/>
    <w:rsid w:val="003E0F99"/>
    <w:rsid w:val="003E26F6"/>
    <w:rsid w:val="003E2B82"/>
    <w:rsid w:val="003E5E3A"/>
    <w:rsid w:val="003E6FBF"/>
    <w:rsid w:val="003F50C5"/>
    <w:rsid w:val="003F6B2A"/>
    <w:rsid w:val="00402716"/>
    <w:rsid w:val="0040479B"/>
    <w:rsid w:val="00407A9B"/>
    <w:rsid w:val="00413018"/>
    <w:rsid w:val="00415905"/>
    <w:rsid w:val="0042209E"/>
    <w:rsid w:val="00425678"/>
    <w:rsid w:val="00430024"/>
    <w:rsid w:val="00430B4E"/>
    <w:rsid w:val="0043131B"/>
    <w:rsid w:val="00432A5A"/>
    <w:rsid w:val="0044201E"/>
    <w:rsid w:val="00445171"/>
    <w:rsid w:val="00445196"/>
    <w:rsid w:val="004472D0"/>
    <w:rsid w:val="00451DA0"/>
    <w:rsid w:val="004558AA"/>
    <w:rsid w:val="00461F62"/>
    <w:rsid w:val="004643FC"/>
    <w:rsid w:val="00466707"/>
    <w:rsid w:val="00474400"/>
    <w:rsid w:val="00480876"/>
    <w:rsid w:val="00482639"/>
    <w:rsid w:val="004836F3"/>
    <w:rsid w:val="0048373E"/>
    <w:rsid w:val="00484BA8"/>
    <w:rsid w:val="00485309"/>
    <w:rsid w:val="00485B11"/>
    <w:rsid w:val="004907C6"/>
    <w:rsid w:val="004915A7"/>
    <w:rsid w:val="0049268F"/>
    <w:rsid w:val="00493359"/>
    <w:rsid w:val="004952EF"/>
    <w:rsid w:val="00496197"/>
    <w:rsid w:val="004974D4"/>
    <w:rsid w:val="004A032D"/>
    <w:rsid w:val="004A0B4C"/>
    <w:rsid w:val="004A2405"/>
    <w:rsid w:val="004A3E2E"/>
    <w:rsid w:val="004A50D9"/>
    <w:rsid w:val="004B0390"/>
    <w:rsid w:val="004B16D2"/>
    <w:rsid w:val="004B52AD"/>
    <w:rsid w:val="004C5C6D"/>
    <w:rsid w:val="004C7035"/>
    <w:rsid w:val="004D2A12"/>
    <w:rsid w:val="004D2B27"/>
    <w:rsid w:val="004D608D"/>
    <w:rsid w:val="004E5477"/>
    <w:rsid w:val="004E62A5"/>
    <w:rsid w:val="004F4733"/>
    <w:rsid w:val="004F6AB1"/>
    <w:rsid w:val="0050204E"/>
    <w:rsid w:val="00504B8E"/>
    <w:rsid w:val="00507821"/>
    <w:rsid w:val="00514D32"/>
    <w:rsid w:val="0052086C"/>
    <w:rsid w:val="005217B5"/>
    <w:rsid w:val="005240E4"/>
    <w:rsid w:val="005279FF"/>
    <w:rsid w:val="0053314B"/>
    <w:rsid w:val="005333D9"/>
    <w:rsid w:val="00535763"/>
    <w:rsid w:val="005358C9"/>
    <w:rsid w:val="00535C43"/>
    <w:rsid w:val="005367B6"/>
    <w:rsid w:val="00543B60"/>
    <w:rsid w:val="00544528"/>
    <w:rsid w:val="0055087D"/>
    <w:rsid w:val="00553187"/>
    <w:rsid w:val="005535C4"/>
    <w:rsid w:val="0055616D"/>
    <w:rsid w:val="00560E05"/>
    <w:rsid w:val="00563ACF"/>
    <w:rsid w:val="005648F2"/>
    <w:rsid w:val="005717A1"/>
    <w:rsid w:val="0057497A"/>
    <w:rsid w:val="00575756"/>
    <w:rsid w:val="005768C4"/>
    <w:rsid w:val="00577AF0"/>
    <w:rsid w:val="005839B8"/>
    <w:rsid w:val="00584E66"/>
    <w:rsid w:val="00590A38"/>
    <w:rsid w:val="005910E1"/>
    <w:rsid w:val="00592EC6"/>
    <w:rsid w:val="00596CCE"/>
    <w:rsid w:val="005973C4"/>
    <w:rsid w:val="005A070B"/>
    <w:rsid w:val="005A087C"/>
    <w:rsid w:val="005A121D"/>
    <w:rsid w:val="005A2EBD"/>
    <w:rsid w:val="005A3B6F"/>
    <w:rsid w:val="005A50C1"/>
    <w:rsid w:val="005B0716"/>
    <w:rsid w:val="005B2739"/>
    <w:rsid w:val="005B2BD4"/>
    <w:rsid w:val="005B3F41"/>
    <w:rsid w:val="005C4DF1"/>
    <w:rsid w:val="005D0FD9"/>
    <w:rsid w:val="005D1684"/>
    <w:rsid w:val="005D21D9"/>
    <w:rsid w:val="005E1ECD"/>
    <w:rsid w:val="005F391B"/>
    <w:rsid w:val="005F7330"/>
    <w:rsid w:val="0060483D"/>
    <w:rsid w:val="00611747"/>
    <w:rsid w:val="00613767"/>
    <w:rsid w:val="0061378E"/>
    <w:rsid w:val="00614633"/>
    <w:rsid w:val="006146A4"/>
    <w:rsid w:val="00615CC8"/>
    <w:rsid w:val="0061692E"/>
    <w:rsid w:val="006177DA"/>
    <w:rsid w:val="00617820"/>
    <w:rsid w:val="00626966"/>
    <w:rsid w:val="00626AC1"/>
    <w:rsid w:val="00630417"/>
    <w:rsid w:val="006310D7"/>
    <w:rsid w:val="00640979"/>
    <w:rsid w:val="00644CDE"/>
    <w:rsid w:val="006467AC"/>
    <w:rsid w:val="00646EC7"/>
    <w:rsid w:val="00647189"/>
    <w:rsid w:val="00660407"/>
    <w:rsid w:val="0066057B"/>
    <w:rsid w:val="00660F75"/>
    <w:rsid w:val="00661789"/>
    <w:rsid w:val="00661A62"/>
    <w:rsid w:val="00663088"/>
    <w:rsid w:val="00665AEF"/>
    <w:rsid w:val="00667508"/>
    <w:rsid w:val="006705BB"/>
    <w:rsid w:val="00672106"/>
    <w:rsid w:val="00682CBE"/>
    <w:rsid w:val="00684C8D"/>
    <w:rsid w:val="00687836"/>
    <w:rsid w:val="00687B86"/>
    <w:rsid w:val="00692947"/>
    <w:rsid w:val="00695B44"/>
    <w:rsid w:val="00696896"/>
    <w:rsid w:val="00696E80"/>
    <w:rsid w:val="006A619F"/>
    <w:rsid w:val="006B0230"/>
    <w:rsid w:val="006B11B5"/>
    <w:rsid w:val="006B222D"/>
    <w:rsid w:val="006B398E"/>
    <w:rsid w:val="006B6F62"/>
    <w:rsid w:val="006C1956"/>
    <w:rsid w:val="006C632D"/>
    <w:rsid w:val="006C6D33"/>
    <w:rsid w:val="006D0D29"/>
    <w:rsid w:val="006D2CD8"/>
    <w:rsid w:val="006D30A9"/>
    <w:rsid w:val="006D4616"/>
    <w:rsid w:val="006D4646"/>
    <w:rsid w:val="006D596C"/>
    <w:rsid w:val="006D5D9B"/>
    <w:rsid w:val="006D6C96"/>
    <w:rsid w:val="006E38B4"/>
    <w:rsid w:val="006F055F"/>
    <w:rsid w:val="006F1BED"/>
    <w:rsid w:val="006F3B96"/>
    <w:rsid w:val="006F6673"/>
    <w:rsid w:val="00701270"/>
    <w:rsid w:val="00704CF8"/>
    <w:rsid w:val="007104D3"/>
    <w:rsid w:val="0071468C"/>
    <w:rsid w:val="00720465"/>
    <w:rsid w:val="0072557F"/>
    <w:rsid w:val="00726FB5"/>
    <w:rsid w:val="00731481"/>
    <w:rsid w:val="007371A7"/>
    <w:rsid w:val="007376A4"/>
    <w:rsid w:val="00737E12"/>
    <w:rsid w:val="00740799"/>
    <w:rsid w:val="00740E3D"/>
    <w:rsid w:val="00740E87"/>
    <w:rsid w:val="00742866"/>
    <w:rsid w:val="00750C93"/>
    <w:rsid w:val="00753C19"/>
    <w:rsid w:val="00755535"/>
    <w:rsid w:val="00756DC7"/>
    <w:rsid w:val="007601F3"/>
    <w:rsid w:val="00763421"/>
    <w:rsid w:val="007656DA"/>
    <w:rsid w:val="00765A4B"/>
    <w:rsid w:val="00766765"/>
    <w:rsid w:val="007670A4"/>
    <w:rsid w:val="00771791"/>
    <w:rsid w:val="00773F64"/>
    <w:rsid w:val="007768FC"/>
    <w:rsid w:val="007776D6"/>
    <w:rsid w:val="00782B44"/>
    <w:rsid w:val="00782FDB"/>
    <w:rsid w:val="007925D3"/>
    <w:rsid w:val="00792A7B"/>
    <w:rsid w:val="007937D8"/>
    <w:rsid w:val="007A33B5"/>
    <w:rsid w:val="007A6D2D"/>
    <w:rsid w:val="007B74DA"/>
    <w:rsid w:val="007C017E"/>
    <w:rsid w:val="007C0E98"/>
    <w:rsid w:val="007C187F"/>
    <w:rsid w:val="007C3C7D"/>
    <w:rsid w:val="007C41C6"/>
    <w:rsid w:val="007C5574"/>
    <w:rsid w:val="007D183E"/>
    <w:rsid w:val="007D3230"/>
    <w:rsid w:val="007D7A8E"/>
    <w:rsid w:val="007E0C28"/>
    <w:rsid w:val="007E18DD"/>
    <w:rsid w:val="007E2336"/>
    <w:rsid w:val="007E2589"/>
    <w:rsid w:val="007E5F2C"/>
    <w:rsid w:val="007E62DC"/>
    <w:rsid w:val="007F03E8"/>
    <w:rsid w:val="007F06F8"/>
    <w:rsid w:val="007F35CA"/>
    <w:rsid w:val="007F44FB"/>
    <w:rsid w:val="007F4D38"/>
    <w:rsid w:val="007F6534"/>
    <w:rsid w:val="007F6858"/>
    <w:rsid w:val="0080120E"/>
    <w:rsid w:val="0080251E"/>
    <w:rsid w:val="00803EFC"/>
    <w:rsid w:val="00806070"/>
    <w:rsid w:val="00810D4D"/>
    <w:rsid w:val="00814276"/>
    <w:rsid w:val="00814833"/>
    <w:rsid w:val="00814968"/>
    <w:rsid w:val="00816032"/>
    <w:rsid w:val="008166E5"/>
    <w:rsid w:val="0082104C"/>
    <w:rsid w:val="008211BE"/>
    <w:rsid w:val="00826309"/>
    <w:rsid w:val="00827733"/>
    <w:rsid w:val="00830830"/>
    <w:rsid w:val="00831F6C"/>
    <w:rsid w:val="00832556"/>
    <w:rsid w:val="00835098"/>
    <w:rsid w:val="00843FC2"/>
    <w:rsid w:val="00844204"/>
    <w:rsid w:val="00844BA7"/>
    <w:rsid w:val="00845215"/>
    <w:rsid w:val="00845DB7"/>
    <w:rsid w:val="008461D5"/>
    <w:rsid w:val="00847D06"/>
    <w:rsid w:val="00850FDF"/>
    <w:rsid w:val="0085435A"/>
    <w:rsid w:val="00855DAF"/>
    <w:rsid w:val="00855F39"/>
    <w:rsid w:val="0085601D"/>
    <w:rsid w:val="0085721D"/>
    <w:rsid w:val="0085758A"/>
    <w:rsid w:val="00861284"/>
    <w:rsid w:val="00862A08"/>
    <w:rsid w:val="00862ADB"/>
    <w:rsid w:val="0086493E"/>
    <w:rsid w:val="00866D48"/>
    <w:rsid w:val="0086722A"/>
    <w:rsid w:val="00867FAD"/>
    <w:rsid w:val="0087273F"/>
    <w:rsid w:val="0087500C"/>
    <w:rsid w:val="00876DE4"/>
    <w:rsid w:val="0088157E"/>
    <w:rsid w:val="00882C39"/>
    <w:rsid w:val="00887084"/>
    <w:rsid w:val="008906FD"/>
    <w:rsid w:val="008A0A6E"/>
    <w:rsid w:val="008A4C9B"/>
    <w:rsid w:val="008A69FD"/>
    <w:rsid w:val="008A7511"/>
    <w:rsid w:val="008B269D"/>
    <w:rsid w:val="008B4273"/>
    <w:rsid w:val="008B6463"/>
    <w:rsid w:val="008B7F66"/>
    <w:rsid w:val="008C0245"/>
    <w:rsid w:val="008D181C"/>
    <w:rsid w:val="008D26CC"/>
    <w:rsid w:val="008D3727"/>
    <w:rsid w:val="008D47BF"/>
    <w:rsid w:val="008D4DF3"/>
    <w:rsid w:val="008D6F67"/>
    <w:rsid w:val="008E16BB"/>
    <w:rsid w:val="008E24AA"/>
    <w:rsid w:val="008E3334"/>
    <w:rsid w:val="008E3AC9"/>
    <w:rsid w:val="008E55A1"/>
    <w:rsid w:val="008F48EB"/>
    <w:rsid w:val="009014B0"/>
    <w:rsid w:val="00904244"/>
    <w:rsid w:val="00904A8D"/>
    <w:rsid w:val="00905259"/>
    <w:rsid w:val="00917FED"/>
    <w:rsid w:val="00920C8E"/>
    <w:rsid w:val="009220F8"/>
    <w:rsid w:val="0092282D"/>
    <w:rsid w:val="00930C86"/>
    <w:rsid w:val="00931A08"/>
    <w:rsid w:val="00931A3F"/>
    <w:rsid w:val="00932243"/>
    <w:rsid w:val="00932294"/>
    <w:rsid w:val="009331C1"/>
    <w:rsid w:val="009348DF"/>
    <w:rsid w:val="0093605C"/>
    <w:rsid w:val="00937749"/>
    <w:rsid w:val="00945FE0"/>
    <w:rsid w:val="00947917"/>
    <w:rsid w:val="00950616"/>
    <w:rsid w:val="00951BF5"/>
    <w:rsid w:val="009527F8"/>
    <w:rsid w:val="009530D3"/>
    <w:rsid w:val="009533CD"/>
    <w:rsid w:val="00960919"/>
    <w:rsid w:val="00960D05"/>
    <w:rsid w:val="009652B0"/>
    <w:rsid w:val="009664F6"/>
    <w:rsid w:val="00967C66"/>
    <w:rsid w:val="0097088C"/>
    <w:rsid w:val="0097527C"/>
    <w:rsid w:val="00977C5D"/>
    <w:rsid w:val="00982628"/>
    <w:rsid w:val="009828D1"/>
    <w:rsid w:val="00983D86"/>
    <w:rsid w:val="0098429F"/>
    <w:rsid w:val="00993BC9"/>
    <w:rsid w:val="00994CFA"/>
    <w:rsid w:val="00994D82"/>
    <w:rsid w:val="00996F54"/>
    <w:rsid w:val="00997A72"/>
    <w:rsid w:val="009A07D5"/>
    <w:rsid w:val="009A34AF"/>
    <w:rsid w:val="009A4247"/>
    <w:rsid w:val="009A7688"/>
    <w:rsid w:val="009A77BE"/>
    <w:rsid w:val="009A7959"/>
    <w:rsid w:val="009B0104"/>
    <w:rsid w:val="009B42FB"/>
    <w:rsid w:val="009C351B"/>
    <w:rsid w:val="009C6CFC"/>
    <w:rsid w:val="009C74BC"/>
    <w:rsid w:val="009D25DA"/>
    <w:rsid w:val="009D699E"/>
    <w:rsid w:val="009D6B1A"/>
    <w:rsid w:val="009E1CD4"/>
    <w:rsid w:val="009E335A"/>
    <w:rsid w:val="009E5643"/>
    <w:rsid w:val="009F336C"/>
    <w:rsid w:val="009F3700"/>
    <w:rsid w:val="009F3A35"/>
    <w:rsid w:val="009F4C42"/>
    <w:rsid w:val="009F4D2C"/>
    <w:rsid w:val="009F7995"/>
    <w:rsid w:val="00A00F37"/>
    <w:rsid w:val="00A016CC"/>
    <w:rsid w:val="00A045CA"/>
    <w:rsid w:val="00A049D4"/>
    <w:rsid w:val="00A10EEF"/>
    <w:rsid w:val="00A12AA9"/>
    <w:rsid w:val="00A1386F"/>
    <w:rsid w:val="00A22DF7"/>
    <w:rsid w:val="00A25EB1"/>
    <w:rsid w:val="00A26F05"/>
    <w:rsid w:val="00A2743E"/>
    <w:rsid w:val="00A30C38"/>
    <w:rsid w:val="00A31853"/>
    <w:rsid w:val="00A31868"/>
    <w:rsid w:val="00A330F0"/>
    <w:rsid w:val="00A34435"/>
    <w:rsid w:val="00A35E05"/>
    <w:rsid w:val="00A40E41"/>
    <w:rsid w:val="00A42325"/>
    <w:rsid w:val="00A446E4"/>
    <w:rsid w:val="00A45DCE"/>
    <w:rsid w:val="00A50BAE"/>
    <w:rsid w:val="00A53E46"/>
    <w:rsid w:val="00A645B5"/>
    <w:rsid w:val="00A651AC"/>
    <w:rsid w:val="00A65FFE"/>
    <w:rsid w:val="00A66CE9"/>
    <w:rsid w:val="00A731FC"/>
    <w:rsid w:val="00A81546"/>
    <w:rsid w:val="00A817A1"/>
    <w:rsid w:val="00A911F0"/>
    <w:rsid w:val="00A92C75"/>
    <w:rsid w:val="00A939EC"/>
    <w:rsid w:val="00A94152"/>
    <w:rsid w:val="00A95B8F"/>
    <w:rsid w:val="00AA4699"/>
    <w:rsid w:val="00AB2F23"/>
    <w:rsid w:val="00AB3728"/>
    <w:rsid w:val="00AB399E"/>
    <w:rsid w:val="00AB4A43"/>
    <w:rsid w:val="00AB6F1F"/>
    <w:rsid w:val="00AC001F"/>
    <w:rsid w:val="00AC03DB"/>
    <w:rsid w:val="00AC0AC1"/>
    <w:rsid w:val="00AC1D78"/>
    <w:rsid w:val="00AC6550"/>
    <w:rsid w:val="00AD0771"/>
    <w:rsid w:val="00AD11EB"/>
    <w:rsid w:val="00AD196B"/>
    <w:rsid w:val="00AD1D86"/>
    <w:rsid w:val="00AD2D7B"/>
    <w:rsid w:val="00AD4792"/>
    <w:rsid w:val="00AD53F2"/>
    <w:rsid w:val="00AD5720"/>
    <w:rsid w:val="00AD6286"/>
    <w:rsid w:val="00AE0C12"/>
    <w:rsid w:val="00AF10BE"/>
    <w:rsid w:val="00AF5968"/>
    <w:rsid w:val="00B001D8"/>
    <w:rsid w:val="00B01964"/>
    <w:rsid w:val="00B135DD"/>
    <w:rsid w:val="00B16402"/>
    <w:rsid w:val="00B23653"/>
    <w:rsid w:val="00B27D32"/>
    <w:rsid w:val="00B30382"/>
    <w:rsid w:val="00B30C01"/>
    <w:rsid w:val="00B3439B"/>
    <w:rsid w:val="00B35691"/>
    <w:rsid w:val="00B35BE2"/>
    <w:rsid w:val="00B377A9"/>
    <w:rsid w:val="00B4154D"/>
    <w:rsid w:val="00B42BCC"/>
    <w:rsid w:val="00B46611"/>
    <w:rsid w:val="00B4713F"/>
    <w:rsid w:val="00B475DF"/>
    <w:rsid w:val="00B54246"/>
    <w:rsid w:val="00B56285"/>
    <w:rsid w:val="00B57D6D"/>
    <w:rsid w:val="00B6097B"/>
    <w:rsid w:val="00B624FF"/>
    <w:rsid w:val="00B65A2F"/>
    <w:rsid w:val="00B7199A"/>
    <w:rsid w:val="00B73572"/>
    <w:rsid w:val="00B75CA9"/>
    <w:rsid w:val="00B7677E"/>
    <w:rsid w:val="00B82419"/>
    <w:rsid w:val="00B83151"/>
    <w:rsid w:val="00B8372E"/>
    <w:rsid w:val="00B85746"/>
    <w:rsid w:val="00B91F58"/>
    <w:rsid w:val="00B926C5"/>
    <w:rsid w:val="00B933D3"/>
    <w:rsid w:val="00B97E00"/>
    <w:rsid w:val="00BA2A3C"/>
    <w:rsid w:val="00BA38EB"/>
    <w:rsid w:val="00BA64E3"/>
    <w:rsid w:val="00BB071A"/>
    <w:rsid w:val="00BB1C9F"/>
    <w:rsid w:val="00BB303B"/>
    <w:rsid w:val="00BB616E"/>
    <w:rsid w:val="00BB6348"/>
    <w:rsid w:val="00BB6402"/>
    <w:rsid w:val="00BC318C"/>
    <w:rsid w:val="00BC4DF0"/>
    <w:rsid w:val="00BD1351"/>
    <w:rsid w:val="00BD6126"/>
    <w:rsid w:val="00BE311B"/>
    <w:rsid w:val="00BE6984"/>
    <w:rsid w:val="00BE6B23"/>
    <w:rsid w:val="00BE6DD0"/>
    <w:rsid w:val="00BE7579"/>
    <w:rsid w:val="00BE7604"/>
    <w:rsid w:val="00BF12FB"/>
    <w:rsid w:val="00BF1BC8"/>
    <w:rsid w:val="00BF41D5"/>
    <w:rsid w:val="00BF46E6"/>
    <w:rsid w:val="00BF79A1"/>
    <w:rsid w:val="00C00A1E"/>
    <w:rsid w:val="00C0134F"/>
    <w:rsid w:val="00C0227A"/>
    <w:rsid w:val="00C04383"/>
    <w:rsid w:val="00C07DFC"/>
    <w:rsid w:val="00C1269F"/>
    <w:rsid w:val="00C14933"/>
    <w:rsid w:val="00C27DC5"/>
    <w:rsid w:val="00C27ECB"/>
    <w:rsid w:val="00C3086F"/>
    <w:rsid w:val="00C41BFC"/>
    <w:rsid w:val="00C42B10"/>
    <w:rsid w:val="00C44181"/>
    <w:rsid w:val="00C446DD"/>
    <w:rsid w:val="00C46C68"/>
    <w:rsid w:val="00C47676"/>
    <w:rsid w:val="00C5062D"/>
    <w:rsid w:val="00C51851"/>
    <w:rsid w:val="00C5319A"/>
    <w:rsid w:val="00C53C8C"/>
    <w:rsid w:val="00C55639"/>
    <w:rsid w:val="00C57E2A"/>
    <w:rsid w:val="00C6394D"/>
    <w:rsid w:val="00C6576D"/>
    <w:rsid w:val="00C67092"/>
    <w:rsid w:val="00C70AE5"/>
    <w:rsid w:val="00C70CC3"/>
    <w:rsid w:val="00C71016"/>
    <w:rsid w:val="00C73E9E"/>
    <w:rsid w:val="00C74E4C"/>
    <w:rsid w:val="00C76526"/>
    <w:rsid w:val="00C770FF"/>
    <w:rsid w:val="00C808CB"/>
    <w:rsid w:val="00C83218"/>
    <w:rsid w:val="00C8677C"/>
    <w:rsid w:val="00C90453"/>
    <w:rsid w:val="00C90E03"/>
    <w:rsid w:val="00C91AD6"/>
    <w:rsid w:val="00C92A23"/>
    <w:rsid w:val="00C9458F"/>
    <w:rsid w:val="00C956E8"/>
    <w:rsid w:val="00C965C0"/>
    <w:rsid w:val="00C976A9"/>
    <w:rsid w:val="00CB2243"/>
    <w:rsid w:val="00CC2B9C"/>
    <w:rsid w:val="00CC5006"/>
    <w:rsid w:val="00CD03DA"/>
    <w:rsid w:val="00CD1DB1"/>
    <w:rsid w:val="00CD4217"/>
    <w:rsid w:val="00CD4F96"/>
    <w:rsid w:val="00CD6AF2"/>
    <w:rsid w:val="00CD6C9B"/>
    <w:rsid w:val="00CE597E"/>
    <w:rsid w:val="00CE6ABF"/>
    <w:rsid w:val="00CE7A9F"/>
    <w:rsid w:val="00CF0179"/>
    <w:rsid w:val="00CF0B19"/>
    <w:rsid w:val="00CF178D"/>
    <w:rsid w:val="00CF24FF"/>
    <w:rsid w:val="00D057D7"/>
    <w:rsid w:val="00D110D6"/>
    <w:rsid w:val="00D120CC"/>
    <w:rsid w:val="00D12C22"/>
    <w:rsid w:val="00D13B95"/>
    <w:rsid w:val="00D1407B"/>
    <w:rsid w:val="00D161E5"/>
    <w:rsid w:val="00D212D1"/>
    <w:rsid w:val="00D224EE"/>
    <w:rsid w:val="00D2637C"/>
    <w:rsid w:val="00D26AC6"/>
    <w:rsid w:val="00D27889"/>
    <w:rsid w:val="00D32F7A"/>
    <w:rsid w:val="00D37C5B"/>
    <w:rsid w:val="00D46775"/>
    <w:rsid w:val="00D467EB"/>
    <w:rsid w:val="00D53678"/>
    <w:rsid w:val="00D5389C"/>
    <w:rsid w:val="00D613F0"/>
    <w:rsid w:val="00D616CE"/>
    <w:rsid w:val="00D61F3A"/>
    <w:rsid w:val="00D63AA0"/>
    <w:rsid w:val="00D63FB1"/>
    <w:rsid w:val="00D7031A"/>
    <w:rsid w:val="00D73E2F"/>
    <w:rsid w:val="00D764F1"/>
    <w:rsid w:val="00D80F16"/>
    <w:rsid w:val="00D875D9"/>
    <w:rsid w:val="00D8770C"/>
    <w:rsid w:val="00D91A86"/>
    <w:rsid w:val="00D92BA1"/>
    <w:rsid w:val="00D9424D"/>
    <w:rsid w:val="00D96E46"/>
    <w:rsid w:val="00DA10FF"/>
    <w:rsid w:val="00DA5B8D"/>
    <w:rsid w:val="00DA654E"/>
    <w:rsid w:val="00DA6C66"/>
    <w:rsid w:val="00DA7208"/>
    <w:rsid w:val="00DB2D2D"/>
    <w:rsid w:val="00DB339C"/>
    <w:rsid w:val="00DB34C9"/>
    <w:rsid w:val="00DB6A8F"/>
    <w:rsid w:val="00DC0205"/>
    <w:rsid w:val="00DC0413"/>
    <w:rsid w:val="00DC10A4"/>
    <w:rsid w:val="00DC260F"/>
    <w:rsid w:val="00DC3C58"/>
    <w:rsid w:val="00DC3D61"/>
    <w:rsid w:val="00DC4C5C"/>
    <w:rsid w:val="00DC4FBC"/>
    <w:rsid w:val="00DC6700"/>
    <w:rsid w:val="00DC7131"/>
    <w:rsid w:val="00DD1177"/>
    <w:rsid w:val="00DD7FA1"/>
    <w:rsid w:val="00DE2D86"/>
    <w:rsid w:val="00DE3B2F"/>
    <w:rsid w:val="00DE5B00"/>
    <w:rsid w:val="00DF0C0B"/>
    <w:rsid w:val="00DF24B6"/>
    <w:rsid w:val="00DF45B2"/>
    <w:rsid w:val="00DF4BAC"/>
    <w:rsid w:val="00E01791"/>
    <w:rsid w:val="00E041AC"/>
    <w:rsid w:val="00E05959"/>
    <w:rsid w:val="00E1073E"/>
    <w:rsid w:val="00E12AF9"/>
    <w:rsid w:val="00E13CD5"/>
    <w:rsid w:val="00E144DE"/>
    <w:rsid w:val="00E1466E"/>
    <w:rsid w:val="00E14833"/>
    <w:rsid w:val="00E1569E"/>
    <w:rsid w:val="00E16C85"/>
    <w:rsid w:val="00E2076F"/>
    <w:rsid w:val="00E254A8"/>
    <w:rsid w:val="00E26C89"/>
    <w:rsid w:val="00E311A6"/>
    <w:rsid w:val="00E31C4F"/>
    <w:rsid w:val="00E32CE8"/>
    <w:rsid w:val="00E3655A"/>
    <w:rsid w:val="00E36B28"/>
    <w:rsid w:val="00E40AA4"/>
    <w:rsid w:val="00E41F5F"/>
    <w:rsid w:val="00E42710"/>
    <w:rsid w:val="00E42E42"/>
    <w:rsid w:val="00E522BC"/>
    <w:rsid w:val="00E543F2"/>
    <w:rsid w:val="00E54B57"/>
    <w:rsid w:val="00E616B9"/>
    <w:rsid w:val="00E64B6F"/>
    <w:rsid w:val="00E65924"/>
    <w:rsid w:val="00E7062A"/>
    <w:rsid w:val="00E74B41"/>
    <w:rsid w:val="00E764D1"/>
    <w:rsid w:val="00E80D85"/>
    <w:rsid w:val="00E83C2D"/>
    <w:rsid w:val="00E8601E"/>
    <w:rsid w:val="00E872EE"/>
    <w:rsid w:val="00E876AE"/>
    <w:rsid w:val="00E900E0"/>
    <w:rsid w:val="00E94A81"/>
    <w:rsid w:val="00EA3058"/>
    <w:rsid w:val="00EA7493"/>
    <w:rsid w:val="00EA775B"/>
    <w:rsid w:val="00EB3734"/>
    <w:rsid w:val="00EB4C40"/>
    <w:rsid w:val="00EB4DD9"/>
    <w:rsid w:val="00EB624C"/>
    <w:rsid w:val="00EC1164"/>
    <w:rsid w:val="00EC627E"/>
    <w:rsid w:val="00EE0EDD"/>
    <w:rsid w:val="00EE36B7"/>
    <w:rsid w:val="00EE44EF"/>
    <w:rsid w:val="00EF1422"/>
    <w:rsid w:val="00EF3002"/>
    <w:rsid w:val="00EF3913"/>
    <w:rsid w:val="00EF560F"/>
    <w:rsid w:val="00EF65B0"/>
    <w:rsid w:val="00EF7E75"/>
    <w:rsid w:val="00F004D4"/>
    <w:rsid w:val="00F00CE1"/>
    <w:rsid w:val="00F0125E"/>
    <w:rsid w:val="00F040A4"/>
    <w:rsid w:val="00F046D6"/>
    <w:rsid w:val="00F11003"/>
    <w:rsid w:val="00F1183A"/>
    <w:rsid w:val="00F126E4"/>
    <w:rsid w:val="00F12F5E"/>
    <w:rsid w:val="00F21E90"/>
    <w:rsid w:val="00F226ED"/>
    <w:rsid w:val="00F22CCA"/>
    <w:rsid w:val="00F22FDB"/>
    <w:rsid w:val="00F23FE0"/>
    <w:rsid w:val="00F24FAA"/>
    <w:rsid w:val="00F26F61"/>
    <w:rsid w:val="00F30180"/>
    <w:rsid w:val="00F31047"/>
    <w:rsid w:val="00F32B6F"/>
    <w:rsid w:val="00F35D03"/>
    <w:rsid w:val="00F365FE"/>
    <w:rsid w:val="00F40649"/>
    <w:rsid w:val="00F41D93"/>
    <w:rsid w:val="00F46870"/>
    <w:rsid w:val="00F46B70"/>
    <w:rsid w:val="00F520A9"/>
    <w:rsid w:val="00F52CFF"/>
    <w:rsid w:val="00F536BE"/>
    <w:rsid w:val="00F56943"/>
    <w:rsid w:val="00F61BF6"/>
    <w:rsid w:val="00F620AB"/>
    <w:rsid w:val="00F64545"/>
    <w:rsid w:val="00F67102"/>
    <w:rsid w:val="00F709AA"/>
    <w:rsid w:val="00F71E96"/>
    <w:rsid w:val="00F72BF4"/>
    <w:rsid w:val="00F7590C"/>
    <w:rsid w:val="00F81777"/>
    <w:rsid w:val="00F84D65"/>
    <w:rsid w:val="00F87172"/>
    <w:rsid w:val="00F90D7D"/>
    <w:rsid w:val="00F91E47"/>
    <w:rsid w:val="00F92507"/>
    <w:rsid w:val="00F9428D"/>
    <w:rsid w:val="00F958B9"/>
    <w:rsid w:val="00FA1A74"/>
    <w:rsid w:val="00FA4284"/>
    <w:rsid w:val="00FA5E2E"/>
    <w:rsid w:val="00FB03C5"/>
    <w:rsid w:val="00FB03D3"/>
    <w:rsid w:val="00FB229C"/>
    <w:rsid w:val="00FB2E48"/>
    <w:rsid w:val="00FB428A"/>
    <w:rsid w:val="00FB489B"/>
    <w:rsid w:val="00FB65E1"/>
    <w:rsid w:val="00FB6BB0"/>
    <w:rsid w:val="00FB6EBE"/>
    <w:rsid w:val="00FC219D"/>
    <w:rsid w:val="00FC2A91"/>
    <w:rsid w:val="00FC314E"/>
    <w:rsid w:val="00FC441D"/>
    <w:rsid w:val="00FC4E73"/>
    <w:rsid w:val="00FD65F4"/>
    <w:rsid w:val="00FD71C8"/>
    <w:rsid w:val="00FD74CC"/>
    <w:rsid w:val="00FE2044"/>
    <w:rsid w:val="00FE368A"/>
    <w:rsid w:val="00FF0698"/>
    <w:rsid w:val="00FF2C3D"/>
    <w:rsid w:val="011E15F8"/>
    <w:rsid w:val="0124391B"/>
    <w:rsid w:val="01340364"/>
    <w:rsid w:val="016B2576"/>
    <w:rsid w:val="017079F6"/>
    <w:rsid w:val="017A73A7"/>
    <w:rsid w:val="018D62E5"/>
    <w:rsid w:val="01922DAC"/>
    <w:rsid w:val="01A10813"/>
    <w:rsid w:val="01AA5DCF"/>
    <w:rsid w:val="01C56D4D"/>
    <w:rsid w:val="01CC0385"/>
    <w:rsid w:val="01F4288E"/>
    <w:rsid w:val="02086DD1"/>
    <w:rsid w:val="02096875"/>
    <w:rsid w:val="020F4FEF"/>
    <w:rsid w:val="023C5067"/>
    <w:rsid w:val="023F4004"/>
    <w:rsid w:val="026011A7"/>
    <w:rsid w:val="029D05EB"/>
    <w:rsid w:val="02E15606"/>
    <w:rsid w:val="02E6056C"/>
    <w:rsid w:val="02E66489"/>
    <w:rsid w:val="02EA366D"/>
    <w:rsid w:val="02F076F8"/>
    <w:rsid w:val="02FC0890"/>
    <w:rsid w:val="03017681"/>
    <w:rsid w:val="03213326"/>
    <w:rsid w:val="032E5CFE"/>
    <w:rsid w:val="0353301B"/>
    <w:rsid w:val="03554DFB"/>
    <w:rsid w:val="035F1C34"/>
    <w:rsid w:val="03B33244"/>
    <w:rsid w:val="03BB03F0"/>
    <w:rsid w:val="03C2338C"/>
    <w:rsid w:val="03C44BB5"/>
    <w:rsid w:val="03CA2475"/>
    <w:rsid w:val="04093C09"/>
    <w:rsid w:val="043041D3"/>
    <w:rsid w:val="044A451F"/>
    <w:rsid w:val="046926C7"/>
    <w:rsid w:val="047D3568"/>
    <w:rsid w:val="04930524"/>
    <w:rsid w:val="049A01E1"/>
    <w:rsid w:val="049A6BC0"/>
    <w:rsid w:val="049F746B"/>
    <w:rsid w:val="04C161C2"/>
    <w:rsid w:val="051D57D9"/>
    <w:rsid w:val="052D7AAA"/>
    <w:rsid w:val="0541155C"/>
    <w:rsid w:val="05413F57"/>
    <w:rsid w:val="05431A26"/>
    <w:rsid w:val="054F3468"/>
    <w:rsid w:val="05521A8D"/>
    <w:rsid w:val="05721669"/>
    <w:rsid w:val="05767FB8"/>
    <w:rsid w:val="05804C64"/>
    <w:rsid w:val="058500B4"/>
    <w:rsid w:val="05AC7BF4"/>
    <w:rsid w:val="05CC57C4"/>
    <w:rsid w:val="05DE41BD"/>
    <w:rsid w:val="05F80B9E"/>
    <w:rsid w:val="05F833A7"/>
    <w:rsid w:val="0603174A"/>
    <w:rsid w:val="0614624B"/>
    <w:rsid w:val="062749D2"/>
    <w:rsid w:val="0678078D"/>
    <w:rsid w:val="06821EEF"/>
    <w:rsid w:val="069809AC"/>
    <w:rsid w:val="069D3DEC"/>
    <w:rsid w:val="069D7ED4"/>
    <w:rsid w:val="070D57E4"/>
    <w:rsid w:val="0747226A"/>
    <w:rsid w:val="076D0B83"/>
    <w:rsid w:val="07C35286"/>
    <w:rsid w:val="07C631E6"/>
    <w:rsid w:val="07CB41A4"/>
    <w:rsid w:val="07F61629"/>
    <w:rsid w:val="08124875"/>
    <w:rsid w:val="08154D08"/>
    <w:rsid w:val="08171156"/>
    <w:rsid w:val="082F75FC"/>
    <w:rsid w:val="084349F8"/>
    <w:rsid w:val="08625508"/>
    <w:rsid w:val="089326E0"/>
    <w:rsid w:val="08AC08E6"/>
    <w:rsid w:val="08AD5056"/>
    <w:rsid w:val="08E3343B"/>
    <w:rsid w:val="092154C7"/>
    <w:rsid w:val="09554073"/>
    <w:rsid w:val="09855E02"/>
    <w:rsid w:val="09AD12A0"/>
    <w:rsid w:val="09B15222"/>
    <w:rsid w:val="09BE1F73"/>
    <w:rsid w:val="09C742E1"/>
    <w:rsid w:val="09DD0CF5"/>
    <w:rsid w:val="09E1421F"/>
    <w:rsid w:val="09F930EA"/>
    <w:rsid w:val="09FE52ED"/>
    <w:rsid w:val="09FF54DC"/>
    <w:rsid w:val="0A107962"/>
    <w:rsid w:val="0A1603C1"/>
    <w:rsid w:val="0A245448"/>
    <w:rsid w:val="0A767559"/>
    <w:rsid w:val="0A7C3F6D"/>
    <w:rsid w:val="0A7D3AE6"/>
    <w:rsid w:val="0A9868F9"/>
    <w:rsid w:val="0AB10B02"/>
    <w:rsid w:val="0AC172E9"/>
    <w:rsid w:val="0ACA060F"/>
    <w:rsid w:val="0AD71E9B"/>
    <w:rsid w:val="0B0B5F07"/>
    <w:rsid w:val="0B516F03"/>
    <w:rsid w:val="0B674F8E"/>
    <w:rsid w:val="0B7D3EDE"/>
    <w:rsid w:val="0B89775E"/>
    <w:rsid w:val="0BCE7EA7"/>
    <w:rsid w:val="0BF72E8F"/>
    <w:rsid w:val="0C3928C9"/>
    <w:rsid w:val="0C4718F6"/>
    <w:rsid w:val="0C5B76F5"/>
    <w:rsid w:val="0C9C36D5"/>
    <w:rsid w:val="0CE034C0"/>
    <w:rsid w:val="0CE37539"/>
    <w:rsid w:val="0CF63F41"/>
    <w:rsid w:val="0CFE0FC0"/>
    <w:rsid w:val="0D0374E3"/>
    <w:rsid w:val="0D063A42"/>
    <w:rsid w:val="0D0A572F"/>
    <w:rsid w:val="0D0A6306"/>
    <w:rsid w:val="0D16312A"/>
    <w:rsid w:val="0D1B1559"/>
    <w:rsid w:val="0D1C1711"/>
    <w:rsid w:val="0D555176"/>
    <w:rsid w:val="0D6F0E5D"/>
    <w:rsid w:val="0D7B2231"/>
    <w:rsid w:val="0D887BC6"/>
    <w:rsid w:val="0D960FDF"/>
    <w:rsid w:val="0DB1060F"/>
    <w:rsid w:val="0DEE750B"/>
    <w:rsid w:val="0E0A6D47"/>
    <w:rsid w:val="0E336A16"/>
    <w:rsid w:val="0E64092D"/>
    <w:rsid w:val="0E7D0AB3"/>
    <w:rsid w:val="0E7D5C8D"/>
    <w:rsid w:val="0E963CAB"/>
    <w:rsid w:val="0EA51F74"/>
    <w:rsid w:val="0EAF1251"/>
    <w:rsid w:val="0ED36ED3"/>
    <w:rsid w:val="0EE6002D"/>
    <w:rsid w:val="0EEE1E26"/>
    <w:rsid w:val="0F00375C"/>
    <w:rsid w:val="0F1F39D9"/>
    <w:rsid w:val="0F5302A6"/>
    <w:rsid w:val="0F560D8D"/>
    <w:rsid w:val="0F5764BB"/>
    <w:rsid w:val="0F6257C5"/>
    <w:rsid w:val="0FB42DAE"/>
    <w:rsid w:val="0FBB1C4A"/>
    <w:rsid w:val="0FC41391"/>
    <w:rsid w:val="0FC43940"/>
    <w:rsid w:val="0FDE036F"/>
    <w:rsid w:val="0FEA11FB"/>
    <w:rsid w:val="0FF72380"/>
    <w:rsid w:val="10227FC7"/>
    <w:rsid w:val="1029166D"/>
    <w:rsid w:val="10374968"/>
    <w:rsid w:val="108C1B09"/>
    <w:rsid w:val="10F3457C"/>
    <w:rsid w:val="10FE2ED7"/>
    <w:rsid w:val="11160C7D"/>
    <w:rsid w:val="112B3BA0"/>
    <w:rsid w:val="1155348D"/>
    <w:rsid w:val="116105A8"/>
    <w:rsid w:val="11746A5F"/>
    <w:rsid w:val="11AA42B6"/>
    <w:rsid w:val="11CB3F36"/>
    <w:rsid w:val="11F15383"/>
    <w:rsid w:val="12065192"/>
    <w:rsid w:val="12125307"/>
    <w:rsid w:val="12307741"/>
    <w:rsid w:val="125F51F7"/>
    <w:rsid w:val="12607E18"/>
    <w:rsid w:val="12663C07"/>
    <w:rsid w:val="126C6ADD"/>
    <w:rsid w:val="12706765"/>
    <w:rsid w:val="12A15683"/>
    <w:rsid w:val="12D45BF3"/>
    <w:rsid w:val="12E61DF9"/>
    <w:rsid w:val="132C0FC9"/>
    <w:rsid w:val="13DC1C7A"/>
    <w:rsid w:val="13DF6617"/>
    <w:rsid w:val="13F15A97"/>
    <w:rsid w:val="14127E02"/>
    <w:rsid w:val="141D0B87"/>
    <w:rsid w:val="14CA3D5D"/>
    <w:rsid w:val="14D75725"/>
    <w:rsid w:val="152C1B96"/>
    <w:rsid w:val="156845D9"/>
    <w:rsid w:val="156A2131"/>
    <w:rsid w:val="15A23E67"/>
    <w:rsid w:val="15B74989"/>
    <w:rsid w:val="15F54513"/>
    <w:rsid w:val="15F54AE8"/>
    <w:rsid w:val="16447D78"/>
    <w:rsid w:val="165F5F88"/>
    <w:rsid w:val="16742C11"/>
    <w:rsid w:val="167D64C8"/>
    <w:rsid w:val="168025D4"/>
    <w:rsid w:val="16B243CF"/>
    <w:rsid w:val="16C53D0A"/>
    <w:rsid w:val="16D62715"/>
    <w:rsid w:val="16DB7598"/>
    <w:rsid w:val="16E057F3"/>
    <w:rsid w:val="170A3E8B"/>
    <w:rsid w:val="173B3423"/>
    <w:rsid w:val="17485866"/>
    <w:rsid w:val="174E1EC3"/>
    <w:rsid w:val="174F614E"/>
    <w:rsid w:val="17593F7C"/>
    <w:rsid w:val="17892A1F"/>
    <w:rsid w:val="179C6BA6"/>
    <w:rsid w:val="17B9383D"/>
    <w:rsid w:val="17C75809"/>
    <w:rsid w:val="17E165CB"/>
    <w:rsid w:val="17EB74E7"/>
    <w:rsid w:val="180D7E99"/>
    <w:rsid w:val="18157475"/>
    <w:rsid w:val="185C66AE"/>
    <w:rsid w:val="186B2AA6"/>
    <w:rsid w:val="1876710A"/>
    <w:rsid w:val="187B6074"/>
    <w:rsid w:val="187C3036"/>
    <w:rsid w:val="188D3123"/>
    <w:rsid w:val="18A16C3D"/>
    <w:rsid w:val="18D30298"/>
    <w:rsid w:val="18DC4043"/>
    <w:rsid w:val="18DD0937"/>
    <w:rsid w:val="190D6C99"/>
    <w:rsid w:val="19223429"/>
    <w:rsid w:val="19245762"/>
    <w:rsid w:val="19500F21"/>
    <w:rsid w:val="19601987"/>
    <w:rsid w:val="19690B66"/>
    <w:rsid w:val="197403CC"/>
    <w:rsid w:val="19B429F8"/>
    <w:rsid w:val="19B54A45"/>
    <w:rsid w:val="19B72F86"/>
    <w:rsid w:val="19B85E10"/>
    <w:rsid w:val="19BC22D6"/>
    <w:rsid w:val="19E020B8"/>
    <w:rsid w:val="19E8568F"/>
    <w:rsid w:val="1A0265AC"/>
    <w:rsid w:val="1A0D36FE"/>
    <w:rsid w:val="1A230D00"/>
    <w:rsid w:val="1A3106BF"/>
    <w:rsid w:val="1A5060D4"/>
    <w:rsid w:val="1A5B6C23"/>
    <w:rsid w:val="1A8717B9"/>
    <w:rsid w:val="1AC6787B"/>
    <w:rsid w:val="1ACB0AE0"/>
    <w:rsid w:val="1AE66D1D"/>
    <w:rsid w:val="1AED2EFC"/>
    <w:rsid w:val="1B0D313F"/>
    <w:rsid w:val="1B320224"/>
    <w:rsid w:val="1B547458"/>
    <w:rsid w:val="1B830DA9"/>
    <w:rsid w:val="1BC3044B"/>
    <w:rsid w:val="1BD23808"/>
    <w:rsid w:val="1C1007DD"/>
    <w:rsid w:val="1C3938AC"/>
    <w:rsid w:val="1C3B2B44"/>
    <w:rsid w:val="1C3E68C5"/>
    <w:rsid w:val="1C401C64"/>
    <w:rsid w:val="1C551678"/>
    <w:rsid w:val="1CA677B8"/>
    <w:rsid w:val="1CD6295C"/>
    <w:rsid w:val="1CF20859"/>
    <w:rsid w:val="1D094367"/>
    <w:rsid w:val="1D393F6D"/>
    <w:rsid w:val="1D3C017E"/>
    <w:rsid w:val="1D664BF1"/>
    <w:rsid w:val="1D66642C"/>
    <w:rsid w:val="1D7E641D"/>
    <w:rsid w:val="1D817FD4"/>
    <w:rsid w:val="1D97493F"/>
    <w:rsid w:val="1DA958AD"/>
    <w:rsid w:val="1DB84D0E"/>
    <w:rsid w:val="1DDB774B"/>
    <w:rsid w:val="1DF06B0A"/>
    <w:rsid w:val="1E1A291F"/>
    <w:rsid w:val="1E480074"/>
    <w:rsid w:val="1E6854BC"/>
    <w:rsid w:val="1E6C1F65"/>
    <w:rsid w:val="1E784143"/>
    <w:rsid w:val="1E815BA1"/>
    <w:rsid w:val="1E8B3D11"/>
    <w:rsid w:val="1E9D2721"/>
    <w:rsid w:val="1EBD353A"/>
    <w:rsid w:val="1EC27F75"/>
    <w:rsid w:val="1EC865D8"/>
    <w:rsid w:val="1EDB10BF"/>
    <w:rsid w:val="1EF208C3"/>
    <w:rsid w:val="1EFC4767"/>
    <w:rsid w:val="1F0A1B74"/>
    <w:rsid w:val="1F0C32F6"/>
    <w:rsid w:val="1F0D4C5B"/>
    <w:rsid w:val="1F2018E1"/>
    <w:rsid w:val="1F216636"/>
    <w:rsid w:val="1F49440C"/>
    <w:rsid w:val="1F7478B7"/>
    <w:rsid w:val="1F922306"/>
    <w:rsid w:val="1F93576C"/>
    <w:rsid w:val="1F9D2053"/>
    <w:rsid w:val="1FCB7610"/>
    <w:rsid w:val="200158E4"/>
    <w:rsid w:val="201F614A"/>
    <w:rsid w:val="2036061A"/>
    <w:rsid w:val="20390284"/>
    <w:rsid w:val="204474F4"/>
    <w:rsid w:val="206308DD"/>
    <w:rsid w:val="206B7CFB"/>
    <w:rsid w:val="20782FE0"/>
    <w:rsid w:val="20956654"/>
    <w:rsid w:val="20BF6B4D"/>
    <w:rsid w:val="20CE49E5"/>
    <w:rsid w:val="20EB177E"/>
    <w:rsid w:val="20EC2AB3"/>
    <w:rsid w:val="20F05C86"/>
    <w:rsid w:val="21075EAE"/>
    <w:rsid w:val="21246D50"/>
    <w:rsid w:val="212D6C5B"/>
    <w:rsid w:val="21446D64"/>
    <w:rsid w:val="218E227A"/>
    <w:rsid w:val="219B0E35"/>
    <w:rsid w:val="21B262B5"/>
    <w:rsid w:val="21B97618"/>
    <w:rsid w:val="21C46F29"/>
    <w:rsid w:val="21F82CE7"/>
    <w:rsid w:val="220732D0"/>
    <w:rsid w:val="220F24E7"/>
    <w:rsid w:val="221B1AA1"/>
    <w:rsid w:val="22493602"/>
    <w:rsid w:val="22871F41"/>
    <w:rsid w:val="22E76720"/>
    <w:rsid w:val="231722CF"/>
    <w:rsid w:val="23351427"/>
    <w:rsid w:val="2336234D"/>
    <w:rsid w:val="233D075D"/>
    <w:rsid w:val="235A2118"/>
    <w:rsid w:val="23A302C8"/>
    <w:rsid w:val="23AE428F"/>
    <w:rsid w:val="23CA04FD"/>
    <w:rsid w:val="23EF4F44"/>
    <w:rsid w:val="24017C3E"/>
    <w:rsid w:val="2415044A"/>
    <w:rsid w:val="2426724D"/>
    <w:rsid w:val="24423424"/>
    <w:rsid w:val="246322DC"/>
    <w:rsid w:val="2478400A"/>
    <w:rsid w:val="24A0631A"/>
    <w:rsid w:val="24A977D4"/>
    <w:rsid w:val="24BF6F4D"/>
    <w:rsid w:val="24C87040"/>
    <w:rsid w:val="24FB7B5E"/>
    <w:rsid w:val="251373E6"/>
    <w:rsid w:val="252C7FCF"/>
    <w:rsid w:val="25482D76"/>
    <w:rsid w:val="25572B9A"/>
    <w:rsid w:val="256956B8"/>
    <w:rsid w:val="25830BDD"/>
    <w:rsid w:val="2595447B"/>
    <w:rsid w:val="25AB53AA"/>
    <w:rsid w:val="25CA6E03"/>
    <w:rsid w:val="25D90F8B"/>
    <w:rsid w:val="26015287"/>
    <w:rsid w:val="26106664"/>
    <w:rsid w:val="26205CFD"/>
    <w:rsid w:val="26336CB3"/>
    <w:rsid w:val="263B1339"/>
    <w:rsid w:val="263D681D"/>
    <w:rsid w:val="266807FF"/>
    <w:rsid w:val="268A568C"/>
    <w:rsid w:val="26911AED"/>
    <w:rsid w:val="26984142"/>
    <w:rsid w:val="26AC098C"/>
    <w:rsid w:val="26AF4030"/>
    <w:rsid w:val="26F02FAB"/>
    <w:rsid w:val="272145E0"/>
    <w:rsid w:val="275E3610"/>
    <w:rsid w:val="276A51E0"/>
    <w:rsid w:val="277B3338"/>
    <w:rsid w:val="277E33C0"/>
    <w:rsid w:val="279E6E7F"/>
    <w:rsid w:val="27CC685D"/>
    <w:rsid w:val="27ED72B6"/>
    <w:rsid w:val="27F52CFD"/>
    <w:rsid w:val="280C0039"/>
    <w:rsid w:val="282D258B"/>
    <w:rsid w:val="285E0683"/>
    <w:rsid w:val="28854F72"/>
    <w:rsid w:val="28BA186B"/>
    <w:rsid w:val="28D864E0"/>
    <w:rsid w:val="28E32ED5"/>
    <w:rsid w:val="290D5247"/>
    <w:rsid w:val="294F1A4F"/>
    <w:rsid w:val="29814F03"/>
    <w:rsid w:val="298C0952"/>
    <w:rsid w:val="298D119C"/>
    <w:rsid w:val="29A0418D"/>
    <w:rsid w:val="29B81621"/>
    <w:rsid w:val="29E91BC9"/>
    <w:rsid w:val="29E97234"/>
    <w:rsid w:val="29ED3EB9"/>
    <w:rsid w:val="29F9264C"/>
    <w:rsid w:val="2A45593B"/>
    <w:rsid w:val="2A546A20"/>
    <w:rsid w:val="2A5471DE"/>
    <w:rsid w:val="2ADE530A"/>
    <w:rsid w:val="2AEC38E2"/>
    <w:rsid w:val="2B6B1198"/>
    <w:rsid w:val="2BB2438C"/>
    <w:rsid w:val="2BC22C7B"/>
    <w:rsid w:val="2BCA32A1"/>
    <w:rsid w:val="2C055696"/>
    <w:rsid w:val="2C05599A"/>
    <w:rsid w:val="2C070392"/>
    <w:rsid w:val="2C2D2F9C"/>
    <w:rsid w:val="2C551389"/>
    <w:rsid w:val="2C863751"/>
    <w:rsid w:val="2CB2362F"/>
    <w:rsid w:val="2CC35888"/>
    <w:rsid w:val="2CDC700C"/>
    <w:rsid w:val="2CE6404C"/>
    <w:rsid w:val="2CEB1449"/>
    <w:rsid w:val="2D4D5DA6"/>
    <w:rsid w:val="2D883B0E"/>
    <w:rsid w:val="2D8B3A56"/>
    <w:rsid w:val="2D9655B5"/>
    <w:rsid w:val="2D9B4C43"/>
    <w:rsid w:val="2DB60C0D"/>
    <w:rsid w:val="2DB66DAF"/>
    <w:rsid w:val="2DBB37E0"/>
    <w:rsid w:val="2DC216BD"/>
    <w:rsid w:val="2DED7AC1"/>
    <w:rsid w:val="2DF55C0B"/>
    <w:rsid w:val="2E007F3F"/>
    <w:rsid w:val="2E034032"/>
    <w:rsid w:val="2E110ADE"/>
    <w:rsid w:val="2E29498D"/>
    <w:rsid w:val="2E2E141D"/>
    <w:rsid w:val="2E514620"/>
    <w:rsid w:val="2E521653"/>
    <w:rsid w:val="2E592D3C"/>
    <w:rsid w:val="2E6D15F0"/>
    <w:rsid w:val="2E7B7104"/>
    <w:rsid w:val="2E7C7DB1"/>
    <w:rsid w:val="2E926146"/>
    <w:rsid w:val="2E9E2680"/>
    <w:rsid w:val="2EB7183E"/>
    <w:rsid w:val="2EBF5D80"/>
    <w:rsid w:val="2EC67B81"/>
    <w:rsid w:val="2EDC5325"/>
    <w:rsid w:val="2EED184C"/>
    <w:rsid w:val="2EF32DF2"/>
    <w:rsid w:val="2F946053"/>
    <w:rsid w:val="2FB111C0"/>
    <w:rsid w:val="2FB250EE"/>
    <w:rsid w:val="2FBE1727"/>
    <w:rsid w:val="300A04DE"/>
    <w:rsid w:val="302A58D2"/>
    <w:rsid w:val="3034564F"/>
    <w:rsid w:val="30605100"/>
    <w:rsid w:val="306B6815"/>
    <w:rsid w:val="307811E2"/>
    <w:rsid w:val="308B7EDE"/>
    <w:rsid w:val="308C1105"/>
    <w:rsid w:val="308D292D"/>
    <w:rsid w:val="30996E7C"/>
    <w:rsid w:val="30BB7024"/>
    <w:rsid w:val="30E363D4"/>
    <w:rsid w:val="30E72B9B"/>
    <w:rsid w:val="31386DF1"/>
    <w:rsid w:val="31461845"/>
    <w:rsid w:val="3175576D"/>
    <w:rsid w:val="319B49F2"/>
    <w:rsid w:val="31DA1919"/>
    <w:rsid w:val="31DB702A"/>
    <w:rsid w:val="31ED18E3"/>
    <w:rsid w:val="31EE3D4C"/>
    <w:rsid w:val="322B69F3"/>
    <w:rsid w:val="32997C5C"/>
    <w:rsid w:val="329F5D83"/>
    <w:rsid w:val="32AE67FE"/>
    <w:rsid w:val="32BF1974"/>
    <w:rsid w:val="32C40656"/>
    <w:rsid w:val="32D77EED"/>
    <w:rsid w:val="32EF63BD"/>
    <w:rsid w:val="3300581E"/>
    <w:rsid w:val="331204DD"/>
    <w:rsid w:val="332D317D"/>
    <w:rsid w:val="3371460F"/>
    <w:rsid w:val="338623B5"/>
    <w:rsid w:val="33897800"/>
    <w:rsid w:val="33C12B14"/>
    <w:rsid w:val="33C62FB3"/>
    <w:rsid w:val="33C77CE4"/>
    <w:rsid w:val="342111CC"/>
    <w:rsid w:val="347608AD"/>
    <w:rsid w:val="34B45F97"/>
    <w:rsid w:val="34C533CE"/>
    <w:rsid w:val="34DE1476"/>
    <w:rsid w:val="34E7797D"/>
    <w:rsid w:val="350100F6"/>
    <w:rsid w:val="35081CE0"/>
    <w:rsid w:val="353225AF"/>
    <w:rsid w:val="35330164"/>
    <w:rsid w:val="35372BEB"/>
    <w:rsid w:val="357D18D4"/>
    <w:rsid w:val="3583106D"/>
    <w:rsid w:val="35833B30"/>
    <w:rsid w:val="35842642"/>
    <w:rsid w:val="358D6E27"/>
    <w:rsid w:val="35AB1587"/>
    <w:rsid w:val="35DD7083"/>
    <w:rsid w:val="35EF3E0E"/>
    <w:rsid w:val="35FB01E4"/>
    <w:rsid w:val="35FC2475"/>
    <w:rsid w:val="36000DEE"/>
    <w:rsid w:val="361075AA"/>
    <w:rsid w:val="3619247E"/>
    <w:rsid w:val="361C32E3"/>
    <w:rsid w:val="362D1EA8"/>
    <w:rsid w:val="363B4F21"/>
    <w:rsid w:val="36452244"/>
    <w:rsid w:val="365325D3"/>
    <w:rsid w:val="36604074"/>
    <w:rsid w:val="367A4AE9"/>
    <w:rsid w:val="36C733A6"/>
    <w:rsid w:val="36CD210D"/>
    <w:rsid w:val="36CF0F85"/>
    <w:rsid w:val="36F24313"/>
    <w:rsid w:val="37081216"/>
    <w:rsid w:val="37096D47"/>
    <w:rsid w:val="37167A3C"/>
    <w:rsid w:val="37176A8D"/>
    <w:rsid w:val="371C4C0A"/>
    <w:rsid w:val="372F0C76"/>
    <w:rsid w:val="37332780"/>
    <w:rsid w:val="37420241"/>
    <w:rsid w:val="37461637"/>
    <w:rsid w:val="37906037"/>
    <w:rsid w:val="37B107DF"/>
    <w:rsid w:val="37EC2340"/>
    <w:rsid w:val="383306CA"/>
    <w:rsid w:val="388F3360"/>
    <w:rsid w:val="38B60CED"/>
    <w:rsid w:val="38C66435"/>
    <w:rsid w:val="38C72C82"/>
    <w:rsid w:val="38D0712F"/>
    <w:rsid w:val="390147D5"/>
    <w:rsid w:val="3903199B"/>
    <w:rsid w:val="391E4543"/>
    <w:rsid w:val="39297CD8"/>
    <w:rsid w:val="393F06F5"/>
    <w:rsid w:val="39555064"/>
    <w:rsid w:val="39556ABF"/>
    <w:rsid w:val="39800FD4"/>
    <w:rsid w:val="39DB0183"/>
    <w:rsid w:val="39E16FE0"/>
    <w:rsid w:val="39F7145B"/>
    <w:rsid w:val="3A084041"/>
    <w:rsid w:val="3A0C5A88"/>
    <w:rsid w:val="3A180BCE"/>
    <w:rsid w:val="3A22197C"/>
    <w:rsid w:val="3A3D6BEF"/>
    <w:rsid w:val="3A3E0FB0"/>
    <w:rsid w:val="3A7D1465"/>
    <w:rsid w:val="3AC6747A"/>
    <w:rsid w:val="3AC8207F"/>
    <w:rsid w:val="3AD0228D"/>
    <w:rsid w:val="3AF172AC"/>
    <w:rsid w:val="3B0E1595"/>
    <w:rsid w:val="3B22543A"/>
    <w:rsid w:val="3B311067"/>
    <w:rsid w:val="3B513B97"/>
    <w:rsid w:val="3B6C3AF0"/>
    <w:rsid w:val="3B7458C1"/>
    <w:rsid w:val="3B8C10A4"/>
    <w:rsid w:val="3BA5009C"/>
    <w:rsid w:val="3BE00A47"/>
    <w:rsid w:val="3C0E4B8A"/>
    <w:rsid w:val="3C1E52CF"/>
    <w:rsid w:val="3C3057C7"/>
    <w:rsid w:val="3C522796"/>
    <w:rsid w:val="3C8056A3"/>
    <w:rsid w:val="3CA95D3D"/>
    <w:rsid w:val="3CBB2089"/>
    <w:rsid w:val="3CBE6F6D"/>
    <w:rsid w:val="3CC83A56"/>
    <w:rsid w:val="3CCC31AE"/>
    <w:rsid w:val="3CF30D75"/>
    <w:rsid w:val="3D1F4448"/>
    <w:rsid w:val="3DA151C8"/>
    <w:rsid w:val="3DC00F9C"/>
    <w:rsid w:val="3DCF21E6"/>
    <w:rsid w:val="3DCF76E3"/>
    <w:rsid w:val="3E0301DA"/>
    <w:rsid w:val="3E1B096F"/>
    <w:rsid w:val="3E2B66F1"/>
    <w:rsid w:val="3E2F3297"/>
    <w:rsid w:val="3E432B3C"/>
    <w:rsid w:val="3E440CAA"/>
    <w:rsid w:val="3E6C6867"/>
    <w:rsid w:val="3E8767C6"/>
    <w:rsid w:val="3EDC70DA"/>
    <w:rsid w:val="3EEA6653"/>
    <w:rsid w:val="3EF04227"/>
    <w:rsid w:val="3EFA31EB"/>
    <w:rsid w:val="3F1F063F"/>
    <w:rsid w:val="3F344A27"/>
    <w:rsid w:val="3F395DA7"/>
    <w:rsid w:val="3F3D1A00"/>
    <w:rsid w:val="3F693D1E"/>
    <w:rsid w:val="3F7C08BE"/>
    <w:rsid w:val="3F8C4BB5"/>
    <w:rsid w:val="3FAF1BDB"/>
    <w:rsid w:val="3FAF36F8"/>
    <w:rsid w:val="3FFC3435"/>
    <w:rsid w:val="3FFC3589"/>
    <w:rsid w:val="402F10B7"/>
    <w:rsid w:val="40BE135F"/>
    <w:rsid w:val="40C84DC0"/>
    <w:rsid w:val="40E63087"/>
    <w:rsid w:val="40EE74C4"/>
    <w:rsid w:val="41021FF2"/>
    <w:rsid w:val="41115EFD"/>
    <w:rsid w:val="413B7C4F"/>
    <w:rsid w:val="41650D3E"/>
    <w:rsid w:val="41662BF3"/>
    <w:rsid w:val="417047AC"/>
    <w:rsid w:val="417D2BF0"/>
    <w:rsid w:val="41A87384"/>
    <w:rsid w:val="41D74163"/>
    <w:rsid w:val="41EC7D00"/>
    <w:rsid w:val="420402E9"/>
    <w:rsid w:val="42040900"/>
    <w:rsid w:val="42531840"/>
    <w:rsid w:val="42856D8B"/>
    <w:rsid w:val="429814D9"/>
    <w:rsid w:val="42A677C5"/>
    <w:rsid w:val="42B73177"/>
    <w:rsid w:val="42D66CA8"/>
    <w:rsid w:val="42FE679E"/>
    <w:rsid w:val="43131DC9"/>
    <w:rsid w:val="43315492"/>
    <w:rsid w:val="4363130B"/>
    <w:rsid w:val="43C42B2A"/>
    <w:rsid w:val="43D80BD9"/>
    <w:rsid w:val="43DD39C4"/>
    <w:rsid w:val="43E1472A"/>
    <w:rsid w:val="43EB49D6"/>
    <w:rsid w:val="44070D31"/>
    <w:rsid w:val="44551294"/>
    <w:rsid w:val="446620DC"/>
    <w:rsid w:val="44994749"/>
    <w:rsid w:val="44B17375"/>
    <w:rsid w:val="44CB06C6"/>
    <w:rsid w:val="44D96A59"/>
    <w:rsid w:val="450F03E2"/>
    <w:rsid w:val="451413DC"/>
    <w:rsid w:val="455F04A3"/>
    <w:rsid w:val="458A0E9B"/>
    <w:rsid w:val="45AA21AA"/>
    <w:rsid w:val="45B03354"/>
    <w:rsid w:val="45BE3AA1"/>
    <w:rsid w:val="45D13135"/>
    <w:rsid w:val="45D77AC2"/>
    <w:rsid w:val="460D03A3"/>
    <w:rsid w:val="46170337"/>
    <w:rsid w:val="46AA1672"/>
    <w:rsid w:val="46FA7089"/>
    <w:rsid w:val="4709536A"/>
    <w:rsid w:val="47346345"/>
    <w:rsid w:val="474C22E0"/>
    <w:rsid w:val="475F108B"/>
    <w:rsid w:val="479E0BF9"/>
    <w:rsid w:val="47CC2CBF"/>
    <w:rsid w:val="47E859E5"/>
    <w:rsid w:val="48015AC2"/>
    <w:rsid w:val="48026040"/>
    <w:rsid w:val="4806597B"/>
    <w:rsid w:val="4818686D"/>
    <w:rsid w:val="48290EA1"/>
    <w:rsid w:val="482F00F2"/>
    <w:rsid w:val="483766CD"/>
    <w:rsid w:val="485D3FFB"/>
    <w:rsid w:val="485E3463"/>
    <w:rsid w:val="48875E19"/>
    <w:rsid w:val="48941192"/>
    <w:rsid w:val="48985421"/>
    <w:rsid w:val="48A90E72"/>
    <w:rsid w:val="48B66A37"/>
    <w:rsid w:val="48C76687"/>
    <w:rsid w:val="48D90BAA"/>
    <w:rsid w:val="48F60966"/>
    <w:rsid w:val="48F71B49"/>
    <w:rsid w:val="49022E3C"/>
    <w:rsid w:val="493A64D3"/>
    <w:rsid w:val="494A65AA"/>
    <w:rsid w:val="49563556"/>
    <w:rsid w:val="495B46CC"/>
    <w:rsid w:val="49777E12"/>
    <w:rsid w:val="49791ED9"/>
    <w:rsid w:val="4994738B"/>
    <w:rsid w:val="49B11360"/>
    <w:rsid w:val="49BA4E94"/>
    <w:rsid w:val="49C47816"/>
    <w:rsid w:val="49D96ACF"/>
    <w:rsid w:val="49FA32DA"/>
    <w:rsid w:val="49FF6276"/>
    <w:rsid w:val="4A0E54CD"/>
    <w:rsid w:val="4A106B86"/>
    <w:rsid w:val="4A3657BB"/>
    <w:rsid w:val="4A4354C2"/>
    <w:rsid w:val="4A474308"/>
    <w:rsid w:val="4A5934BB"/>
    <w:rsid w:val="4A6855C7"/>
    <w:rsid w:val="4A720EEF"/>
    <w:rsid w:val="4A8926F4"/>
    <w:rsid w:val="4AA91B97"/>
    <w:rsid w:val="4AAF31B1"/>
    <w:rsid w:val="4AD706A1"/>
    <w:rsid w:val="4B434E7D"/>
    <w:rsid w:val="4B6603D5"/>
    <w:rsid w:val="4B7E054D"/>
    <w:rsid w:val="4B8E5A73"/>
    <w:rsid w:val="4B9716E8"/>
    <w:rsid w:val="4B981AFB"/>
    <w:rsid w:val="4BFB0D39"/>
    <w:rsid w:val="4C165BC1"/>
    <w:rsid w:val="4C2E031D"/>
    <w:rsid w:val="4C2E05AB"/>
    <w:rsid w:val="4C3460DC"/>
    <w:rsid w:val="4C751E30"/>
    <w:rsid w:val="4C7B2918"/>
    <w:rsid w:val="4C860DF1"/>
    <w:rsid w:val="4C93465E"/>
    <w:rsid w:val="4C940FE0"/>
    <w:rsid w:val="4C9D4189"/>
    <w:rsid w:val="4CEE7232"/>
    <w:rsid w:val="4D1D334B"/>
    <w:rsid w:val="4D1F5259"/>
    <w:rsid w:val="4D310CE0"/>
    <w:rsid w:val="4D6B61CD"/>
    <w:rsid w:val="4D7609DC"/>
    <w:rsid w:val="4D764358"/>
    <w:rsid w:val="4D910628"/>
    <w:rsid w:val="4DA274F8"/>
    <w:rsid w:val="4DCB4C25"/>
    <w:rsid w:val="4DCD485F"/>
    <w:rsid w:val="4DEC7F03"/>
    <w:rsid w:val="4DF1748A"/>
    <w:rsid w:val="4DF9198D"/>
    <w:rsid w:val="4E19786B"/>
    <w:rsid w:val="4E3C460A"/>
    <w:rsid w:val="4E3E69BC"/>
    <w:rsid w:val="4E3F10A8"/>
    <w:rsid w:val="4E405EE6"/>
    <w:rsid w:val="4E4B26D4"/>
    <w:rsid w:val="4E547C4C"/>
    <w:rsid w:val="4E6B3D76"/>
    <w:rsid w:val="4E751922"/>
    <w:rsid w:val="4E7F48DD"/>
    <w:rsid w:val="4E846489"/>
    <w:rsid w:val="4E874D01"/>
    <w:rsid w:val="4E8A1E20"/>
    <w:rsid w:val="4E931ECD"/>
    <w:rsid w:val="4EAD4950"/>
    <w:rsid w:val="4EB34DD0"/>
    <w:rsid w:val="4ECE788B"/>
    <w:rsid w:val="4EDE4786"/>
    <w:rsid w:val="4F1E5F93"/>
    <w:rsid w:val="4F5416EE"/>
    <w:rsid w:val="4F573C87"/>
    <w:rsid w:val="4F5802AB"/>
    <w:rsid w:val="4F604D99"/>
    <w:rsid w:val="4F6F1C9B"/>
    <w:rsid w:val="4F94265F"/>
    <w:rsid w:val="4F9B3E73"/>
    <w:rsid w:val="4FAF1E86"/>
    <w:rsid w:val="4FE517DB"/>
    <w:rsid w:val="50181D1A"/>
    <w:rsid w:val="502E4BEA"/>
    <w:rsid w:val="505A2966"/>
    <w:rsid w:val="507B2640"/>
    <w:rsid w:val="508B5174"/>
    <w:rsid w:val="50A8231C"/>
    <w:rsid w:val="50B05815"/>
    <w:rsid w:val="50F966D4"/>
    <w:rsid w:val="50FE62A2"/>
    <w:rsid w:val="51021F59"/>
    <w:rsid w:val="51032870"/>
    <w:rsid w:val="51062C7C"/>
    <w:rsid w:val="510A1923"/>
    <w:rsid w:val="5120599C"/>
    <w:rsid w:val="51205C57"/>
    <w:rsid w:val="5145465F"/>
    <w:rsid w:val="515E708D"/>
    <w:rsid w:val="5169663D"/>
    <w:rsid w:val="51C80F05"/>
    <w:rsid w:val="51E03A19"/>
    <w:rsid w:val="51EE75D5"/>
    <w:rsid w:val="52563E44"/>
    <w:rsid w:val="527F2428"/>
    <w:rsid w:val="52870E84"/>
    <w:rsid w:val="52BC1638"/>
    <w:rsid w:val="52D070F5"/>
    <w:rsid w:val="52D723B0"/>
    <w:rsid w:val="52FF75B0"/>
    <w:rsid w:val="534E0590"/>
    <w:rsid w:val="53AA405D"/>
    <w:rsid w:val="53AD4E07"/>
    <w:rsid w:val="53AE1EDD"/>
    <w:rsid w:val="53E64495"/>
    <w:rsid w:val="540727CA"/>
    <w:rsid w:val="5415503F"/>
    <w:rsid w:val="543E07CB"/>
    <w:rsid w:val="54473411"/>
    <w:rsid w:val="54546A52"/>
    <w:rsid w:val="54B61333"/>
    <w:rsid w:val="54B655F7"/>
    <w:rsid w:val="54CD13A5"/>
    <w:rsid w:val="54CE60A9"/>
    <w:rsid w:val="54D71C0F"/>
    <w:rsid w:val="54D84798"/>
    <w:rsid w:val="552134EF"/>
    <w:rsid w:val="55346F44"/>
    <w:rsid w:val="556548A8"/>
    <w:rsid w:val="556B26A8"/>
    <w:rsid w:val="556E70B3"/>
    <w:rsid w:val="55780BB3"/>
    <w:rsid w:val="557E5388"/>
    <w:rsid w:val="558420D1"/>
    <w:rsid w:val="559D25E7"/>
    <w:rsid w:val="55B8599C"/>
    <w:rsid w:val="55C51D6D"/>
    <w:rsid w:val="55EC16DE"/>
    <w:rsid w:val="55F425D1"/>
    <w:rsid w:val="55FB7AE9"/>
    <w:rsid w:val="56197DD7"/>
    <w:rsid w:val="56281897"/>
    <w:rsid w:val="564C3BAF"/>
    <w:rsid w:val="567C73D4"/>
    <w:rsid w:val="56971C9D"/>
    <w:rsid w:val="56A13FD5"/>
    <w:rsid w:val="56AF212C"/>
    <w:rsid w:val="56B22FD9"/>
    <w:rsid w:val="56CD35B6"/>
    <w:rsid w:val="56CD5DF2"/>
    <w:rsid w:val="56EF0E1E"/>
    <w:rsid w:val="56F55E75"/>
    <w:rsid w:val="57085025"/>
    <w:rsid w:val="570925BD"/>
    <w:rsid w:val="57237389"/>
    <w:rsid w:val="574A01C9"/>
    <w:rsid w:val="57683EB8"/>
    <w:rsid w:val="578010DD"/>
    <w:rsid w:val="57A51515"/>
    <w:rsid w:val="57C970C0"/>
    <w:rsid w:val="57CD20EB"/>
    <w:rsid w:val="57F8518C"/>
    <w:rsid w:val="58055912"/>
    <w:rsid w:val="580F5F80"/>
    <w:rsid w:val="584136A9"/>
    <w:rsid w:val="587161E6"/>
    <w:rsid w:val="588F79F3"/>
    <w:rsid w:val="58B06C41"/>
    <w:rsid w:val="58BC2BEA"/>
    <w:rsid w:val="58C37E45"/>
    <w:rsid w:val="58E50E83"/>
    <w:rsid w:val="58F637C8"/>
    <w:rsid w:val="58FA1C78"/>
    <w:rsid w:val="59114924"/>
    <w:rsid w:val="591E35A8"/>
    <w:rsid w:val="59293BB0"/>
    <w:rsid w:val="594A0D9A"/>
    <w:rsid w:val="59530AC8"/>
    <w:rsid w:val="596140D0"/>
    <w:rsid w:val="596F395C"/>
    <w:rsid w:val="5976348A"/>
    <w:rsid w:val="59835F75"/>
    <w:rsid w:val="598A1B97"/>
    <w:rsid w:val="59A8766A"/>
    <w:rsid w:val="59BB5DF4"/>
    <w:rsid w:val="59F438C7"/>
    <w:rsid w:val="59FB7D2C"/>
    <w:rsid w:val="5A10726D"/>
    <w:rsid w:val="5A35296A"/>
    <w:rsid w:val="5ABF7889"/>
    <w:rsid w:val="5ACA0880"/>
    <w:rsid w:val="5AEC5D6B"/>
    <w:rsid w:val="5B17524C"/>
    <w:rsid w:val="5B530B81"/>
    <w:rsid w:val="5B5A43D2"/>
    <w:rsid w:val="5B6202AD"/>
    <w:rsid w:val="5B6A0214"/>
    <w:rsid w:val="5B6A078A"/>
    <w:rsid w:val="5B725AC7"/>
    <w:rsid w:val="5B7D66A9"/>
    <w:rsid w:val="5B7F6419"/>
    <w:rsid w:val="5B827C48"/>
    <w:rsid w:val="5B8B15FE"/>
    <w:rsid w:val="5B980A38"/>
    <w:rsid w:val="5BAC00C5"/>
    <w:rsid w:val="5BB03FDE"/>
    <w:rsid w:val="5BEC6454"/>
    <w:rsid w:val="5BF36CFF"/>
    <w:rsid w:val="5C003D71"/>
    <w:rsid w:val="5C0A07E7"/>
    <w:rsid w:val="5C5C7F0A"/>
    <w:rsid w:val="5C62594C"/>
    <w:rsid w:val="5C814268"/>
    <w:rsid w:val="5C86422F"/>
    <w:rsid w:val="5C8F248B"/>
    <w:rsid w:val="5C945F6B"/>
    <w:rsid w:val="5CBD6243"/>
    <w:rsid w:val="5CEB1947"/>
    <w:rsid w:val="5CFB35C0"/>
    <w:rsid w:val="5CFE0B84"/>
    <w:rsid w:val="5D107DC0"/>
    <w:rsid w:val="5D2A2F13"/>
    <w:rsid w:val="5D2D4F79"/>
    <w:rsid w:val="5D5B1614"/>
    <w:rsid w:val="5D626994"/>
    <w:rsid w:val="5DA455A5"/>
    <w:rsid w:val="5DAC00DF"/>
    <w:rsid w:val="5DAF1081"/>
    <w:rsid w:val="5DB07439"/>
    <w:rsid w:val="5DC4160C"/>
    <w:rsid w:val="5DCE69CD"/>
    <w:rsid w:val="5DCF2EB6"/>
    <w:rsid w:val="5DF5356B"/>
    <w:rsid w:val="5E0B0FBC"/>
    <w:rsid w:val="5E0B226E"/>
    <w:rsid w:val="5E4B0CBE"/>
    <w:rsid w:val="5E773F6F"/>
    <w:rsid w:val="5E7D14CB"/>
    <w:rsid w:val="5E84241E"/>
    <w:rsid w:val="5E9616E7"/>
    <w:rsid w:val="5E982EE0"/>
    <w:rsid w:val="5EB714AD"/>
    <w:rsid w:val="5EDE105F"/>
    <w:rsid w:val="5EEA0CCA"/>
    <w:rsid w:val="5F37360D"/>
    <w:rsid w:val="5F49229E"/>
    <w:rsid w:val="5F684F25"/>
    <w:rsid w:val="5F6B00CA"/>
    <w:rsid w:val="5F6E48EF"/>
    <w:rsid w:val="5F7073BF"/>
    <w:rsid w:val="5F760A23"/>
    <w:rsid w:val="5F817211"/>
    <w:rsid w:val="5F914557"/>
    <w:rsid w:val="5F924DB0"/>
    <w:rsid w:val="5FA66240"/>
    <w:rsid w:val="5FC554F9"/>
    <w:rsid w:val="5FC6028B"/>
    <w:rsid w:val="5FCB6C9D"/>
    <w:rsid w:val="5FDF438C"/>
    <w:rsid w:val="5FED4422"/>
    <w:rsid w:val="600F3C6C"/>
    <w:rsid w:val="603431AE"/>
    <w:rsid w:val="604A6D49"/>
    <w:rsid w:val="60AB0DF5"/>
    <w:rsid w:val="60C61CEC"/>
    <w:rsid w:val="60D7093C"/>
    <w:rsid w:val="60EC2501"/>
    <w:rsid w:val="60EF79BC"/>
    <w:rsid w:val="60F87F31"/>
    <w:rsid w:val="61104A26"/>
    <w:rsid w:val="61240A21"/>
    <w:rsid w:val="61471A2E"/>
    <w:rsid w:val="6148017D"/>
    <w:rsid w:val="614A0AA6"/>
    <w:rsid w:val="616022A7"/>
    <w:rsid w:val="616F69E1"/>
    <w:rsid w:val="61807D53"/>
    <w:rsid w:val="6199549E"/>
    <w:rsid w:val="61DD4B30"/>
    <w:rsid w:val="61F91B73"/>
    <w:rsid w:val="621A643A"/>
    <w:rsid w:val="62405901"/>
    <w:rsid w:val="624F27FA"/>
    <w:rsid w:val="626A0712"/>
    <w:rsid w:val="62990AE3"/>
    <w:rsid w:val="62E658D4"/>
    <w:rsid w:val="63586784"/>
    <w:rsid w:val="6371469D"/>
    <w:rsid w:val="63750C45"/>
    <w:rsid w:val="63916F28"/>
    <w:rsid w:val="63CA3D38"/>
    <w:rsid w:val="641260C0"/>
    <w:rsid w:val="642549B8"/>
    <w:rsid w:val="642678DA"/>
    <w:rsid w:val="643B0262"/>
    <w:rsid w:val="6443661D"/>
    <w:rsid w:val="64485D14"/>
    <w:rsid w:val="64814DC1"/>
    <w:rsid w:val="64D55C29"/>
    <w:rsid w:val="651B5E29"/>
    <w:rsid w:val="65220114"/>
    <w:rsid w:val="652D0934"/>
    <w:rsid w:val="652F3D17"/>
    <w:rsid w:val="653063AB"/>
    <w:rsid w:val="6536207A"/>
    <w:rsid w:val="653E395B"/>
    <w:rsid w:val="654208B8"/>
    <w:rsid w:val="65B473BF"/>
    <w:rsid w:val="65EF0909"/>
    <w:rsid w:val="65EF6B1F"/>
    <w:rsid w:val="65FE13CB"/>
    <w:rsid w:val="66130CF9"/>
    <w:rsid w:val="66345BE8"/>
    <w:rsid w:val="66365C97"/>
    <w:rsid w:val="6648642A"/>
    <w:rsid w:val="668460E0"/>
    <w:rsid w:val="669E44D1"/>
    <w:rsid w:val="66BC5967"/>
    <w:rsid w:val="66CD7E07"/>
    <w:rsid w:val="66CE14BB"/>
    <w:rsid w:val="670E0CB6"/>
    <w:rsid w:val="67113266"/>
    <w:rsid w:val="674047CC"/>
    <w:rsid w:val="67544869"/>
    <w:rsid w:val="675E17FD"/>
    <w:rsid w:val="676E458A"/>
    <w:rsid w:val="67D13808"/>
    <w:rsid w:val="67DE5F73"/>
    <w:rsid w:val="68026E74"/>
    <w:rsid w:val="680B110A"/>
    <w:rsid w:val="680D6EAE"/>
    <w:rsid w:val="6826276A"/>
    <w:rsid w:val="683D512D"/>
    <w:rsid w:val="68436F8D"/>
    <w:rsid w:val="684D472B"/>
    <w:rsid w:val="686E5BB4"/>
    <w:rsid w:val="68A5520F"/>
    <w:rsid w:val="68A62B31"/>
    <w:rsid w:val="68BE5593"/>
    <w:rsid w:val="68D330E6"/>
    <w:rsid w:val="68F631D5"/>
    <w:rsid w:val="691124A6"/>
    <w:rsid w:val="692D4180"/>
    <w:rsid w:val="692F2139"/>
    <w:rsid w:val="694C5544"/>
    <w:rsid w:val="696A7D45"/>
    <w:rsid w:val="698B1EAA"/>
    <w:rsid w:val="6991300A"/>
    <w:rsid w:val="699743DB"/>
    <w:rsid w:val="69B11567"/>
    <w:rsid w:val="69DD1EF2"/>
    <w:rsid w:val="69EF2356"/>
    <w:rsid w:val="6A0B7CAC"/>
    <w:rsid w:val="6A3F4B44"/>
    <w:rsid w:val="6A767940"/>
    <w:rsid w:val="6A8702CE"/>
    <w:rsid w:val="6A96278C"/>
    <w:rsid w:val="6AAB6638"/>
    <w:rsid w:val="6ACB2D6C"/>
    <w:rsid w:val="6AEC7FA6"/>
    <w:rsid w:val="6B015D49"/>
    <w:rsid w:val="6B0D6777"/>
    <w:rsid w:val="6B4A06B0"/>
    <w:rsid w:val="6B526AFF"/>
    <w:rsid w:val="6B547775"/>
    <w:rsid w:val="6B796E7B"/>
    <w:rsid w:val="6B8C5DC0"/>
    <w:rsid w:val="6B926804"/>
    <w:rsid w:val="6BB57DF0"/>
    <w:rsid w:val="6BD85211"/>
    <w:rsid w:val="6BE1256C"/>
    <w:rsid w:val="6BEA4587"/>
    <w:rsid w:val="6BF17577"/>
    <w:rsid w:val="6BF302FF"/>
    <w:rsid w:val="6BFF58F6"/>
    <w:rsid w:val="6C1A0D74"/>
    <w:rsid w:val="6C22550C"/>
    <w:rsid w:val="6C6626E3"/>
    <w:rsid w:val="6C662C4E"/>
    <w:rsid w:val="6C6E2AEC"/>
    <w:rsid w:val="6C762D8F"/>
    <w:rsid w:val="6CDB2174"/>
    <w:rsid w:val="6CE170B5"/>
    <w:rsid w:val="6CF62758"/>
    <w:rsid w:val="6D3163D3"/>
    <w:rsid w:val="6D34441D"/>
    <w:rsid w:val="6D3B47A6"/>
    <w:rsid w:val="6D483DE7"/>
    <w:rsid w:val="6D7664AF"/>
    <w:rsid w:val="6D8C5F9F"/>
    <w:rsid w:val="6D8F609F"/>
    <w:rsid w:val="6DCE79C6"/>
    <w:rsid w:val="6DD40D8B"/>
    <w:rsid w:val="6DF47F72"/>
    <w:rsid w:val="6E093526"/>
    <w:rsid w:val="6E0B43ED"/>
    <w:rsid w:val="6E1B3F67"/>
    <w:rsid w:val="6E202BC7"/>
    <w:rsid w:val="6E690C17"/>
    <w:rsid w:val="6E9E6DE2"/>
    <w:rsid w:val="6EB47DBF"/>
    <w:rsid w:val="6EB91B72"/>
    <w:rsid w:val="6ECC2F07"/>
    <w:rsid w:val="6EE06106"/>
    <w:rsid w:val="6F072652"/>
    <w:rsid w:val="6F655E08"/>
    <w:rsid w:val="6F9E422F"/>
    <w:rsid w:val="6F9F02B2"/>
    <w:rsid w:val="6FC27461"/>
    <w:rsid w:val="6FC71D13"/>
    <w:rsid w:val="6FDF692D"/>
    <w:rsid w:val="70004EC4"/>
    <w:rsid w:val="70054296"/>
    <w:rsid w:val="708176D1"/>
    <w:rsid w:val="70D03517"/>
    <w:rsid w:val="70D46B74"/>
    <w:rsid w:val="70E43CE1"/>
    <w:rsid w:val="7101046C"/>
    <w:rsid w:val="710513B9"/>
    <w:rsid w:val="710F1327"/>
    <w:rsid w:val="71273FA1"/>
    <w:rsid w:val="712F452E"/>
    <w:rsid w:val="713B779B"/>
    <w:rsid w:val="715F3DE9"/>
    <w:rsid w:val="717E00E8"/>
    <w:rsid w:val="719A25B5"/>
    <w:rsid w:val="71A34F9A"/>
    <w:rsid w:val="72245008"/>
    <w:rsid w:val="7224755A"/>
    <w:rsid w:val="72346A12"/>
    <w:rsid w:val="72537A2C"/>
    <w:rsid w:val="72677691"/>
    <w:rsid w:val="727A5785"/>
    <w:rsid w:val="72A539E6"/>
    <w:rsid w:val="72CD2DBE"/>
    <w:rsid w:val="730048C9"/>
    <w:rsid w:val="731A55B0"/>
    <w:rsid w:val="73511E13"/>
    <w:rsid w:val="738E738B"/>
    <w:rsid w:val="73A159D5"/>
    <w:rsid w:val="73E71278"/>
    <w:rsid w:val="73EB2712"/>
    <w:rsid w:val="73FD4900"/>
    <w:rsid w:val="744317E0"/>
    <w:rsid w:val="74450F3F"/>
    <w:rsid w:val="74533376"/>
    <w:rsid w:val="745665A3"/>
    <w:rsid w:val="746F221E"/>
    <w:rsid w:val="746F4466"/>
    <w:rsid w:val="74711172"/>
    <w:rsid w:val="74830CB6"/>
    <w:rsid w:val="74A43DCE"/>
    <w:rsid w:val="74BE27A9"/>
    <w:rsid w:val="74C306D0"/>
    <w:rsid w:val="74ED1299"/>
    <w:rsid w:val="752141B2"/>
    <w:rsid w:val="752A76B2"/>
    <w:rsid w:val="756273A8"/>
    <w:rsid w:val="756375D4"/>
    <w:rsid w:val="757D7FE6"/>
    <w:rsid w:val="75800318"/>
    <w:rsid w:val="7587614B"/>
    <w:rsid w:val="758B51E5"/>
    <w:rsid w:val="7594786A"/>
    <w:rsid w:val="75952B4B"/>
    <w:rsid w:val="75A91B7B"/>
    <w:rsid w:val="75F22D06"/>
    <w:rsid w:val="75F3613A"/>
    <w:rsid w:val="75F4210F"/>
    <w:rsid w:val="75F46F2C"/>
    <w:rsid w:val="76051584"/>
    <w:rsid w:val="76087A16"/>
    <w:rsid w:val="763F7892"/>
    <w:rsid w:val="7674730B"/>
    <w:rsid w:val="7683775D"/>
    <w:rsid w:val="76C30678"/>
    <w:rsid w:val="76F06858"/>
    <w:rsid w:val="7713302C"/>
    <w:rsid w:val="77136A2D"/>
    <w:rsid w:val="773F00B5"/>
    <w:rsid w:val="776F655D"/>
    <w:rsid w:val="777344BA"/>
    <w:rsid w:val="778911F3"/>
    <w:rsid w:val="778D0A82"/>
    <w:rsid w:val="778F6DA7"/>
    <w:rsid w:val="77991202"/>
    <w:rsid w:val="77A271B3"/>
    <w:rsid w:val="77AD1753"/>
    <w:rsid w:val="77AF5682"/>
    <w:rsid w:val="77B41775"/>
    <w:rsid w:val="77CB5AC9"/>
    <w:rsid w:val="77DC5774"/>
    <w:rsid w:val="78194131"/>
    <w:rsid w:val="782112B1"/>
    <w:rsid w:val="7829323C"/>
    <w:rsid w:val="782C408D"/>
    <w:rsid w:val="7879346A"/>
    <w:rsid w:val="788D3C02"/>
    <w:rsid w:val="78C651E8"/>
    <w:rsid w:val="78C718E2"/>
    <w:rsid w:val="78CE7A0D"/>
    <w:rsid w:val="78DB0A49"/>
    <w:rsid w:val="78F2466F"/>
    <w:rsid w:val="79132357"/>
    <w:rsid w:val="792B1401"/>
    <w:rsid w:val="79311B1F"/>
    <w:rsid w:val="793C03C5"/>
    <w:rsid w:val="79474056"/>
    <w:rsid w:val="79650D4B"/>
    <w:rsid w:val="79BB424A"/>
    <w:rsid w:val="79C40F42"/>
    <w:rsid w:val="79C91C92"/>
    <w:rsid w:val="79CE6679"/>
    <w:rsid w:val="7A0B5E51"/>
    <w:rsid w:val="7A110017"/>
    <w:rsid w:val="7A343FE5"/>
    <w:rsid w:val="7A557FF1"/>
    <w:rsid w:val="7A5D0C82"/>
    <w:rsid w:val="7A972CF7"/>
    <w:rsid w:val="7AA349F6"/>
    <w:rsid w:val="7ACD61FF"/>
    <w:rsid w:val="7ADD2765"/>
    <w:rsid w:val="7B2D00FC"/>
    <w:rsid w:val="7B2F5EA3"/>
    <w:rsid w:val="7B4F0952"/>
    <w:rsid w:val="7B5C4060"/>
    <w:rsid w:val="7B9675CB"/>
    <w:rsid w:val="7BB61BF2"/>
    <w:rsid w:val="7BCC7612"/>
    <w:rsid w:val="7BD63BC4"/>
    <w:rsid w:val="7BE01F2B"/>
    <w:rsid w:val="7BF13B58"/>
    <w:rsid w:val="7C1C212F"/>
    <w:rsid w:val="7C2A1290"/>
    <w:rsid w:val="7C3462D4"/>
    <w:rsid w:val="7C5108ED"/>
    <w:rsid w:val="7C637794"/>
    <w:rsid w:val="7C6B75A2"/>
    <w:rsid w:val="7C872DCE"/>
    <w:rsid w:val="7C8A5C39"/>
    <w:rsid w:val="7C8D4593"/>
    <w:rsid w:val="7C9C6253"/>
    <w:rsid w:val="7CA22103"/>
    <w:rsid w:val="7CA634A8"/>
    <w:rsid w:val="7CC54136"/>
    <w:rsid w:val="7CDE4EDA"/>
    <w:rsid w:val="7CED6ADE"/>
    <w:rsid w:val="7CFF4D5A"/>
    <w:rsid w:val="7D102107"/>
    <w:rsid w:val="7D1F324E"/>
    <w:rsid w:val="7D300344"/>
    <w:rsid w:val="7D507C87"/>
    <w:rsid w:val="7D6210E3"/>
    <w:rsid w:val="7D812EA1"/>
    <w:rsid w:val="7D8D0E31"/>
    <w:rsid w:val="7D90016A"/>
    <w:rsid w:val="7D9508F0"/>
    <w:rsid w:val="7DA80BC8"/>
    <w:rsid w:val="7DAC507A"/>
    <w:rsid w:val="7DBE0AFF"/>
    <w:rsid w:val="7DC01F88"/>
    <w:rsid w:val="7DD16438"/>
    <w:rsid w:val="7DE628D2"/>
    <w:rsid w:val="7DEB0C97"/>
    <w:rsid w:val="7E05110C"/>
    <w:rsid w:val="7E102E1B"/>
    <w:rsid w:val="7E2B7079"/>
    <w:rsid w:val="7E306B12"/>
    <w:rsid w:val="7E3C241E"/>
    <w:rsid w:val="7E5019F3"/>
    <w:rsid w:val="7E6C1950"/>
    <w:rsid w:val="7E8A5090"/>
    <w:rsid w:val="7EA05EF0"/>
    <w:rsid w:val="7F0238CB"/>
    <w:rsid w:val="7F09056F"/>
    <w:rsid w:val="7F0A01BE"/>
    <w:rsid w:val="7F100237"/>
    <w:rsid w:val="7F4740EE"/>
    <w:rsid w:val="7FB02405"/>
    <w:rsid w:val="7FB47FBA"/>
    <w:rsid w:val="7FC84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60" w:after="60" w:line="413" w:lineRule="auto"/>
      <w:outlineLvl w:val="1"/>
    </w:pPr>
    <w:rPr>
      <w:rFonts w:ascii="Arial" w:hAnsi="Arial" w:eastAsia="黑体"/>
      <w:b/>
      <w:bCs/>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styleId="5">
    <w:name w:val="Document Map"/>
    <w:basedOn w:val="1"/>
    <w:link w:val="36"/>
    <w:qFormat/>
    <w:uiPriority w:val="0"/>
    <w:pPr>
      <w:shd w:val="clear" w:color="auto" w:fill="000080"/>
    </w:pPr>
    <w:rPr>
      <w:kern w:val="0"/>
      <w:sz w:val="20"/>
    </w:rPr>
  </w:style>
  <w:style w:type="paragraph" w:styleId="6">
    <w:name w:val="annotation text"/>
    <w:basedOn w:val="1"/>
    <w:qFormat/>
    <w:uiPriority w:val="0"/>
    <w:pPr>
      <w:jc w:val="left"/>
    </w:pPr>
  </w:style>
  <w:style w:type="paragraph" w:styleId="7">
    <w:name w:val="Body Text"/>
    <w:basedOn w:val="1"/>
    <w:link w:val="31"/>
    <w:qFormat/>
    <w:uiPriority w:val="0"/>
    <w:pPr>
      <w:spacing w:after="120"/>
    </w:pPr>
    <w:rPr>
      <w:rFonts w:asciiTheme="minorHAnsi" w:hAnsiTheme="minorHAnsi" w:eastAsiaTheme="minorEastAsia" w:cstheme="minorBidi"/>
    </w:rPr>
  </w:style>
  <w:style w:type="paragraph" w:styleId="8">
    <w:name w:val="Body Text Indent"/>
    <w:basedOn w:val="1"/>
    <w:next w:val="9"/>
    <w:link w:val="38"/>
    <w:qFormat/>
    <w:uiPriority w:val="0"/>
    <w:pPr>
      <w:spacing w:line="400" w:lineRule="exact"/>
      <w:ind w:firstLine="515"/>
    </w:pPr>
    <w:rPr>
      <w:rFonts w:ascii="楷体_GB2312" w:eastAsia="楷体_GB2312"/>
      <w:b/>
      <w:bCs/>
      <w:kern w:val="0"/>
      <w:sz w:val="24"/>
    </w:rPr>
  </w:style>
  <w:style w:type="paragraph" w:styleId="9">
    <w:name w:val="envelope return"/>
    <w:basedOn w:val="1"/>
    <w:qFormat/>
    <w:uiPriority w:val="0"/>
    <w:pPr>
      <w:snapToGrid w:val="0"/>
    </w:pPr>
    <w:rPr>
      <w:rFonts w:ascii="Arial" w:hAnsi="Arial"/>
    </w:rPr>
  </w:style>
  <w:style w:type="paragraph" w:styleId="10">
    <w:name w:val="Plain Text"/>
    <w:basedOn w:val="1"/>
    <w:link w:val="37"/>
    <w:qFormat/>
    <w:uiPriority w:val="0"/>
    <w:rPr>
      <w:rFonts w:ascii="宋体" w:hAnsi="Courier New"/>
      <w:kern w:val="0"/>
      <w:sz w:val="20"/>
      <w:szCs w:val="21"/>
    </w:rPr>
  </w:style>
  <w:style w:type="paragraph" w:styleId="11">
    <w:name w:val="Date"/>
    <w:basedOn w:val="1"/>
    <w:next w:val="1"/>
    <w:link w:val="32"/>
    <w:qFormat/>
    <w:uiPriority w:val="0"/>
    <w:pPr>
      <w:ind w:left="100" w:leftChars="2500"/>
    </w:pPr>
    <w:rPr>
      <w:kern w:val="0"/>
      <w:sz w:val="28"/>
    </w:rPr>
  </w:style>
  <w:style w:type="paragraph" w:styleId="12">
    <w:name w:val="Body Text Indent 2"/>
    <w:basedOn w:val="1"/>
    <w:link w:val="35"/>
    <w:qFormat/>
    <w:uiPriority w:val="0"/>
    <w:pPr>
      <w:spacing w:line="400" w:lineRule="exact"/>
      <w:ind w:left="-1" w:firstLine="480" w:firstLineChars="200"/>
    </w:pPr>
    <w:rPr>
      <w:rFonts w:ascii="楷体_GB2312" w:eastAsia="楷体_GB2312"/>
      <w:kern w:val="0"/>
      <w:sz w:val="24"/>
    </w:rPr>
  </w:style>
  <w:style w:type="paragraph" w:styleId="13">
    <w:name w:val="Balloon Text"/>
    <w:basedOn w:val="1"/>
    <w:link w:val="33"/>
    <w:qFormat/>
    <w:uiPriority w:val="0"/>
    <w:rPr>
      <w:kern w:val="0"/>
      <w:sz w:val="18"/>
      <w:szCs w:val="18"/>
    </w:rPr>
  </w:style>
  <w:style w:type="paragraph" w:styleId="14">
    <w:name w:val="footer"/>
    <w:basedOn w:val="1"/>
    <w:link w:val="28"/>
    <w:unhideWhenUsed/>
    <w:qFormat/>
    <w:uiPriority w:val="99"/>
    <w:pPr>
      <w:tabs>
        <w:tab w:val="center" w:pos="4153"/>
        <w:tab w:val="right" w:pos="8306"/>
      </w:tabs>
      <w:snapToGrid w:val="0"/>
      <w:jc w:val="left"/>
    </w:pPr>
    <w:rPr>
      <w:sz w:val="18"/>
      <w:szCs w:val="18"/>
    </w:rPr>
  </w:style>
  <w:style w:type="paragraph" w:styleId="15">
    <w:name w:val="header"/>
    <w:basedOn w:val="1"/>
    <w:link w:val="27"/>
    <w:unhideWhenUsed/>
    <w:qFormat/>
    <w:uiPriority w:val="99"/>
    <w:pPr>
      <w:tabs>
        <w:tab w:val="center" w:pos="4153"/>
        <w:tab w:val="right" w:pos="8306"/>
      </w:tabs>
      <w:snapToGrid w:val="0"/>
      <w:jc w:val="center"/>
    </w:pPr>
    <w:rPr>
      <w:sz w:val="18"/>
      <w:szCs w:val="18"/>
    </w:rPr>
  </w:style>
  <w:style w:type="paragraph" w:styleId="16">
    <w:name w:val="Body Text Indent 3"/>
    <w:basedOn w:val="1"/>
    <w:link w:val="39"/>
    <w:qFormat/>
    <w:uiPriority w:val="0"/>
    <w:pPr>
      <w:spacing w:line="440" w:lineRule="exact"/>
      <w:ind w:firstLine="540"/>
    </w:pPr>
    <w:rPr>
      <w:rFonts w:ascii="楷体_GB2312" w:eastAsia="楷体_GB2312"/>
      <w:bCs/>
      <w:kern w:val="0"/>
      <w:sz w:val="24"/>
    </w:rPr>
  </w:style>
  <w:style w:type="paragraph" w:styleId="17">
    <w:name w:val="HTML Preformatted"/>
    <w:basedOn w:val="1"/>
    <w:link w:val="4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18">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9">
    <w:name w:val="Body Text First Indent 2"/>
    <w:basedOn w:val="8"/>
    <w:qFormat/>
    <w:uiPriority w:val="0"/>
    <w:pPr>
      <w:spacing w:after="120" w:line="240" w:lineRule="auto"/>
      <w:ind w:left="420" w:leftChars="200" w:firstLine="420" w:firstLineChars="200"/>
    </w:pPr>
    <w:rPr>
      <w:sz w:val="21"/>
    </w:rPr>
  </w:style>
  <w:style w:type="table" w:styleId="21">
    <w:name w:val="Table Grid"/>
    <w:basedOn w:val="2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3">
    <w:name w:val="page number"/>
    <w:basedOn w:val="22"/>
    <w:qFormat/>
    <w:uiPriority w:val="0"/>
  </w:style>
  <w:style w:type="character" w:styleId="24">
    <w:name w:val="FollowedHyperlink"/>
    <w:basedOn w:val="22"/>
    <w:qFormat/>
    <w:uiPriority w:val="0"/>
    <w:rPr>
      <w:color w:val="555555"/>
      <w:u w:val="none"/>
    </w:rPr>
  </w:style>
  <w:style w:type="character" w:styleId="25">
    <w:name w:val="Hyperlink"/>
    <w:basedOn w:val="22"/>
    <w:qFormat/>
    <w:uiPriority w:val="0"/>
    <w:rPr>
      <w:color w:val="555555"/>
      <w:u w:val="none"/>
    </w:rPr>
  </w:style>
  <w:style w:type="character" w:styleId="26">
    <w:name w:val="annotation reference"/>
    <w:qFormat/>
    <w:uiPriority w:val="0"/>
    <w:rPr>
      <w:sz w:val="21"/>
      <w:szCs w:val="21"/>
    </w:rPr>
  </w:style>
  <w:style w:type="character" w:customStyle="1" w:styleId="27">
    <w:name w:val="页眉 字符"/>
    <w:basedOn w:val="22"/>
    <w:link w:val="15"/>
    <w:qFormat/>
    <w:uiPriority w:val="99"/>
    <w:rPr>
      <w:rFonts w:ascii="Times New Roman" w:hAnsi="Times New Roman" w:eastAsia="宋体" w:cs="Times New Roman"/>
      <w:sz w:val="18"/>
      <w:szCs w:val="18"/>
    </w:rPr>
  </w:style>
  <w:style w:type="character" w:customStyle="1" w:styleId="28">
    <w:name w:val="页脚 字符"/>
    <w:basedOn w:val="22"/>
    <w:link w:val="14"/>
    <w:qFormat/>
    <w:uiPriority w:val="99"/>
    <w:rPr>
      <w:sz w:val="18"/>
      <w:szCs w:val="18"/>
    </w:rPr>
  </w:style>
  <w:style w:type="character" w:customStyle="1" w:styleId="29">
    <w:name w:val="正文文本 Char"/>
    <w:qFormat/>
    <w:uiPriority w:val="0"/>
    <w:rPr>
      <w:szCs w:val="24"/>
    </w:rPr>
  </w:style>
  <w:style w:type="paragraph" w:styleId="30">
    <w:name w:val="List Paragraph"/>
    <w:basedOn w:val="1"/>
    <w:qFormat/>
    <w:uiPriority w:val="34"/>
    <w:pPr>
      <w:ind w:firstLine="420" w:firstLineChars="200"/>
    </w:pPr>
  </w:style>
  <w:style w:type="character" w:customStyle="1" w:styleId="31">
    <w:name w:val="正文文本 字符"/>
    <w:basedOn w:val="22"/>
    <w:link w:val="7"/>
    <w:semiHidden/>
    <w:qFormat/>
    <w:uiPriority w:val="99"/>
    <w:rPr>
      <w:rFonts w:ascii="Times New Roman" w:hAnsi="Times New Roman" w:eastAsia="宋体" w:cs="Times New Roman"/>
      <w:szCs w:val="24"/>
    </w:rPr>
  </w:style>
  <w:style w:type="character" w:customStyle="1" w:styleId="32">
    <w:name w:val="日期 字符"/>
    <w:basedOn w:val="22"/>
    <w:link w:val="11"/>
    <w:qFormat/>
    <w:uiPriority w:val="0"/>
    <w:rPr>
      <w:rFonts w:ascii="Times New Roman" w:hAnsi="Times New Roman" w:eastAsia="宋体" w:cs="Times New Roman"/>
      <w:kern w:val="0"/>
      <w:sz w:val="28"/>
      <w:szCs w:val="24"/>
    </w:rPr>
  </w:style>
  <w:style w:type="character" w:customStyle="1" w:styleId="33">
    <w:name w:val="批注框文本 字符"/>
    <w:basedOn w:val="22"/>
    <w:link w:val="13"/>
    <w:qFormat/>
    <w:uiPriority w:val="0"/>
    <w:rPr>
      <w:rFonts w:ascii="Times New Roman" w:hAnsi="Times New Roman" w:eastAsia="宋体" w:cs="Times New Roman"/>
      <w:kern w:val="0"/>
      <w:sz w:val="18"/>
      <w:szCs w:val="18"/>
    </w:rPr>
  </w:style>
  <w:style w:type="paragraph" w:customStyle="1" w:styleId="34">
    <w:name w:val="_Style 9"/>
    <w:basedOn w:val="1"/>
    <w:next w:val="10"/>
    <w:qFormat/>
    <w:uiPriority w:val="0"/>
    <w:rPr>
      <w:rFonts w:ascii="宋体" w:hAnsi="Courier New"/>
      <w:szCs w:val="21"/>
    </w:rPr>
  </w:style>
  <w:style w:type="character" w:customStyle="1" w:styleId="35">
    <w:name w:val="正文文本缩进 2 字符"/>
    <w:basedOn w:val="22"/>
    <w:link w:val="12"/>
    <w:qFormat/>
    <w:uiPriority w:val="0"/>
    <w:rPr>
      <w:rFonts w:ascii="楷体_GB2312" w:hAnsi="Times New Roman" w:eastAsia="楷体_GB2312" w:cs="Times New Roman"/>
      <w:kern w:val="0"/>
      <w:sz w:val="24"/>
      <w:szCs w:val="24"/>
    </w:rPr>
  </w:style>
  <w:style w:type="character" w:customStyle="1" w:styleId="36">
    <w:name w:val="文档结构图 字符"/>
    <w:basedOn w:val="22"/>
    <w:link w:val="5"/>
    <w:qFormat/>
    <w:uiPriority w:val="0"/>
    <w:rPr>
      <w:rFonts w:ascii="Times New Roman" w:hAnsi="Times New Roman" w:eastAsia="宋体" w:cs="Times New Roman"/>
      <w:kern w:val="0"/>
      <w:sz w:val="20"/>
      <w:szCs w:val="24"/>
      <w:shd w:val="clear" w:color="auto" w:fill="000080"/>
    </w:rPr>
  </w:style>
  <w:style w:type="character" w:customStyle="1" w:styleId="37">
    <w:name w:val="纯文本 字符"/>
    <w:basedOn w:val="22"/>
    <w:link w:val="10"/>
    <w:qFormat/>
    <w:uiPriority w:val="0"/>
    <w:rPr>
      <w:rFonts w:ascii="宋体" w:hAnsi="Courier New" w:eastAsia="宋体" w:cs="Times New Roman"/>
      <w:kern w:val="0"/>
      <w:sz w:val="20"/>
      <w:szCs w:val="21"/>
    </w:rPr>
  </w:style>
  <w:style w:type="character" w:customStyle="1" w:styleId="38">
    <w:name w:val="正文文本缩进 字符"/>
    <w:basedOn w:val="22"/>
    <w:link w:val="8"/>
    <w:qFormat/>
    <w:uiPriority w:val="0"/>
    <w:rPr>
      <w:rFonts w:ascii="楷体_GB2312" w:hAnsi="Times New Roman" w:eastAsia="楷体_GB2312" w:cs="Times New Roman"/>
      <w:b/>
      <w:bCs/>
      <w:kern w:val="0"/>
      <w:sz w:val="24"/>
      <w:szCs w:val="24"/>
    </w:rPr>
  </w:style>
  <w:style w:type="character" w:customStyle="1" w:styleId="39">
    <w:name w:val="正文文本缩进 3 字符"/>
    <w:basedOn w:val="22"/>
    <w:link w:val="16"/>
    <w:qFormat/>
    <w:uiPriority w:val="0"/>
    <w:rPr>
      <w:rFonts w:ascii="楷体_GB2312" w:hAnsi="Times New Roman" w:eastAsia="楷体_GB2312" w:cs="Times New Roman"/>
      <w:bCs/>
      <w:kern w:val="0"/>
      <w:sz w:val="24"/>
      <w:szCs w:val="24"/>
    </w:rPr>
  </w:style>
  <w:style w:type="character" w:customStyle="1" w:styleId="40">
    <w:name w:val="HTML 预设格式 字符"/>
    <w:basedOn w:val="22"/>
    <w:link w:val="17"/>
    <w:qFormat/>
    <w:uiPriority w:val="0"/>
    <w:rPr>
      <w:rFonts w:ascii="黑体" w:hAnsi="Courier New" w:eastAsia="黑体" w:cs="Times New Roman"/>
      <w:kern w:val="0"/>
      <w:sz w:val="20"/>
      <w:szCs w:val="20"/>
    </w:rPr>
  </w:style>
  <w:style w:type="paragraph" w:customStyle="1" w:styleId="41">
    <w:name w:val="Char Char Char7"/>
    <w:basedOn w:val="1"/>
    <w:qFormat/>
    <w:uiPriority w:val="0"/>
    <w:rPr>
      <w:rFonts w:ascii="仿宋_GB2312" w:eastAsia="仿宋_GB2312" w:cs="仿宋_GB2312"/>
      <w:b/>
      <w:bCs/>
      <w:sz w:val="32"/>
      <w:szCs w:val="32"/>
    </w:rPr>
  </w:style>
  <w:style w:type="paragraph" w:customStyle="1" w:styleId="42">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43">
    <w:name w:val="font11"/>
    <w:basedOn w:val="22"/>
    <w:qFormat/>
    <w:uiPriority w:val="0"/>
    <w:rPr>
      <w:rFonts w:hint="eastAsia" w:ascii="宋体" w:hAnsi="宋体" w:eastAsia="宋体" w:cs="宋体"/>
      <w:color w:val="000000"/>
      <w:sz w:val="20"/>
      <w:szCs w:val="20"/>
      <w:u w:val="none"/>
    </w:rPr>
  </w:style>
  <w:style w:type="character" w:customStyle="1" w:styleId="44">
    <w:name w:val="font01"/>
    <w:basedOn w:val="22"/>
    <w:qFormat/>
    <w:uiPriority w:val="0"/>
    <w:rPr>
      <w:rFonts w:hint="eastAsia" w:ascii="宋体" w:hAnsi="宋体" w:eastAsia="宋体" w:cs="宋体"/>
      <w:color w:val="000000"/>
      <w:sz w:val="22"/>
      <w:szCs w:val="22"/>
      <w:u w:val="none"/>
    </w:rPr>
  </w:style>
  <w:style w:type="paragraph" w:customStyle="1" w:styleId="45">
    <w:name w:val="正文文本首行缩进 21"/>
    <w:basedOn w:val="46"/>
    <w:qFormat/>
    <w:uiPriority w:val="0"/>
    <w:pPr>
      <w:spacing w:after="120" w:line="240" w:lineRule="auto"/>
      <w:ind w:left="420" w:leftChars="200" w:firstLine="420" w:firstLineChars="200"/>
    </w:pPr>
    <w:rPr>
      <w:sz w:val="21"/>
    </w:rPr>
  </w:style>
  <w:style w:type="paragraph" w:customStyle="1" w:styleId="46">
    <w:name w:val="正文文本缩进1"/>
    <w:basedOn w:val="1"/>
    <w:next w:val="47"/>
    <w:qFormat/>
    <w:uiPriority w:val="0"/>
    <w:pPr>
      <w:spacing w:line="400" w:lineRule="exact"/>
      <w:ind w:firstLine="515"/>
    </w:pPr>
    <w:rPr>
      <w:rFonts w:ascii="楷体_GB2312" w:eastAsia="楷体_GB2312"/>
      <w:b/>
      <w:bCs/>
      <w:kern w:val="0"/>
      <w:sz w:val="24"/>
    </w:rPr>
  </w:style>
  <w:style w:type="paragraph" w:customStyle="1" w:styleId="47">
    <w:name w:val="寄信人地址1"/>
    <w:basedOn w:val="1"/>
    <w:qFormat/>
    <w:uiPriority w:val="0"/>
    <w:pPr>
      <w:snapToGrid w:val="0"/>
    </w:pPr>
    <w:rPr>
      <w:rFonts w:ascii="Arial" w:hAnsi="Arial"/>
    </w:rPr>
  </w:style>
  <w:style w:type="character" w:customStyle="1" w:styleId="48">
    <w:name w:val="font31"/>
    <w:basedOn w:val="22"/>
    <w:qFormat/>
    <w:uiPriority w:val="0"/>
    <w:rPr>
      <w:rFonts w:hint="eastAsia" w:ascii="宋体" w:hAnsi="宋体" w:eastAsia="宋体" w:cs="宋体"/>
      <w:color w:val="000000"/>
      <w:sz w:val="22"/>
      <w:szCs w:val="22"/>
      <w:u w:val="none"/>
    </w:rPr>
  </w:style>
  <w:style w:type="paragraph" w:customStyle="1" w:styleId="49">
    <w:name w:val="段"/>
    <w:next w:val="1"/>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50">
    <w:name w:val="列出段落3"/>
    <w:basedOn w:val="1"/>
    <w:qFormat/>
    <w:uiPriority w:val="34"/>
    <w:pPr>
      <w:ind w:firstLine="420" w:firstLineChars="200"/>
    </w:pPr>
    <w:rPr>
      <w:szCs w:val="21"/>
    </w:rPr>
  </w:style>
  <w:style w:type="paragraph" w:customStyle="1" w:styleId="51">
    <w:name w:val="列出段落2"/>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BF1EA1-8AE8-41C1-AA44-1E10AD6E3B7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76</Pages>
  <Words>8727</Words>
  <Characters>49747</Characters>
  <Lines>414</Lines>
  <Paragraphs>116</Paragraphs>
  <TotalTime>5</TotalTime>
  <ScaleCrop>false</ScaleCrop>
  <LinksUpToDate>false</LinksUpToDate>
  <CharactersWithSpaces>58358</CharactersWithSpaces>
  <Application>WPS Office_11.1.0.9929_F1E327BC-269C-435d-A152-05C5408002CA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2017-02-27T08:39:00Z</dcterms:created>
  <dc:creator>User</dc:creator>
  <cp:lastModifiedBy>我习惯，做唯一</cp:lastModifiedBy>
  <cp:lastPrinted>2020-10-23T07:44:00Z</cp:lastPrinted>
  <dcterms:modified xsi:type="dcterms:W3CDTF">2020-10-30T08:51:41Z</dcterms:modified>
  <cp:revision>449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2052-11.1.0.9929</vt:lpwstr>
  </property>
</Properties>
</file>