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5"/>
        <w:tabs>
          <w:tab w:val="left" w:pos="7642"/>
        </w:tabs>
        <w:ind w:firstLine="0"/>
        <w:rPr>
          <w:rFonts w:ascii="宋体"/>
          <w:b/>
          <w:color w:val="auto"/>
          <w:sz w:val="52"/>
          <w:szCs w:val="52"/>
        </w:rPr>
      </w:pPr>
      <w:r>
        <w:rPr>
          <w:rFonts w:ascii="宋体"/>
          <w:b/>
          <w:color w:val="auto"/>
          <w:sz w:val="52"/>
          <w:szCs w:val="52"/>
        </w:rPr>
        <w:tab/>
      </w:r>
    </w:p>
    <w:p>
      <w:pPr>
        <w:pStyle w:val="75"/>
        <w:ind w:firstLine="0"/>
        <w:jc w:val="center"/>
        <w:rPr>
          <w:rFonts w:ascii="宋体"/>
          <w:b/>
          <w:color w:val="auto"/>
          <w:sz w:val="52"/>
          <w:szCs w:val="52"/>
        </w:rPr>
      </w:pPr>
    </w:p>
    <w:p>
      <w:pPr>
        <w:pStyle w:val="75"/>
        <w:ind w:firstLine="0"/>
        <w:jc w:val="center"/>
        <w:rPr>
          <w:rFonts w:ascii="宋体"/>
          <w:b/>
          <w:color w:val="auto"/>
          <w:sz w:val="52"/>
          <w:szCs w:val="52"/>
        </w:rPr>
      </w:pPr>
    </w:p>
    <w:p>
      <w:pPr>
        <w:pStyle w:val="75"/>
        <w:ind w:firstLine="0"/>
        <w:jc w:val="center"/>
        <w:rPr>
          <w:rFonts w:eastAsia="黑体"/>
          <w:b/>
          <w:bCs/>
          <w:color w:val="auto"/>
          <w:sz w:val="84"/>
        </w:rPr>
      </w:pPr>
      <w:r>
        <w:rPr>
          <w:rFonts w:hint="eastAsia" w:eastAsia="黑体"/>
          <w:b/>
          <w:bCs/>
          <w:color w:val="auto"/>
          <w:sz w:val="84"/>
        </w:rPr>
        <w:t>竞争性磋商文件</w:t>
      </w:r>
    </w:p>
    <w:p>
      <w:pPr>
        <w:pStyle w:val="75"/>
        <w:ind w:firstLine="0"/>
        <w:rPr>
          <w:rFonts w:ascii="宋体"/>
          <w:b/>
          <w:bCs/>
          <w:color w:val="auto"/>
          <w:sz w:val="32"/>
          <w:szCs w:val="32"/>
        </w:rPr>
      </w:pPr>
    </w:p>
    <w:p>
      <w:pPr>
        <w:pStyle w:val="75"/>
        <w:ind w:firstLine="0"/>
        <w:rPr>
          <w:rFonts w:ascii="宋体"/>
          <w:b/>
          <w:bCs/>
          <w:color w:val="auto"/>
          <w:sz w:val="32"/>
          <w:szCs w:val="32"/>
        </w:rPr>
      </w:pPr>
    </w:p>
    <w:p>
      <w:pPr>
        <w:pStyle w:val="75"/>
        <w:ind w:firstLine="0"/>
        <w:rPr>
          <w:rFonts w:ascii="宋体"/>
          <w:b/>
          <w:bCs/>
          <w:color w:val="auto"/>
          <w:sz w:val="32"/>
          <w:szCs w:val="32"/>
        </w:rPr>
      </w:pPr>
    </w:p>
    <w:p>
      <w:pPr>
        <w:pStyle w:val="75"/>
        <w:ind w:firstLine="0"/>
        <w:jc w:val="center"/>
        <w:rPr>
          <w:b/>
          <w:bCs/>
          <w:color w:val="auto"/>
          <w:sz w:val="32"/>
          <w:szCs w:val="32"/>
        </w:rPr>
      </w:pPr>
      <w:r>
        <w:rPr>
          <w:rFonts w:hint="eastAsia"/>
          <w:b/>
          <w:bCs/>
          <w:color w:val="auto"/>
          <w:sz w:val="32"/>
          <w:szCs w:val="32"/>
        </w:rPr>
        <w:t>项目名称：盐城工业职业技术学院2020年度教职工体检服务项目</w:t>
      </w:r>
    </w:p>
    <w:p>
      <w:pPr>
        <w:pStyle w:val="75"/>
        <w:ind w:firstLine="0"/>
        <w:jc w:val="center"/>
        <w:rPr>
          <w:b/>
          <w:bCs/>
          <w:color w:val="auto"/>
          <w:sz w:val="32"/>
          <w:szCs w:val="32"/>
        </w:rPr>
      </w:pPr>
    </w:p>
    <w:p>
      <w:pPr>
        <w:pStyle w:val="75"/>
        <w:ind w:firstLine="0"/>
        <w:jc w:val="center"/>
        <w:rPr>
          <w:b/>
          <w:bCs/>
          <w:color w:val="auto"/>
          <w:sz w:val="32"/>
          <w:szCs w:val="32"/>
          <w:u w:val="single"/>
        </w:rPr>
      </w:pPr>
      <w:r>
        <w:rPr>
          <w:rFonts w:hint="eastAsia"/>
          <w:b/>
          <w:bCs/>
          <w:color w:val="auto"/>
          <w:sz w:val="32"/>
          <w:szCs w:val="32"/>
        </w:rPr>
        <w:t>项目编号：2020-029S</w:t>
      </w:r>
    </w:p>
    <w:p>
      <w:pPr>
        <w:pStyle w:val="75"/>
        <w:ind w:firstLine="0"/>
        <w:jc w:val="center"/>
        <w:rPr>
          <w:b/>
          <w:bCs/>
          <w:color w:val="auto"/>
          <w:sz w:val="32"/>
        </w:rPr>
      </w:pPr>
    </w:p>
    <w:p>
      <w:pPr>
        <w:pStyle w:val="75"/>
        <w:ind w:firstLine="0"/>
        <w:jc w:val="center"/>
        <w:rPr>
          <w:b/>
          <w:bCs/>
          <w:color w:val="auto"/>
          <w:sz w:val="32"/>
        </w:rPr>
      </w:pPr>
    </w:p>
    <w:p>
      <w:pPr>
        <w:pStyle w:val="75"/>
        <w:ind w:firstLine="0"/>
        <w:jc w:val="center"/>
        <w:rPr>
          <w:b/>
          <w:bCs/>
          <w:color w:val="auto"/>
          <w:sz w:val="32"/>
        </w:rPr>
      </w:pPr>
    </w:p>
    <w:p>
      <w:pPr>
        <w:pStyle w:val="75"/>
        <w:ind w:firstLine="0"/>
        <w:jc w:val="center"/>
        <w:rPr>
          <w:b/>
          <w:bCs/>
          <w:color w:val="auto"/>
          <w:sz w:val="32"/>
        </w:rPr>
      </w:pPr>
    </w:p>
    <w:p>
      <w:pPr>
        <w:pStyle w:val="75"/>
        <w:ind w:firstLine="0"/>
        <w:jc w:val="center"/>
        <w:rPr>
          <w:b/>
          <w:bCs/>
          <w:color w:val="auto"/>
          <w:sz w:val="32"/>
        </w:rPr>
      </w:pPr>
      <w:r>
        <w:rPr>
          <w:rFonts w:hint="eastAsia"/>
          <w:b/>
          <w:bCs/>
          <w:color w:val="auto"/>
          <w:sz w:val="32"/>
        </w:rPr>
        <w:t>盐城工业职业技术学院</w:t>
      </w:r>
    </w:p>
    <w:p>
      <w:pPr>
        <w:pStyle w:val="75"/>
        <w:ind w:firstLine="0"/>
        <w:jc w:val="center"/>
        <w:rPr>
          <w:b/>
          <w:bCs/>
          <w:color w:val="auto"/>
          <w:sz w:val="32"/>
        </w:rPr>
      </w:pPr>
      <w:r>
        <w:rPr>
          <w:rFonts w:hint="eastAsia"/>
          <w:b/>
          <w:bCs/>
          <w:color w:val="auto"/>
          <w:sz w:val="32"/>
        </w:rPr>
        <w:t>江苏双清工程造价咨询有限公司</w:t>
      </w:r>
    </w:p>
    <w:p>
      <w:pPr>
        <w:pStyle w:val="75"/>
        <w:ind w:firstLine="0"/>
        <w:jc w:val="center"/>
        <w:rPr>
          <w:b/>
          <w:bCs/>
          <w:color w:val="auto"/>
          <w:sz w:val="32"/>
        </w:rPr>
      </w:pPr>
      <w:r>
        <w:rPr>
          <w:b/>
          <w:bCs/>
          <w:color w:val="auto"/>
          <w:sz w:val="32"/>
        </w:rPr>
        <w:t>20</w:t>
      </w:r>
      <w:r>
        <w:rPr>
          <w:rFonts w:hint="eastAsia"/>
          <w:b/>
          <w:bCs/>
          <w:color w:val="auto"/>
          <w:sz w:val="32"/>
        </w:rPr>
        <w:t>20年</w:t>
      </w:r>
      <w:r>
        <w:rPr>
          <w:rFonts w:hint="eastAsia"/>
          <w:b/>
          <w:bCs/>
          <w:color w:val="auto"/>
          <w:sz w:val="32"/>
          <w:lang w:val="en-US" w:eastAsia="zh-CN"/>
        </w:rPr>
        <w:t>8</w:t>
      </w:r>
      <w:r>
        <w:rPr>
          <w:rFonts w:hint="eastAsia"/>
          <w:b/>
          <w:bCs/>
          <w:color w:val="auto"/>
          <w:sz w:val="32"/>
        </w:rPr>
        <w:t>月</w:t>
      </w:r>
      <w:r>
        <w:rPr>
          <w:rFonts w:hint="eastAsia"/>
          <w:b/>
          <w:bCs/>
          <w:color w:val="auto"/>
          <w:sz w:val="32"/>
          <w:lang w:val="en-US" w:eastAsia="zh-CN"/>
        </w:rPr>
        <w:t>1</w:t>
      </w:r>
      <w:r>
        <w:rPr>
          <w:rFonts w:hint="eastAsia"/>
          <w:b/>
          <w:bCs/>
          <w:color w:val="auto"/>
          <w:sz w:val="32"/>
        </w:rPr>
        <w:t>2日</w:t>
      </w:r>
    </w:p>
    <w:p>
      <w:pPr>
        <w:pStyle w:val="75"/>
        <w:ind w:firstLine="0"/>
        <w:jc w:val="center"/>
        <w:rPr>
          <w:b/>
          <w:bCs/>
          <w:color w:val="auto"/>
          <w:sz w:val="32"/>
        </w:rPr>
      </w:pPr>
    </w:p>
    <w:p>
      <w:pPr>
        <w:pStyle w:val="75"/>
        <w:ind w:firstLine="0"/>
        <w:jc w:val="center"/>
        <w:rPr>
          <w:b/>
          <w:bCs/>
          <w:color w:val="auto"/>
          <w:sz w:val="32"/>
        </w:rPr>
      </w:pPr>
    </w:p>
    <w:p>
      <w:pPr>
        <w:spacing w:line="276" w:lineRule="auto"/>
        <w:rPr>
          <w:rFonts w:ascii="黑体" w:hAnsi="Arial" w:eastAsia="黑体"/>
          <w:b/>
          <w:color w:val="auto"/>
          <w:sz w:val="44"/>
          <w:szCs w:val="21"/>
        </w:rPr>
      </w:pPr>
    </w:p>
    <w:p>
      <w:pPr>
        <w:spacing w:line="276" w:lineRule="auto"/>
        <w:ind w:firstLine="3313" w:firstLineChars="750"/>
        <w:rPr>
          <w:rFonts w:ascii="黑体" w:hAnsi="Arial" w:eastAsia="黑体"/>
          <w:b/>
          <w:color w:val="auto"/>
          <w:sz w:val="44"/>
          <w:szCs w:val="21"/>
        </w:rPr>
      </w:pPr>
      <w:r>
        <w:rPr>
          <w:rFonts w:hint="eastAsia" w:ascii="黑体" w:hAnsi="Arial" w:eastAsia="黑体"/>
          <w:b/>
          <w:color w:val="auto"/>
          <w:sz w:val="44"/>
          <w:szCs w:val="21"/>
        </w:rPr>
        <w:t>总目录</w:t>
      </w:r>
    </w:p>
    <w:p>
      <w:pPr>
        <w:spacing w:line="276" w:lineRule="auto"/>
        <w:ind w:firstLine="883" w:firstLineChars="200"/>
        <w:rPr>
          <w:rFonts w:ascii="宋体"/>
          <w:b/>
          <w:color w:val="auto"/>
          <w:sz w:val="44"/>
          <w:szCs w:val="44"/>
        </w:rPr>
      </w:pPr>
    </w:p>
    <w:p>
      <w:pPr>
        <w:spacing w:line="276" w:lineRule="auto"/>
        <w:ind w:firstLine="720" w:firstLineChars="200"/>
        <w:outlineLvl w:val="0"/>
        <w:rPr>
          <w:rFonts w:ascii="黑体" w:hAnsi="宋体" w:eastAsia="黑体"/>
          <w:color w:val="auto"/>
          <w:sz w:val="36"/>
          <w:szCs w:val="21"/>
        </w:rPr>
      </w:pPr>
      <w:r>
        <w:rPr>
          <w:rFonts w:hint="eastAsia" w:ascii="黑体" w:hAnsi="宋体" w:eastAsia="黑体"/>
          <w:color w:val="auto"/>
          <w:sz w:val="36"/>
          <w:szCs w:val="21"/>
        </w:rPr>
        <w:t>第一章  竞争性磋商采购公告……………………</w:t>
      </w:r>
    </w:p>
    <w:p>
      <w:pPr>
        <w:spacing w:line="276" w:lineRule="auto"/>
        <w:ind w:firstLine="720" w:firstLineChars="200"/>
        <w:outlineLvl w:val="0"/>
        <w:rPr>
          <w:rFonts w:ascii="黑体" w:hAnsi="宋体" w:eastAsia="黑体"/>
          <w:color w:val="auto"/>
          <w:sz w:val="36"/>
          <w:szCs w:val="21"/>
        </w:rPr>
      </w:pPr>
      <w:r>
        <w:rPr>
          <w:rFonts w:hint="eastAsia" w:ascii="黑体" w:hAnsi="宋体" w:eastAsia="黑体"/>
          <w:color w:val="auto"/>
          <w:sz w:val="36"/>
          <w:szCs w:val="21"/>
        </w:rPr>
        <w:t>第二章  磋商须知…………………………………</w:t>
      </w:r>
    </w:p>
    <w:p>
      <w:pPr>
        <w:spacing w:line="276" w:lineRule="auto"/>
        <w:ind w:firstLine="720" w:firstLineChars="200"/>
        <w:outlineLvl w:val="0"/>
        <w:rPr>
          <w:rFonts w:ascii="黑体" w:hAnsi="宋体" w:eastAsia="黑体"/>
          <w:color w:val="auto"/>
          <w:sz w:val="36"/>
          <w:szCs w:val="21"/>
        </w:rPr>
      </w:pPr>
      <w:r>
        <w:rPr>
          <w:rFonts w:hint="eastAsia" w:ascii="黑体" w:hAnsi="宋体" w:eastAsia="黑体"/>
          <w:color w:val="auto"/>
          <w:sz w:val="36"/>
          <w:szCs w:val="21"/>
        </w:rPr>
        <w:t>第三章  合同条款及格式…………………………</w:t>
      </w:r>
    </w:p>
    <w:p>
      <w:pPr>
        <w:spacing w:line="276" w:lineRule="auto"/>
        <w:ind w:firstLine="720" w:firstLineChars="200"/>
        <w:outlineLvl w:val="0"/>
        <w:rPr>
          <w:rFonts w:ascii="黑体" w:hAnsi="宋体" w:eastAsia="黑体"/>
          <w:color w:val="auto"/>
          <w:sz w:val="36"/>
          <w:szCs w:val="21"/>
        </w:rPr>
      </w:pPr>
      <w:r>
        <w:rPr>
          <w:rFonts w:hint="eastAsia" w:ascii="黑体" w:hAnsi="宋体" w:eastAsia="黑体"/>
          <w:color w:val="auto"/>
          <w:sz w:val="36"/>
          <w:szCs w:val="21"/>
        </w:rPr>
        <w:t>第四章  项目需求…………………………………</w:t>
      </w:r>
    </w:p>
    <w:p>
      <w:pPr>
        <w:spacing w:line="276" w:lineRule="auto"/>
        <w:ind w:firstLine="720" w:firstLineChars="200"/>
        <w:outlineLvl w:val="0"/>
        <w:rPr>
          <w:rFonts w:ascii="黑体" w:hAnsi="宋体" w:eastAsia="黑体"/>
          <w:color w:val="auto"/>
          <w:sz w:val="36"/>
          <w:szCs w:val="21"/>
        </w:rPr>
      </w:pPr>
      <w:r>
        <w:rPr>
          <w:rFonts w:hint="eastAsia" w:ascii="黑体" w:hAnsi="宋体" w:eastAsia="黑体"/>
          <w:color w:val="auto"/>
          <w:sz w:val="36"/>
          <w:szCs w:val="21"/>
        </w:rPr>
        <w:t>第五章  评审方法和评审标准……………………</w:t>
      </w:r>
    </w:p>
    <w:p>
      <w:pPr>
        <w:spacing w:line="276" w:lineRule="auto"/>
        <w:ind w:firstLine="720" w:firstLineChars="200"/>
        <w:outlineLvl w:val="0"/>
        <w:rPr>
          <w:rFonts w:ascii="黑体" w:hAnsi="宋体" w:eastAsia="黑体"/>
          <w:color w:val="auto"/>
          <w:sz w:val="36"/>
          <w:szCs w:val="21"/>
        </w:rPr>
      </w:pPr>
      <w:r>
        <w:rPr>
          <w:rFonts w:hint="eastAsia" w:ascii="黑体" w:hAnsi="宋体" w:eastAsia="黑体"/>
          <w:color w:val="auto"/>
          <w:sz w:val="36"/>
          <w:szCs w:val="21"/>
        </w:rPr>
        <w:t>第六章  竞争性磋商响应文件格式………………</w:t>
      </w:r>
    </w:p>
    <w:p>
      <w:pPr>
        <w:spacing w:line="276" w:lineRule="auto"/>
        <w:rPr>
          <w:rFonts w:ascii="宋体"/>
          <w:color w:val="auto"/>
        </w:rPr>
      </w:pPr>
    </w:p>
    <w:p>
      <w:pPr>
        <w:jc w:val="center"/>
        <w:rPr>
          <w:rFonts w:ascii="宋体"/>
          <w:color w:val="auto"/>
        </w:rPr>
      </w:pPr>
      <w:r>
        <w:rPr>
          <w:rFonts w:ascii="宋体"/>
          <w:color w:val="auto"/>
        </w:rPr>
        <w:br w:type="page"/>
      </w:r>
    </w:p>
    <w:p>
      <w:pPr>
        <w:pStyle w:val="3"/>
        <w:jc w:val="center"/>
        <w:rPr>
          <w:rFonts w:ascii="黑体" w:eastAsia="黑体"/>
          <w:bCs/>
          <w:color w:val="auto"/>
          <w:sz w:val="44"/>
          <w:szCs w:val="44"/>
        </w:rPr>
      </w:pPr>
      <w:r>
        <w:rPr>
          <w:rFonts w:hint="eastAsia" w:ascii="黑体" w:eastAsia="黑体"/>
          <w:color w:val="auto"/>
          <w:sz w:val="44"/>
          <w:szCs w:val="44"/>
        </w:rPr>
        <w:t>第一章竞争性磋商采购公告</w:t>
      </w:r>
    </w:p>
    <w:p>
      <w:pPr>
        <w:pStyle w:val="3"/>
        <w:tabs>
          <w:tab w:val="left" w:pos="0"/>
          <w:tab w:val="left" w:pos="3165"/>
          <w:tab w:val="center" w:pos="4153"/>
        </w:tabs>
        <w:autoSpaceDE w:val="0"/>
        <w:autoSpaceDN w:val="0"/>
        <w:adjustRightInd w:val="0"/>
        <w:spacing w:line="360" w:lineRule="auto"/>
        <w:jc w:val="center"/>
        <w:rPr>
          <w:rFonts w:ascii="宋体" w:hAnsi="宋体" w:eastAsia="宋体" w:cs="宋体"/>
          <w:b/>
          <w:bCs/>
          <w:color w:val="auto"/>
        </w:rPr>
      </w:pPr>
      <w:bookmarkStart w:id="0" w:name="_Toc513029209"/>
      <w:bookmarkStart w:id="1" w:name="_Toc61149549"/>
      <w:bookmarkStart w:id="2" w:name="_Toc14577347"/>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auto"/>
          <w:sz w:val="24"/>
        </w:rPr>
      </w:pPr>
      <w:r>
        <w:rPr>
          <w:rFonts w:hint="eastAsia" w:ascii="宋体" w:hAnsi="宋体" w:cs="宋体"/>
          <w:color w:val="auto"/>
          <w:sz w:val="24"/>
        </w:rPr>
        <w:t>项目概况</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ascii="宋体" w:hAnsi="宋体" w:cs="宋体"/>
          <w:color w:val="auto"/>
          <w:sz w:val="24"/>
        </w:rPr>
      </w:pPr>
      <w:r>
        <w:rPr>
          <w:rFonts w:hint="eastAsia" w:ascii="宋体" w:hAnsi="宋体" w:cs="宋体"/>
          <w:bCs/>
          <w:color w:val="auto"/>
          <w:sz w:val="24"/>
          <w:u w:val="single"/>
        </w:rPr>
        <w:t>盐城工业职业技术学院2020年度教职工体检服务项目</w:t>
      </w:r>
      <w:r>
        <w:rPr>
          <w:rFonts w:hint="eastAsia" w:ascii="宋体" w:hAnsi="宋体" w:cs="宋体"/>
          <w:bCs/>
          <w:color w:val="auto"/>
          <w:sz w:val="24"/>
        </w:rPr>
        <w:t>的潜在供应商应在</w:t>
      </w:r>
      <w:r>
        <w:rPr>
          <w:rFonts w:hint="eastAsia" w:ascii="宋体" w:hAnsi="宋体" w:cs="宋体"/>
          <w:bCs/>
          <w:color w:val="auto"/>
          <w:sz w:val="24"/>
          <w:u w:val="single"/>
        </w:rPr>
        <w:t>盐城市政府采购网和盐城工业职业技术学院招标采购网</w:t>
      </w:r>
      <w:r>
        <w:rPr>
          <w:rFonts w:hint="eastAsia" w:ascii="宋体" w:hAnsi="宋体" w:cs="宋体"/>
          <w:bCs/>
          <w:color w:val="auto"/>
          <w:sz w:val="24"/>
        </w:rPr>
        <w:t>获</w:t>
      </w:r>
      <w:r>
        <w:rPr>
          <w:rFonts w:hint="eastAsia" w:ascii="宋体" w:hAnsi="宋体" w:cs="宋体"/>
          <w:color w:val="auto"/>
          <w:sz w:val="24"/>
        </w:rPr>
        <w:t>取招标文件，并于</w:t>
      </w:r>
      <w:r>
        <w:rPr>
          <w:rFonts w:hint="eastAsia" w:ascii="宋体" w:hAnsi="宋体" w:cs="宋体"/>
          <w:color w:val="auto"/>
          <w:sz w:val="24"/>
          <w:u w:val="single"/>
        </w:rPr>
        <w:t>2020</w:t>
      </w:r>
      <w:r>
        <w:rPr>
          <w:rFonts w:hint="eastAsia" w:ascii="宋体" w:hAnsi="宋体" w:cs="宋体"/>
          <w:bCs/>
          <w:color w:val="auto"/>
          <w:sz w:val="24"/>
          <w:u w:val="single"/>
        </w:rPr>
        <w:t>年</w:t>
      </w:r>
      <w:r>
        <w:rPr>
          <w:rFonts w:hint="eastAsia" w:ascii="宋体" w:hAnsi="宋体" w:cs="宋体"/>
          <w:bCs/>
          <w:color w:val="auto"/>
          <w:sz w:val="24"/>
          <w:u w:val="single"/>
          <w:lang w:val="en-US" w:eastAsia="zh-CN"/>
        </w:rPr>
        <w:t>8</w:t>
      </w:r>
      <w:r>
        <w:rPr>
          <w:rFonts w:hint="eastAsia" w:ascii="宋体" w:hAnsi="宋体" w:cs="宋体"/>
          <w:bCs/>
          <w:color w:val="auto"/>
          <w:sz w:val="24"/>
          <w:u w:val="single"/>
        </w:rPr>
        <w:t>月</w:t>
      </w:r>
      <w:r>
        <w:rPr>
          <w:rFonts w:hint="eastAsia" w:ascii="宋体" w:hAnsi="宋体" w:cs="宋体"/>
          <w:bCs/>
          <w:color w:val="auto"/>
          <w:sz w:val="24"/>
          <w:u w:val="single"/>
          <w:lang w:val="en-US" w:eastAsia="zh-CN"/>
        </w:rPr>
        <w:t>27</w:t>
      </w:r>
      <w:r>
        <w:rPr>
          <w:rFonts w:hint="eastAsia" w:ascii="宋体" w:hAnsi="宋体" w:cs="宋体"/>
          <w:bCs/>
          <w:color w:val="auto"/>
          <w:sz w:val="24"/>
          <w:u w:val="single"/>
        </w:rPr>
        <w:t>日</w:t>
      </w:r>
      <w:r>
        <w:rPr>
          <w:rFonts w:hint="eastAsia" w:ascii="宋体" w:hAnsi="宋体" w:cs="宋体"/>
          <w:bCs/>
          <w:color w:val="auto"/>
          <w:sz w:val="24"/>
          <w:u w:val="single"/>
          <w:lang w:val="en-US" w:eastAsia="zh-CN"/>
        </w:rPr>
        <w:t>9</w:t>
      </w:r>
      <w:r>
        <w:rPr>
          <w:rFonts w:hint="eastAsia" w:ascii="宋体" w:hAnsi="宋体" w:cs="宋体"/>
          <w:bCs/>
          <w:color w:val="auto"/>
          <w:sz w:val="24"/>
          <w:u w:val="single"/>
        </w:rPr>
        <w:t>点00分（</w:t>
      </w:r>
      <w:r>
        <w:rPr>
          <w:rFonts w:hint="eastAsia" w:ascii="宋体" w:hAnsi="宋体" w:cs="宋体"/>
          <w:bCs/>
          <w:color w:val="auto"/>
          <w:sz w:val="24"/>
        </w:rPr>
        <w:t>北京时间）前提交响应文件</w:t>
      </w:r>
      <w:r>
        <w:rPr>
          <w:rFonts w:hint="eastAsia" w:ascii="宋体" w:hAnsi="宋体" w:cs="宋体"/>
          <w:color w:val="auto"/>
          <w:sz w:val="24"/>
        </w:rPr>
        <w:t>。</w:t>
      </w:r>
    </w:p>
    <w:p>
      <w:pPr>
        <w:spacing w:line="460" w:lineRule="exact"/>
        <w:rPr>
          <w:rFonts w:ascii="宋体" w:hAnsi="宋体" w:cs="宋体"/>
          <w:color w:val="auto"/>
          <w:sz w:val="24"/>
        </w:rPr>
      </w:pP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auto"/>
          <w:sz w:val="24"/>
          <w:szCs w:val="24"/>
        </w:rPr>
      </w:pPr>
      <w:bookmarkStart w:id="3" w:name="_Toc35393621"/>
      <w:bookmarkStart w:id="4" w:name="_Toc28359079"/>
      <w:bookmarkStart w:id="5" w:name="_Toc28359002"/>
      <w:bookmarkStart w:id="6" w:name="_Toc35393790"/>
      <w:bookmarkStart w:id="7" w:name="_Hlk24379207"/>
      <w:r>
        <w:rPr>
          <w:rFonts w:hint="eastAsia" w:ascii="宋体" w:hAnsi="宋体" w:eastAsia="宋体" w:cs="宋体"/>
          <w:b/>
          <w:bCs/>
          <w:color w:val="auto"/>
          <w:sz w:val="24"/>
          <w:szCs w:val="24"/>
        </w:rPr>
        <w:t>一、项目基本情况</w:t>
      </w:r>
      <w:bookmarkEnd w:id="3"/>
      <w:bookmarkEnd w:id="4"/>
      <w:bookmarkEnd w:id="5"/>
      <w:bookmarkEnd w:id="6"/>
    </w:p>
    <w:p>
      <w:pPr>
        <w:spacing w:line="460" w:lineRule="exact"/>
        <w:ind w:firstLine="480" w:firstLineChars="200"/>
        <w:rPr>
          <w:rFonts w:ascii="宋体" w:hAnsi="宋体" w:cs="宋体"/>
          <w:color w:val="auto"/>
          <w:sz w:val="24"/>
          <w:u w:val="single"/>
        </w:rPr>
      </w:pPr>
      <w:r>
        <w:rPr>
          <w:rFonts w:hint="eastAsia" w:ascii="宋体" w:hAnsi="宋体" w:cs="宋体"/>
          <w:color w:val="auto"/>
          <w:sz w:val="24"/>
        </w:rPr>
        <w:t>项目编号：</w:t>
      </w:r>
      <w:r>
        <w:rPr>
          <w:rFonts w:hint="eastAsia" w:ascii="宋体" w:hAnsi="宋体" w:cs="宋体"/>
          <w:color w:val="auto"/>
          <w:sz w:val="24"/>
          <w:u w:val="single"/>
        </w:rPr>
        <w:t>2020-029S</w:t>
      </w:r>
    </w:p>
    <w:p>
      <w:pPr>
        <w:spacing w:line="460" w:lineRule="exact"/>
        <w:ind w:firstLine="480" w:firstLineChars="20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盐城工业职业技术学院2020年度教职工体检服务项目</w:t>
      </w:r>
    </w:p>
    <w:bookmarkEnd w:id="7"/>
    <w:p>
      <w:pPr>
        <w:spacing w:line="460" w:lineRule="exact"/>
        <w:ind w:firstLine="480" w:firstLineChars="200"/>
        <w:rPr>
          <w:rFonts w:ascii="宋体" w:hAnsi="宋体" w:cs="宋体"/>
          <w:color w:val="auto"/>
          <w:sz w:val="24"/>
        </w:rPr>
      </w:pPr>
      <w:r>
        <w:rPr>
          <w:rFonts w:hint="eastAsia" w:ascii="宋体" w:hAnsi="宋体" w:cs="宋体"/>
          <w:color w:val="auto"/>
          <w:sz w:val="24"/>
        </w:rPr>
        <w:t>采购方式：</w:t>
      </w:r>
      <w:r>
        <w:rPr>
          <w:rFonts w:hint="eastAsia" w:ascii="宋体" w:hAnsi="宋体" w:cs="宋体"/>
          <w:color w:val="auto"/>
          <w:sz w:val="24"/>
          <w:u w:val="single"/>
        </w:rPr>
        <w:t>竞争性磋商</w:t>
      </w:r>
    </w:p>
    <w:p>
      <w:pPr>
        <w:spacing w:line="460" w:lineRule="exact"/>
        <w:ind w:firstLine="480" w:firstLineChars="200"/>
        <w:rPr>
          <w:rFonts w:ascii="宋体" w:hAnsi="宋体" w:cs="宋体"/>
          <w:color w:val="auto"/>
          <w:sz w:val="24"/>
        </w:rPr>
      </w:pPr>
      <w:r>
        <w:rPr>
          <w:rFonts w:hint="eastAsia" w:ascii="宋体" w:hAnsi="宋体" w:cs="宋体"/>
          <w:color w:val="auto"/>
          <w:sz w:val="24"/>
        </w:rPr>
        <w:t>预算金额：</w:t>
      </w:r>
      <w:r>
        <w:rPr>
          <w:rFonts w:hint="eastAsia" w:ascii="宋体" w:hAnsi="宋体" w:cs="宋体"/>
          <w:color w:val="auto"/>
          <w:sz w:val="24"/>
          <w:u w:val="single"/>
        </w:rPr>
        <w:t>1、副教授及副教授之下人员的体检：男同志费用不得超过835元/人，女同志费用不得超过1185元/人；2、教授人员体检：男同志不得超过1050元/人，女同志费用不得超过1400元/人；3、校领导（含退休）体检：男同志不得超过2050元/人，女同志费用不得超过2400元/人</w:t>
      </w:r>
      <w:r>
        <w:rPr>
          <w:rFonts w:hint="eastAsia" w:ascii="宋体" w:hAnsi="宋体" w:cs="宋体"/>
          <w:color w:val="auto"/>
          <w:sz w:val="24"/>
        </w:rPr>
        <w:t>。</w:t>
      </w:r>
    </w:p>
    <w:p>
      <w:pPr>
        <w:spacing w:line="500" w:lineRule="exact"/>
        <w:ind w:firstLine="480" w:firstLineChars="200"/>
        <w:jc w:val="left"/>
        <w:rPr>
          <w:rFonts w:ascii="楷体" w:hAnsi="楷体" w:eastAsia="楷体" w:cs="楷体"/>
          <w:color w:val="auto"/>
          <w:sz w:val="24"/>
        </w:rPr>
      </w:pPr>
      <w:r>
        <w:rPr>
          <w:rFonts w:hint="eastAsia" w:ascii="宋体" w:hAnsi="宋体" w:cs="宋体"/>
          <w:color w:val="auto"/>
          <w:sz w:val="24"/>
        </w:rPr>
        <w:t>最高限价：</w:t>
      </w:r>
      <w:r>
        <w:rPr>
          <w:rFonts w:hint="eastAsia" w:ascii="宋体" w:hAnsi="宋体" w:cs="宋体"/>
          <w:color w:val="auto"/>
          <w:sz w:val="24"/>
          <w:u w:val="single"/>
        </w:rPr>
        <w:t>1、副教授及副教授之下人员的体检：男同志费用不得超过835元/人，女同志费用不得超过1185元/人；2、教授人员体检：男同志不得超过1050元/人，女同志费用不得超过1400元/人；3、校领导（含退休）体检：男同志不得超过2050元/人，女同志费用不得超过2400元/人。最终结算时人员数量根据采购人实际需要执行，成交人不得以人数多少为由要求采购人增加任何费用。</w:t>
      </w:r>
    </w:p>
    <w:p>
      <w:pPr>
        <w:spacing w:line="500" w:lineRule="exact"/>
        <w:ind w:firstLine="480" w:firstLineChars="200"/>
        <w:jc w:val="left"/>
        <w:rPr>
          <w:rFonts w:ascii="宋体" w:hAnsi="宋体" w:cs="宋体"/>
          <w:color w:val="auto"/>
          <w:sz w:val="24"/>
        </w:rPr>
      </w:pPr>
      <w:r>
        <w:rPr>
          <w:rFonts w:hint="eastAsia" w:ascii="宋体" w:hAnsi="宋体" w:cs="宋体"/>
          <w:color w:val="auto"/>
          <w:sz w:val="24"/>
        </w:rPr>
        <w:t>采购需求：</w:t>
      </w:r>
      <w:r>
        <w:rPr>
          <w:rFonts w:hint="eastAsia" w:ascii="宋体" w:hAnsi="宋体" w:cs="宋体"/>
          <w:color w:val="auto"/>
          <w:sz w:val="24"/>
          <w:u w:val="single"/>
        </w:rPr>
        <w:t>盐城工业职业技术学院2020年度教职工体检服务，主要按三种方案实施：1、副教授及副教授之下人员的体检；2、教授人员的体检；3、校领导（含退休）的体检。具体详见第四章项目需求，采购人保留对上述采购范围及内容进行适当调整的权利。</w:t>
      </w:r>
    </w:p>
    <w:p>
      <w:pPr>
        <w:spacing w:line="460" w:lineRule="exact"/>
        <w:ind w:firstLine="480" w:firstLineChars="200"/>
        <w:rPr>
          <w:rFonts w:ascii="宋体" w:hAnsi="宋体" w:cs="宋体"/>
          <w:color w:val="auto"/>
          <w:sz w:val="24"/>
        </w:rPr>
      </w:pPr>
      <w:r>
        <w:rPr>
          <w:rFonts w:hint="eastAsia" w:ascii="宋体" w:hAnsi="宋体" w:cs="宋体"/>
          <w:color w:val="auto"/>
          <w:sz w:val="24"/>
        </w:rPr>
        <w:t>合同履行期限：</w:t>
      </w:r>
      <w:r>
        <w:rPr>
          <w:rFonts w:hint="eastAsia" w:ascii="宋体" w:hAnsi="宋体" w:cs="宋体"/>
          <w:color w:val="auto"/>
          <w:sz w:val="24"/>
          <w:u w:val="single"/>
        </w:rPr>
        <w:t>根据采购人实际需要。</w:t>
      </w:r>
    </w:p>
    <w:p>
      <w:pPr>
        <w:spacing w:line="460" w:lineRule="exact"/>
        <w:ind w:firstLine="480" w:firstLineChars="200"/>
        <w:rPr>
          <w:rFonts w:ascii="宋体" w:hAnsi="宋体" w:cs="宋体"/>
          <w:color w:val="auto"/>
          <w:sz w:val="24"/>
        </w:rPr>
      </w:pPr>
      <w:r>
        <w:rPr>
          <w:rFonts w:hint="eastAsia" w:ascii="宋体" w:hAnsi="宋体" w:cs="宋体"/>
          <w:color w:val="auto"/>
          <w:sz w:val="24"/>
        </w:rPr>
        <w:t>本项目</w:t>
      </w:r>
      <w:r>
        <w:rPr>
          <w:rFonts w:hint="eastAsia" w:ascii="宋体" w:hAnsi="宋体" w:cs="宋体"/>
          <w:color w:val="auto"/>
          <w:sz w:val="24"/>
          <w:u w:val="single"/>
        </w:rPr>
        <w:t>不接受</w:t>
      </w:r>
      <w:r>
        <w:rPr>
          <w:rFonts w:hint="eastAsia" w:ascii="宋体" w:hAnsi="宋体" w:cs="宋体"/>
          <w:color w:val="auto"/>
          <w:sz w:val="24"/>
        </w:rPr>
        <w:t>联合体投标。</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auto"/>
          <w:sz w:val="24"/>
          <w:szCs w:val="24"/>
        </w:rPr>
      </w:pPr>
      <w:bookmarkStart w:id="8" w:name="_Toc35393791"/>
      <w:bookmarkStart w:id="9" w:name="_Toc35393622"/>
      <w:bookmarkStart w:id="10" w:name="_Toc28359080"/>
      <w:bookmarkStart w:id="11" w:name="_Toc28359003"/>
      <w:r>
        <w:rPr>
          <w:rFonts w:hint="eastAsia" w:ascii="宋体" w:hAnsi="宋体" w:eastAsia="宋体" w:cs="宋体"/>
          <w:b/>
          <w:bCs/>
          <w:color w:val="auto"/>
          <w:sz w:val="24"/>
          <w:szCs w:val="24"/>
        </w:rPr>
        <w:t>二、申请人的资格要求：</w:t>
      </w:r>
      <w:bookmarkEnd w:id="8"/>
      <w:bookmarkEnd w:id="9"/>
      <w:bookmarkEnd w:id="10"/>
      <w:bookmarkEnd w:id="11"/>
    </w:p>
    <w:p>
      <w:pPr>
        <w:spacing w:line="460" w:lineRule="exact"/>
        <w:ind w:firstLine="480" w:firstLineChars="200"/>
        <w:rPr>
          <w:rFonts w:ascii="宋体" w:hAnsi="宋体" w:cs="宋体"/>
          <w:color w:val="auto"/>
          <w:sz w:val="24"/>
        </w:rPr>
      </w:pPr>
      <w:r>
        <w:rPr>
          <w:rFonts w:hint="eastAsia" w:ascii="宋体" w:hAnsi="宋体" w:cs="宋体"/>
          <w:color w:val="auto"/>
          <w:sz w:val="24"/>
        </w:rPr>
        <w:t>1.满足《中华人民共和国政府采购法》第二十二条规定，并提供下列材料；</w:t>
      </w:r>
    </w:p>
    <w:p>
      <w:pPr>
        <w:spacing w:line="460" w:lineRule="exact"/>
        <w:ind w:firstLine="480" w:firstLineChars="200"/>
        <w:rPr>
          <w:rFonts w:ascii="宋体" w:hAnsi="宋体" w:cs="宋体"/>
          <w:color w:val="auto"/>
          <w:sz w:val="24"/>
        </w:rPr>
      </w:pPr>
      <w:r>
        <w:rPr>
          <w:rFonts w:hint="eastAsia" w:ascii="宋体" w:hAnsi="宋体" w:cs="宋体"/>
          <w:color w:val="auto"/>
          <w:sz w:val="24"/>
        </w:rPr>
        <w:t>（1）法人或者其他组织的营业执照等证明文件，自然人的身份证明；</w:t>
      </w:r>
      <w:r>
        <w:rPr>
          <w:rFonts w:hint="eastAsia" w:ascii="宋体" w:hAnsi="宋体" w:cs="宋体"/>
          <w:color w:val="auto"/>
          <w:sz w:val="24"/>
        </w:rPr>
        <w:br w:type="textWrapping"/>
      </w:r>
      <w:r>
        <w:rPr>
          <w:rFonts w:hint="eastAsia" w:ascii="宋体" w:hAnsi="宋体" w:cs="宋体"/>
          <w:color w:val="auto"/>
          <w:sz w:val="24"/>
        </w:rPr>
        <w:t>　　（2）上一年度的财务报表（成立不满一年不需提供）；</w:t>
      </w:r>
    </w:p>
    <w:p>
      <w:pPr>
        <w:spacing w:line="460" w:lineRule="exact"/>
        <w:ind w:firstLine="480" w:firstLineChars="200"/>
        <w:rPr>
          <w:rFonts w:ascii="宋体" w:hAnsi="宋体" w:cs="宋体"/>
          <w:color w:val="auto"/>
          <w:sz w:val="24"/>
        </w:rPr>
      </w:pPr>
      <w:r>
        <w:rPr>
          <w:rFonts w:hint="eastAsia" w:ascii="宋体" w:hAnsi="宋体" w:cs="宋体"/>
          <w:color w:val="auto"/>
          <w:sz w:val="24"/>
        </w:rPr>
        <w:t>（3）依法缴纳税收和社会保障资金的相关材料；</w:t>
      </w:r>
    </w:p>
    <w:p>
      <w:pPr>
        <w:spacing w:line="460" w:lineRule="exact"/>
        <w:ind w:firstLine="480" w:firstLineChars="200"/>
        <w:rPr>
          <w:rFonts w:ascii="宋体" w:hAnsi="宋体" w:cs="宋体"/>
          <w:color w:val="auto"/>
          <w:sz w:val="24"/>
        </w:rPr>
      </w:pPr>
      <w:r>
        <w:rPr>
          <w:rFonts w:hint="eastAsia" w:ascii="宋体" w:hAnsi="宋体" w:cs="宋体"/>
          <w:color w:val="auto"/>
          <w:sz w:val="24"/>
        </w:rPr>
        <w:t>（4）具备履行合同所必需的设备和专业技术能力的书面声明；</w:t>
      </w:r>
      <w:r>
        <w:rPr>
          <w:rFonts w:hint="eastAsia" w:ascii="宋体" w:hAnsi="宋体" w:cs="宋体"/>
          <w:color w:val="auto"/>
          <w:sz w:val="24"/>
        </w:rPr>
        <w:br w:type="textWrapping"/>
      </w:r>
      <w:r>
        <w:rPr>
          <w:rFonts w:hint="eastAsia" w:ascii="宋体" w:hAnsi="宋体" w:cs="宋体"/>
          <w:color w:val="auto"/>
          <w:sz w:val="24"/>
        </w:rPr>
        <w:t>　　（5）参加政府采购活动前3年内在经营活动中没有重大违法记录的书面声明；</w:t>
      </w:r>
    </w:p>
    <w:p>
      <w:pPr>
        <w:spacing w:line="460" w:lineRule="exact"/>
        <w:ind w:firstLine="480" w:firstLineChars="200"/>
        <w:rPr>
          <w:rFonts w:ascii="宋体" w:hAnsi="宋体" w:cs="宋体"/>
          <w:color w:val="auto"/>
          <w:sz w:val="24"/>
        </w:rPr>
      </w:pPr>
      <w:bookmarkStart w:id="12" w:name="_Toc28359081"/>
      <w:bookmarkStart w:id="13" w:name="_Toc28359004"/>
      <w:r>
        <w:rPr>
          <w:rFonts w:hint="eastAsia" w:ascii="宋体" w:hAnsi="宋体" w:cs="宋体"/>
          <w:color w:val="auto"/>
          <w:sz w:val="24"/>
        </w:rPr>
        <w:t>2.落实政府采购政策需满足的资格要求：</w:t>
      </w:r>
      <w:r>
        <w:rPr>
          <w:rFonts w:hint="eastAsia" w:ascii="宋体" w:hAnsi="宋体" w:cs="宋体"/>
          <w:color w:val="auto"/>
          <w:sz w:val="24"/>
          <w:u w:val="single"/>
        </w:rPr>
        <w:t>/</w:t>
      </w:r>
      <w:r>
        <w:rPr>
          <w:rFonts w:hint="eastAsia" w:ascii="宋体" w:hAnsi="宋体" w:cs="宋体"/>
          <w:color w:val="auto"/>
          <w:sz w:val="24"/>
        </w:rPr>
        <w:t>。</w:t>
      </w:r>
    </w:p>
    <w:p>
      <w:pPr>
        <w:spacing w:line="460" w:lineRule="exact"/>
        <w:ind w:firstLine="480" w:firstLineChars="200"/>
        <w:rPr>
          <w:rFonts w:ascii="宋体" w:hAnsi="宋体" w:cs="宋体"/>
          <w:color w:val="auto"/>
          <w:sz w:val="24"/>
        </w:rPr>
      </w:pPr>
      <w:r>
        <w:rPr>
          <w:rFonts w:hint="eastAsia" w:ascii="宋体" w:hAnsi="宋体" w:cs="宋体"/>
          <w:color w:val="auto"/>
          <w:sz w:val="24"/>
        </w:rPr>
        <w:t>3.本项目的特定资格要求：</w:t>
      </w:r>
    </w:p>
    <w:p>
      <w:pPr>
        <w:spacing w:line="460" w:lineRule="exact"/>
        <w:ind w:firstLine="480" w:firstLineChars="200"/>
        <w:rPr>
          <w:rFonts w:ascii="宋体" w:hAnsi="宋体" w:cs="宋体"/>
          <w:color w:val="auto"/>
          <w:sz w:val="24"/>
        </w:rPr>
      </w:pPr>
      <w:r>
        <w:rPr>
          <w:rFonts w:hint="eastAsia" w:ascii="宋体" w:hAnsi="宋体" w:cs="宋体"/>
          <w:color w:val="auto"/>
          <w:sz w:val="24"/>
        </w:rPr>
        <w:t>（1）未被“信用中国”网站（www.creditchina.gov.cn）列入失信被执行人、重大税收违法案件当事人名单、政府采购严重失信行为记录名单。</w:t>
      </w:r>
    </w:p>
    <w:p>
      <w:pPr>
        <w:spacing w:line="460" w:lineRule="exact"/>
        <w:ind w:firstLine="480" w:firstLineChars="200"/>
        <w:rPr>
          <w:rFonts w:ascii="宋体" w:hAnsi="宋体" w:cs="宋体"/>
          <w:color w:val="auto"/>
          <w:sz w:val="24"/>
        </w:rPr>
      </w:pPr>
      <w:r>
        <w:rPr>
          <w:rFonts w:hint="eastAsia" w:ascii="宋体" w:hAnsi="宋体" w:cs="宋体"/>
          <w:color w:val="auto"/>
          <w:sz w:val="24"/>
        </w:rPr>
        <w:t>（2）单位负责人为同一人或者存在直接控股、管理关系的不同供应商，不得参加同一合同项下的政府采购活动。</w:t>
      </w:r>
    </w:p>
    <w:p>
      <w:pPr>
        <w:spacing w:line="460" w:lineRule="exact"/>
        <w:ind w:firstLine="480" w:firstLineChars="200"/>
        <w:rPr>
          <w:rFonts w:ascii="宋体" w:hAnsi="宋体" w:cs="宋体"/>
          <w:color w:val="auto"/>
          <w:sz w:val="24"/>
          <w:u w:val="single"/>
        </w:rPr>
      </w:pPr>
      <w:r>
        <w:rPr>
          <w:rFonts w:hint="eastAsia" w:ascii="宋体" w:hAnsi="宋体" w:cs="宋体"/>
          <w:color w:val="auto"/>
          <w:sz w:val="24"/>
          <w:u w:val="single"/>
        </w:rPr>
        <w:t>（3）盐城市区三级甲等综合性医院。</w:t>
      </w:r>
    </w:p>
    <w:p>
      <w:pPr>
        <w:spacing w:line="460" w:lineRule="exact"/>
        <w:ind w:firstLine="480" w:firstLineChars="200"/>
        <w:rPr>
          <w:color w:val="auto"/>
          <w:u w:val="single"/>
        </w:rPr>
      </w:pPr>
      <w:r>
        <w:rPr>
          <w:rFonts w:hint="eastAsia" w:ascii="宋体" w:hAnsi="宋体" w:cs="宋体"/>
          <w:color w:val="auto"/>
          <w:sz w:val="24"/>
          <w:u w:val="single"/>
        </w:rPr>
        <w:t>（4）医院应组织有执业资格、经验丰富、三年以上职龄的医务人员对我校参检职工进行体检，不得让没有资质的或没有经验的医务人员对我校参检职工进行体检。</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auto"/>
          <w:sz w:val="24"/>
          <w:szCs w:val="24"/>
        </w:rPr>
      </w:pPr>
      <w:bookmarkStart w:id="14" w:name="_Toc35393623"/>
      <w:bookmarkStart w:id="15" w:name="_Toc35393792"/>
      <w:r>
        <w:rPr>
          <w:rFonts w:hint="eastAsia" w:ascii="宋体" w:hAnsi="宋体" w:eastAsia="宋体" w:cs="宋体"/>
          <w:b/>
          <w:bCs/>
          <w:color w:val="auto"/>
          <w:sz w:val="24"/>
          <w:szCs w:val="24"/>
        </w:rPr>
        <w:t>三、获取采购文件</w:t>
      </w:r>
      <w:bookmarkEnd w:id="12"/>
      <w:bookmarkEnd w:id="13"/>
      <w:bookmarkEnd w:id="14"/>
      <w:bookmarkEnd w:id="15"/>
    </w:p>
    <w:p>
      <w:pPr>
        <w:spacing w:line="460" w:lineRule="exact"/>
        <w:ind w:firstLine="480" w:firstLineChars="200"/>
        <w:rPr>
          <w:rFonts w:ascii="宋体" w:hAnsi="宋体" w:cs="宋体"/>
          <w:color w:val="auto"/>
          <w:sz w:val="24"/>
        </w:rPr>
      </w:pPr>
      <w:r>
        <w:rPr>
          <w:rFonts w:hint="eastAsia" w:ascii="宋体" w:hAnsi="宋体" w:cs="宋体"/>
          <w:color w:val="auto"/>
          <w:sz w:val="24"/>
        </w:rPr>
        <w:t>时间：自公告之日起至投标截止时间前1日</w:t>
      </w:r>
    </w:p>
    <w:p>
      <w:pPr>
        <w:spacing w:line="460" w:lineRule="exact"/>
        <w:ind w:firstLine="480" w:firstLineChars="200"/>
        <w:rPr>
          <w:rFonts w:ascii="宋体" w:hAnsi="宋体" w:cs="宋体"/>
          <w:color w:val="auto"/>
          <w:sz w:val="24"/>
        </w:rPr>
      </w:pPr>
      <w:r>
        <w:rPr>
          <w:rFonts w:hint="eastAsia" w:ascii="宋体" w:hAnsi="宋体" w:cs="宋体"/>
          <w:color w:val="auto"/>
          <w:sz w:val="24"/>
        </w:rPr>
        <w:t>地点：盐城市政府采购网和盐城工业职业技术学院招标采购网</w:t>
      </w:r>
    </w:p>
    <w:p>
      <w:pPr>
        <w:spacing w:line="460" w:lineRule="exact"/>
        <w:ind w:firstLine="480" w:firstLineChars="200"/>
        <w:rPr>
          <w:rFonts w:ascii="宋体" w:hAnsi="宋体" w:cs="宋体"/>
          <w:color w:val="auto"/>
          <w:sz w:val="24"/>
        </w:rPr>
      </w:pPr>
      <w:r>
        <w:rPr>
          <w:rFonts w:hint="eastAsia" w:ascii="宋体" w:hAnsi="宋体" w:cs="宋体"/>
          <w:color w:val="auto"/>
          <w:sz w:val="24"/>
        </w:rPr>
        <w:t>方式：符合资格要求的投标人可自行下载采购文件，采购文件见盐城市政府采购网和盐城工业职业技术学院招标采购网本公告附件。</w:t>
      </w:r>
    </w:p>
    <w:p>
      <w:pPr>
        <w:spacing w:line="460" w:lineRule="exact"/>
        <w:ind w:firstLine="480" w:firstLineChars="200"/>
        <w:rPr>
          <w:rFonts w:ascii="宋体" w:hAnsi="宋体" w:cs="宋体"/>
          <w:color w:val="auto"/>
          <w:sz w:val="24"/>
        </w:rPr>
      </w:pPr>
      <w:r>
        <w:rPr>
          <w:rFonts w:hint="eastAsia" w:ascii="宋体" w:hAnsi="宋体" w:cs="宋体"/>
          <w:color w:val="auto"/>
          <w:sz w:val="24"/>
        </w:rPr>
        <w:t>售价：人民币500元在提交响应文件时现场现金交纳。</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auto"/>
          <w:sz w:val="24"/>
          <w:szCs w:val="24"/>
        </w:rPr>
      </w:pPr>
      <w:bookmarkStart w:id="16" w:name="_Toc28359082"/>
      <w:bookmarkStart w:id="17" w:name="_Toc35393624"/>
      <w:bookmarkStart w:id="18" w:name="_Toc28359005"/>
      <w:bookmarkStart w:id="19" w:name="_Toc35393793"/>
      <w:r>
        <w:rPr>
          <w:rFonts w:hint="eastAsia" w:ascii="宋体" w:hAnsi="宋体" w:eastAsia="宋体" w:cs="宋体"/>
          <w:b/>
          <w:bCs/>
          <w:color w:val="auto"/>
          <w:sz w:val="24"/>
          <w:szCs w:val="24"/>
        </w:rPr>
        <w:t>四、</w:t>
      </w:r>
      <w:bookmarkEnd w:id="16"/>
      <w:bookmarkEnd w:id="17"/>
      <w:bookmarkEnd w:id="18"/>
      <w:bookmarkEnd w:id="19"/>
      <w:r>
        <w:rPr>
          <w:rFonts w:hint="eastAsia" w:ascii="宋体" w:hAnsi="宋体" w:eastAsia="宋体" w:cs="宋体"/>
          <w:b/>
          <w:bCs/>
          <w:color w:val="auto"/>
          <w:sz w:val="24"/>
          <w:szCs w:val="24"/>
        </w:rPr>
        <w:t>响应文件提交</w:t>
      </w:r>
    </w:p>
    <w:p>
      <w:pPr>
        <w:spacing w:line="460" w:lineRule="exact"/>
        <w:ind w:firstLine="480" w:firstLineChars="200"/>
        <w:rPr>
          <w:rFonts w:ascii="宋体" w:hAnsi="宋体" w:cs="宋体"/>
          <w:color w:val="auto"/>
          <w:sz w:val="24"/>
        </w:rPr>
      </w:pPr>
      <w:r>
        <w:rPr>
          <w:rFonts w:hint="eastAsia" w:ascii="宋体" w:hAnsi="宋体" w:cs="宋体"/>
          <w:color w:val="auto"/>
          <w:sz w:val="24"/>
        </w:rPr>
        <w:t>截止时间：</w:t>
      </w:r>
      <w:r>
        <w:rPr>
          <w:rFonts w:hint="eastAsia" w:ascii="宋体" w:hAnsi="宋体" w:cs="宋体"/>
          <w:color w:val="auto"/>
          <w:sz w:val="24"/>
          <w:u w:val="single"/>
        </w:rPr>
        <w:t>2020</w:t>
      </w:r>
      <w:r>
        <w:rPr>
          <w:rFonts w:hint="eastAsia" w:ascii="宋体" w:hAnsi="宋体" w:cs="宋体"/>
          <w:bCs/>
          <w:color w:val="auto"/>
          <w:sz w:val="24"/>
          <w:u w:val="single"/>
        </w:rPr>
        <w:t>年</w:t>
      </w:r>
      <w:r>
        <w:rPr>
          <w:rFonts w:hint="eastAsia" w:ascii="宋体" w:hAnsi="宋体" w:cs="宋体"/>
          <w:bCs/>
          <w:color w:val="auto"/>
          <w:sz w:val="24"/>
          <w:u w:val="single"/>
          <w:lang w:val="en-US" w:eastAsia="zh-CN"/>
        </w:rPr>
        <w:t>8</w:t>
      </w:r>
      <w:r>
        <w:rPr>
          <w:rFonts w:hint="eastAsia" w:ascii="宋体" w:hAnsi="宋体" w:cs="宋体"/>
          <w:bCs/>
          <w:color w:val="auto"/>
          <w:sz w:val="24"/>
          <w:u w:val="single"/>
        </w:rPr>
        <w:t>月</w:t>
      </w:r>
      <w:r>
        <w:rPr>
          <w:rFonts w:hint="eastAsia" w:ascii="宋体" w:hAnsi="宋体" w:cs="宋体"/>
          <w:bCs/>
          <w:color w:val="auto"/>
          <w:sz w:val="24"/>
          <w:u w:val="single"/>
          <w:lang w:val="en-US" w:eastAsia="zh-CN"/>
        </w:rPr>
        <w:t>27</w:t>
      </w:r>
      <w:r>
        <w:rPr>
          <w:rFonts w:hint="eastAsia" w:ascii="宋体" w:hAnsi="宋体" w:cs="宋体"/>
          <w:bCs/>
          <w:color w:val="auto"/>
          <w:sz w:val="24"/>
          <w:u w:val="single"/>
        </w:rPr>
        <w:t>日</w:t>
      </w:r>
      <w:r>
        <w:rPr>
          <w:rFonts w:hint="eastAsia" w:ascii="宋体" w:hAnsi="宋体" w:cs="宋体"/>
          <w:bCs/>
          <w:color w:val="auto"/>
          <w:sz w:val="24"/>
          <w:u w:val="single"/>
          <w:lang w:val="en-US" w:eastAsia="zh-CN"/>
        </w:rPr>
        <w:t>9</w:t>
      </w:r>
      <w:r>
        <w:rPr>
          <w:rFonts w:hint="eastAsia" w:ascii="宋体" w:hAnsi="宋体" w:cs="宋体"/>
          <w:bCs/>
          <w:color w:val="auto"/>
          <w:sz w:val="24"/>
          <w:u w:val="single"/>
        </w:rPr>
        <w:t>点00分</w:t>
      </w:r>
      <w:r>
        <w:rPr>
          <w:rFonts w:hint="eastAsia" w:ascii="宋体" w:hAnsi="宋体" w:cs="宋体"/>
          <w:color w:val="auto"/>
          <w:sz w:val="24"/>
        </w:rPr>
        <w:t>（北京时间）</w:t>
      </w:r>
    </w:p>
    <w:p>
      <w:pPr>
        <w:spacing w:line="460" w:lineRule="exact"/>
        <w:ind w:firstLine="480" w:firstLineChars="200"/>
        <w:rPr>
          <w:rFonts w:ascii="宋体" w:hAnsi="宋体" w:cs="宋体"/>
          <w:color w:val="auto"/>
          <w:sz w:val="24"/>
        </w:rPr>
      </w:pPr>
      <w:r>
        <w:rPr>
          <w:rFonts w:hint="eastAsia" w:ascii="宋体" w:hAnsi="宋体" w:cs="宋体"/>
          <w:color w:val="auto"/>
          <w:sz w:val="24"/>
        </w:rPr>
        <w:t>地点：盐城工业职业技术学院（盐城市解放南路285号）后勤服务中心四楼402开标室。</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auto"/>
          <w:sz w:val="24"/>
          <w:szCs w:val="24"/>
        </w:rPr>
      </w:pPr>
      <w:bookmarkStart w:id="20" w:name="_Toc35393625"/>
      <w:bookmarkStart w:id="21" w:name="_Toc28359084"/>
      <w:bookmarkStart w:id="22" w:name="_Toc35393794"/>
      <w:bookmarkStart w:id="23" w:name="_Toc28359007"/>
      <w:r>
        <w:rPr>
          <w:rFonts w:hint="eastAsia" w:ascii="宋体" w:hAnsi="宋体" w:eastAsia="宋体" w:cs="宋体"/>
          <w:b/>
          <w:bCs/>
          <w:color w:val="auto"/>
          <w:sz w:val="24"/>
          <w:szCs w:val="24"/>
        </w:rPr>
        <w:t>五、</w:t>
      </w:r>
      <w:bookmarkEnd w:id="20"/>
      <w:bookmarkEnd w:id="21"/>
      <w:bookmarkEnd w:id="22"/>
      <w:bookmarkEnd w:id="23"/>
      <w:r>
        <w:rPr>
          <w:rFonts w:hint="eastAsia" w:ascii="宋体" w:hAnsi="宋体" w:eastAsia="宋体" w:cs="宋体"/>
          <w:b/>
          <w:bCs/>
          <w:color w:val="auto"/>
          <w:sz w:val="24"/>
          <w:szCs w:val="24"/>
        </w:rPr>
        <w:t>开启</w:t>
      </w:r>
    </w:p>
    <w:p>
      <w:pPr>
        <w:spacing w:line="460" w:lineRule="exact"/>
        <w:ind w:firstLine="480" w:firstLineChars="200"/>
        <w:rPr>
          <w:rFonts w:ascii="宋体" w:hAnsi="宋体" w:cs="宋体"/>
          <w:color w:val="auto"/>
          <w:sz w:val="24"/>
        </w:rPr>
      </w:pPr>
      <w:bookmarkStart w:id="24" w:name="_Toc35393795"/>
      <w:bookmarkStart w:id="25" w:name="_Toc35393626"/>
      <w:r>
        <w:rPr>
          <w:rFonts w:hint="eastAsia" w:ascii="宋体" w:hAnsi="宋体" w:cs="宋体"/>
          <w:color w:val="auto"/>
          <w:sz w:val="24"/>
        </w:rPr>
        <w:t>截止时间：</w:t>
      </w:r>
      <w:r>
        <w:rPr>
          <w:rFonts w:hint="eastAsia" w:ascii="宋体" w:hAnsi="宋体" w:cs="宋体"/>
          <w:color w:val="auto"/>
          <w:sz w:val="24"/>
          <w:u w:val="single"/>
        </w:rPr>
        <w:t>2020</w:t>
      </w:r>
      <w:r>
        <w:rPr>
          <w:rFonts w:hint="eastAsia" w:ascii="宋体" w:hAnsi="宋体" w:cs="宋体"/>
          <w:bCs/>
          <w:color w:val="auto"/>
          <w:sz w:val="24"/>
          <w:u w:val="single"/>
        </w:rPr>
        <w:t>年</w:t>
      </w:r>
      <w:r>
        <w:rPr>
          <w:rFonts w:hint="eastAsia" w:ascii="宋体" w:hAnsi="宋体" w:cs="宋体"/>
          <w:bCs/>
          <w:color w:val="auto"/>
          <w:sz w:val="24"/>
          <w:u w:val="single"/>
          <w:lang w:val="en-US" w:eastAsia="zh-CN"/>
        </w:rPr>
        <w:t>8</w:t>
      </w:r>
      <w:r>
        <w:rPr>
          <w:rFonts w:hint="eastAsia" w:ascii="宋体" w:hAnsi="宋体" w:cs="宋体"/>
          <w:bCs/>
          <w:color w:val="auto"/>
          <w:sz w:val="24"/>
          <w:u w:val="single"/>
        </w:rPr>
        <w:t>月</w:t>
      </w:r>
      <w:r>
        <w:rPr>
          <w:rFonts w:hint="eastAsia" w:ascii="宋体" w:hAnsi="宋体" w:cs="宋体"/>
          <w:bCs/>
          <w:color w:val="auto"/>
          <w:sz w:val="24"/>
          <w:u w:val="single"/>
          <w:lang w:val="en-US" w:eastAsia="zh-CN"/>
        </w:rPr>
        <w:t>27</w:t>
      </w:r>
      <w:r>
        <w:rPr>
          <w:rFonts w:hint="eastAsia" w:ascii="宋体" w:hAnsi="宋体" w:cs="宋体"/>
          <w:bCs/>
          <w:color w:val="auto"/>
          <w:sz w:val="24"/>
          <w:u w:val="single"/>
        </w:rPr>
        <w:t>日</w:t>
      </w:r>
      <w:r>
        <w:rPr>
          <w:rFonts w:hint="eastAsia" w:ascii="宋体" w:hAnsi="宋体" w:cs="宋体"/>
          <w:bCs/>
          <w:color w:val="auto"/>
          <w:sz w:val="24"/>
          <w:u w:val="single"/>
          <w:lang w:val="en-US" w:eastAsia="zh-CN"/>
        </w:rPr>
        <w:t>9</w:t>
      </w:r>
      <w:bookmarkStart w:id="122" w:name="_GoBack"/>
      <w:bookmarkEnd w:id="122"/>
      <w:r>
        <w:rPr>
          <w:rFonts w:hint="eastAsia" w:ascii="宋体" w:hAnsi="宋体" w:cs="宋体"/>
          <w:bCs/>
          <w:color w:val="auto"/>
          <w:sz w:val="24"/>
          <w:u w:val="single"/>
        </w:rPr>
        <w:t>点00分</w:t>
      </w:r>
      <w:r>
        <w:rPr>
          <w:rFonts w:hint="eastAsia" w:ascii="宋体" w:hAnsi="宋体" w:cs="宋体"/>
          <w:color w:val="auto"/>
          <w:sz w:val="24"/>
        </w:rPr>
        <w:t>（北京时间）</w:t>
      </w:r>
    </w:p>
    <w:p>
      <w:pPr>
        <w:spacing w:line="460" w:lineRule="exact"/>
        <w:ind w:firstLine="480" w:firstLineChars="200"/>
        <w:rPr>
          <w:rFonts w:ascii="宋体" w:hAnsi="宋体" w:cs="宋体"/>
          <w:color w:val="auto"/>
          <w:sz w:val="24"/>
        </w:rPr>
      </w:pPr>
      <w:r>
        <w:rPr>
          <w:rFonts w:hint="eastAsia" w:ascii="宋体" w:hAnsi="宋体" w:cs="宋体"/>
          <w:color w:val="auto"/>
          <w:sz w:val="24"/>
        </w:rPr>
        <w:t>地点：盐城工业职业技术学院（盐城市解放南路285号）后勤服务中心四楼402开标室。</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auto"/>
          <w:sz w:val="24"/>
          <w:szCs w:val="24"/>
        </w:rPr>
      </w:pPr>
      <w:r>
        <w:rPr>
          <w:rFonts w:hint="eastAsia" w:ascii="宋体" w:hAnsi="宋体" w:eastAsia="宋体" w:cs="宋体"/>
          <w:b/>
          <w:bCs/>
          <w:color w:val="auto"/>
          <w:sz w:val="24"/>
          <w:szCs w:val="24"/>
        </w:rPr>
        <w:t>六、公告期限</w:t>
      </w:r>
    </w:p>
    <w:p>
      <w:pPr>
        <w:spacing w:line="460" w:lineRule="exact"/>
        <w:ind w:firstLine="480" w:firstLineChars="200"/>
        <w:rPr>
          <w:rFonts w:ascii="宋体" w:hAnsi="宋体" w:cs="宋体"/>
          <w:color w:val="auto"/>
          <w:sz w:val="24"/>
        </w:rPr>
      </w:pPr>
      <w:r>
        <w:rPr>
          <w:rFonts w:hint="eastAsia" w:ascii="宋体" w:hAnsi="宋体" w:cs="宋体"/>
          <w:color w:val="auto"/>
          <w:sz w:val="24"/>
        </w:rPr>
        <w:t>自本公告发布之日起3个工作日。</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auto"/>
          <w:sz w:val="24"/>
          <w:szCs w:val="24"/>
        </w:rPr>
      </w:pPr>
      <w:r>
        <w:rPr>
          <w:rFonts w:hint="eastAsia" w:ascii="宋体" w:hAnsi="宋体" w:eastAsia="宋体" w:cs="宋体"/>
          <w:b/>
          <w:bCs/>
          <w:color w:val="auto"/>
          <w:sz w:val="24"/>
          <w:szCs w:val="24"/>
        </w:rPr>
        <w:t>七、其他补充事宜</w:t>
      </w:r>
      <w:bookmarkEnd w:id="24"/>
      <w:bookmarkEnd w:id="25"/>
    </w:p>
    <w:p>
      <w:pPr>
        <w:spacing w:line="460" w:lineRule="exact"/>
        <w:ind w:firstLine="480" w:firstLineChars="200"/>
        <w:rPr>
          <w:rFonts w:ascii="宋体" w:hAnsi="宋体" w:cs="宋体"/>
          <w:color w:val="auto"/>
          <w:sz w:val="24"/>
        </w:rPr>
      </w:pPr>
      <w:r>
        <w:rPr>
          <w:rFonts w:hint="eastAsia" w:ascii="宋体" w:hAnsi="宋体" w:cs="宋体"/>
          <w:color w:val="auto"/>
          <w:sz w:val="24"/>
        </w:rPr>
        <w:t>（一）本次磋商保证金</w:t>
      </w:r>
    </w:p>
    <w:p>
      <w:pPr>
        <w:spacing w:line="460" w:lineRule="exact"/>
        <w:ind w:firstLine="480" w:firstLineChars="200"/>
        <w:rPr>
          <w:rFonts w:ascii="宋体" w:hAnsi="宋体" w:cs="宋体"/>
          <w:color w:val="auto"/>
          <w:sz w:val="24"/>
        </w:rPr>
      </w:pPr>
      <w:r>
        <w:rPr>
          <w:rFonts w:hint="eastAsia" w:ascii="宋体" w:hAnsi="宋体" w:cs="宋体"/>
          <w:color w:val="auto"/>
          <w:sz w:val="24"/>
        </w:rPr>
        <w:t>本项目磋商保证金数额为</w:t>
      </w:r>
      <w:r>
        <w:rPr>
          <w:rFonts w:hint="eastAsia" w:ascii="宋体" w:hAnsi="宋体" w:cs="宋体"/>
          <w:color w:val="auto"/>
          <w:sz w:val="24"/>
          <w:u w:val="single"/>
        </w:rPr>
        <w:t>叁仟元</w:t>
      </w:r>
      <w:r>
        <w:rPr>
          <w:rFonts w:hint="eastAsia" w:ascii="宋体" w:hAnsi="宋体" w:cs="宋体"/>
          <w:color w:val="auto"/>
          <w:sz w:val="24"/>
        </w:rPr>
        <w:t>整。磋商保证金必须在响应文件提交截止时间前与响应文件一起送达响应文件接收地点（不要密封在响应文件中）。</w:t>
      </w:r>
    </w:p>
    <w:p>
      <w:pPr>
        <w:spacing w:line="460" w:lineRule="exact"/>
        <w:ind w:firstLine="480" w:firstLineChars="200"/>
        <w:rPr>
          <w:rFonts w:ascii="宋体" w:hAnsi="宋体" w:cs="宋体"/>
          <w:color w:val="auto"/>
          <w:sz w:val="24"/>
        </w:rPr>
      </w:pPr>
      <w:r>
        <w:rPr>
          <w:rFonts w:hint="eastAsia" w:ascii="宋体" w:hAnsi="宋体" w:cs="宋体"/>
          <w:color w:val="auto"/>
          <w:sz w:val="24"/>
        </w:rPr>
        <w:t>磋商保证金必须采用有效银行本票或银行汇票，不接受电汇、转账、现金、现金交款单、支票或其他形式的保证金。各投标人须在响应文件接收截止时间前将磋商保证金从投标人本单位的基本账户上汇出（不入账），以投标人汇出资金的银行日期为准，且保证金汇出单位必须与投标人名称一致，收款人名称：江苏双清工程造价咨询有限公司，开户行：中国银行股份有限公司盐城分行，账号：513158208001。响应文件接收截止时间前，各投标人将有效银行本票（或银行汇票）原件带至开标现场交工作人员核验，未按上述要求缴纳磋商保证金的，将被视为非响应性投标而予以拒绝，其响应文件不予接收。</w:t>
      </w:r>
    </w:p>
    <w:p>
      <w:pPr>
        <w:spacing w:line="460" w:lineRule="exact"/>
        <w:ind w:firstLine="480" w:firstLineChars="200"/>
        <w:rPr>
          <w:rFonts w:ascii="宋体" w:hAnsi="宋体" w:cs="宋体"/>
          <w:color w:val="auto"/>
          <w:sz w:val="24"/>
        </w:rPr>
      </w:pPr>
      <w:r>
        <w:rPr>
          <w:rFonts w:hint="eastAsia" w:ascii="宋体" w:hAnsi="宋体" w:cs="宋体"/>
          <w:color w:val="auto"/>
          <w:sz w:val="24"/>
        </w:rPr>
        <w:t>磋商保证金退还方式：未中标人的磋商保证金现场退还，中标人的磋商保证金在签订合同并交纳招标代理服务费后，凭合同原件及交费凭证至招标代理机构财务部退还。</w:t>
      </w:r>
    </w:p>
    <w:p>
      <w:pPr>
        <w:spacing w:line="460" w:lineRule="exact"/>
        <w:ind w:firstLine="480" w:firstLineChars="200"/>
        <w:rPr>
          <w:rFonts w:ascii="宋体" w:hAnsi="宋体" w:cs="宋体"/>
          <w:color w:val="auto"/>
          <w:sz w:val="24"/>
        </w:rPr>
      </w:pPr>
      <w:r>
        <w:rPr>
          <w:rFonts w:hint="eastAsia" w:ascii="宋体" w:hAnsi="宋体" w:cs="宋体"/>
          <w:color w:val="auto"/>
          <w:sz w:val="24"/>
        </w:rPr>
        <w:t>（二）因疫情防控需要，为确保校园安全，投标人进入盐城工业职业技术学院校区时应服从下列疫情防控措施：</w:t>
      </w:r>
    </w:p>
    <w:p>
      <w:pPr>
        <w:spacing w:line="460" w:lineRule="exact"/>
        <w:ind w:firstLine="480" w:firstLineChars="200"/>
        <w:rPr>
          <w:rFonts w:ascii="宋体" w:hAnsi="宋体" w:cs="宋体"/>
          <w:color w:val="auto"/>
          <w:sz w:val="24"/>
        </w:rPr>
      </w:pPr>
      <w:r>
        <w:rPr>
          <w:rFonts w:hint="eastAsia" w:ascii="宋体" w:hAnsi="宋体" w:cs="宋体"/>
          <w:color w:val="auto"/>
          <w:sz w:val="24"/>
        </w:rPr>
        <w:t>（1）投标人从解放南路东门进出；投标人车辆一律不得进入校园。</w:t>
      </w:r>
    </w:p>
    <w:p>
      <w:pPr>
        <w:spacing w:line="460" w:lineRule="exact"/>
        <w:ind w:firstLine="480" w:firstLineChars="200"/>
        <w:rPr>
          <w:rFonts w:ascii="宋体" w:hAnsi="宋体" w:cs="宋体"/>
          <w:color w:val="auto"/>
          <w:sz w:val="24"/>
        </w:rPr>
      </w:pPr>
      <w:r>
        <w:rPr>
          <w:rFonts w:hint="eastAsia" w:ascii="宋体" w:hAnsi="宋体" w:cs="宋体"/>
          <w:color w:val="auto"/>
          <w:sz w:val="24"/>
        </w:rPr>
        <w:t>（2）各投标人项目授权代表限1人进入校园；项目授权代表进入校园时须自行配戴口罩、做好手部消毒及响应文件等消毒防护工作。</w:t>
      </w:r>
    </w:p>
    <w:p>
      <w:pPr>
        <w:spacing w:line="460" w:lineRule="exact"/>
        <w:ind w:firstLine="480" w:firstLineChars="200"/>
        <w:rPr>
          <w:rFonts w:ascii="宋体" w:hAnsi="宋体" w:cs="宋体"/>
          <w:color w:val="auto"/>
          <w:sz w:val="24"/>
        </w:rPr>
      </w:pPr>
      <w:r>
        <w:rPr>
          <w:rFonts w:hint="eastAsia" w:ascii="宋体" w:hAnsi="宋体" w:cs="宋体"/>
          <w:color w:val="auto"/>
          <w:sz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460" w:lineRule="exact"/>
        <w:ind w:firstLine="480" w:firstLineChars="200"/>
        <w:rPr>
          <w:rFonts w:ascii="宋体" w:hAnsi="宋体" w:cs="宋体"/>
          <w:color w:val="auto"/>
          <w:sz w:val="24"/>
        </w:rPr>
      </w:pPr>
      <w:r>
        <w:rPr>
          <w:rFonts w:hint="eastAsia" w:ascii="宋体" w:hAnsi="宋体" w:cs="宋体"/>
          <w:color w:val="auto"/>
          <w:sz w:val="24"/>
        </w:rPr>
        <w:t>（4）投标人进入校园后应在指定地点参与投标活动，不到非相关场所活动；投标工作结束后应立即离开校园，不逗留。</w:t>
      </w:r>
    </w:p>
    <w:p>
      <w:pPr>
        <w:spacing w:line="460" w:lineRule="exact"/>
        <w:ind w:firstLine="480" w:firstLineChars="200"/>
        <w:rPr>
          <w:rFonts w:ascii="宋体" w:hAnsi="宋体" w:cs="宋体"/>
          <w:color w:val="auto"/>
          <w:sz w:val="24"/>
        </w:rPr>
      </w:pPr>
      <w:r>
        <w:rPr>
          <w:rFonts w:hint="eastAsia" w:ascii="宋体" w:hAnsi="宋体" w:cs="宋体"/>
          <w:color w:val="auto"/>
          <w:sz w:val="24"/>
        </w:rPr>
        <w:t>请各投标人预留好相应时间，配合做好上述管控措施。</w:t>
      </w:r>
    </w:p>
    <w:p>
      <w:pPr>
        <w:snapToGrid w:val="0"/>
        <w:spacing w:line="560" w:lineRule="exact"/>
        <w:ind w:firstLine="480" w:firstLineChars="200"/>
        <w:rPr>
          <w:rFonts w:ascii="宋体" w:cs="Arial"/>
          <w:color w:val="auto"/>
          <w:sz w:val="24"/>
          <w:szCs w:val="20"/>
        </w:rPr>
      </w:pPr>
      <w:r>
        <w:rPr>
          <w:rFonts w:hint="eastAsia" w:ascii="宋体" w:hAnsi="宋体" w:cs="宋体"/>
          <w:color w:val="auto"/>
          <w:sz w:val="24"/>
        </w:rPr>
        <w:t>（三）</w:t>
      </w:r>
      <w:r>
        <w:rPr>
          <w:rFonts w:hint="eastAsia" w:ascii="宋体" w:hAnsi="宋体"/>
          <w:color w:val="auto"/>
          <w:sz w:val="24"/>
        </w:rPr>
        <w:t>本次磋商响应文件制作份数要求：正本份数：</w:t>
      </w:r>
      <w:r>
        <w:rPr>
          <w:rFonts w:ascii="宋体" w:hAnsi="宋体"/>
          <w:color w:val="auto"/>
          <w:sz w:val="24"/>
        </w:rPr>
        <w:t>1</w:t>
      </w:r>
      <w:r>
        <w:rPr>
          <w:rFonts w:hint="eastAsia" w:ascii="宋体" w:hAnsi="宋体"/>
          <w:color w:val="auto"/>
          <w:sz w:val="24"/>
        </w:rPr>
        <w:t>份；副本份数：4份</w:t>
      </w:r>
    </w:p>
    <w:p>
      <w:pPr>
        <w:pStyle w:val="3"/>
        <w:tabs>
          <w:tab w:val="left" w:pos="0"/>
          <w:tab w:val="left" w:pos="3165"/>
          <w:tab w:val="center" w:pos="4153"/>
        </w:tabs>
        <w:autoSpaceDE w:val="0"/>
        <w:autoSpaceDN w:val="0"/>
        <w:adjustRightInd w:val="0"/>
        <w:spacing w:line="460" w:lineRule="exact"/>
        <w:jc w:val="left"/>
        <w:rPr>
          <w:rFonts w:ascii="宋体" w:hAnsi="宋体" w:eastAsia="宋体" w:cs="宋体"/>
          <w:b/>
          <w:bCs/>
          <w:color w:val="auto"/>
          <w:sz w:val="24"/>
          <w:szCs w:val="24"/>
        </w:rPr>
      </w:pPr>
      <w:bookmarkStart w:id="26" w:name="_Toc28359008"/>
      <w:bookmarkStart w:id="27" w:name="_Toc28359085"/>
      <w:bookmarkStart w:id="28" w:name="_Toc35393796"/>
      <w:bookmarkStart w:id="29" w:name="_Toc35393627"/>
      <w:r>
        <w:rPr>
          <w:rFonts w:hint="eastAsia" w:ascii="宋体" w:hAnsi="宋体" w:eastAsia="宋体" w:cs="宋体"/>
          <w:b/>
          <w:bCs/>
          <w:color w:val="auto"/>
          <w:sz w:val="24"/>
          <w:szCs w:val="24"/>
        </w:rPr>
        <w:t>八、凡对本次采购提出询问，请按以下方式联系。</w:t>
      </w:r>
      <w:bookmarkEnd w:id="26"/>
      <w:bookmarkEnd w:id="27"/>
      <w:bookmarkEnd w:id="28"/>
      <w:bookmarkEnd w:id="29"/>
    </w:p>
    <w:p>
      <w:pPr>
        <w:spacing w:line="460" w:lineRule="exact"/>
        <w:ind w:firstLine="480" w:firstLineChars="200"/>
        <w:rPr>
          <w:rFonts w:ascii="宋体" w:hAnsi="宋体" w:cs="宋体"/>
          <w:color w:val="auto"/>
          <w:sz w:val="24"/>
        </w:rPr>
      </w:pPr>
      <w:bookmarkStart w:id="30" w:name="_Toc35393806"/>
      <w:bookmarkStart w:id="31" w:name="_Toc28359096"/>
      <w:bookmarkStart w:id="32" w:name="_Toc28359019"/>
      <w:bookmarkStart w:id="33" w:name="_Toc35393637"/>
      <w:r>
        <w:rPr>
          <w:rFonts w:hint="eastAsia" w:ascii="宋体" w:hAnsi="宋体" w:cs="宋体"/>
          <w:color w:val="auto"/>
          <w:sz w:val="24"/>
        </w:rPr>
        <w:t>1.采购人信息</w:t>
      </w:r>
      <w:bookmarkEnd w:id="30"/>
      <w:bookmarkEnd w:id="31"/>
      <w:bookmarkEnd w:id="32"/>
      <w:bookmarkEnd w:id="33"/>
    </w:p>
    <w:p>
      <w:pPr>
        <w:spacing w:line="460" w:lineRule="exact"/>
        <w:ind w:firstLine="480" w:firstLineChars="200"/>
        <w:rPr>
          <w:rFonts w:ascii="宋体" w:hAnsi="宋体" w:cs="宋体"/>
          <w:color w:val="auto"/>
          <w:sz w:val="24"/>
        </w:rPr>
      </w:pPr>
      <w:r>
        <w:rPr>
          <w:rFonts w:hint="eastAsia" w:ascii="宋体" w:hAnsi="宋体" w:cs="宋体"/>
          <w:color w:val="auto"/>
          <w:sz w:val="24"/>
        </w:rPr>
        <w:t>名称：盐城工业职业技术学院</w:t>
      </w:r>
    </w:p>
    <w:p>
      <w:pPr>
        <w:spacing w:line="460" w:lineRule="exact"/>
        <w:ind w:firstLine="480" w:firstLineChars="200"/>
        <w:rPr>
          <w:rFonts w:ascii="宋体" w:hAnsi="宋体" w:cs="宋体"/>
          <w:color w:val="auto"/>
          <w:sz w:val="24"/>
        </w:rPr>
      </w:pPr>
      <w:r>
        <w:rPr>
          <w:rFonts w:hint="eastAsia" w:ascii="宋体" w:hAnsi="宋体" w:cs="宋体"/>
          <w:color w:val="auto"/>
          <w:sz w:val="24"/>
        </w:rPr>
        <w:t>地址：盐城工业职业技术学院后勤服务中心四楼405室招标办公室</w:t>
      </w:r>
    </w:p>
    <w:p>
      <w:pPr>
        <w:spacing w:line="460" w:lineRule="exact"/>
        <w:ind w:firstLine="480" w:firstLineChars="200"/>
        <w:rPr>
          <w:rFonts w:ascii="宋体" w:hAnsi="宋体" w:cs="宋体"/>
          <w:color w:val="auto"/>
          <w:sz w:val="24"/>
        </w:rPr>
      </w:pPr>
      <w:r>
        <w:rPr>
          <w:rFonts w:hint="eastAsia" w:ascii="宋体" w:hAnsi="宋体" w:cs="宋体"/>
          <w:color w:val="auto"/>
          <w:sz w:val="24"/>
        </w:rPr>
        <w:t xml:space="preserve">联系人：赵萌              </w:t>
      </w:r>
    </w:p>
    <w:p>
      <w:pPr>
        <w:spacing w:line="460" w:lineRule="exact"/>
        <w:ind w:firstLine="480" w:firstLineChars="200"/>
        <w:rPr>
          <w:rFonts w:ascii="宋体" w:hAnsi="宋体" w:cs="宋体"/>
          <w:color w:val="auto"/>
          <w:sz w:val="24"/>
        </w:rPr>
      </w:pPr>
      <w:r>
        <w:rPr>
          <w:rFonts w:hint="eastAsia" w:ascii="宋体" w:hAnsi="宋体" w:cs="宋体"/>
          <w:color w:val="auto"/>
          <w:sz w:val="24"/>
        </w:rPr>
        <w:t>联系电话：0515-88588707，13056182223</w:t>
      </w:r>
    </w:p>
    <w:p>
      <w:pPr>
        <w:spacing w:line="460" w:lineRule="exact"/>
        <w:ind w:firstLine="480" w:firstLineChars="200"/>
        <w:rPr>
          <w:rFonts w:ascii="宋体" w:hAnsi="宋体" w:cs="宋体"/>
          <w:color w:val="auto"/>
          <w:sz w:val="24"/>
        </w:rPr>
      </w:pPr>
      <w:bookmarkStart w:id="34" w:name="_Toc35393638"/>
      <w:bookmarkStart w:id="35" w:name="_Toc28359097"/>
      <w:bookmarkStart w:id="36" w:name="_Toc28359020"/>
      <w:bookmarkStart w:id="37" w:name="_Toc35393807"/>
      <w:r>
        <w:rPr>
          <w:rFonts w:hint="eastAsia" w:ascii="宋体" w:hAnsi="宋体" w:cs="宋体"/>
          <w:color w:val="auto"/>
          <w:sz w:val="24"/>
        </w:rPr>
        <w:t>2.采购代理机构信息</w:t>
      </w:r>
      <w:bookmarkEnd w:id="34"/>
      <w:bookmarkEnd w:id="35"/>
      <w:bookmarkEnd w:id="36"/>
      <w:bookmarkEnd w:id="37"/>
    </w:p>
    <w:p>
      <w:pPr>
        <w:spacing w:line="460" w:lineRule="exact"/>
        <w:ind w:firstLine="480" w:firstLineChars="200"/>
        <w:rPr>
          <w:rFonts w:ascii="宋体" w:hAnsi="宋体" w:cs="宋体"/>
          <w:color w:val="auto"/>
          <w:sz w:val="24"/>
        </w:rPr>
      </w:pPr>
      <w:r>
        <w:rPr>
          <w:rFonts w:hint="eastAsia" w:ascii="宋体" w:hAnsi="宋体" w:cs="宋体"/>
          <w:color w:val="auto"/>
          <w:sz w:val="24"/>
        </w:rPr>
        <w:t>名称：江苏双清工程造价咨询有限公司</w:t>
      </w:r>
    </w:p>
    <w:p>
      <w:pPr>
        <w:spacing w:line="460" w:lineRule="exact"/>
        <w:ind w:firstLine="480" w:firstLineChars="200"/>
        <w:rPr>
          <w:rFonts w:ascii="宋体" w:hAnsi="宋体" w:cs="宋体"/>
          <w:color w:val="auto"/>
          <w:sz w:val="24"/>
        </w:rPr>
      </w:pPr>
      <w:r>
        <w:rPr>
          <w:rFonts w:hint="eastAsia" w:ascii="宋体" w:hAnsi="宋体" w:cs="宋体"/>
          <w:color w:val="auto"/>
          <w:sz w:val="24"/>
        </w:rPr>
        <w:t>地址：盐城市紫薇广场C区7楼</w:t>
      </w:r>
    </w:p>
    <w:p>
      <w:pPr>
        <w:spacing w:line="460" w:lineRule="exact"/>
        <w:ind w:firstLine="480" w:firstLineChars="200"/>
        <w:rPr>
          <w:rFonts w:ascii="宋体" w:hAnsi="宋体" w:cs="宋体"/>
          <w:color w:val="auto"/>
          <w:sz w:val="24"/>
        </w:rPr>
      </w:pPr>
      <w:bookmarkStart w:id="38" w:name="_Toc35393639"/>
      <w:bookmarkStart w:id="39" w:name="_Toc28359098"/>
      <w:bookmarkStart w:id="40" w:name="_Toc28359021"/>
      <w:bookmarkStart w:id="41" w:name="_Toc35393808"/>
      <w:r>
        <w:rPr>
          <w:rFonts w:hint="eastAsia" w:ascii="宋体" w:hAnsi="宋体" w:cs="宋体"/>
          <w:color w:val="auto"/>
          <w:sz w:val="24"/>
        </w:rPr>
        <w:t xml:space="preserve">联系人：尤鸿望              </w:t>
      </w:r>
    </w:p>
    <w:p>
      <w:pPr>
        <w:spacing w:line="460" w:lineRule="exact"/>
        <w:ind w:firstLine="480" w:firstLineChars="200"/>
        <w:rPr>
          <w:rFonts w:ascii="宋体" w:hAnsi="宋体" w:cs="宋体"/>
          <w:color w:val="auto"/>
          <w:sz w:val="24"/>
        </w:rPr>
      </w:pPr>
      <w:r>
        <w:rPr>
          <w:rFonts w:hint="eastAsia" w:ascii="宋体" w:hAnsi="宋体" w:cs="宋体"/>
          <w:color w:val="auto"/>
          <w:sz w:val="24"/>
        </w:rPr>
        <w:t>联系电话：0515-88200316</w:t>
      </w:r>
    </w:p>
    <w:p>
      <w:pPr>
        <w:spacing w:line="460" w:lineRule="exact"/>
        <w:ind w:firstLine="480" w:firstLineChars="200"/>
        <w:rPr>
          <w:rFonts w:ascii="宋体" w:hAnsi="宋体" w:cs="宋体"/>
          <w:color w:val="auto"/>
          <w:sz w:val="24"/>
        </w:rPr>
      </w:pPr>
      <w:r>
        <w:rPr>
          <w:rFonts w:hint="eastAsia" w:ascii="宋体" w:hAnsi="宋体" w:cs="宋体"/>
          <w:color w:val="auto"/>
          <w:sz w:val="24"/>
        </w:rPr>
        <w:t>3.项目联系方式</w:t>
      </w:r>
      <w:bookmarkEnd w:id="38"/>
      <w:bookmarkEnd w:id="39"/>
      <w:bookmarkEnd w:id="40"/>
      <w:bookmarkEnd w:id="41"/>
    </w:p>
    <w:p>
      <w:pPr>
        <w:spacing w:line="460" w:lineRule="exact"/>
        <w:ind w:firstLine="480" w:firstLineChars="200"/>
        <w:rPr>
          <w:rFonts w:ascii="宋体" w:hAnsi="宋体" w:cs="宋体"/>
          <w:color w:val="auto"/>
          <w:sz w:val="24"/>
        </w:rPr>
      </w:pPr>
      <w:r>
        <w:rPr>
          <w:rFonts w:hint="eastAsia" w:ascii="宋体" w:hAnsi="宋体" w:cs="宋体"/>
          <w:color w:val="auto"/>
          <w:sz w:val="24"/>
        </w:rPr>
        <w:t>项目联系人：喻老师</w:t>
      </w:r>
    </w:p>
    <w:p>
      <w:pPr>
        <w:spacing w:line="460" w:lineRule="exact"/>
        <w:ind w:firstLine="480" w:firstLineChars="200"/>
        <w:rPr>
          <w:rFonts w:ascii="宋体" w:hAnsi="宋体" w:cs="宋体"/>
          <w:color w:val="auto"/>
          <w:sz w:val="24"/>
        </w:rPr>
      </w:pPr>
      <w:r>
        <w:rPr>
          <w:rFonts w:hint="eastAsia" w:ascii="宋体" w:hAnsi="宋体" w:cs="宋体"/>
          <w:color w:val="auto"/>
          <w:sz w:val="24"/>
        </w:rPr>
        <w:t>电话：13962089899</w:t>
      </w:r>
    </w:p>
    <w:p>
      <w:pPr>
        <w:ind w:firstLine="361" w:firstLineChars="150"/>
        <w:jc w:val="right"/>
        <w:rPr>
          <w:rFonts w:ascii="宋体" w:hAnsi="宋体" w:cs="Arial"/>
          <w:b/>
          <w:color w:val="auto"/>
          <w:sz w:val="24"/>
          <w:szCs w:val="20"/>
        </w:rPr>
      </w:pPr>
    </w:p>
    <w:p>
      <w:pPr>
        <w:spacing w:line="360" w:lineRule="auto"/>
        <w:jc w:val="center"/>
        <w:rPr>
          <w:rFonts w:ascii="宋体"/>
          <w:color w:val="auto"/>
        </w:rPr>
      </w:pPr>
      <w:r>
        <w:rPr>
          <w:rFonts w:ascii="黑体" w:eastAsia="黑体"/>
          <w:color w:val="auto"/>
          <w:sz w:val="44"/>
          <w:szCs w:val="44"/>
        </w:rPr>
        <w:br w:type="page"/>
      </w:r>
    </w:p>
    <w:p>
      <w:pPr>
        <w:pStyle w:val="3"/>
        <w:spacing w:line="360" w:lineRule="auto"/>
        <w:jc w:val="center"/>
        <w:rPr>
          <w:rFonts w:ascii="黑体" w:eastAsia="黑体"/>
          <w:color w:val="auto"/>
          <w:sz w:val="44"/>
          <w:szCs w:val="44"/>
        </w:rPr>
      </w:pPr>
      <w:r>
        <w:rPr>
          <w:rFonts w:hint="eastAsia" w:ascii="黑体" w:eastAsia="黑体"/>
          <w:color w:val="auto"/>
          <w:sz w:val="44"/>
          <w:szCs w:val="44"/>
        </w:rPr>
        <w:t>第二章磋商须知</w:t>
      </w:r>
    </w:p>
    <w:p>
      <w:pPr>
        <w:snapToGrid w:val="0"/>
        <w:spacing w:line="360" w:lineRule="auto"/>
        <w:ind w:firstLine="480" w:firstLineChars="200"/>
        <w:jc w:val="center"/>
        <w:rPr>
          <w:rFonts w:hAnsi="宋体" w:cs="宋体"/>
          <w:color w:val="auto"/>
          <w:kern w:val="0"/>
          <w:sz w:val="24"/>
        </w:rPr>
      </w:pPr>
      <w:r>
        <w:rPr>
          <w:rFonts w:hint="eastAsia" w:hAnsi="宋体" w:cs="宋体"/>
          <w:color w:val="auto"/>
          <w:kern w:val="0"/>
          <w:sz w:val="24"/>
        </w:rPr>
        <w:t>（参加竞争性磋商的供应商以下简称“磋商供应商”）</w:t>
      </w:r>
    </w:p>
    <w:bookmarkEnd w:id="0"/>
    <w:bookmarkEnd w:id="1"/>
    <w:bookmarkEnd w:id="2"/>
    <w:p>
      <w:pPr>
        <w:snapToGrid w:val="0"/>
        <w:spacing w:line="360" w:lineRule="auto"/>
        <w:ind w:firstLine="482" w:firstLineChars="200"/>
        <w:rPr>
          <w:rFonts w:hAnsi="宋体" w:cs="宋体"/>
          <w:b/>
          <w:color w:val="auto"/>
          <w:kern w:val="0"/>
          <w:sz w:val="24"/>
        </w:rPr>
      </w:pPr>
      <w:r>
        <w:rPr>
          <w:rFonts w:hint="eastAsia" w:hAnsi="宋体" w:cs="宋体"/>
          <w:b/>
          <w:color w:val="auto"/>
          <w:kern w:val="0"/>
          <w:sz w:val="24"/>
        </w:rPr>
        <w:t>一、总则</w:t>
      </w:r>
    </w:p>
    <w:p>
      <w:pPr>
        <w:spacing w:line="360" w:lineRule="auto"/>
        <w:ind w:firstLine="480" w:firstLineChars="200"/>
        <w:rPr>
          <w:rFonts w:ascii="宋体"/>
          <w:color w:val="auto"/>
          <w:sz w:val="24"/>
        </w:rPr>
      </w:pPr>
      <w:r>
        <w:rPr>
          <w:rFonts w:ascii="宋体" w:hAnsi="宋体"/>
          <w:color w:val="auto"/>
          <w:sz w:val="24"/>
        </w:rPr>
        <w:t>1</w:t>
      </w:r>
      <w:r>
        <w:rPr>
          <w:rFonts w:hint="eastAsia" w:ascii="宋体" w:hAnsi="宋体"/>
          <w:color w:val="auto"/>
          <w:sz w:val="24"/>
        </w:rPr>
        <w:t>、适用范围</w:t>
      </w:r>
    </w:p>
    <w:p>
      <w:pPr>
        <w:spacing w:line="360" w:lineRule="auto"/>
        <w:ind w:firstLine="480" w:firstLineChars="200"/>
        <w:rPr>
          <w:rFonts w:ascii="宋体"/>
          <w:color w:val="auto"/>
          <w:sz w:val="24"/>
        </w:rPr>
      </w:pPr>
      <w:r>
        <w:rPr>
          <w:rFonts w:ascii="宋体" w:hAnsi="宋体"/>
          <w:color w:val="auto"/>
          <w:sz w:val="24"/>
        </w:rPr>
        <w:t xml:space="preserve">1.1 </w:t>
      </w:r>
      <w:r>
        <w:rPr>
          <w:rFonts w:hint="eastAsia" w:ascii="宋体" w:hAnsi="宋体"/>
          <w:color w:val="auto"/>
          <w:sz w:val="24"/>
        </w:rPr>
        <w:t>本竞争性磋商文件（以下简称磋商文件）仅适用此项目。</w:t>
      </w:r>
    </w:p>
    <w:p>
      <w:pPr>
        <w:spacing w:line="360" w:lineRule="auto"/>
        <w:ind w:firstLine="480" w:firstLineChars="200"/>
        <w:rPr>
          <w:rFonts w:ascii="宋体"/>
          <w:color w:val="auto"/>
          <w:sz w:val="24"/>
        </w:rPr>
      </w:pPr>
      <w:r>
        <w:rPr>
          <w:rFonts w:ascii="宋体" w:hAnsi="宋体"/>
          <w:color w:val="auto"/>
          <w:sz w:val="24"/>
        </w:rPr>
        <w:t xml:space="preserve">1.2 </w:t>
      </w:r>
      <w:r>
        <w:rPr>
          <w:rFonts w:hint="eastAsia" w:ascii="宋体" w:hAnsi="宋体"/>
          <w:color w:val="auto"/>
          <w:sz w:val="24"/>
        </w:rPr>
        <w:t>本项目不得拆分或分包。</w:t>
      </w:r>
    </w:p>
    <w:p>
      <w:pPr>
        <w:spacing w:line="360" w:lineRule="auto"/>
        <w:ind w:firstLine="480" w:firstLineChars="200"/>
        <w:rPr>
          <w:rFonts w:ascii="宋体"/>
          <w:color w:val="auto"/>
          <w:sz w:val="24"/>
        </w:rPr>
      </w:pPr>
      <w:r>
        <w:rPr>
          <w:rFonts w:ascii="宋体" w:hAnsi="宋体"/>
          <w:color w:val="auto"/>
          <w:sz w:val="24"/>
        </w:rPr>
        <w:t xml:space="preserve"> 2</w:t>
      </w:r>
      <w:r>
        <w:rPr>
          <w:rFonts w:hint="eastAsia" w:ascii="宋体" w:hAnsi="宋体"/>
          <w:color w:val="auto"/>
          <w:sz w:val="24"/>
        </w:rPr>
        <w:t>、项目采购方式</w:t>
      </w:r>
    </w:p>
    <w:p>
      <w:pPr>
        <w:spacing w:line="360" w:lineRule="auto"/>
        <w:ind w:firstLine="480" w:firstLineChars="200"/>
        <w:rPr>
          <w:rFonts w:ascii="宋体"/>
          <w:color w:val="auto"/>
          <w:sz w:val="24"/>
        </w:rPr>
      </w:pPr>
      <w:r>
        <w:rPr>
          <w:rFonts w:hint="eastAsia" w:ascii="宋体" w:hAnsi="宋体"/>
          <w:color w:val="auto"/>
          <w:sz w:val="24"/>
        </w:rPr>
        <w:t>本次采购采取竞争性磋商的方式。</w:t>
      </w:r>
    </w:p>
    <w:p>
      <w:pPr>
        <w:spacing w:line="360" w:lineRule="auto"/>
        <w:ind w:firstLine="480" w:firstLineChars="200"/>
        <w:rPr>
          <w:rFonts w:ascii="宋体"/>
          <w:color w:val="auto"/>
          <w:sz w:val="24"/>
        </w:rPr>
      </w:pPr>
      <w:r>
        <w:rPr>
          <w:rFonts w:ascii="宋体" w:hAnsi="宋体"/>
          <w:color w:val="auto"/>
          <w:sz w:val="24"/>
        </w:rPr>
        <w:t>3</w:t>
      </w:r>
      <w:r>
        <w:rPr>
          <w:rFonts w:hint="eastAsia" w:ascii="宋体" w:hAnsi="宋体"/>
          <w:color w:val="auto"/>
          <w:sz w:val="24"/>
        </w:rPr>
        <w:t>、合格的磋商供应商</w:t>
      </w:r>
    </w:p>
    <w:p>
      <w:pPr>
        <w:spacing w:line="360" w:lineRule="auto"/>
        <w:ind w:firstLine="480" w:firstLineChars="200"/>
        <w:rPr>
          <w:rFonts w:ascii="宋体"/>
          <w:color w:val="auto"/>
          <w:sz w:val="24"/>
        </w:rPr>
      </w:pPr>
      <w:r>
        <w:rPr>
          <w:rFonts w:ascii="宋体" w:hAnsi="宋体"/>
          <w:color w:val="auto"/>
          <w:sz w:val="24"/>
        </w:rPr>
        <w:t>3.1</w:t>
      </w:r>
      <w:r>
        <w:rPr>
          <w:rFonts w:hint="eastAsia" w:ascii="宋体" w:hAnsi="宋体"/>
          <w:color w:val="auto"/>
          <w:sz w:val="24"/>
        </w:rPr>
        <w:t>满足本磋商文件“竞争性磋商采购公告”中合格磋商供应商资格要求的规定。</w:t>
      </w:r>
    </w:p>
    <w:p>
      <w:pPr>
        <w:spacing w:line="360" w:lineRule="auto"/>
        <w:ind w:firstLine="480" w:firstLineChars="200"/>
        <w:rPr>
          <w:rFonts w:ascii="宋体"/>
          <w:color w:val="auto"/>
          <w:sz w:val="24"/>
        </w:rPr>
      </w:pPr>
      <w:r>
        <w:rPr>
          <w:rFonts w:ascii="宋体" w:hAnsi="宋体"/>
          <w:color w:val="auto"/>
          <w:sz w:val="24"/>
        </w:rPr>
        <w:t xml:space="preserve">3.2 </w:t>
      </w:r>
      <w:r>
        <w:rPr>
          <w:rFonts w:hint="eastAsia" w:ascii="宋体" w:hAnsi="宋体"/>
          <w:color w:val="auto"/>
          <w:sz w:val="24"/>
        </w:rPr>
        <w:t>满足本磋商文件实质性要求和条件的规定。</w:t>
      </w:r>
    </w:p>
    <w:p>
      <w:pPr>
        <w:spacing w:line="360" w:lineRule="auto"/>
        <w:ind w:firstLine="480" w:firstLineChars="200"/>
        <w:rPr>
          <w:rFonts w:ascii="宋体"/>
          <w:color w:val="auto"/>
          <w:sz w:val="24"/>
        </w:rPr>
      </w:pPr>
      <w:r>
        <w:rPr>
          <w:rFonts w:ascii="宋体" w:hAnsi="宋体"/>
          <w:color w:val="auto"/>
          <w:sz w:val="24"/>
        </w:rPr>
        <w:t>4</w:t>
      </w:r>
      <w:r>
        <w:rPr>
          <w:rFonts w:hint="eastAsia" w:ascii="宋体" w:hAnsi="宋体"/>
          <w:color w:val="auto"/>
          <w:sz w:val="24"/>
        </w:rPr>
        <w:t>、参加磋商费用</w:t>
      </w:r>
    </w:p>
    <w:p>
      <w:pPr>
        <w:spacing w:line="360" w:lineRule="auto"/>
        <w:ind w:firstLine="480" w:firstLineChars="200"/>
        <w:rPr>
          <w:rFonts w:ascii="宋体" w:hAnsi="宋体"/>
          <w:color w:val="auto"/>
          <w:sz w:val="24"/>
        </w:rPr>
      </w:pPr>
      <w:r>
        <w:rPr>
          <w:rFonts w:ascii="宋体" w:hAnsi="宋体"/>
          <w:color w:val="auto"/>
          <w:sz w:val="24"/>
        </w:rPr>
        <w:t>4.1</w:t>
      </w:r>
      <w:r>
        <w:rPr>
          <w:rFonts w:hint="eastAsia" w:ascii="宋体" w:hAnsi="宋体"/>
          <w:color w:val="auto"/>
          <w:sz w:val="24"/>
        </w:rPr>
        <w:t>参加磋商供应商应自行承担所有与参加磋商有关的费用。不论最终的成交结果如何，采购人和采购代理机构在任何情况下均无义务和责任承担这些费用。</w:t>
      </w:r>
    </w:p>
    <w:p>
      <w:pPr>
        <w:spacing w:line="360" w:lineRule="auto"/>
        <w:ind w:firstLine="480" w:firstLineChars="200"/>
        <w:rPr>
          <w:rFonts w:ascii="宋体" w:hAnsi="宋体"/>
          <w:color w:val="auto"/>
          <w:sz w:val="24"/>
        </w:rPr>
      </w:pPr>
      <w:r>
        <w:rPr>
          <w:rFonts w:ascii="宋体" w:hAnsi="宋体"/>
          <w:color w:val="auto"/>
          <w:sz w:val="24"/>
        </w:rPr>
        <w:t>4.2</w:t>
      </w:r>
      <w:r>
        <w:rPr>
          <w:rFonts w:hint="eastAsia" w:ascii="宋体" w:hAnsi="宋体"/>
          <w:color w:val="auto"/>
          <w:sz w:val="24"/>
        </w:rPr>
        <w:t>本项目的招标代理服务费（收费标准按中标价的1.5%×42%计取，如低于3000元的直接按3000计取）由中标人承担，各磋商供应商在投标报价时自行综合考虑分摊含进投标报价中，且不得单列，在开具中标通知书前一次性交纳。</w:t>
      </w:r>
    </w:p>
    <w:p>
      <w:pPr>
        <w:spacing w:line="360" w:lineRule="auto"/>
        <w:ind w:firstLine="480" w:firstLineChars="200"/>
        <w:rPr>
          <w:rFonts w:ascii="宋体"/>
          <w:color w:val="auto"/>
          <w:sz w:val="24"/>
        </w:rPr>
      </w:pPr>
      <w:r>
        <w:rPr>
          <w:rFonts w:ascii="宋体" w:hAnsi="宋体"/>
          <w:color w:val="auto"/>
          <w:sz w:val="24"/>
        </w:rPr>
        <w:t xml:space="preserve"> 5</w:t>
      </w:r>
      <w:r>
        <w:rPr>
          <w:rFonts w:hint="eastAsia" w:ascii="宋体" w:hAnsi="宋体"/>
          <w:color w:val="auto"/>
          <w:sz w:val="24"/>
        </w:rPr>
        <w:t>、磋商文件的约束力</w:t>
      </w:r>
    </w:p>
    <w:p>
      <w:pPr>
        <w:spacing w:line="360" w:lineRule="auto"/>
        <w:ind w:firstLine="480" w:firstLineChars="200"/>
        <w:rPr>
          <w:rFonts w:ascii="宋体"/>
          <w:color w:val="auto"/>
          <w:sz w:val="24"/>
        </w:rPr>
      </w:pPr>
      <w:r>
        <w:rPr>
          <w:rFonts w:hint="eastAsia" w:ascii="宋体" w:hAnsi="宋体"/>
          <w:color w:val="auto"/>
          <w:sz w:val="24"/>
        </w:rPr>
        <w:t>供应商一旦下载了本磋商文件并决定参加磋商，即被认为接受了本磋商文件的规定和约束，并且视为自竞争性磋商公告期限届满之日起已经知道或应当知道自身权益是否受到了损害。</w:t>
      </w:r>
    </w:p>
    <w:p>
      <w:pPr>
        <w:spacing w:line="360" w:lineRule="auto"/>
        <w:ind w:firstLine="480" w:firstLineChars="200"/>
        <w:rPr>
          <w:rFonts w:ascii="宋体"/>
          <w:color w:val="auto"/>
          <w:sz w:val="24"/>
        </w:rPr>
      </w:pPr>
      <w:r>
        <w:rPr>
          <w:rFonts w:ascii="宋体" w:hAnsi="宋体"/>
          <w:color w:val="auto"/>
          <w:sz w:val="24"/>
        </w:rPr>
        <w:t>6</w:t>
      </w:r>
      <w:r>
        <w:rPr>
          <w:rFonts w:hint="eastAsia" w:ascii="宋体" w:hAnsi="宋体"/>
          <w:color w:val="auto"/>
          <w:sz w:val="24"/>
        </w:rPr>
        <w:t>、</w:t>
      </w:r>
      <w:bookmarkStart w:id="42" w:name="_Toc20823283"/>
      <w:bookmarkStart w:id="43" w:name="_Toc16938527"/>
      <w:bookmarkStart w:id="44" w:name="_Toc462564070"/>
      <w:bookmarkStart w:id="45" w:name="_Toc513029211"/>
      <w:r>
        <w:rPr>
          <w:rFonts w:hint="eastAsia" w:ascii="宋体" w:hAnsi="宋体"/>
          <w:color w:val="auto"/>
          <w:sz w:val="24"/>
        </w:rPr>
        <w:t>磋商文件的</w:t>
      </w:r>
      <w:bookmarkEnd w:id="42"/>
      <w:bookmarkEnd w:id="43"/>
      <w:bookmarkEnd w:id="44"/>
      <w:bookmarkEnd w:id="45"/>
      <w:r>
        <w:rPr>
          <w:rFonts w:hint="eastAsia" w:ascii="宋体" w:hAnsi="宋体"/>
          <w:color w:val="auto"/>
          <w:sz w:val="24"/>
        </w:rPr>
        <w:t>询问及修改</w:t>
      </w:r>
    </w:p>
    <w:p>
      <w:pPr>
        <w:spacing w:line="360" w:lineRule="auto"/>
        <w:ind w:firstLine="480" w:firstLineChars="200"/>
        <w:rPr>
          <w:rFonts w:ascii="宋体"/>
          <w:color w:val="auto"/>
          <w:sz w:val="24"/>
        </w:rPr>
      </w:pPr>
      <w:r>
        <w:rPr>
          <w:rFonts w:ascii="宋体" w:hAnsi="宋体"/>
          <w:color w:val="auto"/>
          <w:sz w:val="24"/>
        </w:rPr>
        <w:t>6.1</w:t>
      </w:r>
      <w:r>
        <w:rPr>
          <w:rFonts w:hint="eastAsia" w:ascii="宋体" w:hAnsi="宋体"/>
          <w:color w:val="auto"/>
          <w:sz w:val="24"/>
        </w:rPr>
        <w:t>任何要求对磋商文件进行询问的供应商，均应在提交首次响应文件截止时间五日前按采购邀请中的通讯地址，向采购人或</w:t>
      </w:r>
      <w:r>
        <w:rPr>
          <w:rFonts w:hint="eastAsia" w:hAnsi="宋体" w:cs="宋体"/>
          <w:color w:val="auto"/>
          <w:kern w:val="0"/>
          <w:sz w:val="24"/>
        </w:rPr>
        <w:t>采购代理机构</w:t>
      </w:r>
      <w:r>
        <w:rPr>
          <w:rFonts w:hint="eastAsia" w:ascii="宋体" w:hAnsi="宋体"/>
          <w:color w:val="auto"/>
          <w:sz w:val="24"/>
        </w:rPr>
        <w:t>提出。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五日前，在</w:t>
      </w:r>
      <w:r>
        <w:rPr>
          <w:rFonts w:hint="eastAsia" w:ascii="宋体" w:hAnsi="宋体" w:cs="宋体"/>
          <w:bCs/>
          <w:color w:val="auto"/>
          <w:sz w:val="24"/>
        </w:rPr>
        <w:t>“盐城市政府采购网”和“盐城工业职业技术学院招标采购网”</w:t>
      </w:r>
      <w:r>
        <w:rPr>
          <w:rFonts w:hint="eastAsia" w:ascii="宋体" w:hAnsi="宋体"/>
          <w:color w:val="auto"/>
          <w:sz w:val="24"/>
        </w:rPr>
        <w:t>上发布书面更正公告形式通知所有获取磋商文件的供应商。不足五日的，采购人应当顺延提交首次响应文件截止时间。</w:t>
      </w:r>
    </w:p>
    <w:p>
      <w:pPr>
        <w:spacing w:line="360" w:lineRule="auto"/>
        <w:ind w:firstLine="480" w:firstLineChars="200"/>
        <w:rPr>
          <w:rFonts w:ascii="宋体"/>
          <w:color w:val="auto"/>
          <w:sz w:val="24"/>
        </w:rPr>
      </w:pPr>
      <w:r>
        <w:rPr>
          <w:rFonts w:ascii="宋体" w:hAnsi="宋体"/>
          <w:color w:val="auto"/>
          <w:sz w:val="24"/>
        </w:rPr>
        <w:t>6.2</w:t>
      </w:r>
      <w:r>
        <w:rPr>
          <w:rFonts w:hint="eastAsia" w:hAnsi="宋体" w:cs="宋体"/>
          <w:color w:val="auto"/>
          <w:kern w:val="0"/>
          <w:sz w:val="24"/>
        </w:rPr>
        <w:t>采购代理机构</w:t>
      </w:r>
      <w:r>
        <w:rPr>
          <w:rFonts w:hint="eastAsia" w:ascii="宋体" w:hAnsi="宋体"/>
          <w:color w:val="auto"/>
          <w:sz w:val="24"/>
        </w:rPr>
        <w:t>或采购人可以视采购项目的具体情况，组织供应商进行现场考察或召开磋商前答疑会，但不单独或分别组织只有一个供应商参加的现场考察和答疑会。</w:t>
      </w:r>
    </w:p>
    <w:p>
      <w:pPr>
        <w:spacing w:line="360" w:lineRule="auto"/>
        <w:ind w:firstLine="480" w:firstLineChars="200"/>
        <w:rPr>
          <w:rFonts w:ascii="宋体"/>
          <w:color w:val="auto"/>
          <w:sz w:val="24"/>
        </w:rPr>
      </w:pPr>
      <w:r>
        <w:rPr>
          <w:rFonts w:ascii="宋体" w:hAnsi="宋体"/>
          <w:color w:val="auto"/>
          <w:sz w:val="24"/>
        </w:rPr>
        <w:t>7</w:t>
      </w:r>
      <w:r>
        <w:rPr>
          <w:rFonts w:hint="eastAsia" w:ascii="宋体" w:hAnsi="宋体"/>
          <w:color w:val="auto"/>
          <w:sz w:val="24"/>
        </w:rPr>
        <w:t>、磋商文件的解释</w:t>
      </w:r>
    </w:p>
    <w:p>
      <w:pPr>
        <w:spacing w:line="360" w:lineRule="auto"/>
        <w:ind w:firstLine="480" w:firstLineChars="200"/>
        <w:rPr>
          <w:rFonts w:ascii="宋体"/>
          <w:color w:val="auto"/>
          <w:sz w:val="24"/>
        </w:rPr>
      </w:pPr>
      <w:r>
        <w:rPr>
          <w:rFonts w:hAnsi="宋体" w:cs="宋体"/>
          <w:color w:val="auto"/>
          <w:kern w:val="0"/>
          <w:sz w:val="24"/>
        </w:rPr>
        <w:t xml:space="preserve">7.1 </w:t>
      </w:r>
      <w:r>
        <w:rPr>
          <w:rFonts w:hint="eastAsia" w:hAnsi="宋体" w:cs="宋体"/>
          <w:color w:val="auto"/>
          <w:kern w:val="0"/>
          <w:sz w:val="24"/>
        </w:rPr>
        <w:t>本磋商文件由采购人负责解释。</w:t>
      </w:r>
      <w:bookmarkStart w:id="46" w:name="_Toc462564072"/>
      <w:bookmarkStart w:id="47" w:name="_Toc61149553"/>
      <w:bookmarkStart w:id="48" w:name="_Toc513029213"/>
      <w:bookmarkStart w:id="49" w:name="_Toc14577351"/>
    </w:p>
    <w:p>
      <w:pPr>
        <w:spacing w:line="360" w:lineRule="auto"/>
        <w:ind w:firstLine="482" w:firstLineChars="200"/>
        <w:rPr>
          <w:rFonts w:ascii="宋体"/>
          <w:color w:val="auto"/>
          <w:sz w:val="24"/>
        </w:rPr>
      </w:pPr>
      <w:r>
        <w:rPr>
          <w:rFonts w:hint="eastAsia" w:hAnsi="宋体" w:cs="宋体"/>
          <w:b/>
          <w:color w:val="auto"/>
          <w:kern w:val="0"/>
          <w:sz w:val="24"/>
        </w:rPr>
        <w:t>二、磋商响应文件的编制</w:t>
      </w:r>
      <w:bookmarkEnd w:id="46"/>
      <w:bookmarkEnd w:id="47"/>
      <w:bookmarkEnd w:id="48"/>
      <w:bookmarkEnd w:id="49"/>
      <w:r>
        <w:rPr>
          <w:rFonts w:hint="eastAsia" w:hAnsi="宋体" w:cs="宋体"/>
          <w:b/>
          <w:color w:val="auto"/>
          <w:kern w:val="0"/>
          <w:sz w:val="24"/>
        </w:rPr>
        <w:t>及保证金收取</w:t>
      </w:r>
      <w:bookmarkStart w:id="50" w:name="_Toc14577361"/>
      <w:bookmarkStart w:id="51" w:name="_Toc61149561"/>
      <w:bookmarkStart w:id="52" w:name="_Toc513029223"/>
    </w:p>
    <w:p>
      <w:pPr>
        <w:spacing w:line="360" w:lineRule="auto"/>
        <w:ind w:firstLine="480" w:firstLineChars="200"/>
        <w:rPr>
          <w:rFonts w:ascii="宋体"/>
          <w:color w:val="auto"/>
          <w:sz w:val="24"/>
        </w:rPr>
      </w:pPr>
      <w:r>
        <w:rPr>
          <w:rFonts w:hAnsi="宋体" w:cs="宋体"/>
          <w:color w:val="auto"/>
          <w:kern w:val="0"/>
          <w:sz w:val="24"/>
        </w:rPr>
        <w:t>1</w:t>
      </w:r>
      <w:r>
        <w:rPr>
          <w:rFonts w:hint="eastAsia" w:hAnsi="宋体" w:cs="宋体"/>
          <w:color w:val="auto"/>
          <w:kern w:val="0"/>
          <w:sz w:val="24"/>
        </w:rPr>
        <w:t>、磋商响应文件份数和签署</w:t>
      </w:r>
      <w:bookmarkEnd w:id="50"/>
      <w:bookmarkEnd w:id="51"/>
      <w:bookmarkEnd w:id="52"/>
    </w:p>
    <w:p>
      <w:pPr>
        <w:spacing w:line="360" w:lineRule="auto"/>
        <w:ind w:firstLine="480" w:firstLineChars="200"/>
        <w:rPr>
          <w:rFonts w:ascii="宋体"/>
          <w:color w:val="auto"/>
          <w:sz w:val="24"/>
        </w:rPr>
      </w:pPr>
      <w:r>
        <w:rPr>
          <w:rFonts w:hAnsi="宋体" w:cs="宋体"/>
          <w:color w:val="auto"/>
          <w:kern w:val="0"/>
          <w:sz w:val="24"/>
        </w:rPr>
        <w:t>1.1</w:t>
      </w:r>
      <w:r>
        <w:rPr>
          <w:rFonts w:hint="eastAsia" w:hAnsi="宋体" w:cs="宋体"/>
          <w:color w:val="auto"/>
          <w:kern w:val="0"/>
          <w:sz w:val="24"/>
        </w:rPr>
        <w:t>磋商供应商应严格按照采购邀请要求准备磋商响应文件（以下简称响应文件），每份响应文件须清楚地标明“正本”或“副本”字样。</w:t>
      </w:r>
    </w:p>
    <w:p>
      <w:pPr>
        <w:spacing w:line="360" w:lineRule="auto"/>
        <w:ind w:firstLine="480" w:firstLineChars="200"/>
        <w:rPr>
          <w:rFonts w:ascii="宋体"/>
          <w:color w:val="auto"/>
          <w:sz w:val="24"/>
        </w:rPr>
      </w:pPr>
      <w:r>
        <w:rPr>
          <w:rFonts w:hint="eastAsia" w:hAnsi="宋体" w:cs="宋体"/>
          <w:color w:val="auto"/>
          <w:kern w:val="0"/>
          <w:sz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spacing w:line="360" w:lineRule="auto"/>
        <w:ind w:firstLine="480" w:firstLineChars="200"/>
        <w:rPr>
          <w:rFonts w:ascii="宋体"/>
          <w:color w:val="auto"/>
          <w:sz w:val="24"/>
        </w:rPr>
      </w:pPr>
      <w:r>
        <w:rPr>
          <w:rFonts w:hAnsi="宋体" w:cs="宋体"/>
          <w:color w:val="auto"/>
          <w:kern w:val="0"/>
          <w:sz w:val="24"/>
        </w:rPr>
        <w:t xml:space="preserve">1.2 </w:t>
      </w:r>
      <w:r>
        <w:rPr>
          <w:rFonts w:hint="eastAsia" w:hAnsi="宋体" w:cs="宋体"/>
          <w:color w:val="auto"/>
          <w:kern w:val="0"/>
          <w:sz w:val="24"/>
        </w:rPr>
        <w:t>除磋商供应商对错处做必要修改外，响应文件不得行间插字、涂改或增删。如有修改错漏处，必须由响应文件签署人签字或盖章。</w:t>
      </w:r>
      <w:bookmarkStart w:id="53" w:name="_Toc14577353"/>
      <w:bookmarkStart w:id="54" w:name="_Toc513029215"/>
      <w:bookmarkStart w:id="55" w:name="_Toc61149555"/>
      <w:bookmarkStart w:id="56" w:name="_Toc462564074"/>
      <w:bookmarkStart w:id="57" w:name="_Toc513029214"/>
      <w:bookmarkStart w:id="58" w:name="_Toc462564073"/>
      <w:bookmarkStart w:id="59" w:name="_Toc61149554"/>
      <w:bookmarkStart w:id="60" w:name="_Toc14577352"/>
    </w:p>
    <w:p>
      <w:pPr>
        <w:spacing w:line="360" w:lineRule="auto"/>
        <w:ind w:firstLine="480" w:firstLineChars="200"/>
        <w:rPr>
          <w:rFonts w:ascii="宋体"/>
          <w:color w:val="auto"/>
          <w:sz w:val="24"/>
        </w:rPr>
      </w:pPr>
      <w:r>
        <w:rPr>
          <w:rFonts w:hAnsi="宋体" w:cs="宋体"/>
          <w:color w:val="auto"/>
          <w:kern w:val="0"/>
          <w:sz w:val="24"/>
        </w:rPr>
        <w:t>2</w:t>
      </w:r>
      <w:r>
        <w:rPr>
          <w:rFonts w:hint="eastAsia" w:hAnsi="宋体" w:cs="宋体"/>
          <w:color w:val="auto"/>
          <w:kern w:val="0"/>
          <w:sz w:val="24"/>
        </w:rPr>
        <w:t>、响应文件</w:t>
      </w:r>
      <w:bookmarkEnd w:id="53"/>
      <w:bookmarkEnd w:id="54"/>
      <w:bookmarkEnd w:id="55"/>
      <w:bookmarkEnd w:id="56"/>
      <w:r>
        <w:rPr>
          <w:rFonts w:hint="eastAsia" w:hAnsi="宋体" w:cs="宋体"/>
          <w:color w:val="auto"/>
          <w:kern w:val="0"/>
          <w:sz w:val="24"/>
        </w:rPr>
        <w:t>编制要求</w:t>
      </w:r>
      <w:bookmarkEnd w:id="57"/>
      <w:bookmarkEnd w:id="58"/>
      <w:bookmarkEnd w:id="59"/>
      <w:bookmarkEnd w:id="60"/>
    </w:p>
    <w:p>
      <w:pPr>
        <w:spacing w:line="360" w:lineRule="auto"/>
        <w:ind w:firstLine="480" w:firstLineChars="200"/>
        <w:rPr>
          <w:rFonts w:ascii="宋体"/>
          <w:color w:val="auto"/>
          <w:sz w:val="24"/>
        </w:rPr>
      </w:pPr>
      <w:r>
        <w:rPr>
          <w:rFonts w:hAnsi="宋体" w:cs="宋体"/>
          <w:color w:val="auto"/>
          <w:kern w:val="0"/>
          <w:sz w:val="24"/>
        </w:rPr>
        <w:t>2.1</w:t>
      </w:r>
      <w:r>
        <w:rPr>
          <w:rFonts w:hint="eastAsia" w:hAnsi="宋体" w:cs="宋体"/>
          <w:color w:val="auto"/>
          <w:kern w:val="0"/>
          <w:sz w:val="24"/>
        </w:rPr>
        <w:t>磋商供应商提交的响应文件以及磋商供应商与采购代理机构及采购人就有关磋商的所有来往函电均应使用简体中文。磋商文件中既有中文也有外文的，以中文意义为准。</w:t>
      </w:r>
    </w:p>
    <w:p>
      <w:pPr>
        <w:spacing w:line="360" w:lineRule="auto"/>
        <w:ind w:firstLine="480" w:firstLineChars="200"/>
        <w:rPr>
          <w:rFonts w:ascii="宋体"/>
          <w:color w:val="auto"/>
          <w:sz w:val="24"/>
        </w:rPr>
      </w:pPr>
      <w:r>
        <w:rPr>
          <w:rFonts w:hAnsi="宋体" w:cs="宋体"/>
          <w:color w:val="auto"/>
          <w:kern w:val="0"/>
          <w:sz w:val="24"/>
        </w:rPr>
        <w:t xml:space="preserve">2.2 </w:t>
      </w:r>
      <w:r>
        <w:rPr>
          <w:rFonts w:hint="eastAsia" w:hAnsi="宋体" w:cs="宋体"/>
          <w:color w:val="auto"/>
          <w:kern w:val="0"/>
          <w:sz w:val="24"/>
        </w:rPr>
        <w:t>除技术性能另有规定外，响应文件所使用的度量衡单位，均须采用国家法定计量单位。</w:t>
      </w:r>
      <w:bookmarkStart w:id="61" w:name="_Toc513029219"/>
      <w:bookmarkStart w:id="62" w:name="_Toc61149558"/>
      <w:bookmarkStart w:id="63" w:name="_Toc14577357"/>
      <w:bookmarkStart w:id="64" w:name="_Toc513029217"/>
      <w:bookmarkStart w:id="65" w:name="_Toc61149557"/>
      <w:bookmarkStart w:id="66" w:name="_Toc14577355"/>
    </w:p>
    <w:p>
      <w:pPr>
        <w:spacing w:line="360" w:lineRule="auto"/>
        <w:ind w:firstLine="480" w:firstLineChars="200"/>
        <w:rPr>
          <w:rFonts w:ascii="宋体"/>
          <w:color w:val="auto"/>
          <w:sz w:val="24"/>
        </w:rPr>
      </w:pPr>
      <w:r>
        <w:rPr>
          <w:rFonts w:hAnsi="宋体" w:cs="宋体"/>
          <w:color w:val="auto"/>
          <w:kern w:val="0"/>
          <w:sz w:val="24"/>
        </w:rPr>
        <w:t>3</w:t>
      </w:r>
      <w:r>
        <w:rPr>
          <w:rFonts w:hint="eastAsia" w:hAnsi="宋体" w:cs="宋体"/>
          <w:color w:val="auto"/>
          <w:kern w:val="0"/>
          <w:sz w:val="24"/>
        </w:rPr>
        <w:t>、参加磋商供应商资格的文件</w:t>
      </w:r>
      <w:bookmarkEnd w:id="61"/>
      <w:bookmarkEnd w:id="62"/>
      <w:bookmarkEnd w:id="63"/>
      <w:r>
        <w:rPr>
          <w:rFonts w:hint="eastAsia" w:hAnsi="宋体" w:cs="宋体"/>
          <w:color w:val="auto"/>
          <w:kern w:val="0"/>
          <w:sz w:val="24"/>
        </w:rPr>
        <w:t>证明</w:t>
      </w:r>
    </w:p>
    <w:p>
      <w:pPr>
        <w:spacing w:line="360" w:lineRule="auto"/>
        <w:ind w:firstLine="480" w:firstLineChars="200"/>
        <w:rPr>
          <w:rFonts w:ascii="宋体"/>
          <w:color w:val="auto"/>
          <w:sz w:val="24"/>
        </w:rPr>
      </w:pPr>
      <w:r>
        <w:rPr>
          <w:rFonts w:hAnsi="宋体" w:cs="宋体"/>
          <w:color w:val="auto"/>
          <w:kern w:val="0"/>
          <w:sz w:val="24"/>
        </w:rPr>
        <w:t>3.1</w:t>
      </w:r>
      <w:r>
        <w:rPr>
          <w:rFonts w:hint="eastAsia" w:hAnsi="宋体" w:cs="宋体"/>
          <w:color w:val="auto"/>
          <w:kern w:val="0"/>
          <w:sz w:val="24"/>
        </w:rPr>
        <w:t>磋商供应商应提交证明其有资格参加磋商和成交后有能力独立履行合同的文件，并作为其响应文件的一部分。</w:t>
      </w:r>
    </w:p>
    <w:p>
      <w:pPr>
        <w:spacing w:line="360" w:lineRule="auto"/>
        <w:ind w:firstLine="480" w:firstLineChars="200"/>
        <w:rPr>
          <w:rFonts w:ascii="宋体"/>
          <w:color w:val="auto"/>
          <w:sz w:val="24"/>
        </w:rPr>
      </w:pPr>
      <w:r>
        <w:rPr>
          <w:rFonts w:hAnsi="宋体" w:cs="宋体"/>
          <w:color w:val="auto"/>
          <w:kern w:val="0"/>
          <w:sz w:val="24"/>
        </w:rPr>
        <w:t>3.2</w:t>
      </w:r>
      <w:r>
        <w:rPr>
          <w:rFonts w:hint="eastAsia" w:hAnsi="宋体" w:cs="宋体"/>
          <w:color w:val="auto"/>
          <w:kern w:val="0"/>
          <w:sz w:val="24"/>
        </w:rPr>
        <w:t>磋商供应商除必须具有履行合同所需提供的设备以及服务的能力外，还必须具备相应的财务、技术方面的能力。</w:t>
      </w:r>
    </w:p>
    <w:p>
      <w:pPr>
        <w:spacing w:line="360" w:lineRule="auto"/>
        <w:ind w:firstLine="480" w:firstLineChars="200"/>
        <w:rPr>
          <w:rFonts w:ascii="宋体"/>
          <w:color w:val="auto"/>
          <w:sz w:val="24"/>
        </w:rPr>
      </w:pPr>
      <w:r>
        <w:rPr>
          <w:rFonts w:hAnsi="宋体" w:cs="宋体"/>
          <w:color w:val="auto"/>
          <w:kern w:val="0"/>
          <w:sz w:val="24"/>
        </w:rPr>
        <w:t>3.3</w:t>
      </w:r>
      <w:r>
        <w:rPr>
          <w:rFonts w:hint="eastAsia" w:hAnsi="宋体" w:cs="宋体"/>
          <w:color w:val="auto"/>
          <w:kern w:val="0"/>
          <w:sz w:val="24"/>
        </w:rPr>
        <w:t>磋商供应商应填写并提交磋商文件所附的“资信证明文件”。</w:t>
      </w:r>
    </w:p>
    <w:p>
      <w:pPr>
        <w:spacing w:line="360" w:lineRule="auto"/>
        <w:ind w:firstLine="480" w:firstLineChars="200"/>
        <w:rPr>
          <w:rFonts w:ascii="宋体"/>
          <w:color w:val="auto"/>
          <w:sz w:val="24"/>
        </w:rPr>
      </w:pPr>
      <w:r>
        <w:rPr>
          <w:rFonts w:hAnsi="宋体" w:cs="宋体"/>
          <w:color w:val="auto"/>
          <w:kern w:val="0"/>
          <w:sz w:val="24"/>
        </w:rPr>
        <w:t>4</w:t>
      </w:r>
      <w:r>
        <w:rPr>
          <w:rFonts w:hint="eastAsia" w:hAnsi="宋体" w:cs="宋体"/>
          <w:color w:val="auto"/>
          <w:kern w:val="0"/>
          <w:sz w:val="24"/>
        </w:rPr>
        <w:t>、</w:t>
      </w:r>
      <w:bookmarkEnd w:id="64"/>
      <w:bookmarkEnd w:id="65"/>
      <w:bookmarkEnd w:id="66"/>
      <w:r>
        <w:rPr>
          <w:rFonts w:hint="eastAsia" w:hAnsi="宋体" w:cs="宋体"/>
          <w:color w:val="auto"/>
          <w:kern w:val="0"/>
          <w:sz w:val="24"/>
        </w:rPr>
        <w:t>投标报价表</w:t>
      </w:r>
    </w:p>
    <w:p>
      <w:pPr>
        <w:spacing w:line="360" w:lineRule="auto"/>
        <w:ind w:firstLine="480" w:firstLineChars="200"/>
        <w:rPr>
          <w:rFonts w:ascii="宋体"/>
          <w:color w:val="auto"/>
          <w:sz w:val="24"/>
        </w:rPr>
      </w:pPr>
      <w:r>
        <w:rPr>
          <w:rFonts w:hAnsi="宋体" w:cs="宋体"/>
          <w:color w:val="auto"/>
          <w:kern w:val="0"/>
          <w:sz w:val="24"/>
        </w:rPr>
        <w:t>4.1</w:t>
      </w:r>
      <w:r>
        <w:rPr>
          <w:rFonts w:hint="eastAsia" w:hAnsi="宋体" w:cs="宋体"/>
          <w:color w:val="auto"/>
          <w:kern w:val="0"/>
          <w:sz w:val="24"/>
        </w:rPr>
        <w:t>磋商供应商应按照磋商文件规定格式填报投标报价表。每项产品或服务只允许有一个报价，任何有选择的报价将不予接受，磋商文件中另有规定的按规定执行。</w:t>
      </w:r>
    </w:p>
    <w:p>
      <w:pPr>
        <w:spacing w:line="360" w:lineRule="auto"/>
        <w:ind w:firstLine="480" w:firstLineChars="200"/>
        <w:rPr>
          <w:rFonts w:ascii="宋体"/>
          <w:color w:val="auto"/>
          <w:sz w:val="24"/>
        </w:rPr>
      </w:pPr>
      <w:r>
        <w:rPr>
          <w:rFonts w:hAnsi="宋体" w:cs="宋体"/>
          <w:color w:val="auto"/>
          <w:kern w:val="0"/>
          <w:sz w:val="24"/>
        </w:rPr>
        <w:t>4.2</w:t>
      </w:r>
      <w:r>
        <w:rPr>
          <w:rFonts w:hint="eastAsia" w:hAnsi="宋体" w:cs="宋体"/>
          <w:color w:val="auto"/>
          <w:kern w:val="0"/>
          <w:sz w:val="24"/>
        </w:rPr>
        <w:t>标的物</w:t>
      </w:r>
    </w:p>
    <w:p>
      <w:pPr>
        <w:spacing w:line="360" w:lineRule="auto"/>
        <w:ind w:firstLine="480" w:firstLineChars="200"/>
        <w:rPr>
          <w:rFonts w:ascii="宋体"/>
          <w:color w:val="auto"/>
          <w:sz w:val="24"/>
        </w:rPr>
      </w:pPr>
      <w:r>
        <w:rPr>
          <w:rFonts w:hint="eastAsia" w:hAnsi="宋体" w:cs="宋体"/>
          <w:color w:val="auto"/>
          <w:kern w:val="0"/>
          <w:sz w:val="24"/>
        </w:rPr>
        <w:t>详见项目需求。</w:t>
      </w:r>
    </w:p>
    <w:p>
      <w:pPr>
        <w:spacing w:line="360" w:lineRule="auto"/>
        <w:ind w:firstLine="480" w:firstLineChars="200"/>
        <w:rPr>
          <w:rFonts w:ascii="宋体"/>
          <w:color w:val="auto"/>
          <w:sz w:val="24"/>
        </w:rPr>
      </w:pPr>
      <w:r>
        <w:rPr>
          <w:rFonts w:hAnsi="宋体" w:cs="宋体"/>
          <w:color w:val="auto"/>
          <w:kern w:val="0"/>
          <w:sz w:val="24"/>
        </w:rPr>
        <w:t>4.3</w:t>
      </w:r>
      <w:r>
        <w:rPr>
          <w:rFonts w:hint="eastAsia" w:hAnsi="宋体" w:cs="宋体"/>
          <w:color w:val="auto"/>
          <w:kern w:val="0"/>
          <w:sz w:val="24"/>
        </w:rPr>
        <w:t>有关费用处理</w:t>
      </w:r>
    </w:p>
    <w:p>
      <w:pPr>
        <w:spacing w:line="360" w:lineRule="auto"/>
        <w:ind w:firstLine="480" w:firstLineChars="200"/>
        <w:rPr>
          <w:rFonts w:ascii="宋体"/>
          <w:color w:val="auto"/>
          <w:sz w:val="24"/>
        </w:rPr>
      </w:pPr>
      <w:r>
        <w:rPr>
          <w:rFonts w:hint="eastAsia" w:hAnsi="宋体" w:cs="宋体"/>
          <w:color w:val="auto"/>
          <w:kern w:val="0"/>
          <w:sz w:val="24"/>
        </w:rPr>
        <w:t>本次采购磋商供应商的总报价应包括为完成本项目但不仅限于从采购、运输、交货、验收及其相关服务的总费用，包括人工费、管理费、验收费、利润、税金等所有费用，本磋商文件中另有规定的除外。</w:t>
      </w:r>
    </w:p>
    <w:p>
      <w:pPr>
        <w:spacing w:line="360" w:lineRule="auto"/>
        <w:ind w:firstLine="480" w:firstLineChars="200"/>
        <w:rPr>
          <w:rFonts w:ascii="宋体"/>
          <w:color w:val="auto"/>
          <w:sz w:val="24"/>
        </w:rPr>
      </w:pPr>
      <w:r>
        <w:rPr>
          <w:rFonts w:hAnsi="宋体" w:cs="宋体"/>
          <w:color w:val="auto"/>
          <w:kern w:val="0"/>
          <w:sz w:val="24"/>
        </w:rPr>
        <w:t>4.4</w:t>
      </w:r>
      <w:r>
        <w:rPr>
          <w:rFonts w:hint="eastAsia" w:hAnsi="宋体" w:cs="宋体"/>
          <w:color w:val="auto"/>
          <w:kern w:val="0"/>
          <w:sz w:val="24"/>
        </w:rPr>
        <w:t>其它费用处理</w:t>
      </w:r>
    </w:p>
    <w:p>
      <w:pPr>
        <w:spacing w:line="360" w:lineRule="auto"/>
        <w:ind w:firstLine="480" w:firstLineChars="200"/>
        <w:rPr>
          <w:rFonts w:ascii="宋体"/>
          <w:color w:val="auto"/>
          <w:sz w:val="24"/>
        </w:rPr>
      </w:pPr>
      <w:r>
        <w:rPr>
          <w:rFonts w:hint="eastAsia" w:hAnsi="宋体" w:cs="宋体"/>
          <w:color w:val="auto"/>
          <w:kern w:val="0"/>
          <w:sz w:val="24"/>
        </w:rPr>
        <w:t>磋商文件未列明，而磋商供应商认为必须的费用也须列入报价。</w:t>
      </w:r>
    </w:p>
    <w:p>
      <w:pPr>
        <w:spacing w:line="360" w:lineRule="auto"/>
        <w:ind w:firstLine="480" w:firstLineChars="200"/>
        <w:rPr>
          <w:rFonts w:ascii="宋体"/>
          <w:color w:val="auto"/>
          <w:sz w:val="24"/>
        </w:rPr>
      </w:pPr>
      <w:r>
        <w:rPr>
          <w:rFonts w:hAnsi="宋体" w:cs="宋体"/>
          <w:color w:val="auto"/>
          <w:kern w:val="0"/>
          <w:sz w:val="24"/>
        </w:rPr>
        <w:t>4.5</w:t>
      </w:r>
      <w:r>
        <w:rPr>
          <w:rFonts w:hint="eastAsia" w:hAnsi="宋体" w:cs="宋体"/>
          <w:color w:val="auto"/>
          <w:kern w:val="0"/>
          <w:sz w:val="24"/>
        </w:rPr>
        <w:t>报价采用的货币</w:t>
      </w:r>
    </w:p>
    <w:p>
      <w:pPr>
        <w:spacing w:line="360" w:lineRule="auto"/>
        <w:ind w:firstLine="480" w:firstLineChars="200"/>
        <w:rPr>
          <w:rFonts w:ascii="宋体"/>
          <w:color w:val="auto"/>
          <w:sz w:val="24"/>
        </w:rPr>
      </w:pPr>
      <w:r>
        <w:rPr>
          <w:rFonts w:hint="eastAsia" w:hAnsi="宋体" w:cs="宋体"/>
          <w:color w:val="auto"/>
          <w:kern w:val="0"/>
          <w:sz w:val="24"/>
        </w:rPr>
        <w:t>响应文件中的单价和总价，无特殊规定的采用人民币报价，以元为单位标注。磋商文件中另有规定的按规定执行。</w:t>
      </w:r>
    </w:p>
    <w:p>
      <w:pPr>
        <w:spacing w:line="360" w:lineRule="auto"/>
        <w:ind w:firstLine="480" w:firstLineChars="200"/>
        <w:rPr>
          <w:rFonts w:ascii="宋体"/>
          <w:color w:val="auto"/>
          <w:sz w:val="24"/>
        </w:rPr>
      </w:pPr>
      <w:r>
        <w:rPr>
          <w:rFonts w:hAnsi="宋体" w:cs="宋体"/>
          <w:color w:val="auto"/>
          <w:kern w:val="0"/>
          <w:sz w:val="24"/>
        </w:rPr>
        <w:t xml:space="preserve">4.6 </w:t>
      </w:r>
      <w:r>
        <w:rPr>
          <w:rFonts w:hint="eastAsia" w:hAnsi="宋体" w:cs="宋体"/>
          <w:color w:val="auto"/>
          <w:kern w:val="0"/>
          <w:sz w:val="24"/>
        </w:rPr>
        <w:t>磋商响应报价表上的价格应按磋商文件规定填写。</w:t>
      </w:r>
      <w:bookmarkStart w:id="67" w:name="_Toc513029221"/>
      <w:bookmarkStart w:id="68" w:name="_Toc14577359"/>
      <w:bookmarkStart w:id="69" w:name="_Toc61149559"/>
    </w:p>
    <w:p>
      <w:pPr>
        <w:spacing w:line="360" w:lineRule="auto"/>
        <w:ind w:firstLine="480" w:firstLineChars="200"/>
        <w:rPr>
          <w:rFonts w:ascii="宋体"/>
          <w:color w:val="auto"/>
          <w:sz w:val="24"/>
        </w:rPr>
      </w:pPr>
      <w:r>
        <w:rPr>
          <w:rFonts w:hAnsi="宋体" w:cs="宋体"/>
          <w:color w:val="auto"/>
          <w:kern w:val="0"/>
          <w:sz w:val="24"/>
        </w:rPr>
        <w:t>5</w:t>
      </w:r>
      <w:r>
        <w:rPr>
          <w:rFonts w:hint="eastAsia" w:hAnsi="宋体" w:cs="宋体"/>
          <w:color w:val="auto"/>
          <w:kern w:val="0"/>
          <w:sz w:val="24"/>
        </w:rPr>
        <w:t>、项目需求响应方案</w:t>
      </w:r>
    </w:p>
    <w:p>
      <w:pPr>
        <w:spacing w:line="360" w:lineRule="auto"/>
        <w:ind w:firstLine="480" w:firstLineChars="200"/>
        <w:rPr>
          <w:rFonts w:ascii="宋体"/>
          <w:color w:val="auto"/>
          <w:sz w:val="24"/>
        </w:rPr>
      </w:pPr>
      <w:r>
        <w:rPr>
          <w:rFonts w:hAnsi="宋体" w:cs="宋体"/>
          <w:color w:val="auto"/>
          <w:kern w:val="0"/>
          <w:sz w:val="24"/>
        </w:rPr>
        <w:t>5.1</w:t>
      </w:r>
      <w:r>
        <w:rPr>
          <w:rFonts w:hint="eastAsia" w:hAnsi="宋体" w:cs="宋体"/>
          <w:color w:val="auto"/>
          <w:kern w:val="0"/>
          <w:sz w:val="24"/>
        </w:rPr>
        <w:t>提供为完成本项目的总体实施方案。</w:t>
      </w:r>
    </w:p>
    <w:p>
      <w:pPr>
        <w:spacing w:line="360" w:lineRule="auto"/>
        <w:ind w:firstLine="480" w:firstLineChars="200"/>
        <w:rPr>
          <w:rFonts w:hAnsi="宋体" w:cs="宋体"/>
          <w:color w:val="auto"/>
          <w:kern w:val="0"/>
          <w:sz w:val="24"/>
        </w:rPr>
      </w:pPr>
      <w:r>
        <w:rPr>
          <w:rFonts w:hAnsi="宋体" w:cs="宋体"/>
          <w:color w:val="auto"/>
          <w:kern w:val="0"/>
          <w:sz w:val="24"/>
        </w:rPr>
        <w:t>5.2</w:t>
      </w:r>
      <w:r>
        <w:rPr>
          <w:rFonts w:hint="eastAsia" w:hAnsi="宋体" w:cs="宋体"/>
          <w:color w:val="auto"/>
          <w:kern w:val="0"/>
          <w:sz w:val="24"/>
        </w:rPr>
        <w:t>对磋商文件中项目需求的技术与商务条款要求逐项作出应答，并提供依据或说明。</w:t>
      </w:r>
    </w:p>
    <w:p>
      <w:pPr>
        <w:spacing w:line="360" w:lineRule="auto"/>
        <w:ind w:firstLine="480" w:firstLineChars="200"/>
        <w:rPr>
          <w:rFonts w:ascii="宋体"/>
          <w:color w:val="auto"/>
          <w:sz w:val="24"/>
        </w:rPr>
      </w:pPr>
      <w:r>
        <w:rPr>
          <w:rFonts w:hAnsi="宋体" w:cs="宋体"/>
          <w:color w:val="auto"/>
          <w:kern w:val="0"/>
          <w:sz w:val="24"/>
        </w:rPr>
        <w:t>5.3</w:t>
      </w:r>
      <w:r>
        <w:rPr>
          <w:rFonts w:hint="eastAsia" w:hAnsi="宋体" w:cs="宋体"/>
          <w:color w:val="auto"/>
          <w:kern w:val="0"/>
          <w:sz w:val="24"/>
        </w:rPr>
        <w:t>磋商供应商认为需要的其他技术文件或说明。</w:t>
      </w:r>
    </w:p>
    <w:p>
      <w:pPr>
        <w:spacing w:line="360" w:lineRule="auto"/>
        <w:ind w:firstLine="480" w:firstLineChars="200"/>
        <w:rPr>
          <w:rFonts w:ascii="宋体"/>
          <w:color w:val="auto"/>
          <w:sz w:val="24"/>
        </w:rPr>
      </w:pPr>
      <w:r>
        <w:rPr>
          <w:rFonts w:hAnsi="宋体" w:cs="宋体"/>
          <w:color w:val="auto"/>
          <w:kern w:val="0"/>
          <w:sz w:val="24"/>
        </w:rPr>
        <w:t>6</w:t>
      </w:r>
      <w:r>
        <w:rPr>
          <w:rFonts w:hint="eastAsia" w:hAnsi="宋体" w:cs="宋体"/>
          <w:color w:val="auto"/>
          <w:kern w:val="0"/>
          <w:sz w:val="24"/>
        </w:rPr>
        <w:t>、磋商保证金</w:t>
      </w:r>
      <w:bookmarkEnd w:id="67"/>
      <w:bookmarkEnd w:id="68"/>
      <w:bookmarkEnd w:id="69"/>
    </w:p>
    <w:p>
      <w:pPr>
        <w:spacing w:line="360" w:lineRule="auto"/>
        <w:ind w:firstLine="480" w:firstLineChars="200"/>
        <w:rPr>
          <w:rFonts w:ascii="宋体"/>
          <w:color w:val="auto"/>
          <w:sz w:val="24"/>
        </w:rPr>
      </w:pPr>
      <w:r>
        <w:rPr>
          <w:rFonts w:hAnsi="宋体" w:cs="宋体"/>
          <w:color w:val="auto"/>
          <w:kern w:val="0"/>
          <w:sz w:val="24"/>
        </w:rPr>
        <w:t>6.1</w:t>
      </w:r>
      <w:r>
        <w:rPr>
          <w:rFonts w:hint="eastAsia" w:hAnsi="宋体" w:cs="宋体"/>
          <w:color w:val="auto"/>
          <w:kern w:val="0"/>
          <w:sz w:val="24"/>
        </w:rPr>
        <w:t>磋商供应商在磋商开始前必须向采购人足额提交磋商保证金，作为其磋商的一部分。磋商保证金是为了保护采购人免遭因磋商供应商的行为而蒙受的损失，采购人因磋商供应商的行为受到损害时，采购人可根据相关规定处理。</w:t>
      </w:r>
    </w:p>
    <w:p>
      <w:pPr>
        <w:spacing w:line="360" w:lineRule="auto"/>
        <w:ind w:firstLine="480" w:firstLineChars="200"/>
        <w:rPr>
          <w:rFonts w:hAnsi="宋体" w:cs="宋体"/>
          <w:color w:val="auto"/>
          <w:kern w:val="0"/>
          <w:sz w:val="24"/>
        </w:rPr>
      </w:pPr>
      <w:r>
        <w:rPr>
          <w:rFonts w:hAnsi="宋体" w:cs="宋体"/>
          <w:color w:val="auto"/>
          <w:kern w:val="0"/>
          <w:sz w:val="24"/>
        </w:rPr>
        <w:t>6.2</w:t>
      </w:r>
      <w:r>
        <w:rPr>
          <w:rFonts w:hint="eastAsia" w:hAnsi="宋体" w:cs="宋体"/>
          <w:color w:val="auto"/>
          <w:kern w:val="0"/>
          <w:sz w:val="24"/>
        </w:rPr>
        <w:t>参加磋商采购所需交纳的保证金必须是人民币，磋商保证金的交纳形式见采购邀请。</w:t>
      </w:r>
    </w:p>
    <w:p>
      <w:pPr>
        <w:spacing w:line="360" w:lineRule="auto"/>
        <w:ind w:firstLine="480" w:firstLineChars="200"/>
        <w:rPr>
          <w:rFonts w:ascii="宋体"/>
          <w:color w:val="auto"/>
          <w:sz w:val="24"/>
        </w:rPr>
      </w:pPr>
      <w:r>
        <w:rPr>
          <w:rFonts w:hAnsi="宋体" w:cs="宋体"/>
          <w:color w:val="auto"/>
          <w:kern w:val="0"/>
          <w:sz w:val="24"/>
        </w:rPr>
        <w:t>6.3</w:t>
      </w:r>
      <w:r>
        <w:rPr>
          <w:rFonts w:hint="eastAsia" w:hAnsi="宋体" w:cs="宋体"/>
          <w:color w:val="auto"/>
          <w:kern w:val="0"/>
          <w:sz w:val="24"/>
        </w:rPr>
        <w:t>在磋商时，对在响应文件递交截止时间以前未按磋商文件要求提交磋商保证金的响应文件，采购人将视其为无效响应文件而予以拒绝。</w:t>
      </w:r>
    </w:p>
    <w:p>
      <w:pPr>
        <w:spacing w:line="360" w:lineRule="auto"/>
        <w:ind w:firstLine="480" w:firstLineChars="200"/>
        <w:rPr>
          <w:rFonts w:hAnsi="宋体" w:cs="宋体"/>
          <w:color w:val="auto"/>
          <w:kern w:val="0"/>
          <w:sz w:val="24"/>
        </w:rPr>
      </w:pPr>
      <w:r>
        <w:rPr>
          <w:rFonts w:hAnsi="宋体" w:cs="宋体"/>
          <w:color w:val="auto"/>
          <w:kern w:val="0"/>
          <w:sz w:val="24"/>
        </w:rPr>
        <w:t>6.4</w:t>
      </w:r>
      <w:r>
        <w:rPr>
          <w:rFonts w:hint="eastAsia" w:hAnsi="宋体" w:cs="宋体"/>
          <w:color w:val="auto"/>
          <w:kern w:val="0"/>
          <w:sz w:val="24"/>
        </w:rPr>
        <w:t>下列任何情况发生时，磋商保证金不予退还：</w:t>
      </w:r>
    </w:p>
    <w:p>
      <w:pPr>
        <w:spacing w:line="360" w:lineRule="auto"/>
        <w:ind w:firstLine="480" w:firstLineChars="200"/>
        <w:rPr>
          <w:rFonts w:ascii="宋体"/>
          <w:color w:val="auto"/>
          <w:sz w:val="24"/>
        </w:rPr>
      </w:pPr>
      <w:r>
        <w:rPr>
          <w:rFonts w:hint="eastAsia" w:hAnsi="宋体" w:cs="宋体"/>
          <w:color w:val="auto"/>
          <w:kern w:val="0"/>
          <w:sz w:val="24"/>
        </w:rPr>
        <w:t>（</w:t>
      </w:r>
      <w:r>
        <w:rPr>
          <w:rFonts w:hAnsi="宋体" w:cs="宋体"/>
          <w:color w:val="auto"/>
          <w:kern w:val="0"/>
          <w:sz w:val="24"/>
        </w:rPr>
        <w:t>1</w:t>
      </w:r>
      <w:r>
        <w:rPr>
          <w:rFonts w:hint="eastAsia" w:hAnsi="宋体" w:cs="宋体"/>
          <w:color w:val="auto"/>
          <w:kern w:val="0"/>
          <w:sz w:val="24"/>
        </w:rPr>
        <w:t>）磋商供应商在磋商响应有效期内无正当理由撤回其响应文件或者在磋商过程中无正当理由退出磋商活动（磋商供应商在提交最后报价之前退出磋商的除外）；</w:t>
      </w:r>
    </w:p>
    <w:p>
      <w:pPr>
        <w:spacing w:line="360" w:lineRule="auto"/>
        <w:ind w:firstLine="480" w:firstLineChars="200"/>
        <w:rPr>
          <w:rFonts w:ascii="宋体"/>
          <w:color w:val="auto"/>
          <w:sz w:val="24"/>
        </w:rPr>
      </w:pPr>
      <w:r>
        <w:rPr>
          <w:rFonts w:hint="eastAsia" w:hAnsi="宋体" w:cs="宋体"/>
          <w:color w:val="auto"/>
          <w:kern w:val="0"/>
          <w:sz w:val="24"/>
        </w:rPr>
        <w:t>（</w:t>
      </w:r>
      <w:r>
        <w:rPr>
          <w:rFonts w:hAnsi="宋体" w:cs="宋体"/>
          <w:color w:val="auto"/>
          <w:kern w:val="0"/>
          <w:sz w:val="24"/>
        </w:rPr>
        <w:t>2</w:t>
      </w:r>
      <w:r>
        <w:rPr>
          <w:rFonts w:hint="eastAsia" w:hAnsi="宋体" w:cs="宋体"/>
          <w:color w:val="auto"/>
          <w:kern w:val="0"/>
          <w:sz w:val="24"/>
        </w:rPr>
        <w:t>）为谋取最终成交，磋商供应商在整个磋商过程中提供的相关文件被确认是虚假的、不真实的；</w:t>
      </w:r>
    </w:p>
    <w:p>
      <w:pPr>
        <w:spacing w:line="360" w:lineRule="auto"/>
        <w:ind w:firstLine="480" w:firstLineChars="200"/>
        <w:rPr>
          <w:rFonts w:ascii="宋体"/>
          <w:color w:val="auto"/>
          <w:sz w:val="24"/>
        </w:rPr>
      </w:pPr>
      <w:r>
        <w:rPr>
          <w:rFonts w:hint="eastAsia" w:hAnsi="宋体" w:cs="宋体"/>
          <w:color w:val="auto"/>
          <w:kern w:val="0"/>
          <w:sz w:val="24"/>
        </w:rPr>
        <w:t>（</w:t>
      </w:r>
      <w:r>
        <w:rPr>
          <w:rFonts w:hAnsi="宋体" w:cs="宋体"/>
          <w:color w:val="auto"/>
          <w:kern w:val="0"/>
          <w:sz w:val="24"/>
        </w:rPr>
        <w:t>3</w:t>
      </w:r>
      <w:r>
        <w:rPr>
          <w:rFonts w:hint="eastAsia" w:hAnsi="宋体" w:cs="宋体"/>
          <w:color w:val="auto"/>
          <w:kern w:val="0"/>
          <w:sz w:val="24"/>
        </w:rPr>
        <w:t>）参加磋商的供应商之间被证实有串通、欺诈行为或者恶意进行竞争，影响采购人合法权益的；</w:t>
      </w:r>
    </w:p>
    <w:p>
      <w:pPr>
        <w:spacing w:line="360" w:lineRule="auto"/>
        <w:ind w:firstLine="480" w:firstLineChars="200"/>
        <w:rPr>
          <w:rFonts w:ascii="宋体"/>
          <w:color w:val="auto"/>
          <w:sz w:val="24"/>
        </w:rPr>
      </w:pPr>
      <w:r>
        <w:rPr>
          <w:rFonts w:hint="eastAsia" w:hAnsi="宋体" w:cs="宋体"/>
          <w:color w:val="auto"/>
          <w:kern w:val="0"/>
          <w:sz w:val="24"/>
        </w:rPr>
        <w:t>（</w:t>
      </w:r>
      <w:r>
        <w:rPr>
          <w:rFonts w:hAnsi="宋体" w:cs="宋体"/>
          <w:color w:val="auto"/>
          <w:kern w:val="0"/>
          <w:sz w:val="24"/>
        </w:rPr>
        <w:t>4</w:t>
      </w:r>
      <w:r>
        <w:rPr>
          <w:rFonts w:hint="eastAsia" w:hAnsi="宋体" w:cs="宋体"/>
          <w:color w:val="auto"/>
          <w:kern w:val="0"/>
          <w:sz w:val="24"/>
        </w:rPr>
        <w:t>）整个采购活动中采取不正当手段诋毁、排挤其他供应商的；</w:t>
      </w:r>
    </w:p>
    <w:p>
      <w:pPr>
        <w:spacing w:line="360" w:lineRule="auto"/>
        <w:ind w:firstLine="480" w:firstLineChars="200"/>
        <w:rPr>
          <w:rFonts w:ascii="宋体"/>
          <w:color w:val="auto"/>
          <w:sz w:val="24"/>
        </w:rPr>
      </w:pPr>
      <w:r>
        <w:rPr>
          <w:rFonts w:hint="eastAsia" w:hAnsi="宋体" w:cs="宋体"/>
          <w:color w:val="auto"/>
          <w:kern w:val="0"/>
          <w:sz w:val="24"/>
        </w:rPr>
        <w:t>（</w:t>
      </w:r>
      <w:r>
        <w:rPr>
          <w:rFonts w:hAnsi="宋体" w:cs="宋体"/>
          <w:color w:val="auto"/>
          <w:kern w:val="0"/>
          <w:sz w:val="24"/>
        </w:rPr>
        <w:t>5</w:t>
      </w:r>
      <w:r>
        <w:rPr>
          <w:rFonts w:hint="eastAsia" w:hAnsi="宋体" w:cs="宋体"/>
          <w:color w:val="auto"/>
          <w:kern w:val="0"/>
          <w:sz w:val="24"/>
        </w:rPr>
        <w:t>）与采购人、采购代理机构相关工作人员恶意串通的；</w:t>
      </w:r>
    </w:p>
    <w:p>
      <w:pPr>
        <w:spacing w:line="360" w:lineRule="auto"/>
        <w:ind w:firstLine="480" w:firstLineChars="200"/>
        <w:rPr>
          <w:rFonts w:ascii="宋体"/>
          <w:color w:val="auto"/>
          <w:sz w:val="24"/>
        </w:rPr>
      </w:pPr>
      <w:r>
        <w:rPr>
          <w:rFonts w:hint="eastAsia" w:hAnsi="宋体" w:cs="宋体"/>
          <w:color w:val="auto"/>
          <w:kern w:val="0"/>
          <w:sz w:val="24"/>
        </w:rPr>
        <w:t>（</w:t>
      </w:r>
      <w:r>
        <w:rPr>
          <w:rFonts w:hAnsi="宋体" w:cs="宋体"/>
          <w:color w:val="auto"/>
          <w:kern w:val="0"/>
          <w:sz w:val="24"/>
        </w:rPr>
        <w:t>6</w:t>
      </w:r>
      <w:r>
        <w:rPr>
          <w:rFonts w:hint="eastAsia" w:hAnsi="宋体" w:cs="宋体"/>
          <w:color w:val="auto"/>
          <w:kern w:val="0"/>
          <w:sz w:val="24"/>
        </w:rPr>
        <w:t>）向采购人、采购代理机构相关工作人员行贿或者提供其他不正当利益的；</w:t>
      </w:r>
    </w:p>
    <w:p>
      <w:pPr>
        <w:spacing w:line="360" w:lineRule="auto"/>
        <w:ind w:firstLine="480" w:firstLineChars="200"/>
        <w:rPr>
          <w:rFonts w:ascii="宋体"/>
          <w:color w:val="auto"/>
          <w:sz w:val="24"/>
        </w:rPr>
      </w:pPr>
      <w:r>
        <w:rPr>
          <w:rFonts w:hint="eastAsia" w:hAnsi="宋体" w:cs="宋体"/>
          <w:color w:val="auto"/>
          <w:kern w:val="0"/>
          <w:sz w:val="24"/>
        </w:rPr>
        <w:t>（</w:t>
      </w:r>
      <w:r>
        <w:rPr>
          <w:rFonts w:hAnsi="宋体" w:cs="宋体"/>
          <w:color w:val="auto"/>
          <w:kern w:val="0"/>
          <w:sz w:val="24"/>
        </w:rPr>
        <w:t>7</w:t>
      </w:r>
      <w:r>
        <w:rPr>
          <w:rFonts w:hint="eastAsia" w:hAnsi="宋体" w:cs="宋体"/>
          <w:color w:val="auto"/>
          <w:kern w:val="0"/>
          <w:sz w:val="24"/>
        </w:rPr>
        <w:t>）成交供应商在规定期限内未能根据规定签订合同；</w:t>
      </w:r>
    </w:p>
    <w:p>
      <w:pPr>
        <w:spacing w:line="360" w:lineRule="auto"/>
        <w:ind w:firstLine="480" w:firstLineChars="200"/>
        <w:rPr>
          <w:rFonts w:ascii="宋体"/>
          <w:color w:val="auto"/>
          <w:sz w:val="24"/>
        </w:rPr>
      </w:pPr>
      <w:r>
        <w:rPr>
          <w:rFonts w:hint="eastAsia" w:hAnsi="宋体" w:cs="宋体"/>
          <w:color w:val="auto"/>
          <w:kern w:val="0"/>
          <w:sz w:val="24"/>
        </w:rPr>
        <w:t>（</w:t>
      </w:r>
      <w:r>
        <w:rPr>
          <w:rFonts w:hAnsi="宋体" w:cs="宋体"/>
          <w:color w:val="auto"/>
          <w:kern w:val="0"/>
          <w:sz w:val="24"/>
        </w:rPr>
        <w:t>8</w:t>
      </w:r>
      <w:r>
        <w:rPr>
          <w:rFonts w:hint="eastAsia" w:hAnsi="宋体" w:cs="宋体"/>
          <w:color w:val="auto"/>
          <w:kern w:val="0"/>
          <w:sz w:val="24"/>
        </w:rPr>
        <w:t>）成交供应商在规定期限内未能根据规定交纳履约保证金。</w:t>
      </w:r>
      <w:bookmarkStart w:id="70" w:name="_Toc14577362"/>
      <w:bookmarkStart w:id="71" w:name="_Toc61149562"/>
      <w:bookmarkStart w:id="72" w:name="_Toc513029224"/>
    </w:p>
    <w:p>
      <w:pPr>
        <w:spacing w:line="360" w:lineRule="auto"/>
        <w:ind w:firstLine="482" w:firstLineChars="200"/>
        <w:rPr>
          <w:rFonts w:ascii="宋体"/>
          <w:color w:val="auto"/>
          <w:sz w:val="24"/>
        </w:rPr>
      </w:pPr>
      <w:r>
        <w:rPr>
          <w:rFonts w:hint="eastAsia" w:hAnsi="宋体" w:cs="宋体"/>
          <w:b/>
          <w:color w:val="auto"/>
          <w:kern w:val="0"/>
          <w:sz w:val="24"/>
        </w:rPr>
        <w:t>三、响应文件的递交</w:t>
      </w:r>
      <w:bookmarkEnd w:id="70"/>
      <w:bookmarkEnd w:id="71"/>
      <w:bookmarkEnd w:id="72"/>
      <w:bookmarkStart w:id="73" w:name="_Toc513029225"/>
      <w:bookmarkStart w:id="74" w:name="_Toc61149563"/>
      <w:bookmarkStart w:id="75" w:name="_Toc462564084"/>
      <w:bookmarkStart w:id="76" w:name="_Toc14577363"/>
    </w:p>
    <w:p>
      <w:pPr>
        <w:spacing w:line="360" w:lineRule="auto"/>
        <w:ind w:firstLine="480" w:firstLineChars="200"/>
        <w:rPr>
          <w:rFonts w:ascii="宋体"/>
          <w:color w:val="auto"/>
          <w:sz w:val="24"/>
        </w:rPr>
      </w:pPr>
      <w:r>
        <w:rPr>
          <w:rFonts w:hAnsi="宋体" w:cs="宋体"/>
          <w:color w:val="auto"/>
          <w:kern w:val="0"/>
          <w:sz w:val="24"/>
        </w:rPr>
        <w:t>1</w:t>
      </w:r>
      <w:r>
        <w:rPr>
          <w:rFonts w:hint="eastAsia" w:hAnsi="宋体" w:cs="宋体"/>
          <w:color w:val="auto"/>
          <w:kern w:val="0"/>
          <w:sz w:val="24"/>
        </w:rPr>
        <w:t>、响应文件的密封和标记</w:t>
      </w:r>
      <w:bookmarkEnd w:id="73"/>
      <w:bookmarkEnd w:id="74"/>
      <w:bookmarkEnd w:id="75"/>
      <w:bookmarkEnd w:id="76"/>
    </w:p>
    <w:p>
      <w:pPr>
        <w:spacing w:line="360" w:lineRule="auto"/>
        <w:ind w:firstLine="480" w:firstLineChars="200"/>
        <w:rPr>
          <w:rFonts w:ascii="宋体"/>
          <w:color w:val="auto"/>
          <w:sz w:val="24"/>
        </w:rPr>
      </w:pPr>
      <w:r>
        <w:rPr>
          <w:rFonts w:hAnsi="宋体" w:cs="宋体"/>
          <w:color w:val="auto"/>
          <w:kern w:val="0"/>
          <w:sz w:val="24"/>
        </w:rPr>
        <w:t>1.1</w:t>
      </w:r>
      <w:r>
        <w:rPr>
          <w:rFonts w:hint="eastAsia" w:hAnsi="宋体" w:cs="宋体"/>
          <w:color w:val="auto"/>
          <w:kern w:val="0"/>
          <w:sz w:val="24"/>
        </w:rPr>
        <w:t>磋商供应商应严格按照采购邀请要求的份数</w:t>
      </w:r>
      <w:r>
        <w:rPr>
          <w:rFonts w:hint="eastAsia" w:hAnsi="宋体" w:cs="宋体"/>
          <w:b/>
          <w:bCs/>
          <w:color w:val="auto"/>
          <w:kern w:val="0"/>
          <w:sz w:val="24"/>
          <w:u w:val="single"/>
        </w:rPr>
        <w:t>（正本一份、副本四份）</w:t>
      </w:r>
      <w:r>
        <w:rPr>
          <w:rFonts w:hint="eastAsia" w:hAnsi="宋体" w:cs="宋体"/>
          <w:color w:val="auto"/>
          <w:kern w:val="0"/>
          <w:sz w:val="24"/>
        </w:rPr>
        <w:t>准备响应文件，每份响应文件须清楚地标明“正本”或“副本”字样。一旦正本和副本不符，以正本为准。磋商供应商应将响应文件正本和所有副本密封。</w:t>
      </w:r>
    </w:p>
    <w:p>
      <w:pPr>
        <w:spacing w:line="360" w:lineRule="auto"/>
        <w:ind w:firstLine="480" w:firstLineChars="200"/>
        <w:rPr>
          <w:rFonts w:ascii="宋体"/>
          <w:color w:val="auto"/>
          <w:sz w:val="24"/>
        </w:rPr>
      </w:pPr>
      <w:r>
        <w:rPr>
          <w:rFonts w:hAnsi="宋体" w:cs="宋体"/>
          <w:color w:val="auto"/>
          <w:kern w:val="0"/>
          <w:sz w:val="24"/>
        </w:rPr>
        <w:t>1.2</w:t>
      </w:r>
      <w:r>
        <w:rPr>
          <w:rFonts w:hint="eastAsia" w:hAnsi="宋体" w:cs="宋体"/>
          <w:color w:val="auto"/>
          <w:kern w:val="0"/>
          <w:sz w:val="24"/>
        </w:rPr>
        <w:t>密封的响应文件应：</w:t>
      </w:r>
    </w:p>
    <w:p>
      <w:pPr>
        <w:spacing w:line="360" w:lineRule="auto"/>
        <w:ind w:firstLine="480" w:firstLineChars="200"/>
        <w:rPr>
          <w:rFonts w:ascii="宋体"/>
          <w:color w:val="auto"/>
          <w:sz w:val="24"/>
        </w:rPr>
      </w:pPr>
      <w:r>
        <w:rPr>
          <w:rFonts w:hint="eastAsia" w:hAnsi="宋体" w:cs="宋体"/>
          <w:color w:val="auto"/>
          <w:kern w:val="0"/>
          <w:sz w:val="24"/>
        </w:rPr>
        <w:t>（</w:t>
      </w:r>
      <w:r>
        <w:rPr>
          <w:rFonts w:hAnsi="宋体" w:cs="宋体"/>
          <w:color w:val="auto"/>
          <w:kern w:val="0"/>
          <w:sz w:val="24"/>
        </w:rPr>
        <w:t>1</w:t>
      </w:r>
      <w:r>
        <w:rPr>
          <w:rFonts w:hint="eastAsia" w:hAnsi="宋体" w:cs="宋体"/>
          <w:color w:val="auto"/>
          <w:kern w:val="0"/>
          <w:sz w:val="24"/>
        </w:rPr>
        <w:t>）按采购邀请中注明的地址送达规定地点；</w:t>
      </w:r>
    </w:p>
    <w:p>
      <w:pPr>
        <w:spacing w:line="360" w:lineRule="auto"/>
        <w:ind w:firstLine="480" w:firstLineChars="200"/>
        <w:rPr>
          <w:rFonts w:ascii="宋体"/>
          <w:color w:val="auto"/>
          <w:sz w:val="24"/>
        </w:rPr>
      </w:pPr>
      <w:r>
        <w:rPr>
          <w:rFonts w:hint="eastAsia" w:hAnsi="宋体" w:cs="宋体"/>
          <w:color w:val="auto"/>
          <w:kern w:val="0"/>
          <w:sz w:val="24"/>
        </w:rPr>
        <w:t>（</w:t>
      </w:r>
      <w:r>
        <w:rPr>
          <w:rFonts w:hAnsi="宋体" w:cs="宋体"/>
          <w:color w:val="auto"/>
          <w:kern w:val="0"/>
          <w:sz w:val="24"/>
        </w:rPr>
        <w:t>2</w:t>
      </w:r>
      <w:r>
        <w:rPr>
          <w:rFonts w:hint="eastAsia" w:hAnsi="宋体" w:cs="宋体"/>
          <w:color w:val="auto"/>
          <w:kern w:val="0"/>
          <w:sz w:val="24"/>
        </w:rPr>
        <w:t>）注明参加磋商项目名称、磋商文件编号及参加的分包号；</w:t>
      </w:r>
    </w:p>
    <w:p>
      <w:pPr>
        <w:spacing w:line="360" w:lineRule="auto"/>
        <w:ind w:firstLine="480" w:firstLineChars="200"/>
        <w:rPr>
          <w:rFonts w:ascii="宋体"/>
          <w:color w:val="auto"/>
          <w:sz w:val="24"/>
        </w:rPr>
      </w:pPr>
      <w:r>
        <w:rPr>
          <w:rFonts w:hint="eastAsia" w:hAnsi="宋体" w:cs="宋体"/>
          <w:color w:val="auto"/>
          <w:kern w:val="0"/>
          <w:sz w:val="24"/>
        </w:rPr>
        <w:t>（</w:t>
      </w:r>
      <w:r>
        <w:rPr>
          <w:rFonts w:hAnsi="宋体" w:cs="宋体"/>
          <w:color w:val="auto"/>
          <w:kern w:val="0"/>
          <w:sz w:val="24"/>
        </w:rPr>
        <w:t>3</w:t>
      </w:r>
      <w:r>
        <w:rPr>
          <w:rFonts w:hint="eastAsia" w:hAnsi="宋体" w:cs="宋体"/>
          <w:color w:val="auto"/>
          <w:kern w:val="0"/>
          <w:sz w:val="24"/>
        </w:rPr>
        <w:t>）密封包装上应写明磋商供应商名称。</w:t>
      </w:r>
    </w:p>
    <w:p>
      <w:pPr>
        <w:spacing w:line="360" w:lineRule="auto"/>
        <w:ind w:firstLine="480" w:firstLineChars="200"/>
        <w:rPr>
          <w:rFonts w:ascii="宋体"/>
          <w:color w:val="auto"/>
          <w:sz w:val="24"/>
        </w:rPr>
      </w:pPr>
      <w:r>
        <w:rPr>
          <w:rFonts w:hAnsi="宋体" w:cs="宋体"/>
          <w:color w:val="auto"/>
          <w:kern w:val="0"/>
          <w:sz w:val="24"/>
        </w:rPr>
        <w:t>1.3</w:t>
      </w:r>
      <w:r>
        <w:rPr>
          <w:rFonts w:hint="eastAsia" w:hAnsi="宋体" w:cs="宋体"/>
          <w:color w:val="auto"/>
          <w:kern w:val="0"/>
          <w:sz w:val="24"/>
        </w:rPr>
        <w:t>如果密封包装未按要求密封和加写标记，采购人对误投或过早启封概不负责。对由此造成提前开封的响应文件，采购人将予以拒绝。</w:t>
      </w:r>
      <w:bookmarkStart w:id="77" w:name="_Toc61149564"/>
      <w:bookmarkStart w:id="78" w:name="_Toc513029226"/>
      <w:bookmarkStart w:id="79" w:name="_Toc14577364"/>
    </w:p>
    <w:p>
      <w:pPr>
        <w:spacing w:line="360" w:lineRule="auto"/>
        <w:ind w:firstLine="480" w:firstLineChars="200"/>
        <w:rPr>
          <w:rFonts w:ascii="宋体"/>
          <w:color w:val="auto"/>
          <w:sz w:val="24"/>
        </w:rPr>
      </w:pPr>
      <w:r>
        <w:rPr>
          <w:rFonts w:hAnsi="宋体" w:cs="宋体"/>
          <w:color w:val="auto"/>
          <w:kern w:val="0"/>
          <w:sz w:val="24"/>
        </w:rPr>
        <w:t>2</w:t>
      </w:r>
      <w:r>
        <w:rPr>
          <w:rFonts w:hint="eastAsia" w:hAnsi="宋体" w:cs="宋体"/>
          <w:color w:val="auto"/>
          <w:kern w:val="0"/>
          <w:sz w:val="24"/>
        </w:rPr>
        <w:t>、</w:t>
      </w:r>
      <w:bookmarkEnd w:id="77"/>
      <w:bookmarkEnd w:id="78"/>
      <w:bookmarkEnd w:id="79"/>
      <w:r>
        <w:rPr>
          <w:rFonts w:hint="eastAsia" w:hAnsi="宋体" w:cs="宋体"/>
          <w:color w:val="auto"/>
          <w:kern w:val="0"/>
          <w:sz w:val="24"/>
        </w:rPr>
        <w:t>响应文件开启时间</w:t>
      </w:r>
    </w:p>
    <w:p>
      <w:pPr>
        <w:spacing w:line="360" w:lineRule="auto"/>
        <w:ind w:left="120" w:leftChars="57" w:firstLine="360" w:firstLineChars="150"/>
        <w:rPr>
          <w:rFonts w:hAnsi="宋体" w:cs="宋体"/>
          <w:color w:val="auto"/>
          <w:kern w:val="0"/>
          <w:sz w:val="24"/>
        </w:rPr>
      </w:pPr>
      <w:r>
        <w:rPr>
          <w:rFonts w:hAnsi="宋体" w:cs="宋体"/>
          <w:color w:val="auto"/>
          <w:kern w:val="0"/>
          <w:sz w:val="24"/>
        </w:rPr>
        <w:t>2.1</w:t>
      </w:r>
      <w:r>
        <w:rPr>
          <w:rFonts w:hint="eastAsia" w:hAnsi="宋体" w:cs="宋体"/>
          <w:color w:val="auto"/>
          <w:kern w:val="0"/>
          <w:sz w:val="24"/>
        </w:rPr>
        <w:t>采购人收到响应文件的时间不得迟于本磋商文件规定的响应文件接收截止时间。</w:t>
      </w:r>
    </w:p>
    <w:p>
      <w:pPr>
        <w:spacing w:line="360" w:lineRule="auto"/>
        <w:ind w:left="120" w:leftChars="57" w:firstLine="360" w:firstLineChars="150"/>
        <w:rPr>
          <w:rFonts w:ascii="宋体"/>
          <w:color w:val="auto"/>
          <w:sz w:val="24"/>
        </w:rPr>
      </w:pPr>
      <w:r>
        <w:rPr>
          <w:rFonts w:hAnsi="宋体" w:cs="宋体"/>
          <w:color w:val="auto"/>
          <w:kern w:val="0"/>
          <w:sz w:val="24"/>
        </w:rPr>
        <w:t>2.2</w:t>
      </w:r>
      <w:r>
        <w:rPr>
          <w:rFonts w:hint="eastAsia" w:hAnsi="宋体" w:cs="宋体"/>
          <w:color w:val="auto"/>
          <w:kern w:val="0"/>
          <w:sz w:val="24"/>
        </w:rPr>
        <w:t>采购人有权通过修改磋商文件推迟响应文件接收截止时间，在此情况下，磋商供应商的所有权利和义务以及受制的响应文件接收截止时间均应以延长后新的响应文件接收截止时间为准。</w:t>
      </w:r>
      <w:bookmarkStart w:id="80" w:name="_Toc61149565"/>
      <w:bookmarkStart w:id="81" w:name="_Toc513029227"/>
      <w:bookmarkStart w:id="82" w:name="_Toc14577365"/>
    </w:p>
    <w:p>
      <w:pPr>
        <w:spacing w:line="360" w:lineRule="auto"/>
        <w:ind w:left="359" w:leftChars="171" w:firstLine="120" w:firstLineChars="50"/>
        <w:rPr>
          <w:rFonts w:ascii="宋体"/>
          <w:color w:val="auto"/>
          <w:sz w:val="24"/>
        </w:rPr>
      </w:pPr>
      <w:r>
        <w:rPr>
          <w:rFonts w:hAnsi="宋体" w:cs="宋体"/>
          <w:color w:val="auto"/>
          <w:kern w:val="0"/>
          <w:sz w:val="24"/>
        </w:rPr>
        <w:t>3</w:t>
      </w:r>
      <w:r>
        <w:rPr>
          <w:rFonts w:hint="eastAsia" w:hAnsi="宋体" w:cs="宋体"/>
          <w:color w:val="auto"/>
          <w:kern w:val="0"/>
          <w:sz w:val="24"/>
        </w:rPr>
        <w:t>、迟交的响应文件</w:t>
      </w:r>
      <w:bookmarkEnd w:id="80"/>
      <w:bookmarkEnd w:id="81"/>
      <w:bookmarkEnd w:id="82"/>
      <w:r>
        <w:rPr>
          <w:rFonts w:ascii="宋体"/>
          <w:color w:val="auto"/>
          <w:sz w:val="24"/>
        </w:rPr>
        <w:br w:type="textWrapping"/>
      </w:r>
      <w:r>
        <w:rPr>
          <w:rFonts w:hAnsi="宋体" w:cs="宋体"/>
          <w:color w:val="auto"/>
          <w:kern w:val="0"/>
          <w:sz w:val="24"/>
        </w:rPr>
        <w:t>3.1</w:t>
      </w:r>
      <w:r>
        <w:rPr>
          <w:rFonts w:hint="eastAsia" w:hAnsi="宋体" w:cs="宋体"/>
          <w:color w:val="auto"/>
          <w:kern w:val="0"/>
          <w:sz w:val="24"/>
        </w:rPr>
        <w:t>采购人将拒绝在规定的响应文件接收截止时间后接收任何响应文件。</w:t>
      </w:r>
      <w:bookmarkStart w:id="83" w:name="_Toc14577366"/>
      <w:bookmarkStart w:id="84" w:name="_Toc61149566"/>
      <w:bookmarkStart w:id="85" w:name="_Toc513029228"/>
    </w:p>
    <w:p>
      <w:pPr>
        <w:spacing w:line="360" w:lineRule="auto"/>
        <w:ind w:left="359" w:leftChars="171" w:firstLine="120" w:firstLineChars="50"/>
        <w:rPr>
          <w:rFonts w:ascii="宋体"/>
          <w:color w:val="auto"/>
          <w:sz w:val="24"/>
        </w:rPr>
      </w:pPr>
      <w:r>
        <w:rPr>
          <w:rFonts w:hAnsi="宋体" w:cs="宋体"/>
          <w:color w:val="auto"/>
          <w:kern w:val="0"/>
          <w:sz w:val="24"/>
        </w:rPr>
        <w:t>4</w:t>
      </w:r>
      <w:r>
        <w:rPr>
          <w:rFonts w:hint="eastAsia" w:hAnsi="宋体" w:cs="宋体"/>
          <w:color w:val="auto"/>
          <w:kern w:val="0"/>
          <w:sz w:val="24"/>
        </w:rPr>
        <w:t>、响应文件的修改和撤回</w:t>
      </w:r>
      <w:bookmarkEnd w:id="83"/>
      <w:bookmarkEnd w:id="84"/>
      <w:bookmarkEnd w:id="85"/>
    </w:p>
    <w:p>
      <w:pPr>
        <w:spacing w:line="360" w:lineRule="auto"/>
        <w:ind w:left="120" w:leftChars="57" w:firstLine="360" w:firstLineChars="150"/>
        <w:rPr>
          <w:rFonts w:hAnsi="宋体" w:cs="宋体"/>
          <w:color w:val="auto"/>
          <w:kern w:val="0"/>
          <w:sz w:val="24"/>
        </w:rPr>
      </w:pPr>
      <w:r>
        <w:rPr>
          <w:rFonts w:hAnsi="宋体" w:cs="宋体"/>
          <w:color w:val="auto"/>
          <w:kern w:val="0"/>
          <w:sz w:val="24"/>
        </w:rPr>
        <w:t>4.1</w:t>
      </w:r>
      <w:r>
        <w:rPr>
          <w:rFonts w:hint="eastAsia" w:hAnsi="宋体" w:cs="宋体"/>
          <w:color w:val="auto"/>
          <w:kern w:val="0"/>
          <w:sz w:val="24"/>
        </w:rPr>
        <w:t>磋商供应商在递交响应文件后，可以修改或撤回其谈判响应文件，但这种修改和撤回，必须在规定的响应文件接收截止时间前，以书面形式送达指定地点。</w:t>
      </w:r>
    </w:p>
    <w:p>
      <w:pPr>
        <w:spacing w:line="360" w:lineRule="auto"/>
        <w:ind w:left="120" w:leftChars="57" w:firstLine="360" w:firstLineChars="150"/>
        <w:rPr>
          <w:rFonts w:hAnsi="宋体" w:cs="宋体"/>
          <w:color w:val="auto"/>
          <w:kern w:val="0"/>
          <w:sz w:val="24"/>
        </w:rPr>
      </w:pPr>
      <w:r>
        <w:rPr>
          <w:rFonts w:hAnsi="宋体" w:cs="宋体"/>
          <w:color w:val="auto"/>
          <w:kern w:val="0"/>
          <w:sz w:val="24"/>
        </w:rPr>
        <w:t>4.2</w:t>
      </w:r>
      <w:r>
        <w:rPr>
          <w:rFonts w:hint="eastAsia" w:hAnsi="宋体" w:cs="宋体"/>
          <w:color w:val="auto"/>
          <w:kern w:val="0"/>
          <w:sz w:val="24"/>
        </w:rPr>
        <w:t>磋商供应商的修改或撤回通知书，应按本文件规定进行编制、密封、标记和发送，并应在封套上加注“修改”和“撤回”字样。</w:t>
      </w:r>
    </w:p>
    <w:p>
      <w:pPr>
        <w:spacing w:line="360" w:lineRule="auto"/>
        <w:ind w:left="120" w:leftChars="57" w:firstLine="360" w:firstLineChars="150"/>
        <w:rPr>
          <w:rFonts w:hAnsi="宋体" w:cs="宋体"/>
          <w:color w:val="auto"/>
          <w:kern w:val="0"/>
          <w:sz w:val="24"/>
        </w:rPr>
      </w:pPr>
      <w:r>
        <w:rPr>
          <w:rFonts w:hAnsi="宋体" w:cs="宋体"/>
          <w:color w:val="auto"/>
          <w:kern w:val="0"/>
          <w:sz w:val="24"/>
        </w:rPr>
        <w:t xml:space="preserve">4.3 </w:t>
      </w:r>
      <w:r>
        <w:rPr>
          <w:rFonts w:hint="eastAsia" w:hAnsi="宋体" w:cs="宋体"/>
          <w:color w:val="auto"/>
          <w:kern w:val="0"/>
          <w:sz w:val="24"/>
        </w:rPr>
        <w:t>磋商供应商在提交最后报价之前，可以根据磋商情况退出磋商，采购人退还退出磋商的供应商的磋商保证金。</w:t>
      </w:r>
    </w:p>
    <w:p>
      <w:pPr>
        <w:spacing w:line="360" w:lineRule="auto"/>
        <w:ind w:left="120" w:leftChars="57" w:firstLine="480" w:firstLineChars="200"/>
        <w:rPr>
          <w:rFonts w:hAnsi="宋体" w:cs="宋体"/>
          <w:color w:val="auto"/>
          <w:kern w:val="0"/>
          <w:sz w:val="24"/>
        </w:rPr>
      </w:pPr>
      <w:r>
        <w:rPr>
          <w:rFonts w:hAnsi="宋体" w:cs="宋体"/>
          <w:color w:val="auto"/>
          <w:kern w:val="0"/>
          <w:sz w:val="24"/>
        </w:rPr>
        <w:t>5</w:t>
      </w:r>
      <w:r>
        <w:rPr>
          <w:rFonts w:hint="eastAsia" w:hAnsi="宋体" w:cs="宋体"/>
          <w:color w:val="auto"/>
          <w:kern w:val="0"/>
          <w:sz w:val="24"/>
        </w:rPr>
        <w:t>、磋商响应有效期</w:t>
      </w:r>
    </w:p>
    <w:p>
      <w:pPr>
        <w:spacing w:line="360" w:lineRule="auto"/>
        <w:ind w:left="120" w:leftChars="57" w:firstLine="480" w:firstLineChars="200"/>
        <w:rPr>
          <w:rFonts w:hAnsi="宋体" w:cs="宋体"/>
          <w:color w:val="auto"/>
          <w:kern w:val="0"/>
          <w:sz w:val="24"/>
        </w:rPr>
      </w:pPr>
      <w:r>
        <w:rPr>
          <w:rFonts w:hAnsi="宋体" w:cs="宋体"/>
          <w:color w:val="auto"/>
          <w:kern w:val="0"/>
          <w:sz w:val="24"/>
        </w:rPr>
        <w:t xml:space="preserve">5.1 </w:t>
      </w:r>
      <w:r>
        <w:rPr>
          <w:rFonts w:hint="eastAsia" w:hAnsi="宋体" w:cs="宋体"/>
          <w:color w:val="auto"/>
          <w:kern w:val="0"/>
          <w:sz w:val="24"/>
        </w:rPr>
        <w:t>磋商响应有效期为采购人规定的响应文件接收截止时间后六十（</w:t>
      </w:r>
      <w:r>
        <w:rPr>
          <w:rFonts w:hAnsi="宋体" w:cs="宋体"/>
          <w:color w:val="auto"/>
          <w:kern w:val="0"/>
          <w:sz w:val="24"/>
        </w:rPr>
        <w:t>60</w:t>
      </w:r>
      <w:r>
        <w:rPr>
          <w:rFonts w:hint="eastAsia" w:hAnsi="宋体" w:cs="宋体"/>
          <w:color w:val="auto"/>
          <w:kern w:val="0"/>
          <w:sz w:val="24"/>
        </w:rPr>
        <w:t>）天。磋商响应有效期比规定短的将被视为非实质性响应性而予以拒绝。</w:t>
      </w:r>
    </w:p>
    <w:p>
      <w:pPr>
        <w:spacing w:line="360" w:lineRule="auto"/>
        <w:ind w:left="120" w:leftChars="57" w:firstLine="480" w:firstLineChars="200"/>
        <w:rPr>
          <w:rFonts w:hAnsi="宋体" w:cs="宋体"/>
          <w:color w:val="auto"/>
          <w:kern w:val="0"/>
          <w:sz w:val="24"/>
        </w:rPr>
      </w:pPr>
      <w:r>
        <w:rPr>
          <w:rFonts w:hAnsi="宋体" w:cs="宋体"/>
          <w:color w:val="auto"/>
          <w:kern w:val="0"/>
          <w:sz w:val="24"/>
        </w:rPr>
        <w:t xml:space="preserve">5.2 </w:t>
      </w:r>
      <w:r>
        <w:rPr>
          <w:rFonts w:hint="eastAsia" w:hAnsi="宋体" w:cs="宋体"/>
          <w:color w:val="auto"/>
          <w:kern w:val="0"/>
          <w:sz w:val="24"/>
        </w:rPr>
        <w:t>在特殊情况下，采购人于原磋商响应有效期满之前，可向磋商供应商提出延长磋商响应有效期的要求。这种要求与答复均应采用书面形式。磋商供应商可以拒绝采购人的这一要求而放弃磋商响应，采购人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pPr>
        <w:spacing w:line="360" w:lineRule="auto"/>
        <w:ind w:left="120" w:leftChars="57" w:firstLine="482" w:firstLineChars="200"/>
        <w:rPr>
          <w:rFonts w:hAnsi="宋体" w:cs="宋体"/>
          <w:color w:val="auto"/>
          <w:kern w:val="0"/>
          <w:sz w:val="24"/>
        </w:rPr>
      </w:pPr>
      <w:r>
        <w:rPr>
          <w:rFonts w:hint="eastAsia" w:hAnsi="宋体" w:cs="宋体"/>
          <w:b/>
          <w:color w:val="auto"/>
          <w:kern w:val="0"/>
          <w:sz w:val="24"/>
        </w:rPr>
        <w:t>四、磋商与评审</w:t>
      </w:r>
      <w:bookmarkStart w:id="86" w:name="_Toc16938546"/>
      <w:bookmarkStart w:id="87" w:name="_Toc20823302"/>
      <w:bookmarkStart w:id="88" w:name="_Toc513029230"/>
    </w:p>
    <w:p>
      <w:pPr>
        <w:spacing w:line="360" w:lineRule="auto"/>
        <w:ind w:left="120" w:leftChars="57" w:firstLine="480" w:firstLineChars="200"/>
        <w:rPr>
          <w:rFonts w:hAnsi="宋体" w:cs="宋体"/>
          <w:color w:val="auto"/>
          <w:kern w:val="0"/>
          <w:sz w:val="24"/>
        </w:rPr>
      </w:pPr>
      <w:r>
        <w:rPr>
          <w:rFonts w:hAnsi="宋体" w:cs="宋体"/>
          <w:color w:val="auto"/>
          <w:kern w:val="0"/>
          <w:sz w:val="24"/>
        </w:rPr>
        <w:t>1</w:t>
      </w:r>
      <w:r>
        <w:rPr>
          <w:rFonts w:hint="eastAsia" w:hAnsi="宋体" w:cs="宋体"/>
          <w:color w:val="auto"/>
          <w:kern w:val="0"/>
          <w:sz w:val="24"/>
        </w:rPr>
        <w:t>、</w:t>
      </w:r>
      <w:bookmarkEnd w:id="86"/>
      <w:bookmarkEnd w:id="87"/>
      <w:bookmarkEnd w:id="88"/>
      <w:r>
        <w:rPr>
          <w:rFonts w:hint="eastAsia" w:hAnsi="宋体" w:cs="宋体"/>
          <w:color w:val="auto"/>
          <w:kern w:val="0"/>
          <w:sz w:val="24"/>
        </w:rPr>
        <w:t>磋商仪式</w:t>
      </w:r>
    </w:p>
    <w:p>
      <w:pPr>
        <w:spacing w:line="360" w:lineRule="auto"/>
        <w:ind w:left="120" w:leftChars="57" w:firstLine="480" w:firstLineChars="200"/>
        <w:rPr>
          <w:rFonts w:hAnsi="宋体" w:cs="宋体"/>
          <w:color w:val="auto"/>
          <w:kern w:val="0"/>
          <w:sz w:val="24"/>
        </w:rPr>
      </w:pPr>
      <w:r>
        <w:rPr>
          <w:rFonts w:hAnsi="宋体" w:cs="宋体"/>
          <w:color w:val="auto"/>
          <w:kern w:val="0"/>
          <w:sz w:val="24"/>
        </w:rPr>
        <w:t>1.1</w:t>
      </w:r>
      <w:r>
        <w:rPr>
          <w:rFonts w:hint="eastAsia" w:hAnsi="宋体" w:cs="宋体"/>
          <w:color w:val="auto"/>
          <w:kern w:val="0"/>
          <w:sz w:val="24"/>
        </w:rPr>
        <w:t>采购人将在采购邀请中规定的时间和地点组织磋商开始仪式，仪式由采购人主持，磋商供应商应委派携带有效证件的代表准时参加，参加仪式的代表需签名以证明其出席。</w:t>
      </w:r>
      <w:bookmarkStart w:id="89" w:name="_Toc20823303"/>
      <w:bookmarkStart w:id="90" w:name="_Toc513029231"/>
      <w:bookmarkStart w:id="91" w:name="_Toc16938547"/>
    </w:p>
    <w:p>
      <w:pPr>
        <w:spacing w:line="360" w:lineRule="auto"/>
        <w:ind w:left="120" w:leftChars="57" w:firstLine="480" w:firstLineChars="200"/>
        <w:rPr>
          <w:rFonts w:hAnsi="宋体" w:cs="宋体"/>
          <w:color w:val="auto"/>
          <w:kern w:val="0"/>
          <w:sz w:val="24"/>
        </w:rPr>
      </w:pPr>
      <w:r>
        <w:rPr>
          <w:rFonts w:hAnsi="宋体" w:cs="宋体"/>
          <w:color w:val="auto"/>
          <w:kern w:val="0"/>
          <w:sz w:val="24"/>
        </w:rPr>
        <w:t>2</w:t>
      </w:r>
      <w:r>
        <w:rPr>
          <w:rFonts w:hint="eastAsia" w:hAnsi="宋体" w:cs="宋体"/>
          <w:color w:val="auto"/>
          <w:kern w:val="0"/>
          <w:sz w:val="24"/>
        </w:rPr>
        <w:t>、磋商小组</w:t>
      </w:r>
    </w:p>
    <w:p>
      <w:pPr>
        <w:spacing w:line="360" w:lineRule="auto"/>
        <w:ind w:left="120" w:leftChars="57" w:firstLine="480" w:firstLineChars="200"/>
        <w:rPr>
          <w:rFonts w:hAnsi="宋体" w:cs="宋体"/>
          <w:color w:val="auto"/>
          <w:kern w:val="0"/>
          <w:sz w:val="24"/>
        </w:rPr>
      </w:pPr>
      <w:r>
        <w:rPr>
          <w:rFonts w:hAnsi="宋体" w:cs="宋体"/>
          <w:color w:val="auto"/>
          <w:kern w:val="0"/>
          <w:sz w:val="24"/>
        </w:rPr>
        <w:t xml:space="preserve">2.1 </w:t>
      </w:r>
      <w:r>
        <w:rPr>
          <w:rFonts w:hint="eastAsia" w:hAnsi="宋体" w:cs="宋体"/>
          <w:color w:val="auto"/>
          <w:kern w:val="0"/>
          <w:sz w:val="24"/>
        </w:rPr>
        <w:t>磋商开始仪式结束后，采购人将立即组织磋商小组进行评审。</w:t>
      </w:r>
    </w:p>
    <w:p>
      <w:pPr>
        <w:spacing w:line="360" w:lineRule="auto"/>
        <w:ind w:left="120" w:leftChars="57" w:firstLine="480" w:firstLineChars="200"/>
        <w:rPr>
          <w:rFonts w:hAnsi="宋体" w:cs="宋体"/>
          <w:color w:val="auto"/>
          <w:kern w:val="0"/>
          <w:sz w:val="24"/>
        </w:rPr>
      </w:pPr>
      <w:r>
        <w:rPr>
          <w:rFonts w:hAnsi="宋体" w:cs="宋体"/>
          <w:color w:val="auto"/>
          <w:kern w:val="0"/>
          <w:sz w:val="24"/>
        </w:rPr>
        <w:t xml:space="preserve">2.2 </w:t>
      </w:r>
      <w:r>
        <w:rPr>
          <w:rFonts w:hint="eastAsia" w:hAnsi="宋体" w:cs="宋体"/>
          <w:color w:val="auto"/>
          <w:kern w:val="0"/>
          <w:sz w:val="24"/>
        </w:rPr>
        <w:t>磋商小组由政府采购评审专家、采购人代表组成，且人员构成符合政府采购有关规定。</w:t>
      </w:r>
    </w:p>
    <w:p>
      <w:pPr>
        <w:spacing w:line="360" w:lineRule="auto"/>
        <w:ind w:left="120" w:leftChars="57" w:firstLine="480" w:firstLineChars="200"/>
        <w:rPr>
          <w:rFonts w:hAnsi="宋体" w:cs="宋体"/>
          <w:color w:val="auto"/>
          <w:kern w:val="0"/>
          <w:sz w:val="24"/>
        </w:rPr>
      </w:pPr>
      <w:r>
        <w:rPr>
          <w:rFonts w:hAnsi="宋体" w:cs="宋体"/>
          <w:color w:val="auto"/>
          <w:kern w:val="0"/>
          <w:sz w:val="24"/>
        </w:rPr>
        <w:t>3</w:t>
      </w:r>
      <w:r>
        <w:rPr>
          <w:rFonts w:hint="eastAsia" w:hAnsi="宋体" w:cs="宋体"/>
          <w:color w:val="auto"/>
          <w:kern w:val="0"/>
          <w:sz w:val="24"/>
        </w:rPr>
        <w:t>、磋商评审过程的保密</w:t>
      </w:r>
      <w:bookmarkEnd w:id="89"/>
      <w:bookmarkEnd w:id="90"/>
      <w:bookmarkEnd w:id="91"/>
      <w:r>
        <w:rPr>
          <w:rFonts w:hint="eastAsia" w:hAnsi="宋体" w:cs="宋体"/>
          <w:color w:val="auto"/>
          <w:kern w:val="0"/>
          <w:sz w:val="24"/>
        </w:rPr>
        <w:t>与公正</w:t>
      </w:r>
    </w:p>
    <w:p>
      <w:pPr>
        <w:spacing w:line="360" w:lineRule="auto"/>
        <w:ind w:left="120" w:leftChars="57" w:firstLine="480" w:firstLineChars="200"/>
        <w:rPr>
          <w:rFonts w:hAnsi="宋体" w:cs="宋体"/>
          <w:color w:val="auto"/>
          <w:kern w:val="0"/>
          <w:sz w:val="24"/>
        </w:rPr>
      </w:pPr>
      <w:r>
        <w:rPr>
          <w:rFonts w:hAnsi="宋体" w:cs="宋体"/>
          <w:color w:val="auto"/>
          <w:kern w:val="0"/>
          <w:sz w:val="24"/>
        </w:rPr>
        <w:t>3.1</w:t>
      </w:r>
      <w:r>
        <w:rPr>
          <w:rFonts w:hint="eastAsia" w:hAnsi="宋体" w:cs="宋体"/>
          <w:color w:val="auto"/>
          <w:kern w:val="0"/>
          <w:sz w:val="24"/>
        </w:rPr>
        <w:t>磋商小组、采购人和采购代理机构工作人员、相关监督人员等与评审工作有关的人员，对评审情况以及在评审过程中获悉的国家秘密、商业秘密负有保密责任。</w:t>
      </w:r>
    </w:p>
    <w:p>
      <w:pPr>
        <w:spacing w:line="360" w:lineRule="auto"/>
        <w:ind w:left="120" w:leftChars="57" w:firstLine="480" w:firstLineChars="200"/>
        <w:rPr>
          <w:rFonts w:hAnsi="宋体" w:cs="宋体"/>
          <w:color w:val="auto"/>
          <w:kern w:val="0"/>
          <w:sz w:val="24"/>
        </w:rPr>
      </w:pPr>
      <w:r>
        <w:rPr>
          <w:rFonts w:hAnsi="宋体" w:cs="宋体"/>
          <w:color w:val="auto"/>
          <w:kern w:val="0"/>
          <w:sz w:val="24"/>
        </w:rPr>
        <w:t>3.2</w:t>
      </w:r>
      <w:r>
        <w:rPr>
          <w:rFonts w:hint="eastAsia" w:hAnsi="宋体" w:cs="宋体"/>
          <w:color w:val="auto"/>
          <w:kern w:val="0"/>
          <w:sz w:val="24"/>
        </w:rPr>
        <w:t>在磋商评审过程中，磋商供应商不得以任何行为影响磋商评审过程，否则其响应文件将被作为无效响应文件。</w:t>
      </w:r>
    </w:p>
    <w:p>
      <w:pPr>
        <w:spacing w:line="360" w:lineRule="auto"/>
        <w:ind w:left="120" w:leftChars="57" w:firstLine="480" w:firstLineChars="200"/>
        <w:rPr>
          <w:rFonts w:hAnsi="宋体" w:cs="宋体"/>
          <w:color w:val="auto"/>
          <w:kern w:val="0"/>
          <w:sz w:val="24"/>
        </w:rPr>
      </w:pPr>
      <w:r>
        <w:rPr>
          <w:rFonts w:hAnsi="宋体" w:cs="宋体"/>
          <w:color w:val="auto"/>
          <w:kern w:val="0"/>
          <w:sz w:val="24"/>
        </w:rPr>
        <w:t>3.3</w:t>
      </w:r>
      <w:r>
        <w:rPr>
          <w:rFonts w:hint="eastAsia" w:hAnsi="宋体" w:cs="宋体"/>
          <w:color w:val="auto"/>
          <w:kern w:val="0"/>
          <w:sz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bookmarkStart w:id="92" w:name="_Toc16938548"/>
      <w:bookmarkStart w:id="93" w:name="_Toc20823304"/>
      <w:bookmarkStart w:id="94" w:name="_Toc513029232"/>
    </w:p>
    <w:p>
      <w:pPr>
        <w:spacing w:line="360" w:lineRule="auto"/>
        <w:ind w:left="120" w:leftChars="57" w:firstLine="480" w:firstLineChars="200"/>
        <w:rPr>
          <w:rFonts w:hAnsi="宋体" w:cs="宋体"/>
          <w:color w:val="auto"/>
          <w:kern w:val="0"/>
          <w:sz w:val="24"/>
        </w:rPr>
      </w:pPr>
      <w:r>
        <w:rPr>
          <w:rFonts w:hAnsi="宋体" w:cs="宋体"/>
          <w:color w:val="auto"/>
          <w:kern w:val="0"/>
          <w:sz w:val="24"/>
        </w:rPr>
        <w:t>4</w:t>
      </w:r>
      <w:r>
        <w:rPr>
          <w:rFonts w:hint="eastAsia" w:hAnsi="宋体" w:cs="宋体"/>
          <w:color w:val="auto"/>
          <w:kern w:val="0"/>
          <w:sz w:val="24"/>
        </w:rPr>
        <w:t>、评审过程的澄清</w:t>
      </w:r>
      <w:bookmarkEnd w:id="92"/>
      <w:bookmarkEnd w:id="93"/>
      <w:bookmarkEnd w:id="94"/>
      <w:r>
        <w:rPr>
          <w:rFonts w:hint="eastAsia" w:hAnsi="宋体" w:cs="宋体"/>
          <w:color w:val="auto"/>
          <w:kern w:val="0"/>
          <w:sz w:val="24"/>
        </w:rPr>
        <w:t>、说明和更正</w:t>
      </w:r>
    </w:p>
    <w:p>
      <w:pPr>
        <w:spacing w:line="360" w:lineRule="auto"/>
        <w:ind w:left="120" w:leftChars="57" w:firstLine="480" w:firstLineChars="200"/>
        <w:rPr>
          <w:rFonts w:hAnsi="宋体" w:cs="宋体"/>
          <w:color w:val="auto"/>
          <w:kern w:val="0"/>
          <w:sz w:val="24"/>
        </w:rPr>
      </w:pPr>
      <w:r>
        <w:rPr>
          <w:rFonts w:hAnsi="宋体" w:cs="宋体"/>
          <w:color w:val="auto"/>
          <w:kern w:val="0"/>
          <w:sz w:val="24"/>
        </w:rPr>
        <w:t>4.1</w:t>
      </w:r>
      <w:r>
        <w:rPr>
          <w:rFonts w:hint="eastAsia" w:hAnsi="宋体" w:cs="宋体"/>
          <w:color w:val="auto"/>
          <w:kern w:val="0"/>
          <w:sz w:val="24"/>
        </w:rPr>
        <w:t>磋商小组在对响应文件的有效性、完整性和响应程度进行审查时，可以要求供应商对响应文件中含义不明确、同类问题表述不一致或者有明显文字和计算错误的内容等作出</w:t>
      </w:r>
      <w:r>
        <w:rPr>
          <w:rFonts w:hint="eastAsia" w:ascii="宋体" w:hAnsi="宋体"/>
          <w:color w:val="auto"/>
          <w:sz w:val="24"/>
        </w:rPr>
        <w:t>必要的澄清、说明或者更正。供应商的澄清、说明或者更正不得超出响应文件的范围或者改变响应文件的实质性内容。</w:t>
      </w:r>
    </w:p>
    <w:p>
      <w:pPr>
        <w:spacing w:line="360" w:lineRule="auto"/>
        <w:ind w:left="120" w:leftChars="57" w:firstLine="480" w:firstLineChars="200"/>
        <w:rPr>
          <w:rFonts w:hAnsi="宋体" w:cs="宋体"/>
          <w:color w:val="auto"/>
          <w:kern w:val="0"/>
          <w:sz w:val="24"/>
        </w:rPr>
      </w:pPr>
      <w:r>
        <w:rPr>
          <w:rFonts w:ascii="宋体" w:hAnsi="宋体"/>
          <w:color w:val="auto"/>
          <w:sz w:val="24"/>
        </w:rPr>
        <w:t>4.2</w:t>
      </w:r>
      <w:r>
        <w:rPr>
          <w:rFonts w:hint="eastAsia" w:ascii="宋体" w:hAnsi="宋体"/>
          <w:color w:val="auto"/>
          <w:sz w:val="24"/>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spacing w:line="360" w:lineRule="auto"/>
        <w:ind w:left="120" w:leftChars="57" w:firstLine="480" w:firstLineChars="200"/>
        <w:rPr>
          <w:rFonts w:ascii="宋体"/>
          <w:color w:val="auto"/>
          <w:sz w:val="24"/>
        </w:rPr>
      </w:pPr>
      <w:r>
        <w:rPr>
          <w:rFonts w:ascii="宋体" w:hAnsi="宋体"/>
          <w:color w:val="auto"/>
          <w:sz w:val="24"/>
        </w:rPr>
        <w:t xml:space="preserve">4.3 </w:t>
      </w:r>
      <w:r>
        <w:rPr>
          <w:rFonts w:hint="eastAsia" w:ascii="宋体" w:hAnsi="宋体"/>
          <w:color w:val="auto"/>
          <w:sz w:val="24"/>
        </w:rPr>
        <w:t>接到磋商小组澄清要求的供应商如未按规定做出澄清，其风险由供应商自行承担。</w:t>
      </w:r>
      <w:bookmarkStart w:id="95" w:name="_Toc16938549"/>
      <w:bookmarkStart w:id="96" w:name="_Toc20823305"/>
      <w:bookmarkStart w:id="97" w:name="_Toc513029233"/>
    </w:p>
    <w:p>
      <w:pPr>
        <w:spacing w:line="360" w:lineRule="auto"/>
        <w:ind w:left="120" w:leftChars="57" w:firstLine="480" w:firstLineChars="200"/>
        <w:rPr>
          <w:rFonts w:hAnsi="宋体" w:cs="宋体"/>
          <w:color w:val="auto"/>
          <w:kern w:val="0"/>
          <w:sz w:val="24"/>
        </w:rPr>
      </w:pPr>
      <w:r>
        <w:rPr>
          <w:rFonts w:ascii="宋体" w:hAnsi="宋体"/>
          <w:color w:val="auto"/>
          <w:sz w:val="24"/>
        </w:rPr>
        <w:t>5</w:t>
      </w:r>
      <w:r>
        <w:rPr>
          <w:rFonts w:hint="eastAsia" w:ascii="宋体" w:hAnsi="宋体"/>
          <w:color w:val="auto"/>
          <w:sz w:val="24"/>
        </w:rPr>
        <w:t>、对响应文件的初审</w:t>
      </w:r>
      <w:bookmarkEnd w:id="95"/>
      <w:bookmarkEnd w:id="96"/>
      <w:bookmarkEnd w:id="97"/>
    </w:p>
    <w:p>
      <w:pPr>
        <w:spacing w:line="360" w:lineRule="auto"/>
        <w:ind w:left="120" w:leftChars="57" w:firstLine="480" w:firstLineChars="200"/>
        <w:rPr>
          <w:rFonts w:hAnsi="宋体" w:cs="宋体"/>
          <w:color w:val="auto"/>
          <w:kern w:val="0"/>
          <w:sz w:val="24"/>
        </w:rPr>
      </w:pPr>
      <w:r>
        <w:rPr>
          <w:rFonts w:hAnsi="宋体" w:cs="宋体"/>
          <w:color w:val="auto"/>
          <w:kern w:val="0"/>
          <w:sz w:val="24"/>
        </w:rPr>
        <w:t>5.1</w:t>
      </w:r>
      <w:r>
        <w:rPr>
          <w:rFonts w:hint="eastAsia" w:hAnsi="宋体" w:cs="宋体"/>
          <w:color w:val="auto"/>
          <w:kern w:val="0"/>
          <w:sz w:val="24"/>
        </w:rPr>
        <w:t>响应文件初审分为资格性检查和符合性检查。</w:t>
      </w:r>
    </w:p>
    <w:p>
      <w:pPr>
        <w:spacing w:line="360" w:lineRule="auto"/>
        <w:ind w:left="120" w:leftChars="57" w:firstLine="480" w:firstLineChars="200"/>
        <w:rPr>
          <w:rFonts w:hAnsi="宋体" w:cs="宋体"/>
          <w:color w:val="auto"/>
          <w:kern w:val="0"/>
          <w:sz w:val="24"/>
        </w:rPr>
      </w:pPr>
      <w:r>
        <w:rPr>
          <w:rFonts w:hint="eastAsia" w:hAnsi="宋体" w:cs="宋体"/>
          <w:color w:val="auto"/>
          <w:kern w:val="0"/>
          <w:sz w:val="24"/>
        </w:rPr>
        <w:t>资格性检查：依据法律法规和磋商文件的规定，对响应文件中的资格证明文件、磋商保证金等进行审查，以确定供应商是否具备参加磋商的资格。</w:t>
      </w:r>
    </w:p>
    <w:p>
      <w:pPr>
        <w:spacing w:line="360" w:lineRule="auto"/>
        <w:ind w:left="120" w:leftChars="57" w:firstLine="480" w:firstLineChars="200"/>
        <w:rPr>
          <w:rFonts w:hAnsi="宋体" w:cs="宋体"/>
          <w:color w:val="auto"/>
          <w:kern w:val="0"/>
          <w:sz w:val="24"/>
        </w:rPr>
      </w:pPr>
      <w:r>
        <w:rPr>
          <w:rFonts w:hint="eastAsia" w:hAnsi="宋体" w:cs="宋体"/>
          <w:color w:val="auto"/>
          <w:kern w:val="0"/>
          <w:sz w:val="24"/>
        </w:rPr>
        <w:t>磋商小组在进行资格性审查的同时，将在“信用中国”网站（</w:t>
      </w:r>
      <w:r>
        <w:rPr>
          <w:rFonts w:hAnsi="宋体" w:cs="宋体"/>
          <w:color w:val="auto"/>
          <w:kern w:val="0"/>
          <w:sz w:val="24"/>
        </w:rPr>
        <w:t>www.creditchina.gov.cn</w:t>
      </w:r>
      <w:r>
        <w:rPr>
          <w:rFonts w:hint="eastAsia" w:hAnsi="宋体" w:cs="宋体"/>
          <w:color w:val="auto"/>
          <w:kern w:val="0"/>
          <w:sz w:val="24"/>
        </w:rPr>
        <w:t>）对供应商是否被列入失信被执行人、重大税收违法案件当事人名单、政府采购严重失信行为记录名单情况进行查询，以确定供应商是否具备参加磋商的资格。查询结果将以网页打印的形式留存并归档。</w:t>
      </w:r>
    </w:p>
    <w:p>
      <w:pPr>
        <w:spacing w:line="360" w:lineRule="auto"/>
        <w:ind w:left="120" w:leftChars="57" w:firstLine="480" w:firstLineChars="200"/>
        <w:rPr>
          <w:rFonts w:hAnsi="宋体" w:cs="宋体"/>
          <w:color w:val="auto"/>
          <w:kern w:val="0"/>
          <w:sz w:val="24"/>
        </w:rPr>
      </w:pPr>
      <w:r>
        <w:rPr>
          <w:rFonts w:hint="eastAsia" w:hAnsi="宋体" w:cs="宋体"/>
          <w:color w:val="auto"/>
          <w:kern w:val="0"/>
          <w:sz w:val="24"/>
        </w:rPr>
        <w:t>接受联合体的项目，两个以上的自然人、法人或者其他组织组成一个联合体，以一个供应商的身份共同参加政府采购活动的，联合体成员存在不良信用记录的，视同联合体存在不良应用记录。</w:t>
      </w:r>
    </w:p>
    <w:p>
      <w:pPr>
        <w:spacing w:line="360" w:lineRule="auto"/>
        <w:ind w:left="120" w:leftChars="57" w:firstLine="480" w:firstLineChars="200"/>
        <w:rPr>
          <w:rFonts w:hAnsi="宋体" w:cs="宋体"/>
          <w:color w:val="auto"/>
          <w:kern w:val="0"/>
          <w:sz w:val="24"/>
        </w:rPr>
      </w:pPr>
      <w:r>
        <w:rPr>
          <w:rFonts w:hint="eastAsia" w:hAnsi="宋体" w:cs="宋体"/>
          <w:color w:val="auto"/>
          <w:kern w:val="0"/>
          <w:sz w:val="24"/>
        </w:rPr>
        <w:t>符合性检查：依据磋商文件的规定，从响应文件的有效性、完整性和对磋商文件的响应程度进行审查，以确定是否对磋商文件的实质性要求作出响应。</w:t>
      </w:r>
    </w:p>
    <w:p>
      <w:pPr>
        <w:spacing w:line="360" w:lineRule="auto"/>
        <w:ind w:left="120" w:leftChars="57" w:firstLine="480" w:firstLineChars="200"/>
        <w:rPr>
          <w:rFonts w:hAnsi="宋体" w:cs="宋体"/>
          <w:color w:val="auto"/>
          <w:kern w:val="0"/>
          <w:sz w:val="24"/>
        </w:rPr>
      </w:pPr>
      <w:r>
        <w:rPr>
          <w:rFonts w:hAnsi="宋体" w:cs="宋体"/>
          <w:color w:val="auto"/>
          <w:kern w:val="0"/>
          <w:sz w:val="24"/>
        </w:rPr>
        <w:t>5.2</w:t>
      </w:r>
      <w:r>
        <w:rPr>
          <w:rFonts w:hint="eastAsia" w:hAnsi="宋体" w:cs="宋体"/>
          <w:color w:val="auto"/>
          <w:kern w:val="0"/>
          <w:sz w:val="24"/>
        </w:rPr>
        <w:t>在正式磋商之前，磋商小组将首先审查每份响应文件是否实质性响应了磋商文件的要求。实质性响应的响应文件应该是与磋商文件要求的条款、条件和规格相符，没有重大偏离或保留。</w:t>
      </w:r>
    </w:p>
    <w:p>
      <w:pPr>
        <w:spacing w:line="360" w:lineRule="auto"/>
        <w:ind w:left="120" w:leftChars="57" w:firstLine="480" w:firstLineChars="200"/>
        <w:rPr>
          <w:rFonts w:hAnsi="宋体" w:cs="宋体"/>
          <w:color w:val="auto"/>
          <w:kern w:val="0"/>
          <w:sz w:val="24"/>
        </w:rPr>
      </w:pPr>
      <w:r>
        <w:rPr>
          <w:rFonts w:hint="eastAsia" w:hAnsi="宋体" w:cs="宋体"/>
          <w:color w:val="auto"/>
          <w:kern w:val="0"/>
          <w:sz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pPr>
        <w:spacing w:line="360" w:lineRule="auto"/>
        <w:ind w:left="120" w:leftChars="57" w:firstLine="480" w:firstLineChars="200"/>
        <w:rPr>
          <w:rFonts w:hAnsi="宋体" w:cs="宋体"/>
          <w:color w:val="auto"/>
          <w:kern w:val="0"/>
          <w:sz w:val="24"/>
        </w:rPr>
      </w:pPr>
      <w:r>
        <w:rPr>
          <w:rFonts w:ascii="宋体" w:hAnsi="宋体"/>
          <w:color w:val="auto"/>
          <w:sz w:val="24"/>
        </w:rPr>
        <w:t xml:space="preserve">5.3 </w:t>
      </w:r>
      <w:r>
        <w:rPr>
          <w:rFonts w:hint="eastAsia" w:ascii="宋体" w:hAnsi="宋体"/>
          <w:color w:val="auto"/>
          <w:sz w:val="24"/>
        </w:rPr>
        <w:t>被认定为未实质性响应磋商文件的响应文件的情形</w:t>
      </w:r>
    </w:p>
    <w:p>
      <w:pPr>
        <w:spacing w:line="360" w:lineRule="auto"/>
        <w:ind w:left="120" w:leftChars="57" w:firstLine="480" w:firstLineChars="200"/>
        <w:rPr>
          <w:rFonts w:hAnsi="宋体" w:cs="宋体"/>
          <w:color w:val="auto"/>
          <w:kern w:val="0"/>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）未按要求交纳磋商保证金的；</w:t>
      </w:r>
    </w:p>
    <w:p>
      <w:pPr>
        <w:spacing w:line="360" w:lineRule="auto"/>
        <w:ind w:left="120" w:leftChars="57" w:firstLine="480" w:firstLineChars="200"/>
        <w:rPr>
          <w:rFonts w:hAnsi="宋体" w:cs="宋体"/>
          <w:color w:val="auto"/>
          <w:kern w:val="0"/>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）未按照磋商文件规定要求密封、签署、盖章的；</w:t>
      </w:r>
    </w:p>
    <w:p>
      <w:pPr>
        <w:spacing w:line="360" w:lineRule="auto"/>
        <w:ind w:left="120" w:leftChars="57" w:firstLine="480" w:firstLineChars="200"/>
        <w:rPr>
          <w:rFonts w:hAnsi="宋体" w:cs="宋体"/>
          <w:color w:val="auto"/>
          <w:kern w:val="0"/>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）供应商在报价时采用选择性报价；</w:t>
      </w:r>
    </w:p>
    <w:p>
      <w:pPr>
        <w:spacing w:line="360" w:lineRule="auto"/>
        <w:ind w:left="120" w:leftChars="57" w:firstLine="480" w:firstLineChars="200"/>
        <w:rPr>
          <w:rFonts w:hAnsi="宋体" w:cs="宋体"/>
          <w:color w:val="auto"/>
          <w:kern w:val="0"/>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）供应商不具备磋商文件中规定资格要求的；</w:t>
      </w:r>
    </w:p>
    <w:p>
      <w:pPr>
        <w:spacing w:line="360" w:lineRule="auto"/>
        <w:ind w:left="120" w:leftChars="57" w:firstLine="480" w:firstLineChars="200"/>
        <w:rPr>
          <w:rFonts w:hAnsi="宋体" w:cs="宋体"/>
          <w:color w:val="auto"/>
          <w:kern w:val="0"/>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）不符合法律、法规和磋商文件中规定的其他实质性要求和条件的；</w:t>
      </w:r>
    </w:p>
    <w:p>
      <w:pPr>
        <w:spacing w:line="360" w:lineRule="auto"/>
        <w:ind w:left="120" w:leftChars="57" w:firstLine="480" w:firstLineChars="200"/>
        <w:rPr>
          <w:rFonts w:hAnsi="宋体" w:cs="宋体"/>
          <w:color w:val="auto"/>
          <w:kern w:val="0"/>
          <w:sz w:val="24"/>
        </w:rPr>
      </w:pPr>
      <w:r>
        <w:rPr>
          <w:rFonts w:hint="eastAsia" w:ascii="宋体" w:hAnsi="宋体"/>
          <w:color w:val="auto"/>
          <w:sz w:val="24"/>
        </w:rPr>
        <w:t>（</w:t>
      </w:r>
      <w:r>
        <w:rPr>
          <w:rFonts w:ascii="宋体" w:hAnsi="宋体"/>
          <w:color w:val="auto"/>
          <w:sz w:val="24"/>
        </w:rPr>
        <w:t>6</w:t>
      </w:r>
      <w:r>
        <w:rPr>
          <w:rFonts w:hint="eastAsia" w:ascii="宋体" w:hAnsi="宋体"/>
          <w:color w:val="auto"/>
          <w:sz w:val="24"/>
        </w:rPr>
        <w:t>）其他法律、法规及本磋商文件规定的属未实质性响应的响应文件的情形。</w:t>
      </w:r>
    </w:p>
    <w:p>
      <w:pPr>
        <w:spacing w:line="360" w:lineRule="auto"/>
        <w:ind w:left="120" w:leftChars="57" w:firstLine="480" w:firstLineChars="200"/>
        <w:rPr>
          <w:rFonts w:ascii="宋体"/>
          <w:color w:val="auto"/>
          <w:sz w:val="24"/>
        </w:rPr>
      </w:pPr>
      <w:r>
        <w:rPr>
          <w:rFonts w:ascii="宋体" w:hAnsi="宋体"/>
          <w:color w:val="auto"/>
          <w:sz w:val="24"/>
        </w:rPr>
        <w:t xml:space="preserve">5.4 </w:t>
      </w:r>
      <w:r>
        <w:rPr>
          <w:rFonts w:hint="eastAsia" w:ascii="宋体" w:hAnsi="宋体"/>
          <w:color w:val="auto"/>
          <w:sz w:val="24"/>
        </w:rPr>
        <w:t>未实质性响应磋商文件的响应文件按无效响应处理，磋商小组将予以拒绝，供应商不得通过修改或撤销不合要求的偏离或保留而使其响应文件成为实质性响应的文件。</w:t>
      </w:r>
    </w:p>
    <w:p>
      <w:pPr>
        <w:spacing w:line="360" w:lineRule="auto"/>
        <w:ind w:left="120" w:leftChars="57" w:firstLine="480" w:firstLineChars="200"/>
        <w:rPr>
          <w:rFonts w:hAnsi="宋体" w:cs="宋体"/>
          <w:color w:val="auto"/>
          <w:kern w:val="0"/>
          <w:sz w:val="24"/>
        </w:rPr>
      </w:pPr>
      <w:r>
        <w:rPr>
          <w:rFonts w:ascii="宋体" w:hAnsi="宋体"/>
          <w:color w:val="auto"/>
          <w:sz w:val="24"/>
        </w:rPr>
        <w:t>5.5</w:t>
      </w:r>
      <w:r>
        <w:rPr>
          <w:rFonts w:hint="eastAsia" w:ascii="宋体" w:hAnsi="宋体"/>
          <w:color w:val="auto"/>
          <w:sz w:val="24"/>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bookmarkStart w:id="98" w:name="_Toc513029234"/>
      <w:bookmarkStart w:id="99" w:name="_Toc20823306"/>
      <w:bookmarkStart w:id="100" w:name="_Toc16938550"/>
    </w:p>
    <w:p>
      <w:pPr>
        <w:spacing w:line="360" w:lineRule="auto"/>
        <w:ind w:left="120" w:leftChars="57" w:firstLine="480" w:firstLineChars="200"/>
        <w:rPr>
          <w:rFonts w:hAnsi="宋体" w:cs="宋体"/>
          <w:color w:val="auto"/>
          <w:kern w:val="0"/>
          <w:sz w:val="24"/>
        </w:rPr>
      </w:pPr>
      <w:r>
        <w:rPr>
          <w:rFonts w:ascii="宋体" w:hAnsi="宋体"/>
          <w:color w:val="auto"/>
          <w:sz w:val="24"/>
        </w:rPr>
        <w:t>6</w:t>
      </w:r>
      <w:r>
        <w:rPr>
          <w:rFonts w:hint="eastAsia" w:ascii="宋体" w:hAnsi="宋体"/>
          <w:color w:val="auto"/>
          <w:sz w:val="24"/>
        </w:rPr>
        <w:t>、</w:t>
      </w:r>
      <w:bookmarkEnd w:id="98"/>
      <w:bookmarkEnd w:id="99"/>
      <w:bookmarkEnd w:id="100"/>
      <w:r>
        <w:rPr>
          <w:rFonts w:hint="eastAsia" w:ascii="宋体" w:hAnsi="宋体"/>
          <w:color w:val="auto"/>
          <w:sz w:val="24"/>
        </w:rPr>
        <w:t>磋商程序及评审方法和标准</w:t>
      </w:r>
      <w:bookmarkStart w:id="101" w:name="_Toc16938551"/>
      <w:bookmarkStart w:id="102" w:name="_Toc513029235"/>
      <w:bookmarkStart w:id="103" w:name="_Toc20823307"/>
    </w:p>
    <w:p>
      <w:pPr>
        <w:spacing w:line="360" w:lineRule="auto"/>
        <w:ind w:left="120" w:leftChars="57" w:firstLine="480" w:firstLineChars="200"/>
        <w:rPr>
          <w:rFonts w:hAnsi="宋体" w:cs="宋体"/>
          <w:color w:val="auto"/>
          <w:kern w:val="0"/>
          <w:sz w:val="24"/>
        </w:rPr>
      </w:pPr>
      <w:r>
        <w:rPr>
          <w:rFonts w:ascii="宋体" w:hAnsi="宋体"/>
          <w:color w:val="auto"/>
          <w:sz w:val="24"/>
        </w:rPr>
        <w:t>6.1</w:t>
      </w:r>
      <w:r>
        <w:rPr>
          <w:rFonts w:hint="eastAsia" w:ascii="宋体" w:hAnsi="宋体"/>
          <w:color w:val="auto"/>
          <w:sz w:val="24"/>
        </w:rPr>
        <w:t>磋商程序</w:t>
      </w:r>
    </w:p>
    <w:p>
      <w:pPr>
        <w:spacing w:line="360" w:lineRule="auto"/>
        <w:ind w:left="120" w:leftChars="57" w:firstLine="480" w:firstLineChars="200"/>
        <w:rPr>
          <w:rFonts w:hAnsi="宋体" w:cs="宋体"/>
          <w:color w:val="auto"/>
          <w:kern w:val="0"/>
          <w:sz w:val="24"/>
        </w:rPr>
      </w:pPr>
      <w:r>
        <w:rPr>
          <w:rFonts w:ascii="宋体" w:hAnsi="宋体"/>
          <w:color w:val="auto"/>
          <w:sz w:val="24"/>
        </w:rPr>
        <w:t xml:space="preserve">6.1.1 </w:t>
      </w:r>
      <w:r>
        <w:rPr>
          <w:rFonts w:hint="eastAsia" w:ascii="宋体" w:hAnsi="宋体"/>
          <w:color w:val="auto"/>
          <w:sz w:val="24"/>
        </w:rPr>
        <w:t>对于通过资格性和符合性审查的供应商，磋商小组所有成员将集中与单一供应商分别进行磋商。</w:t>
      </w:r>
    </w:p>
    <w:p>
      <w:pPr>
        <w:spacing w:line="360" w:lineRule="auto"/>
        <w:ind w:left="120" w:leftChars="57" w:firstLine="480" w:firstLineChars="200"/>
        <w:rPr>
          <w:rFonts w:hAnsi="宋体" w:cs="宋体"/>
          <w:color w:val="auto"/>
          <w:kern w:val="0"/>
          <w:sz w:val="24"/>
        </w:rPr>
      </w:pPr>
      <w:r>
        <w:rPr>
          <w:rFonts w:hint="eastAsia" w:ascii="宋体" w:hAnsi="宋体"/>
          <w:color w:val="auto"/>
          <w:sz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spacing w:line="360" w:lineRule="auto"/>
        <w:ind w:left="120" w:leftChars="57" w:firstLine="480" w:firstLineChars="200"/>
        <w:rPr>
          <w:rFonts w:hAnsi="宋体" w:cs="宋体"/>
          <w:color w:val="auto"/>
          <w:kern w:val="0"/>
          <w:sz w:val="24"/>
        </w:rPr>
      </w:pPr>
      <w:r>
        <w:rPr>
          <w:rFonts w:ascii="宋体" w:hAnsi="宋体"/>
          <w:color w:val="auto"/>
          <w:sz w:val="24"/>
        </w:rPr>
        <w:t xml:space="preserve">6.1.2 </w:t>
      </w:r>
      <w:r>
        <w:rPr>
          <w:rFonts w:hint="eastAsia" w:ascii="宋体" w:hAnsi="宋体"/>
          <w:color w:val="auto"/>
          <w:sz w:val="24"/>
        </w:rPr>
        <w:t>磋商文件能够详细列明采购标的的技术、服务要求的，磋商结束后，磋商小组将要求所有实质性响应的供应商在规定时间内提交最后报价。</w:t>
      </w:r>
    </w:p>
    <w:p>
      <w:pPr>
        <w:spacing w:line="360" w:lineRule="auto"/>
        <w:ind w:left="120" w:leftChars="57" w:firstLine="480" w:firstLineChars="200"/>
        <w:rPr>
          <w:rFonts w:ascii="宋体"/>
          <w:color w:val="auto"/>
          <w:sz w:val="24"/>
        </w:rPr>
      </w:pPr>
      <w:r>
        <w:rPr>
          <w:rFonts w:hint="eastAsia" w:ascii="宋体" w:hAnsi="宋体"/>
          <w:color w:val="auto"/>
          <w:sz w:val="24"/>
        </w:rPr>
        <w:t>磋商文件不能详细列明采购标的的技术、服务要求，需经磋商由供应商提供最终方案或解决方案的，磋商结束后，磋商小组将按照少数服从多数的原则投票推荐</w:t>
      </w:r>
      <w:r>
        <w:rPr>
          <w:rFonts w:ascii="宋体" w:hAnsi="宋体"/>
          <w:color w:val="auto"/>
          <w:sz w:val="24"/>
        </w:rPr>
        <w:t>3</w:t>
      </w:r>
      <w:r>
        <w:rPr>
          <w:rFonts w:hint="eastAsia" w:ascii="宋体" w:hAnsi="宋体"/>
          <w:color w:val="auto"/>
          <w:sz w:val="24"/>
        </w:rPr>
        <w:t>家以上供应商的方案或者解决方案，并要求其在规定时间内提交最后报价。</w:t>
      </w:r>
    </w:p>
    <w:p>
      <w:pPr>
        <w:spacing w:line="360" w:lineRule="auto"/>
        <w:ind w:left="120" w:leftChars="57" w:firstLine="480" w:firstLineChars="200"/>
        <w:rPr>
          <w:rFonts w:ascii="宋体"/>
          <w:color w:val="auto"/>
          <w:sz w:val="24"/>
        </w:rPr>
      </w:pPr>
      <w:r>
        <w:rPr>
          <w:rFonts w:hint="eastAsia" w:ascii="宋体" w:hAnsi="宋体"/>
          <w:color w:val="auto"/>
          <w:sz w:val="24"/>
        </w:rPr>
        <w:t>最后报价是供应商响应文件的有效组成部分。符合《政府采购竞争性磋商采购方式</w:t>
      </w:r>
    </w:p>
    <w:p>
      <w:pPr>
        <w:spacing w:line="360" w:lineRule="auto"/>
        <w:ind w:left="120" w:leftChars="57"/>
        <w:rPr>
          <w:rFonts w:ascii="宋体"/>
          <w:color w:val="auto"/>
          <w:sz w:val="24"/>
        </w:rPr>
      </w:pPr>
      <w:r>
        <w:rPr>
          <w:rFonts w:hint="eastAsia" w:ascii="宋体" w:hAnsi="宋体"/>
          <w:color w:val="auto"/>
          <w:sz w:val="24"/>
        </w:rPr>
        <w:t>管理暂行办法》第三条第四项及《财政部关于竞争性磋商采购方式管理暂行办法有关问题的补充通知》（财库</w:t>
      </w:r>
      <w:r>
        <w:rPr>
          <w:rFonts w:ascii="宋体" w:hAnsi="宋体"/>
          <w:color w:val="auto"/>
          <w:sz w:val="24"/>
        </w:rPr>
        <w:t>[2015]124</w:t>
      </w:r>
      <w:r>
        <w:rPr>
          <w:rFonts w:hint="eastAsia" w:ascii="宋体" w:hAnsi="宋体"/>
          <w:color w:val="auto"/>
          <w:sz w:val="24"/>
        </w:rPr>
        <w:t>号）规定情形的，提交最后报价的供应商可以为</w:t>
      </w:r>
      <w:r>
        <w:rPr>
          <w:rFonts w:ascii="宋体" w:hAnsi="宋体"/>
          <w:color w:val="auto"/>
          <w:sz w:val="24"/>
        </w:rPr>
        <w:t>2</w:t>
      </w:r>
      <w:r>
        <w:rPr>
          <w:rFonts w:hint="eastAsia" w:ascii="宋体" w:hAnsi="宋体"/>
          <w:color w:val="auto"/>
          <w:sz w:val="24"/>
        </w:rPr>
        <w:t>家。</w:t>
      </w:r>
    </w:p>
    <w:p>
      <w:pPr>
        <w:spacing w:line="360" w:lineRule="auto"/>
        <w:ind w:left="120" w:leftChars="57" w:firstLine="600" w:firstLineChars="250"/>
        <w:rPr>
          <w:rFonts w:ascii="宋体"/>
          <w:color w:val="auto"/>
          <w:sz w:val="24"/>
        </w:rPr>
      </w:pPr>
      <w:r>
        <w:rPr>
          <w:rFonts w:ascii="宋体" w:hAnsi="宋体"/>
          <w:color w:val="auto"/>
          <w:sz w:val="24"/>
        </w:rPr>
        <w:t xml:space="preserve">6.1.3 </w:t>
      </w:r>
      <w:r>
        <w:rPr>
          <w:rFonts w:hint="eastAsia" w:ascii="宋体" w:hAnsi="宋体"/>
          <w:color w:val="auto"/>
          <w:sz w:val="24"/>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采购人将退还退出磋商的供应商的磋商保证金。</w:t>
      </w:r>
    </w:p>
    <w:p>
      <w:pPr>
        <w:spacing w:line="360" w:lineRule="auto"/>
        <w:ind w:left="120" w:leftChars="57" w:firstLine="600" w:firstLineChars="250"/>
        <w:rPr>
          <w:rFonts w:ascii="宋体"/>
          <w:color w:val="auto"/>
          <w:sz w:val="24"/>
        </w:rPr>
      </w:pPr>
      <w:r>
        <w:rPr>
          <w:rFonts w:ascii="宋体" w:hAnsi="宋体"/>
          <w:color w:val="auto"/>
          <w:sz w:val="24"/>
        </w:rPr>
        <w:t xml:space="preserve">6.1.4 </w:t>
      </w:r>
      <w:r>
        <w:rPr>
          <w:rFonts w:hint="eastAsia" w:ascii="宋体" w:hAnsi="宋体"/>
          <w:color w:val="auto"/>
          <w:sz w:val="24"/>
        </w:rPr>
        <w:t>各供应商最后报价结束后</w:t>
      </w:r>
      <w:r>
        <w:rPr>
          <w:rFonts w:ascii="宋体"/>
          <w:color w:val="auto"/>
          <w:sz w:val="24"/>
        </w:rPr>
        <w:t>,</w:t>
      </w:r>
      <w:r>
        <w:rPr>
          <w:rFonts w:hint="eastAsia" w:ascii="宋体" w:hAnsi="宋体"/>
          <w:color w:val="auto"/>
          <w:sz w:val="24"/>
        </w:rPr>
        <w:t>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pPr>
        <w:spacing w:line="360" w:lineRule="auto"/>
        <w:ind w:left="120" w:leftChars="57" w:firstLine="600" w:firstLineChars="250"/>
        <w:rPr>
          <w:rFonts w:ascii="宋体"/>
          <w:color w:val="auto"/>
          <w:sz w:val="24"/>
        </w:rPr>
      </w:pPr>
      <w:r>
        <w:rPr>
          <w:rFonts w:ascii="宋体" w:hAnsi="宋体"/>
          <w:color w:val="auto"/>
          <w:sz w:val="24"/>
        </w:rPr>
        <w:t xml:space="preserve">6.2 </w:t>
      </w:r>
      <w:r>
        <w:rPr>
          <w:rFonts w:hint="eastAsia" w:ascii="宋体" w:hAnsi="宋体"/>
          <w:color w:val="auto"/>
          <w:sz w:val="24"/>
        </w:rPr>
        <w:t>评审方法和标准</w:t>
      </w:r>
    </w:p>
    <w:p>
      <w:pPr>
        <w:spacing w:line="360" w:lineRule="auto"/>
        <w:ind w:left="120" w:leftChars="57" w:firstLine="600" w:firstLineChars="250"/>
        <w:rPr>
          <w:rFonts w:ascii="宋体"/>
          <w:color w:val="auto"/>
          <w:sz w:val="24"/>
        </w:rPr>
      </w:pPr>
      <w:r>
        <w:rPr>
          <w:rFonts w:ascii="宋体" w:hAnsi="宋体"/>
          <w:color w:val="auto"/>
          <w:sz w:val="24"/>
        </w:rPr>
        <w:t>6.2.1</w:t>
      </w:r>
      <w:r>
        <w:rPr>
          <w:rFonts w:hint="eastAsia" w:ascii="宋体" w:hAnsi="宋体"/>
          <w:color w:val="auto"/>
          <w:sz w:val="24"/>
        </w:rPr>
        <w:t>评审方法。经磋商确定最终采购需求和提交最后报价的供应商后，由磋商小组采用综合评分法对提交最后报价的供应商的响应文件和最后报价进行综合评分。</w:t>
      </w:r>
    </w:p>
    <w:p>
      <w:pPr>
        <w:spacing w:line="360" w:lineRule="auto"/>
        <w:ind w:left="120" w:leftChars="57" w:firstLine="600" w:firstLineChars="250"/>
        <w:rPr>
          <w:rFonts w:ascii="宋体"/>
          <w:color w:val="auto"/>
          <w:sz w:val="24"/>
        </w:rPr>
      </w:pPr>
      <w:r>
        <w:rPr>
          <w:rFonts w:hint="eastAsia" w:ascii="宋体" w:hAnsi="宋体"/>
          <w:color w:val="auto"/>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spacing w:line="360" w:lineRule="auto"/>
        <w:ind w:left="120" w:leftChars="57" w:firstLine="600" w:firstLineChars="250"/>
        <w:rPr>
          <w:rFonts w:ascii="宋体"/>
          <w:color w:val="auto"/>
          <w:sz w:val="24"/>
        </w:rPr>
      </w:pPr>
      <w:r>
        <w:rPr>
          <w:rFonts w:ascii="宋体" w:hAnsi="宋体"/>
          <w:color w:val="auto"/>
          <w:sz w:val="24"/>
        </w:rPr>
        <w:t>6.2.2</w:t>
      </w:r>
      <w:r>
        <w:rPr>
          <w:rFonts w:hint="eastAsia" w:ascii="宋体" w:hAnsi="宋体"/>
          <w:color w:val="auto"/>
          <w:sz w:val="24"/>
        </w:rPr>
        <w:t>评审标准</w:t>
      </w:r>
    </w:p>
    <w:p>
      <w:pPr>
        <w:spacing w:line="360" w:lineRule="auto"/>
        <w:ind w:left="120" w:leftChars="57" w:firstLine="600" w:firstLineChars="250"/>
        <w:rPr>
          <w:rFonts w:ascii="宋体"/>
          <w:color w:val="auto"/>
          <w:sz w:val="24"/>
        </w:rPr>
      </w:pPr>
      <w:r>
        <w:rPr>
          <w:rFonts w:hint="eastAsia" w:ascii="宋体" w:hAnsi="宋体"/>
          <w:color w:val="auto"/>
          <w:sz w:val="24"/>
        </w:rPr>
        <w:t>见本磋商文件第五章规定。</w:t>
      </w:r>
    </w:p>
    <w:p>
      <w:pPr>
        <w:spacing w:line="360" w:lineRule="auto"/>
        <w:ind w:left="120" w:leftChars="57" w:firstLine="600" w:firstLineChars="250"/>
        <w:rPr>
          <w:rFonts w:ascii="宋体"/>
          <w:color w:val="auto"/>
          <w:sz w:val="24"/>
        </w:rPr>
      </w:pPr>
      <w:r>
        <w:rPr>
          <w:rFonts w:ascii="宋体" w:hAnsi="宋体"/>
          <w:color w:val="auto"/>
          <w:sz w:val="24"/>
        </w:rPr>
        <w:t>6.3</w:t>
      </w:r>
      <w:r>
        <w:rPr>
          <w:rFonts w:hint="eastAsia" w:ascii="宋体" w:hAnsi="宋体"/>
          <w:color w:val="auto"/>
          <w:sz w:val="24"/>
        </w:rPr>
        <w:t>采购活动终止的情况</w:t>
      </w:r>
    </w:p>
    <w:p>
      <w:pPr>
        <w:spacing w:line="360" w:lineRule="auto"/>
        <w:ind w:left="120" w:leftChars="57" w:firstLine="600" w:firstLineChars="250"/>
        <w:rPr>
          <w:rFonts w:ascii="宋体"/>
          <w:color w:val="auto"/>
          <w:sz w:val="24"/>
        </w:rPr>
      </w:pPr>
      <w:r>
        <w:rPr>
          <w:rFonts w:hint="eastAsia" w:ascii="宋体" w:hAnsi="宋体"/>
          <w:color w:val="auto"/>
          <w:sz w:val="24"/>
        </w:rPr>
        <w:t>出现下列情形之一的，本次竞争性磋商采购活动将被终止：</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）因情况变化，不再符合规定的竞争性磋商采购方式适用情形的；</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）出现影响采购公正的违法、违规行为的；</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）除本磋商文件第</w:t>
      </w:r>
      <w:r>
        <w:rPr>
          <w:rFonts w:ascii="宋体" w:hAnsi="宋体"/>
          <w:color w:val="auto"/>
          <w:sz w:val="24"/>
        </w:rPr>
        <w:t>6.1.2</w:t>
      </w:r>
      <w:r>
        <w:rPr>
          <w:rFonts w:hint="eastAsia" w:ascii="宋体" w:hAnsi="宋体"/>
          <w:color w:val="auto"/>
          <w:sz w:val="24"/>
        </w:rPr>
        <w:t>条第三款规定的情形外，在采购过程中符合要求的供应商或者报价未超过采购预算的供应商不足</w:t>
      </w:r>
      <w:r>
        <w:rPr>
          <w:rFonts w:ascii="宋体" w:hAnsi="宋体"/>
          <w:color w:val="auto"/>
          <w:sz w:val="24"/>
        </w:rPr>
        <w:t>3</w:t>
      </w:r>
      <w:r>
        <w:rPr>
          <w:rFonts w:hint="eastAsia" w:ascii="宋体" w:hAnsi="宋体"/>
          <w:color w:val="auto"/>
          <w:sz w:val="24"/>
        </w:rPr>
        <w:t>家的。</w:t>
      </w:r>
      <w:bookmarkEnd w:id="101"/>
      <w:bookmarkEnd w:id="102"/>
      <w:bookmarkEnd w:id="103"/>
    </w:p>
    <w:p>
      <w:pPr>
        <w:spacing w:line="360" w:lineRule="auto"/>
        <w:ind w:left="120" w:leftChars="57" w:firstLine="602" w:firstLineChars="250"/>
        <w:rPr>
          <w:rFonts w:ascii="宋体"/>
          <w:color w:val="auto"/>
          <w:sz w:val="24"/>
        </w:rPr>
      </w:pPr>
      <w:r>
        <w:rPr>
          <w:rFonts w:hint="eastAsia" w:ascii="宋体" w:hAnsi="宋体"/>
          <w:b/>
          <w:color w:val="auto"/>
          <w:sz w:val="24"/>
        </w:rPr>
        <w:t>五、成交</w:t>
      </w:r>
      <w:bookmarkStart w:id="104" w:name="_Toc513029238"/>
      <w:bookmarkStart w:id="105" w:name="_Toc20823310"/>
      <w:bookmarkStart w:id="106" w:name="_Toc16938554"/>
    </w:p>
    <w:p>
      <w:pPr>
        <w:spacing w:line="360" w:lineRule="auto"/>
        <w:ind w:left="120" w:leftChars="57" w:firstLine="600" w:firstLineChars="250"/>
        <w:rPr>
          <w:rFonts w:ascii="宋体"/>
          <w:color w:val="auto"/>
          <w:sz w:val="24"/>
        </w:rPr>
      </w:pPr>
      <w:r>
        <w:rPr>
          <w:rFonts w:ascii="宋体" w:hAnsi="宋体"/>
          <w:color w:val="auto"/>
          <w:sz w:val="24"/>
        </w:rPr>
        <w:t>1</w:t>
      </w:r>
      <w:r>
        <w:rPr>
          <w:rFonts w:hint="eastAsia" w:ascii="宋体" w:hAnsi="宋体"/>
          <w:color w:val="auto"/>
          <w:sz w:val="24"/>
        </w:rPr>
        <w:t>、</w:t>
      </w:r>
      <w:bookmarkEnd w:id="104"/>
      <w:r>
        <w:rPr>
          <w:rFonts w:hint="eastAsia" w:ascii="宋体" w:hAnsi="宋体"/>
          <w:color w:val="auto"/>
          <w:sz w:val="24"/>
        </w:rPr>
        <w:t>确定</w:t>
      </w:r>
      <w:bookmarkEnd w:id="105"/>
      <w:bookmarkEnd w:id="106"/>
      <w:r>
        <w:rPr>
          <w:rFonts w:hint="eastAsia" w:ascii="宋体" w:hAnsi="宋体"/>
          <w:color w:val="auto"/>
          <w:sz w:val="24"/>
        </w:rPr>
        <w:t>成交单位</w:t>
      </w:r>
    </w:p>
    <w:p>
      <w:pPr>
        <w:spacing w:line="360" w:lineRule="auto"/>
        <w:ind w:left="120" w:leftChars="57" w:firstLine="600" w:firstLineChars="250"/>
        <w:rPr>
          <w:rFonts w:ascii="宋体"/>
          <w:color w:val="auto"/>
          <w:sz w:val="24"/>
        </w:rPr>
      </w:pPr>
      <w:r>
        <w:rPr>
          <w:rFonts w:ascii="宋体" w:hAnsi="宋体"/>
          <w:color w:val="auto"/>
          <w:sz w:val="24"/>
        </w:rPr>
        <w:t xml:space="preserve">1.1 </w:t>
      </w:r>
      <w:r>
        <w:rPr>
          <w:rFonts w:hint="eastAsia" w:ascii="宋体" w:hAnsi="宋体"/>
          <w:color w:val="auto"/>
          <w:sz w:val="24"/>
        </w:rPr>
        <w:t>磋商小组根据综合评分情况，按照评审得分由高到低顺序推荐</w:t>
      </w:r>
      <w:r>
        <w:rPr>
          <w:rFonts w:ascii="宋体" w:hAnsi="宋体"/>
          <w:color w:val="auto"/>
          <w:sz w:val="24"/>
        </w:rPr>
        <w:t>3</w:t>
      </w:r>
      <w:r>
        <w:rPr>
          <w:rFonts w:hint="eastAsia" w:ascii="宋体" w:hAnsi="宋体"/>
          <w:color w:val="auto"/>
          <w:sz w:val="24"/>
        </w:rPr>
        <w:t>名以上成交候选供应商，并编写评审报告。符合本文件第</w:t>
      </w:r>
      <w:r>
        <w:rPr>
          <w:rFonts w:ascii="宋体" w:hAnsi="宋体"/>
          <w:color w:val="auto"/>
          <w:sz w:val="24"/>
        </w:rPr>
        <w:t>6.1.2</w:t>
      </w:r>
      <w:r>
        <w:rPr>
          <w:rFonts w:hint="eastAsia" w:ascii="宋体" w:hAnsi="宋体"/>
          <w:color w:val="auto"/>
          <w:sz w:val="24"/>
        </w:rPr>
        <w:t>条情形的，可以推荐</w:t>
      </w:r>
      <w:r>
        <w:rPr>
          <w:rFonts w:ascii="宋体" w:hAnsi="宋体"/>
          <w:color w:val="auto"/>
          <w:sz w:val="24"/>
        </w:rPr>
        <w:t>2</w:t>
      </w:r>
      <w:r>
        <w:rPr>
          <w:rFonts w:hint="eastAsia" w:ascii="宋体" w:hAnsi="宋体"/>
          <w:color w:val="auto"/>
          <w:sz w:val="24"/>
        </w:rPr>
        <w:t>家成交候选供应商。评审得分相同的，按照最后报价由低到高的顺序推荐。评审得分且最后报价相同的，按照技术指标优劣顺序推荐。</w:t>
      </w:r>
    </w:p>
    <w:p>
      <w:pPr>
        <w:spacing w:line="360" w:lineRule="auto"/>
        <w:ind w:left="120" w:leftChars="57" w:firstLine="600" w:firstLineChars="250"/>
        <w:rPr>
          <w:rFonts w:ascii="宋体"/>
          <w:color w:val="auto"/>
          <w:sz w:val="24"/>
        </w:rPr>
      </w:pPr>
      <w:r>
        <w:rPr>
          <w:rFonts w:ascii="宋体" w:hAnsi="宋体"/>
          <w:color w:val="auto"/>
          <w:sz w:val="24"/>
        </w:rPr>
        <w:t>1.2</w:t>
      </w:r>
      <w:r>
        <w:rPr>
          <w:rFonts w:hint="eastAsia" w:ascii="宋体" w:hAnsi="宋体"/>
          <w:color w:val="auto"/>
          <w:sz w:val="24"/>
        </w:rPr>
        <w:t>采购人根据磋商小组推荐的成交候选人确定成交供应商。采购人确定成交供应商后，采购人将在</w:t>
      </w:r>
      <w:r>
        <w:rPr>
          <w:rFonts w:hint="eastAsia" w:ascii="宋体" w:hAnsi="宋体" w:cs="宋体"/>
          <w:bCs/>
          <w:color w:val="auto"/>
          <w:sz w:val="24"/>
        </w:rPr>
        <w:t>“盐城市政府采购网”和“盐城工业职业技术学院招标采购网”</w:t>
      </w:r>
      <w:r>
        <w:rPr>
          <w:rFonts w:hint="eastAsia" w:ascii="宋体" w:hAnsi="宋体"/>
          <w:color w:val="auto"/>
          <w:sz w:val="24"/>
        </w:rPr>
        <w:t>发布成交结果公告，公告期限为一个工作日。</w:t>
      </w:r>
    </w:p>
    <w:p>
      <w:pPr>
        <w:spacing w:line="360" w:lineRule="auto"/>
        <w:ind w:left="120" w:leftChars="57" w:firstLine="600" w:firstLineChars="250"/>
        <w:rPr>
          <w:rFonts w:ascii="宋体"/>
          <w:color w:val="auto"/>
          <w:sz w:val="24"/>
        </w:rPr>
      </w:pPr>
      <w:r>
        <w:rPr>
          <w:rFonts w:ascii="宋体" w:hAnsi="宋体"/>
          <w:color w:val="auto"/>
          <w:sz w:val="24"/>
        </w:rPr>
        <w:t>1.3</w:t>
      </w:r>
      <w:r>
        <w:rPr>
          <w:rFonts w:hint="eastAsia" w:ascii="宋体" w:hAnsi="宋体"/>
          <w:color w:val="auto"/>
          <w:sz w:val="24"/>
        </w:rPr>
        <w:t>若有充分证据证明，成交供应商出现下列情况之一的，一经查实，将被取消成交资格：</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）提供虚假材料谋取成交的；</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）与评审专家、采购人、其他供应商或者</w:t>
      </w:r>
      <w:r>
        <w:rPr>
          <w:rFonts w:hint="eastAsia" w:hAnsi="宋体" w:cs="宋体"/>
          <w:color w:val="auto"/>
          <w:kern w:val="0"/>
          <w:sz w:val="24"/>
        </w:rPr>
        <w:t>采购代理机构</w:t>
      </w:r>
      <w:r>
        <w:rPr>
          <w:rFonts w:hint="eastAsia" w:ascii="宋体" w:hAnsi="宋体"/>
          <w:color w:val="auto"/>
          <w:sz w:val="24"/>
        </w:rPr>
        <w:t>工作人员恶意串通的；</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）向评审专家、采购人或</w:t>
      </w:r>
      <w:r>
        <w:rPr>
          <w:rFonts w:hint="eastAsia" w:hAnsi="宋体" w:cs="宋体"/>
          <w:color w:val="auto"/>
          <w:kern w:val="0"/>
          <w:sz w:val="24"/>
        </w:rPr>
        <w:t>采购代理机构</w:t>
      </w:r>
      <w:r>
        <w:rPr>
          <w:rFonts w:hint="eastAsia" w:ascii="宋体" w:hAnsi="宋体"/>
          <w:color w:val="auto"/>
          <w:sz w:val="24"/>
        </w:rPr>
        <w:t>工作人员行贿或者提供其他不正当利益的；</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）恶意竞争，最终总报价明显低于其自身合理成本且又无法提供证明的；</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）不满足本磋商文件规定的实质性要求，但在评审过程中又未被磋商小组发现的；</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6</w:t>
      </w:r>
      <w:r>
        <w:rPr>
          <w:rFonts w:hint="eastAsia" w:ascii="宋体" w:hAnsi="宋体"/>
          <w:color w:val="auto"/>
          <w:sz w:val="24"/>
        </w:rPr>
        <w:t>）成交后无正当理由拒不与采购人签订政府采购合同或者未按照磋商文件确定的事项签订政府采购合同；</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7</w:t>
      </w:r>
      <w:r>
        <w:rPr>
          <w:rFonts w:hint="eastAsia" w:ascii="宋体" w:hAnsi="宋体"/>
          <w:color w:val="auto"/>
          <w:sz w:val="24"/>
        </w:rPr>
        <w:t>）将政府采购合同转包；</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8</w:t>
      </w:r>
      <w:r>
        <w:rPr>
          <w:rFonts w:hint="eastAsia" w:ascii="宋体" w:hAnsi="宋体"/>
          <w:color w:val="auto"/>
          <w:sz w:val="24"/>
        </w:rPr>
        <w:t>）法律、法规、规章规定的属于成交无效的其他情形。</w:t>
      </w:r>
    </w:p>
    <w:p>
      <w:pPr>
        <w:spacing w:line="360" w:lineRule="auto"/>
        <w:ind w:left="120" w:leftChars="57" w:firstLine="600" w:firstLineChars="250"/>
        <w:rPr>
          <w:rFonts w:ascii="宋体"/>
          <w:color w:val="auto"/>
          <w:sz w:val="24"/>
        </w:rPr>
      </w:pPr>
      <w:r>
        <w:rPr>
          <w:rFonts w:ascii="宋体" w:hAnsi="宋体"/>
          <w:color w:val="auto"/>
          <w:sz w:val="24"/>
        </w:rPr>
        <w:t>2</w:t>
      </w:r>
      <w:r>
        <w:rPr>
          <w:rFonts w:hint="eastAsia" w:ascii="宋体" w:hAnsi="宋体"/>
          <w:color w:val="auto"/>
          <w:sz w:val="24"/>
        </w:rPr>
        <w:t>、质疑处理</w:t>
      </w:r>
    </w:p>
    <w:p>
      <w:pPr>
        <w:spacing w:line="360" w:lineRule="auto"/>
        <w:ind w:left="120" w:leftChars="57" w:firstLine="600" w:firstLineChars="250"/>
        <w:rPr>
          <w:rFonts w:ascii="宋体"/>
          <w:color w:val="auto"/>
          <w:sz w:val="24"/>
        </w:rPr>
      </w:pPr>
      <w:r>
        <w:rPr>
          <w:rFonts w:ascii="宋体" w:hAnsi="宋体"/>
          <w:color w:val="auto"/>
          <w:sz w:val="24"/>
        </w:rPr>
        <w:t>2.1</w:t>
      </w:r>
      <w:r>
        <w:rPr>
          <w:rFonts w:hint="eastAsia" w:ascii="宋体" w:hAnsi="宋体"/>
          <w:color w:val="auto"/>
          <w:sz w:val="24"/>
        </w:rPr>
        <w:t>磋商供应商认为磋商文件、采购过程和采购结果使自己的权益受到损害的，可以在知道或应知其权益受到损害之日起七个工作日内，以书面形式向采购人或采购人提出质疑。上述应知其权益受到损害之日，是指：</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）对可以质疑的磋商文件提出质疑的，为收到磋商文件之日或者磋商文件公告期限届满之日；</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）对采购过程提出质疑的，为各采购程序环节结束之日；</w:t>
      </w:r>
    </w:p>
    <w:p>
      <w:pPr>
        <w:spacing w:line="360" w:lineRule="auto"/>
        <w:ind w:left="120" w:leftChars="57" w:firstLine="600" w:firstLineChars="250"/>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）对成交结果提出质疑的，为成交结果公告期限届满之日。</w:t>
      </w:r>
    </w:p>
    <w:p>
      <w:pPr>
        <w:spacing w:line="360" w:lineRule="auto"/>
        <w:ind w:left="120" w:leftChars="57" w:firstLine="600" w:firstLineChars="250"/>
        <w:rPr>
          <w:rFonts w:ascii="宋体"/>
          <w:color w:val="auto"/>
          <w:sz w:val="24"/>
        </w:rPr>
      </w:pPr>
      <w:r>
        <w:rPr>
          <w:rFonts w:ascii="宋体" w:hAnsi="宋体"/>
          <w:color w:val="auto"/>
          <w:sz w:val="24"/>
        </w:rPr>
        <w:t>2.2</w:t>
      </w:r>
      <w:r>
        <w:rPr>
          <w:rFonts w:hint="eastAsia" w:ascii="宋体" w:hAnsi="宋体"/>
          <w:color w:val="auto"/>
          <w:sz w:val="24"/>
        </w:rPr>
        <w:t>质疑必须按《政府采购法》、《政府采购法实施条例》及《江苏省政府采购供应商监督管理暂行办法》的相关规定提交，未按上述要求提交的质疑函（含传真、电子邮件等）采购人有权不予受理。</w:t>
      </w:r>
    </w:p>
    <w:p>
      <w:pPr>
        <w:spacing w:line="360" w:lineRule="auto"/>
        <w:ind w:left="120" w:leftChars="57" w:firstLine="600" w:firstLineChars="250"/>
        <w:rPr>
          <w:rFonts w:ascii="宋体"/>
          <w:color w:val="auto"/>
          <w:sz w:val="24"/>
        </w:rPr>
      </w:pPr>
      <w:r>
        <w:rPr>
          <w:rFonts w:ascii="宋体" w:hAnsi="宋体"/>
          <w:color w:val="auto"/>
          <w:sz w:val="24"/>
        </w:rPr>
        <w:t>2.3</w:t>
      </w:r>
      <w:r>
        <w:rPr>
          <w:rFonts w:hint="eastAsia" w:ascii="宋体" w:hAnsi="宋体"/>
          <w:color w:val="auto"/>
          <w:sz w:val="24"/>
        </w:rPr>
        <w:t>未参加磋商采购活动的供应商或在磋商采购活动中自身权益未受到损害的供应商所提出的质疑不予受理。</w:t>
      </w:r>
    </w:p>
    <w:p>
      <w:pPr>
        <w:spacing w:line="360" w:lineRule="auto"/>
        <w:ind w:left="120" w:leftChars="57" w:firstLine="600" w:firstLineChars="250"/>
        <w:rPr>
          <w:rFonts w:ascii="宋体"/>
          <w:color w:val="auto"/>
          <w:sz w:val="24"/>
        </w:rPr>
      </w:pPr>
      <w:r>
        <w:rPr>
          <w:rFonts w:ascii="宋体" w:hAnsi="宋体"/>
          <w:color w:val="auto"/>
          <w:sz w:val="24"/>
        </w:rPr>
        <w:t>2.4</w:t>
      </w:r>
      <w:r>
        <w:rPr>
          <w:rFonts w:hint="eastAsia" w:ascii="宋体" w:hAnsi="宋体"/>
          <w:color w:val="auto"/>
          <w:sz w:val="24"/>
        </w:rPr>
        <w:t>质疑函应当包括下列内容：</w:t>
      </w:r>
    </w:p>
    <w:p>
      <w:pPr>
        <w:spacing w:line="360" w:lineRule="auto"/>
        <w:ind w:left="120" w:leftChars="57" w:firstLine="600" w:firstLineChars="250"/>
        <w:rPr>
          <w:rFonts w:ascii="宋体"/>
          <w:color w:val="auto"/>
          <w:sz w:val="24"/>
        </w:rPr>
      </w:pPr>
      <w:r>
        <w:rPr>
          <w:rFonts w:ascii="宋体" w:hAnsi="宋体"/>
          <w:color w:val="auto"/>
          <w:sz w:val="24"/>
        </w:rPr>
        <w:t>2.4.1</w:t>
      </w:r>
      <w:r>
        <w:rPr>
          <w:rFonts w:hint="eastAsia" w:ascii="宋体" w:hAnsi="宋体"/>
          <w:color w:val="auto"/>
          <w:sz w:val="24"/>
        </w:rPr>
        <w:t>质疑供应商的名称、地址、邮编、联系人、联系电话；</w:t>
      </w:r>
    </w:p>
    <w:p>
      <w:pPr>
        <w:spacing w:line="360" w:lineRule="auto"/>
        <w:ind w:left="120" w:leftChars="57" w:firstLine="600" w:firstLineChars="250"/>
        <w:rPr>
          <w:rFonts w:ascii="宋体"/>
          <w:color w:val="auto"/>
          <w:sz w:val="24"/>
        </w:rPr>
      </w:pPr>
      <w:r>
        <w:rPr>
          <w:rFonts w:ascii="宋体" w:hAnsi="宋体"/>
          <w:color w:val="auto"/>
          <w:sz w:val="24"/>
        </w:rPr>
        <w:t>2.4.2</w:t>
      </w:r>
      <w:r>
        <w:rPr>
          <w:rFonts w:hint="eastAsia" w:ascii="宋体" w:hAnsi="宋体"/>
          <w:color w:val="auto"/>
          <w:sz w:val="24"/>
        </w:rPr>
        <w:t>具体的质疑事项及明确的请求；</w:t>
      </w:r>
    </w:p>
    <w:p>
      <w:pPr>
        <w:spacing w:line="360" w:lineRule="auto"/>
        <w:ind w:left="120" w:leftChars="57" w:firstLine="600" w:firstLineChars="250"/>
        <w:rPr>
          <w:rFonts w:ascii="宋体"/>
          <w:color w:val="auto"/>
          <w:sz w:val="24"/>
        </w:rPr>
      </w:pPr>
      <w:r>
        <w:rPr>
          <w:rFonts w:ascii="宋体" w:hAnsi="宋体"/>
          <w:color w:val="auto"/>
          <w:sz w:val="24"/>
        </w:rPr>
        <w:t>2.4.3</w:t>
      </w:r>
      <w:r>
        <w:rPr>
          <w:rFonts w:hint="eastAsia" w:ascii="宋体" w:hAnsi="宋体"/>
          <w:color w:val="auto"/>
          <w:sz w:val="24"/>
        </w:rPr>
        <w:t>认为自己合法权益受到损害或可能受到损害的相关证据材料；</w:t>
      </w:r>
    </w:p>
    <w:p>
      <w:pPr>
        <w:spacing w:line="360" w:lineRule="auto"/>
        <w:ind w:left="120" w:leftChars="57" w:firstLine="600" w:firstLineChars="250"/>
        <w:rPr>
          <w:rFonts w:ascii="宋体"/>
          <w:color w:val="auto"/>
          <w:sz w:val="24"/>
        </w:rPr>
      </w:pPr>
      <w:r>
        <w:rPr>
          <w:rFonts w:ascii="宋体" w:hAnsi="宋体"/>
          <w:color w:val="auto"/>
          <w:sz w:val="24"/>
        </w:rPr>
        <w:t>2.4.4</w:t>
      </w:r>
      <w:r>
        <w:rPr>
          <w:rFonts w:hint="eastAsia" w:ascii="宋体" w:hAnsi="宋体"/>
          <w:color w:val="auto"/>
          <w:sz w:val="24"/>
        </w:rPr>
        <w:t>提起质疑的日期；</w:t>
      </w:r>
    </w:p>
    <w:p>
      <w:pPr>
        <w:spacing w:line="360" w:lineRule="auto"/>
        <w:ind w:left="120" w:leftChars="57" w:firstLine="600" w:firstLineChars="250"/>
        <w:rPr>
          <w:rFonts w:ascii="宋体"/>
          <w:color w:val="auto"/>
          <w:sz w:val="24"/>
        </w:rPr>
      </w:pPr>
      <w:r>
        <w:rPr>
          <w:rFonts w:ascii="宋体" w:hAnsi="宋体"/>
          <w:color w:val="auto"/>
          <w:sz w:val="24"/>
        </w:rPr>
        <w:t>2.4.5</w:t>
      </w:r>
      <w:r>
        <w:rPr>
          <w:rFonts w:hint="eastAsia" w:ascii="宋体" w:hAnsi="宋体"/>
          <w:color w:val="auto"/>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pacing w:line="360" w:lineRule="auto"/>
        <w:ind w:left="120" w:leftChars="57" w:firstLine="600" w:firstLineChars="250"/>
        <w:rPr>
          <w:rFonts w:ascii="宋体"/>
          <w:color w:val="auto"/>
          <w:sz w:val="24"/>
        </w:rPr>
      </w:pPr>
      <w:r>
        <w:rPr>
          <w:rFonts w:ascii="宋体" w:hAnsi="宋体"/>
          <w:color w:val="auto"/>
          <w:sz w:val="24"/>
        </w:rPr>
        <w:t>2.5</w:t>
      </w:r>
      <w:r>
        <w:rPr>
          <w:rFonts w:hint="eastAsia" w:ascii="宋体" w:hAnsi="宋体"/>
          <w:color w:val="auto"/>
          <w:sz w:val="24"/>
        </w:rPr>
        <w:t>采购人收到质疑函后，将对质疑的形式和内容进行审查，如质疑函内容、格式不符合规定，采购人将告知质疑人进行补正。</w:t>
      </w:r>
    </w:p>
    <w:p>
      <w:pPr>
        <w:spacing w:line="360" w:lineRule="auto"/>
        <w:ind w:left="120" w:leftChars="57" w:firstLine="600" w:firstLineChars="250"/>
        <w:rPr>
          <w:rFonts w:ascii="宋体"/>
          <w:color w:val="auto"/>
          <w:sz w:val="24"/>
        </w:rPr>
      </w:pPr>
      <w:r>
        <w:rPr>
          <w:rFonts w:ascii="宋体" w:hAnsi="宋体"/>
          <w:color w:val="auto"/>
          <w:sz w:val="24"/>
        </w:rPr>
        <w:t>2.6</w:t>
      </w:r>
      <w:r>
        <w:rPr>
          <w:rFonts w:hint="eastAsia" w:ascii="宋体" w:hAnsi="宋体"/>
          <w:color w:val="auto"/>
          <w:sz w:val="24"/>
        </w:rPr>
        <w:t>质疑人应当在法定质疑期限内进行补正并重新提交质疑函，拒不补正或者在法定期限内未重新提交质疑函的，为无效质疑，采购人有权不予受理。</w:t>
      </w:r>
    </w:p>
    <w:p>
      <w:pPr>
        <w:spacing w:line="360" w:lineRule="auto"/>
        <w:ind w:left="120" w:leftChars="57" w:firstLine="600" w:firstLineChars="250"/>
        <w:rPr>
          <w:rFonts w:ascii="宋体"/>
          <w:color w:val="auto"/>
          <w:sz w:val="24"/>
        </w:rPr>
      </w:pPr>
      <w:r>
        <w:rPr>
          <w:rFonts w:ascii="宋体" w:hAnsi="宋体"/>
          <w:color w:val="auto"/>
          <w:sz w:val="24"/>
        </w:rPr>
        <w:t>2.7</w:t>
      </w:r>
      <w:r>
        <w:rPr>
          <w:rFonts w:hint="eastAsia" w:ascii="宋体" w:hAnsi="宋体"/>
          <w:color w:val="auto"/>
          <w:sz w:val="24"/>
        </w:rPr>
        <w:t>对于内容、格式符合规定的质疑函，采购人将在收到参加谈判供应商的书面质疑后七个工作日内作出答复，并以书面形式通知质疑供应商和其他相关供应商，答复的内容不涉及商业秘密。</w:t>
      </w:r>
    </w:p>
    <w:p>
      <w:pPr>
        <w:spacing w:line="360" w:lineRule="auto"/>
        <w:ind w:left="120" w:leftChars="57" w:firstLine="600" w:firstLineChars="250"/>
        <w:rPr>
          <w:rFonts w:ascii="宋体"/>
          <w:color w:val="auto"/>
          <w:sz w:val="24"/>
        </w:rPr>
      </w:pPr>
      <w:r>
        <w:rPr>
          <w:rFonts w:ascii="宋体" w:hAnsi="宋体"/>
          <w:color w:val="auto"/>
          <w:sz w:val="24"/>
        </w:rPr>
        <w:t>2.8</w:t>
      </w:r>
      <w:r>
        <w:rPr>
          <w:rFonts w:hint="eastAsia" w:ascii="宋体" w:hAnsi="宋体"/>
          <w:color w:val="auto"/>
          <w:sz w:val="24"/>
        </w:rPr>
        <w:t>供应商提出书面质疑必须有理、有据，不得恶意质疑或提交虚假质疑。否则，一经查实，采购人有权依据政府采购的有关规定，报请政府采购监管部门对该供应商进行相应的行政处罚。</w:t>
      </w:r>
      <w:bookmarkStart w:id="107" w:name="_Toc20823309"/>
      <w:bookmarkStart w:id="108" w:name="_Toc16938553"/>
      <w:bookmarkStart w:id="109" w:name="_Toc513029237"/>
    </w:p>
    <w:p>
      <w:pPr>
        <w:spacing w:line="360" w:lineRule="auto"/>
        <w:ind w:left="120" w:leftChars="57" w:firstLine="602" w:firstLineChars="250"/>
        <w:rPr>
          <w:rFonts w:ascii="宋体"/>
          <w:color w:val="auto"/>
          <w:sz w:val="24"/>
        </w:rPr>
      </w:pPr>
      <w:r>
        <w:rPr>
          <w:rFonts w:hint="eastAsia" w:ascii="宋体" w:hAnsi="宋体"/>
          <w:b/>
          <w:color w:val="auto"/>
          <w:sz w:val="24"/>
        </w:rPr>
        <w:t>六、合同签订相关事项</w:t>
      </w:r>
    </w:p>
    <w:p>
      <w:pPr>
        <w:spacing w:line="360" w:lineRule="auto"/>
        <w:ind w:left="120" w:leftChars="57" w:firstLine="600" w:firstLineChars="250"/>
        <w:rPr>
          <w:rFonts w:ascii="宋体"/>
          <w:color w:val="auto"/>
          <w:sz w:val="24"/>
        </w:rPr>
      </w:pPr>
      <w:r>
        <w:rPr>
          <w:rFonts w:ascii="宋体" w:hAnsi="宋体"/>
          <w:color w:val="auto"/>
          <w:sz w:val="24"/>
        </w:rPr>
        <w:t>1</w:t>
      </w:r>
      <w:r>
        <w:rPr>
          <w:rFonts w:hint="eastAsia" w:ascii="宋体" w:hAnsi="宋体"/>
          <w:color w:val="auto"/>
          <w:sz w:val="24"/>
        </w:rPr>
        <w:t>、签订合同</w:t>
      </w:r>
    </w:p>
    <w:p>
      <w:pPr>
        <w:spacing w:line="360" w:lineRule="auto"/>
        <w:ind w:left="120" w:leftChars="57" w:firstLine="600" w:firstLineChars="250"/>
        <w:rPr>
          <w:rFonts w:ascii="宋体"/>
          <w:color w:val="auto"/>
          <w:sz w:val="24"/>
        </w:rPr>
      </w:pPr>
      <w:r>
        <w:rPr>
          <w:rFonts w:ascii="宋体" w:hAnsi="宋体"/>
          <w:color w:val="auto"/>
          <w:sz w:val="24"/>
        </w:rPr>
        <w:t>1.l</w:t>
      </w:r>
      <w:r>
        <w:rPr>
          <w:rFonts w:hint="eastAsia" w:ascii="宋体" w:hAnsi="宋体"/>
          <w:color w:val="auto"/>
          <w:sz w:val="24"/>
        </w:rPr>
        <w:t>成交供应商确定后，采购人将向成交供应商发出中标通知书。成交供应商应按成交通知书规定的时间、地点</w:t>
      </w:r>
      <w:r>
        <w:rPr>
          <w:rFonts w:ascii="宋体"/>
          <w:color w:val="auto"/>
          <w:sz w:val="24"/>
        </w:rPr>
        <w:t>,</w:t>
      </w:r>
      <w:r>
        <w:rPr>
          <w:rFonts w:hint="eastAsia" w:ascii="宋体" w:hAnsi="宋体"/>
          <w:color w:val="auto"/>
          <w:sz w:val="24"/>
        </w:rPr>
        <w:t>按照磋商文件确定的事项与采购人签订政府采购合同，且不得迟于成交通知书发出之日起三十日内，否则磋商保证金将不予退还，由此给采购人造成损失的，成交供应商还应承担赔偿责任。</w:t>
      </w:r>
    </w:p>
    <w:p>
      <w:pPr>
        <w:spacing w:line="360" w:lineRule="auto"/>
        <w:ind w:left="120" w:leftChars="57" w:firstLine="600" w:firstLineChars="250"/>
        <w:rPr>
          <w:rFonts w:ascii="宋体"/>
          <w:color w:val="auto"/>
          <w:sz w:val="24"/>
        </w:rPr>
      </w:pPr>
      <w:r>
        <w:rPr>
          <w:rFonts w:ascii="宋体" w:hAnsi="宋体"/>
          <w:color w:val="auto"/>
          <w:sz w:val="24"/>
        </w:rPr>
        <w:t xml:space="preserve">1.2 </w:t>
      </w:r>
      <w:r>
        <w:rPr>
          <w:rFonts w:hint="eastAsia" w:ascii="宋体" w:hAnsi="宋体"/>
          <w:color w:val="auto"/>
          <w:sz w:val="24"/>
        </w:rPr>
        <w:t>磋商文件、成交供应商的响应文件及磋商采购过程中有关澄清、承诺文件均应作为合同附件。</w:t>
      </w:r>
    </w:p>
    <w:p>
      <w:pPr>
        <w:spacing w:line="360" w:lineRule="auto"/>
        <w:ind w:left="120" w:leftChars="57" w:firstLine="600" w:firstLineChars="250"/>
        <w:rPr>
          <w:rFonts w:ascii="宋体"/>
          <w:color w:val="auto"/>
          <w:sz w:val="24"/>
        </w:rPr>
      </w:pPr>
      <w:r>
        <w:rPr>
          <w:rFonts w:ascii="宋体" w:hAnsi="宋体"/>
          <w:color w:val="auto"/>
          <w:sz w:val="24"/>
        </w:rPr>
        <w:t xml:space="preserve">1.3 </w:t>
      </w:r>
      <w:r>
        <w:rPr>
          <w:rFonts w:hint="eastAsia" w:ascii="宋体" w:hAnsi="宋体"/>
          <w:color w:val="auto"/>
          <w:sz w:val="24"/>
        </w:rPr>
        <w:t>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pPr>
        <w:spacing w:line="360" w:lineRule="auto"/>
        <w:ind w:left="120" w:leftChars="57" w:firstLine="600" w:firstLineChars="250"/>
        <w:rPr>
          <w:rFonts w:ascii="宋体"/>
          <w:color w:val="auto"/>
          <w:sz w:val="24"/>
        </w:rPr>
      </w:pPr>
      <w:r>
        <w:rPr>
          <w:rFonts w:ascii="宋体" w:hAnsi="宋体"/>
          <w:color w:val="auto"/>
          <w:sz w:val="24"/>
        </w:rPr>
        <w:t>2</w:t>
      </w:r>
      <w:r>
        <w:rPr>
          <w:rFonts w:hint="eastAsia" w:ascii="宋体" w:hAnsi="宋体"/>
          <w:color w:val="auto"/>
          <w:sz w:val="24"/>
        </w:rPr>
        <w:t>、履约保证金</w:t>
      </w:r>
    </w:p>
    <w:p>
      <w:pPr>
        <w:spacing w:line="360" w:lineRule="auto"/>
        <w:ind w:left="120" w:leftChars="57" w:firstLine="600" w:firstLineChars="250"/>
        <w:rPr>
          <w:rFonts w:ascii="宋体"/>
          <w:color w:val="auto"/>
          <w:sz w:val="24"/>
        </w:rPr>
      </w:pPr>
      <w:r>
        <w:rPr>
          <w:rFonts w:hint="eastAsia" w:ascii="宋体" w:hAnsi="宋体"/>
          <w:color w:val="auto"/>
          <w:sz w:val="24"/>
        </w:rPr>
        <w:t>在签订合同时，须向采购人交纳履约保证金</w:t>
      </w:r>
      <w:r>
        <w:rPr>
          <w:rFonts w:ascii="宋体"/>
          <w:color w:val="auto"/>
          <w:sz w:val="24"/>
        </w:rPr>
        <w:t>,</w:t>
      </w:r>
      <w:r>
        <w:rPr>
          <w:rFonts w:hint="eastAsia" w:ascii="宋体" w:hAnsi="宋体"/>
          <w:color w:val="auto"/>
          <w:sz w:val="24"/>
        </w:rPr>
        <w:t>于合同履行后无息退还。履约保证金用以约束成交供应商在合同履行中的行为，弥补合同执行中由于自身行为可能给采购人带来的各种损失。</w:t>
      </w:r>
    </w:p>
    <w:p>
      <w:pPr>
        <w:spacing w:line="360" w:lineRule="auto"/>
        <w:ind w:firstLine="555"/>
        <w:rPr>
          <w:rFonts w:ascii="宋体"/>
          <w:color w:val="auto"/>
          <w:sz w:val="24"/>
        </w:rPr>
      </w:pPr>
    </w:p>
    <w:bookmarkEnd w:id="107"/>
    <w:bookmarkEnd w:id="108"/>
    <w:bookmarkEnd w:id="109"/>
    <w:p>
      <w:pPr>
        <w:pStyle w:val="4"/>
        <w:spacing w:line="360" w:lineRule="auto"/>
        <w:rPr>
          <w:rFonts w:ascii="黑体" w:eastAsia="黑体" w:cs="Arial"/>
          <w:bCs/>
          <w:color w:val="auto"/>
          <w:szCs w:val="44"/>
        </w:rPr>
      </w:pPr>
      <w:r>
        <w:rPr>
          <w:rFonts w:hint="eastAsia" w:ascii="黑体" w:eastAsia="黑体" w:cs="Arial"/>
          <w:bCs/>
          <w:color w:val="auto"/>
          <w:szCs w:val="44"/>
        </w:rPr>
        <w:br w:type="page"/>
      </w:r>
      <w:r>
        <w:rPr>
          <w:rFonts w:hint="eastAsia" w:ascii="黑体" w:eastAsia="黑体" w:cs="Arial"/>
          <w:bCs/>
          <w:color w:val="auto"/>
          <w:szCs w:val="44"/>
        </w:rPr>
        <w:t>第三章合同条款及格式</w:t>
      </w:r>
    </w:p>
    <w:p>
      <w:pPr>
        <w:spacing w:line="500" w:lineRule="exact"/>
        <w:ind w:firstLine="480" w:firstLineChars="200"/>
        <w:rPr>
          <w:rFonts w:ascii="宋体" w:hAnsi="宋体" w:cs="宋体"/>
          <w:bCs/>
          <w:color w:val="auto"/>
          <w:sz w:val="24"/>
        </w:rPr>
      </w:pPr>
      <w:r>
        <w:rPr>
          <w:rFonts w:hint="eastAsia" w:ascii="宋体" w:hAnsi="宋体" w:cs="宋体"/>
          <w:bCs/>
          <w:color w:val="auto"/>
          <w:sz w:val="24"/>
        </w:rPr>
        <w:t>以下为中标后签定本项目合同的通用条款，中标供应商不得提出实质性的修改，关于专用条款将由采购人与中标供应商结合本项目具体情况协商后签订。</w:t>
      </w:r>
    </w:p>
    <w:p>
      <w:pPr>
        <w:pStyle w:val="17"/>
        <w:snapToGrid w:val="0"/>
        <w:spacing w:line="500" w:lineRule="exact"/>
        <w:ind w:firstLine="480" w:firstLineChars="200"/>
        <w:jc w:val="left"/>
        <w:rPr>
          <w:rFonts w:cs="宋体"/>
          <w:color w:val="auto"/>
          <w:sz w:val="24"/>
          <w:szCs w:val="24"/>
        </w:rPr>
      </w:pPr>
    </w:p>
    <w:p>
      <w:pPr>
        <w:pStyle w:val="17"/>
        <w:snapToGrid w:val="0"/>
        <w:spacing w:line="500" w:lineRule="exact"/>
        <w:ind w:firstLine="480" w:firstLineChars="200"/>
        <w:jc w:val="left"/>
        <w:rPr>
          <w:rFonts w:cs="宋体"/>
          <w:color w:val="auto"/>
          <w:sz w:val="24"/>
          <w:szCs w:val="24"/>
        </w:rPr>
      </w:pPr>
      <w:r>
        <w:rPr>
          <w:rFonts w:hint="eastAsia" w:cs="宋体"/>
          <w:color w:val="auto"/>
          <w:sz w:val="24"/>
          <w:szCs w:val="24"/>
        </w:rPr>
        <w:t>项目名称：</w:t>
      </w:r>
      <w:r>
        <w:rPr>
          <w:rFonts w:hint="eastAsia" w:cs="宋体"/>
          <w:color w:val="auto"/>
          <w:sz w:val="24"/>
          <w:szCs w:val="24"/>
          <w:u w:val="single"/>
        </w:rPr>
        <w:t>盐城工业职业技术学院2020年度教职工体检服务项目</w:t>
      </w:r>
    </w:p>
    <w:p>
      <w:pPr>
        <w:pStyle w:val="17"/>
        <w:snapToGrid w:val="0"/>
        <w:spacing w:line="500" w:lineRule="exact"/>
        <w:ind w:firstLine="480" w:firstLineChars="200"/>
        <w:jc w:val="left"/>
        <w:rPr>
          <w:rFonts w:cs="宋体"/>
          <w:color w:val="auto"/>
          <w:sz w:val="24"/>
          <w:szCs w:val="24"/>
        </w:rPr>
      </w:pPr>
      <w:r>
        <w:rPr>
          <w:rFonts w:hint="eastAsia" w:cs="宋体"/>
          <w:color w:val="auto"/>
          <w:sz w:val="24"/>
          <w:szCs w:val="24"/>
        </w:rPr>
        <w:t>项目编号：</w:t>
      </w:r>
      <w:r>
        <w:rPr>
          <w:rFonts w:hint="eastAsia" w:cs="宋体"/>
          <w:color w:val="auto"/>
          <w:sz w:val="24"/>
          <w:szCs w:val="24"/>
          <w:u w:val="single"/>
        </w:rPr>
        <w:t>2020-029S</w:t>
      </w:r>
    </w:p>
    <w:p>
      <w:pPr>
        <w:pStyle w:val="17"/>
        <w:snapToGrid w:val="0"/>
        <w:spacing w:line="500" w:lineRule="exact"/>
        <w:ind w:firstLine="480" w:firstLineChars="200"/>
        <w:rPr>
          <w:rFonts w:cs="宋体"/>
          <w:color w:val="auto"/>
          <w:sz w:val="24"/>
          <w:szCs w:val="24"/>
        </w:rPr>
      </w:pPr>
      <w:r>
        <w:rPr>
          <w:rFonts w:hint="eastAsia" w:cs="宋体"/>
          <w:color w:val="auto"/>
          <w:sz w:val="24"/>
          <w:szCs w:val="24"/>
        </w:rPr>
        <w:t>甲方：</w:t>
      </w:r>
      <w:r>
        <w:rPr>
          <w:rFonts w:hint="eastAsia" w:cs="宋体"/>
          <w:color w:val="auto"/>
          <w:sz w:val="24"/>
          <w:szCs w:val="24"/>
          <w:u w:val="single"/>
        </w:rPr>
        <w:t>盐城工业职业技术学院</w:t>
      </w:r>
    </w:p>
    <w:p>
      <w:pPr>
        <w:pStyle w:val="17"/>
        <w:snapToGrid w:val="0"/>
        <w:spacing w:line="500" w:lineRule="exact"/>
        <w:ind w:firstLine="480" w:firstLineChars="200"/>
        <w:rPr>
          <w:rFonts w:cs="宋体"/>
          <w:color w:val="auto"/>
          <w:sz w:val="24"/>
          <w:szCs w:val="24"/>
          <w:u w:val="single"/>
        </w:rPr>
      </w:pPr>
      <w:r>
        <w:rPr>
          <w:rFonts w:hint="eastAsia" w:cs="宋体"/>
          <w:color w:val="auto"/>
          <w:sz w:val="24"/>
          <w:szCs w:val="24"/>
        </w:rPr>
        <w:t>乙方：</w:t>
      </w:r>
      <w:r>
        <w:rPr>
          <w:rFonts w:hint="eastAsia" w:cs="宋体"/>
          <w:color w:val="auto"/>
          <w:sz w:val="24"/>
          <w:szCs w:val="24"/>
          <w:u w:val="single"/>
        </w:rPr>
        <w:t xml:space="preserve">                     </w:t>
      </w:r>
    </w:p>
    <w:p>
      <w:pPr>
        <w:spacing w:line="500" w:lineRule="exact"/>
        <w:ind w:firstLine="480" w:firstLineChars="200"/>
        <w:rPr>
          <w:rFonts w:ascii="宋体" w:hAnsi="宋体" w:cs="宋体"/>
          <w:b/>
          <w:color w:val="auto"/>
          <w:sz w:val="24"/>
        </w:rPr>
      </w:pPr>
      <w:r>
        <w:rPr>
          <w:rFonts w:hint="eastAsia" w:ascii="宋体" w:hAnsi="宋体" w:cs="宋体"/>
          <w:color w:val="auto"/>
          <w:sz w:val="24"/>
        </w:rPr>
        <w:t>甲、乙双方根据</w:t>
      </w:r>
      <w:r>
        <w:rPr>
          <w:rFonts w:hint="eastAsia" w:ascii="宋体" w:hAnsi="宋体" w:cs="宋体"/>
          <w:color w:val="auto"/>
          <w:sz w:val="24"/>
          <w:u w:val="single"/>
        </w:rPr>
        <w:t>盐城工业职业技术学院2020年度教职工体检服务项目</w:t>
      </w:r>
      <w:r>
        <w:rPr>
          <w:rFonts w:hint="eastAsia" w:ascii="宋体" w:hAnsi="宋体" w:cs="宋体"/>
          <w:color w:val="auto"/>
          <w:sz w:val="24"/>
        </w:rPr>
        <w:t>招标的结果，签署本合同。</w:t>
      </w:r>
    </w:p>
    <w:p>
      <w:pPr>
        <w:pStyle w:val="17"/>
        <w:snapToGrid w:val="0"/>
        <w:spacing w:line="500" w:lineRule="exact"/>
        <w:ind w:firstLine="482" w:firstLineChars="200"/>
        <w:rPr>
          <w:rFonts w:cs="宋体"/>
          <w:b/>
          <w:color w:val="auto"/>
          <w:sz w:val="24"/>
          <w:szCs w:val="24"/>
        </w:rPr>
      </w:pPr>
      <w:r>
        <w:rPr>
          <w:rFonts w:hint="eastAsia" w:cs="宋体"/>
          <w:b/>
          <w:color w:val="auto"/>
          <w:sz w:val="24"/>
          <w:szCs w:val="24"/>
        </w:rPr>
        <w:t>一、合同内容</w:t>
      </w:r>
    </w:p>
    <w:p>
      <w:pPr>
        <w:pStyle w:val="17"/>
        <w:snapToGrid w:val="0"/>
        <w:spacing w:line="500" w:lineRule="exact"/>
        <w:ind w:firstLine="480" w:firstLineChars="200"/>
        <w:rPr>
          <w:rFonts w:cs="宋体"/>
          <w:color w:val="auto"/>
          <w:sz w:val="24"/>
          <w:szCs w:val="24"/>
        </w:rPr>
      </w:pPr>
      <w:r>
        <w:rPr>
          <w:rFonts w:hint="eastAsia" w:cs="宋体"/>
          <w:color w:val="auto"/>
          <w:sz w:val="24"/>
          <w:szCs w:val="24"/>
        </w:rPr>
        <w:t>1.1 合同名称：</w:t>
      </w:r>
      <w:r>
        <w:rPr>
          <w:rFonts w:hint="eastAsia" w:cs="宋体"/>
          <w:color w:val="auto"/>
          <w:sz w:val="24"/>
          <w:szCs w:val="24"/>
          <w:u w:val="single"/>
        </w:rPr>
        <w:t>盐城工业职业技术学院2020年度教职工体检服务项目</w:t>
      </w:r>
      <w:r>
        <w:rPr>
          <w:rFonts w:hint="eastAsia" w:cs="宋体"/>
          <w:color w:val="auto"/>
          <w:sz w:val="24"/>
          <w:szCs w:val="24"/>
        </w:rPr>
        <w:t>。</w:t>
      </w:r>
    </w:p>
    <w:p>
      <w:pPr>
        <w:spacing w:line="500" w:lineRule="exact"/>
        <w:ind w:firstLine="480" w:firstLineChars="200"/>
        <w:rPr>
          <w:rFonts w:ascii="宋体" w:hAnsi="宋体" w:cs="宋体"/>
          <w:bCs/>
          <w:color w:val="auto"/>
          <w:sz w:val="24"/>
          <w:u w:val="single"/>
        </w:rPr>
      </w:pPr>
      <w:r>
        <w:rPr>
          <w:rFonts w:hint="eastAsia" w:ascii="宋体" w:hAnsi="宋体" w:cs="宋体"/>
          <w:bCs/>
          <w:color w:val="auto"/>
          <w:sz w:val="24"/>
        </w:rPr>
        <w:t>1.2 服务内容：</w:t>
      </w:r>
      <w:r>
        <w:rPr>
          <w:rFonts w:hint="eastAsia" w:ascii="宋体" w:hAnsi="宋体" w:cs="宋体"/>
          <w:bCs/>
          <w:color w:val="auto"/>
          <w:sz w:val="24"/>
          <w:u w:val="single"/>
        </w:rPr>
        <w:t>详见项目需求。</w:t>
      </w:r>
    </w:p>
    <w:p>
      <w:pPr>
        <w:pStyle w:val="17"/>
        <w:snapToGrid w:val="0"/>
        <w:spacing w:line="500" w:lineRule="exact"/>
        <w:ind w:firstLine="482" w:firstLineChars="200"/>
        <w:rPr>
          <w:rFonts w:cs="宋体"/>
          <w:b/>
          <w:color w:val="auto"/>
          <w:sz w:val="24"/>
          <w:szCs w:val="24"/>
        </w:rPr>
      </w:pPr>
      <w:r>
        <w:rPr>
          <w:rFonts w:hint="eastAsia" w:cs="宋体"/>
          <w:b/>
          <w:color w:val="auto"/>
          <w:sz w:val="24"/>
          <w:szCs w:val="24"/>
        </w:rPr>
        <w:t>二、合同金额</w:t>
      </w:r>
    </w:p>
    <w:p>
      <w:pPr>
        <w:pStyle w:val="17"/>
        <w:snapToGrid w:val="0"/>
        <w:spacing w:line="500" w:lineRule="exact"/>
        <w:ind w:firstLine="480" w:firstLineChars="200"/>
        <w:rPr>
          <w:rFonts w:cs="宋体"/>
          <w:color w:val="auto"/>
          <w:sz w:val="24"/>
          <w:szCs w:val="24"/>
        </w:rPr>
      </w:pPr>
      <w:r>
        <w:rPr>
          <w:rFonts w:hint="eastAsia" w:cs="宋体"/>
          <w:color w:val="auto"/>
          <w:sz w:val="24"/>
          <w:szCs w:val="24"/>
        </w:rPr>
        <w:t>2.1 本合同金额为（大写）：________元（_______________元）人民币或其他币种。</w:t>
      </w:r>
    </w:p>
    <w:p>
      <w:pPr>
        <w:spacing w:line="500" w:lineRule="exact"/>
        <w:ind w:firstLine="480" w:firstLineChars="200"/>
        <w:rPr>
          <w:rFonts w:ascii="宋体" w:hAnsi="宋体" w:cs="宋体"/>
          <w:bCs/>
          <w:color w:val="auto"/>
          <w:sz w:val="24"/>
        </w:rPr>
      </w:pPr>
      <w:r>
        <w:rPr>
          <w:rFonts w:hint="eastAsia" w:ascii="宋体" w:hAnsi="宋体" w:cs="宋体"/>
          <w:bCs/>
          <w:color w:val="auto"/>
          <w:sz w:val="24"/>
        </w:rPr>
        <w:t>2.2体检费用包含：</w:t>
      </w:r>
      <w:r>
        <w:rPr>
          <w:rFonts w:hint="eastAsia" w:ascii="宋体" w:hAnsi="宋体" w:cs="宋体"/>
          <w:bCs/>
          <w:color w:val="auto"/>
          <w:sz w:val="24"/>
          <w:u w:val="single"/>
        </w:rPr>
        <w:t>（1）检查费；（2）材料费；（3）所有参检人员的劳务费。</w:t>
      </w:r>
    </w:p>
    <w:p>
      <w:pPr>
        <w:pStyle w:val="17"/>
        <w:snapToGrid w:val="0"/>
        <w:spacing w:line="500" w:lineRule="exact"/>
        <w:ind w:firstLine="482" w:firstLineChars="200"/>
        <w:rPr>
          <w:rFonts w:cs="宋体"/>
          <w:b/>
          <w:color w:val="auto"/>
          <w:sz w:val="24"/>
          <w:szCs w:val="24"/>
        </w:rPr>
      </w:pPr>
      <w:r>
        <w:rPr>
          <w:rFonts w:hint="eastAsia" w:cs="宋体"/>
          <w:b/>
          <w:color w:val="auto"/>
          <w:sz w:val="24"/>
          <w:szCs w:val="24"/>
        </w:rPr>
        <w:t>三、技术资料</w:t>
      </w:r>
    </w:p>
    <w:p>
      <w:pPr>
        <w:spacing w:line="500" w:lineRule="exact"/>
        <w:ind w:firstLine="480" w:firstLineChars="200"/>
        <w:rPr>
          <w:rFonts w:ascii="宋体" w:hAnsi="宋体" w:cs="宋体"/>
          <w:bCs/>
          <w:color w:val="auto"/>
          <w:sz w:val="24"/>
        </w:rPr>
      </w:pPr>
      <w:r>
        <w:rPr>
          <w:rFonts w:hint="eastAsia" w:ascii="宋体" w:hAnsi="宋体" w:cs="宋体"/>
          <w:bCs/>
          <w:color w:val="auto"/>
          <w:sz w:val="24"/>
        </w:rPr>
        <w:t>3.1乙方应按招标文件规定的时间向甲方提供使用服务的有关技术资料。</w:t>
      </w:r>
    </w:p>
    <w:p>
      <w:pPr>
        <w:spacing w:line="500" w:lineRule="exact"/>
        <w:ind w:firstLine="480" w:firstLineChars="200"/>
        <w:rPr>
          <w:rFonts w:ascii="宋体" w:hAnsi="宋体" w:cs="宋体"/>
          <w:bCs/>
          <w:color w:val="auto"/>
          <w:sz w:val="24"/>
        </w:rPr>
      </w:pPr>
      <w:r>
        <w:rPr>
          <w:rFonts w:hint="eastAsia" w:ascii="宋体" w:hAnsi="宋体" w:cs="宋体"/>
          <w:bCs/>
          <w:color w:val="auto"/>
          <w:sz w:val="24"/>
        </w:rPr>
        <w:t>3.2 没有甲方事先书面同意，乙方不得将由甲方提供的有关合同或任何合同条文、或资料提供给与履行本合同无关的任何其他人。即使向履行本合同有关的人员提供，也应注意保密并限于履行合同的必需范围。</w:t>
      </w:r>
    </w:p>
    <w:p>
      <w:pPr>
        <w:pStyle w:val="17"/>
        <w:snapToGrid w:val="0"/>
        <w:spacing w:line="500" w:lineRule="exact"/>
        <w:ind w:firstLine="482" w:firstLineChars="200"/>
        <w:rPr>
          <w:rFonts w:cs="宋体"/>
          <w:b/>
          <w:color w:val="auto"/>
          <w:sz w:val="24"/>
          <w:szCs w:val="24"/>
        </w:rPr>
      </w:pPr>
      <w:r>
        <w:rPr>
          <w:rFonts w:hint="eastAsia" w:cs="宋体"/>
          <w:b/>
          <w:color w:val="auto"/>
          <w:sz w:val="24"/>
          <w:szCs w:val="24"/>
        </w:rPr>
        <w:t>四、知识产权</w:t>
      </w:r>
    </w:p>
    <w:p>
      <w:pPr>
        <w:spacing w:line="500" w:lineRule="exact"/>
        <w:ind w:firstLine="480" w:firstLineChars="200"/>
        <w:rPr>
          <w:rFonts w:ascii="宋体" w:hAnsi="宋体" w:cs="宋体"/>
          <w:color w:val="auto"/>
          <w:sz w:val="24"/>
        </w:rPr>
      </w:pPr>
      <w:r>
        <w:rPr>
          <w:rFonts w:hint="eastAsia" w:ascii="宋体" w:hAnsi="宋体" w:cs="宋体"/>
          <w:color w:val="auto"/>
          <w:sz w:val="24"/>
        </w:rPr>
        <w:t>4.1乙方应保证甲方在使用、接受本合同服务或其任何一部分时不受第三方提出侵犯其专利权、版权、商标权和工业设计权等知识产权的起诉。一旦出现侵权，由乙方负全部责任。</w:t>
      </w:r>
    </w:p>
    <w:p>
      <w:pPr>
        <w:pStyle w:val="17"/>
        <w:snapToGrid w:val="0"/>
        <w:spacing w:line="500" w:lineRule="exact"/>
        <w:ind w:firstLine="482" w:firstLineChars="200"/>
        <w:rPr>
          <w:rFonts w:cs="宋体"/>
          <w:color w:val="auto"/>
          <w:sz w:val="24"/>
          <w:szCs w:val="24"/>
          <w:u w:val="single"/>
        </w:rPr>
      </w:pPr>
      <w:r>
        <w:rPr>
          <w:rFonts w:hint="eastAsia" w:cs="宋体"/>
          <w:b/>
          <w:color w:val="auto"/>
          <w:sz w:val="24"/>
          <w:szCs w:val="24"/>
        </w:rPr>
        <w:t>五、产权担保</w:t>
      </w:r>
    </w:p>
    <w:p>
      <w:pPr>
        <w:pStyle w:val="17"/>
        <w:snapToGrid w:val="0"/>
        <w:spacing w:line="500" w:lineRule="exact"/>
        <w:ind w:firstLine="480" w:firstLineChars="200"/>
        <w:rPr>
          <w:rFonts w:cs="宋体"/>
          <w:color w:val="auto"/>
          <w:sz w:val="24"/>
          <w:szCs w:val="24"/>
          <w:u w:val="single"/>
        </w:rPr>
      </w:pPr>
      <w:r>
        <w:rPr>
          <w:rFonts w:hint="eastAsia" w:cs="宋体"/>
          <w:color w:val="auto"/>
          <w:sz w:val="24"/>
          <w:szCs w:val="24"/>
        </w:rPr>
        <w:t>5.1 乙方保证所提供服务的所有权完全属于乙方且无任何抵押、查封等产权瑕疵。</w:t>
      </w:r>
    </w:p>
    <w:p>
      <w:pPr>
        <w:pStyle w:val="17"/>
        <w:snapToGrid w:val="0"/>
        <w:spacing w:line="500" w:lineRule="exact"/>
        <w:ind w:firstLine="482" w:firstLineChars="200"/>
        <w:rPr>
          <w:rFonts w:cs="宋体"/>
          <w:b/>
          <w:color w:val="auto"/>
          <w:sz w:val="24"/>
          <w:szCs w:val="24"/>
        </w:rPr>
      </w:pPr>
      <w:r>
        <w:rPr>
          <w:rFonts w:hint="eastAsia" w:cs="宋体"/>
          <w:b/>
          <w:color w:val="auto"/>
          <w:sz w:val="24"/>
          <w:szCs w:val="24"/>
        </w:rPr>
        <w:t>六、履约保证金</w:t>
      </w:r>
    </w:p>
    <w:p>
      <w:pPr>
        <w:pStyle w:val="17"/>
        <w:snapToGrid w:val="0"/>
        <w:spacing w:line="500" w:lineRule="exact"/>
        <w:ind w:firstLine="480" w:firstLineChars="200"/>
        <w:rPr>
          <w:rFonts w:cs="宋体"/>
          <w:color w:val="auto"/>
          <w:sz w:val="24"/>
          <w:szCs w:val="24"/>
        </w:rPr>
      </w:pPr>
      <w:r>
        <w:rPr>
          <w:rFonts w:hint="eastAsia" w:cs="宋体"/>
          <w:color w:val="auto"/>
          <w:sz w:val="24"/>
          <w:szCs w:val="24"/>
        </w:rPr>
        <w:t>6.1乙方交纳人民币_________元作为本合同的履约保证金。</w:t>
      </w:r>
    </w:p>
    <w:p>
      <w:pPr>
        <w:snapToGrid w:val="0"/>
        <w:spacing w:line="500" w:lineRule="exact"/>
        <w:ind w:firstLine="482" w:firstLineChars="200"/>
        <w:rPr>
          <w:rFonts w:ascii="宋体" w:hAnsi="宋体" w:cs="宋体"/>
          <w:b/>
          <w:color w:val="auto"/>
          <w:sz w:val="24"/>
        </w:rPr>
      </w:pPr>
      <w:r>
        <w:rPr>
          <w:rFonts w:hint="eastAsia" w:ascii="宋体" w:hAnsi="宋体" w:cs="宋体"/>
          <w:b/>
          <w:color w:val="auto"/>
          <w:sz w:val="24"/>
        </w:rPr>
        <w:t>七、转包或分包</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7.1本合同范围的服务，应由乙方直接提供，不得转让他人供应；</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7.2 除非得到甲方的书面同意，乙方不得部分服务分包给他人提供。</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7.3如有转让和未经甲方同意的分包行为，甲方有权给予终止合同。</w:t>
      </w:r>
    </w:p>
    <w:p>
      <w:pPr>
        <w:pStyle w:val="17"/>
        <w:snapToGrid w:val="0"/>
        <w:spacing w:line="500" w:lineRule="exact"/>
        <w:ind w:firstLine="482" w:firstLineChars="200"/>
        <w:rPr>
          <w:rFonts w:cs="宋体"/>
          <w:color w:val="auto"/>
          <w:sz w:val="24"/>
          <w:szCs w:val="24"/>
        </w:rPr>
      </w:pPr>
      <w:r>
        <w:rPr>
          <w:rFonts w:hint="eastAsia" w:cs="宋体"/>
          <w:b/>
          <w:color w:val="auto"/>
          <w:sz w:val="24"/>
          <w:szCs w:val="24"/>
        </w:rPr>
        <w:t>八、质保期</w:t>
      </w:r>
    </w:p>
    <w:p>
      <w:pPr>
        <w:pStyle w:val="17"/>
        <w:snapToGrid w:val="0"/>
        <w:spacing w:line="500" w:lineRule="exact"/>
        <w:ind w:firstLine="480" w:firstLineChars="200"/>
        <w:rPr>
          <w:rFonts w:cs="宋体"/>
          <w:color w:val="auto"/>
          <w:sz w:val="24"/>
          <w:szCs w:val="24"/>
        </w:rPr>
      </w:pPr>
      <w:r>
        <w:rPr>
          <w:rFonts w:hint="eastAsia" w:cs="宋体"/>
          <w:color w:val="auto"/>
          <w:sz w:val="24"/>
          <w:szCs w:val="24"/>
        </w:rPr>
        <w:t xml:space="preserve">8.1 </w:t>
      </w:r>
      <w:r>
        <w:rPr>
          <w:rFonts w:hint="eastAsia" w:cs="宋体"/>
          <w:color w:val="auto"/>
          <w:sz w:val="24"/>
          <w:szCs w:val="24"/>
          <w:u w:val="single"/>
        </w:rPr>
        <w:t>乙方对健康体检报告负责三个月。</w:t>
      </w:r>
    </w:p>
    <w:p>
      <w:pPr>
        <w:pStyle w:val="17"/>
        <w:snapToGrid w:val="0"/>
        <w:spacing w:line="500" w:lineRule="exact"/>
        <w:ind w:firstLine="482" w:firstLineChars="200"/>
        <w:rPr>
          <w:rFonts w:cs="宋体"/>
          <w:b/>
          <w:color w:val="auto"/>
          <w:sz w:val="24"/>
          <w:szCs w:val="24"/>
        </w:rPr>
      </w:pPr>
      <w:r>
        <w:rPr>
          <w:rFonts w:hint="eastAsia" w:cs="宋体"/>
          <w:b/>
          <w:color w:val="auto"/>
          <w:sz w:val="24"/>
          <w:szCs w:val="24"/>
        </w:rPr>
        <w:t>九、服务期、服务方式及服务地点</w:t>
      </w:r>
    </w:p>
    <w:p>
      <w:pPr>
        <w:spacing w:line="500" w:lineRule="exact"/>
        <w:ind w:firstLine="480" w:firstLineChars="200"/>
        <w:rPr>
          <w:rFonts w:cs="宋体"/>
          <w:bCs/>
          <w:color w:val="auto"/>
          <w:sz w:val="24"/>
        </w:rPr>
      </w:pPr>
      <w:r>
        <w:rPr>
          <w:rFonts w:hint="eastAsia" w:cs="宋体"/>
          <w:bCs/>
          <w:color w:val="auto"/>
          <w:sz w:val="24"/>
        </w:rPr>
        <w:t>9.1 服务期：</w:t>
      </w:r>
      <w:r>
        <w:rPr>
          <w:rFonts w:hint="eastAsia" w:ascii="宋体" w:hAnsi="Courier New" w:cs="宋体"/>
          <w:color w:val="auto"/>
          <w:sz w:val="24"/>
          <w:u w:val="single"/>
        </w:rPr>
        <w:t>体检具体时间由甲方确定，所有体检项目要求在15日内完成。体检结束后10个工作日内，出具体检结果。</w:t>
      </w:r>
    </w:p>
    <w:p>
      <w:pPr>
        <w:pStyle w:val="17"/>
        <w:snapToGrid w:val="0"/>
        <w:spacing w:line="500" w:lineRule="exact"/>
        <w:ind w:firstLine="480" w:firstLineChars="200"/>
        <w:rPr>
          <w:rFonts w:cs="宋体"/>
          <w:bCs/>
          <w:color w:val="auto"/>
          <w:sz w:val="24"/>
          <w:szCs w:val="24"/>
        </w:rPr>
      </w:pPr>
      <w:r>
        <w:rPr>
          <w:rFonts w:hint="eastAsia" w:cs="宋体"/>
          <w:bCs/>
          <w:color w:val="auto"/>
          <w:sz w:val="24"/>
          <w:szCs w:val="24"/>
        </w:rPr>
        <w:t>9.2 服务方式：</w:t>
      </w:r>
      <w:r>
        <w:rPr>
          <w:rFonts w:hint="eastAsia" w:cs="宋体"/>
          <w:color w:val="auto"/>
          <w:sz w:val="24"/>
          <w:szCs w:val="24"/>
          <w:u w:val="single"/>
        </w:rPr>
        <w:t>上门服务或到院服务，具体根据甲方要求执行</w:t>
      </w:r>
    </w:p>
    <w:p>
      <w:pPr>
        <w:pStyle w:val="17"/>
        <w:snapToGrid w:val="0"/>
        <w:spacing w:line="500" w:lineRule="exact"/>
        <w:ind w:firstLine="480" w:firstLineChars="200"/>
        <w:rPr>
          <w:rFonts w:cs="宋体"/>
          <w:b/>
          <w:color w:val="auto"/>
          <w:sz w:val="24"/>
          <w:szCs w:val="24"/>
        </w:rPr>
      </w:pPr>
      <w:r>
        <w:rPr>
          <w:rFonts w:hint="eastAsia" w:cs="宋体"/>
          <w:bCs/>
          <w:color w:val="auto"/>
          <w:sz w:val="24"/>
          <w:szCs w:val="24"/>
        </w:rPr>
        <w:t>9.3 服务地点：</w:t>
      </w:r>
      <w:r>
        <w:rPr>
          <w:rFonts w:hint="eastAsia" w:cs="宋体"/>
          <w:color w:val="auto"/>
          <w:sz w:val="24"/>
          <w:szCs w:val="24"/>
          <w:u w:val="single"/>
        </w:rPr>
        <w:t>甲方指定地点</w:t>
      </w:r>
    </w:p>
    <w:p>
      <w:pPr>
        <w:pStyle w:val="17"/>
        <w:snapToGrid w:val="0"/>
        <w:spacing w:line="500" w:lineRule="exact"/>
        <w:ind w:firstLine="482" w:firstLineChars="200"/>
        <w:rPr>
          <w:rFonts w:cs="宋体"/>
          <w:b/>
          <w:color w:val="auto"/>
          <w:sz w:val="24"/>
          <w:szCs w:val="24"/>
        </w:rPr>
      </w:pPr>
      <w:r>
        <w:rPr>
          <w:rFonts w:hint="eastAsia" w:cs="宋体"/>
          <w:b/>
          <w:color w:val="auto"/>
          <w:sz w:val="24"/>
          <w:szCs w:val="24"/>
        </w:rPr>
        <w:t>十、合同价款支付</w:t>
      </w:r>
    </w:p>
    <w:p>
      <w:pPr>
        <w:spacing w:line="500" w:lineRule="exact"/>
        <w:ind w:firstLine="480" w:firstLineChars="200"/>
        <w:rPr>
          <w:rFonts w:ascii="宋体" w:hAnsi="宋体" w:cs="宋体"/>
          <w:color w:val="auto"/>
          <w:sz w:val="24"/>
          <w:u w:val="single"/>
        </w:rPr>
      </w:pPr>
      <w:r>
        <w:rPr>
          <w:rFonts w:hint="eastAsia" w:ascii="宋体" w:hAnsi="宋体" w:cs="宋体"/>
          <w:color w:val="auto"/>
          <w:sz w:val="24"/>
        </w:rPr>
        <w:t>10.1 付款方式：</w:t>
      </w:r>
      <w:r>
        <w:rPr>
          <w:rFonts w:hint="eastAsia" w:ascii="宋体" w:hAnsi="宋体" w:cs="宋体"/>
          <w:color w:val="auto"/>
          <w:sz w:val="24"/>
          <w:u w:val="single"/>
        </w:rPr>
        <w:t>按实际体检人数结算，体检结束后叁个月内结算。</w:t>
      </w:r>
    </w:p>
    <w:p>
      <w:pPr>
        <w:snapToGrid w:val="0"/>
        <w:spacing w:line="500" w:lineRule="exact"/>
        <w:ind w:firstLine="482" w:firstLineChars="200"/>
        <w:rPr>
          <w:rFonts w:ascii="宋体" w:hAnsi="宋体" w:cs="宋体"/>
          <w:b/>
          <w:color w:val="auto"/>
          <w:sz w:val="24"/>
        </w:rPr>
      </w:pPr>
      <w:r>
        <w:rPr>
          <w:rFonts w:hint="eastAsia" w:ascii="宋体" w:hAnsi="宋体" w:cs="宋体"/>
          <w:b/>
          <w:color w:val="auto"/>
          <w:sz w:val="24"/>
        </w:rPr>
        <w:t>十一、税费</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11.1本合同执行中相关的一切税费均由乙方负担。</w:t>
      </w:r>
    </w:p>
    <w:p>
      <w:pPr>
        <w:pStyle w:val="17"/>
        <w:snapToGrid w:val="0"/>
        <w:spacing w:line="500" w:lineRule="exact"/>
        <w:ind w:firstLine="482" w:firstLineChars="200"/>
        <w:rPr>
          <w:rFonts w:cs="宋体"/>
          <w:color w:val="auto"/>
          <w:sz w:val="24"/>
          <w:szCs w:val="24"/>
        </w:rPr>
      </w:pPr>
      <w:r>
        <w:rPr>
          <w:rFonts w:hint="eastAsia" w:cs="宋体"/>
          <w:b/>
          <w:color w:val="auto"/>
          <w:sz w:val="24"/>
          <w:szCs w:val="24"/>
        </w:rPr>
        <w:t>十二、质量保证及售后服务</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12.1 乙方应按招标文件规定的技术要求、质量标准向甲方提供专项体检服务。如果乙方服务质量不好，师生满意度低，甲方有权终止合同。</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12.2乙方要及时、准确，本着高度负责的态度和行为，严肃认真地为甲方教职工提供优质、高效地体检服务并做好保密工作。</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12.3乙方应组织有执业资格、经验丰富、三年以上职龄的医务人员对甲方参检职工进行体检，不得让没有资质的或没有经验的医务人员对甲方参检师生进行体检。</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12.4乙方对健康体检报告负责三个月。</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12.5参检师生发现健康问题需在医院就医诊疗，乙方应帮助联系专家、优先安排住院、预约检查等服务，并在一定范围内适度优惠。</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12.6对发现异常检测结果的相关人员，提出针对性对策建议；</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12.7配合甲方建立相关人员健康档案（提供电子版相关人员健康体检档案）；</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12.8根据甲方健康促进工作要求和体检结果，按学院、专业、性别等相关条件为甲方提供客观、准确、详细的评价分析报告，保证甲方全面了解相关人员的健康状况及常见病、慢性病、传染性疾病发病情况；</w:t>
      </w:r>
    </w:p>
    <w:p>
      <w:pPr>
        <w:snapToGrid w:val="0"/>
        <w:spacing w:line="500" w:lineRule="exact"/>
        <w:ind w:firstLine="480" w:firstLineChars="200"/>
        <w:rPr>
          <w:rFonts w:ascii="宋体" w:hAnsi="宋体" w:cs="宋体"/>
          <w:color w:val="auto"/>
          <w:sz w:val="24"/>
        </w:rPr>
      </w:pPr>
      <w:r>
        <w:rPr>
          <w:rFonts w:hint="eastAsia" w:ascii="宋体" w:hAnsi="宋体" w:cs="宋体"/>
          <w:color w:val="auto"/>
          <w:sz w:val="24"/>
        </w:rPr>
        <w:t>12.9如发现传染性或其他重大疾病应按有关规定向参检本人和甲方反馈。</w:t>
      </w:r>
    </w:p>
    <w:p>
      <w:pPr>
        <w:pStyle w:val="17"/>
        <w:snapToGrid w:val="0"/>
        <w:spacing w:line="500" w:lineRule="exact"/>
        <w:ind w:firstLine="482" w:firstLineChars="200"/>
        <w:rPr>
          <w:rFonts w:cs="宋体"/>
          <w:b/>
          <w:color w:val="auto"/>
          <w:sz w:val="24"/>
          <w:szCs w:val="24"/>
        </w:rPr>
      </w:pPr>
      <w:r>
        <w:rPr>
          <w:rFonts w:hint="eastAsia" w:cs="宋体"/>
          <w:b/>
          <w:color w:val="auto"/>
          <w:sz w:val="24"/>
          <w:szCs w:val="24"/>
        </w:rPr>
        <w:t>十三、不可抗力事件处理</w:t>
      </w:r>
    </w:p>
    <w:p>
      <w:pPr>
        <w:spacing w:line="500" w:lineRule="exact"/>
        <w:ind w:firstLine="480" w:firstLineChars="200"/>
        <w:rPr>
          <w:rFonts w:ascii="宋体" w:hAnsi="宋体" w:cs="宋体"/>
          <w:color w:val="auto"/>
          <w:sz w:val="24"/>
        </w:rPr>
      </w:pPr>
      <w:r>
        <w:rPr>
          <w:rFonts w:hint="eastAsia" w:ascii="宋体" w:hAnsi="宋体" w:cs="宋体"/>
          <w:color w:val="auto"/>
          <w:sz w:val="24"/>
        </w:rPr>
        <w:t>13.1 在合同有效期内，任何一方因不可抗力事件导致不能履行合同，则合同履行期可延长，其延长期与不可抗力影响期相同。</w:t>
      </w:r>
    </w:p>
    <w:p>
      <w:pPr>
        <w:spacing w:line="500" w:lineRule="exact"/>
        <w:ind w:firstLine="480" w:firstLineChars="200"/>
        <w:rPr>
          <w:rFonts w:ascii="宋体" w:hAnsi="宋体" w:cs="宋体"/>
          <w:color w:val="auto"/>
          <w:sz w:val="24"/>
        </w:rPr>
      </w:pPr>
      <w:r>
        <w:rPr>
          <w:rFonts w:hint="eastAsia" w:ascii="宋体" w:hAnsi="宋体" w:cs="宋体"/>
          <w:color w:val="auto"/>
          <w:sz w:val="24"/>
        </w:rPr>
        <w:t>13.2 不可抗力事件发生后，应立即通知对方，并寄送有关权威机构出具的证明。</w:t>
      </w:r>
    </w:p>
    <w:p>
      <w:pPr>
        <w:spacing w:line="500" w:lineRule="exact"/>
        <w:ind w:firstLine="480" w:firstLineChars="200"/>
        <w:rPr>
          <w:rFonts w:ascii="宋体" w:hAnsi="宋体" w:cs="宋体"/>
          <w:color w:val="auto"/>
          <w:sz w:val="24"/>
        </w:rPr>
      </w:pPr>
      <w:r>
        <w:rPr>
          <w:rFonts w:hint="eastAsia" w:ascii="宋体" w:hAnsi="宋体" w:cs="宋体"/>
          <w:color w:val="auto"/>
          <w:sz w:val="24"/>
        </w:rPr>
        <w:t>13.3 不可抗力事件延续120天以上，双方应通过友好协商，确定是否继续履行合同。</w:t>
      </w:r>
    </w:p>
    <w:p>
      <w:pPr>
        <w:pStyle w:val="17"/>
        <w:snapToGrid w:val="0"/>
        <w:spacing w:line="500" w:lineRule="exact"/>
        <w:ind w:firstLine="482" w:firstLineChars="200"/>
        <w:rPr>
          <w:rFonts w:cs="宋体"/>
          <w:b/>
          <w:color w:val="auto"/>
          <w:sz w:val="24"/>
          <w:szCs w:val="24"/>
        </w:rPr>
      </w:pPr>
      <w:r>
        <w:rPr>
          <w:rFonts w:hint="eastAsia" w:cs="宋体"/>
          <w:b/>
          <w:color w:val="auto"/>
          <w:sz w:val="24"/>
          <w:szCs w:val="24"/>
        </w:rPr>
        <w:t>十四、诉讼</w:t>
      </w:r>
    </w:p>
    <w:p>
      <w:pPr>
        <w:spacing w:line="500" w:lineRule="exact"/>
        <w:ind w:firstLine="480" w:firstLineChars="200"/>
        <w:rPr>
          <w:rFonts w:ascii="宋体" w:hAnsi="宋体" w:cs="宋体"/>
          <w:color w:val="auto"/>
          <w:sz w:val="24"/>
        </w:rPr>
      </w:pPr>
      <w:r>
        <w:rPr>
          <w:rFonts w:hint="eastAsia" w:ascii="宋体" w:hAnsi="宋体" w:cs="宋体"/>
          <w:color w:val="auto"/>
          <w:sz w:val="24"/>
        </w:rPr>
        <w:t>14.1 双方在执行合同中所发生的一切争议，应通过协商解决。如协商不成，可向合同签订地法院起诉，合同签订地在此约定为盐城市。</w:t>
      </w:r>
    </w:p>
    <w:p>
      <w:pPr>
        <w:pStyle w:val="17"/>
        <w:snapToGrid w:val="0"/>
        <w:spacing w:line="500" w:lineRule="exact"/>
        <w:ind w:firstLine="482" w:firstLineChars="200"/>
        <w:rPr>
          <w:rFonts w:cs="宋体"/>
          <w:b/>
          <w:color w:val="auto"/>
          <w:sz w:val="24"/>
          <w:szCs w:val="24"/>
        </w:rPr>
      </w:pPr>
      <w:r>
        <w:rPr>
          <w:rFonts w:hint="eastAsia" w:cs="宋体"/>
          <w:b/>
          <w:color w:val="auto"/>
          <w:sz w:val="24"/>
          <w:szCs w:val="24"/>
        </w:rPr>
        <w:t>十五、合同生效及其它</w:t>
      </w:r>
    </w:p>
    <w:p>
      <w:pPr>
        <w:spacing w:line="500" w:lineRule="exact"/>
        <w:ind w:firstLine="480" w:firstLineChars="200"/>
        <w:rPr>
          <w:rFonts w:ascii="宋体" w:hAnsi="宋体" w:cs="宋体"/>
          <w:color w:val="auto"/>
          <w:sz w:val="24"/>
        </w:rPr>
      </w:pPr>
      <w:r>
        <w:rPr>
          <w:rFonts w:hint="eastAsia" w:ascii="宋体" w:hAnsi="宋体" w:cs="宋体"/>
          <w:color w:val="auto"/>
          <w:sz w:val="24"/>
        </w:rPr>
        <w:t>15.1 合同经双方法定代表人或授权委托代表人签字并加盖单位公章后生效。</w:t>
      </w:r>
    </w:p>
    <w:p>
      <w:pPr>
        <w:spacing w:line="500" w:lineRule="exact"/>
        <w:ind w:firstLine="480" w:firstLineChars="200"/>
        <w:rPr>
          <w:rFonts w:ascii="宋体" w:hAnsi="宋体" w:cs="宋体"/>
          <w:color w:val="auto"/>
          <w:sz w:val="24"/>
        </w:rPr>
      </w:pPr>
      <w:r>
        <w:rPr>
          <w:rFonts w:hint="eastAsia" w:ascii="宋体" w:hAnsi="宋体" w:cs="宋体"/>
          <w:color w:val="auto"/>
          <w:sz w:val="24"/>
        </w:rPr>
        <w:t>15.2本合同未尽事宜，遵照《合同法》有关条文执行。</w:t>
      </w:r>
    </w:p>
    <w:p>
      <w:pPr>
        <w:spacing w:line="500" w:lineRule="exact"/>
        <w:ind w:firstLine="480" w:firstLineChars="200"/>
        <w:rPr>
          <w:rFonts w:ascii="宋体" w:hAnsi="宋体" w:cs="宋体"/>
          <w:color w:val="auto"/>
          <w:sz w:val="24"/>
        </w:rPr>
      </w:pPr>
      <w:r>
        <w:rPr>
          <w:rFonts w:hint="eastAsia" w:ascii="宋体" w:hAnsi="宋体" w:cs="宋体"/>
          <w:color w:val="auto"/>
          <w:sz w:val="24"/>
        </w:rPr>
        <w:t>15.3 本合同正本一式二份，副本一式六份，具有同等法律效力。</w:t>
      </w:r>
    </w:p>
    <w:p>
      <w:pPr>
        <w:pStyle w:val="17"/>
        <w:snapToGrid w:val="0"/>
        <w:spacing w:line="500" w:lineRule="exact"/>
        <w:ind w:firstLine="480" w:firstLineChars="200"/>
        <w:rPr>
          <w:rFonts w:cs="宋体"/>
          <w:color w:val="auto"/>
          <w:sz w:val="24"/>
          <w:szCs w:val="24"/>
        </w:rPr>
      </w:pPr>
    </w:p>
    <w:p>
      <w:pPr>
        <w:pStyle w:val="17"/>
        <w:snapToGrid w:val="0"/>
        <w:spacing w:line="500" w:lineRule="exact"/>
        <w:ind w:firstLine="720" w:firstLineChars="300"/>
        <w:rPr>
          <w:rFonts w:cs="宋体"/>
          <w:color w:val="auto"/>
          <w:sz w:val="24"/>
          <w:szCs w:val="24"/>
        </w:rPr>
      </w:pPr>
      <w:r>
        <w:rPr>
          <w:rFonts w:hint="eastAsia" w:cs="宋体"/>
          <w:color w:val="auto"/>
          <w:sz w:val="24"/>
          <w:szCs w:val="24"/>
        </w:rPr>
        <w:t xml:space="preserve">甲方：                                   乙方： </w:t>
      </w:r>
    </w:p>
    <w:p>
      <w:pPr>
        <w:pStyle w:val="17"/>
        <w:snapToGrid w:val="0"/>
        <w:spacing w:line="500" w:lineRule="exact"/>
        <w:ind w:firstLine="480" w:firstLineChars="200"/>
        <w:rPr>
          <w:rFonts w:cs="宋体"/>
          <w:color w:val="auto"/>
          <w:sz w:val="24"/>
          <w:szCs w:val="24"/>
        </w:rPr>
      </w:pPr>
      <w:r>
        <w:rPr>
          <w:rFonts w:hint="eastAsia" w:cs="宋体"/>
          <w:color w:val="auto"/>
          <w:sz w:val="24"/>
          <w:szCs w:val="24"/>
        </w:rPr>
        <w:t xml:space="preserve">  地址：                                   地址： </w:t>
      </w:r>
    </w:p>
    <w:p>
      <w:pPr>
        <w:pStyle w:val="17"/>
        <w:snapToGrid w:val="0"/>
        <w:spacing w:line="500" w:lineRule="exact"/>
        <w:ind w:firstLine="480" w:firstLineChars="200"/>
        <w:rPr>
          <w:rFonts w:cs="宋体"/>
          <w:color w:val="auto"/>
          <w:sz w:val="24"/>
          <w:szCs w:val="24"/>
        </w:rPr>
      </w:pPr>
      <w:r>
        <w:rPr>
          <w:rFonts w:hint="eastAsia" w:cs="宋体"/>
          <w:color w:val="auto"/>
          <w:sz w:val="24"/>
          <w:szCs w:val="24"/>
        </w:rPr>
        <w:t xml:space="preserve">  法定代表人或授权代表：                   法定代表人或授权代表：</w:t>
      </w:r>
    </w:p>
    <w:p>
      <w:pPr>
        <w:pStyle w:val="17"/>
        <w:snapToGrid w:val="0"/>
        <w:spacing w:line="500" w:lineRule="exact"/>
        <w:ind w:firstLine="480" w:firstLineChars="200"/>
        <w:rPr>
          <w:rFonts w:cs="宋体"/>
          <w:color w:val="auto"/>
          <w:sz w:val="24"/>
          <w:szCs w:val="24"/>
        </w:rPr>
      </w:pPr>
      <w:r>
        <w:rPr>
          <w:rFonts w:hint="eastAsia" w:cs="宋体"/>
          <w:color w:val="auto"/>
          <w:sz w:val="24"/>
          <w:szCs w:val="24"/>
        </w:rPr>
        <w:t xml:space="preserve">  采购单位负责人：</w:t>
      </w:r>
    </w:p>
    <w:p>
      <w:pPr>
        <w:pStyle w:val="17"/>
        <w:snapToGrid w:val="0"/>
        <w:spacing w:line="500" w:lineRule="exact"/>
        <w:ind w:firstLine="720" w:firstLineChars="300"/>
        <w:rPr>
          <w:rFonts w:cs="宋体"/>
          <w:color w:val="auto"/>
          <w:sz w:val="24"/>
          <w:szCs w:val="24"/>
        </w:rPr>
      </w:pPr>
      <w:r>
        <w:rPr>
          <w:rFonts w:hint="eastAsia" w:cs="宋体"/>
          <w:color w:val="auto"/>
          <w:sz w:val="24"/>
          <w:szCs w:val="24"/>
        </w:rPr>
        <w:t>联系电话：                               联系电话：</w:t>
      </w:r>
    </w:p>
    <w:p>
      <w:pPr>
        <w:pStyle w:val="17"/>
        <w:snapToGrid w:val="0"/>
        <w:spacing w:line="500" w:lineRule="exact"/>
        <w:ind w:firstLine="480" w:firstLineChars="200"/>
        <w:rPr>
          <w:rFonts w:cs="宋体"/>
          <w:color w:val="auto"/>
          <w:sz w:val="24"/>
          <w:szCs w:val="24"/>
        </w:rPr>
      </w:pPr>
    </w:p>
    <w:p>
      <w:pPr>
        <w:pStyle w:val="17"/>
        <w:snapToGrid w:val="0"/>
        <w:spacing w:before="120" w:after="120" w:line="500" w:lineRule="exact"/>
        <w:rPr>
          <w:rFonts w:cs="宋体"/>
          <w:color w:val="auto"/>
          <w:sz w:val="24"/>
          <w:szCs w:val="24"/>
        </w:rPr>
      </w:pPr>
    </w:p>
    <w:p>
      <w:pPr>
        <w:pStyle w:val="17"/>
        <w:snapToGrid w:val="0"/>
        <w:spacing w:before="120" w:after="120" w:line="500" w:lineRule="exact"/>
        <w:rPr>
          <w:rFonts w:cs="宋体"/>
          <w:color w:val="auto"/>
          <w:sz w:val="24"/>
          <w:szCs w:val="24"/>
        </w:rPr>
      </w:pPr>
      <w:r>
        <w:rPr>
          <w:rFonts w:hint="eastAsia" w:cs="宋体"/>
          <w:color w:val="auto"/>
          <w:sz w:val="24"/>
          <w:szCs w:val="24"/>
        </w:rPr>
        <w:t xml:space="preserve">  签订日期：      年  月  日</w:t>
      </w:r>
    </w:p>
    <w:p>
      <w:pPr>
        <w:pStyle w:val="5"/>
        <w:spacing w:line="500" w:lineRule="exact"/>
        <w:rPr>
          <w:color w:val="auto"/>
        </w:rPr>
      </w:pPr>
    </w:p>
    <w:p>
      <w:pPr>
        <w:pStyle w:val="4"/>
        <w:spacing w:line="360" w:lineRule="auto"/>
        <w:ind w:firstLine="3300" w:firstLineChars="750"/>
        <w:jc w:val="both"/>
        <w:rPr>
          <w:rFonts w:ascii="黑体" w:eastAsia="黑体" w:cs="Arial"/>
          <w:b w:val="0"/>
          <w:bCs/>
          <w:color w:val="auto"/>
          <w:szCs w:val="44"/>
        </w:rPr>
      </w:pPr>
      <w:r>
        <w:rPr>
          <w:rFonts w:ascii="黑体" w:eastAsia="黑体" w:cs="Arial"/>
          <w:b w:val="0"/>
          <w:bCs/>
          <w:color w:val="auto"/>
          <w:szCs w:val="44"/>
        </w:rPr>
        <w:br w:type="page"/>
      </w:r>
      <w:r>
        <w:rPr>
          <w:rFonts w:hint="eastAsia" w:ascii="黑体" w:eastAsia="黑体" w:cs="Arial"/>
          <w:b w:val="0"/>
          <w:bCs/>
          <w:color w:val="auto"/>
          <w:szCs w:val="44"/>
        </w:rPr>
        <w:t>第四章项目需求</w:t>
      </w:r>
      <w:bookmarkStart w:id="110" w:name="_Toc23828480"/>
      <w:bookmarkStart w:id="111" w:name="_Toc61149622"/>
      <w:bookmarkStart w:id="112" w:name="_Toc26554097"/>
    </w:p>
    <w:p>
      <w:pPr>
        <w:spacing w:line="440" w:lineRule="exact"/>
        <w:jc w:val="left"/>
        <w:rPr>
          <w:rFonts w:ascii="宋体" w:hAnsi="宋体" w:cs="宋体"/>
          <w:color w:val="auto"/>
          <w:sz w:val="24"/>
        </w:rPr>
      </w:pPr>
      <w:r>
        <w:rPr>
          <w:rFonts w:hint="eastAsia" w:ascii="宋体" w:hAnsi="宋体" w:cs="宋体"/>
          <w:color w:val="auto"/>
          <w:sz w:val="24"/>
        </w:rPr>
        <w:t>一、医院</w:t>
      </w:r>
    </w:p>
    <w:p>
      <w:pPr>
        <w:spacing w:line="440" w:lineRule="exact"/>
        <w:ind w:firstLine="600"/>
        <w:jc w:val="left"/>
        <w:rPr>
          <w:rFonts w:ascii="宋体" w:hAnsi="宋体" w:cs="宋体"/>
          <w:color w:val="auto"/>
          <w:sz w:val="24"/>
        </w:rPr>
      </w:pPr>
      <w:r>
        <w:rPr>
          <w:rFonts w:hint="eastAsia" w:ascii="宋体" w:hAnsi="宋体" w:cs="宋体"/>
          <w:color w:val="auto"/>
          <w:sz w:val="24"/>
        </w:rPr>
        <w:t>盐城市区三级甲等综合性医院。</w:t>
      </w:r>
    </w:p>
    <w:p>
      <w:pPr>
        <w:spacing w:line="440" w:lineRule="exact"/>
        <w:jc w:val="left"/>
        <w:rPr>
          <w:rFonts w:ascii="宋体" w:hAnsi="宋体" w:cs="宋体"/>
          <w:color w:val="auto"/>
          <w:sz w:val="24"/>
        </w:rPr>
      </w:pPr>
      <w:r>
        <w:rPr>
          <w:rFonts w:hint="eastAsia" w:ascii="宋体" w:hAnsi="宋体" w:cs="宋体"/>
          <w:color w:val="auto"/>
          <w:sz w:val="24"/>
        </w:rPr>
        <w:t>二、技术及相关要求</w:t>
      </w:r>
    </w:p>
    <w:p>
      <w:pPr>
        <w:spacing w:line="440" w:lineRule="exact"/>
        <w:ind w:firstLine="480" w:firstLineChars="200"/>
        <w:rPr>
          <w:rFonts w:ascii="宋体" w:hAnsi="宋体" w:cs="宋体"/>
          <w:color w:val="auto"/>
          <w:sz w:val="24"/>
        </w:rPr>
      </w:pPr>
      <w:r>
        <w:rPr>
          <w:rFonts w:hint="eastAsia" w:ascii="宋体" w:hAnsi="宋体" w:cs="宋体"/>
          <w:color w:val="auto"/>
          <w:kern w:val="0"/>
          <w:sz w:val="24"/>
        </w:rPr>
        <w:t>1、医院要及时、准确，本着高度负责的态度和</w:t>
      </w:r>
      <w:r>
        <w:rPr>
          <w:rFonts w:hint="eastAsia" w:ascii="宋体" w:hAnsi="宋体" w:cs="宋体"/>
          <w:color w:val="auto"/>
          <w:sz w:val="24"/>
        </w:rPr>
        <w:t>行为，严肃认真地为我校教职工提供优质、高效地体检服务并做好保密工作。</w:t>
      </w:r>
    </w:p>
    <w:p>
      <w:pPr>
        <w:spacing w:line="44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kern w:val="0"/>
          <w:sz w:val="24"/>
        </w:rPr>
        <w:t>医院</w:t>
      </w:r>
      <w:r>
        <w:rPr>
          <w:rFonts w:hint="eastAsia" w:ascii="宋体" w:hAnsi="宋体" w:cs="宋体"/>
          <w:color w:val="auto"/>
          <w:sz w:val="24"/>
        </w:rPr>
        <w:t>应组织有执业资格、经验丰富、三年以上职龄的医务人员对我校参检职工进行体检，不得让没有资质的或没有经验的医务人员对我校参检师生进行体检。</w:t>
      </w:r>
    </w:p>
    <w:p>
      <w:pPr>
        <w:spacing w:line="440" w:lineRule="exact"/>
        <w:ind w:firstLine="480" w:firstLineChars="200"/>
        <w:jc w:val="left"/>
        <w:rPr>
          <w:rFonts w:ascii="宋体" w:hAnsi="宋体" w:cs="宋体"/>
          <w:color w:val="auto"/>
          <w:sz w:val="24"/>
        </w:rPr>
      </w:pPr>
      <w:r>
        <w:rPr>
          <w:rFonts w:hint="eastAsia" w:ascii="宋体" w:hAnsi="宋体" w:cs="宋体"/>
          <w:color w:val="auto"/>
          <w:kern w:val="0"/>
          <w:sz w:val="24"/>
        </w:rPr>
        <w:t>3、医院</w:t>
      </w:r>
      <w:r>
        <w:rPr>
          <w:rFonts w:hint="eastAsia" w:ascii="宋体" w:hAnsi="宋体" w:cs="宋体"/>
          <w:color w:val="auto"/>
          <w:sz w:val="24"/>
        </w:rPr>
        <w:t>对健康体检报告负责三个月。</w:t>
      </w:r>
    </w:p>
    <w:p>
      <w:pPr>
        <w:spacing w:line="440" w:lineRule="exact"/>
        <w:jc w:val="left"/>
        <w:rPr>
          <w:rFonts w:ascii="宋体" w:hAnsi="宋体" w:cs="宋体"/>
          <w:color w:val="auto"/>
          <w:sz w:val="24"/>
        </w:rPr>
      </w:pPr>
      <w:r>
        <w:rPr>
          <w:rFonts w:hint="eastAsia" w:ascii="宋体" w:hAnsi="宋体" w:cs="宋体"/>
          <w:color w:val="auto"/>
          <w:sz w:val="24"/>
        </w:rPr>
        <w:t>三、服务项目及费用</w:t>
      </w:r>
    </w:p>
    <w:p>
      <w:pPr>
        <w:spacing w:line="440" w:lineRule="exact"/>
        <w:ind w:firstLine="480" w:firstLineChars="200"/>
        <w:jc w:val="left"/>
        <w:rPr>
          <w:rFonts w:ascii="宋体" w:hAnsi="宋体" w:cs="宋体"/>
          <w:color w:val="auto"/>
          <w:sz w:val="24"/>
        </w:rPr>
      </w:pPr>
      <w:r>
        <w:rPr>
          <w:rFonts w:hint="eastAsia" w:ascii="宋体" w:hAnsi="宋体" w:cs="宋体"/>
          <w:color w:val="auto"/>
          <w:sz w:val="24"/>
        </w:rPr>
        <w:t>1、教职工体检项目及费用按三种方案实施（1）副教授及副教授之下人员的体检方案具体见附表1，其中男同志费用不得超过</w:t>
      </w:r>
      <w:r>
        <w:rPr>
          <w:rFonts w:hint="eastAsia" w:ascii="宋体" w:hAnsi="宋体" w:cs="宋体"/>
          <w:color w:val="auto"/>
          <w:kern w:val="0"/>
          <w:sz w:val="24"/>
        </w:rPr>
        <w:t>835元</w:t>
      </w:r>
      <w:r>
        <w:rPr>
          <w:rFonts w:hint="eastAsia" w:ascii="宋体" w:hAnsi="宋体" w:cs="宋体"/>
          <w:color w:val="auto"/>
          <w:sz w:val="24"/>
        </w:rPr>
        <w:t>，女同志费用不得超过</w:t>
      </w:r>
      <w:r>
        <w:rPr>
          <w:rFonts w:hint="eastAsia" w:ascii="宋体" w:hAnsi="宋体" w:cs="宋体"/>
          <w:color w:val="auto"/>
          <w:kern w:val="0"/>
          <w:sz w:val="24"/>
        </w:rPr>
        <w:t>1185元</w:t>
      </w:r>
      <w:r>
        <w:rPr>
          <w:rFonts w:hint="eastAsia" w:ascii="宋体" w:hAnsi="宋体" w:cs="宋体"/>
          <w:color w:val="auto"/>
          <w:sz w:val="24"/>
        </w:rPr>
        <w:t>。（2）教授人员体检方案具体见附表2，其中男同志不得超过1050元，女同志费用不得超过1400元。（3）校领导（含退休）体检方案见附表3，其中男同志不得超过2050元，女同志费用不得超过2400元。</w:t>
      </w:r>
    </w:p>
    <w:p>
      <w:pPr>
        <w:spacing w:line="440" w:lineRule="exact"/>
        <w:ind w:firstLine="480" w:firstLineChars="200"/>
        <w:rPr>
          <w:rFonts w:ascii="宋体" w:hAnsi="宋体" w:cs="宋体"/>
          <w:color w:val="auto"/>
          <w:sz w:val="24"/>
        </w:rPr>
      </w:pPr>
      <w:r>
        <w:rPr>
          <w:rFonts w:hint="eastAsia" w:ascii="宋体" w:hAnsi="宋体" w:cs="宋体"/>
          <w:color w:val="auto"/>
          <w:sz w:val="24"/>
        </w:rPr>
        <w:t>2、体检费用包含：（1）检查费；（2）材料费；（3）所有参检人员的劳务费。</w:t>
      </w:r>
    </w:p>
    <w:p>
      <w:pPr>
        <w:spacing w:line="440" w:lineRule="exact"/>
        <w:ind w:firstLine="480" w:firstLineChars="200"/>
        <w:rPr>
          <w:rFonts w:ascii="宋体" w:hAnsi="宋体" w:cs="宋体"/>
          <w:color w:val="auto"/>
          <w:sz w:val="24"/>
        </w:rPr>
      </w:pPr>
      <w:r>
        <w:rPr>
          <w:rFonts w:hint="eastAsia" w:ascii="宋体" w:hAnsi="宋体" w:cs="宋体"/>
          <w:color w:val="auto"/>
          <w:sz w:val="24"/>
        </w:rPr>
        <w:t>3、体检费用结算：按实际体检人数结算，体检结束后叁个月内结算。</w:t>
      </w:r>
    </w:p>
    <w:p>
      <w:pPr>
        <w:spacing w:line="440" w:lineRule="exact"/>
        <w:rPr>
          <w:rFonts w:ascii="宋体" w:hAnsi="宋体" w:cs="宋体"/>
          <w:color w:val="auto"/>
          <w:sz w:val="24"/>
        </w:rPr>
      </w:pPr>
      <w:r>
        <w:rPr>
          <w:rFonts w:hint="eastAsia" w:ascii="宋体" w:hAnsi="宋体" w:cs="宋体"/>
          <w:color w:val="auto"/>
          <w:sz w:val="24"/>
        </w:rPr>
        <w:t>四、后续服务</w:t>
      </w:r>
    </w:p>
    <w:p>
      <w:pPr>
        <w:spacing w:line="440" w:lineRule="exact"/>
        <w:ind w:firstLine="480" w:firstLineChars="200"/>
        <w:rPr>
          <w:rFonts w:ascii="宋体" w:hAnsi="宋体" w:cs="宋体"/>
          <w:color w:val="auto"/>
          <w:sz w:val="24"/>
        </w:rPr>
      </w:pPr>
      <w:r>
        <w:rPr>
          <w:rFonts w:hint="eastAsia" w:ascii="宋体" w:hAnsi="宋体" w:cs="宋体"/>
          <w:color w:val="auto"/>
          <w:sz w:val="24"/>
        </w:rPr>
        <w:t>参检职工发现健康问题需在医院就医诊疗，医院应帮助联系专家、优先安排住院、预约检查等服务，并在一定范围内适度优惠。</w:t>
      </w:r>
    </w:p>
    <w:p>
      <w:pPr>
        <w:spacing w:line="440" w:lineRule="exact"/>
        <w:ind w:firstLine="480" w:firstLineChars="200"/>
        <w:rPr>
          <w:rFonts w:ascii="宋体" w:hAnsi="宋体" w:cs="宋体"/>
          <w:color w:val="auto"/>
          <w:sz w:val="24"/>
        </w:rPr>
      </w:pPr>
    </w:p>
    <w:tbl>
      <w:tblPr>
        <w:tblStyle w:val="35"/>
        <w:tblW w:w="9945" w:type="dxa"/>
        <w:tblInd w:w="0" w:type="dxa"/>
        <w:tblLayout w:type="autofit"/>
        <w:tblCellMar>
          <w:top w:w="0" w:type="dxa"/>
          <w:left w:w="0" w:type="dxa"/>
          <w:bottom w:w="0" w:type="dxa"/>
          <w:right w:w="0" w:type="dxa"/>
        </w:tblCellMar>
      </w:tblPr>
      <w:tblGrid>
        <w:gridCol w:w="1800"/>
        <w:gridCol w:w="480"/>
        <w:gridCol w:w="105"/>
        <w:gridCol w:w="7425"/>
        <w:gridCol w:w="90"/>
        <w:gridCol w:w="45"/>
      </w:tblGrid>
      <w:tr>
        <w:tblPrEx>
          <w:tblCellMar>
            <w:top w:w="0" w:type="dxa"/>
            <w:left w:w="0" w:type="dxa"/>
            <w:bottom w:w="0" w:type="dxa"/>
            <w:right w:w="0" w:type="dxa"/>
          </w:tblCellMar>
        </w:tblPrEx>
        <w:trPr>
          <w:trHeight w:val="375" w:hRule="atLeast"/>
        </w:trPr>
        <w:tc>
          <w:tcPr>
            <w:tcW w:w="1800" w:type="dxa"/>
            <w:tcBorders>
              <w:top w:val="nil"/>
              <w:left w:val="nil"/>
              <w:bottom w:val="nil"/>
              <w:right w:val="nil"/>
            </w:tcBorders>
            <w:shd w:val="clear" w:color="auto" w:fill="auto"/>
            <w:noWrap/>
            <w:tcMar>
              <w:top w:w="15" w:type="dxa"/>
              <w:left w:w="15" w:type="dxa"/>
              <w:right w:w="15" w:type="dxa"/>
            </w:tcMar>
            <w:vAlign w:val="center"/>
          </w:tcPr>
          <w:p>
            <w:pPr>
              <w:widowControl/>
              <w:spacing w:line="440" w:lineRule="exact"/>
              <w:jc w:val="left"/>
              <w:textAlignment w:val="center"/>
              <w:rPr>
                <w:rFonts w:ascii="宋体" w:hAnsi="宋体" w:cs="宋体"/>
                <w:color w:val="auto"/>
                <w:sz w:val="24"/>
              </w:rPr>
            </w:pPr>
            <w:r>
              <w:rPr>
                <w:rFonts w:hint="eastAsia" w:ascii="宋体" w:hAnsi="宋体" w:cs="宋体"/>
                <w:color w:val="auto"/>
                <w:kern w:val="0"/>
                <w:sz w:val="24"/>
              </w:rPr>
              <w:t>附表1</w:t>
            </w:r>
          </w:p>
        </w:tc>
        <w:tc>
          <w:tcPr>
            <w:tcW w:w="8145" w:type="dxa"/>
            <w:gridSpan w:val="5"/>
            <w:tcBorders>
              <w:top w:val="nil"/>
              <w:left w:val="nil"/>
              <w:bottom w:val="nil"/>
              <w:right w:val="nil"/>
            </w:tcBorders>
            <w:shd w:val="clear" w:color="auto" w:fill="auto"/>
            <w:noWrap/>
            <w:tcMar>
              <w:top w:w="15" w:type="dxa"/>
              <w:left w:w="15" w:type="dxa"/>
              <w:right w:w="15" w:type="dxa"/>
            </w:tcMar>
            <w:vAlign w:val="center"/>
          </w:tcPr>
          <w:p>
            <w:pPr>
              <w:spacing w:line="440" w:lineRule="exact"/>
              <w:jc w:val="center"/>
              <w:rPr>
                <w:rFonts w:ascii="宋体" w:hAnsi="宋体" w:cs="宋体"/>
                <w:color w:val="auto"/>
                <w:sz w:val="24"/>
              </w:rPr>
            </w:pPr>
          </w:p>
        </w:tc>
      </w:tr>
      <w:tr>
        <w:tblPrEx>
          <w:tblCellMar>
            <w:top w:w="0" w:type="dxa"/>
            <w:left w:w="0" w:type="dxa"/>
            <w:bottom w:w="0" w:type="dxa"/>
            <w:right w:w="0" w:type="dxa"/>
          </w:tblCellMar>
        </w:tblPrEx>
        <w:trPr>
          <w:trHeight w:val="582" w:hRule="atLeast"/>
        </w:trPr>
        <w:tc>
          <w:tcPr>
            <w:tcW w:w="9945" w:type="dxa"/>
            <w:gridSpan w:val="6"/>
            <w:tcBorders>
              <w:top w:val="nil"/>
              <w:left w:val="nil"/>
              <w:bottom w:val="nil"/>
              <w:right w:val="nil"/>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盐城工业职业技术学院2020年副教授及以下职工体检项目</w:t>
            </w:r>
          </w:p>
        </w:tc>
      </w:tr>
      <w:tr>
        <w:tblPrEx>
          <w:tblCellMar>
            <w:top w:w="0" w:type="dxa"/>
            <w:left w:w="0" w:type="dxa"/>
            <w:bottom w:w="0" w:type="dxa"/>
            <w:right w:w="0" w:type="dxa"/>
          </w:tblCellMar>
        </w:tblPrEx>
        <w:trPr>
          <w:trHeight w:val="42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项目</w:t>
            </w: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内容</w:t>
            </w:r>
          </w:p>
        </w:tc>
      </w:tr>
      <w:tr>
        <w:tblPrEx>
          <w:tblCellMar>
            <w:top w:w="0" w:type="dxa"/>
            <w:left w:w="0" w:type="dxa"/>
            <w:bottom w:w="0" w:type="dxa"/>
            <w:right w:w="0" w:type="dxa"/>
          </w:tblCellMar>
        </w:tblPrEx>
        <w:trPr>
          <w:trHeight w:val="420"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基</w:t>
            </w:r>
            <w:r>
              <w:rPr>
                <w:rFonts w:hint="eastAsia" w:ascii="宋体" w:hAnsi="宋体" w:cs="宋体"/>
                <w:color w:val="auto"/>
                <w:kern w:val="0"/>
                <w:sz w:val="24"/>
              </w:rPr>
              <w:br w:type="textWrapping"/>
            </w:r>
            <w:r>
              <w:rPr>
                <w:rFonts w:hint="eastAsia" w:ascii="宋体" w:hAnsi="宋体" w:cs="宋体"/>
                <w:color w:val="auto"/>
                <w:kern w:val="0"/>
                <w:sz w:val="24"/>
              </w:rPr>
              <w:t>础</w:t>
            </w:r>
            <w:r>
              <w:rPr>
                <w:rFonts w:hint="eastAsia" w:ascii="宋体" w:hAnsi="宋体" w:cs="宋体"/>
                <w:color w:val="auto"/>
                <w:kern w:val="0"/>
                <w:sz w:val="24"/>
              </w:rPr>
              <w:br w:type="textWrapping"/>
            </w:r>
            <w:r>
              <w:rPr>
                <w:rFonts w:hint="eastAsia" w:ascii="宋体" w:hAnsi="宋体" w:cs="宋体"/>
                <w:color w:val="auto"/>
                <w:kern w:val="0"/>
                <w:sz w:val="24"/>
              </w:rPr>
              <w:t>项</w:t>
            </w:r>
            <w:r>
              <w:rPr>
                <w:rFonts w:hint="eastAsia" w:ascii="宋体" w:hAnsi="宋体" w:cs="宋体"/>
                <w:color w:val="auto"/>
                <w:kern w:val="0"/>
                <w:sz w:val="24"/>
              </w:rPr>
              <w:br w:type="textWrapping"/>
            </w:r>
            <w:r>
              <w:rPr>
                <w:rFonts w:hint="eastAsia" w:ascii="宋体" w:hAnsi="宋体" w:cs="宋体"/>
                <w:color w:val="auto"/>
                <w:kern w:val="0"/>
                <w:sz w:val="24"/>
              </w:rPr>
              <w:t>目</w:t>
            </w: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内科</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身高、体重、血压</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外科</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眼科</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耳鼻喉科检查</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口腔科</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妇科检查</w:t>
            </w:r>
          </w:p>
        </w:tc>
      </w:tr>
      <w:tr>
        <w:tblPrEx>
          <w:tblCellMar>
            <w:top w:w="0" w:type="dxa"/>
            <w:left w:w="0" w:type="dxa"/>
            <w:bottom w:w="0" w:type="dxa"/>
            <w:right w:w="0" w:type="dxa"/>
          </w:tblCellMar>
        </w:tblPrEx>
        <w:trPr>
          <w:trHeight w:val="42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心电图</w:t>
            </w: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静态心电图（ECG)</w:t>
            </w:r>
          </w:p>
        </w:tc>
      </w:tr>
      <w:tr>
        <w:tblPrEx>
          <w:tblCellMar>
            <w:top w:w="0" w:type="dxa"/>
            <w:left w:w="0" w:type="dxa"/>
            <w:bottom w:w="0" w:type="dxa"/>
            <w:right w:w="0" w:type="dxa"/>
          </w:tblCellMar>
        </w:tblPrEx>
        <w:trPr>
          <w:trHeight w:val="420"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全胸CT</w:t>
            </w: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CT检查（胸部）</w:t>
            </w:r>
          </w:p>
        </w:tc>
      </w:tr>
      <w:tr>
        <w:tblPrEx>
          <w:tblCellMar>
            <w:top w:w="0" w:type="dxa"/>
            <w:left w:w="0" w:type="dxa"/>
            <w:bottom w:w="0" w:type="dxa"/>
            <w:right w:w="0" w:type="dxa"/>
          </w:tblCellMar>
        </w:tblPrEx>
        <w:trPr>
          <w:trHeight w:val="360" w:hRule="atLeast"/>
        </w:trPr>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B</w:t>
            </w:r>
            <w:r>
              <w:rPr>
                <w:rFonts w:hint="eastAsia" w:ascii="宋体" w:hAnsi="宋体" w:cs="宋体"/>
                <w:color w:val="auto"/>
                <w:kern w:val="0"/>
                <w:sz w:val="24"/>
              </w:rPr>
              <w:br w:type="textWrapping"/>
            </w:r>
            <w:r>
              <w:rPr>
                <w:rFonts w:hint="eastAsia" w:ascii="宋体" w:hAnsi="宋体" w:cs="宋体"/>
                <w:color w:val="auto"/>
                <w:kern w:val="0"/>
                <w:sz w:val="24"/>
              </w:rPr>
              <w:t>超</w:t>
            </w: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甲状腺</w:t>
            </w:r>
          </w:p>
        </w:tc>
      </w:tr>
      <w:tr>
        <w:tblPrEx>
          <w:tblCellMar>
            <w:top w:w="0" w:type="dxa"/>
            <w:left w:w="0" w:type="dxa"/>
            <w:bottom w:w="0" w:type="dxa"/>
            <w:right w:w="0" w:type="dxa"/>
          </w:tblCellMar>
        </w:tblPrEx>
        <w:trPr>
          <w:trHeight w:val="36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腹部</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盆腔</w:t>
            </w:r>
          </w:p>
        </w:tc>
      </w:tr>
      <w:tr>
        <w:tblPrEx>
          <w:tblCellMar>
            <w:top w:w="0" w:type="dxa"/>
            <w:left w:w="0" w:type="dxa"/>
            <w:bottom w:w="0" w:type="dxa"/>
            <w:right w:w="0" w:type="dxa"/>
          </w:tblCellMar>
        </w:tblPrEx>
        <w:trPr>
          <w:trHeight w:val="342" w:hRule="atLeast"/>
        </w:trPr>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乳腺彩超（女）</w:t>
            </w:r>
          </w:p>
        </w:tc>
      </w:tr>
      <w:tr>
        <w:tblPrEx>
          <w:tblCellMar>
            <w:top w:w="0" w:type="dxa"/>
            <w:left w:w="0" w:type="dxa"/>
            <w:bottom w:w="0" w:type="dxa"/>
            <w:right w:w="0" w:type="dxa"/>
          </w:tblCellMar>
        </w:tblPrEx>
        <w:trPr>
          <w:trHeight w:val="420" w:hRule="atLeast"/>
        </w:trPr>
        <w:tc>
          <w:tcPr>
            <w:tcW w:w="180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检</w:t>
            </w:r>
            <w:r>
              <w:rPr>
                <w:rFonts w:hint="eastAsia" w:ascii="宋体" w:hAnsi="宋体" w:cs="宋体"/>
                <w:color w:val="auto"/>
                <w:kern w:val="0"/>
                <w:sz w:val="24"/>
              </w:rPr>
              <w:br w:type="textWrapping"/>
            </w:r>
            <w:r>
              <w:rPr>
                <w:rFonts w:hint="eastAsia" w:ascii="宋体" w:hAnsi="宋体" w:cs="宋体"/>
                <w:color w:val="auto"/>
                <w:kern w:val="0"/>
                <w:sz w:val="24"/>
              </w:rPr>
              <w:t>查</w:t>
            </w:r>
            <w:r>
              <w:rPr>
                <w:rFonts w:hint="eastAsia" w:ascii="宋体" w:hAnsi="宋体" w:cs="宋体"/>
                <w:color w:val="auto"/>
                <w:kern w:val="0"/>
                <w:sz w:val="24"/>
              </w:rPr>
              <w:br w:type="textWrapping"/>
            </w:r>
            <w:r>
              <w:rPr>
                <w:rFonts w:hint="eastAsia" w:ascii="宋体" w:hAnsi="宋体" w:cs="宋体"/>
                <w:color w:val="auto"/>
                <w:kern w:val="0"/>
                <w:sz w:val="24"/>
              </w:rPr>
              <w:t>项</w:t>
            </w:r>
            <w:r>
              <w:rPr>
                <w:rFonts w:hint="eastAsia" w:ascii="宋体" w:hAnsi="宋体" w:cs="宋体"/>
                <w:color w:val="auto"/>
                <w:kern w:val="0"/>
                <w:sz w:val="24"/>
              </w:rPr>
              <w:br w:type="textWrapping"/>
            </w:r>
            <w:r>
              <w:rPr>
                <w:rFonts w:hint="eastAsia" w:ascii="宋体" w:hAnsi="宋体" w:cs="宋体"/>
                <w:color w:val="auto"/>
                <w:kern w:val="0"/>
                <w:sz w:val="24"/>
              </w:rPr>
              <w:t>目</w:t>
            </w: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血脂全套</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血糖</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血常规</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肝功能全套</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肾功能</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两对半</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CEA</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AFP</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尿常规</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胃泌素17</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胃蛋白酶全套</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CA724</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LPT(女)</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HPV（女）</w:t>
            </w:r>
          </w:p>
        </w:tc>
      </w:tr>
      <w:tr>
        <w:tblPrEx>
          <w:tblCellMar>
            <w:top w:w="0" w:type="dxa"/>
            <w:left w:w="0" w:type="dxa"/>
            <w:bottom w:w="0" w:type="dxa"/>
            <w:right w:w="0" w:type="dxa"/>
          </w:tblCellMar>
        </w:tblPrEx>
        <w:trPr>
          <w:trHeight w:val="420" w:hRule="atLeast"/>
        </w:trPr>
        <w:tc>
          <w:tcPr>
            <w:tcW w:w="1800"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8145" w:type="dxa"/>
            <w:gridSpan w:val="5"/>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白带常规（女）</w:t>
            </w:r>
          </w:p>
        </w:tc>
      </w:tr>
      <w:tr>
        <w:tblPrEx>
          <w:tblCellMar>
            <w:top w:w="0" w:type="dxa"/>
            <w:left w:w="0" w:type="dxa"/>
            <w:bottom w:w="0" w:type="dxa"/>
            <w:right w:w="0" w:type="dxa"/>
          </w:tblCellMar>
        </w:tblPrEx>
        <w:trPr>
          <w:trHeight w:val="859" w:hRule="atLeast"/>
        </w:trPr>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备注</w:t>
            </w:r>
          </w:p>
        </w:tc>
        <w:tc>
          <w:tcPr>
            <w:tcW w:w="814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男同志不超过835元，女同志不超过1185元</w:t>
            </w:r>
          </w:p>
        </w:tc>
      </w:tr>
      <w:tr>
        <w:tblPrEx>
          <w:tblCellMar>
            <w:top w:w="0" w:type="dxa"/>
            <w:left w:w="0" w:type="dxa"/>
            <w:bottom w:w="0" w:type="dxa"/>
            <w:right w:w="0" w:type="dxa"/>
          </w:tblCellMar>
        </w:tblPrEx>
        <w:trPr>
          <w:gridAfter w:val="1"/>
          <w:wAfter w:w="45" w:type="dxa"/>
          <w:trHeight w:val="375" w:hRule="atLeast"/>
        </w:trPr>
        <w:tc>
          <w:tcPr>
            <w:tcW w:w="2385" w:type="dxa"/>
            <w:gridSpan w:val="3"/>
            <w:tcBorders>
              <w:top w:val="nil"/>
              <w:left w:val="nil"/>
              <w:bottom w:val="nil"/>
              <w:right w:val="nil"/>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附表2</w:t>
            </w:r>
          </w:p>
        </w:tc>
        <w:tc>
          <w:tcPr>
            <w:tcW w:w="7515" w:type="dxa"/>
            <w:gridSpan w:val="2"/>
            <w:tcBorders>
              <w:top w:val="nil"/>
              <w:left w:val="nil"/>
              <w:bottom w:val="nil"/>
              <w:right w:val="nil"/>
            </w:tcBorders>
            <w:shd w:val="clear" w:color="auto" w:fill="auto"/>
            <w:noWrap/>
            <w:tcMar>
              <w:top w:w="15" w:type="dxa"/>
              <w:left w:w="15" w:type="dxa"/>
              <w:right w:w="15" w:type="dxa"/>
            </w:tcMar>
            <w:vAlign w:val="center"/>
          </w:tcPr>
          <w:p>
            <w:pPr>
              <w:spacing w:line="440" w:lineRule="exact"/>
              <w:jc w:val="center"/>
              <w:rPr>
                <w:rFonts w:ascii="宋体" w:hAnsi="宋体" w:cs="宋体"/>
                <w:color w:val="auto"/>
                <w:sz w:val="24"/>
              </w:rPr>
            </w:pPr>
          </w:p>
        </w:tc>
      </w:tr>
      <w:tr>
        <w:tblPrEx>
          <w:tblCellMar>
            <w:top w:w="0" w:type="dxa"/>
            <w:left w:w="0" w:type="dxa"/>
            <w:bottom w:w="0" w:type="dxa"/>
            <w:right w:w="0" w:type="dxa"/>
          </w:tblCellMar>
        </w:tblPrEx>
        <w:trPr>
          <w:gridAfter w:val="1"/>
          <w:wAfter w:w="45" w:type="dxa"/>
          <w:trHeight w:val="540" w:hRule="atLeast"/>
        </w:trPr>
        <w:tc>
          <w:tcPr>
            <w:tcW w:w="9900" w:type="dxa"/>
            <w:gridSpan w:val="5"/>
            <w:tcBorders>
              <w:top w:val="nil"/>
              <w:left w:val="nil"/>
              <w:bottom w:val="nil"/>
              <w:right w:val="nil"/>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盐城工业职业技术学院2020年教授体检项目</w:t>
            </w:r>
          </w:p>
        </w:tc>
      </w:tr>
      <w:tr>
        <w:tblPrEx>
          <w:tblCellMar>
            <w:top w:w="0" w:type="dxa"/>
            <w:left w:w="0" w:type="dxa"/>
            <w:bottom w:w="0" w:type="dxa"/>
            <w:right w:w="0" w:type="dxa"/>
          </w:tblCellMar>
        </w:tblPrEx>
        <w:trPr>
          <w:gridAfter w:val="1"/>
          <w:wAfter w:w="45" w:type="dxa"/>
          <w:trHeight w:val="402" w:hRule="atLeast"/>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项目</w:t>
            </w: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内容</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基</w:t>
            </w:r>
            <w:r>
              <w:rPr>
                <w:rFonts w:hint="eastAsia" w:ascii="宋体" w:hAnsi="宋体" w:cs="宋体"/>
                <w:color w:val="auto"/>
                <w:kern w:val="0"/>
                <w:sz w:val="24"/>
              </w:rPr>
              <w:br w:type="textWrapping"/>
            </w:r>
            <w:r>
              <w:rPr>
                <w:rFonts w:hint="eastAsia" w:ascii="宋体" w:hAnsi="宋体" w:cs="宋体"/>
                <w:color w:val="auto"/>
                <w:kern w:val="0"/>
                <w:sz w:val="24"/>
              </w:rPr>
              <w:t>础</w:t>
            </w:r>
            <w:r>
              <w:rPr>
                <w:rFonts w:hint="eastAsia" w:ascii="宋体" w:hAnsi="宋体" w:cs="宋体"/>
                <w:color w:val="auto"/>
                <w:kern w:val="0"/>
                <w:sz w:val="24"/>
              </w:rPr>
              <w:br w:type="textWrapping"/>
            </w:r>
            <w:r>
              <w:rPr>
                <w:rFonts w:hint="eastAsia" w:ascii="宋体" w:hAnsi="宋体" w:cs="宋体"/>
                <w:color w:val="auto"/>
                <w:kern w:val="0"/>
                <w:sz w:val="24"/>
              </w:rPr>
              <w:t>项</w:t>
            </w:r>
            <w:r>
              <w:rPr>
                <w:rFonts w:hint="eastAsia" w:ascii="宋体" w:hAnsi="宋体" w:cs="宋体"/>
                <w:color w:val="auto"/>
                <w:kern w:val="0"/>
                <w:sz w:val="24"/>
              </w:rPr>
              <w:br w:type="textWrapping"/>
            </w:r>
            <w:r>
              <w:rPr>
                <w:rFonts w:hint="eastAsia" w:ascii="宋体" w:hAnsi="宋体" w:cs="宋体"/>
                <w:color w:val="auto"/>
                <w:kern w:val="0"/>
                <w:sz w:val="24"/>
              </w:rPr>
              <w:t>目</w:t>
            </w: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内科</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身高、体重、血压</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外科</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眼科</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耳鼻喉科检查</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口腔科</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妇科检查</w:t>
            </w:r>
          </w:p>
        </w:tc>
      </w:tr>
      <w:tr>
        <w:tblPrEx>
          <w:tblCellMar>
            <w:top w:w="0" w:type="dxa"/>
            <w:left w:w="0" w:type="dxa"/>
            <w:bottom w:w="0" w:type="dxa"/>
            <w:right w:w="0" w:type="dxa"/>
          </w:tblCellMar>
        </w:tblPrEx>
        <w:trPr>
          <w:gridAfter w:val="1"/>
          <w:wAfter w:w="45" w:type="dxa"/>
          <w:trHeight w:val="402" w:hRule="atLeast"/>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心电图</w:t>
            </w: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静态心电图（ECG)</w:t>
            </w:r>
          </w:p>
        </w:tc>
      </w:tr>
      <w:tr>
        <w:tblPrEx>
          <w:tblCellMar>
            <w:top w:w="0" w:type="dxa"/>
            <w:left w:w="0" w:type="dxa"/>
            <w:bottom w:w="0" w:type="dxa"/>
            <w:right w:w="0" w:type="dxa"/>
          </w:tblCellMar>
        </w:tblPrEx>
        <w:trPr>
          <w:gridAfter w:val="1"/>
          <w:wAfter w:w="45" w:type="dxa"/>
          <w:trHeight w:val="402" w:hRule="atLeast"/>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全胸CT</w:t>
            </w: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CT检查（胸部）</w:t>
            </w:r>
          </w:p>
        </w:tc>
      </w:tr>
      <w:tr>
        <w:tblPrEx>
          <w:tblCellMar>
            <w:top w:w="0" w:type="dxa"/>
            <w:left w:w="0" w:type="dxa"/>
            <w:bottom w:w="0" w:type="dxa"/>
            <w:right w:w="0" w:type="dxa"/>
          </w:tblCellMar>
        </w:tblPrEx>
        <w:trPr>
          <w:gridAfter w:val="1"/>
          <w:wAfter w:w="45" w:type="dxa"/>
          <w:trHeight w:val="360" w:hRule="atLeast"/>
        </w:trPr>
        <w:tc>
          <w:tcPr>
            <w:tcW w:w="238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B</w:t>
            </w:r>
            <w:r>
              <w:rPr>
                <w:rFonts w:hint="eastAsia" w:ascii="宋体" w:hAnsi="宋体" w:cs="宋体"/>
                <w:color w:val="auto"/>
                <w:kern w:val="0"/>
                <w:sz w:val="24"/>
              </w:rPr>
              <w:br w:type="textWrapping"/>
            </w:r>
            <w:r>
              <w:rPr>
                <w:rFonts w:hint="eastAsia" w:ascii="宋体" w:hAnsi="宋体" w:cs="宋体"/>
                <w:color w:val="auto"/>
                <w:kern w:val="0"/>
                <w:sz w:val="24"/>
              </w:rPr>
              <w:t>超</w:t>
            </w: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甲状腺</w:t>
            </w:r>
          </w:p>
        </w:tc>
      </w:tr>
      <w:tr>
        <w:tblPrEx>
          <w:tblCellMar>
            <w:top w:w="0" w:type="dxa"/>
            <w:left w:w="0" w:type="dxa"/>
            <w:bottom w:w="0" w:type="dxa"/>
            <w:right w:w="0" w:type="dxa"/>
          </w:tblCellMar>
        </w:tblPrEx>
        <w:trPr>
          <w:gridAfter w:val="1"/>
          <w:wAfter w:w="45" w:type="dxa"/>
          <w:trHeight w:val="319"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腹部</w:t>
            </w:r>
          </w:p>
        </w:tc>
      </w:tr>
      <w:tr>
        <w:tblPrEx>
          <w:tblCellMar>
            <w:top w:w="0" w:type="dxa"/>
            <w:left w:w="0" w:type="dxa"/>
            <w:bottom w:w="0" w:type="dxa"/>
            <w:right w:w="0" w:type="dxa"/>
          </w:tblCellMar>
        </w:tblPrEx>
        <w:trPr>
          <w:gridAfter w:val="1"/>
          <w:wAfter w:w="45" w:type="dxa"/>
          <w:trHeight w:val="360"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盆腔</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乳腺彩超（女）</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检</w:t>
            </w:r>
            <w:r>
              <w:rPr>
                <w:rFonts w:hint="eastAsia" w:ascii="宋体" w:hAnsi="宋体" w:cs="宋体"/>
                <w:color w:val="auto"/>
                <w:kern w:val="0"/>
                <w:sz w:val="24"/>
              </w:rPr>
              <w:br w:type="textWrapping"/>
            </w:r>
            <w:r>
              <w:rPr>
                <w:rFonts w:hint="eastAsia" w:ascii="宋体" w:hAnsi="宋体" w:cs="宋体"/>
                <w:color w:val="auto"/>
                <w:kern w:val="0"/>
                <w:sz w:val="24"/>
              </w:rPr>
              <w:t>查</w:t>
            </w:r>
            <w:r>
              <w:rPr>
                <w:rFonts w:hint="eastAsia" w:ascii="宋体" w:hAnsi="宋体" w:cs="宋体"/>
                <w:color w:val="auto"/>
                <w:kern w:val="0"/>
                <w:sz w:val="24"/>
              </w:rPr>
              <w:br w:type="textWrapping"/>
            </w:r>
            <w:r>
              <w:rPr>
                <w:rFonts w:hint="eastAsia" w:ascii="宋体" w:hAnsi="宋体" w:cs="宋体"/>
                <w:color w:val="auto"/>
                <w:kern w:val="0"/>
                <w:sz w:val="24"/>
              </w:rPr>
              <w:t>项</w:t>
            </w:r>
            <w:r>
              <w:rPr>
                <w:rFonts w:hint="eastAsia" w:ascii="宋体" w:hAnsi="宋体" w:cs="宋体"/>
                <w:color w:val="auto"/>
                <w:kern w:val="0"/>
                <w:sz w:val="24"/>
              </w:rPr>
              <w:br w:type="textWrapping"/>
            </w:r>
            <w:r>
              <w:rPr>
                <w:rFonts w:hint="eastAsia" w:ascii="宋体" w:hAnsi="宋体" w:cs="宋体"/>
                <w:color w:val="auto"/>
                <w:kern w:val="0"/>
                <w:sz w:val="24"/>
              </w:rPr>
              <w:t>目</w:t>
            </w: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血脂全套</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血糖</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血常规</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肝功能全套</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肾功能</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两对半</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CEA</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AFP</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尿常规</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胃泌素17</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胃蛋白酶全套</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CA724</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血粘度</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糖化血红蛋白</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便潜血</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LPT(女)</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HPV（女）</w:t>
            </w:r>
          </w:p>
        </w:tc>
      </w:tr>
      <w:tr>
        <w:tblPrEx>
          <w:tblCellMar>
            <w:top w:w="0" w:type="dxa"/>
            <w:left w:w="0" w:type="dxa"/>
            <w:bottom w:w="0" w:type="dxa"/>
            <w:right w:w="0" w:type="dxa"/>
          </w:tblCellMar>
        </w:tblPrEx>
        <w:trPr>
          <w:gridAfter w:val="1"/>
          <w:wAfter w:w="45" w:type="dxa"/>
          <w:trHeight w:val="402" w:hRule="atLeast"/>
        </w:trPr>
        <w:tc>
          <w:tcPr>
            <w:tcW w:w="2385"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15"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白带常规（女）</w:t>
            </w:r>
          </w:p>
        </w:tc>
      </w:tr>
      <w:tr>
        <w:tblPrEx>
          <w:tblCellMar>
            <w:top w:w="0" w:type="dxa"/>
            <w:left w:w="0" w:type="dxa"/>
            <w:bottom w:w="0" w:type="dxa"/>
            <w:right w:w="0" w:type="dxa"/>
          </w:tblCellMar>
        </w:tblPrEx>
        <w:trPr>
          <w:gridAfter w:val="1"/>
          <w:wAfter w:w="45" w:type="dxa"/>
          <w:trHeight w:val="402" w:hRule="atLeast"/>
        </w:trPr>
        <w:tc>
          <w:tcPr>
            <w:tcW w:w="2385" w:type="dxa"/>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C13呼气试验</w:t>
            </w:r>
          </w:p>
        </w:tc>
        <w:tc>
          <w:tcPr>
            <w:tcW w:w="7515"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C13呼气试验</w:t>
            </w:r>
          </w:p>
        </w:tc>
      </w:tr>
      <w:tr>
        <w:tblPrEx>
          <w:tblCellMar>
            <w:top w:w="0" w:type="dxa"/>
            <w:left w:w="0" w:type="dxa"/>
            <w:bottom w:w="0" w:type="dxa"/>
            <w:right w:w="0" w:type="dxa"/>
          </w:tblCellMar>
        </w:tblPrEx>
        <w:trPr>
          <w:gridAfter w:val="1"/>
          <w:wAfter w:w="45" w:type="dxa"/>
          <w:trHeight w:val="900" w:hRule="atLeast"/>
        </w:trPr>
        <w:tc>
          <w:tcPr>
            <w:tcW w:w="238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备注</w:t>
            </w:r>
          </w:p>
        </w:tc>
        <w:tc>
          <w:tcPr>
            <w:tcW w:w="75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男同志不超过1050元，女同志不超过1400元</w:t>
            </w:r>
          </w:p>
        </w:tc>
      </w:tr>
      <w:tr>
        <w:tblPrEx>
          <w:tblCellMar>
            <w:top w:w="0" w:type="dxa"/>
            <w:left w:w="0" w:type="dxa"/>
            <w:bottom w:w="0" w:type="dxa"/>
            <w:right w:w="0" w:type="dxa"/>
          </w:tblCellMar>
        </w:tblPrEx>
        <w:trPr>
          <w:gridAfter w:val="2"/>
          <w:wAfter w:w="135" w:type="dxa"/>
          <w:trHeight w:val="379" w:hRule="atLeast"/>
        </w:trPr>
        <w:tc>
          <w:tcPr>
            <w:tcW w:w="2280" w:type="dxa"/>
            <w:gridSpan w:val="2"/>
            <w:tcBorders>
              <w:top w:val="nil"/>
              <w:left w:val="nil"/>
              <w:bottom w:val="nil"/>
              <w:right w:val="nil"/>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kern w:val="0"/>
                <w:sz w:val="24"/>
              </w:rPr>
            </w:pPr>
          </w:p>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附表3</w:t>
            </w:r>
          </w:p>
        </w:tc>
        <w:tc>
          <w:tcPr>
            <w:tcW w:w="7530" w:type="dxa"/>
            <w:gridSpan w:val="2"/>
            <w:tcBorders>
              <w:top w:val="nil"/>
              <w:left w:val="nil"/>
              <w:bottom w:val="nil"/>
              <w:right w:val="nil"/>
            </w:tcBorders>
            <w:shd w:val="clear" w:color="auto" w:fill="auto"/>
            <w:noWrap/>
            <w:tcMar>
              <w:top w:w="15" w:type="dxa"/>
              <w:left w:w="15" w:type="dxa"/>
              <w:right w:w="15" w:type="dxa"/>
            </w:tcMar>
            <w:vAlign w:val="center"/>
          </w:tcPr>
          <w:p>
            <w:pPr>
              <w:spacing w:line="440" w:lineRule="exact"/>
              <w:jc w:val="center"/>
              <w:rPr>
                <w:rFonts w:ascii="宋体" w:hAnsi="宋体" w:cs="宋体"/>
                <w:color w:val="auto"/>
                <w:sz w:val="24"/>
              </w:rPr>
            </w:pPr>
          </w:p>
        </w:tc>
      </w:tr>
      <w:tr>
        <w:tblPrEx>
          <w:tblCellMar>
            <w:top w:w="0" w:type="dxa"/>
            <w:left w:w="0" w:type="dxa"/>
            <w:bottom w:w="0" w:type="dxa"/>
            <w:right w:w="0" w:type="dxa"/>
          </w:tblCellMar>
        </w:tblPrEx>
        <w:trPr>
          <w:gridAfter w:val="2"/>
          <w:wAfter w:w="135" w:type="dxa"/>
          <w:trHeight w:val="642" w:hRule="atLeast"/>
        </w:trPr>
        <w:tc>
          <w:tcPr>
            <w:tcW w:w="9810" w:type="dxa"/>
            <w:gridSpan w:val="4"/>
            <w:tcBorders>
              <w:top w:val="nil"/>
              <w:left w:val="nil"/>
              <w:bottom w:val="nil"/>
              <w:right w:val="nil"/>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盐城工业职业技术学院2020年领导体检项目</w:t>
            </w:r>
          </w:p>
        </w:tc>
      </w:tr>
      <w:tr>
        <w:tblPrEx>
          <w:tblCellMar>
            <w:top w:w="0" w:type="dxa"/>
            <w:left w:w="0" w:type="dxa"/>
            <w:bottom w:w="0" w:type="dxa"/>
            <w:right w:w="0" w:type="dxa"/>
          </w:tblCellMar>
        </w:tblPrEx>
        <w:trPr>
          <w:gridAfter w:val="2"/>
          <w:wAfter w:w="135" w:type="dxa"/>
          <w:trHeight w:val="379"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项目</w:t>
            </w: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内容</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基</w:t>
            </w:r>
            <w:r>
              <w:rPr>
                <w:rFonts w:hint="eastAsia" w:ascii="宋体" w:hAnsi="宋体" w:cs="宋体"/>
                <w:color w:val="auto"/>
                <w:kern w:val="0"/>
                <w:sz w:val="24"/>
              </w:rPr>
              <w:br w:type="textWrapping"/>
            </w:r>
            <w:r>
              <w:rPr>
                <w:rFonts w:hint="eastAsia" w:ascii="宋体" w:hAnsi="宋体" w:cs="宋体"/>
                <w:color w:val="auto"/>
                <w:kern w:val="0"/>
                <w:sz w:val="24"/>
              </w:rPr>
              <w:t>础</w:t>
            </w:r>
            <w:r>
              <w:rPr>
                <w:rFonts w:hint="eastAsia" w:ascii="宋体" w:hAnsi="宋体" w:cs="宋体"/>
                <w:color w:val="auto"/>
                <w:kern w:val="0"/>
                <w:sz w:val="24"/>
              </w:rPr>
              <w:br w:type="textWrapping"/>
            </w:r>
            <w:r>
              <w:rPr>
                <w:rFonts w:hint="eastAsia" w:ascii="宋体" w:hAnsi="宋体" w:cs="宋体"/>
                <w:color w:val="auto"/>
                <w:kern w:val="0"/>
                <w:sz w:val="24"/>
              </w:rPr>
              <w:t>项</w:t>
            </w:r>
            <w:r>
              <w:rPr>
                <w:rFonts w:hint="eastAsia" w:ascii="宋体" w:hAnsi="宋体" w:cs="宋体"/>
                <w:color w:val="auto"/>
                <w:kern w:val="0"/>
                <w:sz w:val="24"/>
              </w:rPr>
              <w:br w:type="textWrapping"/>
            </w:r>
            <w:r>
              <w:rPr>
                <w:rFonts w:hint="eastAsia" w:ascii="宋体" w:hAnsi="宋体" w:cs="宋体"/>
                <w:color w:val="auto"/>
                <w:kern w:val="0"/>
                <w:sz w:val="24"/>
              </w:rPr>
              <w:t>目</w:t>
            </w: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内科</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身高、体重、血压</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外科</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眼科</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耳鼻喉科检查</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口腔科</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妇科检查</w:t>
            </w:r>
          </w:p>
        </w:tc>
      </w:tr>
      <w:tr>
        <w:tblPrEx>
          <w:tblCellMar>
            <w:top w:w="0" w:type="dxa"/>
            <w:left w:w="0" w:type="dxa"/>
            <w:bottom w:w="0" w:type="dxa"/>
            <w:right w:w="0" w:type="dxa"/>
          </w:tblCellMar>
        </w:tblPrEx>
        <w:trPr>
          <w:gridAfter w:val="2"/>
          <w:wAfter w:w="135" w:type="dxa"/>
          <w:trHeight w:val="379"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心电图</w:t>
            </w: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静态心电图（ECG)</w:t>
            </w:r>
          </w:p>
        </w:tc>
      </w:tr>
      <w:tr>
        <w:tblPrEx>
          <w:tblCellMar>
            <w:top w:w="0" w:type="dxa"/>
            <w:left w:w="0" w:type="dxa"/>
            <w:bottom w:w="0" w:type="dxa"/>
            <w:right w:w="0" w:type="dxa"/>
          </w:tblCellMar>
        </w:tblPrEx>
        <w:trPr>
          <w:gridAfter w:val="2"/>
          <w:wAfter w:w="135" w:type="dxa"/>
          <w:trHeight w:val="379"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全胸CT</w:t>
            </w: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CT检查（胸部）</w:t>
            </w:r>
          </w:p>
        </w:tc>
      </w:tr>
      <w:tr>
        <w:tblPrEx>
          <w:tblCellMar>
            <w:top w:w="0" w:type="dxa"/>
            <w:left w:w="0" w:type="dxa"/>
            <w:bottom w:w="0" w:type="dxa"/>
            <w:right w:w="0" w:type="dxa"/>
          </w:tblCellMar>
        </w:tblPrEx>
        <w:trPr>
          <w:gridAfter w:val="2"/>
          <w:wAfter w:w="135" w:type="dxa"/>
          <w:trHeight w:val="379"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骨密度</w:t>
            </w: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骨密度</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B</w:t>
            </w:r>
            <w:r>
              <w:rPr>
                <w:rFonts w:hint="eastAsia" w:ascii="宋体" w:hAnsi="宋体" w:cs="宋体"/>
                <w:color w:val="auto"/>
                <w:kern w:val="0"/>
                <w:sz w:val="24"/>
              </w:rPr>
              <w:br w:type="textWrapping"/>
            </w:r>
            <w:r>
              <w:rPr>
                <w:rFonts w:hint="eastAsia" w:ascii="宋体" w:hAnsi="宋体" w:cs="宋体"/>
                <w:color w:val="auto"/>
                <w:kern w:val="0"/>
                <w:sz w:val="24"/>
              </w:rPr>
              <w:t>超</w:t>
            </w: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甲状腺</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腹部</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盆腔</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颈动脉</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乳腺彩超（女）</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检</w:t>
            </w:r>
            <w:r>
              <w:rPr>
                <w:rFonts w:hint="eastAsia" w:ascii="宋体" w:hAnsi="宋体" w:cs="宋体"/>
                <w:color w:val="auto"/>
                <w:kern w:val="0"/>
                <w:sz w:val="24"/>
              </w:rPr>
              <w:br w:type="textWrapping"/>
            </w:r>
            <w:r>
              <w:rPr>
                <w:rFonts w:hint="eastAsia" w:ascii="宋体" w:hAnsi="宋体" w:cs="宋体"/>
                <w:color w:val="auto"/>
                <w:kern w:val="0"/>
                <w:sz w:val="24"/>
              </w:rPr>
              <w:t>查</w:t>
            </w:r>
            <w:r>
              <w:rPr>
                <w:rFonts w:hint="eastAsia" w:ascii="宋体" w:hAnsi="宋体" w:cs="宋体"/>
                <w:color w:val="auto"/>
                <w:kern w:val="0"/>
                <w:sz w:val="24"/>
              </w:rPr>
              <w:br w:type="textWrapping"/>
            </w:r>
            <w:r>
              <w:rPr>
                <w:rFonts w:hint="eastAsia" w:ascii="宋体" w:hAnsi="宋体" w:cs="宋体"/>
                <w:color w:val="auto"/>
                <w:kern w:val="0"/>
                <w:sz w:val="24"/>
              </w:rPr>
              <w:t>项</w:t>
            </w:r>
            <w:r>
              <w:rPr>
                <w:rFonts w:hint="eastAsia" w:ascii="宋体" w:hAnsi="宋体" w:cs="宋体"/>
                <w:color w:val="auto"/>
                <w:kern w:val="0"/>
                <w:sz w:val="24"/>
              </w:rPr>
              <w:br w:type="textWrapping"/>
            </w:r>
            <w:r>
              <w:rPr>
                <w:rFonts w:hint="eastAsia" w:ascii="宋体" w:hAnsi="宋体" w:cs="宋体"/>
                <w:color w:val="auto"/>
                <w:kern w:val="0"/>
                <w:sz w:val="24"/>
              </w:rPr>
              <w:t>目</w:t>
            </w: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血脂全套</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血糖</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血常规</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肝功能全套</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肾功能</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两对半</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肿瘤标志检测（男）</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肿瘤标志检测（女）</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甲功全套</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尿常规</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胃泌素17</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胃蛋白酶全套</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血型</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凝血全套</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糖化血红蛋白</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便潜血</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尿微量蛋白</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LPT(女)</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HPV（女）</w:t>
            </w:r>
          </w:p>
        </w:tc>
      </w:tr>
      <w:tr>
        <w:tblPrEx>
          <w:tblCellMar>
            <w:top w:w="0" w:type="dxa"/>
            <w:left w:w="0" w:type="dxa"/>
            <w:bottom w:w="0" w:type="dxa"/>
            <w:right w:w="0" w:type="dxa"/>
          </w:tblCellMar>
        </w:tblPrEx>
        <w:trPr>
          <w:gridAfter w:val="2"/>
          <w:wAfter w:w="135" w:type="dxa"/>
          <w:trHeight w:val="379" w:hRule="atLeast"/>
        </w:trPr>
        <w:tc>
          <w:tcPr>
            <w:tcW w:w="2280"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line="440" w:lineRule="exact"/>
              <w:jc w:val="center"/>
              <w:rPr>
                <w:rFonts w:ascii="宋体" w:hAnsi="宋体" w:cs="宋体"/>
                <w:color w:val="auto"/>
                <w:sz w:val="24"/>
              </w:rPr>
            </w:pPr>
          </w:p>
        </w:tc>
        <w:tc>
          <w:tcPr>
            <w:tcW w:w="7530"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白带常规（女）</w:t>
            </w:r>
          </w:p>
        </w:tc>
      </w:tr>
      <w:tr>
        <w:tblPrEx>
          <w:tblCellMar>
            <w:top w:w="0" w:type="dxa"/>
            <w:left w:w="0" w:type="dxa"/>
            <w:bottom w:w="0" w:type="dxa"/>
            <w:right w:w="0" w:type="dxa"/>
          </w:tblCellMar>
        </w:tblPrEx>
        <w:trPr>
          <w:gridAfter w:val="2"/>
          <w:wAfter w:w="135" w:type="dxa"/>
          <w:trHeight w:val="379" w:hRule="atLeast"/>
        </w:trPr>
        <w:tc>
          <w:tcPr>
            <w:tcW w:w="2280"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C13呼气试验</w:t>
            </w:r>
          </w:p>
        </w:tc>
        <w:tc>
          <w:tcPr>
            <w:tcW w:w="7530"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C13呼气试验</w:t>
            </w:r>
          </w:p>
        </w:tc>
      </w:tr>
      <w:tr>
        <w:tblPrEx>
          <w:tblCellMar>
            <w:top w:w="0" w:type="dxa"/>
            <w:left w:w="0" w:type="dxa"/>
            <w:bottom w:w="0" w:type="dxa"/>
            <w:right w:w="0" w:type="dxa"/>
          </w:tblCellMar>
        </w:tblPrEx>
        <w:trPr>
          <w:gridAfter w:val="2"/>
          <w:wAfter w:w="135" w:type="dxa"/>
          <w:trHeight w:val="840" w:hRule="atLeast"/>
        </w:trPr>
        <w:tc>
          <w:tcPr>
            <w:tcW w:w="22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备注</w:t>
            </w:r>
          </w:p>
        </w:tc>
        <w:tc>
          <w:tcPr>
            <w:tcW w:w="75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jc w:val="center"/>
              <w:textAlignment w:val="center"/>
              <w:rPr>
                <w:rFonts w:ascii="宋体" w:hAnsi="宋体" w:cs="宋体"/>
                <w:color w:val="auto"/>
                <w:sz w:val="24"/>
              </w:rPr>
            </w:pPr>
            <w:r>
              <w:rPr>
                <w:rFonts w:hint="eastAsia" w:ascii="宋体" w:hAnsi="宋体" w:cs="宋体"/>
                <w:color w:val="auto"/>
                <w:kern w:val="0"/>
                <w:sz w:val="24"/>
              </w:rPr>
              <w:t>男同志不超过2050元，女同志不超过2400元</w:t>
            </w:r>
          </w:p>
        </w:tc>
      </w:tr>
    </w:tbl>
    <w:p>
      <w:pPr>
        <w:jc w:val="center"/>
        <w:rPr>
          <w:rFonts w:ascii="黑体" w:eastAsia="黑体" w:cs="Arial"/>
          <w:bCs/>
          <w:color w:val="auto"/>
          <w:szCs w:val="44"/>
        </w:rPr>
      </w:pPr>
      <w:r>
        <w:rPr>
          <w:rFonts w:ascii="黑体" w:eastAsia="黑体" w:cs="Arial"/>
          <w:bCs/>
          <w:color w:val="auto"/>
          <w:szCs w:val="44"/>
        </w:rPr>
        <w:br w:type="page"/>
      </w:r>
      <w:r>
        <w:rPr>
          <w:rFonts w:hint="eastAsia" w:ascii="黑体" w:eastAsia="黑体" w:cs="Arial"/>
          <w:bCs/>
          <w:color w:val="auto"/>
          <w:sz w:val="36"/>
          <w:szCs w:val="36"/>
        </w:rPr>
        <w:t>第五章评审方法和评审标准</w:t>
      </w:r>
    </w:p>
    <w:p>
      <w:pPr>
        <w:spacing w:line="500" w:lineRule="exact"/>
        <w:ind w:firstLine="482" w:firstLineChars="200"/>
        <w:rPr>
          <w:rFonts w:ascii="宋体"/>
          <w:b/>
          <w:color w:val="auto"/>
          <w:sz w:val="24"/>
        </w:rPr>
      </w:pPr>
      <w:r>
        <w:rPr>
          <w:rFonts w:ascii="宋体"/>
          <w:b/>
          <w:color w:val="auto"/>
          <w:sz w:val="24"/>
        </w:rPr>
        <w:t>一、磋商小组</w:t>
      </w:r>
    </w:p>
    <w:p>
      <w:pPr>
        <w:spacing w:line="500" w:lineRule="exact"/>
        <w:ind w:firstLine="480" w:firstLineChars="200"/>
        <w:rPr>
          <w:rFonts w:ascii="宋体"/>
          <w:color w:val="auto"/>
          <w:sz w:val="24"/>
        </w:rPr>
      </w:pPr>
      <w:r>
        <w:rPr>
          <w:rFonts w:ascii="宋体"/>
          <w:color w:val="auto"/>
          <w:sz w:val="24"/>
        </w:rPr>
        <w:t>本采购项目磋商小组的评委由相关的专家、采购人代表等有关人员构成。</w:t>
      </w:r>
    </w:p>
    <w:p>
      <w:pPr>
        <w:spacing w:line="500" w:lineRule="exact"/>
        <w:ind w:firstLine="482" w:firstLineChars="200"/>
        <w:rPr>
          <w:rFonts w:ascii="宋体"/>
          <w:b/>
          <w:color w:val="auto"/>
          <w:sz w:val="24"/>
        </w:rPr>
      </w:pPr>
      <w:r>
        <w:rPr>
          <w:rFonts w:ascii="宋体"/>
          <w:b/>
          <w:color w:val="auto"/>
          <w:sz w:val="24"/>
        </w:rPr>
        <w:t>二、评审方法</w:t>
      </w:r>
    </w:p>
    <w:p>
      <w:pPr>
        <w:spacing w:line="500" w:lineRule="exact"/>
        <w:ind w:firstLine="480" w:firstLineChars="200"/>
        <w:rPr>
          <w:rFonts w:ascii="宋体"/>
          <w:color w:val="auto"/>
          <w:sz w:val="24"/>
        </w:rPr>
      </w:pPr>
      <w:r>
        <w:rPr>
          <w:rFonts w:ascii="宋体"/>
          <w:color w:val="auto"/>
          <w:sz w:val="24"/>
        </w:rPr>
        <w:t>经磋商确定最终采购需求和提交最后报价的供应商后，由磋商小组采用综合评分法对提交最后报价的供应商的响应文件和最后报价进行综合评分。</w:t>
      </w:r>
    </w:p>
    <w:p>
      <w:pPr>
        <w:spacing w:line="500" w:lineRule="exact"/>
        <w:ind w:firstLine="480" w:firstLineChars="200"/>
        <w:rPr>
          <w:rFonts w:ascii="宋体"/>
          <w:color w:val="auto"/>
          <w:sz w:val="24"/>
        </w:rPr>
      </w:pPr>
      <w:r>
        <w:rPr>
          <w:rFonts w:ascii="宋体"/>
          <w:color w:val="auto"/>
          <w:sz w:val="24"/>
        </w:rPr>
        <w:t>综合评分法，是指响应文件满足磋商文件全部实质性要求且按评审因素的量化指标评审得分最高的供应商为成交候选供应商的评审方法。</w:t>
      </w:r>
    </w:p>
    <w:p>
      <w:pPr>
        <w:spacing w:line="500" w:lineRule="exact"/>
        <w:ind w:firstLine="482" w:firstLineChars="200"/>
        <w:rPr>
          <w:rFonts w:ascii="宋体"/>
          <w:b/>
          <w:color w:val="auto"/>
          <w:sz w:val="24"/>
        </w:rPr>
      </w:pPr>
      <w:r>
        <w:rPr>
          <w:rFonts w:ascii="宋体"/>
          <w:b/>
          <w:color w:val="auto"/>
          <w:sz w:val="24"/>
        </w:rPr>
        <w:t>三、评审原则</w:t>
      </w:r>
    </w:p>
    <w:p>
      <w:pPr>
        <w:spacing w:line="500" w:lineRule="exact"/>
        <w:ind w:firstLine="480" w:firstLineChars="200"/>
        <w:rPr>
          <w:rFonts w:ascii="宋体"/>
          <w:color w:val="auto"/>
          <w:sz w:val="24"/>
        </w:rPr>
      </w:pPr>
      <w:r>
        <w:rPr>
          <w:rFonts w:ascii="宋体"/>
          <w:color w:val="auto"/>
          <w:sz w:val="24"/>
        </w:rPr>
        <w:t>磋商小组必须公平、公正、客观，不带任何倾向性和启发性；不得向外界透露任何与评标有关的内容；任何单位和个人不得干扰、影响评标的正常进行；评标委员会及有关工作人员不得私下与供应商接触。</w:t>
      </w:r>
    </w:p>
    <w:p>
      <w:pPr>
        <w:spacing w:line="500" w:lineRule="exact"/>
        <w:ind w:firstLine="482" w:firstLineChars="200"/>
        <w:rPr>
          <w:rFonts w:ascii="宋体"/>
          <w:b/>
          <w:color w:val="auto"/>
          <w:sz w:val="24"/>
        </w:rPr>
      </w:pPr>
      <w:r>
        <w:rPr>
          <w:rFonts w:ascii="宋体"/>
          <w:b/>
          <w:color w:val="auto"/>
          <w:sz w:val="24"/>
        </w:rPr>
        <w:t>四、评审办法：综合评分法</w:t>
      </w:r>
    </w:p>
    <w:p>
      <w:pPr>
        <w:spacing w:line="500" w:lineRule="exact"/>
        <w:ind w:firstLine="480" w:firstLineChars="200"/>
        <w:rPr>
          <w:rFonts w:ascii="宋体"/>
          <w:color w:val="auto"/>
          <w:sz w:val="24"/>
        </w:rPr>
      </w:pPr>
      <w:r>
        <w:rPr>
          <w:rFonts w:ascii="宋体"/>
          <w:color w:val="auto"/>
          <w:sz w:val="24"/>
        </w:rPr>
        <w:t>（一）评委将以采购文件为评标依据，对磋商供应商的投标报价、技术文件及商务文件等方面按百分制打分。</w:t>
      </w:r>
    </w:p>
    <w:p>
      <w:pPr>
        <w:spacing w:line="500" w:lineRule="exact"/>
        <w:ind w:firstLine="480" w:firstLineChars="200"/>
        <w:rPr>
          <w:rFonts w:ascii="宋体"/>
          <w:color w:val="auto"/>
          <w:sz w:val="24"/>
        </w:rPr>
      </w:pPr>
      <w:r>
        <w:rPr>
          <w:rFonts w:ascii="宋体"/>
          <w:color w:val="auto"/>
          <w:sz w:val="24"/>
        </w:rPr>
        <w:t>（二）成交标准：磋商小组将根据总得分高低排列各磋商供应商次序（评审得分相同的，按照最后报价由低到高的顺序推荐。评审得分且最后报价相同的，按照技术指标优劣顺序推荐），并依照次序确定成交供应商。</w:t>
      </w:r>
    </w:p>
    <w:p>
      <w:pPr>
        <w:spacing w:line="500" w:lineRule="exact"/>
        <w:ind w:firstLine="480" w:firstLineChars="200"/>
        <w:rPr>
          <w:rFonts w:ascii="宋体"/>
          <w:color w:val="auto"/>
          <w:sz w:val="24"/>
        </w:rPr>
      </w:pPr>
      <w:r>
        <w:rPr>
          <w:rFonts w:ascii="宋体"/>
          <w:color w:val="auto"/>
          <w:sz w:val="24"/>
        </w:rPr>
        <w:t>（三）计分标准：（按四舍五入取至小数点后二位）</w:t>
      </w:r>
    </w:p>
    <w:p>
      <w:pPr>
        <w:spacing w:line="500" w:lineRule="exact"/>
        <w:ind w:firstLine="480" w:firstLineChars="200"/>
        <w:rPr>
          <w:rFonts w:ascii="宋体"/>
          <w:color w:val="auto"/>
          <w:sz w:val="24"/>
        </w:rPr>
      </w:pPr>
      <w:r>
        <w:rPr>
          <w:rFonts w:ascii="宋体"/>
          <w:color w:val="auto"/>
          <w:sz w:val="24"/>
        </w:rPr>
        <w:t>（四）具体标准</w:t>
      </w:r>
    </w:p>
    <w:tbl>
      <w:tblPr>
        <w:tblStyle w:val="35"/>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8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423" w:type="dxa"/>
            <w:vAlign w:val="center"/>
          </w:tcPr>
          <w:p>
            <w:pPr>
              <w:widowControl/>
              <w:spacing w:line="440" w:lineRule="exact"/>
              <w:rPr>
                <w:rFonts w:ascii="宋体" w:hAnsi="宋体"/>
                <w:color w:val="auto"/>
                <w:kern w:val="0"/>
                <w:sz w:val="24"/>
              </w:rPr>
            </w:pPr>
            <w:r>
              <w:rPr>
                <w:rFonts w:hint="eastAsia" w:ascii="宋体" w:hAnsi="宋体" w:cs="宋体"/>
                <w:color w:val="auto"/>
                <w:kern w:val="0"/>
                <w:sz w:val="24"/>
              </w:rPr>
              <w:t>评审内容</w:t>
            </w:r>
          </w:p>
        </w:tc>
        <w:tc>
          <w:tcPr>
            <w:tcW w:w="8244" w:type="dxa"/>
            <w:vAlign w:val="center"/>
          </w:tcPr>
          <w:p>
            <w:pPr>
              <w:widowControl/>
              <w:spacing w:line="440" w:lineRule="exact"/>
              <w:jc w:val="center"/>
              <w:rPr>
                <w:rFonts w:ascii="宋体" w:hAnsi="宋体"/>
                <w:color w:val="auto"/>
                <w:kern w:val="0"/>
                <w:sz w:val="24"/>
              </w:rPr>
            </w:pPr>
            <w:r>
              <w:rPr>
                <w:rFonts w:hint="eastAsia" w:ascii="宋体" w:hAnsi="宋体" w:cs="宋体"/>
                <w:color w:val="auto"/>
                <w:kern w:val="0"/>
                <w:sz w:val="24"/>
              </w:rPr>
              <w:t>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423" w:type="dxa"/>
            <w:vAlign w:val="center"/>
          </w:tcPr>
          <w:p>
            <w:pPr>
              <w:widowControl/>
              <w:spacing w:line="440" w:lineRule="exact"/>
              <w:jc w:val="center"/>
              <w:rPr>
                <w:rFonts w:ascii="宋体" w:hAnsi="宋体" w:cs="宋体"/>
                <w:color w:val="auto"/>
                <w:kern w:val="0"/>
                <w:sz w:val="24"/>
              </w:rPr>
            </w:pPr>
            <w:r>
              <w:rPr>
                <w:rFonts w:hint="eastAsia" w:ascii="宋体" w:hAnsi="宋体" w:cs="宋体"/>
                <w:color w:val="auto"/>
                <w:kern w:val="0"/>
                <w:sz w:val="24"/>
              </w:rPr>
              <w:t>投标报价</w:t>
            </w:r>
          </w:p>
          <w:p>
            <w:pPr>
              <w:widowControl/>
              <w:spacing w:line="440" w:lineRule="exact"/>
              <w:jc w:val="center"/>
              <w:rPr>
                <w:rFonts w:ascii="宋体" w:hAnsi="宋体" w:cs="宋体"/>
                <w:color w:val="auto"/>
                <w:kern w:val="0"/>
                <w:sz w:val="24"/>
              </w:rPr>
            </w:pPr>
            <w:r>
              <w:rPr>
                <w:rFonts w:hint="eastAsia" w:ascii="宋体" w:hAnsi="宋体" w:cs="宋体"/>
                <w:color w:val="auto"/>
                <w:kern w:val="0"/>
                <w:sz w:val="24"/>
              </w:rPr>
              <w:t>（90分）</w:t>
            </w:r>
          </w:p>
        </w:tc>
        <w:tc>
          <w:tcPr>
            <w:tcW w:w="8244" w:type="dxa"/>
            <w:vAlign w:val="center"/>
          </w:tcPr>
          <w:p>
            <w:pPr>
              <w:widowControl/>
              <w:spacing w:line="440" w:lineRule="exact"/>
              <w:rPr>
                <w:rFonts w:ascii="宋体" w:hAnsi="宋体" w:cs="宋体"/>
                <w:color w:val="auto"/>
                <w:kern w:val="0"/>
                <w:sz w:val="24"/>
              </w:rPr>
            </w:pPr>
            <w:r>
              <w:rPr>
                <w:rFonts w:hint="eastAsia" w:ascii="宋体" w:hAnsi="宋体" w:cs="宋体"/>
                <w:color w:val="auto"/>
                <w:kern w:val="0"/>
                <w:sz w:val="24"/>
              </w:rPr>
              <w:t>采用低价优先法计算，即满足招标文件要求且投标报价最低的投标报价（项目单价）为评标基准价，其价格为满分90分，其他投标人的报价统一按照下列公式计算：投标报价得分 = (评标基准价/投标报价)×90，计算分数时四舍五入取小数点后两位。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1423" w:type="dxa"/>
            <w:vAlign w:val="center"/>
          </w:tcPr>
          <w:p>
            <w:pPr>
              <w:widowControl/>
              <w:spacing w:line="440" w:lineRule="exact"/>
              <w:jc w:val="center"/>
              <w:rPr>
                <w:rFonts w:ascii="宋体" w:hAnsi="宋体" w:cs="宋体"/>
                <w:color w:val="auto"/>
                <w:kern w:val="0"/>
                <w:sz w:val="24"/>
              </w:rPr>
            </w:pPr>
            <w:r>
              <w:rPr>
                <w:rFonts w:hint="eastAsia" w:ascii="宋体" w:hAnsi="宋体" w:cs="宋体"/>
                <w:color w:val="auto"/>
                <w:kern w:val="0"/>
                <w:sz w:val="24"/>
              </w:rPr>
              <w:t>体验服务方案</w:t>
            </w:r>
          </w:p>
          <w:p>
            <w:pPr>
              <w:widowControl/>
              <w:spacing w:line="440" w:lineRule="exact"/>
              <w:jc w:val="center"/>
              <w:rPr>
                <w:rFonts w:ascii="宋体" w:hAnsi="宋体" w:cs="宋体"/>
                <w:color w:val="auto"/>
                <w:kern w:val="0"/>
                <w:sz w:val="24"/>
              </w:rPr>
            </w:pPr>
            <w:r>
              <w:rPr>
                <w:rFonts w:hint="eastAsia" w:ascii="宋体" w:hAnsi="宋体" w:cs="宋体"/>
                <w:color w:val="auto"/>
                <w:kern w:val="0"/>
                <w:sz w:val="24"/>
              </w:rPr>
              <w:t>（10分）</w:t>
            </w:r>
          </w:p>
        </w:tc>
        <w:tc>
          <w:tcPr>
            <w:tcW w:w="8244" w:type="dxa"/>
            <w:vAlign w:val="center"/>
          </w:tcPr>
          <w:p>
            <w:pPr>
              <w:widowControl/>
              <w:spacing w:line="440" w:lineRule="exact"/>
              <w:rPr>
                <w:rFonts w:ascii="宋体" w:hAnsi="宋体" w:cs="宋体"/>
                <w:color w:val="auto"/>
                <w:kern w:val="0"/>
                <w:sz w:val="24"/>
              </w:rPr>
            </w:pPr>
            <w:r>
              <w:rPr>
                <w:rFonts w:hint="eastAsia" w:ascii="宋体"/>
                <w:color w:val="auto"/>
                <w:sz w:val="24"/>
              </w:rPr>
              <w:t>1.</w:t>
            </w:r>
            <w:r>
              <w:rPr>
                <w:rFonts w:hint="eastAsia" w:ascii="宋体" w:hAnsi="宋体" w:cs="宋体"/>
                <w:color w:val="auto"/>
                <w:kern w:val="0"/>
                <w:sz w:val="24"/>
              </w:rPr>
              <w:t xml:space="preserve"> 体验服务方案为差的，</w:t>
            </w:r>
            <w:r>
              <w:rPr>
                <w:rFonts w:hint="eastAsia" w:ascii="宋体"/>
                <w:color w:val="auto"/>
                <w:sz w:val="24"/>
              </w:rPr>
              <w:t>由</w:t>
            </w:r>
            <w:r>
              <w:rPr>
                <w:rFonts w:ascii="宋体"/>
                <w:color w:val="auto"/>
                <w:sz w:val="24"/>
              </w:rPr>
              <w:t>磋商小组</w:t>
            </w:r>
            <w:r>
              <w:rPr>
                <w:rFonts w:hint="eastAsia" w:ascii="宋体"/>
                <w:color w:val="auto"/>
                <w:sz w:val="24"/>
              </w:rPr>
              <w:t>对各磋商供应商提供的</w:t>
            </w:r>
            <w:r>
              <w:rPr>
                <w:rFonts w:hint="eastAsia" w:ascii="宋体" w:hAnsi="宋体" w:cs="宋体"/>
                <w:color w:val="auto"/>
                <w:kern w:val="0"/>
                <w:sz w:val="24"/>
              </w:rPr>
              <w:t>体验服务方案</w:t>
            </w:r>
            <w:r>
              <w:rPr>
                <w:rFonts w:hint="eastAsia" w:ascii="宋体"/>
                <w:color w:val="auto"/>
                <w:sz w:val="24"/>
              </w:rPr>
              <w:t>进行综合评审，</w:t>
            </w:r>
            <w:r>
              <w:rPr>
                <w:rFonts w:hint="eastAsia" w:ascii="宋体" w:hAnsi="宋体" w:cs="宋体"/>
                <w:color w:val="auto"/>
                <w:kern w:val="0"/>
                <w:sz w:val="24"/>
              </w:rPr>
              <w:t>打分区间分值0分,不得分。</w:t>
            </w:r>
            <w:r>
              <w:rPr>
                <w:rFonts w:ascii="宋体" w:hAnsi="宋体" w:cs="宋体"/>
                <w:color w:val="auto"/>
                <w:kern w:val="0"/>
                <w:sz w:val="24"/>
              </w:rPr>
              <w:t xml:space="preserve"> </w:t>
            </w:r>
          </w:p>
          <w:p>
            <w:pPr>
              <w:widowControl/>
              <w:spacing w:line="440" w:lineRule="exact"/>
              <w:rPr>
                <w:rFonts w:ascii="宋体" w:hAnsi="宋体" w:cs="宋体"/>
                <w:color w:val="auto"/>
                <w:kern w:val="0"/>
                <w:sz w:val="24"/>
              </w:rPr>
            </w:pPr>
            <w:r>
              <w:rPr>
                <w:rFonts w:hint="eastAsia" w:ascii="宋体"/>
                <w:color w:val="auto"/>
                <w:sz w:val="24"/>
              </w:rPr>
              <w:t>2.</w:t>
            </w:r>
            <w:r>
              <w:rPr>
                <w:rFonts w:hint="eastAsia" w:ascii="宋体" w:hAnsi="宋体" w:cs="宋体"/>
                <w:color w:val="auto"/>
                <w:kern w:val="0"/>
                <w:sz w:val="24"/>
              </w:rPr>
              <w:t xml:space="preserve"> 体验服务方案为一般的，</w:t>
            </w:r>
            <w:r>
              <w:rPr>
                <w:rFonts w:hint="eastAsia" w:ascii="宋体"/>
                <w:color w:val="auto"/>
                <w:sz w:val="24"/>
              </w:rPr>
              <w:t>由</w:t>
            </w:r>
            <w:r>
              <w:rPr>
                <w:rFonts w:ascii="宋体"/>
                <w:color w:val="auto"/>
                <w:sz w:val="24"/>
              </w:rPr>
              <w:t>磋商小组</w:t>
            </w:r>
            <w:r>
              <w:rPr>
                <w:rFonts w:hint="eastAsia" w:ascii="宋体"/>
                <w:color w:val="auto"/>
                <w:sz w:val="24"/>
              </w:rPr>
              <w:t>对各磋商供应商提供的</w:t>
            </w:r>
            <w:r>
              <w:rPr>
                <w:rFonts w:hint="eastAsia" w:ascii="宋体" w:hAnsi="宋体" w:cs="宋体"/>
                <w:color w:val="auto"/>
                <w:kern w:val="0"/>
                <w:sz w:val="24"/>
              </w:rPr>
              <w:t>体验服务方案</w:t>
            </w:r>
            <w:r>
              <w:rPr>
                <w:rFonts w:hint="eastAsia" w:ascii="宋体"/>
                <w:color w:val="auto"/>
                <w:sz w:val="24"/>
              </w:rPr>
              <w:t>进行综合评审，</w:t>
            </w:r>
            <w:r>
              <w:rPr>
                <w:rFonts w:hint="eastAsia" w:ascii="宋体" w:hAnsi="宋体" w:cs="宋体"/>
                <w:color w:val="auto"/>
                <w:kern w:val="0"/>
                <w:sz w:val="24"/>
              </w:rPr>
              <w:t>打分区间分值大于等于4分小于6分，不低于4分。</w:t>
            </w:r>
          </w:p>
          <w:p>
            <w:pPr>
              <w:widowControl/>
              <w:spacing w:line="440" w:lineRule="exact"/>
              <w:rPr>
                <w:rFonts w:ascii="宋体" w:hAnsi="宋体" w:cs="宋体"/>
                <w:color w:val="auto"/>
                <w:kern w:val="0"/>
                <w:sz w:val="24"/>
              </w:rPr>
            </w:pPr>
            <w:r>
              <w:rPr>
                <w:rFonts w:hint="eastAsia" w:ascii="宋体" w:hAnsi="宋体" w:cs="宋体"/>
                <w:color w:val="auto"/>
                <w:kern w:val="0"/>
                <w:sz w:val="24"/>
              </w:rPr>
              <w:t>3. 体验服务方案为良好的，</w:t>
            </w:r>
            <w:r>
              <w:rPr>
                <w:rFonts w:hint="eastAsia" w:ascii="宋体"/>
                <w:color w:val="auto"/>
                <w:sz w:val="24"/>
              </w:rPr>
              <w:t>由</w:t>
            </w:r>
            <w:r>
              <w:rPr>
                <w:rFonts w:ascii="宋体"/>
                <w:color w:val="auto"/>
                <w:sz w:val="24"/>
              </w:rPr>
              <w:t>磋商小组</w:t>
            </w:r>
            <w:r>
              <w:rPr>
                <w:rFonts w:hint="eastAsia" w:ascii="宋体"/>
                <w:color w:val="auto"/>
                <w:sz w:val="24"/>
              </w:rPr>
              <w:t>对各磋商供应商提供的</w:t>
            </w:r>
            <w:r>
              <w:rPr>
                <w:rFonts w:hint="eastAsia" w:ascii="宋体" w:hAnsi="宋体" w:cs="宋体"/>
                <w:color w:val="auto"/>
                <w:kern w:val="0"/>
                <w:sz w:val="24"/>
              </w:rPr>
              <w:t>体验服务方案</w:t>
            </w:r>
            <w:r>
              <w:rPr>
                <w:rFonts w:hint="eastAsia" w:ascii="宋体"/>
                <w:color w:val="auto"/>
                <w:sz w:val="24"/>
              </w:rPr>
              <w:t>进行综合评审，</w:t>
            </w:r>
            <w:r>
              <w:rPr>
                <w:rFonts w:hint="eastAsia" w:ascii="宋体" w:hAnsi="宋体" w:cs="宋体"/>
                <w:color w:val="auto"/>
                <w:kern w:val="0"/>
                <w:sz w:val="24"/>
              </w:rPr>
              <w:t>打分区间分值大于等于6分小于8分，不低于6分。</w:t>
            </w:r>
          </w:p>
          <w:p>
            <w:pPr>
              <w:pStyle w:val="2"/>
              <w:rPr>
                <w:color w:val="auto"/>
              </w:rPr>
            </w:pPr>
            <w:r>
              <w:rPr>
                <w:rFonts w:hint="eastAsia"/>
                <w:color w:val="auto"/>
              </w:rPr>
              <w:t>4.</w:t>
            </w:r>
            <w:r>
              <w:rPr>
                <w:rFonts w:hint="eastAsia" w:ascii="宋体" w:hAnsi="宋体" w:cs="宋体"/>
                <w:color w:val="auto"/>
              </w:rPr>
              <w:t xml:space="preserve"> 体验服务方案为优秀的，</w:t>
            </w:r>
            <w:r>
              <w:rPr>
                <w:rFonts w:hint="eastAsia" w:ascii="宋体"/>
                <w:color w:val="auto"/>
              </w:rPr>
              <w:t>由</w:t>
            </w:r>
            <w:r>
              <w:rPr>
                <w:rFonts w:ascii="宋体"/>
                <w:color w:val="auto"/>
              </w:rPr>
              <w:t>磋商小组</w:t>
            </w:r>
            <w:r>
              <w:rPr>
                <w:rFonts w:hint="eastAsia" w:ascii="宋体"/>
                <w:color w:val="auto"/>
              </w:rPr>
              <w:t>对各磋商供应商提供的</w:t>
            </w:r>
            <w:r>
              <w:rPr>
                <w:rFonts w:hint="eastAsia" w:ascii="宋体" w:hAnsi="宋体" w:cs="宋体"/>
                <w:color w:val="auto"/>
              </w:rPr>
              <w:t>体验服务方案</w:t>
            </w:r>
            <w:r>
              <w:rPr>
                <w:rFonts w:hint="eastAsia" w:ascii="宋体"/>
                <w:color w:val="auto"/>
              </w:rPr>
              <w:t>进行综合评审，</w:t>
            </w:r>
            <w:r>
              <w:rPr>
                <w:rFonts w:hint="eastAsia" w:ascii="宋体" w:hAnsi="宋体" w:cs="宋体"/>
                <w:color w:val="auto"/>
              </w:rPr>
              <w:t>打分区间分值大于等于8分小于10分，不低于8分。</w:t>
            </w:r>
          </w:p>
        </w:tc>
      </w:tr>
    </w:tbl>
    <w:p>
      <w:pPr>
        <w:spacing w:line="500" w:lineRule="exact"/>
        <w:rPr>
          <w:rFonts w:asciiTheme="minorEastAsia" w:hAnsiTheme="minorEastAsia" w:cstheme="minorEastAsia"/>
          <w:color w:val="auto"/>
          <w:sz w:val="24"/>
        </w:rPr>
      </w:pPr>
      <w:r>
        <w:rPr>
          <w:rFonts w:hint="eastAsia" w:asciiTheme="minorEastAsia" w:hAnsiTheme="minorEastAsia" w:cstheme="minorEastAsia"/>
          <w:color w:val="auto"/>
          <w:sz w:val="24"/>
        </w:rPr>
        <w:t>（五）、评标补充说明：如实际投标人为两家，则继续进行竞争性谈判，如实际投标人只有一家，直接转入单一来源方式谈判。</w:t>
      </w:r>
    </w:p>
    <w:p>
      <w:pPr>
        <w:pStyle w:val="4"/>
        <w:spacing w:line="360" w:lineRule="auto"/>
        <w:jc w:val="both"/>
        <w:rPr>
          <w:rFonts w:ascii="黑体" w:eastAsia="黑体" w:cs="Arial"/>
          <w:b w:val="0"/>
          <w:bCs/>
          <w:color w:val="auto"/>
          <w:szCs w:val="44"/>
        </w:rPr>
      </w:pPr>
    </w:p>
    <w:p>
      <w:pPr>
        <w:pStyle w:val="4"/>
        <w:spacing w:line="360" w:lineRule="auto"/>
        <w:ind w:firstLine="1760" w:firstLineChars="400"/>
        <w:jc w:val="both"/>
        <w:rPr>
          <w:rFonts w:ascii="黑体" w:eastAsia="黑体" w:cs="Arial"/>
          <w:b w:val="0"/>
          <w:bCs/>
          <w:color w:val="auto"/>
          <w:szCs w:val="44"/>
        </w:rPr>
      </w:pPr>
      <w:r>
        <w:rPr>
          <w:rFonts w:hint="eastAsia" w:ascii="黑体" w:eastAsia="黑体" w:cs="Arial"/>
          <w:b w:val="0"/>
          <w:bCs/>
          <w:color w:val="auto"/>
          <w:szCs w:val="44"/>
        </w:rPr>
        <w:t>第六章竞争性磋商响应文件格式</w:t>
      </w:r>
    </w:p>
    <w:p>
      <w:pPr>
        <w:jc w:val="center"/>
        <w:rPr>
          <w:rFonts w:ascii="宋体"/>
          <w:b/>
          <w:color w:val="auto"/>
          <w:sz w:val="72"/>
          <w:szCs w:val="21"/>
        </w:rPr>
      </w:pPr>
    </w:p>
    <w:p>
      <w:pPr>
        <w:jc w:val="center"/>
        <w:rPr>
          <w:rFonts w:ascii="黑体" w:hAnsi="黑体" w:eastAsia="黑体"/>
          <w:b/>
          <w:color w:val="auto"/>
          <w:sz w:val="72"/>
          <w:szCs w:val="21"/>
        </w:rPr>
      </w:pPr>
      <w:r>
        <w:rPr>
          <w:rFonts w:hint="eastAsia" w:ascii="黑体" w:hAnsi="黑体" w:eastAsia="黑体"/>
          <w:b/>
          <w:color w:val="auto"/>
          <w:sz w:val="72"/>
          <w:szCs w:val="21"/>
        </w:rPr>
        <w:t>竞争性磋商响应文件</w:t>
      </w:r>
    </w:p>
    <w:p>
      <w:pPr>
        <w:pStyle w:val="75"/>
        <w:ind w:firstLine="0"/>
        <w:jc w:val="center"/>
        <w:rPr>
          <w:rFonts w:ascii="黑体" w:hAnsi="黑体" w:eastAsia="黑体"/>
          <w:b/>
          <w:bCs/>
          <w:color w:val="auto"/>
          <w:sz w:val="32"/>
        </w:rPr>
      </w:pPr>
    </w:p>
    <w:p>
      <w:pPr>
        <w:ind w:firstLine="1084" w:firstLineChars="300"/>
        <w:rPr>
          <w:rFonts w:ascii="黑体" w:hAnsi="黑体" w:eastAsia="黑体"/>
          <w:b/>
          <w:color w:val="auto"/>
          <w:sz w:val="36"/>
          <w:szCs w:val="21"/>
        </w:rPr>
      </w:pPr>
      <w:r>
        <w:rPr>
          <w:rFonts w:hint="eastAsia" w:ascii="黑体" w:hAnsi="黑体" w:eastAsia="黑体"/>
          <w:b/>
          <w:color w:val="auto"/>
          <w:sz w:val="36"/>
          <w:szCs w:val="21"/>
        </w:rPr>
        <w:t>（正或副本）</w:t>
      </w:r>
    </w:p>
    <w:p>
      <w:pPr>
        <w:ind w:firstLine="1084" w:firstLineChars="300"/>
        <w:rPr>
          <w:rFonts w:ascii="黑体" w:hAnsi="黑体" w:eastAsia="黑体"/>
          <w:b/>
          <w:color w:val="auto"/>
          <w:sz w:val="36"/>
          <w:szCs w:val="21"/>
        </w:rPr>
      </w:pPr>
    </w:p>
    <w:p>
      <w:pPr>
        <w:ind w:firstLine="1084" w:firstLineChars="300"/>
        <w:rPr>
          <w:rFonts w:ascii="黑体" w:hAnsi="黑体" w:eastAsia="黑体"/>
          <w:b/>
          <w:color w:val="auto"/>
          <w:sz w:val="36"/>
          <w:szCs w:val="21"/>
        </w:rPr>
      </w:pPr>
    </w:p>
    <w:p>
      <w:pPr>
        <w:ind w:firstLine="1084" w:firstLineChars="300"/>
        <w:rPr>
          <w:rFonts w:ascii="黑体" w:hAnsi="黑体" w:eastAsia="黑体"/>
          <w:b/>
          <w:color w:val="auto"/>
          <w:sz w:val="36"/>
        </w:rPr>
      </w:pPr>
      <w:r>
        <w:rPr>
          <w:rFonts w:hint="eastAsia" w:ascii="黑体" w:hAnsi="黑体" w:eastAsia="黑体"/>
          <w:b/>
          <w:color w:val="auto"/>
          <w:sz w:val="36"/>
        </w:rPr>
        <w:t>项目名称：</w:t>
      </w:r>
    </w:p>
    <w:p>
      <w:pPr>
        <w:ind w:firstLine="1084" w:firstLineChars="300"/>
        <w:rPr>
          <w:rFonts w:ascii="黑体" w:hAnsi="黑体" w:eastAsia="黑体"/>
          <w:b/>
          <w:color w:val="auto"/>
          <w:sz w:val="36"/>
          <w:u w:val="single"/>
        </w:rPr>
      </w:pPr>
      <w:r>
        <w:rPr>
          <w:rFonts w:hint="eastAsia" w:ascii="黑体" w:hAnsi="黑体" w:eastAsia="黑体"/>
          <w:b/>
          <w:color w:val="auto"/>
          <w:sz w:val="36"/>
        </w:rPr>
        <w:t>项目编号：</w:t>
      </w:r>
    </w:p>
    <w:p>
      <w:pPr>
        <w:ind w:firstLine="1084" w:firstLineChars="300"/>
        <w:rPr>
          <w:rFonts w:ascii="黑体" w:hAnsi="黑体" w:eastAsia="黑体"/>
          <w:b/>
          <w:color w:val="auto"/>
          <w:sz w:val="36"/>
        </w:rPr>
      </w:pPr>
      <w:r>
        <w:rPr>
          <w:rFonts w:hint="eastAsia" w:ascii="黑体" w:hAnsi="黑体" w:eastAsia="黑体"/>
          <w:b/>
          <w:color w:val="auto"/>
          <w:sz w:val="36"/>
        </w:rPr>
        <w:t>磋商供应商名称：</w:t>
      </w:r>
    </w:p>
    <w:p>
      <w:pPr>
        <w:ind w:firstLine="1084" w:firstLineChars="300"/>
        <w:rPr>
          <w:rFonts w:ascii="黑体" w:hAnsi="黑体" w:eastAsia="黑体"/>
          <w:b/>
          <w:color w:val="auto"/>
          <w:sz w:val="36"/>
        </w:rPr>
      </w:pPr>
      <w:r>
        <w:rPr>
          <w:rFonts w:hint="eastAsia" w:ascii="黑体" w:hAnsi="黑体" w:eastAsia="黑体"/>
          <w:b/>
          <w:color w:val="auto"/>
          <w:sz w:val="36"/>
        </w:rPr>
        <w:t>日期：</w:t>
      </w:r>
    </w:p>
    <w:p>
      <w:pPr>
        <w:pStyle w:val="75"/>
        <w:ind w:firstLine="2464" w:firstLineChars="770"/>
        <w:rPr>
          <w:rFonts w:ascii="宋体"/>
          <w:bCs/>
          <w:color w:val="auto"/>
          <w:kern w:val="2"/>
          <w:sz w:val="32"/>
          <w:szCs w:val="32"/>
        </w:rPr>
      </w:pPr>
    </w:p>
    <w:p>
      <w:pPr>
        <w:pStyle w:val="75"/>
        <w:spacing w:before="0" w:after="0"/>
        <w:ind w:firstLine="0"/>
        <w:rPr>
          <w:rFonts w:ascii="宋体"/>
          <w:color w:val="auto"/>
        </w:rPr>
      </w:pPr>
    </w:p>
    <w:p>
      <w:pPr>
        <w:pStyle w:val="75"/>
        <w:spacing w:before="0" w:after="0"/>
        <w:ind w:firstLine="0"/>
        <w:rPr>
          <w:rFonts w:ascii="宋体"/>
          <w:color w:val="auto"/>
        </w:rPr>
      </w:pPr>
    </w:p>
    <w:p>
      <w:pPr>
        <w:pStyle w:val="75"/>
        <w:spacing w:before="0" w:after="0"/>
        <w:ind w:firstLine="0"/>
        <w:rPr>
          <w:rFonts w:ascii="宋体"/>
          <w:color w:val="auto"/>
        </w:rPr>
      </w:pPr>
    </w:p>
    <w:p>
      <w:pPr>
        <w:pStyle w:val="75"/>
        <w:spacing w:before="0" w:after="0"/>
        <w:ind w:firstLine="0"/>
        <w:rPr>
          <w:rFonts w:ascii="宋体"/>
          <w:color w:val="auto"/>
        </w:rPr>
      </w:pPr>
    </w:p>
    <w:p>
      <w:pPr>
        <w:pStyle w:val="75"/>
        <w:spacing w:before="0" w:after="0"/>
        <w:ind w:firstLine="0"/>
        <w:rPr>
          <w:rFonts w:ascii="宋体"/>
          <w:color w:val="auto"/>
        </w:rPr>
      </w:pPr>
    </w:p>
    <w:p>
      <w:pPr>
        <w:pStyle w:val="75"/>
        <w:spacing w:before="0" w:after="0"/>
        <w:ind w:firstLine="0"/>
        <w:rPr>
          <w:rFonts w:ascii="宋体"/>
          <w:color w:val="auto"/>
        </w:rPr>
      </w:pPr>
    </w:p>
    <w:p>
      <w:pPr>
        <w:pStyle w:val="19"/>
        <w:spacing w:line="360" w:lineRule="auto"/>
        <w:jc w:val="center"/>
        <w:rPr>
          <w:rFonts w:ascii="宋体"/>
          <w:color w:val="auto"/>
          <w:sz w:val="32"/>
        </w:rPr>
      </w:pPr>
    </w:p>
    <w:p>
      <w:pPr>
        <w:jc w:val="center"/>
        <w:rPr>
          <w:rFonts w:ascii="宋体"/>
          <w:b/>
          <w:color w:val="auto"/>
          <w:sz w:val="24"/>
        </w:rPr>
      </w:pPr>
      <w:r>
        <w:rPr>
          <w:rFonts w:ascii="宋体"/>
          <w:b/>
          <w:color w:val="auto"/>
          <w:sz w:val="32"/>
          <w:szCs w:val="32"/>
        </w:rPr>
        <w:br w:type="page"/>
      </w:r>
      <w:r>
        <w:rPr>
          <w:rFonts w:hint="eastAsia" w:ascii="宋体" w:hAnsi="宋体"/>
          <w:b/>
          <w:color w:val="auto"/>
          <w:sz w:val="24"/>
        </w:rPr>
        <w:t>评分索引表</w:t>
      </w:r>
    </w:p>
    <w:tbl>
      <w:tblPr>
        <w:tblStyle w:val="35"/>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92"/>
              <w:shd w:val="clear" w:color="auto" w:fill="FFFFFF"/>
              <w:spacing w:line="265" w:lineRule="atLeast"/>
              <w:ind w:left="420"/>
              <w:jc w:val="center"/>
              <w:rPr>
                <w:rFonts w:ascii="宋体"/>
                <w:b/>
                <w:bCs/>
                <w:color w:val="auto"/>
                <w:szCs w:val="24"/>
                <w:lang w:val="en-US" w:eastAsia="zh-CN"/>
              </w:rPr>
            </w:pPr>
            <w:r>
              <w:rPr>
                <w:rFonts w:hint="eastAsia" w:ascii="宋体"/>
                <w:b/>
                <w:color w:val="auto"/>
                <w:szCs w:val="24"/>
                <w:lang w:val="en-US" w:eastAsia="zh-CN"/>
              </w:rPr>
              <w:t>评分项目</w:t>
            </w:r>
          </w:p>
        </w:tc>
        <w:tc>
          <w:tcPr>
            <w:tcW w:w="3570" w:type="dxa"/>
          </w:tcPr>
          <w:p>
            <w:pPr>
              <w:jc w:val="center"/>
              <w:rPr>
                <w:rFonts w:ascii="宋体"/>
                <w:b/>
                <w:color w:val="auto"/>
                <w:sz w:val="24"/>
              </w:rPr>
            </w:pPr>
            <w:r>
              <w:rPr>
                <w:rFonts w:hint="eastAsia" w:ascii="宋体" w:hAnsi="宋体"/>
                <w:b/>
                <w:color w:val="auto"/>
                <w:kern w:val="0"/>
                <w:sz w:val="24"/>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Pr>
          <w:p>
            <w:pPr>
              <w:pStyle w:val="92"/>
              <w:shd w:val="clear" w:color="auto" w:fill="FFFFFF"/>
              <w:spacing w:line="265" w:lineRule="atLeast"/>
              <w:ind w:left="420"/>
              <w:jc w:val="both"/>
              <w:rPr>
                <w:rFonts w:ascii="宋体"/>
                <w:b/>
                <w:color w:val="auto"/>
                <w:szCs w:val="24"/>
                <w:lang w:val="en-US" w:eastAsia="zh-CN"/>
              </w:rPr>
            </w:pPr>
          </w:p>
        </w:tc>
        <w:tc>
          <w:tcPr>
            <w:tcW w:w="3570" w:type="dxa"/>
          </w:tcPr>
          <w:p>
            <w:pPr>
              <w:rPr>
                <w:rFonts w:ascii="宋体"/>
                <w:b/>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Pr>
          <w:p>
            <w:pPr>
              <w:pStyle w:val="92"/>
              <w:shd w:val="clear" w:color="auto" w:fill="FFFFFF"/>
              <w:spacing w:line="265" w:lineRule="atLeast"/>
              <w:ind w:left="420"/>
              <w:jc w:val="both"/>
              <w:rPr>
                <w:rFonts w:ascii="宋体"/>
                <w:color w:val="auto"/>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92"/>
              <w:shd w:val="clear" w:color="auto" w:fill="FFFFFF"/>
              <w:spacing w:line="265" w:lineRule="atLeast"/>
              <w:ind w:left="420"/>
              <w:rPr>
                <w:rFonts w:ascii="宋体"/>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92"/>
              <w:shd w:val="clear" w:color="auto" w:fill="FFFFFF"/>
              <w:spacing w:line="265" w:lineRule="atLeast"/>
              <w:ind w:left="420"/>
              <w:rPr>
                <w:rFonts w:ascii="宋体"/>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92"/>
              <w:shd w:val="clear" w:color="auto" w:fill="FFFFFF"/>
              <w:spacing w:line="265" w:lineRule="atLeast"/>
              <w:ind w:left="420"/>
              <w:rPr>
                <w:rFonts w:ascii="宋体"/>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Pr>
          <w:p>
            <w:pPr>
              <w:pStyle w:val="92"/>
              <w:shd w:val="clear" w:color="auto" w:fill="FFFFFF"/>
              <w:spacing w:line="265" w:lineRule="atLeast"/>
              <w:ind w:left="420"/>
              <w:rPr>
                <w:rFonts w:ascii="宋体"/>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92"/>
              <w:shd w:val="clear" w:color="auto" w:fill="FFFFFF"/>
              <w:spacing w:line="265" w:lineRule="atLeast"/>
              <w:ind w:left="420"/>
              <w:rPr>
                <w:rFonts w:ascii="宋体"/>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Pr>
          <w:p>
            <w:pPr>
              <w:pStyle w:val="92"/>
              <w:shd w:val="clear" w:color="auto" w:fill="FFFFFF"/>
              <w:spacing w:line="265" w:lineRule="atLeast"/>
              <w:ind w:left="420"/>
              <w:jc w:val="both"/>
              <w:rPr>
                <w:rFonts w:ascii="宋体"/>
                <w:color w:val="auto"/>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Pr>
          <w:p>
            <w:pPr>
              <w:pStyle w:val="92"/>
              <w:shd w:val="clear" w:color="auto" w:fill="FFFFFF"/>
              <w:spacing w:line="265" w:lineRule="atLeast"/>
              <w:ind w:left="420"/>
              <w:rPr>
                <w:rFonts w:ascii="宋体"/>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Pr>
          <w:p>
            <w:pPr>
              <w:pStyle w:val="92"/>
              <w:shd w:val="clear" w:color="auto" w:fill="FFFFFF"/>
              <w:spacing w:line="265" w:lineRule="atLeast"/>
              <w:ind w:left="420"/>
              <w:rPr>
                <w:rFonts w:ascii="宋体"/>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Pr>
          <w:p>
            <w:pPr>
              <w:pStyle w:val="92"/>
              <w:shd w:val="clear" w:color="auto" w:fill="FFFFFF"/>
              <w:spacing w:line="265" w:lineRule="atLeast"/>
              <w:ind w:left="420"/>
              <w:rPr>
                <w:rFonts w:ascii="宋体"/>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Pr>
          <w:p>
            <w:pPr>
              <w:pStyle w:val="92"/>
              <w:shd w:val="clear" w:color="auto" w:fill="FFFFFF"/>
              <w:spacing w:line="265" w:lineRule="atLeast"/>
              <w:ind w:left="420"/>
              <w:rPr>
                <w:rFonts w:ascii="宋体"/>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Pr>
          <w:p>
            <w:pPr>
              <w:pStyle w:val="92"/>
              <w:shd w:val="clear" w:color="auto" w:fill="FFFFFF"/>
              <w:spacing w:line="265" w:lineRule="atLeast"/>
              <w:ind w:left="420"/>
              <w:rPr>
                <w:rFonts w:ascii="宋体"/>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Pr>
          <w:p>
            <w:pPr>
              <w:pStyle w:val="92"/>
              <w:shd w:val="clear" w:color="auto" w:fill="FFFFFF"/>
              <w:spacing w:line="265" w:lineRule="atLeast"/>
              <w:ind w:left="420"/>
              <w:jc w:val="both"/>
              <w:rPr>
                <w:rFonts w:ascii="宋体"/>
                <w:b/>
                <w:color w:val="auto"/>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92"/>
              <w:shd w:val="clear" w:color="auto" w:fill="FFFFFF"/>
              <w:spacing w:line="265" w:lineRule="atLeast"/>
              <w:ind w:left="420"/>
              <w:rPr>
                <w:rFonts w:ascii="宋体"/>
                <w:b/>
                <w:bCs/>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Pr>
          <w:p>
            <w:pPr>
              <w:pStyle w:val="92"/>
              <w:shd w:val="clear" w:color="auto" w:fill="FFFFFF"/>
              <w:spacing w:line="265" w:lineRule="atLeast"/>
              <w:ind w:left="420"/>
              <w:rPr>
                <w:rFonts w:ascii="宋体"/>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Pr>
          <w:p>
            <w:pPr>
              <w:pStyle w:val="92"/>
              <w:shd w:val="clear" w:color="auto" w:fill="FFFFFF"/>
              <w:spacing w:line="265" w:lineRule="atLeast"/>
              <w:ind w:left="420"/>
              <w:rPr>
                <w:rFonts w:ascii="宋体"/>
                <w:b/>
                <w:bCs/>
                <w:color w:val="auto"/>
                <w:szCs w:val="24"/>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Pr>
          <w:p>
            <w:pPr>
              <w:pStyle w:val="92"/>
              <w:shd w:val="clear" w:color="auto" w:fill="FFFFFF"/>
              <w:spacing w:line="265" w:lineRule="atLeast"/>
              <w:ind w:left="420"/>
              <w:jc w:val="both"/>
              <w:rPr>
                <w:rFonts w:ascii="宋体"/>
                <w:b/>
                <w:color w:val="auto"/>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Pr>
          <w:p>
            <w:pPr>
              <w:pStyle w:val="92"/>
              <w:shd w:val="clear" w:color="auto" w:fill="FFFFFF"/>
              <w:spacing w:line="265" w:lineRule="atLeast"/>
              <w:ind w:left="0" w:firstLine="480" w:firstLineChars="200"/>
              <w:rPr>
                <w:rFonts w:ascii="宋体"/>
                <w:color w:val="auto"/>
                <w:szCs w:val="21"/>
                <w:lang w:val="en-US" w:eastAsia="zh-CN"/>
              </w:rPr>
            </w:pPr>
          </w:p>
        </w:tc>
        <w:tc>
          <w:tcPr>
            <w:tcW w:w="3570" w:type="dxa"/>
          </w:tcPr>
          <w:p>
            <w:pPr>
              <w:rPr>
                <w:rFonts w:asci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Pr>
          <w:p>
            <w:pPr>
              <w:pStyle w:val="92"/>
              <w:shd w:val="clear" w:color="auto" w:fill="FFFFFF"/>
              <w:spacing w:line="265" w:lineRule="atLeast"/>
              <w:ind w:left="0" w:firstLine="480" w:firstLineChars="200"/>
              <w:rPr>
                <w:rFonts w:ascii="宋体"/>
                <w:color w:val="auto"/>
                <w:szCs w:val="24"/>
                <w:lang w:val="en-US" w:eastAsia="zh-CN"/>
              </w:rPr>
            </w:pPr>
          </w:p>
        </w:tc>
        <w:tc>
          <w:tcPr>
            <w:tcW w:w="3570" w:type="dxa"/>
          </w:tcPr>
          <w:p>
            <w:pPr>
              <w:rPr>
                <w:rFonts w:ascii="宋体"/>
                <w:color w:val="auto"/>
              </w:rPr>
            </w:pPr>
          </w:p>
        </w:tc>
      </w:tr>
    </w:tbl>
    <w:p>
      <w:pPr>
        <w:rPr>
          <w:rFonts w:ascii="宋体"/>
          <w:color w:val="auto"/>
        </w:rPr>
      </w:pPr>
    </w:p>
    <w:p>
      <w:pPr>
        <w:jc w:val="center"/>
        <w:rPr>
          <w:rFonts w:ascii="黑体" w:hAnsi="黑体" w:eastAsia="黑体"/>
          <w:b/>
          <w:color w:val="auto"/>
          <w:sz w:val="32"/>
          <w:szCs w:val="32"/>
        </w:rPr>
      </w:pPr>
      <w:r>
        <w:rPr>
          <w:rFonts w:ascii="宋体"/>
          <w:b/>
          <w:color w:val="auto"/>
          <w:sz w:val="32"/>
          <w:szCs w:val="32"/>
        </w:rPr>
        <w:br w:type="page"/>
      </w:r>
      <w:r>
        <w:rPr>
          <w:rFonts w:hint="eastAsia" w:ascii="黑体" w:hAnsi="黑体" w:eastAsia="黑体"/>
          <w:b/>
          <w:color w:val="auto"/>
          <w:sz w:val="32"/>
          <w:szCs w:val="32"/>
        </w:rPr>
        <w:t>投标主要文件目录</w:t>
      </w:r>
    </w:p>
    <w:p>
      <w:pPr>
        <w:spacing w:line="440" w:lineRule="exact"/>
        <w:jc w:val="center"/>
        <w:rPr>
          <w:rFonts w:ascii="宋体"/>
          <w:b/>
          <w:bCs/>
          <w:color w:val="auto"/>
          <w:sz w:val="32"/>
          <w:szCs w:val="32"/>
        </w:rPr>
      </w:pPr>
    </w:p>
    <w:p>
      <w:pPr>
        <w:ind w:firstLine="480" w:firstLineChars="200"/>
        <w:rPr>
          <w:rFonts w:ascii="宋体"/>
          <w:bCs/>
          <w:color w:val="auto"/>
          <w:sz w:val="24"/>
        </w:rPr>
      </w:pPr>
      <w:r>
        <w:rPr>
          <w:rFonts w:hint="eastAsia" w:ascii="宋体" w:hAnsi="宋体"/>
          <w:color w:val="auto"/>
          <w:sz w:val="24"/>
        </w:rPr>
        <w:t>一、</w:t>
      </w:r>
      <w:r>
        <w:rPr>
          <w:rFonts w:hint="eastAsia" w:ascii="宋体" w:hAnsi="宋体"/>
          <w:bCs/>
          <w:color w:val="auto"/>
          <w:sz w:val="24"/>
        </w:rPr>
        <w:t>资信证明文件</w:t>
      </w:r>
    </w:p>
    <w:p>
      <w:pPr>
        <w:ind w:firstLine="482" w:firstLineChars="200"/>
        <w:rPr>
          <w:rFonts w:ascii="宋体"/>
          <w:bCs/>
          <w:color w:val="auto"/>
          <w:sz w:val="24"/>
        </w:rPr>
      </w:pPr>
      <w:r>
        <w:rPr>
          <w:rFonts w:hint="eastAsia" w:ascii="宋体" w:hAnsi="宋体"/>
          <w:b/>
          <w:bCs/>
          <w:color w:val="auto"/>
          <w:sz w:val="24"/>
        </w:rPr>
        <w:t>二</w:t>
      </w:r>
      <w:r>
        <w:rPr>
          <w:rFonts w:hint="eastAsia" w:ascii="宋体" w:hAnsi="宋体"/>
          <w:color w:val="auto"/>
          <w:sz w:val="24"/>
        </w:rPr>
        <w:t>、</w:t>
      </w:r>
      <w:r>
        <w:rPr>
          <w:rFonts w:hint="eastAsia" w:ascii="宋体" w:hAnsi="宋体"/>
          <w:bCs/>
          <w:color w:val="auto"/>
          <w:sz w:val="24"/>
        </w:rPr>
        <w:t>资格性审查响应对照表</w:t>
      </w:r>
    </w:p>
    <w:p>
      <w:pPr>
        <w:ind w:firstLine="480" w:firstLineChars="200"/>
        <w:rPr>
          <w:rFonts w:ascii="宋体"/>
          <w:bCs/>
          <w:color w:val="auto"/>
          <w:sz w:val="24"/>
        </w:rPr>
      </w:pPr>
      <w:r>
        <w:rPr>
          <w:rFonts w:hint="eastAsia" w:ascii="宋体" w:hAnsi="宋体"/>
          <w:bCs/>
          <w:color w:val="auto"/>
          <w:sz w:val="24"/>
        </w:rPr>
        <w:t>三、符合性检查响应对照表</w:t>
      </w:r>
    </w:p>
    <w:p>
      <w:pPr>
        <w:ind w:firstLine="480" w:firstLineChars="200"/>
        <w:rPr>
          <w:rFonts w:ascii="宋体"/>
          <w:bCs/>
          <w:color w:val="auto"/>
          <w:sz w:val="24"/>
        </w:rPr>
      </w:pPr>
      <w:r>
        <w:rPr>
          <w:rFonts w:hint="eastAsia" w:ascii="宋体" w:hAnsi="宋体"/>
          <w:bCs/>
          <w:color w:val="auto"/>
          <w:sz w:val="24"/>
        </w:rPr>
        <w:t>四、磋商响应函</w:t>
      </w:r>
    </w:p>
    <w:p>
      <w:pPr>
        <w:ind w:firstLine="480" w:firstLineChars="200"/>
        <w:rPr>
          <w:rFonts w:ascii="宋体"/>
          <w:bCs/>
          <w:color w:val="auto"/>
          <w:sz w:val="24"/>
        </w:rPr>
      </w:pPr>
      <w:r>
        <w:rPr>
          <w:rFonts w:hint="eastAsia" w:ascii="宋体" w:hAnsi="宋体"/>
          <w:bCs/>
          <w:color w:val="auto"/>
          <w:sz w:val="24"/>
        </w:rPr>
        <w:t>五、开标一览表</w:t>
      </w:r>
    </w:p>
    <w:p>
      <w:pPr>
        <w:ind w:firstLine="480" w:firstLineChars="200"/>
        <w:rPr>
          <w:rFonts w:ascii="宋体" w:hAnsi="宋体"/>
          <w:bCs/>
          <w:color w:val="auto"/>
          <w:sz w:val="24"/>
        </w:rPr>
      </w:pPr>
      <w:r>
        <w:rPr>
          <w:rFonts w:hint="eastAsia" w:ascii="宋体" w:hAnsi="宋体"/>
          <w:bCs/>
          <w:color w:val="auto"/>
          <w:sz w:val="24"/>
        </w:rPr>
        <w:t>六、磋商响应报价表</w:t>
      </w:r>
    </w:p>
    <w:p>
      <w:pPr>
        <w:ind w:firstLine="480" w:firstLineChars="200"/>
        <w:rPr>
          <w:rFonts w:ascii="宋体" w:hAnsi="宋体"/>
          <w:bCs/>
          <w:color w:val="auto"/>
          <w:sz w:val="24"/>
        </w:rPr>
      </w:pPr>
      <w:r>
        <w:rPr>
          <w:rFonts w:hint="eastAsia" w:ascii="宋体" w:hAnsi="宋体"/>
          <w:bCs/>
          <w:color w:val="auto"/>
          <w:sz w:val="24"/>
        </w:rPr>
        <w:t>七、技术方案、服务承诺、培训承诺等</w:t>
      </w:r>
    </w:p>
    <w:p>
      <w:pPr>
        <w:ind w:firstLine="480" w:firstLineChars="200"/>
        <w:rPr>
          <w:rFonts w:ascii="宋体"/>
          <w:bCs/>
          <w:color w:val="auto"/>
          <w:sz w:val="24"/>
        </w:rPr>
      </w:pPr>
    </w:p>
    <w:p>
      <w:pPr>
        <w:ind w:firstLine="480" w:firstLineChars="200"/>
        <w:rPr>
          <w:rFonts w:ascii="宋体"/>
          <w:color w:val="auto"/>
          <w:sz w:val="24"/>
        </w:rPr>
      </w:pPr>
    </w:p>
    <w:p>
      <w:pPr>
        <w:spacing w:line="560" w:lineRule="exact"/>
        <w:ind w:firstLine="480" w:firstLineChars="200"/>
        <w:rPr>
          <w:rFonts w:ascii="宋体"/>
          <w:color w:val="auto"/>
          <w:sz w:val="24"/>
        </w:rPr>
      </w:pPr>
    </w:p>
    <w:p>
      <w:pPr>
        <w:spacing w:line="440" w:lineRule="exact"/>
        <w:ind w:firstLine="480" w:firstLineChars="200"/>
        <w:rPr>
          <w:rFonts w:ascii="宋体"/>
          <w:color w:val="auto"/>
          <w:sz w:val="24"/>
        </w:rPr>
      </w:pPr>
    </w:p>
    <w:p>
      <w:pPr>
        <w:spacing w:line="440" w:lineRule="exact"/>
        <w:ind w:firstLine="480" w:firstLineChars="200"/>
        <w:rPr>
          <w:rFonts w:ascii="宋体"/>
          <w:color w:val="auto"/>
          <w:sz w:val="24"/>
        </w:rPr>
      </w:pPr>
    </w:p>
    <w:p>
      <w:pPr>
        <w:spacing w:line="360" w:lineRule="auto"/>
        <w:jc w:val="center"/>
        <w:rPr>
          <w:rFonts w:ascii="黑体" w:hAnsi="黑体" w:eastAsia="黑体"/>
          <w:b/>
          <w:color w:val="auto"/>
          <w:sz w:val="32"/>
          <w:szCs w:val="32"/>
        </w:rPr>
      </w:pPr>
      <w:r>
        <w:rPr>
          <w:rFonts w:ascii="宋体"/>
          <w:b/>
          <w:color w:val="auto"/>
          <w:sz w:val="32"/>
          <w:szCs w:val="32"/>
        </w:rPr>
        <w:br w:type="page"/>
      </w:r>
      <w:r>
        <w:rPr>
          <w:rFonts w:hint="eastAsia" w:ascii="黑体" w:hAnsi="黑体" w:eastAsia="黑体"/>
          <w:b/>
          <w:color w:val="auto"/>
          <w:sz w:val="32"/>
          <w:szCs w:val="32"/>
        </w:rPr>
        <w:t>一、资信证明文件</w:t>
      </w:r>
    </w:p>
    <w:p>
      <w:pPr>
        <w:snapToGrid w:val="0"/>
        <w:spacing w:before="50" w:after="50" w:line="360" w:lineRule="auto"/>
        <w:ind w:firstLine="354" w:firstLineChars="147"/>
        <w:rPr>
          <w:rFonts w:ascii="宋体" w:hAnsi="宋体" w:eastAsia="仿宋_GB2312"/>
          <w:color w:val="auto"/>
          <w:sz w:val="24"/>
          <w:szCs w:val="20"/>
        </w:rPr>
      </w:pPr>
      <w:bookmarkStart w:id="113" w:name="_Toc22356583"/>
      <w:bookmarkStart w:id="114" w:name="_Toc513029281"/>
      <w:bookmarkStart w:id="115" w:name="_Toc24878535"/>
      <w:bookmarkStart w:id="116" w:name="_Toc26554103"/>
      <w:bookmarkStart w:id="117" w:name="_Toc120614291"/>
      <w:bookmarkStart w:id="118" w:name="_Toc120614284"/>
      <w:bookmarkStart w:id="119" w:name="_Toc23828483"/>
      <w:bookmarkStart w:id="120" w:name="_Toc49090582"/>
      <w:r>
        <w:rPr>
          <w:rFonts w:hint="eastAsia" w:ascii="宋体" w:hAnsi="宋体"/>
          <w:b/>
          <w:bCs/>
          <w:color w:val="auto"/>
          <w:sz w:val="24"/>
        </w:rPr>
        <w:t>实质性资格证明文件目录</w:t>
      </w:r>
    </w:p>
    <w:p>
      <w:pPr>
        <w:snapToGrid w:val="0"/>
        <w:spacing w:line="360" w:lineRule="auto"/>
        <w:ind w:firstLine="482" w:firstLineChars="200"/>
        <w:rPr>
          <w:rFonts w:ascii="仿宋_GB2312" w:hAnsi="宋体" w:cs="Arial"/>
          <w:color w:val="auto"/>
          <w:sz w:val="24"/>
          <w:u w:val="single"/>
        </w:rPr>
      </w:pPr>
      <w:r>
        <w:rPr>
          <w:rFonts w:hint="eastAsia"/>
          <w:b/>
          <w:color w:val="auto"/>
          <w:sz w:val="24"/>
          <w:u w:val="single"/>
        </w:rPr>
        <w:t>文件</w:t>
      </w:r>
      <w:r>
        <w:rPr>
          <w:b/>
          <w:color w:val="auto"/>
          <w:sz w:val="24"/>
          <w:u w:val="single"/>
        </w:rPr>
        <w:t>1</w:t>
      </w:r>
      <w:r>
        <w:rPr>
          <w:rFonts w:hint="eastAsia" w:ascii="仿宋_GB2312" w:hAnsi="宋体" w:cs="Arial"/>
          <w:color w:val="auto"/>
          <w:sz w:val="24"/>
          <w:u w:val="single"/>
        </w:rPr>
        <w:t>法人或者其他组织的营业执照等证明文件，自然人的身份证明（复印件）</w:t>
      </w:r>
    </w:p>
    <w:p>
      <w:pPr>
        <w:snapToGrid w:val="0"/>
        <w:spacing w:before="50" w:afterLines="50" w:line="360" w:lineRule="auto"/>
        <w:ind w:firstLine="482" w:firstLineChars="200"/>
        <w:jc w:val="left"/>
        <w:rPr>
          <w:rFonts w:ascii="仿宋_GB2312" w:hAnsi="宋体" w:cs="Arial"/>
          <w:color w:val="auto"/>
          <w:sz w:val="24"/>
          <w:u w:val="single"/>
        </w:rPr>
      </w:pPr>
      <w:r>
        <w:rPr>
          <w:rFonts w:hint="eastAsia"/>
          <w:b/>
          <w:color w:val="auto"/>
          <w:sz w:val="24"/>
          <w:u w:val="single"/>
        </w:rPr>
        <w:t>文件</w:t>
      </w:r>
      <w:r>
        <w:rPr>
          <w:rFonts w:ascii="宋体" w:hAnsi="宋体"/>
          <w:b/>
          <w:color w:val="auto"/>
          <w:sz w:val="24"/>
          <w:u w:val="single"/>
        </w:rPr>
        <w:t>2</w:t>
      </w:r>
      <w:r>
        <w:rPr>
          <w:rFonts w:hint="eastAsia" w:ascii="仿宋_GB2312" w:hAnsi="宋体" w:cs="Arial"/>
          <w:color w:val="auto"/>
          <w:sz w:val="24"/>
          <w:u w:val="single"/>
        </w:rPr>
        <w:t>依法缴纳税收和社会保障资金的相关材料（复印件）</w:t>
      </w:r>
    </w:p>
    <w:p>
      <w:pPr>
        <w:snapToGrid w:val="0"/>
        <w:spacing w:before="50" w:afterLines="50" w:line="360" w:lineRule="auto"/>
        <w:ind w:firstLine="482" w:firstLineChars="200"/>
        <w:jc w:val="left"/>
        <w:rPr>
          <w:rFonts w:ascii="宋体" w:hAnsi="宋体"/>
          <w:b/>
          <w:color w:val="auto"/>
          <w:sz w:val="24"/>
          <w:u w:val="single"/>
        </w:rPr>
      </w:pPr>
      <w:r>
        <w:rPr>
          <w:rFonts w:hint="eastAsia"/>
          <w:b/>
          <w:color w:val="auto"/>
          <w:sz w:val="24"/>
          <w:u w:val="single"/>
        </w:rPr>
        <w:t>文件</w:t>
      </w:r>
      <w:r>
        <w:rPr>
          <w:rFonts w:hint="eastAsia" w:ascii="宋体" w:hAnsi="宋体"/>
          <w:b/>
          <w:color w:val="auto"/>
          <w:sz w:val="24"/>
          <w:u w:val="single"/>
        </w:rPr>
        <w:t xml:space="preserve">3  </w:t>
      </w:r>
      <w:r>
        <w:rPr>
          <w:rFonts w:hint="eastAsia" w:ascii="仿宋_GB2312" w:hAnsi="宋体" w:cs="Arial"/>
          <w:color w:val="auto"/>
          <w:sz w:val="24"/>
          <w:u w:val="single"/>
        </w:rPr>
        <w:t>具备履行合同所必需的设备和专业技术能力</w:t>
      </w:r>
      <w:r>
        <w:rPr>
          <w:rFonts w:hint="eastAsia" w:ascii="宋体" w:hAnsi="宋体"/>
          <w:color w:val="auto"/>
          <w:sz w:val="24"/>
          <w:u w:val="single"/>
        </w:rPr>
        <w:t>证明材料</w:t>
      </w:r>
      <w:r>
        <w:rPr>
          <w:rFonts w:hint="eastAsia" w:ascii="仿宋_GB2312" w:hAnsi="宋体" w:cs="Arial"/>
          <w:color w:val="auto"/>
          <w:sz w:val="24"/>
          <w:u w:val="single"/>
        </w:rPr>
        <w:t>（复印件）</w:t>
      </w:r>
    </w:p>
    <w:p>
      <w:pPr>
        <w:snapToGrid w:val="0"/>
        <w:spacing w:line="360" w:lineRule="auto"/>
        <w:ind w:firstLine="482" w:firstLineChars="200"/>
        <w:rPr>
          <w:rFonts w:ascii="仿宋_GB2312" w:hAnsi="宋体" w:cs="Arial"/>
          <w:color w:val="auto"/>
          <w:sz w:val="24"/>
          <w:u w:val="single"/>
        </w:rPr>
      </w:pPr>
      <w:r>
        <w:rPr>
          <w:rFonts w:hint="eastAsia"/>
          <w:b/>
          <w:color w:val="auto"/>
          <w:sz w:val="24"/>
          <w:u w:val="single"/>
        </w:rPr>
        <w:t>文件</w:t>
      </w:r>
      <w:r>
        <w:rPr>
          <w:rFonts w:hint="eastAsia" w:ascii="黑体" w:hAnsi="宋体" w:eastAsia="黑体"/>
          <w:b/>
          <w:color w:val="auto"/>
          <w:sz w:val="24"/>
          <w:u w:val="single"/>
        </w:rPr>
        <w:t>4</w:t>
      </w:r>
      <w:r>
        <w:rPr>
          <w:rFonts w:hint="eastAsia" w:ascii="仿宋_GB2312" w:hAnsi="宋体" w:cs="Arial"/>
          <w:color w:val="auto"/>
          <w:sz w:val="24"/>
          <w:u w:val="single"/>
        </w:rPr>
        <w:t>参加政府采购活动前 3 年内在经营活动中没有重大违法记录的书面声明（</w:t>
      </w:r>
      <w:r>
        <w:rPr>
          <w:rFonts w:ascii="宋体" w:hAnsi="宋体"/>
          <w:color w:val="auto"/>
          <w:u w:val="single"/>
        </w:rPr>
        <w:t>原件,</w:t>
      </w:r>
      <w:r>
        <w:rPr>
          <w:rFonts w:hint="eastAsia" w:ascii="仿宋_GB2312" w:hAnsi="宋体" w:cs="Arial"/>
          <w:color w:val="auto"/>
          <w:sz w:val="24"/>
          <w:u w:val="single"/>
        </w:rPr>
        <w:t>格式见附表）</w:t>
      </w:r>
    </w:p>
    <w:p>
      <w:pPr>
        <w:pStyle w:val="65"/>
        <w:spacing w:line="360" w:lineRule="auto"/>
        <w:ind w:firstLine="561"/>
        <w:rPr>
          <w:rFonts w:ascii="仿宋_GB2312" w:hAnsi="宋体" w:cs="Arial"/>
          <w:color w:val="auto"/>
          <w:u w:val="single"/>
        </w:rPr>
      </w:pPr>
      <w:r>
        <w:rPr>
          <w:rFonts w:hint="eastAsia"/>
          <w:b/>
          <w:color w:val="auto"/>
          <w:u w:val="single"/>
        </w:rPr>
        <w:t xml:space="preserve">文件5  </w:t>
      </w:r>
      <w:r>
        <w:rPr>
          <w:rFonts w:hint="eastAsia" w:ascii="仿宋_GB2312" w:hAnsi="宋体" w:cs="Arial"/>
          <w:color w:val="auto"/>
          <w:u w:val="single"/>
        </w:rPr>
        <w:t>法人授权书</w:t>
      </w:r>
      <w:r>
        <w:rPr>
          <w:rFonts w:ascii="仿宋_GB2312" w:hAnsi="宋体" w:cs="Arial"/>
          <w:color w:val="auto"/>
          <w:u w:val="single"/>
        </w:rPr>
        <w:t>（原件）</w:t>
      </w:r>
    </w:p>
    <w:p>
      <w:pPr>
        <w:snapToGrid w:val="0"/>
        <w:spacing w:before="50" w:afterLines="50" w:line="360" w:lineRule="auto"/>
        <w:ind w:firstLine="602" w:firstLineChars="250"/>
        <w:jc w:val="left"/>
        <w:rPr>
          <w:rFonts w:ascii="仿宋_GB2312" w:hAnsi="宋体" w:cs="Arial"/>
          <w:color w:val="auto"/>
          <w:sz w:val="24"/>
          <w:u w:val="single"/>
        </w:rPr>
      </w:pPr>
      <w:r>
        <w:rPr>
          <w:rFonts w:hint="eastAsia"/>
          <w:b/>
          <w:color w:val="auto"/>
          <w:sz w:val="24"/>
          <w:u w:val="single"/>
        </w:rPr>
        <w:t>文件6</w:t>
      </w:r>
      <w:r>
        <w:rPr>
          <w:rFonts w:hint="eastAsia" w:ascii="仿宋_GB2312" w:hAnsi="宋体" w:cs="Arial"/>
          <w:color w:val="auto"/>
          <w:sz w:val="24"/>
          <w:u w:val="single"/>
        </w:rPr>
        <w:t>招标文件中规定要求提供的证明材料和磋商供应商认为需要提供的其他材料（招标文件要求提供原件的必须在响应文件中提供，没有要求的提供复印件，原件投标时自带备查）</w:t>
      </w:r>
    </w:p>
    <w:p>
      <w:pPr>
        <w:snapToGrid w:val="0"/>
        <w:spacing w:before="50" w:afterLines="50"/>
        <w:jc w:val="left"/>
        <w:rPr>
          <w:rFonts w:ascii="宋体" w:hAnsi="宋体"/>
          <w:b/>
          <w:i/>
          <w:color w:val="auto"/>
          <w:sz w:val="24"/>
          <w:u w:val="single"/>
        </w:rPr>
      </w:pPr>
    </w:p>
    <w:p>
      <w:pPr>
        <w:snapToGrid w:val="0"/>
        <w:spacing w:before="50" w:afterLines="50"/>
        <w:ind w:firstLine="482"/>
        <w:jc w:val="left"/>
        <w:rPr>
          <w:rFonts w:ascii="仿宋_GB2312" w:hAnsi="宋体" w:cs="Arial"/>
          <w:bCs/>
          <w:iCs/>
          <w:color w:val="auto"/>
          <w:sz w:val="24"/>
          <w:u w:val="single"/>
        </w:rPr>
      </w:pPr>
    </w:p>
    <w:p>
      <w:pPr>
        <w:snapToGrid w:val="0"/>
        <w:spacing w:before="50" w:afterLines="50"/>
        <w:ind w:firstLine="482"/>
        <w:jc w:val="left"/>
        <w:rPr>
          <w:rFonts w:ascii="仿宋_GB2312" w:hAnsi="宋体" w:cs="Arial"/>
          <w:i/>
          <w:color w:val="auto"/>
          <w:sz w:val="24"/>
          <w:u w:val="single"/>
        </w:rPr>
      </w:pPr>
    </w:p>
    <w:p>
      <w:pPr>
        <w:snapToGrid w:val="0"/>
        <w:spacing w:before="50" w:afterLines="50"/>
        <w:ind w:firstLine="482"/>
        <w:jc w:val="left"/>
        <w:rPr>
          <w:rFonts w:ascii="仿宋_GB2312" w:hAnsi="宋体" w:cs="Arial"/>
          <w:i/>
          <w:color w:val="auto"/>
          <w:sz w:val="24"/>
          <w:u w:val="single"/>
        </w:rPr>
      </w:pPr>
    </w:p>
    <w:p>
      <w:pPr>
        <w:snapToGrid w:val="0"/>
        <w:spacing w:before="50" w:afterLines="50"/>
        <w:ind w:firstLine="482"/>
        <w:jc w:val="left"/>
        <w:rPr>
          <w:rFonts w:ascii="仿宋_GB2312" w:hAnsi="宋体" w:cs="Arial"/>
          <w:i/>
          <w:color w:val="auto"/>
          <w:sz w:val="24"/>
          <w:u w:val="single"/>
        </w:rPr>
      </w:pPr>
    </w:p>
    <w:p>
      <w:pPr>
        <w:snapToGrid w:val="0"/>
        <w:spacing w:before="50" w:afterLines="50"/>
        <w:jc w:val="left"/>
        <w:rPr>
          <w:rFonts w:ascii="仿宋_GB2312" w:hAnsi="宋体" w:cs="Arial"/>
          <w:i/>
          <w:color w:val="auto"/>
          <w:sz w:val="24"/>
          <w:u w:val="single"/>
        </w:rPr>
      </w:pPr>
    </w:p>
    <w:p>
      <w:pPr>
        <w:pStyle w:val="6"/>
        <w:jc w:val="center"/>
        <w:rPr>
          <w:rFonts w:ascii="宋体"/>
          <w:bCs/>
          <w:color w:val="auto"/>
          <w:sz w:val="24"/>
          <w:szCs w:val="24"/>
        </w:rPr>
      </w:pPr>
      <w:r>
        <w:rPr>
          <w:rFonts w:ascii="宋体" w:hAnsi="宋体"/>
          <w:bCs/>
          <w:color w:val="auto"/>
          <w:sz w:val="24"/>
          <w:szCs w:val="24"/>
        </w:rPr>
        <w:br w:type="page"/>
      </w:r>
      <w:r>
        <w:rPr>
          <w:rFonts w:hint="eastAsia" w:ascii="宋体" w:hAnsi="宋体"/>
          <w:bCs/>
          <w:color w:val="auto"/>
          <w:sz w:val="24"/>
          <w:szCs w:val="24"/>
        </w:rPr>
        <w:t>具备履行合同所必需的设备和专业技术能力的书面声明</w:t>
      </w:r>
    </w:p>
    <w:p>
      <w:pPr>
        <w:spacing w:line="460" w:lineRule="exact"/>
        <w:ind w:firstLine="492"/>
        <w:rPr>
          <w:rFonts w:ascii="宋体"/>
          <w:bCs/>
          <w:color w:val="auto"/>
          <w:sz w:val="24"/>
        </w:rPr>
      </w:pPr>
      <w:r>
        <w:rPr>
          <w:rFonts w:hint="eastAsia" w:ascii="宋体" w:hAnsi="宋体"/>
          <w:bCs/>
          <w:color w:val="auto"/>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color w:val="auto"/>
          <w:sz w:val="24"/>
        </w:rPr>
      </w:pPr>
      <w:r>
        <w:rPr>
          <w:rFonts w:hint="eastAsia" w:ascii="宋体" w:hAnsi="宋体"/>
          <w:bCs/>
          <w:color w:val="auto"/>
          <w:sz w:val="24"/>
        </w:rPr>
        <w:t>主要设备有：</w:t>
      </w:r>
      <w:r>
        <w:rPr>
          <w:rFonts w:hint="eastAsia" w:ascii="宋体" w:hAnsi="宋体" w:cs="宋体"/>
          <w:bCs/>
          <w:color w:val="auto"/>
          <w:sz w:val="24"/>
        </w:rPr>
        <w:t>＿＿＿</w:t>
      </w:r>
      <w:r>
        <w:rPr>
          <w:rFonts w:hint="eastAsia" w:ascii="宋体" w:hAnsi="宋体"/>
          <w:bCs/>
          <w:color w:val="auto"/>
          <w:sz w:val="24"/>
        </w:rPr>
        <w:t>。</w:t>
      </w:r>
    </w:p>
    <w:p>
      <w:pPr>
        <w:spacing w:line="460" w:lineRule="exact"/>
        <w:ind w:firstLine="492"/>
        <w:rPr>
          <w:rFonts w:ascii="宋体"/>
          <w:bCs/>
          <w:color w:val="auto"/>
          <w:sz w:val="24"/>
        </w:rPr>
      </w:pPr>
      <w:r>
        <w:rPr>
          <w:rFonts w:hint="eastAsia" w:ascii="宋体" w:hAnsi="宋体"/>
          <w:bCs/>
          <w:color w:val="auto"/>
          <w:sz w:val="24"/>
        </w:rPr>
        <w:t>主要专业技术能力有：</w:t>
      </w:r>
      <w:r>
        <w:rPr>
          <w:rFonts w:hint="eastAsia" w:ascii="宋体" w:hAnsi="宋体" w:cs="宋体"/>
          <w:bCs/>
          <w:color w:val="auto"/>
          <w:sz w:val="24"/>
        </w:rPr>
        <w:t>＿＿＿</w:t>
      </w:r>
      <w:r>
        <w:rPr>
          <w:rFonts w:hint="eastAsia" w:ascii="宋体" w:hAnsi="宋体"/>
          <w:bCs/>
          <w:color w:val="auto"/>
          <w:sz w:val="24"/>
        </w:rPr>
        <w:t>。</w:t>
      </w:r>
    </w:p>
    <w:p>
      <w:pPr>
        <w:spacing w:line="460" w:lineRule="exact"/>
        <w:rPr>
          <w:rFonts w:ascii="宋体" w:hAnsi="宋体"/>
          <w:bCs/>
          <w:color w:val="auto"/>
          <w:sz w:val="24"/>
        </w:rPr>
      </w:pPr>
    </w:p>
    <w:p>
      <w:pPr>
        <w:spacing w:line="460" w:lineRule="exact"/>
        <w:rPr>
          <w:rFonts w:ascii="宋体"/>
          <w:bCs/>
          <w:color w:val="auto"/>
          <w:sz w:val="24"/>
        </w:rPr>
      </w:pPr>
      <w:r>
        <w:rPr>
          <w:rFonts w:hint="eastAsia" w:ascii="宋体" w:hAnsi="宋体"/>
          <w:bCs/>
          <w:color w:val="auto"/>
          <w:sz w:val="24"/>
        </w:rPr>
        <w:t>供应商名称（公章）：</w:t>
      </w:r>
    </w:p>
    <w:p>
      <w:pPr>
        <w:spacing w:line="460" w:lineRule="exact"/>
        <w:rPr>
          <w:rFonts w:ascii="宋体"/>
          <w:bCs/>
          <w:color w:val="auto"/>
          <w:sz w:val="24"/>
        </w:rPr>
      </w:pPr>
    </w:p>
    <w:p>
      <w:pPr>
        <w:spacing w:line="460" w:lineRule="exact"/>
        <w:rPr>
          <w:rFonts w:ascii="宋体"/>
          <w:bCs/>
          <w:color w:val="auto"/>
          <w:sz w:val="24"/>
        </w:rPr>
      </w:pPr>
      <w:r>
        <w:rPr>
          <w:rFonts w:hint="eastAsia" w:ascii="宋体" w:hAnsi="宋体"/>
          <w:bCs/>
          <w:color w:val="auto"/>
          <w:sz w:val="24"/>
        </w:rPr>
        <w:t>日期：</w:t>
      </w:r>
      <w:r>
        <w:rPr>
          <w:rFonts w:ascii="宋体" w:hAnsi="宋体"/>
          <w:bCs/>
          <w:color w:val="auto"/>
          <w:sz w:val="24"/>
          <w:u w:val="single"/>
        </w:rPr>
        <w:t>____</w:t>
      </w:r>
      <w:r>
        <w:rPr>
          <w:rFonts w:hint="eastAsia" w:ascii="宋体" w:hAnsi="宋体"/>
          <w:bCs/>
          <w:color w:val="auto"/>
          <w:sz w:val="24"/>
        </w:rPr>
        <w:t>年</w:t>
      </w:r>
      <w:r>
        <w:rPr>
          <w:rFonts w:ascii="宋体" w:hAnsi="宋体"/>
          <w:bCs/>
          <w:color w:val="auto"/>
          <w:sz w:val="24"/>
          <w:u w:val="single"/>
        </w:rPr>
        <w:t>____</w:t>
      </w:r>
      <w:r>
        <w:rPr>
          <w:rFonts w:hint="eastAsia" w:ascii="宋体" w:hAnsi="宋体"/>
          <w:bCs/>
          <w:color w:val="auto"/>
          <w:sz w:val="24"/>
        </w:rPr>
        <w:t>月</w:t>
      </w:r>
      <w:r>
        <w:rPr>
          <w:rFonts w:ascii="宋体" w:hAnsi="宋体"/>
          <w:bCs/>
          <w:color w:val="auto"/>
          <w:sz w:val="24"/>
          <w:u w:val="single"/>
        </w:rPr>
        <w:t>____</w:t>
      </w:r>
      <w:r>
        <w:rPr>
          <w:rFonts w:hint="eastAsia" w:ascii="宋体" w:hAnsi="宋体"/>
          <w:bCs/>
          <w:color w:val="auto"/>
          <w:sz w:val="24"/>
        </w:rPr>
        <w:t>日</w:t>
      </w:r>
    </w:p>
    <w:p>
      <w:pPr>
        <w:pStyle w:val="5"/>
        <w:ind w:firstLine="0"/>
        <w:rPr>
          <w:color w:val="auto"/>
        </w:rPr>
      </w:pPr>
    </w:p>
    <w:p>
      <w:pPr>
        <w:pStyle w:val="6"/>
        <w:jc w:val="center"/>
        <w:rPr>
          <w:rFonts w:ascii="宋体"/>
          <w:bCs/>
          <w:color w:val="auto"/>
          <w:sz w:val="24"/>
          <w:szCs w:val="24"/>
        </w:rPr>
      </w:pPr>
      <w:r>
        <w:rPr>
          <w:rFonts w:ascii="宋体"/>
          <w:bCs/>
          <w:color w:val="auto"/>
          <w:sz w:val="24"/>
          <w:szCs w:val="24"/>
        </w:rPr>
        <w:br w:type="page"/>
      </w:r>
      <w:r>
        <w:rPr>
          <w:rFonts w:hint="eastAsia" w:ascii="宋体" w:hAnsi="宋体"/>
          <w:bCs/>
          <w:color w:val="auto"/>
          <w:sz w:val="24"/>
          <w:szCs w:val="24"/>
        </w:rPr>
        <w:t>参加政府采购活动前</w:t>
      </w:r>
      <w:r>
        <w:rPr>
          <w:rFonts w:ascii="宋体" w:hAnsi="宋体"/>
          <w:bCs/>
          <w:color w:val="auto"/>
          <w:sz w:val="24"/>
          <w:szCs w:val="24"/>
        </w:rPr>
        <w:t xml:space="preserve"> 3 </w:t>
      </w:r>
      <w:r>
        <w:rPr>
          <w:rFonts w:hint="eastAsia" w:ascii="宋体" w:hAnsi="宋体"/>
          <w:bCs/>
          <w:color w:val="auto"/>
          <w:sz w:val="24"/>
          <w:szCs w:val="24"/>
        </w:rPr>
        <w:t>年内在经营活动中没有重大违法记录的书面声明</w:t>
      </w:r>
    </w:p>
    <w:p>
      <w:pPr>
        <w:spacing w:line="460" w:lineRule="exact"/>
        <w:rPr>
          <w:rFonts w:ascii="宋体"/>
          <w:b/>
          <w:bCs/>
          <w:color w:val="auto"/>
          <w:sz w:val="44"/>
          <w:szCs w:val="44"/>
        </w:rPr>
      </w:pPr>
    </w:p>
    <w:p>
      <w:pPr>
        <w:spacing w:line="460" w:lineRule="exact"/>
        <w:jc w:val="center"/>
        <w:rPr>
          <w:rFonts w:ascii="宋体"/>
          <w:b/>
          <w:bCs/>
          <w:color w:val="auto"/>
          <w:sz w:val="44"/>
          <w:szCs w:val="44"/>
        </w:rPr>
      </w:pPr>
      <w:r>
        <w:rPr>
          <w:rFonts w:hint="eastAsia" w:ascii="宋体" w:hAnsi="宋体"/>
          <w:b/>
          <w:bCs/>
          <w:color w:val="auto"/>
          <w:sz w:val="44"/>
          <w:szCs w:val="44"/>
        </w:rPr>
        <w:t>声明</w:t>
      </w:r>
    </w:p>
    <w:p>
      <w:pPr>
        <w:spacing w:line="460" w:lineRule="exact"/>
        <w:rPr>
          <w:rFonts w:ascii="宋体"/>
          <w:bCs/>
          <w:color w:val="auto"/>
          <w:sz w:val="24"/>
        </w:rPr>
      </w:pPr>
      <w:r>
        <w:rPr>
          <w:rFonts w:hint="eastAsia" w:ascii="宋体" w:hAnsi="宋体"/>
          <w:bCs/>
          <w:color w:val="auto"/>
          <w:sz w:val="24"/>
        </w:rPr>
        <w:t>我公司郑重声明：参加本次政府采购活动前</w:t>
      </w:r>
      <w:r>
        <w:rPr>
          <w:rFonts w:ascii="宋体" w:hAnsi="宋体"/>
          <w:bCs/>
          <w:color w:val="auto"/>
          <w:sz w:val="24"/>
        </w:rPr>
        <w:t xml:space="preserve"> 3 </w:t>
      </w:r>
      <w:r>
        <w:rPr>
          <w:rFonts w:hint="eastAsia" w:ascii="宋体" w:hAnsi="宋体"/>
          <w:bCs/>
          <w:color w:val="auto"/>
          <w:sz w:val="24"/>
        </w:rPr>
        <w:t>年内，我公司在经营活动中没有因违法经营受到刑事处罚或者责令停产停业、吊销许可证或者执照、较大数额罚款等行政处罚。</w:t>
      </w:r>
    </w:p>
    <w:p>
      <w:pPr>
        <w:spacing w:line="460" w:lineRule="exact"/>
        <w:rPr>
          <w:rFonts w:ascii="宋体" w:hAnsi="宋体"/>
          <w:bCs/>
          <w:color w:val="auto"/>
          <w:sz w:val="24"/>
        </w:rPr>
      </w:pPr>
    </w:p>
    <w:p>
      <w:pPr>
        <w:spacing w:line="460" w:lineRule="exact"/>
        <w:rPr>
          <w:rFonts w:ascii="宋体"/>
          <w:bCs/>
          <w:color w:val="auto"/>
          <w:sz w:val="24"/>
        </w:rPr>
      </w:pPr>
      <w:r>
        <w:rPr>
          <w:rFonts w:hint="eastAsia" w:ascii="宋体" w:hAnsi="宋体"/>
          <w:bCs/>
          <w:color w:val="auto"/>
          <w:sz w:val="24"/>
        </w:rPr>
        <w:t>供应商名称（公章）：</w:t>
      </w:r>
    </w:p>
    <w:p>
      <w:pPr>
        <w:spacing w:line="460" w:lineRule="exact"/>
        <w:rPr>
          <w:rFonts w:ascii="宋体"/>
          <w:bCs/>
          <w:color w:val="auto"/>
          <w:sz w:val="24"/>
        </w:rPr>
      </w:pPr>
      <w:r>
        <w:rPr>
          <w:rFonts w:hint="eastAsia" w:ascii="宋体" w:hAnsi="宋体"/>
          <w:bCs/>
          <w:color w:val="auto"/>
          <w:sz w:val="24"/>
        </w:rPr>
        <w:t>授权代表签字：</w:t>
      </w:r>
      <w:r>
        <w:rPr>
          <w:rFonts w:ascii="宋体" w:hAnsi="宋体"/>
          <w:bCs/>
          <w:color w:val="auto"/>
          <w:sz w:val="24"/>
          <w:u w:val="single"/>
        </w:rPr>
        <w:t>_______________________</w:t>
      </w:r>
    </w:p>
    <w:p>
      <w:pPr>
        <w:spacing w:line="460" w:lineRule="exact"/>
        <w:rPr>
          <w:rFonts w:ascii="宋体"/>
          <w:bCs/>
          <w:color w:val="auto"/>
          <w:sz w:val="24"/>
        </w:rPr>
      </w:pPr>
      <w:r>
        <w:rPr>
          <w:rFonts w:hint="eastAsia" w:ascii="宋体" w:hAnsi="宋体"/>
          <w:bCs/>
          <w:color w:val="auto"/>
          <w:sz w:val="24"/>
        </w:rPr>
        <w:t>日期：</w:t>
      </w:r>
      <w:r>
        <w:rPr>
          <w:rFonts w:ascii="宋体" w:hAnsi="宋体"/>
          <w:bCs/>
          <w:color w:val="auto"/>
          <w:sz w:val="24"/>
          <w:u w:val="single"/>
        </w:rPr>
        <w:t>____</w:t>
      </w:r>
      <w:r>
        <w:rPr>
          <w:rFonts w:hint="eastAsia" w:ascii="宋体" w:hAnsi="宋体"/>
          <w:bCs/>
          <w:color w:val="auto"/>
          <w:sz w:val="24"/>
        </w:rPr>
        <w:t>年</w:t>
      </w:r>
      <w:r>
        <w:rPr>
          <w:rFonts w:ascii="宋体" w:hAnsi="宋体"/>
          <w:bCs/>
          <w:color w:val="auto"/>
          <w:sz w:val="24"/>
          <w:u w:val="single"/>
        </w:rPr>
        <w:t>____</w:t>
      </w:r>
      <w:r>
        <w:rPr>
          <w:rFonts w:hint="eastAsia" w:ascii="宋体" w:hAnsi="宋体"/>
          <w:bCs/>
          <w:color w:val="auto"/>
          <w:sz w:val="24"/>
        </w:rPr>
        <w:t>月</w:t>
      </w:r>
      <w:r>
        <w:rPr>
          <w:rFonts w:ascii="宋体" w:hAnsi="宋体"/>
          <w:bCs/>
          <w:color w:val="auto"/>
          <w:sz w:val="24"/>
          <w:u w:val="single"/>
        </w:rPr>
        <w:t>____</w:t>
      </w:r>
      <w:r>
        <w:rPr>
          <w:rFonts w:hint="eastAsia" w:ascii="宋体" w:hAnsi="宋体"/>
          <w:bCs/>
          <w:color w:val="auto"/>
          <w:sz w:val="24"/>
        </w:rPr>
        <w:t>日</w:t>
      </w:r>
    </w:p>
    <w:p>
      <w:pPr>
        <w:spacing w:line="460" w:lineRule="exact"/>
        <w:rPr>
          <w:rFonts w:ascii="宋体"/>
          <w:bCs/>
          <w:color w:val="auto"/>
          <w:sz w:val="24"/>
        </w:rPr>
      </w:pPr>
    </w:p>
    <w:p>
      <w:pPr>
        <w:spacing w:line="460" w:lineRule="exact"/>
        <w:rPr>
          <w:rFonts w:ascii="宋体"/>
          <w:bCs/>
          <w:color w:val="auto"/>
          <w:sz w:val="24"/>
        </w:rPr>
      </w:pPr>
    </w:p>
    <w:p>
      <w:pPr>
        <w:pStyle w:val="65"/>
        <w:ind w:firstLine="4216" w:firstLineChars="1750"/>
        <w:rPr>
          <w:rFonts w:ascii="宋体"/>
          <w:b/>
          <w:bCs/>
          <w:color w:val="auto"/>
          <w:szCs w:val="21"/>
        </w:rPr>
      </w:pPr>
    </w:p>
    <w:p>
      <w:pPr>
        <w:pStyle w:val="65"/>
        <w:ind w:firstLine="4216" w:firstLineChars="1750"/>
        <w:rPr>
          <w:rFonts w:ascii="宋体"/>
          <w:b/>
          <w:bCs/>
          <w:color w:val="auto"/>
          <w:szCs w:val="21"/>
        </w:rPr>
      </w:pPr>
    </w:p>
    <w:p>
      <w:pPr>
        <w:pStyle w:val="65"/>
        <w:ind w:firstLine="4216" w:firstLineChars="1750"/>
        <w:rPr>
          <w:rFonts w:ascii="宋体"/>
          <w:b/>
          <w:bCs/>
          <w:color w:val="auto"/>
          <w:szCs w:val="21"/>
        </w:rPr>
      </w:pPr>
    </w:p>
    <w:p>
      <w:pPr>
        <w:pStyle w:val="65"/>
        <w:ind w:firstLine="4216" w:firstLineChars="1750"/>
        <w:rPr>
          <w:rFonts w:ascii="宋体"/>
          <w:b/>
          <w:bCs/>
          <w:color w:val="auto"/>
          <w:szCs w:val="21"/>
        </w:rPr>
      </w:pPr>
    </w:p>
    <w:p>
      <w:pPr>
        <w:pStyle w:val="65"/>
        <w:ind w:firstLine="4216" w:firstLineChars="1750"/>
        <w:rPr>
          <w:rFonts w:ascii="宋体"/>
          <w:b/>
          <w:bCs/>
          <w:color w:val="auto"/>
          <w:szCs w:val="21"/>
        </w:rPr>
      </w:pPr>
    </w:p>
    <w:p>
      <w:pPr>
        <w:pStyle w:val="65"/>
        <w:ind w:firstLine="4216" w:firstLineChars="1750"/>
        <w:rPr>
          <w:rFonts w:ascii="宋体"/>
          <w:b/>
          <w:bCs/>
          <w:color w:val="auto"/>
          <w:szCs w:val="21"/>
        </w:rPr>
      </w:pPr>
    </w:p>
    <w:p>
      <w:pPr>
        <w:pStyle w:val="65"/>
        <w:ind w:firstLine="4216" w:firstLineChars="1750"/>
        <w:rPr>
          <w:rFonts w:ascii="宋体"/>
          <w:b/>
          <w:bCs/>
          <w:color w:val="auto"/>
          <w:szCs w:val="21"/>
        </w:rPr>
      </w:pPr>
    </w:p>
    <w:p>
      <w:pPr>
        <w:pStyle w:val="65"/>
        <w:ind w:firstLine="4216" w:firstLineChars="1750"/>
        <w:rPr>
          <w:rFonts w:ascii="宋体"/>
          <w:b/>
          <w:bCs/>
          <w:color w:val="auto"/>
          <w:szCs w:val="21"/>
        </w:rPr>
      </w:pPr>
    </w:p>
    <w:p>
      <w:pPr>
        <w:pStyle w:val="65"/>
        <w:ind w:firstLine="4216" w:firstLineChars="1750"/>
        <w:rPr>
          <w:rFonts w:ascii="宋体"/>
          <w:b/>
          <w:bCs/>
          <w:color w:val="auto"/>
          <w:szCs w:val="21"/>
        </w:rPr>
      </w:pPr>
    </w:p>
    <w:p>
      <w:pPr>
        <w:pStyle w:val="65"/>
        <w:ind w:firstLine="4216" w:firstLineChars="1750"/>
        <w:rPr>
          <w:rFonts w:ascii="宋体"/>
          <w:b/>
          <w:bCs/>
          <w:color w:val="auto"/>
          <w:szCs w:val="21"/>
        </w:rPr>
      </w:pPr>
    </w:p>
    <w:p>
      <w:pPr>
        <w:pStyle w:val="65"/>
        <w:ind w:firstLine="4216" w:firstLineChars="1750"/>
        <w:rPr>
          <w:rFonts w:ascii="宋体"/>
          <w:b/>
          <w:bCs/>
          <w:color w:val="auto"/>
          <w:szCs w:val="21"/>
        </w:rPr>
      </w:pPr>
    </w:p>
    <w:p>
      <w:pPr>
        <w:pStyle w:val="65"/>
        <w:ind w:firstLine="4216" w:firstLineChars="1750"/>
        <w:rPr>
          <w:rFonts w:ascii="宋体"/>
          <w:b/>
          <w:bCs/>
          <w:color w:val="auto"/>
          <w:szCs w:val="21"/>
        </w:rPr>
      </w:pPr>
    </w:p>
    <w:p>
      <w:pPr>
        <w:pStyle w:val="6"/>
        <w:jc w:val="center"/>
        <w:rPr>
          <w:rFonts w:ascii="宋体"/>
          <w:color w:val="auto"/>
          <w:sz w:val="21"/>
          <w:szCs w:val="21"/>
        </w:rPr>
      </w:pPr>
      <w:bookmarkStart w:id="121" w:name="_格式3__银行出具的资信证明"/>
      <w:bookmarkEnd w:id="121"/>
    </w:p>
    <w:p>
      <w:pPr>
        <w:pStyle w:val="6"/>
        <w:jc w:val="center"/>
        <w:rPr>
          <w:rFonts w:ascii="宋体"/>
          <w:color w:val="auto"/>
          <w:sz w:val="24"/>
          <w:szCs w:val="24"/>
        </w:rPr>
      </w:pPr>
      <w:r>
        <w:rPr>
          <w:rFonts w:ascii="宋体" w:hAnsi="宋体"/>
          <w:color w:val="auto"/>
          <w:sz w:val="24"/>
          <w:szCs w:val="24"/>
        </w:rPr>
        <w:br w:type="page"/>
      </w:r>
      <w:r>
        <w:rPr>
          <w:rFonts w:hint="eastAsia" w:ascii="宋体" w:hAnsi="宋体"/>
          <w:color w:val="auto"/>
          <w:sz w:val="24"/>
          <w:szCs w:val="24"/>
        </w:rPr>
        <w:t>法人授权书</w:t>
      </w:r>
    </w:p>
    <w:p>
      <w:pPr>
        <w:pStyle w:val="65"/>
        <w:ind w:firstLine="480"/>
        <w:rPr>
          <w:color w:val="auto"/>
        </w:rPr>
      </w:pPr>
      <w:r>
        <w:rPr>
          <w:rFonts w:hint="eastAsia"/>
          <w:color w:val="auto"/>
        </w:rPr>
        <w:t>本授权书声明：</w:t>
      </w:r>
      <w:r>
        <w:rPr>
          <w:color w:val="auto"/>
        </w:rPr>
        <w:t>____________</w:t>
      </w:r>
      <w:r>
        <w:rPr>
          <w:rFonts w:hint="eastAsia"/>
          <w:color w:val="auto"/>
        </w:rPr>
        <w:t>（供应商名称）授权</w:t>
      </w:r>
      <w:r>
        <w:rPr>
          <w:color w:val="auto"/>
        </w:rPr>
        <w:t>________________</w:t>
      </w:r>
      <w:r>
        <w:rPr>
          <w:rFonts w:hint="eastAsia"/>
          <w:color w:val="auto"/>
        </w:rPr>
        <w:t>（被授权人的姓名）为我方就</w:t>
      </w:r>
      <w:r>
        <w:rPr>
          <w:rFonts w:hint="eastAsia"/>
          <w:color w:val="auto"/>
          <w:u w:val="single"/>
        </w:rPr>
        <w:t>2020-029S</w:t>
      </w:r>
      <w:r>
        <w:rPr>
          <w:rFonts w:hint="eastAsia"/>
          <w:color w:val="auto"/>
        </w:rPr>
        <w:t>号项目采购活动的合法代理人，以本公司名义全权处理一切与该项目采购有关的事务。</w:t>
      </w:r>
    </w:p>
    <w:p>
      <w:pPr>
        <w:pStyle w:val="65"/>
        <w:ind w:firstLine="480"/>
        <w:rPr>
          <w:color w:val="auto"/>
        </w:rPr>
      </w:pPr>
      <w:r>
        <w:rPr>
          <w:rFonts w:hint="eastAsia"/>
          <w:color w:val="auto"/>
        </w:rPr>
        <w:t>本授权书于</w:t>
      </w:r>
      <w:r>
        <w:rPr>
          <w:color w:val="auto"/>
        </w:rPr>
        <w:t>______</w:t>
      </w:r>
      <w:r>
        <w:rPr>
          <w:rFonts w:hint="eastAsia"/>
          <w:color w:val="auto"/>
        </w:rPr>
        <w:t>年</w:t>
      </w:r>
      <w:r>
        <w:rPr>
          <w:color w:val="auto"/>
        </w:rPr>
        <w:t>____</w:t>
      </w:r>
      <w:r>
        <w:rPr>
          <w:rFonts w:hint="eastAsia"/>
          <w:color w:val="auto"/>
        </w:rPr>
        <w:t>月</w:t>
      </w:r>
      <w:r>
        <w:rPr>
          <w:color w:val="auto"/>
        </w:rPr>
        <w:t>____</w:t>
      </w:r>
      <w:r>
        <w:rPr>
          <w:rFonts w:hint="eastAsia"/>
          <w:color w:val="auto"/>
        </w:rPr>
        <w:t>日起生效，特此声明。</w:t>
      </w:r>
    </w:p>
    <w:p>
      <w:pPr>
        <w:pStyle w:val="65"/>
        <w:rPr>
          <w:color w:val="auto"/>
        </w:rPr>
      </w:pPr>
    </w:p>
    <w:p>
      <w:pPr>
        <w:pStyle w:val="65"/>
        <w:rPr>
          <w:color w:val="auto"/>
        </w:rPr>
      </w:pPr>
      <w:r>
        <w:rPr>
          <w:rFonts w:hint="eastAsia"/>
          <w:color w:val="auto"/>
        </w:rPr>
        <w:t>代理人（被授权人）：</w:t>
      </w:r>
      <w:r>
        <w:rPr>
          <w:color w:val="auto"/>
        </w:rPr>
        <w:t>_______________________</w:t>
      </w:r>
    </w:p>
    <w:p>
      <w:pPr>
        <w:pStyle w:val="65"/>
        <w:rPr>
          <w:color w:val="auto"/>
        </w:rPr>
      </w:pPr>
    </w:p>
    <w:p>
      <w:pPr>
        <w:pStyle w:val="65"/>
        <w:rPr>
          <w:color w:val="auto"/>
        </w:rPr>
      </w:pPr>
      <w:r>
        <w:rPr>
          <w:rFonts w:hint="eastAsia"/>
          <w:color w:val="auto"/>
        </w:rPr>
        <w:t>单位名称：</w:t>
      </w:r>
      <w:r>
        <w:rPr>
          <w:color w:val="auto"/>
        </w:rPr>
        <w:t>_____________________________________</w:t>
      </w:r>
    </w:p>
    <w:p>
      <w:pPr>
        <w:pStyle w:val="65"/>
        <w:ind w:firstLine="480"/>
        <w:rPr>
          <w:color w:val="auto"/>
        </w:rPr>
      </w:pPr>
    </w:p>
    <w:p>
      <w:pPr>
        <w:pStyle w:val="65"/>
        <w:rPr>
          <w:color w:val="auto"/>
        </w:rPr>
      </w:pPr>
      <w:r>
        <w:rPr>
          <w:rFonts w:hint="eastAsia"/>
          <w:color w:val="auto"/>
        </w:rPr>
        <w:t>授权单位盖章：</w:t>
      </w:r>
      <w:r>
        <w:rPr>
          <w:color w:val="auto"/>
        </w:rPr>
        <w:t>_________________________________</w:t>
      </w:r>
    </w:p>
    <w:p>
      <w:pPr>
        <w:pStyle w:val="65"/>
        <w:rPr>
          <w:color w:val="auto"/>
        </w:rPr>
      </w:pPr>
      <w:r>
        <w:rPr>
          <w:rFonts w:hint="eastAsia"/>
          <w:color w:val="auto"/>
        </w:rPr>
        <w:t>单位名称：</w:t>
      </w:r>
      <w:r>
        <w:rPr>
          <w:color w:val="auto"/>
        </w:rPr>
        <w:t>_____________________________________</w:t>
      </w:r>
    </w:p>
    <w:p>
      <w:pPr>
        <w:pStyle w:val="65"/>
        <w:rPr>
          <w:color w:val="auto"/>
          <w:u w:val="single"/>
        </w:rPr>
      </w:pPr>
      <w:r>
        <w:rPr>
          <w:rFonts w:hint="eastAsia"/>
          <w:color w:val="auto"/>
        </w:rPr>
        <w:t>地址：</w:t>
      </w:r>
    </w:p>
    <w:p>
      <w:pPr>
        <w:pStyle w:val="65"/>
        <w:rPr>
          <w:color w:val="auto"/>
        </w:rPr>
      </w:pPr>
      <w:r>
        <w:rPr>
          <w:rFonts w:hint="eastAsia"/>
          <w:color w:val="auto"/>
        </w:rPr>
        <w:t>日期：</w:t>
      </w: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pStyle w:val="6"/>
        <w:rPr>
          <w:rFonts w:ascii="宋体"/>
          <w:color w:val="auto"/>
        </w:rPr>
      </w:pPr>
    </w:p>
    <w:p>
      <w:pPr>
        <w:pStyle w:val="6"/>
        <w:jc w:val="center"/>
        <w:rPr>
          <w:rFonts w:ascii="黑体" w:eastAsia="黑体"/>
          <w:color w:val="auto"/>
          <w:szCs w:val="32"/>
        </w:rPr>
      </w:pPr>
      <w:r>
        <w:rPr>
          <w:rFonts w:ascii="宋体" w:hAnsi="宋体"/>
          <w:color w:val="auto"/>
        </w:rPr>
        <w:br w:type="page"/>
      </w:r>
      <w:r>
        <w:rPr>
          <w:rFonts w:hint="eastAsia" w:ascii="黑体" w:eastAsia="黑体"/>
          <w:color w:val="auto"/>
          <w:szCs w:val="32"/>
        </w:rPr>
        <w:t>二、资格性审查响应对照表（格式）</w:t>
      </w:r>
    </w:p>
    <w:p>
      <w:pPr>
        <w:ind w:firstLine="309"/>
        <w:rPr>
          <w:rFonts w:ascii="宋体" w:hAnsi="宋体"/>
          <w:color w:val="auto"/>
          <w:sz w:val="24"/>
        </w:rPr>
      </w:pPr>
      <w:r>
        <w:rPr>
          <w:rFonts w:hint="eastAsia" w:ascii="宋体" w:hAnsi="宋体"/>
          <w:color w:val="auto"/>
          <w:sz w:val="24"/>
        </w:rPr>
        <w:t>磋商供应商全称（加盖公章）：</w:t>
      </w:r>
    </w:p>
    <w:tbl>
      <w:tblPr>
        <w:tblStyle w:val="3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color w:val="auto"/>
              </w:rPr>
            </w:pPr>
            <w:r>
              <w:rPr>
                <w:rFonts w:hint="eastAsia" w:ascii="幼圆" w:eastAsia="幼圆"/>
                <w:b/>
                <w:color w:val="auto"/>
              </w:rPr>
              <w:t>序号</w:t>
            </w:r>
          </w:p>
        </w:tc>
        <w:tc>
          <w:tcPr>
            <w:tcW w:w="5447" w:type="dxa"/>
            <w:vAlign w:val="center"/>
          </w:tcPr>
          <w:p>
            <w:pPr>
              <w:snapToGrid w:val="0"/>
              <w:spacing w:line="240" w:lineRule="atLeast"/>
              <w:jc w:val="center"/>
              <w:rPr>
                <w:rFonts w:ascii="幼圆" w:eastAsia="幼圆"/>
                <w:b/>
                <w:color w:val="auto"/>
              </w:rPr>
            </w:pPr>
            <w:r>
              <w:rPr>
                <w:rFonts w:hint="eastAsia" w:ascii="幼圆" w:eastAsia="幼圆"/>
                <w:b/>
                <w:color w:val="auto"/>
              </w:rPr>
              <w:t>资格性审查响应内容</w:t>
            </w:r>
          </w:p>
        </w:tc>
        <w:tc>
          <w:tcPr>
            <w:tcW w:w="1680" w:type="dxa"/>
            <w:vAlign w:val="center"/>
          </w:tcPr>
          <w:p>
            <w:pPr>
              <w:snapToGrid w:val="0"/>
              <w:spacing w:line="240" w:lineRule="atLeast"/>
              <w:jc w:val="center"/>
              <w:rPr>
                <w:rFonts w:ascii="幼圆" w:eastAsia="幼圆"/>
                <w:b/>
                <w:color w:val="auto"/>
              </w:rPr>
            </w:pPr>
            <w:r>
              <w:rPr>
                <w:rFonts w:hint="eastAsia" w:ascii="幼圆" w:eastAsia="幼圆"/>
                <w:b/>
                <w:color w:val="auto"/>
              </w:rPr>
              <w:t>是否响应</w:t>
            </w:r>
          </w:p>
          <w:p>
            <w:pPr>
              <w:snapToGrid w:val="0"/>
              <w:spacing w:line="240" w:lineRule="atLeast"/>
              <w:jc w:val="center"/>
              <w:rPr>
                <w:rFonts w:ascii="幼圆" w:eastAsia="幼圆"/>
                <w:b/>
                <w:color w:val="auto"/>
              </w:rPr>
            </w:pPr>
            <w:r>
              <w:rPr>
                <w:rFonts w:hint="eastAsia" w:ascii="幼圆" w:eastAsia="幼圆"/>
                <w:b/>
                <w:color w:val="auto"/>
              </w:rPr>
              <w:t>（填是或者否）</w:t>
            </w:r>
          </w:p>
        </w:tc>
        <w:tc>
          <w:tcPr>
            <w:tcW w:w="1785" w:type="dxa"/>
            <w:vAlign w:val="center"/>
          </w:tcPr>
          <w:p>
            <w:pPr>
              <w:snapToGrid w:val="0"/>
              <w:spacing w:line="240" w:lineRule="atLeast"/>
              <w:jc w:val="center"/>
              <w:rPr>
                <w:rFonts w:ascii="幼圆" w:eastAsia="幼圆"/>
                <w:b/>
                <w:color w:val="auto"/>
              </w:rPr>
            </w:pPr>
            <w:r>
              <w:rPr>
                <w:rFonts w:hint="eastAsia" w:ascii="幼圆" w:eastAsia="幼圆"/>
                <w:b/>
                <w:color w:val="auto"/>
              </w:rPr>
              <w:t>响应文件中的</w:t>
            </w:r>
          </w:p>
          <w:p>
            <w:pPr>
              <w:snapToGrid w:val="0"/>
              <w:spacing w:line="240" w:lineRule="atLeast"/>
              <w:jc w:val="center"/>
              <w:rPr>
                <w:rFonts w:ascii="幼圆" w:eastAsia="幼圆"/>
                <w:b/>
                <w:color w:val="auto"/>
              </w:rPr>
            </w:pPr>
            <w:r>
              <w:rPr>
                <w:rFonts w:hint="eastAsia" w:ascii="幼圆" w:eastAsia="幼圆"/>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b/>
                <w:color w:val="auto"/>
              </w:rPr>
            </w:pPr>
            <w:r>
              <w:rPr>
                <w:rFonts w:hint="eastAsia" w:ascii="宋体" w:hAnsi="宋体"/>
                <w:b/>
                <w:color w:val="auto"/>
              </w:rPr>
              <w:t>1</w:t>
            </w:r>
          </w:p>
        </w:tc>
        <w:tc>
          <w:tcPr>
            <w:tcW w:w="5447" w:type="dxa"/>
            <w:vAlign w:val="center"/>
          </w:tcPr>
          <w:p>
            <w:pPr>
              <w:spacing w:line="480" w:lineRule="exact"/>
              <w:rPr>
                <w:rFonts w:ascii="宋体" w:hAnsi="宋体"/>
                <w:iCs/>
                <w:color w:val="auto"/>
                <w:sz w:val="24"/>
              </w:rPr>
            </w:pPr>
          </w:p>
        </w:tc>
        <w:tc>
          <w:tcPr>
            <w:tcW w:w="1680" w:type="dxa"/>
            <w:vAlign w:val="center"/>
          </w:tcPr>
          <w:p>
            <w:pPr>
              <w:rPr>
                <w:rFonts w:ascii="宋体" w:hAnsi="宋体"/>
                <w:b/>
                <w:color w:val="auto"/>
              </w:rPr>
            </w:pPr>
          </w:p>
        </w:tc>
        <w:tc>
          <w:tcPr>
            <w:tcW w:w="1785" w:type="dxa"/>
            <w:vAlign w:val="center"/>
          </w:tcPr>
          <w:p>
            <w:pPr>
              <w:rPr>
                <w:rFonts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olor w:val="auto"/>
              </w:rPr>
            </w:pPr>
            <w:r>
              <w:rPr>
                <w:rFonts w:hint="eastAsia" w:ascii="宋体" w:hAnsi="宋体"/>
                <w:color w:val="auto"/>
              </w:rPr>
              <w:t>2</w:t>
            </w:r>
          </w:p>
        </w:tc>
        <w:tc>
          <w:tcPr>
            <w:tcW w:w="5447" w:type="dxa"/>
            <w:vAlign w:val="center"/>
          </w:tcPr>
          <w:p>
            <w:pPr>
              <w:spacing w:line="480" w:lineRule="exact"/>
              <w:rPr>
                <w:rFonts w:ascii="宋体" w:hAnsi="宋体"/>
                <w:iCs/>
                <w:color w:val="auto"/>
                <w:sz w:val="24"/>
              </w:rPr>
            </w:pPr>
          </w:p>
        </w:tc>
        <w:tc>
          <w:tcPr>
            <w:tcW w:w="1680" w:type="dxa"/>
            <w:vAlign w:val="center"/>
          </w:tcPr>
          <w:p>
            <w:pPr>
              <w:rPr>
                <w:rFonts w:ascii="宋体" w:hAnsi="宋体"/>
                <w:color w:val="auto"/>
              </w:rPr>
            </w:pPr>
          </w:p>
        </w:tc>
        <w:tc>
          <w:tcPr>
            <w:tcW w:w="1785" w:type="dxa"/>
            <w:vAlign w:val="center"/>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hAnsi="宋体"/>
                <w:color w:val="auto"/>
              </w:rPr>
            </w:pPr>
            <w:r>
              <w:rPr>
                <w:rFonts w:hint="eastAsia" w:ascii="宋体" w:hAnsi="宋体"/>
                <w:color w:val="auto"/>
              </w:rPr>
              <w:t>3</w:t>
            </w:r>
          </w:p>
        </w:tc>
        <w:tc>
          <w:tcPr>
            <w:tcW w:w="5447" w:type="dxa"/>
            <w:vAlign w:val="center"/>
          </w:tcPr>
          <w:p>
            <w:pPr>
              <w:spacing w:line="480" w:lineRule="exact"/>
              <w:rPr>
                <w:rFonts w:ascii="宋体" w:hAnsi="宋体"/>
                <w:iCs/>
                <w:color w:val="auto"/>
                <w:sz w:val="24"/>
              </w:rPr>
            </w:pPr>
          </w:p>
        </w:tc>
        <w:tc>
          <w:tcPr>
            <w:tcW w:w="1680" w:type="dxa"/>
            <w:vAlign w:val="center"/>
          </w:tcPr>
          <w:p>
            <w:pPr>
              <w:rPr>
                <w:rFonts w:ascii="宋体" w:hAnsi="宋体"/>
                <w:color w:val="auto"/>
              </w:rPr>
            </w:pPr>
          </w:p>
        </w:tc>
        <w:tc>
          <w:tcPr>
            <w:tcW w:w="1785" w:type="dxa"/>
            <w:vAlign w:val="center"/>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hAnsi="宋体"/>
                <w:color w:val="auto"/>
              </w:rPr>
            </w:pPr>
            <w:r>
              <w:rPr>
                <w:rFonts w:hint="eastAsia" w:ascii="宋体" w:hAnsi="宋体"/>
                <w:color w:val="auto"/>
              </w:rPr>
              <w:t>4</w:t>
            </w:r>
          </w:p>
        </w:tc>
        <w:tc>
          <w:tcPr>
            <w:tcW w:w="5447" w:type="dxa"/>
            <w:vAlign w:val="center"/>
          </w:tcPr>
          <w:p>
            <w:pPr>
              <w:spacing w:line="360" w:lineRule="auto"/>
              <w:rPr>
                <w:rFonts w:ascii="宋体" w:hAnsi="宋体"/>
                <w:iCs/>
                <w:color w:val="auto"/>
                <w:sz w:val="24"/>
              </w:rPr>
            </w:pPr>
          </w:p>
        </w:tc>
        <w:tc>
          <w:tcPr>
            <w:tcW w:w="1680" w:type="dxa"/>
            <w:vAlign w:val="center"/>
          </w:tcPr>
          <w:p>
            <w:pPr>
              <w:rPr>
                <w:rFonts w:ascii="宋体" w:hAnsi="宋体"/>
                <w:color w:val="auto"/>
              </w:rPr>
            </w:pPr>
          </w:p>
        </w:tc>
        <w:tc>
          <w:tcPr>
            <w:tcW w:w="1785" w:type="dxa"/>
            <w:vAlign w:val="center"/>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hAnsi="宋体"/>
                <w:color w:val="auto"/>
              </w:rPr>
            </w:pPr>
            <w:r>
              <w:rPr>
                <w:rFonts w:hint="eastAsia" w:ascii="宋体" w:hAnsi="宋体"/>
                <w:color w:val="auto"/>
              </w:rPr>
              <w:t>5</w:t>
            </w:r>
          </w:p>
        </w:tc>
        <w:tc>
          <w:tcPr>
            <w:tcW w:w="5447" w:type="dxa"/>
            <w:vAlign w:val="center"/>
          </w:tcPr>
          <w:p>
            <w:pPr>
              <w:snapToGrid w:val="0"/>
              <w:spacing w:line="590" w:lineRule="atLeast"/>
              <w:rPr>
                <w:rFonts w:ascii="宋体" w:hAnsi="宋体"/>
                <w:iCs/>
                <w:color w:val="auto"/>
                <w:sz w:val="24"/>
              </w:rPr>
            </w:pPr>
          </w:p>
        </w:tc>
        <w:tc>
          <w:tcPr>
            <w:tcW w:w="1680" w:type="dxa"/>
            <w:vAlign w:val="center"/>
          </w:tcPr>
          <w:p>
            <w:pPr>
              <w:rPr>
                <w:rFonts w:ascii="宋体" w:hAnsi="宋体"/>
                <w:color w:val="auto"/>
              </w:rPr>
            </w:pPr>
          </w:p>
        </w:tc>
        <w:tc>
          <w:tcPr>
            <w:tcW w:w="1785" w:type="dxa"/>
            <w:vAlign w:val="center"/>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hAnsi="宋体"/>
                <w:color w:val="auto"/>
              </w:rPr>
            </w:pPr>
            <w:r>
              <w:rPr>
                <w:rFonts w:hint="eastAsia" w:ascii="宋体" w:hAnsi="宋体"/>
                <w:color w:val="auto"/>
              </w:rPr>
              <w:t>6</w:t>
            </w:r>
          </w:p>
        </w:tc>
        <w:tc>
          <w:tcPr>
            <w:tcW w:w="5447" w:type="dxa"/>
            <w:vAlign w:val="center"/>
          </w:tcPr>
          <w:p>
            <w:pPr>
              <w:snapToGrid w:val="0"/>
              <w:spacing w:line="590" w:lineRule="atLeast"/>
              <w:rPr>
                <w:rFonts w:ascii="宋体" w:hAnsi="宋体"/>
                <w:iCs/>
                <w:color w:val="auto"/>
                <w:sz w:val="24"/>
              </w:rPr>
            </w:pPr>
          </w:p>
        </w:tc>
        <w:tc>
          <w:tcPr>
            <w:tcW w:w="1680" w:type="dxa"/>
            <w:vAlign w:val="center"/>
          </w:tcPr>
          <w:p>
            <w:pPr>
              <w:rPr>
                <w:rFonts w:ascii="宋体" w:hAnsi="宋体"/>
                <w:color w:val="auto"/>
              </w:rPr>
            </w:pPr>
          </w:p>
        </w:tc>
        <w:tc>
          <w:tcPr>
            <w:tcW w:w="1785" w:type="dxa"/>
            <w:vAlign w:val="center"/>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hAnsi="宋体"/>
                <w:color w:val="auto"/>
              </w:rPr>
            </w:pPr>
            <w:r>
              <w:rPr>
                <w:rFonts w:hint="eastAsia" w:ascii="宋体" w:hAnsi="宋体"/>
                <w:color w:val="auto"/>
              </w:rPr>
              <w:t>7</w:t>
            </w:r>
          </w:p>
        </w:tc>
        <w:tc>
          <w:tcPr>
            <w:tcW w:w="5447" w:type="dxa"/>
            <w:vAlign w:val="center"/>
          </w:tcPr>
          <w:p>
            <w:pPr>
              <w:snapToGrid w:val="0"/>
              <w:spacing w:line="590" w:lineRule="atLeast"/>
              <w:rPr>
                <w:rFonts w:ascii="宋体" w:hAnsi="宋体"/>
                <w:iCs/>
                <w:color w:val="auto"/>
                <w:sz w:val="24"/>
              </w:rPr>
            </w:pPr>
          </w:p>
        </w:tc>
        <w:tc>
          <w:tcPr>
            <w:tcW w:w="1680" w:type="dxa"/>
            <w:vAlign w:val="center"/>
          </w:tcPr>
          <w:p>
            <w:pPr>
              <w:rPr>
                <w:rFonts w:ascii="宋体" w:hAnsi="宋体"/>
                <w:color w:val="auto"/>
              </w:rPr>
            </w:pPr>
          </w:p>
        </w:tc>
        <w:tc>
          <w:tcPr>
            <w:tcW w:w="1785" w:type="dxa"/>
            <w:vAlign w:val="center"/>
          </w:tcPr>
          <w:p>
            <w:pPr>
              <w:rPr>
                <w:rFonts w:ascii="宋体" w:hAnsi="宋体"/>
                <w:color w:val="auto"/>
              </w:rPr>
            </w:pPr>
          </w:p>
        </w:tc>
      </w:tr>
    </w:tbl>
    <w:p>
      <w:pPr>
        <w:snapToGrid w:val="0"/>
        <w:spacing w:before="50" w:after="50"/>
        <w:rPr>
          <w:rFonts w:ascii="黑体" w:eastAsia="黑体"/>
          <w:color w:val="auto"/>
          <w:sz w:val="44"/>
        </w:rPr>
      </w:pPr>
    </w:p>
    <w:p>
      <w:pPr>
        <w:snapToGrid w:val="0"/>
        <w:spacing w:before="50" w:after="50"/>
        <w:jc w:val="center"/>
        <w:rPr>
          <w:rFonts w:ascii="黑体" w:eastAsia="黑体"/>
          <w:color w:val="auto"/>
          <w:sz w:val="32"/>
          <w:szCs w:val="32"/>
        </w:rPr>
      </w:pPr>
      <w:r>
        <w:rPr>
          <w:rFonts w:ascii="黑体" w:eastAsia="黑体"/>
          <w:color w:val="auto"/>
          <w:sz w:val="32"/>
          <w:szCs w:val="32"/>
        </w:rPr>
        <w:br w:type="page"/>
      </w:r>
      <w:r>
        <w:rPr>
          <w:rFonts w:hint="eastAsia" w:ascii="黑体" w:eastAsia="黑体"/>
          <w:color w:val="auto"/>
          <w:sz w:val="32"/>
          <w:szCs w:val="32"/>
        </w:rPr>
        <w:t>三、符合性检查响应对照表（格式）</w:t>
      </w:r>
    </w:p>
    <w:p>
      <w:pPr>
        <w:ind w:firstLine="309"/>
        <w:rPr>
          <w:rFonts w:ascii="宋体"/>
          <w:color w:val="auto"/>
          <w:sz w:val="24"/>
        </w:rPr>
      </w:pPr>
      <w:r>
        <w:rPr>
          <w:rFonts w:hint="eastAsia" w:ascii="宋体" w:hAnsi="宋体"/>
          <w:color w:val="auto"/>
          <w:sz w:val="24"/>
        </w:rPr>
        <w:t>磋商供应商全称（加盖公章）：</w:t>
      </w:r>
    </w:p>
    <w:tbl>
      <w:tblPr>
        <w:tblStyle w:val="3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color w:val="auto"/>
                <w:sz w:val="24"/>
              </w:rPr>
            </w:pPr>
            <w:r>
              <w:rPr>
                <w:rFonts w:hint="eastAsia" w:ascii="幼圆" w:eastAsia="幼圆"/>
                <w:b/>
                <w:color w:val="auto"/>
                <w:sz w:val="24"/>
              </w:rPr>
              <w:t>序号</w:t>
            </w:r>
          </w:p>
        </w:tc>
        <w:tc>
          <w:tcPr>
            <w:tcW w:w="5447" w:type="dxa"/>
            <w:vAlign w:val="center"/>
          </w:tcPr>
          <w:p>
            <w:pPr>
              <w:snapToGrid w:val="0"/>
              <w:spacing w:line="240" w:lineRule="atLeast"/>
              <w:jc w:val="center"/>
              <w:rPr>
                <w:rFonts w:ascii="幼圆" w:eastAsia="幼圆"/>
                <w:b/>
                <w:color w:val="auto"/>
                <w:sz w:val="24"/>
              </w:rPr>
            </w:pPr>
            <w:r>
              <w:rPr>
                <w:rFonts w:hint="eastAsia" w:ascii="幼圆" w:eastAsia="幼圆"/>
                <w:b/>
                <w:color w:val="auto"/>
                <w:sz w:val="24"/>
              </w:rPr>
              <w:t>符合性检查响应内容</w:t>
            </w:r>
          </w:p>
        </w:tc>
        <w:tc>
          <w:tcPr>
            <w:tcW w:w="1680" w:type="dxa"/>
            <w:vAlign w:val="center"/>
          </w:tcPr>
          <w:p>
            <w:pPr>
              <w:snapToGrid w:val="0"/>
              <w:spacing w:line="240" w:lineRule="atLeast"/>
              <w:jc w:val="center"/>
              <w:rPr>
                <w:rFonts w:ascii="幼圆" w:eastAsia="幼圆"/>
                <w:b/>
                <w:color w:val="auto"/>
                <w:sz w:val="24"/>
              </w:rPr>
            </w:pPr>
            <w:r>
              <w:rPr>
                <w:rFonts w:hint="eastAsia" w:ascii="幼圆" w:eastAsia="幼圆"/>
                <w:b/>
                <w:color w:val="auto"/>
                <w:sz w:val="24"/>
              </w:rPr>
              <w:t>是否响应</w:t>
            </w:r>
          </w:p>
          <w:p>
            <w:pPr>
              <w:snapToGrid w:val="0"/>
              <w:spacing w:line="240" w:lineRule="atLeast"/>
              <w:jc w:val="center"/>
              <w:rPr>
                <w:rFonts w:ascii="幼圆" w:eastAsia="幼圆"/>
                <w:b/>
                <w:color w:val="auto"/>
                <w:sz w:val="24"/>
              </w:rPr>
            </w:pPr>
            <w:r>
              <w:rPr>
                <w:rFonts w:hint="eastAsia" w:ascii="幼圆" w:eastAsia="幼圆"/>
                <w:b/>
                <w:color w:val="auto"/>
                <w:sz w:val="24"/>
              </w:rPr>
              <w:t>（填是或者否）</w:t>
            </w:r>
          </w:p>
        </w:tc>
        <w:tc>
          <w:tcPr>
            <w:tcW w:w="1785" w:type="dxa"/>
            <w:vAlign w:val="center"/>
          </w:tcPr>
          <w:p>
            <w:pPr>
              <w:snapToGrid w:val="0"/>
              <w:spacing w:line="240" w:lineRule="atLeast"/>
              <w:jc w:val="center"/>
              <w:rPr>
                <w:rFonts w:ascii="幼圆" w:eastAsia="幼圆"/>
                <w:b/>
                <w:color w:val="auto"/>
                <w:sz w:val="24"/>
              </w:rPr>
            </w:pPr>
            <w:r>
              <w:rPr>
                <w:rFonts w:hint="eastAsia" w:ascii="幼圆" w:eastAsia="幼圆"/>
                <w:b/>
                <w:color w:val="auto"/>
                <w:sz w:val="24"/>
              </w:rPr>
              <w:t>响应文件中的</w:t>
            </w:r>
          </w:p>
          <w:p>
            <w:pPr>
              <w:snapToGrid w:val="0"/>
              <w:spacing w:line="240" w:lineRule="atLeast"/>
              <w:jc w:val="center"/>
              <w:rPr>
                <w:rFonts w:ascii="幼圆" w:eastAsia="幼圆"/>
                <w:b/>
                <w:color w:val="auto"/>
                <w:sz w:val="24"/>
              </w:rPr>
            </w:pPr>
            <w:r>
              <w:rPr>
                <w:rFonts w:hint="eastAsia" w:ascii="幼圆" w:eastAsia="幼圆"/>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b/>
                <w:color w:val="auto"/>
                <w:sz w:val="24"/>
              </w:rPr>
            </w:pPr>
            <w:r>
              <w:rPr>
                <w:rFonts w:ascii="宋体" w:hAnsi="宋体"/>
                <w:b/>
                <w:color w:val="auto"/>
                <w:sz w:val="24"/>
              </w:rPr>
              <w:t>1</w:t>
            </w:r>
          </w:p>
        </w:tc>
        <w:tc>
          <w:tcPr>
            <w:tcW w:w="5447" w:type="dxa"/>
            <w:vAlign w:val="center"/>
          </w:tcPr>
          <w:p>
            <w:pPr>
              <w:spacing w:line="480" w:lineRule="exact"/>
              <w:rPr>
                <w:rFonts w:ascii="宋体"/>
                <w:iCs/>
                <w:color w:val="auto"/>
                <w:sz w:val="24"/>
              </w:rPr>
            </w:pPr>
          </w:p>
        </w:tc>
        <w:tc>
          <w:tcPr>
            <w:tcW w:w="1680" w:type="dxa"/>
            <w:vAlign w:val="center"/>
          </w:tcPr>
          <w:p>
            <w:pPr>
              <w:rPr>
                <w:rFonts w:ascii="宋体"/>
                <w:b/>
                <w:color w:val="auto"/>
                <w:sz w:val="24"/>
              </w:rPr>
            </w:pPr>
          </w:p>
        </w:tc>
        <w:tc>
          <w:tcPr>
            <w:tcW w:w="1785" w:type="dxa"/>
            <w:vAlign w:val="center"/>
          </w:tcPr>
          <w:p>
            <w:pPr>
              <w:rPr>
                <w:rFonts w:asci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olor w:val="auto"/>
                <w:sz w:val="24"/>
              </w:rPr>
            </w:pPr>
            <w:r>
              <w:rPr>
                <w:rFonts w:ascii="宋体" w:hAnsi="宋体"/>
                <w:color w:val="auto"/>
                <w:sz w:val="24"/>
              </w:rPr>
              <w:t>2</w:t>
            </w:r>
          </w:p>
        </w:tc>
        <w:tc>
          <w:tcPr>
            <w:tcW w:w="5447" w:type="dxa"/>
            <w:vAlign w:val="center"/>
          </w:tcPr>
          <w:p>
            <w:pPr>
              <w:spacing w:line="480" w:lineRule="exact"/>
              <w:rPr>
                <w:rFonts w:ascii="宋体"/>
                <w:iCs/>
                <w:color w:val="auto"/>
                <w:sz w:val="24"/>
              </w:rPr>
            </w:pPr>
          </w:p>
        </w:tc>
        <w:tc>
          <w:tcPr>
            <w:tcW w:w="1680" w:type="dxa"/>
            <w:vAlign w:val="center"/>
          </w:tcPr>
          <w:p>
            <w:pPr>
              <w:rPr>
                <w:rFonts w:ascii="宋体"/>
                <w:color w:val="auto"/>
                <w:sz w:val="24"/>
              </w:rPr>
            </w:pPr>
          </w:p>
        </w:tc>
        <w:tc>
          <w:tcPr>
            <w:tcW w:w="1785" w:type="dxa"/>
            <w:vAlign w:val="center"/>
          </w:tcPr>
          <w:p>
            <w:pP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rPr>
                <w:rFonts w:ascii="宋体"/>
                <w:color w:val="auto"/>
                <w:sz w:val="24"/>
              </w:rPr>
            </w:pPr>
            <w:r>
              <w:rPr>
                <w:rFonts w:ascii="宋体" w:hAnsi="宋体"/>
                <w:color w:val="auto"/>
                <w:sz w:val="24"/>
              </w:rPr>
              <w:t>3</w:t>
            </w:r>
          </w:p>
        </w:tc>
        <w:tc>
          <w:tcPr>
            <w:tcW w:w="5447" w:type="dxa"/>
            <w:vAlign w:val="center"/>
          </w:tcPr>
          <w:p>
            <w:pPr>
              <w:spacing w:line="480" w:lineRule="exact"/>
              <w:rPr>
                <w:rFonts w:ascii="宋体"/>
                <w:iCs/>
                <w:color w:val="auto"/>
                <w:sz w:val="24"/>
              </w:rPr>
            </w:pPr>
          </w:p>
        </w:tc>
        <w:tc>
          <w:tcPr>
            <w:tcW w:w="1680" w:type="dxa"/>
            <w:vAlign w:val="center"/>
          </w:tcPr>
          <w:p>
            <w:pPr>
              <w:rPr>
                <w:rFonts w:ascii="宋体"/>
                <w:color w:val="auto"/>
                <w:sz w:val="24"/>
              </w:rPr>
            </w:pPr>
          </w:p>
        </w:tc>
        <w:tc>
          <w:tcPr>
            <w:tcW w:w="1785" w:type="dxa"/>
            <w:vAlign w:val="center"/>
          </w:tcPr>
          <w:p>
            <w:pP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rPr>
                <w:rFonts w:ascii="宋体"/>
                <w:color w:val="auto"/>
                <w:sz w:val="24"/>
              </w:rPr>
            </w:pPr>
            <w:r>
              <w:rPr>
                <w:rFonts w:ascii="宋体" w:hAnsi="宋体"/>
                <w:color w:val="auto"/>
                <w:sz w:val="24"/>
              </w:rPr>
              <w:t>4</w:t>
            </w:r>
          </w:p>
        </w:tc>
        <w:tc>
          <w:tcPr>
            <w:tcW w:w="5447" w:type="dxa"/>
            <w:vAlign w:val="center"/>
          </w:tcPr>
          <w:p>
            <w:pPr>
              <w:spacing w:line="360" w:lineRule="auto"/>
              <w:rPr>
                <w:rFonts w:ascii="宋体"/>
                <w:iCs/>
                <w:color w:val="auto"/>
                <w:sz w:val="24"/>
              </w:rPr>
            </w:pPr>
          </w:p>
        </w:tc>
        <w:tc>
          <w:tcPr>
            <w:tcW w:w="1680" w:type="dxa"/>
            <w:vAlign w:val="center"/>
          </w:tcPr>
          <w:p>
            <w:pPr>
              <w:rPr>
                <w:rFonts w:ascii="宋体"/>
                <w:color w:val="auto"/>
                <w:sz w:val="24"/>
              </w:rPr>
            </w:pPr>
          </w:p>
        </w:tc>
        <w:tc>
          <w:tcPr>
            <w:tcW w:w="1785" w:type="dxa"/>
            <w:vAlign w:val="center"/>
          </w:tcPr>
          <w:p>
            <w:pP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rPr>
                <w:rFonts w:ascii="宋体"/>
                <w:color w:val="auto"/>
                <w:sz w:val="24"/>
              </w:rPr>
            </w:pPr>
            <w:r>
              <w:rPr>
                <w:rFonts w:ascii="宋体" w:hAnsi="宋体"/>
                <w:color w:val="auto"/>
                <w:sz w:val="24"/>
              </w:rPr>
              <w:t>5</w:t>
            </w:r>
          </w:p>
        </w:tc>
        <w:tc>
          <w:tcPr>
            <w:tcW w:w="5447" w:type="dxa"/>
            <w:vAlign w:val="center"/>
          </w:tcPr>
          <w:p>
            <w:pPr>
              <w:snapToGrid w:val="0"/>
              <w:spacing w:line="590" w:lineRule="atLeast"/>
              <w:rPr>
                <w:rFonts w:ascii="宋体"/>
                <w:iCs/>
                <w:color w:val="auto"/>
                <w:sz w:val="24"/>
              </w:rPr>
            </w:pPr>
          </w:p>
        </w:tc>
        <w:tc>
          <w:tcPr>
            <w:tcW w:w="1680" w:type="dxa"/>
            <w:vAlign w:val="center"/>
          </w:tcPr>
          <w:p>
            <w:pPr>
              <w:rPr>
                <w:rFonts w:ascii="宋体"/>
                <w:color w:val="auto"/>
                <w:sz w:val="24"/>
              </w:rPr>
            </w:pPr>
          </w:p>
        </w:tc>
        <w:tc>
          <w:tcPr>
            <w:tcW w:w="1785" w:type="dxa"/>
            <w:vAlign w:val="center"/>
          </w:tcPr>
          <w:p>
            <w:pP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rPr>
                <w:rFonts w:ascii="宋体"/>
                <w:color w:val="auto"/>
                <w:sz w:val="24"/>
              </w:rPr>
            </w:pPr>
            <w:r>
              <w:rPr>
                <w:rFonts w:ascii="宋体" w:hAnsi="宋体"/>
                <w:color w:val="auto"/>
                <w:sz w:val="24"/>
              </w:rPr>
              <w:t>6</w:t>
            </w:r>
          </w:p>
        </w:tc>
        <w:tc>
          <w:tcPr>
            <w:tcW w:w="5447" w:type="dxa"/>
            <w:vAlign w:val="center"/>
          </w:tcPr>
          <w:p>
            <w:pPr>
              <w:snapToGrid w:val="0"/>
              <w:spacing w:line="590" w:lineRule="atLeast"/>
              <w:rPr>
                <w:rFonts w:ascii="宋体"/>
                <w:iCs/>
                <w:color w:val="auto"/>
                <w:sz w:val="24"/>
              </w:rPr>
            </w:pPr>
          </w:p>
        </w:tc>
        <w:tc>
          <w:tcPr>
            <w:tcW w:w="1680" w:type="dxa"/>
            <w:vAlign w:val="center"/>
          </w:tcPr>
          <w:p>
            <w:pPr>
              <w:rPr>
                <w:rFonts w:ascii="宋体"/>
                <w:color w:val="auto"/>
                <w:sz w:val="24"/>
              </w:rPr>
            </w:pPr>
          </w:p>
        </w:tc>
        <w:tc>
          <w:tcPr>
            <w:tcW w:w="1785" w:type="dxa"/>
            <w:vAlign w:val="center"/>
          </w:tcPr>
          <w:p>
            <w:pPr>
              <w:rPr>
                <w:rFonts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rPr>
                <w:rFonts w:ascii="宋体"/>
                <w:color w:val="auto"/>
                <w:sz w:val="24"/>
              </w:rPr>
            </w:pPr>
            <w:r>
              <w:rPr>
                <w:rFonts w:ascii="宋体" w:hAnsi="宋体"/>
                <w:color w:val="auto"/>
                <w:sz w:val="24"/>
              </w:rPr>
              <w:t>7</w:t>
            </w:r>
          </w:p>
        </w:tc>
        <w:tc>
          <w:tcPr>
            <w:tcW w:w="5447" w:type="dxa"/>
            <w:vAlign w:val="center"/>
          </w:tcPr>
          <w:p>
            <w:pPr>
              <w:snapToGrid w:val="0"/>
              <w:spacing w:line="590" w:lineRule="atLeast"/>
              <w:rPr>
                <w:rFonts w:ascii="宋体"/>
                <w:iCs/>
                <w:color w:val="auto"/>
                <w:sz w:val="24"/>
              </w:rPr>
            </w:pPr>
            <w:r>
              <w:rPr>
                <w:rFonts w:hint="eastAsia" w:ascii="宋体" w:hAnsi="宋体"/>
                <w:iCs/>
                <w:color w:val="auto"/>
                <w:sz w:val="24"/>
              </w:rPr>
              <w:t>招标文件中的其他实质性要求</w:t>
            </w:r>
          </w:p>
        </w:tc>
        <w:tc>
          <w:tcPr>
            <w:tcW w:w="1680" w:type="dxa"/>
            <w:vAlign w:val="center"/>
          </w:tcPr>
          <w:p>
            <w:pPr>
              <w:rPr>
                <w:rFonts w:ascii="宋体"/>
                <w:color w:val="auto"/>
                <w:sz w:val="24"/>
              </w:rPr>
            </w:pPr>
          </w:p>
        </w:tc>
        <w:tc>
          <w:tcPr>
            <w:tcW w:w="1785" w:type="dxa"/>
            <w:vAlign w:val="center"/>
          </w:tcPr>
          <w:p>
            <w:pPr>
              <w:rPr>
                <w:rFonts w:ascii="宋体"/>
                <w:color w:val="auto"/>
                <w:sz w:val="24"/>
              </w:rPr>
            </w:pPr>
          </w:p>
        </w:tc>
      </w:tr>
    </w:tbl>
    <w:p>
      <w:pPr>
        <w:snapToGrid w:val="0"/>
        <w:spacing w:before="50" w:after="50"/>
        <w:rPr>
          <w:rFonts w:ascii="黑体" w:eastAsia="黑体"/>
          <w:color w:val="auto"/>
          <w:sz w:val="24"/>
        </w:rPr>
      </w:pPr>
    </w:p>
    <w:p>
      <w:pPr>
        <w:snapToGrid w:val="0"/>
        <w:spacing w:before="50" w:after="50"/>
        <w:rPr>
          <w:rFonts w:ascii="黑体" w:eastAsia="黑体"/>
          <w:color w:val="auto"/>
          <w:sz w:val="24"/>
        </w:rPr>
      </w:pPr>
    </w:p>
    <w:p>
      <w:pPr>
        <w:snapToGrid w:val="0"/>
        <w:spacing w:before="50" w:after="50"/>
        <w:rPr>
          <w:rFonts w:ascii="黑体" w:eastAsia="黑体"/>
          <w:color w:val="auto"/>
          <w:sz w:val="24"/>
        </w:rPr>
      </w:pPr>
    </w:p>
    <w:p>
      <w:pPr>
        <w:snapToGrid w:val="0"/>
        <w:spacing w:before="50" w:after="50"/>
        <w:rPr>
          <w:rFonts w:ascii="黑体" w:eastAsia="黑体"/>
          <w:color w:val="auto"/>
          <w:sz w:val="44"/>
        </w:rPr>
      </w:pPr>
    </w:p>
    <w:p>
      <w:pPr>
        <w:snapToGrid w:val="0"/>
        <w:spacing w:before="50" w:after="50"/>
        <w:rPr>
          <w:rFonts w:ascii="黑体" w:eastAsia="黑体"/>
          <w:color w:val="auto"/>
          <w:sz w:val="32"/>
          <w:szCs w:val="32"/>
        </w:rPr>
      </w:pPr>
    </w:p>
    <w:p>
      <w:pPr>
        <w:snapToGrid w:val="0"/>
        <w:spacing w:before="50" w:after="50"/>
        <w:rPr>
          <w:rFonts w:ascii="宋体"/>
          <w:color w:val="auto"/>
          <w:sz w:val="24"/>
        </w:rPr>
      </w:pP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snapToGrid w:val="0"/>
        <w:spacing w:before="50" w:after="50"/>
        <w:jc w:val="center"/>
        <w:rPr>
          <w:rFonts w:ascii="黑体" w:eastAsia="黑体"/>
          <w:color w:val="auto"/>
          <w:sz w:val="32"/>
          <w:szCs w:val="32"/>
        </w:rPr>
      </w:pPr>
    </w:p>
    <w:p>
      <w:pPr>
        <w:spacing w:line="560" w:lineRule="exact"/>
        <w:jc w:val="center"/>
        <w:rPr>
          <w:rFonts w:ascii="宋体"/>
          <w:bCs/>
          <w:color w:val="auto"/>
        </w:rPr>
      </w:pPr>
      <w:r>
        <w:rPr>
          <w:rFonts w:hint="eastAsia" w:ascii="黑体" w:hAnsi="黑体" w:eastAsia="黑体"/>
          <w:color w:val="auto"/>
          <w:sz w:val="32"/>
          <w:szCs w:val="32"/>
        </w:rPr>
        <w:t>四、磋商响应函</w:t>
      </w:r>
    </w:p>
    <w:p>
      <w:pPr>
        <w:pStyle w:val="65"/>
        <w:spacing w:line="560" w:lineRule="exact"/>
        <w:ind w:firstLine="482"/>
        <w:rPr>
          <w:color w:val="auto"/>
        </w:rPr>
      </w:pPr>
      <w:r>
        <w:rPr>
          <w:rFonts w:hint="eastAsia"/>
          <w:color w:val="auto"/>
        </w:rPr>
        <w:t>致：</w:t>
      </w:r>
      <w:r>
        <w:rPr>
          <w:rFonts w:hint="eastAsia" w:ascii="宋体" w:hAnsi="宋体" w:cs="宋体"/>
          <w:color w:val="auto"/>
        </w:rPr>
        <w:t>盐城工业职业技术学院</w:t>
      </w:r>
      <w:r>
        <w:rPr>
          <w:rFonts w:hint="eastAsia"/>
          <w:color w:val="auto"/>
        </w:rPr>
        <w:t>：</w:t>
      </w:r>
    </w:p>
    <w:p>
      <w:pPr>
        <w:pStyle w:val="65"/>
        <w:spacing w:line="560" w:lineRule="exact"/>
        <w:ind w:firstLine="482"/>
        <w:rPr>
          <w:color w:val="auto"/>
        </w:rPr>
      </w:pPr>
      <w:r>
        <w:rPr>
          <w:rFonts w:hint="eastAsia"/>
          <w:color w:val="auto"/>
        </w:rPr>
        <w:t>根据贵方的</w:t>
      </w:r>
      <w:r>
        <w:rPr>
          <w:rFonts w:hint="eastAsia"/>
          <w:color w:val="auto"/>
          <w:u w:val="single"/>
        </w:rPr>
        <w:t>2020-029S</w:t>
      </w:r>
      <w:r>
        <w:rPr>
          <w:rFonts w:hint="eastAsia"/>
          <w:color w:val="auto"/>
        </w:rPr>
        <w:t>号磋商文件，正式授权下述签字人</w:t>
      </w:r>
      <w:r>
        <w:rPr>
          <w:color w:val="auto"/>
        </w:rPr>
        <w:t>_________ (</w:t>
      </w:r>
      <w:r>
        <w:rPr>
          <w:rFonts w:hint="eastAsia"/>
          <w:color w:val="auto"/>
        </w:rPr>
        <w:t>姓名和职务</w:t>
      </w:r>
      <w:r>
        <w:rPr>
          <w:color w:val="auto"/>
        </w:rPr>
        <w:t>)</w:t>
      </w:r>
      <w:r>
        <w:rPr>
          <w:rFonts w:hint="eastAsia"/>
          <w:color w:val="auto"/>
        </w:rPr>
        <w:t>代表我方</w:t>
      </w:r>
      <w:r>
        <w:rPr>
          <w:color w:val="auto"/>
        </w:rPr>
        <w:t>______________</w:t>
      </w:r>
      <w:r>
        <w:rPr>
          <w:rFonts w:hint="eastAsia"/>
          <w:color w:val="auto"/>
        </w:rPr>
        <w:t>（供应商的名称），全权处理本次项目磋商采购的有关事宜。</w:t>
      </w:r>
    </w:p>
    <w:p>
      <w:pPr>
        <w:pStyle w:val="65"/>
        <w:spacing w:line="560" w:lineRule="exact"/>
        <w:ind w:firstLine="482"/>
        <w:rPr>
          <w:color w:val="auto"/>
        </w:rPr>
      </w:pPr>
      <w:r>
        <w:rPr>
          <w:rFonts w:hint="eastAsia"/>
          <w:color w:val="auto"/>
        </w:rPr>
        <w:t>据此函，</w:t>
      </w:r>
      <w:r>
        <w:rPr>
          <w:color w:val="auto"/>
        </w:rPr>
        <w:t>__________</w:t>
      </w:r>
      <w:r>
        <w:rPr>
          <w:rFonts w:hint="eastAsia"/>
          <w:color w:val="auto"/>
        </w:rPr>
        <w:t>（签字人）兹宣布同意如下：</w:t>
      </w:r>
    </w:p>
    <w:p>
      <w:pPr>
        <w:pStyle w:val="65"/>
        <w:spacing w:line="560" w:lineRule="exact"/>
        <w:ind w:firstLine="482"/>
        <w:rPr>
          <w:color w:val="auto"/>
        </w:rPr>
      </w:pPr>
      <w:r>
        <w:rPr>
          <w:color w:val="auto"/>
        </w:rPr>
        <w:t>1.</w:t>
      </w:r>
      <w:r>
        <w:rPr>
          <w:rFonts w:hint="eastAsia"/>
          <w:color w:val="auto"/>
        </w:rPr>
        <w:t>按磋商文件规定的各项要求，向买方提供所需服务。</w:t>
      </w:r>
    </w:p>
    <w:p>
      <w:pPr>
        <w:pStyle w:val="65"/>
        <w:spacing w:line="560" w:lineRule="exact"/>
        <w:ind w:firstLine="482"/>
        <w:rPr>
          <w:color w:val="auto"/>
        </w:rPr>
      </w:pPr>
      <w:r>
        <w:rPr>
          <w:color w:val="auto"/>
        </w:rPr>
        <w:t>2.</w:t>
      </w:r>
      <w:r>
        <w:rPr>
          <w:rFonts w:hint="eastAsia"/>
          <w:color w:val="auto"/>
        </w:rPr>
        <w:t>我们已详细审核全部磋商文件及其有效补充文件，我们知道必须放弃提出含糊不清或误解问题的权利。</w:t>
      </w:r>
    </w:p>
    <w:p>
      <w:pPr>
        <w:pStyle w:val="65"/>
        <w:spacing w:line="560" w:lineRule="exact"/>
        <w:ind w:firstLine="482"/>
        <w:rPr>
          <w:color w:val="auto"/>
        </w:rPr>
      </w:pPr>
      <w:r>
        <w:rPr>
          <w:color w:val="auto"/>
        </w:rPr>
        <w:t>3.</w:t>
      </w:r>
      <w:r>
        <w:rPr>
          <w:rFonts w:hint="eastAsia"/>
          <w:color w:val="auto"/>
        </w:rPr>
        <w:t>我们同意从规定的</w:t>
      </w:r>
      <w:r>
        <w:rPr>
          <w:rFonts w:hint="eastAsia" w:ascii="宋体" w:hAnsi="宋体"/>
          <w:color w:val="auto"/>
        </w:rPr>
        <w:t>响应文件接收截止时间</w:t>
      </w:r>
      <w:r>
        <w:rPr>
          <w:rFonts w:hint="eastAsia"/>
          <w:color w:val="auto"/>
        </w:rPr>
        <w:t>起遵循本响应文件，并在规定的磋商有效期期满之前均具有约束力。</w:t>
      </w:r>
    </w:p>
    <w:p>
      <w:pPr>
        <w:pStyle w:val="65"/>
        <w:spacing w:line="560" w:lineRule="exact"/>
        <w:ind w:firstLine="482"/>
        <w:rPr>
          <w:color w:val="auto"/>
        </w:rPr>
      </w:pPr>
      <w:r>
        <w:rPr>
          <w:color w:val="auto"/>
        </w:rPr>
        <w:t>4.</w:t>
      </w:r>
      <w:r>
        <w:rPr>
          <w:rFonts w:hint="eastAsia"/>
          <w:color w:val="auto"/>
        </w:rPr>
        <w:t>如果在</w:t>
      </w:r>
      <w:r>
        <w:rPr>
          <w:rFonts w:hint="eastAsia" w:ascii="宋体" w:hAnsi="宋体"/>
          <w:color w:val="auto"/>
        </w:rPr>
        <w:t>响应文件接收截止时间</w:t>
      </w:r>
      <w:r>
        <w:rPr>
          <w:rFonts w:hint="eastAsia"/>
          <w:color w:val="auto"/>
        </w:rPr>
        <w:t>后规定的磋商有效期内撤回响应文件或成交后拒绝签订合同，我们的磋商保证金可被贵方没收。</w:t>
      </w:r>
    </w:p>
    <w:p>
      <w:pPr>
        <w:pStyle w:val="65"/>
        <w:spacing w:line="560" w:lineRule="exact"/>
        <w:ind w:firstLine="482"/>
        <w:rPr>
          <w:color w:val="auto"/>
        </w:rPr>
      </w:pPr>
      <w:r>
        <w:rPr>
          <w:color w:val="auto"/>
        </w:rPr>
        <w:t>5.</w:t>
      </w:r>
      <w:r>
        <w:rPr>
          <w:rFonts w:hint="eastAsia"/>
          <w:color w:val="auto"/>
        </w:rPr>
        <w:t>同意向贵方提供贵方可能另外要求的与磋商采购有关的任何证据或资料，并保证我方已提供和将要提供的文件是真实的、准确的。</w:t>
      </w:r>
    </w:p>
    <w:p>
      <w:pPr>
        <w:pStyle w:val="65"/>
        <w:spacing w:line="560" w:lineRule="exact"/>
        <w:ind w:firstLine="482"/>
        <w:rPr>
          <w:color w:val="auto"/>
        </w:rPr>
      </w:pPr>
      <w:r>
        <w:rPr>
          <w:color w:val="auto"/>
        </w:rPr>
        <w:t>6.</w:t>
      </w:r>
      <w:r>
        <w:rPr>
          <w:rFonts w:hint="eastAsia"/>
          <w:color w:val="auto"/>
        </w:rPr>
        <w:t>一旦我方成交，我方将根据磋商文件的规定，严格履行合同的责任和义务，并保证在磋商文件规定的时间完成项目，交付买方验收、使用。</w:t>
      </w:r>
    </w:p>
    <w:p>
      <w:pPr>
        <w:pStyle w:val="65"/>
        <w:spacing w:line="560" w:lineRule="exact"/>
        <w:ind w:firstLine="482"/>
        <w:rPr>
          <w:color w:val="auto"/>
        </w:rPr>
      </w:pPr>
      <w:r>
        <w:rPr>
          <w:color w:val="auto"/>
        </w:rPr>
        <w:t>7.</w:t>
      </w:r>
      <w:r>
        <w:rPr>
          <w:rFonts w:hint="eastAsia"/>
          <w:color w:val="auto"/>
        </w:rPr>
        <w:t>遵守磋商文件中要求的收费项目和标准。</w:t>
      </w:r>
    </w:p>
    <w:p>
      <w:pPr>
        <w:pStyle w:val="65"/>
        <w:spacing w:line="560" w:lineRule="exact"/>
        <w:ind w:firstLine="482"/>
        <w:rPr>
          <w:color w:val="auto"/>
        </w:rPr>
      </w:pPr>
      <w:r>
        <w:rPr>
          <w:color w:val="auto"/>
        </w:rPr>
        <w:t>8.</w:t>
      </w:r>
      <w:r>
        <w:rPr>
          <w:rFonts w:hint="eastAsia"/>
          <w:color w:val="auto"/>
        </w:rPr>
        <w:t>与本磋商采购有关的正式通讯地址为：</w:t>
      </w:r>
    </w:p>
    <w:p>
      <w:pPr>
        <w:pStyle w:val="65"/>
        <w:spacing w:line="560" w:lineRule="exact"/>
        <w:ind w:firstLine="482"/>
        <w:rPr>
          <w:color w:val="auto"/>
        </w:rPr>
      </w:pPr>
      <w:r>
        <w:rPr>
          <w:rFonts w:hint="eastAsia"/>
          <w:color w:val="auto"/>
        </w:rPr>
        <w:t>地址：邮编：</w:t>
      </w:r>
    </w:p>
    <w:p>
      <w:pPr>
        <w:pStyle w:val="65"/>
        <w:spacing w:line="560" w:lineRule="exact"/>
        <w:ind w:firstLine="482"/>
        <w:rPr>
          <w:color w:val="auto"/>
        </w:rPr>
      </w:pPr>
      <w:r>
        <w:rPr>
          <w:rFonts w:hint="eastAsia"/>
          <w:color w:val="auto"/>
        </w:rPr>
        <w:t>电话：传真：</w:t>
      </w:r>
    </w:p>
    <w:p>
      <w:pPr>
        <w:pStyle w:val="65"/>
        <w:spacing w:line="560" w:lineRule="exact"/>
        <w:ind w:firstLine="482"/>
        <w:rPr>
          <w:color w:val="auto"/>
        </w:rPr>
      </w:pPr>
      <w:r>
        <w:rPr>
          <w:rFonts w:hint="eastAsia"/>
          <w:color w:val="auto"/>
        </w:rPr>
        <w:t>供应商开户行：账户：</w:t>
      </w:r>
    </w:p>
    <w:p>
      <w:pPr>
        <w:pStyle w:val="65"/>
        <w:spacing w:line="560" w:lineRule="exact"/>
        <w:ind w:firstLine="482"/>
        <w:rPr>
          <w:color w:val="auto"/>
        </w:rPr>
      </w:pPr>
      <w:r>
        <w:rPr>
          <w:rFonts w:hint="eastAsia"/>
          <w:color w:val="auto"/>
        </w:rPr>
        <w:t>法定代表人或授权代表姓名（签字）：联系电话：</w:t>
      </w:r>
    </w:p>
    <w:p>
      <w:pPr>
        <w:pStyle w:val="65"/>
        <w:spacing w:line="560" w:lineRule="exact"/>
        <w:ind w:firstLine="482"/>
        <w:rPr>
          <w:color w:val="auto"/>
        </w:rPr>
      </w:pPr>
      <w:r>
        <w:rPr>
          <w:rFonts w:hint="eastAsia"/>
          <w:color w:val="auto"/>
        </w:rPr>
        <w:t>供应商名称（公章）：</w:t>
      </w:r>
    </w:p>
    <w:p>
      <w:pPr>
        <w:pStyle w:val="65"/>
        <w:spacing w:line="560" w:lineRule="exact"/>
        <w:ind w:firstLine="482"/>
        <w:rPr>
          <w:color w:val="auto"/>
        </w:rPr>
      </w:pPr>
      <w:r>
        <w:rPr>
          <w:rFonts w:hint="eastAsia"/>
          <w:color w:val="auto"/>
        </w:rPr>
        <w:t>日期：</w:t>
      </w:r>
      <w:r>
        <w:rPr>
          <w:color w:val="auto"/>
        </w:rPr>
        <w:t>________</w:t>
      </w:r>
      <w:r>
        <w:rPr>
          <w:rFonts w:hint="eastAsia"/>
          <w:color w:val="auto"/>
        </w:rPr>
        <w:t>年</w:t>
      </w:r>
      <w:r>
        <w:rPr>
          <w:color w:val="auto"/>
        </w:rPr>
        <w:t>____</w:t>
      </w:r>
      <w:r>
        <w:rPr>
          <w:rFonts w:hint="eastAsia"/>
          <w:color w:val="auto"/>
        </w:rPr>
        <w:t>月</w:t>
      </w:r>
      <w:r>
        <w:rPr>
          <w:color w:val="auto"/>
        </w:rPr>
        <w:t>____</w:t>
      </w:r>
      <w:r>
        <w:rPr>
          <w:rFonts w:hint="eastAsia"/>
          <w:color w:val="auto"/>
        </w:rPr>
        <w:t>日</w:t>
      </w:r>
    </w:p>
    <w:p>
      <w:pPr>
        <w:pStyle w:val="65"/>
        <w:spacing w:line="560" w:lineRule="exact"/>
        <w:ind w:firstLine="482"/>
        <w:rPr>
          <w:color w:val="auto"/>
        </w:rPr>
      </w:pPr>
    </w:p>
    <w:bookmarkEnd w:id="110"/>
    <w:bookmarkEnd w:id="111"/>
    <w:bookmarkEnd w:id="112"/>
    <w:bookmarkEnd w:id="113"/>
    <w:bookmarkEnd w:id="114"/>
    <w:bookmarkEnd w:id="115"/>
    <w:bookmarkEnd w:id="116"/>
    <w:bookmarkEnd w:id="117"/>
    <w:bookmarkEnd w:id="118"/>
    <w:bookmarkEnd w:id="119"/>
    <w:bookmarkEnd w:id="120"/>
    <w:p>
      <w:pPr>
        <w:snapToGrid w:val="0"/>
        <w:spacing w:before="50" w:after="50"/>
        <w:rPr>
          <w:rFonts w:ascii="黑体" w:hAnsi="黑体" w:eastAsia="黑体"/>
          <w:color w:val="auto"/>
          <w:sz w:val="32"/>
          <w:szCs w:val="32"/>
        </w:rPr>
      </w:pPr>
    </w:p>
    <w:p>
      <w:pPr>
        <w:snapToGrid w:val="0"/>
        <w:spacing w:before="50" w:after="50" w:line="360" w:lineRule="auto"/>
        <w:jc w:val="center"/>
        <w:rPr>
          <w:rFonts w:ascii="黑体" w:eastAsia="黑体"/>
          <w:color w:val="auto"/>
          <w:sz w:val="32"/>
          <w:szCs w:val="32"/>
        </w:rPr>
      </w:pPr>
      <w:r>
        <w:rPr>
          <w:rFonts w:hint="eastAsia" w:ascii="黑体" w:hAnsi="黑体" w:eastAsia="黑体"/>
          <w:color w:val="auto"/>
          <w:sz w:val="32"/>
          <w:szCs w:val="32"/>
        </w:rPr>
        <w:t>五、</w:t>
      </w:r>
      <w:r>
        <w:rPr>
          <w:rFonts w:hint="eastAsia" w:ascii="黑体" w:eastAsia="黑体"/>
          <w:color w:val="auto"/>
          <w:sz w:val="32"/>
          <w:szCs w:val="32"/>
        </w:rPr>
        <w:t>开标一览表（格式）</w:t>
      </w:r>
    </w:p>
    <w:tbl>
      <w:tblPr>
        <w:tblStyle w:val="35"/>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spacing w:line="360" w:lineRule="auto"/>
              <w:ind w:firstLine="482" w:firstLineChars="200"/>
              <w:rPr>
                <w:rFonts w:ascii="宋体"/>
                <w:b/>
                <w:color w:val="auto"/>
                <w:sz w:val="24"/>
              </w:rPr>
            </w:pPr>
            <w:r>
              <w:rPr>
                <w:rFonts w:hint="eastAsia" w:ascii="宋体"/>
                <w:b/>
                <w:color w:val="auto"/>
                <w:sz w:val="24"/>
              </w:rPr>
              <w:t>项目编号</w:t>
            </w:r>
          </w:p>
        </w:tc>
        <w:tc>
          <w:tcPr>
            <w:tcW w:w="7445" w:type="dxa"/>
            <w:vAlign w:val="center"/>
          </w:tcPr>
          <w:p>
            <w:pPr>
              <w:pStyle w:val="4"/>
              <w:spacing w:line="360" w:lineRule="auto"/>
              <w:jc w:val="both"/>
              <w:rPr>
                <w:rFonts w:ascii="宋体" w:hAnsi="Times New Roman" w:eastAsia="宋体"/>
                <w:color w:val="auto"/>
                <w:sz w:val="24"/>
                <w:szCs w:val="24"/>
              </w:rPr>
            </w:pPr>
            <w:r>
              <w:rPr>
                <w:rFonts w:hint="eastAsia" w:ascii="宋体" w:hAnsi="Times New Roman" w:eastAsia="宋体"/>
                <w:color w:val="auto"/>
                <w:sz w:val="24"/>
                <w:szCs w:val="24"/>
              </w:rPr>
              <w:t>2020-029S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2700" w:type="dxa"/>
            <w:vAlign w:val="center"/>
          </w:tcPr>
          <w:p>
            <w:pPr>
              <w:ind w:firstLine="482" w:firstLineChars="200"/>
              <w:rPr>
                <w:rFonts w:ascii="宋体"/>
                <w:b/>
                <w:color w:val="auto"/>
                <w:sz w:val="24"/>
              </w:rPr>
            </w:pPr>
            <w:r>
              <w:rPr>
                <w:rFonts w:hint="eastAsia" w:ascii="宋体"/>
                <w:b/>
                <w:color w:val="auto"/>
                <w:sz w:val="24"/>
              </w:rPr>
              <w:t>项目名称</w:t>
            </w:r>
          </w:p>
        </w:tc>
        <w:tc>
          <w:tcPr>
            <w:tcW w:w="7445" w:type="dxa"/>
            <w:vAlign w:val="center"/>
          </w:tcPr>
          <w:p>
            <w:pPr>
              <w:pStyle w:val="4"/>
              <w:jc w:val="both"/>
              <w:rPr>
                <w:rFonts w:ascii="宋体" w:hAnsi="Times New Roman" w:eastAsia="宋体"/>
                <w:color w:val="auto"/>
                <w:sz w:val="24"/>
                <w:szCs w:val="24"/>
              </w:rPr>
            </w:pPr>
            <w:r>
              <w:rPr>
                <w:rFonts w:hint="eastAsia" w:ascii="宋体" w:hAnsi="Times New Roman" w:eastAsia="宋体"/>
                <w:color w:val="auto"/>
                <w:sz w:val="24"/>
                <w:szCs w:val="24"/>
              </w:rPr>
              <w:t>盐城工业职业技术学院2020年度教职工体检服务项目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b/>
                <w:color w:val="auto"/>
                <w:sz w:val="24"/>
              </w:rPr>
            </w:pPr>
            <w:r>
              <w:rPr>
                <w:rFonts w:hint="eastAsia" w:ascii="宋体"/>
                <w:b/>
                <w:bCs/>
                <w:color w:val="auto"/>
                <w:sz w:val="24"/>
              </w:rPr>
              <w:t>项目投标报价：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10145" w:type="dxa"/>
            <w:gridSpan w:val="2"/>
            <w:vAlign w:val="center"/>
          </w:tcPr>
          <w:p>
            <w:pPr>
              <w:rPr>
                <w:rFonts w:ascii="宋体"/>
                <w:b/>
                <w:bCs/>
                <w:color w:val="auto"/>
                <w:sz w:val="24"/>
              </w:rPr>
            </w:pPr>
            <w:r>
              <w:rPr>
                <w:rFonts w:hint="eastAsia" w:ascii="宋体"/>
                <w:b/>
                <w:bCs/>
                <w:color w:val="auto"/>
                <w:sz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10145" w:type="dxa"/>
            <w:gridSpan w:val="2"/>
            <w:vAlign w:val="center"/>
          </w:tcPr>
          <w:p>
            <w:pPr>
              <w:rPr>
                <w:rFonts w:ascii="宋体"/>
                <w:b/>
                <w:bCs/>
                <w:color w:val="auto"/>
                <w:sz w:val="24"/>
              </w:rPr>
            </w:pPr>
            <w:r>
              <w:rPr>
                <w:rFonts w:hint="eastAsia" w:ascii="宋体"/>
                <w:b/>
                <w:bCs/>
                <w:color w:val="auto"/>
                <w:sz w:val="24"/>
              </w:rPr>
              <w:t xml:space="preserve">服务期：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145" w:type="dxa"/>
            <w:gridSpan w:val="2"/>
            <w:vAlign w:val="center"/>
          </w:tcPr>
          <w:p>
            <w:pPr>
              <w:rPr>
                <w:rFonts w:ascii="宋体"/>
                <w:b/>
                <w:color w:val="auto"/>
                <w:sz w:val="24"/>
              </w:rPr>
            </w:pPr>
            <w:r>
              <w:rPr>
                <w:rFonts w:hint="eastAsia" w:ascii="宋体"/>
                <w:b/>
                <w:color w:val="auto"/>
                <w:sz w:val="24"/>
              </w:rPr>
              <w:t>保证金形式：</w:t>
            </w:r>
          </w:p>
        </w:tc>
      </w:tr>
    </w:tbl>
    <w:p>
      <w:pPr>
        <w:spacing w:line="180" w:lineRule="atLeast"/>
        <w:rPr>
          <w:rFonts w:ascii="宋体"/>
          <w:color w:val="auto"/>
          <w:sz w:val="24"/>
        </w:rPr>
      </w:pPr>
      <w:r>
        <w:rPr>
          <w:rFonts w:hint="eastAsia" w:ascii="宋体" w:hAnsi="宋体"/>
          <w:color w:val="auto"/>
          <w:sz w:val="24"/>
        </w:rPr>
        <w:t>填写说明：</w:t>
      </w:r>
    </w:p>
    <w:p>
      <w:pPr>
        <w:numPr>
          <w:ilvl w:val="0"/>
          <w:numId w:val="3"/>
        </w:numPr>
        <w:rPr>
          <w:rFonts w:ascii="宋体"/>
          <w:color w:val="auto"/>
          <w:sz w:val="24"/>
        </w:rPr>
      </w:pPr>
      <w:r>
        <w:rPr>
          <w:rFonts w:hint="eastAsia" w:ascii="宋体" w:hAnsi="宋体"/>
          <w:color w:val="auto"/>
          <w:sz w:val="24"/>
        </w:rPr>
        <w:t>开标一览表不得填报选择性报价，否则将作为无效投标；</w:t>
      </w:r>
    </w:p>
    <w:p>
      <w:pPr>
        <w:numPr>
          <w:ilvl w:val="0"/>
          <w:numId w:val="3"/>
        </w:numPr>
        <w:rPr>
          <w:rFonts w:ascii="宋体" w:hAnsi="宋体"/>
          <w:color w:val="auto"/>
          <w:sz w:val="24"/>
        </w:rPr>
      </w:pPr>
      <w:r>
        <w:rPr>
          <w:rFonts w:hint="eastAsia" w:ascii="宋体" w:hAnsi="宋体"/>
          <w:color w:val="auto"/>
          <w:sz w:val="24"/>
        </w:rPr>
        <w:t>开标一览表中报价与投标分项明细报价表中不符时时，以开标一览表为准；</w:t>
      </w:r>
    </w:p>
    <w:p>
      <w:pPr>
        <w:tabs>
          <w:tab w:val="left" w:pos="480"/>
        </w:tabs>
        <w:ind w:left="480"/>
        <w:rPr>
          <w:rFonts w:ascii="宋体"/>
          <w:color w:val="auto"/>
          <w:sz w:val="24"/>
        </w:rPr>
      </w:pPr>
    </w:p>
    <w:p>
      <w:pPr>
        <w:ind w:firstLine="2640" w:firstLineChars="600"/>
        <w:rPr>
          <w:rFonts w:ascii="黑体" w:hAnsi="Arial" w:eastAsia="黑体"/>
          <w:color w:val="auto"/>
          <w:sz w:val="44"/>
        </w:rPr>
      </w:pPr>
    </w:p>
    <w:p>
      <w:pPr>
        <w:ind w:firstLine="480"/>
        <w:rPr>
          <w:rFonts w:ascii="宋体"/>
          <w:color w:val="auto"/>
          <w:sz w:val="24"/>
        </w:rPr>
      </w:pPr>
    </w:p>
    <w:p>
      <w:pPr>
        <w:ind w:firstLine="480"/>
        <w:jc w:val="right"/>
        <w:rPr>
          <w:rFonts w:ascii="宋体"/>
          <w:color w:val="auto"/>
          <w:sz w:val="24"/>
        </w:rPr>
      </w:pPr>
    </w:p>
    <w:p>
      <w:pPr>
        <w:jc w:val="left"/>
        <w:rPr>
          <w:rFonts w:ascii="宋体"/>
          <w:color w:val="auto"/>
          <w:sz w:val="24"/>
        </w:rPr>
      </w:pPr>
      <w:r>
        <w:rPr>
          <w:rFonts w:hint="eastAsia" w:ascii="宋体" w:hAnsi="宋体"/>
          <w:bCs/>
          <w:color w:val="auto"/>
          <w:sz w:val="24"/>
        </w:rPr>
        <w:t>供应商名称（公章）：</w:t>
      </w:r>
    </w:p>
    <w:p>
      <w:pPr>
        <w:rPr>
          <w:rFonts w:ascii="宋体"/>
          <w:color w:val="auto"/>
          <w:sz w:val="24"/>
        </w:rPr>
      </w:pPr>
      <w:r>
        <w:rPr>
          <w:rFonts w:hint="eastAsia" w:ascii="宋体" w:hAnsi="宋体"/>
          <w:color w:val="auto"/>
          <w:sz w:val="24"/>
        </w:rPr>
        <w:t>日期：年  月   日</w:t>
      </w:r>
    </w:p>
    <w:p>
      <w:pPr>
        <w:jc w:val="center"/>
        <w:rPr>
          <w:rFonts w:ascii="宋体"/>
          <w:b/>
          <w:color w:val="auto"/>
          <w:sz w:val="32"/>
          <w:szCs w:val="32"/>
        </w:rPr>
      </w:pPr>
    </w:p>
    <w:p>
      <w:pPr>
        <w:spacing w:line="560" w:lineRule="exact"/>
        <w:ind w:firstLine="645"/>
        <w:jc w:val="center"/>
        <w:rPr>
          <w:rFonts w:ascii="黑体" w:hAnsi="黑体" w:eastAsia="黑体"/>
          <w:color w:val="auto"/>
          <w:sz w:val="32"/>
          <w:szCs w:val="32"/>
        </w:rPr>
      </w:pPr>
    </w:p>
    <w:p>
      <w:pPr>
        <w:spacing w:line="560" w:lineRule="exact"/>
        <w:ind w:firstLine="645"/>
        <w:jc w:val="center"/>
        <w:rPr>
          <w:rFonts w:ascii="黑体" w:hAnsi="黑体" w:eastAsia="黑体"/>
          <w:color w:val="auto"/>
          <w:sz w:val="32"/>
          <w:szCs w:val="32"/>
        </w:rPr>
      </w:pPr>
    </w:p>
    <w:p>
      <w:pPr>
        <w:spacing w:line="560" w:lineRule="exact"/>
        <w:ind w:firstLine="645"/>
        <w:jc w:val="center"/>
        <w:rPr>
          <w:rFonts w:ascii="黑体" w:hAnsi="黑体" w:eastAsia="黑体"/>
          <w:color w:val="auto"/>
          <w:sz w:val="32"/>
          <w:szCs w:val="32"/>
        </w:rPr>
      </w:pPr>
    </w:p>
    <w:p>
      <w:pPr>
        <w:spacing w:line="560" w:lineRule="exact"/>
        <w:ind w:firstLine="645"/>
        <w:jc w:val="center"/>
        <w:rPr>
          <w:rFonts w:ascii="黑体" w:hAnsi="黑体" w:eastAsia="黑体"/>
          <w:color w:val="auto"/>
          <w:sz w:val="32"/>
          <w:szCs w:val="32"/>
        </w:rPr>
      </w:pPr>
    </w:p>
    <w:p>
      <w:pPr>
        <w:spacing w:line="560" w:lineRule="exact"/>
        <w:jc w:val="center"/>
        <w:rPr>
          <w:rFonts w:ascii="黑体" w:hAnsi="黑体" w:eastAsia="黑体"/>
          <w:color w:val="auto"/>
          <w:sz w:val="32"/>
          <w:szCs w:val="32"/>
        </w:rPr>
      </w:pPr>
      <w:r>
        <w:rPr>
          <w:rFonts w:hint="eastAsia" w:ascii="黑体" w:hAnsi="黑体" w:eastAsia="黑体"/>
          <w:color w:val="auto"/>
          <w:sz w:val="32"/>
          <w:szCs w:val="32"/>
        </w:rPr>
        <w:t xml:space="preserve">六、磋商响应报价表 </w:t>
      </w:r>
    </w:p>
    <w:p>
      <w:pPr>
        <w:pStyle w:val="19"/>
        <w:spacing w:line="360" w:lineRule="auto"/>
        <w:rPr>
          <w:rFonts w:ascii="宋体" w:hAnsi="宋体"/>
          <w:color w:val="auto"/>
          <w:szCs w:val="24"/>
        </w:rPr>
      </w:pPr>
      <w:r>
        <w:rPr>
          <w:rFonts w:hint="eastAsia" w:ascii="宋体" w:hAnsi="宋体"/>
          <w:color w:val="auto"/>
          <w:szCs w:val="24"/>
        </w:rPr>
        <w:t xml:space="preserve">项目名称：盐城工业职业技术学院2020年度教职工体检服务项目 </w:t>
      </w:r>
    </w:p>
    <w:p>
      <w:pPr>
        <w:spacing w:line="360" w:lineRule="auto"/>
        <w:rPr>
          <w:rFonts w:ascii="宋体" w:hAnsi="宋体"/>
          <w:color w:val="auto"/>
          <w:sz w:val="24"/>
        </w:rPr>
      </w:pPr>
      <w:r>
        <w:rPr>
          <w:rFonts w:hint="eastAsia" w:ascii="宋体" w:hAnsi="宋体"/>
          <w:color w:val="auto"/>
          <w:sz w:val="24"/>
        </w:rPr>
        <w:t xml:space="preserve">项目编号：2020-029S                                    </w:t>
      </w:r>
    </w:p>
    <w:tbl>
      <w:tblPr>
        <w:tblStyle w:val="35"/>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2356"/>
        <w:gridCol w:w="2534"/>
        <w:gridCol w:w="1238"/>
        <w:gridCol w:w="1471"/>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560" w:lineRule="exact"/>
              <w:jc w:val="center"/>
              <w:rPr>
                <w:rFonts w:ascii="宋体" w:hAnsi="宋体"/>
                <w:color w:val="auto"/>
                <w:sz w:val="24"/>
              </w:rPr>
            </w:pPr>
            <w:r>
              <w:rPr>
                <w:rFonts w:hint="eastAsia" w:ascii="宋体" w:hAnsi="宋体"/>
                <w:color w:val="auto"/>
                <w:sz w:val="24"/>
              </w:rPr>
              <w:t>序号</w:t>
            </w:r>
          </w:p>
        </w:tc>
        <w:tc>
          <w:tcPr>
            <w:tcW w:w="2356" w:type="dxa"/>
            <w:vAlign w:val="center"/>
          </w:tcPr>
          <w:p>
            <w:pPr>
              <w:spacing w:line="560" w:lineRule="exact"/>
              <w:jc w:val="center"/>
              <w:rPr>
                <w:rFonts w:ascii="宋体" w:hAnsi="宋体"/>
                <w:color w:val="auto"/>
                <w:sz w:val="24"/>
              </w:rPr>
            </w:pPr>
            <w:r>
              <w:rPr>
                <w:rFonts w:hint="eastAsia" w:ascii="宋体" w:hAnsi="宋体"/>
                <w:color w:val="auto"/>
                <w:sz w:val="24"/>
              </w:rPr>
              <w:t>服务名称</w:t>
            </w:r>
          </w:p>
        </w:tc>
        <w:tc>
          <w:tcPr>
            <w:tcW w:w="2534" w:type="dxa"/>
            <w:vAlign w:val="center"/>
          </w:tcPr>
          <w:p>
            <w:pPr>
              <w:spacing w:line="560" w:lineRule="exact"/>
              <w:jc w:val="center"/>
              <w:rPr>
                <w:rFonts w:ascii="宋体" w:hAnsi="宋体"/>
                <w:color w:val="auto"/>
                <w:sz w:val="24"/>
              </w:rPr>
            </w:pPr>
            <w:r>
              <w:rPr>
                <w:rFonts w:hint="eastAsia" w:ascii="宋体" w:hAnsi="宋体"/>
                <w:color w:val="auto"/>
                <w:sz w:val="24"/>
              </w:rPr>
              <w:t>服务要求</w:t>
            </w:r>
          </w:p>
        </w:tc>
        <w:tc>
          <w:tcPr>
            <w:tcW w:w="1238" w:type="dxa"/>
            <w:vAlign w:val="center"/>
          </w:tcPr>
          <w:p>
            <w:pPr>
              <w:spacing w:line="560" w:lineRule="exact"/>
              <w:jc w:val="center"/>
              <w:rPr>
                <w:rFonts w:ascii="宋体" w:hAnsi="宋体"/>
                <w:color w:val="auto"/>
                <w:sz w:val="24"/>
              </w:rPr>
            </w:pPr>
            <w:r>
              <w:rPr>
                <w:rFonts w:hint="eastAsia" w:ascii="宋体" w:hAnsi="宋体"/>
                <w:color w:val="auto"/>
                <w:sz w:val="24"/>
              </w:rPr>
              <w:t>暂约人数（人）</w:t>
            </w:r>
          </w:p>
        </w:tc>
        <w:tc>
          <w:tcPr>
            <w:tcW w:w="1471" w:type="dxa"/>
            <w:vAlign w:val="center"/>
          </w:tcPr>
          <w:p>
            <w:pPr>
              <w:spacing w:line="560" w:lineRule="exact"/>
              <w:jc w:val="center"/>
              <w:rPr>
                <w:rFonts w:ascii="宋体" w:hAnsi="宋体"/>
                <w:color w:val="auto"/>
                <w:sz w:val="24"/>
              </w:rPr>
            </w:pPr>
            <w:r>
              <w:rPr>
                <w:rFonts w:hint="eastAsia" w:ascii="宋体" w:hAnsi="宋体"/>
                <w:color w:val="auto"/>
                <w:sz w:val="24"/>
              </w:rPr>
              <w:t>全费用单价</w:t>
            </w:r>
          </w:p>
          <w:p>
            <w:pPr>
              <w:spacing w:line="560" w:lineRule="exact"/>
              <w:jc w:val="center"/>
              <w:rPr>
                <w:rFonts w:ascii="宋体" w:hAnsi="宋体"/>
                <w:color w:val="auto"/>
                <w:sz w:val="24"/>
              </w:rPr>
            </w:pPr>
            <w:r>
              <w:rPr>
                <w:rFonts w:hint="eastAsia" w:ascii="宋体" w:hAnsi="宋体"/>
                <w:color w:val="auto"/>
                <w:sz w:val="24"/>
              </w:rPr>
              <w:t>（元/人）</w:t>
            </w:r>
          </w:p>
        </w:tc>
        <w:tc>
          <w:tcPr>
            <w:tcW w:w="1215" w:type="dxa"/>
            <w:vAlign w:val="center"/>
          </w:tcPr>
          <w:p>
            <w:pPr>
              <w:spacing w:line="560" w:lineRule="exact"/>
              <w:jc w:val="center"/>
              <w:rPr>
                <w:rFonts w:ascii="宋体" w:hAnsi="宋体"/>
                <w:color w:val="auto"/>
                <w:sz w:val="24"/>
              </w:rPr>
            </w:pPr>
            <w:r>
              <w:rPr>
                <w:rFonts w:hint="eastAsia" w:ascii="宋体" w:hAnsi="宋体"/>
                <w:color w:val="auto"/>
                <w:sz w:val="24"/>
              </w:rPr>
              <w:t>合计</w:t>
            </w:r>
          </w:p>
          <w:p>
            <w:pPr>
              <w:spacing w:line="560" w:lineRule="exact"/>
              <w:jc w:val="center"/>
              <w:rPr>
                <w:rFonts w:ascii="宋体" w:hAnsi="宋体"/>
                <w:color w:val="auto"/>
                <w:sz w:val="24"/>
              </w:rPr>
            </w:pPr>
            <w:r>
              <w:rPr>
                <w:rFonts w:hint="eastAsia" w:ascii="宋体" w:hAnsi="宋体"/>
                <w:color w:val="auto"/>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400" w:lineRule="exact"/>
              <w:jc w:val="center"/>
              <w:rPr>
                <w:rFonts w:ascii="宋体" w:hAnsi="宋体"/>
                <w:color w:val="auto"/>
                <w:szCs w:val="21"/>
              </w:rPr>
            </w:pPr>
            <w:r>
              <w:rPr>
                <w:rFonts w:hint="eastAsia" w:ascii="宋体" w:hAnsi="宋体"/>
                <w:color w:val="auto"/>
                <w:szCs w:val="21"/>
              </w:rPr>
              <w:t>1</w:t>
            </w:r>
          </w:p>
        </w:tc>
        <w:tc>
          <w:tcPr>
            <w:tcW w:w="2356" w:type="dxa"/>
            <w:vAlign w:val="center"/>
          </w:tcPr>
          <w:p>
            <w:pPr>
              <w:spacing w:line="400" w:lineRule="exact"/>
              <w:jc w:val="left"/>
              <w:rPr>
                <w:rFonts w:ascii="宋体" w:hAnsi="宋体"/>
                <w:color w:val="auto"/>
                <w:szCs w:val="21"/>
              </w:rPr>
            </w:pPr>
            <w:r>
              <w:rPr>
                <w:rFonts w:hint="eastAsia" w:ascii="宋体" w:hAnsi="宋体"/>
                <w:color w:val="auto"/>
                <w:szCs w:val="21"/>
              </w:rPr>
              <w:t>副教授及副教授之下人员（男同志）体检</w:t>
            </w:r>
          </w:p>
        </w:tc>
        <w:tc>
          <w:tcPr>
            <w:tcW w:w="2534" w:type="dxa"/>
            <w:vMerge w:val="restart"/>
            <w:vAlign w:val="center"/>
          </w:tcPr>
          <w:p>
            <w:pPr>
              <w:jc w:val="left"/>
              <w:rPr>
                <w:rFonts w:ascii="宋体" w:hAnsi="宋体"/>
                <w:color w:val="auto"/>
                <w:szCs w:val="21"/>
              </w:rPr>
            </w:pPr>
            <w:r>
              <w:rPr>
                <w:rFonts w:hint="eastAsia" w:ascii="宋体" w:hAnsi="宋体"/>
                <w:color w:val="auto"/>
                <w:szCs w:val="21"/>
              </w:rPr>
              <w:t>教职工体检项目及费用按三种方案实施（1）副教授及副教授之下人员的体检方案具体见附表1，其中男同志费用不得超过835元，女同志费用不得超过1185元。（2）教授人员体检方案具体见附表2，其中男同志不得超过1050元，女同志费用不得超过1400元。（3）校领导（含退休）体检方案见附表3，其中男同志不得超过2050元，女同志费用不得超过2400元。具体详按项目需求执行。</w:t>
            </w:r>
          </w:p>
        </w:tc>
        <w:tc>
          <w:tcPr>
            <w:tcW w:w="1238" w:type="dxa"/>
            <w:vAlign w:val="center"/>
          </w:tcPr>
          <w:p>
            <w:pPr>
              <w:spacing w:line="400" w:lineRule="exact"/>
              <w:jc w:val="center"/>
              <w:rPr>
                <w:rFonts w:ascii="宋体" w:hAnsi="宋体"/>
                <w:color w:val="auto"/>
                <w:szCs w:val="21"/>
              </w:rPr>
            </w:pPr>
            <w:r>
              <w:rPr>
                <w:rFonts w:hint="eastAsia" w:ascii="宋体" w:hAnsi="宋体"/>
                <w:color w:val="auto"/>
                <w:szCs w:val="21"/>
              </w:rPr>
              <w:t>317</w:t>
            </w:r>
          </w:p>
        </w:tc>
        <w:tc>
          <w:tcPr>
            <w:tcW w:w="1471" w:type="dxa"/>
            <w:vAlign w:val="center"/>
          </w:tcPr>
          <w:p>
            <w:pPr>
              <w:spacing w:line="400" w:lineRule="exact"/>
              <w:jc w:val="left"/>
              <w:rPr>
                <w:rFonts w:ascii="宋体" w:hAnsi="宋体"/>
                <w:color w:val="auto"/>
                <w:szCs w:val="21"/>
              </w:rPr>
            </w:pPr>
          </w:p>
        </w:tc>
        <w:tc>
          <w:tcPr>
            <w:tcW w:w="1215" w:type="dxa"/>
            <w:vAlign w:val="center"/>
          </w:tcPr>
          <w:p>
            <w:pPr>
              <w:spacing w:line="400" w:lineRule="exact"/>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400" w:lineRule="exact"/>
              <w:jc w:val="center"/>
              <w:rPr>
                <w:rFonts w:ascii="宋体" w:hAnsi="宋体"/>
                <w:color w:val="auto"/>
                <w:szCs w:val="21"/>
              </w:rPr>
            </w:pPr>
            <w:r>
              <w:rPr>
                <w:rFonts w:hint="eastAsia" w:ascii="宋体" w:hAnsi="宋体"/>
                <w:color w:val="auto"/>
                <w:szCs w:val="21"/>
              </w:rPr>
              <w:t>2</w:t>
            </w:r>
          </w:p>
        </w:tc>
        <w:tc>
          <w:tcPr>
            <w:tcW w:w="2356" w:type="dxa"/>
            <w:vAlign w:val="center"/>
          </w:tcPr>
          <w:p>
            <w:pPr>
              <w:spacing w:line="400" w:lineRule="exact"/>
              <w:jc w:val="left"/>
              <w:rPr>
                <w:rFonts w:ascii="宋体" w:hAnsi="宋体"/>
                <w:color w:val="auto"/>
                <w:szCs w:val="21"/>
              </w:rPr>
            </w:pPr>
            <w:r>
              <w:rPr>
                <w:rFonts w:hint="eastAsia" w:ascii="宋体" w:hAnsi="宋体"/>
                <w:color w:val="auto"/>
                <w:szCs w:val="21"/>
              </w:rPr>
              <w:t>副教授及副教授之下人员（女同志）体检</w:t>
            </w:r>
          </w:p>
        </w:tc>
        <w:tc>
          <w:tcPr>
            <w:tcW w:w="2534" w:type="dxa"/>
            <w:vMerge w:val="continue"/>
            <w:vAlign w:val="center"/>
          </w:tcPr>
          <w:p>
            <w:pPr>
              <w:spacing w:line="400" w:lineRule="exact"/>
              <w:jc w:val="center"/>
              <w:rPr>
                <w:rFonts w:ascii="宋体" w:hAnsi="宋体"/>
                <w:color w:val="auto"/>
                <w:szCs w:val="21"/>
              </w:rPr>
            </w:pPr>
          </w:p>
        </w:tc>
        <w:tc>
          <w:tcPr>
            <w:tcW w:w="1238" w:type="dxa"/>
            <w:vAlign w:val="center"/>
          </w:tcPr>
          <w:p>
            <w:pPr>
              <w:spacing w:line="400" w:lineRule="exact"/>
              <w:jc w:val="center"/>
              <w:rPr>
                <w:rFonts w:ascii="宋体" w:hAnsi="宋体"/>
                <w:color w:val="auto"/>
                <w:szCs w:val="21"/>
              </w:rPr>
            </w:pPr>
            <w:r>
              <w:rPr>
                <w:rFonts w:hint="eastAsia" w:ascii="宋体" w:hAnsi="宋体"/>
                <w:color w:val="auto"/>
                <w:szCs w:val="21"/>
              </w:rPr>
              <w:t>243</w:t>
            </w:r>
          </w:p>
        </w:tc>
        <w:tc>
          <w:tcPr>
            <w:tcW w:w="1471" w:type="dxa"/>
            <w:vAlign w:val="center"/>
          </w:tcPr>
          <w:p>
            <w:pPr>
              <w:spacing w:line="400" w:lineRule="exact"/>
              <w:jc w:val="left"/>
              <w:rPr>
                <w:rFonts w:ascii="宋体" w:hAnsi="宋体"/>
                <w:color w:val="auto"/>
                <w:szCs w:val="21"/>
              </w:rPr>
            </w:pPr>
          </w:p>
        </w:tc>
        <w:tc>
          <w:tcPr>
            <w:tcW w:w="1215" w:type="dxa"/>
            <w:vAlign w:val="center"/>
          </w:tcPr>
          <w:p>
            <w:pPr>
              <w:spacing w:line="400" w:lineRule="exact"/>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400" w:lineRule="exact"/>
              <w:jc w:val="center"/>
              <w:rPr>
                <w:rFonts w:ascii="宋体" w:hAnsi="宋体"/>
                <w:color w:val="auto"/>
                <w:szCs w:val="21"/>
              </w:rPr>
            </w:pPr>
            <w:r>
              <w:rPr>
                <w:rFonts w:hint="eastAsia" w:ascii="宋体" w:hAnsi="宋体"/>
                <w:color w:val="auto"/>
                <w:szCs w:val="21"/>
              </w:rPr>
              <w:t>3</w:t>
            </w:r>
          </w:p>
        </w:tc>
        <w:tc>
          <w:tcPr>
            <w:tcW w:w="2356" w:type="dxa"/>
            <w:vAlign w:val="center"/>
          </w:tcPr>
          <w:p>
            <w:pPr>
              <w:spacing w:line="400" w:lineRule="exact"/>
              <w:jc w:val="left"/>
              <w:rPr>
                <w:rFonts w:ascii="宋体" w:hAnsi="宋体"/>
                <w:color w:val="auto"/>
                <w:szCs w:val="21"/>
              </w:rPr>
            </w:pPr>
            <w:r>
              <w:rPr>
                <w:rFonts w:hint="eastAsia" w:ascii="宋体" w:hAnsi="宋体"/>
                <w:color w:val="auto"/>
                <w:szCs w:val="21"/>
              </w:rPr>
              <w:t>教授人员（男同志）体检</w:t>
            </w:r>
          </w:p>
        </w:tc>
        <w:tc>
          <w:tcPr>
            <w:tcW w:w="2534" w:type="dxa"/>
            <w:vMerge w:val="continue"/>
            <w:vAlign w:val="center"/>
          </w:tcPr>
          <w:p>
            <w:pPr>
              <w:spacing w:line="400" w:lineRule="exact"/>
              <w:jc w:val="left"/>
              <w:rPr>
                <w:rFonts w:ascii="宋体" w:hAnsi="宋体"/>
                <w:color w:val="auto"/>
                <w:szCs w:val="21"/>
              </w:rPr>
            </w:pPr>
          </w:p>
        </w:tc>
        <w:tc>
          <w:tcPr>
            <w:tcW w:w="1238" w:type="dxa"/>
            <w:vAlign w:val="center"/>
          </w:tcPr>
          <w:p>
            <w:pPr>
              <w:spacing w:line="400" w:lineRule="exact"/>
              <w:jc w:val="center"/>
              <w:rPr>
                <w:rFonts w:ascii="宋体" w:hAnsi="宋体"/>
                <w:color w:val="auto"/>
                <w:szCs w:val="21"/>
              </w:rPr>
            </w:pPr>
            <w:r>
              <w:rPr>
                <w:rFonts w:hint="eastAsia" w:ascii="宋体" w:hAnsi="宋体"/>
                <w:color w:val="auto"/>
                <w:szCs w:val="21"/>
              </w:rPr>
              <w:t>30</w:t>
            </w:r>
          </w:p>
        </w:tc>
        <w:tc>
          <w:tcPr>
            <w:tcW w:w="1471" w:type="dxa"/>
            <w:vAlign w:val="center"/>
          </w:tcPr>
          <w:p>
            <w:pPr>
              <w:spacing w:line="400" w:lineRule="exact"/>
              <w:jc w:val="left"/>
              <w:rPr>
                <w:rFonts w:ascii="宋体" w:hAnsi="宋体"/>
                <w:color w:val="auto"/>
                <w:szCs w:val="21"/>
              </w:rPr>
            </w:pPr>
          </w:p>
        </w:tc>
        <w:tc>
          <w:tcPr>
            <w:tcW w:w="1215" w:type="dxa"/>
            <w:vAlign w:val="center"/>
          </w:tcPr>
          <w:p>
            <w:pPr>
              <w:spacing w:line="400" w:lineRule="exact"/>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400" w:lineRule="exact"/>
              <w:jc w:val="center"/>
              <w:rPr>
                <w:rFonts w:ascii="宋体" w:hAnsi="宋体"/>
                <w:color w:val="auto"/>
                <w:szCs w:val="21"/>
              </w:rPr>
            </w:pPr>
            <w:r>
              <w:rPr>
                <w:rFonts w:hint="eastAsia" w:ascii="宋体" w:hAnsi="宋体"/>
                <w:color w:val="auto"/>
                <w:szCs w:val="21"/>
              </w:rPr>
              <w:t>4</w:t>
            </w:r>
          </w:p>
        </w:tc>
        <w:tc>
          <w:tcPr>
            <w:tcW w:w="2356" w:type="dxa"/>
            <w:vAlign w:val="center"/>
          </w:tcPr>
          <w:p>
            <w:pPr>
              <w:spacing w:line="400" w:lineRule="exact"/>
              <w:jc w:val="left"/>
              <w:rPr>
                <w:rFonts w:ascii="宋体" w:hAnsi="宋体"/>
                <w:color w:val="auto"/>
                <w:szCs w:val="21"/>
              </w:rPr>
            </w:pPr>
            <w:r>
              <w:rPr>
                <w:rFonts w:hint="eastAsia" w:ascii="宋体" w:hAnsi="宋体"/>
                <w:color w:val="auto"/>
                <w:szCs w:val="21"/>
              </w:rPr>
              <w:t>教授人员（女同志）体检</w:t>
            </w:r>
          </w:p>
        </w:tc>
        <w:tc>
          <w:tcPr>
            <w:tcW w:w="2534" w:type="dxa"/>
            <w:vMerge w:val="continue"/>
            <w:vAlign w:val="center"/>
          </w:tcPr>
          <w:p>
            <w:pPr>
              <w:spacing w:line="400" w:lineRule="exact"/>
              <w:jc w:val="left"/>
              <w:rPr>
                <w:rFonts w:ascii="宋体" w:hAnsi="宋体"/>
                <w:color w:val="auto"/>
                <w:szCs w:val="21"/>
              </w:rPr>
            </w:pPr>
          </w:p>
        </w:tc>
        <w:tc>
          <w:tcPr>
            <w:tcW w:w="1238" w:type="dxa"/>
            <w:vAlign w:val="center"/>
          </w:tcPr>
          <w:p>
            <w:pPr>
              <w:spacing w:line="400" w:lineRule="exact"/>
              <w:jc w:val="center"/>
              <w:rPr>
                <w:rFonts w:ascii="宋体" w:hAnsi="宋体"/>
                <w:color w:val="auto"/>
                <w:szCs w:val="21"/>
              </w:rPr>
            </w:pPr>
            <w:r>
              <w:rPr>
                <w:rFonts w:hint="eastAsia" w:ascii="宋体" w:hAnsi="宋体"/>
                <w:color w:val="auto"/>
                <w:szCs w:val="21"/>
              </w:rPr>
              <w:t>20</w:t>
            </w:r>
          </w:p>
        </w:tc>
        <w:tc>
          <w:tcPr>
            <w:tcW w:w="1471" w:type="dxa"/>
            <w:vAlign w:val="center"/>
          </w:tcPr>
          <w:p>
            <w:pPr>
              <w:spacing w:line="400" w:lineRule="exact"/>
              <w:jc w:val="left"/>
              <w:rPr>
                <w:rFonts w:ascii="宋体" w:hAnsi="宋体"/>
                <w:color w:val="auto"/>
                <w:szCs w:val="21"/>
              </w:rPr>
            </w:pPr>
          </w:p>
        </w:tc>
        <w:tc>
          <w:tcPr>
            <w:tcW w:w="1215" w:type="dxa"/>
            <w:vAlign w:val="center"/>
          </w:tcPr>
          <w:p>
            <w:pPr>
              <w:spacing w:line="400" w:lineRule="exact"/>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400" w:lineRule="exact"/>
              <w:jc w:val="center"/>
              <w:rPr>
                <w:rFonts w:ascii="宋体" w:hAnsi="宋体"/>
                <w:color w:val="auto"/>
                <w:szCs w:val="21"/>
              </w:rPr>
            </w:pPr>
            <w:r>
              <w:rPr>
                <w:rFonts w:hint="eastAsia" w:ascii="宋体" w:hAnsi="宋体"/>
                <w:color w:val="auto"/>
                <w:szCs w:val="21"/>
              </w:rPr>
              <w:t>5</w:t>
            </w:r>
          </w:p>
        </w:tc>
        <w:tc>
          <w:tcPr>
            <w:tcW w:w="2356" w:type="dxa"/>
            <w:vAlign w:val="center"/>
          </w:tcPr>
          <w:p>
            <w:pPr>
              <w:spacing w:line="400" w:lineRule="exact"/>
              <w:jc w:val="left"/>
              <w:rPr>
                <w:rFonts w:ascii="宋体" w:hAnsi="宋体"/>
                <w:color w:val="auto"/>
                <w:szCs w:val="21"/>
              </w:rPr>
            </w:pPr>
            <w:r>
              <w:rPr>
                <w:rFonts w:hint="eastAsia" w:ascii="宋体" w:hAnsi="宋体"/>
                <w:color w:val="auto"/>
                <w:szCs w:val="21"/>
              </w:rPr>
              <w:t>校领导（含退休）（男同志）体检</w:t>
            </w:r>
          </w:p>
        </w:tc>
        <w:tc>
          <w:tcPr>
            <w:tcW w:w="2534" w:type="dxa"/>
            <w:vMerge w:val="continue"/>
            <w:vAlign w:val="center"/>
          </w:tcPr>
          <w:p>
            <w:pPr>
              <w:spacing w:line="400" w:lineRule="exact"/>
              <w:jc w:val="left"/>
              <w:rPr>
                <w:rFonts w:ascii="宋体" w:hAnsi="宋体"/>
                <w:color w:val="auto"/>
                <w:szCs w:val="21"/>
              </w:rPr>
            </w:pPr>
          </w:p>
        </w:tc>
        <w:tc>
          <w:tcPr>
            <w:tcW w:w="1238" w:type="dxa"/>
            <w:vAlign w:val="center"/>
          </w:tcPr>
          <w:p>
            <w:pPr>
              <w:spacing w:line="400" w:lineRule="exact"/>
              <w:jc w:val="center"/>
              <w:rPr>
                <w:rFonts w:ascii="宋体" w:hAnsi="宋体"/>
                <w:color w:val="auto"/>
                <w:szCs w:val="21"/>
              </w:rPr>
            </w:pPr>
            <w:r>
              <w:rPr>
                <w:rFonts w:hint="eastAsia" w:ascii="宋体" w:hAnsi="宋体"/>
                <w:color w:val="auto"/>
                <w:szCs w:val="21"/>
              </w:rPr>
              <w:t>7</w:t>
            </w:r>
          </w:p>
        </w:tc>
        <w:tc>
          <w:tcPr>
            <w:tcW w:w="1471" w:type="dxa"/>
            <w:vAlign w:val="center"/>
          </w:tcPr>
          <w:p>
            <w:pPr>
              <w:spacing w:line="400" w:lineRule="exact"/>
              <w:jc w:val="left"/>
              <w:rPr>
                <w:rFonts w:ascii="宋体" w:hAnsi="宋体"/>
                <w:color w:val="auto"/>
                <w:szCs w:val="21"/>
              </w:rPr>
            </w:pPr>
          </w:p>
        </w:tc>
        <w:tc>
          <w:tcPr>
            <w:tcW w:w="1215" w:type="dxa"/>
            <w:vAlign w:val="center"/>
          </w:tcPr>
          <w:p>
            <w:pPr>
              <w:spacing w:line="400" w:lineRule="exact"/>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757" w:type="dxa"/>
            <w:vAlign w:val="center"/>
          </w:tcPr>
          <w:p>
            <w:pPr>
              <w:spacing w:line="400" w:lineRule="exact"/>
              <w:jc w:val="center"/>
              <w:rPr>
                <w:rFonts w:ascii="宋体" w:hAnsi="宋体"/>
                <w:color w:val="auto"/>
                <w:szCs w:val="21"/>
              </w:rPr>
            </w:pPr>
            <w:r>
              <w:rPr>
                <w:rFonts w:hint="eastAsia" w:ascii="宋体" w:hAnsi="宋体"/>
                <w:color w:val="auto"/>
                <w:szCs w:val="21"/>
              </w:rPr>
              <w:t>6</w:t>
            </w:r>
          </w:p>
        </w:tc>
        <w:tc>
          <w:tcPr>
            <w:tcW w:w="2356" w:type="dxa"/>
            <w:vAlign w:val="center"/>
          </w:tcPr>
          <w:p>
            <w:pPr>
              <w:spacing w:line="400" w:lineRule="exact"/>
              <w:jc w:val="left"/>
              <w:rPr>
                <w:rFonts w:ascii="宋体" w:hAnsi="宋体"/>
                <w:color w:val="auto"/>
                <w:szCs w:val="21"/>
              </w:rPr>
            </w:pPr>
            <w:r>
              <w:rPr>
                <w:rFonts w:hint="eastAsia" w:ascii="宋体" w:hAnsi="宋体"/>
                <w:color w:val="auto"/>
                <w:szCs w:val="21"/>
              </w:rPr>
              <w:t>校领导（含退休）（女同志）体检</w:t>
            </w:r>
          </w:p>
        </w:tc>
        <w:tc>
          <w:tcPr>
            <w:tcW w:w="2534" w:type="dxa"/>
            <w:vMerge w:val="continue"/>
            <w:vAlign w:val="center"/>
          </w:tcPr>
          <w:p>
            <w:pPr>
              <w:spacing w:line="400" w:lineRule="exact"/>
              <w:jc w:val="left"/>
              <w:rPr>
                <w:rFonts w:ascii="宋体" w:hAnsi="宋体"/>
                <w:color w:val="auto"/>
                <w:szCs w:val="21"/>
              </w:rPr>
            </w:pPr>
          </w:p>
        </w:tc>
        <w:tc>
          <w:tcPr>
            <w:tcW w:w="1238" w:type="dxa"/>
            <w:vAlign w:val="center"/>
          </w:tcPr>
          <w:p>
            <w:pPr>
              <w:spacing w:line="400" w:lineRule="exact"/>
              <w:jc w:val="center"/>
              <w:rPr>
                <w:rFonts w:ascii="宋体" w:hAnsi="宋体"/>
                <w:color w:val="auto"/>
                <w:szCs w:val="21"/>
              </w:rPr>
            </w:pPr>
            <w:r>
              <w:rPr>
                <w:rFonts w:hint="eastAsia" w:ascii="宋体" w:hAnsi="宋体"/>
                <w:color w:val="auto"/>
                <w:szCs w:val="21"/>
              </w:rPr>
              <w:t>4</w:t>
            </w:r>
          </w:p>
        </w:tc>
        <w:tc>
          <w:tcPr>
            <w:tcW w:w="1471" w:type="dxa"/>
            <w:vAlign w:val="center"/>
          </w:tcPr>
          <w:p>
            <w:pPr>
              <w:spacing w:line="400" w:lineRule="exact"/>
              <w:jc w:val="left"/>
              <w:rPr>
                <w:rFonts w:ascii="宋体" w:hAnsi="宋体"/>
                <w:color w:val="auto"/>
                <w:szCs w:val="21"/>
              </w:rPr>
            </w:pPr>
          </w:p>
        </w:tc>
        <w:tc>
          <w:tcPr>
            <w:tcW w:w="1215" w:type="dxa"/>
            <w:vAlign w:val="center"/>
          </w:tcPr>
          <w:p>
            <w:pPr>
              <w:spacing w:line="400" w:lineRule="exact"/>
              <w:jc w:val="lef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5647" w:type="dxa"/>
            <w:gridSpan w:val="3"/>
            <w:vAlign w:val="center"/>
          </w:tcPr>
          <w:p>
            <w:pPr>
              <w:spacing w:line="560" w:lineRule="exact"/>
              <w:jc w:val="center"/>
              <w:rPr>
                <w:rFonts w:ascii="宋体" w:hAnsi="宋体"/>
                <w:color w:val="auto"/>
                <w:sz w:val="24"/>
              </w:rPr>
            </w:pPr>
            <w:r>
              <w:rPr>
                <w:rFonts w:hint="eastAsia" w:ascii="宋体" w:hAnsi="宋体"/>
                <w:color w:val="auto"/>
                <w:sz w:val="24"/>
              </w:rPr>
              <w:t>投标报价（总报价）</w:t>
            </w:r>
          </w:p>
        </w:tc>
        <w:tc>
          <w:tcPr>
            <w:tcW w:w="3924" w:type="dxa"/>
            <w:gridSpan w:val="3"/>
            <w:vAlign w:val="center"/>
          </w:tcPr>
          <w:p>
            <w:pPr>
              <w:spacing w:line="560" w:lineRule="exact"/>
              <w:rPr>
                <w:rFonts w:ascii="宋体" w:hAnsi="宋体"/>
                <w:color w:val="auto"/>
                <w:sz w:val="24"/>
              </w:rPr>
            </w:pPr>
            <w:r>
              <w:rPr>
                <w:rFonts w:hint="eastAsia" w:ascii="宋体" w:hAnsi="宋体"/>
                <w:color w:val="auto"/>
                <w:sz w:val="24"/>
              </w:rPr>
              <w:t xml:space="preserve">人民币（大写）： </w:t>
            </w:r>
          </w:p>
          <w:p>
            <w:pPr>
              <w:spacing w:line="560" w:lineRule="exact"/>
              <w:rPr>
                <w:rFonts w:ascii="宋体" w:hAnsi="宋体"/>
                <w:color w:val="auto"/>
                <w:sz w:val="24"/>
                <w:u w:val="single"/>
              </w:rPr>
            </w:pPr>
            <w:r>
              <w:rPr>
                <w:rFonts w:hint="eastAsia" w:ascii="宋体" w:hAnsi="宋体"/>
                <w:color w:val="auto"/>
                <w:sz w:val="24"/>
              </w:rPr>
              <w:t>￥：</w:t>
            </w:r>
          </w:p>
        </w:tc>
      </w:tr>
    </w:tbl>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 xml:space="preserve">法定代表人或者授权代表（签字或盖章）：                    </w:t>
      </w:r>
    </w:p>
    <w:p>
      <w:pPr>
        <w:spacing w:line="360" w:lineRule="auto"/>
        <w:rPr>
          <w:rFonts w:ascii="宋体" w:hAnsi="宋体"/>
          <w:color w:val="auto"/>
          <w:sz w:val="24"/>
          <w:u w:val="single"/>
        </w:rPr>
      </w:pPr>
      <w:r>
        <w:rPr>
          <w:rFonts w:hint="eastAsia" w:ascii="宋体" w:hAnsi="宋体"/>
          <w:color w:val="auto"/>
          <w:sz w:val="24"/>
        </w:rPr>
        <w:t>磋商供应商全称（盖章）：</w:t>
      </w:r>
    </w:p>
    <w:p>
      <w:pPr>
        <w:spacing w:line="360" w:lineRule="auto"/>
        <w:rPr>
          <w:rFonts w:ascii="宋体" w:hAnsi="宋体"/>
          <w:color w:val="auto"/>
          <w:sz w:val="24"/>
        </w:rPr>
      </w:pPr>
      <w:r>
        <w:rPr>
          <w:rFonts w:hint="eastAsia" w:ascii="宋体" w:hAnsi="宋体"/>
          <w:color w:val="auto"/>
          <w:sz w:val="24"/>
        </w:rPr>
        <w:t xml:space="preserve">                                               日期：    年   月    日</w:t>
      </w:r>
    </w:p>
    <w:p>
      <w:pPr>
        <w:spacing w:line="360" w:lineRule="auto"/>
        <w:rPr>
          <w:rFonts w:ascii="宋体" w:hAnsi="宋体"/>
          <w:b/>
          <w:color w:val="auto"/>
          <w:sz w:val="24"/>
        </w:rPr>
      </w:pPr>
      <w:r>
        <w:rPr>
          <w:rFonts w:hint="eastAsia" w:ascii="宋体" w:hAnsi="宋体"/>
          <w:b/>
          <w:color w:val="auto"/>
          <w:sz w:val="24"/>
        </w:rPr>
        <w:t>价格构成或报价要求：</w:t>
      </w:r>
    </w:p>
    <w:p>
      <w:pPr>
        <w:spacing w:line="360" w:lineRule="auto"/>
        <w:rPr>
          <w:rFonts w:ascii="宋体" w:hAnsi="宋体"/>
          <w:color w:val="auto"/>
          <w:sz w:val="24"/>
        </w:rPr>
      </w:pPr>
      <w:r>
        <w:rPr>
          <w:rFonts w:hint="eastAsia" w:ascii="宋体" w:hAnsi="宋体"/>
          <w:color w:val="auto"/>
          <w:sz w:val="24"/>
        </w:rPr>
        <w:t>1、此表报价非本次磋商中的最后报价。</w:t>
      </w:r>
    </w:p>
    <w:p>
      <w:pPr>
        <w:spacing w:line="560" w:lineRule="exact"/>
        <w:ind w:firstLine="645"/>
        <w:jc w:val="center"/>
        <w:rPr>
          <w:rFonts w:ascii="黑体" w:hAnsi="黑体" w:eastAsia="黑体"/>
          <w:color w:val="auto"/>
          <w:sz w:val="32"/>
          <w:szCs w:val="32"/>
        </w:rPr>
      </w:pPr>
    </w:p>
    <w:p>
      <w:pPr>
        <w:pStyle w:val="2"/>
        <w:rPr>
          <w:color w:val="auto"/>
        </w:rPr>
      </w:pPr>
    </w:p>
    <w:p>
      <w:pPr>
        <w:spacing w:line="560" w:lineRule="exact"/>
        <w:ind w:firstLine="645"/>
        <w:jc w:val="center"/>
        <w:rPr>
          <w:rFonts w:ascii="黑体" w:hAnsi="黑体" w:eastAsia="黑体"/>
          <w:color w:val="auto"/>
          <w:sz w:val="32"/>
          <w:szCs w:val="32"/>
        </w:rPr>
      </w:pPr>
    </w:p>
    <w:p>
      <w:pPr>
        <w:spacing w:line="560" w:lineRule="exact"/>
        <w:ind w:firstLine="645"/>
        <w:jc w:val="center"/>
        <w:rPr>
          <w:rFonts w:ascii="黑体" w:hAnsi="黑体" w:eastAsia="黑体"/>
          <w:color w:val="auto"/>
          <w:sz w:val="32"/>
          <w:szCs w:val="32"/>
        </w:rPr>
      </w:pPr>
    </w:p>
    <w:p>
      <w:pPr>
        <w:spacing w:line="560" w:lineRule="exact"/>
        <w:ind w:firstLine="420"/>
        <w:jc w:val="center"/>
        <w:rPr>
          <w:rFonts w:ascii="黑体" w:hAnsi="黑体" w:eastAsia="黑体"/>
          <w:color w:val="auto"/>
          <w:sz w:val="32"/>
          <w:szCs w:val="32"/>
        </w:rPr>
      </w:pPr>
      <w:r>
        <w:rPr>
          <w:rFonts w:hint="eastAsia" w:ascii="黑体" w:hAnsi="黑体" w:eastAsia="黑体"/>
          <w:color w:val="auto"/>
          <w:sz w:val="32"/>
          <w:szCs w:val="32"/>
        </w:rPr>
        <w:t>七、技术方案、服务承诺、培训承诺等</w:t>
      </w:r>
    </w:p>
    <w:p>
      <w:pPr>
        <w:spacing w:line="560" w:lineRule="exact"/>
        <w:ind w:firstLine="645"/>
        <w:jc w:val="center"/>
        <w:rPr>
          <w:rFonts w:ascii="黑体" w:hAnsi="黑体" w:eastAsia="黑体"/>
          <w:color w:val="auto"/>
          <w:sz w:val="32"/>
          <w:szCs w:val="32"/>
        </w:rPr>
      </w:pPr>
    </w:p>
    <w:p>
      <w:pPr>
        <w:spacing w:line="560" w:lineRule="exact"/>
        <w:ind w:firstLine="645"/>
        <w:jc w:val="center"/>
        <w:rPr>
          <w:rFonts w:ascii="黑体" w:hAnsi="黑体" w:eastAsia="黑体"/>
          <w:color w:val="auto"/>
          <w:sz w:val="32"/>
          <w:szCs w:val="32"/>
        </w:rPr>
      </w:pPr>
    </w:p>
    <w:sectPr>
      <w:headerReference r:id="rId4" w:type="first"/>
      <w:headerReference r:id="rId3" w:type="default"/>
      <w:footerReference r:id="rId5" w:type="default"/>
      <w:footerReference r:id="rId6" w:type="even"/>
      <w:pgSz w:w="11906" w:h="16838"/>
      <w:pgMar w:top="1015" w:right="1196" w:bottom="868" w:left="1259" w:header="851" w:footer="907" w:gutter="0"/>
      <w:pgNumType w:start="1"/>
      <w:cols w:space="425"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楷体_GBK">
    <w:altName w:val="黑体"/>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方正姚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9"/>
      </w:rPr>
    </w:pPr>
    <w:r>
      <w:rPr>
        <w:rStyle w:val="39"/>
      </w:rPr>
      <w:fldChar w:fldCharType="begin"/>
    </w:r>
    <w:r>
      <w:rPr>
        <w:rStyle w:val="39"/>
      </w:rPr>
      <w:instrText xml:space="preserve">PAGE  </w:instrText>
    </w:r>
    <w:r>
      <w:rPr>
        <w:rStyle w:val="39"/>
      </w:rPr>
      <w:fldChar w:fldCharType="separate"/>
    </w:r>
    <w:r>
      <w:rPr>
        <w:rStyle w:val="39"/>
      </w:rPr>
      <w:t>27</w:t>
    </w:r>
    <w:r>
      <w:rPr>
        <w:rStyle w:val="39"/>
      </w:rPr>
      <w:fldChar w:fldCharType="end"/>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9"/>
      </w:rPr>
    </w:pPr>
    <w:r>
      <w:rPr>
        <w:rStyle w:val="39"/>
      </w:rPr>
      <w:fldChar w:fldCharType="begin"/>
    </w:r>
    <w:r>
      <w:rPr>
        <w:rStyle w:val="39"/>
      </w:rPr>
      <w:instrText xml:space="preserve">PAGE  </w:instrText>
    </w:r>
    <w:r>
      <w:rPr>
        <w:rStyle w:val="39"/>
      </w:rPr>
      <w:fldChar w:fldCharType="separate"/>
    </w:r>
    <w:r>
      <w:rPr>
        <w:rStyle w:val="39"/>
      </w:rPr>
      <w:t>1</w:t>
    </w:r>
    <w:r>
      <w:rPr>
        <w:rStyle w:val="39"/>
      </w:rPr>
      <w:fldChar w:fldCharType="end"/>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rFonts w:hint="eastAsia" w:eastAsia="隶书"/>
        <w:color w:val="FF0000"/>
        <w:spacing w:val="40"/>
        <w:sz w:val="21"/>
        <w:szCs w:val="21"/>
      </w:rPr>
      <w:t>2020-029S</w:t>
    </w:r>
    <w:r>
      <w:rPr>
        <w:rFonts w:hint="eastAsia" w:eastAsia="隶书"/>
        <w:spacing w:val="40"/>
        <w:sz w:val="21"/>
        <w:szCs w:val="21"/>
      </w:rPr>
      <w:t>竞争性磋商</w:t>
    </w:r>
    <w:r>
      <w:rPr>
        <w:rFonts w:eastAsia="隶书"/>
        <w:spacing w:val="40"/>
        <w:sz w:val="21"/>
        <w:szCs w:val="21"/>
      </w:rPr>
      <w:t>文</w:t>
    </w:r>
    <w:r>
      <w:rPr>
        <w:rFonts w:eastAsia="隶书"/>
        <w:color w:val="000000"/>
        <w:spacing w:val="40"/>
        <w:sz w:val="21"/>
        <w:szCs w:val="21"/>
      </w:rPr>
      <w:t>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rFonts w:hint="eastAsia" w:eastAsia="隶书"/>
        <w:color w:val="FF0000"/>
        <w:spacing w:val="40"/>
        <w:sz w:val="21"/>
        <w:szCs w:val="21"/>
      </w:rPr>
      <w:t>2020-029S</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06784D56"/>
    <w:lvl w:ilvl="0" w:tentative="0">
      <w:start w:val="1"/>
      <w:numFmt w:val="upperLetter"/>
      <w:pStyle w:val="63"/>
      <w:lvlText w:val="附录%1."/>
      <w:lvlJc w:val="left"/>
      <w:pPr>
        <w:tabs>
          <w:tab w:val="left" w:pos="907"/>
        </w:tabs>
        <w:ind w:left="907" w:hanging="907"/>
      </w:pPr>
      <w:rPr>
        <w:rFonts w:hint="eastAsia" w:cs="Times New Roman"/>
      </w:rPr>
    </w:lvl>
  </w:abstractNum>
  <w:abstractNum w:abstractNumId="1">
    <w:nsid w:val="237E4D61"/>
    <w:multiLevelType w:val="multilevel"/>
    <w:tmpl w:val="237E4D61"/>
    <w:lvl w:ilvl="0" w:tentative="0">
      <w:start w:val="1"/>
      <w:numFmt w:val="japaneseCounting"/>
      <w:pStyle w:val="86"/>
      <w:lvlText w:val="第%1章"/>
      <w:lvlJc w:val="left"/>
      <w:pPr>
        <w:ind w:left="9351" w:hanging="420"/>
      </w:pPr>
      <w:rPr>
        <w:rFonts w:hint="eastAsia" w:ascii="黑体" w:eastAsia="黑体" w:cs="Times New Roman"/>
        <w:b w:val="0"/>
        <w:sz w:val="36"/>
      </w:rPr>
    </w:lvl>
    <w:lvl w:ilvl="1" w:tentative="0">
      <w:start w:val="1"/>
      <w:numFmt w:val="decimal"/>
      <w:pStyle w:val="87"/>
      <w:isLgl/>
      <w:lvlText w:val="%1.%2"/>
      <w:lvlJc w:val="left"/>
      <w:pPr>
        <w:tabs>
          <w:tab w:val="left" w:pos="851"/>
        </w:tabs>
      </w:pPr>
      <w:rPr>
        <w:rFonts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entative="0">
      <w:start w:val="1"/>
      <w:numFmt w:val="decimal"/>
      <w:pStyle w:val="88"/>
      <w:isLgl/>
      <w:lvlText w:val="%1.%2.%3"/>
      <w:lvlJc w:val="left"/>
      <w:pPr>
        <w:tabs>
          <w:tab w:val="left" w:pos="851"/>
        </w:tabs>
      </w:pPr>
      <w:rPr>
        <w:rFonts w:cs="Times New Roman"/>
        <w:b w:val="0"/>
        <w:bCs w:val="0"/>
        <w:i w:val="0"/>
        <w:iCs w:val="0"/>
        <w:caps w:val="0"/>
        <w:smallCaps w:val="0"/>
        <w:strike w:val="0"/>
        <w:dstrike w:val="0"/>
        <w:outline w:val="0"/>
        <w:shadow w:val="0"/>
        <w:emboss w:val="0"/>
        <w:imprint w:val="0"/>
        <w:vanish w:val="0"/>
        <w:color w:val="000000"/>
        <w:spacing w:val="0"/>
        <w:kern w:val="0"/>
        <w:position w:val="0"/>
        <w:u w:val="none"/>
        <w:vertAlign w:val="baseline"/>
      </w:rPr>
    </w:lvl>
    <w:lvl w:ilvl="3" w:tentative="0">
      <w:start w:val="1"/>
      <w:numFmt w:val="decimal"/>
      <w:pStyle w:val="89"/>
      <w:isLgl/>
      <w:lvlText w:val="%1.%2.%3.%4"/>
      <w:lvlJc w:val="left"/>
      <w:pPr>
        <w:tabs>
          <w:tab w:val="left" w:pos="1134"/>
        </w:tabs>
      </w:pPr>
      <w:rPr>
        <w:rFonts w:hint="eastAsia" w:cs="Times New Roman"/>
      </w:rPr>
    </w:lvl>
    <w:lvl w:ilvl="4" w:tentative="0">
      <w:start w:val="1"/>
      <w:numFmt w:val="decimal"/>
      <w:lvlText w:val="%1.%2.%3.%4.%5"/>
      <w:lvlJc w:val="left"/>
      <w:pPr>
        <w:tabs>
          <w:tab w:val="left" w:pos="4850"/>
        </w:tabs>
        <w:ind w:left="4620" w:hanging="850"/>
      </w:pPr>
      <w:rPr>
        <w:rFonts w:hint="eastAsia" w:cs="Times New Roman"/>
      </w:rPr>
    </w:lvl>
    <w:lvl w:ilvl="5" w:tentative="0">
      <w:start w:val="1"/>
      <w:numFmt w:val="decimal"/>
      <w:lvlText w:val="%1.%2.%3.%4.%5.%6"/>
      <w:lvlJc w:val="left"/>
      <w:pPr>
        <w:tabs>
          <w:tab w:val="left" w:pos="5635"/>
        </w:tabs>
        <w:ind w:left="5329" w:hanging="1134"/>
      </w:pPr>
      <w:rPr>
        <w:rFonts w:hint="eastAsia" w:cs="Times New Roman"/>
      </w:rPr>
    </w:lvl>
    <w:lvl w:ilvl="6" w:tentative="0">
      <w:start w:val="1"/>
      <w:numFmt w:val="decimal"/>
      <w:lvlText w:val="%1.%2.%3.%4.%5.%6.%7"/>
      <w:lvlJc w:val="left"/>
      <w:pPr>
        <w:tabs>
          <w:tab w:val="left" w:pos="6420"/>
        </w:tabs>
        <w:ind w:left="5896" w:hanging="1276"/>
      </w:pPr>
      <w:rPr>
        <w:rFonts w:hint="eastAsia" w:cs="Times New Roman"/>
      </w:rPr>
    </w:lvl>
    <w:lvl w:ilvl="7" w:tentative="0">
      <w:start w:val="1"/>
      <w:numFmt w:val="decimal"/>
      <w:lvlText w:val="%1.%2.%3.%4.%5.%6.%7.%8"/>
      <w:lvlJc w:val="left"/>
      <w:pPr>
        <w:tabs>
          <w:tab w:val="left" w:pos="6845"/>
        </w:tabs>
        <w:ind w:left="6463" w:hanging="1418"/>
      </w:pPr>
      <w:rPr>
        <w:rFonts w:hint="eastAsia" w:cs="Times New Roman"/>
      </w:rPr>
    </w:lvl>
    <w:lvl w:ilvl="8" w:tentative="0">
      <w:start w:val="1"/>
      <w:numFmt w:val="decimal"/>
      <w:lvlText w:val="%1.%2.%3.%4.%5.%6.%7.%8.%9"/>
      <w:lvlJc w:val="left"/>
      <w:pPr>
        <w:tabs>
          <w:tab w:val="left" w:pos="7631"/>
        </w:tabs>
        <w:ind w:left="7171" w:hanging="1700"/>
      </w:pPr>
      <w:rPr>
        <w:rFonts w:hint="eastAsia" w:cs="Times New Roman"/>
      </w:rPr>
    </w:lvl>
  </w:abstractNum>
  <w:abstractNum w:abstractNumId="2">
    <w:nsid w:val="23CA3DFE"/>
    <w:multiLevelType w:val="singleLevel"/>
    <w:tmpl w:val="23CA3DFE"/>
    <w:lvl w:ilvl="0" w:tentative="0">
      <w:start w:val="1"/>
      <w:numFmt w:val="decimal"/>
      <w:lvlText w:val="%1、"/>
      <w:lvlJc w:val="left"/>
      <w:pPr>
        <w:tabs>
          <w:tab w:val="left" w:pos="480"/>
        </w:tabs>
        <w:ind w:left="480" w:hanging="4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43"/>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6726"/>
    <w:rsid w:val="00002209"/>
    <w:rsid w:val="00002995"/>
    <w:rsid w:val="00003B42"/>
    <w:rsid w:val="00004021"/>
    <w:rsid w:val="00005A19"/>
    <w:rsid w:val="00006652"/>
    <w:rsid w:val="00006DD7"/>
    <w:rsid w:val="00010AD8"/>
    <w:rsid w:val="000136F0"/>
    <w:rsid w:val="00017387"/>
    <w:rsid w:val="00020761"/>
    <w:rsid w:val="000217AF"/>
    <w:rsid w:val="00021C97"/>
    <w:rsid w:val="0002258C"/>
    <w:rsid w:val="00022F59"/>
    <w:rsid w:val="000247C1"/>
    <w:rsid w:val="00026BCD"/>
    <w:rsid w:val="000301F8"/>
    <w:rsid w:val="00030231"/>
    <w:rsid w:val="00030A86"/>
    <w:rsid w:val="00031E66"/>
    <w:rsid w:val="00031F03"/>
    <w:rsid w:val="000336E2"/>
    <w:rsid w:val="00034292"/>
    <w:rsid w:val="00034B6D"/>
    <w:rsid w:val="00035E23"/>
    <w:rsid w:val="00037092"/>
    <w:rsid w:val="00040D8B"/>
    <w:rsid w:val="00042D59"/>
    <w:rsid w:val="00044140"/>
    <w:rsid w:val="0004532E"/>
    <w:rsid w:val="000454AC"/>
    <w:rsid w:val="0004559E"/>
    <w:rsid w:val="00047BD2"/>
    <w:rsid w:val="0005265C"/>
    <w:rsid w:val="00052ABC"/>
    <w:rsid w:val="00053C3A"/>
    <w:rsid w:val="00053FCF"/>
    <w:rsid w:val="000549F6"/>
    <w:rsid w:val="00054CF4"/>
    <w:rsid w:val="00054DE8"/>
    <w:rsid w:val="00055173"/>
    <w:rsid w:val="000562C0"/>
    <w:rsid w:val="000600DE"/>
    <w:rsid w:val="0006058F"/>
    <w:rsid w:val="000621DD"/>
    <w:rsid w:val="0006240C"/>
    <w:rsid w:val="00062CD4"/>
    <w:rsid w:val="00063EEB"/>
    <w:rsid w:val="0006479E"/>
    <w:rsid w:val="00065787"/>
    <w:rsid w:val="000673B6"/>
    <w:rsid w:val="00067530"/>
    <w:rsid w:val="000719A1"/>
    <w:rsid w:val="00072F55"/>
    <w:rsid w:val="0007475F"/>
    <w:rsid w:val="0007539D"/>
    <w:rsid w:val="00075883"/>
    <w:rsid w:val="000775B1"/>
    <w:rsid w:val="00080BF6"/>
    <w:rsid w:val="00080E3B"/>
    <w:rsid w:val="00082802"/>
    <w:rsid w:val="0008297B"/>
    <w:rsid w:val="00083537"/>
    <w:rsid w:val="000842C8"/>
    <w:rsid w:val="00084C1B"/>
    <w:rsid w:val="00084C20"/>
    <w:rsid w:val="00085212"/>
    <w:rsid w:val="000853EF"/>
    <w:rsid w:val="00087456"/>
    <w:rsid w:val="000874DF"/>
    <w:rsid w:val="00087E39"/>
    <w:rsid w:val="000917FE"/>
    <w:rsid w:val="0009200E"/>
    <w:rsid w:val="00092321"/>
    <w:rsid w:val="00092AC7"/>
    <w:rsid w:val="00093560"/>
    <w:rsid w:val="00094791"/>
    <w:rsid w:val="0009545E"/>
    <w:rsid w:val="0009779B"/>
    <w:rsid w:val="00097AFA"/>
    <w:rsid w:val="000A0C03"/>
    <w:rsid w:val="000A2F51"/>
    <w:rsid w:val="000A4069"/>
    <w:rsid w:val="000A51B8"/>
    <w:rsid w:val="000A6EDC"/>
    <w:rsid w:val="000A73BF"/>
    <w:rsid w:val="000B1B4E"/>
    <w:rsid w:val="000B40D4"/>
    <w:rsid w:val="000B40EA"/>
    <w:rsid w:val="000B57ED"/>
    <w:rsid w:val="000B5FD6"/>
    <w:rsid w:val="000B6B84"/>
    <w:rsid w:val="000B7353"/>
    <w:rsid w:val="000B7DBA"/>
    <w:rsid w:val="000C0811"/>
    <w:rsid w:val="000C165D"/>
    <w:rsid w:val="000C1E90"/>
    <w:rsid w:val="000C2F4F"/>
    <w:rsid w:val="000C2F64"/>
    <w:rsid w:val="000C399B"/>
    <w:rsid w:val="000C480A"/>
    <w:rsid w:val="000C52A6"/>
    <w:rsid w:val="000C61E3"/>
    <w:rsid w:val="000C6A2B"/>
    <w:rsid w:val="000D0069"/>
    <w:rsid w:val="000D12AC"/>
    <w:rsid w:val="000D3EDC"/>
    <w:rsid w:val="000D3F30"/>
    <w:rsid w:val="000D58C3"/>
    <w:rsid w:val="000D5D52"/>
    <w:rsid w:val="000D5EA8"/>
    <w:rsid w:val="000D60FB"/>
    <w:rsid w:val="000D62DE"/>
    <w:rsid w:val="000D6AA5"/>
    <w:rsid w:val="000D7F34"/>
    <w:rsid w:val="000D7F45"/>
    <w:rsid w:val="000E20A6"/>
    <w:rsid w:val="000E2C12"/>
    <w:rsid w:val="000E3510"/>
    <w:rsid w:val="000E5E96"/>
    <w:rsid w:val="000E783C"/>
    <w:rsid w:val="000E7BF1"/>
    <w:rsid w:val="000F10CA"/>
    <w:rsid w:val="000F1672"/>
    <w:rsid w:val="000F3D5C"/>
    <w:rsid w:val="000F5062"/>
    <w:rsid w:val="000F5419"/>
    <w:rsid w:val="001000CA"/>
    <w:rsid w:val="00100A2A"/>
    <w:rsid w:val="00100B0C"/>
    <w:rsid w:val="00101102"/>
    <w:rsid w:val="0010183D"/>
    <w:rsid w:val="00101D75"/>
    <w:rsid w:val="001023D0"/>
    <w:rsid w:val="0010281D"/>
    <w:rsid w:val="00103B24"/>
    <w:rsid w:val="00103DAD"/>
    <w:rsid w:val="00105F91"/>
    <w:rsid w:val="00106AFE"/>
    <w:rsid w:val="00106C25"/>
    <w:rsid w:val="00106C7F"/>
    <w:rsid w:val="00107350"/>
    <w:rsid w:val="0011098B"/>
    <w:rsid w:val="00110A8D"/>
    <w:rsid w:val="0011104E"/>
    <w:rsid w:val="00111D78"/>
    <w:rsid w:val="001139D0"/>
    <w:rsid w:val="00113EC0"/>
    <w:rsid w:val="00114C6B"/>
    <w:rsid w:val="00115F64"/>
    <w:rsid w:val="00116855"/>
    <w:rsid w:val="001168FD"/>
    <w:rsid w:val="00117A85"/>
    <w:rsid w:val="00117FE8"/>
    <w:rsid w:val="001224B9"/>
    <w:rsid w:val="00123645"/>
    <w:rsid w:val="0012411B"/>
    <w:rsid w:val="00124E53"/>
    <w:rsid w:val="00124EDB"/>
    <w:rsid w:val="00130006"/>
    <w:rsid w:val="00130016"/>
    <w:rsid w:val="00130023"/>
    <w:rsid w:val="00130DF5"/>
    <w:rsid w:val="00131DF8"/>
    <w:rsid w:val="00131FC6"/>
    <w:rsid w:val="00132253"/>
    <w:rsid w:val="00133AD0"/>
    <w:rsid w:val="00133E40"/>
    <w:rsid w:val="001342F9"/>
    <w:rsid w:val="00136534"/>
    <w:rsid w:val="00136C63"/>
    <w:rsid w:val="0013758C"/>
    <w:rsid w:val="00140183"/>
    <w:rsid w:val="00140C88"/>
    <w:rsid w:val="001413E8"/>
    <w:rsid w:val="00141ED2"/>
    <w:rsid w:val="001423AE"/>
    <w:rsid w:val="001423BE"/>
    <w:rsid w:val="001441D9"/>
    <w:rsid w:val="001453C1"/>
    <w:rsid w:val="00146115"/>
    <w:rsid w:val="00147FFE"/>
    <w:rsid w:val="001500FD"/>
    <w:rsid w:val="00150C18"/>
    <w:rsid w:val="00153168"/>
    <w:rsid w:val="0015352F"/>
    <w:rsid w:val="0015380C"/>
    <w:rsid w:val="00154766"/>
    <w:rsid w:val="00155F76"/>
    <w:rsid w:val="00157F58"/>
    <w:rsid w:val="001603BA"/>
    <w:rsid w:val="00160454"/>
    <w:rsid w:val="0016052E"/>
    <w:rsid w:val="001619DB"/>
    <w:rsid w:val="00161A22"/>
    <w:rsid w:val="00162B8F"/>
    <w:rsid w:val="001652AF"/>
    <w:rsid w:val="001661CD"/>
    <w:rsid w:val="001666A1"/>
    <w:rsid w:val="00166C1A"/>
    <w:rsid w:val="00166D37"/>
    <w:rsid w:val="00167437"/>
    <w:rsid w:val="001704C1"/>
    <w:rsid w:val="0017260A"/>
    <w:rsid w:val="001738E5"/>
    <w:rsid w:val="001739FB"/>
    <w:rsid w:val="0017441D"/>
    <w:rsid w:val="0017456D"/>
    <w:rsid w:val="001752B9"/>
    <w:rsid w:val="00175616"/>
    <w:rsid w:val="00177459"/>
    <w:rsid w:val="001809CA"/>
    <w:rsid w:val="00180F36"/>
    <w:rsid w:val="001811A2"/>
    <w:rsid w:val="001814E8"/>
    <w:rsid w:val="00181C74"/>
    <w:rsid w:val="001852E0"/>
    <w:rsid w:val="001857FA"/>
    <w:rsid w:val="00185E93"/>
    <w:rsid w:val="00185EBC"/>
    <w:rsid w:val="0018783C"/>
    <w:rsid w:val="00190AC6"/>
    <w:rsid w:val="00190DC9"/>
    <w:rsid w:val="001927E4"/>
    <w:rsid w:val="001929AA"/>
    <w:rsid w:val="00192C00"/>
    <w:rsid w:val="001944F2"/>
    <w:rsid w:val="001945E2"/>
    <w:rsid w:val="001969F0"/>
    <w:rsid w:val="00196A9A"/>
    <w:rsid w:val="00196AC7"/>
    <w:rsid w:val="001A271D"/>
    <w:rsid w:val="001A2A85"/>
    <w:rsid w:val="001A2E80"/>
    <w:rsid w:val="001A3F34"/>
    <w:rsid w:val="001A65E7"/>
    <w:rsid w:val="001A7923"/>
    <w:rsid w:val="001A7E8C"/>
    <w:rsid w:val="001B01DD"/>
    <w:rsid w:val="001B0963"/>
    <w:rsid w:val="001B0DA4"/>
    <w:rsid w:val="001B0E12"/>
    <w:rsid w:val="001B2341"/>
    <w:rsid w:val="001B2D0A"/>
    <w:rsid w:val="001B2DD2"/>
    <w:rsid w:val="001B4656"/>
    <w:rsid w:val="001B5888"/>
    <w:rsid w:val="001B66DD"/>
    <w:rsid w:val="001B68A6"/>
    <w:rsid w:val="001B72D1"/>
    <w:rsid w:val="001B7F6B"/>
    <w:rsid w:val="001C0759"/>
    <w:rsid w:val="001C0E6D"/>
    <w:rsid w:val="001C19F1"/>
    <w:rsid w:val="001C28C7"/>
    <w:rsid w:val="001C2902"/>
    <w:rsid w:val="001C2A3D"/>
    <w:rsid w:val="001C367B"/>
    <w:rsid w:val="001C6640"/>
    <w:rsid w:val="001C7D9E"/>
    <w:rsid w:val="001D1512"/>
    <w:rsid w:val="001D26F9"/>
    <w:rsid w:val="001D4376"/>
    <w:rsid w:val="001D48A4"/>
    <w:rsid w:val="001D4DAD"/>
    <w:rsid w:val="001D569C"/>
    <w:rsid w:val="001D5B9A"/>
    <w:rsid w:val="001E0272"/>
    <w:rsid w:val="001E02FF"/>
    <w:rsid w:val="001E0B1C"/>
    <w:rsid w:val="001E2C89"/>
    <w:rsid w:val="001E5368"/>
    <w:rsid w:val="001E617D"/>
    <w:rsid w:val="001E7558"/>
    <w:rsid w:val="001F03F9"/>
    <w:rsid w:val="001F076C"/>
    <w:rsid w:val="001F2FC3"/>
    <w:rsid w:val="00201353"/>
    <w:rsid w:val="00203C51"/>
    <w:rsid w:val="002043FB"/>
    <w:rsid w:val="0020498C"/>
    <w:rsid w:val="00205770"/>
    <w:rsid w:val="00207423"/>
    <w:rsid w:val="00210843"/>
    <w:rsid w:val="00210DB7"/>
    <w:rsid w:val="0021163B"/>
    <w:rsid w:val="00212174"/>
    <w:rsid w:val="00214AA2"/>
    <w:rsid w:val="00217F68"/>
    <w:rsid w:val="002200CD"/>
    <w:rsid w:val="002203F6"/>
    <w:rsid w:val="00222A1C"/>
    <w:rsid w:val="00222B72"/>
    <w:rsid w:val="0022451B"/>
    <w:rsid w:val="00224F03"/>
    <w:rsid w:val="002260D7"/>
    <w:rsid w:val="00226599"/>
    <w:rsid w:val="00226EA1"/>
    <w:rsid w:val="0022700E"/>
    <w:rsid w:val="00227367"/>
    <w:rsid w:val="0022736B"/>
    <w:rsid w:val="00227501"/>
    <w:rsid w:val="00230732"/>
    <w:rsid w:val="0023207E"/>
    <w:rsid w:val="00233E73"/>
    <w:rsid w:val="00235204"/>
    <w:rsid w:val="002358C3"/>
    <w:rsid w:val="00237EDB"/>
    <w:rsid w:val="002408B3"/>
    <w:rsid w:val="002452F7"/>
    <w:rsid w:val="00246231"/>
    <w:rsid w:val="00246334"/>
    <w:rsid w:val="00246D0D"/>
    <w:rsid w:val="002500BE"/>
    <w:rsid w:val="00250C6F"/>
    <w:rsid w:val="00250E9F"/>
    <w:rsid w:val="0025186C"/>
    <w:rsid w:val="002525E2"/>
    <w:rsid w:val="00253AB8"/>
    <w:rsid w:val="00254113"/>
    <w:rsid w:val="00254A9D"/>
    <w:rsid w:val="00255236"/>
    <w:rsid w:val="00255DC7"/>
    <w:rsid w:val="00255FD0"/>
    <w:rsid w:val="00256074"/>
    <w:rsid w:val="0025720B"/>
    <w:rsid w:val="002575BE"/>
    <w:rsid w:val="00261723"/>
    <w:rsid w:val="00261DAA"/>
    <w:rsid w:val="002629BF"/>
    <w:rsid w:val="0026504C"/>
    <w:rsid w:val="002659C5"/>
    <w:rsid w:val="00265D26"/>
    <w:rsid w:val="00266291"/>
    <w:rsid w:val="0026630F"/>
    <w:rsid w:val="002678B4"/>
    <w:rsid w:val="002679E8"/>
    <w:rsid w:val="00267BA7"/>
    <w:rsid w:val="00267FA8"/>
    <w:rsid w:val="00271284"/>
    <w:rsid w:val="00272DB9"/>
    <w:rsid w:val="00273D95"/>
    <w:rsid w:val="00274DB6"/>
    <w:rsid w:val="00274EFA"/>
    <w:rsid w:val="00275652"/>
    <w:rsid w:val="00275AC8"/>
    <w:rsid w:val="00275F57"/>
    <w:rsid w:val="002766DF"/>
    <w:rsid w:val="00277BA2"/>
    <w:rsid w:val="002805DA"/>
    <w:rsid w:val="002843CC"/>
    <w:rsid w:val="00284779"/>
    <w:rsid w:val="0028541C"/>
    <w:rsid w:val="002865A3"/>
    <w:rsid w:val="00290104"/>
    <w:rsid w:val="002912D1"/>
    <w:rsid w:val="00292891"/>
    <w:rsid w:val="002962EF"/>
    <w:rsid w:val="00297226"/>
    <w:rsid w:val="002973EE"/>
    <w:rsid w:val="002978B9"/>
    <w:rsid w:val="002A26D0"/>
    <w:rsid w:val="002A30A1"/>
    <w:rsid w:val="002A48CE"/>
    <w:rsid w:val="002A5190"/>
    <w:rsid w:val="002A53E9"/>
    <w:rsid w:val="002A557E"/>
    <w:rsid w:val="002A5D51"/>
    <w:rsid w:val="002A77D2"/>
    <w:rsid w:val="002A7C0E"/>
    <w:rsid w:val="002B0FCA"/>
    <w:rsid w:val="002B1A08"/>
    <w:rsid w:val="002B221C"/>
    <w:rsid w:val="002B3275"/>
    <w:rsid w:val="002B452D"/>
    <w:rsid w:val="002B557E"/>
    <w:rsid w:val="002B635B"/>
    <w:rsid w:val="002B67A8"/>
    <w:rsid w:val="002C09BE"/>
    <w:rsid w:val="002C103E"/>
    <w:rsid w:val="002C1985"/>
    <w:rsid w:val="002C1DA2"/>
    <w:rsid w:val="002C2DDF"/>
    <w:rsid w:val="002C3301"/>
    <w:rsid w:val="002C384A"/>
    <w:rsid w:val="002C481F"/>
    <w:rsid w:val="002C48FB"/>
    <w:rsid w:val="002C5DF1"/>
    <w:rsid w:val="002C7E15"/>
    <w:rsid w:val="002D0FDC"/>
    <w:rsid w:val="002D1DAC"/>
    <w:rsid w:val="002D31C3"/>
    <w:rsid w:val="002D3E86"/>
    <w:rsid w:val="002D4E37"/>
    <w:rsid w:val="002D5068"/>
    <w:rsid w:val="002D5241"/>
    <w:rsid w:val="002D63F4"/>
    <w:rsid w:val="002D6990"/>
    <w:rsid w:val="002D69A8"/>
    <w:rsid w:val="002D7108"/>
    <w:rsid w:val="002D74A9"/>
    <w:rsid w:val="002E29E8"/>
    <w:rsid w:val="002E5BA0"/>
    <w:rsid w:val="002E7866"/>
    <w:rsid w:val="002F0BAB"/>
    <w:rsid w:val="002F0C09"/>
    <w:rsid w:val="002F4754"/>
    <w:rsid w:val="002F5DD5"/>
    <w:rsid w:val="002F6156"/>
    <w:rsid w:val="002F6336"/>
    <w:rsid w:val="002F6648"/>
    <w:rsid w:val="002F6BC3"/>
    <w:rsid w:val="002F7D84"/>
    <w:rsid w:val="00301989"/>
    <w:rsid w:val="00301D65"/>
    <w:rsid w:val="003031A4"/>
    <w:rsid w:val="003043F6"/>
    <w:rsid w:val="00304923"/>
    <w:rsid w:val="00305121"/>
    <w:rsid w:val="00310118"/>
    <w:rsid w:val="00310266"/>
    <w:rsid w:val="00310EBE"/>
    <w:rsid w:val="00311D5B"/>
    <w:rsid w:val="00312F22"/>
    <w:rsid w:val="003178B9"/>
    <w:rsid w:val="00317AAC"/>
    <w:rsid w:val="00317EFA"/>
    <w:rsid w:val="00320DC1"/>
    <w:rsid w:val="00321423"/>
    <w:rsid w:val="00330BD2"/>
    <w:rsid w:val="003322B6"/>
    <w:rsid w:val="00334194"/>
    <w:rsid w:val="003344E4"/>
    <w:rsid w:val="00334C5D"/>
    <w:rsid w:val="00336E84"/>
    <w:rsid w:val="003372C1"/>
    <w:rsid w:val="00337491"/>
    <w:rsid w:val="00340AD1"/>
    <w:rsid w:val="00342AA7"/>
    <w:rsid w:val="00342F43"/>
    <w:rsid w:val="003446E4"/>
    <w:rsid w:val="003447F1"/>
    <w:rsid w:val="00345CA1"/>
    <w:rsid w:val="0034654D"/>
    <w:rsid w:val="00347A82"/>
    <w:rsid w:val="0035029B"/>
    <w:rsid w:val="00351415"/>
    <w:rsid w:val="00351D59"/>
    <w:rsid w:val="003539A2"/>
    <w:rsid w:val="00353DBE"/>
    <w:rsid w:val="00356C1F"/>
    <w:rsid w:val="00356C4C"/>
    <w:rsid w:val="0035723A"/>
    <w:rsid w:val="0035740F"/>
    <w:rsid w:val="00357D8B"/>
    <w:rsid w:val="00360189"/>
    <w:rsid w:val="003607AE"/>
    <w:rsid w:val="00361B27"/>
    <w:rsid w:val="00361C51"/>
    <w:rsid w:val="00361EB0"/>
    <w:rsid w:val="00363078"/>
    <w:rsid w:val="003643AB"/>
    <w:rsid w:val="003672EA"/>
    <w:rsid w:val="0036745C"/>
    <w:rsid w:val="00370FCD"/>
    <w:rsid w:val="00371D58"/>
    <w:rsid w:val="003724FB"/>
    <w:rsid w:val="003731E5"/>
    <w:rsid w:val="003734BA"/>
    <w:rsid w:val="003747AF"/>
    <w:rsid w:val="003753D4"/>
    <w:rsid w:val="003754BB"/>
    <w:rsid w:val="0037582C"/>
    <w:rsid w:val="00375A16"/>
    <w:rsid w:val="00377815"/>
    <w:rsid w:val="00380C17"/>
    <w:rsid w:val="00381624"/>
    <w:rsid w:val="00382D24"/>
    <w:rsid w:val="003853E7"/>
    <w:rsid w:val="00386F1E"/>
    <w:rsid w:val="00387560"/>
    <w:rsid w:val="003906FF"/>
    <w:rsid w:val="00393010"/>
    <w:rsid w:val="00393043"/>
    <w:rsid w:val="003939A5"/>
    <w:rsid w:val="00393FCC"/>
    <w:rsid w:val="003958F9"/>
    <w:rsid w:val="0039595F"/>
    <w:rsid w:val="00397E2C"/>
    <w:rsid w:val="003A14D3"/>
    <w:rsid w:val="003A1D61"/>
    <w:rsid w:val="003A3356"/>
    <w:rsid w:val="003A4589"/>
    <w:rsid w:val="003A535F"/>
    <w:rsid w:val="003A7C2A"/>
    <w:rsid w:val="003B0EAE"/>
    <w:rsid w:val="003B17D9"/>
    <w:rsid w:val="003B1E62"/>
    <w:rsid w:val="003B3A2D"/>
    <w:rsid w:val="003B4940"/>
    <w:rsid w:val="003B49D4"/>
    <w:rsid w:val="003B6367"/>
    <w:rsid w:val="003B688A"/>
    <w:rsid w:val="003C1051"/>
    <w:rsid w:val="003C18B0"/>
    <w:rsid w:val="003C486C"/>
    <w:rsid w:val="003C48D7"/>
    <w:rsid w:val="003C4A2D"/>
    <w:rsid w:val="003C6E00"/>
    <w:rsid w:val="003C79A5"/>
    <w:rsid w:val="003D0AFD"/>
    <w:rsid w:val="003D1264"/>
    <w:rsid w:val="003D15B1"/>
    <w:rsid w:val="003D35B9"/>
    <w:rsid w:val="003D3EE4"/>
    <w:rsid w:val="003D5538"/>
    <w:rsid w:val="003D5F26"/>
    <w:rsid w:val="003D743C"/>
    <w:rsid w:val="003D7B7E"/>
    <w:rsid w:val="003D7D80"/>
    <w:rsid w:val="003E2035"/>
    <w:rsid w:val="003E33CB"/>
    <w:rsid w:val="003E3804"/>
    <w:rsid w:val="003E4184"/>
    <w:rsid w:val="003E5FBD"/>
    <w:rsid w:val="003E6CAE"/>
    <w:rsid w:val="003E7474"/>
    <w:rsid w:val="003E770F"/>
    <w:rsid w:val="003E7CC9"/>
    <w:rsid w:val="003F0A82"/>
    <w:rsid w:val="003F140F"/>
    <w:rsid w:val="003F15F8"/>
    <w:rsid w:val="003F27C9"/>
    <w:rsid w:val="003F2B95"/>
    <w:rsid w:val="003F2FAB"/>
    <w:rsid w:val="003F3990"/>
    <w:rsid w:val="003F56E6"/>
    <w:rsid w:val="003F6603"/>
    <w:rsid w:val="003F69C0"/>
    <w:rsid w:val="003F7A76"/>
    <w:rsid w:val="003F7B69"/>
    <w:rsid w:val="004029C5"/>
    <w:rsid w:val="004058C3"/>
    <w:rsid w:val="004061FB"/>
    <w:rsid w:val="00406267"/>
    <w:rsid w:val="0040650C"/>
    <w:rsid w:val="00410156"/>
    <w:rsid w:val="004115C8"/>
    <w:rsid w:val="0041160A"/>
    <w:rsid w:val="004117E7"/>
    <w:rsid w:val="004128D2"/>
    <w:rsid w:val="0041358B"/>
    <w:rsid w:val="004139F0"/>
    <w:rsid w:val="00413CAC"/>
    <w:rsid w:val="00413DD2"/>
    <w:rsid w:val="004161BE"/>
    <w:rsid w:val="00417779"/>
    <w:rsid w:val="00417A62"/>
    <w:rsid w:val="004207B8"/>
    <w:rsid w:val="0042104C"/>
    <w:rsid w:val="004235A3"/>
    <w:rsid w:val="00423858"/>
    <w:rsid w:val="00424C84"/>
    <w:rsid w:val="00424EEA"/>
    <w:rsid w:val="00424F99"/>
    <w:rsid w:val="00425881"/>
    <w:rsid w:val="00427B03"/>
    <w:rsid w:val="0043031B"/>
    <w:rsid w:val="00432E03"/>
    <w:rsid w:val="00434C21"/>
    <w:rsid w:val="00435A5D"/>
    <w:rsid w:val="00435CE6"/>
    <w:rsid w:val="0043683F"/>
    <w:rsid w:val="00436D24"/>
    <w:rsid w:val="004374D6"/>
    <w:rsid w:val="00440787"/>
    <w:rsid w:val="00440801"/>
    <w:rsid w:val="0044315C"/>
    <w:rsid w:val="00443690"/>
    <w:rsid w:val="004438D5"/>
    <w:rsid w:val="00443A2B"/>
    <w:rsid w:val="00443F9E"/>
    <w:rsid w:val="00452340"/>
    <w:rsid w:val="00452409"/>
    <w:rsid w:val="004526CC"/>
    <w:rsid w:val="00452FC0"/>
    <w:rsid w:val="00453710"/>
    <w:rsid w:val="00454915"/>
    <w:rsid w:val="00456D07"/>
    <w:rsid w:val="0045713F"/>
    <w:rsid w:val="0045728F"/>
    <w:rsid w:val="00462678"/>
    <w:rsid w:val="00462E5E"/>
    <w:rsid w:val="00462FEC"/>
    <w:rsid w:val="0046455A"/>
    <w:rsid w:val="00464631"/>
    <w:rsid w:val="00464CF7"/>
    <w:rsid w:val="00464EAB"/>
    <w:rsid w:val="00465ADE"/>
    <w:rsid w:val="00467EDE"/>
    <w:rsid w:val="00472F69"/>
    <w:rsid w:val="004742C1"/>
    <w:rsid w:val="0047438C"/>
    <w:rsid w:val="004755B8"/>
    <w:rsid w:val="00475DCB"/>
    <w:rsid w:val="00476E90"/>
    <w:rsid w:val="004775DA"/>
    <w:rsid w:val="00480306"/>
    <w:rsid w:val="0048075D"/>
    <w:rsid w:val="004807F2"/>
    <w:rsid w:val="00482A62"/>
    <w:rsid w:val="00482F4C"/>
    <w:rsid w:val="004841F9"/>
    <w:rsid w:val="0048462B"/>
    <w:rsid w:val="004857F6"/>
    <w:rsid w:val="00487571"/>
    <w:rsid w:val="00492D0F"/>
    <w:rsid w:val="0049352D"/>
    <w:rsid w:val="004940FA"/>
    <w:rsid w:val="004946A2"/>
    <w:rsid w:val="00496FB5"/>
    <w:rsid w:val="004A06CD"/>
    <w:rsid w:val="004A1010"/>
    <w:rsid w:val="004A11F7"/>
    <w:rsid w:val="004A1986"/>
    <w:rsid w:val="004A2522"/>
    <w:rsid w:val="004A2ABD"/>
    <w:rsid w:val="004A447F"/>
    <w:rsid w:val="004A522C"/>
    <w:rsid w:val="004A66A0"/>
    <w:rsid w:val="004A7B06"/>
    <w:rsid w:val="004B055B"/>
    <w:rsid w:val="004B110F"/>
    <w:rsid w:val="004B168C"/>
    <w:rsid w:val="004B1FC6"/>
    <w:rsid w:val="004B2EB1"/>
    <w:rsid w:val="004B4104"/>
    <w:rsid w:val="004B42E3"/>
    <w:rsid w:val="004C0FA6"/>
    <w:rsid w:val="004C184C"/>
    <w:rsid w:val="004C1DBA"/>
    <w:rsid w:val="004C36D8"/>
    <w:rsid w:val="004C4B86"/>
    <w:rsid w:val="004C4C82"/>
    <w:rsid w:val="004C4F86"/>
    <w:rsid w:val="004C6721"/>
    <w:rsid w:val="004C6857"/>
    <w:rsid w:val="004D0CB4"/>
    <w:rsid w:val="004D15E0"/>
    <w:rsid w:val="004D1A6F"/>
    <w:rsid w:val="004D3243"/>
    <w:rsid w:val="004D4F43"/>
    <w:rsid w:val="004D55D1"/>
    <w:rsid w:val="004D61BC"/>
    <w:rsid w:val="004D6C82"/>
    <w:rsid w:val="004E02C5"/>
    <w:rsid w:val="004E05C5"/>
    <w:rsid w:val="004E07D8"/>
    <w:rsid w:val="004E0BA6"/>
    <w:rsid w:val="004E1AFB"/>
    <w:rsid w:val="004E2B59"/>
    <w:rsid w:val="004E2F24"/>
    <w:rsid w:val="004E3099"/>
    <w:rsid w:val="004E4AD0"/>
    <w:rsid w:val="004E5C0A"/>
    <w:rsid w:val="004E6500"/>
    <w:rsid w:val="004E68DE"/>
    <w:rsid w:val="004E6C32"/>
    <w:rsid w:val="004E755E"/>
    <w:rsid w:val="004F0A89"/>
    <w:rsid w:val="004F0FDE"/>
    <w:rsid w:val="004F165A"/>
    <w:rsid w:val="004F1872"/>
    <w:rsid w:val="004F578D"/>
    <w:rsid w:val="004F5E9A"/>
    <w:rsid w:val="004F7488"/>
    <w:rsid w:val="00500594"/>
    <w:rsid w:val="00500B91"/>
    <w:rsid w:val="0050116E"/>
    <w:rsid w:val="00503A69"/>
    <w:rsid w:val="005044EC"/>
    <w:rsid w:val="00505D9D"/>
    <w:rsid w:val="0050648E"/>
    <w:rsid w:val="0050796D"/>
    <w:rsid w:val="005118B6"/>
    <w:rsid w:val="00512823"/>
    <w:rsid w:val="005131C0"/>
    <w:rsid w:val="00520A23"/>
    <w:rsid w:val="00521689"/>
    <w:rsid w:val="0052203A"/>
    <w:rsid w:val="00522AB6"/>
    <w:rsid w:val="00523165"/>
    <w:rsid w:val="005243E3"/>
    <w:rsid w:val="00524A52"/>
    <w:rsid w:val="00527ABD"/>
    <w:rsid w:val="00530403"/>
    <w:rsid w:val="00530849"/>
    <w:rsid w:val="00530EA1"/>
    <w:rsid w:val="00531D06"/>
    <w:rsid w:val="0053253B"/>
    <w:rsid w:val="00532668"/>
    <w:rsid w:val="005327FF"/>
    <w:rsid w:val="00537C06"/>
    <w:rsid w:val="00537CBD"/>
    <w:rsid w:val="005429B5"/>
    <w:rsid w:val="00543E54"/>
    <w:rsid w:val="00545BA6"/>
    <w:rsid w:val="005465D7"/>
    <w:rsid w:val="0054760C"/>
    <w:rsid w:val="00547AE1"/>
    <w:rsid w:val="00551AE2"/>
    <w:rsid w:val="00551B11"/>
    <w:rsid w:val="00551DB9"/>
    <w:rsid w:val="0055248C"/>
    <w:rsid w:val="0055409B"/>
    <w:rsid w:val="00554B99"/>
    <w:rsid w:val="00557959"/>
    <w:rsid w:val="00561110"/>
    <w:rsid w:val="00561878"/>
    <w:rsid w:val="0056433C"/>
    <w:rsid w:val="00565E48"/>
    <w:rsid w:val="005663BE"/>
    <w:rsid w:val="005671FA"/>
    <w:rsid w:val="005718B4"/>
    <w:rsid w:val="00572214"/>
    <w:rsid w:val="00572E4A"/>
    <w:rsid w:val="005730E1"/>
    <w:rsid w:val="005753D7"/>
    <w:rsid w:val="0057691F"/>
    <w:rsid w:val="00577848"/>
    <w:rsid w:val="00580F02"/>
    <w:rsid w:val="00581B3E"/>
    <w:rsid w:val="00581D07"/>
    <w:rsid w:val="00582E3A"/>
    <w:rsid w:val="005859F7"/>
    <w:rsid w:val="00586E27"/>
    <w:rsid w:val="00587634"/>
    <w:rsid w:val="00587EDC"/>
    <w:rsid w:val="005901BA"/>
    <w:rsid w:val="005908A3"/>
    <w:rsid w:val="00592EFC"/>
    <w:rsid w:val="00594062"/>
    <w:rsid w:val="00594688"/>
    <w:rsid w:val="00594B30"/>
    <w:rsid w:val="00595080"/>
    <w:rsid w:val="0059576F"/>
    <w:rsid w:val="0059579B"/>
    <w:rsid w:val="00595A9E"/>
    <w:rsid w:val="005973BC"/>
    <w:rsid w:val="005A0910"/>
    <w:rsid w:val="005A187F"/>
    <w:rsid w:val="005A283A"/>
    <w:rsid w:val="005A2BC0"/>
    <w:rsid w:val="005A3EBC"/>
    <w:rsid w:val="005A4860"/>
    <w:rsid w:val="005A4892"/>
    <w:rsid w:val="005A686E"/>
    <w:rsid w:val="005A7180"/>
    <w:rsid w:val="005A78AC"/>
    <w:rsid w:val="005B0219"/>
    <w:rsid w:val="005B0DD9"/>
    <w:rsid w:val="005B18C2"/>
    <w:rsid w:val="005B241A"/>
    <w:rsid w:val="005B2800"/>
    <w:rsid w:val="005B4035"/>
    <w:rsid w:val="005B6B9D"/>
    <w:rsid w:val="005B73C6"/>
    <w:rsid w:val="005C09B7"/>
    <w:rsid w:val="005C1A3F"/>
    <w:rsid w:val="005C1CDE"/>
    <w:rsid w:val="005C1E07"/>
    <w:rsid w:val="005C2E81"/>
    <w:rsid w:val="005C3AF5"/>
    <w:rsid w:val="005C7307"/>
    <w:rsid w:val="005D0522"/>
    <w:rsid w:val="005D07E7"/>
    <w:rsid w:val="005D0EF6"/>
    <w:rsid w:val="005D1493"/>
    <w:rsid w:val="005D1787"/>
    <w:rsid w:val="005D3416"/>
    <w:rsid w:val="005D3F09"/>
    <w:rsid w:val="005D5EE3"/>
    <w:rsid w:val="005D60CC"/>
    <w:rsid w:val="005D631C"/>
    <w:rsid w:val="005D6806"/>
    <w:rsid w:val="005D6E94"/>
    <w:rsid w:val="005D7294"/>
    <w:rsid w:val="005D7BAA"/>
    <w:rsid w:val="005E1D74"/>
    <w:rsid w:val="005E2889"/>
    <w:rsid w:val="005E2C1E"/>
    <w:rsid w:val="005E2CF0"/>
    <w:rsid w:val="005E32AE"/>
    <w:rsid w:val="005E5272"/>
    <w:rsid w:val="005E5697"/>
    <w:rsid w:val="005E61E4"/>
    <w:rsid w:val="005E6802"/>
    <w:rsid w:val="005F02A3"/>
    <w:rsid w:val="005F0EFA"/>
    <w:rsid w:val="005F2C79"/>
    <w:rsid w:val="005F376A"/>
    <w:rsid w:val="005F380B"/>
    <w:rsid w:val="005F423E"/>
    <w:rsid w:val="005F4E68"/>
    <w:rsid w:val="005F5701"/>
    <w:rsid w:val="005F632F"/>
    <w:rsid w:val="005F6BF5"/>
    <w:rsid w:val="005F6DFE"/>
    <w:rsid w:val="005F7875"/>
    <w:rsid w:val="0060059F"/>
    <w:rsid w:val="00600662"/>
    <w:rsid w:val="00600678"/>
    <w:rsid w:val="006018BE"/>
    <w:rsid w:val="00602EF1"/>
    <w:rsid w:val="00603519"/>
    <w:rsid w:val="00603DD9"/>
    <w:rsid w:val="006047D8"/>
    <w:rsid w:val="006049D2"/>
    <w:rsid w:val="00604B73"/>
    <w:rsid w:val="006064D6"/>
    <w:rsid w:val="00606773"/>
    <w:rsid w:val="00607240"/>
    <w:rsid w:val="00607321"/>
    <w:rsid w:val="00607A07"/>
    <w:rsid w:val="0061003A"/>
    <w:rsid w:val="0061202E"/>
    <w:rsid w:val="00612A1F"/>
    <w:rsid w:val="0061310A"/>
    <w:rsid w:val="0061322A"/>
    <w:rsid w:val="006151B9"/>
    <w:rsid w:val="00615E46"/>
    <w:rsid w:val="00616121"/>
    <w:rsid w:val="00616C9A"/>
    <w:rsid w:val="00617E6A"/>
    <w:rsid w:val="00621698"/>
    <w:rsid w:val="00621782"/>
    <w:rsid w:val="00622816"/>
    <w:rsid w:val="00624643"/>
    <w:rsid w:val="00626983"/>
    <w:rsid w:val="006278B1"/>
    <w:rsid w:val="00627C83"/>
    <w:rsid w:val="006304B1"/>
    <w:rsid w:val="006304FA"/>
    <w:rsid w:val="00632FCD"/>
    <w:rsid w:val="0063353D"/>
    <w:rsid w:val="00635CA1"/>
    <w:rsid w:val="00637EEE"/>
    <w:rsid w:val="00640744"/>
    <w:rsid w:val="00640A64"/>
    <w:rsid w:val="00642254"/>
    <w:rsid w:val="00644499"/>
    <w:rsid w:val="006454C0"/>
    <w:rsid w:val="006456F3"/>
    <w:rsid w:val="00645B31"/>
    <w:rsid w:val="00645C14"/>
    <w:rsid w:val="0064652C"/>
    <w:rsid w:val="0064679A"/>
    <w:rsid w:val="00651592"/>
    <w:rsid w:val="00652A30"/>
    <w:rsid w:val="00653D20"/>
    <w:rsid w:val="0065540C"/>
    <w:rsid w:val="006578D0"/>
    <w:rsid w:val="00657B66"/>
    <w:rsid w:val="00657FBE"/>
    <w:rsid w:val="00661637"/>
    <w:rsid w:val="00662D5B"/>
    <w:rsid w:val="00662E27"/>
    <w:rsid w:val="0066449B"/>
    <w:rsid w:val="006659F6"/>
    <w:rsid w:val="00666410"/>
    <w:rsid w:val="006701AE"/>
    <w:rsid w:val="00670EE6"/>
    <w:rsid w:val="006719B8"/>
    <w:rsid w:val="00672B46"/>
    <w:rsid w:val="0067315C"/>
    <w:rsid w:val="00673327"/>
    <w:rsid w:val="00673497"/>
    <w:rsid w:val="0067449D"/>
    <w:rsid w:val="006758ED"/>
    <w:rsid w:val="00675AC8"/>
    <w:rsid w:val="00675FCD"/>
    <w:rsid w:val="00676684"/>
    <w:rsid w:val="006811BF"/>
    <w:rsid w:val="00683D49"/>
    <w:rsid w:val="006842B7"/>
    <w:rsid w:val="00684431"/>
    <w:rsid w:val="0068534D"/>
    <w:rsid w:val="00685DE1"/>
    <w:rsid w:val="00690108"/>
    <w:rsid w:val="00690494"/>
    <w:rsid w:val="00690EB6"/>
    <w:rsid w:val="00691F34"/>
    <w:rsid w:val="0069271A"/>
    <w:rsid w:val="00692774"/>
    <w:rsid w:val="00692785"/>
    <w:rsid w:val="0069623B"/>
    <w:rsid w:val="00697C15"/>
    <w:rsid w:val="006A0D6B"/>
    <w:rsid w:val="006A2DCE"/>
    <w:rsid w:val="006A4309"/>
    <w:rsid w:val="006A57A2"/>
    <w:rsid w:val="006A62F9"/>
    <w:rsid w:val="006B0167"/>
    <w:rsid w:val="006B2025"/>
    <w:rsid w:val="006B25A6"/>
    <w:rsid w:val="006B25A8"/>
    <w:rsid w:val="006B2E2C"/>
    <w:rsid w:val="006B32F5"/>
    <w:rsid w:val="006B3D0D"/>
    <w:rsid w:val="006B3F34"/>
    <w:rsid w:val="006B7DE8"/>
    <w:rsid w:val="006B7F2D"/>
    <w:rsid w:val="006C14E1"/>
    <w:rsid w:val="006C198C"/>
    <w:rsid w:val="006C19C5"/>
    <w:rsid w:val="006C227F"/>
    <w:rsid w:val="006C3412"/>
    <w:rsid w:val="006C3C1A"/>
    <w:rsid w:val="006C432F"/>
    <w:rsid w:val="006C4A0E"/>
    <w:rsid w:val="006C511D"/>
    <w:rsid w:val="006C6606"/>
    <w:rsid w:val="006C690E"/>
    <w:rsid w:val="006C7255"/>
    <w:rsid w:val="006C72D3"/>
    <w:rsid w:val="006C77EC"/>
    <w:rsid w:val="006D1619"/>
    <w:rsid w:val="006D306D"/>
    <w:rsid w:val="006D450A"/>
    <w:rsid w:val="006D56F2"/>
    <w:rsid w:val="006D5F00"/>
    <w:rsid w:val="006D755C"/>
    <w:rsid w:val="006D7E2E"/>
    <w:rsid w:val="006E0BA3"/>
    <w:rsid w:val="006E0C81"/>
    <w:rsid w:val="006E0D0C"/>
    <w:rsid w:val="006E1684"/>
    <w:rsid w:val="006E201C"/>
    <w:rsid w:val="006E359E"/>
    <w:rsid w:val="006E7097"/>
    <w:rsid w:val="006E75B6"/>
    <w:rsid w:val="006F043A"/>
    <w:rsid w:val="006F092D"/>
    <w:rsid w:val="006F1CAC"/>
    <w:rsid w:val="006F435B"/>
    <w:rsid w:val="006F67AA"/>
    <w:rsid w:val="006F72E8"/>
    <w:rsid w:val="00700731"/>
    <w:rsid w:val="00700E71"/>
    <w:rsid w:val="00702720"/>
    <w:rsid w:val="007031B5"/>
    <w:rsid w:val="0070528A"/>
    <w:rsid w:val="00705662"/>
    <w:rsid w:val="00707621"/>
    <w:rsid w:val="00707A8C"/>
    <w:rsid w:val="00707CDF"/>
    <w:rsid w:val="00707ED2"/>
    <w:rsid w:val="00710F37"/>
    <w:rsid w:val="007110A5"/>
    <w:rsid w:val="007111CF"/>
    <w:rsid w:val="00712109"/>
    <w:rsid w:val="007130D6"/>
    <w:rsid w:val="0071502D"/>
    <w:rsid w:val="0071521A"/>
    <w:rsid w:val="00715549"/>
    <w:rsid w:val="00716661"/>
    <w:rsid w:val="007166A2"/>
    <w:rsid w:val="00716F21"/>
    <w:rsid w:val="007201CF"/>
    <w:rsid w:val="007204ED"/>
    <w:rsid w:val="00721264"/>
    <w:rsid w:val="00721974"/>
    <w:rsid w:val="00723086"/>
    <w:rsid w:val="00723489"/>
    <w:rsid w:val="00723D15"/>
    <w:rsid w:val="00725473"/>
    <w:rsid w:val="00726332"/>
    <w:rsid w:val="00726721"/>
    <w:rsid w:val="007318A5"/>
    <w:rsid w:val="00733340"/>
    <w:rsid w:val="0073470B"/>
    <w:rsid w:val="00734A79"/>
    <w:rsid w:val="00735E53"/>
    <w:rsid w:val="007360BE"/>
    <w:rsid w:val="00736493"/>
    <w:rsid w:val="007403B2"/>
    <w:rsid w:val="00740FC5"/>
    <w:rsid w:val="007410F2"/>
    <w:rsid w:val="007423F3"/>
    <w:rsid w:val="00743402"/>
    <w:rsid w:val="007439D1"/>
    <w:rsid w:val="00743C72"/>
    <w:rsid w:val="007441C0"/>
    <w:rsid w:val="00744BDA"/>
    <w:rsid w:val="00744F0F"/>
    <w:rsid w:val="00745106"/>
    <w:rsid w:val="007467D3"/>
    <w:rsid w:val="00747688"/>
    <w:rsid w:val="00750E14"/>
    <w:rsid w:val="007514A8"/>
    <w:rsid w:val="007519DD"/>
    <w:rsid w:val="007521AE"/>
    <w:rsid w:val="00752C93"/>
    <w:rsid w:val="0075425A"/>
    <w:rsid w:val="00760A21"/>
    <w:rsid w:val="00760D30"/>
    <w:rsid w:val="00762878"/>
    <w:rsid w:val="00762BA6"/>
    <w:rsid w:val="00763729"/>
    <w:rsid w:val="00763E8C"/>
    <w:rsid w:val="007640AE"/>
    <w:rsid w:val="00765FB9"/>
    <w:rsid w:val="00771807"/>
    <w:rsid w:val="00773E86"/>
    <w:rsid w:val="00774E80"/>
    <w:rsid w:val="007751D9"/>
    <w:rsid w:val="00775588"/>
    <w:rsid w:val="007763E2"/>
    <w:rsid w:val="00776D93"/>
    <w:rsid w:val="00780510"/>
    <w:rsid w:val="0078081C"/>
    <w:rsid w:val="007809E3"/>
    <w:rsid w:val="00780C2D"/>
    <w:rsid w:val="007829E8"/>
    <w:rsid w:val="0078344A"/>
    <w:rsid w:val="00784602"/>
    <w:rsid w:val="00784BB8"/>
    <w:rsid w:val="00791533"/>
    <w:rsid w:val="00791A8A"/>
    <w:rsid w:val="00791AFA"/>
    <w:rsid w:val="0079216E"/>
    <w:rsid w:val="00792C56"/>
    <w:rsid w:val="00793BFA"/>
    <w:rsid w:val="0079412E"/>
    <w:rsid w:val="007941D7"/>
    <w:rsid w:val="007943AE"/>
    <w:rsid w:val="00795624"/>
    <w:rsid w:val="007957C8"/>
    <w:rsid w:val="007965C9"/>
    <w:rsid w:val="00796A8E"/>
    <w:rsid w:val="0079755C"/>
    <w:rsid w:val="007977F6"/>
    <w:rsid w:val="00797A0A"/>
    <w:rsid w:val="007A040A"/>
    <w:rsid w:val="007A06E3"/>
    <w:rsid w:val="007A1D59"/>
    <w:rsid w:val="007A246F"/>
    <w:rsid w:val="007A3227"/>
    <w:rsid w:val="007A57E3"/>
    <w:rsid w:val="007A58E4"/>
    <w:rsid w:val="007A5B09"/>
    <w:rsid w:val="007A6D67"/>
    <w:rsid w:val="007A6E00"/>
    <w:rsid w:val="007B27EE"/>
    <w:rsid w:val="007B39DD"/>
    <w:rsid w:val="007B5E8D"/>
    <w:rsid w:val="007C0543"/>
    <w:rsid w:val="007C102B"/>
    <w:rsid w:val="007C3A19"/>
    <w:rsid w:val="007C4592"/>
    <w:rsid w:val="007C5FBC"/>
    <w:rsid w:val="007D059E"/>
    <w:rsid w:val="007D36A7"/>
    <w:rsid w:val="007D5061"/>
    <w:rsid w:val="007D5F6E"/>
    <w:rsid w:val="007E1412"/>
    <w:rsid w:val="007E1661"/>
    <w:rsid w:val="007E1B40"/>
    <w:rsid w:val="007E58D2"/>
    <w:rsid w:val="007F16F9"/>
    <w:rsid w:val="007F2956"/>
    <w:rsid w:val="007F2EB4"/>
    <w:rsid w:val="007F38C9"/>
    <w:rsid w:val="007F4A9E"/>
    <w:rsid w:val="007F4AF1"/>
    <w:rsid w:val="007F4D11"/>
    <w:rsid w:val="007F4FE9"/>
    <w:rsid w:val="00800F97"/>
    <w:rsid w:val="008019F7"/>
    <w:rsid w:val="0080481D"/>
    <w:rsid w:val="00804969"/>
    <w:rsid w:val="00805E23"/>
    <w:rsid w:val="008069CF"/>
    <w:rsid w:val="00807E5F"/>
    <w:rsid w:val="008103C9"/>
    <w:rsid w:val="008106E5"/>
    <w:rsid w:val="00811F92"/>
    <w:rsid w:val="0081283A"/>
    <w:rsid w:val="008128E0"/>
    <w:rsid w:val="008134B2"/>
    <w:rsid w:val="00814635"/>
    <w:rsid w:val="008146C7"/>
    <w:rsid w:val="00815747"/>
    <w:rsid w:val="0081639F"/>
    <w:rsid w:val="00820270"/>
    <w:rsid w:val="008202BD"/>
    <w:rsid w:val="00821F2B"/>
    <w:rsid w:val="00822155"/>
    <w:rsid w:val="008230FF"/>
    <w:rsid w:val="00824750"/>
    <w:rsid w:val="00824C50"/>
    <w:rsid w:val="008253D7"/>
    <w:rsid w:val="008274CF"/>
    <w:rsid w:val="0083385D"/>
    <w:rsid w:val="00834AC1"/>
    <w:rsid w:val="00835A29"/>
    <w:rsid w:val="008361D3"/>
    <w:rsid w:val="00836F40"/>
    <w:rsid w:val="00837022"/>
    <w:rsid w:val="008413A2"/>
    <w:rsid w:val="008415CD"/>
    <w:rsid w:val="00845567"/>
    <w:rsid w:val="00846669"/>
    <w:rsid w:val="00846874"/>
    <w:rsid w:val="00847467"/>
    <w:rsid w:val="00847F67"/>
    <w:rsid w:val="008518CD"/>
    <w:rsid w:val="00851978"/>
    <w:rsid w:val="008520B1"/>
    <w:rsid w:val="0085311A"/>
    <w:rsid w:val="008539BA"/>
    <w:rsid w:val="00855A96"/>
    <w:rsid w:val="00855C65"/>
    <w:rsid w:val="0085690F"/>
    <w:rsid w:val="00856FE5"/>
    <w:rsid w:val="0085710A"/>
    <w:rsid w:val="008577AA"/>
    <w:rsid w:val="00857F4C"/>
    <w:rsid w:val="00860D20"/>
    <w:rsid w:val="008636AF"/>
    <w:rsid w:val="0086393A"/>
    <w:rsid w:val="0086446C"/>
    <w:rsid w:val="008658EE"/>
    <w:rsid w:val="00866077"/>
    <w:rsid w:val="00866583"/>
    <w:rsid w:val="00866C27"/>
    <w:rsid w:val="00867DE6"/>
    <w:rsid w:val="00870021"/>
    <w:rsid w:val="0087083F"/>
    <w:rsid w:val="008729FC"/>
    <w:rsid w:val="00873257"/>
    <w:rsid w:val="00874388"/>
    <w:rsid w:val="008750D9"/>
    <w:rsid w:val="00875B6C"/>
    <w:rsid w:val="00875CCC"/>
    <w:rsid w:val="0087639C"/>
    <w:rsid w:val="008763C7"/>
    <w:rsid w:val="008772D9"/>
    <w:rsid w:val="00877816"/>
    <w:rsid w:val="00877B2B"/>
    <w:rsid w:val="008801EC"/>
    <w:rsid w:val="00880468"/>
    <w:rsid w:val="00880520"/>
    <w:rsid w:val="00882C3A"/>
    <w:rsid w:val="008847C0"/>
    <w:rsid w:val="0088666B"/>
    <w:rsid w:val="00886767"/>
    <w:rsid w:val="00886877"/>
    <w:rsid w:val="00887DB9"/>
    <w:rsid w:val="00890E76"/>
    <w:rsid w:val="00894680"/>
    <w:rsid w:val="00894B8C"/>
    <w:rsid w:val="00896816"/>
    <w:rsid w:val="00896959"/>
    <w:rsid w:val="00897FEA"/>
    <w:rsid w:val="008A2157"/>
    <w:rsid w:val="008A35B2"/>
    <w:rsid w:val="008A375D"/>
    <w:rsid w:val="008A6761"/>
    <w:rsid w:val="008A6BAC"/>
    <w:rsid w:val="008A6C97"/>
    <w:rsid w:val="008A712F"/>
    <w:rsid w:val="008A74EF"/>
    <w:rsid w:val="008B29D9"/>
    <w:rsid w:val="008B2E6E"/>
    <w:rsid w:val="008B5E0E"/>
    <w:rsid w:val="008B61B4"/>
    <w:rsid w:val="008B6A7C"/>
    <w:rsid w:val="008B79E8"/>
    <w:rsid w:val="008C063F"/>
    <w:rsid w:val="008C10B9"/>
    <w:rsid w:val="008C12B5"/>
    <w:rsid w:val="008C1FDB"/>
    <w:rsid w:val="008C3196"/>
    <w:rsid w:val="008C7161"/>
    <w:rsid w:val="008C738E"/>
    <w:rsid w:val="008C76FB"/>
    <w:rsid w:val="008D0162"/>
    <w:rsid w:val="008D12C0"/>
    <w:rsid w:val="008D1ABD"/>
    <w:rsid w:val="008D2B74"/>
    <w:rsid w:val="008D4433"/>
    <w:rsid w:val="008D4AC9"/>
    <w:rsid w:val="008D60B6"/>
    <w:rsid w:val="008E0175"/>
    <w:rsid w:val="008E05C9"/>
    <w:rsid w:val="008E2815"/>
    <w:rsid w:val="008E38B1"/>
    <w:rsid w:val="008E5C59"/>
    <w:rsid w:val="008E674E"/>
    <w:rsid w:val="008E7BC5"/>
    <w:rsid w:val="008E7D85"/>
    <w:rsid w:val="008F0A20"/>
    <w:rsid w:val="008F0D12"/>
    <w:rsid w:val="008F11D7"/>
    <w:rsid w:val="008F32E1"/>
    <w:rsid w:val="008F3443"/>
    <w:rsid w:val="008F3874"/>
    <w:rsid w:val="008F4F2B"/>
    <w:rsid w:val="008F6AFF"/>
    <w:rsid w:val="008F70CB"/>
    <w:rsid w:val="00904537"/>
    <w:rsid w:val="0090496F"/>
    <w:rsid w:val="009053C4"/>
    <w:rsid w:val="009060B0"/>
    <w:rsid w:val="00906F4F"/>
    <w:rsid w:val="00907865"/>
    <w:rsid w:val="00910404"/>
    <w:rsid w:val="0091157A"/>
    <w:rsid w:val="00911609"/>
    <w:rsid w:val="00911ACC"/>
    <w:rsid w:val="00912B57"/>
    <w:rsid w:val="00913AEC"/>
    <w:rsid w:val="00914037"/>
    <w:rsid w:val="0091454B"/>
    <w:rsid w:val="009171B3"/>
    <w:rsid w:val="009178AD"/>
    <w:rsid w:val="00920908"/>
    <w:rsid w:val="009217BE"/>
    <w:rsid w:val="00922B23"/>
    <w:rsid w:val="009239BA"/>
    <w:rsid w:val="00924044"/>
    <w:rsid w:val="00925940"/>
    <w:rsid w:val="00926350"/>
    <w:rsid w:val="009270BF"/>
    <w:rsid w:val="00931DAB"/>
    <w:rsid w:val="00931FC4"/>
    <w:rsid w:val="00932C8F"/>
    <w:rsid w:val="0093375A"/>
    <w:rsid w:val="009338AE"/>
    <w:rsid w:val="009357D8"/>
    <w:rsid w:val="00936315"/>
    <w:rsid w:val="009366D6"/>
    <w:rsid w:val="00936953"/>
    <w:rsid w:val="00937F5B"/>
    <w:rsid w:val="00940E72"/>
    <w:rsid w:val="00942662"/>
    <w:rsid w:val="0094336E"/>
    <w:rsid w:val="00943C36"/>
    <w:rsid w:val="00944CC7"/>
    <w:rsid w:val="0094501A"/>
    <w:rsid w:val="00945396"/>
    <w:rsid w:val="00945997"/>
    <w:rsid w:val="00947613"/>
    <w:rsid w:val="00950313"/>
    <w:rsid w:val="00950A1B"/>
    <w:rsid w:val="00950F35"/>
    <w:rsid w:val="0095178F"/>
    <w:rsid w:val="009524F8"/>
    <w:rsid w:val="00954A6D"/>
    <w:rsid w:val="00954C41"/>
    <w:rsid w:val="00955C8A"/>
    <w:rsid w:val="00955E00"/>
    <w:rsid w:val="00956043"/>
    <w:rsid w:val="009564D1"/>
    <w:rsid w:val="00961003"/>
    <w:rsid w:val="0096110C"/>
    <w:rsid w:val="00963615"/>
    <w:rsid w:val="00964AF7"/>
    <w:rsid w:val="00964CE8"/>
    <w:rsid w:val="00965270"/>
    <w:rsid w:val="009653D5"/>
    <w:rsid w:val="0096553B"/>
    <w:rsid w:val="00967E56"/>
    <w:rsid w:val="00967EDA"/>
    <w:rsid w:val="00970DC7"/>
    <w:rsid w:val="00971356"/>
    <w:rsid w:val="0097137A"/>
    <w:rsid w:val="0097157B"/>
    <w:rsid w:val="00972C35"/>
    <w:rsid w:val="00973E5E"/>
    <w:rsid w:val="009746DA"/>
    <w:rsid w:val="00974CCC"/>
    <w:rsid w:val="00974FE8"/>
    <w:rsid w:val="00976A82"/>
    <w:rsid w:val="00976C10"/>
    <w:rsid w:val="00977A1C"/>
    <w:rsid w:val="00981AB9"/>
    <w:rsid w:val="00981F25"/>
    <w:rsid w:val="00983309"/>
    <w:rsid w:val="009836FD"/>
    <w:rsid w:val="00983961"/>
    <w:rsid w:val="00983A38"/>
    <w:rsid w:val="00983D4F"/>
    <w:rsid w:val="00984C32"/>
    <w:rsid w:val="009866F4"/>
    <w:rsid w:val="00991988"/>
    <w:rsid w:val="00991EA0"/>
    <w:rsid w:val="00992445"/>
    <w:rsid w:val="009929DD"/>
    <w:rsid w:val="009954BA"/>
    <w:rsid w:val="00995CA5"/>
    <w:rsid w:val="00996E6F"/>
    <w:rsid w:val="00997DDD"/>
    <w:rsid w:val="009A01C1"/>
    <w:rsid w:val="009A13F1"/>
    <w:rsid w:val="009A1BF2"/>
    <w:rsid w:val="009A2098"/>
    <w:rsid w:val="009A2419"/>
    <w:rsid w:val="009A2FAC"/>
    <w:rsid w:val="009A3639"/>
    <w:rsid w:val="009A3A8A"/>
    <w:rsid w:val="009A7522"/>
    <w:rsid w:val="009A76D0"/>
    <w:rsid w:val="009B005B"/>
    <w:rsid w:val="009B017C"/>
    <w:rsid w:val="009B0752"/>
    <w:rsid w:val="009B1153"/>
    <w:rsid w:val="009B1EA0"/>
    <w:rsid w:val="009B241F"/>
    <w:rsid w:val="009B29C2"/>
    <w:rsid w:val="009B6B0B"/>
    <w:rsid w:val="009B6BEA"/>
    <w:rsid w:val="009B6C7C"/>
    <w:rsid w:val="009B79B6"/>
    <w:rsid w:val="009B7D7C"/>
    <w:rsid w:val="009C1E6B"/>
    <w:rsid w:val="009C20F6"/>
    <w:rsid w:val="009C2BCF"/>
    <w:rsid w:val="009C39EF"/>
    <w:rsid w:val="009C5A6B"/>
    <w:rsid w:val="009C62EA"/>
    <w:rsid w:val="009C704F"/>
    <w:rsid w:val="009C763F"/>
    <w:rsid w:val="009D045B"/>
    <w:rsid w:val="009D0DFB"/>
    <w:rsid w:val="009D2B21"/>
    <w:rsid w:val="009D3078"/>
    <w:rsid w:val="009D3E98"/>
    <w:rsid w:val="009D4031"/>
    <w:rsid w:val="009E0D01"/>
    <w:rsid w:val="009E14FB"/>
    <w:rsid w:val="009E2247"/>
    <w:rsid w:val="009E28D5"/>
    <w:rsid w:val="009F092A"/>
    <w:rsid w:val="009F28A3"/>
    <w:rsid w:val="009F2A9E"/>
    <w:rsid w:val="009F386B"/>
    <w:rsid w:val="009F497A"/>
    <w:rsid w:val="009F51AC"/>
    <w:rsid w:val="009F5E08"/>
    <w:rsid w:val="009F79A5"/>
    <w:rsid w:val="00A001C4"/>
    <w:rsid w:val="00A05E25"/>
    <w:rsid w:val="00A05E55"/>
    <w:rsid w:val="00A07863"/>
    <w:rsid w:val="00A11426"/>
    <w:rsid w:val="00A11554"/>
    <w:rsid w:val="00A11AA6"/>
    <w:rsid w:val="00A138AE"/>
    <w:rsid w:val="00A1407A"/>
    <w:rsid w:val="00A14351"/>
    <w:rsid w:val="00A14C2C"/>
    <w:rsid w:val="00A15177"/>
    <w:rsid w:val="00A17153"/>
    <w:rsid w:val="00A17D06"/>
    <w:rsid w:val="00A17FFE"/>
    <w:rsid w:val="00A20A9E"/>
    <w:rsid w:val="00A210B4"/>
    <w:rsid w:val="00A215F6"/>
    <w:rsid w:val="00A21934"/>
    <w:rsid w:val="00A254DB"/>
    <w:rsid w:val="00A266D8"/>
    <w:rsid w:val="00A30620"/>
    <w:rsid w:val="00A3248E"/>
    <w:rsid w:val="00A33394"/>
    <w:rsid w:val="00A33F62"/>
    <w:rsid w:val="00A34805"/>
    <w:rsid w:val="00A3624E"/>
    <w:rsid w:val="00A369FF"/>
    <w:rsid w:val="00A36BED"/>
    <w:rsid w:val="00A36CD1"/>
    <w:rsid w:val="00A373E8"/>
    <w:rsid w:val="00A40828"/>
    <w:rsid w:val="00A41045"/>
    <w:rsid w:val="00A41EAA"/>
    <w:rsid w:val="00A439E2"/>
    <w:rsid w:val="00A43F55"/>
    <w:rsid w:val="00A44256"/>
    <w:rsid w:val="00A45C01"/>
    <w:rsid w:val="00A465D7"/>
    <w:rsid w:val="00A472B1"/>
    <w:rsid w:val="00A479A8"/>
    <w:rsid w:val="00A519E1"/>
    <w:rsid w:val="00A530A7"/>
    <w:rsid w:val="00A54F6D"/>
    <w:rsid w:val="00A5564D"/>
    <w:rsid w:val="00A557D2"/>
    <w:rsid w:val="00A56A90"/>
    <w:rsid w:val="00A57360"/>
    <w:rsid w:val="00A5788C"/>
    <w:rsid w:val="00A60E9B"/>
    <w:rsid w:val="00A612AB"/>
    <w:rsid w:val="00A61902"/>
    <w:rsid w:val="00A63D70"/>
    <w:rsid w:val="00A646DB"/>
    <w:rsid w:val="00A64BC8"/>
    <w:rsid w:val="00A6638D"/>
    <w:rsid w:val="00A669B8"/>
    <w:rsid w:val="00A67390"/>
    <w:rsid w:val="00A72903"/>
    <w:rsid w:val="00A73132"/>
    <w:rsid w:val="00A74521"/>
    <w:rsid w:val="00A74A43"/>
    <w:rsid w:val="00A762EC"/>
    <w:rsid w:val="00A819D0"/>
    <w:rsid w:val="00A819F3"/>
    <w:rsid w:val="00A83520"/>
    <w:rsid w:val="00A86303"/>
    <w:rsid w:val="00A867EB"/>
    <w:rsid w:val="00A874F5"/>
    <w:rsid w:val="00A90884"/>
    <w:rsid w:val="00A92638"/>
    <w:rsid w:val="00A9308D"/>
    <w:rsid w:val="00A9365D"/>
    <w:rsid w:val="00A93E6D"/>
    <w:rsid w:val="00A9431F"/>
    <w:rsid w:val="00A96C33"/>
    <w:rsid w:val="00AA202D"/>
    <w:rsid w:val="00AA5446"/>
    <w:rsid w:val="00AB015B"/>
    <w:rsid w:val="00AB0B4A"/>
    <w:rsid w:val="00AB14D1"/>
    <w:rsid w:val="00AB1CDD"/>
    <w:rsid w:val="00AB2E74"/>
    <w:rsid w:val="00AB350E"/>
    <w:rsid w:val="00AB4432"/>
    <w:rsid w:val="00AB5163"/>
    <w:rsid w:val="00AB5604"/>
    <w:rsid w:val="00AB5AA9"/>
    <w:rsid w:val="00AB6A6A"/>
    <w:rsid w:val="00AB7684"/>
    <w:rsid w:val="00AC0B83"/>
    <w:rsid w:val="00AC3CB6"/>
    <w:rsid w:val="00AC5D4F"/>
    <w:rsid w:val="00AC5E5D"/>
    <w:rsid w:val="00AD0EF9"/>
    <w:rsid w:val="00AD1211"/>
    <w:rsid w:val="00AD2E28"/>
    <w:rsid w:val="00AD3158"/>
    <w:rsid w:val="00AD3A72"/>
    <w:rsid w:val="00AD58F7"/>
    <w:rsid w:val="00AD7066"/>
    <w:rsid w:val="00AE03BE"/>
    <w:rsid w:val="00AE0DC6"/>
    <w:rsid w:val="00AE1913"/>
    <w:rsid w:val="00AE23BD"/>
    <w:rsid w:val="00AE3D40"/>
    <w:rsid w:val="00AE457E"/>
    <w:rsid w:val="00AE4CB1"/>
    <w:rsid w:val="00AE5820"/>
    <w:rsid w:val="00AE639A"/>
    <w:rsid w:val="00AF121D"/>
    <w:rsid w:val="00AF1754"/>
    <w:rsid w:val="00AF1C0F"/>
    <w:rsid w:val="00AF1C84"/>
    <w:rsid w:val="00AF2AB3"/>
    <w:rsid w:val="00AF5C9D"/>
    <w:rsid w:val="00B002F0"/>
    <w:rsid w:val="00B006D6"/>
    <w:rsid w:val="00B02C68"/>
    <w:rsid w:val="00B03096"/>
    <w:rsid w:val="00B03769"/>
    <w:rsid w:val="00B03AA8"/>
    <w:rsid w:val="00B04539"/>
    <w:rsid w:val="00B04BC6"/>
    <w:rsid w:val="00B067AA"/>
    <w:rsid w:val="00B06B41"/>
    <w:rsid w:val="00B0762C"/>
    <w:rsid w:val="00B10570"/>
    <w:rsid w:val="00B10765"/>
    <w:rsid w:val="00B108A9"/>
    <w:rsid w:val="00B10FCA"/>
    <w:rsid w:val="00B121C4"/>
    <w:rsid w:val="00B1392C"/>
    <w:rsid w:val="00B171CD"/>
    <w:rsid w:val="00B20661"/>
    <w:rsid w:val="00B21603"/>
    <w:rsid w:val="00B217FF"/>
    <w:rsid w:val="00B21F5B"/>
    <w:rsid w:val="00B22FF4"/>
    <w:rsid w:val="00B23047"/>
    <w:rsid w:val="00B232FA"/>
    <w:rsid w:val="00B23F07"/>
    <w:rsid w:val="00B24977"/>
    <w:rsid w:val="00B24CCF"/>
    <w:rsid w:val="00B251F9"/>
    <w:rsid w:val="00B25CA8"/>
    <w:rsid w:val="00B26229"/>
    <w:rsid w:val="00B3018E"/>
    <w:rsid w:val="00B307B5"/>
    <w:rsid w:val="00B30BDF"/>
    <w:rsid w:val="00B311C1"/>
    <w:rsid w:val="00B3152B"/>
    <w:rsid w:val="00B31916"/>
    <w:rsid w:val="00B31AD0"/>
    <w:rsid w:val="00B31E51"/>
    <w:rsid w:val="00B32472"/>
    <w:rsid w:val="00B33C06"/>
    <w:rsid w:val="00B424E0"/>
    <w:rsid w:val="00B432AB"/>
    <w:rsid w:val="00B439F1"/>
    <w:rsid w:val="00B44EFA"/>
    <w:rsid w:val="00B455DC"/>
    <w:rsid w:val="00B456BF"/>
    <w:rsid w:val="00B45DC0"/>
    <w:rsid w:val="00B473C9"/>
    <w:rsid w:val="00B478C5"/>
    <w:rsid w:val="00B50C32"/>
    <w:rsid w:val="00B50C7F"/>
    <w:rsid w:val="00B53B25"/>
    <w:rsid w:val="00B53DD0"/>
    <w:rsid w:val="00B54043"/>
    <w:rsid w:val="00B54BC2"/>
    <w:rsid w:val="00B5558E"/>
    <w:rsid w:val="00B579C0"/>
    <w:rsid w:val="00B57FCF"/>
    <w:rsid w:val="00B60359"/>
    <w:rsid w:val="00B60D8D"/>
    <w:rsid w:val="00B612BC"/>
    <w:rsid w:val="00B617D1"/>
    <w:rsid w:val="00B618D2"/>
    <w:rsid w:val="00B62369"/>
    <w:rsid w:val="00B65D2D"/>
    <w:rsid w:val="00B678F1"/>
    <w:rsid w:val="00B67F75"/>
    <w:rsid w:val="00B7326C"/>
    <w:rsid w:val="00B738B7"/>
    <w:rsid w:val="00B74F1D"/>
    <w:rsid w:val="00B75865"/>
    <w:rsid w:val="00B767EF"/>
    <w:rsid w:val="00B77BCB"/>
    <w:rsid w:val="00B805A0"/>
    <w:rsid w:val="00B812E6"/>
    <w:rsid w:val="00B83F5B"/>
    <w:rsid w:val="00B90A1A"/>
    <w:rsid w:val="00B90E6F"/>
    <w:rsid w:val="00B90FDD"/>
    <w:rsid w:val="00B91185"/>
    <w:rsid w:val="00B925BD"/>
    <w:rsid w:val="00B92BF9"/>
    <w:rsid w:val="00B9380C"/>
    <w:rsid w:val="00B941B9"/>
    <w:rsid w:val="00B957C4"/>
    <w:rsid w:val="00B95AC4"/>
    <w:rsid w:val="00B96755"/>
    <w:rsid w:val="00BA1B06"/>
    <w:rsid w:val="00BA2C11"/>
    <w:rsid w:val="00BA2D3A"/>
    <w:rsid w:val="00BA324F"/>
    <w:rsid w:val="00BA34C5"/>
    <w:rsid w:val="00BA394B"/>
    <w:rsid w:val="00BA4142"/>
    <w:rsid w:val="00BA4507"/>
    <w:rsid w:val="00BA4701"/>
    <w:rsid w:val="00BA574F"/>
    <w:rsid w:val="00BA7261"/>
    <w:rsid w:val="00BA73A9"/>
    <w:rsid w:val="00BB06A5"/>
    <w:rsid w:val="00BB0788"/>
    <w:rsid w:val="00BB0D9C"/>
    <w:rsid w:val="00BB146C"/>
    <w:rsid w:val="00BB3299"/>
    <w:rsid w:val="00BB38F1"/>
    <w:rsid w:val="00BB3B46"/>
    <w:rsid w:val="00BB3B5D"/>
    <w:rsid w:val="00BB5CEF"/>
    <w:rsid w:val="00BB6BFB"/>
    <w:rsid w:val="00BB6D61"/>
    <w:rsid w:val="00BB7A2A"/>
    <w:rsid w:val="00BB7C27"/>
    <w:rsid w:val="00BC17B1"/>
    <w:rsid w:val="00BC2282"/>
    <w:rsid w:val="00BC5A71"/>
    <w:rsid w:val="00BC606F"/>
    <w:rsid w:val="00BC60DE"/>
    <w:rsid w:val="00BD1B88"/>
    <w:rsid w:val="00BD2B14"/>
    <w:rsid w:val="00BD2EBB"/>
    <w:rsid w:val="00BD2F1A"/>
    <w:rsid w:val="00BD3BFA"/>
    <w:rsid w:val="00BD4CDD"/>
    <w:rsid w:val="00BD636A"/>
    <w:rsid w:val="00BD7569"/>
    <w:rsid w:val="00BD7829"/>
    <w:rsid w:val="00BD7A3B"/>
    <w:rsid w:val="00BD7AC3"/>
    <w:rsid w:val="00BE05A3"/>
    <w:rsid w:val="00BE166C"/>
    <w:rsid w:val="00BE1B02"/>
    <w:rsid w:val="00BE2B34"/>
    <w:rsid w:val="00BE30C7"/>
    <w:rsid w:val="00BE3CCE"/>
    <w:rsid w:val="00BE4CA4"/>
    <w:rsid w:val="00BE671D"/>
    <w:rsid w:val="00BE73F8"/>
    <w:rsid w:val="00BE7D8D"/>
    <w:rsid w:val="00BF02D5"/>
    <w:rsid w:val="00BF1D38"/>
    <w:rsid w:val="00BF38A4"/>
    <w:rsid w:val="00BF3B60"/>
    <w:rsid w:val="00BF45EB"/>
    <w:rsid w:val="00BF48C2"/>
    <w:rsid w:val="00BF51A0"/>
    <w:rsid w:val="00BF6361"/>
    <w:rsid w:val="00BF775B"/>
    <w:rsid w:val="00BF792B"/>
    <w:rsid w:val="00C00C49"/>
    <w:rsid w:val="00C01E3F"/>
    <w:rsid w:val="00C03A8F"/>
    <w:rsid w:val="00C04B05"/>
    <w:rsid w:val="00C058BB"/>
    <w:rsid w:val="00C05934"/>
    <w:rsid w:val="00C07239"/>
    <w:rsid w:val="00C075D8"/>
    <w:rsid w:val="00C07850"/>
    <w:rsid w:val="00C07B85"/>
    <w:rsid w:val="00C10208"/>
    <w:rsid w:val="00C10EBB"/>
    <w:rsid w:val="00C120A4"/>
    <w:rsid w:val="00C125C9"/>
    <w:rsid w:val="00C12893"/>
    <w:rsid w:val="00C12E86"/>
    <w:rsid w:val="00C14D38"/>
    <w:rsid w:val="00C1589C"/>
    <w:rsid w:val="00C16861"/>
    <w:rsid w:val="00C173C7"/>
    <w:rsid w:val="00C2029B"/>
    <w:rsid w:val="00C20DD6"/>
    <w:rsid w:val="00C21DBE"/>
    <w:rsid w:val="00C2223D"/>
    <w:rsid w:val="00C25EA5"/>
    <w:rsid w:val="00C26419"/>
    <w:rsid w:val="00C26726"/>
    <w:rsid w:val="00C30A7F"/>
    <w:rsid w:val="00C317F3"/>
    <w:rsid w:val="00C3211D"/>
    <w:rsid w:val="00C3257D"/>
    <w:rsid w:val="00C327CB"/>
    <w:rsid w:val="00C32966"/>
    <w:rsid w:val="00C34C53"/>
    <w:rsid w:val="00C35156"/>
    <w:rsid w:val="00C3527C"/>
    <w:rsid w:val="00C35890"/>
    <w:rsid w:val="00C3589E"/>
    <w:rsid w:val="00C36494"/>
    <w:rsid w:val="00C42680"/>
    <w:rsid w:val="00C43284"/>
    <w:rsid w:val="00C433D1"/>
    <w:rsid w:val="00C442A2"/>
    <w:rsid w:val="00C45ABC"/>
    <w:rsid w:val="00C45B02"/>
    <w:rsid w:val="00C45E5E"/>
    <w:rsid w:val="00C463C2"/>
    <w:rsid w:val="00C515B6"/>
    <w:rsid w:val="00C521F7"/>
    <w:rsid w:val="00C523C4"/>
    <w:rsid w:val="00C52741"/>
    <w:rsid w:val="00C540B2"/>
    <w:rsid w:val="00C5523A"/>
    <w:rsid w:val="00C557AD"/>
    <w:rsid w:val="00C566B0"/>
    <w:rsid w:val="00C56BBD"/>
    <w:rsid w:val="00C57572"/>
    <w:rsid w:val="00C6133E"/>
    <w:rsid w:val="00C63B48"/>
    <w:rsid w:val="00C63CEB"/>
    <w:rsid w:val="00C65A25"/>
    <w:rsid w:val="00C661F8"/>
    <w:rsid w:val="00C663BE"/>
    <w:rsid w:val="00C665AF"/>
    <w:rsid w:val="00C712D4"/>
    <w:rsid w:val="00C73FC4"/>
    <w:rsid w:val="00C74905"/>
    <w:rsid w:val="00C7585F"/>
    <w:rsid w:val="00C75BFD"/>
    <w:rsid w:val="00C760A8"/>
    <w:rsid w:val="00C7614D"/>
    <w:rsid w:val="00C766E5"/>
    <w:rsid w:val="00C80246"/>
    <w:rsid w:val="00C80259"/>
    <w:rsid w:val="00C81B89"/>
    <w:rsid w:val="00C83299"/>
    <w:rsid w:val="00C83C63"/>
    <w:rsid w:val="00C84357"/>
    <w:rsid w:val="00C84EF6"/>
    <w:rsid w:val="00C85384"/>
    <w:rsid w:val="00C8690F"/>
    <w:rsid w:val="00C871ED"/>
    <w:rsid w:val="00C9016E"/>
    <w:rsid w:val="00C91B7E"/>
    <w:rsid w:val="00C931DF"/>
    <w:rsid w:val="00C9549E"/>
    <w:rsid w:val="00C9589E"/>
    <w:rsid w:val="00CA0ACC"/>
    <w:rsid w:val="00CA4AF8"/>
    <w:rsid w:val="00CA504C"/>
    <w:rsid w:val="00CA54DD"/>
    <w:rsid w:val="00CA5904"/>
    <w:rsid w:val="00CA6397"/>
    <w:rsid w:val="00CA6F68"/>
    <w:rsid w:val="00CA7B96"/>
    <w:rsid w:val="00CB078E"/>
    <w:rsid w:val="00CB158F"/>
    <w:rsid w:val="00CB1CA8"/>
    <w:rsid w:val="00CB29F1"/>
    <w:rsid w:val="00CB363B"/>
    <w:rsid w:val="00CB3B77"/>
    <w:rsid w:val="00CB57CC"/>
    <w:rsid w:val="00CB5B02"/>
    <w:rsid w:val="00CB5F7F"/>
    <w:rsid w:val="00CB64E4"/>
    <w:rsid w:val="00CB6630"/>
    <w:rsid w:val="00CB6945"/>
    <w:rsid w:val="00CB72A1"/>
    <w:rsid w:val="00CB7610"/>
    <w:rsid w:val="00CB7C99"/>
    <w:rsid w:val="00CB7D3B"/>
    <w:rsid w:val="00CC077A"/>
    <w:rsid w:val="00CC1AE2"/>
    <w:rsid w:val="00CC1BE4"/>
    <w:rsid w:val="00CC4FCB"/>
    <w:rsid w:val="00CC627C"/>
    <w:rsid w:val="00CC6D4E"/>
    <w:rsid w:val="00CC7D20"/>
    <w:rsid w:val="00CD10E5"/>
    <w:rsid w:val="00CD18A1"/>
    <w:rsid w:val="00CD1B90"/>
    <w:rsid w:val="00CD27BE"/>
    <w:rsid w:val="00CD30C7"/>
    <w:rsid w:val="00CD3978"/>
    <w:rsid w:val="00CD3EC6"/>
    <w:rsid w:val="00CD3ED1"/>
    <w:rsid w:val="00CD4AB0"/>
    <w:rsid w:val="00CD4BFE"/>
    <w:rsid w:val="00CD6BEA"/>
    <w:rsid w:val="00CD6DD7"/>
    <w:rsid w:val="00CD7211"/>
    <w:rsid w:val="00CE020F"/>
    <w:rsid w:val="00CE0D22"/>
    <w:rsid w:val="00CE2A33"/>
    <w:rsid w:val="00CE3A18"/>
    <w:rsid w:val="00CE3DA3"/>
    <w:rsid w:val="00CE3F59"/>
    <w:rsid w:val="00CE444A"/>
    <w:rsid w:val="00CE523D"/>
    <w:rsid w:val="00CE63DA"/>
    <w:rsid w:val="00CE6844"/>
    <w:rsid w:val="00CE6E62"/>
    <w:rsid w:val="00CE794B"/>
    <w:rsid w:val="00CF0171"/>
    <w:rsid w:val="00CF2483"/>
    <w:rsid w:val="00CF2A88"/>
    <w:rsid w:val="00CF3367"/>
    <w:rsid w:val="00CF4F68"/>
    <w:rsid w:val="00CF5353"/>
    <w:rsid w:val="00CF53BC"/>
    <w:rsid w:val="00CF5E10"/>
    <w:rsid w:val="00D00591"/>
    <w:rsid w:val="00D00E4D"/>
    <w:rsid w:val="00D022D6"/>
    <w:rsid w:val="00D03128"/>
    <w:rsid w:val="00D037F4"/>
    <w:rsid w:val="00D038CA"/>
    <w:rsid w:val="00D03996"/>
    <w:rsid w:val="00D04013"/>
    <w:rsid w:val="00D0441E"/>
    <w:rsid w:val="00D0474A"/>
    <w:rsid w:val="00D052E3"/>
    <w:rsid w:val="00D05339"/>
    <w:rsid w:val="00D07305"/>
    <w:rsid w:val="00D11EFC"/>
    <w:rsid w:val="00D1273B"/>
    <w:rsid w:val="00D1362C"/>
    <w:rsid w:val="00D14E2E"/>
    <w:rsid w:val="00D1599C"/>
    <w:rsid w:val="00D218D7"/>
    <w:rsid w:val="00D2193E"/>
    <w:rsid w:val="00D21CB9"/>
    <w:rsid w:val="00D21D21"/>
    <w:rsid w:val="00D222A8"/>
    <w:rsid w:val="00D22B58"/>
    <w:rsid w:val="00D2322E"/>
    <w:rsid w:val="00D24B15"/>
    <w:rsid w:val="00D24DBB"/>
    <w:rsid w:val="00D25CCD"/>
    <w:rsid w:val="00D264CF"/>
    <w:rsid w:val="00D278AB"/>
    <w:rsid w:val="00D27D8A"/>
    <w:rsid w:val="00D30D9E"/>
    <w:rsid w:val="00D3176D"/>
    <w:rsid w:val="00D3340D"/>
    <w:rsid w:val="00D3445B"/>
    <w:rsid w:val="00D34C41"/>
    <w:rsid w:val="00D34D8F"/>
    <w:rsid w:val="00D36244"/>
    <w:rsid w:val="00D365BB"/>
    <w:rsid w:val="00D40B24"/>
    <w:rsid w:val="00D4132A"/>
    <w:rsid w:val="00D41375"/>
    <w:rsid w:val="00D42E7B"/>
    <w:rsid w:val="00D46EDD"/>
    <w:rsid w:val="00D472B8"/>
    <w:rsid w:val="00D474EF"/>
    <w:rsid w:val="00D47730"/>
    <w:rsid w:val="00D50BB3"/>
    <w:rsid w:val="00D51AFC"/>
    <w:rsid w:val="00D51B8D"/>
    <w:rsid w:val="00D5290C"/>
    <w:rsid w:val="00D529C5"/>
    <w:rsid w:val="00D53832"/>
    <w:rsid w:val="00D53AF1"/>
    <w:rsid w:val="00D54DF3"/>
    <w:rsid w:val="00D56910"/>
    <w:rsid w:val="00D61023"/>
    <w:rsid w:val="00D61581"/>
    <w:rsid w:val="00D61BB0"/>
    <w:rsid w:val="00D6212C"/>
    <w:rsid w:val="00D62657"/>
    <w:rsid w:val="00D639C2"/>
    <w:rsid w:val="00D63DC2"/>
    <w:rsid w:val="00D64345"/>
    <w:rsid w:val="00D64F48"/>
    <w:rsid w:val="00D66E25"/>
    <w:rsid w:val="00D66E74"/>
    <w:rsid w:val="00D67EAE"/>
    <w:rsid w:val="00D72A80"/>
    <w:rsid w:val="00D73D67"/>
    <w:rsid w:val="00D744C3"/>
    <w:rsid w:val="00D76669"/>
    <w:rsid w:val="00D77981"/>
    <w:rsid w:val="00D779D4"/>
    <w:rsid w:val="00D77B47"/>
    <w:rsid w:val="00D77E02"/>
    <w:rsid w:val="00D808AA"/>
    <w:rsid w:val="00D82C98"/>
    <w:rsid w:val="00D8357C"/>
    <w:rsid w:val="00D8392C"/>
    <w:rsid w:val="00D83958"/>
    <w:rsid w:val="00D84F70"/>
    <w:rsid w:val="00D8548E"/>
    <w:rsid w:val="00D859E4"/>
    <w:rsid w:val="00D85C19"/>
    <w:rsid w:val="00D93656"/>
    <w:rsid w:val="00D94099"/>
    <w:rsid w:val="00D9470D"/>
    <w:rsid w:val="00D9482F"/>
    <w:rsid w:val="00D94DD6"/>
    <w:rsid w:val="00D94E24"/>
    <w:rsid w:val="00D960A9"/>
    <w:rsid w:val="00D96B15"/>
    <w:rsid w:val="00D97604"/>
    <w:rsid w:val="00DA0BD5"/>
    <w:rsid w:val="00DA0EDC"/>
    <w:rsid w:val="00DA1DE5"/>
    <w:rsid w:val="00DA25A5"/>
    <w:rsid w:val="00DA338F"/>
    <w:rsid w:val="00DA36EA"/>
    <w:rsid w:val="00DA3C3A"/>
    <w:rsid w:val="00DA46EE"/>
    <w:rsid w:val="00DA50E9"/>
    <w:rsid w:val="00DA65E3"/>
    <w:rsid w:val="00DA686F"/>
    <w:rsid w:val="00DA6FA6"/>
    <w:rsid w:val="00DA7398"/>
    <w:rsid w:val="00DA7C99"/>
    <w:rsid w:val="00DB1199"/>
    <w:rsid w:val="00DB1912"/>
    <w:rsid w:val="00DB20DE"/>
    <w:rsid w:val="00DB2DB1"/>
    <w:rsid w:val="00DB3B3B"/>
    <w:rsid w:val="00DB5E8F"/>
    <w:rsid w:val="00DB69B6"/>
    <w:rsid w:val="00DB6BEF"/>
    <w:rsid w:val="00DC0F04"/>
    <w:rsid w:val="00DC1704"/>
    <w:rsid w:val="00DC42EB"/>
    <w:rsid w:val="00DC4541"/>
    <w:rsid w:val="00DC458B"/>
    <w:rsid w:val="00DC4CA6"/>
    <w:rsid w:val="00DD00E7"/>
    <w:rsid w:val="00DD0529"/>
    <w:rsid w:val="00DD2224"/>
    <w:rsid w:val="00DD25DA"/>
    <w:rsid w:val="00DD3211"/>
    <w:rsid w:val="00DD3E02"/>
    <w:rsid w:val="00DD3E64"/>
    <w:rsid w:val="00DD3E73"/>
    <w:rsid w:val="00DD3EEF"/>
    <w:rsid w:val="00DD5126"/>
    <w:rsid w:val="00DD6139"/>
    <w:rsid w:val="00DE0750"/>
    <w:rsid w:val="00DE0F20"/>
    <w:rsid w:val="00DE24B6"/>
    <w:rsid w:val="00DE2F70"/>
    <w:rsid w:val="00DE4D0F"/>
    <w:rsid w:val="00DE65E5"/>
    <w:rsid w:val="00DF0AEC"/>
    <w:rsid w:val="00DF148C"/>
    <w:rsid w:val="00DF1ABF"/>
    <w:rsid w:val="00DF3949"/>
    <w:rsid w:val="00DF44F5"/>
    <w:rsid w:val="00DF4593"/>
    <w:rsid w:val="00DF4A85"/>
    <w:rsid w:val="00DF5783"/>
    <w:rsid w:val="00DF660E"/>
    <w:rsid w:val="00DF7128"/>
    <w:rsid w:val="00E00EEC"/>
    <w:rsid w:val="00E01595"/>
    <w:rsid w:val="00E02FD1"/>
    <w:rsid w:val="00E052AE"/>
    <w:rsid w:val="00E05E83"/>
    <w:rsid w:val="00E0695F"/>
    <w:rsid w:val="00E10A09"/>
    <w:rsid w:val="00E12531"/>
    <w:rsid w:val="00E13649"/>
    <w:rsid w:val="00E14D35"/>
    <w:rsid w:val="00E154B6"/>
    <w:rsid w:val="00E217C2"/>
    <w:rsid w:val="00E21EAD"/>
    <w:rsid w:val="00E23CF4"/>
    <w:rsid w:val="00E24062"/>
    <w:rsid w:val="00E25754"/>
    <w:rsid w:val="00E26EEE"/>
    <w:rsid w:val="00E27578"/>
    <w:rsid w:val="00E3263D"/>
    <w:rsid w:val="00E34295"/>
    <w:rsid w:val="00E343D9"/>
    <w:rsid w:val="00E35F27"/>
    <w:rsid w:val="00E3647F"/>
    <w:rsid w:val="00E37720"/>
    <w:rsid w:val="00E403C4"/>
    <w:rsid w:val="00E40E78"/>
    <w:rsid w:val="00E419AD"/>
    <w:rsid w:val="00E41DF1"/>
    <w:rsid w:val="00E43162"/>
    <w:rsid w:val="00E43DC4"/>
    <w:rsid w:val="00E44C16"/>
    <w:rsid w:val="00E45F5F"/>
    <w:rsid w:val="00E47249"/>
    <w:rsid w:val="00E47C73"/>
    <w:rsid w:val="00E50974"/>
    <w:rsid w:val="00E51492"/>
    <w:rsid w:val="00E543BF"/>
    <w:rsid w:val="00E54760"/>
    <w:rsid w:val="00E5530D"/>
    <w:rsid w:val="00E559A9"/>
    <w:rsid w:val="00E60AB4"/>
    <w:rsid w:val="00E60F5E"/>
    <w:rsid w:val="00E655C7"/>
    <w:rsid w:val="00E65DE7"/>
    <w:rsid w:val="00E65EBA"/>
    <w:rsid w:val="00E663BC"/>
    <w:rsid w:val="00E666C4"/>
    <w:rsid w:val="00E67DFA"/>
    <w:rsid w:val="00E70E49"/>
    <w:rsid w:val="00E739CE"/>
    <w:rsid w:val="00E77FC8"/>
    <w:rsid w:val="00E82CC2"/>
    <w:rsid w:val="00E832C2"/>
    <w:rsid w:val="00E84A1C"/>
    <w:rsid w:val="00E850D1"/>
    <w:rsid w:val="00E8534E"/>
    <w:rsid w:val="00E85CB4"/>
    <w:rsid w:val="00E86E85"/>
    <w:rsid w:val="00E872C9"/>
    <w:rsid w:val="00E90359"/>
    <w:rsid w:val="00E90825"/>
    <w:rsid w:val="00E90B85"/>
    <w:rsid w:val="00E90E37"/>
    <w:rsid w:val="00E92B37"/>
    <w:rsid w:val="00E9475C"/>
    <w:rsid w:val="00E961CB"/>
    <w:rsid w:val="00E96513"/>
    <w:rsid w:val="00EA1693"/>
    <w:rsid w:val="00EA1EA1"/>
    <w:rsid w:val="00EA26B4"/>
    <w:rsid w:val="00EA2B7D"/>
    <w:rsid w:val="00EA2E63"/>
    <w:rsid w:val="00EA2FF2"/>
    <w:rsid w:val="00EA3064"/>
    <w:rsid w:val="00EA30E4"/>
    <w:rsid w:val="00EA4571"/>
    <w:rsid w:val="00EA48FA"/>
    <w:rsid w:val="00EA6038"/>
    <w:rsid w:val="00EA7AA8"/>
    <w:rsid w:val="00EB102A"/>
    <w:rsid w:val="00EB19C6"/>
    <w:rsid w:val="00EB2117"/>
    <w:rsid w:val="00EB3CC5"/>
    <w:rsid w:val="00EB441A"/>
    <w:rsid w:val="00EB4CAE"/>
    <w:rsid w:val="00EB56AA"/>
    <w:rsid w:val="00EB60E8"/>
    <w:rsid w:val="00EB7CD1"/>
    <w:rsid w:val="00EC00F3"/>
    <w:rsid w:val="00EC0B91"/>
    <w:rsid w:val="00EC1AE5"/>
    <w:rsid w:val="00EC4C32"/>
    <w:rsid w:val="00EC6871"/>
    <w:rsid w:val="00EC7E96"/>
    <w:rsid w:val="00ED125E"/>
    <w:rsid w:val="00ED16F4"/>
    <w:rsid w:val="00ED3A98"/>
    <w:rsid w:val="00ED4AF0"/>
    <w:rsid w:val="00ED59C7"/>
    <w:rsid w:val="00EE0D2A"/>
    <w:rsid w:val="00EE1624"/>
    <w:rsid w:val="00EE1DE8"/>
    <w:rsid w:val="00EE25A1"/>
    <w:rsid w:val="00EE3A04"/>
    <w:rsid w:val="00EE5D2B"/>
    <w:rsid w:val="00EF0EB4"/>
    <w:rsid w:val="00EF11F5"/>
    <w:rsid w:val="00EF1A4A"/>
    <w:rsid w:val="00EF1B52"/>
    <w:rsid w:val="00EF20DF"/>
    <w:rsid w:val="00EF30A8"/>
    <w:rsid w:val="00EF30BB"/>
    <w:rsid w:val="00EF3192"/>
    <w:rsid w:val="00EF385C"/>
    <w:rsid w:val="00EF3B54"/>
    <w:rsid w:val="00EF4111"/>
    <w:rsid w:val="00EF41A2"/>
    <w:rsid w:val="00EF4CA2"/>
    <w:rsid w:val="00EF4EE7"/>
    <w:rsid w:val="00EF518B"/>
    <w:rsid w:val="00EF54CF"/>
    <w:rsid w:val="00EF576F"/>
    <w:rsid w:val="00EF6548"/>
    <w:rsid w:val="00EF6A43"/>
    <w:rsid w:val="00EF6B45"/>
    <w:rsid w:val="00EF6F13"/>
    <w:rsid w:val="00F00CC4"/>
    <w:rsid w:val="00F012EE"/>
    <w:rsid w:val="00F0182D"/>
    <w:rsid w:val="00F0203E"/>
    <w:rsid w:val="00F029CF"/>
    <w:rsid w:val="00F04749"/>
    <w:rsid w:val="00F04905"/>
    <w:rsid w:val="00F0503C"/>
    <w:rsid w:val="00F05189"/>
    <w:rsid w:val="00F054F2"/>
    <w:rsid w:val="00F077B0"/>
    <w:rsid w:val="00F07A4F"/>
    <w:rsid w:val="00F07E32"/>
    <w:rsid w:val="00F07E38"/>
    <w:rsid w:val="00F110CE"/>
    <w:rsid w:val="00F122C7"/>
    <w:rsid w:val="00F126DC"/>
    <w:rsid w:val="00F1446D"/>
    <w:rsid w:val="00F14C54"/>
    <w:rsid w:val="00F14F04"/>
    <w:rsid w:val="00F1532B"/>
    <w:rsid w:val="00F15706"/>
    <w:rsid w:val="00F20160"/>
    <w:rsid w:val="00F22C2C"/>
    <w:rsid w:val="00F22C7D"/>
    <w:rsid w:val="00F232ED"/>
    <w:rsid w:val="00F24040"/>
    <w:rsid w:val="00F242D4"/>
    <w:rsid w:val="00F24DE7"/>
    <w:rsid w:val="00F25CEB"/>
    <w:rsid w:val="00F27F65"/>
    <w:rsid w:val="00F30E8A"/>
    <w:rsid w:val="00F31BC2"/>
    <w:rsid w:val="00F322A2"/>
    <w:rsid w:val="00F335AE"/>
    <w:rsid w:val="00F349DF"/>
    <w:rsid w:val="00F3597A"/>
    <w:rsid w:val="00F35B3C"/>
    <w:rsid w:val="00F40968"/>
    <w:rsid w:val="00F42115"/>
    <w:rsid w:val="00F42851"/>
    <w:rsid w:val="00F43705"/>
    <w:rsid w:val="00F4505B"/>
    <w:rsid w:val="00F454B7"/>
    <w:rsid w:val="00F45F14"/>
    <w:rsid w:val="00F46B27"/>
    <w:rsid w:val="00F47360"/>
    <w:rsid w:val="00F5028E"/>
    <w:rsid w:val="00F50658"/>
    <w:rsid w:val="00F50C66"/>
    <w:rsid w:val="00F5118F"/>
    <w:rsid w:val="00F51437"/>
    <w:rsid w:val="00F51D42"/>
    <w:rsid w:val="00F5276D"/>
    <w:rsid w:val="00F53A58"/>
    <w:rsid w:val="00F54D2B"/>
    <w:rsid w:val="00F55CC3"/>
    <w:rsid w:val="00F560FC"/>
    <w:rsid w:val="00F57269"/>
    <w:rsid w:val="00F57750"/>
    <w:rsid w:val="00F57B99"/>
    <w:rsid w:val="00F60FD4"/>
    <w:rsid w:val="00F611FE"/>
    <w:rsid w:val="00F61780"/>
    <w:rsid w:val="00F62A39"/>
    <w:rsid w:val="00F64409"/>
    <w:rsid w:val="00F64FE9"/>
    <w:rsid w:val="00F659BD"/>
    <w:rsid w:val="00F65ADB"/>
    <w:rsid w:val="00F66C03"/>
    <w:rsid w:val="00F67714"/>
    <w:rsid w:val="00F71FD8"/>
    <w:rsid w:val="00F7287D"/>
    <w:rsid w:val="00F74482"/>
    <w:rsid w:val="00F74827"/>
    <w:rsid w:val="00F74CD9"/>
    <w:rsid w:val="00F76700"/>
    <w:rsid w:val="00F77C52"/>
    <w:rsid w:val="00F80470"/>
    <w:rsid w:val="00F80BA4"/>
    <w:rsid w:val="00F810BF"/>
    <w:rsid w:val="00F84333"/>
    <w:rsid w:val="00F84AE3"/>
    <w:rsid w:val="00F84F73"/>
    <w:rsid w:val="00F85207"/>
    <w:rsid w:val="00F864F8"/>
    <w:rsid w:val="00F87269"/>
    <w:rsid w:val="00F90D89"/>
    <w:rsid w:val="00F917A6"/>
    <w:rsid w:val="00F9220F"/>
    <w:rsid w:val="00F94CA1"/>
    <w:rsid w:val="00F975FD"/>
    <w:rsid w:val="00FA2D75"/>
    <w:rsid w:val="00FA395E"/>
    <w:rsid w:val="00FA530A"/>
    <w:rsid w:val="00FA5CB0"/>
    <w:rsid w:val="00FA64ED"/>
    <w:rsid w:val="00FA6E59"/>
    <w:rsid w:val="00FB1CB1"/>
    <w:rsid w:val="00FB2F93"/>
    <w:rsid w:val="00FB4317"/>
    <w:rsid w:val="00FB537E"/>
    <w:rsid w:val="00FC0396"/>
    <w:rsid w:val="00FC0459"/>
    <w:rsid w:val="00FC0EC1"/>
    <w:rsid w:val="00FC148D"/>
    <w:rsid w:val="00FC23B0"/>
    <w:rsid w:val="00FC2B2C"/>
    <w:rsid w:val="00FC2FCC"/>
    <w:rsid w:val="00FC3716"/>
    <w:rsid w:val="00FC39DF"/>
    <w:rsid w:val="00FC5106"/>
    <w:rsid w:val="00FC536D"/>
    <w:rsid w:val="00FC75BD"/>
    <w:rsid w:val="00FC75CE"/>
    <w:rsid w:val="00FD04DB"/>
    <w:rsid w:val="00FD1E18"/>
    <w:rsid w:val="00FD310B"/>
    <w:rsid w:val="00FD3643"/>
    <w:rsid w:val="00FD3C2F"/>
    <w:rsid w:val="00FD53E7"/>
    <w:rsid w:val="00FD609E"/>
    <w:rsid w:val="00FD70A6"/>
    <w:rsid w:val="00FE07B0"/>
    <w:rsid w:val="00FE12D5"/>
    <w:rsid w:val="00FE1709"/>
    <w:rsid w:val="00FE3417"/>
    <w:rsid w:val="00FE34EA"/>
    <w:rsid w:val="00FE3696"/>
    <w:rsid w:val="00FE401B"/>
    <w:rsid w:val="00FE6F0C"/>
    <w:rsid w:val="00FF0002"/>
    <w:rsid w:val="00FF2E2B"/>
    <w:rsid w:val="00FF3B77"/>
    <w:rsid w:val="00FF5ADC"/>
    <w:rsid w:val="01366AFB"/>
    <w:rsid w:val="015915DD"/>
    <w:rsid w:val="01D605AC"/>
    <w:rsid w:val="01EF67F6"/>
    <w:rsid w:val="02193DDA"/>
    <w:rsid w:val="02B00632"/>
    <w:rsid w:val="02DA0A9C"/>
    <w:rsid w:val="04BE13AB"/>
    <w:rsid w:val="04FA3D24"/>
    <w:rsid w:val="053059D9"/>
    <w:rsid w:val="05721B18"/>
    <w:rsid w:val="059B0825"/>
    <w:rsid w:val="06BE7D6B"/>
    <w:rsid w:val="06D87CE5"/>
    <w:rsid w:val="06DF523E"/>
    <w:rsid w:val="06E23D07"/>
    <w:rsid w:val="06FE060E"/>
    <w:rsid w:val="07100479"/>
    <w:rsid w:val="07476BA3"/>
    <w:rsid w:val="077E2C11"/>
    <w:rsid w:val="07A645E0"/>
    <w:rsid w:val="083427B3"/>
    <w:rsid w:val="086241D4"/>
    <w:rsid w:val="09F7754D"/>
    <w:rsid w:val="0C032B42"/>
    <w:rsid w:val="0C7532F3"/>
    <w:rsid w:val="0C980E30"/>
    <w:rsid w:val="0D92027A"/>
    <w:rsid w:val="0DCF5BF2"/>
    <w:rsid w:val="0E265D8F"/>
    <w:rsid w:val="0EC15935"/>
    <w:rsid w:val="0F366615"/>
    <w:rsid w:val="0F4902DA"/>
    <w:rsid w:val="0FB90000"/>
    <w:rsid w:val="0FE66788"/>
    <w:rsid w:val="10622251"/>
    <w:rsid w:val="106B407E"/>
    <w:rsid w:val="10DB4AE0"/>
    <w:rsid w:val="11FF1674"/>
    <w:rsid w:val="12255035"/>
    <w:rsid w:val="12F915E2"/>
    <w:rsid w:val="132D3DE3"/>
    <w:rsid w:val="14A27BA7"/>
    <w:rsid w:val="14D71860"/>
    <w:rsid w:val="15082A72"/>
    <w:rsid w:val="15C02983"/>
    <w:rsid w:val="183138A6"/>
    <w:rsid w:val="19932D8F"/>
    <w:rsid w:val="1A1E1442"/>
    <w:rsid w:val="1A996274"/>
    <w:rsid w:val="1ABA0F5F"/>
    <w:rsid w:val="1AC72065"/>
    <w:rsid w:val="1AD0673E"/>
    <w:rsid w:val="1B83111B"/>
    <w:rsid w:val="1BBE49E4"/>
    <w:rsid w:val="1BE910E6"/>
    <w:rsid w:val="1C8D480D"/>
    <w:rsid w:val="1D380119"/>
    <w:rsid w:val="1E1A2EA2"/>
    <w:rsid w:val="1ECE3C5B"/>
    <w:rsid w:val="1F864DBC"/>
    <w:rsid w:val="1FB1603B"/>
    <w:rsid w:val="1FC35BB1"/>
    <w:rsid w:val="220C1F9B"/>
    <w:rsid w:val="221A1A94"/>
    <w:rsid w:val="22A85602"/>
    <w:rsid w:val="242626AF"/>
    <w:rsid w:val="25316FE1"/>
    <w:rsid w:val="258D1632"/>
    <w:rsid w:val="261E7947"/>
    <w:rsid w:val="275938E0"/>
    <w:rsid w:val="27C24320"/>
    <w:rsid w:val="27DD3AD7"/>
    <w:rsid w:val="27ED1A56"/>
    <w:rsid w:val="28674D21"/>
    <w:rsid w:val="28D77118"/>
    <w:rsid w:val="28ED5C2C"/>
    <w:rsid w:val="2A3B1917"/>
    <w:rsid w:val="2A486680"/>
    <w:rsid w:val="2B591742"/>
    <w:rsid w:val="2B6527B6"/>
    <w:rsid w:val="2B8D03F2"/>
    <w:rsid w:val="2C463E5D"/>
    <w:rsid w:val="2C9F6BC2"/>
    <w:rsid w:val="2CD56228"/>
    <w:rsid w:val="2E204938"/>
    <w:rsid w:val="2E95299E"/>
    <w:rsid w:val="2EF94773"/>
    <w:rsid w:val="2F7D3337"/>
    <w:rsid w:val="2FB55FF4"/>
    <w:rsid w:val="307F552E"/>
    <w:rsid w:val="30B26B7C"/>
    <w:rsid w:val="3187022E"/>
    <w:rsid w:val="31E6034D"/>
    <w:rsid w:val="32751498"/>
    <w:rsid w:val="327873B9"/>
    <w:rsid w:val="3315692B"/>
    <w:rsid w:val="34A1463A"/>
    <w:rsid w:val="34BB0BEE"/>
    <w:rsid w:val="34BC65DA"/>
    <w:rsid w:val="36B83C97"/>
    <w:rsid w:val="36CC759F"/>
    <w:rsid w:val="36DC3121"/>
    <w:rsid w:val="37A91735"/>
    <w:rsid w:val="38091233"/>
    <w:rsid w:val="389563C5"/>
    <w:rsid w:val="38E86C91"/>
    <w:rsid w:val="398402B5"/>
    <w:rsid w:val="3A8B31AD"/>
    <w:rsid w:val="3AD12344"/>
    <w:rsid w:val="3ADB42D7"/>
    <w:rsid w:val="3C9E70F4"/>
    <w:rsid w:val="3CAB147C"/>
    <w:rsid w:val="3DF10941"/>
    <w:rsid w:val="3E1E4608"/>
    <w:rsid w:val="3F337941"/>
    <w:rsid w:val="3F710D9B"/>
    <w:rsid w:val="3F7159B0"/>
    <w:rsid w:val="41802EEA"/>
    <w:rsid w:val="41D91BC5"/>
    <w:rsid w:val="42512391"/>
    <w:rsid w:val="433B350B"/>
    <w:rsid w:val="44012F47"/>
    <w:rsid w:val="44167607"/>
    <w:rsid w:val="443D5CFA"/>
    <w:rsid w:val="44470BFC"/>
    <w:rsid w:val="4453760F"/>
    <w:rsid w:val="450820BE"/>
    <w:rsid w:val="454D111A"/>
    <w:rsid w:val="45FC52B5"/>
    <w:rsid w:val="46762CF2"/>
    <w:rsid w:val="467F5189"/>
    <w:rsid w:val="46E971A9"/>
    <w:rsid w:val="482F4A8A"/>
    <w:rsid w:val="489B1BC7"/>
    <w:rsid w:val="49336019"/>
    <w:rsid w:val="4A117601"/>
    <w:rsid w:val="4AF0038E"/>
    <w:rsid w:val="4AFF5368"/>
    <w:rsid w:val="4BE60CC7"/>
    <w:rsid w:val="4CD15CC3"/>
    <w:rsid w:val="4CD61771"/>
    <w:rsid w:val="4D056B9E"/>
    <w:rsid w:val="4DC56495"/>
    <w:rsid w:val="4F1C01AE"/>
    <w:rsid w:val="4FC67813"/>
    <w:rsid w:val="50F45C03"/>
    <w:rsid w:val="522F6C6F"/>
    <w:rsid w:val="52CD5D40"/>
    <w:rsid w:val="52E160D0"/>
    <w:rsid w:val="53097016"/>
    <w:rsid w:val="53E868E7"/>
    <w:rsid w:val="548452C3"/>
    <w:rsid w:val="550A0078"/>
    <w:rsid w:val="55F03089"/>
    <w:rsid w:val="56951462"/>
    <w:rsid w:val="575A6085"/>
    <w:rsid w:val="586B3503"/>
    <w:rsid w:val="58D309D3"/>
    <w:rsid w:val="58DF0DE8"/>
    <w:rsid w:val="59D8067A"/>
    <w:rsid w:val="5A9772BC"/>
    <w:rsid w:val="5AD616F4"/>
    <w:rsid w:val="5B516AC2"/>
    <w:rsid w:val="5B9A3B44"/>
    <w:rsid w:val="5BCD1744"/>
    <w:rsid w:val="5C462CF0"/>
    <w:rsid w:val="5C547D91"/>
    <w:rsid w:val="5CE05BEC"/>
    <w:rsid w:val="5DC42264"/>
    <w:rsid w:val="5E2662D9"/>
    <w:rsid w:val="5E673387"/>
    <w:rsid w:val="606A2191"/>
    <w:rsid w:val="607825E8"/>
    <w:rsid w:val="61A86CFB"/>
    <w:rsid w:val="62EE7720"/>
    <w:rsid w:val="631D5A40"/>
    <w:rsid w:val="63282BDA"/>
    <w:rsid w:val="633456FB"/>
    <w:rsid w:val="638B791F"/>
    <w:rsid w:val="638E0F98"/>
    <w:rsid w:val="64D82D34"/>
    <w:rsid w:val="64DB7EB7"/>
    <w:rsid w:val="65C24F79"/>
    <w:rsid w:val="663E5CD7"/>
    <w:rsid w:val="66431C9F"/>
    <w:rsid w:val="66714991"/>
    <w:rsid w:val="66F76798"/>
    <w:rsid w:val="670E3392"/>
    <w:rsid w:val="6876400A"/>
    <w:rsid w:val="68772DC7"/>
    <w:rsid w:val="68962687"/>
    <w:rsid w:val="68AB4EC5"/>
    <w:rsid w:val="68F87AFA"/>
    <w:rsid w:val="69314ADA"/>
    <w:rsid w:val="69644876"/>
    <w:rsid w:val="6A3E5C4F"/>
    <w:rsid w:val="6A74171B"/>
    <w:rsid w:val="6B796915"/>
    <w:rsid w:val="6C0062F6"/>
    <w:rsid w:val="6C614C55"/>
    <w:rsid w:val="6C8B5019"/>
    <w:rsid w:val="70351DDD"/>
    <w:rsid w:val="70885554"/>
    <w:rsid w:val="713B7678"/>
    <w:rsid w:val="713D4691"/>
    <w:rsid w:val="714227DD"/>
    <w:rsid w:val="71D1015F"/>
    <w:rsid w:val="71E517AC"/>
    <w:rsid w:val="720E02ED"/>
    <w:rsid w:val="723C0FC8"/>
    <w:rsid w:val="72BA76F9"/>
    <w:rsid w:val="72EA2EB0"/>
    <w:rsid w:val="7392527B"/>
    <w:rsid w:val="74325381"/>
    <w:rsid w:val="74396C97"/>
    <w:rsid w:val="74A66AFE"/>
    <w:rsid w:val="74EB5442"/>
    <w:rsid w:val="755360FB"/>
    <w:rsid w:val="75E05C23"/>
    <w:rsid w:val="76AA3AC4"/>
    <w:rsid w:val="776E751C"/>
    <w:rsid w:val="77750849"/>
    <w:rsid w:val="779F0072"/>
    <w:rsid w:val="781406F0"/>
    <w:rsid w:val="78BA1D18"/>
    <w:rsid w:val="79661094"/>
    <w:rsid w:val="79864CBC"/>
    <w:rsid w:val="799223E8"/>
    <w:rsid w:val="7B19071F"/>
    <w:rsid w:val="7C5301B0"/>
    <w:rsid w:val="7CC00685"/>
    <w:rsid w:val="7CE75C85"/>
    <w:rsid w:val="7E022CD5"/>
    <w:rsid w:val="7E1E37AA"/>
    <w:rsid w:val="7F78102E"/>
    <w:rsid w:val="7F955384"/>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99"/>
    <w:pPr>
      <w:keepNext/>
      <w:outlineLvl w:val="0"/>
    </w:pPr>
    <w:rPr>
      <w:rFonts w:ascii="楷体_GB2312" w:eastAsia="楷体_GB2312"/>
      <w:sz w:val="28"/>
      <w:szCs w:val="20"/>
    </w:rPr>
  </w:style>
  <w:style w:type="paragraph" w:styleId="4">
    <w:name w:val="heading 2"/>
    <w:basedOn w:val="1"/>
    <w:next w:val="5"/>
    <w:link w:val="44"/>
    <w:qFormat/>
    <w:uiPriority w:val="99"/>
    <w:pPr>
      <w:keepNext/>
      <w:keepLines/>
      <w:spacing w:before="260" w:after="260" w:line="416" w:lineRule="auto"/>
      <w:jc w:val="center"/>
      <w:outlineLvl w:val="1"/>
    </w:pPr>
    <w:rPr>
      <w:rFonts w:ascii="Arial" w:hAnsi="Arial" w:eastAsia="幼圆"/>
      <w:b/>
      <w:sz w:val="44"/>
      <w:szCs w:val="20"/>
    </w:rPr>
  </w:style>
  <w:style w:type="paragraph" w:styleId="6">
    <w:name w:val="heading 3"/>
    <w:basedOn w:val="1"/>
    <w:next w:val="5"/>
    <w:link w:val="45"/>
    <w:qFormat/>
    <w:uiPriority w:val="99"/>
    <w:pPr>
      <w:keepNext/>
      <w:keepLines/>
      <w:spacing w:before="260" w:after="260" w:line="416" w:lineRule="auto"/>
      <w:outlineLvl w:val="2"/>
    </w:pPr>
    <w:rPr>
      <w:b/>
      <w:sz w:val="32"/>
      <w:szCs w:val="20"/>
    </w:rPr>
  </w:style>
  <w:style w:type="paragraph" w:styleId="7">
    <w:name w:val="heading 4"/>
    <w:basedOn w:val="1"/>
    <w:next w:val="1"/>
    <w:link w:val="46"/>
    <w:qFormat/>
    <w:uiPriority w:val="99"/>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47"/>
    <w:qFormat/>
    <w:uiPriority w:val="99"/>
    <w:pPr>
      <w:keepNext/>
      <w:outlineLvl w:val="4"/>
    </w:pPr>
    <w:rPr>
      <w:rFonts w:ascii="宋体" w:hAnsi="宋体"/>
      <w:b/>
      <w:bCs/>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Normal Indent"/>
    <w:basedOn w:val="1"/>
    <w:link w:val="83"/>
    <w:qFormat/>
    <w:uiPriority w:val="99"/>
    <w:pPr>
      <w:ind w:firstLine="420"/>
    </w:pPr>
    <w:rPr>
      <w:rFonts w:ascii="Calibri" w:hAnsi="Calibri"/>
      <w:szCs w:val="20"/>
    </w:rPr>
  </w:style>
  <w:style w:type="paragraph" w:styleId="9">
    <w:name w:val="toc 7"/>
    <w:basedOn w:val="1"/>
    <w:next w:val="1"/>
    <w:semiHidden/>
    <w:qFormat/>
    <w:uiPriority w:val="99"/>
    <w:pPr>
      <w:ind w:left="2520" w:leftChars="1200"/>
    </w:pPr>
  </w:style>
  <w:style w:type="paragraph" w:styleId="10">
    <w:name w:val="Document Map"/>
    <w:basedOn w:val="1"/>
    <w:link w:val="50"/>
    <w:semiHidden/>
    <w:qFormat/>
    <w:uiPriority w:val="99"/>
    <w:pPr>
      <w:shd w:val="clear" w:color="auto" w:fill="000080"/>
    </w:pPr>
  </w:style>
  <w:style w:type="paragraph" w:styleId="11">
    <w:name w:val="annotation text"/>
    <w:basedOn w:val="1"/>
    <w:link w:val="84"/>
    <w:qFormat/>
    <w:uiPriority w:val="99"/>
    <w:pPr>
      <w:jc w:val="left"/>
    </w:pPr>
    <w:rPr>
      <w:rFonts w:ascii="Calibri" w:hAnsi="Calibri"/>
      <w:sz w:val="24"/>
      <w:szCs w:val="20"/>
    </w:rPr>
  </w:style>
  <w:style w:type="paragraph" w:styleId="12">
    <w:name w:val="Body Text 3"/>
    <w:basedOn w:val="1"/>
    <w:link w:val="51"/>
    <w:qFormat/>
    <w:uiPriority w:val="99"/>
    <w:rPr>
      <w:rFonts w:ascii="仿宋_GB2312" w:hAnsi="Arial" w:eastAsia="仿宋_GB2312"/>
      <w:sz w:val="32"/>
      <w:szCs w:val="20"/>
    </w:rPr>
  </w:style>
  <w:style w:type="paragraph" w:styleId="13">
    <w:name w:val="Body Text"/>
    <w:basedOn w:val="1"/>
    <w:link w:val="52"/>
    <w:qFormat/>
    <w:uiPriority w:val="99"/>
    <w:rPr>
      <w:rFonts w:ascii="楷体_GB2312" w:hAnsi="Arial" w:eastAsia="楷体_GB2312"/>
      <w:sz w:val="28"/>
      <w:szCs w:val="20"/>
    </w:rPr>
  </w:style>
  <w:style w:type="paragraph" w:styleId="14">
    <w:name w:val="Body Text Indent"/>
    <w:basedOn w:val="1"/>
    <w:link w:val="53"/>
    <w:qFormat/>
    <w:uiPriority w:val="99"/>
    <w:pPr>
      <w:ind w:firstLine="645"/>
    </w:pPr>
    <w:rPr>
      <w:rFonts w:ascii="楷体_GB2312" w:eastAsia="楷体_GB2312"/>
      <w:sz w:val="32"/>
      <w:szCs w:val="20"/>
    </w:rPr>
  </w:style>
  <w:style w:type="paragraph" w:styleId="15">
    <w:name w:val="toc 5"/>
    <w:basedOn w:val="1"/>
    <w:next w:val="1"/>
    <w:semiHidden/>
    <w:qFormat/>
    <w:uiPriority w:val="99"/>
    <w:pPr>
      <w:ind w:left="1680" w:leftChars="800"/>
    </w:pPr>
  </w:style>
  <w:style w:type="paragraph" w:styleId="16">
    <w:name w:val="toc 3"/>
    <w:basedOn w:val="1"/>
    <w:next w:val="1"/>
    <w:semiHidden/>
    <w:qFormat/>
    <w:uiPriority w:val="99"/>
    <w:pPr>
      <w:tabs>
        <w:tab w:val="right" w:leader="dot" w:pos="9440"/>
      </w:tabs>
      <w:spacing w:line="240" w:lineRule="exact"/>
      <w:ind w:left="539"/>
      <w:jc w:val="left"/>
    </w:pPr>
    <w:rPr>
      <w:rFonts w:ascii="黑体" w:hAnsi="宋体" w:eastAsia="黑体"/>
      <w:bCs/>
      <w:iCs/>
      <w:sz w:val="18"/>
      <w:szCs w:val="32"/>
    </w:rPr>
  </w:style>
  <w:style w:type="paragraph" w:styleId="17">
    <w:name w:val="Plain Text"/>
    <w:basedOn w:val="1"/>
    <w:link w:val="54"/>
    <w:qFormat/>
    <w:uiPriority w:val="0"/>
    <w:rPr>
      <w:rFonts w:ascii="宋体" w:hAnsi="Courier New"/>
      <w:szCs w:val="20"/>
    </w:rPr>
  </w:style>
  <w:style w:type="paragraph" w:styleId="18">
    <w:name w:val="toc 8"/>
    <w:basedOn w:val="1"/>
    <w:next w:val="1"/>
    <w:semiHidden/>
    <w:qFormat/>
    <w:uiPriority w:val="99"/>
    <w:pPr>
      <w:ind w:left="2940" w:leftChars="1400"/>
    </w:pPr>
  </w:style>
  <w:style w:type="paragraph" w:styleId="19">
    <w:name w:val="Date"/>
    <w:basedOn w:val="1"/>
    <w:next w:val="1"/>
    <w:link w:val="55"/>
    <w:qFormat/>
    <w:uiPriority w:val="0"/>
    <w:rPr>
      <w:sz w:val="24"/>
      <w:szCs w:val="20"/>
    </w:rPr>
  </w:style>
  <w:style w:type="paragraph" w:styleId="20">
    <w:name w:val="Body Text Indent 2"/>
    <w:basedOn w:val="1"/>
    <w:link w:val="56"/>
    <w:qFormat/>
    <w:uiPriority w:val="99"/>
    <w:pPr>
      <w:ind w:firstLine="560" w:firstLineChars="200"/>
    </w:pPr>
    <w:rPr>
      <w:rFonts w:ascii="宋体" w:hAnsi="宋体"/>
      <w:sz w:val="28"/>
    </w:rPr>
  </w:style>
  <w:style w:type="paragraph" w:styleId="21">
    <w:name w:val="Balloon Text"/>
    <w:basedOn w:val="1"/>
    <w:link w:val="57"/>
    <w:semiHidden/>
    <w:qFormat/>
    <w:uiPriority w:val="99"/>
    <w:rPr>
      <w:sz w:val="18"/>
      <w:szCs w:val="18"/>
    </w:rPr>
  </w:style>
  <w:style w:type="paragraph" w:styleId="22">
    <w:name w:val="footer"/>
    <w:basedOn w:val="1"/>
    <w:link w:val="96"/>
    <w:qFormat/>
    <w:uiPriority w:val="99"/>
    <w:pPr>
      <w:tabs>
        <w:tab w:val="center" w:pos="4153"/>
        <w:tab w:val="right" w:pos="8306"/>
      </w:tabs>
      <w:snapToGrid w:val="0"/>
      <w:jc w:val="left"/>
    </w:pPr>
    <w:rPr>
      <w:sz w:val="18"/>
      <w:szCs w:val="20"/>
    </w:rPr>
  </w:style>
  <w:style w:type="paragraph" w:styleId="23">
    <w:name w:val="header"/>
    <w:basedOn w:val="1"/>
    <w:link w:val="59"/>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99"/>
    <w:pPr>
      <w:tabs>
        <w:tab w:val="right" w:leader="dot" w:pos="9440"/>
      </w:tabs>
      <w:spacing w:before="120" w:after="120" w:line="300" w:lineRule="exact"/>
      <w:jc w:val="left"/>
    </w:pPr>
    <w:rPr>
      <w:rFonts w:ascii="黑体" w:eastAsia="黑体"/>
      <w:b/>
      <w:caps/>
      <w:sz w:val="18"/>
      <w:szCs w:val="28"/>
    </w:rPr>
  </w:style>
  <w:style w:type="paragraph" w:styleId="25">
    <w:name w:val="toc 4"/>
    <w:basedOn w:val="1"/>
    <w:next w:val="1"/>
    <w:semiHidden/>
    <w:qFormat/>
    <w:uiPriority w:val="99"/>
    <w:pPr>
      <w:ind w:left="1260" w:leftChars="600"/>
    </w:pPr>
  </w:style>
  <w:style w:type="paragraph" w:styleId="26">
    <w:name w:val="toc 6"/>
    <w:basedOn w:val="1"/>
    <w:next w:val="1"/>
    <w:semiHidden/>
    <w:qFormat/>
    <w:uiPriority w:val="99"/>
    <w:pPr>
      <w:ind w:left="2100" w:leftChars="1000"/>
    </w:pPr>
  </w:style>
  <w:style w:type="paragraph" w:styleId="27">
    <w:name w:val="Body Text Indent 3"/>
    <w:basedOn w:val="1"/>
    <w:link w:val="60"/>
    <w:qFormat/>
    <w:uiPriority w:val="99"/>
    <w:pPr>
      <w:ind w:firstLine="523"/>
    </w:pPr>
    <w:rPr>
      <w:rFonts w:ascii="仿宋_GB2312" w:hAnsi="宋体" w:eastAsia="仿宋_GB2312"/>
      <w:sz w:val="24"/>
    </w:rPr>
  </w:style>
  <w:style w:type="paragraph" w:styleId="28">
    <w:name w:val="toc 2"/>
    <w:basedOn w:val="1"/>
    <w:next w:val="1"/>
    <w:semiHidden/>
    <w:qFormat/>
    <w:uiPriority w:val="99"/>
    <w:pPr>
      <w:tabs>
        <w:tab w:val="right" w:leader="dot" w:pos="9440"/>
      </w:tabs>
      <w:spacing w:line="260" w:lineRule="exact"/>
      <w:jc w:val="left"/>
    </w:pPr>
    <w:rPr>
      <w:rFonts w:ascii="黑体" w:eastAsia="黑体"/>
      <w:b/>
      <w:bCs/>
      <w:smallCaps/>
      <w:sz w:val="18"/>
      <w:szCs w:val="44"/>
    </w:rPr>
  </w:style>
  <w:style w:type="paragraph" w:styleId="29">
    <w:name w:val="toc 9"/>
    <w:basedOn w:val="1"/>
    <w:next w:val="1"/>
    <w:semiHidden/>
    <w:qFormat/>
    <w:uiPriority w:val="99"/>
    <w:pPr>
      <w:ind w:left="3360" w:leftChars="1600"/>
    </w:pPr>
  </w:style>
  <w:style w:type="paragraph" w:styleId="30">
    <w:name w:val="Body Text 2"/>
    <w:basedOn w:val="1"/>
    <w:link w:val="61"/>
    <w:qFormat/>
    <w:uiPriority w:val="99"/>
    <w:pPr>
      <w:jc w:val="center"/>
    </w:pPr>
    <w:rPr>
      <w:rFonts w:ascii="仿宋_GB2312" w:eastAsia="仿宋_GB2312"/>
      <w:sz w:val="44"/>
    </w:rPr>
  </w:style>
  <w:style w:type="paragraph" w:styleId="31">
    <w:name w:val="HTML Preformatted"/>
    <w:basedOn w:val="1"/>
    <w:link w:val="9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3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3">
    <w:name w:val="index 1"/>
    <w:basedOn w:val="1"/>
    <w:next w:val="1"/>
    <w:semiHidden/>
    <w:qFormat/>
    <w:uiPriority w:val="99"/>
    <w:rPr>
      <w:rFonts w:ascii="宋体" w:hAnsi="宋体"/>
      <w:szCs w:val="18"/>
    </w:rPr>
  </w:style>
  <w:style w:type="paragraph" w:styleId="34">
    <w:name w:val="annotation subject"/>
    <w:basedOn w:val="11"/>
    <w:next w:val="11"/>
    <w:link w:val="85"/>
    <w:qFormat/>
    <w:uiPriority w:val="99"/>
    <w:rPr>
      <w:b/>
    </w:rPr>
  </w:style>
  <w:style w:type="table" w:styleId="36">
    <w:name w:val="Table Grid"/>
    <w:basedOn w:val="3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basedOn w:val="37"/>
    <w:qFormat/>
    <w:uiPriority w:val="99"/>
    <w:rPr>
      <w:rFonts w:cs="Times New Roman"/>
      <w:b/>
    </w:rPr>
  </w:style>
  <w:style w:type="character" w:styleId="39">
    <w:name w:val="page number"/>
    <w:basedOn w:val="37"/>
    <w:qFormat/>
    <w:uiPriority w:val="99"/>
    <w:rPr>
      <w:rFonts w:cs="Times New Roman"/>
    </w:rPr>
  </w:style>
  <w:style w:type="character" w:styleId="40">
    <w:name w:val="FollowedHyperlink"/>
    <w:basedOn w:val="37"/>
    <w:qFormat/>
    <w:uiPriority w:val="99"/>
    <w:rPr>
      <w:rFonts w:cs="Times New Roman"/>
      <w:color w:val="800080"/>
      <w:u w:val="single"/>
    </w:rPr>
  </w:style>
  <w:style w:type="character" w:styleId="41">
    <w:name w:val="Hyperlink"/>
    <w:basedOn w:val="37"/>
    <w:qFormat/>
    <w:uiPriority w:val="99"/>
    <w:rPr>
      <w:rFonts w:cs="Times New Roman"/>
      <w:color w:val="0000FF"/>
      <w:u w:val="single"/>
    </w:rPr>
  </w:style>
  <w:style w:type="character" w:styleId="42">
    <w:name w:val="annotation reference"/>
    <w:basedOn w:val="37"/>
    <w:qFormat/>
    <w:uiPriority w:val="99"/>
    <w:rPr>
      <w:rFonts w:cs="Times New Roman"/>
      <w:sz w:val="21"/>
    </w:rPr>
  </w:style>
  <w:style w:type="character" w:customStyle="1" w:styleId="43">
    <w:name w:val="标题 1 Char"/>
    <w:basedOn w:val="37"/>
    <w:link w:val="3"/>
    <w:qFormat/>
    <w:locked/>
    <w:uiPriority w:val="99"/>
    <w:rPr>
      <w:rFonts w:ascii="楷体_GB2312" w:eastAsia="楷体_GB2312" w:cs="Times New Roman"/>
      <w:kern w:val="2"/>
      <w:sz w:val="28"/>
      <w:lang w:val="en-US" w:eastAsia="zh-CN"/>
    </w:rPr>
  </w:style>
  <w:style w:type="character" w:customStyle="1" w:styleId="44">
    <w:name w:val="标题 2 Char1"/>
    <w:basedOn w:val="37"/>
    <w:link w:val="4"/>
    <w:qFormat/>
    <w:locked/>
    <w:uiPriority w:val="99"/>
    <w:rPr>
      <w:rFonts w:ascii="Arial" w:hAnsi="Arial" w:eastAsia="幼圆" w:cs="Times New Roman"/>
      <w:b/>
      <w:kern w:val="2"/>
      <w:sz w:val="44"/>
    </w:rPr>
  </w:style>
  <w:style w:type="character" w:customStyle="1" w:styleId="45">
    <w:name w:val="标题 3 Char"/>
    <w:basedOn w:val="37"/>
    <w:link w:val="6"/>
    <w:semiHidden/>
    <w:qFormat/>
    <w:locked/>
    <w:uiPriority w:val="99"/>
    <w:rPr>
      <w:rFonts w:cs="Times New Roman"/>
      <w:b/>
      <w:bCs/>
      <w:sz w:val="32"/>
      <w:szCs w:val="32"/>
    </w:rPr>
  </w:style>
  <w:style w:type="character" w:customStyle="1" w:styleId="46">
    <w:name w:val="标题 4 Char"/>
    <w:basedOn w:val="37"/>
    <w:link w:val="7"/>
    <w:qFormat/>
    <w:locked/>
    <w:uiPriority w:val="99"/>
    <w:rPr>
      <w:rFonts w:ascii="Arial" w:hAnsi="Arial" w:eastAsia="黑体" w:cs="Times New Roman"/>
      <w:b/>
      <w:bCs/>
      <w:kern w:val="2"/>
      <w:sz w:val="28"/>
      <w:szCs w:val="28"/>
    </w:rPr>
  </w:style>
  <w:style w:type="character" w:customStyle="1" w:styleId="47">
    <w:name w:val="标题 5 Char"/>
    <w:basedOn w:val="37"/>
    <w:link w:val="8"/>
    <w:qFormat/>
    <w:locked/>
    <w:uiPriority w:val="99"/>
    <w:rPr>
      <w:rFonts w:ascii="宋体" w:eastAsia="宋体" w:cs="Times New Roman"/>
      <w:b/>
      <w:bCs/>
      <w:kern w:val="2"/>
      <w:sz w:val="24"/>
      <w:szCs w:val="24"/>
    </w:rPr>
  </w:style>
  <w:style w:type="character" w:customStyle="1" w:styleId="48">
    <w:name w:val="Comment Text Char"/>
    <w:basedOn w:val="37"/>
    <w:link w:val="11"/>
    <w:qFormat/>
    <w:locked/>
    <w:uiPriority w:val="99"/>
    <w:rPr>
      <w:rFonts w:cs="Times New Roman"/>
      <w:kern w:val="2"/>
      <w:sz w:val="24"/>
    </w:rPr>
  </w:style>
  <w:style w:type="character" w:customStyle="1" w:styleId="49">
    <w:name w:val="Comment Subject Char"/>
    <w:basedOn w:val="48"/>
    <w:link w:val="34"/>
    <w:qFormat/>
    <w:locked/>
    <w:uiPriority w:val="99"/>
    <w:rPr>
      <w:b/>
    </w:rPr>
  </w:style>
  <w:style w:type="character" w:customStyle="1" w:styleId="50">
    <w:name w:val="文档结构图 Char"/>
    <w:basedOn w:val="37"/>
    <w:link w:val="10"/>
    <w:semiHidden/>
    <w:qFormat/>
    <w:locked/>
    <w:uiPriority w:val="99"/>
    <w:rPr>
      <w:rFonts w:cs="Times New Roman"/>
      <w:kern w:val="2"/>
      <w:sz w:val="24"/>
      <w:szCs w:val="24"/>
      <w:shd w:val="clear" w:color="auto" w:fill="000080"/>
    </w:rPr>
  </w:style>
  <w:style w:type="character" w:customStyle="1" w:styleId="51">
    <w:name w:val="正文文本 3 Char"/>
    <w:basedOn w:val="37"/>
    <w:link w:val="12"/>
    <w:qFormat/>
    <w:locked/>
    <w:uiPriority w:val="99"/>
    <w:rPr>
      <w:rFonts w:ascii="仿宋_GB2312" w:hAnsi="Arial" w:eastAsia="仿宋_GB2312" w:cs="Times New Roman"/>
      <w:kern w:val="2"/>
      <w:sz w:val="32"/>
    </w:rPr>
  </w:style>
  <w:style w:type="character" w:customStyle="1" w:styleId="52">
    <w:name w:val="正文文本 Char"/>
    <w:basedOn w:val="37"/>
    <w:link w:val="13"/>
    <w:qFormat/>
    <w:locked/>
    <w:uiPriority w:val="99"/>
    <w:rPr>
      <w:rFonts w:ascii="楷体_GB2312" w:hAnsi="Arial" w:eastAsia="楷体_GB2312" w:cs="Times New Roman"/>
      <w:kern w:val="2"/>
      <w:sz w:val="28"/>
    </w:rPr>
  </w:style>
  <w:style w:type="character" w:customStyle="1" w:styleId="53">
    <w:name w:val="正文文本缩进 Char"/>
    <w:basedOn w:val="37"/>
    <w:link w:val="14"/>
    <w:qFormat/>
    <w:locked/>
    <w:uiPriority w:val="99"/>
    <w:rPr>
      <w:rFonts w:ascii="楷体_GB2312" w:eastAsia="楷体_GB2312" w:cs="Times New Roman"/>
      <w:kern w:val="2"/>
      <w:sz w:val="32"/>
    </w:rPr>
  </w:style>
  <w:style w:type="character" w:customStyle="1" w:styleId="54">
    <w:name w:val="纯文本 Char"/>
    <w:basedOn w:val="37"/>
    <w:link w:val="17"/>
    <w:semiHidden/>
    <w:qFormat/>
    <w:locked/>
    <w:uiPriority w:val="99"/>
    <w:rPr>
      <w:rFonts w:ascii="宋体" w:hAnsi="Courier New" w:cs="Courier New"/>
      <w:sz w:val="21"/>
      <w:szCs w:val="21"/>
    </w:rPr>
  </w:style>
  <w:style w:type="character" w:customStyle="1" w:styleId="55">
    <w:name w:val="日期 Char"/>
    <w:basedOn w:val="37"/>
    <w:link w:val="19"/>
    <w:qFormat/>
    <w:locked/>
    <w:uiPriority w:val="99"/>
    <w:rPr>
      <w:rFonts w:cs="Times New Roman"/>
      <w:kern w:val="2"/>
      <w:sz w:val="24"/>
    </w:rPr>
  </w:style>
  <w:style w:type="character" w:customStyle="1" w:styleId="56">
    <w:name w:val="正文文本缩进 2 Char"/>
    <w:basedOn w:val="37"/>
    <w:link w:val="20"/>
    <w:qFormat/>
    <w:locked/>
    <w:uiPriority w:val="99"/>
    <w:rPr>
      <w:rFonts w:ascii="宋体" w:eastAsia="宋体" w:cs="Times New Roman"/>
      <w:kern w:val="2"/>
      <w:sz w:val="24"/>
      <w:szCs w:val="24"/>
    </w:rPr>
  </w:style>
  <w:style w:type="character" w:customStyle="1" w:styleId="57">
    <w:name w:val="批注框文本 Char"/>
    <w:basedOn w:val="37"/>
    <w:link w:val="21"/>
    <w:semiHidden/>
    <w:qFormat/>
    <w:locked/>
    <w:uiPriority w:val="99"/>
    <w:rPr>
      <w:rFonts w:cs="Times New Roman"/>
      <w:kern w:val="2"/>
      <w:sz w:val="18"/>
      <w:szCs w:val="18"/>
    </w:rPr>
  </w:style>
  <w:style w:type="character" w:customStyle="1" w:styleId="58">
    <w:name w:val="Footer Char"/>
    <w:basedOn w:val="37"/>
    <w:link w:val="22"/>
    <w:qFormat/>
    <w:locked/>
    <w:uiPriority w:val="99"/>
    <w:rPr>
      <w:rFonts w:eastAsia="宋体" w:cs="Times New Roman"/>
      <w:kern w:val="2"/>
      <w:sz w:val="18"/>
      <w:lang w:val="en-US" w:eastAsia="zh-CN"/>
    </w:rPr>
  </w:style>
  <w:style w:type="character" w:customStyle="1" w:styleId="59">
    <w:name w:val="页眉 Char"/>
    <w:basedOn w:val="37"/>
    <w:link w:val="23"/>
    <w:qFormat/>
    <w:locked/>
    <w:uiPriority w:val="99"/>
    <w:rPr>
      <w:rFonts w:cs="Times New Roman"/>
      <w:kern w:val="2"/>
      <w:sz w:val="18"/>
      <w:szCs w:val="18"/>
    </w:rPr>
  </w:style>
  <w:style w:type="character" w:customStyle="1" w:styleId="60">
    <w:name w:val="正文文本缩进 3 Char"/>
    <w:basedOn w:val="37"/>
    <w:link w:val="27"/>
    <w:qFormat/>
    <w:locked/>
    <w:uiPriority w:val="99"/>
    <w:rPr>
      <w:rFonts w:ascii="仿宋_GB2312" w:hAnsi="宋体" w:eastAsia="仿宋_GB2312" w:cs="Times New Roman"/>
      <w:kern w:val="2"/>
      <w:sz w:val="24"/>
      <w:szCs w:val="24"/>
    </w:rPr>
  </w:style>
  <w:style w:type="character" w:customStyle="1" w:styleId="61">
    <w:name w:val="正文文本 2 Char"/>
    <w:basedOn w:val="37"/>
    <w:link w:val="30"/>
    <w:qFormat/>
    <w:locked/>
    <w:uiPriority w:val="99"/>
    <w:rPr>
      <w:rFonts w:ascii="仿宋_GB2312" w:eastAsia="仿宋_GB2312" w:cs="Times New Roman"/>
      <w:kern w:val="2"/>
      <w:sz w:val="24"/>
      <w:szCs w:val="24"/>
    </w:rPr>
  </w:style>
  <w:style w:type="character" w:customStyle="1" w:styleId="62">
    <w:name w:val="HTML Preformatted Char"/>
    <w:basedOn w:val="37"/>
    <w:link w:val="31"/>
    <w:qFormat/>
    <w:locked/>
    <w:uiPriority w:val="99"/>
    <w:rPr>
      <w:rFonts w:ascii="黑体" w:hAnsi="Courier New" w:eastAsia="黑体" w:cs="Times New Roman"/>
    </w:rPr>
  </w:style>
  <w:style w:type="paragraph" w:customStyle="1" w:styleId="63">
    <w:name w:val="附录1"/>
    <w:qFormat/>
    <w:uiPriority w:val="99"/>
    <w:pPr>
      <w:numPr>
        <w:ilvl w:val="0"/>
        <w:numId w:val="1"/>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64">
    <w:name w:val="Table Text"/>
    <w:qFormat/>
    <w:uiPriority w:val="99"/>
    <w:pPr>
      <w:snapToGrid w:val="0"/>
      <w:spacing w:beforeLines="50" w:after="80"/>
      <w:jc w:val="center"/>
    </w:pPr>
    <w:rPr>
      <w:rFonts w:ascii="仿宋_GB2312" w:hAnsi="宋体" w:eastAsia="仿宋_GB2312" w:cs="Times New Roman"/>
      <w:sz w:val="24"/>
      <w:lang w:val="en-US" w:eastAsia="zh-CN" w:bidi="ar-SA"/>
    </w:rPr>
  </w:style>
  <w:style w:type="paragraph" w:customStyle="1" w:styleId="65">
    <w:name w:val="Char"/>
    <w:basedOn w:val="1"/>
    <w:qFormat/>
    <w:uiPriority w:val="0"/>
    <w:pPr>
      <w:tabs>
        <w:tab w:val="left" w:pos="360"/>
      </w:tabs>
    </w:pPr>
    <w:rPr>
      <w:sz w:val="24"/>
    </w:rPr>
  </w:style>
  <w:style w:type="paragraph" w:customStyle="1" w:styleId="66">
    <w:name w:val="默认段落字体 Para Char Char Char Char Char Char Char Char Char1 Char Char Char Char Char Char Char"/>
    <w:basedOn w:val="10"/>
    <w:qFormat/>
    <w:uiPriority w:val="99"/>
    <w:rPr>
      <w:rFonts w:ascii="Tahoma" w:hAnsi="Tahoma"/>
      <w:sz w:val="24"/>
    </w:rPr>
  </w:style>
  <w:style w:type="paragraph" w:customStyle="1" w:styleId="67">
    <w:name w:val="标题1"/>
    <w:basedOn w:val="1"/>
    <w:next w:val="1"/>
    <w:qFormat/>
    <w:uiPriority w:val="99"/>
    <w:pPr>
      <w:tabs>
        <w:tab w:val="left" w:pos="9193"/>
        <w:tab w:val="left" w:pos="9827"/>
      </w:tabs>
      <w:spacing w:line="700" w:lineRule="atLeast"/>
      <w:jc w:val="center"/>
    </w:pPr>
    <w:rPr>
      <w:rFonts w:eastAsia="方正小标宋_GBK"/>
      <w:sz w:val="44"/>
    </w:rPr>
  </w:style>
  <w:style w:type="paragraph" w:customStyle="1" w:styleId="68">
    <w:name w:val="标题2"/>
    <w:basedOn w:val="1"/>
    <w:next w:val="1"/>
    <w:qFormat/>
    <w:uiPriority w:val="99"/>
    <w:pPr>
      <w:jc w:val="center"/>
    </w:pPr>
    <w:rPr>
      <w:rFonts w:eastAsia="方正楷体_GBK"/>
    </w:rPr>
  </w:style>
  <w:style w:type="paragraph" w:customStyle="1" w:styleId="69">
    <w:name w:val="标题3"/>
    <w:basedOn w:val="1"/>
    <w:next w:val="1"/>
    <w:qFormat/>
    <w:uiPriority w:val="99"/>
    <w:rPr>
      <w:rFonts w:eastAsia="方正黑体_GBK"/>
    </w:rPr>
  </w:style>
  <w:style w:type="character" w:customStyle="1" w:styleId="70">
    <w:name w:val="jj1"/>
    <w:qFormat/>
    <w:uiPriority w:val="99"/>
    <w:rPr>
      <w:sz w:val="20"/>
      <w:u w:val="none"/>
    </w:rPr>
  </w:style>
  <w:style w:type="character" w:customStyle="1" w:styleId="71">
    <w:name w:val="标题2 Char"/>
    <w:qFormat/>
    <w:uiPriority w:val="99"/>
    <w:rPr>
      <w:rFonts w:ascii="方正楷体_GBK" w:hAnsi="Book Antiqua" w:eastAsia="方正楷体_GBK"/>
      <w:snapToGrid w:val="0"/>
      <w:sz w:val="32"/>
      <w:lang w:val="en-US" w:eastAsia="zh-CN"/>
    </w:rPr>
  </w:style>
  <w:style w:type="paragraph" w:styleId="72">
    <w:name w:val="List Paragraph"/>
    <w:basedOn w:val="1"/>
    <w:qFormat/>
    <w:uiPriority w:val="99"/>
    <w:pPr>
      <w:ind w:firstLine="420" w:firstLineChars="200"/>
    </w:pPr>
    <w:rPr>
      <w:rFonts w:ascii="Calibri" w:hAnsi="Calibri"/>
      <w:szCs w:val="22"/>
    </w:rPr>
  </w:style>
  <w:style w:type="paragraph" w:customStyle="1" w:styleId="73">
    <w:name w:val="HTML 预先格式化"/>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74">
    <w:name w:val="Char Char Char Char"/>
    <w:basedOn w:val="10"/>
    <w:qFormat/>
    <w:uiPriority w:val="99"/>
    <w:pPr>
      <w:adjustRightInd w:val="0"/>
      <w:snapToGrid w:val="0"/>
      <w:spacing w:line="360" w:lineRule="auto"/>
    </w:pPr>
    <w:rPr>
      <w:rFonts w:ascii="Tahoma" w:hAnsi="Tahoma"/>
      <w:sz w:val="24"/>
    </w:rPr>
  </w:style>
  <w:style w:type="paragraph" w:customStyle="1" w:styleId="75">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76">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7">
    <w:name w:val="xl47"/>
    <w:basedOn w:val="1"/>
    <w:qFormat/>
    <w:uiPriority w:val="99"/>
    <w:pPr>
      <w:widowControl/>
      <w:spacing w:before="100" w:beforeAutospacing="1" w:after="100" w:afterAutospacing="1"/>
      <w:jc w:val="center"/>
    </w:pPr>
    <w:rPr>
      <w:rFonts w:ascii="方正姚体" w:hAnsi="宋体" w:eastAsia="方正姚体"/>
      <w:b/>
      <w:bCs/>
      <w:kern w:val="0"/>
      <w:sz w:val="36"/>
      <w:szCs w:val="36"/>
    </w:rPr>
  </w:style>
  <w:style w:type="paragraph" w:customStyle="1" w:styleId="78">
    <w:name w:val="Char11"/>
    <w:basedOn w:val="1"/>
    <w:qFormat/>
    <w:uiPriority w:val="99"/>
    <w:rPr>
      <w:rFonts w:ascii="Tahoma" w:hAnsi="Tahoma"/>
      <w:sz w:val="24"/>
      <w:szCs w:val="20"/>
    </w:rPr>
  </w:style>
  <w:style w:type="paragraph" w:customStyle="1" w:styleId="79">
    <w:name w:val="BioQuote Tekst"/>
    <w:basedOn w:val="1"/>
    <w:qFormat/>
    <w:uiPriority w:val="99"/>
    <w:pPr>
      <w:ind w:right="-1"/>
    </w:pPr>
    <w:rPr>
      <w:rFonts w:ascii="Arial" w:hAnsi="Arial"/>
      <w:kern w:val="0"/>
      <w:sz w:val="22"/>
      <w:szCs w:val="20"/>
      <w:lang w:eastAsia="en-US"/>
    </w:rPr>
  </w:style>
  <w:style w:type="paragraph" w:customStyle="1" w:styleId="80">
    <w:name w:val="Coms Alinea"/>
    <w:qFormat/>
    <w:uiPriority w:val="99"/>
    <w:pPr>
      <w:widowControl w:val="0"/>
    </w:pPr>
    <w:rPr>
      <w:rFonts w:ascii="Arial" w:hAnsi="Arial" w:eastAsia="宋体" w:cs="Arial"/>
      <w:lang w:val="en-US" w:eastAsia="zh-CN" w:bidi="ar-SA"/>
    </w:rPr>
  </w:style>
  <w:style w:type="paragraph" w:customStyle="1" w:styleId="81">
    <w:name w:val="Char Char Char Char1 Char Char Char"/>
    <w:basedOn w:val="10"/>
    <w:qFormat/>
    <w:uiPriority w:val="99"/>
    <w:pPr>
      <w:adjustRightInd w:val="0"/>
      <w:snapToGrid w:val="0"/>
      <w:spacing w:line="360" w:lineRule="auto"/>
    </w:pPr>
    <w:rPr>
      <w:rFonts w:ascii="Tahoma" w:hAnsi="Tahoma"/>
      <w:sz w:val="24"/>
    </w:rPr>
  </w:style>
  <w:style w:type="paragraph" w:customStyle="1" w:styleId="82">
    <w:name w:val="Char Char Char Char1 Char Char"/>
    <w:basedOn w:val="1"/>
    <w:qFormat/>
    <w:uiPriority w:val="99"/>
    <w:pPr>
      <w:tabs>
        <w:tab w:val="left" w:pos="360"/>
      </w:tabs>
    </w:pPr>
    <w:rPr>
      <w:sz w:val="24"/>
    </w:rPr>
  </w:style>
  <w:style w:type="character" w:customStyle="1" w:styleId="83">
    <w:name w:val="正文缩进 Char"/>
    <w:link w:val="5"/>
    <w:qFormat/>
    <w:locked/>
    <w:uiPriority w:val="99"/>
    <w:rPr>
      <w:rFonts w:eastAsia="宋体"/>
      <w:kern w:val="2"/>
      <w:sz w:val="21"/>
      <w:lang w:val="en-US" w:eastAsia="zh-CN"/>
    </w:rPr>
  </w:style>
  <w:style w:type="character" w:customStyle="1" w:styleId="84">
    <w:name w:val="批注文字 Char"/>
    <w:link w:val="11"/>
    <w:qFormat/>
    <w:locked/>
    <w:uiPriority w:val="99"/>
    <w:rPr>
      <w:kern w:val="2"/>
      <w:sz w:val="24"/>
    </w:rPr>
  </w:style>
  <w:style w:type="character" w:customStyle="1" w:styleId="85">
    <w:name w:val="批注主题 Char"/>
    <w:link w:val="34"/>
    <w:qFormat/>
    <w:locked/>
    <w:uiPriority w:val="99"/>
    <w:rPr>
      <w:b/>
      <w:kern w:val="2"/>
      <w:sz w:val="24"/>
    </w:rPr>
  </w:style>
  <w:style w:type="paragraph" w:customStyle="1" w:styleId="86">
    <w:name w:val="正文 第一章"/>
    <w:basedOn w:val="1"/>
    <w:next w:val="87"/>
    <w:qFormat/>
    <w:uiPriority w:val="99"/>
    <w:pPr>
      <w:pageBreakBefore/>
      <w:numPr>
        <w:ilvl w:val="0"/>
        <w:numId w:val="2"/>
      </w:numPr>
      <w:adjustRightInd w:val="0"/>
      <w:spacing w:before="240" w:after="240" w:line="480" w:lineRule="auto"/>
      <w:jc w:val="center"/>
      <w:textAlignment w:val="baseline"/>
      <w:outlineLvl w:val="0"/>
    </w:pPr>
    <w:rPr>
      <w:rFonts w:ascii="黑体" w:hAnsi="宋体" w:eastAsia="黑体"/>
      <w:kern w:val="0"/>
      <w:sz w:val="36"/>
      <w:szCs w:val="21"/>
    </w:rPr>
  </w:style>
  <w:style w:type="paragraph" w:customStyle="1" w:styleId="87">
    <w:name w:val="正文 1.1"/>
    <w:basedOn w:val="1"/>
    <w:next w:val="88"/>
    <w:qFormat/>
    <w:uiPriority w:val="99"/>
    <w:pPr>
      <w:numPr>
        <w:ilvl w:val="1"/>
        <w:numId w:val="2"/>
      </w:numPr>
      <w:tabs>
        <w:tab w:val="clear" w:pos="851"/>
      </w:tabs>
      <w:adjustRightInd w:val="0"/>
      <w:spacing w:line="360" w:lineRule="auto"/>
      <w:ind w:left="980" w:hanging="980" w:hangingChars="350"/>
      <w:textAlignment w:val="baseline"/>
      <w:outlineLvl w:val="1"/>
    </w:pPr>
    <w:rPr>
      <w:rFonts w:ascii="仿宋" w:hAnsi="仿宋" w:eastAsia="仿宋"/>
      <w:b/>
      <w:kern w:val="0"/>
      <w:sz w:val="28"/>
      <w:szCs w:val="21"/>
    </w:rPr>
  </w:style>
  <w:style w:type="paragraph" w:customStyle="1" w:styleId="88">
    <w:name w:val="正文 1.1.1"/>
    <w:basedOn w:val="1"/>
    <w:next w:val="1"/>
    <w:qFormat/>
    <w:uiPriority w:val="99"/>
    <w:pPr>
      <w:numPr>
        <w:ilvl w:val="2"/>
        <w:numId w:val="2"/>
      </w:numPr>
      <w:adjustRightInd w:val="0"/>
      <w:spacing w:line="360" w:lineRule="auto"/>
      <w:textAlignment w:val="baseline"/>
      <w:outlineLvl w:val="2"/>
    </w:pPr>
    <w:rPr>
      <w:rFonts w:ascii="宋体" w:hAnsi="宋体"/>
      <w:color w:val="000000"/>
      <w:kern w:val="0"/>
      <w:sz w:val="28"/>
      <w:szCs w:val="21"/>
    </w:rPr>
  </w:style>
  <w:style w:type="paragraph" w:customStyle="1" w:styleId="89">
    <w:name w:val="第四级"/>
    <w:basedOn w:val="1"/>
    <w:next w:val="1"/>
    <w:qFormat/>
    <w:uiPriority w:val="99"/>
    <w:pPr>
      <w:numPr>
        <w:ilvl w:val="3"/>
        <w:numId w:val="2"/>
      </w:numPr>
      <w:adjustRightInd w:val="0"/>
      <w:spacing w:line="360" w:lineRule="auto"/>
      <w:textAlignment w:val="baseline"/>
    </w:pPr>
    <w:rPr>
      <w:rFonts w:ascii="宋体" w:hAnsi="宋体" w:eastAsia="仿宋"/>
      <w:kern w:val="0"/>
      <w:sz w:val="28"/>
      <w:szCs w:val="21"/>
    </w:rPr>
  </w:style>
  <w:style w:type="paragraph" w:customStyle="1" w:styleId="90">
    <w:name w:val="正文空2格  1."/>
    <w:basedOn w:val="1"/>
    <w:qFormat/>
    <w:uiPriority w:val="99"/>
    <w:pPr>
      <w:adjustRightInd w:val="0"/>
      <w:spacing w:line="360" w:lineRule="auto"/>
      <w:ind w:firstLine="480" w:firstLineChars="200"/>
      <w:textAlignment w:val="baseline"/>
    </w:pPr>
    <w:rPr>
      <w:rFonts w:ascii="宋体" w:eastAsia="仿宋" w:cs="宋体"/>
      <w:kern w:val="0"/>
      <w:sz w:val="28"/>
      <w:szCs w:val="20"/>
    </w:rPr>
  </w:style>
  <w:style w:type="character" w:customStyle="1" w:styleId="91">
    <w:name w:val="列出段落 Char"/>
    <w:link w:val="92"/>
    <w:qFormat/>
    <w:locked/>
    <w:uiPriority w:val="99"/>
    <w:rPr>
      <w:rFonts w:ascii="Calibri" w:hAnsi="Calibri"/>
      <w:sz w:val="24"/>
      <w:lang w:eastAsia="en-US"/>
    </w:rPr>
  </w:style>
  <w:style w:type="paragraph" w:customStyle="1" w:styleId="92">
    <w:name w:val="列出段落1"/>
    <w:basedOn w:val="1"/>
    <w:link w:val="91"/>
    <w:qFormat/>
    <w:uiPriority w:val="99"/>
    <w:pPr>
      <w:widowControl/>
      <w:ind w:left="720"/>
      <w:contextualSpacing/>
      <w:jc w:val="left"/>
    </w:pPr>
    <w:rPr>
      <w:rFonts w:ascii="Calibri" w:hAnsi="Calibri"/>
      <w:kern w:val="0"/>
      <w:sz w:val="24"/>
      <w:szCs w:val="20"/>
      <w:lang w:eastAsia="en-US"/>
    </w:rPr>
  </w:style>
  <w:style w:type="character" w:customStyle="1" w:styleId="93">
    <w:name w:val="HTML 预设格式 Char"/>
    <w:link w:val="31"/>
    <w:qFormat/>
    <w:locked/>
    <w:uiPriority w:val="99"/>
    <w:rPr>
      <w:rFonts w:ascii="黑体" w:hAnsi="Courier New" w:eastAsia="黑体"/>
    </w:rPr>
  </w:style>
  <w:style w:type="paragraph" w:customStyle="1" w:styleId="9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95">
    <w:name w:val="表格"/>
    <w:basedOn w:val="1"/>
    <w:qFormat/>
    <w:uiPriority w:val="99"/>
    <w:rPr>
      <w:rFonts w:ascii="华文细黑" w:hAnsi="华文细黑" w:eastAsia="华文细黑"/>
    </w:rPr>
  </w:style>
  <w:style w:type="character" w:customStyle="1" w:styleId="96">
    <w:name w:val="页脚 Char"/>
    <w:basedOn w:val="37"/>
    <w:link w:val="22"/>
    <w:qFormat/>
    <w:locked/>
    <w:uiPriority w:val="99"/>
    <w:rPr>
      <w:rFonts w:cs="Times New Roman"/>
      <w:kern w:val="2"/>
      <w:sz w:val="18"/>
    </w:rPr>
  </w:style>
  <w:style w:type="character" w:customStyle="1" w:styleId="97">
    <w:name w:val="font161"/>
    <w:basedOn w:val="37"/>
    <w:qFormat/>
    <w:uiPriority w:val="99"/>
    <w:rPr>
      <w:rFonts w:ascii="Times New Roman" w:hAnsi="Times New Roman" w:cs="Times New Roman"/>
      <w:color w:val="000000"/>
      <w:sz w:val="20"/>
      <w:szCs w:val="20"/>
      <w:u w:val="none"/>
    </w:rPr>
  </w:style>
  <w:style w:type="character" w:customStyle="1" w:styleId="98">
    <w:name w:val="font91"/>
    <w:basedOn w:val="37"/>
    <w:qFormat/>
    <w:uiPriority w:val="99"/>
    <w:rPr>
      <w:rFonts w:ascii="宋体" w:hAnsi="宋体" w:eastAsia="宋体" w:cs="宋体"/>
      <w:b/>
      <w:color w:val="000000"/>
      <w:sz w:val="20"/>
      <w:szCs w:val="20"/>
      <w:u w:val="none"/>
    </w:rPr>
  </w:style>
  <w:style w:type="character" w:customStyle="1" w:styleId="99">
    <w:name w:val="font31"/>
    <w:basedOn w:val="37"/>
    <w:qFormat/>
    <w:uiPriority w:val="99"/>
    <w:rPr>
      <w:rFonts w:ascii="宋体" w:hAnsi="宋体" w:eastAsia="宋体" w:cs="宋体"/>
      <w:color w:val="000000"/>
      <w:sz w:val="16"/>
      <w:szCs w:val="16"/>
      <w:u w:val="none"/>
    </w:rPr>
  </w:style>
  <w:style w:type="character" w:customStyle="1" w:styleId="100">
    <w:name w:val="font181"/>
    <w:basedOn w:val="37"/>
    <w:qFormat/>
    <w:uiPriority w:val="99"/>
    <w:rPr>
      <w:rFonts w:ascii="Times New Roman" w:hAnsi="Times New Roman" w:cs="Times New Roman"/>
      <w:color w:val="000000"/>
      <w:sz w:val="20"/>
      <w:szCs w:val="20"/>
      <w:u w:val="none"/>
    </w:rPr>
  </w:style>
  <w:style w:type="character" w:customStyle="1" w:styleId="101">
    <w:name w:val="font51"/>
    <w:basedOn w:val="37"/>
    <w:qFormat/>
    <w:uiPriority w:val="99"/>
    <w:rPr>
      <w:rFonts w:ascii="Times New Roman" w:hAnsi="Times New Roman" w:cs="Times New Roman"/>
      <w:b/>
      <w:color w:val="000000"/>
      <w:sz w:val="20"/>
      <w:szCs w:val="20"/>
      <w:u w:val="none"/>
    </w:rPr>
  </w:style>
  <w:style w:type="character" w:customStyle="1" w:styleId="102">
    <w:name w:val="font41"/>
    <w:basedOn w:val="37"/>
    <w:qFormat/>
    <w:uiPriority w:val="99"/>
    <w:rPr>
      <w:rFonts w:ascii="宋体" w:hAnsi="宋体" w:eastAsia="宋体" w:cs="宋体"/>
      <w:color w:val="000000"/>
      <w:sz w:val="20"/>
      <w:szCs w:val="20"/>
      <w:u w:val="none"/>
    </w:rPr>
  </w:style>
  <w:style w:type="character" w:customStyle="1" w:styleId="103">
    <w:name w:val="font201"/>
    <w:basedOn w:val="37"/>
    <w:qFormat/>
    <w:uiPriority w:val="99"/>
    <w:rPr>
      <w:rFonts w:ascii="宋体" w:hAnsi="宋体" w:eastAsia="宋体" w:cs="宋体"/>
      <w:color w:val="000000"/>
      <w:sz w:val="20"/>
      <w:szCs w:val="20"/>
      <w:u w:val="none"/>
    </w:rPr>
  </w:style>
  <w:style w:type="character" w:customStyle="1" w:styleId="104">
    <w:name w:val="标题 2 Char"/>
    <w:basedOn w:val="37"/>
    <w:qFormat/>
    <w:uiPriority w:val="99"/>
    <w:rPr>
      <w:rFonts w:ascii="Arial" w:hAnsi="Arial" w:eastAsia="幼圆" w:cs="Arial"/>
      <w:b/>
      <w:kern w:val="2"/>
      <w:sz w:val="44"/>
    </w:rPr>
  </w:style>
  <w:style w:type="character" w:customStyle="1" w:styleId="105">
    <w:name w:val="font131"/>
    <w:basedOn w:val="37"/>
    <w:qFormat/>
    <w:uiPriority w:val="99"/>
    <w:rPr>
      <w:rFonts w:ascii="Times New Roman" w:hAnsi="Times New Roman" w:cs="Times New Roman"/>
      <w:color w:val="000000"/>
      <w:sz w:val="16"/>
      <w:szCs w:val="16"/>
      <w:u w:val="none"/>
    </w:rPr>
  </w:style>
  <w:style w:type="paragraph" w:customStyle="1" w:styleId="106">
    <w:name w:val="C"/>
    <w:basedOn w:val="1"/>
    <w:qFormat/>
    <w:uiPriority w:val="99"/>
    <w:pPr>
      <w:spacing w:line="360" w:lineRule="auto"/>
      <w:ind w:firstLine="480" w:firstLineChars="200"/>
    </w:pPr>
    <w:rPr>
      <w:rFonts w:ascii="宋体"/>
      <w:sz w:val="24"/>
    </w:rPr>
  </w:style>
  <w:style w:type="paragraph" w:customStyle="1" w:styleId="107">
    <w:name w:val="正文 A"/>
    <w:basedOn w:val="1"/>
    <w:qFormat/>
    <w:uiPriority w:val="99"/>
    <w:rPr>
      <w:rFonts w:ascii="Arial Unicode MS" w:hAnsi="Arial Unicode MS"/>
      <w:color w:val="000000"/>
      <w:szCs w:val="21"/>
    </w:rPr>
  </w:style>
  <w:style w:type="paragraph" w:customStyle="1" w:styleId="108">
    <w:name w:val="纯文本1"/>
    <w:basedOn w:val="1"/>
    <w:qFormat/>
    <w:uiPriority w:val="99"/>
    <w:pPr>
      <w:adjustRightInd w:val="0"/>
      <w:textAlignment w:val="baseline"/>
    </w:pPr>
    <w:rPr>
      <w:rFonts w:ascii="宋体" w:hAnsi="Courier New" w:eastAsia="楷体_GB2312"/>
      <w:sz w:val="26"/>
      <w:szCs w:val="20"/>
    </w:rPr>
  </w:style>
  <w:style w:type="paragraph" w:customStyle="1" w:styleId="109">
    <w:name w:val="Char1"/>
    <w:basedOn w:val="1"/>
    <w:qFormat/>
    <w:uiPriority w:val="99"/>
    <w:rPr>
      <w:rFonts w:ascii="Tahoma" w:hAnsi="Tahoma"/>
      <w:sz w:val="24"/>
      <w:szCs w:val="20"/>
    </w:rPr>
  </w:style>
  <w:style w:type="paragraph" w:customStyle="1" w:styleId="110">
    <w:name w:val="列出段落2"/>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78A570-B32F-464F-A3CF-88E55EC156B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2732</Words>
  <Characters>15573</Characters>
  <Lines>129</Lines>
  <Paragraphs>36</Paragraphs>
  <TotalTime>10</TotalTime>
  <ScaleCrop>false</ScaleCrop>
  <LinksUpToDate>false</LinksUpToDate>
  <CharactersWithSpaces>18269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2018-05-24T07:52:00Z</dcterms:created>
  <dc:creator>cgzx</dc:creator>
  <cp:lastModifiedBy>yifengwu</cp:lastModifiedBy>
  <cp:lastPrinted>2018-06-13T02:04:00Z</cp:lastPrinted>
  <dcterms:modified xsi:type="dcterms:W3CDTF">2020-08-12T08:41:02Z</dcterms:modified>
  <dc:title>总  目  录</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