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firstLineChars="0"/>
        <w:rPr>
          <w:rStyle w:val="47"/>
          <w:rFonts w:cs="宋体"/>
          <w:sz w:val="36"/>
          <w:szCs w:val="21"/>
        </w:rPr>
      </w:pPr>
    </w:p>
    <w:p>
      <w:pPr>
        <w:rPr>
          <w:rStyle w:val="47"/>
          <w:rFonts w:ascii="宋体" w:hAnsi="宋体" w:cs="宋体"/>
          <w:sz w:val="36"/>
        </w:rPr>
      </w:pPr>
    </w:p>
    <w:p>
      <w:pPr>
        <w:jc w:val="center"/>
        <w:rPr>
          <w:rStyle w:val="47"/>
          <w:rFonts w:ascii="宋体" w:hAnsi="宋体" w:cs="宋体"/>
          <w:b/>
          <w:sz w:val="84"/>
        </w:rPr>
      </w:pPr>
      <w:r>
        <w:rPr>
          <w:rStyle w:val="47"/>
          <w:rFonts w:hint="eastAsia" w:ascii="宋体" w:hAnsi="宋体" w:cs="宋体"/>
          <w:b/>
          <w:sz w:val="84"/>
        </w:rPr>
        <w:t>招 标 文 件</w:t>
      </w:r>
    </w:p>
    <w:p>
      <w:pPr>
        <w:rPr>
          <w:rStyle w:val="47"/>
          <w:rFonts w:ascii="宋体" w:hAnsi="宋体" w:cs="宋体"/>
          <w:b/>
          <w:sz w:val="32"/>
        </w:rPr>
      </w:pPr>
    </w:p>
    <w:p>
      <w:pPr>
        <w:jc w:val="center"/>
        <w:rPr>
          <w:rStyle w:val="47"/>
          <w:rFonts w:ascii="宋体" w:hAnsi="宋体" w:cs="宋体"/>
          <w:b/>
          <w:sz w:val="32"/>
        </w:rPr>
      </w:pPr>
    </w:p>
    <w:p>
      <w:pPr>
        <w:pStyle w:val="21"/>
        <w:rPr>
          <w:rFonts w:cs="宋体"/>
        </w:rPr>
      </w:pPr>
    </w:p>
    <w:p>
      <w:pPr>
        <w:jc w:val="center"/>
        <w:rPr>
          <w:rStyle w:val="47"/>
          <w:rFonts w:ascii="宋体" w:hAnsi="宋体" w:cs="宋体"/>
          <w:b/>
          <w:sz w:val="32"/>
        </w:rPr>
      </w:pPr>
    </w:p>
    <w:p>
      <w:pPr>
        <w:jc w:val="center"/>
        <w:rPr>
          <w:rStyle w:val="47"/>
          <w:rFonts w:ascii="宋体" w:hAnsi="宋体" w:cs="宋体"/>
          <w:b/>
          <w:sz w:val="32"/>
        </w:rPr>
      </w:pPr>
    </w:p>
    <w:p>
      <w:pPr>
        <w:ind w:firstLine="723" w:firstLineChars="200"/>
        <w:rPr>
          <w:rStyle w:val="47"/>
          <w:rFonts w:ascii="宋体" w:hAnsi="宋体" w:cs="宋体"/>
          <w:b/>
          <w:sz w:val="36"/>
        </w:rPr>
      </w:pPr>
      <w:r>
        <w:rPr>
          <w:rStyle w:val="47"/>
          <w:rFonts w:hint="eastAsia" w:ascii="宋体" w:hAnsi="宋体" w:cs="宋体"/>
          <w:b/>
          <w:sz w:val="36"/>
        </w:rPr>
        <w:t>项目编号：2023-024W</w:t>
      </w:r>
    </w:p>
    <w:p>
      <w:pPr>
        <w:jc w:val="center"/>
        <w:rPr>
          <w:rStyle w:val="47"/>
          <w:rFonts w:ascii="宋体" w:hAnsi="宋体" w:cs="宋体"/>
          <w:b/>
          <w:sz w:val="32"/>
        </w:rPr>
      </w:pPr>
    </w:p>
    <w:p>
      <w:pPr>
        <w:jc w:val="center"/>
        <w:rPr>
          <w:rStyle w:val="47"/>
          <w:rFonts w:ascii="宋体" w:hAnsi="宋体" w:cs="宋体"/>
          <w:b/>
          <w:sz w:val="32"/>
        </w:rPr>
      </w:pPr>
    </w:p>
    <w:p>
      <w:pPr>
        <w:ind w:left="2525" w:leftChars="342" w:hanging="1807" w:hangingChars="500"/>
        <w:rPr>
          <w:rStyle w:val="47"/>
          <w:rFonts w:ascii="宋体" w:hAnsi="宋体" w:cs="宋体"/>
          <w:b/>
          <w:sz w:val="30"/>
          <w:szCs w:val="30"/>
        </w:rPr>
      </w:pPr>
      <w:r>
        <w:rPr>
          <w:rStyle w:val="47"/>
          <w:rFonts w:hint="eastAsia" w:ascii="宋体" w:hAnsi="宋体" w:cs="宋体"/>
          <w:b/>
          <w:sz w:val="36"/>
          <w:szCs w:val="36"/>
        </w:rPr>
        <w:t>项目名称：盐城工业职业技术学院WEB应用防火墙</w:t>
      </w:r>
    </w:p>
    <w:p>
      <w:pPr>
        <w:pStyle w:val="21"/>
        <w:ind w:firstLine="0" w:firstLineChars="0"/>
        <w:rPr>
          <w:rStyle w:val="47"/>
          <w:rFonts w:cs="宋体"/>
          <w:b/>
          <w:sz w:val="32"/>
          <w:szCs w:val="21"/>
        </w:rPr>
      </w:pPr>
    </w:p>
    <w:p>
      <w:pPr>
        <w:pStyle w:val="21"/>
        <w:ind w:firstLine="643"/>
        <w:rPr>
          <w:rStyle w:val="47"/>
          <w:rFonts w:cs="宋体"/>
          <w:b/>
          <w:sz w:val="32"/>
          <w:szCs w:val="21"/>
        </w:rPr>
      </w:pPr>
    </w:p>
    <w:p>
      <w:pPr>
        <w:pStyle w:val="107"/>
        <w:rPr>
          <w:rStyle w:val="47"/>
          <w:rFonts w:ascii="宋体" w:hAnsi="宋体" w:eastAsia="宋体" w:cs="宋体"/>
          <w:b/>
          <w:sz w:val="32"/>
        </w:rPr>
      </w:pPr>
    </w:p>
    <w:p>
      <w:pPr>
        <w:pStyle w:val="107"/>
        <w:rPr>
          <w:rStyle w:val="47"/>
          <w:rFonts w:ascii="宋体" w:hAnsi="宋体" w:eastAsia="宋体" w:cs="宋体"/>
          <w:b/>
          <w:sz w:val="32"/>
        </w:rPr>
      </w:pPr>
    </w:p>
    <w:p>
      <w:pPr>
        <w:spacing w:after="290" w:afterLines="100" w:line="360" w:lineRule="auto"/>
        <w:jc w:val="center"/>
        <w:rPr>
          <w:rStyle w:val="47"/>
          <w:rFonts w:ascii="宋体" w:hAnsi="宋体" w:cs="宋体"/>
          <w:bCs/>
          <w:sz w:val="36"/>
          <w:szCs w:val="36"/>
        </w:rPr>
      </w:pPr>
      <w:r>
        <w:rPr>
          <w:rStyle w:val="47"/>
          <w:rFonts w:hint="eastAsia" w:ascii="宋体" w:hAnsi="宋体" w:cs="宋体"/>
          <w:bCs/>
          <w:sz w:val="36"/>
          <w:szCs w:val="36"/>
        </w:rPr>
        <w:t>采购人：盐城工业职业技术学院</w:t>
      </w:r>
    </w:p>
    <w:p>
      <w:pPr>
        <w:pStyle w:val="2"/>
        <w:spacing w:line="360" w:lineRule="auto"/>
        <w:ind w:left="0" w:leftChars="0" w:right="0" w:rightChars="0"/>
        <w:jc w:val="center"/>
        <w:rPr>
          <w:rStyle w:val="47"/>
          <w:rFonts w:ascii="宋体" w:hAnsi="宋体" w:cs="宋体"/>
          <w:bCs/>
          <w:sz w:val="36"/>
          <w:szCs w:val="36"/>
        </w:rPr>
      </w:pPr>
      <w:r>
        <w:rPr>
          <w:rStyle w:val="47"/>
          <w:rFonts w:hint="eastAsia" w:ascii="宋体" w:hAnsi="宋体" w:cs="宋体"/>
          <w:bCs/>
          <w:sz w:val="36"/>
          <w:szCs w:val="36"/>
        </w:rPr>
        <w:t>代理人：江苏伟业项目管理有限公司</w:t>
      </w:r>
    </w:p>
    <w:p>
      <w:pPr>
        <w:jc w:val="center"/>
        <w:rPr>
          <w:rStyle w:val="47"/>
          <w:rFonts w:ascii="宋体" w:hAnsi="宋体" w:cs="宋体"/>
          <w:sz w:val="36"/>
          <w:szCs w:val="36"/>
        </w:rPr>
      </w:pPr>
    </w:p>
    <w:p>
      <w:pPr>
        <w:jc w:val="center"/>
        <w:rPr>
          <w:rStyle w:val="47"/>
          <w:rFonts w:ascii="宋体" w:hAnsi="宋体" w:cs="宋体"/>
          <w:sz w:val="36"/>
          <w:szCs w:val="36"/>
        </w:rPr>
      </w:pPr>
      <w:r>
        <w:rPr>
          <w:rStyle w:val="47"/>
          <w:rFonts w:hint="eastAsia" w:ascii="宋体" w:hAnsi="宋体" w:cs="宋体"/>
          <w:sz w:val="36"/>
          <w:szCs w:val="36"/>
        </w:rPr>
        <w:t>2023年8月2</w:t>
      </w:r>
      <w:r>
        <w:rPr>
          <w:rStyle w:val="47"/>
          <w:rFonts w:hint="eastAsia" w:ascii="宋体" w:hAnsi="宋体" w:cs="宋体"/>
          <w:sz w:val="36"/>
          <w:szCs w:val="36"/>
          <w:lang w:val="en-US" w:eastAsia="zh-CN"/>
        </w:rPr>
        <w:t>5</w:t>
      </w:r>
      <w:r>
        <w:rPr>
          <w:rStyle w:val="47"/>
          <w:rFonts w:hint="eastAsia" w:ascii="宋体" w:hAnsi="宋体" w:cs="宋体"/>
          <w:sz w:val="36"/>
          <w:szCs w:val="36"/>
        </w:rPr>
        <w:t>日</w:t>
      </w:r>
    </w:p>
    <w:p>
      <w:pPr>
        <w:spacing w:line="480" w:lineRule="auto"/>
        <w:rPr>
          <w:rStyle w:val="47"/>
          <w:rFonts w:ascii="宋体" w:hAnsi="宋体" w:cs="宋体"/>
        </w:rPr>
      </w:pPr>
    </w:p>
    <w:p>
      <w:pPr>
        <w:spacing w:line="480" w:lineRule="auto"/>
        <w:jc w:val="center"/>
        <w:rPr>
          <w:rStyle w:val="47"/>
          <w:rFonts w:ascii="宋体" w:hAnsi="宋体" w:cs="宋体"/>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8"/>
      </w:pPr>
    </w:p>
    <w:p>
      <w:pPr>
        <w:pStyle w:val="21"/>
        <w:rPr>
          <w:rFonts w:cs="宋体"/>
        </w:rPr>
      </w:pPr>
    </w:p>
    <w:p>
      <w:pPr>
        <w:spacing w:line="480" w:lineRule="auto"/>
        <w:jc w:val="center"/>
        <w:rPr>
          <w:rStyle w:val="47"/>
          <w:rFonts w:ascii="宋体" w:hAnsi="宋体" w:cs="宋体"/>
          <w:b/>
          <w:sz w:val="44"/>
        </w:rPr>
      </w:pPr>
      <w:r>
        <w:rPr>
          <w:rStyle w:val="47"/>
          <w:rFonts w:hint="eastAsia" w:ascii="宋体" w:hAnsi="宋体" w:cs="宋体"/>
          <w:b/>
          <w:sz w:val="44"/>
        </w:rPr>
        <w:t>总  目  录</w:t>
      </w:r>
    </w:p>
    <w:p>
      <w:pPr>
        <w:spacing w:line="480" w:lineRule="auto"/>
        <w:rPr>
          <w:rStyle w:val="47"/>
          <w:rFonts w:ascii="宋体" w:hAnsi="宋体" w:cs="宋体"/>
          <w:b/>
          <w:sz w:val="28"/>
        </w:rPr>
      </w:pPr>
    </w:p>
    <w:sdt>
      <w:sdtPr>
        <w:rPr>
          <w:rFonts w:ascii="宋体" w:hAnsi="宋体" w:eastAsia="楷体_GB2312"/>
          <w:sz w:val="28"/>
          <w:szCs w:val="28"/>
        </w:rPr>
        <w:id w:val="147461321"/>
        <w:docPartObj>
          <w:docPartGallery w:val="Table of Contents"/>
          <w:docPartUnique/>
        </w:docPartObj>
      </w:sdtPr>
      <w:sdtEndPr>
        <w:rPr>
          <w:rFonts w:ascii="宋体" w:hAnsi="宋体" w:eastAsia="楷体_GB2312" w:cs="宋体"/>
          <w:bCs/>
          <w:sz w:val="28"/>
          <w:szCs w:val="28"/>
        </w:rPr>
      </w:sdtEndPr>
      <w:sdtContent>
        <w:p>
          <w:pPr>
            <w:jc w:val="center"/>
          </w:pPr>
        </w:p>
        <w:p>
          <w:pPr>
            <w:pStyle w:val="162"/>
            <w:tabs>
              <w:tab w:val="right" w:leader="dot" w:pos="8953"/>
            </w:tabs>
            <w:rPr>
              <w:rFonts w:ascii="宋体" w:hAnsi="宋体" w:cs="宋体"/>
              <w:sz w:val="36"/>
              <w:szCs w:val="36"/>
            </w:rPr>
          </w:pPr>
          <w:r>
            <w:rPr>
              <w:rStyle w:val="47"/>
              <w:sz w:val="44"/>
            </w:rPr>
            <w:fldChar w:fldCharType="begin"/>
          </w:r>
          <w:r>
            <w:rPr>
              <w:rStyle w:val="47"/>
              <w:rFonts w:ascii="宋体" w:hAnsi="宋体" w:cs="宋体"/>
              <w:bCs/>
              <w:sz w:val="44"/>
            </w:rPr>
            <w:instrText xml:space="preserve">TOC \o "1-1" \h \u </w:instrText>
          </w:r>
          <w:r>
            <w:rPr>
              <w:rStyle w:val="47"/>
              <w:sz w:val="44"/>
            </w:rPr>
            <w:fldChar w:fldCharType="separate"/>
          </w:r>
          <w:r>
            <w:fldChar w:fldCharType="begin"/>
          </w:r>
          <w:r>
            <w:instrText xml:space="preserve"> HYPERLINK \l "_Toc18878" </w:instrText>
          </w:r>
          <w:r>
            <w:fldChar w:fldCharType="separate"/>
          </w:r>
          <w:r>
            <w:rPr>
              <w:rFonts w:hint="eastAsia" w:ascii="宋体" w:hAnsi="宋体" w:cs="宋体"/>
              <w:b/>
              <w:sz w:val="36"/>
              <w:szCs w:val="36"/>
            </w:rPr>
            <w:t xml:space="preserve">第一章  </w:t>
          </w:r>
          <w:r>
            <w:rPr>
              <w:rFonts w:hint="eastAsia" w:ascii="宋体" w:hAnsi="宋体" w:cs="宋体"/>
              <w:bCs/>
              <w:sz w:val="36"/>
              <w:szCs w:val="36"/>
            </w:rPr>
            <w:t>招标公告</w:t>
          </w:r>
          <w:r>
            <w:rPr>
              <w:rFonts w:hint="eastAsia" w:ascii="宋体" w:hAnsi="宋体" w:cs="宋体"/>
              <w:bCs/>
              <w:sz w:val="36"/>
              <w:szCs w:val="36"/>
            </w:rPr>
            <w:tab/>
          </w:r>
          <w:r>
            <w:rPr>
              <w:rFonts w:hint="eastAsia" w:ascii="宋体" w:hAnsi="宋体" w:cs="宋体"/>
              <w:bCs/>
              <w:sz w:val="36"/>
              <w:szCs w:val="36"/>
            </w:rPr>
            <w:fldChar w:fldCharType="begin"/>
          </w:r>
          <w:r>
            <w:rPr>
              <w:rFonts w:hint="eastAsia" w:ascii="宋体" w:hAnsi="宋体" w:cs="宋体"/>
              <w:bCs/>
              <w:sz w:val="36"/>
              <w:szCs w:val="36"/>
            </w:rPr>
            <w:instrText xml:space="preserve"> PAGEREF _Toc18878 \h </w:instrText>
          </w:r>
          <w:r>
            <w:rPr>
              <w:rFonts w:hint="eastAsia" w:ascii="宋体" w:hAnsi="宋体" w:cs="宋体"/>
              <w:bCs/>
              <w:sz w:val="36"/>
              <w:szCs w:val="36"/>
            </w:rPr>
            <w:fldChar w:fldCharType="separate"/>
          </w:r>
          <w:r>
            <w:rPr>
              <w:rFonts w:hint="eastAsia" w:ascii="宋体" w:hAnsi="宋体" w:cs="宋体"/>
              <w:bCs/>
              <w:sz w:val="36"/>
              <w:szCs w:val="36"/>
            </w:rPr>
            <w:t>2</w:t>
          </w:r>
          <w:r>
            <w:rPr>
              <w:rFonts w:hint="eastAsia" w:ascii="宋体" w:hAnsi="宋体" w:cs="宋体"/>
              <w:bCs/>
              <w:sz w:val="36"/>
              <w:szCs w:val="36"/>
            </w:rPr>
            <w:fldChar w:fldCharType="end"/>
          </w:r>
          <w:r>
            <w:rPr>
              <w:rFonts w:hint="eastAsia" w:ascii="宋体" w:hAnsi="宋体" w:cs="宋体"/>
              <w:bCs/>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"_Toc21663" </w:instrText>
          </w:r>
          <w:r>
            <w:fldChar w:fldCharType="separate"/>
          </w:r>
          <w:r>
            <w:rPr>
              <w:rFonts w:hint="eastAsia" w:ascii="宋体" w:hAnsi="宋体" w:cs="宋体"/>
              <w:b/>
              <w:bCs/>
              <w:sz w:val="36"/>
              <w:szCs w:val="36"/>
            </w:rPr>
            <w:t>第二章</w:t>
          </w:r>
          <w:r>
            <w:rPr>
              <w:rFonts w:hint="eastAsia" w:ascii="宋体" w:hAnsi="宋体" w:cs="宋体"/>
              <w:sz w:val="36"/>
              <w:szCs w:val="36"/>
            </w:rPr>
            <w:t xml:space="preserve">  投标人须知</w:t>
          </w:r>
          <w:r>
            <w:rPr>
              <w:rFonts w:hint="eastAsia" w:ascii="宋体" w:hAnsi="宋体" w:cs="宋体"/>
              <w:sz w:val="36"/>
              <w:szCs w:val="36"/>
            </w:rPr>
            <w:tab/>
          </w:r>
          <w:r>
            <w:rPr>
              <w:rFonts w:hint="eastAsia" w:ascii="宋体" w:hAnsi="宋体" w:cs="宋体"/>
              <w:sz w:val="36"/>
              <w:szCs w:val="36"/>
            </w:rPr>
            <w:t>5</w:t>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"_Toc19468" </w:instrText>
          </w:r>
          <w:r>
            <w:fldChar w:fldCharType="separate"/>
          </w:r>
          <w:r>
            <w:rPr>
              <w:rFonts w:hint="eastAsia" w:ascii="宋体" w:hAnsi="宋体" w:cs="宋体"/>
              <w:b/>
              <w:bCs/>
              <w:sz w:val="36"/>
              <w:szCs w:val="36"/>
            </w:rPr>
            <w:t>第三章</w:t>
          </w:r>
          <w:r>
            <w:rPr>
              <w:rFonts w:hint="eastAsia" w:ascii="宋体" w:hAnsi="宋体" w:cs="宋体"/>
              <w:sz w:val="36"/>
              <w:szCs w:val="36"/>
            </w:rPr>
            <w:t xml:space="preserve">  合同条款及格式</w:t>
          </w:r>
          <w:r>
            <w:rPr>
              <w:rFonts w:hint="eastAsia" w:ascii="宋体" w:hAnsi="宋体" w:cs="宋体"/>
              <w:sz w:val="36"/>
              <w:szCs w:val="36"/>
            </w:rPr>
            <w:tab/>
          </w:r>
          <w:r>
            <w:rPr>
              <w:rFonts w:hint="eastAsia" w:ascii="宋体" w:hAnsi="宋体" w:cs="宋体"/>
              <w:sz w:val="36"/>
              <w:szCs w:val="36"/>
            </w:rPr>
            <w:t>1</w:t>
          </w:r>
          <w:r>
            <w:rPr>
              <w:rFonts w:hint="eastAsia" w:ascii="宋体" w:hAnsi="宋体" w:cs="宋体"/>
              <w:sz w:val="36"/>
              <w:szCs w:val="36"/>
            </w:rPr>
            <w:fldChar w:fldCharType="end"/>
          </w:r>
          <w:r>
            <w:rPr>
              <w:rFonts w:hint="eastAsia" w:ascii="宋体" w:hAnsi="宋体" w:cs="宋体"/>
              <w:sz w:val="36"/>
              <w:szCs w:val="36"/>
            </w:rPr>
            <w:t>7</w:t>
          </w:r>
        </w:p>
        <w:p>
          <w:pPr>
            <w:pStyle w:val="162"/>
            <w:tabs>
              <w:tab w:val="right" w:leader="dot" w:pos="8953"/>
            </w:tabs>
            <w:rPr>
              <w:rFonts w:ascii="宋体" w:hAnsi="宋体" w:cs="宋体"/>
              <w:sz w:val="36"/>
              <w:szCs w:val="36"/>
            </w:rPr>
          </w:pPr>
          <w:r>
            <w:fldChar w:fldCharType="begin"/>
          </w:r>
          <w:r>
            <w:instrText xml:space="preserve"> HYPERLINK \l "_Toc17926" </w:instrText>
          </w:r>
          <w:r>
            <w:fldChar w:fldCharType="separate"/>
          </w:r>
          <w:r>
            <w:rPr>
              <w:rFonts w:hint="eastAsia" w:ascii="宋体" w:hAnsi="宋体" w:cs="宋体"/>
              <w:b/>
              <w:bCs/>
              <w:sz w:val="36"/>
              <w:szCs w:val="36"/>
            </w:rPr>
            <w:t xml:space="preserve">第四章 </w:t>
          </w:r>
          <w:r>
            <w:rPr>
              <w:rFonts w:ascii="宋体" w:hAnsi="宋体" w:cs="宋体"/>
              <w:b/>
              <w:bCs/>
              <w:sz w:val="36"/>
              <w:szCs w:val="36"/>
            </w:rPr>
            <w:t xml:space="preserve"> </w:t>
          </w:r>
          <w:r>
            <w:rPr>
              <w:rFonts w:hint="eastAsia" w:ascii="宋体" w:hAnsi="宋体" w:cs="宋体"/>
              <w:sz w:val="36"/>
              <w:szCs w:val="36"/>
            </w:rPr>
            <w:t>项目需求</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rPr>
            <w:t>1</w:t>
          </w:r>
        </w:p>
        <w:p>
          <w:pPr>
            <w:pStyle w:val="162"/>
            <w:tabs>
              <w:tab w:val="right" w:leader="dot" w:pos="8953"/>
            </w:tabs>
            <w:rPr>
              <w:rFonts w:ascii="宋体" w:hAnsi="宋体" w:cs="宋体"/>
              <w:sz w:val="36"/>
              <w:szCs w:val="36"/>
            </w:rPr>
          </w:pPr>
          <w:r>
            <w:fldChar w:fldCharType="begin"/>
          </w:r>
          <w:r>
            <w:instrText xml:space="preserve"> HYPERLINK \l "_Toc32259" </w:instrText>
          </w:r>
          <w:r>
            <w:fldChar w:fldCharType="separate"/>
          </w:r>
          <w:r>
            <w:rPr>
              <w:rFonts w:hint="eastAsia" w:ascii="宋体" w:hAnsi="宋体" w:cs="宋体"/>
              <w:b/>
              <w:bCs/>
              <w:sz w:val="36"/>
              <w:szCs w:val="36"/>
            </w:rPr>
            <w:t>第五章</w:t>
          </w:r>
          <w:r>
            <w:rPr>
              <w:rFonts w:hint="eastAsia" w:ascii="宋体" w:hAnsi="宋体" w:cs="宋体"/>
              <w:sz w:val="36"/>
              <w:szCs w:val="36"/>
            </w:rPr>
            <w:t xml:space="preserve">  评标方法与评标标准</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rPr>
            <w:t>5</w:t>
          </w:r>
        </w:p>
        <w:p>
          <w:pPr>
            <w:pStyle w:val="162"/>
            <w:tabs>
              <w:tab w:val="right" w:leader="dot" w:pos="8953"/>
            </w:tabs>
          </w:pPr>
          <w:r>
            <w:fldChar w:fldCharType="begin"/>
          </w:r>
          <w:r>
            <w:instrText xml:space="preserve"> HYPERLINK \l "_Toc20541" </w:instrText>
          </w:r>
          <w:r>
            <w:fldChar w:fldCharType="separate"/>
          </w:r>
          <w:r>
            <w:rPr>
              <w:rFonts w:hint="eastAsia" w:ascii="宋体" w:hAnsi="宋体" w:cs="宋体"/>
              <w:b/>
              <w:bCs/>
              <w:sz w:val="36"/>
              <w:szCs w:val="36"/>
            </w:rPr>
            <w:t>第六章</w:t>
          </w:r>
          <w:r>
            <w:rPr>
              <w:rFonts w:hint="eastAsia" w:ascii="宋体" w:hAnsi="宋体" w:cs="宋体"/>
              <w:sz w:val="36"/>
              <w:szCs w:val="36"/>
            </w:rPr>
            <w:t xml:space="preserve">  投标文件格式</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rPr>
            <w:t>8</w:t>
          </w:r>
        </w:p>
        <w:p>
          <w:pPr>
            <w:pStyle w:val="162"/>
            <w:tabs>
              <w:tab w:val="right" w:leader="dot" w:pos="8953"/>
            </w:tabs>
          </w:pPr>
        </w:p>
        <w:p>
          <w:pPr>
            <w:pStyle w:val="37"/>
            <w:jc w:val="both"/>
            <w:rPr>
              <w:rFonts w:ascii="宋体" w:hAnsi="宋体" w:eastAsia="宋体" w:cs="宋体"/>
              <w:bCs/>
            </w:rPr>
            <w:sectPr>
              <w:footerReference r:id="rId7" w:type="first"/>
              <w:footerReference r:id="rId6" w:type="default"/>
              <w:pgSz w:w="11906" w:h="16838"/>
              <w:pgMar w:top="1418" w:right="1588" w:bottom="1418" w:left="1365" w:header="851" w:footer="907" w:gutter="0"/>
              <w:pgNumType w:start="1"/>
              <w:cols w:space="720" w:num="1"/>
              <w:titlePg/>
              <w:docGrid w:type="lines" w:linePitch="290" w:charSpace="0"/>
            </w:sectPr>
          </w:pPr>
          <w:r>
            <w:rPr>
              <w:rFonts w:ascii="宋体" w:hAnsi="宋体" w:eastAsia="宋体" w:cs="宋体"/>
              <w:bCs/>
            </w:rPr>
            <w:fldChar w:fldCharType="end"/>
          </w:r>
        </w:p>
      </w:sdtContent>
    </w:sdt>
    <w:p>
      <w:pPr>
        <w:pStyle w:val="37"/>
        <w:outlineLvl w:val="0"/>
        <w:rPr>
          <w:rStyle w:val="47"/>
          <w:rFonts w:ascii="宋体" w:hAnsi="宋体" w:eastAsia="宋体" w:cs="宋体"/>
          <w:b/>
          <w:bCs/>
          <w:sz w:val="44"/>
          <w:szCs w:val="44"/>
        </w:rPr>
      </w:pPr>
      <w:bookmarkStart w:id="0" w:name="_Toc18878"/>
      <w:r>
        <w:rPr>
          <w:rStyle w:val="47"/>
          <w:rFonts w:hint="eastAsia" w:ascii="宋体" w:hAnsi="宋体" w:eastAsia="宋体" w:cs="宋体"/>
          <w:b/>
          <w:bCs/>
          <w:sz w:val="44"/>
          <w:szCs w:val="44"/>
        </w:rPr>
        <w:t>第一章  招标公告</w:t>
      </w:r>
      <w:bookmarkEnd w:id="0"/>
    </w:p>
    <w:p>
      <w:pPr>
        <w:pStyle w:val="37"/>
        <w:tabs>
          <w:tab w:val="left" w:pos="0"/>
          <w:tab w:val="left" w:pos="3165"/>
          <w:tab w:val="center" w:pos="4153"/>
        </w:tabs>
        <w:spacing w:line="360" w:lineRule="auto"/>
        <w:rPr>
          <w:rStyle w:val="47"/>
          <w:rFonts w:ascii="宋体" w:hAnsi="宋体" w:eastAsia="宋体" w:cs="宋体"/>
          <w:b/>
          <w:bCs/>
        </w:rPr>
      </w:pPr>
      <w:r>
        <w:rPr>
          <w:rStyle w:val="47"/>
          <w:rFonts w:hint="eastAsia" w:ascii="宋体" w:hAnsi="宋体" w:eastAsia="宋体" w:cs="宋体"/>
          <w:b/>
          <w:bCs/>
          <w:sz w:val="32"/>
          <w:szCs w:val="32"/>
        </w:rPr>
        <w:t>盐城工业职业技术学院WEB应用防火墙招标公告</w:t>
      </w:r>
    </w:p>
    <w:p>
      <w:pPr>
        <w:pBdr>
          <w:top w:val="single" w:color="000000" w:sz="4" w:space="1"/>
          <w:left w:val="single" w:color="000000" w:sz="4" w:space="4"/>
          <w:bottom w:val="single" w:color="000000" w:sz="4" w:space="1"/>
          <w:right w:val="single" w:color="000000" w:sz="4" w:space="4"/>
        </w:pBdr>
        <w:spacing w:line="460" w:lineRule="exact"/>
        <w:rPr>
          <w:rStyle w:val="47"/>
          <w:rFonts w:ascii="宋体" w:hAnsi="宋体" w:cs="宋体"/>
          <w:sz w:val="24"/>
          <w:szCs w:val="24"/>
        </w:rPr>
      </w:pPr>
      <w:r>
        <w:rPr>
          <w:rStyle w:val="47"/>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7"/>
          <w:rFonts w:ascii="宋体" w:hAnsi="宋体" w:cs="宋体"/>
          <w:sz w:val="24"/>
          <w:szCs w:val="24"/>
        </w:rPr>
      </w:pPr>
      <w:r>
        <w:rPr>
          <w:rStyle w:val="47"/>
          <w:rFonts w:hint="eastAsia" w:ascii="宋体" w:hAnsi="宋体" w:cs="宋体"/>
          <w:bCs/>
          <w:sz w:val="24"/>
          <w:szCs w:val="24"/>
          <w:u w:val="single" w:color="000000"/>
        </w:rPr>
        <w:t>盐城工业职业技术学院WEB应用防火墙</w:t>
      </w:r>
      <w:r>
        <w:rPr>
          <w:rStyle w:val="47"/>
          <w:rFonts w:hint="eastAsia" w:ascii="宋体" w:hAnsi="宋体" w:cs="宋体"/>
          <w:bCs/>
          <w:sz w:val="24"/>
          <w:szCs w:val="24"/>
        </w:rPr>
        <w:t>招标项目的潜在投标人应在“</w:t>
      </w:r>
      <w:r>
        <w:rPr>
          <w:rStyle w:val="47"/>
          <w:rFonts w:hint="eastAsia" w:ascii="宋体" w:hAnsi="宋体"/>
          <w:bCs/>
          <w:sz w:val="24"/>
          <w:szCs w:val="24"/>
          <w:u w:val="single"/>
        </w:rPr>
        <w:t>盐城工业职业技术学院招标采购网</w:t>
      </w:r>
      <w:r>
        <w:rPr>
          <w:rStyle w:val="47"/>
          <w:rFonts w:hint="eastAsia" w:ascii="宋体" w:hAnsi="宋体" w:cs="宋体"/>
          <w:bCs/>
          <w:sz w:val="24"/>
          <w:szCs w:val="24"/>
          <w:u w:val="single"/>
        </w:rPr>
        <w:t>”</w:t>
      </w:r>
      <w:r>
        <w:rPr>
          <w:rStyle w:val="47"/>
          <w:rFonts w:hint="eastAsia" w:ascii="宋体" w:hAnsi="宋体" w:cs="宋体"/>
          <w:bCs/>
          <w:sz w:val="24"/>
          <w:szCs w:val="24"/>
        </w:rPr>
        <w:t>获</w:t>
      </w:r>
      <w:r>
        <w:rPr>
          <w:rStyle w:val="47"/>
          <w:rFonts w:hint="eastAsia" w:ascii="宋体" w:hAnsi="宋体" w:cs="宋体"/>
          <w:sz w:val="24"/>
          <w:szCs w:val="24"/>
        </w:rPr>
        <w:t>取招标文件，并于</w:t>
      </w:r>
      <w:r>
        <w:rPr>
          <w:rStyle w:val="47"/>
          <w:rFonts w:hint="eastAsia" w:ascii="宋体" w:hAnsi="宋体" w:cs="宋体"/>
          <w:sz w:val="24"/>
          <w:szCs w:val="24"/>
          <w:u w:val="single" w:color="000000"/>
        </w:rPr>
        <w:t>2023</w:t>
      </w:r>
      <w:r>
        <w:rPr>
          <w:rStyle w:val="47"/>
          <w:rFonts w:hint="eastAsia" w:ascii="宋体" w:hAnsi="宋体" w:cs="宋体"/>
          <w:bCs/>
          <w:sz w:val="24"/>
          <w:szCs w:val="24"/>
          <w:u w:val="single" w:color="000000"/>
        </w:rPr>
        <w:t>年9月</w:t>
      </w:r>
      <w:r>
        <w:rPr>
          <w:rStyle w:val="47"/>
          <w:rFonts w:hint="eastAsia" w:ascii="宋体" w:hAnsi="宋体" w:cs="宋体"/>
          <w:bCs/>
          <w:sz w:val="24"/>
          <w:szCs w:val="24"/>
          <w:u w:val="single" w:color="000000"/>
          <w:lang w:val="en-US" w:eastAsia="zh-CN"/>
        </w:rPr>
        <w:t>15</w:t>
      </w:r>
      <w:r>
        <w:rPr>
          <w:rStyle w:val="47"/>
          <w:rFonts w:hint="eastAsia" w:ascii="宋体" w:hAnsi="宋体" w:cs="宋体"/>
          <w:bCs/>
          <w:sz w:val="24"/>
          <w:szCs w:val="24"/>
          <w:u w:val="single" w:color="000000"/>
        </w:rPr>
        <w:t>日9点00分（</w:t>
      </w:r>
      <w:r>
        <w:rPr>
          <w:rStyle w:val="47"/>
          <w:rFonts w:hint="eastAsia" w:ascii="宋体" w:hAnsi="宋体" w:cs="宋体"/>
          <w:bCs/>
          <w:sz w:val="24"/>
          <w:szCs w:val="24"/>
        </w:rPr>
        <w:t>北京时间）前递交投标文件</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一、项目基本情况</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项目编号：</w:t>
      </w:r>
      <w:r>
        <w:rPr>
          <w:rStyle w:val="47"/>
          <w:rFonts w:hint="eastAsia" w:ascii="宋体" w:hAnsi="宋体" w:cs="宋体"/>
          <w:sz w:val="24"/>
          <w:szCs w:val="24"/>
          <w:u w:val="single"/>
        </w:rPr>
        <w:t>2023-024W</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项目名称：</w:t>
      </w:r>
      <w:r>
        <w:rPr>
          <w:rStyle w:val="47"/>
          <w:rFonts w:hint="eastAsia" w:ascii="宋体" w:hAnsi="宋体" w:cs="宋体"/>
          <w:sz w:val="24"/>
          <w:szCs w:val="24"/>
          <w:u w:val="single"/>
        </w:rPr>
        <w:t>盐城工业职业技术学院WEB应用防火墙</w:t>
      </w:r>
    </w:p>
    <w:p>
      <w:pPr>
        <w:pStyle w:val="146"/>
        <w:widowControl w:val="0"/>
        <w:tabs>
          <w:tab w:val="left" w:pos="0"/>
        </w:tabs>
        <w:adjustRightInd w:val="0"/>
        <w:snapToGrid w:val="0"/>
        <w:spacing w:line="360" w:lineRule="auto"/>
        <w:ind w:left="0" w:firstLine="480" w:firstLineChars="200"/>
        <w:rPr>
          <w:rStyle w:val="47"/>
          <w:rFonts w:ascii="宋体" w:hAnsi="宋体" w:cs="宋体"/>
          <w:szCs w:val="24"/>
          <w:u w:val="single"/>
          <w:lang w:eastAsia="zh-CN"/>
        </w:rPr>
      </w:pPr>
      <w:r>
        <w:rPr>
          <w:rStyle w:val="47"/>
          <w:rFonts w:hint="eastAsia" w:ascii="宋体" w:hAnsi="宋体" w:cs="宋体"/>
          <w:szCs w:val="24"/>
          <w:lang w:eastAsia="zh-CN"/>
        </w:rPr>
        <w:t>最高限价：</w:t>
      </w:r>
      <w:r>
        <w:rPr>
          <w:rStyle w:val="47"/>
          <w:rFonts w:hint="eastAsia" w:ascii="宋体" w:hAnsi="宋体" w:cs="宋体"/>
          <w:szCs w:val="24"/>
          <w:u w:val="single"/>
          <w:lang w:eastAsia="zh-CN"/>
        </w:rPr>
        <w:t>29.5万元。</w:t>
      </w:r>
    </w:p>
    <w:p>
      <w:pPr>
        <w:adjustRightInd w:val="0"/>
        <w:snapToGrid w:val="0"/>
        <w:spacing w:line="336" w:lineRule="auto"/>
        <w:ind w:firstLine="480" w:firstLineChars="200"/>
        <w:rPr>
          <w:rStyle w:val="47"/>
          <w:rFonts w:ascii="宋体" w:hAnsi="宋体" w:cs="宋体"/>
          <w:sz w:val="24"/>
          <w:szCs w:val="24"/>
          <w:u w:val="single"/>
        </w:rPr>
      </w:pPr>
      <w:r>
        <w:rPr>
          <w:rStyle w:val="47"/>
          <w:rFonts w:hint="eastAsia" w:ascii="宋体" w:hAnsi="宋体" w:cs="宋体"/>
          <w:sz w:val="24"/>
          <w:szCs w:val="24"/>
        </w:rPr>
        <w:t>采购需求：</w:t>
      </w:r>
      <w:r>
        <w:rPr>
          <w:rStyle w:val="47"/>
          <w:rFonts w:hint="eastAsia" w:ascii="宋体" w:hAnsi="宋体" w:cs="宋体"/>
          <w:sz w:val="24"/>
          <w:szCs w:val="24"/>
          <w:u w:val="single"/>
        </w:rPr>
        <w:t>盐城工业职业技术学院WEB应用防火墙的</w:t>
      </w:r>
      <w:r>
        <w:rPr>
          <w:rStyle w:val="47"/>
          <w:rFonts w:hint="eastAsia" w:ascii="宋体" w:hAnsi="宋体" w:cs="宋体"/>
          <w:color w:val="000000" w:themeColor="text1"/>
          <w:sz w:val="24"/>
          <w:szCs w:val="24"/>
          <w:u w:val="single"/>
          <w14:textFill>
            <w14:solidFill>
              <w14:schemeClr w14:val="tx1"/>
            </w14:solidFill>
          </w14:textFill>
        </w:rPr>
        <w:t>采购、安装及就位、调试、维保、售前、售后等相关伴随服务，具体产品名称、数量、规格及技术参数等以招标文件为准，采购人保留对上述采购规模进行调整的权利。</w:t>
      </w:r>
    </w:p>
    <w:p>
      <w:pPr>
        <w:snapToGrid w:val="0"/>
        <w:spacing w:line="360" w:lineRule="auto"/>
        <w:ind w:firstLine="480" w:firstLineChars="200"/>
        <w:rPr>
          <w:rStyle w:val="47"/>
          <w:rFonts w:ascii="宋体" w:hAnsi="宋体" w:cs="宋体"/>
          <w:sz w:val="24"/>
          <w:szCs w:val="24"/>
          <w:u w:val="single"/>
        </w:rPr>
      </w:pPr>
      <w:r>
        <w:rPr>
          <w:rStyle w:val="47"/>
          <w:rFonts w:hint="eastAsia" w:ascii="宋体" w:hAnsi="宋体" w:cs="宋体"/>
          <w:sz w:val="24"/>
          <w:szCs w:val="24"/>
        </w:rPr>
        <w:t>合同履行期限：</w:t>
      </w:r>
      <w:r>
        <w:rPr>
          <w:rStyle w:val="47"/>
          <w:rFonts w:hint="eastAsia" w:ascii="宋体" w:hAnsi="宋体" w:cs="宋体"/>
          <w:sz w:val="24"/>
          <w:szCs w:val="24"/>
          <w:u w:val="single"/>
        </w:rPr>
        <w:t>在签订合同后</w:t>
      </w:r>
      <w:r>
        <w:rPr>
          <w:rStyle w:val="47"/>
          <w:rFonts w:ascii="宋体" w:hAnsi="宋体" w:cs="宋体"/>
          <w:sz w:val="24"/>
          <w:szCs w:val="24"/>
          <w:u w:val="single"/>
        </w:rPr>
        <w:t>30</w:t>
      </w:r>
      <w:r>
        <w:rPr>
          <w:rStyle w:val="47"/>
          <w:rFonts w:hint="eastAsia" w:ascii="宋体" w:hAnsi="宋体" w:cs="宋体"/>
          <w:sz w:val="24"/>
          <w:szCs w:val="24"/>
          <w:u w:val="single"/>
        </w:rPr>
        <w:t>个日历天内完成全部内容的服务工作（如甲方需要延时交付，可另行约定时间）。</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本项目</w:t>
      </w:r>
      <w:r>
        <w:rPr>
          <w:rStyle w:val="47"/>
          <w:rFonts w:hint="eastAsia" w:ascii="宋体" w:hAnsi="宋体" w:cs="宋体"/>
          <w:b/>
          <w:bCs/>
          <w:sz w:val="24"/>
          <w:szCs w:val="24"/>
          <w:u w:val="single"/>
        </w:rPr>
        <w:t>不接受</w:t>
      </w:r>
      <w:r>
        <w:rPr>
          <w:rStyle w:val="47"/>
          <w:rFonts w:hint="eastAsia" w:ascii="宋体" w:hAnsi="宋体" w:cs="宋体"/>
          <w:sz w:val="24"/>
          <w:szCs w:val="24"/>
        </w:rPr>
        <w:t>联合体投标。</w:t>
      </w:r>
    </w:p>
    <w:p>
      <w:pPr>
        <w:pStyle w:val="37"/>
        <w:widowControl w:val="0"/>
        <w:tabs>
          <w:tab w:val="left" w:pos="0"/>
          <w:tab w:val="left" w:pos="3165"/>
          <w:tab w:val="center" w:pos="4153"/>
        </w:tabs>
        <w:adjustRightInd w:val="0"/>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二、投标人的资格要求：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（2）上一年度（2022年）的财务报表（成立不满一年不需提供）；</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（3）依法缴纳税收和社会保障资金的相关材料，</w:t>
      </w:r>
      <w:r>
        <w:rPr>
          <w:rStyle w:val="47"/>
          <w:rFonts w:hint="eastAsia" w:ascii="宋体" w:hAnsi="宋体"/>
          <w:sz w:val="24"/>
          <w:szCs w:val="24"/>
        </w:rPr>
        <w:t>依法免税或不需要缴纳社会保障资金的，应提供相应文件证明材料</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（5）参加政府采购活动前3年内在经营活动中没有重大违法记录的书面声明；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2.落实政府采购政策需满足的资格要求：/。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3.本项目的特定资格要求：</w:t>
      </w:r>
    </w:p>
    <w:p>
      <w:pPr>
        <w:spacing w:line="460" w:lineRule="exact"/>
        <w:ind w:firstLine="480" w:firstLineChars="200"/>
        <w:rPr>
          <w:rStyle w:val="47"/>
          <w:rFonts w:ascii="宋体" w:hAnsi="宋体"/>
          <w:sz w:val="24"/>
          <w:szCs w:val="24"/>
        </w:rPr>
      </w:pPr>
      <w:r>
        <w:rPr>
          <w:rStyle w:val="47"/>
          <w:rFonts w:ascii="宋体" w:hAnsi="宋体"/>
          <w:sz w:val="24"/>
          <w:szCs w:val="24"/>
        </w:rPr>
        <w:t>（1）未被“信用中国”网站（www.creditchina.gov.cn）列入失信被执行人、重大税收违法案件当事人名单、政府采购严重失信行为记录名单。</w:t>
      </w:r>
    </w:p>
    <w:p>
      <w:pPr>
        <w:spacing w:line="460" w:lineRule="exact"/>
        <w:ind w:firstLine="480" w:firstLineChars="200"/>
        <w:rPr>
          <w:rStyle w:val="47"/>
          <w:rFonts w:ascii="宋体" w:hAnsi="宋体"/>
          <w:sz w:val="24"/>
          <w:szCs w:val="24"/>
        </w:rPr>
      </w:pPr>
      <w:r>
        <w:rPr>
          <w:rStyle w:val="47"/>
          <w:rFonts w:ascii="宋体" w:hAnsi="宋体"/>
          <w:sz w:val="24"/>
          <w:szCs w:val="24"/>
        </w:rPr>
        <w:t>（</w:t>
      </w:r>
      <w:r>
        <w:rPr>
          <w:rStyle w:val="47"/>
          <w:rFonts w:hint="eastAsia" w:ascii="宋体" w:hAnsi="宋体"/>
          <w:sz w:val="24"/>
          <w:szCs w:val="24"/>
        </w:rPr>
        <w:t>2</w:t>
      </w:r>
      <w:r>
        <w:rPr>
          <w:rStyle w:val="47"/>
          <w:rFonts w:ascii="宋体" w:hAnsi="宋体"/>
          <w:sz w:val="24"/>
          <w:szCs w:val="24"/>
        </w:rPr>
        <w:t>）单位负责人为同一人或者存在直接控股、管理关系的不同供应商，不得参加同一合同项下的政府采购活动。</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三、获取招标文件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时间：自公告之日起至投标截止时间前1日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地点：盐城工业职业技术学院招标采购网</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方式：符合资格要求的投标人可自行下载采购文件，采购文件见盐城工业职业技术学院招标采购网本公告附件。</w:t>
      </w:r>
    </w:p>
    <w:p>
      <w:pPr>
        <w:adjustRightInd w:val="0"/>
        <w:snapToGrid w:val="0"/>
        <w:spacing w:line="360" w:lineRule="auto"/>
        <w:ind w:firstLine="480" w:firstLineChars="200"/>
        <w:rPr>
          <w:rStyle w:val="47"/>
          <w:rFonts w:ascii="宋体" w:hAnsi="宋体" w:cs="宋体"/>
          <w:sz w:val="24"/>
          <w:szCs w:val="24"/>
        </w:rPr>
      </w:pPr>
      <w:r>
        <w:rPr>
          <w:rFonts w:hint="eastAsia" w:ascii="宋体" w:hAnsi="宋体" w:cs="宋体"/>
          <w:bCs/>
          <w:sz w:val="24"/>
          <w:szCs w:val="24"/>
        </w:rPr>
        <w:t>报名时间及地点：本公告发布后凡具备上述资格条件，并自愿参加本项目投标的投标人应于2023年8月2</w:t>
      </w:r>
      <w:r>
        <w:rPr>
          <w:rFonts w:hint="eastAsia" w:ascii="宋体" w:hAnsi="宋体" w:cs="宋体"/>
          <w:bCs/>
          <w:sz w:val="24"/>
          <w:szCs w:val="24"/>
          <w:lang w:val="en-US" w:eastAsia="zh-CN"/>
        </w:rPr>
        <w:t>5</w:t>
      </w:r>
      <w:r>
        <w:rPr>
          <w:rFonts w:hint="eastAsia" w:ascii="宋体" w:hAnsi="宋体" w:cs="宋体"/>
          <w:bCs/>
          <w:sz w:val="24"/>
          <w:szCs w:val="24"/>
        </w:rPr>
        <w:t>日至2023年9月1日委派本单位正式人员携带单位介绍信或授权委托书扫描件至我单位或添加微信（微信号:13305104722）购买招标文件，逾期的不予接收。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售价：人民币500元，售后不退。</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四、提交投标文件截止时间、开标时间和地点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时间：2023</w:t>
      </w:r>
      <w:r>
        <w:rPr>
          <w:rStyle w:val="47"/>
          <w:rFonts w:hint="eastAsia" w:ascii="宋体" w:hAnsi="宋体" w:cs="宋体"/>
          <w:bCs/>
          <w:sz w:val="24"/>
          <w:szCs w:val="24"/>
        </w:rPr>
        <w:t>年9月</w:t>
      </w:r>
      <w:r>
        <w:rPr>
          <w:rStyle w:val="47"/>
          <w:rFonts w:hint="eastAsia" w:ascii="宋体" w:hAnsi="宋体" w:cs="宋体"/>
          <w:bCs/>
          <w:sz w:val="24"/>
          <w:szCs w:val="24"/>
          <w:lang w:val="en-US" w:eastAsia="zh-CN"/>
        </w:rPr>
        <w:t>15</w:t>
      </w:r>
      <w:bookmarkStart w:id="63" w:name="_GoBack"/>
      <w:bookmarkEnd w:id="63"/>
      <w:r>
        <w:rPr>
          <w:rStyle w:val="47"/>
          <w:rFonts w:hint="eastAsia" w:ascii="宋体" w:hAnsi="宋体" w:cs="宋体"/>
          <w:bCs/>
          <w:sz w:val="24"/>
          <w:szCs w:val="24"/>
        </w:rPr>
        <w:t>日9点00分</w:t>
      </w:r>
      <w:r>
        <w:rPr>
          <w:rStyle w:val="47"/>
          <w:rFonts w:hint="eastAsia" w:ascii="宋体" w:hAnsi="宋体" w:cs="宋体"/>
          <w:sz w:val="24"/>
          <w:szCs w:val="24"/>
        </w:rPr>
        <w:t>（北京时间）</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w:t>
      </w:r>
      <w:r>
        <w:rPr>
          <w:rStyle w:val="47"/>
          <w:rFonts w:hint="eastAsia" w:ascii="宋体" w:hAnsi="宋体" w:cs="宋体"/>
          <w:color w:val="000000" w:themeColor="text1"/>
          <w:sz w:val="24"/>
          <w:szCs w:val="24"/>
          <w14:textFill>
            <w14:solidFill>
              <w14:schemeClr w14:val="tx1"/>
            </w14:solidFill>
          </w14:textFill>
        </w:rPr>
        <w:t>盐城工业职业技术学院（盐城市解放南路285号）南食堂四楼402开标室</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五、公告期限</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kern w:val="0"/>
          <w:sz w:val="24"/>
          <w:szCs w:val="24"/>
        </w:rPr>
        <w:t>自本公告发布之日起5个工作日。</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六、其他补充事宜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sz w:val="24"/>
        </w:rPr>
      </w:pPr>
      <w:r>
        <w:rPr>
          <w:rFonts w:hint="eastAsia" w:ascii="宋体" w:hAnsi="宋体" w:cs="宋体"/>
          <w:b/>
          <w:bCs/>
          <w:sz w:val="24"/>
        </w:rPr>
        <w:t>七、本项目投标保证金</w:t>
      </w:r>
    </w:p>
    <w:p>
      <w:pPr>
        <w:pStyle w:val="37"/>
        <w:tabs>
          <w:tab w:val="left" w:pos="0"/>
          <w:tab w:val="left" w:pos="3165"/>
          <w:tab w:val="center" w:pos="4153"/>
        </w:tabs>
        <w:snapToGrid w:val="0"/>
        <w:spacing w:line="360" w:lineRule="auto"/>
        <w:ind w:firstLine="480" w:firstLineChars="200"/>
        <w:jc w:val="left"/>
        <w:rPr>
          <w:rStyle w:val="47"/>
          <w:rFonts w:ascii="宋体" w:hAnsi="宋体" w:eastAsia="宋体" w:cs="宋体"/>
          <w:sz w:val="24"/>
          <w:szCs w:val="24"/>
        </w:rPr>
      </w:pPr>
      <w:r>
        <w:rPr>
          <w:rStyle w:val="47"/>
          <w:rFonts w:hint="eastAsia" w:ascii="宋体" w:hAnsi="宋体" w:eastAsia="宋体" w:cs="宋体"/>
          <w:sz w:val="24"/>
          <w:szCs w:val="24"/>
        </w:rPr>
        <w:t>根据江苏省财政厅及盐财购〔2020〕11号文件关于取消政府采购投标保证金的规定，本采购项目投标人无需在投标截止时间之前交纳（提交）投标保证金。</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八、对本次招标提出询问，请按以下方式联系。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1.采购人信息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名称：盐城工业职业技术学院</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地址：盐城市解放南路285号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联系人：赵老师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联系电话：0515-88588707</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2.采购代理机构信息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名称：江苏伟业项目管理有限公司</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地址：盐城市华邦国际东厦16楼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联系人：陈先生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w:t>
      </w:r>
      <w:r>
        <w:rPr>
          <w:rFonts w:hint="eastAsia" w:ascii="宋体" w:hAnsi="宋体" w:cs="宋体"/>
          <w:bCs/>
          <w:sz w:val="24"/>
        </w:rPr>
        <w:t>13305104722</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3.项目联系方式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项目联系人：李老师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联系电话：13921815951</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对项目需求部分的询问、质疑请向使用部门提出，询问、质疑由项目联系人负责答复。</w:t>
      </w:r>
    </w:p>
    <w:p>
      <w:pPr>
        <w:snapToGrid w:val="0"/>
        <w:spacing w:line="360" w:lineRule="auto"/>
        <w:ind w:firstLine="480" w:firstLineChars="20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38"/>
        <w:spacing w:before="0" w:after="0" w:line="240" w:lineRule="auto"/>
        <w:jc w:val="both"/>
        <w:outlineLvl w:val="0"/>
        <w:rPr>
          <w:rStyle w:val="47"/>
          <w:rFonts w:ascii="宋体" w:hAnsi="宋体" w:eastAsia="宋体" w:cs="宋体"/>
        </w:rPr>
      </w:pPr>
      <w:bookmarkStart w:id="1" w:name="_Toc21663"/>
    </w:p>
    <w:p>
      <w:pPr>
        <w:pStyle w:val="39"/>
        <w:rPr>
          <w:rStyle w:val="47"/>
          <w:rFonts w:ascii="宋体" w:hAnsi="宋体" w:cs="宋体"/>
        </w:rPr>
      </w:pPr>
    </w:p>
    <w:p>
      <w:pPr>
        <w:pStyle w:val="39"/>
        <w:rPr>
          <w:rStyle w:val="47"/>
          <w:rFonts w:ascii="宋体" w:hAnsi="宋体" w:cs="宋体"/>
        </w:rPr>
      </w:pPr>
    </w:p>
    <w:p>
      <w:pPr>
        <w:pStyle w:val="38"/>
        <w:spacing w:before="0" w:after="0" w:line="240" w:lineRule="auto"/>
        <w:outlineLvl w:val="0"/>
        <w:rPr>
          <w:rStyle w:val="47"/>
          <w:rFonts w:ascii="宋体" w:hAnsi="宋体" w:eastAsia="宋体" w:cs="宋体"/>
          <w:b w:val="0"/>
          <w:bCs w:val="0"/>
        </w:rPr>
      </w:pPr>
      <w:r>
        <w:rPr>
          <w:rStyle w:val="47"/>
          <w:rFonts w:hint="eastAsia" w:ascii="宋体" w:hAnsi="宋体" w:eastAsia="宋体" w:cs="宋体"/>
        </w:rPr>
        <w:t>第二章  投标人须知</w:t>
      </w:r>
      <w:bookmarkEnd w:id="1"/>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一、总则</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1、招标方式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 本次招标采取公开招标方式，本招标文件仅适用于招标公告中所述项目。</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2、合格的投标人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2.1满足招标公告中供应商的资格要求的规定。</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 满足本文件实质性条款的规定。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3、适用法律</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 本次招标及由此产生的合同受中华人民共和国有关的法律法规制约和保护。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4、投标费用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5、招标文件的约束力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5.1</w:t>
      </w:r>
      <w:r>
        <w:rPr>
          <w:rStyle w:val="47"/>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6、招标文件的解释</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6.1 本招标文件由采购人或采购代理机构负责解释。</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二、招标文件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7、招标文件构成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7.1</w:t>
      </w:r>
      <w:r>
        <w:rPr>
          <w:rStyle w:val="47"/>
          <w:rFonts w:hint="eastAsia" w:ascii="宋体" w:hAnsi="宋体" w:cs="宋体"/>
          <w:sz w:val="24"/>
          <w:szCs w:val="24"/>
        </w:rPr>
        <w:t xml:space="preserve"> 招标文件有以下部分组成：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（1）招标公告</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（2）投标人须知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（3）合同条款及格式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（4）项目需求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（5）评标方法与评标标准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（6）投标文件格式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7.2</w:t>
      </w:r>
      <w:r>
        <w:rPr>
          <w:rStyle w:val="47"/>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8、招标文件的询问</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8.1</w:t>
      </w:r>
      <w:r>
        <w:rPr>
          <w:rStyle w:val="47"/>
          <w:rFonts w:hint="eastAsia" w:ascii="宋体" w:hAnsi="宋体" w:cs="宋体"/>
          <w:sz w:val="24"/>
          <w:szCs w:val="24"/>
        </w:rPr>
        <w:t xml:space="preserve"> 任何要求对招标文件进行询问的投标人，应在投标截止日期</w:t>
      </w:r>
      <w:r>
        <w:rPr>
          <w:rStyle w:val="47"/>
          <w:rFonts w:hint="eastAsia" w:ascii="宋体" w:hAnsi="宋体" w:cs="宋体"/>
          <w:b/>
          <w:sz w:val="24"/>
          <w:szCs w:val="24"/>
        </w:rPr>
        <w:t>十日</w:t>
      </w:r>
      <w:r>
        <w:rPr>
          <w:rStyle w:val="47"/>
          <w:rFonts w:hint="eastAsia" w:ascii="宋体" w:hAnsi="宋体" w:cs="宋体"/>
          <w:sz w:val="24"/>
          <w:szCs w:val="24"/>
        </w:rPr>
        <w:t>前按招标公告中的通讯地址，向采购人或采购代理机构提出。</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9、招标文件的修改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9.1</w:t>
      </w:r>
      <w:r>
        <w:rPr>
          <w:rStyle w:val="47"/>
          <w:rFonts w:hint="eastAsia" w:ascii="宋体" w:hAnsi="宋体" w:cs="宋体"/>
          <w:sz w:val="24"/>
          <w:szCs w:val="24"/>
        </w:rPr>
        <w:t xml:space="preserve"> 在投标截止时间前，采购人或采购代理机构可以对招标文件进行修改。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9.2</w:t>
      </w:r>
      <w:r>
        <w:rPr>
          <w:rStyle w:val="47"/>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9.3</w:t>
      </w:r>
      <w:r>
        <w:rPr>
          <w:rStyle w:val="47"/>
          <w:rFonts w:hint="eastAsia" w:ascii="宋体" w:hAnsi="宋体" w:cs="宋体"/>
          <w:sz w:val="24"/>
          <w:szCs w:val="24"/>
        </w:rPr>
        <w:t>招标文件的修改将在“盐城工业职业技术学院招标采购网”公布，补充文件将作为招标文件的组成部分，并对投标人具有约束力。</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三、投标文件的编制</w:t>
      </w:r>
    </w:p>
    <w:p>
      <w:pPr>
        <w:pStyle w:val="41"/>
        <w:snapToGrid w:val="0"/>
        <w:spacing w:before="0" w:after="0" w:line="360" w:lineRule="auto"/>
        <w:ind w:firstLine="480" w:firstLineChars="200"/>
        <w:rPr>
          <w:rStyle w:val="47"/>
          <w:rFonts w:ascii="宋体" w:hAnsi="宋体" w:cs="宋体"/>
          <w:bCs/>
          <w:sz w:val="24"/>
          <w:szCs w:val="24"/>
        </w:rPr>
      </w:pPr>
      <w:r>
        <w:rPr>
          <w:rStyle w:val="47"/>
          <w:rFonts w:hint="eastAsia" w:ascii="宋体" w:hAnsi="宋体" w:cs="宋体"/>
          <w:b w:val="0"/>
          <w:bCs/>
          <w:sz w:val="24"/>
          <w:szCs w:val="24"/>
        </w:rPr>
        <w:t>10、投标文件的语言及度量衡单位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10.1</w:t>
      </w:r>
      <w:r>
        <w:rPr>
          <w:rStyle w:val="47"/>
          <w:rFonts w:hint="eastAsia" w:ascii="宋体" w:hAnsi="宋体" w:cs="宋体"/>
          <w:sz w:val="24"/>
          <w:szCs w:val="24"/>
        </w:rPr>
        <w:t xml:space="preserve"> 投标人提交的投标文件以及投标人与采购人或采购代理机构就有关投标的所有来往通知、函件和文件均应使用</w:t>
      </w:r>
      <w:r>
        <w:rPr>
          <w:rStyle w:val="47"/>
          <w:rFonts w:hint="eastAsia" w:ascii="宋体" w:hAnsi="宋体" w:cs="宋体"/>
          <w:b/>
          <w:bCs/>
          <w:sz w:val="24"/>
          <w:szCs w:val="24"/>
        </w:rPr>
        <w:t>简体中文</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10.2</w:t>
      </w:r>
      <w:r>
        <w:rPr>
          <w:rStyle w:val="47"/>
          <w:rFonts w:hint="eastAsia" w:ascii="宋体" w:hAnsi="宋体" w:cs="宋体"/>
          <w:sz w:val="24"/>
          <w:szCs w:val="24"/>
        </w:rPr>
        <w:t xml:space="preserve"> 除技术性能另有规定外，投标文件所使用的度量衡单位，均须采用国家法定计量单位。</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11、投标文件构成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47"/>
          <w:rFonts w:hint="eastAsia" w:ascii="宋体" w:hAnsi="宋体" w:cs="宋体"/>
          <w:bCs/>
          <w:sz w:val="24"/>
          <w:szCs w:val="24"/>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11.2投标人应将投标文件按顺序装订成册，并编制投标文件资料目录。</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12.5证明投标人所提供货物及服务与招标文件的要求相一致的文件可以是手册、图纸、文字资料和数据</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3" w:name="_Hlt26670399"/>
      <w:bookmarkEnd w:id="3"/>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13.2</w:t>
      </w:r>
      <w:r>
        <w:rPr>
          <w:rStyle w:val="47"/>
          <w:rFonts w:hint="eastAsia" w:ascii="宋体" w:hAnsi="宋体" w:cs="宋体"/>
          <w:sz w:val="24"/>
          <w:szCs w:val="24"/>
        </w:rPr>
        <w:t xml:space="preserve"> 标的物</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采购人需求的货物供应、安装，调试及有关技术服务等</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13.3有关费用处理</w:t>
      </w:r>
    </w:p>
    <w:p>
      <w:pPr>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招标报价采用总承包方式，</w:t>
      </w:r>
      <w:r>
        <w:rPr>
          <w:rStyle w:val="47"/>
          <w:rFonts w:ascii="宋体" w:hAnsi="宋体"/>
          <w:sz w:val="24"/>
          <w:szCs w:val="24"/>
        </w:rPr>
        <w:t>包括</w:t>
      </w:r>
      <w:r>
        <w:rPr>
          <w:rStyle w:val="47"/>
          <w:rFonts w:ascii="宋体" w:hAnsi="宋体" w:cs="宋体"/>
          <w:bCs/>
          <w:sz w:val="24"/>
          <w:szCs w:val="24"/>
        </w:rPr>
        <w:t>买方需求的货物价格</w:t>
      </w:r>
      <w:r>
        <w:rPr>
          <w:rStyle w:val="47"/>
          <w:rFonts w:ascii="宋体" w:hAnsi="宋体"/>
          <w:sz w:val="24"/>
          <w:szCs w:val="24"/>
        </w:rPr>
        <w:t>、</w:t>
      </w:r>
      <w:r>
        <w:rPr>
          <w:rStyle w:val="47"/>
          <w:rFonts w:ascii="宋体" w:hAnsi="宋体" w:cs="宋体"/>
          <w:bCs/>
          <w:sz w:val="24"/>
          <w:szCs w:val="24"/>
        </w:rPr>
        <w:t>质量保证费用、培训费用及售后服务费用，项目在指定地点、环境交付、验收所需费用和所有</w:t>
      </w:r>
      <w:r>
        <w:rPr>
          <w:rStyle w:val="47"/>
          <w:rFonts w:ascii="宋体" w:hAnsi="宋体"/>
          <w:sz w:val="24"/>
          <w:szCs w:val="24"/>
        </w:rPr>
        <w:t>相关税金费用</w:t>
      </w:r>
      <w:r>
        <w:rPr>
          <w:rStyle w:val="47"/>
          <w:rFonts w:ascii="宋体" w:hAnsi="宋体" w:cs="宋体"/>
          <w:bCs/>
          <w:sz w:val="24"/>
          <w:szCs w:val="24"/>
        </w:rPr>
        <w:t>及为完成整个项目所产生的其它所有费用。</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13.4</w:t>
      </w:r>
      <w:r>
        <w:rPr>
          <w:rStyle w:val="47"/>
          <w:rFonts w:hint="eastAsia" w:ascii="宋体" w:hAnsi="宋体" w:cs="宋体"/>
          <w:bCs/>
          <w:sz w:val="24"/>
          <w:szCs w:val="24"/>
        </w:rPr>
        <w:t>其它费用处理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13.5</w:t>
      </w:r>
      <w:r>
        <w:rPr>
          <w:rStyle w:val="47"/>
          <w:rFonts w:hint="eastAsia" w:ascii="宋体" w:hAnsi="宋体" w:cs="宋体"/>
          <w:bCs/>
          <w:sz w:val="24"/>
          <w:szCs w:val="24"/>
        </w:rPr>
        <w:t>投标货币</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投标文件中的货物</w:t>
      </w:r>
      <w:r>
        <w:rPr>
          <w:rStyle w:val="47"/>
          <w:rFonts w:hint="eastAsia" w:ascii="宋体" w:hAnsi="宋体" w:cs="宋体"/>
          <w:sz w:val="24"/>
          <w:szCs w:val="24"/>
        </w:rPr>
        <w:t>及服务</w:t>
      </w:r>
      <w:r>
        <w:rPr>
          <w:rStyle w:val="47"/>
          <w:rFonts w:hint="eastAsia" w:ascii="宋体" w:hAnsi="宋体" w:cs="宋体"/>
          <w:bCs/>
          <w:sz w:val="24"/>
          <w:szCs w:val="24"/>
        </w:rPr>
        <w:t>单价和总价无特殊规定的采用人民币报价，以元为单位标注。</w:t>
      </w:r>
      <w:r>
        <w:rPr>
          <w:rStyle w:val="47"/>
          <w:rFonts w:hint="eastAsia" w:ascii="宋体" w:hAnsi="宋体" w:cs="宋体"/>
          <w:sz w:val="24"/>
          <w:szCs w:val="24"/>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pPr>
        <w:widowControl w:val="0"/>
        <w:adjustRightInd w:val="0"/>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47"/>
          <w:rFonts w:hint="eastAsia" w:ascii="宋体" w:hAnsi="宋体" w:cs="宋体"/>
          <w:sz w:val="24"/>
          <w:szCs w:val="24"/>
        </w:rPr>
        <w:t>明</w:t>
      </w:r>
    </w:p>
    <w:p>
      <w:pPr>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lang w:val="zh-CN"/>
        </w:rPr>
        <w:t>14.1</w:t>
      </w:r>
      <w:r>
        <w:rPr>
          <w:rStyle w:val="47"/>
          <w:rFonts w:hint="eastAsia" w:ascii="宋体" w:hAnsi="宋体" w:cs="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14.2 提供参加本项目类似案例简介；</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14.3 培训计划；</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14.5 投标人认为需要的其他技术文件或说明。</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w:t>
      </w:r>
      <w:r>
        <w:rPr>
          <w:rStyle w:val="47"/>
          <w:rFonts w:hint="eastAsia" w:ascii="宋体" w:hAnsi="宋体" w:cs="宋体"/>
          <w:sz w:val="24"/>
          <w:szCs w:val="24"/>
          <w:lang w:val="zh-CN"/>
        </w:rPr>
        <w:t>5、服务承诺及售后服务机构、人员的情况介绍</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15.1</w:t>
      </w:r>
      <w:r>
        <w:rPr>
          <w:rStyle w:val="47"/>
          <w:rFonts w:hint="eastAsia" w:ascii="宋体" w:hAnsi="宋体" w:cs="宋体"/>
          <w:sz w:val="24"/>
          <w:szCs w:val="24"/>
        </w:rPr>
        <w:t>投标人的服务承诺应按不低于招标文件中商务要求的标准。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15.2</w:t>
      </w:r>
      <w:r>
        <w:rPr>
          <w:rStyle w:val="47"/>
          <w:rFonts w:hint="eastAsia" w:ascii="宋体" w:hAnsi="宋体" w:cs="宋体"/>
          <w:sz w:val="24"/>
          <w:szCs w:val="24"/>
        </w:rPr>
        <w:t>提供投标人有关售后服务的管理制度、售后服务机构的分布情况、售后服务人员的数量、素质、技术水平及售后服务的反应能力。</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16、投标函和开标一览表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16.1</w:t>
      </w:r>
      <w:r>
        <w:rPr>
          <w:rStyle w:val="47"/>
          <w:rFonts w:hint="eastAsia" w:ascii="宋体" w:hAnsi="宋体" w:cs="宋体"/>
          <w:sz w:val="24"/>
          <w:szCs w:val="24"/>
        </w:rPr>
        <w:t xml:space="preserve"> 投标人应按照招标文件中提供的格式完整、正确填写投标函、开标一览表。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16.2开标一览表中的价格应与投标文件中投标配置与分项报价表中的价格一致，如不一致，</w:t>
      </w:r>
      <w:r>
        <w:rPr>
          <w:rStyle w:val="47"/>
          <w:rFonts w:hint="eastAsia" w:ascii="宋体" w:hAnsi="宋体" w:cs="宋体"/>
          <w:sz w:val="24"/>
          <w:szCs w:val="24"/>
        </w:rPr>
        <w:t>不作为无效投标处理</w:t>
      </w:r>
      <w:r>
        <w:rPr>
          <w:rStyle w:val="47"/>
          <w:rFonts w:hint="eastAsia" w:ascii="宋体" w:hAnsi="宋体" w:cs="宋体"/>
          <w:bCs/>
          <w:sz w:val="24"/>
          <w:szCs w:val="24"/>
        </w:rPr>
        <w:t>，但评标时按开标一览表中价格为准</w:t>
      </w:r>
      <w:r>
        <w:rPr>
          <w:rStyle w:val="47"/>
          <w:rFonts w:hint="eastAsia" w:ascii="宋体" w:hAnsi="宋体" w:cs="宋体"/>
          <w:b/>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17、投标有效期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17.1</w:t>
      </w:r>
      <w:r>
        <w:rPr>
          <w:rStyle w:val="47"/>
          <w:rFonts w:hint="eastAsia" w:ascii="宋体" w:hAnsi="宋体" w:cs="宋体"/>
          <w:bCs/>
          <w:sz w:val="24"/>
          <w:szCs w:val="24"/>
        </w:rPr>
        <w:t xml:space="preserve"> 投标有效期为采购人或采购代理机构规定的开标之日后</w:t>
      </w:r>
      <w:r>
        <w:rPr>
          <w:rStyle w:val="47"/>
          <w:rFonts w:hint="eastAsia" w:ascii="宋体" w:hAnsi="宋体" w:cs="宋体"/>
          <w:b/>
          <w:sz w:val="24"/>
          <w:szCs w:val="24"/>
          <w:u w:val="single" w:color="000000"/>
        </w:rPr>
        <w:t>六十（60）天</w:t>
      </w:r>
      <w:r>
        <w:rPr>
          <w:rStyle w:val="47"/>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17.2</w:t>
      </w:r>
      <w:r>
        <w:rPr>
          <w:rStyle w:val="47"/>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7"/>
          <w:rFonts w:hint="eastAsia" w:ascii="宋体" w:hAnsi="宋体" w:cs="宋体"/>
          <w:sz w:val="24"/>
          <w:szCs w:val="24"/>
        </w:rPr>
        <w:t>。</w:t>
      </w:r>
      <w:r>
        <w:rPr>
          <w:rStyle w:val="47"/>
          <w:rFonts w:hint="eastAsia" w:ascii="宋体" w:hAnsi="宋体" w:cs="宋体"/>
          <w:bCs/>
          <w:sz w:val="24"/>
          <w:szCs w:val="24"/>
        </w:rPr>
        <w:t>同意延长投标有效期的投标人既不能要求也不允许修改其投标文件。</w:t>
      </w:r>
      <w:r>
        <w:rPr>
          <w:rStyle w:val="47"/>
          <w:rFonts w:hint="eastAsia" w:ascii="宋体" w:hAnsi="宋体" w:cs="宋体"/>
          <w:sz w:val="24"/>
          <w:szCs w:val="24"/>
        </w:rPr>
        <w:t>受投标有效期约束的所有权利与义务均延长至新的有效期</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18、投标文件份数和签署</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18.1</w:t>
      </w:r>
      <w:r>
        <w:rPr>
          <w:rStyle w:val="47"/>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18.2投标文件正本中，</w:t>
      </w:r>
      <w:r>
        <w:rPr>
          <w:rStyle w:val="47"/>
          <w:rFonts w:hint="eastAsia" w:ascii="宋体" w:hAnsi="宋体" w:cs="宋体"/>
          <w:bCs/>
          <w:sz w:val="24"/>
          <w:szCs w:val="24"/>
        </w:rPr>
        <w:t>招标文件要求必须提供原件的按照要求提供，文</w:t>
      </w:r>
      <w:r>
        <w:rPr>
          <w:rStyle w:val="47"/>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18.3</w:t>
      </w:r>
      <w:r>
        <w:rPr>
          <w:rStyle w:val="47"/>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四、投标文件的递交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19、投标文件的密封和标记</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19.1</w:t>
      </w:r>
      <w:r>
        <w:rPr>
          <w:rStyle w:val="47"/>
          <w:rFonts w:hint="eastAsia" w:ascii="宋体" w:hAnsi="宋体" w:cs="宋体"/>
          <w:bCs/>
          <w:sz w:val="24"/>
          <w:szCs w:val="24"/>
        </w:rPr>
        <w:t>投标人应将投标文件正本和所有副本密封，不论投标人中标与否，投标文件均不退回。</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w:t>
      </w:r>
      <w:r>
        <w:rPr>
          <w:rStyle w:val="47"/>
          <w:rFonts w:hint="eastAsia" w:ascii="宋体" w:hAnsi="宋体" w:cs="宋体"/>
          <w:bCs/>
          <w:sz w:val="24"/>
          <w:szCs w:val="24"/>
        </w:rPr>
        <w:t xml:space="preserve"> 密封的投标文件应：</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19.2.1 注明投标人名称，如因标注不清而产生的后果由投标人自负。按招标公告中注明的地址送达；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19.2.2  注明投标项目名称、标书编号及包号。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19.2.3</w:t>
      </w:r>
      <w:r>
        <w:rPr>
          <w:rStyle w:val="47"/>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20、投标截止日期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20.1</w:t>
      </w:r>
      <w:r>
        <w:rPr>
          <w:rStyle w:val="47"/>
          <w:rFonts w:hint="eastAsia" w:ascii="宋体" w:hAnsi="宋体" w:cs="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20.2</w:t>
      </w:r>
      <w:r>
        <w:rPr>
          <w:rStyle w:val="47"/>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21、迟交的投标文件</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21.1</w:t>
      </w:r>
      <w:r>
        <w:rPr>
          <w:rStyle w:val="47"/>
          <w:rFonts w:hint="eastAsia" w:ascii="宋体" w:hAnsi="宋体" w:cs="宋体"/>
          <w:bCs/>
          <w:sz w:val="24"/>
          <w:szCs w:val="24"/>
        </w:rPr>
        <w:t xml:space="preserve"> 采购人和采购代理机构拒绝接收在其规定的投标截止时间后递交的任何投标文件。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22、投标文件的修改和撤回</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22.1</w:t>
      </w:r>
      <w:r>
        <w:rPr>
          <w:rStyle w:val="47"/>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7"/>
          <w:rFonts w:hint="eastAsia" w:ascii="宋体" w:hAnsi="宋体" w:cs="宋体"/>
          <w:sz w:val="24"/>
          <w:szCs w:val="24"/>
        </w:rPr>
        <w:t>通知采购人或采购代理机构，修改或撤回其投标文件。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22.2</w:t>
      </w:r>
      <w:r>
        <w:rPr>
          <w:rStyle w:val="47"/>
          <w:rFonts w:hint="eastAsia" w:ascii="宋体" w:hAnsi="宋体" w:cs="宋体"/>
          <w:bCs/>
          <w:sz w:val="24"/>
          <w:szCs w:val="24"/>
        </w:rPr>
        <w:t xml:space="preserve"> 投标人的修改或撤回文件应按规定进行编制、密封、标记和发送，并应在封套上加注“修改”或“撤回”字样。</w:t>
      </w:r>
      <w:r>
        <w:rPr>
          <w:rStyle w:val="47"/>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22.3</w:t>
      </w:r>
      <w:r>
        <w:rPr>
          <w:rStyle w:val="47"/>
          <w:rFonts w:hint="eastAsia" w:ascii="宋体" w:hAnsi="宋体" w:cs="宋体"/>
          <w:bCs/>
          <w:sz w:val="24"/>
          <w:szCs w:val="24"/>
        </w:rPr>
        <w:t xml:space="preserve"> 在投标截止时间之后，投标人不得对其投标文件作任何修改。</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22.4</w:t>
      </w:r>
      <w:r>
        <w:rPr>
          <w:rStyle w:val="47"/>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五、开标与评标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23、开标</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23.1</w:t>
      </w:r>
      <w:r>
        <w:rPr>
          <w:rStyle w:val="47"/>
          <w:rFonts w:hint="eastAsia" w:ascii="宋体" w:hAnsi="宋体" w:cs="宋体"/>
          <w:bCs/>
          <w:sz w:val="24"/>
          <w:szCs w:val="24"/>
        </w:rPr>
        <w:t xml:space="preserve"> 采购人和采购代理机构将在招标公告中规定的时间和地点组织公开开标</w:t>
      </w:r>
      <w:r>
        <w:rPr>
          <w:rStyle w:val="47"/>
          <w:rFonts w:hint="eastAsia" w:ascii="宋体" w:hAnsi="宋体" w:cs="宋体"/>
          <w:sz w:val="24"/>
          <w:szCs w:val="24"/>
        </w:rPr>
        <w:t>。投标人应委派携带有效证件的代表准时参加，参加开标的代表需签名以证明其出席。</w:t>
      </w:r>
    </w:p>
    <w:p>
      <w:pPr>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23.3</w:t>
      </w:r>
      <w:r>
        <w:rPr>
          <w:rStyle w:val="47"/>
          <w:rFonts w:hint="eastAsia" w:ascii="宋体" w:hAnsi="宋体" w:cs="宋体"/>
          <w:bCs/>
          <w:sz w:val="24"/>
          <w:szCs w:val="24"/>
        </w:rPr>
        <w:t>按照规定同意撤回的投标将不予开封。</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23.6 投标人在报价时不允许采用选择性报价，否则将被视为无效投标。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24、资格审查</w:t>
      </w:r>
    </w:p>
    <w:p>
      <w:pPr>
        <w:adjustRightInd w:val="0"/>
        <w:snapToGrid w:val="0"/>
        <w:spacing w:line="360" w:lineRule="auto"/>
        <w:ind w:firstLine="480" w:firstLineChars="200"/>
        <w:jc w:val="left"/>
        <w:rPr>
          <w:rStyle w:val="47"/>
          <w:rFonts w:ascii="宋体" w:hAnsi="宋体" w:cs="宋体"/>
          <w:bCs/>
          <w:sz w:val="24"/>
          <w:szCs w:val="24"/>
        </w:rPr>
      </w:pPr>
      <w:r>
        <w:rPr>
          <w:rStyle w:val="47"/>
          <w:rFonts w:hint="eastAsia" w:ascii="宋体" w:hAnsi="宋体" w:cs="宋体"/>
          <w:sz w:val="24"/>
          <w:szCs w:val="24"/>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25、评标委员会</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25.1资格审查通过后，采购人将组织评标委员会（以下简称评委会）进行评标。</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25.2 评委会由采购人代表和有关技术、经济等方面的专家组成，且人员构成符合政府采购有关规定。</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25.3评委会独立工作，负责评审所有投标文件并确定中标候选人。</w:t>
      </w:r>
    </w:p>
    <w:p>
      <w:pPr>
        <w:pStyle w:val="41"/>
        <w:widowControl w:val="0"/>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26、评标过程的保密与公正</w:t>
      </w:r>
    </w:p>
    <w:p>
      <w:pPr>
        <w:widowControl w:val="0"/>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26.1</w:t>
      </w:r>
      <w:r>
        <w:rPr>
          <w:rStyle w:val="47"/>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26.2在评标过程中，投标人不得以任何行为影响评标过程，否则其投标文件将被作为无效投标文件。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27、投标的澄清</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27.3 接到评委会澄清要求的投标人如未按规定做出澄清，其风险由投标人自行承担。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28、对投标文件的评审</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28.1</w:t>
      </w:r>
      <w:r>
        <w:rPr>
          <w:rStyle w:val="47"/>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7"/>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28.3</w:t>
      </w:r>
      <w:r>
        <w:rPr>
          <w:rStyle w:val="47"/>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28.4</w:t>
      </w:r>
      <w:r>
        <w:rPr>
          <w:rStyle w:val="47"/>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（2）大写金额和小写金额不一致的，以大写金额为准。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28.5</w:t>
      </w:r>
      <w:r>
        <w:rPr>
          <w:rStyle w:val="47"/>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28.6</w:t>
      </w:r>
      <w:r>
        <w:rPr>
          <w:rStyle w:val="47"/>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28.7</w:t>
      </w:r>
      <w:r>
        <w:rPr>
          <w:rStyle w:val="47"/>
          <w:rFonts w:hint="eastAsia" w:ascii="宋体" w:hAnsi="宋体" w:cs="宋体"/>
          <w:b/>
          <w:sz w:val="24"/>
          <w:szCs w:val="24"/>
        </w:rPr>
        <w:t>采用最低评标价法的采购项目，</w:t>
      </w:r>
      <w:r>
        <w:rPr>
          <w:rStyle w:val="47"/>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使用综合评分法的采购项目，</w:t>
      </w:r>
      <w:r>
        <w:rPr>
          <w:rStyle w:val="47"/>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非单一产品采购项目，</w:t>
      </w:r>
      <w:r>
        <w:rPr>
          <w:rStyle w:val="47"/>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29、无效投标条款和废标条款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29.1无效投标条款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29.1.1未按要求交纳投标保证金的（本项目无要求）；</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29.1.2未按照招标文件规定要求密封、签署、盖章的；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29.1.3投标人在报价时采用选择性报价；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29.1.4投标人不具备招标文件中规定资格要求的；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29.1.5投标人的报价超过了采购预算或最高限价的；</w:t>
      </w:r>
    </w:p>
    <w:p>
      <w:pPr>
        <w:snapToGrid w:val="0"/>
        <w:spacing w:line="360" w:lineRule="auto"/>
        <w:ind w:firstLine="480" w:firstLineChars="200"/>
        <w:rPr>
          <w:rStyle w:val="47"/>
          <w:rFonts w:ascii="宋体" w:hAnsi="宋体" w:cs="宋体"/>
          <w:bCs/>
          <w:i/>
          <w:sz w:val="24"/>
          <w:szCs w:val="24"/>
          <w:u w:val="single" w:color="000000"/>
        </w:rPr>
      </w:pPr>
      <w:r>
        <w:rPr>
          <w:rStyle w:val="47"/>
          <w:rFonts w:hint="eastAsia" w:ascii="宋体" w:hAnsi="宋体" w:cs="宋体"/>
          <w:bCs/>
          <w:sz w:val="24"/>
          <w:szCs w:val="24"/>
        </w:rPr>
        <w:t>29.1.6未通过符合性检查的；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29.1.8 投标人串通投标；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 xml:space="preserve">29.2废标条款：                                                                                                                                                                                                                                                                                                                                                                                                                                                                                                                                                                                                                                                                                                                                                                                                                                                                                                                                                                                                                                                                                                                                                                                                                                                                                                                                                                                                                                                                         </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29.2.2出现影响采购公正的违法、违规行为的；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29.2.3因重大变故，采购任务取消的；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29.2.4评标委员会认定招标文件存在歧义、 重大缺陷导致评审工作无法进行。</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六、定标</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30、确定中标单位</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30.3采购人</w:t>
      </w:r>
      <w:r>
        <w:rPr>
          <w:rStyle w:val="47"/>
          <w:rFonts w:hint="eastAsia" w:ascii="宋体" w:hAnsi="宋体" w:cs="宋体"/>
          <w:sz w:val="24"/>
          <w:szCs w:val="24"/>
        </w:rPr>
        <w:t>将在“盐城工业职业技术学院招标采购网”发布中标公告，公告期限为1个工作日。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.4.1提供虚假材料谋取中标的；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30.4.5与采购人或者其他供应商恶意串通的；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30.4.6采取不正当手段诋毁、排挤其他供应商的；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30.4.7不符合法律、法规的规定的。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30.5. </w:t>
      </w:r>
      <w:r>
        <w:rPr>
          <w:rStyle w:val="47"/>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30.5.5不同投标人的投标文件相互混装。</w:t>
      </w:r>
    </w:p>
    <w:p>
      <w:pPr>
        <w:pStyle w:val="41"/>
        <w:tabs>
          <w:tab w:val="left" w:pos="4120"/>
        </w:tabs>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31、质疑处理</w:t>
      </w:r>
      <w:r>
        <w:rPr>
          <w:rStyle w:val="47"/>
          <w:rFonts w:hint="eastAsia" w:ascii="宋体" w:hAnsi="宋体" w:cs="宋体"/>
          <w:b w:val="0"/>
          <w:sz w:val="24"/>
          <w:szCs w:val="24"/>
        </w:rPr>
        <w:tab/>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31.1.1</w:t>
      </w:r>
      <w:r>
        <w:rPr>
          <w:rStyle w:val="47"/>
          <w:rFonts w:hint="eastAsia" w:ascii="宋体" w:hAnsi="宋体" w:cs="宋体"/>
          <w:kern w:val="0"/>
          <w:sz w:val="24"/>
          <w:szCs w:val="24"/>
        </w:rPr>
        <w:t>对可以质疑的招标文件提出质疑的，为收到招标文件之日或者招标文件公告期限届满之日；</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31.1.2</w:t>
      </w:r>
      <w:r>
        <w:rPr>
          <w:rStyle w:val="47"/>
          <w:rFonts w:hint="eastAsia" w:ascii="宋体" w:hAnsi="宋体" w:cs="宋体"/>
          <w:kern w:val="0"/>
          <w:sz w:val="24"/>
          <w:szCs w:val="24"/>
        </w:rPr>
        <w:t>对采购过程提出质疑的，为各采购程序环节结束之日；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31.1.3</w:t>
      </w:r>
      <w:r>
        <w:rPr>
          <w:rStyle w:val="47"/>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47"/>
          <w:rFonts w:hint="eastAsia" w:ascii="宋体" w:hAnsi="宋体" w:cs="宋体"/>
          <w:b/>
          <w:bCs/>
          <w:sz w:val="24"/>
          <w:szCs w:val="24"/>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31.4质疑函应当包括下列内容：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31.4.1质疑投标人的名称、地址、邮编、联系人、联系电话；</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31.4.2具体的质疑事项及明确的请求；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31.4.4提起质疑的日期；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32、中标通知书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七、合同签订相关事项</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33. 签订合同</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33</w:t>
      </w:r>
      <w:r>
        <w:rPr>
          <w:rStyle w:val="47"/>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34、货物和服务的追加、减少和添购。</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35、履约保证金</w:t>
      </w:r>
    </w:p>
    <w:p>
      <w:pPr>
        <w:tabs>
          <w:tab w:val="left" w:pos="900"/>
        </w:tabs>
        <w:snapToGrid w:val="0"/>
        <w:spacing w:line="360" w:lineRule="auto"/>
        <w:ind w:firstLine="480" w:firstLineChars="200"/>
        <w:rPr>
          <w:rStyle w:val="47"/>
          <w:rFonts w:ascii="宋体" w:hAnsi="宋体" w:cs="宋体"/>
          <w:b/>
          <w:sz w:val="44"/>
        </w:rPr>
      </w:pPr>
      <w:r>
        <w:rPr>
          <w:rStyle w:val="47"/>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bookmarkStart w:id="4" w:name="_Toc19468"/>
    </w:p>
    <w:p/>
    <w:p>
      <w:pPr>
        <w:pStyle w:val="37"/>
        <w:outlineLvl w:val="0"/>
        <w:rPr>
          <w:rStyle w:val="47"/>
          <w:rFonts w:ascii="宋体" w:hAnsi="宋体" w:eastAsia="宋体" w:cs="宋体"/>
          <w:b/>
          <w:sz w:val="44"/>
        </w:rPr>
      </w:pPr>
    </w:p>
    <w:p>
      <w:pPr>
        <w:pStyle w:val="37"/>
        <w:jc w:val="both"/>
        <w:outlineLvl w:val="0"/>
        <w:rPr>
          <w:rStyle w:val="47"/>
          <w:rFonts w:ascii="宋体" w:hAnsi="宋体" w:eastAsia="宋体" w:cs="宋体"/>
          <w:b/>
          <w:sz w:val="44"/>
        </w:rPr>
      </w:pPr>
    </w:p>
    <w:p>
      <w:pPr>
        <w:rPr>
          <w:rStyle w:val="47"/>
          <w:rFonts w:ascii="宋体" w:hAnsi="宋体" w:cs="宋体"/>
          <w:b/>
          <w:sz w:val="44"/>
        </w:rPr>
      </w:pPr>
    </w:p>
    <w:p>
      <w:pPr>
        <w:pStyle w:val="8"/>
        <w:rPr>
          <w:rStyle w:val="47"/>
          <w:rFonts w:ascii="宋体" w:hAnsi="宋体" w:cs="宋体"/>
          <w:b/>
          <w:sz w:val="44"/>
        </w:rPr>
      </w:pPr>
    </w:p>
    <w:p>
      <w:pPr>
        <w:rPr>
          <w:rStyle w:val="47"/>
          <w:rFonts w:ascii="宋体" w:hAnsi="宋体" w:cs="宋体"/>
          <w:b/>
          <w:sz w:val="44"/>
        </w:rPr>
      </w:pPr>
    </w:p>
    <w:p>
      <w:pPr>
        <w:pStyle w:val="8"/>
        <w:rPr>
          <w:rStyle w:val="47"/>
          <w:rFonts w:ascii="宋体" w:hAnsi="宋体" w:cs="宋体"/>
          <w:b/>
          <w:sz w:val="44"/>
        </w:rPr>
      </w:pPr>
    </w:p>
    <w:p>
      <w:pPr>
        <w:rPr>
          <w:rStyle w:val="47"/>
          <w:rFonts w:ascii="宋体" w:hAnsi="宋体" w:cs="宋体"/>
          <w:b/>
          <w:sz w:val="44"/>
        </w:rPr>
      </w:pPr>
    </w:p>
    <w:p>
      <w:pPr>
        <w:pStyle w:val="8"/>
        <w:rPr>
          <w:rStyle w:val="47"/>
          <w:rFonts w:ascii="宋体" w:hAnsi="宋体" w:cs="宋体"/>
          <w:b/>
          <w:sz w:val="44"/>
        </w:rPr>
      </w:pPr>
    </w:p>
    <w:p>
      <w:pPr>
        <w:rPr>
          <w:rStyle w:val="47"/>
          <w:rFonts w:ascii="宋体" w:hAnsi="宋体" w:cs="宋体"/>
          <w:b/>
          <w:sz w:val="44"/>
        </w:rPr>
      </w:pPr>
    </w:p>
    <w:p>
      <w:pPr>
        <w:pStyle w:val="8"/>
        <w:rPr>
          <w:rStyle w:val="47"/>
          <w:rFonts w:ascii="宋体" w:hAnsi="宋体" w:cs="宋体"/>
          <w:b/>
          <w:sz w:val="44"/>
        </w:rPr>
      </w:pPr>
    </w:p>
    <w:p>
      <w:pPr>
        <w:rPr>
          <w:rStyle w:val="47"/>
          <w:rFonts w:ascii="宋体" w:hAnsi="宋体" w:cs="宋体"/>
          <w:b/>
          <w:sz w:val="44"/>
        </w:rPr>
      </w:pPr>
    </w:p>
    <w:p>
      <w:pPr>
        <w:pStyle w:val="8"/>
        <w:rPr>
          <w:rStyle w:val="47"/>
          <w:rFonts w:ascii="宋体" w:hAnsi="宋体" w:cs="宋体"/>
          <w:b/>
          <w:sz w:val="44"/>
        </w:rPr>
      </w:pPr>
    </w:p>
    <w:p>
      <w:pPr>
        <w:rPr>
          <w:rStyle w:val="47"/>
          <w:rFonts w:ascii="宋体" w:hAnsi="宋体" w:cs="宋体"/>
          <w:b/>
          <w:sz w:val="44"/>
        </w:rPr>
      </w:pPr>
    </w:p>
    <w:p>
      <w:pPr>
        <w:pStyle w:val="8"/>
        <w:rPr>
          <w:rStyle w:val="47"/>
          <w:rFonts w:ascii="宋体" w:hAnsi="宋体" w:cs="宋体"/>
          <w:b/>
          <w:sz w:val="44"/>
        </w:rPr>
      </w:pPr>
    </w:p>
    <w:p>
      <w:pPr>
        <w:rPr>
          <w:rStyle w:val="47"/>
          <w:rFonts w:ascii="宋体" w:hAnsi="宋体" w:cs="宋体"/>
          <w:b/>
          <w:sz w:val="44"/>
        </w:rPr>
      </w:pPr>
    </w:p>
    <w:p>
      <w:pPr>
        <w:pStyle w:val="8"/>
        <w:rPr>
          <w:rStyle w:val="47"/>
          <w:rFonts w:ascii="宋体" w:hAnsi="宋体" w:cs="宋体"/>
          <w:b/>
          <w:sz w:val="44"/>
        </w:rPr>
      </w:pPr>
    </w:p>
    <w:p>
      <w:pPr>
        <w:rPr>
          <w:rStyle w:val="47"/>
          <w:rFonts w:ascii="宋体" w:hAnsi="宋体" w:cs="宋体"/>
          <w:b/>
          <w:sz w:val="44"/>
        </w:rPr>
      </w:pPr>
    </w:p>
    <w:p>
      <w:pPr>
        <w:pStyle w:val="8"/>
        <w:rPr>
          <w:rStyle w:val="47"/>
          <w:rFonts w:ascii="宋体" w:hAnsi="宋体" w:cs="宋体"/>
          <w:b/>
          <w:sz w:val="44"/>
        </w:rPr>
      </w:pPr>
    </w:p>
    <w:p>
      <w:pPr>
        <w:rPr>
          <w:rStyle w:val="47"/>
          <w:rFonts w:ascii="宋体" w:hAnsi="宋体" w:cs="宋体"/>
          <w:b/>
          <w:sz w:val="44"/>
        </w:rPr>
      </w:pPr>
    </w:p>
    <w:p>
      <w:pPr>
        <w:pStyle w:val="8"/>
      </w:pPr>
    </w:p>
    <w:p>
      <w:pPr>
        <w:pStyle w:val="37"/>
        <w:outlineLvl w:val="0"/>
        <w:rPr>
          <w:rStyle w:val="47"/>
          <w:rFonts w:ascii="宋体" w:hAnsi="宋体" w:eastAsia="宋体" w:cs="宋体"/>
          <w:b/>
          <w:sz w:val="44"/>
        </w:rPr>
      </w:pPr>
      <w:r>
        <w:rPr>
          <w:rStyle w:val="47"/>
          <w:rFonts w:hint="eastAsia" w:ascii="宋体" w:hAnsi="宋体" w:eastAsia="宋体" w:cs="宋体"/>
          <w:b/>
          <w:sz w:val="44"/>
        </w:rPr>
        <w:t>第三章  合同条款及格式</w:t>
      </w:r>
      <w:bookmarkEnd w:id="4"/>
    </w:p>
    <w:p>
      <w:pPr>
        <w:spacing w:line="440" w:lineRule="exact"/>
        <w:ind w:firstLine="480" w:firstLineChars="200"/>
        <w:rPr>
          <w:rStyle w:val="47"/>
          <w:rFonts w:ascii="宋体" w:hAnsi="宋体" w:cs="宋体"/>
          <w:bCs/>
          <w:sz w:val="24"/>
        </w:rPr>
      </w:pPr>
      <w:r>
        <w:rPr>
          <w:rStyle w:val="47"/>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7"/>
          <w:rFonts w:ascii="宋体" w:hAnsi="宋体" w:cs="宋体"/>
          <w:b/>
          <w:bCs/>
          <w:sz w:val="30"/>
          <w:szCs w:val="20"/>
        </w:rPr>
      </w:pPr>
      <w:bookmarkStart w:id="5" w:name="_Toc17926"/>
      <w:r>
        <w:rPr>
          <w:rStyle w:val="47"/>
          <w:rFonts w:ascii="宋体" w:hAnsi="宋体"/>
          <w:b/>
          <w:sz w:val="30"/>
        </w:rPr>
        <w:t>采购合同（货物格式）</w:t>
      </w:r>
    </w:p>
    <w:p>
      <w:pPr>
        <w:pStyle w:val="73"/>
        <w:snapToGrid w:val="0"/>
        <w:spacing w:line="420" w:lineRule="exact"/>
        <w:ind w:firstLine="480" w:firstLineChars="200"/>
        <w:jc w:val="left"/>
        <w:rPr>
          <w:rStyle w:val="47"/>
          <w:rFonts w:hAnsi="宋体"/>
          <w:sz w:val="24"/>
          <w:szCs w:val="24"/>
          <w:u w:val="single" w:color="000000"/>
        </w:rPr>
      </w:pPr>
      <w:r>
        <w:rPr>
          <w:rStyle w:val="47"/>
          <w:rFonts w:hAnsi="宋体"/>
          <w:sz w:val="24"/>
          <w:szCs w:val="24"/>
        </w:rPr>
        <w:t>项目名称：</w:t>
      </w:r>
      <w:r>
        <w:rPr>
          <w:rStyle w:val="47"/>
          <w:rFonts w:hint="eastAsia" w:hAnsi="宋体"/>
          <w:sz w:val="24"/>
          <w:szCs w:val="24"/>
          <w:u w:val="single" w:color="000000"/>
        </w:rPr>
        <w:t>盐城工业职业技术学院WEB应用防火墙</w:t>
      </w:r>
    </w:p>
    <w:p>
      <w:pPr>
        <w:pStyle w:val="73"/>
        <w:snapToGrid w:val="0"/>
        <w:spacing w:line="420" w:lineRule="exact"/>
        <w:ind w:firstLine="480" w:firstLineChars="200"/>
        <w:jc w:val="left"/>
        <w:rPr>
          <w:rStyle w:val="47"/>
          <w:rFonts w:hAnsi="宋体"/>
          <w:sz w:val="24"/>
          <w:szCs w:val="24"/>
        </w:rPr>
      </w:pPr>
      <w:r>
        <w:rPr>
          <w:rStyle w:val="47"/>
          <w:rFonts w:hAnsi="宋体"/>
          <w:sz w:val="24"/>
          <w:szCs w:val="24"/>
        </w:rPr>
        <w:t>项目编号：</w:t>
      </w:r>
      <w:r>
        <w:rPr>
          <w:rStyle w:val="47"/>
          <w:rFonts w:hint="eastAsia" w:hAnsi="宋体"/>
          <w:sz w:val="24"/>
          <w:szCs w:val="24"/>
          <w:u w:val="single"/>
        </w:rPr>
        <w:t>2023-024W</w:t>
      </w:r>
    </w:p>
    <w:p>
      <w:pPr>
        <w:pStyle w:val="73"/>
        <w:snapToGrid w:val="0"/>
        <w:spacing w:line="420" w:lineRule="exact"/>
        <w:ind w:firstLine="480" w:firstLineChars="200"/>
        <w:rPr>
          <w:rStyle w:val="47"/>
          <w:rFonts w:hAnsi="宋体"/>
          <w:sz w:val="24"/>
          <w:szCs w:val="24"/>
        </w:rPr>
      </w:pPr>
      <w:r>
        <w:rPr>
          <w:rStyle w:val="47"/>
          <w:rFonts w:hAnsi="宋体"/>
          <w:sz w:val="24"/>
          <w:szCs w:val="24"/>
        </w:rPr>
        <w:t>甲方：（买方）</w:t>
      </w:r>
      <w:r>
        <w:rPr>
          <w:rStyle w:val="47"/>
          <w:rFonts w:hAnsi="宋体"/>
          <w:sz w:val="24"/>
          <w:szCs w:val="24"/>
          <w:u w:val="single" w:color="000000"/>
        </w:rPr>
        <w:t>盐城工业职业技术学院</w:t>
      </w:r>
    </w:p>
    <w:p>
      <w:pPr>
        <w:pStyle w:val="73"/>
        <w:snapToGrid w:val="0"/>
        <w:spacing w:line="420" w:lineRule="exact"/>
        <w:ind w:firstLine="480" w:firstLineChars="200"/>
        <w:rPr>
          <w:rStyle w:val="47"/>
          <w:rFonts w:hAnsi="宋体"/>
          <w:sz w:val="24"/>
          <w:szCs w:val="24"/>
        </w:rPr>
      </w:pPr>
      <w:r>
        <w:rPr>
          <w:rStyle w:val="47"/>
          <w:rFonts w:hAnsi="宋体"/>
          <w:sz w:val="24"/>
          <w:szCs w:val="24"/>
        </w:rPr>
        <w:t>乙方：（卖方）</w:t>
      </w:r>
    </w:p>
    <w:p>
      <w:pPr>
        <w:spacing w:line="420" w:lineRule="exact"/>
        <w:ind w:firstLine="480" w:firstLineChars="200"/>
        <w:rPr>
          <w:rStyle w:val="47"/>
          <w:rFonts w:ascii="宋体" w:hAnsi="宋体"/>
          <w:b/>
          <w:sz w:val="24"/>
          <w:szCs w:val="24"/>
        </w:rPr>
      </w:pPr>
      <w:r>
        <w:rPr>
          <w:rStyle w:val="47"/>
          <w:rFonts w:ascii="宋体" w:hAnsi="宋体"/>
          <w:sz w:val="24"/>
          <w:szCs w:val="24"/>
        </w:rPr>
        <w:t>甲、乙双方根据</w:t>
      </w:r>
      <w:r>
        <w:rPr>
          <w:rStyle w:val="47"/>
          <w:rFonts w:hint="eastAsia" w:ascii="宋体" w:hAnsi="宋体"/>
          <w:sz w:val="24"/>
          <w:szCs w:val="24"/>
          <w:u w:val="single" w:color="000000"/>
        </w:rPr>
        <w:t>盐城工业职业技术学院WEB应用防火墙</w:t>
      </w:r>
      <w:r>
        <w:rPr>
          <w:rStyle w:val="47"/>
          <w:rFonts w:ascii="宋体" w:hAnsi="宋体"/>
          <w:sz w:val="24"/>
          <w:szCs w:val="24"/>
        </w:rPr>
        <w:t>公开招标的结果，签署本合同。</w:t>
      </w:r>
    </w:p>
    <w:p>
      <w:pPr>
        <w:pStyle w:val="19"/>
        <w:widowControl w:val="0"/>
        <w:snapToGrid w:val="0"/>
        <w:spacing w:before="0" w:beforeAutospacing="0" w:after="0" w:afterAutospacing="0" w:line="460" w:lineRule="exact"/>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一、合同标的</w:t>
      </w:r>
    </w:p>
    <w:p>
      <w:pPr>
        <w:pStyle w:val="19"/>
        <w:widowControl w:val="0"/>
        <w:snapToGrid w:val="0"/>
        <w:spacing w:before="0" w:beforeAutospacing="0" w:after="0" w:afterAutospacing="0" w:line="460" w:lineRule="exact"/>
        <w:ind w:firstLine="480" w:firstLineChars="200"/>
        <w:jc w:val="both"/>
        <w:rPr>
          <w:rStyle w:val="47"/>
          <w:bCs/>
          <w:kern w:val="2"/>
        </w:rPr>
      </w:pPr>
      <w:r>
        <w:rPr>
          <w:rStyle w:val="47"/>
          <w:rFonts w:hint="eastAsia"/>
          <w:bCs/>
          <w:kern w:val="2"/>
        </w:rPr>
        <w:t>详见招标文件项目需求</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bCs/>
          <w:color w:val="000000" w:themeColor="text1"/>
          <w14:textFill>
            <w14:solidFill>
              <w14:schemeClr w14:val="tx1"/>
            </w14:solidFill>
          </w14:textFill>
        </w:rPr>
        <w:t>2.1</w:t>
      </w:r>
      <w:r>
        <w:rPr>
          <w:rFonts w:hint="eastAsia"/>
          <w:color w:val="000000" w:themeColor="text1"/>
          <w:kern w:val="2"/>
          <w14:textFill>
            <w14:solidFill>
              <w14:schemeClr w14:val="tx1"/>
            </w14:solidFill>
          </w14:textFill>
        </w:rPr>
        <w:t>本合同金额为（大写）：（小写）：______元人民币。</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19"/>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19"/>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6.1乙方交纳人民币______元作为本合同的履约保证金（合同金额的5%）。项目验收后无息退还。</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7.2 除非得到甲方的书面同意，乙方不得部分分包给他人供应。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7.3如有转让和未经甲方同意的分包行为，甲方有权给予终止合同。</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八、质保期</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8.1 质保期：提供</w:t>
      </w:r>
      <w:r>
        <w:rPr>
          <w:rFonts w:hint="eastAsia"/>
          <w:color w:val="000000" w:themeColor="text1"/>
          <w:kern w:val="2"/>
          <w:u w:val="single"/>
          <w14:textFill>
            <w14:solidFill>
              <w14:schemeClr w14:val="tx1"/>
            </w14:solidFill>
          </w14:textFill>
        </w:rPr>
        <w:t xml:space="preserve"> 五 </w:t>
      </w:r>
      <w:r>
        <w:rPr>
          <w:rFonts w:hint="eastAsia"/>
          <w:color w:val="000000" w:themeColor="text1"/>
          <w:kern w:val="2"/>
          <w14:textFill>
            <w14:solidFill>
              <w14:schemeClr w14:val="tx1"/>
            </w14:solidFill>
          </w14:textFill>
        </w:rPr>
        <w:t>年免费质保及免费升级（具体以投标时承诺为准）。（自交货验收合格之日起计）</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8.2、所有质保费用均已包含在投标报价中，供应商提供的设备在质保期内因本身的质量问题发生故障，乙方应负责免费维修。供应商应对提供的设备免费安装、免费调试、免费培训、免费提供学习资料。质保期满后，应提供优先的有偿售后服务及按不高于投标文件中主要配件、易损件清单所报价格供应原厂零配件等。质保期内设备内置系统不限版本不限次数免费升级和维护。</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8.3、中标人须设有维修服务电话，负责解答用户在设备使用中遇到的问题，及时提出解决问题的建议和操作方法。</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8.4、售后服务响应时间：如设备出现故障，电话响应无法解决，中标人必须在接报修电话24 小时到现场并解决问题。</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九、交货期</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9.1交货期:在签订合同后30个日历天内完成全部内容的服务工作（如甲方需要延时交付，可另行约定时间）。</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十、货款支付</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10.1付款方式:招招标范围内容全部完成并经安装调试、培训结束，验收合格后首次付款总价的30%；一年后支付总价的65%，质保期满后根据售后服务情况付总价的5%。</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10.2当采购数量与实际使用数量不一致时，乙方应根据实际使用量供货，合同的最终结算金额按实际使用量乘以成交单价进行计算。</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十一、税费</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11.1本合同执行中的一切税费均由乙方负担。</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十二、质量保证及售后服务</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12.1乙方应按公开招标文件规定及响应文件承诺向甲方提供服务;若无特殊说明，则按国家有关部门最新颁布的标准及规范为准。</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12.2乙方应保证其提供的服务是全面和规范的，并完全符合公开招标文件及响应文件。如因乙方提供的服务有瑕疵造成甲方损失的,所需费用由乙方承担。</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12.3如在使用过程中发生质量问题，乙方在接到甲方通知后在24小时内到达甲方现场。</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12.4服务期限内，乙方应对所提供服务出现的质量及安全问题负责处理解决并承担一切费用。</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12.5免费服务期内，乙方为甲方提供相关人员免费培训辅导、问题解答等后续的咨询服务。</w:t>
      </w:r>
    </w:p>
    <w:p>
      <w:pPr>
        <w:snapToGrid w:val="0"/>
        <w:spacing w:line="460" w:lineRule="exact"/>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十三、项目验收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乙方应当在合同签订后规定时间内完成服务事项，公开招标文件有约定的，从其约定。</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在交付前，乙方应作出全面检查和对验收文件进行整理，并列出清单，作为甲方验收和使用的技术条件依据。</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13.3</w:t>
      </w:r>
      <w:r>
        <w:rPr>
          <w:rFonts w:hint="eastAsia" w:ascii="宋体" w:hAnsi="宋体" w:cs="宋体"/>
          <w:color w:val="000000" w:themeColor="text1"/>
          <w:sz w:val="24"/>
          <w:szCs w:val="24"/>
          <w14:textFill>
            <w14:solidFill>
              <w14:schemeClr w14:val="tx1"/>
            </w14:solidFill>
          </w14:textFill>
        </w:rPr>
        <w:t>验收标准:按甲方公开招标文件的规定和乙方响应文件的承诺，并不低于国家相关标准。</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13.4对</w:t>
      </w:r>
      <w:r>
        <w:rPr>
          <w:rFonts w:hint="eastAsia" w:ascii="宋体" w:hAnsi="宋体" w:cs="宋体"/>
          <w:color w:val="000000" w:themeColor="text1"/>
          <w:sz w:val="24"/>
          <w:szCs w:val="24"/>
          <w14:textFill>
            <w14:solidFill>
              <w14:schemeClr w14:val="tx1"/>
            </w14:solidFill>
          </w14:textFill>
        </w:rPr>
        <w:t>于乙方要交付的服务，甲乙双方须在15个工作日内完成验收，甲方对乙方提交的服务成果依据公开招标文件上的要求、乙方响应文件的承诺和国家有关质量标准进行验收。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13.5验</w:t>
      </w:r>
      <w:r>
        <w:rPr>
          <w:rFonts w:hint="eastAsia" w:ascii="宋体" w:hAnsi="宋体" w:cs="宋体"/>
          <w:color w:val="000000" w:themeColor="text1"/>
          <w:sz w:val="24"/>
          <w:szCs w:val="24"/>
          <w14:textFill>
            <w14:solidFill>
              <w14:schemeClr w14:val="tx1"/>
            </w14:solidFill>
          </w14:textFill>
        </w:rPr>
        <w:t>收时乙方必须在现场，验收完毕后作出验收结果报告。</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十四、违约责任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甲方无正当理由拒收货物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乙方逾期交付货物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不可抗力事件延续120天以上，双方应通过友好协商，确定是否继续履行合同。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双方在执行合同中所发生的一切争议，应通过协商解决。如协商不成，可向合同签订地法院起诉，合同签订地在此约定为盐城市。</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17.2本合同未尽事宜，遵照《中华人民共和国民法典》有关条文执行。</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17.3 本合同正本一式二份，副本一式六份，具有同等法律效力。</w:t>
      </w: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b/>
          <w:color w:val="000000" w:themeColor="text1"/>
          <w:sz w:val="44"/>
          <w14:textFill>
            <w14:solidFill>
              <w14:schemeClr w14:val="tx1"/>
            </w14:solidFill>
          </w14:textFill>
        </w:rPr>
        <w:sectPr>
          <w:headerReference r:id="rId8" w:type="default"/>
          <w:footerReference r:id="rId9" w:type="default"/>
          <w:pgSz w:w="11906" w:h="16838"/>
          <w:pgMar w:top="1418" w:right="1417" w:bottom="1418" w:left="1417" w:header="851" w:footer="907" w:gutter="0"/>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37"/>
        <w:spacing w:line="360" w:lineRule="auto"/>
        <w:outlineLvl w:val="0"/>
        <w:rPr>
          <w:rStyle w:val="47"/>
          <w:rFonts w:ascii="宋体" w:hAnsi="宋体" w:eastAsia="宋体" w:cs="宋体"/>
          <w:b/>
          <w:sz w:val="24"/>
          <w:szCs w:val="24"/>
        </w:rPr>
      </w:pPr>
      <w:r>
        <w:rPr>
          <w:rStyle w:val="47"/>
          <w:rFonts w:hint="eastAsia" w:ascii="宋体" w:hAnsi="宋体" w:eastAsia="宋体" w:cs="宋体"/>
          <w:b/>
          <w:sz w:val="44"/>
        </w:rPr>
        <w:t>第四章 项目需求</w:t>
      </w:r>
      <w:bookmarkEnd w:id="5"/>
    </w:p>
    <w:p>
      <w:pPr>
        <w:adjustRightInd w:val="0"/>
        <w:snapToGrid w:val="0"/>
        <w:spacing w:line="360" w:lineRule="auto"/>
        <w:ind w:firstLine="482" w:firstLineChars="200"/>
        <w:rPr>
          <w:rFonts w:ascii="宋体" w:hAnsi="宋体" w:cs="宋体"/>
          <w:b/>
          <w:bCs/>
          <w:color w:val="000000" w:themeColor="text1"/>
          <w:sz w:val="24"/>
          <w:szCs w:val="24"/>
          <w14:textFill>
            <w14:solidFill>
              <w14:schemeClr w14:val="tx1"/>
            </w14:solidFill>
          </w14:textFill>
        </w:rPr>
      </w:pPr>
      <w:bookmarkStart w:id="6" w:name="_Toc32259"/>
    </w:p>
    <w:p>
      <w:pPr>
        <w:pStyle w:val="19"/>
        <w:spacing w:before="0" w:beforeAutospacing="0" w:after="0" w:afterAutospacing="0"/>
        <w:rPr>
          <w:b/>
          <w:bCs/>
          <w:sz w:val="28"/>
          <w:szCs w:val="28"/>
        </w:rPr>
      </w:pPr>
      <w:r>
        <w:rPr>
          <w:rFonts w:hint="eastAsia"/>
          <w:b/>
          <w:bCs/>
          <w:sz w:val="28"/>
          <w:szCs w:val="28"/>
        </w:rPr>
        <w:t>一、采购清单</w:t>
      </w:r>
    </w:p>
    <w:tbl>
      <w:tblPr>
        <w:tblStyle w:val="22"/>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793"/>
        <w:gridCol w:w="6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52" w:type="dxa"/>
            <w:vAlign w:val="center"/>
          </w:tcPr>
          <w:p>
            <w:pPr>
              <w:jc w:val="center"/>
              <w:rPr>
                <w:rFonts w:ascii="宋体" w:hAnsi="宋体"/>
                <w:b/>
                <w:sz w:val="24"/>
              </w:rPr>
            </w:pPr>
            <w:r>
              <w:rPr>
                <w:rFonts w:hint="eastAsia" w:ascii="宋体" w:hAnsi="宋体"/>
                <w:b/>
                <w:sz w:val="24"/>
              </w:rPr>
              <w:t>名称</w:t>
            </w:r>
          </w:p>
        </w:tc>
        <w:tc>
          <w:tcPr>
            <w:tcW w:w="793" w:type="dxa"/>
            <w:vAlign w:val="center"/>
          </w:tcPr>
          <w:p>
            <w:pPr>
              <w:jc w:val="center"/>
              <w:rPr>
                <w:rFonts w:ascii="宋体" w:hAnsi="宋体"/>
                <w:b/>
                <w:sz w:val="24"/>
              </w:rPr>
            </w:pPr>
            <w:r>
              <w:rPr>
                <w:rFonts w:hint="eastAsia" w:ascii="宋体" w:hAnsi="宋体"/>
                <w:b/>
                <w:sz w:val="24"/>
              </w:rPr>
              <w:t>数量</w:t>
            </w:r>
          </w:p>
        </w:tc>
        <w:tc>
          <w:tcPr>
            <w:tcW w:w="6739" w:type="dxa"/>
            <w:vAlign w:val="center"/>
          </w:tcPr>
          <w:p>
            <w:pPr>
              <w:jc w:val="center"/>
              <w:rPr>
                <w:rFonts w:ascii="宋体" w:hAnsi="宋体"/>
                <w:b/>
                <w:sz w:val="24"/>
              </w:rPr>
            </w:pPr>
            <w:r>
              <w:rPr>
                <w:rFonts w:hint="eastAsia" w:ascii="宋体" w:hAnsi="宋体"/>
                <w:b/>
                <w:sz w:val="24"/>
              </w:rPr>
              <w:t>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452" w:type="dxa"/>
            <w:vAlign w:val="center"/>
          </w:tcPr>
          <w:p>
            <w:pPr>
              <w:jc w:val="center"/>
              <w:rPr>
                <w:sz w:val="24"/>
                <w:szCs w:val="24"/>
              </w:rPr>
            </w:pPr>
            <w:r>
              <w:rPr>
                <w:rFonts w:hint="eastAsia"/>
                <w:sz w:val="24"/>
                <w:szCs w:val="24"/>
              </w:rPr>
              <w:t>Web应用防火墙</w:t>
            </w:r>
          </w:p>
          <w:p>
            <w:pPr>
              <w:jc w:val="center"/>
              <w:rPr>
                <w:sz w:val="24"/>
                <w:szCs w:val="24"/>
              </w:rPr>
            </w:pPr>
          </w:p>
        </w:tc>
        <w:tc>
          <w:tcPr>
            <w:tcW w:w="793" w:type="dxa"/>
            <w:vAlign w:val="center"/>
          </w:tcPr>
          <w:p>
            <w:pPr>
              <w:pStyle w:val="30"/>
              <w:jc w:val="center"/>
            </w:pPr>
            <w:r>
              <w:rPr>
                <w:rFonts w:hint="eastAsia"/>
              </w:rPr>
              <w:t>1台</w:t>
            </w:r>
          </w:p>
        </w:tc>
        <w:tc>
          <w:tcPr>
            <w:tcW w:w="6739" w:type="dxa"/>
            <w:vAlign w:val="center"/>
          </w:tcPr>
          <w:p>
            <w:pPr>
              <w:ind w:firstLine="480" w:firstLineChars="200"/>
              <w:jc w:val="left"/>
              <w:rPr>
                <w:rFonts w:ascii="宋体" w:hAnsi="宋体"/>
                <w:color w:val="FF0000"/>
                <w:sz w:val="24"/>
                <w:szCs w:val="24"/>
              </w:rPr>
            </w:pPr>
            <w:r>
              <w:rPr>
                <w:rFonts w:hint="eastAsia" w:ascii="宋体" w:hAnsi="宋体"/>
                <w:sz w:val="24"/>
                <w:szCs w:val="24"/>
              </w:rPr>
              <w:t>所投设备为国内知名品牌，自主研发，产品为专业的</w:t>
            </w:r>
            <w:r>
              <w:rPr>
                <w:rFonts w:ascii="宋体" w:hAnsi="宋体"/>
                <w:sz w:val="24"/>
                <w:szCs w:val="24"/>
              </w:rPr>
              <w:t>WEB应用防护系统产品，非防火墙、UTM、NGAF等另加WAF模块的产品</w:t>
            </w:r>
            <w:r>
              <w:rPr>
                <w:rFonts w:hint="eastAsia" w:ascii="宋体" w:hAnsi="宋体"/>
                <w:sz w:val="24"/>
                <w:szCs w:val="24"/>
              </w:rPr>
              <w:t>,全内置封闭式结构，具有完全自主知识产权的专用安全操作系统，提供软件著作</w:t>
            </w:r>
            <w:r>
              <w:rPr>
                <w:rFonts w:ascii="宋体" w:hAnsi="宋体"/>
                <w:sz w:val="24"/>
                <w:szCs w:val="24"/>
              </w:rPr>
              <w:t>权</w:t>
            </w:r>
            <w:r>
              <w:rPr>
                <w:rFonts w:hint="eastAsia" w:ascii="宋体" w:hAnsi="宋体"/>
                <w:sz w:val="24"/>
                <w:szCs w:val="24"/>
              </w:rPr>
              <w:t>并</w:t>
            </w:r>
            <w:r>
              <w:rPr>
                <w:rFonts w:ascii="宋体" w:hAnsi="宋体"/>
                <w:sz w:val="24"/>
                <w:szCs w:val="24"/>
              </w:rPr>
              <w:t>加盖</w:t>
            </w:r>
            <w:r>
              <w:rPr>
                <w:rFonts w:hint="eastAsia" w:ascii="宋体" w:hAnsi="宋体"/>
                <w:sz w:val="24"/>
                <w:szCs w:val="24"/>
              </w:rPr>
              <w:t>投</w:t>
            </w:r>
            <w:r>
              <w:rPr>
                <w:rFonts w:ascii="宋体" w:hAnsi="宋体"/>
                <w:sz w:val="24"/>
                <w:szCs w:val="24"/>
              </w:rPr>
              <w:t>标单位公章</w:t>
            </w:r>
            <w:r>
              <w:rPr>
                <w:rFonts w:hint="eastAsia" w:ascii="宋体" w:hAnsi="宋体"/>
                <w:sz w:val="24"/>
                <w:szCs w:val="24"/>
              </w:rPr>
              <w:t>。</w:t>
            </w:r>
          </w:p>
          <w:p>
            <w:pPr>
              <w:rPr>
                <w:rFonts w:ascii="宋体" w:hAnsi="宋体"/>
                <w:sz w:val="24"/>
                <w:szCs w:val="24"/>
              </w:rPr>
            </w:pPr>
            <w:r>
              <w:rPr>
                <w:rFonts w:hint="eastAsia" w:ascii="宋体" w:hAnsi="宋体"/>
                <w:sz w:val="24"/>
                <w:szCs w:val="24"/>
              </w:rPr>
              <w:t>推荐品牌：</w:t>
            </w:r>
            <w:r>
              <w:rPr>
                <w:rFonts w:hint="eastAsia" w:ascii="宋体" w:hAnsi="宋体"/>
                <w:color w:val="000000"/>
                <w:kern w:val="0"/>
                <w:sz w:val="24"/>
                <w:szCs w:val="24"/>
              </w:rPr>
              <w:t>绿盟，启明星辰，奇安信、亚信安全。注：投标产品可以采用推荐品牌以外的其它品牌产品，但其性能参数必须等于或者优于推荐品牌产品。</w:t>
            </w:r>
          </w:p>
        </w:tc>
      </w:tr>
    </w:tbl>
    <w:p>
      <w:pPr>
        <w:spacing w:line="320" w:lineRule="exact"/>
        <w:rPr>
          <w:rFonts w:ascii="宋体" w:hAnsi="宋体" w:cs="宋体"/>
          <w:b/>
          <w:bCs/>
          <w:kern w:val="0"/>
          <w:sz w:val="28"/>
          <w:szCs w:val="28"/>
        </w:rPr>
      </w:pPr>
    </w:p>
    <w:p>
      <w:pPr>
        <w:spacing w:line="320" w:lineRule="exact"/>
        <w:rPr>
          <w:rFonts w:ascii="宋体" w:hAnsi="宋体" w:cs="宋体"/>
          <w:b/>
          <w:bCs/>
          <w:kern w:val="0"/>
          <w:sz w:val="28"/>
          <w:szCs w:val="28"/>
        </w:rPr>
      </w:pPr>
      <w:r>
        <w:rPr>
          <w:rFonts w:hint="eastAsia" w:ascii="宋体" w:hAnsi="宋体" w:cs="宋体"/>
          <w:b/>
          <w:bCs/>
          <w:kern w:val="0"/>
          <w:sz w:val="28"/>
          <w:szCs w:val="28"/>
        </w:rPr>
        <w:t>二、技术参数规格</w:t>
      </w:r>
    </w:p>
    <w:p>
      <w:pPr>
        <w:pStyle w:val="2"/>
        <w:ind w:left="1470" w:right="1470"/>
      </w:pPr>
    </w:p>
    <w:tbl>
      <w:tblPr>
        <w:tblStyle w:val="2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7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Align w:val="center"/>
          </w:tcPr>
          <w:p>
            <w:pPr>
              <w:jc w:val="center"/>
              <w:rPr>
                <w:rFonts w:ascii="宋体" w:hAnsi="宋体" w:cs="Arial"/>
                <w:b/>
                <w:color w:val="000000"/>
                <w:kern w:val="0"/>
                <w:sz w:val="24"/>
                <w:szCs w:val="24"/>
              </w:rPr>
            </w:pPr>
            <w:bookmarkStart w:id="7" w:name="_Hlk140618407"/>
            <w:r>
              <w:rPr>
                <w:rFonts w:hint="eastAsia" w:ascii="宋体" w:hAnsi="宋体" w:cs="Arial"/>
                <w:b/>
                <w:color w:val="000000"/>
                <w:kern w:val="0"/>
                <w:sz w:val="24"/>
                <w:szCs w:val="24"/>
              </w:rPr>
              <w:t>类别</w:t>
            </w:r>
          </w:p>
        </w:tc>
        <w:tc>
          <w:tcPr>
            <w:tcW w:w="7684" w:type="dxa"/>
            <w:vAlign w:val="center"/>
          </w:tcPr>
          <w:p>
            <w:pPr>
              <w:jc w:val="center"/>
              <w:rPr>
                <w:rFonts w:ascii="宋体" w:hAnsi="宋体" w:cs="Arial"/>
                <w:b/>
                <w:color w:val="000000"/>
                <w:kern w:val="0"/>
                <w:sz w:val="24"/>
                <w:szCs w:val="24"/>
              </w:rPr>
            </w:pPr>
            <w:r>
              <w:rPr>
                <w:rFonts w:hint="eastAsia" w:ascii="宋体" w:hAnsi="宋体" w:cs="Arial"/>
                <w:b/>
                <w:color w:val="000000"/>
                <w:kern w:val="0"/>
                <w:sz w:val="24"/>
                <w:szCs w:val="24"/>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Align w:val="center"/>
          </w:tcPr>
          <w:p>
            <w:pPr>
              <w:jc w:val="center"/>
              <w:rPr>
                <w:rFonts w:ascii="宋体" w:hAnsi="宋体" w:cs="Arial"/>
                <w:b/>
                <w:color w:val="000000"/>
                <w:kern w:val="0"/>
                <w:sz w:val="24"/>
                <w:szCs w:val="24"/>
              </w:rPr>
            </w:pPr>
            <w:r>
              <w:rPr>
                <w:rFonts w:hint="eastAsia" w:ascii="宋体" w:hAnsi="宋体" w:cs="Arial"/>
                <w:b/>
                <w:color w:val="000000"/>
                <w:kern w:val="0"/>
                <w:sz w:val="24"/>
                <w:szCs w:val="24"/>
              </w:rPr>
              <w:t>设备配置</w:t>
            </w: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★2U,产品必须为标准版机架式W</w:t>
            </w:r>
            <w:r>
              <w:rPr>
                <w:rFonts w:ascii="宋体" w:hAnsi="宋体"/>
                <w:color w:val="000000"/>
                <w:kern w:val="0"/>
                <w:sz w:val="24"/>
                <w:szCs w:val="24"/>
              </w:rPr>
              <w:t>AF</w:t>
            </w:r>
            <w:r>
              <w:rPr>
                <w:rFonts w:hint="eastAsia" w:ascii="宋体" w:hAnsi="宋体"/>
                <w:color w:val="000000"/>
                <w:kern w:val="0"/>
                <w:sz w:val="24"/>
                <w:szCs w:val="24"/>
              </w:rPr>
              <w:t>硬件设备而非软件W</w:t>
            </w:r>
            <w:r>
              <w:rPr>
                <w:rFonts w:ascii="宋体" w:hAnsi="宋体"/>
                <w:color w:val="000000"/>
                <w:kern w:val="0"/>
                <w:sz w:val="24"/>
                <w:szCs w:val="24"/>
              </w:rPr>
              <w:t>AF</w:t>
            </w:r>
            <w:r>
              <w:rPr>
                <w:rFonts w:hint="eastAsia" w:ascii="宋体" w:hAnsi="宋体"/>
                <w:color w:val="000000"/>
                <w:kern w:val="0"/>
                <w:sz w:val="24"/>
                <w:szCs w:val="24"/>
              </w:rPr>
              <w:t>，含交流冗余电源</w:t>
            </w:r>
            <w:r>
              <w:rPr>
                <w:rFonts w:ascii="宋体" w:hAnsi="宋体"/>
                <w:color w:val="000000"/>
                <w:kern w:val="0"/>
                <w:sz w:val="24"/>
                <w:szCs w:val="24"/>
              </w:rPr>
              <w:t>;</w:t>
            </w:r>
            <w:r>
              <w:rPr>
                <w:rFonts w:hint="eastAsia" w:ascii="宋体" w:hAnsi="宋体"/>
                <w:color w:val="000000"/>
                <w:kern w:val="0"/>
                <w:sz w:val="24"/>
                <w:szCs w:val="24"/>
              </w:rPr>
              <w:t>≥2*GE管理口;≥4个千兆光口;≥4个万兆光口; ≥4个万兆单模光模块；≥2个扩展插槽位</w:t>
            </w:r>
            <w:r>
              <w:rPr>
                <w:rFonts w:hint="eastAsia" w:ascii="宋体" w:hAnsi="宋体"/>
                <w:sz w:val="24"/>
                <w:szCs w:val="24"/>
              </w:rPr>
              <w:t>；</w:t>
            </w:r>
            <w:r>
              <w:rPr>
                <w:rFonts w:hint="eastAsia" w:ascii="宋体" w:hAnsi="宋体"/>
                <w:color w:val="000000"/>
                <w:kern w:val="0"/>
                <w:sz w:val="24"/>
                <w:szCs w:val="24"/>
              </w:rPr>
              <w:t>网络层吞吐量≥12Gps;应用层吞吐量≥5Gbps;事务处理能力（TPS）≥80000;</w:t>
            </w:r>
            <w:r>
              <w:rPr>
                <w:rFonts w:hint="eastAsia" w:ascii="宋体" w:hAnsi="宋体"/>
                <w:b/>
                <w:bCs/>
                <w:color w:val="000000" w:themeColor="text1"/>
                <w:kern w:val="0"/>
                <w:sz w:val="24"/>
                <w:szCs w:val="24"/>
                <w14:textFill>
                  <w14:solidFill>
                    <w14:schemeClr w14:val="tx1"/>
                  </w14:solidFill>
                </w14:textFill>
              </w:rPr>
              <w:t>含五年软硬件质保和规则库升级服务。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restart"/>
            <w:vAlign w:val="center"/>
          </w:tcPr>
          <w:p>
            <w:pPr>
              <w:jc w:val="center"/>
              <w:rPr>
                <w:rFonts w:ascii="宋体" w:hAnsi="宋体"/>
                <w:b/>
                <w:color w:val="000000"/>
                <w:kern w:val="0"/>
                <w:sz w:val="24"/>
                <w:szCs w:val="24"/>
              </w:rPr>
            </w:pPr>
            <w:r>
              <w:rPr>
                <w:rFonts w:hint="eastAsia" w:ascii="宋体" w:hAnsi="宋体" w:cs="Arial"/>
                <w:b/>
                <w:color w:val="000000"/>
                <w:kern w:val="0"/>
                <w:sz w:val="24"/>
                <w:szCs w:val="24"/>
              </w:rPr>
              <w:t>部署要求</w:t>
            </w: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支持透明部署，旁路部署，反向代理模式部署模式。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cs="Arial"/>
                <w:b/>
                <w:color w:val="000000"/>
                <w:kern w:val="0"/>
                <w:sz w:val="24"/>
                <w:szCs w:val="24"/>
              </w:rPr>
            </w:pP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w:t>
            </w:r>
            <w:r>
              <w:rPr>
                <w:rFonts w:hint="eastAsia" w:ascii="宋体" w:hAnsi="宋体" w:cs="微软雅黑"/>
                <w:color w:val="000000" w:themeColor="text1"/>
                <w:kern w:val="0"/>
                <w:sz w:val="24"/>
                <w:szCs w:val="24"/>
                <w:lang w:bidi="ar"/>
                <w14:textFill>
                  <w14:solidFill>
                    <w14:schemeClr w14:val="tx1"/>
                  </w14:solidFill>
                </w14:textFill>
              </w:rPr>
              <w:t>支持SSL卸载及加载，支持对SSL（HTTPS）加密会话进行分析，SSLv2, SSLv2/v3, SSLv3、TLS1.0\1.1\1.2。</w:t>
            </w:r>
            <w:r>
              <w:rPr>
                <w:rFonts w:hint="eastAsia" w:ascii="宋体" w:hAnsi="宋体"/>
                <w:b/>
                <w:bCs/>
                <w:color w:val="000000" w:themeColor="text1"/>
                <w:kern w:val="0"/>
                <w:sz w:val="24"/>
                <w:szCs w:val="24"/>
                <w14:textFill>
                  <w14:solidFill>
                    <w14:schemeClr w14:val="tx1"/>
                  </w14:solidFill>
                </w14:textFill>
              </w:rPr>
              <w:t>提供截图证明</w:t>
            </w:r>
            <w:r>
              <w:rPr>
                <w:rFonts w:hint="eastAsia" w:ascii="宋体" w:hAnsi="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restart"/>
            <w:vAlign w:val="center"/>
          </w:tcPr>
          <w:p>
            <w:pPr>
              <w:jc w:val="center"/>
              <w:rPr>
                <w:rFonts w:ascii="宋体" w:hAnsi="宋体"/>
                <w:b/>
                <w:color w:val="000000"/>
                <w:kern w:val="0"/>
                <w:sz w:val="24"/>
                <w:szCs w:val="24"/>
              </w:rPr>
            </w:pPr>
            <w:r>
              <w:rPr>
                <w:rFonts w:hint="eastAsia" w:ascii="宋体" w:hAnsi="宋体"/>
                <w:b/>
                <w:color w:val="000000"/>
                <w:kern w:val="0"/>
                <w:sz w:val="24"/>
                <w:szCs w:val="24"/>
              </w:rPr>
              <w:t>防护要求</w:t>
            </w: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支持基于规则和语义分析的检测引擎，提升检测精度。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b/>
                <w:color w:val="000000"/>
                <w:kern w:val="0"/>
                <w:sz w:val="24"/>
                <w:szCs w:val="24"/>
              </w:rPr>
            </w:pP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支持针对主流Web服务器及插件的已知漏洞防护。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b/>
                <w:color w:val="000000"/>
                <w:kern w:val="0"/>
                <w:sz w:val="24"/>
                <w:szCs w:val="24"/>
              </w:rPr>
            </w:pPr>
          </w:p>
        </w:tc>
        <w:tc>
          <w:tcPr>
            <w:tcW w:w="7684" w:type="dxa"/>
            <w:vAlign w:val="center"/>
          </w:tcPr>
          <w:p>
            <w:pPr>
              <w:rPr>
                <w:rFonts w:ascii="宋体" w:hAnsi="宋体"/>
                <w:color w:val="000000"/>
                <w:kern w:val="0"/>
                <w:sz w:val="24"/>
                <w:szCs w:val="24"/>
              </w:rPr>
            </w:pPr>
            <w:r>
              <w:rPr>
                <w:rFonts w:hint="eastAsia" w:ascii="宋体" w:hAnsi="宋体" w:cs="微软雅黑"/>
                <w:color w:val="000000" w:themeColor="text1"/>
                <w:kern w:val="0"/>
                <w:sz w:val="24"/>
                <w:szCs w:val="24"/>
                <w:lang w:bidi="ar"/>
                <w14:textFill>
                  <w14:solidFill>
                    <w14:schemeClr w14:val="tx1"/>
                  </w14:solidFill>
                </w14:textFill>
              </w:rPr>
              <w:t>支持</w:t>
            </w:r>
            <w:r>
              <w:rPr>
                <w:rFonts w:ascii="宋体" w:hAnsi="宋体" w:cs="微软雅黑"/>
                <w:color w:val="000000" w:themeColor="text1"/>
                <w:kern w:val="0"/>
                <w:sz w:val="24"/>
                <w:szCs w:val="24"/>
                <w:lang w:bidi="ar"/>
                <w14:textFill>
                  <w14:solidFill>
                    <w14:schemeClr w14:val="tx1"/>
                  </w14:solidFill>
                </w14:textFill>
              </w:rPr>
              <w:t>HTTP访问控制功能，可以提供针对HTTP元素和客户端的组合访问控制策略。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b/>
                <w:color w:val="000000"/>
                <w:kern w:val="0"/>
                <w:sz w:val="24"/>
                <w:szCs w:val="24"/>
              </w:rPr>
            </w:pP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支持对注入（包括SQL注入、LDAP注入、XPATH注入及命令行注入）、XSS、SSI指令、路径穿越、远程文件包含、WebShell防护。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b/>
                <w:color w:val="000000"/>
                <w:kern w:val="0"/>
                <w:sz w:val="24"/>
                <w:szCs w:val="24"/>
              </w:rPr>
            </w:pPr>
          </w:p>
        </w:tc>
        <w:tc>
          <w:tcPr>
            <w:tcW w:w="7684" w:type="dxa"/>
            <w:vAlign w:val="center"/>
          </w:tcPr>
          <w:p>
            <w:pPr>
              <w:rPr>
                <w:rFonts w:ascii="宋体" w:hAnsi="宋体" w:cs="Arial"/>
                <w:sz w:val="24"/>
                <w:szCs w:val="24"/>
              </w:rPr>
            </w:pPr>
            <w:r>
              <w:rPr>
                <w:rFonts w:hint="eastAsia" w:ascii="宋体" w:hAnsi="宋体" w:cs="Arial"/>
                <w:sz w:val="24"/>
                <w:szCs w:val="24"/>
              </w:rPr>
              <w:t>支持CSRF（跨站请求伪造）防护，并支持WEB2.0 CSRF防护。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b/>
                <w:color w:val="000000"/>
                <w:kern w:val="0"/>
                <w:sz w:val="24"/>
                <w:szCs w:val="24"/>
              </w:rPr>
            </w:pP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支持非法文件上传防护，有效识别文件上传行为，并对上传行为的内容做安全检测，可以根据需要，禁止上传以下文件类型：PE、ELF、PHP web shell、Linux shell、Power shell、Java shell、Asp shell、Perl shell、Python shell及Ruby shell，同时可支持源IP封禁、Session封禁和UA封禁。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b/>
                <w:color w:val="000000"/>
                <w:kern w:val="0"/>
                <w:sz w:val="24"/>
                <w:szCs w:val="24"/>
              </w:rPr>
            </w:pP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支持非法下载防护，可以根据文件大小、MIME类型及文件扩展名灵活定义下载限制策略，限制用户非法获取网站的关键数据（比如数据库文件，配置文件等）。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b/>
                <w:color w:val="000000"/>
                <w:kern w:val="0"/>
                <w:sz w:val="24"/>
                <w:szCs w:val="24"/>
              </w:rPr>
            </w:pP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支持Cookie安全机制，包括Cookie加密和Cookie签名的防护算法。支持过期兼容时间配置。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b/>
                <w:color w:val="000000"/>
                <w:kern w:val="0"/>
                <w:sz w:val="24"/>
                <w:szCs w:val="24"/>
              </w:rPr>
            </w:pPr>
          </w:p>
        </w:tc>
        <w:tc>
          <w:tcPr>
            <w:tcW w:w="7684" w:type="dxa"/>
            <w:vAlign w:val="center"/>
          </w:tcPr>
          <w:p>
            <w:pPr>
              <w:rPr>
                <w:rFonts w:ascii="宋体" w:hAnsi="宋体"/>
                <w:color w:val="000000"/>
                <w:kern w:val="0"/>
                <w:sz w:val="24"/>
                <w:szCs w:val="24"/>
              </w:rPr>
            </w:pPr>
            <w:bookmarkStart w:id="8" w:name="_Hlk6926441"/>
            <w:r>
              <w:rPr>
                <w:rFonts w:hint="eastAsia" w:ascii="宋体" w:hAnsi="宋体"/>
                <w:color w:val="000000"/>
                <w:kern w:val="0"/>
                <w:sz w:val="24"/>
                <w:szCs w:val="24"/>
              </w:rPr>
              <w:t>▲支持扫描防护，应至少包括阈值告警、请求量统计、应答分布统计等防护手段</w:t>
            </w:r>
            <w:bookmarkEnd w:id="8"/>
            <w:r>
              <w:rPr>
                <w:rFonts w:hint="eastAsia" w:ascii="宋体" w:hAnsi="宋体"/>
                <w:color w:val="000000"/>
                <w:kern w:val="0"/>
                <w:sz w:val="24"/>
                <w:szCs w:val="24"/>
              </w:rPr>
              <w:t>。</w:t>
            </w:r>
            <w:r>
              <w:rPr>
                <w:rFonts w:hint="eastAsia" w:ascii="宋体" w:hAnsi="宋体"/>
                <w:b/>
                <w:bCs/>
                <w:color w:val="000000" w:themeColor="text1"/>
                <w:kern w:val="0"/>
                <w:sz w:val="24"/>
                <w:szCs w:val="24"/>
                <w14:textFill>
                  <w14:solidFill>
                    <w14:schemeClr w14:val="tx1"/>
                  </w14:solidFill>
                </w14:textFill>
              </w:rPr>
              <w:t>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b/>
                <w:color w:val="000000"/>
                <w:kern w:val="0"/>
                <w:sz w:val="24"/>
                <w:szCs w:val="24"/>
              </w:rPr>
            </w:pP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▲支持敏感信息过滤，对用户的个人隐私信息（信用卡卡号、手机号、身份证号码）泄露进行检测、阻断或替换。</w:t>
            </w:r>
            <w:r>
              <w:rPr>
                <w:rFonts w:hint="eastAsia" w:ascii="宋体" w:hAnsi="宋体"/>
                <w:b/>
                <w:bCs/>
                <w:color w:val="000000" w:themeColor="text1"/>
                <w:kern w:val="0"/>
                <w:sz w:val="24"/>
                <w:szCs w:val="24"/>
                <w14:textFill>
                  <w14:solidFill>
                    <w14:schemeClr w14:val="tx1"/>
                  </w14:solidFill>
                </w14:textFill>
              </w:rPr>
              <w:t>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b/>
                <w:color w:val="000000"/>
                <w:kern w:val="0"/>
                <w:sz w:val="24"/>
                <w:szCs w:val="24"/>
              </w:rPr>
            </w:pP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▲支持XML防护，包括XML基础校验、Schema校验以及SOAP校验。</w:t>
            </w:r>
            <w:r>
              <w:rPr>
                <w:rFonts w:hint="eastAsia" w:ascii="宋体" w:hAnsi="宋体"/>
                <w:b/>
                <w:bCs/>
                <w:color w:val="000000" w:themeColor="text1"/>
                <w:kern w:val="0"/>
                <w:sz w:val="24"/>
                <w:szCs w:val="24"/>
                <w14:textFill>
                  <w14:solidFill>
                    <w14:schemeClr w14:val="tx1"/>
                  </w14:solidFill>
                </w14:textFill>
              </w:rPr>
              <w:t>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b/>
                <w:color w:val="000000"/>
                <w:kern w:val="0"/>
                <w:sz w:val="24"/>
                <w:szCs w:val="24"/>
              </w:rPr>
            </w:pP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▲支持暴力破解防护，可针对指定URL进行暴力破解防护，支持多种方式的登陆，支持referer检测，支持阈值和检测周期的设置。</w:t>
            </w:r>
            <w:r>
              <w:rPr>
                <w:rFonts w:hint="eastAsia" w:ascii="宋体" w:hAnsi="宋体"/>
                <w:b/>
                <w:bCs/>
                <w:color w:val="000000" w:themeColor="text1"/>
                <w:kern w:val="0"/>
                <w:sz w:val="24"/>
                <w:szCs w:val="24"/>
                <w14:textFill>
                  <w14:solidFill>
                    <w14:schemeClr w14:val="tx1"/>
                  </w14:solidFill>
                </w14:textFill>
              </w:rPr>
              <w:t>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b/>
                <w:color w:val="000000"/>
                <w:kern w:val="0"/>
                <w:sz w:val="24"/>
                <w:szCs w:val="24"/>
              </w:rPr>
            </w:pPr>
            <w:r>
              <w:rPr>
                <w:rFonts w:hint="eastAsia" w:ascii="宋体" w:hAnsi="宋体"/>
                <w:b/>
                <w:color w:val="000000"/>
                <w:kern w:val="0"/>
                <w:sz w:val="24"/>
                <w:szCs w:val="24"/>
              </w:rPr>
              <w:t>11</w:t>
            </w: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支持不少于七种的防护动作，包括了放过、阻断、接受、重定向、伪装、清除和替换。可针对不同安全风险提供多种可选方案。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b/>
                <w:color w:val="000000"/>
                <w:kern w:val="0"/>
                <w:sz w:val="24"/>
                <w:szCs w:val="24"/>
              </w:rPr>
            </w:pPr>
          </w:p>
        </w:tc>
        <w:tc>
          <w:tcPr>
            <w:tcW w:w="7684" w:type="dxa"/>
            <w:vAlign w:val="center"/>
          </w:tcPr>
          <w:p>
            <w:pPr>
              <w:rPr>
                <w:rFonts w:ascii="宋体" w:hAnsi="宋体" w:cs="Arial"/>
                <w:sz w:val="24"/>
                <w:szCs w:val="24"/>
              </w:rPr>
            </w:pPr>
            <w:r>
              <w:rPr>
                <w:rFonts w:hint="eastAsia" w:ascii="宋体" w:hAnsi="宋体" w:cs="Arial"/>
                <w:sz w:val="24"/>
                <w:szCs w:val="24"/>
              </w:rPr>
              <w:t>提供默认策略模板，方便客户快速对站点组及虚拟站点进行web安全防护策略配置。支持严格模板、标准模板及宽松模板。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restart"/>
            <w:vAlign w:val="center"/>
          </w:tcPr>
          <w:p>
            <w:pPr>
              <w:jc w:val="center"/>
              <w:rPr>
                <w:rFonts w:ascii="宋体" w:hAnsi="宋体"/>
                <w:b/>
                <w:color w:val="000000"/>
                <w:kern w:val="0"/>
                <w:sz w:val="24"/>
                <w:szCs w:val="24"/>
              </w:rPr>
            </w:pPr>
            <w:r>
              <w:rPr>
                <w:rFonts w:hint="eastAsia" w:ascii="宋体" w:hAnsi="宋体"/>
                <w:b/>
                <w:color w:val="000000"/>
                <w:kern w:val="0"/>
                <w:sz w:val="24"/>
                <w:szCs w:val="24"/>
              </w:rPr>
              <w:t>日志分析</w:t>
            </w:r>
          </w:p>
        </w:tc>
        <w:tc>
          <w:tcPr>
            <w:tcW w:w="7684" w:type="dxa"/>
            <w:vAlign w:val="center"/>
          </w:tcPr>
          <w:p>
            <w:pPr>
              <w:rPr>
                <w:rFonts w:ascii="宋体" w:hAnsi="宋体" w:cs="Arial"/>
                <w:color w:val="FF0000"/>
                <w:sz w:val="24"/>
                <w:szCs w:val="24"/>
              </w:rPr>
            </w:pPr>
            <w:r>
              <w:rPr>
                <w:rFonts w:hint="eastAsia" w:ascii="宋体" w:hAnsi="宋体" w:cs="Arial"/>
                <w:sz w:val="24"/>
                <w:szCs w:val="24"/>
              </w:rPr>
              <w:t>支持误报分析功能，支持定时自动化分析，提升检测精度，减少告警噪音。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b/>
                <w:color w:val="000000"/>
                <w:kern w:val="0"/>
                <w:sz w:val="24"/>
                <w:szCs w:val="24"/>
              </w:rPr>
            </w:pPr>
          </w:p>
        </w:tc>
        <w:tc>
          <w:tcPr>
            <w:tcW w:w="7684" w:type="dxa"/>
            <w:vAlign w:val="center"/>
          </w:tcPr>
          <w:p>
            <w:pPr>
              <w:rPr>
                <w:rFonts w:ascii="宋体" w:hAnsi="宋体" w:cs="Arial"/>
                <w:sz w:val="24"/>
                <w:szCs w:val="24"/>
              </w:rPr>
            </w:pPr>
            <w:r>
              <w:rPr>
                <w:rFonts w:hint="eastAsia" w:ascii="宋体" w:hAnsi="宋体"/>
                <w:color w:val="000000"/>
                <w:kern w:val="0"/>
                <w:sz w:val="24"/>
                <w:szCs w:val="24"/>
              </w:rPr>
              <w:t>支持记录X-Forwarded-For字段，在日志中展示真实源IP地址，并可对真实源IP地址进行封禁。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Align w:val="center"/>
          </w:tcPr>
          <w:p>
            <w:pPr>
              <w:jc w:val="center"/>
              <w:rPr>
                <w:rFonts w:ascii="宋体" w:hAnsi="宋体" w:cs="Arial"/>
                <w:b/>
                <w:color w:val="000000"/>
                <w:kern w:val="0"/>
                <w:sz w:val="24"/>
                <w:szCs w:val="24"/>
              </w:rPr>
            </w:pPr>
            <w:r>
              <w:rPr>
                <w:rFonts w:hint="eastAsia" w:ascii="宋体" w:hAnsi="宋体" w:cs="Arial"/>
                <w:b/>
                <w:color w:val="000000"/>
                <w:kern w:val="0"/>
                <w:sz w:val="24"/>
                <w:szCs w:val="24"/>
              </w:rPr>
              <w:t>I</w:t>
            </w:r>
            <w:r>
              <w:rPr>
                <w:rFonts w:ascii="宋体" w:hAnsi="宋体" w:cs="Arial"/>
                <w:b/>
                <w:color w:val="000000"/>
                <w:kern w:val="0"/>
                <w:sz w:val="24"/>
                <w:szCs w:val="24"/>
              </w:rPr>
              <w:t>PV6</w:t>
            </w: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★支持IPv6环境部署。</w:t>
            </w:r>
            <w:r>
              <w:rPr>
                <w:rFonts w:hint="eastAsia" w:ascii="宋体" w:hAnsi="宋体"/>
                <w:b/>
                <w:bCs/>
                <w:color w:val="000000" w:themeColor="text1"/>
                <w:kern w:val="0"/>
                <w:sz w:val="24"/>
                <w:szCs w:val="24"/>
                <w14:textFill>
                  <w14:solidFill>
                    <w14:schemeClr w14:val="tx1"/>
                  </w14:solidFill>
                </w14:textFill>
              </w:rPr>
              <w:t>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restart"/>
            <w:vAlign w:val="center"/>
          </w:tcPr>
          <w:p>
            <w:pPr>
              <w:jc w:val="center"/>
              <w:rPr>
                <w:rFonts w:ascii="宋体" w:hAnsi="宋体" w:cs="Arial"/>
                <w:b/>
                <w:color w:val="000000"/>
                <w:kern w:val="0"/>
                <w:sz w:val="24"/>
                <w:szCs w:val="24"/>
              </w:rPr>
            </w:pPr>
            <w:r>
              <w:rPr>
                <w:rFonts w:hint="eastAsia" w:ascii="宋体" w:hAnsi="宋体" w:cs="Arial"/>
                <w:b/>
                <w:color w:val="000000"/>
                <w:kern w:val="0"/>
                <w:sz w:val="24"/>
                <w:szCs w:val="24"/>
              </w:rPr>
              <w:t>高可用性</w:t>
            </w: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系统支持配置并发连接数阈值，当并发连接数超过设置阀值时，WAF自动进入紧急模式，已经代理的连接正常代理，对新增的请求不进行代理，直接转发，防止WAF成为访问瓶颈。当连接数恢复正常时，自动退出紧急模式。</w:t>
            </w:r>
            <w:r>
              <w:rPr>
                <w:rFonts w:hint="eastAsia" w:ascii="宋体" w:hAnsi="宋体"/>
                <w:b/>
                <w:bCs/>
                <w:color w:val="000000" w:themeColor="text1"/>
                <w:kern w:val="0"/>
                <w:sz w:val="24"/>
                <w:szCs w:val="24"/>
                <w14:textFill>
                  <w14:solidFill>
                    <w14:schemeClr w14:val="tx1"/>
                  </w14:solidFill>
                </w14:textFill>
              </w:rPr>
              <w:t>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cs="Arial"/>
                <w:b/>
                <w:color w:val="000000"/>
                <w:kern w:val="0"/>
                <w:sz w:val="24"/>
                <w:szCs w:val="24"/>
              </w:rPr>
            </w:pP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支持HA的A/S部署模式，支持VRRP协议，支持配置同步，支持非对称路由下的部署。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restart"/>
            <w:vAlign w:val="center"/>
          </w:tcPr>
          <w:p>
            <w:pPr>
              <w:jc w:val="center"/>
              <w:rPr>
                <w:rFonts w:ascii="宋体" w:hAnsi="宋体" w:cs="Arial"/>
                <w:b/>
                <w:color w:val="000000"/>
                <w:kern w:val="0"/>
                <w:sz w:val="24"/>
                <w:szCs w:val="24"/>
              </w:rPr>
            </w:pPr>
            <w:r>
              <w:rPr>
                <w:rFonts w:hint="eastAsia" w:ascii="宋体" w:hAnsi="宋体" w:cs="Arial"/>
                <w:b/>
                <w:color w:val="000000"/>
                <w:kern w:val="0"/>
                <w:sz w:val="24"/>
                <w:szCs w:val="24"/>
              </w:rPr>
              <w:t>管理功能要求</w:t>
            </w: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支持标准网管接口SNMP trap和日志转发支持Syslog接口。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cs="Arial"/>
                <w:b/>
                <w:color w:val="000000"/>
                <w:kern w:val="0"/>
                <w:sz w:val="24"/>
                <w:szCs w:val="24"/>
              </w:rPr>
            </w:pP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支持对账户进行包括口令复杂度和口令生存期配置的安全策略。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cs="Arial"/>
                <w:b/>
                <w:color w:val="000000"/>
                <w:kern w:val="0"/>
                <w:sz w:val="24"/>
                <w:szCs w:val="24"/>
              </w:rPr>
            </w:pP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支持对用户登录密码错误的次数进行限制，并可建立如封禁异常登录的账号或IP，封禁时间等配置策略。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Align w:val="center"/>
          </w:tcPr>
          <w:p>
            <w:pPr>
              <w:jc w:val="center"/>
              <w:rPr>
                <w:rFonts w:ascii="宋体" w:hAnsi="宋体" w:cs="Arial"/>
                <w:b/>
                <w:color w:val="000000"/>
                <w:kern w:val="0"/>
                <w:sz w:val="24"/>
                <w:szCs w:val="24"/>
              </w:rPr>
            </w:pPr>
            <w:r>
              <w:rPr>
                <w:rFonts w:hint="eastAsia" w:ascii="宋体" w:hAnsi="宋体" w:cs="Arial"/>
                <w:b/>
                <w:color w:val="000000"/>
                <w:kern w:val="0"/>
                <w:sz w:val="24"/>
                <w:szCs w:val="24"/>
              </w:rPr>
              <w:t>资质</w:t>
            </w:r>
          </w:p>
        </w:tc>
        <w:tc>
          <w:tcPr>
            <w:tcW w:w="7684" w:type="dxa"/>
            <w:vAlign w:val="center"/>
          </w:tcPr>
          <w:p>
            <w:pPr>
              <w:rPr>
                <w:rFonts w:ascii="宋体" w:hAnsi="宋体"/>
                <w:color w:val="000000"/>
                <w:kern w:val="0"/>
                <w:sz w:val="24"/>
                <w:szCs w:val="24"/>
              </w:rPr>
            </w:pPr>
            <w:r>
              <w:rPr>
                <w:rFonts w:hint="eastAsia" w:ascii="宋体" w:hAnsi="宋体"/>
                <w:b/>
                <w:bCs/>
                <w:color w:val="000000" w:themeColor="text1"/>
                <w:kern w:val="0"/>
                <w:sz w:val="24"/>
                <w:szCs w:val="24"/>
                <w14:textFill>
                  <w14:solidFill>
                    <w14:schemeClr w14:val="tx1"/>
                  </w14:solidFill>
                </w14:textFill>
              </w:rPr>
              <w:t>所投产品具有计算机信息系统安全专用产品销售许可证，提供证书复印件并加盖投标单位公章。</w:t>
            </w:r>
          </w:p>
        </w:tc>
      </w:tr>
      <w:bookmarkEnd w:id="7"/>
    </w:tbl>
    <w:p>
      <w:pPr>
        <w:spacing w:line="320" w:lineRule="exact"/>
        <w:rPr>
          <w:rFonts w:ascii="宋体" w:hAnsi="宋体" w:cs="宋体"/>
          <w:b/>
          <w:bCs/>
          <w:kern w:val="0"/>
          <w:sz w:val="28"/>
          <w:szCs w:val="28"/>
        </w:rPr>
      </w:pPr>
    </w:p>
    <w:p>
      <w:pPr>
        <w:spacing w:line="320" w:lineRule="exact"/>
        <w:rPr>
          <w:rFonts w:ascii="宋体" w:hAnsi="宋体" w:cs="宋体"/>
          <w:b/>
          <w:bCs/>
          <w:kern w:val="0"/>
          <w:sz w:val="28"/>
          <w:szCs w:val="28"/>
        </w:rPr>
      </w:pPr>
      <w:r>
        <w:rPr>
          <w:rFonts w:hint="eastAsia" w:ascii="宋体" w:hAnsi="宋体" w:cs="宋体"/>
          <w:b/>
          <w:bCs/>
          <w:kern w:val="0"/>
          <w:sz w:val="28"/>
          <w:szCs w:val="28"/>
        </w:rPr>
        <w:t>三、售后服务及质保要求</w:t>
      </w:r>
    </w:p>
    <w:p>
      <w:pPr>
        <w:spacing w:line="276" w:lineRule="auto"/>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投标商须承诺整机至少五年免费质保（上门服务），质保期内提供24小时免费上门维修服务，质保期后提供维修维护服务。（投标人投标时需提供原厂至少五年质保承诺并加盖投标人企业公章或承诺在收到中标通知书后7个工作日内须提供原厂至少五年质保函原件，否则取消中标资格）</w:t>
      </w:r>
    </w:p>
    <w:p>
      <w:pPr>
        <w:pStyle w:val="19"/>
        <w:spacing w:before="0" w:beforeAutospacing="0" w:after="0" w:afterAutospacing="0"/>
        <w:rPr>
          <w:b/>
          <w:bCs/>
          <w:color w:val="FF0000"/>
          <w:sz w:val="28"/>
          <w:szCs w:val="28"/>
        </w:rPr>
      </w:pPr>
    </w:p>
    <w:p>
      <w:pPr>
        <w:pStyle w:val="19"/>
        <w:spacing w:before="0" w:beforeAutospacing="0" w:after="0" w:afterAutospacing="0"/>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注：以上一、二、三项相关内容需要投标人提供的纸质证明材料，如投标人不满足要求，不作为中标候选人推荐。</w:t>
      </w: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rPr>
      </w:pPr>
      <w:r>
        <w:rPr>
          <w:rStyle w:val="47"/>
          <w:rFonts w:hint="eastAsia" w:cs="宋体"/>
          <w:b/>
          <w:sz w:val="44"/>
        </w:rPr>
        <w:t>第五章  评标方法与评标标准</w:t>
      </w:r>
      <w:bookmarkEnd w:id="6"/>
    </w:p>
    <w:p>
      <w:pPr>
        <w:snapToGrid w:val="0"/>
        <w:spacing w:line="500" w:lineRule="exact"/>
        <w:ind w:firstLine="482" w:firstLineChars="200"/>
        <w:rPr>
          <w:rStyle w:val="47"/>
          <w:rFonts w:ascii="宋体" w:hAnsi="宋体" w:cs="宋体"/>
          <w:b/>
          <w:bCs/>
          <w:sz w:val="24"/>
          <w:szCs w:val="24"/>
        </w:rPr>
      </w:pPr>
      <w:r>
        <w:rPr>
          <w:rStyle w:val="47"/>
          <w:rFonts w:hint="eastAsia" w:ascii="宋体" w:hAnsi="宋体" w:cs="宋体"/>
          <w:b/>
          <w:bCs/>
          <w:sz w:val="24"/>
          <w:szCs w:val="24"/>
        </w:rPr>
        <w:t>一、评标方法与定标原则</w:t>
      </w:r>
    </w:p>
    <w:p>
      <w:pPr>
        <w:snapToGrid w:val="0"/>
        <w:spacing w:line="500" w:lineRule="exact"/>
        <w:ind w:firstLine="480" w:firstLineChars="200"/>
        <w:rPr>
          <w:rFonts w:ascii="宋体" w:hAnsi="宋体" w:cs="宋体"/>
          <w:bCs/>
          <w:sz w:val="24"/>
          <w:szCs w:val="24"/>
        </w:rPr>
      </w:pPr>
      <w:r>
        <w:rPr>
          <w:rFonts w:hint="eastAsia" w:ascii="宋体" w:hAnsi="宋体" w:cs="宋体"/>
          <w:bCs/>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snapToGrid w:val="0"/>
        <w:spacing w:line="500" w:lineRule="exact"/>
        <w:ind w:firstLine="480" w:firstLineChars="200"/>
        <w:rPr>
          <w:rStyle w:val="47"/>
          <w:rFonts w:ascii="宋体" w:hAnsi="宋体" w:cs="宋体"/>
          <w:bCs/>
          <w:sz w:val="24"/>
          <w:szCs w:val="24"/>
        </w:rPr>
      </w:pPr>
      <w:r>
        <w:rPr>
          <w:rFonts w:hint="eastAsia" w:ascii="宋体" w:hAnsi="宋体" w:cs="宋体"/>
          <w:bCs/>
          <w:sz w:val="24"/>
          <w:szCs w:val="24"/>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fldChar w:fldCharType="begin"/>
      </w:r>
      <w:r>
        <w:instrText xml:space="preserve"> HYPERLINK "https://link.zhihu.com/?target=http://baike.baidu.com/view/89764.htm" \t "https://www.zhihu.com/question/_blank" </w:instrText>
      </w:r>
      <w:r>
        <w:fldChar w:fldCharType="separate"/>
      </w:r>
      <w:r>
        <w:rPr>
          <w:rFonts w:hint="eastAsia" w:ascii="宋体" w:hAnsi="宋体" w:cs="宋体"/>
          <w:bCs/>
          <w:sz w:val="24"/>
          <w:szCs w:val="24"/>
        </w:rPr>
        <w:t>竞争</w:t>
      </w:r>
      <w:r>
        <w:rPr>
          <w:rFonts w:hint="eastAsia" w:ascii="宋体" w:hAnsi="宋体" w:cs="宋体"/>
          <w:bCs/>
          <w:sz w:val="24"/>
          <w:szCs w:val="24"/>
        </w:rPr>
        <w:fldChar w:fldCharType="end"/>
      </w:r>
      <w:r>
        <w:rPr>
          <w:rFonts w:hint="eastAsia" w:ascii="宋体" w:hAnsi="宋体" w:cs="宋体"/>
          <w:bCs/>
          <w:sz w:val="24"/>
          <w:szCs w:val="24"/>
        </w:rPr>
        <w:t>，其投标应作</w:t>
      </w:r>
      <w:r>
        <w:fldChar w:fldCharType="begin"/>
      </w:r>
      <w:r>
        <w:instrText xml:space="preserve"> HYPERLINK "https://link.zhihu.com/?target=http://baike.baidu.com/view/1281780.htm" \t "https://www.zhihu.com/question/_blank" </w:instrText>
      </w:r>
      <w:r>
        <w:fldChar w:fldCharType="separate"/>
      </w:r>
      <w:r>
        <w:rPr>
          <w:rFonts w:hint="eastAsia" w:ascii="宋体" w:hAnsi="宋体" w:cs="宋体"/>
          <w:bCs/>
          <w:sz w:val="24"/>
          <w:szCs w:val="24"/>
        </w:rPr>
        <w:t>废标</w:t>
      </w:r>
      <w:r>
        <w:rPr>
          <w:rFonts w:hint="eastAsia" w:ascii="宋体" w:hAnsi="宋体" w:cs="宋体"/>
          <w:bCs/>
          <w:sz w:val="24"/>
          <w:szCs w:val="24"/>
        </w:rPr>
        <w:fldChar w:fldCharType="end"/>
      </w:r>
      <w:r>
        <w:rPr>
          <w:rFonts w:hint="eastAsia" w:ascii="宋体" w:hAnsi="宋体" w:cs="宋体"/>
          <w:bCs/>
          <w:sz w:val="24"/>
          <w:szCs w:val="24"/>
        </w:rPr>
        <w:t>处理。</w:t>
      </w:r>
    </w:p>
    <w:p>
      <w:pPr>
        <w:pStyle w:val="19"/>
        <w:adjustRightInd w:val="0"/>
        <w:snapToGrid w:val="0"/>
        <w:spacing w:before="0" w:beforeAutospacing="0" w:after="0" w:afterAutospacing="0" w:line="360" w:lineRule="auto"/>
        <w:ind w:firstLine="482" w:firstLineChars="200"/>
        <w:rPr>
          <w:b/>
          <w:bCs/>
        </w:rPr>
      </w:pPr>
      <w:r>
        <w:rPr>
          <w:rFonts w:hint="eastAsia"/>
          <w:b/>
          <w:bCs/>
        </w:rPr>
        <w:t>政府采购政策功能落实</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1、小微型企业价格扣除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pPr>
        <w:pStyle w:val="19"/>
        <w:spacing w:before="0" w:beforeAutospacing="0" w:after="0" w:afterAutospacing="0"/>
        <w:ind w:firstLine="480" w:firstLineChars="200"/>
        <w:rPr>
          <w:b/>
          <w:bCs/>
          <w:color w:val="00B0F0"/>
          <w:szCs w:val="24"/>
          <w:u w:val="single"/>
        </w:rPr>
      </w:pPr>
      <w:r>
        <w:rPr>
          <w:rFonts w:hint="eastAsia"/>
          <w:bCs/>
          <w:szCs w:val="24"/>
        </w:rPr>
        <w:t>（3）企业标准请参照《关于印发中小企业划型标准规定的通知》（工信部联企业[2011]300号）文件规定及国家统计局关于印发《统计上大中小微型企业划分办法（2017）》的通知自行填写。</w:t>
      </w:r>
      <w:r>
        <w:rPr>
          <w:rFonts w:hint="eastAsia"/>
          <w:b/>
          <w:szCs w:val="24"/>
        </w:rPr>
        <w:t>本采购标的的所属行业为软件和信息技术服务业</w:t>
      </w:r>
      <w:r>
        <w:rPr>
          <w:rFonts w:hint="eastAsia"/>
          <w:bCs/>
          <w:szCs w:val="24"/>
        </w:rPr>
        <w:t>，如未按要求填写，不得享受价格扣除。</w:t>
      </w:r>
    </w:p>
    <w:p>
      <w:pPr>
        <w:snapToGrid w:val="0"/>
        <w:spacing w:line="360" w:lineRule="auto"/>
        <w:ind w:firstLine="480" w:firstLineChars="200"/>
        <w:rPr>
          <w:rFonts w:ascii="宋体" w:hAnsi="宋体" w:cs="宋体"/>
          <w:sz w:val="24"/>
          <w:szCs w:val="24"/>
        </w:rPr>
      </w:pPr>
      <w:r>
        <w:rPr>
          <w:rFonts w:hint="eastAsia" w:ascii="宋体" w:hAnsi="宋体" w:cs="宋体"/>
          <w:bCs/>
          <w:sz w:val="24"/>
          <w:szCs w:val="24"/>
        </w:rPr>
        <w:t>（4）</w:t>
      </w:r>
      <w:r>
        <w:rPr>
          <w:rFonts w:hint="eastAsia" w:ascii="宋体" w:hAnsi="宋体" w:cs="宋体"/>
          <w:b/>
          <w:bCs/>
          <w:sz w:val="24"/>
          <w:szCs w:val="24"/>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500" w:lineRule="exact"/>
        <w:ind w:firstLine="482" w:firstLineChars="200"/>
        <w:rPr>
          <w:rStyle w:val="47"/>
          <w:rFonts w:ascii="宋体" w:hAnsi="宋体" w:cs="宋体"/>
        </w:rPr>
      </w:pPr>
      <w:r>
        <w:rPr>
          <w:rStyle w:val="47"/>
          <w:rFonts w:hint="eastAsia" w:ascii="宋体" w:hAnsi="宋体" w:cs="宋体"/>
          <w:b/>
          <w:sz w:val="24"/>
          <w:szCs w:val="24"/>
        </w:rPr>
        <w:t>二、评标标准</w:t>
      </w:r>
    </w:p>
    <w:p>
      <w:pPr>
        <w:snapToGrid w:val="0"/>
        <w:spacing w:line="440" w:lineRule="exact"/>
        <w:ind w:firstLine="480" w:firstLineChars="200"/>
        <w:rPr>
          <w:rFonts w:ascii="宋体" w:hAnsi="宋体" w:cs="宋体"/>
          <w:sz w:val="24"/>
          <w:szCs w:val="24"/>
        </w:rPr>
      </w:pPr>
      <w:r>
        <w:rPr>
          <w:rFonts w:hint="eastAsia" w:ascii="宋体" w:hAnsi="宋体" w:cs="宋体"/>
          <w:snapToGrid w:val="0"/>
          <w:kern w:val="0"/>
          <w:sz w:val="24"/>
          <w:szCs w:val="24"/>
        </w:rPr>
        <w:t>本项目评分总分值为100分。</w:t>
      </w:r>
    </w:p>
    <w:tbl>
      <w:tblPr>
        <w:tblStyle w:val="22"/>
        <w:tblW w:w="930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661"/>
        <w:gridCol w:w="988"/>
        <w:gridCol w:w="6657"/>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711" w:hRule="atLeast"/>
          <w:jc w:val="center"/>
        </w:trPr>
        <w:tc>
          <w:tcPr>
            <w:tcW w:w="1661" w:type="dxa"/>
            <w:tcBorders>
              <w:top w:val="single" w:color="000000" w:sz="4" w:space="0"/>
              <w:right w:val="single" w:color="auto" w:sz="4" w:space="0"/>
            </w:tcBorders>
            <w:vAlign w:val="bottom"/>
          </w:tcPr>
          <w:p>
            <w:pPr>
              <w:snapToGrid w:val="0"/>
              <w:spacing w:line="360" w:lineRule="auto"/>
              <w:jc w:val="center"/>
              <w:rPr>
                <w:rFonts w:ascii="宋体" w:hAnsi="宋体" w:cs="宋体"/>
                <w:bCs/>
                <w:sz w:val="24"/>
                <w:szCs w:val="24"/>
              </w:rPr>
            </w:pPr>
            <w:r>
              <w:rPr>
                <w:rFonts w:hint="eastAsia" w:ascii="宋体" w:hAnsi="宋体" w:cs="宋体"/>
                <w:bCs/>
                <w:sz w:val="24"/>
                <w:szCs w:val="24"/>
              </w:rPr>
              <w:t>评分项目</w:t>
            </w:r>
          </w:p>
        </w:tc>
        <w:tc>
          <w:tcPr>
            <w:tcW w:w="988" w:type="dxa"/>
            <w:tcBorders>
              <w:top w:val="single" w:color="000000" w:sz="4" w:space="0"/>
            </w:tcBorders>
            <w:vAlign w:val="bottom"/>
          </w:tcPr>
          <w:p>
            <w:pPr>
              <w:snapToGrid w:val="0"/>
              <w:spacing w:line="360" w:lineRule="auto"/>
              <w:jc w:val="center"/>
              <w:rPr>
                <w:rFonts w:ascii="宋体" w:hAnsi="宋体" w:cs="宋体"/>
                <w:bCs/>
                <w:sz w:val="24"/>
                <w:szCs w:val="24"/>
              </w:rPr>
            </w:pPr>
            <w:r>
              <w:rPr>
                <w:rFonts w:hint="eastAsia" w:ascii="宋体" w:hAnsi="宋体" w:cs="宋体"/>
                <w:bCs/>
                <w:sz w:val="24"/>
                <w:szCs w:val="24"/>
              </w:rPr>
              <w:t>分值</w:t>
            </w:r>
          </w:p>
        </w:tc>
        <w:tc>
          <w:tcPr>
            <w:tcW w:w="6657" w:type="dxa"/>
            <w:tcBorders>
              <w:top w:val="single" w:color="000000" w:sz="4" w:space="0"/>
            </w:tcBorders>
            <w:vAlign w:val="bottom"/>
          </w:tcPr>
          <w:p>
            <w:pPr>
              <w:snapToGrid w:val="0"/>
              <w:spacing w:line="360" w:lineRule="auto"/>
              <w:jc w:val="center"/>
              <w:rPr>
                <w:rFonts w:ascii="宋体" w:hAnsi="宋体" w:cs="宋体"/>
                <w:bCs/>
                <w:sz w:val="24"/>
                <w:szCs w:val="24"/>
              </w:rPr>
            </w:pPr>
            <w:r>
              <w:rPr>
                <w:rFonts w:hint="eastAsia" w:ascii="宋体" w:hAnsi="宋体" w:cs="宋体"/>
                <w:bCs/>
                <w:sz w:val="24"/>
                <w:szCs w:val="24"/>
              </w:rPr>
              <w:t>评分标准</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61" w:type="dxa"/>
            <w:vAlign w:val="center"/>
          </w:tcPr>
          <w:p>
            <w:pPr>
              <w:snapToGrid w:val="0"/>
              <w:spacing w:line="360" w:lineRule="auto"/>
              <w:jc w:val="center"/>
              <w:rPr>
                <w:rFonts w:ascii="宋体" w:hAnsi="宋体" w:cs="宋体"/>
                <w:bCs/>
                <w:sz w:val="24"/>
                <w:szCs w:val="24"/>
              </w:rPr>
            </w:pPr>
            <w:r>
              <w:rPr>
                <w:rFonts w:hint="eastAsia" w:ascii="宋体" w:hAnsi="宋体" w:cs="宋体"/>
                <w:bCs/>
                <w:sz w:val="24"/>
                <w:szCs w:val="24"/>
              </w:rPr>
              <w:t>投标报价</w:t>
            </w:r>
          </w:p>
        </w:tc>
        <w:tc>
          <w:tcPr>
            <w:tcW w:w="988" w:type="dxa"/>
            <w:vAlign w:val="center"/>
          </w:tcPr>
          <w:p>
            <w:pPr>
              <w:snapToGrid w:val="0"/>
              <w:spacing w:line="360" w:lineRule="auto"/>
              <w:jc w:val="center"/>
              <w:rPr>
                <w:rFonts w:ascii="宋体" w:hAnsi="宋体" w:cs="宋体"/>
                <w:bCs/>
                <w:sz w:val="24"/>
                <w:szCs w:val="24"/>
              </w:rPr>
            </w:pPr>
            <w:r>
              <w:rPr>
                <w:rFonts w:hint="eastAsia" w:ascii="宋体" w:hAnsi="宋体" w:cs="宋体"/>
                <w:bCs/>
                <w:sz w:val="24"/>
                <w:szCs w:val="24"/>
              </w:rPr>
              <w:t>50</w:t>
            </w:r>
          </w:p>
        </w:tc>
        <w:tc>
          <w:tcPr>
            <w:tcW w:w="6657" w:type="dxa"/>
            <w:vAlign w:val="center"/>
          </w:tcPr>
          <w:p>
            <w:pPr>
              <w:snapToGrid w:val="0"/>
              <w:spacing w:line="360" w:lineRule="auto"/>
              <w:jc w:val="left"/>
              <w:rPr>
                <w:rFonts w:ascii="宋体" w:hAnsi="宋体" w:cs="宋体"/>
                <w:bCs/>
                <w:sz w:val="24"/>
                <w:szCs w:val="24"/>
              </w:rPr>
            </w:pPr>
            <w:r>
              <w:rPr>
                <w:rFonts w:hint="eastAsia" w:ascii="宋体" w:hAnsi="宋体" w:cs="宋体"/>
                <w:bCs/>
                <w:sz w:val="24"/>
                <w:szCs w:val="24"/>
              </w:rPr>
              <w:t>以满足招标要求且投标报价最低的有效报价为评标基准价，投标报价等于基准价得50分，投标价格高于基准价的按下列公式计算：</w:t>
            </w:r>
          </w:p>
          <w:p>
            <w:pPr>
              <w:snapToGrid w:val="0"/>
              <w:spacing w:line="360" w:lineRule="auto"/>
              <w:jc w:val="left"/>
              <w:rPr>
                <w:rFonts w:ascii="宋体" w:hAnsi="宋体" w:cs="宋体"/>
                <w:bCs/>
                <w:sz w:val="24"/>
                <w:szCs w:val="24"/>
              </w:rPr>
            </w:pPr>
            <w:r>
              <w:rPr>
                <w:rFonts w:hint="eastAsia" w:ascii="宋体" w:hAnsi="宋体" w:cs="宋体"/>
                <w:bCs/>
                <w:sz w:val="24"/>
                <w:szCs w:val="24"/>
              </w:rPr>
              <w:t>投标报价得分 =（评标基准价/投标报价）*50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61" w:type="dxa"/>
            <w:vAlign w:val="center"/>
          </w:tcPr>
          <w:p>
            <w:pPr>
              <w:snapToGrid w:val="0"/>
              <w:spacing w:line="360" w:lineRule="auto"/>
              <w:jc w:val="center"/>
              <w:rPr>
                <w:rFonts w:ascii="宋体" w:hAnsi="宋体" w:cs="宋体"/>
                <w:bCs/>
                <w:sz w:val="24"/>
                <w:szCs w:val="24"/>
              </w:rPr>
            </w:pPr>
            <w:r>
              <w:rPr>
                <w:rFonts w:hint="eastAsia" w:ascii="宋体" w:hAnsi="宋体" w:cs="宋体"/>
                <w:bCs/>
                <w:sz w:val="24"/>
                <w:szCs w:val="24"/>
              </w:rPr>
              <w:t>技术规格</w:t>
            </w:r>
          </w:p>
        </w:tc>
        <w:tc>
          <w:tcPr>
            <w:tcW w:w="988" w:type="dxa"/>
            <w:vAlign w:val="center"/>
          </w:tcPr>
          <w:p>
            <w:pPr>
              <w:snapToGrid w:val="0"/>
              <w:spacing w:line="360" w:lineRule="auto"/>
              <w:jc w:val="center"/>
              <w:rPr>
                <w:rFonts w:ascii="宋体" w:hAnsi="宋体" w:cs="宋体"/>
                <w:bCs/>
                <w:sz w:val="24"/>
                <w:szCs w:val="24"/>
              </w:rPr>
            </w:pPr>
            <w:r>
              <w:rPr>
                <w:rFonts w:hint="eastAsia" w:ascii="宋体" w:hAnsi="宋体" w:cs="宋体"/>
                <w:bCs/>
                <w:sz w:val="24"/>
                <w:szCs w:val="24"/>
              </w:rPr>
              <w:t>30</w:t>
            </w:r>
          </w:p>
        </w:tc>
        <w:tc>
          <w:tcPr>
            <w:tcW w:w="6657" w:type="dxa"/>
            <w:vAlign w:val="center"/>
          </w:tcPr>
          <w:p>
            <w:pPr>
              <w:snapToGrid w:val="0"/>
              <w:spacing w:line="360" w:lineRule="auto"/>
              <w:jc w:val="left"/>
              <w:rPr>
                <w:rFonts w:ascii="宋体" w:hAnsi="宋体" w:cs="宋体"/>
                <w:bCs/>
                <w:sz w:val="24"/>
                <w:szCs w:val="24"/>
              </w:rPr>
            </w:pPr>
            <w:r>
              <w:rPr>
                <w:rFonts w:hint="eastAsia" w:ascii="宋体" w:hAnsi="宋体" w:cs="宋体"/>
                <w:bCs/>
                <w:sz w:val="24"/>
                <w:szCs w:val="24"/>
              </w:rPr>
              <w:t>投标人完全满足招标文件技术要求，可得30分。</w:t>
            </w:r>
          </w:p>
          <w:p>
            <w:pPr>
              <w:snapToGrid w:val="0"/>
              <w:spacing w:line="360" w:lineRule="auto"/>
              <w:jc w:val="left"/>
              <w:rPr>
                <w:rFonts w:ascii="宋体" w:hAnsi="宋体" w:cs="宋体"/>
                <w:bCs/>
                <w:sz w:val="24"/>
                <w:szCs w:val="24"/>
              </w:rPr>
            </w:pPr>
            <w:r>
              <w:rPr>
                <w:rFonts w:hint="eastAsia" w:ascii="宋体" w:hAnsi="宋体" w:cs="宋体"/>
                <w:bCs/>
                <w:sz w:val="24"/>
                <w:szCs w:val="24"/>
              </w:rPr>
              <w:t>标★参数为核心参数必须满足，如负偏离视为无效投标。</w:t>
            </w:r>
          </w:p>
          <w:p>
            <w:pPr>
              <w:snapToGrid w:val="0"/>
              <w:spacing w:line="360" w:lineRule="auto"/>
              <w:jc w:val="left"/>
              <w:rPr>
                <w:rFonts w:ascii="宋体" w:hAnsi="宋体" w:cs="宋体"/>
                <w:bCs/>
                <w:sz w:val="24"/>
                <w:szCs w:val="24"/>
              </w:rPr>
            </w:pPr>
            <w:r>
              <w:rPr>
                <w:rFonts w:hint="eastAsia" w:ascii="宋体" w:hAnsi="宋体" w:cs="宋体"/>
                <w:bCs/>
                <w:sz w:val="24"/>
                <w:szCs w:val="24"/>
              </w:rPr>
              <w:t>标▲参数为重要参数，每一项负偏离扣2分。</w:t>
            </w:r>
          </w:p>
          <w:p>
            <w:pPr>
              <w:snapToGrid w:val="0"/>
              <w:spacing w:line="360" w:lineRule="auto"/>
              <w:jc w:val="left"/>
              <w:rPr>
                <w:rFonts w:ascii="宋体" w:hAnsi="宋体" w:cs="宋体"/>
                <w:bCs/>
                <w:sz w:val="24"/>
                <w:szCs w:val="24"/>
              </w:rPr>
            </w:pPr>
            <w:r>
              <w:rPr>
                <w:rFonts w:hint="eastAsia" w:ascii="宋体" w:hAnsi="宋体" w:cs="宋体"/>
                <w:bCs/>
                <w:sz w:val="24"/>
                <w:szCs w:val="24"/>
              </w:rPr>
              <w:t>其它参数为普通参数，每一项负偏离扣1分。</w:t>
            </w:r>
          </w:p>
          <w:p>
            <w:pPr>
              <w:snapToGrid w:val="0"/>
              <w:spacing w:line="360" w:lineRule="auto"/>
              <w:jc w:val="left"/>
              <w:rPr>
                <w:rFonts w:ascii="宋体" w:hAnsi="宋体" w:cs="宋体"/>
                <w:bCs/>
                <w:sz w:val="24"/>
                <w:szCs w:val="24"/>
              </w:rPr>
            </w:pPr>
            <w:r>
              <w:rPr>
                <w:rFonts w:hint="eastAsia" w:ascii="宋体" w:hAnsi="宋体" w:cs="宋体"/>
                <w:bCs/>
                <w:sz w:val="24"/>
                <w:szCs w:val="24"/>
              </w:rPr>
              <w:t>技术分低于18分的，不作为中标候选人推荐。</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61" w:type="dxa"/>
            <w:vAlign w:val="center"/>
          </w:tcPr>
          <w:p>
            <w:pPr>
              <w:snapToGrid w:val="0"/>
              <w:spacing w:line="360" w:lineRule="auto"/>
              <w:jc w:val="center"/>
              <w:rPr>
                <w:rFonts w:ascii="宋体" w:hAnsi="宋体" w:cs="宋体"/>
                <w:bCs/>
                <w:sz w:val="24"/>
                <w:szCs w:val="24"/>
              </w:rPr>
            </w:pPr>
            <w:r>
              <w:rPr>
                <w:rFonts w:hint="eastAsia" w:ascii="宋体" w:hAnsi="宋体" w:cs="宋体"/>
                <w:bCs/>
                <w:sz w:val="24"/>
                <w:szCs w:val="24"/>
              </w:rPr>
              <w:t>产品成熟度</w:t>
            </w:r>
          </w:p>
        </w:tc>
        <w:tc>
          <w:tcPr>
            <w:tcW w:w="988" w:type="dxa"/>
            <w:vAlign w:val="center"/>
          </w:tcPr>
          <w:p>
            <w:pPr>
              <w:snapToGrid w:val="0"/>
              <w:spacing w:line="360" w:lineRule="auto"/>
              <w:jc w:val="center"/>
              <w:rPr>
                <w:rFonts w:ascii="宋体" w:hAnsi="宋体" w:cs="宋体"/>
                <w:bCs/>
                <w:sz w:val="24"/>
                <w:szCs w:val="24"/>
              </w:rPr>
            </w:pPr>
            <w:r>
              <w:rPr>
                <w:rFonts w:hint="eastAsia" w:ascii="宋体" w:hAnsi="宋体" w:cs="宋体"/>
                <w:bCs/>
                <w:sz w:val="24"/>
                <w:szCs w:val="24"/>
              </w:rPr>
              <w:t>10</w:t>
            </w:r>
          </w:p>
        </w:tc>
        <w:tc>
          <w:tcPr>
            <w:tcW w:w="6657" w:type="dxa"/>
          </w:tcPr>
          <w:p>
            <w:pPr>
              <w:snapToGrid w:val="0"/>
              <w:spacing w:line="360" w:lineRule="auto"/>
              <w:jc w:val="left"/>
              <w:rPr>
                <w:rFonts w:ascii="宋体" w:hAnsi="宋体" w:cs="宋体"/>
                <w:bCs/>
                <w:sz w:val="24"/>
                <w:szCs w:val="24"/>
              </w:rPr>
            </w:pPr>
            <w:r>
              <w:rPr>
                <w:rFonts w:hint="eastAsia" w:ascii="宋体" w:hAnsi="宋体" w:cs="宋体"/>
                <w:bCs/>
                <w:sz w:val="24"/>
                <w:szCs w:val="24"/>
              </w:rPr>
              <w:t>投标产品在2022年国内硬件WAF市场份额排名前3名的2分，其它的不得分。提供IDC中国市场排名证明材料</w:t>
            </w:r>
            <w:r>
              <w:rPr>
                <w:rFonts w:hint="eastAsia" w:ascii="宋体" w:hAnsi="宋体"/>
                <w:sz w:val="24"/>
                <w:szCs w:val="24"/>
              </w:rPr>
              <w:t>并</w:t>
            </w:r>
            <w:r>
              <w:rPr>
                <w:rFonts w:ascii="宋体" w:hAnsi="宋体"/>
                <w:sz w:val="24"/>
                <w:szCs w:val="24"/>
              </w:rPr>
              <w:t>加盖</w:t>
            </w:r>
            <w:r>
              <w:rPr>
                <w:rFonts w:hint="eastAsia" w:ascii="宋体" w:hAnsi="宋体"/>
                <w:sz w:val="24"/>
                <w:szCs w:val="24"/>
              </w:rPr>
              <w:t>投</w:t>
            </w:r>
            <w:r>
              <w:rPr>
                <w:rFonts w:ascii="宋体" w:hAnsi="宋体"/>
                <w:sz w:val="24"/>
                <w:szCs w:val="24"/>
              </w:rPr>
              <w:t>标单位公章</w:t>
            </w:r>
            <w:r>
              <w:rPr>
                <w:rFonts w:hint="eastAsia" w:ascii="宋体" w:hAnsi="宋体" w:cs="宋体"/>
                <w:bCs/>
                <w:sz w:val="24"/>
                <w:szCs w:val="24"/>
              </w:rPr>
              <w:t>。（查询链接：https://www.idc.com/cn）</w:t>
            </w:r>
          </w:p>
          <w:p>
            <w:pPr>
              <w:snapToGrid w:val="0"/>
              <w:spacing w:line="360" w:lineRule="auto"/>
              <w:jc w:val="left"/>
              <w:rPr>
                <w:rFonts w:ascii="宋体" w:hAnsi="宋体" w:cs="宋体"/>
                <w:bCs/>
                <w:sz w:val="24"/>
                <w:szCs w:val="24"/>
              </w:rPr>
            </w:pPr>
            <w:r>
              <w:rPr>
                <w:rFonts w:hint="eastAsia" w:ascii="宋体" w:hAnsi="宋体" w:cs="宋体"/>
                <w:bCs/>
                <w:sz w:val="24"/>
                <w:szCs w:val="24"/>
              </w:rPr>
              <w:t>投标产品具有IPv6 Enabled Security Logo认证证书的得2分，没有不得分。提供证书复印件</w:t>
            </w:r>
            <w:r>
              <w:rPr>
                <w:rFonts w:hint="eastAsia" w:ascii="宋体" w:hAnsi="宋体"/>
                <w:sz w:val="24"/>
                <w:szCs w:val="24"/>
              </w:rPr>
              <w:t>并</w:t>
            </w:r>
            <w:r>
              <w:rPr>
                <w:rFonts w:ascii="宋体" w:hAnsi="宋体"/>
                <w:sz w:val="24"/>
                <w:szCs w:val="24"/>
              </w:rPr>
              <w:t>加盖</w:t>
            </w:r>
            <w:r>
              <w:rPr>
                <w:rFonts w:hint="eastAsia" w:ascii="宋体" w:hAnsi="宋体"/>
                <w:sz w:val="24"/>
                <w:szCs w:val="24"/>
              </w:rPr>
              <w:t>投</w:t>
            </w:r>
            <w:r>
              <w:rPr>
                <w:rFonts w:ascii="宋体" w:hAnsi="宋体"/>
                <w:sz w:val="24"/>
                <w:szCs w:val="24"/>
              </w:rPr>
              <w:t>标单位公章</w:t>
            </w:r>
            <w:r>
              <w:rPr>
                <w:rFonts w:hint="eastAsia" w:ascii="宋体" w:hAnsi="宋体" w:cs="宋体"/>
                <w:bCs/>
                <w:sz w:val="24"/>
                <w:szCs w:val="24"/>
              </w:rPr>
              <w:t>。</w:t>
            </w:r>
          </w:p>
          <w:p>
            <w:pPr>
              <w:snapToGrid w:val="0"/>
              <w:spacing w:line="360" w:lineRule="auto"/>
              <w:jc w:val="left"/>
              <w:rPr>
                <w:rFonts w:ascii="宋体" w:hAnsi="宋体" w:cs="宋体"/>
                <w:bCs/>
                <w:sz w:val="24"/>
                <w:szCs w:val="24"/>
              </w:rPr>
            </w:pPr>
            <w:r>
              <w:rPr>
                <w:rFonts w:hint="eastAsia" w:ascii="宋体" w:hAnsi="宋体" w:cs="宋体"/>
                <w:bCs/>
                <w:sz w:val="24"/>
                <w:szCs w:val="24"/>
              </w:rPr>
              <w:t>投标产品具有国家信息安全测评信息技术产品安全测评证书EAL3+证书的得2分，没有不得分。提供证书复印件</w:t>
            </w:r>
            <w:r>
              <w:rPr>
                <w:rFonts w:hint="eastAsia" w:ascii="宋体" w:hAnsi="宋体"/>
                <w:sz w:val="24"/>
                <w:szCs w:val="24"/>
              </w:rPr>
              <w:t>并</w:t>
            </w:r>
            <w:r>
              <w:rPr>
                <w:rFonts w:ascii="宋体" w:hAnsi="宋体"/>
                <w:sz w:val="24"/>
                <w:szCs w:val="24"/>
              </w:rPr>
              <w:t>加盖</w:t>
            </w:r>
            <w:r>
              <w:rPr>
                <w:rFonts w:hint="eastAsia" w:ascii="宋体" w:hAnsi="宋体"/>
                <w:sz w:val="24"/>
                <w:szCs w:val="24"/>
              </w:rPr>
              <w:t>投</w:t>
            </w:r>
            <w:r>
              <w:rPr>
                <w:rFonts w:ascii="宋体" w:hAnsi="宋体"/>
                <w:sz w:val="24"/>
                <w:szCs w:val="24"/>
              </w:rPr>
              <w:t>标单位公章</w:t>
            </w:r>
            <w:r>
              <w:rPr>
                <w:rFonts w:hint="eastAsia" w:ascii="宋体" w:hAnsi="宋体" w:cs="宋体"/>
                <w:bCs/>
                <w:sz w:val="24"/>
                <w:szCs w:val="24"/>
              </w:rPr>
              <w:t>。</w:t>
            </w:r>
          </w:p>
          <w:p>
            <w:pPr>
              <w:snapToGrid w:val="0"/>
              <w:spacing w:line="360" w:lineRule="auto"/>
              <w:jc w:val="left"/>
              <w:rPr>
                <w:rFonts w:hint="eastAsia" w:ascii="宋体" w:hAnsi="宋体" w:cs="宋体"/>
                <w:bCs/>
                <w:sz w:val="24"/>
                <w:szCs w:val="24"/>
              </w:rPr>
            </w:pPr>
            <w:r>
              <w:rPr>
                <w:rFonts w:hint="eastAsia" w:ascii="宋体" w:hAnsi="宋体" w:cs="宋体"/>
                <w:bCs/>
                <w:sz w:val="24"/>
                <w:szCs w:val="24"/>
              </w:rPr>
              <w:t>投标产品具有《网络关键设备和网络安全专用产品安全认证证书》（万兆）的得2分，没有不得分。提供证书复印件</w:t>
            </w:r>
            <w:r>
              <w:rPr>
                <w:rFonts w:hint="eastAsia" w:ascii="宋体" w:hAnsi="宋体"/>
                <w:sz w:val="24"/>
                <w:szCs w:val="24"/>
              </w:rPr>
              <w:t>并</w:t>
            </w:r>
            <w:r>
              <w:rPr>
                <w:rFonts w:ascii="宋体" w:hAnsi="宋体"/>
                <w:sz w:val="24"/>
                <w:szCs w:val="24"/>
              </w:rPr>
              <w:t>加盖</w:t>
            </w:r>
            <w:r>
              <w:rPr>
                <w:rFonts w:hint="eastAsia" w:ascii="宋体" w:hAnsi="宋体"/>
                <w:sz w:val="24"/>
                <w:szCs w:val="24"/>
              </w:rPr>
              <w:t>投</w:t>
            </w:r>
            <w:r>
              <w:rPr>
                <w:rFonts w:ascii="宋体" w:hAnsi="宋体"/>
                <w:sz w:val="24"/>
                <w:szCs w:val="24"/>
              </w:rPr>
              <w:t>标单位公章</w:t>
            </w:r>
            <w:r>
              <w:rPr>
                <w:rFonts w:hint="eastAsia" w:ascii="宋体" w:hAnsi="宋体" w:cs="宋体"/>
                <w:bCs/>
                <w:sz w:val="24"/>
                <w:szCs w:val="24"/>
              </w:rPr>
              <w:t>。</w:t>
            </w:r>
          </w:p>
          <w:p>
            <w:pPr>
              <w:snapToGrid w:val="0"/>
              <w:spacing w:line="360" w:lineRule="auto"/>
              <w:jc w:val="left"/>
              <w:rPr>
                <w:rFonts w:ascii="宋体" w:hAnsi="宋体" w:cs="宋体"/>
                <w:bCs/>
                <w:sz w:val="24"/>
                <w:szCs w:val="24"/>
              </w:rPr>
            </w:pPr>
            <w:r>
              <w:rPr>
                <w:rFonts w:hint="eastAsia" w:ascii="宋体" w:hAnsi="宋体" w:cs="宋体"/>
                <w:bCs/>
                <w:sz w:val="24"/>
                <w:szCs w:val="24"/>
              </w:rPr>
              <w:t>投标产品生产厂商近2年为国家互联网应急中心应急支撑单位，国家级得2分，省级得1分，不是不得分。提供证明材料</w:t>
            </w:r>
            <w:r>
              <w:rPr>
                <w:rFonts w:hint="eastAsia" w:ascii="宋体" w:hAnsi="宋体"/>
                <w:sz w:val="24"/>
                <w:szCs w:val="24"/>
              </w:rPr>
              <w:t>并</w:t>
            </w:r>
            <w:r>
              <w:rPr>
                <w:rFonts w:ascii="宋体" w:hAnsi="宋体"/>
                <w:sz w:val="24"/>
                <w:szCs w:val="24"/>
              </w:rPr>
              <w:t>加盖</w:t>
            </w:r>
            <w:r>
              <w:rPr>
                <w:rFonts w:hint="eastAsia" w:ascii="宋体" w:hAnsi="宋体"/>
                <w:sz w:val="24"/>
                <w:szCs w:val="24"/>
              </w:rPr>
              <w:t>投</w:t>
            </w:r>
            <w:r>
              <w:rPr>
                <w:rFonts w:ascii="宋体" w:hAnsi="宋体"/>
                <w:sz w:val="24"/>
                <w:szCs w:val="24"/>
              </w:rPr>
              <w:t>标单位公章</w:t>
            </w:r>
            <w:r>
              <w:rPr>
                <w:rFonts w:hint="eastAsia" w:ascii="宋体" w:hAnsi="宋体" w:cs="宋体"/>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61" w:type="dxa"/>
            <w:tcBorders>
              <w:bottom w:val="single" w:color="auto" w:sz="4" w:space="0"/>
            </w:tcBorders>
            <w:vAlign w:val="center"/>
          </w:tcPr>
          <w:p>
            <w:pPr>
              <w:snapToGrid w:val="0"/>
              <w:spacing w:line="360" w:lineRule="auto"/>
              <w:jc w:val="center"/>
              <w:rPr>
                <w:rFonts w:ascii="宋体" w:hAnsi="宋体" w:cs="宋体"/>
                <w:bCs/>
                <w:sz w:val="24"/>
                <w:szCs w:val="24"/>
              </w:rPr>
            </w:pPr>
            <w:r>
              <w:rPr>
                <w:rFonts w:hint="eastAsia" w:ascii="宋体" w:hAnsi="宋体" w:cs="宋体"/>
                <w:bCs/>
                <w:sz w:val="24"/>
                <w:szCs w:val="24"/>
              </w:rPr>
              <w:t>售后及培训方案</w:t>
            </w:r>
          </w:p>
        </w:tc>
        <w:tc>
          <w:tcPr>
            <w:tcW w:w="988" w:type="dxa"/>
            <w:tcBorders>
              <w:bottom w:val="single" w:color="auto" w:sz="4" w:space="0"/>
            </w:tcBorders>
            <w:vAlign w:val="center"/>
          </w:tcPr>
          <w:p>
            <w:pPr>
              <w:snapToGrid w:val="0"/>
              <w:spacing w:line="360" w:lineRule="auto"/>
              <w:jc w:val="center"/>
              <w:rPr>
                <w:rFonts w:ascii="宋体" w:hAnsi="宋体" w:cs="宋体"/>
                <w:bCs/>
                <w:sz w:val="24"/>
                <w:szCs w:val="24"/>
              </w:rPr>
            </w:pPr>
            <w:r>
              <w:rPr>
                <w:rFonts w:hint="eastAsia" w:ascii="宋体" w:hAnsi="宋体" w:cs="宋体"/>
                <w:bCs/>
                <w:sz w:val="24"/>
                <w:szCs w:val="24"/>
              </w:rPr>
              <w:t>5</w:t>
            </w:r>
          </w:p>
        </w:tc>
        <w:tc>
          <w:tcPr>
            <w:tcW w:w="6657" w:type="dxa"/>
            <w:tcBorders>
              <w:bottom w:val="single" w:color="auto" w:sz="4" w:space="0"/>
            </w:tcBorders>
            <w:vAlign w:val="center"/>
          </w:tcPr>
          <w:p>
            <w:pPr>
              <w:snapToGrid w:val="0"/>
              <w:spacing w:line="360" w:lineRule="auto"/>
              <w:jc w:val="left"/>
              <w:rPr>
                <w:rFonts w:ascii="宋体" w:hAnsi="宋体" w:cs="宋体"/>
                <w:bCs/>
                <w:sz w:val="24"/>
                <w:szCs w:val="24"/>
              </w:rPr>
            </w:pPr>
            <w:r>
              <w:rPr>
                <w:rFonts w:hint="eastAsia" w:ascii="宋体" w:hAnsi="宋体" w:cs="宋体"/>
                <w:bCs/>
                <w:sz w:val="24"/>
                <w:szCs w:val="24"/>
              </w:rPr>
              <w:t>根据响应供应商提供的售后服务方案及培训方案（包含售后服务体系、服务内容、故障解决方案、响应时间、专业技术人员保障方案、培训方案等）进行评分。方案完整、科学合理得</w:t>
            </w:r>
            <w:r>
              <w:rPr>
                <w:rFonts w:hint="eastAsia" w:ascii="宋体" w:hAnsi="宋体" w:cs="宋体"/>
                <w:bCs/>
                <w:sz w:val="24"/>
                <w:szCs w:val="24"/>
                <w:lang w:val="en-US" w:eastAsia="zh-CN"/>
              </w:rPr>
              <w:t>4（不含）-5</w:t>
            </w:r>
            <w:r>
              <w:rPr>
                <w:rFonts w:hint="eastAsia" w:ascii="宋体" w:hAnsi="宋体" w:cs="宋体"/>
                <w:bCs/>
                <w:sz w:val="24"/>
                <w:szCs w:val="24"/>
              </w:rPr>
              <w:t>分，方案较完整、较科学合理得</w:t>
            </w:r>
            <w:r>
              <w:rPr>
                <w:rFonts w:hint="eastAsia" w:ascii="宋体" w:hAnsi="宋体" w:cs="宋体"/>
                <w:bCs/>
                <w:sz w:val="24"/>
                <w:szCs w:val="24"/>
                <w:lang w:val="en-US" w:eastAsia="zh-CN"/>
              </w:rPr>
              <w:t>2（不含）-4</w:t>
            </w:r>
            <w:r>
              <w:rPr>
                <w:rFonts w:hint="eastAsia" w:ascii="宋体" w:hAnsi="宋体" w:cs="宋体"/>
                <w:bCs/>
                <w:sz w:val="24"/>
                <w:szCs w:val="24"/>
              </w:rPr>
              <w:t>分，方案基本完整、基本科学合理得</w:t>
            </w:r>
            <w:r>
              <w:rPr>
                <w:rFonts w:hint="eastAsia" w:ascii="宋体" w:hAnsi="宋体" w:cs="宋体"/>
                <w:bCs/>
                <w:sz w:val="24"/>
                <w:szCs w:val="24"/>
                <w:lang w:val="en-US" w:eastAsia="zh-CN"/>
              </w:rPr>
              <w:t>1（不含）-2</w:t>
            </w:r>
            <w:r>
              <w:rPr>
                <w:rFonts w:hint="eastAsia" w:ascii="宋体" w:hAnsi="宋体" w:cs="宋体"/>
                <w:bCs/>
                <w:sz w:val="24"/>
                <w:szCs w:val="24"/>
              </w:rPr>
              <w:t>分，未提供的不得分。</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61" w:type="dxa"/>
            <w:tcBorders>
              <w:bottom w:val="single" w:color="auto" w:sz="4" w:space="0"/>
            </w:tcBorders>
            <w:vAlign w:val="center"/>
          </w:tcPr>
          <w:p>
            <w:pPr>
              <w:snapToGrid w:val="0"/>
              <w:spacing w:line="360" w:lineRule="auto"/>
              <w:jc w:val="center"/>
              <w:rPr>
                <w:rFonts w:ascii="宋体" w:hAnsi="宋体" w:cs="宋体"/>
                <w:bCs/>
                <w:sz w:val="24"/>
                <w:szCs w:val="24"/>
              </w:rPr>
            </w:pPr>
            <w:r>
              <w:rPr>
                <w:rFonts w:hint="eastAsia" w:ascii="宋体" w:hAnsi="宋体" w:cs="宋体"/>
                <w:bCs/>
                <w:sz w:val="24"/>
                <w:szCs w:val="24"/>
              </w:rPr>
              <w:t>增值服务</w:t>
            </w:r>
          </w:p>
        </w:tc>
        <w:tc>
          <w:tcPr>
            <w:tcW w:w="988" w:type="dxa"/>
            <w:tcBorders>
              <w:bottom w:val="single" w:color="auto" w:sz="4" w:space="0"/>
            </w:tcBorders>
            <w:vAlign w:val="center"/>
          </w:tcPr>
          <w:p>
            <w:pPr>
              <w:snapToGrid w:val="0"/>
              <w:spacing w:line="360" w:lineRule="auto"/>
              <w:jc w:val="center"/>
              <w:rPr>
                <w:rFonts w:ascii="宋体" w:hAnsi="宋体" w:cs="宋体"/>
                <w:bCs/>
                <w:sz w:val="24"/>
                <w:szCs w:val="24"/>
              </w:rPr>
            </w:pPr>
            <w:r>
              <w:rPr>
                <w:rFonts w:hint="eastAsia" w:ascii="宋体" w:hAnsi="宋体" w:cs="宋体"/>
                <w:bCs/>
                <w:sz w:val="24"/>
                <w:szCs w:val="24"/>
              </w:rPr>
              <w:t>5</w:t>
            </w:r>
          </w:p>
        </w:tc>
        <w:tc>
          <w:tcPr>
            <w:tcW w:w="6657" w:type="dxa"/>
            <w:tcBorders>
              <w:bottom w:val="single" w:color="auto" w:sz="4" w:space="0"/>
            </w:tcBorders>
            <w:vAlign w:val="center"/>
          </w:tcPr>
          <w:p>
            <w:pPr>
              <w:snapToGrid w:val="0"/>
              <w:spacing w:line="360" w:lineRule="auto"/>
              <w:jc w:val="left"/>
              <w:rPr>
                <w:rFonts w:ascii="宋体" w:hAnsi="宋体" w:cs="宋体"/>
                <w:bCs/>
                <w:sz w:val="24"/>
                <w:szCs w:val="24"/>
              </w:rPr>
            </w:pPr>
            <w:r>
              <w:rPr>
                <w:rFonts w:hint="eastAsia" w:ascii="宋体" w:hAnsi="宋体" w:cs="宋体"/>
                <w:bCs/>
                <w:sz w:val="24"/>
                <w:szCs w:val="24"/>
              </w:rPr>
              <w:t>承诺产品质保期间每季度至少为学校提供一次外网漏洞扫描服务并提供检测报告的得2分，不承诺不得分。</w:t>
            </w:r>
          </w:p>
          <w:p>
            <w:pPr>
              <w:snapToGrid w:val="0"/>
              <w:spacing w:line="360" w:lineRule="auto"/>
              <w:jc w:val="left"/>
              <w:rPr>
                <w:rFonts w:ascii="宋体" w:hAnsi="宋体" w:cs="宋体"/>
                <w:bCs/>
                <w:sz w:val="24"/>
                <w:szCs w:val="24"/>
              </w:rPr>
            </w:pPr>
            <w:r>
              <w:rPr>
                <w:rFonts w:hint="eastAsia" w:ascii="宋体" w:hAnsi="宋体" w:cs="宋体"/>
                <w:bCs/>
                <w:sz w:val="24"/>
                <w:szCs w:val="24"/>
              </w:rPr>
              <w:t>承诺免费提供技术支持，协助学校举行一次安全应急演练并提供完整的安全演练材料（含渗透、提权等攻防实操过程）的得3分，不承诺不得分。</w:t>
            </w:r>
          </w:p>
        </w:tc>
      </w:tr>
    </w:tbl>
    <w:p>
      <w:pPr>
        <w:jc w:val="left"/>
        <w:rPr>
          <w:rStyle w:val="47"/>
          <w:rFonts w:ascii="宋体" w:hAnsi="宋体" w:cs="宋体"/>
        </w:rPr>
      </w:pPr>
    </w:p>
    <w:p/>
    <w:p>
      <w:pPr>
        <w:snapToGrid w:val="0"/>
        <w:rPr>
          <w:rFonts w:ascii="宋体" w:hAnsi="宋体"/>
          <w:bCs/>
          <w:color w:val="000000"/>
          <w:kern w:val="0"/>
          <w:sz w:val="24"/>
          <w:szCs w:val="24"/>
        </w:rPr>
      </w:pPr>
      <w:r>
        <w:rPr>
          <w:rFonts w:hint="eastAsia" w:ascii="宋体" w:hAnsi="宋体"/>
          <w:bCs/>
          <w:color w:val="000000"/>
          <w:kern w:val="0"/>
          <w:sz w:val="24"/>
          <w:szCs w:val="24"/>
        </w:rPr>
        <w:t xml:space="preserve">说明： </w:t>
      </w:r>
    </w:p>
    <w:p>
      <w:pPr>
        <w:snapToGrid w:val="0"/>
        <w:ind w:firstLine="480" w:firstLineChars="200"/>
        <w:rPr>
          <w:rFonts w:ascii="宋体" w:hAnsi="宋体"/>
          <w:bCs/>
          <w:color w:val="000000"/>
          <w:kern w:val="0"/>
          <w:sz w:val="24"/>
          <w:szCs w:val="24"/>
        </w:rPr>
      </w:pPr>
      <w:r>
        <w:rPr>
          <w:rFonts w:hint="eastAsia" w:ascii="宋体" w:hAnsi="宋体"/>
          <w:bCs/>
          <w:color w:val="000000"/>
          <w:kern w:val="0"/>
          <w:sz w:val="24"/>
          <w:szCs w:val="24"/>
        </w:rPr>
        <w:t>1、要求供应</w:t>
      </w:r>
      <w:r>
        <w:rPr>
          <w:rFonts w:ascii="宋体" w:hAnsi="宋体"/>
          <w:bCs/>
          <w:color w:val="000000"/>
          <w:kern w:val="0"/>
          <w:sz w:val="24"/>
          <w:szCs w:val="24"/>
        </w:rPr>
        <w:t>商提供</w:t>
      </w:r>
      <w:r>
        <w:rPr>
          <w:rFonts w:hint="eastAsia" w:ascii="宋体" w:hAnsi="宋体"/>
          <w:bCs/>
          <w:color w:val="000000"/>
          <w:kern w:val="0"/>
          <w:sz w:val="24"/>
          <w:szCs w:val="24"/>
        </w:rPr>
        <w:t>盖章复印</w:t>
      </w:r>
      <w:r>
        <w:rPr>
          <w:rFonts w:ascii="宋体" w:hAnsi="宋体"/>
          <w:bCs/>
          <w:color w:val="000000"/>
          <w:kern w:val="0"/>
          <w:sz w:val="24"/>
          <w:szCs w:val="24"/>
        </w:rPr>
        <w:t>件和</w:t>
      </w:r>
      <w:r>
        <w:rPr>
          <w:rFonts w:hint="eastAsia" w:ascii="宋体" w:hAnsi="宋体"/>
          <w:bCs/>
          <w:color w:val="000000"/>
          <w:kern w:val="0"/>
          <w:sz w:val="24"/>
          <w:szCs w:val="24"/>
        </w:rPr>
        <w:t>截</w:t>
      </w:r>
      <w:r>
        <w:rPr>
          <w:rFonts w:ascii="宋体" w:hAnsi="宋体"/>
          <w:bCs/>
          <w:color w:val="000000"/>
          <w:kern w:val="0"/>
          <w:sz w:val="24"/>
          <w:szCs w:val="24"/>
        </w:rPr>
        <w:t>图</w:t>
      </w:r>
      <w:r>
        <w:rPr>
          <w:rFonts w:hint="eastAsia" w:ascii="宋体" w:hAnsi="宋体"/>
          <w:bCs/>
          <w:color w:val="000000"/>
          <w:kern w:val="0"/>
          <w:sz w:val="24"/>
          <w:szCs w:val="24"/>
        </w:rPr>
        <w:t>的，则</w:t>
      </w:r>
      <w:r>
        <w:rPr>
          <w:rFonts w:ascii="宋体" w:hAnsi="宋体"/>
          <w:bCs/>
          <w:color w:val="000000"/>
          <w:kern w:val="0"/>
          <w:sz w:val="24"/>
          <w:szCs w:val="24"/>
        </w:rPr>
        <w:t>必须</w:t>
      </w:r>
      <w:r>
        <w:rPr>
          <w:rFonts w:hint="eastAsia" w:ascii="宋体" w:hAnsi="宋体"/>
          <w:bCs/>
          <w:color w:val="000000"/>
          <w:kern w:val="0"/>
          <w:sz w:val="24"/>
          <w:szCs w:val="24"/>
        </w:rPr>
        <w:t>按</w:t>
      </w:r>
      <w:r>
        <w:rPr>
          <w:rFonts w:ascii="宋体" w:hAnsi="宋体"/>
          <w:bCs/>
          <w:color w:val="000000"/>
          <w:kern w:val="0"/>
          <w:sz w:val="24"/>
          <w:szCs w:val="24"/>
        </w:rPr>
        <w:t>要求</w:t>
      </w:r>
      <w:r>
        <w:rPr>
          <w:rFonts w:hint="eastAsia" w:ascii="宋体" w:hAnsi="宋体"/>
          <w:bCs/>
          <w:color w:val="000000"/>
          <w:kern w:val="0"/>
          <w:sz w:val="24"/>
          <w:szCs w:val="24"/>
        </w:rPr>
        <w:t>真实</w:t>
      </w:r>
      <w:r>
        <w:rPr>
          <w:rFonts w:ascii="宋体" w:hAnsi="宋体"/>
          <w:bCs/>
          <w:color w:val="000000"/>
          <w:kern w:val="0"/>
          <w:sz w:val="24"/>
          <w:szCs w:val="24"/>
        </w:rPr>
        <w:t>提供，</w:t>
      </w:r>
      <w:r>
        <w:rPr>
          <w:rFonts w:hint="eastAsia" w:ascii="宋体" w:hAnsi="宋体"/>
          <w:bCs/>
          <w:color w:val="000000"/>
          <w:kern w:val="0"/>
          <w:sz w:val="24"/>
          <w:szCs w:val="24"/>
        </w:rPr>
        <w:t>并且</w:t>
      </w:r>
      <w:r>
        <w:rPr>
          <w:rFonts w:ascii="宋体" w:hAnsi="宋体"/>
          <w:bCs/>
          <w:color w:val="000000"/>
          <w:kern w:val="0"/>
          <w:sz w:val="24"/>
          <w:szCs w:val="24"/>
        </w:rPr>
        <w:t>能够识别，否则</w:t>
      </w:r>
      <w:r>
        <w:rPr>
          <w:rFonts w:hint="eastAsia" w:ascii="宋体" w:hAnsi="宋体"/>
          <w:bCs/>
          <w:color w:val="000000"/>
          <w:kern w:val="0"/>
          <w:sz w:val="24"/>
          <w:szCs w:val="24"/>
        </w:rPr>
        <w:t>不作为中标候选人推荐</w:t>
      </w:r>
      <w:r>
        <w:rPr>
          <w:rFonts w:ascii="宋体" w:hAnsi="宋体"/>
          <w:bCs/>
          <w:color w:val="000000"/>
          <w:kern w:val="0"/>
          <w:sz w:val="24"/>
          <w:szCs w:val="24"/>
        </w:rPr>
        <w:t>。</w:t>
      </w:r>
      <w:r>
        <w:rPr>
          <w:rFonts w:hint="eastAsia" w:ascii="宋体" w:hAnsi="宋体"/>
          <w:bCs/>
          <w:color w:val="000000"/>
          <w:kern w:val="0"/>
          <w:sz w:val="24"/>
          <w:szCs w:val="24"/>
        </w:rPr>
        <w:t>若供应商提供虚假资料，一经查实取消其中标候选人资格，并向相关主管部门汇报。</w:t>
      </w:r>
    </w:p>
    <w:p>
      <w:pPr>
        <w:snapToGrid w:val="0"/>
        <w:ind w:firstLine="480" w:firstLineChars="200"/>
        <w:rPr>
          <w:rFonts w:ascii="宋体" w:hAnsi="宋体"/>
          <w:bCs/>
          <w:color w:val="000000"/>
          <w:kern w:val="0"/>
          <w:sz w:val="24"/>
          <w:szCs w:val="24"/>
        </w:rPr>
      </w:pPr>
      <w:r>
        <w:rPr>
          <w:rFonts w:hint="eastAsia" w:ascii="宋体" w:hAnsi="宋体"/>
          <w:bCs/>
          <w:color w:val="000000"/>
          <w:kern w:val="0"/>
          <w:sz w:val="24"/>
          <w:szCs w:val="24"/>
        </w:rPr>
        <w:t>2、中标单位不得转包、分包，如果发现有转包、分包情况，则取消其中标候选人资格，并向相关主管部门汇报。</w:t>
      </w:r>
    </w:p>
    <w:p>
      <w:pPr>
        <w:snapToGrid w:val="0"/>
        <w:ind w:firstLine="480" w:firstLineChars="200"/>
        <w:rPr>
          <w:rFonts w:ascii="宋体" w:hAnsi="宋体"/>
          <w:bCs/>
          <w:color w:val="000000"/>
          <w:kern w:val="0"/>
          <w:sz w:val="24"/>
          <w:szCs w:val="24"/>
        </w:rPr>
      </w:pPr>
      <w:r>
        <w:rPr>
          <w:rFonts w:hint="eastAsia" w:ascii="宋体" w:hAnsi="宋体"/>
          <w:bCs/>
          <w:color w:val="000000"/>
          <w:kern w:val="0"/>
          <w:sz w:val="24"/>
          <w:szCs w:val="24"/>
        </w:rPr>
        <w:t>3、中标公告期内，中标单位有义务按采购单位的</w:t>
      </w:r>
      <w:r>
        <w:rPr>
          <w:rFonts w:ascii="宋体" w:hAnsi="宋体"/>
          <w:bCs/>
          <w:color w:val="000000"/>
          <w:kern w:val="0"/>
          <w:sz w:val="24"/>
          <w:szCs w:val="24"/>
        </w:rPr>
        <w:t>要求</w:t>
      </w:r>
      <w:r>
        <w:rPr>
          <w:rFonts w:hint="eastAsia" w:ascii="宋体" w:hAnsi="宋体"/>
          <w:bCs/>
          <w:color w:val="000000"/>
          <w:kern w:val="0"/>
          <w:sz w:val="24"/>
          <w:szCs w:val="24"/>
        </w:rPr>
        <w:t>提供产品相关证明文件原件以供审核，如有不实采购人有权取消其中标资格。</w:t>
      </w:r>
    </w:p>
    <w:p>
      <w:pPr>
        <w:snapToGrid w:val="0"/>
        <w:ind w:firstLine="480" w:firstLineChars="200"/>
        <w:rPr>
          <w:rFonts w:ascii="宋体" w:hAnsi="宋体"/>
          <w:bCs/>
          <w:color w:val="000000"/>
          <w:kern w:val="0"/>
          <w:sz w:val="24"/>
          <w:szCs w:val="24"/>
        </w:rPr>
      </w:pPr>
    </w:p>
    <w:p>
      <w:pPr>
        <w:pStyle w:val="37"/>
        <w:jc w:val="both"/>
        <w:rPr>
          <w:rStyle w:val="47"/>
          <w:rFonts w:ascii="宋体" w:hAnsi="宋体" w:eastAsia="宋体" w:cs="宋体"/>
          <w:b/>
          <w:sz w:val="44"/>
        </w:rPr>
      </w:pPr>
      <w:r>
        <w:rPr>
          <w:rStyle w:val="47"/>
          <w:rFonts w:hint="eastAsia" w:ascii="宋体" w:hAnsi="宋体" w:eastAsia="宋体" w:cs="宋体"/>
          <w:b/>
          <w:sz w:val="44"/>
        </w:rPr>
        <w:br w:type="page"/>
      </w:r>
    </w:p>
    <w:p>
      <w:pPr>
        <w:pStyle w:val="37"/>
        <w:outlineLvl w:val="0"/>
        <w:rPr>
          <w:rStyle w:val="47"/>
          <w:rFonts w:ascii="宋体" w:hAnsi="宋体" w:eastAsia="宋体" w:cs="宋体"/>
          <w:b/>
          <w:sz w:val="44"/>
        </w:rPr>
      </w:pPr>
      <w:bookmarkStart w:id="9" w:name="_Toc20541"/>
      <w:r>
        <w:rPr>
          <w:rStyle w:val="47"/>
          <w:rFonts w:hint="eastAsia" w:ascii="宋体" w:hAnsi="宋体" w:eastAsia="宋体" w:cs="宋体"/>
          <w:b/>
          <w:sz w:val="44"/>
        </w:rPr>
        <w:t>第六章  投标文件格式</w:t>
      </w:r>
      <w:bookmarkEnd w:id="9"/>
    </w:p>
    <w:p>
      <w:pPr>
        <w:jc w:val="center"/>
        <w:rPr>
          <w:rStyle w:val="47"/>
          <w:rFonts w:ascii="宋体" w:hAnsi="宋体" w:cs="宋体"/>
          <w:b/>
          <w:sz w:val="72"/>
        </w:rPr>
      </w:pPr>
    </w:p>
    <w:p>
      <w:pPr>
        <w:jc w:val="center"/>
        <w:outlineLvl w:val="0"/>
        <w:rPr>
          <w:rStyle w:val="47"/>
          <w:rFonts w:ascii="宋体" w:hAnsi="宋体" w:cs="宋体"/>
          <w:b/>
          <w:sz w:val="72"/>
        </w:rPr>
      </w:pPr>
      <w:bookmarkStart w:id="10" w:name="_Toc26413"/>
      <w:r>
        <w:rPr>
          <w:rStyle w:val="47"/>
          <w:rFonts w:hint="eastAsia" w:ascii="宋体" w:hAnsi="宋体" w:cs="宋体"/>
          <w:b/>
          <w:sz w:val="72"/>
        </w:rPr>
        <w:t>投  标  文  件</w:t>
      </w:r>
      <w:bookmarkEnd w:id="10"/>
    </w:p>
    <w:p>
      <w:pPr>
        <w:jc w:val="center"/>
        <w:outlineLvl w:val="0"/>
        <w:rPr>
          <w:rStyle w:val="47"/>
          <w:rFonts w:ascii="宋体" w:hAnsi="宋体" w:cs="宋体"/>
          <w:b/>
          <w:sz w:val="72"/>
        </w:rPr>
      </w:pPr>
      <w:bookmarkStart w:id="11" w:name="_Toc17655"/>
      <w:r>
        <w:rPr>
          <w:rStyle w:val="47"/>
          <w:rFonts w:hint="eastAsia" w:ascii="宋体" w:hAnsi="宋体" w:cs="宋体"/>
          <w:b/>
          <w:sz w:val="36"/>
        </w:rPr>
        <w:t>（正或副本）</w:t>
      </w:r>
      <w:bookmarkEnd w:id="11"/>
    </w:p>
    <w:p>
      <w:pPr>
        <w:jc w:val="center"/>
        <w:rPr>
          <w:rStyle w:val="47"/>
          <w:rFonts w:ascii="宋体" w:hAnsi="宋体" w:cs="宋体"/>
          <w:b/>
          <w:sz w:val="72"/>
        </w:rPr>
      </w:pPr>
    </w:p>
    <w:p>
      <w:pPr>
        <w:jc w:val="center"/>
        <w:rPr>
          <w:rStyle w:val="47"/>
          <w:rFonts w:ascii="宋体" w:hAnsi="宋体" w:cs="宋体"/>
          <w:b/>
          <w:sz w:val="36"/>
        </w:rPr>
      </w:pPr>
    </w:p>
    <w:p>
      <w:pPr>
        <w:jc w:val="center"/>
        <w:rPr>
          <w:rStyle w:val="47"/>
          <w:rFonts w:ascii="宋体" w:hAnsi="宋体" w:cs="宋体"/>
          <w:b/>
          <w:sz w:val="36"/>
        </w:rPr>
      </w:pPr>
    </w:p>
    <w:p>
      <w:pPr>
        <w:jc w:val="center"/>
        <w:rPr>
          <w:rStyle w:val="47"/>
          <w:rFonts w:ascii="宋体" w:hAnsi="宋体" w:cs="宋体"/>
          <w:b/>
          <w:sz w:val="36"/>
        </w:rPr>
      </w:pPr>
    </w:p>
    <w:p>
      <w:pPr>
        <w:ind w:firstLine="1084" w:firstLineChars="300"/>
        <w:outlineLvl w:val="0"/>
        <w:rPr>
          <w:rStyle w:val="47"/>
          <w:rFonts w:ascii="宋体" w:hAnsi="宋体" w:cs="宋体"/>
          <w:b/>
          <w:sz w:val="36"/>
        </w:rPr>
      </w:pPr>
      <w:bookmarkStart w:id="12" w:name="_Toc8567"/>
      <w:r>
        <w:rPr>
          <w:rStyle w:val="47"/>
          <w:rFonts w:hint="eastAsia" w:ascii="宋体" w:hAnsi="宋体" w:cs="宋体"/>
          <w:b/>
          <w:sz w:val="36"/>
        </w:rPr>
        <w:t>项 目 名 称：</w:t>
      </w:r>
      <w:bookmarkEnd w:id="12"/>
    </w:p>
    <w:p>
      <w:pPr>
        <w:ind w:firstLine="1084" w:firstLineChars="300"/>
        <w:outlineLvl w:val="0"/>
        <w:rPr>
          <w:rStyle w:val="47"/>
          <w:rFonts w:ascii="宋体" w:hAnsi="宋体" w:cs="宋体"/>
          <w:b/>
          <w:sz w:val="36"/>
          <w:u w:val="single" w:color="000000"/>
        </w:rPr>
      </w:pPr>
      <w:bookmarkStart w:id="13" w:name="_Toc20815"/>
      <w:r>
        <w:rPr>
          <w:rStyle w:val="47"/>
          <w:rFonts w:hint="eastAsia" w:ascii="宋体" w:hAnsi="宋体" w:cs="宋体"/>
          <w:b/>
          <w:sz w:val="36"/>
        </w:rPr>
        <w:t>招 标 编 号：</w:t>
      </w:r>
      <w:bookmarkEnd w:id="13"/>
    </w:p>
    <w:p>
      <w:pPr>
        <w:ind w:firstLine="1084" w:firstLineChars="300"/>
        <w:outlineLvl w:val="0"/>
        <w:rPr>
          <w:rStyle w:val="47"/>
          <w:rFonts w:ascii="宋体" w:hAnsi="宋体" w:cs="宋体"/>
          <w:b/>
          <w:sz w:val="36"/>
          <w:u w:val="single" w:color="000000"/>
        </w:rPr>
      </w:pPr>
      <w:bookmarkStart w:id="14" w:name="_Toc15597"/>
      <w:r>
        <w:rPr>
          <w:rStyle w:val="47"/>
          <w:rFonts w:hint="eastAsia" w:ascii="宋体" w:hAnsi="宋体" w:cs="宋体"/>
          <w:b/>
          <w:sz w:val="36"/>
        </w:rPr>
        <w:t>投标人名称 ：</w:t>
      </w:r>
      <w:bookmarkEnd w:id="14"/>
    </w:p>
    <w:p>
      <w:pPr>
        <w:ind w:firstLine="1084" w:firstLineChars="300"/>
        <w:outlineLvl w:val="0"/>
        <w:rPr>
          <w:rStyle w:val="47"/>
          <w:rFonts w:ascii="宋体" w:hAnsi="宋体" w:cs="宋体"/>
          <w:b/>
          <w:sz w:val="36"/>
        </w:rPr>
      </w:pPr>
      <w:bookmarkStart w:id="15" w:name="_Toc26387"/>
      <w:r>
        <w:rPr>
          <w:rStyle w:val="47"/>
          <w:rFonts w:hint="eastAsia" w:ascii="宋体" w:hAnsi="宋体" w:cs="宋体"/>
          <w:b/>
          <w:sz w:val="36"/>
        </w:rPr>
        <w:t>日      期 ：</w:t>
      </w:r>
      <w:bookmarkEnd w:id="15"/>
    </w:p>
    <w:p>
      <w:pPr>
        <w:spacing w:line="440" w:lineRule="exact"/>
        <w:jc w:val="center"/>
        <w:rPr>
          <w:rStyle w:val="47"/>
          <w:rFonts w:ascii="宋体" w:hAnsi="宋体" w:cs="宋体"/>
          <w:b/>
          <w:bCs/>
          <w:sz w:val="32"/>
          <w:szCs w:val="32"/>
        </w:rPr>
      </w:pPr>
    </w:p>
    <w:p>
      <w:pPr>
        <w:spacing w:line="440" w:lineRule="exact"/>
        <w:ind w:firstLine="480" w:firstLineChars="200"/>
        <w:rPr>
          <w:rStyle w:val="47"/>
          <w:rFonts w:ascii="宋体" w:hAnsi="宋体" w:cs="宋体"/>
          <w:sz w:val="24"/>
        </w:rPr>
      </w:pPr>
    </w:p>
    <w:p>
      <w:pPr>
        <w:spacing w:line="440" w:lineRule="exact"/>
        <w:ind w:firstLine="480" w:firstLineChars="200"/>
        <w:rPr>
          <w:rStyle w:val="47"/>
          <w:rFonts w:ascii="宋体" w:hAnsi="宋体" w:cs="宋体"/>
          <w:sz w:val="24"/>
        </w:rPr>
      </w:pPr>
    </w:p>
    <w:p>
      <w:pPr>
        <w:spacing w:line="440" w:lineRule="exact"/>
        <w:rPr>
          <w:rStyle w:val="47"/>
          <w:rFonts w:ascii="宋体" w:hAnsi="宋体" w:cs="宋体"/>
          <w:sz w:val="24"/>
        </w:rPr>
      </w:pPr>
    </w:p>
    <w:p>
      <w:pPr>
        <w:pStyle w:val="7"/>
        <w:rPr>
          <w:rStyle w:val="47"/>
          <w:rFonts w:ascii="宋体" w:hAnsi="宋体" w:eastAsia="宋体" w:cs="宋体"/>
          <w:b w:val="0"/>
          <w:sz w:val="24"/>
          <w:szCs w:val="21"/>
        </w:rPr>
      </w:pPr>
    </w:p>
    <w:p>
      <w:pPr>
        <w:rPr>
          <w:rStyle w:val="47"/>
          <w:rFonts w:ascii="宋体" w:hAnsi="宋体" w:cs="宋体"/>
          <w:sz w:val="24"/>
        </w:rPr>
      </w:pPr>
    </w:p>
    <w:p>
      <w:pPr>
        <w:rPr>
          <w:rStyle w:val="47"/>
          <w:rFonts w:ascii="宋体" w:hAnsi="宋体" w:cs="宋体"/>
          <w:sz w:val="24"/>
        </w:rPr>
      </w:pPr>
    </w:p>
    <w:p>
      <w:pPr>
        <w:spacing w:line="440" w:lineRule="exact"/>
        <w:jc w:val="center"/>
        <w:rPr>
          <w:rFonts w:ascii="宋体" w:hAnsi="宋体" w:cs="宋体"/>
          <w:b/>
          <w:color w:val="000000" w:themeColor="text1"/>
          <w:sz w:val="30"/>
          <w:szCs w:val="30"/>
          <w14:textFill>
            <w14:solidFill>
              <w14:schemeClr w14:val="tx1"/>
            </w14:solidFill>
          </w14:textFill>
        </w:rPr>
      </w:pPr>
      <w:bookmarkStart w:id="16" w:name="_Toc17998"/>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22"/>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noWrap/>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noWrap/>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165"/>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5670" w:type="dxa"/>
            <w:tcBorders>
              <w:bottom w:val="single" w:color="auto" w:sz="4" w:space="0"/>
            </w:tcBorders>
            <w:noWrap/>
          </w:tcPr>
          <w:p>
            <w:pPr>
              <w:pStyle w:val="165"/>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noWrap/>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bookmarkStart w:id="17" w:name="_Toc16079"/>
    </w:p>
    <w:p>
      <w:pPr>
        <w:jc w:val="center"/>
        <w:outlineLvl w:val="0"/>
        <w:rPr>
          <w:rFonts w:ascii="宋体" w:hAnsi="宋体" w:cs="宋体"/>
          <w:b/>
          <w:bCs/>
          <w:color w:val="000000" w:themeColor="text1"/>
          <w:sz w:val="32"/>
          <w:szCs w:val="32"/>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投标主要文件目录</w:t>
      </w:r>
      <w:bookmarkEnd w:id="17"/>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18"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18"/>
    </w:p>
    <w:p>
      <w:pPr>
        <w:ind w:firstLine="482" w:firstLineChars="200"/>
        <w:outlineLvl w:val="0"/>
        <w:rPr>
          <w:rFonts w:ascii="宋体" w:hAnsi="宋体" w:cs="宋体"/>
          <w:color w:val="000000" w:themeColor="text1"/>
          <w:sz w:val="24"/>
          <w14:textFill>
            <w14:solidFill>
              <w14:schemeClr w14:val="tx1"/>
            </w14:solidFill>
          </w14:textFill>
        </w:rPr>
      </w:pPr>
      <w:bookmarkStart w:id="19"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19"/>
    </w:p>
    <w:p>
      <w:pPr>
        <w:ind w:firstLine="480" w:firstLineChars="200"/>
        <w:outlineLvl w:val="0"/>
        <w:rPr>
          <w:rFonts w:ascii="宋体" w:hAnsi="宋体" w:cs="宋体"/>
          <w:bCs/>
          <w:color w:val="000000" w:themeColor="text1"/>
          <w:sz w:val="24"/>
          <w14:textFill>
            <w14:solidFill>
              <w14:schemeClr w14:val="tx1"/>
            </w14:solidFill>
          </w14:textFill>
        </w:rPr>
      </w:pPr>
      <w:bookmarkStart w:id="20" w:name="_Toc17993"/>
      <w:r>
        <w:rPr>
          <w:rFonts w:hint="eastAsia" w:ascii="宋体" w:hAnsi="宋体" w:cs="宋体"/>
          <w:color w:val="000000" w:themeColor="text1"/>
          <w:sz w:val="24"/>
          <w14:textFill>
            <w14:solidFill>
              <w14:schemeClr w14:val="tx1"/>
            </w14:solidFill>
          </w14:textFill>
        </w:rPr>
        <w:t>三、符合性检查响应对照表</w:t>
      </w:r>
      <w:bookmarkEnd w:id="20"/>
    </w:p>
    <w:p>
      <w:pPr>
        <w:ind w:firstLine="480" w:firstLineChars="200"/>
        <w:outlineLvl w:val="0"/>
        <w:rPr>
          <w:rFonts w:ascii="宋体" w:hAnsi="宋体" w:cs="宋体"/>
          <w:color w:val="000000" w:themeColor="text1"/>
          <w:sz w:val="24"/>
          <w14:textFill>
            <w14:solidFill>
              <w14:schemeClr w14:val="tx1"/>
            </w14:solidFill>
          </w14:textFill>
        </w:rPr>
      </w:pPr>
      <w:bookmarkStart w:id="21" w:name="_Toc4466"/>
      <w:r>
        <w:rPr>
          <w:rFonts w:hint="eastAsia" w:ascii="宋体" w:hAnsi="宋体" w:cs="宋体"/>
          <w:color w:val="000000" w:themeColor="text1"/>
          <w:sz w:val="24"/>
          <w14:textFill>
            <w14:solidFill>
              <w14:schemeClr w14:val="tx1"/>
            </w14:solidFill>
          </w14:textFill>
        </w:rPr>
        <w:t>四、投标函</w:t>
      </w:r>
      <w:bookmarkEnd w:id="21"/>
    </w:p>
    <w:p>
      <w:pPr>
        <w:ind w:firstLine="480" w:firstLineChars="200"/>
        <w:outlineLvl w:val="0"/>
        <w:rPr>
          <w:rFonts w:ascii="宋体" w:hAnsi="宋体" w:cs="宋体"/>
          <w:color w:val="000000" w:themeColor="text1"/>
          <w:sz w:val="24"/>
          <w14:textFill>
            <w14:solidFill>
              <w14:schemeClr w14:val="tx1"/>
            </w14:solidFill>
          </w14:textFill>
        </w:rPr>
      </w:pPr>
      <w:bookmarkStart w:id="22"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2"/>
    </w:p>
    <w:p>
      <w:pPr>
        <w:ind w:firstLine="480" w:firstLineChars="200"/>
        <w:outlineLvl w:val="0"/>
        <w:rPr>
          <w:rFonts w:ascii="宋体" w:hAnsi="宋体" w:cs="宋体"/>
          <w:color w:val="000000" w:themeColor="text1"/>
          <w:sz w:val="24"/>
          <w14:textFill>
            <w14:solidFill>
              <w14:schemeClr w14:val="tx1"/>
            </w14:solidFill>
          </w14:textFill>
        </w:rPr>
      </w:pPr>
      <w:bookmarkStart w:id="23" w:name="_Toc1256"/>
      <w:r>
        <w:rPr>
          <w:rFonts w:hint="eastAsia" w:ascii="宋体" w:hAnsi="宋体" w:cs="宋体"/>
          <w:color w:val="000000" w:themeColor="text1"/>
          <w:sz w:val="24"/>
          <w14:textFill>
            <w14:solidFill>
              <w14:schemeClr w14:val="tx1"/>
            </w14:solidFill>
          </w14:textFill>
        </w:rPr>
        <w:t>六、投标配置与分项报价表</w:t>
      </w:r>
      <w:bookmarkEnd w:id="23"/>
    </w:p>
    <w:p>
      <w:pPr>
        <w:ind w:firstLine="480" w:firstLineChars="200"/>
        <w:outlineLvl w:val="0"/>
        <w:rPr>
          <w:rFonts w:ascii="宋体" w:hAnsi="宋体" w:cs="宋体"/>
          <w:color w:val="000000" w:themeColor="text1"/>
          <w:sz w:val="24"/>
          <w14:textFill>
            <w14:solidFill>
              <w14:schemeClr w14:val="tx1"/>
            </w14:solidFill>
          </w14:textFill>
        </w:rPr>
      </w:pPr>
      <w:bookmarkStart w:id="24"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4"/>
    </w:p>
    <w:p>
      <w:pPr>
        <w:ind w:firstLine="480" w:firstLineChars="200"/>
        <w:outlineLvl w:val="0"/>
        <w:rPr>
          <w:rFonts w:ascii="宋体" w:hAnsi="宋体" w:cs="宋体"/>
          <w:color w:val="000000" w:themeColor="text1"/>
          <w:sz w:val="24"/>
          <w14:textFill>
            <w14:solidFill>
              <w14:schemeClr w14:val="tx1"/>
            </w14:solidFill>
          </w14:textFill>
        </w:rPr>
      </w:pPr>
      <w:bookmarkStart w:id="25" w:name="_Toc13614"/>
      <w:r>
        <w:rPr>
          <w:rFonts w:hint="eastAsia" w:ascii="宋体" w:hAnsi="宋体" w:cs="宋体"/>
          <w:color w:val="000000" w:themeColor="text1"/>
          <w:sz w:val="24"/>
          <w14:textFill>
            <w14:solidFill>
              <w14:schemeClr w14:val="tx1"/>
            </w14:solidFill>
          </w14:textFill>
        </w:rPr>
        <w:t>八、商务条款响应及偏离表</w:t>
      </w:r>
      <w:bookmarkEnd w:id="25"/>
    </w:p>
    <w:p>
      <w:pPr>
        <w:ind w:firstLine="480" w:firstLineChars="200"/>
        <w:outlineLvl w:val="0"/>
        <w:rPr>
          <w:rFonts w:ascii="宋体" w:hAnsi="宋体" w:cs="宋体"/>
          <w:color w:val="000000" w:themeColor="text1"/>
          <w:sz w:val="24"/>
          <w14:textFill>
            <w14:solidFill>
              <w14:schemeClr w14:val="tx1"/>
            </w14:solidFill>
          </w14:textFill>
        </w:rPr>
      </w:pPr>
      <w:bookmarkStart w:id="26" w:name="_Toc25377"/>
      <w:r>
        <w:rPr>
          <w:rFonts w:hint="eastAsia" w:ascii="宋体" w:hAnsi="宋体" w:cs="宋体"/>
          <w:color w:val="000000" w:themeColor="text1"/>
          <w:sz w:val="24"/>
          <w14:textFill>
            <w14:solidFill>
              <w14:schemeClr w14:val="tx1"/>
            </w14:solidFill>
          </w14:textFill>
        </w:rPr>
        <w:t>九、技术方案、服务承诺、培训承诺等</w:t>
      </w:r>
      <w:bookmarkEnd w:id="26"/>
    </w:p>
    <w:p>
      <w:pPr>
        <w:ind w:firstLine="480" w:firstLineChars="200"/>
        <w:outlineLvl w:val="0"/>
        <w:rPr>
          <w:rFonts w:ascii="宋体" w:hAnsi="宋体" w:cs="宋体"/>
          <w:color w:val="000000" w:themeColor="text1"/>
          <w14:textFill>
            <w14:solidFill>
              <w14:schemeClr w14:val="tx1"/>
            </w14:solidFill>
          </w14:textFill>
        </w:rPr>
      </w:pPr>
      <w:bookmarkStart w:id="27" w:name="_Toc28209"/>
      <w:r>
        <w:rPr>
          <w:rFonts w:hint="eastAsia" w:ascii="宋体" w:hAnsi="宋体" w:cs="宋体"/>
          <w:color w:val="000000" w:themeColor="text1"/>
          <w:sz w:val="24"/>
          <w:szCs w:val="24"/>
          <w14:textFill>
            <w14:solidFill>
              <w14:schemeClr w14:val="tx1"/>
            </w14:solidFill>
          </w14:textFill>
        </w:rPr>
        <w:t>十、中小企业声明函</w:t>
      </w:r>
      <w:bookmarkEnd w:id="27"/>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8" w:name="_Toc13879"/>
      <w:r>
        <w:rPr>
          <w:rFonts w:hint="eastAsia" w:ascii="宋体" w:hAnsi="宋体" w:cs="宋体"/>
          <w:color w:val="000000" w:themeColor="text1"/>
          <w:sz w:val="24"/>
          <w14:textFill>
            <w14:solidFill>
              <w14:schemeClr w14:val="tx1"/>
            </w14:solidFill>
          </w14:textFill>
        </w:rPr>
        <w:t>十一、盐城市政府采购事前信用承诺书</w:t>
      </w:r>
      <w:bookmarkEnd w:id="28"/>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bookmarkEnd w:id="16"/>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9" w:name="_Toc27319"/>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9"/>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w:t>
      </w:r>
      <w:r>
        <w:rPr>
          <w:rFonts w:hint="eastAsia" w:ascii="宋体" w:hAnsi="宋体" w:cs="宋体"/>
          <w:b/>
          <w:bCs/>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2、非实质性资信证明文件目录</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格式1 《企业申明函》</w:t>
      </w: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5"/>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166"/>
        <w:ind w:firstLine="0" w:firstLineChars="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5"/>
        <w:rPr>
          <w:rFonts w:ascii="宋体" w:hAnsi="宋体" w:cs="宋体"/>
          <w:color w:val="000000" w:themeColor="text1"/>
          <w:sz w:val="24"/>
          <w:szCs w:val="24"/>
          <w14:textFill>
            <w14:solidFill>
              <w14:schemeClr w14:val="tx1"/>
            </w14:solidFill>
          </w14:textFill>
        </w:rPr>
      </w:pPr>
      <w:bookmarkStart w:id="30" w:name="_Hlt26955070"/>
      <w:bookmarkEnd w:id="30"/>
      <w:bookmarkStart w:id="31" w:name="_格式3__银行出具的资信证明"/>
      <w:bookmarkEnd w:id="31"/>
      <w:bookmarkStart w:id="32" w:name="_Hlt26671380"/>
      <w:bookmarkEnd w:id="32"/>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3" w:name="_Toc3822"/>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二、资格性审查响应对照表（格式）</w:t>
      </w:r>
      <w:bookmarkEnd w:id="33"/>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4"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34"/>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8"/>
        <w:rPr>
          <w:rFonts w:ascii="宋体" w:hAnsi="宋体" w:cs="宋体"/>
          <w:color w:val="000000" w:themeColor="text1"/>
          <w:sz w:val="32"/>
          <w:szCs w:val="32"/>
          <w14:textFill>
            <w14:solidFill>
              <w14:schemeClr w14:val="tx1"/>
            </w14:solidFill>
          </w14:textFill>
        </w:rPr>
      </w:pPr>
    </w:p>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5" w:name="_Toc13422"/>
      <w:r>
        <w:rPr>
          <w:rFonts w:hint="eastAsia" w:ascii="宋体" w:hAnsi="宋体" w:cs="宋体"/>
          <w:color w:val="000000" w:themeColor="text1"/>
          <w:sz w:val="32"/>
          <w:szCs w:val="32"/>
          <w14:textFill>
            <w14:solidFill>
              <w14:schemeClr w14:val="tx1"/>
            </w14:solidFill>
          </w14:textFill>
        </w:rPr>
        <w:t>四、投标函（格式）</w:t>
      </w:r>
      <w:bookmarkEnd w:id="35"/>
    </w:p>
    <w:p>
      <w:pPr>
        <w:pStyle w:val="167"/>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 xml:space="preserve">     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167"/>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jc w:val="left"/>
        <w:rPr>
          <w:rStyle w:val="47"/>
          <w:rFonts w:ascii="宋体" w:hAnsi="宋体" w:cs="宋体"/>
          <w:sz w:val="24"/>
          <w:szCs w:val="20"/>
        </w:rPr>
      </w:pPr>
    </w:p>
    <w:p>
      <w:pPr>
        <w:jc w:val="center"/>
        <w:rPr>
          <w:rStyle w:val="47"/>
          <w:rFonts w:ascii="宋体" w:hAnsi="宋体" w:cs="宋体"/>
          <w:b/>
          <w:sz w:val="32"/>
          <w:szCs w:val="32"/>
        </w:rPr>
      </w:pPr>
    </w:p>
    <w:p>
      <w:pPr>
        <w:pStyle w:val="21"/>
      </w:pPr>
    </w:p>
    <w:p>
      <w:pPr>
        <w:snapToGrid w:val="0"/>
        <w:spacing w:before="50" w:after="5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36" w:name="_Toc3373"/>
    </w:p>
    <w:p>
      <w:pPr>
        <w:snapToGrid w:val="0"/>
        <w:spacing w:before="50" w:after="50"/>
        <w:jc w:val="center"/>
        <w:outlineLvl w:val="0"/>
        <w:rPr>
          <w:rStyle w:val="47"/>
          <w:rFonts w:ascii="宋体" w:hAnsi="宋体" w:cs="宋体"/>
          <w:sz w:val="32"/>
          <w:szCs w:val="32"/>
        </w:rPr>
      </w:pPr>
      <w:r>
        <w:rPr>
          <w:rStyle w:val="47"/>
          <w:rFonts w:hint="eastAsia" w:ascii="宋体" w:hAnsi="宋体" w:cs="宋体"/>
          <w:sz w:val="32"/>
          <w:szCs w:val="32"/>
        </w:rPr>
        <w:t>五、开标一览表（格式）</w:t>
      </w:r>
      <w:bookmarkEnd w:id="36"/>
    </w:p>
    <w:p>
      <w:pPr>
        <w:snapToGrid w:val="0"/>
        <w:spacing w:before="50" w:after="50"/>
        <w:jc w:val="center"/>
        <w:rPr>
          <w:rStyle w:val="47"/>
          <w:rFonts w:ascii="宋体" w:hAnsi="宋体" w:cs="宋体"/>
          <w:sz w:val="32"/>
          <w:szCs w:val="32"/>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szCs w:val="28"/>
              </w:rPr>
            </w:pPr>
            <w:r>
              <w:rPr>
                <w:rStyle w:val="47"/>
                <w:rFonts w:hint="eastAsia" w:ascii="宋体" w:hAnsi="宋体" w:cs="宋体"/>
                <w:b/>
                <w:bCs/>
                <w:szCs w:val="28"/>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是否提供《企业类型声明函》：</w:t>
            </w:r>
            <w:r>
              <w:rPr>
                <w:rStyle w:val="47"/>
                <w:rFonts w:hint="eastAsia" w:ascii="宋体" w:hAnsi="宋体" w:cs="宋体"/>
                <w:b/>
                <w:bCs/>
                <w:szCs w:val="28"/>
                <w:u w:val="single"/>
              </w:rPr>
              <w:t xml:space="preserve"> 是/否 见（   ）页</w:t>
            </w:r>
          </w:p>
        </w:tc>
      </w:tr>
    </w:tbl>
    <w:p>
      <w:pPr>
        <w:spacing w:line="240" w:lineRule="atLeast"/>
        <w:rPr>
          <w:rStyle w:val="47"/>
          <w:rFonts w:ascii="宋体" w:hAnsi="宋体" w:cs="宋体"/>
          <w:szCs w:val="28"/>
        </w:rPr>
      </w:pPr>
    </w:p>
    <w:p>
      <w:pPr>
        <w:spacing w:line="240" w:lineRule="atLeast"/>
        <w:rPr>
          <w:rStyle w:val="47"/>
          <w:rFonts w:ascii="宋体" w:hAnsi="宋体" w:cs="宋体"/>
          <w:szCs w:val="28"/>
        </w:rPr>
      </w:pPr>
      <w:r>
        <w:rPr>
          <w:rStyle w:val="47"/>
          <w:rFonts w:hint="eastAsia" w:ascii="宋体" w:hAnsi="宋体" w:cs="宋体"/>
          <w:szCs w:val="28"/>
        </w:rPr>
        <w:t>填写说明：</w:t>
      </w:r>
    </w:p>
    <w:p>
      <w:pPr>
        <w:numPr>
          <w:ilvl w:val="0"/>
          <w:numId w:val="4"/>
        </w:numPr>
        <w:rPr>
          <w:rStyle w:val="47"/>
          <w:rFonts w:ascii="宋体" w:hAnsi="宋体" w:cs="宋体"/>
          <w:sz w:val="24"/>
        </w:rPr>
      </w:pPr>
      <w:r>
        <w:rPr>
          <w:rStyle w:val="47"/>
          <w:rFonts w:hint="eastAsia" w:ascii="宋体" w:hAnsi="宋体" w:cs="宋体"/>
          <w:sz w:val="24"/>
        </w:rPr>
        <w:t>开标一览表不得填报选择性报价，否则将作为无效投标；</w:t>
      </w:r>
    </w:p>
    <w:p>
      <w:pPr>
        <w:numPr>
          <w:ilvl w:val="0"/>
          <w:numId w:val="4"/>
        </w:numPr>
        <w:rPr>
          <w:rStyle w:val="47"/>
          <w:rFonts w:ascii="宋体" w:hAnsi="宋体" w:cs="宋体"/>
          <w:sz w:val="24"/>
        </w:rPr>
      </w:pPr>
      <w:r>
        <w:rPr>
          <w:rStyle w:val="47"/>
          <w:rFonts w:hint="eastAsia" w:ascii="宋体" w:hAnsi="宋体" w:cs="宋体"/>
          <w:sz w:val="24"/>
        </w:rPr>
        <w:t>开标一览表中报价与投标分项明细报价表中不符时时，以开标一览表为准；</w:t>
      </w:r>
    </w:p>
    <w:p>
      <w:pPr>
        <w:ind w:firstLine="2640" w:firstLineChars="600"/>
        <w:rPr>
          <w:rStyle w:val="47"/>
          <w:rFonts w:ascii="宋体" w:hAnsi="宋体" w:cs="宋体"/>
          <w:sz w:val="44"/>
        </w:rPr>
      </w:pPr>
    </w:p>
    <w:p>
      <w:pPr>
        <w:ind w:firstLine="480"/>
        <w:rPr>
          <w:rStyle w:val="47"/>
          <w:rFonts w:ascii="宋体" w:hAnsi="宋体" w:cs="宋体"/>
          <w:sz w:val="24"/>
        </w:rPr>
      </w:pPr>
    </w:p>
    <w:p>
      <w:pPr>
        <w:ind w:firstLine="480"/>
        <w:rPr>
          <w:rStyle w:val="47"/>
          <w:rFonts w:ascii="宋体" w:hAnsi="宋体" w:cs="宋体"/>
          <w:sz w:val="24"/>
        </w:rPr>
      </w:pPr>
    </w:p>
    <w:p>
      <w:pPr>
        <w:ind w:firstLine="480"/>
        <w:jc w:val="center"/>
        <w:rPr>
          <w:rStyle w:val="47"/>
          <w:rFonts w:ascii="宋体" w:hAnsi="宋体" w:cs="宋体"/>
          <w:sz w:val="24"/>
        </w:rPr>
      </w:pPr>
      <w:r>
        <w:rPr>
          <w:rStyle w:val="47"/>
          <w:rFonts w:hint="eastAsia" w:ascii="宋体" w:hAnsi="宋体" w:cs="宋体"/>
          <w:bCs/>
          <w:sz w:val="24"/>
        </w:rPr>
        <w:t xml:space="preserve">                                        供应商名称（公章）：</w:t>
      </w:r>
    </w:p>
    <w:p>
      <w:pPr>
        <w:ind w:firstLine="480"/>
        <w:rPr>
          <w:rStyle w:val="47"/>
          <w:rFonts w:ascii="宋体" w:hAnsi="宋体" w:cs="宋体"/>
          <w:sz w:val="24"/>
        </w:rPr>
      </w:pPr>
      <w:r>
        <w:rPr>
          <w:rStyle w:val="47"/>
          <w:rFonts w:hint="eastAsia" w:ascii="宋体" w:hAnsi="宋体" w:cs="宋体"/>
          <w:sz w:val="24"/>
        </w:rPr>
        <w:t xml:space="preserve">                                              日期： 年月日</w:t>
      </w:r>
    </w:p>
    <w:p>
      <w:pPr>
        <w:pStyle w:val="21"/>
      </w:pPr>
    </w:p>
    <w:p/>
    <w:p>
      <w:pPr>
        <w:pStyle w:val="7"/>
      </w:pPr>
    </w:p>
    <w:p/>
    <w:p>
      <w:pPr>
        <w:rPr>
          <w:rFonts w:ascii="宋体" w:hAnsi="宋体" w:cs="宋体"/>
          <w:b/>
          <w:sz w:val="24"/>
          <w:szCs w:val="24"/>
        </w:rPr>
      </w:pPr>
      <w:bookmarkStart w:id="37" w:name="_Toc515647824"/>
      <w:bookmarkStart w:id="38" w:name="_Toc11803"/>
      <w:bookmarkStart w:id="39" w:name="_Toc10977"/>
      <w:bookmarkStart w:id="40" w:name="_Toc13776"/>
    </w:p>
    <w:bookmarkEnd w:id="37"/>
    <w:bookmarkEnd w:id="38"/>
    <w:bookmarkEnd w:id="39"/>
    <w:bookmarkEnd w:id="40"/>
    <w:p>
      <w:pPr>
        <w:pStyle w:val="4"/>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附件：1、中小企业声明函（服务）</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软件和信息技术服务业，根据《关于印发中小企业划型标准规定的通知》（工信部联企业[2011]300号）文件规定及国家统计局关于印发《统计上大中小微型企业划分办法（2017）》的通知规定的划分标准填写。</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r>
        <w:rPr>
          <w:rFonts w:hint="eastAsia"/>
          <w:b/>
          <w:color w:val="000000" w:themeColor="text1"/>
          <w:shd w:val="clear" w:color="auto" w:fill="FFFFFF"/>
          <w14:textFill>
            <w14:solidFill>
              <w14:schemeClr w14:val="tx1"/>
            </w14:solidFill>
          </w14:textFill>
        </w:rPr>
        <w:t>中小企业声明函（服务）</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本公司（联合体）郑重声明，根据《政府采购促进中小企业发展管理办法》（财库﹝2020﹞46 号）的规定，本公司（联合体）参加</w:t>
      </w:r>
      <w:r>
        <w:rPr>
          <w:rFonts w:hint="eastAsia"/>
          <w:color w:val="000000" w:themeColor="text1"/>
          <w:u w:val="single"/>
          <w:shd w:val="clear" w:color="auto" w:fill="FFFFFF"/>
          <w14:textFill>
            <w14:solidFill>
              <w14:schemeClr w14:val="tx1"/>
            </w14:solidFill>
          </w14:textFill>
        </w:rPr>
        <w:t>（单位名称）</w:t>
      </w:r>
      <w:r>
        <w:rPr>
          <w:rFonts w:hint="eastAsia"/>
          <w:color w:val="000000" w:themeColor="text1"/>
          <w:shd w:val="clear" w:color="auto" w:fill="FFFFFF"/>
          <w14:textFill>
            <w14:solidFill>
              <w14:schemeClr w14:val="tx1"/>
            </w14:solidFill>
          </w14:textFill>
        </w:rPr>
        <w:t>的</w:t>
      </w:r>
      <w:r>
        <w:rPr>
          <w:rFonts w:hint="eastAsia"/>
          <w:color w:val="000000" w:themeColor="text1"/>
          <w:u w:val="single"/>
          <w:shd w:val="clear" w:color="auto" w:fill="FFFFFF"/>
          <w14:textFill>
            <w14:solidFill>
              <w14:schemeClr w14:val="tx1"/>
            </w14:solidFill>
          </w14:textFill>
        </w:rPr>
        <w:t>（项目名称）</w:t>
      </w:r>
      <w:r>
        <w:rPr>
          <w:rFonts w:hint="eastAsia"/>
          <w:color w:val="000000" w:themeColor="text1"/>
          <w:shd w:val="clear" w:color="auto" w:fill="FFFFFF"/>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840"/>
        <w:rPr>
          <w:color w:val="000000" w:themeColor="text1"/>
          <w14:textFill>
            <w14:solidFill>
              <w14:schemeClr w14:val="tx1"/>
            </w14:solidFill>
          </w14:textFill>
        </w:rPr>
      </w:pP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本企业对上述声明内容的真实性负责。如有虚假，将依法承担相应责任。</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企业名称（盖章）：</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日期：</w:t>
      </w:r>
    </w:p>
    <w:p>
      <w:pPr>
        <w:pStyle w:val="19"/>
        <w:shd w:val="clear" w:color="auto" w:fill="FFFFFF"/>
        <w:adjustRightInd w:val="0"/>
        <w:snapToGrid w:val="0"/>
        <w:spacing w:before="0" w:beforeAutospacing="0" w:after="0" w:afterAutospacing="0" w:line="360" w:lineRule="auto"/>
        <w:rPr>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从业人员、营业收入、资产总额填报上一年度数据，无上一年度数据的新成立企业可不填报。</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59"/>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59"/>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color w:val="000000" w:themeColor="text1"/>
          <w14:textFill>
            <w14:solidFill>
              <w14:schemeClr w14:val="tx1"/>
            </w14:solidFill>
          </w14:textFill>
        </w:rPr>
        <w:sectPr>
          <w:headerReference r:id="rId10" w:type="default"/>
          <w:footerReference r:id="rId11" w:type="default"/>
          <w:pgSz w:w="11906" w:h="16838"/>
          <w:pgMar w:top="1417" w:right="1588" w:bottom="1417" w:left="1365" w:header="851" w:footer="907" w:gutter="0"/>
          <w:cols w:space="720" w:num="1"/>
          <w:docGrid w:type="lines" w:linePitch="290"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41"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w:t>
      </w:r>
      <w:bookmarkEnd w:id="41"/>
      <w:r>
        <w:rPr>
          <w:rFonts w:hint="eastAsia" w:ascii="宋体" w:hAnsi="宋体" w:cs="宋体"/>
          <w:color w:val="000000" w:themeColor="text1"/>
          <w:sz w:val="32"/>
          <w:szCs w:val="32"/>
          <w14:textFill>
            <w14:solidFill>
              <w14:schemeClr w14:val="tx1"/>
            </w14:solidFill>
          </w14:textFill>
        </w:rPr>
        <w:t>（如有）</w:t>
      </w:r>
    </w:p>
    <w:p>
      <w:pPr>
        <w:snapToGrid w:val="0"/>
        <w:spacing w:before="50" w:after="50"/>
        <w:jc w:val="center"/>
        <w:rPr>
          <w:rFonts w:ascii="宋体" w:hAnsi="宋体" w:cs="宋体"/>
          <w:color w:val="000000" w:themeColor="text1"/>
          <w:sz w:val="32"/>
          <w:szCs w:val="32"/>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902"/>
        <w:gridCol w:w="2421"/>
        <w:gridCol w:w="850"/>
        <w:gridCol w:w="736"/>
        <w:gridCol w:w="1107"/>
        <w:gridCol w:w="1085"/>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p>
        </w:tc>
        <w:tc>
          <w:tcPr>
            <w:tcW w:w="2421"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规格、型号</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1107"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w:t>
            </w:r>
          </w:p>
        </w:tc>
        <w:tc>
          <w:tcPr>
            <w:tcW w:w="1085"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w:t>
            </w:r>
          </w:p>
        </w:tc>
        <w:tc>
          <w:tcPr>
            <w:tcW w:w="1085"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w:t>
            </w:r>
          </w:p>
        </w:tc>
        <w:tc>
          <w:tcPr>
            <w:tcW w:w="1902" w:type="dxa"/>
            <w:noWrap/>
            <w:vAlign w:val="center"/>
          </w:tcPr>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tc>
        <w:tc>
          <w:tcPr>
            <w:tcW w:w="2421"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850"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736"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w:t>
            </w:r>
          </w:p>
        </w:tc>
        <w:tc>
          <w:tcPr>
            <w:tcW w:w="8101" w:type="dxa"/>
            <w:gridSpan w:val="6"/>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5"/>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jc w:val="left"/>
        <w:rPr>
          <w:rFonts w:ascii="宋体" w:hAnsi="宋体" w:cs="宋体"/>
          <w:color w:val="000000" w:themeColor="text1"/>
          <w:sz w:val="32"/>
          <w:szCs w:val="32"/>
          <w14:textFill>
            <w14:solidFill>
              <w14:schemeClr w14:val="tx1"/>
            </w14:solidFill>
          </w14:textFill>
        </w:rPr>
      </w:pPr>
      <w:bookmarkStart w:id="42" w:name="_Hlt26955054"/>
      <w:bookmarkEnd w:id="42"/>
      <w:r>
        <w:rPr>
          <w:rFonts w:ascii="宋体" w:hAnsi="宋体" w:cs="宋体"/>
          <w:color w:val="000000" w:themeColor="text1"/>
          <w:sz w:val="32"/>
          <w:szCs w:val="32"/>
          <w14:textFill>
            <w14:solidFill>
              <w14:schemeClr w14:val="tx1"/>
            </w14:solidFill>
          </w14:textFill>
        </w:rPr>
        <w:br w:type="page"/>
      </w: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3" w:name="_Toc17355"/>
      <w:r>
        <w:rPr>
          <w:rFonts w:hint="eastAsia" w:ascii="宋体" w:hAnsi="宋体" w:cs="宋体"/>
          <w:color w:val="000000" w:themeColor="text1"/>
          <w:sz w:val="32"/>
          <w:szCs w:val="32"/>
          <w14:textFill>
            <w14:solidFill>
              <w14:schemeClr w14:val="tx1"/>
            </w14:solidFill>
          </w14:textFill>
        </w:rPr>
        <w:t>七、技术参数响应及偏离表（如有）</w:t>
      </w:r>
      <w:bookmarkEnd w:id="43"/>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noWrap/>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5"/>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4" w:name="_Toc20796"/>
      <w:r>
        <w:rPr>
          <w:rFonts w:hint="eastAsia" w:ascii="宋体" w:hAnsi="宋体" w:cs="宋体"/>
          <w:color w:val="000000" w:themeColor="text1"/>
          <w:sz w:val="32"/>
          <w:szCs w:val="32"/>
          <w14:textFill>
            <w14:solidFill>
              <w14:schemeClr w14:val="tx1"/>
            </w14:solidFill>
          </w14:textFill>
        </w:rPr>
        <w:t>八、商务条款响应及偏离表（如有）</w:t>
      </w:r>
      <w:bookmarkEnd w:id="44"/>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45" w:name="_Hlt26580838"/>
      <w:bookmarkEnd w:id="45"/>
      <w:bookmarkStart w:id="46" w:name="_Hlt26671374"/>
      <w:bookmarkEnd w:id="46"/>
      <w:bookmarkStart w:id="47" w:name="_Hlt26955064"/>
      <w:bookmarkEnd w:id="47"/>
      <w:bookmarkStart w:id="48" w:name="_Hlt24879081"/>
      <w:bookmarkEnd w:id="48"/>
      <w:bookmarkStart w:id="49" w:name="_Hlt26609389"/>
      <w:bookmarkEnd w:id="49"/>
      <w:bookmarkStart w:id="50" w:name="_Hlt26955066"/>
      <w:bookmarkEnd w:id="50"/>
      <w:bookmarkStart w:id="51" w:name="_Hlt26671372"/>
      <w:bookmarkEnd w:id="51"/>
      <w:bookmarkStart w:id="52" w:name="_Hlt26782999"/>
      <w:bookmarkEnd w:id="52"/>
      <w:bookmarkStart w:id="53" w:name="_Hlt26955056"/>
      <w:bookmarkEnd w:id="53"/>
      <w:bookmarkStart w:id="54" w:name="_Hlt26671343"/>
      <w:bookmarkEnd w:id="54"/>
      <w:bookmarkStart w:id="55" w:name="_Hlt26609391"/>
      <w:bookmarkEnd w:id="55"/>
      <w:bookmarkStart w:id="56" w:name="_Toc462564146"/>
    </w:p>
    <w:p>
      <w:pPr>
        <w:pStyle w:val="6"/>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bookmarkStart w:id="57" w:name="_Toc8363"/>
      <w:r>
        <w:rPr>
          <w:rFonts w:hint="eastAsia" w:ascii="宋体" w:hAnsi="宋体" w:cs="宋体"/>
          <w:color w:val="000000" w:themeColor="text1"/>
          <w:sz w:val="32"/>
          <w:szCs w:val="32"/>
          <w14:textFill>
            <w14:solidFill>
              <w14:schemeClr w14:val="tx1"/>
            </w14:solidFill>
          </w14:textFill>
        </w:rPr>
        <w:t>九、技术方案、服务承诺等</w:t>
      </w:r>
      <w:bookmarkEnd w:id="56"/>
      <w:bookmarkEnd w:id="57"/>
      <w:bookmarkStart w:id="58" w:name="_格式2__法定代表人授权书"/>
      <w:bookmarkEnd w:id="58"/>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numPr>
          <w:ilvl w:val="0"/>
          <w:numId w:val="6"/>
        </w:numPr>
        <w:snapToGrid w:val="0"/>
        <w:spacing w:before="50" w:after="50"/>
        <w:outlineLvl w:val="0"/>
        <w:rPr>
          <w:rFonts w:hAnsi="宋体" w:cs="宋体"/>
          <w:b/>
          <w:bCs/>
          <w:color w:val="000000" w:themeColor="text1"/>
          <w14:textFill>
            <w14:solidFill>
              <w14:schemeClr w14:val="tx1"/>
            </w14:solidFill>
          </w14:textFill>
        </w:rPr>
        <w:sectPr>
          <w:footerReference r:id="rId13" w:type="first"/>
          <w:footerReference r:id="rId12" w:type="default"/>
          <w:pgSz w:w="11906" w:h="16838"/>
          <w:pgMar w:top="1417" w:right="1587" w:bottom="1417" w:left="1366" w:header="851" w:footer="907" w:gutter="0"/>
          <w:cols w:space="0" w:num="1"/>
          <w:titlePg/>
          <w:docGrid w:type="lines" w:linePitch="298" w:charSpace="0"/>
        </w:sectPr>
      </w:pPr>
    </w:p>
    <w:p>
      <w:pPr>
        <w:spacing w:line="460" w:lineRule="exact"/>
        <w:outlineLvl w:val="0"/>
        <w:rPr>
          <w:rFonts w:ascii="宋体" w:hAnsi="宋体" w:cs="宋体"/>
          <w:color w:val="000000" w:themeColor="text1"/>
          <w:sz w:val="32"/>
          <w14:textFill>
            <w14:solidFill>
              <w14:schemeClr w14:val="tx1"/>
            </w14:solidFill>
          </w14:textFill>
        </w:rPr>
      </w:pPr>
      <w:bookmarkStart w:id="59" w:name="_Toc22033"/>
    </w:p>
    <w:p>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十、盐城市政府采购事前信用承诺书</w:t>
      </w:r>
      <w:bookmarkEnd w:id="59"/>
    </w:p>
    <w:p>
      <w:pPr>
        <w:spacing w:line="460" w:lineRule="exact"/>
        <w:ind w:firstLine="640" w:firstLineChars="200"/>
        <w:jc w:val="left"/>
        <w:rPr>
          <w:rFonts w:ascii="宋体" w:hAnsi="宋体" w:cs="宋体"/>
          <w:color w:val="000000" w:themeColor="text1"/>
          <w:sz w:val="32"/>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60" w:name="_Toc1790"/>
      <w:r>
        <w:rPr>
          <w:rFonts w:hint="eastAsia" w:ascii="宋体" w:hAnsi="宋体" w:cs="宋体"/>
          <w:color w:val="000000" w:themeColor="text1"/>
          <w:sz w:val="24"/>
          <w:szCs w:val="24"/>
          <w14:textFill>
            <w14:solidFill>
              <w14:schemeClr w14:val="tx1"/>
            </w14:solidFill>
          </w14:textFill>
        </w:rPr>
        <w:t>法定代表人签名：</w:t>
      </w:r>
      <w:bookmarkEnd w:id="60"/>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61" w:name="_Toc27882"/>
      <w:r>
        <w:rPr>
          <w:rFonts w:hint="eastAsia" w:ascii="宋体" w:hAnsi="宋体" w:cs="宋体"/>
          <w:color w:val="000000" w:themeColor="text1"/>
          <w:sz w:val="24"/>
          <w:szCs w:val="24"/>
          <w14:textFill>
            <w14:solidFill>
              <w14:schemeClr w14:val="tx1"/>
            </w14:solidFill>
          </w14:textFill>
        </w:rPr>
        <w:t>单位名称（盖章）：</w:t>
      </w:r>
      <w:bookmarkEnd w:id="61"/>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62" w:name="_Toc385"/>
      <w:r>
        <w:rPr>
          <w:rFonts w:hint="eastAsia" w:ascii="宋体" w:hAnsi="宋体" w:cs="宋体"/>
          <w:color w:val="000000" w:themeColor="text1"/>
          <w:sz w:val="24"/>
          <w:szCs w:val="24"/>
          <w14:textFill>
            <w14:solidFill>
              <w14:schemeClr w14:val="tx1"/>
            </w14:solidFill>
          </w14:textFill>
        </w:rPr>
        <w:t>年    月    日</w:t>
      </w:r>
      <w:bookmarkEnd w:id="62"/>
    </w:p>
    <w:p>
      <w:pPr>
        <w:pStyle w:val="141"/>
        <w:jc w:val="both"/>
        <w:rPr>
          <w:rStyle w:val="47"/>
          <w:rFonts w:ascii="宋体" w:hAnsi="宋体" w:cs="宋体"/>
          <w:color w:val="auto"/>
        </w:rPr>
      </w:pPr>
    </w:p>
    <w:sectPr>
      <w:headerReference r:id="rId14" w:type="default"/>
      <w:footerReference r:id="rId15"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JkLfcBAAAGBAAADgAAAGRycy9lMm9Eb2MueG1srVPLbtswELwX6D8Q&#10;vNeSHaAxBMtBGsNFgfQBJP0AiqIkIiKXWNKW3K/vkrKcRy859EIsucvZmeFyczOanh0Veg225MtF&#10;zpmyEmpt25L/ftx/WnPmg7C16MGqkp+U5zfbjx82gyvUCjroa4WMQKwvBlfyLgRXZJmXnTLCL8Ap&#10;S8kG0IhAW2yzGsVA6KbPVnn+ORsAa4cglfd0upuS/IyI7wGEptFS7UAejLJhQkXVi0CSfKed59vE&#10;tmmUDD+bxqvA+pKT0pBWakJxFddsuxFFi8J1Wp4piPdQeKPJCG2p6QVqJ4JgB9T/QBktETw0YSHB&#10;ZJOQ5AipWOZvvHnohFNJC1nt3cV0//9g5Y/jL2S6Lvk1Z1YYevBHNQb2BUa2zK+uo0GD8wXVPTiq&#10;DCNlaGySWO/uQT55ZuGuE7ZVt4gwdErURHAZb2Yvrk44PoJUw3eoqZM4BEhAY4Mmukd+MEKnxzld&#10;HieykbHlerVe55SSlJs3sYco5usOffiqwLAYlBzp9RO8ON77MJXOJbGbhb3uezoXRW9fHRBmPEn0&#10;I+OJexirkaqjpgrqEwlBmAaKvhMFHeAfzgYappJb+juc9d8sWRHnbg5wDqo5EFbSxZIHzqbwLkzz&#10;eXCo245wZ7Nvya69TkKeOZxZ0ngkK86jHOfv5T5VPX/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R6JkLfcBAAAGBAAADgAAAAAAAAABACAAAAAeAQAAZHJzL2Uyb0RvYy54bWxQSwUGAAAA&#10;AAYABgBZAQAAh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Text Box 103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38" o:spid="_x0000_s1026" o:spt="202" type="#_x0000_t202" style="position:absolute;left:0pt;margin-top:0pt;height:10.35pt;width:4.55pt;mso-position-horizontal:center;mso-position-horizontal-relative:margin;mso-wrap-style:none;z-index:25166643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LBJqr9AQAAAwQAAA4AAABkcnMvZTJvRG9jLnhtbK1Ty27bMBC8F+g/&#10;ELzXkpI4MQTLQRrDRYH0AST5AJqiLKIil1jSltyv75Ky3DS55NALsSSXszOzy+XtYDp2UOg12IoX&#10;s5wzZSXU2u4q/vy0+bTgzAdha9GBVRU/Ks9vVx8/LHtXqgtooasVMgKxvuxdxdsQXJllXrbKCD8D&#10;pyxdNoBGBNriLqtR9IRuuuwiz6+zHrB2CFJ5T6fr8ZKfEPE9gNA0Wqo1yL1RNoyoqDoRSJJvtfN8&#10;ldg2jZLhR9N4FVhXcVIa0kpFKN7GNVstRblD4VotTxTEeyi80mSEtlT0DLUWQbA96jdQRksED02Y&#10;STDZKCQ5QiqK/JU3j61wKmkhq707m+7/H6z8fviJTNcVv+bMCkMNf1JDYJ9hYEV+uYgG9c6XlPfo&#10;KDMMdENjk8R69wDyl2cW7lthd+oOEfpWiZoIFvFl9uLpiOMjyLb/BjVVEvsACWho0ET3yA9G6NSc&#10;47k5kY2kw/nNzWLOmaSb4rK4upqnAqKc3jr04YsCw2JQcaTWJ2xxePAhchHllBJLWdjorkvt7+w/&#10;B5QYTxL3SHckHobtcPJiC/WRVCCM00R/iYIW8DdnPU1SxS19HM66r5Z8iEM3BTgF2ykQVtLDigfO&#10;xvA+jMO5d6h3LeFOTt+RVxudhERTRw4nljQbSd9pjuPwvdynrL9/d/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OLBJqr9AQAAAwQAAA4AAAAAAAAAAQAgAAAAHwEAAGRycy9lMm9Eb2MueG1s&#10;UEsFBgAAAAAGAAYAWQEAAI4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20</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27</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27</w:t>
                    </w:r>
                    <w:r>
                      <w:fldChar w:fldCharType="end"/>
                    </w:r>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103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46</w:t>
                          </w:r>
                          <w:r>
                            <w:fldChar w:fldCharType="end"/>
                          </w:r>
                        </w:p>
                      </w:txbxContent>
                    </wps:txbx>
                    <wps:bodyPr rot="0" vert="horz" wrap="none" lIns="0" tIns="0" rIns="0" bIns="0" anchor="t" anchorCtr="0" upright="1">
                      <a:spAutoFit/>
                    </wps:bodyPr>
                  </wps:wsp>
                </a:graphicData>
              </a:graphic>
            </wp:anchor>
          </w:drawing>
        </mc:Choice>
        <mc:Fallback>
          <w:pict>
            <v:shape id="Text Box 1034"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yemj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WZFYYa/qTGwD7ByPLlah0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J6aP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47</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6"/>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b/>
        <w:i/>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隶书" w:hAnsi="隶书" w:eastAsia="隶书" w:cs="隶书"/>
        <w:sz w:val="24"/>
        <w:szCs w:val="24"/>
      </w:rPr>
    </w:pPr>
    <w:r>
      <w:rPr>
        <w:rFonts w:hint="eastAsia" w:ascii="隶书" w:hAnsi="隶书" w:eastAsia="隶书" w:cs="隶书"/>
        <w:sz w:val="24"/>
        <w:szCs w:val="24"/>
      </w:rPr>
      <w:t>2022-024W招标文件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2023-024W招标文件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rPr>
        <w:rFonts w:ascii="隶书" w:hAnsi="隶书" w:eastAsia="隶书" w:cs="隶书"/>
        <w:sz w:val="24"/>
        <w:szCs w:val="24"/>
      </w:rPr>
    </w:pPr>
    <w:r>
      <w:rPr>
        <w:rFonts w:hint="eastAsia" w:ascii="隶书" w:hAnsi="隶书" w:eastAsia="隶书" w:cs="隶书"/>
        <w:sz w:val="24"/>
        <w:szCs w:val="24"/>
      </w:rPr>
      <w:t>2023-024W招标文件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rPr>
      <w:t>2023-024W</w:t>
    </w:r>
    <w:r>
      <w:rPr>
        <w:rFonts w:hint="eastAsia" w:ascii="Times New Roman" w:hAnsi="隶书" w:eastAsia="隶书" w:cs="隶书"/>
        <w:color w:val="000000"/>
        <w:spacing w:val="40"/>
        <w:kern w:val="2"/>
        <w:sz w:val="21"/>
      </w:rPr>
      <w:t>招标文件</w:t>
    </w:r>
  </w:p>
  <w:p>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2022-024W招标文件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85"/>
      <w:lvlText w:val="附录%1."/>
      <w:lvlJc w:val="left"/>
      <w:pPr>
        <w:tabs>
          <w:tab w:val="left" w:pos="907"/>
        </w:tabs>
        <w:ind w:left="907" w:hanging="907"/>
        <w:textAlignment w:val="baseline"/>
      </w:pPr>
    </w:lvl>
  </w:abstractNum>
  <w:abstractNum w:abstractNumId="1">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2D917819"/>
    <w:multiLevelType w:val="singleLevel"/>
    <w:tmpl w:val="2D917819"/>
    <w:lvl w:ilvl="0" w:tentative="0">
      <w:start w:val="10"/>
      <w:numFmt w:val="chineseCounting"/>
      <w:suff w:val="nothing"/>
      <w:lvlText w:val="%1、"/>
      <w:lvlJc w:val="left"/>
      <w:pPr>
        <w:ind w:left="3150"/>
      </w:pPr>
      <w:rPr>
        <w:rFonts w:hint="eastAsia"/>
      </w:rPr>
    </w:lvl>
  </w:abstractNum>
  <w:abstractNum w:abstractNumId="4">
    <w:nsid w:val="420C153B"/>
    <w:multiLevelType w:val="multilevel"/>
    <w:tmpl w:val="420C153B"/>
    <w:lvl w:ilvl="0" w:tentative="0">
      <w:start w:val="1"/>
      <w:numFmt w:val="decimal"/>
      <w:pStyle w:val="13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3"/>
      <w:suff w:val="nothing"/>
      <w:lvlText w:val=""/>
      <w:lvlJc w:val="left"/>
      <w:pPr>
        <w:ind w:left="0" w:firstLine="0"/>
        <w:textAlignment w:val="baseline"/>
      </w:pPr>
    </w:lvl>
    <w:lvl w:ilvl="6" w:tentative="0">
      <w:start w:val="1"/>
      <w:numFmt w:val="decimal"/>
      <w:pStyle w:val="44"/>
      <w:suff w:val="nothing"/>
      <w:lvlText w:val=""/>
      <w:lvlJc w:val="left"/>
      <w:pPr>
        <w:ind w:left="0" w:firstLine="0"/>
        <w:textAlignment w:val="baseline"/>
      </w:pPr>
    </w:lvl>
    <w:lvl w:ilvl="7" w:tentative="0">
      <w:start w:val="1"/>
      <w:numFmt w:val="decimal"/>
      <w:pStyle w:val="45"/>
      <w:suff w:val="nothing"/>
      <w:lvlText w:val=""/>
      <w:lvlJc w:val="left"/>
      <w:pPr>
        <w:ind w:left="0" w:firstLine="0"/>
        <w:textAlignment w:val="baseline"/>
      </w:pPr>
    </w:lvl>
    <w:lvl w:ilvl="8" w:tentative="0">
      <w:start w:val="1"/>
      <w:numFmt w:val="decimal"/>
      <w:pStyle w:val="46"/>
      <w:suff w:val="nothing"/>
      <w:lvlText w:val=""/>
      <w:lvlJc w:val="left"/>
      <w:pPr>
        <w:ind w:left="0" w:firstLine="0"/>
        <w:textAlignment w:val="baseline"/>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NjlhNDUwYmY4Yzk5NTExM2UwMzQ4MzAyNTdmZDYifQ=="/>
  </w:docVars>
  <w:rsids>
    <w:rsidRoot w:val="00F868A9"/>
    <w:rsid w:val="00003AB4"/>
    <w:rsid w:val="00045760"/>
    <w:rsid w:val="000570EF"/>
    <w:rsid w:val="0007632E"/>
    <w:rsid w:val="00091821"/>
    <w:rsid w:val="000B38C7"/>
    <w:rsid w:val="000E2680"/>
    <w:rsid w:val="0011280D"/>
    <w:rsid w:val="00131057"/>
    <w:rsid w:val="001726A6"/>
    <w:rsid w:val="00177C98"/>
    <w:rsid w:val="001925C5"/>
    <w:rsid w:val="001A2403"/>
    <w:rsid w:val="001D5807"/>
    <w:rsid w:val="00217C7C"/>
    <w:rsid w:val="00223C79"/>
    <w:rsid w:val="00233923"/>
    <w:rsid w:val="00241131"/>
    <w:rsid w:val="002745BB"/>
    <w:rsid w:val="00275521"/>
    <w:rsid w:val="002800DE"/>
    <w:rsid w:val="002931A2"/>
    <w:rsid w:val="002A07A1"/>
    <w:rsid w:val="002C41D3"/>
    <w:rsid w:val="003118E6"/>
    <w:rsid w:val="003220F7"/>
    <w:rsid w:val="00325BAB"/>
    <w:rsid w:val="0033044B"/>
    <w:rsid w:val="003367B6"/>
    <w:rsid w:val="00360929"/>
    <w:rsid w:val="003A223F"/>
    <w:rsid w:val="003A63FB"/>
    <w:rsid w:val="003A7ED9"/>
    <w:rsid w:val="003C4320"/>
    <w:rsid w:val="003D4620"/>
    <w:rsid w:val="00410119"/>
    <w:rsid w:val="004112BF"/>
    <w:rsid w:val="00426342"/>
    <w:rsid w:val="004269CB"/>
    <w:rsid w:val="004521C1"/>
    <w:rsid w:val="004558DC"/>
    <w:rsid w:val="00467A1B"/>
    <w:rsid w:val="00472EDC"/>
    <w:rsid w:val="00475E78"/>
    <w:rsid w:val="004772F8"/>
    <w:rsid w:val="004A24CE"/>
    <w:rsid w:val="004C48B9"/>
    <w:rsid w:val="004D0D5A"/>
    <w:rsid w:val="004D2539"/>
    <w:rsid w:val="004D2FC9"/>
    <w:rsid w:val="004D573F"/>
    <w:rsid w:val="004E2324"/>
    <w:rsid w:val="004F3B21"/>
    <w:rsid w:val="005277A9"/>
    <w:rsid w:val="005352A8"/>
    <w:rsid w:val="00544757"/>
    <w:rsid w:val="005B06C2"/>
    <w:rsid w:val="005B2CFB"/>
    <w:rsid w:val="005F3329"/>
    <w:rsid w:val="00606780"/>
    <w:rsid w:val="00623144"/>
    <w:rsid w:val="006308FE"/>
    <w:rsid w:val="00637636"/>
    <w:rsid w:val="006B0AC7"/>
    <w:rsid w:val="006C13AB"/>
    <w:rsid w:val="006E3A7B"/>
    <w:rsid w:val="00721560"/>
    <w:rsid w:val="00780C34"/>
    <w:rsid w:val="00782B4B"/>
    <w:rsid w:val="00791354"/>
    <w:rsid w:val="007B3E85"/>
    <w:rsid w:val="0081482D"/>
    <w:rsid w:val="00814D01"/>
    <w:rsid w:val="008307F9"/>
    <w:rsid w:val="00860E15"/>
    <w:rsid w:val="00864D58"/>
    <w:rsid w:val="00891713"/>
    <w:rsid w:val="008C14CD"/>
    <w:rsid w:val="008C29CC"/>
    <w:rsid w:val="008D617C"/>
    <w:rsid w:val="008E3DAB"/>
    <w:rsid w:val="009069A2"/>
    <w:rsid w:val="00913371"/>
    <w:rsid w:val="009343EF"/>
    <w:rsid w:val="0097078B"/>
    <w:rsid w:val="0099206B"/>
    <w:rsid w:val="009C11B1"/>
    <w:rsid w:val="00A1183C"/>
    <w:rsid w:val="00A41EC5"/>
    <w:rsid w:val="00A51F32"/>
    <w:rsid w:val="00A6255B"/>
    <w:rsid w:val="00AA7C70"/>
    <w:rsid w:val="00AE15AF"/>
    <w:rsid w:val="00AE261D"/>
    <w:rsid w:val="00AF2F44"/>
    <w:rsid w:val="00AF368F"/>
    <w:rsid w:val="00AF482F"/>
    <w:rsid w:val="00B357E1"/>
    <w:rsid w:val="00B715BD"/>
    <w:rsid w:val="00B719DD"/>
    <w:rsid w:val="00B8533E"/>
    <w:rsid w:val="00BA7076"/>
    <w:rsid w:val="00BC3E9F"/>
    <w:rsid w:val="00C05334"/>
    <w:rsid w:val="00C157C0"/>
    <w:rsid w:val="00C31CC3"/>
    <w:rsid w:val="00C37A67"/>
    <w:rsid w:val="00C945B7"/>
    <w:rsid w:val="00CB1BB5"/>
    <w:rsid w:val="00CC6812"/>
    <w:rsid w:val="00CC72B1"/>
    <w:rsid w:val="00CD691E"/>
    <w:rsid w:val="00D358BD"/>
    <w:rsid w:val="00D57961"/>
    <w:rsid w:val="00D613B4"/>
    <w:rsid w:val="00D676B7"/>
    <w:rsid w:val="00D71667"/>
    <w:rsid w:val="00D7365D"/>
    <w:rsid w:val="00D75F94"/>
    <w:rsid w:val="00DD536A"/>
    <w:rsid w:val="00DE7A25"/>
    <w:rsid w:val="00DF61E5"/>
    <w:rsid w:val="00E0626D"/>
    <w:rsid w:val="00E124F9"/>
    <w:rsid w:val="00E4006C"/>
    <w:rsid w:val="00E675DD"/>
    <w:rsid w:val="00E742E3"/>
    <w:rsid w:val="00E918E1"/>
    <w:rsid w:val="00E9328D"/>
    <w:rsid w:val="00EA1A99"/>
    <w:rsid w:val="00EA2ECC"/>
    <w:rsid w:val="00EC1238"/>
    <w:rsid w:val="00EE1E73"/>
    <w:rsid w:val="00F05A81"/>
    <w:rsid w:val="00F3123B"/>
    <w:rsid w:val="00F5340F"/>
    <w:rsid w:val="00F539A2"/>
    <w:rsid w:val="00F661FE"/>
    <w:rsid w:val="00F66810"/>
    <w:rsid w:val="00F868A9"/>
    <w:rsid w:val="00F944E6"/>
    <w:rsid w:val="00FA774C"/>
    <w:rsid w:val="00FA7AFD"/>
    <w:rsid w:val="00FD0CEF"/>
    <w:rsid w:val="00FE6BDE"/>
    <w:rsid w:val="00FF1275"/>
    <w:rsid w:val="00FF194A"/>
    <w:rsid w:val="00FF1E0C"/>
    <w:rsid w:val="01A15B08"/>
    <w:rsid w:val="01AF4254"/>
    <w:rsid w:val="020866C9"/>
    <w:rsid w:val="02094A42"/>
    <w:rsid w:val="031F6792"/>
    <w:rsid w:val="048A02DF"/>
    <w:rsid w:val="05E53B14"/>
    <w:rsid w:val="06AA3A95"/>
    <w:rsid w:val="077C4CBC"/>
    <w:rsid w:val="08677D62"/>
    <w:rsid w:val="08FC324B"/>
    <w:rsid w:val="0AE41970"/>
    <w:rsid w:val="0BA17C72"/>
    <w:rsid w:val="0D7B4325"/>
    <w:rsid w:val="0E261538"/>
    <w:rsid w:val="0F5541A7"/>
    <w:rsid w:val="10837167"/>
    <w:rsid w:val="11195798"/>
    <w:rsid w:val="11C53F90"/>
    <w:rsid w:val="11F94916"/>
    <w:rsid w:val="12082FD7"/>
    <w:rsid w:val="13165211"/>
    <w:rsid w:val="134F427F"/>
    <w:rsid w:val="1394626A"/>
    <w:rsid w:val="15376E13"/>
    <w:rsid w:val="15EB1115"/>
    <w:rsid w:val="18041C24"/>
    <w:rsid w:val="18AE66DE"/>
    <w:rsid w:val="190453A1"/>
    <w:rsid w:val="19B05279"/>
    <w:rsid w:val="19D21F7E"/>
    <w:rsid w:val="1B2A6182"/>
    <w:rsid w:val="1B336F50"/>
    <w:rsid w:val="1B7B3068"/>
    <w:rsid w:val="1BC2228E"/>
    <w:rsid w:val="1BCB2C50"/>
    <w:rsid w:val="1C4A5552"/>
    <w:rsid w:val="1C7D77A6"/>
    <w:rsid w:val="1C9B22E3"/>
    <w:rsid w:val="1DA73FC9"/>
    <w:rsid w:val="1DEF65CF"/>
    <w:rsid w:val="1E9675D8"/>
    <w:rsid w:val="1EBA0E38"/>
    <w:rsid w:val="1F2B6305"/>
    <w:rsid w:val="20D6799C"/>
    <w:rsid w:val="21F8049E"/>
    <w:rsid w:val="230A6FF9"/>
    <w:rsid w:val="23B833C4"/>
    <w:rsid w:val="24313F27"/>
    <w:rsid w:val="24B6415E"/>
    <w:rsid w:val="25593628"/>
    <w:rsid w:val="2580449D"/>
    <w:rsid w:val="25963607"/>
    <w:rsid w:val="27845BBD"/>
    <w:rsid w:val="27C52CB5"/>
    <w:rsid w:val="27F35805"/>
    <w:rsid w:val="2805529A"/>
    <w:rsid w:val="284E1359"/>
    <w:rsid w:val="28DC1054"/>
    <w:rsid w:val="2C8D1691"/>
    <w:rsid w:val="2D433E79"/>
    <w:rsid w:val="2D65606C"/>
    <w:rsid w:val="2EB102D0"/>
    <w:rsid w:val="2ED17DCD"/>
    <w:rsid w:val="2EFB2475"/>
    <w:rsid w:val="2F1F4980"/>
    <w:rsid w:val="3076600E"/>
    <w:rsid w:val="307F7677"/>
    <w:rsid w:val="31176B77"/>
    <w:rsid w:val="35877A81"/>
    <w:rsid w:val="3744261E"/>
    <w:rsid w:val="3872122D"/>
    <w:rsid w:val="387555EA"/>
    <w:rsid w:val="38CF3E86"/>
    <w:rsid w:val="39755785"/>
    <w:rsid w:val="3A8C4051"/>
    <w:rsid w:val="3B5326F5"/>
    <w:rsid w:val="3BCB58D4"/>
    <w:rsid w:val="3E0024E3"/>
    <w:rsid w:val="3E037FB0"/>
    <w:rsid w:val="3E0554C3"/>
    <w:rsid w:val="3E0702BE"/>
    <w:rsid w:val="3F183ABD"/>
    <w:rsid w:val="4032153F"/>
    <w:rsid w:val="40396E60"/>
    <w:rsid w:val="404E3DFB"/>
    <w:rsid w:val="4142108B"/>
    <w:rsid w:val="41D76922"/>
    <w:rsid w:val="42557B5A"/>
    <w:rsid w:val="461012F9"/>
    <w:rsid w:val="468F36CE"/>
    <w:rsid w:val="472C4FB8"/>
    <w:rsid w:val="477544A9"/>
    <w:rsid w:val="488F2B38"/>
    <w:rsid w:val="4ABE6E0A"/>
    <w:rsid w:val="4AFB3500"/>
    <w:rsid w:val="4CDF4FD7"/>
    <w:rsid w:val="4D2F7C0C"/>
    <w:rsid w:val="4D8959A6"/>
    <w:rsid w:val="4E703810"/>
    <w:rsid w:val="4FC31F86"/>
    <w:rsid w:val="4FEA69E5"/>
    <w:rsid w:val="534665F2"/>
    <w:rsid w:val="53582700"/>
    <w:rsid w:val="53D00760"/>
    <w:rsid w:val="53DB1BAB"/>
    <w:rsid w:val="54C806C5"/>
    <w:rsid w:val="5B570B4A"/>
    <w:rsid w:val="5BE80287"/>
    <w:rsid w:val="5C01420A"/>
    <w:rsid w:val="5C172F4C"/>
    <w:rsid w:val="5C2B17E4"/>
    <w:rsid w:val="5C2B35EA"/>
    <w:rsid w:val="5CAB212A"/>
    <w:rsid w:val="5CCD4DBA"/>
    <w:rsid w:val="5D51151E"/>
    <w:rsid w:val="5E284F41"/>
    <w:rsid w:val="5FE20012"/>
    <w:rsid w:val="60FB0A31"/>
    <w:rsid w:val="61A26709"/>
    <w:rsid w:val="620339A9"/>
    <w:rsid w:val="620E4996"/>
    <w:rsid w:val="622D342E"/>
    <w:rsid w:val="623936FD"/>
    <w:rsid w:val="6303194F"/>
    <w:rsid w:val="63483C8F"/>
    <w:rsid w:val="63E27DDC"/>
    <w:rsid w:val="650125BE"/>
    <w:rsid w:val="67E64767"/>
    <w:rsid w:val="681206DC"/>
    <w:rsid w:val="687674CE"/>
    <w:rsid w:val="689E2536"/>
    <w:rsid w:val="68F024D8"/>
    <w:rsid w:val="68F142E6"/>
    <w:rsid w:val="69142D6C"/>
    <w:rsid w:val="692A771C"/>
    <w:rsid w:val="6A984F03"/>
    <w:rsid w:val="6ADF6879"/>
    <w:rsid w:val="6B08451F"/>
    <w:rsid w:val="6BA77477"/>
    <w:rsid w:val="6BB04F86"/>
    <w:rsid w:val="6D05497A"/>
    <w:rsid w:val="6EB62D31"/>
    <w:rsid w:val="6F370BF8"/>
    <w:rsid w:val="712C0DAB"/>
    <w:rsid w:val="72BA3B44"/>
    <w:rsid w:val="73383726"/>
    <w:rsid w:val="73E906CA"/>
    <w:rsid w:val="74A5063C"/>
    <w:rsid w:val="752F59CE"/>
    <w:rsid w:val="756048F2"/>
    <w:rsid w:val="758F5CF3"/>
    <w:rsid w:val="76BE394D"/>
    <w:rsid w:val="76CB0355"/>
    <w:rsid w:val="76E30B32"/>
    <w:rsid w:val="7710100F"/>
    <w:rsid w:val="797D5EA1"/>
    <w:rsid w:val="7B2D3BB7"/>
    <w:rsid w:val="7B4231CA"/>
    <w:rsid w:val="7B545202"/>
    <w:rsid w:val="7C14555E"/>
    <w:rsid w:val="7E514D2D"/>
    <w:rsid w:val="7E753B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6"/>
    <w:qFormat/>
    <w:uiPriority w:val="1"/>
    <w:pPr>
      <w:spacing w:line="357" w:lineRule="exact"/>
      <w:ind w:left="774"/>
      <w:outlineLvl w:val="2"/>
    </w:pPr>
    <w:rPr>
      <w:b/>
      <w:bCs/>
      <w:sz w:val="28"/>
      <w:szCs w:val="28"/>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6">
    <w:name w:val="Normal Indent"/>
    <w:basedOn w:val="1"/>
    <w:qFormat/>
    <w:uiPriority w:val="0"/>
    <w:pPr>
      <w:ind w:firstLine="420"/>
    </w:pPr>
  </w:style>
  <w:style w:type="paragraph" w:styleId="8">
    <w:name w:val="Body Text"/>
    <w:basedOn w:val="1"/>
    <w:next w:val="1"/>
    <w:qFormat/>
    <w:uiPriority w:val="1"/>
    <w:rPr>
      <w:sz w:val="28"/>
      <w:szCs w:val="28"/>
    </w:rPr>
  </w:style>
  <w:style w:type="paragraph" w:styleId="9">
    <w:name w:val="Body Text Indent"/>
    <w:basedOn w:val="1"/>
    <w:next w:val="10"/>
    <w:qFormat/>
    <w:uiPriority w:val="0"/>
    <w:pPr>
      <w:ind w:firstLine="645"/>
    </w:pPr>
    <w:rPr>
      <w:rFonts w:ascii="楷体_GB2312" w:eastAsia="楷体_GB2312"/>
      <w:sz w:val="32"/>
      <w:szCs w:val="32"/>
    </w:rPr>
  </w:style>
  <w:style w:type="paragraph" w:styleId="10">
    <w:name w:val="envelope return"/>
    <w:basedOn w:val="1"/>
    <w:qFormat/>
    <w:uiPriority w:val="0"/>
    <w:pPr>
      <w:snapToGrid w:val="0"/>
    </w:pPr>
    <w:rPr>
      <w:rFonts w:ascii="Arial" w:hAnsi="Arial"/>
    </w:rPr>
  </w:style>
  <w:style w:type="paragraph" w:styleId="11">
    <w:name w:val="index 4"/>
    <w:basedOn w:val="1"/>
    <w:next w:val="1"/>
    <w:unhideWhenUsed/>
    <w:qFormat/>
    <w:uiPriority w:val="99"/>
    <w:pPr>
      <w:ind w:left="600" w:leftChars="600"/>
    </w:pPr>
    <w:rPr>
      <w:rFonts w:ascii="Verdana" w:hAnsi="Verdana"/>
      <w:szCs w:val="20"/>
    </w:rPr>
  </w:style>
  <w:style w:type="paragraph" w:styleId="12">
    <w:name w:val="Plain Text"/>
    <w:basedOn w:val="1"/>
    <w:qFormat/>
    <w:uiPriority w:val="0"/>
    <w:rPr>
      <w:rFonts w:ascii="宋体" w:hAnsi="Courier New"/>
    </w:rPr>
  </w:style>
  <w:style w:type="paragraph" w:styleId="13">
    <w:name w:val="Date"/>
    <w:basedOn w:val="1"/>
    <w:next w:val="1"/>
    <w:qFormat/>
    <w:uiPriority w:val="0"/>
    <w:rPr>
      <w:sz w:val="24"/>
      <w:szCs w:val="24"/>
    </w:rPr>
  </w:style>
  <w:style w:type="paragraph" w:styleId="14">
    <w:name w:val="Body Text Indent 2"/>
    <w:basedOn w:val="1"/>
    <w:qFormat/>
    <w:uiPriority w:val="0"/>
    <w:pPr>
      <w:ind w:firstLine="560" w:firstLineChars="200"/>
    </w:pPr>
    <w:rPr>
      <w:rFonts w:ascii="宋体" w:hAnsi="宋体" w:cs="Times New Roman"/>
      <w:sz w:val="28"/>
    </w:rPr>
  </w:style>
  <w:style w:type="paragraph" w:styleId="15">
    <w:name w:val="Balloon Text"/>
    <w:basedOn w:val="1"/>
    <w:link w:val="149"/>
    <w:qFormat/>
    <w:uiPriority w:val="0"/>
    <w:rPr>
      <w:sz w:val="18"/>
      <w:szCs w:val="18"/>
    </w:rPr>
  </w:style>
  <w:style w:type="paragraph" w:styleId="16">
    <w:name w:val="footer"/>
    <w:basedOn w:val="1"/>
    <w:link w:val="76"/>
    <w:qFormat/>
    <w:uiPriority w:val="0"/>
    <w:pPr>
      <w:tabs>
        <w:tab w:val="center" w:pos="4153"/>
        <w:tab w:val="right" w:pos="8306"/>
      </w:tabs>
      <w:snapToGrid w:val="0"/>
      <w:jc w:val="left"/>
    </w:pPr>
    <w:rPr>
      <w:sz w:val="18"/>
      <w:szCs w:val="18"/>
    </w:rPr>
  </w:style>
  <w:style w:type="paragraph" w:styleId="17">
    <w:name w:val="header"/>
    <w:basedOn w:val="1"/>
    <w:link w:val="77"/>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Normal (Web)"/>
    <w:basedOn w:val="1"/>
    <w:qFormat/>
    <w:uiPriority w:val="99"/>
    <w:pPr>
      <w:spacing w:before="100" w:beforeAutospacing="1" w:after="100" w:afterAutospacing="1"/>
      <w:jc w:val="left"/>
    </w:pPr>
    <w:rPr>
      <w:rFonts w:ascii="宋体" w:hAnsi="宋体" w:cs="宋体"/>
      <w:kern w:val="0"/>
      <w:sz w:val="24"/>
    </w:rPr>
  </w:style>
  <w:style w:type="paragraph" w:styleId="20">
    <w:name w:val="Body Text First Indent"/>
    <w:basedOn w:val="8"/>
    <w:qFormat/>
    <w:uiPriority w:val="99"/>
    <w:pPr>
      <w:ind w:firstLine="420" w:firstLineChars="100"/>
    </w:pPr>
  </w:style>
  <w:style w:type="paragraph" w:styleId="21">
    <w:name w:val="Body Text First Indent 2"/>
    <w:basedOn w:val="9"/>
    <w:next w:val="8"/>
    <w:qFormat/>
    <w:uiPriority w:val="0"/>
    <w:pPr>
      <w:spacing w:line="360" w:lineRule="auto"/>
      <w:ind w:firstLine="420" w:firstLineChars="200"/>
    </w:pPr>
    <w:rPr>
      <w:rFonts w:ascii="宋体" w:hAnsi="宋体" w:eastAsia="宋体"/>
      <w:sz w:val="21"/>
      <w:szCs w:val="20"/>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paragraph" w:customStyle="1" w:styleId="30">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BlockQuote"/>
    <w:basedOn w:val="1"/>
    <w:qFormat/>
    <w:uiPriority w:val="0"/>
    <w:pPr>
      <w:spacing w:after="120"/>
      <w:ind w:left="1440" w:leftChars="700" w:right="1440" w:rightChars="700"/>
    </w:pPr>
  </w:style>
  <w:style w:type="paragraph" w:customStyle="1" w:styleId="33">
    <w:name w:val="一级条标题"/>
    <w:basedOn w:val="34"/>
    <w:next w:val="3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5">
    <w:name w:val="段"/>
    <w:next w:val="36"/>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6">
    <w:name w:val="正文 A"/>
    <w:next w:val="35"/>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7">
    <w:name w:val="Heading1"/>
    <w:basedOn w:val="1"/>
    <w:next w:val="1"/>
    <w:link w:val="65"/>
    <w:qFormat/>
    <w:uiPriority w:val="0"/>
    <w:pPr>
      <w:keepNext/>
      <w:jc w:val="center"/>
    </w:pPr>
    <w:rPr>
      <w:rFonts w:ascii="楷体_GB2312" w:eastAsia="楷体_GB2312"/>
      <w:sz w:val="28"/>
      <w:szCs w:val="28"/>
    </w:rPr>
  </w:style>
  <w:style w:type="paragraph" w:customStyle="1" w:styleId="38">
    <w:name w:val="Heading2"/>
    <w:basedOn w:val="1"/>
    <w:next w:val="39"/>
    <w:qFormat/>
    <w:uiPriority w:val="0"/>
    <w:pPr>
      <w:keepNext/>
      <w:keepLines/>
      <w:spacing w:before="260" w:after="260" w:line="416" w:lineRule="auto"/>
      <w:jc w:val="center"/>
    </w:pPr>
    <w:rPr>
      <w:rFonts w:ascii="Arial" w:hAnsi="Arial" w:eastAsia="幼圆" w:cs="Arial"/>
      <w:b/>
      <w:bCs/>
      <w:sz w:val="44"/>
      <w:szCs w:val="44"/>
    </w:rPr>
  </w:style>
  <w:style w:type="paragraph" w:customStyle="1" w:styleId="39">
    <w:name w:val="NormalIndent"/>
    <w:basedOn w:val="1"/>
    <w:link w:val="67"/>
    <w:qFormat/>
    <w:uiPriority w:val="0"/>
    <w:pPr>
      <w:ind w:firstLine="420"/>
    </w:pPr>
  </w:style>
  <w:style w:type="paragraph" w:customStyle="1" w:styleId="40">
    <w:name w:val="Heading3"/>
    <w:basedOn w:val="1"/>
    <w:next w:val="39"/>
    <w:link w:val="68"/>
    <w:qFormat/>
    <w:uiPriority w:val="0"/>
    <w:pPr>
      <w:keepNext/>
      <w:keepLines/>
      <w:spacing w:before="260" w:after="260" w:line="416" w:lineRule="auto"/>
    </w:pPr>
    <w:rPr>
      <w:rFonts w:cs="Times New Roman"/>
      <w:b/>
      <w:bCs/>
      <w:sz w:val="32"/>
      <w:szCs w:val="32"/>
    </w:rPr>
  </w:style>
  <w:style w:type="paragraph" w:customStyle="1" w:styleId="41">
    <w:name w:val="Heading4"/>
    <w:basedOn w:val="1"/>
    <w:next w:val="39"/>
    <w:link w:val="69"/>
    <w:qFormat/>
    <w:uiPriority w:val="0"/>
    <w:pPr>
      <w:keepNext/>
      <w:keepLines/>
      <w:spacing w:before="280" w:after="290" w:line="376" w:lineRule="auto"/>
    </w:pPr>
    <w:rPr>
      <w:rFonts w:ascii="Cambria" w:hAnsi="Cambria"/>
      <w:b/>
      <w:sz w:val="28"/>
      <w:szCs w:val="28"/>
    </w:rPr>
  </w:style>
  <w:style w:type="paragraph" w:customStyle="1" w:styleId="42">
    <w:name w:val="Heading5"/>
    <w:basedOn w:val="1"/>
    <w:next w:val="1"/>
    <w:qFormat/>
    <w:uiPriority w:val="0"/>
    <w:pPr>
      <w:keepNext/>
    </w:pPr>
    <w:rPr>
      <w:rFonts w:ascii="宋体"/>
      <w:color w:val="000000"/>
      <w:kern w:val="0"/>
      <w:sz w:val="28"/>
      <w:szCs w:val="28"/>
    </w:rPr>
  </w:style>
  <w:style w:type="paragraph" w:customStyle="1" w:styleId="43">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4">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5">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6">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7">
    <w:name w:val="NormalCharacter"/>
    <w:semiHidden/>
    <w:qFormat/>
    <w:uiPriority w:val="0"/>
  </w:style>
  <w:style w:type="table" w:customStyle="1" w:styleId="48">
    <w:name w:val="TableNormal"/>
    <w:semiHidden/>
    <w:qFormat/>
    <w:uiPriority w:val="0"/>
    <w:tblPr>
      <w:tblCellMar>
        <w:top w:w="0" w:type="dxa"/>
        <w:left w:w="0" w:type="dxa"/>
        <w:bottom w:w="0" w:type="dxa"/>
        <w:right w:w="0" w:type="dxa"/>
      </w:tblCellMar>
    </w:tblPr>
  </w:style>
  <w:style w:type="character" w:customStyle="1" w:styleId="49">
    <w:name w:val="htmlSamp"/>
    <w:qFormat/>
    <w:uiPriority w:val="0"/>
    <w:rPr>
      <w:rFonts w:ascii="monospace" w:hAnsi="monospace" w:eastAsia="monospace"/>
    </w:rPr>
  </w:style>
  <w:style w:type="character" w:customStyle="1" w:styleId="50">
    <w:name w:val="PageNumber"/>
    <w:basedOn w:val="47"/>
    <w:qFormat/>
    <w:uiPriority w:val="0"/>
  </w:style>
  <w:style w:type="character" w:customStyle="1" w:styleId="51">
    <w:name w:val="HtmlVar"/>
    <w:qFormat/>
    <w:uiPriority w:val="0"/>
  </w:style>
  <w:style w:type="character" w:customStyle="1" w:styleId="52">
    <w:name w:val="HtmlKbd"/>
    <w:qFormat/>
    <w:uiPriority w:val="0"/>
    <w:rPr>
      <w:rFonts w:ascii="monospace" w:hAnsi="monospace" w:eastAsia="monospace"/>
      <w:sz w:val="20"/>
    </w:rPr>
  </w:style>
  <w:style w:type="character" w:customStyle="1" w:styleId="53">
    <w:name w:val="HtmlDfn"/>
    <w:qFormat/>
    <w:uiPriority w:val="0"/>
  </w:style>
  <w:style w:type="character" w:customStyle="1" w:styleId="54">
    <w:name w:val="HtmlCite"/>
    <w:qFormat/>
    <w:uiPriority w:val="0"/>
  </w:style>
  <w:style w:type="character" w:customStyle="1" w:styleId="55">
    <w:name w:val="HtmlAcronym"/>
    <w:basedOn w:val="47"/>
    <w:qFormat/>
    <w:uiPriority w:val="0"/>
  </w:style>
  <w:style w:type="character" w:customStyle="1" w:styleId="56">
    <w:name w:val="HtmlTt"/>
    <w:qFormat/>
    <w:uiPriority w:val="0"/>
    <w:rPr>
      <w:rFonts w:ascii="monospace" w:hAnsi="monospace" w:eastAsia="monospace"/>
      <w:sz w:val="20"/>
    </w:rPr>
  </w:style>
  <w:style w:type="character" w:customStyle="1" w:styleId="57">
    <w:name w:val="AnnotationReference"/>
    <w:semiHidden/>
    <w:qFormat/>
    <w:uiPriority w:val="0"/>
    <w:rPr>
      <w:sz w:val="21"/>
      <w:szCs w:val="21"/>
    </w:rPr>
  </w:style>
  <w:style w:type="character" w:customStyle="1" w:styleId="58">
    <w:name w:val="HtmlCode"/>
    <w:qFormat/>
    <w:uiPriority w:val="0"/>
    <w:rPr>
      <w:rFonts w:ascii="monospace" w:hAnsi="monospace" w:eastAsia="monospace"/>
      <w:sz w:val="20"/>
    </w:rPr>
  </w:style>
  <w:style w:type="character" w:customStyle="1" w:styleId="59">
    <w:name w:val="UserStyle_0"/>
    <w:link w:val="60"/>
    <w:qFormat/>
    <w:locked/>
    <w:uiPriority w:val="0"/>
    <w:rPr>
      <w:rFonts w:ascii="Calibri" w:hAnsi="Calibri"/>
      <w:sz w:val="24"/>
      <w:szCs w:val="24"/>
      <w:lang w:eastAsia="en-US" w:bidi="en-US"/>
    </w:rPr>
  </w:style>
  <w:style w:type="paragraph" w:customStyle="1" w:styleId="60">
    <w:name w:val="UserStyle_1"/>
    <w:basedOn w:val="1"/>
    <w:link w:val="59"/>
    <w:qFormat/>
    <w:uiPriority w:val="0"/>
    <w:pPr>
      <w:ind w:left="720"/>
      <w:contextualSpacing/>
      <w:jc w:val="left"/>
    </w:pPr>
    <w:rPr>
      <w:kern w:val="0"/>
      <w:sz w:val="24"/>
      <w:szCs w:val="24"/>
      <w:lang w:eastAsia="en-US" w:bidi="en-US"/>
    </w:rPr>
  </w:style>
  <w:style w:type="character" w:customStyle="1" w:styleId="61">
    <w:name w:val="UserStyle_2"/>
    <w:basedOn w:val="47"/>
    <w:qFormat/>
    <w:uiPriority w:val="0"/>
  </w:style>
  <w:style w:type="character" w:customStyle="1" w:styleId="62">
    <w:name w:val="UserStyle_3"/>
    <w:basedOn w:val="47"/>
    <w:qFormat/>
    <w:uiPriority w:val="0"/>
  </w:style>
  <w:style w:type="character" w:customStyle="1" w:styleId="63">
    <w:name w:val="UserStyle_4"/>
    <w:link w:val="64"/>
    <w:qFormat/>
    <w:uiPriority w:val="0"/>
    <w:rPr>
      <w:rFonts w:eastAsia="宋体"/>
      <w:kern w:val="2"/>
      <w:sz w:val="21"/>
      <w:szCs w:val="21"/>
      <w:lang w:val="en-US" w:eastAsia="zh-CN" w:bidi="ar-SA"/>
    </w:rPr>
  </w:style>
  <w:style w:type="paragraph" w:customStyle="1" w:styleId="64">
    <w:name w:val="NavPane"/>
    <w:basedOn w:val="1"/>
    <w:link w:val="63"/>
    <w:semiHidden/>
    <w:qFormat/>
    <w:uiPriority w:val="0"/>
    <w:pPr>
      <w:shd w:val="clear" w:color="auto" w:fill="000080"/>
    </w:pPr>
  </w:style>
  <w:style w:type="character" w:customStyle="1" w:styleId="65">
    <w:name w:val="UserStyle_5"/>
    <w:link w:val="37"/>
    <w:qFormat/>
    <w:uiPriority w:val="0"/>
    <w:rPr>
      <w:rFonts w:ascii="楷体_GB2312" w:eastAsia="楷体_GB2312"/>
      <w:kern w:val="2"/>
      <w:sz w:val="28"/>
      <w:szCs w:val="28"/>
    </w:rPr>
  </w:style>
  <w:style w:type="character" w:customStyle="1" w:styleId="66">
    <w:name w:val="UserStyle_6"/>
    <w:qFormat/>
    <w:uiPriority w:val="0"/>
    <w:rPr>
      <w:color w:val="999999"/>
    </w:rPr>
  </w:style>
  <w:style w:type="character" w:customStyle="1" w:styleId="67">
    <w:name w:val="UserStyle_7"/>
    <w:link w:val="39"/>
    <w:qFormat/>
    <w:uiPriority w:val="0"/>
    <w:rPr>
      <w:kern w:val="2"/>
      <w:sz w:val="21"/>
      <w:szCs w:val="21"/>
    </w:rPr>
  </w:style>
  <w:style w:type="character" w:customStyle="1" w:styleId="68">
    <w:name w:val="UserStyle_8"/>
    <w:link w:val="40"/>
    <w:qFormat/>
    <w:uiPriority w:val="0"/>
    <w:rPr>
      <w:rFonts w:eastAsia="宋体" w:cs="Times New Roman"/>
      <w:b/>
      <w:bCs/>
      <w:kern w:val="2"/>
      <w:sz w:val="32"/>
      <w:szCs w:val="32"/>
      <w:lang w:val="en-US" w:eastAsia="zh-CN" w:bidi="ar-SA"/>
    </w:rPr>
  </w:style>
  <w:style w:type="character" w:customStyle="1" w:styleId="69">
    <w:name w:val="UserStyle_9"/>
    <w:link w:val="41"/>
    <w:qFormat/>
    <w:uiPriority w:val="0"/>
    <w:rPr>
      <w:rFonts w:ascii="Cambria" w:hAnsi="Cambria" w:eastAsia="宋体"/>
      <w:b/>
      <w:kern w:val="2"/>
      <w:sz w:val="28"/>
      <w:szCs w:val="28"/>
    </w:rPr>
  </w:style>
  <w:style w:type="character" w:customStyle="1" w:styleId="70">
    <w:name w:val="UserStyle_10"/>
    <w:link w:val="71"/>
    <w:semiHidden/>
    <w:qFormat/>
    <w:uiPriority w:val="0"/>
    <w:rPr>
      <w:kern w:val="2"/>
      <w:sz w:val="21"/>
      <w:szCs w:val="21"/>
    </w:rPr>
  </w:style>
  <w:style w:type="paragraph" w:customStyle="1" w:styleId="71">
    <w:name w:val="AnnotationText"/>
    <w:basedOn w:val="1"/>
    <w:link w:val="70"/>
    <w:semiHidden/>
    <w:qFormat/>
    <w:uiPriority w:val="0"/>
    <w:pPr>
      <w:jc w:val="left"/>
    </w:pPr>
  </w:style>
  <w:style w:type="character" w:customStyle="1" w:styleId="72">
    <w:name w:val="UserStyle_11"/>
    <w:link w:val="73"/>
    <w:qFormat/>
    <w:uiPriority w:val="0"/>
    <w:rPr>
      <w:rFonts w:ascii="宋体" w:hAnsi="Courier New"/>
      <w:kern w:val="2"/>
      <w:sz w:val="21"/>
      <w:szCs w:val="21"/>
    </w:rPr>
  </w:style>
  <w:style w:type="paragraph" w:customStyle="1" w:styleId="73">
    <w:name w:val="PlainText"/>
    <w:basedOn w:val="1"/>
    <w:link w:val="72"/>
    <w:qFormat/>
    <w:uiPriority w:val="0"/>
    <w:rPr>
      <w:rFonts w:ascii="宋体" w:hAnsi="Courier New"/>
    </w:rPr>
  </w:style>
  <w:style w:type="character" w:customStyle="1" w:styleId="74">
    <w:name w:val="UserStyle_12"/>
    <w:link w:val="75"/>
    <w:semiHidden/>
    <w:qFormat/>
    <w:uiPriority w:val="0"/>
    <w:rPr>
      <w:kern w:val="2"/>
      <w:sz w:val="18"/>
      <w:szCs w:val="18"/>
    </w:rPr>
  </w:style>
  <w:style w:type="paragraph" w:customStyle="1" w:styleId="75">
    <w:name w:val="Acetate"/>
    <w:basedOn w:val="1"/>
    <w:link w:val="74"/>
    <w:semiHidden/>
    <w:qFormat/>
    <w:uiPriority w:val="0"/>
    <w:rPr>
      <w:sz w:val="18"/>
      <w:szCs w:val="18"/>
    </w:rPr>
  </w:style>
  <w:style w:type="character" w:customStyle="1" w:styleId="76">
    <w:name w:val="页脚 Char"/>
    <w:link w:val="16"/>
    <w:qFormat/>
    <w:uiPriority w:val="0"/>
    <w:rPr>
      <w:kern w:val="2"/>
      <w:sz w:val="18"/>
      <w:szCs w:val="18"/>
    </w:rPr>
  </w:style>
  <w:style w:type="character" w:customStyle="1" w:styleId="77">
    <w:name w:val="页眉 Char"/>
    <w:link w:val="17"/>
    <w:qFormat/>
    <w:uiPriority w:val="0"/>
    <w:rPr>
      <w:kern w:val="2"/>
      <w:sz w:val="18"/>
      <w:szCs w:val="18"/>
    </w:rPr>
  </w:style>
  <w:style w:type="character" w:customStyle="1" w:styleId="78">
    <w:name w:val="UserStyle_15"/>
    <w:qFormat/>
    <w:uiPriority w:val="0"/>
    <w:rPr>
      <w:rFonts w:ascii="宋体" w:hAnsi="宋体" w:eastAsia="宋体"/>
      <w:sz w:val="28"/>
      <w:szCs w:val="28"/>
      <w:lang w:val="en-US" w:eastAsia="zh-CN" w:bidi="ar-SA"/>
    </w:rPr>
  </w:style>
  <w:style w:type="character" w:customStyle="1" w:styleId="79">
    <w:name w:val="UserStyle_16"/>
    <w:basedOn w:val="47"/>
    <w:qFormat/>
    <w:uiPriority w:val="0"/>
    <w:rPr>
      <w:rFonts w:ascii="宋体" w:hAnsi="宋体" w:eastAsia="宋体"/>
      <w:color w:val="000000"/>
      <w:sz w:val="22"/>
      <w:szCs w:val="22"/>
    </w:rPr>
  </w:style>
  <w:style w:type="character" w:customStyle="1" w:styleId="80">
    <w:name w:val="UserStyle_17"/>
    <w:qFormat/>
    <w:uiPriority w:val="0"/>
    <w:rPr>
      <w:shd w:val="clear" w:color="auto" w:fill="EEEEEE"/>
    </w:rPr>
  </w:style>
  <w:style w:type="character" w:customStyle="1" w:styleId="81">
    <w:name w:val="UserStyle_18"/>
    <w:link w:val="82"/>
    <w:qFormat/>
    <w:uiPriority w:val="0"/>
    <w:rPr>
      <w:rFonts w:ascii="Tahoma" w:hAnsi="Tahoma" w:eastAsia="宋体"/>
      <w:kern w:val="2"/>
      <w:sz w:val="24"/>
      <w:szCs w:val="24"/>
      <w:lang w:val="en-US" w:eastAsia="zh-CN" w:bidi="ar-SA"/>
    </w:rPr>
  </w:style>
  <w:style w:type="paragraph" w:customStyle="1" w:styleId="82">
    <w:name w:val="UserStyle_19"/>
    <w:basedOn w:val="64"/>
    <w:link w:val="81"/>
    <w:qFormat/>
    <w:uiPriority w:val="0"/>
    <w:pPr>
      <w:snapToGrid w:val="0"/>
      <w:spacing w:line="360" w:lineRule="auto"/>
    </w:pPr>
    <w:rPr>
      <w:rFonts w:ascii="Tahoma" w:hAnsi="Tahoma"/>
      <w:sz w:val="24"/>
      <w:szCs w:val="24"/>
    </w:rPr>
  </w:style>
  <w:style w:type="character" w:customStyle="1" w:styleId="83">
    <w:name w:val="UserStyle_20"/>
    <w:qFormat/>
    <w:uiPriority w:val="0"/>
    <w:rPr>
      <w:rFonts w:eastAsia="宋体"/>
      <w:b/>
      <w:spacing w:val="-2"/>
      <w:sz w:val="24"/>
      <w:lang w:val="en-US" w:eastAsia="zh-CN" w:bidi="ar-SA"/>
    </w:rPr>
  </w:style>
  <w:style w:type="character" w:customStyle="1" w:styleId="84">
    <w:name w:val="UserStyle_21"/>
    <w:link w:val="85"/>
    <w:qFormat/>
    <w:uiPriority w:val="0"/>
    <w:rPr>
      <w:b/>
      <w:kern w:val="2"/>
      <w:sz w:val="30"/>
      <w:szCs w:val="28"/>
      <w:lang w:val="en-US" w:eastAsia="zh-CN" w:bidi="ar-SA"/>
    </w:rPr>
  </w:style>
  <w:style w:type="paragraph" w:customStyle="1" w:styleId="85">
    <w:name w:val="UserStyle_22"/>
    <w:next w:val="1"/>
    <w:link w:val="84"/>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6">
    <w:name w:val="UserStyle_23"/>
    <w:basedOn w:val="47"/>
    <w:qFormat/>
    <w:uiPriority w:val="0"/>
  </w:style>
  <w:style w:type="paragraph" w:customStyle="1" w:styleId="87">
    <w:name w:val="TOC4"/>
    <w:basedOn w:val="1"/>
    <w:next w:val="1"/>
    <w:semiHidden/>
    <w:qFormat/>
    <w:uiPriority w:val="0"/>
    <w:pPr>
      <w:ind w:left="630"/>
      <w:jc w:val="left"/>
    </w:pPr>
  </w:style>
  <w:style w:type="paragraph" w:customStyle="1" w:styleId="88">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9">
    <w:name w:val="BodyTextIndent2"/>
    <w:basedOn w:val="1"/>
    <w:qFormat/>
    <w:uiPriority w:val="0"/>
    <w:pPr>
      <w:ind w:left="630" w:firstLine="645"/>
    </w:pPr>
    <w:rPr>
      <w:rFonts w:ascii="Arial" w:hAnsi="Arial" w:eastAsia="仿宋_GB2312"/>
      <w:sz w:val="32"/>
      <w:szCs w:val="32"/>
    </w:rPr>
  </w:style>
  <w:style w:type="paragraph" w:customStyle="1" w:styleId="9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1">
    <w:name w:val="EnvelopeReturn"/>
    <w:basedOn w:val="1"/>
    <w:qFormat/>
    <w:uiPriority w:val="0"/>
    <w:pPr>
      <w:snapToGrid w:val="0"/>
    </w:pPr>
    <w:rPr>
      <w:rFonts w:ascii="Arial" w:hAnsi="Arial"/>
    </w:rPr>
  </w:style>
  <w:style w:type="paragraph" w:customStyle="1" w:styleId="92">
    <w:name w:val="BodyTextIndent"/>
    <w:basedOn w:val="1"/>
    <w:next w:val="91"/>
    <w:qFormat/>
    <w:uiPriority w:val="0"/>
    <w:pPr>
      <w:ind w:firstLine="645"/>
    </w:pPr>
    <w:rPr>
      <w:rFonts w:ascii="楷体_GB2312" w:eastAsia="楷体_GB2312"/>
      <w:sz w:val="32"/>
      <w:szCs w:val="32"/>
    </w:rPr>
  </w:style>
  <w:style w:type="paragraph" w:customStyle="1" w:styleId="93">
    <w:name w:val="BodyText3"/>
    <w:basedOn w:val="1"/>
    <w:qFormat/>
    <w:uiPriority w:val="0"/>
    <w:rPr>
      <w:rFonts w:ascii="仿宋_GB2312" w:hAnsi="Arial" w:eastAsia="仿宋_GB2312"/>
      <w:sz w:val="32"/>
      <w:szCs w:val="32"/>
    </w:rPr>
  </w:style>
  <w:style w:type="paragraph" w:customStyle="1" w:styleId="94">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5">
    <w:name w:val="List2"/>
    <w:basedOn w:val="1"/>
    <w:qFormat/>
    <w:uiPriority w:val="0"/>
    <w:pPr>
      <w:ind w:left="100" w:leftChars="200" w:hanging="200" w:hangingChars="200"/>
    </w:pPr>
  </w:style>
  <w:style w:type="paragraph" w:customStyle="1" w:styleId="96">
    <w:name w:val="List3"/>
    <w:basedOn w:val="1"/>
    <w:qFormat/>
    <w:uiPriority w:val="0"/>
    <w:pPr>
      <w:ind w:left="100" w:leftChars="400" w:hanging="200" w:hangingChars="200"/>
    </w:pPr>
  </w:style>
  <w:style w:type="paragraph" w:customStyle="1" w:styleId="97">
    <w:name w:val="Index1"/>
    <w:basedOn w:val="1"/>
    <w:next w:val="1"/>
    <w:semiHidden/>
    <w:qFormat/>
    <w:uiPriority w:val="0"/>
    <w:pPr>
      <w:spacing w:line="240" w:lineRule="atLeast"/>
    </w:pPr>
    <w:rPr>
      <w:rFonts w:cs="Times New Roman"/>
      <w:b/>
      <w:bCs/>
    </w:rPr>
  </w:style>
  <w:style w:type="paragraph" w:customStyle="1" w:styleId="98">
    <w:name w:val="BodyText2"/>
    <w:basedOn w:val="1"/>
    <w:qFormat/>
    <w:uiPriority w:val="0"/>
    <w:pPr>
      <w:jc w:val="center"/>
    </w:pPr>
    <w:rPr>
      <w:rFonts w:ascii="楷体_GB2312" w:eastAsia="楷体_GB2312"/>
      <w:sz w:val="28"/>
      <w:szCs w:val="28"/>
    </w:rPr>
  </w:style>
  <w:style w:type="paragraph" w:customStyle="1" w:styleId="99">
    <w:name w:val="ToCaption"/>
    <w:basedOn w:val="1"/>
    <w:next w:val="1"/>
    <w:semiHidden/>
    <w:qFormat/>
    <w:uiPriority w:val="0"/>
    <w:pPr>
      <w:ind w:left="840" w:hanging="420"/>
    </w:pPr>
  </w:style>
  <w:style w:type="paragraph" w:customStyle="1" w:styleId="100">
    <w:name w:val="BodyTextIndent3"/>
    <w:basedOn w:val="1"/>
    <w:qFormat/>
    <w:uiPriority w:val="0"/>
    <w:pPr>
      <w:ind w:left="645" w:firstLine="645"/>
    </w:pPr>
    <w:rPr>
      <w:rFonts w:ascii="Arial" w:hAnsi="Arial" w:eastAsia="仿宋_GB2312"/>
      <w:color w:val="FFFF00"/>
      <w:sz w:val="32"/>
      <w:szCs w:val="32"/>
    </w:rPr>
  </w:style>
  <w:style w:type="paragraph" w:customStyle="1" w:styleId="101">
    <w:name w:val="TOC6"/>
    <w:basedOn w:val="1"/>
    <w:next w:val="1"/>
    <w:semiHidden/>
    <w:qFormat/>
    <w:uiPriority w:val="0"/>
    <w:pPr>
      <w:ind w:left="1050"/>
      <w:jc w:val="left"/>
    </w:pPr>
  </w:style>
  <w:style w:type="paragraph" w:customStyle="1" w:styleId="102">
    <w:name w:val="BodyText1I2"/>
    <w:basedOn w:val="92"/>
    <w:qFormat/>
    <w:uiPriority w:val="0"/>
    <w:pPr>
      <w:spacing w:line="360" w:lineRule="auto"/>
      <w:ind w:firstLine="420" w:firstLineChars="200"/>
    </w:pPr>
    <w:rPr>
      <w:rFonts w:ascii="宋体" w:hAnsi="宋体" w:eastAsia="宋体"/>
      <w:sz w:val="21"/>
      <w:szCs w:val="20"/>
    </w:rPr>
  </w:style>
  <w:style w:type="paragraph" w:customStyle="1" w:styleId="103">
    <w:name w:val="AnnotationSubject"/>
    <w:basedOn w:val="71"/>
    <w:next w:val="71"/>
    <w:semiHidden/>
    <w:qFormat/>
    <w:uiPriority w:val="0"/>
    <w:rPr>
      <w:rFonts w:cs="Times New Roman"/>
      <w:b/>
      <w:bCs/>
    </w:rPr>
  </w:style>
  <w:style w:type="paragraph" w:customStyle="1" w:styleId="104">
    <w:name w:val="TOC2"/>
    <w:basedOn w:val="1"/>
    <w:next w:val="1"/>
    <w:semiHidden/>
    <w:qFormat/>
    <w:uiPriority w:val="0"/>
    <w:pPr>
      <w:ind w:left="210"/>
      <w:jc w:val="left"/>
    </w:pPr>
    <w:rPr>
      <w:smallCaps/>
      <w:szCs w:val="24"/>
    </w:rPr>
  </w:style>
  <w:style w:type="paragraph" w:customStyle="1" w:styleId="105">
    <w:name w:val="TOC8"/>
    <w:basedOn w:val="1"/>
    <w:next w:val="1"/>
    <w:semiHidden/>
    <w:qFormat/>
    <w:uiPriority w:val="0"/>
    <w:pPr>
      <w:ind w:left="1470"/>
      <w:jc w:val="left"/>
    </w:pPr>
  </w:style>
  <w:style w:type="paragraph" w:customStyle="1" w:styleId="106">
    <w:name w:val="TOC7"/>
    <w:basedOn w:val="1"/>
    <w:next w:val="1"/>
    <w:semiHidden/>
    <w:qFormat/>
    <w:uiPriority w:val="0"/>
    <w:pPr>
      <w:ind w:left="1260"/>
      <w:jc w:val="left"/>
    </w:pPr>
  </w:style>
  <w:style w:type="paragraph" w:customStyle="1" w:styleId="107">
    <w:name w:val="BodyText"/>
    <w:basedOn w:val="1"/>
    <w:qFormat/>
    <w:uiPriority w:val="0"/>
    <w:rPr>
      <w:rFonts w:ascii="楷体_GB2312" w:hAnsi="Arial" w:eastAsia="楷体_GB2312"/>
      <w:sz w:val="28"/>
      <w:szCs w:val="28"/>
    </w:rPr>
  </w:style>
  <w:style w:type="paragraph" w:customStyle="1" w:styleId="108">
    <w:name w:val="TOC9"/>
    <w:basedOn w:val="1"/>
    <w:next w:val="1"/>
    <w:semiHidden/>
    <w:qFormat/>
    <w:uiPriority w:val="0"/>
    <w:pPr>
      <w:ind w:left="1680"/>
      <w:jc w:val="left"/>
    </w:pPr>
  </w:style>
  <w:style w:type="paragraph" w:customStyle="1" w:styleId="109">
    <w:name w:val="TOC3"/>
    <w:basedOn w:val="1"/>
    <w:next w:val="1"/>
    <w:semiHidden/>
    <w:qFormat/>
    <w:uiPriority w:val="0"/>
    <w:pPr>
      <w:ind w:left="420"/>
      <w:jc w:val="left"/>
    </w:pPr>
    <w:rPr>
      <w:i/>
      <w:iCs/>
      <w:szCs w:val="24"/>
    </w:rPr>
  </w:style>
  <w:style w:type="paragraph" w:customStyle="1" w:styleId="110">
    <w:name w:val="TOC5"/>
    <w:basedOn w:val="1"/>
    <w:next w:val="1"/>
    <w:semiHidden/>
    <w:qFormat/>
    <w:uiPriority w:val="0"/>
    <w:pPr>
      <w:ind w:left="840"/>
      <w:jc w:val="left"/>
    </w:pPr>
  </w:style>
  <w:style w:type="paragraph" w:customStyle="1" w:styleId="111">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2">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3">
    <w:name w:val="179"/>
    <w:basedOn w:val="1"/>
    <w:qFormat/>
    <w:uiPriority w:val="0"/>
    <w:pPr>
      <w:ind w:left="720"/>
      <w:contextualSpacing/>
      <w:jc w:val="left"/>
    </w:pPr>
    <w:rPr>
      <w:rFonts w:ascii="Calibri" w:hAnsi="Calibri"/>
      <w:kern w:val="0"/>
      <w:sz w:val="24"/>
      <w:szCs w:val="24"/>
      <w:lang w:eastAsia="en-US" w:bidi="en-US"/>
    </w:rPr>
  </w:style>
  <w:style w:type="paragraph" w:customStyle="1" w:styleId="114">
    <w:name w:val="UserStyle_26"/>
    <w:basedOn w:val="1"/>
    <w:qFormat/>
    <w:uiPriority w:val="0"/>
    <w:pPr>
      <w:tabs>
        <w:tab w:val="left" w:pos="-720"/>
      </w:tabs>
    </w:pPr>
    <w:rPr>
      <w:spacing w:val="-3"/>
      <w:kern w:val="0"/>
      <w:sz w:val="24"/>
      <w:szCs w:val="20"/>
      <w:lang w:val="en-AU" w:eastAsia="en-US"/>
    </w:rPr>
  </w:style>
  <w:style w:type="paragraph" w:customStyle="1" w:styleId="115">
    <w:name w:val="UserStyle_27"/>
    <w:basedOn w:val="1"/>
    <w:next w:val="1"/>
    <w:qFormat/>
    <w:uiPriority w:val="0"/>
    <w:pPr>
      <w:jc w:val="center"/>
    </w:pPr>
    <w:rPr>
      <w:sz w:val="24"/>
    </w:rPr>
  </w:style>
  <w:style w:type="paragraph" w:customStyle="1" w:styleId="116">
    <w:name w:val="UserStyle_28"/>
    <w:basedOn w:val="1"/>
    <w:qFormat/>
    <w:uiPriority w:val="0"/>
    <w:pPr>
      <w:jc w:val="left"/>
    </w:pPr>
    <w:rPr>
      <w:kern w:val="0"/>
      <w:sz w:val="20"/>
      <w:szCs w:val="20"/>
      <w:lang w:val="de-DE" w:eastAsia="de-DE"/>
    </w:rPr>
  </w:style>
  <w:style w:type="paragraph" w:customStyle="1" w:styleId="117">
    <w:name w:val="UserStyle_29"/>
    <w:basedOn w:val="1"/>
    <w:qFormat/>
    <w:uiPriority w:val="0"/>
    <w:pPr>
      <w:tabs>
        <w:tab w:val="left" w:pos="360"/>
      </w:tabs>
      <w:ind w:firstLine="200" w:firstLineChars="200"/>
    </w:pPr>
    <w:rPr>
      <w:sz w:val="28"/>
      <w:szCs w:val="30"/>
    </w:rPr>
  </w:style>
  <w:style w:type="paragraph" w:customStyle="1" w:styleId="118">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9">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1">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3">
    <w:name w:val="UserStyle_35"/>
    <w:basedOn w:val="115"/>
    <w:qFormat/>
    <w:uiPriority w:val="0"/>
    <w:pPr>
      <w:jc w:val="left"/>
    </w:pPr>
  </w:style>
  <w:style w:type="paragraph" w:customStyle="1" w:styleId="124">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6">
    <w:name w:val="UserStyle_38"/>
    <w:basedOn w:val="1"/>
    <w:qFormat/>
    <w:uiPriority w:val="0"/>
    <w:pPr>
      <w:spacing w:before="120"/>
      <w:jc w:val="left"/>
    </w:pPr>
    <w:rPr>
      <w:rFonts w:cs="Times New Roman"/>
      <w:bCs/>
      <w:kern w:val="0"/>
      <w:sz w:val="20"/>
      <w:szCs w:val="20"/>
      <w:lang w:val="de-DE" w:eastAsia="de-DE"/>
    </w:rPr>
  </w:style>
  <w:style w:type="paragraph" w:customStyle="1" w:styleId="127">
    <w:name w:val="UserStyle_39"/>
    <w:basedOn w:val="64"/>
    <w:qFormat/>
    <w:uiPriority w:val="0"/>
    <w:pPr>
      <w:snapToGrid w:val="0"/>
      <w:spacing w:line="360" w:lineRule="auto"/>
    </w:pPr>
    <w:rPr>
      <w:rFonts w:ascii="Tahoma" w:hAnsi="Tahoma"/>
      <w:sz w:val="24"/>
      <w:szCs w:val="24"/>
    </w:rPr>
  </w:style>
  <w:style w:type="paragraph" w:customStyle="1" w:styleId="128">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9">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0">
    <w:name w:val="UserStyle_42"/>
    <w:basedOn w:val="1"/>
    <w:qFormat/>
    <w:uiPriority w:val="0"/>
    <w:pPr>
      <w:snapToGrid w:val="0"/>
      <w:jc w:val="left"/>
    </w:pPr>
    <w:rPr>
      <w:rFonts w:ascii="Arial Unicode MS" w:hAnsi="Arial Unicode MS"/>
      <w:szCs w:val="24"/>
    </w:rPr>
  </w:style>
  <w:style w:type="paragraph" w:customStyle="1" w:styleId="131">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2">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3">
    <w:name w:val="UserStyle_45"/>
    <w:basedOn w:val="64"/>
    <w:qFormat/>
    <w:uiPriority w:val="0"/>
    <w:rPr>
      <w:rFonts w:ascii="Tahoma" w:hAnsi="Tahoma"/>
      <w:sz w:val="24"/>
      <w:szCs w:val="24"/>
    </w:rPr>
  </w:style>
  <w:style w:type="paragraph" w:customStyle="1" w:styleId="134">
    <w:name w:val="UserStyle_46"/>
    <w:basedOn w:val="1"/>
    <w:qFormat/>
    <w:uiPriority w:val="0"/>
    <w:pPr>
      <w:spacing w:line="360" w:lineRule="auto"/>
    </w:pPr>
    <w:rPr>
      <w:kern w:val="0"/>
      <w:sz w:val="24"/>
      <w:szCs w:val="20"/>
    </w:rPr>
  </w:style>
  <w:style w:type="paragraph" w:customStyle="1" w:styleId="135">
    <w:name w:val="UserStyle_47"/>
    <w:basedOn w:val="1"/>
    <w:qFormat/>
    <w:uiPriority w:val="0"/>
    <w:pPr>
      <w:numPr>
        <w:ilvl w:val="0"/>
        <w:numId w:val="3"/>
      </w:numPr>
    </w:pPr>
    <w:rPr>
      <w:rFonts w:ascii="宋体" w:hAnsi="宋体"/>
      <w:kern w:val="0"/>
    </w:rPr>
  </w:style>
  <w:style w:type="paragraph" w:customStyle="1" w:styleId="136">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8">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9">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40">
    <w:name w:val="UserStyle_52"/>
    <w:basedOn w:val="1"/>
    <w:next w:val="100"/>
    <w:qFormat/>
    <w:uiPriority w:val="0"/>
    <w:pPr>
      <w:spacing w:line="360" w:lineRule="auto"/>
      <w:ind w:firstLine="420"/>
    </w:pPr>
    <w:rPr>
      <w:color w:val="FF0000"/>
      <w:sz w:val="24"/>
      <w:szCs w:val="24"/>
    </w:rPr>
  </w:style>
  <w:style w:type="paragraph" w:customStyle="1" w:styleId="141">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2">
    <w:name w:val="UserStyle_54"/>
    <w:basedOn w:val="1"/>
    <w:next w:val="107"/>
    <w:qFormat/>
    <w:uiPriority w:val="0"/>
    <w:pPr>
      <w:spacing w:after="120"/>
    </w:pPr>
    <w:rPr>
      <w:rFonts w:ascii="宋体" w:hAnsi="Arial" w:cs="Times New Roman"/>
      <w:bCs/>
      <w:iCs/>
      <w:szCs w:val="24"/>
    </w:rPr>
  </w:style>
  <w:style w:type="paragraph" w:customStyle="1" w:styleId="143">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4">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5">
    <w:name w:val="TableGrid"/>
    <w:basedOn w:val="48"/>
    <w:qFormat/>
    <w:uiPriority w:val="0"/>
    <w:tblPr>
      <w:tblCellMar>
        <w:top w:w="0" w:type="dxa"/>
        <w:left w:w="0" w:type="dxa"/>
        <w:bottom w:w="0" w:type="dxa"/>
        <w:right w:w="0" w:type="dxa"/>
      </w:tblCellMar>
    </w:tblPr>
  </w:style>
  <w:style w:type="paragraph" w:styleId="146">
    <w:name w:val="List Paragraph"/>
    <w:basedOn w:val="1"/>
    <w:qFormat/>
    <w:uiPriority w:val="34"/>
    <w:pPr>
      <w:ind w:left="720"/>
      <w:contextualSpacing/>
      <w:jc w:val="left"/>
    </w:pPr>
    <w:rPr>
      <w:rFonts w:ascii="Calibri" w:hAnsi="Calibri"/>
      <w:kern w:val="0"/>
      <w:sz w:val="24"/>
      <w:lang w:eastAsia="en-US" w:bidi="en-US"/>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character" w:customStyle="1" w:styleId="149">
    <w:name w:val="批注框文本 Char"/>
    <w:basedOn w:val="24"/>
    <w:link w:val="15"/>
    <w:qFormat/>
    <w:uiPriority w:val="0"/>
    <w:rPr>
      <w:rFonts w:cstheme="minorBidi"/>
      <w:kern w:val="2"/>
      <w:sz w:val="18"/>
      <w:szCs w:val="18"/>
    </w:rPr>
  </w:style>
  <w:style w:type="character" w:customStyle="1" w:styleId="150">
    <w:name w:val="nth-of-type(2)"/>
    <w:basedOn w:val="24"/>
    <w:qFormat/>
    <w:uiPriority w:val="0"/>
  </w:style>
  <w:style w:type="character" w:customStyle="1" w:styleId="151">
    <w:name w:val="nth-of-type(2)1"/>
    <w:basedOn w:val="24"/>
    <w:qFormat/>
    <w:uiPriority w:val="0"/>
  </w:style>
  <w:style w:type="character" w:customStyle="1" w:styleId="152">
    <w:name w:val="nth-of-type(2)2"/>
    <w:basedOn w:val="24"/>
    <w:qFormat/>
    <w:uiPriority w:val="0"/>
  </w:style>
  <w:style w:type="character" w:customStyle="1" w:styleId="153">
    <w:name w:val="nth-of-type(2)3"/>
    <w:basedOn w:val="24"/>
    <w:qFormat/>
    <w:uiPriority w:val="0"/>
  </w:style>
  <w:style w:type="character" w:customStyle="1" w:styleId="154">
    <w:name w:val="nth-of-type(1)"/>
    <w:basedOn w:val="24"/>
    <w:qFormat/>
    <w:uiPriority w:val="0"/>
  </w:style>
  <w:style w:type="character" w:customStyle="1" w:styleId="155">
    <w:name w:val="nth-of-type(1)1"/>
    <w:basedOn w:val="24"/>
    <w:qFormat/>
    <w:uiPriority w:val="0"/>
  </w:style>
  <w:style w:type="character" w:customStyle="1" w:styleId="156">
    <w:name w:val="nth-of-type(1)2"/>
    <w:basedOn w:val="24"/>
    <w:qFormat/>
    <w:uiPriority w:val="0"/>
  </w:style>
  <w:style w:type="character" w:customStyle="1" w:styleId="157">
    <w:name w:val="first-of-type"/>
    <w:basedOn w:val="24"/>
    <w:qFormat/>
    <w:uiPriority w:val="0"/>
  </w:style>
  <w:style w:type="character" w:customStyle="1" w:styleId="158">
    <w:name w:val="first-of-type1"/>
    <w:basedOn w:val="24"/>
    <w:qFormat/>
    <w:uiPriority w:val="0"/>
  </w:style>
  <w:style w:type="character" w:customStyle="1" w:styleId="159">
    <w:name w:val="apple-converted-space"/>
    <w:basedOn w:val="24"/>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qFormat/>
    <w:uiPriority w:val="1"/>
    <w:rPr>
      <w:rFonts w:cs="Times New Roman"/>
      <w:szCs w:val="24"/>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z-窗体顶端1"/>
    <w:basedOn w:val="1"/>
    <w:next w:val="1"/>
    <w:qFormat/>
    <w:uiPriority w:val="0"/>
    <w:pPr>
      <w:pBdr>
        <w:bottom w:val="single" w:color="auto" w:sz="6" w:space="1"/>
      </w:pBdr>
      <w:jc w:val="center"/>
    </w:pPr>
    <w:rPr>
      <w:rFonts w:ascii="Arial"/>
      <w:vanish/>
      <w:sz w:val="16"/>
    </w:rPr>
  </w:style>
  <w:style w:type="paragraph" w:customStyle="1" w:styleId="164">
    <w:name w:val="正文0"/>
    <w:basedOn w:val="1"/>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5">
    <w:name w:val="列出段落1"/>
    <w:basedOn w:val="1"/>
    <w:qFormat/>
    <w:uiPriority w:val="0"/>
    <w:pPr>
      <w:ind w:left="720"/>
      <w:contextualSpacing/>
      <w:jc w:val="left"/>
    </w:pPr>
    <w:rPr>
      <w:rFonts w:ascii="Calibri" w:hAnsi="Calibri"/>
      <w:kern w:val="0"/>
      <w:sz w:val="24"/>
      <w:szCs w:val="24"/>
      <w:lang w:eastAsia="en-US" w:bidi="en-US"/>
    </w:rPr>
  </w:style>
  <w:style w:type="paragraph" w:customStyle="1" w:styleId="166">
    <w:name w:val="Char"/>
    <w:basedOn w:val="1"/>
    <w:qFormat/>
    <w:uiPriority w:val="0"/>
    <w:pPr>
      <w:tabs>
        <w:tab w:val="left" w:pos="360"/>
      </w:tabs>
      <w:ind w:firstLine="200" w:firstLineChars="200"/>
    </w:pPr>
    <w:rPr>
      <w:sz w:val="28"/>
      <w:szCs w:val="30"/>
    </w:rPr>
  </w:style>
  <w:style w:type="paragraph" w:customStyle="1" w:styleId="167">
    <w:name w:val="普通正文"/>
    <w:basedOn w:val="1"/>
    <w:qFormat/>
    <w:uiPriority w:val="0"/>
    <w:pPr>
      <w:adjustRightInd w:val="0"/>
      <w:spacing w:before="120" w:after="120" w:line="360" w:lineRule="auto"/>
      <w:ind w:firstLine="480"/>
      <w:jc w:val="left"/>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ycgy</Company>
  <Pages>48</Pages>
  <Words>19082</Words>
  <Characters>20533</Characters>
  <Lines>172</Lines>
  <Paragraphs>48</Paragraphs>
  <TotalTime>1</TotalTime>
  <ScaleCrop>false</ScaleCrop>
  <LinksUpToDate>false</LinksUpToDate>
  <CharactersWithSpaces>22690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2023-08-24T22:38:00Z</dcterms:created>
  <dc:creator>Administrator</dc:creator>
  <cp:lastModifiedBy>Samsung</cp:lastModifiedBy>
  <cp:lastPrinted>2022-11-29T08:36:00Z</cp:lastPrinted>
  <dcterms:modified xsi:type="dcterms:W3CDTF">2023-08-25T07:17:11Z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313F8752C198458288BC04B3E7103567_13</vt:lpwstr>
  </property>
</Properties>
</file>