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盐城工业职业技术学院铁军文化苑设计施工一体化项目</w:t>
      </w:r>
    </w:p>
    <w:p>
      <w:pPr>
        <w:tabs>
          <w:tab w:val="left" w:pos="900"/>
        </w:tabs>
        <w:spacing w:line="440" w:lineRule="exact"/>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招标公告</w:t>
      </w:r>
    </w:p>
    <w:p>
      <w:pPr>
        <w:tabs>
          <w:tab w:val="left" w:pos="900"/>
        </w:tabs>
        <w:spacing w:line="440" w:lineRule="exact"/>
        <w:ind w:firstLine="480" w:firstLineChars="200"/>
        <w:jc w:val="left"/>
        <w:rPr>
          <w:rFonts w:ascii="楷体" w:hAnsi="楷体" w:eastAsia="楷体" w:cs="楷体"/>
          <w:color w:val="auto"/>
          <w:sz w:val="24"/>
          <w:highlight w:val="none"/>
        </w:rPr>
      </w:pP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根据盐城工业职业技术学院招标采购计划，江苏双清工程造价咨询有限公司受盐城工业职业技术学院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rPr>
        <w:t>铁军文化苑设计施工一体化项目</w:t>
      </w:r>
      <w:r>
        <w:rPr>
          <w:rFonts w:hint="eastAsia" w:ascii="楷体" w:hAnsi="楷体" w:eastAsia="楷体" w:cs="楷体"/>
          <w:color w:val="auto"/>
          <w:sz w:val="24"/>
          <w:highlight w:val="none"/>
        </w:rPr>
        <w:t>进行公开招标，欢迎符合相关条件的合格投标人投标。</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工程名称：盐城工业职业技术学院铁军文化苑设计施工一体化项目</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标书编号：2020-049S</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1、工程地点：盐城工业职业技术学院内（盐城市解放南路285号）。</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2、工期要求：自甲方通知开工之日起</w:t>
      </w:r>
      <w:r>
        <w:rPr>
          <w:rFonts w:hint="eastAsia" w:ascii="楷体" w:hAnsi="楷体" w:eastAsia="楷体" w:cs="楷体"/>
          <w:color w:val="auto"/>
          <w:sz w:val="24"/>
          <w:highlight w:val="none"/>
        </w:rPr>
        <w:t>30日历天</w:t>
      </w:r>
      <w:r>
        <w:rPr>
          <w:rFonts w:hint="eastAsia" w:ascii="楷体" w:hAnsi="楷体" w:eastAsia="楷体" w:cs="楷体"/>
          <w:color w:val="auto"/>
          <w:sz w:val="24"/>
          <w:highlight w:val="none"/>
        </w:rPr>
        <w:t>（包含设计、施工等全过程工期）内全部通过竣工验收合格并交付使用。</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3、质量要求：合同约定的标准、设计图纸、设计文件中的技术数据和技术条件是工程材料设备采购、施工质量及竣工验收质量的依据。所有工程设计、采购和施工及双方约定的其他内容，须达到功能需求。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（1）设计质量标准：所有工程设计须符合现行国家、行业、地方的相关设计规范、标准、规定等要求，确保通过施工图审查（包括各专项审查），设计单位负责施工图送审、对接及配合并按要求进行修改。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（2）施工质量标准：符合现行国家施工及验收规范标准要求，符合国家“合格”标准。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招标范围及标段划分：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5.1设计内容主要包含盐城工业职业技术学院铁军文化苑设计施工一体化项目范围内的方案设计、方案深化设计、施工图设计，主要包括但不限于</w:t>
      </w:r>
      <w:r>
        <w:rPr>
          <w:rFonts w:hint="eastAsia" w:ascii="楷体" w:hAnsi="楷体" w:eastAsia="楷体" w:cs="楷体"/>
          <w:color w:val="auto"/>
          <w:sz w:val="24"/>
          <w:highlight w:val="none"/>
        </w:rPr>
        <w:t>雕塑、</w:t>
      </w:r>
      <w:r>
        <w:rPr>
          <w:rFonts w:hint="eastAsia" w:ascii="楷体" w:hAnsi="楷体" w:eastAsia="楷体" w:cs="楷体"/>
          <w:color w:val="auto"/>
          <w:sz w:val="24"/>
          <w:highlight w:val="none"/>
        </w:rPr>
        <w:t>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5.2施工内容主要包含</w:t>
      </w:r>
      <w:r>
        <w:rPr>
          <w:rFonts w:hint="eastAsia" w:ascii="楷体" w:hAnsi="楷体" w:eastAsia="楷体" w:cs="楷体"/>
          <w:color w:val="auto"/>
          <w:sz w:val="24"/>
          <w:highlight w:val="none"/>
        </w:rPr>
        <w:t>但不限于</w:t>
      </w:r>
      <w:r>
        <w:rPr>
          <w:rFonts w:hint="eastAsia" w:ascii="楷体" w:hAnsi="楷体" w:eastAsia="楷体" w:cs="楷体"/>
          <w:color w:val="auto"/>
          <w:sz w:val="24"/>
          <w:highlight w:val="none"/>
        </w:rPr>
        <w:t>原创业一条街门店内外墙板更换为防火彩钢板、</w:t>
      </w:r>
      <w:r>
        <w:rPr>
          <w:rFonts w:hint="eastAsia" w:ascii="楷体" w:hAnsi="楷体" w:eastAsia="楷体" w:cs="楷体"/>
          <w:color w:val="auto"/>
          <w:sz w:val="24"/>
          <w:highlight w:val="none"/>
        </w:rPr>
        <w:t>雕塑、图片的采集及修复、</w:t>
      </w:r>
      <w:r>
        <w:rPr>
          <w:rFonts w:hint="eastAsia" w:ascii="楷体" w:hAnsi="楷体" w:eastAsia="楷体" w:cs="楷体"/>
          <w:color w:val="auto"/>
          <w:sz w:val="24"/>
          <w:highlight w:val="none"/>
        </w:rPr>
        <w:t>布展（含展品展项、装饰及改造等）、设备部分（包括智能化、电气、给排水、消防、通风、多媒体、声光电等）、软体部分等一切与项目相关的所有施工内容。</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6、工程规模：本项目采用限额设计，最高限价100万元（含暂列资金15万元）。</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1、申请人应同时具备下列1.1项设计资质和1.2项施工资质，并在人员、设备、资金等方面具备相应的工程总承包能力。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1.1投标人须具有建设行政主管部门核发的建筑装饰工程设计专项乙级及以上资质（或有效期内的建筑装饰装修工程设计与施工二级及以上资质或工程设计综合甲级资质），</w:t>
      </w:r>
      <w:r>
        <w:rPr>
          <w:rFonts w:hint="eastAsia" w:ascii="楷体" w:hAnsi="楷体" w:eastAsia="楷体" w:cs="楷体"/>
          <w:color w:val="auto"/>
          <w:sz w:val="24"/>
          <w:highlight w:val="none"/>
        </w:rPr>
        <w:t>同时具有中国展览馆协会颁发的展览陈列工程设计与施工一体化三级及以上资质</w:t>
      </w:r>
      <w:r>
        <w:rPr>
          <w:rFonts w:hint="eastAsia" w:ascii="楷体" w:hAnsi="楷体" w:eastAsia="楷体" w:cs="楷体"/>
          <w:color w:val="auto"/>
          <w:sz w:val="24"/>
          <w:highlight w:val="none"/>
        </w:rPr>
        <w:t>的独立法人；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1.2投标人须具有建设行政主管部门核发的建筑装修装饰工程专业承包二级及以上资质（或有效期内的建筑装饰装修工程设计与施工二级及以上资质）的独立法人，并取得有效的安全生产许可证。</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2、本次招标接受联合体投标。如投标人不同时具备上述1.1项设计资质和1.2项施工资质的，可组成联合体参与本项目投标，组成联合体投标的，须满足以下要求：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2.1联合体最多只能包括1家装饰工程设计企业、1家展览陈列工程设计与施工企业和1家装饰工程施工企业；</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2.2联合体各方应按招标文件提供的格式签订联合体协议书，明确联合体牵头人和各方权利义务；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2.3联合体各成员单位应当具备与联合体协议中约定的分工相适应的资质和能力；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2.4联合体各方不得再以自己名义单独或参加其他联合体在同一标段中投标；</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2.5联合体各方必须指定</w:t>
      </w:r>
      <w:r>
        <w:rPr>
          <w:rFonts w:hint="eastAsia" w:ascii="楷体" w:hAnsi="楷体" w:eastAsia="楷体" w:cs="楷体"/>
          <w:color w:val="auto"/>
          <w:sz w:val="24"/>
          <w:highlight w:val="none"/>
        </w:rPr>
        <w:t>展览陈列工程设计与施工企业</w:t>
      </w:r>
      <w:r>
        <w:rPr>
          <w:rFonts w:hint="eastAsia" w:ascii="楷体" w:hAnsi="楷体" w:eastAsia="楷体" w:cs="楷体"/>
          <w:color w:val="auto"/>
          <w:sz w:val="24"/>
          <w:highlight w:val="none"/>
        </w:rPr>
        <w:t>为联合体牵头人 ，授权其代表所有联合体成员负责投标和合同实施阶段的主办、协调工作；</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2.6联合体投标的，联合体牵头人报名即可，但递交的投标文件须由联合体各方盖章；投标保证金须以联合体中牵头人的名义提交。以联合体中牵头人名义提交的投标保证担保，对联合体各成员具有约束力。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2.7联合体中标后，其成员不得变更。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3、项目负责人资格要求：具有建筑工程专业二级及以上注册建造师资格和安全生产考核合格证（B类），且必须满足下列条件：</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3.1项目负责人不得同时在两个或者两个以上单位受聘或者执业。</w:t>
      </w:r>
    </w:p>
    <w:p>
      <w:pPr>
        <w:snapToGrid w:val="0"/>
        <w:spacing w:line="440" w:lineRule="exact"/>
        <w:ind w:left="479" w:leftChars="228"/>
        <w:jc w:val="left"/>
        <w:rPr>
          <w:rFonts w:ascii="楷体" w:hAnsi="楷体" w:eastAsia="楷体" w:cs="楷体"/>
          <w:color w:val="auto"/>
          <w:sz w:val="24"/>
          <w:highlight w:val="none"/>
        </w:rPr>
      </w:pPr>
      <w:r>
        <w:rPr>
          <w:rFonts w:hint="eastAsia" w:ascii="楷体" w:hAnsi="楷体" w:eastAsia="楷体" w:cs="楷体"/>
          <w:color w:val="auto"/>
          <w:sz w:val="24"/>
          <w:highlight w:val="none"/>
        </w:rPr>
        <w:t>（1）同时在两个及以上单位签订劳动合同或交纳社会保险；</w:t>
      </w:r>
      <w:r>
        <w:rPr>
          <w:rFonts w:hint="eastAsia" w:ascii="楷体" w:hAnsi="楷体" w:eastAsia="楷体" w:cs="楷体"/>
          <w:color w:val="auto"/>
          <w:sz w:val="24"/>
          <w:highlight w:val="none"/>
        </w:rPr>
        <w:br w:type="textWrapping"/>
      </w:r>
      <w:r>
        <w:rPr>
          <w:rFonts w:hint="eastAsia" w:ascii="楷体" w:hAnsi="楷体" w:eastAsia="楷体" w:cs="楷体"/>
          <w:color w:val="auto"/>
          <w:sz w:val="24"/>
          <w:highlight w:val="none"/>
        </w:rPr>
        <w:t>（2）将本人执（职）业资格证书同时注册在两个及以上单位；</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（3）担任其他公司法定代表人。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3.2项目负责人不得同时在两个或者两个以上工程项目上任职。</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3.3项目负责人无行贿犯罪行为记录；或有行贿犯罪行为记录，但自记录之日起已超过5年的。</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3.4项目负责人投标截止时不得同时在其他建设工程项目中担任现场管理人员、不在本项目兼任本项目的其它岗位。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5、信誉要求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2019年11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2" w:firstLineChars="200"/>
        <w:jc w:val="left"/>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spacing w:line="440" w:lineRule="exact"/>
        <w:ind w:firstLine="482" w:firstLineChars="200"/>
        <w:jc w:val="left"/>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rPr>
        <w:t>综合评估法</w:t>
      </w:r>
      <w:r>
        <w:rPr>
          <w:rFonts w:hint="eastAsia" w:ascii="楷体" w:hAnsi="楷体" w:eastAsia="楷体" w:cs="楷体"/>
          <w:color w:val="auto"/>
          <w:sz w:val="24"/>
          <w:highlight w:val="none"/>
        </w:rPr>
        <w:t>，具体详见招标文件正文。</w:t>
      </w:r>
    </w:p>
    <w:p>
      <w:pPr>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2020年10月</w:t>
      </w:r>
      <w:r>
        <w:rPr>
          <w:rFonts w:hint="eastAsia" w:ascii="楷体" w:hAnsi="楷体" w:eastAsia="楷体" w:cs="楷体"/>
          <w:bCs/>
          <w:color w:val="auto"/>
          <w:sz w:val="24"/>
          <w:highlight w:val="none"/>
          <w:u w:val="single"/>
          <w:lang w:val="en-US" w:eastAsia="zh-CN"/>
        </w:rPr>
        <w:t>27</w:t>
      </w:r>
      <w:r>
        <w:rPr>
          <w:rFonts w:hint="eastAsia" w:ascii="楷体" w:hAnsi="楷体" w:eastAsia="楷体" w:cs="楷体"/>
          <w:bCs/>
          <w:color w:val="auto"/>
          <w:sz w:val="24"/>
          <w:highlight w:val="none"/>
          <w:u w:val="single"/>
        </w:rPr>
        <w:t>日至2020年1</w:t>
      </w:r>
      <w:r>
        <w:rPr>
          <w:rFonts w:hint="eastAsia" w:ascii="楷体" w:hAnsi="楷体" w:eastAsia="楷体" w:cs="楷体"/>
          <w:bCs/>
          <w:color w:val="auto"/>
          <w:sz w:val="24"/>
          <w:highlight w:val="none"/>
          <w:u w:val="single"/>
          <w:lang w:val="en-US" w:eastAsia="zh-CN"/>
        </w:rPr>
        <w:t>1</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3</w:t>
      </w:r>
      <w:r>
        <w:rPr>
          <w:rFonts w:hint="eastAsia" w:ascii="楷体" w:hAnsi="楷体" w:eastAsia="楷体" w:cs="楷体"/>
          <w:bCs/>
          <w:color w:val="auto"/>
          <w:sz w:val="24"/>
          <w:highlight w:val="none"/>
          <w:u w:val="single"/>
        </w:rPr>
        <w:t>日18：00时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7楼）财务部报名并购买招标文件后方可参加投标。逾期报名或未购买招标文件参加投标的，招标人将予以拒绝。招标文件工本费人民币500元，售后不退。</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有关本次招标的事项若存在变动或修改，敬请及时关注“盐城市政府采购网”和“盐城工业职业技术学院招标采购网”发布的信息更正公告。</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color w:val="auto"/>
          <w:sz w:val="24"/>
          <w:highlight w:val="none"/>
        </w:rPr>
        <w:t>七、</w:t>
      </w:r>
      <w:r>
        <w:rPr>
          <w:rFonts w:hint="eastAsia" w:ascii="楷体" w:hAnsi="楷体" w:eastAsia="楷体" w:cs="楷体"/>
          <w:b/>
          <w:bCs/>
          <w:color w:val="auto"/>
          <w:sz w:val="24"/>
          <w:highlight w:val="none"/>
        </w:rPr>
        <w:t>投标文件接收信息</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bookmarkStart w:id="22" w:name="_GoBack"/>
      <w:bookmarkEnd w:id="22"/>
      <w:r>
        <w:rPr>
          <w:rFonts w:hint="eastAsia" w:ascii="楷体" w:hAnsi="楷体" w:eastAsia="楷体" w:cs="楷体"/>
          <w:color w:val="auto"/>
          <w:sz w:val="24"/>
          <w:highlight w:val="none"/>
          <w:u w:val="single"/>
          <w:lang w:val="en-US" w:eastAsia="zh-CN"/>
        </w:rPr>
        <w:t>11月17日14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11月17日15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八、开标有关信息</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11月17日15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九、本次招标联系事项</w:t>
      </w:r>
    </w:p>
    <w:p>
      <w:pPr>
        <w:tabs>
          <w:tab w:val="left" w:pos="900"/>
        </w:tabs>
        <w:spacing w:line="440" w:lineRule="exact"/>
        <w:ind w:firstLine="480" w:firstLineChars="200"/>
        <w:jc w:val="left"/>
        <w:rPr>
          <w:rFonts w:ascii="楷体" w:hAnsi="楷体" w:eastAsia="楷体" w:cs="楷体"/>
          <w:color w:val="auto"/>
          <w:sz w:val="24"/>
          <w:highlight w:val="none"/>
        </w:rPr>
      </w:pPr>
      <w:bookmarkStart w:id="0" w:name="_Hlk54448313"/>
      <w:r>
        <w:rPr>
          <w:rFonts w:hint="eastAsia" w:ascii="楷体" w:hAnsi="楷体" w:eastAsia="楷体" w:cs="楷体"/>
          <w:color w:val="auto"/>
          <w:sz w:val="24"/>
          <w:highlight w:val="none"/>
        </w:rPr>
        <w:t>（一）采购人项目</w:t>
      </w:r>
      <w:r>
        <w:rPr>
          <w:rFonts w:hint="eastAsia" w:ascii="楷体" w:hAnsi="楷体" w:eastAsia="楷体" w:cs="楷体"/>
          <w:color w:val="auto"/>
          <w:sz w:val="24"/>
          <w:highlight w:val="none"/>
        </w:rPr>
        <w:t>联系人：陈宏武，联系电话：0515-88583909，13770061361；</w:t>
      </w:r>
    </w:p>
    <w:bookmarkEnd w:id="0"/>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采购人招标联系人：赵萌，联系电话：0515-88588707、13056182223；</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（二）招标代理机构联系人：张旭良， 联系电话：0515-88200316、13515130964；</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招标代理机构联系地址：盐城市紫薇广场C区7楼。 </w:t>
      </w:r>
    </w:p>
    <w:p>
      <w:pPr>
        <w:spacing w:line="44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正本份数：1份，副本份数：4份。</w:t>
      </w:r>
    </w:p>
    <w:p>
      <w:pPr>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十一、本次招标投标保证金</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rPr>
        <w:t>壹万元整</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spacing w:line="440" w:lineRule="exact"/>
        <w:ind w:firstLine="482" w:firstLineChars="200"/>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江苏双清工程造价咨询有限公司，开户行：中行盐城分行营业部，账号：513158208001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spacing w:line="440" w:lineRule="exact"/>
        <w:ind w:firstLine="480" w:firstLineChars="200"/>
        <w:outlineLvl w:val="1"/>
        <w:rPr>
          <w:rFonts w:ascii="楷体" w:hAnsi="楷体" w:eastAsia="楷体" w:cs="楷体"/>
          <w:color w:val="auto"/>
          <w:kern w:val="0"/>
          <w:sz w:val="24"/>
          <w:highlight w:val="none"/>
        </w:rPr>
      </w:pPr>
      <w:r>
        <w:rPr>
          <w:rFonts w:hint="eastAsia" w:ascii="楷体" w:hAnsi="楷体" w:eastAsia="楷体" w:cs="楷体"/>
          <w:color w:val="auto"/>
          <w:sz w:val="24"/>
          <w:highlight w:val="none"/>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2" w:firstLineChars="200"/>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十二、疫情防控期间投标人注意事项</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tabs>
          <w:tab w:val="left" w:pos="900"/>
        </w:tabs>
        <w:spacing w:line="440" w:lineRule="exact"/>
        <w:ind w:firstLine="480" w:firstLineChars="200"/>
        <w:jc w:val="right"/>
        <w:rPr>
          <w:rFonts w:ascii="楷体" w:hAnsi="楷体" w:eastAsia="楷体" w:cs="楷体"/>
          <w:color w:val="auto"/>
          <w:sz w:val="24"/>
          <w:highlight w:val="none"/>
        </w:rPr>
      </w:pP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盐城工业职业技术学院</w:t>
      </w: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2020年10月2</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rPr>
        <w:t>2020-049S</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rPr>
        <w:t>盐城工业职业技术学院铁军文化苑设计施工一体化项目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8"/>
          <w:szCs w:val="28"/>
          <w:highlight w:val="none"/>
        </w:rPr>
      </w:pPr>
    </w:p>
    <w:p>
      <w:pPr>
        <w:pStyle w:val="19"/>
        <w:ind w:firstLine="422"/>
        <w:rPr>
          <w:rFonts w:ascii="楷体" w:hAnsi="楷体" w:eastAsia="楷体" w:cs="楷体"/>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盐城工业职业技术学院铁军文化苑设计施工一体化项目</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ascii="楷体" w:hAnsi="楷体" w:eastAsia="楷体" w:cs="楷体"/>
          <w:b/>
          <w:color w:val="auto"/>
          <w:sz w:val="30"/>
          <w:szCs w:val="30"/>
          <w:highlight w:val="none"/>
        </w:rPr>
      </w:pPr>
      <w:r>
        <w:rPr>
          <w:rFonts w:hint="eastAsia" w:ascii="楷体" w:hAnsi="楷体" w:eastAsia="楷体" w:cs="楷体"/>
          <w:b/>
          <w:color w:val="auto"/>
          <w:sz w:val="30"/>
          <w:szCs w:val="30"/>
          <w:highlight w:val="none"/>
        </w:rPr>
        <w:t>项目编号：2020-049S</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ascii="楷体" w:hAnsi="楷体" w:eastAsia="楷体" w:cs="楷体"/>
          <w:bCs/>
          <w:color w:val="auto"/>
          <w:sz w:val="36"/>
          <w:szCs w:val="36"/>
          <w:highlight w:val="none"/>
        </w:rPr>
      </w:pPr>
      <w:r>
        <w:rPr>
          <w:rFonts w:hint="eastAsia" w:ascii="楷体" w:hAnsi="楷体" w:eastAsia="楷体" w:cs="楷体"/>
          <w:bCs/>
          <w:color w:val="auto"/>
          <w:sz w:val="36"/>
          <w:szCs w:val="36"/>
          <w:highlight w:val="none"/>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2020年10月2</w:t>
      </w:r>
      <w:r>
        <w:rPr>
          <w:rFonts w:hint="eastAsia" w:ascii="楷体" w:hAnsi="楷体" w:eastAsia="楷体" w:cs="楷体"/>
          <w:color w:val="auto"/>
          <w:sz w:val="36"/>
          <w:szCs w:val="36"/>
          <w:highlight w:val="none"/>
          <w:lang w:val="en-US" w:eastAsia="zh-CN"/>
        </w:rPr>
        <w:t>7</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20"/>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工程名称：</w:t>
            </w:r>
            <w:r>
              <w:rPr>
                <w:rFonts w:hint="eastAsia" w:ascii="楷体" w:hAnsi="楷体" w:eastAsia="楷体" w:cs="楷体"/>
                <w:color w:val="auto"/>
                <w:sz w:val="24"/>
                <w:highlight w:val="none"/>
              </w:rPr>
              <w:t>盐城工业职业技术学院铁军文化苑设计施工一体化项目　　　　　</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招标人名称：</w:t>
            </w:r>
            <w:r>
              <w:rPr>
                <w:rFonts w:hint="eastAsia" w:ascii="楷体" w:hAnsi="楷体" w:eastAsia="楷体" w:cs="楷体"/>
                <w:color w:val="auto"/>
                <w:sz w:val="24"/>
                <w:highlight w:val="none"/>
              </w:rPr>
              <w:t>盐城工业职业技术学院</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招标范围及标段划分：</w:t>
            </w:r>
            <w:r>
              <w:rPr>
                <w:rFonts w:hint="eastAsia" w:ascii="楷体" w:hAnsi="楷体" w:eastAsia="楷体" w:cs="楷体"/>
                <w:color w:val="auto"/>
                <w:sz w:val="24"/>
                <w:highlight w:val="none"/>
              </w:rPr>
              <w:t>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设计内容主要包含盐城工业职业技术学院铁军文化苑设计施工一体化项目范围内的方案设计、方案深化设计、施工图设计，主要包括但不限于</w:t>
            </w:r>
            <w:r>
              <w:rPr>
                <w:rFonts w:hint="eastAsia" w:ascii="楷体" w:hAnsi="楷体" w:eastAsia="楷体" w:cs="楷体"/>
                <w:color w:val="auto"/>
                <w:sz w:val="24"/>
                <w:highlight w:val="none"/>
              </w:rPr>
              <w:t>雕塑、</w:t>
            </w:r>
            <w:r>
              <w:rPr>
                <w:rFonts w:hint="eastAsia" w:ascii="楷体" w:hAnsi="楷体" w:eastAsia="楷体" w:cs="楷体"/>
                <w:color w:val="auto"/>
                <w:sz w:val="24"/>
                <w:highlight w:val="none"/>
              </w:rPr>
              <w:t>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施工内容主要包含</w:t>
            </w:r>
            <w:r>
              <w:rPr>
                <w:rFonts w:hint="eastAsia" w:ascii="楷体" w:hAnsi="楷体" w:eastAsia="楷体" w:cs="楷体"/>
                <w:color w:val="auto"/>
                <w:sz w:val="24"/>
                <w:highlight w:val="none"/>
              </w:rPr>
              <w:t>但不限于</w:t>
            </w:r>
            <w:r>
              <w:rPr>
                <w:rFonts w:hint="eastAsia" w:ascii="楷体" w:hAnsi="楷体" w:eastAsia="楷体" w:cs="楷体"/>
                <w:color w:val="auto"/>
                <w:sz w:val="24"/>
                <w:highlight w:val="none"/>
              </w:rPr>
              <w:t>原创业一条街门店内外墙板更换为防火彩钢板，</w:t>
            </w:r>
            <w:r>
              <w:rPr>
                <w:rFonts w:hint="eastAsia" w:ascii="楷体" w:hAnsi="楷体" w:eastAsia="楷体" w:cs="楷体"/>
                <w:color w:val="auto"/>
                <w:sz w:val="24"/>
                <w:highlight w:val="none"/>
              </w:rPr>
              <w:t>雕塑、图片的采集及修复、</w:t>
            </w:r>
            <w:r>
              <w:rPr>
                <w:rFonts w:hint="eastAsia" w:ascii="楷体" w:hAnsi="楷体" w:eastAsia="楷体" w:cs="楷体"/>
                <w:color w:val="auto"/>
                <w:sz w:val="24"/>
                <w:highlight w:val="none"/>
              </w:rPr>
              <w:t>布展（含展品展项、装饰及改造等）、设备部分（包括智能化、电气、给排水、消防、通风、多媒体、声光电等）、软体部分等一切与项目相关的所有施工内容。</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质量标准：</w:t>
            </w:r>
            <w:r>
              <w:rPr>
                <w:rFonts w:hint="eastAsia" w:ascii="楷体" w:hAnsi="楷体" w:eastAsia="楷体" w:cs="楷体"/>
                <w:color w:val="auto"/>
                <w:sz w:val="24"/>
                <w:highlight w:val="none"/>
              </w:rPr>
              <w:t xml:space="preserve">合同约定的标准、设计图纸、设计文件中的技术数据和技术条件是工程材料设备采购、施工质量及竣工验收质量的依据。所有工程设计、采购和施工及双方约定的其他内容，须达到功能需求。 </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（1）设计质量标准：所有工程设计须符合现行国家、行业、地方的相关设计规范、标准、规定等要求，确保通过施工图审查（包括各专项审查），设计单位负责施工图送审、对接及配合并按要求进行修改。 </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（2）施工质量标准：符合现行国家施工及验收规范标准要求，符合国家“合格”标准。 </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工期要求：</w:t>
            </w:r>
            <w:r>
              <w:rPr>
                <w:rFonts w:hint="eastAsia" w:ascii="楷体" w:hAnsi="楷体" w:eastAsia="楷体" w:cs="楷体"/>
                <w:color w:val="auto"/>
                <w:sz w:val="24"/>
                <w:highlight w:val="none"/>
              </w:rPr>
              <w:t>自甲方通知开工之日起30日历天（包含设计、施工等全过程工期）内全部通过竣工验收合格并交付使用。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rPr>
              <w:t>壹万元整</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spacing w:line="300" w:lineRule="exact"/>
              <w:outlineLvl w:val="1"/>
              <w:rPr>
                <w:rFonts w:ascii="楷体" w:hAnsi="楷体" w:eastAsia="楷体" w:cs="楷体"/>
                <w:color w:val="auto"/>
                <w:kern w:val="0"/>
                <w:sz w:val="24"/>
                <w:highlight w:val="none"/>
              </w:rPr>
            </w:pPr>
            <w:r>
              <w:rPr>
                <w:rFonts w:hint="eastAsia" w:ascii="楷体" w:hAnsi="楷体" w:eastAsia="楷体" w:cs="楷体"/>
                <w:color w:val="auto"/>
                <w:sz w:val="24"/>
                <w:highlight w:val="none"/>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递交疑问时间：投标文件接收截止时间10日前； </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“盐城市政府采购网”和“盐城工业职业技术学院招标采购网”</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11月17日15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11月17日15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10"/>
              <w:adjustRightInd w:val="0"/>
              <w:snapToGrid w:val="0"/>
              <w:spacing w:line="300" w:lineRule="exact"/>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spacing w:line="300" w:lineRule="exact"/>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2"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spacing w:line="500" w:lineRule="exact"/>
        <w:ind w:firstLine="482" w:firstLineChars="200"/>
        <w:rPr>
          <w:rFonts w:ascii="楷体" w:hAnsi="楷体" w:eastAsia="楷体" w:cs="楷体"/>
          <w:bCs/>
          <w:color w:val="auto"/>
          <w:sz w:val="24"/>
          <w:highlight w:val="none"/>
        </w:rPr>
      </w:pPr>
      <w:r>
        <w:rPr>
          <w:rFonts w:hint="eastAsia" w:ascii="楷体" w:hAnsi="楷体" w:eastAsia="楷体" w:cs="楷体"/>
          <w:b/>
          <w:color w:val="auto"/>
          <w:sz w:val="24"/>
          <w:highlight w:val="none"/>
        </w:rPr>
        <w:t>1.1招标范围及标段划分：</w:t>
      </w:r>
      <w:r>
        <w:rPr>
          <w:rFonts w:hint="eastAsia" w:ascii="楷体" w:hAnsi="楷体" w:eastAsia="楷体" w:cs="楷体"/>
          <w:bCs/>
          <w:color w:val="auto"/>
          <w:sz w:val="24"/>
          <w:highlight w:val="none"/>
        </w:rPr>
        <w:t>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pacing w:line="50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设计内容主要包含盐城工业职业技术学院铁军文化苑设计施工一体化项目范围内的方案设计、方案深化设计、施工图设计，主要包括但不限于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50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施工内容主要包含原创业一条街门店内外墙板更换为防火彩钢板，布展（含展品展项、装饰及改造等）、设备部分（包括智能化、电气、给排水、消防、通风、多媒体、声光电等）、软体部分等一切与项目相关的所有施工内容。</w:t>
      </w:r>
    </w:p>
    <w:p>
      <w:pPr>
        <w:spacing w:line="500" w:lineRule="exact"/>
        <w:ind w:firstLine="480" w:firstLineChars="200"/>
        <w:rPr>
          <w:rFonts w:ascii="楷体" w:hAnsi="楷体" w:eastAsia="楷体" w:cs="楷体"/>
          <w:color w:val="auto"/>
          <w:highlight w:val="none"/>
        </w:rPr>
      </w:pPr>
      <w:r>
        <w:rPr>
          <w:rFonts w:hint="eastAsia" w:ascii="楷体" w:hAnsi="楷体" w:eastAsia="楷体" w:cs="楷体"/>
          <w:bCs/>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rPr>
        <w:t>盐城工业职业技术学院内（盐城市解放南路285号）。</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3.1申请人应同时具备下列3.1.1项设计资质和3.1.2项施工资质，并在人员、设备、资金等方面具备相应的工程总承包能力。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3.1.1投标人须具有建设行政主管部门核发的建筑装饰工程设计专项乙级及以上资质（或有效期内的建筑装饰装修工程设计与施工二级及以上资质或工程设计综合甲级资质），</w:t>
      </w:r>
      <w:r>
        <w:rPr>
          <w:rFonts w:hint="eastAsia" w:ascii="楷体" w:hAnsi="楷体" w:eastAsia="楷体" w:cs="楷体"/>
          <w:color w:val="auto"/>
          <w:sz w:val="24"/>
          <w:highlight w:val="none"/>
        </w:rPr>
        <w:t>同时具有中国展览馆协会颁发的展览陈列工程设计与施工一体化三级及以上资质</w:t>
      </w:r>
      <w:r>
        <w:rPr>
          <w:rFonts w:hint="eastAsia" w:ascii="楷体" w:hAnsi="楷体" w:eastAsia="楷体" w:cs="楷体"/>
          <w:color w:val="auto"/>
          <w:sz w:val="24"/>
          <w:highlight w:val="none"/>
        </w:rPr>
        <w:t>的独立法人；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3.1.2投标人须具有建设行政主管部门核发的建筑装修装饰工程专业承包二级及以上资质（或有效期内的建筑装饰装修工程设计与施工二级及以上资质）的独立法人，并取得有效的安全生产许可证。</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3.2本次招标接受联合体投标。如投标人不同时具备上述3.1.1项设计资质和3.1.2项施工资质的，可组成联合体参与本项目投标，组成联合体投标的，须满足以下要求：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3.2.1</w:t>
      </w:r>
      <w:r>
        <w:rPr>
          <w:rFonts w:hint="eastAsia" w:ascii="楷体" w:hAnsi="楷体" w:eastAsia="楷体" w:cs="楷体"/>
          <w:color w:val="auto"/>
          <w:sz w:val="24"/>
          <w:highlight w:val="none"/>
        </w:rPr>
        <w:t>联合体最多只能包括1家装饰工程设计企业、1家展览陈列工程设计与施工企业和1家装饰工程施工企业</w:t>
      </w:r>
      <w:r>
        <w:rPr>
          <w:rFonts w:hint="eastAsia" w:ascii="楷体" w:hAnsi="楷体" w:eastAsia="楷体" w:cs="楷体"/>
          <w:color w:val="auto"/>
          <w:sz w:val="24"/>
          <w:highlight w:val="none"/>
        </w:rPr>
        <w:t>；</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3.2.2联合体各方应按招标文件提供的格式签订联合体协议书，明确联合体牵头人和各方权利义务；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3.2.3联合体各成员单位应当具备与联合体协议中约定的分工相适应的资质和能力；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3.2.4联合体各方不得再以自己名义单独或参加其他联合体在同一标段中投标；</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3.2.5联合体各方必须指定</w:t>
      </w:r>
      <w:r>
        <w:rPr>
          <w:rFonts w:hint="eastAsia" w:ascii="楷体" w:hAnsi="楷体" w:eastAsia="楷体" w:cs="楷体"/>
          <w:color w:val="auto"/>
          <w:sz w:val="24"/>
          <w:highlight w:val="none"/>
        </w:rPr>
        <w:t>展览陈列工程设计与施工企业</w:t>
      </w:r>
      <w:r>
        <w:rPr>
          <w:rFonts w:hint="eastAsia" w:ascii="楷体" w:hAnsi="楷体" w:eastAsia="楷体" w:cs="楷体"/>
          <w:color w:val="auto"/>
          <w:sz w:val="24"/>
          <w:highlight w:val="none"/>
        </w:rPr>
        <w:t>为联合体牵头人 ，授权其代表所有联合体成员负责投标和合同实施阶段的主办、协调工作；</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3.2.6联合体投标的，联合体牵头人报名即可，但递交的投标文件须由联合体各方盖章；投标保证金须以联合体中牵头人的名义提交。以联合体中牵头人名义提交的投标保证担保，对联合体各成员具有约束力。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3.2.7联合体中标后，其成员不得变更。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3.3项目负责人资格要求：具有建筑工程专业二级及以上注册建造师资格和安全生产考核合格证（B类），且必须满足下列条件：</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3.3.1项目负责人不得同时在两个或者两个以上单位受聘或者执业。</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（1）同时在两个及以上单位签订劳动合同或交纳社会保险；</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（2）将本人执（职）业资格证书同时注册在两个及以上单位；</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（3）担任其他公司法定代表人。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3.3.2项目负责人不得同时在两个或者两个以上工程项目上任职。</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3.3.3项目负责人无行贿犯罪行为记录；或有行贿犯罪行为记录，但自记录之日起已超过5年的。</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3.3.4项目负责人投标截止时不得同时在其他建设工程项目中担任现场管理人员、不在本项目兼任本项目的其它岗位。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2019年11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3.9.5.单位负责人为同一人或者存在控股、管理关系的不同单位。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3.10不符合法律、法规规定的其他条件。</w:t>
      </w:r>
    </w:p>
    <w:p>
      <w:pPr>
        <w:spacing w:line="500" w:lineRule="exact"/>
        <w:ind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6.2.6投标人的</w:t>
      </w:r>
      <w:r>
        <w:rPr>
          <w:rFonts w:hint="eastAsia" w:ascii="楷体" w:hAnsi="楷体" w:eastAsia="楷体" w:cs="楷体"/>
          <w:color w:val="auto"/>
          <w:sz w:val="24"/>
          <w:highlight w:val="none"/>
          <w:shd w:val="clear" w:color="auto" w:fill="FFFFFF"/>
        </w:rPr>
        <w:t>项目负责人</w:t>
      </w:r>
      <w:r>
        <w:rPr>
          <w:rFonts w:hint="eastAsia" w:ascii="楷体" w:hAnsi="楷体" w:eastAsia="楷体" w:cs="楷体"/>
          <w:color w:val="auto"/>
          <w:sz w:val="24"/>
          <w:highlight w:val="none"/>
        </w:rPr>
        <w:t>被反映或投诉有在建工程，并经查属实的。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6.2.7 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楷体" w:hAnsi="楷体" w:eastAsia="楷体" w:cs="楷体"/>
          <w:b/>
          <w:color w:val="auto"/>
          <w:sz w:val="44"/>
          <w:szCs w:val="44"/>
          <w:highlight w:val="none"/>
        </w:rPr>
      </w:pP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highlight w:val="none"/>
        </w:rPr>
      </w:pPr>
      <w:r>
        <w:rPr>
          <w:rFonts w:hint="eastAsia" w:ascii="楷体" w:hAnsi="楷体" w:eastAsia="楷体" w:cs="楷体"/>
          <w:color w:val="auto"/>
          <w:sz w:val="24"/>
          <w:highlight w:val="none"/>
        </w:rPr>
        <w:t>2.1固定总价合同：本项目合同采用“固定总价合同”，投标人中标后对整个招标项目实行总价包干。投标人在投标前应复核并确认招标人提供的相关资料的准确性，如有疑问，投标人应在答疑时提出，否则由此引起的价格变化由中标人承担。</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bookmarkStart w:id="1" w:name="_Toc45449510"/>
      <w:bookmarkStart w:id="2" w:name="_Toc389065164"/>
      <w:bookmarkStart w:id="3" w:name="_Toc508286089"/>
      <w:r>
        <w:rPr>
          <w:rFonts w:hint="eastAsia" w:ascii="楷体" w:hAnsi="楷体" w:eastAsia="楷体" w:cs="楷体"/>
          <w:b/>
          <w:color w:val="auto"/>
          <w:sz w:val="24"/>
          <w:highlight w:val="none"/>
        </w:rPr>
        <w:t>3、投标报价</w:t>
      </w:r>
      <w:bookmarkEnd w:id="1"/>
      <w:bookmarkEnd w:id="2"/>
      <w:bookmarkEnd w:id="3"/>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3.1投标人应充分了解施工场地的位置、周边环境、道路、装卸、保管、安装限制以及影响投标报价的其他要素。投标人根据投标设计，结合市场情况进行投标报价。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3.2投标人的投标报价不得超过最高投标限价。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3.3 投标报价须按现行工程量清单计价规范、计价定额、江苏省、盐城市相关计价文件进行报价，投标报价的具体要求：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1）按照投标人设计的施工图纸、《建设工程工程量清单计价规范》（GB50500-2013）、《房屋建筑与装饰工程工程量计算规范》（GB50854-2013）、《通用安装工程工程量计算规范》（GB50856-2013）......（以下简称《工程量计算规范》）、参照《江苏省建筑与装饰工程计价定额》（2014版）、《江苏省安装工程计价定额》（2014版）......（以下简称《计价定额》）、《江苏省建设工程费用定额》（2014年）及其营改增后调整内容（以下简称《费用定额》）、材料价格参照 2020 年第9期《盐城工程造价》建材信息价或建材市场参考价、无信息价的由投标人自行进行市场询价、人工工资单价参照苏建函价[2020]382号文件及现行相关计价文件规定、计税方式按苏建价（2016）154号文（本项目采用增值税一般计税方法）等，计算出分部分项工程费、措施项目费、其它项目费、规费、税金等确定投标报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投标报价的计价文件至少包括：应附详细的封面、扉页、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格、税金项目计价表、承包人提供主要材料和工程设备一览表等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（3）投标报价时必须满足以下要求：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①材料价格参照 2020年第9期《盐城工程造价》建材信息价或建材市场参考价、无信息价的由投标人自行进行市场询价。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②人工工资参照并小于苏建函价[2020]382号文件规定的人工单价。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③管理费费率参照并≤苏建价（2016）154号文并结合2014年《费用定额》规定的费率。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④利润费率参照并≤苏建价（2016）154号文并结合2014年《费用定额》规定的费率。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⑤措施项目费不高于费用定额规定的费率，如费用定额规定浮动区间的，不高于浮动区间的中值，费用定额中未确定费率的项目不计取措施项目费。非夜间施工照明费、冬雨季施工增加费、已完工程及设备保护费、按质论价费不计取。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⑥现场安全文明施工措施费投标时按规定计取，结算时不论核定多少均包干结算，节余或不足均投标人承担。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投标报价的其他要求见投标人须知前附表。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3.4投标报价统一采用人民币作为计量单位，并且精确到元、角、分(精确到小数点后二位数)。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3.5 投标人应参照国家的相应标准，结合自身综合实力、市场行情、本项目具体特点和技术要求对项目的设计费用和施工费用进行分开报价。项目设计费用是指完成设计范围内所进行初设、施工图设计的费用。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3.6项目设计费用包括但不限于招标范围的相关费用（包含方案设计、方案优化、施工图设计费等）、获取相关设计资料、办公、交通、保险、人员、差旅、税费、施工图图审费用、专家评审费用、测试工具等费用、批文申报及协调及招标文件要求的其他费用等全部价格费用。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3.7 项目施工费用包括但不限于招标范围的相关费用、人工费、材料费、机械使用费、施工组织及技术措施费、管理费、利润、所有措施项目费、其他项目费、规费、税金、总承包服务费、附属工程临时工程、环境保护、特殊条件施工、地方矛盾处理、设备主材费、辅材费、现场施工围栏、竣工面的清理、垃圾清运、成品保护以及各种管线、建筑物、构筑物的加固围护费，以及政策性文件规定和市场风险及招标文件要求的其他费用等审批后施工图纸内的全部施工费用。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3.8本项目投标报价包括但不限于上述设计费用、上述施工费用、设备主材及辅材费（包括所有硬件、附件、配件、备品备件及专用工具费等）、手续办理费用、保险费、运输费、质保期内的维修费、验收费用、其他费用（如包装费、仓储费、质保、资料费以及完成本项目所需要的其他费用等）、招标文件要求的其他费用及所有价内价外税金及合理利润等。凡漏项或少计均视为已包含在本次投标报价的范围内，招标人不再另行增加费用，竣工结算时均不调整。</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3.9投标报价的其他要求：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3.9.1工程总承包报价范围一般包括勘察费、设计费、建筑安装工程费、设备购置费、总承包其他费及暂列金额等（具体参考《房屋建筑和市政基础设施项目工程总承包计价计量规范》）；投标人应充分了解施工场地的位置、周边环境、道路、装卸、保管、安装限制以及影响投标报价的其他要素。投标人根据投标设计，结合市场情况进行投标报价。投标报价应根据招标文件中的有关计价要求，并按照下列依据自主报价，但不得低于成本。</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 本招标文件及其补充通知、答疑纪要；</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 参考《建设工程工程量清单计价规范》 (GB50500-2013)及其9本计算规范；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 国家或省级、行业建设主管部门颁发的计价办法；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 企业定额，国家或省级、行业建设主管部门颁发的计价定额；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 投标设计文件及相关资料；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(6) 施工现场情况、工程特点及拟定的投标施工组织设计或施工方案；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(7) 与建设项目相关的标准、规范、规程等技术资料；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(8) 市场价格信息或工程造价管理机构发布的工程造价信息；</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(9) 其他的相关资料。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3.9.2投标报价中应考虑招标文件中要求投标人承担的风险范围以及相关的费用。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3.9.3投标总价为投标人在投标文件中提出的各项支付金额的总和，为实施、完成招标工程并修补缺陷以及履行招标文件中约定的风险范围内的所有责任和义务所发生的全部费用。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4" w:name="_Toc144974514"/>
      <w:bookmarkEnd w:id="4"/>
      <w:bookmarkStart w:id="5" w:name="_Toc152042322"/>
      <w:bookmarkEnd w:id="5"/>
      <w:bookmarkStart w:id="6" w:name="_Toc247513970"/>
      <w:bookmarkEnd w:id="6"/>
      <w:bookmarkStart w:id="7" w:name="_Toc300834967"/>
      <w:bookmarkEnd w:id="7"/>
      <w:bookmarkStart w:id="8" w:name="_Toc247527571"/>
      <w:bookmarkEnd w:id="8"/>
      <w:bookmarkStart w:id="9" w:name="_Toc152045546"/>
      <w:bookmarkEnd w:id="9"/>
      <w:r>
        <w:rPr>
          <w:rFonts w:hint="eastAsia" w:ascii="楷体" w:hAnsi="楷体" w:eastAsia="楷体" w:cs="楷体"/>
          <w:b/>
          <w:bCs/>
          <w:color w:val="auto"/>
          <w:sz w:val="24"/>
          <w:highlight w:val="none"/>
        </w:rPr>
        <w:t>招标控制价</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4.1本工程招标控制价为人民币</w:t>
      </w:r>
      <w:r>
        <w:rPr>
          <w:rFonts w:hint="eastAsia" w:ascii="楷体" w:hAnsi="楷体" w:eastAsia="楷体" w:cs="楷体"/>
          <w:b/>
          <w:bCs/>
          <w:color w:val="auto"/>
          <w:sz w:val="24"/>
          <w:highlight w:val="none"/>
          <w:u w:val="single"/>
        </w:rPr>
        <w:t>100万元（含暂列资金15万元）</w:t>
      </w:r>
      <w:r>
        <w:rPr>
          <w:rFonts w:hint="eastAsia" w:ascii="楷体" w:hAnsi="楷体" w:eastAsia="楷体" w:cs="楷体"/>
          <w:color w:val="auto"/>
          <w:sz w:val="24"/>
          <w:highlight w:val="none"/>
        </w:rPr>
        <w:t>。投标人的投标报价不得超过招标控制价，否则作为无效标书处理。</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5、设计任务书、发包人要求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盐城工业职业技术学院展铁军文化苑策展方案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5.1指导思想</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为贯彻落实习近平总书记“把红色资源利用好、把红色传统发扬好、把红色基因传承好”的重要指示精神和《新时代公民道德建设实施纲要》《新时代爱国主义教育实施纲要》，引导盐城工业职业技术学院师生知晓党史军史，增进爱国情感、激发爱国热情，拟在盐城工业职业技术学院校园内建设铁军文化苑，以铁军精神广场、铁军文化展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5.2观众群定位：学校师生</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5.3主标题：铁军文化苑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5.4设计内容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5.4.1铁军精神广场及展廊周边展示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创作主题雕塑，形成一定规模的具有仪式感的广场空间。同时通过展廊周边的提升，周边设计雕塑、或者制字、灯箱等方式进行整体新四军氛围的营造，展廊周边雕塑等展示单体个数不少于</w:t>
      </w:r>
      <w:r>
        <w:rPr>
          <w:rFonts w:ascii="楷体" w:hAnsi="楷体" w:eastAsia="楷体" w:cs="楷体"/>
          <w:color w:val="auto"/>
          <w:sz w:val="24"/>
          <w:highlight w:val="none"/>
        </w:rPr>
        <w:t>3</w:t>
      </w:r>
      <w:r>
        <w:rPr>
          <w:rFonts w:hint="eastAsia" w:ascii="楷体" w:hAnsi="楷体" w:eastAsia="楷体" w:cs="楷体"/>
          <w:color w:val="auto"/>
          <w:sz w:val="24"/>
          <w:highlight w:val="none"/>
        </w:rPr>
        <w:t>个，其中要有凸显“铁军精神”内涵的展示-- “听党指挥的铁的信念、报国为民的铁的担当、英勇顽强的铁的作风、执纪严明的铁的纪律”。</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5.4.2内部展示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前厅：适当留下一个空间，以习近平同志的讲话作为整个铁军文化展馆的引领。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让信仰之火熊熊不息，让红色基因融入血脉。让红色精神激发力量。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四个展区。四个展区反映的《</w:t>
      </w:r>
      <w:r>
        <w:rPr>
          <w:rFonts w:hint="eastAsia" w:ascii="楷体" w:hAnsi="楷体" w:eastAsia="楷体" w:cs="楷体"/>
          <w:color w:val="auto"/>
          <w:sz w:val="24"/>
          <w:highlight w:val="none"/>
        </w:rPr>
        <w:t>铁军征程》《铁军楷模》《铁军保障》《铁军廉政》和一个互动区域“铭记  传承”</w:t>
      </w:r>
      <w:r>
        <w:rPr>
          <w:rFonts w:hint="eastAsia" w:ascii="楷体" w:hAnsi="楷体" w:eastAsia="楷体" w:cs="楷体"/>
          <w:color w:val="auto"/>
          <w:sz w:val="24"/>
          <w:highlight w:val="none"/>
        </w:rPr>
        <w:t>，但在展示时，在前后呼应的同时，展示内容又是各自独立的，设计时应有考虑，不能做成一个风格、一个展览贯穿始终。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五个独立的展区组成</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（1）《铁军征程》简要介绍新四军历史征程</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（2）《铁军楷模》介绍中宣部、江苏省委宣传部评选出的为“新中国成立作出突出贡献的英雄模范人物”中的新四军代表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（3）《铁军保障》展示新四军后勤工作发展的内容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（4）《铁军廉政》展示新四军廉政建设工作。</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（5）《铭记 传承》，以跳跃、活泼的形式展示学校对新四军文化的继承与弘扬。</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6、展示脚本（见附件）</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7、展示材质要求：室外雕塑、半室外展廊展品要有一定的耐晒耐风雨耐腐蚀性能。 </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8、中标人在深化设计方案优化后并经学校同意，方可施工，否则招标人有权不予以结算。</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9、技术成果经济补偿</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对符合招标文件规定的设计方案得分（仅指评标办法中专业工程设计文件得分）第一名、第二名单位的技术成果进行补偿，其中第一名补偿费用人民币1万元整、第二名补偿费用人民币3000元整，如是中标人（总得分排名第一）的则不给予补偿，计方案得分第三及以后的也不给予补偿。招标人享有对支付技术成果经济补偿费的各投标人的设计方案的知识产权和所有权，并有权使用此设计方案。</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10、现场踏勘</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10.1投标人在投标前须踏勘现场，以便充分了解工地位置、涉及到现场需要改造及装修等部分内容、现场实际情况、道路、储存空间、装卸限制及任何其它足以影响报价的情况，并根据现场的实际情况将本项目可预见的相关费用和不可预见的相关费用自行考虑到投标报价中包干使用。采购人向投标人提供的有关现场的数据和资料，是采购人现有的能够被投标人利用的资料，投标人对该数据和资料做出的任何推论、理解和结论，采购人均不负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10.2投标人踏勘现场发生的费用自理，承担踏勘所发生的各种风险和损失。</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10.3现场踏勘时间：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4</w:t>
      </w:r>
      <w:r>
        <w:rPr>
          <w:rFonts w:hint="eastAsia" w:ascii="楷体" w:hAnsi="楷体" w:eastAsia="楷体" w:cs="楷体"/>
          <w:color w:val="auto"/>
          <w:sz w:val="24"/>
          <w:highlight w:val="none"/>
          <w:u w:val="single"/>
        </w:rPr>
        <w:t>日</w:t>
      </w:r>
      <w:r>
        <w:rPr>
          <w:rFonts w:hint="eastAsia" w:ascii="宋体" w:hAnsi="宋体" w:eastAsia="宋体" w:cs="宋体"/>
          <w:color w:val="auto"/>
          <w:sz w:val="24"/>
          <w:highlight w:val="none"/>
          <w:u w:val="single"/>
          <w:lang w:val="en-US" w:eastAsia="zh-CN"/>
        </w:rPr>
        <w:t>～</w:t>
      </w:r>
      <w:r>
        <w:rPr>
          <w:rFonts w:hint="eastAsia" w:ascii="楷体" w:hAnsi="楷体" w:eastAsia="楷体" w:cs="楷体"/>
          <w:color w:val="auto"/>
          <w:sz w:val="24"/>
          <w:highlight w:val="none"/>
          <w:u w:val="single"/>
          <w:lang w:val="en-US" w:eastAsia="zh-CN"/>
        </w:rPr>
        <w:t>11月6日每天</w:t>
      </w:r>
      <w:r>
        <w:rPr>
          <w:rFonts w:hint="eastAsia" w:ascii="楷体" w:hAnsi="楷体" w:eastAsia="楷体" w:cs="楷体"/>
          <w:color w:val="auto"/>
          <w:sz w:val="24"/>
          <w:highlight w:val="none"/>
          <w:u w:val="single"/>
        </w:rPr>
        <w:t>9：00-11：00</w:t>
      </w:r>
      <w:r>
        <w:rPr>
          <w:rFonts w:hint="eastAsia" w:ascii="楷体" w:hAnsi="楷体" w:eastAsia="楷体" w:cs="楷体"/>
          <w:color w:val="auto"/>
          <w:sz w:val="24"/>
          <w:highlight w:val="none"/>
        </w:rPr>
        <w:t>，因疫情防控需要，各投标人在前述时间段内到达学校。联系人：陈宏武，联系电话：0515-88583909，13770061361。</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2" w:firstLineChars="200"/>
        <w:rPr>
          <w:rFonts w:ascii="楷体" w:hAnsi="楷体" w:eastAsia="楷体" w:cs="楷体"/>
          <w:b/>
          <w:bCs/>
          <w:color w:val="auto"/>
          <w:sz w:val="24"/>
          <w:highlight w:val="none"/>
        </w:rPr>
      </w:pP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1.1.2招标人提供的设计任务书和设定的招标控制价；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singl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应包括投标人在承诺工期内，达到投标人所承诺的质量标准，为完成施工图纸、招标文件等所确定的招标范围内（包括完成缺陷责任期内的全部工作）的全部内容所需要支付的各项金额的总和。投标人须充分考虑为完成上述内容所必须的设计费、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价格。</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现行有关规定的费率计取现场安全文明施工措施费基本费、标化增加费及扬尘污染防治增加费、为完成本项目发生的所有措施项目费、管理费、利润、规费（包括环境保护税、社会保险费、住房公积金）和税金，上述费用含在投标报价中。</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1.2.3投标人在投标报价时未填报报价的工程量清单项目，招标人视为已包括在总价中，无论何种原因使该清单项目发生工程量的变更，结算时均不作调整。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1.2.6除计价规范另有规定外，投标文件使用的度量衡单位，均采用中华人民共和国法定计量单位，投标文件和与投标有关的所有文件均应使用中文，投标报价统一采用人民币作为计量单位。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2.1本次招标的投标文件共为</w:t>
      </w:r>
      <w:r>
        <w:rPr>
          <w:rFonts w:hint="eastAsia" w:ascii="楷体" w:hAnsi="楷体" w:eastAsia="楷体" w:cs="楷体"/>
          <w:b/>
          <w:color w:val="auto"/>
          <w:sz w:val="24"/>
          <w:szCs w:val="30"/>
          <w:highlight w:val="none"/>
        </w:rPr>
        <w:t>一号标书1个</w:t>
      </w:r>
      <w:r>
        <w:rPr>
          <w:rFonts w:hint="eastAsia" w:ascii="楷体" w:hAnsi="楷体" w:eastAsia="楷体" w:cs="楷体"/>
          <w:b/>
          <w:color w:val="auto"/>
          <w:sz w:val="24"/>
          <w:highlight w:val="none"/>
        </w:rPr>
        <w:t>标书，份数为正本1份、副本4份。</w:t>
      </w:r>
    </w:p>
    <w:p>
      <w:pPr>
        <w:spacing w:line="48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2.2.4符合招标文件要求的有效的投标人资质证书</w:t>
      </w:r>
      <w:r>
        <w:rPr>
          <w:rFonts w:hint="eastAsia" w:ascii="楷体" w:hAnsi="楷体" w:eastAsia="楷体" w:cs="楷体"/>
          <w:color w:val="auto"/>
          <w:sz w:val="24"/>
          <w:highlight w:val="none"/>
        </w:rPr>
        <w:t>（如为联合体的，所有单位均须提供）</w:t>
      </w:r>
      <w:r>
        <w:rPr>
          <w:rFonts w:hint="eastAsia" w:ascii="楷体" w:hAnsi="楷体" w:eastAsia="楷体" w:cs="楷体"/>
          <w:color w:val="auto"/>
          <w:sz w:val="24"/>
          <w:highlight w:val="none"/>
        </w:rPr>
        <w:t>、安全生产许可证</w:t>
      </w:r>
      <w:r>
        <w:rPr>
          <w:rFonts w:hint="eastAsia" w:ascii="楷体" w:hAnsi="楷体" w:eastAsia="楷体" w:cs="楷体"/>
          <w:color w:val="auto"/>
          <w:sz w:val="24"/>
          <w:highlight w:val="none"/>
        </w:rPr>
        <w:t>（如为联合体的，装饰工程施工企业提供）</w:t>
      </w:r>
      <w:r>
        <w:rPr>
          <w:rFonts w:hint="eastAsia" w:ascii="楷体" w:hAnsi="楷体" w:eastAsia="楷体" w:cs="楷体"/>
          <w:color w:val="auto"/>
          <w:sz w:val="24"/>
          <w:highlight w:val="none"/>
        </w:rPr>
        <w:t>、营业执照</w:t>
      </w:r>
      <w:r>
        <w:rPr>
          <w:rFonts w:hint="eastAsia" w:ascii="楷体" w:hAnsi="楷体" w:eastAsia="楷体" w:cs="楷体"/>
          <w:color w:val="auto"/>
          <w:sz w:val="24"/>
          <w:highlight w:val="none"/>
        </w:rPr>
        <w:t>（如为联合体的，所有单位均须提供）</w:t>
      </w:r>
      <w:r>
        <w:rPr>
          <w:rFonts w:hint="eastAsia" w:ascii="楷体" w:hAnsi="楷体" w:eastAsia="楷体" w:cs="楷体"/>
          <w:color w:val="auto"/>
          <w:sz w:val="24"/>
          <w:highlight w:val="none"/>
        </w:rPr>
        <w:t>、项目负责人建造师注册证书</w:t>
      </w:r>
      <w:r>
        <w:rPr>
          <w:rFonts w:hint="eastAsia" w:ascii="楷体" w:hAnsi="楷体" w:eastAsia="楷体" w:cs="楷体"/>
          <w:color w:val="auto"/>
          <w:sz w:val="24"/>
          <w:highlight w:val="none"/>
        </w:rPr>
        <w:t>（如为联合体的，任一单位提供）</w:t>
      </w:r>
      <w:r>
        <w:rPr>
          <w:rFonts w:hint="eastAsia" w:ascii="楷体" w:hAnsi="楷体" w:eastAsia="楷体" w:cs="楷体"/>
          <w:color w:val="auto"/>
          <w:sz w:val="24"/>
          <w:highlight w:val="none"/>
        </w:rPr>
        <w:t>、项目负责人安全生产考核合格证书（B类）</w:t>
      </w:r>
      <w:r>
        <w:rPr>
          <w:rFonts w:hint="eastAsia" w:ascii="楷体" w:hAnsi="楷体" w:eastAsia="楷体" w:cs="楷体"/>
          <w:color w:val="auto"/>
          <w:sz w:val="24"/>
          <w:highlight w:val="none"/>
        </w:rPr>
        <w:t>（如为联合体的，任一单位提供）</w:t>
      </w:r>
      <w:r>
        <w:rPr>
          <w:rFonts w:hint="eastAsia" w:ascii="楷体" w:hAnsi="楷体" w:eastAsia="楷体" w:cs="楷体"/>
          <w:color w:val="auto"/>
          <w:sz w:val="24"/>
          <w:highlight w:val="none"/>
        </w:rPr>
        <w:t>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2.2.5联合体协议书（如为联合体投标时须提供）；</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2.2.6项目管理组织方案（具体内容详按设计任务书要求和评标办法中评审标准进行针对性编制）；</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2.2.7设计方案（具体内容详按设计任务书要求和评标办法中评审标准进行针对性编制）。</w:t>
      </w:r>
      <w:r>
        <w:rPr>
          <w:rFonts w:hint="eastAsia" w:ascii="楷体" w:hAnsi="楷体" w:eastAsia="楷体" w:cs="楷体"/>
          <w:color w:val="auto"/>
          <w:sz w:val="24"/>
          <w:highlight w:val="none"/>
        </w:rPr>
        <w:tab/>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注：以上2.2.1～2.2.7项材料装订成册,如有证书原件无需装订直接放入封袋中。如投标人投标文件中正副本不全，将不作为中标候选人。</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2.4投标文件编制的其他要求：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10"/>
        <w:adjustRightInd w:val="0"/>
        <w:snapToGrid w:val="0"/>
        <w:spacing w:line="44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的直接按3000元计取）由中标人承担，各投标人在投标报价时须将上述两项费用自行综合考虑分摊含进投标报价中，且不得单列，在开具中标通知书前一次性交纳。招标人不再承担上述费用。</w:t>
      </w:r>
    </w:p>
    <w:p>
      <w:pPr>
        <w:spacing w:line="500" w:lineRule="exact"/>
        <w:rPr>
          <w:rFonts w:ascii="楷体" w:hAnsi="楷体" w:eastAsia="楷体" w:cs="楷体"/>
          <w:b/>
          <w:color w:val="auto"/>
          <w:sz w:val="44"/>
          <w:szCs w:val="44"/>
          <w:highlight w:val="none"/>
        </w:rPr>
      </w:pPr>
    </w:p>
    <w:p>
      <w:pPr>
        <w:pStyle w:val="7"/>
        <w:rPr>
          <w:rFonts w:ascii="楷体" w:hAnsi="楷体" w:eastAsia="楷体" w:cs="楷体"/>
          <w:b/>
          <w:color w:val="auto"/>
          <w:sz w:val="44"/>
          <w:szCs w:val="44"/>
          <w:highlight w:val="none"/>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rPr>
        <w:t>综合评估法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4.5投标报价低于工程成本或者高于招标文件设定的招标控制价的；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4.9投标文件中已标价工程量清单与招标文件提供的工程量清单中的序号、项目名称、项目特征、单位、数量不一致的；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4.18以联合体方式投标，未提供联合体投标协议的。</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2"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2" w:firstLineChars="200"/>
        <w:rPr>
          <w:rFonts w:ascii="楷体" w:hAnsi="楷体" w:eastAsia="楷体" w:cs="楷体"/>
          <w:b/>
          <w:color w:val="auto"/>
          <w:sz w:val="24"/>
          <w:highlight w:val="none"/>
        </w:rPr>
      </w:pPr>
    </w:p>
    <w:p>
      <w:pPr>
        <w:widowControl/>
        <w:jc w:val="left"/>
        <w:rPr>
          <w:rFonts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GF-2011-0216</w:t>
      </w: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rPr>
          <w:rFonts w:ascii="楷体" w:hAnsi="楷体" w:eastAsia="楷体" w:cs="楷体"/>
          <w:b/>
          <w:bCs/>
          <w:color w:val="auto"/>
          <w:sz w:val="48"/>
          <w:szCs w:val="48"/>
          <w:highlight w:val="none"/>
        </w:rPr>
      </w:pP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建设项目工程总承包合同示范文本</w:t>
      </w:r>
    </w:p>
    <w:p>
      <w:pPr>
        <w:jc w:val="center"/>
        <w:rPr>
          <w:rFonts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 xml:space="preserve"> </w:t>
      </w:r>
    </w:p>
    <w:p>
      <w:pPr>
        <w:jc w:val="center"/>
        <w:rPr>
          <w:rFonts w:ascii="楷体" w:hAnsi="楷体" w:eastAsia="楷体" w:cs="楷体"/>
          <w:color w:val="auto"/>
          <w:sz w:val="30"/>
          <w:szCs w:val="30"/>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spacing w:line="320" w:lineRule="exact"/>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住房和城乡建设部</w:t>
      </w:r>
    </w:p>
    <w:p>
      <w:pPr>
        <w:spacing w:line="320" w:lineRule="exact"/>
        <w:ind w:left="4200" w:firstLine="42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制定</w:t>
      </w:r>
    </w:p>
    <w:p>
      <w:pPr>
        <w:spacing w:line="320" w:lineRule="exact"/>
        <w:jc w:val="center"/>
        <w:rPr>
          <w:rFonts w:ascii="楷体" w:hAnsi="楷体" w:eastAsia="楷体" w:cs="楷体"/>
          <w:b/>
          <w:bCs/>
          <w:color w:val="auto"/>
          <w:sz w:val="36"/>
          <w:szCs w:val="36"/>
          <w:highlight w:val="none"/>
        </w:rPr>
        <w:sectPr>
          <w:pgSz w:w="11906" w:h="16838"/>
          <w:pgMar w:top="1440" w:right="1417" w:bottom="1440" w:left="1417" w:header="720" w:footer="720" w:gutter="0"/>
          <w:cols w:space="720" w:num="1"/>
          <w:docGrid w:type="lines" w:linePitch="312" w:charSpace="0"/>
        </w:sectPr>
      </w:pPr>
      <w:r>
        <w:rPr>
          <w:rFonts w:hint="eastAsia" w:ascii="楷体" w:hAnsi="楷体" w:eastAsia="楷体" w:cs="楷体"/>
          <w:color w:val="auto"/>
          <w:sz w:val="28"/>
          <w:szCs w:val="28"/>
          <w:highlight w:val="none"/>
        </w:rPr>
        <w:t>国家工商行政管理总局</w:t>
      </w:r>
    </w:p>
    <w:p>
      <w:pPr>
        <w:jc w:val="center"/>
        <w:rPr>
          <w:rFonts w:ascii="楷体" w:hAnsi="楷体" w:eastAsia="楷体" w:cs="楷体"/>
          <w:b/>
          <w:bCs/>
          <w:color w:val="auto"/>
          <w:sz w:val="44"/>
          <w:szCs w:val="44"/>
          <w:highlight w:val="none"/>
        </w:rPr>
      </w:pPr>
      <w:r>
        <w:rPr>
          <w:rFonts w:hint="eastAsia" w:ascii="楷体" w:hAnsi="楷体" w:eastAsia="楷体" w:cs="楷体"/>
          <w:b/>
          <w:bCs/>
          <w:color w:val="auto"/>
          <w:sz w:val="36"/>
          <w:szCs w:val="36"/>
          <w:highlight w:val="none"/>
        </w:rPr>
        <w:t>第一部分  合同协议书</w:t>
      </w:r>
    </w:p>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发包人（全称）：</w:t>
      </w:r>
      <w:r>
        <w:rPr>
          <w:rFonts w:hint="eastAsia" w:ascii="楷体" w:hAnsi="楷体" w:eastAsia="楷体" w:cs="楷体"/>
          <w:color w:val="auto"/>
          <w:szCs w:val="21"/>
          <w:highlight w:val="none"/>
          <w:u w:val="single"/>
        </w:rPr>
        <w:t>盐城工业职业技术学院</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承包人（全称）：</w:t>
      </w:r>
      <w:r>
        <w:rPr>
          <w:rFonts w:hint="eastAsia" w:ascii="楷体" w:hAnsi="楷体" w:eastAsia="楷体" w:cs="楷体"/>
          <w:color w:val="auto"/>
          <w:szCs w:val="21"/>
          <w:highlight w:val="none"/>
          <w:u w:val="single"/>
        </w:rPr>
        <w:t>中标人</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依照《中华人民共和国合同法》、《中华人民共和国建筑法》、《中华人民共和国招标投标法》及相关法律、行政法规，遵循平等、自愿、公平和诚信原则，合同双方就</w:t>
      </w:r>
      <w:r>
        <w:rPr>
          <w:rFonts w:hint="eastAsia" w:ascii="楷体" w:hAnsi="楷体" w:eastAsia="楷体" w:cs="楷体"/>
          <w:color w:val="auto"/>
          <w:szCs w:val="21"/>
          <w:highlight w:val="none"/>
          <w:u w:val="single"/>
        </w:rPr>
        <w:t>盐城工业职业技术学院铁军文化苑设计施工一体化项目</w:t>
      </w:r>
      <w:r>
        <w:rPr>
          <w:rFonts w:hint="eastAsia" w:ascii="楷体" w:hAnsi="楷体" w:eastAsia="楷体" w:cs="楷体"/>
          <w:color w:val="auto"/>
          <w:szCs w:val="21"/>
          <w:highlight w:val="none"/>
        </w:rPr>
        <w:t>事宜经协商一致，订立本合同。</w:t>
      </w:r>
    </w:p>
    <w:p>
      <w:pPr>
        <w:spacing w:line="400" w:lineRule="exact"/>
        <w:ind w:left="482"/>
        <w:outlineLvl w:val="0"/>
        <w:rPr>
          <w:rFonts w:ascii="楷体" w:hAnsi="楷体" w:eastAsia="楷体" w:cs="楷体"/>
          <w:b/>
          <w:bCs/>
          <w:color w:val="auto"/>
          <w:szCs w:val="21"/>
          <w:highlight w:val="none"/>
          <w:u w:val="single"/>
        </w:rPr>
      </w:pPr>
      <w:r>
        <w:rPr>
          <w:rFonts w:hint="eastAsia" w:ascii="楷体" w:hAnsi="楷体" w:eastAsia="楷体" w:cs="楷体"/>
          <w:b/>
          <w:bCs/>
          <w:color w:val="auto"/>
          <w:szCs w:val="21"/>
          <w:highlight w:val="none"/>
        </w:rPr>
        <w:t>一、工程概况</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工程名称：</w:t>
      </w:r>
      <w:r>
        <w:rPr>
          <w:rFonts w:hint="eastAsia" w:ascii="楷体" w:hAnsi="楷体" w:eastAsia="楷体" w:cs="楷体"/>
          <w:color w:val="auto"/>
          <w:szCs w:val="21"/>
          <w:highlight w:val="none"/>
          <w:u w:val="single"/>
        </w:rPr>
        <w:t>盐城工业职业技术学院铁军文化苑设计施工一体化项目</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工程批准、核准或备案文号：</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工程内容及规模：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工程所在省市详细地址：</w:t>
      </w:r>
      <w:r>
        <w:rPr>
          <w:rFonts w:hint="eastAsia" w:ascii="楷体" w:hAnsi="楷体" w:eastAsia="楷体" w:cs="楷体"/>
          <w:color w:val="auto"/>
          <w:szCs w:val="21"/>
          <w:highlight w:val="none"/>
          <w:u w:val="single"/>
        </w:rPr>
        <w:t>盐城工业职业技术学院内。</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工程承包范围：</w:t>
      </w:r>
      <w:r>
        <w:rPr>
          <w:rFonts w:hint="eastAsia" w:ascii="楷体" w:hAnsi="楷体" w:eastAsia="楷体" w:cs="楷体"/>
          <w:color w:val="auto"/>
          <w:szCs w:val="21"/>
          <w:highlight w:val="none"/>
          <w:u w:val="single"/>
        </w:rPr>
        <w:t>承包范围主要为盐城工业职业技术学院铁军文化苑设计施工一体化项目,包括项目交付使用前全部设计和施工内容，直至竣工验收合格整体移交、后期培训及缺陷责任期内的保修等设计施工一体化项目的全部工作,发包人保留进行调整的权利。具体详见设计任务书。</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设计内容主要包含盐城工业职业技术学院铁军文化苑设计施工一体化项目范围内的方案设计、方案深化设计、施工图设计，主要包括但不限于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施工内容主要包含原创业一条街门店内外墙板更换为防火彩钢板，布展（含展品展项、装饰及改造等）、设备部分（包括智能化、电气、给排水、消防、通风、多媒体、声光电等）、软体部分等一切与项目相关的所有施工内容。</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本项目承包内容主要为包设计、包工、包料、包工期、包质量、包安全、包文明施工、包交付、包工程竣工验收备案、包整体移交（含档案移交）及竣工验收合格及缺陷责任期内的保修。</w:t>
      </w:r>
    </w:p>
    <w:p>
      <w:pPr>
        <w:spacing w:line="400" w:lineRule="exact"/>
        <w:ind w:left="482"/>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rPr>
        <w:t>二、工程主要生产技术（或建筑设计方案）来源：/</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三、主要日期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设计开工日期(绝对日期或相对日期)：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日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施工开工日期(绝对日期或相对日期)：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工程竣工日期(绝对日期或相对日期)：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总工期要求：</w:t>
      </w:r>
      <w:r>
        <w:rPr>
          <w:rFonts w:hint="eastAsia" w:ascii="楷体" w:hAnsi="楷体" w:eastAsia="楷体" w:cs="楷体"/>
          <w:color w:val="auto"/>
          <w:szCs w:val="21"/>
          <w:highlight w:val="none"/>
          <w:u w:val="single"/>
        </w:rPr>
        <w:t>30日历天（包含设计、施工等全过程工期）</w:t>
      </w:r>
      <w:r>
        <w:rPr>
          <w:rFonts w:hint="eastAsia" w:ascii="楷体" w:hAnsi="楷体" w:eastAsia="楷体" w:cs="楷体"/>
          <w:color w:val="auto"/>
          <w:szCs w:val="21"/>
          <w:highlight w:val="none"/>
        </w:rPr>
        <w:t>。</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四、工程质量标准</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合同约定的标准、设计图纸、设计文件中的技术数据和技术条件是工程材料设备采购、施工质量及竣工验收质量的依据。所有工程设计、采购和施工及双方约定的其他内容，须达到功能需求。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（1）设计质量标准：所有工程设计须符合现行国家、行业、地方的相关设计规范、标准、规定等要求，确保通过施工图审查（包括各专项审查），设计单位负责施工图送审、对接及配合并按要求进行修改。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（2）施工质量标准：符合现行国家施工及验收规范标准要求，符合国家“合格”标准。</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五、格和付款货币</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合同价格为人民币（大写）：</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元（小写金额：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详见合同价格清单分项表。除根据合同约定的在工程实施过程中需进行增减的款项外，合同价格不作调整。</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六、定义与解释</w:t>
      </w:r>
    </w:p>
    <w:p>
      <w:pPr>
        <w:spacing w:line="400" w:lineRule="exact"/>
        <w:ind w:left="482"/>
        <w:rPr>
          <w:rFonts w:ascii="楷体" w:hAnsi="楷体" w:eastAsia="楷体" w:cs="楷体"/>
          <w:color w:val="auto"/>
          <w:szCs w:val="21"/>
          <w:highlight w:val="none"/>
        </w:rPr>
      </w:pPr>
      <w:r>
        <w:rPr>
          <w:rFonts w:hint="eastAsia" w:ascii="楷体" w:hAnsi="楷体" w:eastAsia="楷体" w:cs="楷体"/>
          <w:color w:val="auto"/>
          <w:szCs w:val="21"/>
          <w:highlight w:val="none"/>
        </w:rPr>
        <w:t>本协议书中有关词语的含义与通用条款中赋予的定义与解释相同。</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七、合同订立</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1、订立时间：</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2、订立地点：</w:t>
      </w:r>
      <w:r>
        <w:rPr>
          <w:rFonts w:hint="eastAsia" w:ascii="楷体" w:hAnsi="楷体" w:eastAsia="楷体" w:cs="楷体"/>
          <w:color w:val="auto"/>
          <w:szCs w:val="21"/>
          <w:highlight w:val="none"/>
          <w:u w:val="single"/>
        </w:rPr>
        <w:t>盐城工业职业技术学院</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3、本合同一式</w:t>
      </w:r>
      <w:r>
        <w:rPr>
          <w:rFonts w:hint="eastAsia" w:ascii="楷体" w:hAnsi="楷体" w:eastAsia="楷体" w:cs="楷体"/>
          <w:color w:val="auto"/>
          <w:szCs w:val="21"/>
          <w:highlight w:val="none"/>
          <w:u w:val="single"/>
        </w:rPr>
        <w:t>11</w:t>
      </w:r>
      <w:r>
        <w:rPr>
          <w:rFonts w:hint="eastAsia" w:ascii="楷体" w:hAnsi="楷体" w:eastAsia="楷体" w:cs="楷体"/>
          <w:color w:val="auto"/>
          <w:szCs w:val="21"/>
          <w:highlight w:val="none"/>
        </w:rPr>
        <w:t>份，具有同等法律效力，双方各执</w:t>
      </w:r>
      <w:r>
        <w:rPr>
          <w:rFonts w:hint="eastAsia" w:ascii="楷体" w:hAnsi="楷体" w:eastAsia="楷体" w:cs="楷体"/>
          <w:color w:val="auto"/>
          <w:szCs w:val="21"/>
          <w:highlight w:val="none"/>
          <w:u w:val="single"/>
        </w:rPr>
        <w:t>5</w:t>
      </w:r>
      <w:r>
        <w:rPr>
          <w:rFonts w:hint="eastAsia" w:ascii="楷体" w:hAnsi="楷体" w:eastAsia="楷体" w:cs="楷体"/>
          <w:color w:val="auto"/>
          <w:szCs w:val="21"/>
          <w:highlight w:val="none"/>
        </w:rPr>
        <w:t>份。</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八、合同生效</w:t>
      </w:r>
    </w:p>
    <w:p>
      <w:pPr>
        <w:spacing w:line="400" w:lineRule="exact"/>
        <w:ind w:left="482"/>
        <w:rPr>
          <w:rFonts w:ascii="楷体" w:hAnsi="楷体" w:eastAsia="楷体" w:cs="楷体"/>
          <w:color w:val="auto"/>
          <w:szCs w:val="21"/>
          <w:highlight w:val="none"/>
          <w:u w:val="single"/>
        </w:rPr>
      </w:pPr>
      <w:r>
        <w:rPr>
          <w:rFonts w:hint="eastAsia" w:ascii="楷体" w:hAnsi="楷体" w:eastAsia="楷体" w:cs="楷体"/>
          <w:color w:val="auto"/>
          <w:szCs w:val="21"/>
          <w:highlight w:val="none"/>
        </w:rPr>
        <w:t>本合同在以下条件全部满足之后生效：</w:t>
      </w:r>
    </w:p>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spacing w:line="400" w:lineRule="exact"/>
        <w:ind w:firstLine="480"/>
        <w:rPr>
          <w:rFonts w:ascii="楷体" w:hAnsi="楷体" w:eastAsia="楷体" w:cs="楷体"/>
          <w:color w:val="auto"/>
          <w:szCs w:val="21"/>
          <w:highlight w:val="none"/>
        </w:rPr>
      </w:pPr>
      <w:r>
        <w:rPr>
          <w:rFonts w:hint="eastAsia" w:ascii="楷体" w:hAnsi="楷体" w:eastAsia="楷体" w:cs="楷体"/>
          <w:color w:val="auto"/>
          <w:szCs w:val="21"/>
          <w:highlight w:val="none"/>
        </w:rPr>
        <w:t>发包人：                            承包人：</w:t>
      </w:r>
    </w:p>
    <w:p>
      <w:pPr>
        <w:spacing w:line="400" w:lineRule="exact"/>
        <w:ind w:firstLine="315" w:firstLineChars="150"/>
        <w:rPr>
          <w:rFonts w:ascii="楷体" w:hAnsi="楷体" w:eastAsia="楷体" w:cs="楷体"/>
          <w:color w:val="auto"/>
          <w:szCs w:val="21"/>
          <w:highlight w:val="none"/>
        </w:rPr>
      </w:pPr>
      <w:r>
        <w:rPr>
          <w:rFonts w:hint="eastAsia" w:ascii="楷体" w:hAnsi="楷体" w:eastAsia="楷体" w:cs="楷体"/>
          <w:color w:val="auto"/>
          <w:szCs w:val="21"/>
          <w:highlight w:val="none"/>
        </w:rPr>
        <w:t>（公章或合同专用章）                （公章或合同专用章）</w:t>
      </w:r>
    </w:p>
    <w:p>
      <w:pPr>
        <w:spacing w:line="400" w:lineRule="exact"/>
        <w:ind w:firstLine="48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法定代表人或其授权代表：            法定代表人或其授权代表：  </w:t>
      </w:r>
    </w:p>
    <w:p>
      <w:pPr>
        <w:spacing w:line="400" w:lineRule="exact"/>
        <w:ind w:firstLine="315" w:firstLineChars="150"/>
        <w:rPr>
          <w:rFonts w:ascii="楷体" w:hAnsi="楷体" w:eastAsia="楷体" w:cs="楷体"/>
          <w:color w:val="auto"/>
          <w:szCs w:val="21"/>
          <w:highlight w:val="none"/>
        </w:rPr>
      </w:pPr>
      <w:r>
        <w:rPr>
          <w:rFonts w:hint="eastAsia" w:ascii="楷体" w:hAnsi="楷体" w:eastAsia="楷体" w:cs="楷体"/>
          <w:color w:val="auto"/>
          <w:szCs w:val="21"/>
          <w:highlight w:val="none"/>
        </w:rPr>
        <w:t>（签字）                            （签字）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工商注册住所：                      工商注册住所：</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企业组织机构代码：                  企业组织机构代码：</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邮政编码：                          邮政编码：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法定代表人：                        法定代表人：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授权代表：                          授权代表：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电  话：                            电  话：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传  真：                            传  真：</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电子邮箱：                          电子邮箱：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开户银行：                          开户银行：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账  号：                            账  号：     </w:t>
      </w:r>
    </w:p>
    <w:p>
      <w:pPr>
        <w:spacing w:line="360" w:lineRule="auto"/>
        <w:rPr>
          <w:rFonts w:ascii="楷体" w:hAnsi="楷体" w:eastAsia="楷体" w:cs="楷体"/>
          <w:color w:val="auto"/>
          <w:highlight w:val="none"/>
        </w:rPr>
      </w:pPr>
      <w:r>
        <w:rPr>
          <w:rFonts w:hint="eastAsia" w:ascii="楷体" w:hAnsi="楷体" w:eastAsia="楷体" w:cs="楷体"/>
          <w:color w:val="auto"/>
          <w:highlight w:val="none"/>
        </w:rPr>
        <w:t xml:space="preserve"> </w:t>
      </w:r>
    </w:p>
    <w:p>
      <w:pPr>
        <w:jc w:val="center"/>
        <w:rPr>
          <w:rFonts w:ascii="楷体" w:hAnsi="楷体" w:eastAsia="楷体" w:cs="楷体"/>
          <w:b/>
          <w:bCs/>
          <w:color w:val="auto"/>
          <w:sz w:val="44"/>
          <w:szCs w:val="44"/>
          <w:highlight w:val="none"/>
        </w:rPr>
      </w:pPr>
      <w:r>
        <w:rPr>
          <w:rFonts w:hint="eastAsia" w:ascii="楷体" w:hAnsi="楷体" w:eastAsia="楷体" w:cs="楷体"/>
          <w:b/>
          <w:bCs/>
          <w:color w:val="auto"/>
          <w:sz w:val="44"/>
          <w:szCs w:val="44"/>
          <w:highlight w:val="none"/>
        </w:rPr>
        <w:t xml:space="preserve"> </w:t>
      </w:r>
      <w:r>
        <w:rPr>
          <w:rFonts w:hint="eastAsia" w:ascii="楷体" w:hAnsi="楷体" w:eastAsia="楷体" w:cs="楷体"/>
          <w:b/>
          <w:bCs/>
          <w:color w:val="auto"/>
          <w:sz w:val="36"/>
          <w:szCs w:val="36"/>
          <w:highlight w:val="none"/>
        </w:rPr>
        <w:t>第二部分通用条款</w:t>
      </w:r>
    </w:p>
    <w:p>
      <w:pPr>
        <w:spacing w:line="360" w:lineRule="auto"/>
        <w:rPr>
          <w:rFonts w:ascii="楷体" w:hAnsi="楷体" w:eastAsia="楷体" w:cs="楷体"/>
          <w:color w:val="auto"/>
          <w:szCs w:val="21"/>
          <w:highlight w:val="none"/>
        </w:rPr>
      </w:pPr>
      <w:r>
        <w:rPr>
          <w:rFonts w:hint="eastAsia" w:ascii="楷体" w:hAnsi="楷体" w:eastAsia="楷体" w:cs="楷体"/>
          <w:color w:val="auto"/>
          <w:highlight w:val="none"/>
        </w:rPr>
        <w:t xml:space="preserve"> </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同建设项目工程总承包合同示范文本（GF-2011-0216）内的通用合同条款</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b/>
          <w:bCs/>
          <w:color w:val="auto"/>
          <w:sz w:val="44"/>
          <w:szCs w:val="44"/>
          <w:highlight w:val="none"/>
        </w:rPr>
      </w:pPr>
      <w:r>
        <w:rPr>
          <w:rFonts w:hint="eastAsia" w:ascii="楷体" w:hAnsi="楷体" w:eastAsia="楷体" w:cs="楷体"/>
          <w:b/>
          <w:bCs/>
          <w:color w:val="auto"/>
          <w:sz w:val="36"/>
          <w:szCs w:val="36"/>
          <w:highlight w:val="none"/>
        </w:rPr>
        <w:t>第三部分专用条款</w:t>
      </w:r>
    </w:p>
    <w:p>
      <w:pPr>
        <w:spacing w:line="400" w:lineRule="exact"/>
        <w:ind w:firstLine="411" w:firstLineChars="196"/>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第1条一般规定</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1.1  定义与解释</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1.1.51 双方约定的视为不可抗力处理的其它情形如下：</w:t>
      </w:r>
      <w:r>
        <w:rPr>
          <w:rFonts w:hint="eastAsia" w:ascii="楷体" w:hAnsi="楷体" w:eastAsia="楷体" w:cs="楷体"/>
          <w:color w:val="auto"/>
          <w:szCs w:val="21"/>
          <w:highlight w:val="none"/>
          <w:u w:val="single"/>
        </w:rPr>
        <w:t xml:space="preserve">按照国家法律法规等规定执行，包括：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（1）战争、叛乱、恐怖主义、骚乱、空中飞行物体坠落或其他非发包人或承包人责任造成的爆炸、火灾、自然灾害等以及《合同法》中不可抗力定义的内容。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（2）本地区发生烈度Ⅶ度以上(含Ⅶ度)的地震。</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1.1.52 双方根据本合同工程的特点，补充约定的其它定义：/</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  语言文字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本合同除使用汉语外，还使用</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语言。</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  适用法律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合同双方需要明示的法律、行政法规、地方性法规：</w:t>
      </w:r>
      <w:r>
        <w:rPr>
          <w:rFonts w:hint="eastAsia" w:ascii="楷体" w:hAnsi="楷体" w:eastAsia="楷体" w:cs="楷体"/>
          <w:color w:val="auto"/>
          <w:szCs w:val="21"/>
          <w:highlight w:val="none"/>
          <w:u w:val="single"/>
        </w:rPr>
        <w:t>《中华人民共和国合同法》、《中华人民共和国建筑法》、《中华人民共和国招标投标法》、《建设工程质量管理条例》、《中华人民共和国安全生产法》及部省市建设主管部门现行的法律、法规。</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按照通用条款约定执行，但通用条款中约定范围的技术标准与规范不一致的，应按两者间最高标准执行；承包人应当加强对工程总承包项目的管理，按照《建设项目工程总承包管理规范（GB-T50358-2017）要求对本工程进行总承包管理。</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  标准、规范</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1.5.1 本合同适用的标准、规范（名称）：</w:t>
      </w:r>
      <w:r>
        <w:rPr>
          <w:rFonts w:hint="eastAsia" w:ascii="楷体" w:hAnsi="楷体" w:eastAsia="楷体" w:cs="楷体"/>
          <w:color w:val="auto"/>
          <w:szCs w:val="21"/>
          <w:highlight w:val="none"/>
          <w:u w:val="single"/>
        </w:rPr>
        <w:t xml:space="preserve">  按照通用条款约定执行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1.5.2  发包人提供的国外标准、规范的名称、份数和时间：</w:t>
      </w:r>
      <w:r>
        <w:rPr>
          <w:rFonts w:hint="eastAsia" w:ascii="楷体" w:hAnsi="楷体" w:eastAsia="楷体" w:cs="楷体"/>
          <w:color w:val="auto"/>
          <w:szCs w:val="21"/>
          <w:highlight w:val="none"/>
          <w:u w:val="single"/>
        </w:rPr>
        <w:t xml:space="preserve"> 不提供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1.5.3  没有成文规范、标准规定的约定：</w:t>
      </w:r>
      <w:r>
        <w:rPr>
          <w:rFonts w:hint="eastAsia" w:ascii="楷体" w:hAnsi="楷体" w:eastAsia="楷体" w:cs="楷体"/>
          <w:color w:val="auto"/>
          <w:szCs w:val="21"/>
          <w:highlight w:val="none"/>
          <w:u w:val="single"/>
        </w:rPr>
        <w:t xml:space="preserve"> 执行通用条款约定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发包人的技术要求及提交时间：</w:t>
      </w:r>
      <w:r>
        <w:rPr>
          <w:rFonts w:hint="eastAsia" w:ascii="楷体" w:hAnsi="楷体" w:eastAsia="楷体" w:cs="楷体"/>
          <w:color w:val="auto"/>
          <w:szCs w:val="21"/>
          <w:highlight w:val="none"/>
          <w:u w:val="single"/>
        </w:rPr>
        <w:t xml:space="preserve">按招标文件要求提出相关技术要求或建设标准。 </w:t>
      </w:r>
    </w:p>
    <w:p>
      <w:pPr>
        <w:spacing w:line="400" w:lineRule="exact"/>
        <w:ind w:firstLine="465"/>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承包人提交实施方法的时间：</w:t>
      </w:r>
      <w:r>
        <w:rPr>
          <w:rFonts w:hint="eastAsia" w:ascii="楷体" w:hAnsi="楷体" w:eastAsia="楷体" w:cs="楷体"/>
          <w:color w:val="auto"/>
          <w:szCs w:val="21"/>
          <w:highlight w:val="none"/>
          <w:u w:val="single"/>
        </w:rPr>
        <w:t>中标通知书发放后3日内</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1.6  保密事项</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双方签订的商业保密协议（名称）：</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，作为本合同附件。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双方签订的技术保密协议（名称）：</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，作为本合同附件。</w:t>
      </w:r>
    </w:p>
    <w:p>
      <w:pPr>
        <w:spacing w:line="400" w:lineRule="exact"/>
        <w:ind w:firstLine="411" w:firstLineChars="196"/>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第2条发包人</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2.2  发包人代表</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发包人代表的姓名：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发包人代表的职务：</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发包人代表的职责：代表发包方全权行使工程管理中依法规定应给予的发包人职责；根据工程实际需要，提请召开工程协调会，协调工程建设中急需解决的问题。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2.3 监理人</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监理单位名称：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工程总监理姓名：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监理的范围：</w:t>
      </w:r>
      <w:r>
        <w:rPr>
          <w:rFonts w:hint="eastAsia" w:ascii="楷体" w:hAnsi="楷体" w:eastAsia="楷体" w:cs="楷体"/>
          <w:color w:val="auto"/>
          <w:szCs w:val="21"/>
          <w:highlight w:val="none"/>
          <w:u w:val="single"/>
        </w:rPr>
        <w:t xml:space="preserve">执行本工程发包人和监理人签订的《工程监理合同》的约定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监理的内容：</w:t>
      </w:r>
      <w:r>
        <w:rPr>
          <w:rFonts w:hint="eastAsia" w:ascii="楷体" w:hAnsi="楷体" w:eastAsia="楷体" w:cs="楷体"/>
          <w:color w:val="auto"/>
          <w:szCs w:val="21"/>
          <w:highlight w:val="none"/>
          <w:u w:val="single"/>
        </w:rPr>
        <w:t xml:space="preserve">执行本工程发包人和监理人签订的《工程监理合同》的约定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监理的权限：根据本工程的《建设工程委托监理合同》行使监理人权限，监理人权限的行使需预先取得发包人的同意和授权，监理人应向承包人出具相关同意的证明。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2.5  保安责任</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2.5.1现场保安责任的约定。在以下两者中选择其一，作为合同双方对现场保安责任的约定。</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□发包人负责保安的归口管理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R委托承包人负责保安管理</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2.5.2保安区域责任划分及双方相关保安制度、责任制度和报告制度的约定：</w:t>
      </w:r>
      <w:r>
        <w:rPr>
          <w:rFonts w:hint="eastAsia" w:ascii="楷体" w:hAnsi="楷体" w:eastAsia="楷体" w:cs="楷体"/>
          <w:color w:val="auto"/>
          <w:szCs w:val="21"/>
          <w:highlight w:val="none"/>
          <w:u w:val="single"/>
        </w:rPr>
        <w:t>由承包人负责。</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第3条承包人</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3.1 承包人权利和义务的相关约定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3.1.1 除执行《建设项目工程总承包管理规范》（GB-T50358-2017）要求和本合同通用条款约定外，承包人还应根据本项目情况加强如下管理和协调工作，包括：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与相关部门沟通协调，为工程顺利实施创造条件</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服从发包人、监理人、跟踪审计、质监和安监管理部门及监察、审计部门的监管，加强质量管理、进度监控、安全文明管理和工程造价控制等。</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与其它专业单位及其它协作单位密切配合，杜绝工程实施的阻力与风险</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（4）</w:t>
      </w:r>
      <w:r>
        <w:rPr>
          <w:rFonts w:hint="eastAsia" w:ascii="楷体" w:hAnsi="楷体" w:eastAsia="楷体" w:cs="楷体"/>
          <w:color w:val="auto"/>
          <w:szCs w:val="21"/>
          <w:highlight w:val="none"/>
          <w:u w:val="single"/>
        </w:rPr>
        <w:t xml:space="preserve">加强与发包人及审计单位沟通，使项目按预定目标发挥社会效益和经济效益。 </w:t>
      </w:r>
    </w:p>
    <w:p>
      <w:pPr>
        <w:spacing w:line="400" w:lineRule="exact"/>
        <w:ind w:firstLine="420" w:firstLineChars="200"/>
        <w:outlineLvl w:val="0"/>
        <w:rPr>
          <w:rFonts w:ascii="楷体" w:hAnsi="楷体" w:eastAsia="楷体" w:cs="楷体"/>
          <w:b/>
          <w:bCs/>
          <w:color w:val="auto"/>
          <w:szCs w:val="21"/>
          <w:highlight w:val="none"/>
          <w:u w:val="single"/>
        </w:rPr>
      </w:pPr>
      <w:r>
        <w:rPr>
          <w:rFonts w:hint="eastAsia" w:ascii="楷体" w:hAnsi="楷体" w:eastAsia="楷体" w:cs="楷体"/>
          <w:b/>
          <w:bCs/>
          <w:color w:val="auto"/>
          <w:szCs w:val="21"/>
          <w:highlight w:val="none"/>
        </w:rPr>
        <w:t>（5）</w:t>
      </w:r>
      <w:r>
        <w:rPr>
          <w:rFonts w:hint="eastAsia" w:ascii="楷体" w:hAnsi="楷体" w:eastAsia="楷体" w:cs="楷体"/>
          <w:b/>
          <w:bCs/>
          <w:color w:val="auto"/>
          <w:szCs w:val="21"/>
          <w:highlight w:val="none"/>
          <w:u w:val="single"/>
        </w:rPr>
        <w:t xml:space="preserve">在中标通知书发放后3日内，承包人须按发包人要求提交5份书面详细的工程施工组织设计方案和所需施工专项方案（含电子档）。对于关键部位和节点工程，应按发包人要求提交切实可行的专项施工方案，经审查批准后按方案实施；中标通知书发放后3日内应按发包人要求提供签字盖章的总进度计划和周进度计划各3份，发包人依此计划进行督查考核。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（6）</w:t>
      </w:r>
      <w:r>
        <w:rPr>
          <w:rFonts w:hint="eastAsia" w:ascii="楷体" w:hAnsi="楷体" w:eastAsia="楷体" w:cs="楷体"/>
          <w:color w:val="auto"/>
          <w:szCs w:val="21"/>
          <w:highlight w:val="none"/>
          <w:u w:val="single"/>
        </w:rPr>
        <w:t xml:space="preserve">承担施工安全保卫工作及夜间施工照明的责任和要求：在实施和完成本工程过程中，承包人应加强安全管理，非施工人员不得进入现场，保证施工现场所有人员安全，采取有效措施，使施工区域内的施工秩序有条不紊；为保护工程免遭损坏，或为现场附近和过往人群的安全与方便，在确有必要的时候和地方，或当发包人或有关主管部门要求时，承包人应增加安全防护措施并承担相应费用，竣工结算时发包人不另行增加费用。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w:t>
      </w:r>
      <w:r>
        <w:rPr>
          <w:rFonts w:hint="eastAsia" w:ascii="楷体" w:hAnsi="楷体" w:eastAsia="楷体" w:cs="楷体"/>
          <w:color w:val="auto"/>
          <w:szCs w:val="21"/>
          <w:highlight w:val="none"/>
          <w:u w:val="single"/>
        </w:rPr>
        <w:t xml:space="preserve">承包人应自行办理的有关施工场地交通、环卫和施工噪音管理等手续包括：涉及交通、环卫、市容(含建筑垃圾外运)、环保及劳务用工管理等所有协调工作，承包人须按照地方管理部门及发包人的要求执行并承担所发生的一切费用，竣工结算时发包人不另行增加费用。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（8）</w:t>
      </w:r>
      <w:r>
        <w:rPr>
          <w:rFonts w:hint="eastAsia" w:ascii="楷体" w:hAnsi="楷体" w:eastAsia="楷体" w:cs="楷体"/>
          <w:color w:val="auto"/>
          <w:szCs w:val="21"/>
          <w:highlight w:val="none"/>
          <w:u w:val="single"/>
        </w:rPr>
        <w:t xml:space="preserve">已完工程成品保护的特殊要求及费用承担：由承包人负责成品保护并承担费用。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（9）</w:t>
      </w:r>
      <w:r>
        <w:rPr>
          <w:rFonts w:hint="eastAsia" w:ascii="楷体" w:hAnsi="楷体" w:eastAsia="楷体" w:cs="楷体"/>
          <w:color w:val="auto"/>
          <w:szCs w:val="21"/>
          <w:highlight w:val="none"/>
          <w:u w:val="single"/>
        </w:rPr>
        <w:t>施工场地清洁卫生的要求：按江苏省、盐城市有关规定执行，文明施工，保证工完场清。按发包人要求统一制作承包人施工区域内施工围挡，各项标识，标牌并进行日常维护，便于检查、视察或参观。</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（10）</w:t>
      </w:r>
      <w:r>
        <w:rPr>
          <w:rFonts w:hint="eastAsia" w:ascii="楷体" w:hAnsi="楷体" w:eastAsia="楷体" w:cs="楷体"/>
          <w:color w:val="auto"/>
          <w:szCs w:val="21"/>
          <w:highlight w:val="none"/>
          <w:u w:val="single"/>
        </w:rPr>
        <w:t>承包人应严格执行江苏省、盐城市相关民工工资保障金管理办法，不论何种原因，均不得拖欠民工工资。</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（11）</w:t>
      </w:r>
      <w:r>
        <w:rPr>
          <w:rFonts w:hint="eastAsia" w:ascii="楷体" w:hAnsi="楷体" w:eastAsia="楷体" w:cs="楷体"/>
          <w:color w:val="auto"/>
          <w:szCs w:val="21"/>
          <w:highlight w:val="none"/>
          <w:u w:val="single"/>
        </w:rPr>
        <w:t xml:space="preserve">为确保本项目整体目标全面实现，承包人负责办理相关手续包括(但不限于)办理施工许可证、报检、施工图审查（含消防图审）等手续审批，承包人负责办理上述相关工作所发生的所有费用按规定执行。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（12）</w:t>
      </w:r>
      <w:r>
        <w:rPr>
          <w:rFonts w:hint="eastAsia" w:ascii="楷体" w:hAnsi="楷体" w:eastAsia="楷体" w:cs="楷体"/>
          <w:color w:val="auto"/>
          <w:szCs w:val="21"/>
          <w:highlight w:val="none"/>
          <w:u w:val="single"/>
        </w:rPr>
        <w:t xml:space="preserve">承包人完成的其他永久工程或临时工程，包括但不限于：承包人须完成的临时设施，包括安全文明施工等。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（13）相关各方约定承包人应做的相关工作：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① </w:t>
      </w:r>
      <w:r>
        <w:rPr>
          <w:rFonts w:hint="eastAsia" w:ascii="楷体" w:hAnsi="楷体" w:eastAsia="楷体" w:cs="楷体"/>
          <w:color w:val="auto"/>
          <w:szCs w:val="21"/>
          <w:highlight w:val="none"/>
          <w:u w:val="single"/>
        </w:rPr>
        <w:t xml:space="preserve">应接受发包人、监理人的现场协调管理，合理调动资源，保障工期目标的实现。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② </w:t>
      </w:r>
      <w:r>
        <w:rPr>
          <w:rFonts w:hint="eastAsia" w:ascii="楷体" w:hAnsi="楷体" w:eastAsia="楷体" w:cs="楷体"/>
          <w:color w:val="auto"/>
          <w:szCs w:val="21"/>
          <w:highlight w:val="none"/>
          <w:u w:val="single"/>
        </w:rPr>
        <w:t xml:space="preserve">施工协调管理：承包人应能与施工现场各方做到协调良好、配合一致、专业互补，在工地现场服从发包人的统筹协调管理，如有违反，承包人承担违约责任，发包人有权对承包人进行处罚。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③ </w:t>
      </w:r>
      <w:r>
        <w:rPr>
          <w:rFonts w:hint="eastAsia" w:ascii="楷体" w:hAnsi="楷体" w:eastAsia="楷体" w:cs="楷体"/>
          <w:color w:val="auto"/>
          <w:szCs w:val="21"/>
          <w:highlight w:val="none"/>
          <w:u w:val="single"/>
        </w:rPr>
        <w:t xml:space="preserve">承包人必须遵守建设工程施工等方面的相关规定，服从行政主管部门的管理。凡涉及到承包人的施工备案、夜间施工、车辆准运等有关证、照，均由承包人自行办理，发包人给予配合，所发生的费用均由承包人承担，包括排污管理费、噪声管理费、垃圾管理费等。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b/>
          <w:bCs/>
          <w:color w:val="auto"/>
          <w:szCs w:val="21"/>
          <w:highlight w:val="none"/>
        </w:rPr>
        <w:t xml:space="preserve">④ </w:t>
      </w:r>
      <w:r>
        <w:rPr>
          <w:rFonts w:hint="eastAsia" w:ascii="楷体" w:hAnsi="楷体" w:eastAsia="楷体" w:cs="楷体"/>
          <w:color w:val="auto"/>
          <w:szCs w:val="21"/>
          <w:highlight w:val="none"/>
          <w:u w:val="single"/>
        </w:rPr>
        <w:t xml:space="preserve">工程施工过程中，如因城市重大活动等，可能对工期产生不利影响，承包人应按照要求做出必要的调整和配合，费用自理，工期不顺延。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（14）承包人应承担的其他义务，包括但不限于：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 xml:space="preserve">采取环保措施，达到环保要求的责任和费用，包括：环境污染防治措施；大气污染防治措施；施工噪音防护措施等；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②</w:t>
      </w:r>
      <w:r>
        <w:rPr>
          <w:rFonts w:hint="eastAsia" w:ascii="楷体" w:hAnsi="楷体" w:eastAsia="楷体" w:cs="楷体"/>
          <w:color w:val="auto"/>
          <w:szCs w:val="21"/>
          <w:highlight w:val="none"/>
          <w:u w:val="single"/>
        </w:rPr>
        <w:t xml:space="preserve">招标阶段发包人提供给承包人的相关资料仅供参考，承包人应自行踏勘现场，了解招标范围、设计要求、工期要求、工艺要求、工作界面、道路装卸限制，现场水源、电源情况，并将上述因素在投标报价时充分考虑，任何因误解工地情况导致的费用索赔招标人不予接受。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（15）</w:t>
      </w:r>
      <w:r>
        <w:rPr>
          <w:rFonts w:hint="eastAsia" w:ascii="楷体" w:hAnsi="楷体" w:eastAsia="楷体" w:cs="楷体"/>
          <w:color w:val="auto"/>
          <w:szCs w:val="21"/>
          <w:highlight w:val="none"/>
          <w:u w:val="single"/>
        </w:rPr>
        <w:t xml:space="preserve">在工程实施过程中发生未按发包人审核确认后的图纸进行施工的，每发生一次须向发包人支付人民币 10000 元违约金，且须按发包人审核确认后的图纸无条件整改到位，已施工且未按发包人审核确认后图纸要求的部分由承包人自行拆除，并承担由此造成的一切损失（即发包人对上述拆除、整改等增加的费用不给予任何补偿，且工期不予顺延）。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（16）风险约定：除本合同专用条款约定允许调整的合同价格外，其余一切可预见或不可预见的风险均由承包人承担。竣工结算时，发包人不另行增加费用。具体详见本合同专用条款的结算办法。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3.1.3 经合同双方商定，承包人应提交的报表类别、名称、要求、报告期、提交的时间和份数：</w:t>
      </w:r>
      <w:r>
        <w:rPr>
          <w:rFonts w:hint="eastAsia" w:ascii="楷体" w:hAnsi="楷体" w:eastAsia="楷体" w:cs="楷体"/>
          <w:color w:val="auto"/>
          <w:szCs w:val="21"/>
          <w:highlight w:val="none"/>
          <w:u w:val="single"/>
        </w:rPr>
        <w:t xml:space="preserve">设计进度计划、采购计划、施工总进度计划、周进度计划和施工组织设计，书面一式3份及电子档一份。如因承包人编制的各项计划无法通过监理单位审查，发包人有权终止合同。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3.2 总承包项目各级负责人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3.2.1</w:t>
      </w:r>
      <w:r>
        <w:rPr>
          <w:rFonts w:hint="eastAsia" w:ascii="楷体" w:hAnsi="楷体" w:eastAsia="楷体" w:cs="楷体"/>
          <w:color w:val="auto"/>
          <w:szCs w:val="21"/>
          <w:highlight w:val="none"/>
          <w:u w:val="single"/>
        </w:rPr>
        <w:t xml:space="preserve">按招标时约定，承包人须委派一名项目负责人，具体负责项目实施的计划、组织、协调、领导和控制，对项目的设计、采购、施工质量、安全文明、进度和费用等全面负责。项目负责人应常驻现场进行管理，中途如须离开，必须经发包人同意。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3.2.2</w:t>
      </w:r>
      <w:r>
        <w:rPr>
          <w:rFonts w:hint="eastAsia" w:ascii="楷体" w:hAnsi="楷体" w:eastAsia="楷体" w:cs="楷体"/>
          <w:color w:val="auto"/>
          <w:szCs w:val="21"/>
          <w:highlight w:val="none"/>
          <w:u w:val="single"/>
        </w:rPr>
        <w:t xml:space="preserve">中途项目负责人需离岗必须履行书面请假手续并经发包人同意。若未经发包人同意而擅自离岗的，将处以每天5000元的违约金，承包人必须在发包人处罚决定后 3 日内以现金形式交由发包人。若擅自离岗连续达7天以上的，经发包人提出仍未改正的，发包人有权终止合同，因此给发包人造成损失的，发包人将依法追偿。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rPr>
        <w:t>3.2.3</w:t>
      </w:r>
      <w:r>
        <w:rPr>
          <w:rFonts w:hint="eastAsia" w:ascii="楷体" w:hAnsi="楷体" w:eastAsia="楷体" w:cs="楷体"/>
          <w:color w:val="auto"/>
          <w:szCs w:val="21"/>
          <w:highlight w:val="none"/>
          <w:u w:val="single"/>
        </w:rPr>
        <w:t xml:space="preserve">未经发包人同意承包人擅自更换项目负责人的，发包人可中止合同，因此给发包人造成损失的，发包人将依法追偿。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项目负责人（即总承包项目经理）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执业资格等级（如有）：</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建设工程系列技术职称：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技术职称证书号：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身份证号：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职务：</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联系电话：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电子信箱：</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项目负责人权限：</w:t>
      </w:r>
      <w:r>
        <w:rPr>
          <w:rFonts w:hint="eastAsia" w:ascii="楷体" w:hAnsi="楷体" w:eastAsia="楷体" w:cs="楷体"/>
          <w:color w:val="auto"/>
          <w:szCs w:val="21"/>
          <w:highlight w:val="none"/>
          <w:u w:val="single"/>
        </w:rPr>
        <w:t xml:space="preserve">全面负责本合同中所有工程的设计（优化和深化）、采购和施工及验收等全过程总承包及其管理协调工作，并对工程的质量、安全、进度、文明施工等负总责。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因擅自更换项目负责人或项目负责人兼职其它项目经理的违约约定：</w:t>
      </w:r>
      <w:r>
        <w:rPr>
          <w:rFonts w:hint="eastAsia" w:ascii="楷体" w:hAnsi="楷体" w:eastAsia="楷体" w:cs="楷体"/>
          <w:color w:val="auto"/>
          <w:szCs w:val="21"/>
          <w:highlight w:val="none"/>
          <w:u w:val="single"/>
        </w:rPr>
        <w:t xml:space="preserve">中标的项目负责人，不因任何情形而更换，且出勤率不少于80%（确定为每月22个工作日），如发生更换或出勤率少于80%，除接受招标文件约定的处罚外，自愿另行接受合同价 2%的扣款。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承包人须根据行业、地方主管部门、发包人的要求和实际施工需要，增加或调整相关专业的施工负责人员。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3.3 承包人人员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3.3.1 承包人提交项目管理机构及施工现场管理人员安排报告的期限：</w:t>
      </w:r>
      <w:r>
        <w:rPr>
          <w:rFonts w:hint="eastAsia" w:ascii="楷体" w:hAnsi="楷体" w:eastAsia="楷体" w:cs="楷体"/>
          <w:color w:val="auto"/>
          <w:szCs w:val="21"/>
          <w:highlight w:val="none"/>
          <w:u w:val="single"/>
        </w:rPr>
        <w:t xml:space="preserve">中标通知书发放后3日内 。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施工现场主要管理人员：技术负责人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，质检员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，施工员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，安全员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3.3.2承包人无正当理由拒绝撤换主要施工管理人员的违约责任：</w:t>
      </w:r>
      <w:r>
        <w:rPr>
          <w:rFonts w:hint="eastAsia" w:ascii="楷体" w:hAnsi="楷体" w:eastAsia="楷体" w:cs="楷体"/>
          <w:color w:val="auto"/>
          <w:szCs w:val="21"/>
          <w:highlight w:val="none"/>
          <w:u w:val="single"/>
        </w:rPr>
        <w:t xml:space="preserve">经发包人提出后，承包人拒绝更换的，发包人有权终止合同，因此给发包人造成损失的，发包人将依法追偿。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3.3.3承包人主要施工管理人员离开施工现场的批准要求：</w:t>
      </w:r>
      <w:r>
        <w:rPr>
          <w:rFonts w:hint="eastAsia" w:ascii="楷体" w:hAnsi="楷体" w:eastAsia="楷体" w:cs="楷体"/>
          <w:color w:val="auto"/>
          <w:szCs w:val="21"/>
          <w:highlight w:val="none"/>
          <w:u w:val="single"/>
        </w:rPr>
        <w:t xml:space="preserve">中途主要施工管理人员需离岗必须履行书面请假手续并经发包人同意。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3.3.4承包人擅自更换主要施工管理人员的违约责任：</w:t>
      </w:r>
      <w:r>
        <w:rPr>
          <w:rFonts w:hint="eastAsia" w:ascii="楷体" w:hAnsi="楷体" w:eastAsia="楷体" w:cs="楷体"/>
          <w:color w:val="auto"/>
          <w:szCs w:val="21"/>
          <w:highlight w:val="none"/>
          <w:u w:val="single"/>
        </w:rPr>
        <w:t xml:space="preserve">发包人有权终止合同，因此给发包人造成损失的，发包人将依法追偿。工程开工时，承包人应出具书面授权委托书明确主要施工管理人员，并按投标文件要求明确现场管理机构。项目负责人和项目部人员必须和投标文件一致并常驻现场，如项目实施过程中，提供的人员中每少一人参与项目实施或提供的人员不能胜任工作的，发包人将有权建议更换，直至更换至能胜任现场管理工作为止，并且发包人有权处承包人不少于5000元/人的处罚，承包人必须在发包人处罚决定后3日内以现金形式交由发包人；项目负责人和项目部人员中途如需离开，必须书面申请，具体细则详见本合同条款及格式中的约定。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3.3.5承包人主要施工管理人员擅自离开施工现场的违约责任：</w:t>
      </w:r>
      <w:r>
        <w:rPr>
          <w:rFonts w:hint="eastAsia" w:ascii="楷体" w:hAnsi="楷体" w:eastAsia="楷体" w:cs="楷体"/>
          <w:color w:val="auto"/>
          <w:szCs w:val="21"/>
          <w:highlight w:val="none"/>
          <w:u w:val="single"/>
        </w:rPr>
        <w:t xml:space="preserve">若未经发包人同意而擅自离岗的，将处以每人每天3000元的违约金，承包人必须在发包人处罚决定后3日内以现金形式交由发包人。若擅自离岗连续达7天以上的，经发包人提出仍未改正的，发包人有权终止合同，因此给发包人造成损失的，发包人将依法追偿。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注：工程项目部管理人员必须严格按招投标文件要求及时配备到位。所有人员有持证要求的必须持证上岗，在项目经理的统一领导下，尽心尽职地做好本职工作。如不能胜任工作的，发包人将有权建议更换，直到更换至能胜任现场管理工作为止。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3.8 分包</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3.3.1 分包约定</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约定的分包工作事项：</w:t>
      </w:r>
      <w:r>
        <w:rPr>
          <w:rFonts w:hint="eastAsia" w:ascii="楷体" w:hAnsi="楷体" w:eastAsia="楷体" w:cs="楷体"/>
          <w:color w:val="auto"/>
          <w:szCs w:val="21"/>
          <w:highlight w:val="none"/>
          <w:u w:val="single"/>
        </w:rPr>
        <w:t xml:space="preserve">承包人必须就分包事项向发包人提出申请，经发包人审核批准后方可依法分包，但不得转包和违法分包。承包人必须按国家相关规定依法组织分包并经发包人同意，并就分包工程向发包人承担连带责任。分包人应符合国家法律规定的企业资质等级，并在分包前报发包人审批同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承包人不得将本合同范围内的关键施工任务进行分包，特殊专业工程施工须经发包人同意后分包给具有相应资质的施工单位。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 xml:space="preserve">承包人可根据法律规定、投标分包计划并经发包人同意，将专业工程分包给具有相应资质的施工单位。承包人应当加强对分包单位的管理，监督分包单位不得将工程转包或分包。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承包人对本工程总承包合同项下所有建设工程的“深化设计（遵循原设计成果）、采购、施工、验收”整个过程负总责。</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w:t>
      </w:r>
      <w:r>
        <w:rPr>
          <w:rFonts w:hint="eastAsia" w:ascii="楷体" w:hAnsi="楷体" w:eastAsia="楷体" w:cs="楷体"/>
          <w:color w:val="auto"/>
          <w:szCs w:val="21"/>
          <w:highlight w:val="none"/>
          <w:u w:val="single"/>
        </w:rPr>
        <w:t>发包人对承包人与分包单位之间的法律与经济纠纷不承担任何义务和责任。</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第4条进度计划、延误和暂停</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4.1项目进度计划</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承包人提交项目进度计划的份数和时间：</w:t>
      </w:r>
      <w:r>
        <w:rPr>
          <w:rFonts w:hint="eastAsia" w:ascii="楷体" w:hAnsi="楷体" w:eastAsia="楷体" w:cs="楷体"/>
          <w:color w:val="auto"/>
          <w:szCs w:val="21"/>
          <w:highlight w:val="none"/>
          <w:u w:val="single"/>
        </w:rPr>
        <w:t xml:space="preserve">一式 3份及电子档一份，中标通知书发放3日内将进度计划提交总监理工程师审核，并严格按审核的进度计划进行施工并接受发包人的考核。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4.3采购进度计划</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4.3.1采购进度计划提交的份数和日期：</w:t>
      </w:r>
      <w:r>
        <w:rPr>
          <w:rFonts w:hint="eastAsia" w:ascii="楷体" w:hAnsi="楷体" w:eastAsia="楷体" w:cs="楷体"/>
          <w:color w:val="auto"/>
          <w:szCs w:val="21"/>
          <w:highlight w:val="none"/>
          <w:u w:val="single"/>
        </w:rPr>
        <w:t>根据项目进度按监理人或发包人及跟踪审计的要求执行，并应与承包人提供的项目进度计划时间安排相一致，份数满足需要（同时提交相同内容的电子档一份。</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4.3.2采购开始日期：</w:t>
      </w:r>
      <w:r>
        <w:rPr>
          <w:rFonts w:hint="eastAsia" w:ascii="楷体" w:hAnsi="楷体" w:eastAsia="楷体" w:cs="楷体"/>
          <w:color w:val="auto"/>
          <w:szCs w:val="21"/>
          <w:highlight w:val="none"/>
          <w:u w:val="single"/>
        </w:rPr>
        <w:t>承包人须根据项目进度按监理人或发包人及其跟踪审计的要求执行，并应与经监理人等单位审核的项目总体进度计划、周进度计划时间安排相一致。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4.4 施工进度计划</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4.4.1施工进度计划（以表格或文字表述）</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提交关键单项工程施工计划的名称、份数和时间：</w:t>
      </w:r>
      <w:r>
        <w:rPr>
          <w:rFonts w:hint="eastAsia" w:ascii="楷体" w:hAnsi="楷体" w:eastAsia="楷体" w:cs="楷体"/>
          <w:color w:val="auto"/>
          <w:szCs w:val="21"/>
          <w:highlight w:val="none"/>
          <w:u w:val="single"/>
        </w:rPr>
        <w:t>在确保合同总工期的前提下，关键单项工程开工前3天（关键单项工程计划以发包人的要求为准），承包人须提交给总监理工程师，份数满足需要（同时提交相同内容的电子档一份）</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4.4.2 施工开工日期的延误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因发包人原因或不可抗力原因造成不能按时开工的，工期顺延，但承包人须调整工期计划，仍须确保按总工期目标实现，如确须发生抢工等措施，由发包人签证确认。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因承包人不能按时开工的，承包人须自费采取紧急措施尽早开工并不影响总工期实现。如不及时开工的，则承包人须确保在三天内能开工，同时按每延误一天按人民币10000元违约金；若三天内还不能确保开工的，发包人有权终止合同，承包人承担赔偿发包人的损失</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4.5 误期赔偿</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开工时间以发包人和监理工程师批准的开工报告日期为准。如遇特殊情况推迟开工，承包人须调整工期计划，仍须确保按总工期目标实现。承包人应按照投标文件承诺的工期确保工程验收，不得以任何借口停工怠工，且必须满足工程项目竣工验收交付要求。承包人应按照投标文件承诺的工期确保工程验收，不得以任何借口停工怠工，如承包人无故提出停工、怠工二天以上，发包人有权中止合同，清退出场，已完工程量不予结算。如因承包人原因延误工期的，承包人应承担违约责任，按每拖延一天向发包人支付合同价千分之一的违约金。如因发包人原因并且符合工程工期顺延的情况，经监理和发包人签证确认后顺延。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第5条技术与设计</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5.1 生产工艺技术、建筑艺术造型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承包人应承担的工程和（或）单项工程试运行考核保证值和（或）使用功能说明如下：</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5.2设计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设计总负责人：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职称：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执业资格等级：</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执业资格证书号：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注册证书号：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执业印章号：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身份证号：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联系电话：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电子信箱：</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设计总负责人职责：</w:t>
      </w:r>
      <w:r>
        <w:rPr>
          <w:rFonts w:hint="eastAsia" w:ascii="楷体" w:hAnsi="楷体" w:eastAsia="楷体" w:cs="楷体"/>
          <w:color w:val="auto"/>
          <w:szCs w:val="21"/>
          <w:highlight w:val="none"/>
          <w:u w:val="single"/>
        </w:rPr>
        <w:t>负责组织、指导、协调项目的设计工作，确保设计工作按合同要求组织实施，对设计进度、质量和费用进行有效的管理与控制；接受发包人委托的设计咨询单位及监理等单位对本项目的业务要求和指导。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5.2.1发包人的义务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（1）提供项目基础资料。发包人提供的项目基础资料的类别、内容、份数和时间：</w:t>
      </w:r>
      <w:r>
        <w:rPr>
          <w:rFonts w:hint="eastAsia" w:ascii="楷体" w:hAnsi="楷体" w:eastAsia="楷体" w:cs="楷体"/>
          <w:color w:val="auto"/>
          <w:szCs w:val="21"/>
          <w:highlight w:val="none"/>
          <w:u w:val="single"/>
        </w:rPr>
        <w:t>招标时提供，如需补充，中标通知书发放后5天内</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（2）提供现场障碍资料。发包人提供的现场障碍资料的类别、内容、份数和时间：</w:t>
      </w:r>
      <w:r>
        <w:rPr>
          <w:rFonts w:hint="eastAsia" w:ascii="楷体" w:hAnsi="楷体" w:eastAsia="楷体" w:cs="楷体"/>
          <w:color w:val="auto"/>
          <w:szCs w:val="21"/>
          <w:highlight w:val="none"/>
          <w:u w:val="single"/>
        </w:rPr>
        <w:t>不提供，由承包人自行踏勘现场和收集，发包人仅提供协调服务</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5.2.2承包人的义务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经合同双方商定，发包人提供的项目基础资料的如下部分，可按本款中约定的如下时间期限，提出进一步要求发包人须积极配合承包人收集设计所必须的基础资料及地方相关部门的规定和要求，承包人可在5天内提出进一步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（2）除执行通用条款约定外，发包人对承包人设计的一般要求还包括：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承包人根据发包人的要求编制优化设计方案并完成施工图设计</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②</w:t>
      </w:r>
      <w:r>
        <w:rPr>
          <w:rFonts w:hint="eastAsia" w:ascii="楷体" w:hAnsi="楷体" w:eastAsia="楷体" w:cs="楷体"/>
          <w:color w:val="auto"/>
          <w:szCs w:val="21"/>
          <w:highlight w:val="none"/>
          <w:u w:val="single"/>
        </w:rPr>
        <w:t>承包人应当按照法律、法规和工程建设强制性标准进行设计，提交的设计文件应当满足本工程安全使用和功能使用的需要，符合“安全、适用、耐久、经济、美观”的综合要求，防止因设计不合理导致安全隐患或安全事故的发生，因此发生的一切责任，由承包人承担</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u w:val="single"/>
        </w:rPr>
        <w:t>承包人须无条件服从发包人对本合同范围内所有工程的设计质量进行把关和管理，发包人所提出的所有优化设计要求和优化建议，承包人必须无条件采纳并细化和落实到具体设计中，直至发包人满意为止，否则，发包人有权对其进行经济处罚。</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（3）承包人的设计成果文件要求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承包人所提供的经审絯的施工图份数不少于8套；同时承包人应向发包人提供全套施工图电子文件一份，该项费用已包含在投标报价和合同价中</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5.2.4 操作维修手册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发包人提交的操作指南、分析手册的份数和提交期限：/ </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承包人提交的操作维修手册的份数和最终提交期限：</w:t>
      </w:r>
      <w:r>
        <w:rPr>
          <w:rFonts w:hint="eastAsia" w:ascii="楷体" w:hAnsi="楷体" w:eastAsia="楷体" w:cs="楷体"/>
          <w:color w:val="auto"/>
          <w:szCs w:val="21"/>
          <w:highlight w:val="none"/>
          <w:u w:val="single"/>
        </w:rPr>
        <w:t>竣工验收合格后一个月内提交操作维修手册10份及电子档一份。</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5.2.5设计文件的份数和提交时间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规划设计阶段设计文件、资料和图纸的份数和提交时间：/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深化设计文件、资料和图纸的份数和提交时间：</w:t>
      </w:r>
      <w:r>
        <w:rPr>
          <w:rFonts w:hint="eastAsia" w:ascii="楷体" w:hAnsi="楷体" w:eastAsia="楷体" w:cs="楷体"/>
          <w:color w:val="auto"/>
          <w:szCs w:val="21"/>
          <w:highlight w:val="none"/>
          <w:u w:val="single"/>
        </w:rPr>
        <w:t>按项目进度计划及发包人要求执行</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施工图设计阶段设计文件、资料和图纸的份数和提交时间：</w:t>
      </w:r>
      <w:r>
        <w:rPr>
          <w:rFonts w:hint="eastAsia" w:ascii="楷体" w:hAnsi="楷体" w:eastAsia="楷体" w:cs="楷体"/>
          <w:color w:val="auto"/>
          <w:szCs w:val="21"/>
          <w:highlight w:val="none"/>
          <w:u w:val="single"/>
        </w:rPr>
        <w:t>按项目进度计划及发包人要求执行</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5.3设计阶段审查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设计审查阶段及其审查会议的时间安排：</w:t>
      </w:r>
      <w:r>
        <w:rPr>
          <w:rFonts w:hint="eastAsia" w:ascii="楷体" w:hAnsi="楷体" w:eastAsia="楷体" w:cs="楷体"/>
          <w:color w:val="auto"/>
          <w:szCs w:val="21"/>
          <w:highlight w:val="none"/>
          <w:u w:val="single"/>
        </w:rPr>
        <w:t>中标后5日内发包人安排设计审查会议，承包人须无条件服从，否则，发包人有权对其进行经济处罚。</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第6条工程物资</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6.1工程物资的提供</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6.1.1发包人提供的工程物资：</w:t>
      </w:r>
      <w:r>
        <w:rPr>
          <w:rFonts w:hint="eastAsia" w:ascii="楷体" w:hAnsi="楷体" w:eastAsia="楷体" w:cs="楷体"/>
          <w:color w:val="auto"/>
          <w:szCs w:val="21"/>
          <w:highlight w:val="none"/>
          <w:u w:val="single"/>
        </w:rPr>
        <w:t xml:space="preserve">在项目实施过程中，如有工程物资确须发包人提供的，发包人列出清单，承包人须无条件接受。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6.1.2承包人提供的工程物资</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关于承包人采购物资的约定：</w:t>
      </w:r>
      <w:r>
        <w:rPr>
          <w:rFonts w:hint="eastAsia" w:ascii="楷体" w:hAnsi="楷体" w:eastAsia="楷体" w:cs="楷体"/>
          <w:color w:val="auto"/>
          <w:szCs w:val="21"/>
          <w:highlight w:val="none"/>
          <w:u w:val="single"/>
        </w:rPr>
        <w:t>本工程所有材料和设备均由承包人自行组织采购。凡由承包人采购的材料和设备，承包人应按照设计要求、技术标准及招标文件的约定采购符合上述要求的材料和设备。并向发包人提供质量保证书、出厂合格证及现场抽样检测报告等证明材料，对材料质量负责。如不符合质量及技术标准要求或规格有差异或实际使用品牌不在发包人推荐品牌范围内的，承包人应按发包人要求的时间将不符合要求的材料和设备运出施工场地，重新采购符合要求的材料和设备。若已使用，由承包人负责整改处理，确保达到要求的质量目标。因使用不符合要求的材料和设备对工程造成的损失由承包人负责，由此延误的工期不予顺延；另外，每发生一次上述情形，承包人还须按合同价的2%向发包人支付违约金。</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6.2 检验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6.2.1工程检验与报告</w:t>
      </w:r>
    </w:p>
    <w:p>
      <w:pPr>
        <w:spacing w:line="400" w:lineRule="exact"/>
        <w:ind w:firstLine="420" w:firstLineChars="200"/>
        <w:rPr>
          <w:rFonts w:ascii="楷体" w:hAnsi="楷体" w:eastAsia="楷体" w:cs="楷体"/>
          <w:b/>
          <w:bCs/>
          <w:color w:val="auto"/>
          <w:szCs w:val="21"/>
          <w:highlight w:val="none"/>
          <w:u w:val="single"/>
        </w:rPr>
      </w:pPr>
      <w:r>
        <w:rPr>
          <w:rFonts w:hint="eastAsia" w:ascii="楷体" w:hAnsi="楷体" w:eastAsia="楷体" w:cs="楷体"/>
          <w:color w:val="auto"/>
          <w:szCs w:val="21"/>
          <w:highlight w:val="none"/>
        </w:rPr>
        <w:t>（1）报告提交日记、报告内容和提交份数：</w:t>
      </w:r>
      <w:r>
        <w:rPr>
          <w:rFonts w:hint="eastAsia" w:ascii="楷体" w:hAnsi="楷体" w:eastAsia="楷体" w:cs="楷体"/>
          <w:color w:val="auto"/>
          <w:szCs w:val="21"/>
          <w:highlight w:val="none"/>
          <w:u w:val="single"/>
        </w:rPr>
        <w:t>按本项目总监理工程师的要求和内容提交日记、报告，份数为一式十份及一份电子档。</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6.3进口工程物资的采购、</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6.3.1采购责任方及采购方式：</w:t>
      </w:r>
      <w:r>
        <w:rPr>
          <w:rFonts w:hint="eastAsia" w:ascii="楷体" w:hAnsi="楷体" w:eastAsia="楷体" w:cs="楷体"/>
          <w:color w:val="auto"/>
          <w:szCs w:val="21"/>
          <w:highlight w:val="none"/>
          <w:u w:val="single"/>
        </w:rPr>
        <w:t>除发包人有特殊要求的除外，由承包人自行采购</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6.6工程物资保管与剩余</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6.6.1工程物资保管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委托承包人保管的工程物资的类别和估算数量：</w:t>
      </w:r>
      <w:r>
        <w:rPr>
          <w:rFonts w:hint="eastAsia" w:ascii="楷体" w:hAnsi="楷体" w:eastAsia="楷体" w:cs="楷体"/>
          <w:color w:val="auto"/>
          <w:szCs w:val="21"/>
          <w:highlight w:val="none"/>
          <w:u w:val="single"/>
        </w:rPr>
        <w:t>按发包人的要求</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承包人提交保管、维护方案的时间：</w:t>
      </w:r>
      <w:r>
        <w:rPr>
          <w:rFonts w:hint="eastAsia" w:ascii="楷体" w:hAnsi="楷体" w:eastAsia="楷体" w:cs="楷体"/>
          <w:color w:val="auto"/>
          <w:szCs w:val="21"/>
          <w:highlight w:val="none"/>
          <w:u w:val="single"/>
        </w:rPr>
        <w:t>发包人的工程物资实际发生需承包人保管前 7天</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由发包人提供的库房、堆场、设施及设备：</w:t>
      </w:r>
      <w:r>
        <w:rPr>
          <w:rFonts w:hint="eastAsia" w:ascii="楷体" w:hAnsi="楷体" w:eastAsia="楷体" w:cs="楷体"/>
          <w:color w:val="auto"/>
          <w:szCs w:val="21"/>
          <w:highlight w:val="none"/>
          <w:u w:val="single"/>
        </w:rPr>
        <w:t>发包人不提供，由承包人自行解决</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第7条施工</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7.1 发包人的义务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7.1.3 进场条件和进场日期</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承包人的进场条件：</w:t>
      </w:r>
      <w:r>
        <w:rPr>
          <w:rFonts w:hint="eastAsia" w:ascii="楷体" w:hAnsi="楷体" w:eastAsia="楷体" w:cs="楷体"/>
          <w:color w:val="auto"/>
          <w:szCs w:val="21"/>
          <w:highlight w:val="none"/>
          <w:u w:val="single"/>
        </w:rPr>
        <w:t>现场现有条件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承包人的进场日期：</w:t>
      </w:r>
      <w:r>
        <w:rPr>
          <w:rFonts w:hint="eastAsia" w:ascii="楷体" w:hAnsi="楷体" w:eastAsia="楷体" w:cs="楷体"/>
          <w:color w:val="auto"/>
          <w:szCs w:val="21"/>
          <w:highlight w:val="none"/>
          <w:u w:val="single"/>
        </w:rPr>
        <w:t>以总监理工程师开工令中的开工日期为发包人确认的进场日期</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7.1.4 临时用水电等提供和节点铺设</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发包人提供的临时用水、用电等类别、取费单价：</w:t>
      </w:r>
      <w:r>
        <w:rPr>
          <w:rFonts w:hint="eastAsia" w:ascii="楷体" w:hAnsi="楷体" w:eastAsia="楷体" w:cs="楷体"/>
          <w:color w:val="auto"/>
          <w:szCs w:val="21"/>
          <w:highlight w:val="none"/>
          <w:u w:val="single"/>
        </w:rPr>
        <w:t>发包人提供接水、接电地点，施工用水、电由承包人现场单独挂表计量，费用由承包人负责</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7.1.10 由发包人履行的其它义务：</w:t>
      </w:r>
      <w:r>
        <w:rPr>
          <w:rFonts w:hint="eastAsia" w:ascii="楷体" w:hAnsi="楷体" w:eastAsia="楷体" w:cs="楷体"/>
          <w:color w:val="auto"/>
          <w:szCs w:val="21"/>
          <w:highlight w:val="none"/>
          <w:u w:val="single"/>
        </w:rPr>
        <w:t xml:space="preserve">施工场地与公共通道，开工前由发包人配合承包人进行，费用由承包人负责；承包人自行勘探现场，并自行承担相关费用，主动向发包人了解地形情况，索取地质勘探资料，了解施工现场区域划分位置，充分了解工地位置、地形地貌情况（工地现场的地形对施工可能造成的影响）、道路、储存空间、装卸限制及任何其它足以影响承包价的情况；施工用水源、电源，由承包人自行解决，该费用由承包人在投标报价中考虑；在投标报价时承包人同时需考虑各种地方矛盾协调费；施工现场场内交通条件，如不具备，则由承包人实施，并承担费用；所有现场的成品保护由承包人负责，损坏的无条件恢复至原状，所发生的一切费用由承包人承担。任何因忽视或误解工地情况而导致的索赔或工期延长申请将不被批准。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7.2 对承包人的义务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7.2.2 施工组织设计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提交工程总体施工组织设计的份数和时间：</w:t>
      </w:r>
      <w:r>
        <w:rPr>
          <w:rFonts w:hint="eastAsia" w:ascii="楷体" w:hAnsi="楷体" w:eastAsia="楷体" w:cs="楷体"/>
          <w:color w:val="auto"/>
          <w:szCs w:val="21"/>
          <w:highlight w:val="none"/>
          <w:u w:val="single"/>
        </w:rPr>
        <w:t>同本专用条款第3.1条约定</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需要提交的主要单项工程、主要分部分项工程施工组织设计的名称、份数和时间：</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7.2.3 提交临时占地资料</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提交临时占地资料的时间：</w:t>
      </w:r>
      <w:r>
        <w:rPr>
          <w:rFonts w:hint="eastAsia" w:ascii="楷体" w:hAnsi="楷体" w:eastAsia="楷体" w:cs="楷体"/>
          <w:color w:val="auto"/>
          <w:szCs w:val="21"/>
          <w:highlight w:val="none"/>
          <w:u w:val="single"/>
        </w:rPr>
        <w:t>在临时占地实际发生前5天内提交</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7.2.4 提供临时用水电等资料</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承包人需要水电等品质、正常用量、高峰量和使用时间：</w:t>
      </w:r>
      <w:r>
        <w:rPr>
          <w:rFonts w:hint="eastAsia" w:ascii="楷体" w:hAnsi="楷体" w:eastAsia="楷体" w:cs="楷体"/>
          <w:color w:val="auto"/>
          <w:szCs w:val="21"/>
          <w:highlight w:val="none"/>
          <w:u w:val="single"/>
        </w:rPr>
        <w:t>承包人正式进场后三日内提交。</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7.2.5 项目安全生产的达标目标及相应事项的约定：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（1）承包人必须遵守江苏省建设厅及盐城市建设主管部门颁布的《建设工程施工安全管理规定》和《建设工程文明施工管理规定》。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（2）承包人进场后，遵守发包人各项规章制度，必须服从发包人和监理单位对施工场地总平面的规划，服从发包人和监理单位的统一调度和指挥。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本工程必须确保安全，承包人自行承担工程施工过程中的工程质量、任何状况下的安全责任。非发包人原因，发生的一切问题和责任与发包人无关，相关一切费用或民事、刑事责任均由承包人自理。承包人应按有关规定采取严格的安全防护措施，确保工程施工安全管理到位，并接受发包人及相关部门不定时的安全监督和检查，后者的安全监督和检查确保不影响工程施工为前提，对于发包人及相关部门在监督和检查过程中发现安全隐患，承包人必须在限期内进行整改。由于整改造成工期延误的责任由承包人承担。发包人及相关部门对于本项目的监督和检查不能免除承包人对于项目建设期间可能发生的安全事故的责任承担，施工期间发生重大伤亡事故时，承包人应按有关规定立即上报有关部门并通知发包人，同时按相关规定处理。若承包人不能及时处理所发生的问题和责任，并且影响到工程进度时，发包人有权处理相关事务，所发生的费用在支付工程款时扣除。如发生安全事故，承包人除赔偿受害者外，还须向发包人缴纳同等金额的罚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（4）施工过程中如遇地下管线、原预埋管线、电线、电缆等破坏修复费用、施工过程中及保修期内未及时修复而发生的一切安全责任，均由承包人自行承担。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（5）承包人应保障施工现场过往车辆及行人的安全，对安全生产负全责。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承包人在组织施工时需及时清运施工废弃物，材料堆放整齐有序，保持施工场地整洁、交通畅顺。服从发包人及相关主管部门的管理要求，主动协调、解决问题，若在施工期间出现因场地脏乱、交通不顺等违反文明施工管理规定的情况，所发生的一切费用均由承包人承担，同时还须接受发包人每次 5000 元的罚金。本工程所有施工建筑垃圾均应由承包人全部清运出施工现场，并自行弃置，费用已包含在合同价中。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（7）文明施工的约定：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①承包人必须遵守江苏省建设厅及盐城市建设主管部门颁布的《建设工程施工安全管理规定》和《建设工程文明施工管理规定》；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 施工现场围护要求坚固、稳定、整洁、美观。发包人和监理人有权监督承包人的文明施工措施按照相关管理规定实施到位。由于承包人疏于采取文明施工措施所造成的必要费用的支出，应由承包人自行承担。发包人将对承包人的现场安全文明施工措施进行考核，未按规定使用到位的，即使有造价管理部门的核定单，结算时也不予计算。承包人在施工中污染周围环境、施工噪音干扰他人等所引起的政府职能部门罚款或停工整改或引起周围居民纠纷和索赔时，其所有发生的费用与损失将全部由承包人自行承担，工期不予顺延。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 承包人必须确保工程安全（施工场地内及施工运输过程中），若发生不安全问题，自行负责处理并承担一切责任，并同时向发包人承担中标价的 3%违约金。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 承包人进场后，必须服从发包人和监理单位对施工场地总平面的规划，服从发包人和监理单位的统一调度和指挥。如出现不服从管理和下列现象的，发包人将视情节轻重认定 承包人是否违约，并根据情况要求承包人承担违约责任，支付违约金。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承包人必须在发包人通知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⑥ 发包人将定期对承包人的施工质量、安全、文明施工进行检查，如发现工程现场及生活区内安全、文明施工管理较差的，有权要求承包人整改并通报批评，如发生二次通报批评情况，可按照合同总价0.1%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⑦严禁在施工现场焚烧垃圾,如发现一次, 可按照合同总价0.2%对承包人处以违约金。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⑧进入施工现场的所有施工人员必须带好安全帽,如发现有一人次进入施工现场未带安全帽,发包人则按200元/人次对承包人处以违约金,如一天发现3人以上进入施工现场未带安全帽, 发包人则按2000元/人次对承包人处以违约金。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⑨承包人不得在施工现场发生打架、斗殴、偷窃行为，发生一次，发包人可对承包人处20000元/次违约金。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⑩其它：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1）承包人须按国家、地方相关法律、法规及相关管理规定要求，完成各项安全文明施工管理工作。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2）承包人未按国家、地方相关法律、法规及相关管理规定要求完成安全文明施工管理工作的，发包人有权在应付工程款中扣除招标文件和合同规定的未按要求完成部分的安全文明施工措施管理费用。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承包人未按国家及地方相关规定要求完成安全文明管理工程的，须限期改正到位。承包人拒不整改或整改后仍达不到要求的，发包人有权终止施工合同，且发包人可以直接委托第三方按国家及地方相关规定进行代为整改，所发生的费用由承包人承担，承包人必须在发包人处罚决定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承包人必须服从发包人统一管理，发包人可根据现场考核制度对工程的质量、安全、工程等方面进行考核，如未达到发包人要求或国家验收规范标准的，该工程的本期工程款发包人有权不付或缓付、少付，并同时对承包人进行处罚，包括通报和罚款。罚款金额由发包人和监理单位根据现场情况进行处罚。承包人施工时，不得对现有建筑、环境进行破坏和污染，同时承包人必须对自己施工的各分项工程。在合同期间进行保洁管理和安全维护。承包人施工车辆通行必须服从发包人指定路线通行，违者罚款2000元/车次。如导致道路破坏或损坏，承包人必须及时修整完好，同时发包人有权按实际恢复工程造价的2倍罚款。承包人必须严格执行盐政办发【2013】38号文件《盐城市人民政府办公室转发市城乡建设局关于市区建设工程施工现场扬尘污染治理工作方案和市公安局市城市管理局关于市区建设工程渣土运输联合整治工作方案的通知》要求，如违反规定，除整改外，发包人有权处每次不少于2000元的罚款，承包人必须在发包人处罚决定后3日内以现金形式交由发包人。承包人须充分考虑发包人各种（如廉政文化进工地等）需要的现场打扫、清洗、横幅、宣传等费用，如不积极配合，则发包人有权处每次不少于2000元的罚款，承包人必须在发包人处罚决定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本工程实施期间，施工场地内做到道路平坦畅通，无积水，建筑材料堆放有序；施工区域裸露地块、易形成扬尘的建筑材料等均须覆盖处理；生活垃圾、建筑垃圾等日产日清，及时清运出场地，如不能清运出场地的，必须覆盖处理，减少扬尘；其他应严格按照文明工地的要求组织施工。覆盖用材料及其他和本工程有关的各项措施费投标人自行考虑，请各投标人充分考虑各项措施所涉及的费用，并将其考虑至投标报价措施项目费中，不考虑或考虑不足均视为投标人让利，实施过程中不再增加相关费用。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6）承包人考虑按中标通知书发出之日起的时间进场，接受现场不一定完全具备施工条件，套插施工，合理组织安排工期，确保按期完成。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承包人除做好自身已完工程的保护及进场材料、设备的管护外，还要做好其他施工单位、交叉施工单位的已完工程的保护，如有损坏、污染或其他影响，承包人无偿修复到位。承包人还应考虑保护其他施工单位已经做好的管道或成品，或进场施工期间和可预见到的工程进展变化而完成的管道或成品，包干在综合报价中，并不再提出额外要求。否则发包人另行安排施工队伍恢复，无须得到承包人确认的前提下，在监理、审计见证下，在承包人工程总价中直接扣除所恢复费用的二倍罚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8）承包人须服从发包人委托的监理单位管理，材料、设备进场提供产品合格证和检验报告，每道工序完成后隐蔽前提请发包人及监理单位验收合格才能进入下一道工序。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7.2.6 由承包人履行的其它义务：①安排专人24小时负责安全保卫工作，非夜间施工照明应注意安全要求，费用由承包人承担；②承包人必须按规定对施工现场成品进行保护，专业施工项目验收合格之日起交付给发包人止，专业工程施工现场成品保护由专业工程施工单位负责；③承包人必须对施工场地周围地下管线和构筑物（含文物保护建筑）做好保护工作，费用由承包人负责；④如因承包人没有及时报告和保护而造成的一切经济损失和法律责任由承包人承担；承包人必须按文明施工要求组织施工，保持场地整洁卫生，费用由承包人负责；⑤承包人在本工程竣工验收后七日内拆除所有临时设施，并清运出现场，费用由承包人负责。否则，如发生相关费用由发包人在工程竣工结算价款中扣除；⑥如发包人代扣代缴本工程应由承包人缴纳的各种费用，承包人必须履行发包人要求的各项手续，费用由承包人负责；⑦本工程向建设主管部门办理的工程施工许可手续，由承包人代为办理发包人协助，费用按规定执行。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7.3 对涉及造价的部分施工技术或方法的约定：/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7.4人力和机具资源</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7.4.1人力资源计划一览表的格式、内容、份数和提交时间：</w:t>
      </w:r>
      <w:r>
        <w:rPr>
          <w:rFonts w:hint="eastAsia" w:ascii="楷体" w:hAnsi="楷体" w:eastAsia="楷体" w:cs="楷体"/>
          <w:color w:val="auto"/>
          <w:szCs w:val="21"/>
          <w:highlight w:val="none"/>
          <w:u w:val="single"/>
        </w:rPr>
        <w:t>收到总监的指令单后按指令单要求的格式、内容、份数在3天内提交。</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人力资源实际进场的报表格式、份数和报告期：</w:t>
      </w:r>
      <w:r>
        <w:rPr>
          <w:rFonts w:hint="eastAsia" w:ascii="楷体" w:hAnsi="楷体" w:eastAsia="楷体" w:cs="楷体"/>
          <w:color w:val="auto"/>
          <w:szCs w:val="21"/>
          <w:highlight w:val="none"/>
          <w:u w:val="single"/>
        </w:rPr>
        <w:t>总监的指令单执行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7.4.2 主要机具计划一览表的格式、内容、份数和提交时间：</w:t>
      </w:r>
      <w:r>
        <w:rPr>
          <w:rFonts w:hint="eastAsia" w:ascii="楷体" w:hAnsi="楷体" w:eastAsia="楷体" w:cs="楷体"/>
          <w:color w:val="auto"/>
          <w:szCs w:val="21"/>
          <w:highlight w:val="none"/>
          <w:u w:val="single"/>
        </w:rPr>
        <w:t>按总监的指令单执行。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主要机具实际进场的报表格式、份数和报告期：</w:t>
      </w:r>
      <w:r>
        <w:rPr>
          <w:rFonts w:hint="eastAsia" w:ascii="楷体" w:hAnsi="楷体" w:eastAsia="楷体" w:cs="楷体"/>
          <w:color w:val="auto"/>
          <w:szCs w:val="21"/>
          <w:highlight w:val="none"/>
          <w:u w:val="single"/>
        </w:rPr>
        <w:t>按总监的指令单执行</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7.5质量与检验</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7.5.1特殊质量标准和要求：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本工程质量标准为国家“合格”标准。 若一次性验收不合格的，承包人按分部分项工程费的3 %向发包人支付违约金，直接从本工程的履约保证金或工程款中扣除。由此造成的工期延误将不予顺延，给发包人造成实际损失的还将承担经济赔偿责任。同时，承包人必须无偿整改达到符合质量要求，保证工程按期交付使用。</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非发包人原因，质量整改所发生的费用不予增加</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质量管理：承包人须严格按照设计图纸、质量标准、验收规范等组织施工，接受发包人、监理单位的检查。若发生工序、检验批等验收不符合质量目标要求的，每发生一次接受发包人以每次5000元的经济处罚，承包人必须在发包人处罚决定后 3日内以现金形式交由发包人。若发生分项工程验收不符合质量目标要求的，每发生一次接受发包人以每次20000元的经济处罚，承包人必须在发包人处罚决定后3日内以现金形式交由发包人。若发生分部工程验收不符合质量目标要求的，每发生一次接受发包人以每次10000元的经济处罚，承包人必须在发包人处罚决定后 3 日内以现金形式交由发包人。另外承包人在执行上述要求的同时，并不免除在限期内整改到位、继续履行其他合同条款的义务，由此发生的所有费用均由承包人承担,工期不顺延、造价不补偿。若未按照发包人要求及时整改到位的,发包人有权委托第三方代为实施，所发生的费用由承包人承担。拒不整改的发包人有权终止施工合同，已经发生的合格工作量按照 70%结算。承包人必须按发包人审核通过的方案和图纸要求进行施工，除发包人要求变更外，承包人未按上述要求施工，发包人将对承包人按投标单价的 5 倍进行处罚，承包人必须在发包人处罚决定后 3 日内以现金形式交由发包人；材料品种、规格、数量等必须按发包人确认的图实施，如发包人需要调整工程内容时，承包人在接到书面通知后，必须按发包人的要求进行施工，且不得有任何理由拖延工期，确保按期完工；承包人确保竣工验收必须一次性验收合格，如承包人未按设计图纸及发包人要求进行施工的，导致竣工验收不合格，承包人必须无条件返工至合格，且每处按5000元处罚，承包人必须在发包人处罚决定后3日内以现金形式交由发包人。</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（4）质保期：</w:t>
      </w:r>
      <w:r>
        <w:rPr>
          <w:rFonts w:hint="eastAsia" w:ascii="楷体" w:hAnsi="楷体" w:eastAsia="楷体" w:cs="楷体"/>
          <w:color w:val="auto"/>
          <w:szCs w:val="21"/>
          <w:highlight w:val="none"/>
          <w:u w:val="single"/>
        </w:rPr>
        <w:t>自工程竣工验收通过之日起2年，在此期间承包人负责免费维修和定期保养，并免费提供、更换维修保养所需的所有零部件和材料。2年后，承包人有义务继续承本项目的维护保养，可收取相应的材料成本费</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（5）展示材质要求：室外雕塑、半室外展廊展品要有一定的耐晒耐风雨耐腐蚀性能。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7.5.2 质检部位与参检方</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三方参检的部位、标准及表格形式：</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两方参检的部位、标准及表格形式：</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第三方检查的部位、标准及表格形式：</w:t>
      </w:r>
      <w:r>
        <w:rPr>
          <w:rFonts w:hint="eastAsia" w:ascii="楷体" w:hAnsi="楷体" w:eastAsia="楷体" w:cs="楷体"/>
          <w:color w:val="auto"/>
          <w:szCs w:val="21"/>
          <w:highlight w:val="none"/>
          <w:u w:val="single"/>
        </w:rPr>
        <w:t>按国家、省、市建设行政主管部门有关规定执行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承包人自检的部位、标准及表格形式：</w:t>
      </w:r>
      <w:r>
        <w:rPr>
          <w:rFonts w:hint="eastAsia" w:ascii="楷体" w:hAnsi="楷体" w:eastAsia="楷体" w:cs="楷体"/>
          <w:color w:val="auto"/>
          <w:szCs w:val="21"/>
          <w:highlight w:val="none"/>
          <w:u w:val="single"/>
        </w:rPr>
        <w:t>按国家、省、市建设行政主管部门有关规定执行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7.6 隐蔽工程和中间验收</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7.6.1隐蔽工程检查：承包人提前通知监理人隐蔽工程检查的期限的约定：</w:t>
      </w:r>
      <w:r>
        <w:rPr>
          <w:rFonts w:hint="eastAsia" w:ascii="楷体" w:hAnsi="楷体" w:eastAsia="楷体" w:cs="楷体"/>
          <w:color w:val="auto"/>
          <w:szCs w:val="21"/>
          <w:highlight w:val="none"/>
          <w:u w:val="single"/>
        </w:rPr>
        <w:t xml:space="preserve">施工过程中所有隐蔽工程，承包人应进行自检，并在隐蔽或中间验收前48小时以书面形式通知监理工程师验收，通知中应载明隐蔽检查的内容、时间和地点，并应附有自检记录和必要的检查资料，未经监理工程师验收合格，不得进入下道工序的施工。检查验收不合格时，影响正常施工的费用由承包人承担。如果承包人未自检合格就报验，对存在问题蒙混、侥幸，发现一次，当场处罚5000元。所有质量问题均由承包人负责，如使用后，发现质量问题，承包人应及时维修，因承包人维修不及时、不到位的一切责任由承包人负责。非发包人原因，质量整改所发生的费用不予增加。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7.6.2 隐蔽工程和中间验收。需要质检的隐蔽工程和中间验收部位的分类、部位、质检内容、标准、表格和参检方的约定：</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7.8职业健康、安全、环境保护</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7.8.1职业健康、安全、环境保护管理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7.8.2提交职业健康、安全、环境管理计划的份数和时间：</w:t>
      </w:r>
      <w:r>
        <w:rPr>
          <w:rFonts w:hint="eastAsia" w:ascii="楷体" w:hAnsi="楷体" w:eastAsia="楷体" w:cs="楷体"/>
          <w:color w:val="auto"/>
          <w:szCs w:val="21"/>
          <w:highlight w:val="none"/>
          <w:u w:val="single"/>
        </w:rPr>
        <w:t xml:space="preserve">本合同签订合一个月内提交发包人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第8条竣工试验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8.1承包人提供下列齐全的资料后方可申请竣工验收：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8.1.1</w:t>
      </w:r>
      <w:r>
        <w:rPr>
          <w:rFonts w:hint="eastAsia" w:ascii="楷体" w:hAnsi="楷体" w:eastAsia="楷体" w:cs="楷体"/>
          <w:color w:val="auto"/>
          <w:szCs w:val="21"/>
          <w:highlight w:val="none"/>
          <w:u w:val="single"/>
        </w:rPr>
        <w:t>承包人完成本合同约定的各项内容</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8.1.2</w:t>
      </w:r>
      <w:r>
        <w:rPr>
          <w:rFonts w:hint="eastAsia" w:ascii="楷体" w:hAnsi="楷体" w:eastAsia="楷体" w:cs="楷体"/>
          <w:color w:val="auto"/>
          <w:szCs w:val="21"/>
          <w:highlight w:val="none"/>
          <w:u w:val="single"/>
        </w:rPr>
        <w:t>有竣工图及完整的技术档案和施工管理资料</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8.1.3</w:t>
      </w:r>
      <w:r>
        <w:rPr>
          <w:rFonts w:hint="eastAsia" w:ascii="楷体" w:hAnsi="楷体" w:eastAsia="楷体" w:cs="楷体"/>
          <w:color w:val="auto"/>
          <w:szCs w:val="21"/>
          <w:highlight w:val="none"/>
          <w:u w:val="single"/>
        </w:rPr>
        <w:t>有本工程使用的主要建筑材料、建筑构配件和设备的进场试验报告</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8.1.4</w:t>
      </w:r>
      <w:r>
        <w:rPr>
          <w:rFonts w:hint="eastAsia" w:ascii="楷体" w:hAnsi="楷体" w:eastAsia="楷体" w:cs="楷体"/>
          <w:color w:val="auto"/>
          <w:szCs w:val="21"/>
          <w:highlight w:val="none"/>
          <w:u w:val="single"/>
        </w:rPr>
        <w:t>有相关单位分别签署的质量合格文件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8.1.5</w:t>
      </w:r>
      <w:r>
        <w:rPr>
          <w:rFonts w:hint="eastAsia" w:ascii="楷体" w:hAnsi="楷体" w:eastAsia="楷体" w:cs="楷体"/>
          <w:color w:val="auto"/>
          <w:szCs w:val="21"/>
          <w:highlight w:val="none"/>
          <w:u w:val="single"/>
        </w:rPr>
        <w:t>承包人总包范围内各专业已经通过专项验收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8.1.6</w:t>
      </w:r>
      <w:r>
        <w:rPr>
          <w:rFonts w:hint="eastAsia" w:ascii="楷体" w:hAnsi="楷体" w:eastAsia="楷体" w:cs="楷体"/>
          <w:color w:val="auto"/>
          <w:szCs w:val="21"/>
          <w:highlight w:val="none"/>
          <w:u w:val="single"/>
        </w:rPr>
        <w:t>有承包人签署的工程质量保修书</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第9条工程接收</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9.1工程接收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9.1.1按单项工程或（和）按工程接收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在以下两种情况中选择其一，作为双方对工程接受的约定。</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□由承包人负责指导发包人进行单项工程或（和）工程竣工后试验，并承担试运行考核责任的，接收单项工程的先后顺序及时间安排，或接受工程的时间安排如下：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R由发包人负责单项工程或（和）工程竣工后试验及其试运行考核责任的，接收单项工程的先后顺序及时间安排，或接受工程的时间安排如下：</w:t>
      </w:r>
      <w:r>
        <w:rPr>
          <w:rFonts w:hint="eastAsia" w:ascii="楷体" w:hAnsi="楷体" w:eastAsia="楷体" w:cs="楷体"/>
          <w:color w:val="auto"/>
          <w:szCs w:val="21"/>
          <w:highlight w:val="none"/>
          <w:u w:val="single"/>
        </w:rPr>
        <w:t>按相关规定进行单项工程验收，单项工程验收合格后，发包人与承包人按阶段办理工程接收手续，该工程同时开始办理相关结算手续。</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9.1.2 接收工程提交的资料</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提交竣工试验资料的类别、内容、份数和时间：</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第10条竣工后试验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10.1 权利和义务：/</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10.2竣工后试验程序</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10.2.5竣工后试验日期的通知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单项工程或（和）工程竣工后试验开始日期的约定：</w:t>
      </w:r>
      <w:r>
        <w:rPr>
          <w:rFonts w:hint="eastAsia" w:ascii="楷体" w:hAnsi="楷体" w:eastAsia="楷体" w:cs="楷体"/>
          <w:color w:val="auto"/>
          <w:szCs w:val="21"/>
          <w:highlight w:val="none"/>
          <w:u w:val="singl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10.3 竣工后试验及试运行考核</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10.3.3试运行考核</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（3）试运行考核周期：</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小时（或日、周、月、年）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第11条质量保修责任</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11.2 缺陷责任保修金</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11.2.1 缺陷责任保修金金额：</w:t>
      </w:r>
      <w:r>
        <w:rPr>
          <w:rFonts w:hint="eastAsia" w:ascii="楷体" w:hAnsi="楷体" w:eastAsia="楷体" w:cs="楷体"/>
          <w:color w:val="auto"/>
          <w:szCs w:val="21"/>
          <w:highlight w:val="none"/>
          <w:u w:val="single"/>
        </w:rPr>
        <w:t>经审定后工程总价款的3%</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11.2.2 缺陷责任保修金金额的暂扣</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缺陷责任保修金金额的暂扣方式：</w:t>
      </w:r>
      <w:r>
        <w:rPr>
          <w:rFonts w:hint="eastAsia" w:ascii="楷体" w:hAnsi="楷体" w:eastAsia="楷体" w:cs="楷体"/>
          <w:color w:val="auto"/>
          <w:szCs w:val="21"/>
          <w:highlight w:val="none"/>
          <w:u w:val="single"/>
        </w:rPr>
        <w:t xml:space="preserve">质量保修金，按审定总价款的3%暂扣为缺陷责任保修金；工程质量保修金的支付办法按照本合同工程质量保修书的相关规定执行，在工程缺陷责任期满，并经发包人认可后14日内办理支付。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在保修期内，承包人应负责修复工程质量缺陷，并承担因承包人的责任而发生的相应费用。如承包人不及时维修，发包人可委托第三方进行维修。因承包人的责任而发生的相应费用可直接从保修金内扣除，不足部分由承包人补足（若发包人预留保修金已支付完，承包人仍应负责修复工程质量缺陷及相应费用），承包人维修并承担相应费用后，不免除对工程的损失负赔偿责任。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第12条工程竣工验收</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12.1竣工资料及竣工验收报告</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12.1</w:t>
      </w:r>
      <w:r>
        <w:rPr>
          <w:rFonts w:hint="eastAsia" w:ascii="楷体" w:hAnsi="楷体" w:eastAsia="楷体" w:cs="楷体"/>
          <w:color w:val="auto"/>
          <w:szCs w:val="21"/>
          <w:highlight w:val="none"/>
          <w:u w:val="single"/>
        </w:rPr>
        <w:t xml:space="preserve">当本工程达到竣工验收条件，承包人完成自评自查工作，填写工程竣工报验单，同时将完整的竣工资料及竣工验收报告，报送监理单位总监理工程师，申请竣工验收。同时向发包人提供竣工资料肆套(包括竣工图四套)、电子竣工图两套。承包人提交的竣工图必须为蓝图，设计变更和实际的施工变更必须在竣工图上全面、准确地反映。总监理工程师在5天内组织各专业监理工程师对竣工资料及各专业工程的质量情况进行全面检查，检查验收合格，由总监理工程师签署竣工报验单，并向发包人提出质量评估报告。检查验收不合格，督促承包人在限定的时间内整改完毕并重新检查验收。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12.2</w:t>
      </w:r>
      <w:r>
        <w:rPr>
          <w:rFonts w:hint="eastAsia" w:ascii="楷体" w:hAnsi="楷体" w:eastAsia="楷体" w:cs="楷体"/>
          <w:color w:val="auto"/>
          <w:szCs w:val="21"/>
          <w:highlight w:val="none"/>
          <w:u w:val="single"/>
        </w:rPr>
        <w:t xml:space="preserve">承包人须按照现行验收管理办法施工，其它在办法中未加以说明的内容须按照国家技术规范；对于办法内施工技术和方法不具备施工条件时或因其它原因无法执行时，承包人须向发包人提供其它施工技术方案，且须经监理单位批准和发包人备案后方可实施。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12.3</w:t>
      </w:r>
      <w:r>
        <w:rPr>
          <w:rFonts w:hint="eastAsia" w:ascii="楷体" w:hAnsi="楷体" w:eastAsia="楷体" w:cs="楷体"/>
          <w:color w:val="auto"/>
          <w:szCs w:val="21"/>
          <w:highlight w:val="none"/>
          <w:u w:val="single"/>
        </w:rPr>
        <w:t xml:space="preserve">发包人收到完整的竣工资料和竣工图及监理单位出具的质量评估报告后28 天内组织有关单位验收, 并在验收后14天内给予认可或提出修改意见。验收不合格，承包人按要求修改，并承担由自身原因造成修改的费用。工程竣工验收合格，承包人送交竣工验收报告的日期为实际竣工日期。工程按发包人要求修改后通过竣工验收的，实际竣工日期为承包人修改后提请发包人验收的日期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12.4</w:t>
      </w:r>
      <w:r>
        <w:rPr>
          <w:rFonts w:hint="eastAsia" w:ascii="楷体" w:hAnsi="楷体" w:eastAsia="楷体" w:cs="楷体"/>
          <w:color w:val="auto"/>
          <w:szCs w:val="21"/>
          <w:highlight w:val="none"/>
          <w:u w:val="single"/>
        </w:rPr>
        <w:t xml:space="preserve">发包人组织在竣工验收通过后15日内取得当地建设管理部门为本工程颁发的《建设工程竣工验收备案证明书》，主要工作在承包人。否则按竣工日期迟延支付违约金，并赔偿发包人因此造成的经济损失，因发包人原因造成不能备案的除外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第13条变更和合同价格调整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13.2变更范围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13.2.6其它变更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双方根据本工程特点，商定的其它变更范围：</w:t>
      </w:r>
      <w:r>
        <w:rPr>
          <w:rFonts w:hint="eastAsia" w:ascii="楷体" w:hAnsi="楷体" w:eastAsia="楷体" w:cs="楷体"/>
          <w:color w:val="auto"/>
          <w:szCs w:val="21"/>
          <w:highlight w:val="none"/>
          <w:u w:val="single"/>
        </w:rPr>
        <w:t>合同示范文本通用条款中基本约定了可能出现的工程变更情形，除此之外其他变更情况发生时，由发包人、审计单位和总监理工程师等一起研究确定后以补充协议方式解决</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13.6 建议变更的利益分享</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建议变更的利益分享的约定：</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13.7 工程结算和合同价格调整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13.7.1 合同价格形式：</w:t>
      </w:r>
      <w:r>
        <w:rPr>
          <w:rFonts w:hint="eastAsia" w:ascii="楷体" w:hAnsi="楷体" w:eastAsia="楷体" w:cs="楷体"/>
          <w:color w:val="auto"/>
          <w:szCs w:val="21"/>
          <w:highlight w:val="none"/>
          <w:u w:val="single"/>
        </w:rPr>
        <w:t>“固定总价”合同</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包含的风险范围：</w:t>
      </w:r>
      <w:r>
        <w:rPr>
          <w:rFonts w:hint="eastAsia" w:ascii="楷体" w:hAnsi="楷体" w:eastAsia="楷体" w:cs="楷体"/>
          <w:color w:val="auto"/>
          <w:szCs w:val="21"/>
          <w:highlight w:val="none"/>
          <w:u w:val="single"/>
        </w:rPr>
        <w:t xml:space="preserve">本项目为“固定总价”合同，中标后人工、材料价格波动及政策性调整的风险均包含在投标报价中，除本合同专用条款明确约定价格可调整外，竣工结算时均不调整 。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风险费用的计算方法：</w:t>
      </w:r>
      <w:r>
        <w:rPr>
          <w:rFonts w:hint="eastAsia" w:ascii="楷体" w:hAnsi="楷体" w:eastAsia="楷体" w:cs="楷体"/>
          <w:color w:val="auto"/>
          <w:szCs w:val="21"/>
          <w:highlight w:val="none"/>
          <w:u w:val="single"/>
        </w:rPr>
        <w:t>根据招标文件的相关条款，在投标报价时综合考虑风险费用</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13.7.2 风险范围以外合同价格的调整方法：</w:t>
      </w:r>
      <w:r>
        <w:rPr>
          <w:rFonts w:hint="eastAsia" w:ascii="楷体" w:hAnsi="楷体" w:eastAsia="楷体" w:cs="楷体"/>
          <w:color w:val="auto"/>
          <w:szCs w:val="21"/>
          <w:highlight w:val="none"/>
          <w:u w:val="single"/>
        </w:rPr>
        <w:t xml:space="preserve">本工程采用“固定总价”合同，合同实施过程中除以下约定外，总价不作调整。最终结算价=合同总价+根据13.7.2约定调整的价格。具体约定内容如下：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由于承包人报价内容不齐全或不完善，承包人的设计图已设计的施工内容，但在投标报价中未体现的，中标后该部分报价不增加，承包人不得以投标时未报价要求增加造价也不得以未报价要求减去该部分设计。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因承包人设计图纸达不到发包人的设计要求、不满足现行规范要求或设计方案不合理等进行的修改，如修改后投标报价增加的，发包人视为该部分投标报价含在原投标报价中，其投标报价不增加。如设计修改后造价减少的，按实际减少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中标后发包人可对承包人的设计方案及施工图提出进一步优化的建议，设计方案优化并形成施工图后，其方案及施工图已经发包人确认并同意按该图纸施工，在施工过程中，对确认的方案再次优化，发生的施工内容变化（已施工后拆除的或对原有方案的设计进行调整的其施工内容发生变化的），其施工费用参照以下标准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①原工程量清单中有单价且单价合理的，按原工程量清单中的单价执行。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原工程量清单中无单价的，按原招标文件3.2.6条投标报价第（1）条要求计价，管理费、利润按计价文件规定执行，人工工资按苏建函价[2020]382号文件规定的人工单价执行（装饰工程取中值），材料价格统一按施工期间《盐城工程造价》建材信息价或建材市场参考价的平均价，缺项的材料由发包人按市场价（市场询价）执行。对于施工调整其设计费用不另行增加。结算价格按招标时确定的“中标下浮率”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中标下浮率（下同）=1-中标价/招标控制价。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③措施费仍按原投标时的措施费不调整。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如设计方案作实质性修改，导致原有设计方案和投标报价无法使用的，其结算价格根据原招标文件、现行计价文件规定【省住房城乡建设厅关于调整建设工程计价增值税税率的通知（苏建函价〔2019〕178号）、苏建函价〔2018〕298号文、江苏省住房和城乡建设厅〔2018〕24号等文件】、《建设工程工程量清单计价规范》（GB50500-2013）、《房屋建筑与装饰工程工程量计算规范》（GB50854-2013）、《通用安装工程工程量计算规范》（GB50856-2013）、《江苏省建筑与装饰工程计价定额》（2014版）、《江苏省安装工程计价定额》（2014版）、《江苏省建设工程费用定额》（2014年）（费用有区间值的均以中值为准）、计税方式按苏建价（2016）154号文（本项目采用增值种税一般计税方法），人工工资单价参照苏建函价〔2020〕382号文（装饰工程取中值），材料价格统一按施工期间《盐城工程造价》建材信息价或建材市场参考价的平均价，缺项的材料由发包人按市场价（市场询价）执行。其结算价下浮中标时确定的下浮率进行结算。对于施工调整其费用全部重新结算的其设计费用按结算费用的3%计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设备位置的调整引起的综合布线的调整，其投标报价不调整。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（5）投标人应根据投标时的设计图纸和报价要求逐一详细进行投标报价，中标后审计时如发现承包人存在以下情况，发包人有权调减工程造价。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 投标报价中工程量严重错误（误差在10%以上）且实际发生的工程量少于投标工程量的 10%以上时，有权对该工程量超出10%以上的部分按实际数量进行调减。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 投标时有该项工程量，但设计图纸及施工时均无该工作内容，有权取消该项工程量的报价，对结算价款进行调减。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③投标单价（含综合单价）严重偏离市场价且无法说明原因和理由的，有权对该综合单价按市场价进行调减。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④投标报价按深化方案及施工图进行报价，但发包人对深化设计方案进行了调整导致工程造价调减的，投标报价按规定调减。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⑤承包人在投标时须提供详细的施工图并保证设计的施工图纸其最后效果与设计的效果图一致，如达不到，发包人有权对达不到效果的部分报价进行扣减，该部分造价按原投标价的80%计算。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（6）发包人对施工图提出修改内容，其总体装饰范围及装饰风格未作实质性增加（主要材料未调整，仅对细节或颜色等作调整，如龙骨间距微调、面层石材位置调整等），其投标总价不予增加。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（7）确定承包人后，发包人对部分设计内容要求选用其它投标人的设计方案，费用按经审核的该投标人的报价执行，承包人须无条件服从，承包人不得以任何理由提出无法完成或增加造价。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（8）项目实施过程中，发包人及监理单位对承包人供应的材料进行核验。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9）为防止不平衡报价（投标报价偏离市场价），如设计方案作实质性调整导致工程量调整的，应对调整部分的报价作合理性分析，如有不平衡报价的，在工程结算时调整。如变更造成工程量增加超过10%以上，应对变更增加部分的报价作合理性分析，如有不平衡报价的，在工程结算时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（10）对新增材料及设备，如在限额以上的按规定进行招标，如限额以下的，由发包人、跟踪审单位、监理单位集体组织询价，最终由发包人签字确认。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11）工程结算时，新增项目及调整工程量的，其措施项目费不高于费用定额规定的费率，如费用定额规定浮动区间的，不高于浮动区间的中值，费用定额中未确定费率的项目不计取措施项目费。非夜间施工照明费、冬雨季施工增加费、已完工程及设备保护费、按质论价费不计取。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注：因新冠肺炎疫情防控造成的承包人损失以及施工现场疫情防控的费用支出和人工、材料设备、机械价格的波动等费用增加均由承包人承担，结算时不再增加相关费用。</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第14条合同总价和付款</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14.1付款计划申请；按通用条款</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14.2 担保</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14.2.1 履约保函的约定：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承包人提交履约保函的格式、金额和时间：</w:t>
      </w:r>
      <w:r>
        <w:rPr>
          <w:rFonts w:hint="eastAsia" w:ascii="楷体" w:hAnsi="楷体" w:eastAsia="楷体" w:cs="楷体"/>
          <w:color w:val="auto"/>
          <w:szCs w:val="21"/>
          <w:highlight w:val="none"/>
          <w:u w:val="single"/>
        </w:rPr>
        <w:t>履约保证金为合同价款（中标金额）的10%，投标人在收到中标通知书后，须在7日内向发包人足额提交履约保证金，否则发包人可以取消其中标资格。</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u w:val="single"/>
        </w:rPr>
        <w:t>关于履约保证金还需执行以下条款</w:t>
      </w:r>
      <w:r>
        <w:rPr>
          <w:rFonts w:hint="eastAsia" w:ascii="楷体" w:hAnsi="楷体" w:eastAsia="楷体" w:cs="楷体"/>
          <w:color w:val="auto"/>
          <w:szCs w:val="21"/>
          <w:highlight w:val="none"/>
          <w:u w:val="single"/>
        </w:rPr>
        <w:t xml:space="preserve">：中标人采用银行履约保函作为履约保证金的，中标人在规定时间内提供给招标人并配合招标人核实其真实性，银行履约保函的有效期自签订的合同生效之日起至工程验收合格之日止，如中标人不能配合招标人核实银行保函的真实性，则在规定时间内重新以现金方式缴纳保证金。合同须在招标文件规定时间办理和签订。招标人对中标人不能遵守招标文件约定，不能按时办理中标手续和缴纳履约保证金等费用，影响或者推迟签订合同的，招标人有权在中标结果公示后第8日起宣布该中标人废标，有权没收其投标保证金，并按照国家相关法律、法规和规章的规定，建议行政主管部门予以处罚。发包人保证金专用帐户（收款单位：                ；开户银行：                ；账号：                ）。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b/>
          <w:bCs/>
          <w:color w:val="auto"/>
          <w:szCs w:val="21"/>
          <w:highlight w:val="none"/>
          <w:u w:val="single"/>
        </w:rPr>
        <w:t>退还时间</w:t>
      </w:r>
      <w:r>
        <w:rPr>
          <w:rFonts w:hint="eastAsia" w:ascii="楷体" w:hAnsi="楷体" w:eastAsia="楷体" w:cs="楷体"/>
          <w:color w:val="auto"/>
          <w:szCs w:val="21"/>
          <w:highlight w:val="none"/>
          <w:u w:val="single"/>
        </w:rPr>
        <w:t>：工程竣工验收合格且无违约、无农民工工资拖欠情形下一次性无息退还（如遇特殊情况，可通过会商形式确定退还方式和比例），无息。</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14.2.2 支付保函的约定： </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14.2.3 预付款保函的约定：</w:t>
      </w:r>
      <w:r>
        <w:rPr>
          <w:rFonts w:hint="eastAsia" w:ascii="楷体" w:hAnsi="楷体" w:eastAsia="楷体" w:cs="楷体"/>
          <w:color w:val="auto"/>
          <w:szCs w:val="21"/>
          <w:highlight w:val="none"/>
          <w:u w:val="single"/>
        </w:rPr>
        <w:t>承包人不提交预付款保函</w:t>
      </w:r>
      <w:r>
        <w:rPr>
          <w:rFonts w:hint="eastAsia" w:ascii="楷体" w:hAnsi="楷体" w:eastAsia="楷体" w:cs="楷体"/>
          <w:color w:val="auto"/>
          <w:szCs w:val="21"/>
          <w:highlight w:val="none"/>
        </w:rPr>
        <w:t xml:space="preserve"> 。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14.3 预付款</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14.3.1 预付款金额</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预付款的金额为：</w:t>
      </w:r>
      <w:r>
        <w:rPr>
          <w:rFonts w:hint="eastAsia" w:ascii="楷体" w:hAnsi="楷体" w:eastAsia="楷体" w:cs="楷体"/>
          <w:color w:val="auto"/>
          <w:szCs w:val="21"/>
          <w:highlight w:val="none"/>
          <w:u w:val="single"/>
        </w:rPr>
        <w:t xml:space="preserve"> 详见 14.4工程进度款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14.3.3 预付款抵扣</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（1）预付款的抵扣方式、抵扣比例和抵扣时间安排：</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（2）预付款的扣回：</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14.4  工程进度款</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工程付款时，承包人实施工期要求须符合招标文件约定并按相关规定按时发放农民工工资，具体付款幅度如下：</w:t>
      </w:r>
    </w:p>
    <w:p>
      <w:pPr>
        <w:spacing w:line="400" w:lineRule="exact"/>
        <w:ind w:firstLine="420" w:firstLineChars="200"/>
        <w:outlineLvl w:val="0"/>
        <w:rPr>
          <w:rFonts w:ascii="楷体" w:hAnsi="楷体" w:eastAsia="楷体" w:cs="楷体"/>
          <w:color w:val="auto"/>
          <w:szCs w:val="21"/>
          <w:highlight w:val="none"/>
          <w:u w:val="single"/>
        </w:rPr>
      </w:pPr>
      <w:bookmarkStart w:id="10" w:name="_Hlk54447964"/>
      <w:r>
        <w:rPr>
          <w:rFonts w:hint="eastAsia" w:ascii="楷体" w:hAnsi="楷体" w:eastAsia="楷体" w:cs="楷体"/>
          <w:color w:val="auto"/>
          <w:szCs w:val="21"/>
          <w:highlight w:val="none"/>
          <w:u w:val="single"/>
        </w:rPr>
        <w:t>（1）工程完成合同工作量的50%以上，经发包人审核后，可付至已完成工程量的70%；工程全部完成并经发包人验收合格后，付至全部已完成工程量的70%，同时无息退还履约保证金（考核扣款除外）；</w:t>
      </w:r>
    </w:p>
    <w:bookmarkEnd w:id="10"/>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（2）按相关审计要求审计结束后，付至审定价款的97%；</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（3）余款作为质保金，质保期（两年）满后结清余款。</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u w:val="single"/>
        </w:rPr>
        <w:t>（4）本工程价款一律通过银行非现金结算，承包人提供提供增值税专用发票。按以上付款进度，无任何利息补偿。</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14.5缺陷责任保修金的暂扣与支付</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14.5.2缺陷责任保修金的支付</w:t>
      </w:r>
    </w:p>
    <w:p>
      <w:pPr>
        <w:numPr>
          <w:ilvl w:val="0"/>
          <w:numId w:val="1"/>
        </w:num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缺陷责任保修金保函的格式、金额和时间：</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14.6按月工程进度申请付款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按月付款申请报告的格式、内容、份数和提交时间：</w:t>
      </w:r>
      <w:r>
        <w:rPr>
          <w:rFonts w:hint="eastAsia" w:ascii="楷体" w:hAnsi="楷体" w:eastAsia="楷体" w:cs="楷体"/>
          <w:color w:val="auto"/>
          <w:szCs w:val="21"/>
          <w:highlight w:val="none"/>
          <w:u w:val="single"/>
        </w:rPr>
        <w:t>按通用条款</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14.7按付款计划表申请付款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付款期数、每期付款金额、每期需达到的主要计划形象进度和主要计划工程量进度：</w:t>
      </w:r>
      <w:r>
        <w:rPr>
          <w:rFonts w:hint="eastAsia" w:ascii="楷体" w:hAnsi="楷体" w:eastAsia="楷体" w:cs="楷体"/>
          <w:color w:val="auto"/>
          <w:szCs w:val="21"/>
          <w:highlight w:val="none"/>
          <w:u w:val="single"/>
        </w:rPr>
        <w:t>执行通用条款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付款申请报告的格式、内容、份数和提交时间：</w:t>
      </w:r>
      <w:r>
        <w:rPr>
          <w:rFonts w:hint="eastAsia" w:ascii="楷体" w:hAnsi="楷体" w:eastAsia="楷体" w:cs="楷体"/>
          <w:color w:val="auto"/>
          <w:szCs w:val="21"/>
          <w:highlight w:val="none"/>
          <w:u w:val="single"/>
        </w:rPr>
        <w:t xml:space="preserve">同14.6条款约定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14.12  竣工结算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14.12.1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提交竣工结算资料竣工结算资料的格式、内容和份数：</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（1）承包人在工程竣工验收合格并取得《建设工程竣工验收备案证明书》后30天内，向发包人递交竣工结算书及完整有效的结算资料。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完整有效的结算资料包括：结算竣工图（发包人、监理需在15天内审核完成）、设计变更通知单、现场签证（需经发包人确认、并且符合本合同对签证的流程及时间要求）、会议纪要、施工组织设计、工程业务联系单、材料定价单、工程结算书、工程量计算稿（书面稿和电子版（计价软件采用金石计价软件）及Excel格式的电子版）等。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①工程签证必须有配套的经发包人盖章的工程联系单及其他相关资料。如不能完整提供视为承包人放弃此项权利，不予结算。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②有效的结算资料可以为复印件，须有原件复查，否则不予结算。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③发包人收到承包人送交的完整有效的结算资料后90天内进行资料核对、造价计算并安排核对工程量和工程造价（如由审计部门直接审核的项目，执行审计部门的安排,如需复审项目，双方要及时配合。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④竣工资料必须正确反应现场情况，并按有关规定正确绘制。若发现竣工图失实或弄虚作假，每发现一处承包人向发包人支付违约金5000元。发现三处以上，除支付违约金外，承包人须重新绘制竣工图。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承包人如未在规定时间内提供完整的工程竣工结算资料，经发包人催促后14天内仍未提供的，承包人向发包人支付100000元的违约金，且发包人有权聘请审计单位自行审查，出具的结算书有效，承包人不得有异议。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⑥竣工结算审核期间，承包人有义务及时配合发包人或发包人聘请的审计单位的审查工作，提供发包人或审计单位需要的资料和进行相关的解释说明，在发包人或发包人聘请的审计单位催促后10天内，承包人仍无正当理由不配合及不签字认可结算结果的，发包人或发包人聘请的审计单位有权自行审查，出具的结算书有效，承包人不得有异议。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14.12.2 承包人提交结算的其它要求：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完成合同约定及发包人要求的全部工作量后，向发包人提交竣工验收申请报告，发包人及时组织工程竣工验收。如因工程质量问题导致的验收延误，责任由承包人承担，如因发包人原因导致的验收延误，责任由发包人承担，工期顺延。工程验收必须在质量合格的基础上进行，承包人须自检合格。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（2）工程项目结算审计要求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本工程实施结算审计期间，承包人必须确保所提供的工程招投标文件、施工合同、协议、工程联系单（工程量核定单）、施工图、竣工图、工程结算造价、工程监理资料等其他审计资料是完整的、真实的。承包人授权 （预算员或造价师），联系方式 全权代表承包人处理本工程有关结算事宜，中途承诺不另换他人。如遇特殊情况，承包人应以书面的形式征得发包人的同意。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承包人在计算竣工结算资料报送前，需进行认真审查，承包人所编报的工程结算误差率控制在5%以内。承包人所编报的工程结算，经审计单位审核后，其误差率达 5%以上者，承包人承担 5%以上按工程核减额部分的5%的审核费；一审不超 5%，但复审或抽审与一审累计超过5%的，承包人承担复审或抽审核减额部分的 20%的审核费用；审核费用在工程结算时予以扣款。由于承包人上报结算漏算、少算而造成工程造价核增，则核增部分的审核费用由承包人承担。承包人报送的结算中，有关经济签证已齐全，手续也已完善，若在审核工程中，发现签证不全或手续不完善的，承包人承诺不再补办，也不要求计取。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承包人报送的结算资料是复印件的，报审时携带原件核对。审核过程中，承包人保证密切配合，以确保及时、准确地完成工程结算审核工作。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本招标文件中所有涉及发包人对承包人的经济处罚，承包人必须在发包人处罚决定后3日内以现金形式交由发包人，如不能按期提供现金罚款的，发包人将从承包人履约保证金中以现金两倍的数额予以扣除。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该工程不允许挂靠、转包或分包现象。若发现，发包人有权取消承包资格；如在工程施工过程中发现此现象，发包人有权责令投标人无条件退场；或在工程结束后发现此现象，发包人只支付工程审计款的70%。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第15条保险</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15.1 承包人的投保</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15.1.1合同双方商定，由承包人负责投保的保险种类、保险范围、投保金额、保险期限和持续有效的时间：</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15.2 一切险和第三方责任</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土建工程一切险的投保方及对投保的相关要求：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安装工程及竣工试验一切险的投保方及对投保的相关要求：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第三者责任险的应投保方及对投保的相关要求：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第16条违约、索赔和裁决</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16.1 承包人违约责任的承担方式和计算方法：/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16.2 承包人的违约责任的特别约定：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16.2.1 承包人在选择材料、设备时，应在满足本项目设计标准、质量和使用要求的前提下，选用同档次的优质优价的产品，如选用的产品不符合要求，视为违约。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16.2.2 承包人已对现场进行了充分勘察，并将临时施工通道考虑在投标报价中，费用包干，承包方提出与此有关费用的索赔发包人不予支付。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16.2.3 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16.3 争议和裁决</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16.3.1争议的解决程序</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在争议提交调解之日起30日内，双方仍存有争议时，或合同任何一方不同意调解的，在以下方式中选择其一，作为双方解决争议事项的约定。</w:t>
      </w:r>
    </w:p>
    <w:p>
      <w:pPr>
        <w:spacing w:line="400" w:lineRule="exact"/>
        <w:ind w:left="420" w:leftChars="200"/>
        <w:rPr>
          <w:rFonts w:ascii="楷体" w:hAnsi="楷体" w:eastAsia="楷体" w:cs="楷体"/>
          <w:color w:val="auto"/>
          <w:szCs w:val="21"/>
          <w:highlight w:val="none"/>
        </w:rPr>
      </w:pPr>
      <w:r>
        <w:rPr>
          <w:rFonts w:hint="eastAsia" w:ascii="楷体" w:hAnsi="楷体" w:eastAsia="楷体" w:cs="楷体"/>
          <w:color w:val="auto"/>
          <w:szCs w:val="21"/>
          <w:highlight w:val="none"/>
        </w:rPr>
        <w:t>√向工程所在地人民法院提起诉讼。</w:t>
      </w:r>
    </w:p>
    <w:p>
      <w:pPr>
        <w:spacing w:line="400" w:lineRule="exact"/>
        <w:ind w:left="420" w:left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第18条合同解除</w:t>
      </w:r>
    </w:p>
    <w:p>
      <w:pPr>
        <w:spacing w:line="400" w:lineRule="exact"/>
        <w:ind w:left="420" w:left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除执行通用条款约定外，由发包人解除合同情况下还约定：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18.1 发包人解除合同后,仍然享有向承包人索赔的权利。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18.2 发包人不承担继续使用承包人在施工现场的材料、设备、临时工程、承包人文件和由承包人或以其名义编制的其他文件的费用。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18.3 发包人终止的权利。发包人应有权因政府政策、计划的变更、或者其他需要，通过向承包人发出终止通知，解除合同；此项终止应在承包人收到该通知时生效。合同终止后发包人退回履约担保。发包人不应为了自己实施或安排其他承包人实施工程，根据本款解除合同。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第19条合同生效与合同终止</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19.2 合同份数</w:t>
      </w:r>
    </w:p>
    <w:p>
      <w:pPr>
        <w:spacing w:line="400" w:lineRule="exact"/>
        <w:ind w:firstLine="420" w:firstLineChars="200"/>
        <w:rPr>
          <w:rFonts w:ascii="楷体" w:hAnsi="楷体" w:eastAsia="楷体" w:cs="楷体"/>
          <w:b/>
          <w:bCs/>
          <w:color w:val="auto"/>
          <w:szCs w:val="21"/>
          <w:highlight w:val="none"/>
          <w:u w:val="single"/>
        </w:rPr>
      </w:pPr>
      <w:r>
        <w:rPr>
          <w:rFonts w:hint="eastAsia" w:ascii="楷体" w:hAnsi="楷体" w:eastAsia="楷体" w:cs="楷体"/>
          <w:color w:val="auto"/>
          <w:szCs w:val="21"/>
          <w:highlight w:val="none"/>
          <w:u w:val="single"/>
        </w:rPr>
        <w:t>本合同一式拾壹份，合同双方各持伍份，招投标监管部门壹份。</w:t>
      </w:r>
      <w:r>
        <w:rPr>
          <w:rFonts w:hint="eastAsia" w:ascii="楷体" w:hAnsi="楷体" w:eastAsia="楷体" w:cs="楷体"/>
          <w:b/>
          <w:bCs/>
          <w:color w:val="auto"/>
          <w:szCs w:val="21"/>
          <w:highlight w:val="none"/>
          <w:u w:val="singl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第20条补充条款</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rPr>
        <w:t xml:space="preserve">  </w:t>
      </w:r>
      <w:r>
        <w:rPr>
          <w:rFonts w:hint="eastAsia" w:ascii="楷体" w:hAnsi="楷体" w:eastAsia="楷体" w:cs="楷体"/>
          <w:color w:val="auto"/>
          <w:kern w:val="44"/>
          <w:szCs w:val="21"/>
          <w:highlight w:val="none"/>
          <w:u w:val="single"/>
        </w:rPr>
        <w:t xml:space="preserve">  1、本工程施工过程中遇到的一切地方矛盾及由此发生的费用均由承包人自行负责，与发包人无涉。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2、本工程合同签订时，法定代表人或发包人要求的承包人代表必须到现场签字。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3、本工程价款一律通过银行非现金结算，工程款汇入企业基本帐户，实行专款专用。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4、中标人自行承担工程施工过程中的质量、安全责任。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5、在本合同履行过程中，如承包人发生如下情形之一，发包人将视承包人严重违约，立即中止合同，冻结专户资金，承包人承担违约责任并承担由此造成的一切损失，承包人在现场的人员无条件退场，承包人在现场的设备和材料无条件供发包人使用，其设备租金和材料价值待人民法院判决后，如有剩余，在判决书生效后7天内支付。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①不同意本工程合同条件；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②自认合同价款比例和时间；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③无故停工或拖延施工进度或影响施工质量；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④要挟发包人提高合同价款；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⑤要挟发包人给予某种补偿者。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6、自觉接受发包人对本工程（项目）监督和飞行再监督管理。甲方发现或者认定乙方存在不符合工程招标文件、工程合同、国家工程技术规范和其他约定等问题，有权向乙方提出限期整改要求，乙方应当按期保质予以整改。同时，甲方对乙方存在问题，有权要求乙方进行赔偿，有权对乙方进行经济扣（罚）款，扣（罚）款额度由甲方根据乙方违反工程招标文件、工程合同、国家工程技术规范，以及其他约定的情况和程度量定。乙方被扣（罚）款项，可在甲方应支付乙方款项中扣除。甲方对乙方不能遵守工程招标文件、工程合同和其他约定，屡纠不改或者屡查屡犯，甲方有权与其单方面废标或解除合同。由于乙方责任，导致甲方废标或解除合同的，乙方已完工程量不予结算。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7、关于农民工工资支付等的约定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①工程竣工验收后且在合同约定付款时，承包人应当优先全额结清包括但不限于农民工在内的工人工资。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②工程竣工验收后且在合同约定付款时，承包人未按上条约定履行的，或在工程施工过程中、竣工后发生一起包括但不限于农民工在内的工人上访讨薪事件的均视为承包人违约，由发包人垫付，发包人同时对承包人处以 5 倍的罚款。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③承包人须对施工现场所有从业人员，建立电脑用工台账，实行日常考勤管理。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④承包人必须在第一时间内主动向建设单位、监理单位，提供与劳务公司签订的用工合同，或提供班组人员与施工单位签订的用工合同。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⑤由监理单位全程实施检查、监督和管理承包人的农民工工资支付发放工作及信息反馈工作。发现存在拖欠农民工资现象的，及时向发包人反映。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⑥在履行合同过程中，承包人应遵守国家或地方的法律、法规、规章、条例、规范性文件或任何对工程有管辖权的部门的规章，并按要求支付有关费用。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8、无论发包人是否给予了批准或同意，承包人应对现场作业、施工方法及所施工工程的完备性、稳定性和安全性承担全部责任，负责完成对工程的稳定、完整、安全、可靠及有效运行所必须的全部工作。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9、施工过程中的排污、环保、市容、城建城管、消防、治安、人口管理等办理相关手续以及对临近居民、行人的影响等，由承包人负责协调处理，并承担相关的费用。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10、承包人在中标后须派专人配合发包人办理相关手续，该人员办理手续期间，服从发包人工作安排，相关费用在投标报价时考虑。承包人未按照发包人要求办理的，发包人有权处以5000元的违约处罚。须根据工程建设进度需要派专人负责工程所有相关资料的填写、审签、完善工作，服从发包人检查的需要，相关费用在投标报价时考虑。承包人未按照发包人要求及时完成的，每发生一次承包人须向发包人承担 5000 元的违约金。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11、承包人需服从发包人对施工现场的统筹管理，合理组织，推进工程建设，参加发包人召集的工作例会，并按照要求每周向发包人及现场监理上报进度计划，经监理单位审查后，如未能按照制定的进度计划完成施工，需对实际进度与总进度计划进行对比分析，及时纠偏，并且采取弥补措施，赶上原进度计划，赶工费用由承包人自行承担；如承包人不服从发包人管理、无故缺席工作例会、未能按照进度计划完成工作的，发包人有权对承包人处以 20000元/次的经济处罚；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12、发包人根据现场进展情况有权要求承包人增加机械、人员，所发生的费用承包人自行承担，不服从管理的，发包人有权处以 20000元每次的违约金处罚；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13、承包人必须服从发包人统一管理，发包人可根据现场考核制度对工程的质量、安全、工程等方面进行考核，如未达到发包人要求或国家验收规范标准的，该工程的本期工程款发包人有权不付或缓付或少付，并同时对承包人进行处罚，包括通报和罚款。罚款金额由发包人和监理单位根据现场情况进行处罚 。承包人施工时，不得对已建道路进行破坏和污染，同时承包人必须对自己施工的各分项工程在合同期间进行保洁管理和安全维护。承包人施工车辆通行必须服从发包人指定路线通行，违者罚款 2000元/车次。如导致道路破坏或损坏，承包人必须及时修整完好，同时发包人有权按实际恢复工程造价的2倍罚款。承包人必须严格执行盐政办发【2013】38 号文件《盐城市人民政府办公室转发市城乡建设局关于市区建设工程施工现场扬尘污染治理工作方案和市公安局市城市管理局关于市区建设工程渣土运输联合整治工作方案的通知》要求，如违反规定，除整改外，发包人有权处每次不少于2000元的罚款，承包人必须在发包人处罚决定后3日内以现金形式交由发包人。承包人须充分考虑发包人各种参观或检查需要的现场打扫、清洗、横幅、宣传等费用，如不积极配合，则发包人有权处每次不少于2000元的罚款，承包人必须在发包人处罚决定后3日内以现金形式交由发包人。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14、本工程实施期间，建筑材料堆放有序；施工区域裸露地块、易形成扬尘的建筑材料等均须覆盖处理；生活垃圾、建筑垃圾、工程渣土等日产日清，及时清运出场地，如不能清运出场地的，必须覆盖处理，减少扬尘；其他应严格按照文明工地的要求组织施工。覆盖用材料及其他和本工程有关的各项措施费承包人自行考虑，请各承包人充分考虑各项措施所涉及的费用 并将其考虑至投标报价措施项目费中，不考虑或考虑不足均视为承包人让利，实施过程中不再增加相关费用。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15、承包人须考虑进场后接受现场不一定完全具备施工条件，套插施工，合理组织安排工期，确保按期完成。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16、承包人须服从发包人委托的监理单位管理，材料、设备进场提供产品合格证和检验报告，每道工序完成后隐蔽前提请发包人及监理单位验收合格才能进入下一道工序。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17、无论是货物、材料还是施工如有质量问题，承包人必须按发包人或监理提出整改意见整改到位后，提请验收。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18、工程竣工验收前，承包人应完成场地清理，并将所有垃圾运出场外，费用由承包人承担。</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19、工程质保期为2年，并从工程竣工验收合格之日起计算。在质保期内如出现产品质量问题或安装施工质量问题，责任由承包人负责。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20、本招标文件中所有涉及发包人对承包人的经济处罚，承包人必须在发包人处罚决定后3日内以现金形式交由发包人，如不能按期提供现金罚款的，发包人将从承包人履约保证金中或工程款中以现金两倍的数额予以扣除。 </w:t>
      </w:r>
    </w:p>
    <w:p>
      <w:pPr>
        <w:spacing w:line="400" w:lineRule="exact"/>
        <w:jc w:val="left"/>
        <w:rPr>
          <w:rFonts w:ascii="楷体" w:hAnsi="楷体" w:eastAsia="楷体" w:cs="楷体"/>
          <w:b/>
          <w:bCs/>
          <w:color w:val="auto"/>
          <w:kern w:val="44"/>
          <w:szCs w:val="21"/>
          <w:highlight w:val="none"/>
        </w:rPr>
      </w:pPr>
      <w:r>
        <w:rPr>
          <w:rFonts w:hint="eastAsia" w:ascii="楷体" w:hAnsi="楷体" w:eastAsia="楷体" w:cs="楷体"/>
          <w:b/>
          <w:bCs/>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b/>
          <w:bCs/>
          <w:color w:val="auto"/>
          <w:kern w:val="44"/>
          <w:szCs w:val="21"/>
          <w:highlight w:val="none"/>
        </w:rPr>
        <w:t>合同附件：工程质量保修书</w:t>
      </w:r>
      <w:r>
        <w:rPr>
          <w:rFonts w:hint="eastAsia" w:ascii="楷体" w:hAnsi="楷体" w:eastAsia="楷体" w:cs="楷体"/>
          <w:color w:val="auto"/>
          <w:kern w:val="44"/>
          <w:szCs w:val="21"/>
          <w:highlight w:val="none"/>
        </w:rPr>
        <w:t xml:space="preserve"> </w:t>
      </w:r>
    </w:p>
    <w:p>
      <w:pPr>
        <w:widowControl/>
        <w:jc w:val="left"/>
        <w:rPr>
          <w:rFonts w:ascii="楷体" w:hAnsi="楷体" w:eastAsia="楷体" w:cs="楷体"/>
          <w:b/>
          <w:bCs/>
          <w:color w:val="auto"/>
          <w:kern w:val="44"/>
          <w:szCs w:val="21"/>
          <w:highlight w:val="none"/>
        </w:rPr>
      </w:pPr>
      <w:r>
        <w:rPr>
          <w:rFonts w:hint="eastAsia" w:ascii="楷体" w:hAnsi="楷体" w:eastAsia="楷体" w:cs="楷体"/>
          <w:b/>
          <w:bCs/>
          <w:color w:val="auto"/>
          <w:kern w:val="44"/>
          <w:szCs w:val="21"/>
          <w:highlight w:val="none"/>
        </w:rPr>
        <w:br w:type="page"/>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b/>
          <w:bCs/>
          <w:color w:val="auto"/>
          <w:kern w:val="44"/>
          <w:szCs w:val="21"/>
          <w:highlight w:val="none"/>
        </w:rPr>
        <w:t>附件 1：工程质量保修书</w:t>
      </w:r>
      <w:r>
        <w:rPr>
          <w:rFonts w:hint="eastAsia" w:ascii="楷体" w:hAnsi="楷体" w:eastAsia="楷体" w:cs="楷体"/>
          <w:color w:val="auto"/>
          <w:kern w:val="44"/>
          <w:szCs w:val="21"/>
          <w:highlight w:val="none"/>
        </w:rPr>
        <w:t xml:space="preserve"> </w:t>
      </w:r>
    </w:p>
    <w:p>
      <w:pPr>
        <w:spacing w:line="400" w:lineRule="exact"/>
        <w:jc w:val="center"/>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工程质量保修书</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44"/>
          <w:szCs w:val="21"/>
          <w:highlight w:val="none"/>
        </w:rPr>
        <w:t>发包人(全称）：</w:t>
      </w:r>
      <w:r>
        <w:rPr>
          <w:rFonts w:hint="eastAsia" w:ascii="楷体" w:hAnsi="楷体" w:eastAsia="楷体" w:cs="楷体"/>
          <w:color w:val="auto"/>
          <w:kern w:val="44"/>
          <w:szCs w:val="21"/>
          <w:highlight w:val="none"/>
          <w:u w:val="single"/>
        </w:rPr>
        <w:t xml:space="preserve"> 盐城工业职业技术学院</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承包人(全称）：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44"/>
          <w:szCs w:val="21"/>
          <w:highlight w:val="none"/>
        </w:rPr>
        <w:t>发包人和承包人根据《中华人民共和国建筑法》和《建设工程质量管理条例》，经协商一致就</w:t>
      </w:r>
      <w:r>
        <w:rPr>
          <w:rFonts w:hint="eastAsia" w:ascii="楷体" w:hAnsi="楷体" w:eastAsia="楷体" w:cs="楷体"/>
          <w:color w:val="auto"/>
          <w:kern w:val="44"/>
          <w:szCs w:val="21"/>
          <w:highlight w:val="none"/>
          <w:u w:val="single"/>
        </w:rPr>
        <w:t>盐城工业职业技术学院铁军文化苑设计施工一体化项目</w:t>
      </w:r>
      <w:r>
        <w:rPr>
          <w:rFonts w:hint="eastAsia" w:ascii="楷体" w:hAnsi="楷体" w:eastAsia="楷体" w:cs="楷体"/>
          <w:color w:val="auto"/>
          <w:kern w:val="44"/>
          <w:szCs w:val="21"/>
          <w:highlight w:val="none"/>
        </w:rPr>
        <w:t xml:space="preserve">签订工程质量保修书。 </w:t>
      </w:r>
    </w:p>
    <w:p>
      <w:pPr>
        <w:numPr>
          <w:ilvl w:val="0"/>
          <w:numId w:val="2"/>
        </w:num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工程质量保修范围和内容承包人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本工程保修按中华人民共和国国务院 279 号《建设工程质量管理条例》等法律法规规定执行。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二、质量保修期根据《建设工程质量管理条例》及有关规定，工程的质量保修期如下：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1.地基基础工程和主体结构工程为设计文件规定的工程合理使用年限；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2.屋面防水工程、有防水要求的卫生间、房间和外墙面的防渗为5年；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3.装修工程为2年；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4.电气管线、给排水管道、设备安装工程为2年；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5.供热与供冷系统为2个采暖期、供冷期；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6.住宅小区内的给排水设施、道路等配套工程为2年；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7.其他项目保修期限约定：</w:t>
      </w:r>
      <w:r>
        <w:rPr>
          <w:rFonts w:hint="eastAsia" w:ascii="楷体" w:hAnsi="楷体" w:eastAsia="楷体" w:cs="楷体"/>
          <w:color w:val="auto"/>
          <w:kern w:val="44"/>
          <w:szCs w:val="21"/>
          <w:highlight w:val="none"/>
          <w:u w:val="single"/>
        </w:rPr>
        <w:t>绿化部分养护期不低于3年，成活率达100%；其他未明确的统一不低于2年</w:t>
      </w:r>
      <w:r>
        <w:rPr>
          <w:rFonts w:hint="eastAsia" w:ascii="楷体" w:hAnsi="楷体" w:eastAsia="楷体" w:cs="楷体"/>
          <w:color w:val="auto"/>
          <w:kern w:val="44"/>
          <w:szCs w:val="21"/>
          <w:highlight w:val="none"/>
        </w:rPr>
        <w:t>。</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u w:val="single"/>
        </w:rPr>
        <w:t>上述质量保修期约定的未尽事宜，按中华人民共和国国务院令第279号《建设工程质量管理条例》执行</w:t>
      </w:r>
      <w:r>
        <w:rPr>
          <w:rFonts w:hint="eastAsia" w:ascii="楷体" w:hAnsi="楷体" w:eastAsia="楷体" w:cs="楷体"/>
          <w:color w:val="auto"/>
          <w:kern w:val="44"/>
          <w:szCs w:val="21"/>
          <w:highlight w:val="none"/>
        </w:rPr>
        <w:t>。</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质量保修期自工程交工验收合格之日起计算。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三、缺陷责任期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本总承包合同范围内除绿化工程缺陷责任期为36个月外，其他所有工程的缺陷责任期均为</w:t>
      </w:r>
      <w:r>
        <w:rPr>
          <w:rFonts w:hint="eastAsia" w:ascii="楷体" w:hAnsi="楷体" w:eastAsia="楷体" w:cs="楷体"/>
          <w:color w:val="auto"/>
          <w:kern w:val="44"/>
          <w:szCs w:val="21"/>
          <w:highlight w:val="none"/>
          <w:u w:val="single"/>
        </w:rPr>
        <w:t xml:space="preserve"> 24 </w:t>
      </w:r>
      <w:r>
        <w:rPr>
          <w:rFonts w:hint="eastAsia" w:ascii="楷体" w:hAnsi="楷体" w:eastAsia="楷体" w:cs="楷体"/>
          <w:color w:val="auto"/>
          <w:kern w:val="44"/>
          <w:szCs w:val="21"/>
          <w:highlight w:val="none"/>
        </w:rPr>
        <w:t xml:space="preserve">个月，缺陷责任期自各单项工程验收合格之日起计算。单位工程先于全部工程进行验收，单位工程缺陷责任期自单位工程验收合格之日起算。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缺陷责任期终止并且质量保修期满无任何质量问题后，发包人应退还剩余的质量保证金。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四、质量保修责任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1.属于保修范围、内容的项目，承包人应当在接到保修通知之日起 7 天内派人保修。承包人不在约定期限内派人保修的，发包人可以委托他人修理。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2.发生紧急事故需抢修的，承包人在接到事故通知后，应当立即到达事故现场抢修。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4.质量保修完成后，由发包人组织验收。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五、保修费用：保修费用由造成质量缺陷的责任方承担。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六、双方约定的其他工程质量保修事项：</w:t>
      </w:r>
      <w:r>
        <w:rPr>
          <w:rFonts w:hint="eastAsia" w:ascii="楷体" w:hAnsi="楷体" w:eastAsia="楷体" w:cs="楷体"/>
          <w:color w:val="auto"/>
          <w:kern w:val="44"/>
          <w:szCs w:val="21"/>
          <w:highlight w:val="none"/>
          <w:u w:val="single"/>
        </w:rPr>
        <w:t>/</w:t>
      </w:r>
      <w:r>
        <w:rPr>
          <w:rFonts w:hint="eastAsia" w:ascii="楷体" w:hAnsi="楷体" w:eastAsia="楷体" w:cs="楷体"/>
          <w:color w:val="auto"/>
          <w:kern w:val="44"/>
          <w:szCs w:val="21"/>
          <w:highlight w:val="none"/>
        </w:rPr>
        <w:t xml:space="preserve">。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工程质量保修书由发包人、承包人在工程交工验收前共同签署，作为施工合同附件，其有效期限至保修期满。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发包人：（盖公章）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法定代表人或其委托代理人：（签字）</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年 月 日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承包人：（盖公章）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法定代表人或其委托代理人：（签字）</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年 月 日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连带承包人（：指按法律法规规定和招标文件约定允许承包人分包的各专业承包人，盖公章）法定代表人或其委托代理人：（签字）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年 月 日</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tbl>
      <w:tblPr>
        <w:tblStyle w:val="20"/>
        <w:tblW w:w="939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17"/>
        <w:gridCol w:w="73"/>
        <w:gridCol w:w="1061"/>
        <w:gridCol w:w="827"/>
        <w:gridCol w:w="1841"/>
        <w:gridCol w:w="477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2778" w:type="dxa"/>
            <w:gridSpan w:val="4"/>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条款号</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评审因素</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1.1.1</w:t>
            </w:r>
          </w:p>
        </w:tc>
        <w:tc>
          <w:tcPr>
            <w:tcW w:w="1888"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形式性评审标准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投标人名称</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与营业执照、资质证书、安全生产许可证一致；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投标函签字盖章</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有法定代表人的签章并加盖法人印章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报价唯一</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890"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1.1.2</w:t>
            </w:r>
          </w:p>
        </w:tc>
        <w:tc>
          <w:tcPr>
            <w:tcW w:w="1888"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资格评审标准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营业执照</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安全生产许可证</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具备有效的安全生产许可证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资质证书</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具备有效的资质证书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资质等级</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财务要求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业绩要求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拟派工程总承包项目经理（项目负责人，余同）要求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其他要求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890" w:type="dxa"/>
            <w:gridSpan w:val="2"/>
            <w:vMerge w:val="restart"/>
            <w:tcBorders>
              <w:top w:val="outset" w:color="auto" w:sz="6" w:space="0"/>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1.1.3</w:t>
            </w:r>
          </w:p>
        </w:tc>
        <w:tc>
          <w:tcPr>
            <w:tcW w:w="1888" w:type="dxa"/>
            <w:gridSpan w:val="2"/>
            <w:vMerge w:val="restart"/>
            <w:tcBorders>
              <w:top w:val="outset" w:color="auto" w:sz="6" w:space="0"/>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响应性评审标准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投标内容</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工期</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工程质量</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投标有效期</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符合第二部分总则中对应规定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投标保证金</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其他要求：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无重大偏差所列情形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Style w:val="3"/>
              <w:pageBreakBefore w:val="0"/>
              <w:widowControl w:val="0"/>
              <w:kinsoku/>
              <w:wordWrap/>
              <w:overflowPunct/>
              <w:topLinePunct w:val="0"/>
              <w:bidi w:val="0"/>
              <w:snapToGrid/>
              <w:spacing w:before="0" w:after="0" w:line="400" w:lineRule="exact"/>
              <w:jc w:val="center"/>
              <w:textAlignment w:val="auto"/>
              <w:rPr>
                <w:rFonts w:ascii="楷体" w:hAnsi="楷体" w:eastAsia="楷体" w:cs="楷体"/>
                <w:color w:val="auto"/>
                <w:highlight w:val="none"/>
              </w:rPr>
            </w:pPr>
            <w:bookmarkStart w:id="11" w:name="_Toc5845"/>
            <w:r>
              <w:rPr>
                <w:rFonts w:hint="eastAsia" w:ascii="楷体" w:hAnsi="楷体" w:eastAsia="楷体" w:cs="楷体"/>
                <w:color w:val="auto"/>
                <w:sz w:val="30"/>
                <w:szCs w:val="30"/>
                <w:highlight w:val="none"/>
              </w:rPr>
              <w:t>评标方案</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9" w:type="dxa"/>
            <w:gridSpan w:val="5"/>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分值构成</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(总分100分)</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技术标：专业工程设计文件：35分</w:t>
            </w:r>
          </w:p>
          <w:p>
            <w:pPr>
              <w:pageBreakBefore w:val="0"/>
              <w:widowControl w:val="0"/>
              <w:kinsoku/>
              <w:wordWrap/>
              <w:overflowPunct/>
              <w:topLinePunct w:val="0"/>
              <w:bidi w:val="0"/>
              <w:snapToGrid/>
              <w:spacing w:line="400" w:lineRule="exact"/>
              <w:ind w:firstLine="840" w:firstLineChars="400"/>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项目管理组织方案：5分</w:t>
            </w:r>
          </w:p>
          <w:p>
            <w:pPr>
              <w:pageBreakBefore w:val="0"/>
              <w:widowControl w:val="0"/>
              <w:kinsoku/>
              <w:wordWrap/>
              <w:overflowPunct/>
              <w:topLinePunct w:val="0"/>
              <w:bidi w:val="0"/>
              <w:snapToGrid/>
              <w:spacing w:line="400" w:lineRule="exact"/>
              <w:ind w:firstLine="840" w:firstLineChars="400"/>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现场演示陈述：10分</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经济标：工程总承包报价：50分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1134" w:type="dxa"/>
            <w:gridSpan w:val="2"/>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评分项</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评分因素（偏差率）</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restart"/>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1134" w:type="dxa"/>
            <w:gridSpan w:val="2"/>
            <w:vMerge w:val="restart"/>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专业工程设计文件</w:t>
            </w:r>
            <w:r>
              <w:rPr>
                <w:rFonts w:hint="eastAsia" w:ascii="楷体" w:hAnsi="楷体" w:eastAsia="楷体" w:cs="楷体"/>
                <w:color w:val="auto"/>
                <w:szCs w:val="21"/>
                <w:highlight w:val="none"/>
              </w:rPr>
              <w:t>（35分）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1．设计说明</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1．设计说明能对项目解读充分，理解深刻，分析准确，构思新颖。</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2．项目设计的各项主要技术经济指标是否满足招标人功能需求。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3．项目设计是否国家规范标准及地方规划要求。</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zCs w:val="21"/>
                <w:highlight w:val="none"/>
              </w:rPr>
              <w:t>4.设计理念、各专业（附属）工程设计说明。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2．专业工程设计文件</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1．设计文件是否满足设计任务书要求。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2．</w:t>
            </w:r>
            <w:r>
              <w:rPr>
                <w:rFonts w:hint="eastAsia" w:ascii="楷体" w:hAnsi="楷体" w:eastAsia="楷体" w:cs="楷体"/>
                <w:bCs/>
                <w:color w:val="auto"/>
                <w:highlight w:val="none"/>
              </w:rPr>
              <w:t>整体布局和总体理念。整体布局科学、合理，总体设计理念先进、新颖</w:t>
            </w:r>
            <w:r>
              <w:rPr>
                <w:rFonts w:hint="eastAsia" w:ascii="楷体" w:hAnsi="楷体" w:eastAsia="楷体" w:cs="楷体"/>
                <w:color w:val="auto"/>
                <w:highlight w:val="none"/>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3．与建筑的协调性。</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zCs w:val="21"/>
                <w:highlight w:val="none"/>
              </w:rPr>
              <w:t>4.设</w:t>
            </w:r>
            <w:r>
              <w:rPr>
                <w:rFonts w:hint="eastAsia" w:ascii="楷体" w:hAnsi="楷体" w:eastAsia="楷体" w:cs="楷体"/>
                <w:color w:val="auto"/>
                <w:highlight w:val="none"/>
              </w:rPr>
              <w:t>计效果（重点、亮点的营造和表现）。重点突出，有新意且视觉新颖、造型独特，有很强的参与性，高科技手段运用合理，辅助艺术品的艺术水准较高亮点突出。</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spacing w:val="-7"/>
                <w:highlight w:val="none"/>
              </w:rPr>
            </w:pPr>
            <w:r>
              <w:rPr>
                <w:rFonts w:hint="eastAsia" w:ascii="楷体" w:hAnsi="楷体" w:eastAsia="楷体" w:cs="楷体"/>
                <w:color w:val="auto"/>
                <w:highlight w:val="none"/>
              </w:rPr>
              <w:t>5.</w:t>
            </w:r>
            <w:r>
              <w:rPr>
                <w:rFonts w:hint="eastAsia" w:ascii="楷体" w:hAnsi="楷体" w:eastAsia="楷体" w:cs="楷体"/>
                <w:color w:val="auto"/>
                <w:spacing w:val="-7"/>
                <w:highlight w:val="none"/>
              </w:rPr>
              <w:t>总体设计参观流线：在保证单个展区主题鲜明的同时，应充分</w:t>
            </w:r>
            <w:r>
              <w:rPr>
                <w:rFonts w:hint="eastAsia" w:ascii="楷体" w:hAnsi="楷体" w:eastAsia="楷体" w:cs="楷体"/>
                <w:color w:val="auto"/>
                <w:highlight w:val="none"/>
              </w:rPr>
              <w:t>考虑各展区之间的相互关系，空间布局明确合理，注意人流走向和人流分布。重视参观流线的科学性，各展示衔接恰当，达到移步换景的景观效果，同时也能欣赏户外宜人的景色。特别是交通及公共空间使用，并要考虑游客的习惯及管理等方面。形成科学</w:t>
            </w:r>
            <w:r>
              <w:rPr>
                <w:rFonts w:hint="eastAsia" w:ascii="楷体" w:hAnsi="楷体" w:eastAsia="楷体" w:cs="楷体"/>
                <w:color w:val="auto"/>
                <w:spacing w:val="-7"/>
                <w:highlight w:val="none"/>
              </w:rPr>
              <w:t>合理的参观路线。</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pacing w:val="-7"/>
                <w:highlight w:val="none"/>
              </w:rPr>
              <w:t>6.布展方式：对艺术场景及道具的艺术效果展示，并对制作工艺</w:t>
            </w:r>
            <w:r>
              <w:rPr>
                <w:rFonts w:hint="eastAsia" w:ascii="楷体" w:hAnsi="楷体" w:eastAsia="楷体" w:cs="楷体"/>
                <w:color w:val="auto"/>
                <w:spacing w:val="-6"/>
                <w:highlight w:val="none"/>
              </w:rPr>
              <w:t>及构思的重点及亮点进行阐述说明。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restart"/>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3. 新技术、新材料、新设备和新结构应用</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1.对采用新技术、新材料、新设备和新结构的内容进行评分。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4.绿色设计</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1.采用科学合理的绿色节能措施。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5.设计深度</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1．是否符合设计任务书要求。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2．是否符合国家规定的相关设</w:t>
            </w:r>
            <w:r>
              <w:rPr>
                <w:rFonts w:hint="eastAsia" w:ascii="楷体" w:hAnsi="楷体" w:eastAsia="楷体" w:cs="楷体"/>
                <w:color w:val="auto"/>
                <w:spacing w:val="-8"/>
                <w:highlight w:val="none"/>
              </w:rPr>
              <w:t>计文件深度</w:t>
            </w:r>
            <w:r>
              <w:rPr>
                <w:rFonts w:hint="eastAsia" w:ascii="楷体" w:hAnsi="楷体" w:eastAsia="楷体" w:cs="楷体"/>
                <w:color w:val="auto"/>
                <w:szCs w:val="21"/>
                <w:highlight w:val="none"/>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szCs w:val="21"/>
                <w:highlight w:val="none"/>
              </w:rPr>
              <w:t>3．</w:t>
            </w:r>
            <w:r>
              <w:rPr>
                <w:rFonts w:hint="eastAsia" w:ascii="楷体" w:hAnsi="楷体" w:eastAsia="楷体" w:cs="楷体"/>
                <w:bCs/>
                <w:color w:val="auto"/>
                <w:highlight w:val="none"/>
              </w:rPr>
              <w:t>各专业设计达到方案设计深度，多媒体、艺术品、场景、灯光等设计内容详实。</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注：本项可视设计深度符合程度酌情打分。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auto"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bottom w:val="single" w:color="auto" w:sz="4" w:space="0"/>
              <w:right w:val="single" w:color="auto" w:sz="4" w:space="0"/>
            </w:tcBorders>
          </w:tcPr>
          <w:p>
            <w:pPr>
              <w:pStyle w:val="7"/>
              <w:pageBreakBefore w:val="0"/>
              <w:widowControl w:val="0"/>
              <w:kinsoku/>
              <w:wordWrap/>
              <w:overflowPunct/>
              <w:topLinePunct w:val="0"/>
              <w:bidi w:val="0"/>
              <w:snapToGrid/>
              <w:spacing w:after="0" w:line="400" w:lineRule="exact"/>
              <w:jc w:val="left"/>
              <w:textAlignment w:val="auto"/>
              <w:rPr>
                <w:rFonts w:ascii="楷体" w:hAnsi="楷体" w:eastAsia="楷体" w:cs="楷体"/>
                <w:color w:val="auto"/>
                <w:szCs w:val="21"/>
                <w:highlight w:val="none"/>
              </w:rPr>
            </w:pPr>
            <w:r>
              <w:rPr>
                <w:rFonts w:hint="eastAsia" w:ascii="楷体" w:hAnsi="楷体" w:eastAsia="楷体" w:cs="楷体"/>
                <w:color w:val="auto"/>
                <w:highlight w:val="none"/>
              </w:rPr>
              <w:t>注：1、设计文件</w:t>
            </w:r>
            <w:r>
              <w:rPr>
                <w:rFonts w:hint="eastAsia" w:ascii="楷体" w:hAnsi="楷体" w:eastAsia="楷体" w:cs="楷体"/>
                <w:color w:val="auto"/>
                <w:szCs w:val="21"/>
                <w:highlight w:val="none"/>
              </w:rPr>
              <w:t>中缺少相应内容的评审要点不得分。</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评标委员会对各投标人的设计文件先进行等级评审，评审等级分为优、良、中三个等级，其中优仅限1名、良2名、中不限；优、良、中各等级的得分系数分别为：0.9＜优≤1.0；0.7＜良≤0.8；0.5＜中≤0.6，以0.01为一个记分单位，按35×得分系数进行计分、汇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817" w:type="dxa"/>
            <w:vMerge w:val="restart"/>
            <w:tcBorders>
              <w:top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1134" w:type="dxa"/>
            <w:gridSpan w:val="2"/>
            <w:vMerge w:val="restart"/>
            <w:tcBorders>
              <w:top w:val="single" w:color="auto"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工程总承包报价</w:t>
            </w:r>
            <w:r>
              <w:rPr>
                <w:rFonts w:hint="eastAsia" w:ascii="楷体" w:hAnsi="楷体" w:eastAsia="楷体" w:cs="楷体"/>
                <w:color w:val="auto"/>
                <w:szCs w:val="21"/>
                <w:highlight w:val="none"/>
              </w:rPr>
              <w:t>（50分）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报价评审（包括设计费、工程费）</w:t>
            </w:r>
            <w:r>
              <w:rPr>
                <w:rFonts w:hint="eastAsia" w:ascii="楷体" w:hAnsi="楷体" w:eastAsia="楷体" w:cs="楷体"/>
                <w:color w:val="auto"/>
                <w:szCs w:val="21"/>
                <w:highlight w:val="none"/>
              </w:rPr>
              <w:t>（48分）</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以有效投标文件的评标价进行算术平均，该平均值下浮3%-7%（3%、3.5%、4%、4.5%、5%、5.5%、6%、6.5%、7%，开标时随机抽取）为评标基准价。评标价等于评标基准价的得满分；每低于评标基准价1%扣0.1分；每高于评标基准价1%扣0.2分。偏离不足1%的，按照插入法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2" w:hRule="atLeast"/>
          <w:jc w:val="center"/>
        </w:trPr>
        <w:tc>
          <w:tcPr>
            <w:tcW w:w="817" w:type="dxa"/>
            <w:vMerge w:val="continue"/>
            <w:tcBorders>
              <w:top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top w:val="single" w:color="auto"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投标报价合理性（2 分）</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1．工程总承包报价是否与招标范围相一致；</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2．工程总承包报价是否与投标专业工程设计文件相匹配；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3．工程总承包报价是否与投标项目管理组织方案相匹配；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4．工程总承包报价中的风险金计取是否明确、合理。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817" w:type="dxa"/>
            <w:vMerge w:val="continue"/>
            <w:tcBorders>
              <w:bottom w:val="single" w:color="000000"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说明：</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1.评标价指经澄清、补正和修正算术计算错误的投标报价；</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17" w:type="dxa"/>
            <w:vMerge w:val="restart"/>
            <w:tcBorders>
              <w:top w:val="single" w:color="000000"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1134" w:type="dxa"/>
            <w:gridSpan w:val="2"/>
            <w:vMerge w:val="restart"/>
            <w:tcBorders>
              <w:top w:val="single" w:color="000000"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项目管理组织方案</w:t>
            </w:r>
            <w:r>
              <w:rPr>
                <w:rFonts w:hint="eastAsia" w:ascii="楷体" w:hAnsi="楷体" w:eastAsia="楷体" w:cs="楷体"/>
                <w:color w:val="auto"/>
                <w:szCs w:val="21"/>
                <w:highlight w:val="none"/>
              </w:rPr>
              <w:t>（5分）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1．总体概述</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对工程总承包的总体设想、组织形式、各项管理目标及控制措施、设计、施工实施计划、设计与施工的协调措施等内容进行评分。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2．采购管理方案</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对采购工作程序、采购执行计划、采买、催交与检验、运输与交付、采购变更管理、仓储管理等内容进行评分。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4．施工的重点难点（</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对关键施工技术、工艺及工程项目实施的重点、难点和解决方案等内容进行评分。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5. 施工平面布置规划，施工资源投入计划</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对施</w:t>
            </w:r>
            <w:r>
              <w:rPr>
                <w:rFonts w:hint="eastAsia" w:ascii="楷体" w:hAnsi="楷体" w:eastAsia="楷体" w:cs="楷体"/>
                <w:color w:val="auto"/>
                <w:szCs w:val="21"/>
                <w:highlight w:val="none"/>
              </w:rPr>
              <w:t>工现场平面布置和临时设施、临时道路布置等内容以及</w:t>
            </w:r>
            <w:r>
              <w:rPr>
                <w:rFonts w:hint="eastAsia" w:ascii="楷体" w:hAnsi="楷体" w:eastAsia="楷体" w:cs="楷体"/>
                <w:color w:val="auto"/>
                <w:szCs w:val="22"/>
                <w:highlight w:val="none"/>
              </w:rPr>
              <w:t>劳动力、机械设备和材料投入计划进行评分。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6.新技术、新产品、新工艺、新材料应用</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对采用新技术、新产品、新工艺、新材料的情况进行评分。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7.施工过程各阶段质量安全的保证措施</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对施工过程各阶段质量安全的保证措施进行评分。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注：1、项目管理组织方案中缺少相应内容的评审要点不得分。</w:t>
            </w:r>
          </w:p>
          <w:p>
            <w:pPr>
              <w:pStyle w:val="2"/>
              <w:pageBreakBefore w:val="0"/>
              <w:widowControl w:val="0"/>
              <w:kinsoku/>
              <w:wordWrap/>
              <w:overflowPunct/>
              <w:topLinePunct w:val="0"/>
              <w:bidi w:val="0"/>
              <w:snapToGrid/>
              <w:spacing w:line="400" w:lineRule="exact"/>
              <w:textAlignment w:val="auto"/>
              <w:rPr>
                <w:color w:val="auto"/>
                <w:highlight w:val="none"/>
              </w:rPr>
            </w:pPr>
            <w:r>
              <w:rPr>
                <w:rFonts w:hint="eastAsia" w:ascii="楷体" w:hAnsi="楷体" w:eastAsia="楷体" w:cs="楷体"/>
                <w:color w:val="auto"/>
                <w:kern w:val="2"/>
                <w:sz w:val="21"/>
                <w:szCs w:val="21"/>
                <w:highlight w:val="none"/>
              </w:rPr>
              <w:t>2、评标委员会对各投标人的项目管理组织方案进行综合评审，评审计分区间1-5分，以0.01为一个记分单位。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w:t>
            </w:r>
          </w:p>
        </w:tc>
        <w:tc>
          <w:tcPr>
            <w:tcW w:w="1134" w:type="dxa"/>
            <w:gridSpan w:val="2"/>
            <w:tcBorders>
              <w:top w:val="single" w:color="auto" w:sz="4" w:space="0"/>
              <w:left w:val="single" w:color="000000"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现场演示陈述</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（10分）</w:t>
            </w:r>
          </w:p>
        </w:tc>
        <w:tc>
          <w:tcPr>
            <w:tcW w:w="744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现场演示：评标委员会根据各投标人的现场演示讲解及针对现场提问的回答情况酌情打分，评审计分区间1-10分，以0.01为一个记分单位。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演示内容包含但不限于：</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1、布展设计先进，契合展示空间。</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2、布展设计风格及整体协调性。</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3、展陈方式设计。</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4、展馆内部地方元素设计、实施方案。</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5、结合投标人的实际情况,对本次展览项目的服务创新、亮点特色、合理化建议等多方面进行综合论述。</w:t>
            </w:r>
          </w:p>
          <w:p>
            <w:pPr>
              <w:pageBreakBefore w:val="0"/>
              <w:widowControl w:val="0"/>
              <w:kinsoku/>
              <w:wordWrap/>
              <w:overflowPunct/>
              <w:topLinePunct w:val="0"/>
              <w:bidi w:val="0"/>
              <w:snapToGrid/>
              <w:spacing w:line="400" w:lineRule="exact"/>
              <w:textAlignment w:val="auto"/>
              <w:rPr>
                <w:color w:val="auto"/>
                <w:highlight w:val="none"/>
              </w:rPr>
            </w:pPr>
            <w:r>
              <w:rPr>
                <w:rFonts w:hint="eastAsia" w:ascii="楷体" w:hAnsi="楷体" w:eastAsia="楷体" w:cs="楷体"/>
                <w:color w:val="auto"/>
                <w:szCs w:val="21"/>
                <w:highlight w:val="none"/>
              </w:rPr>
              <w:t>【注：演示中需要用到的设备均由投标人自行准备提供；演示述标时间不得超过10分钟（由各投标人自行分配所有演示内容的所需时间），评委现场问答时间不得超过5分钟】。</w:t>
            </w:r>
          </w:p>
        </w:tc>
      </w:tr>
    </w:tbl>
    <w:p>
      <w:pPr>
        <w:keepNext/>
        <w:keepLines/>
        <w:spacing w:line="360" w:lineRule="exact"/>
        <w:outlineLvl w:val="0"/>
        <w:rPr>
          <w:rFonts w:ascii="楷体" w:hAnsi="楷体" w:eastAsia="楷体" w:cs="楷体"/>
          <w:b/>
          <w:bCs/>
          <w:color w:val="auto"/>
          <w:szCs w:val="21"/>
          <w:highlight w:val="none"/>
        </w:rPr>
      </w:pPr>
      <w:bookmarkStart w:id="12" w:name="_Toc530564467"/>
      <w:bookmarkStart w:id="13" w:name="_Toc1720210"/>
      <w:r>
        <w:rPr>
          <w:rFonts w:hint="eastAsia" w:ascii="楷体" w:hAnsi="楷体" w:eastAsia="楷体" w:cs="楷体"/>
          <w:b/>
          <w:bCs/>
          <w:color w:val="auto"/>
          <w:szCs w:val="21"/>
          <w:highlight w:val="none"/>
        </w:rPr>
        <w:t>1. 评审标准</w:t>
      </w:r>
      <w:bookmarkEnd w:id="12"/>
      <w:bookmarkEnd w:id="13"/>
    </w:p>
    <w:p>
      <w:pPr>
        <w:pStyle w:val="4"/>
        <w:spacing w:before="0" w:after="0" w:line="360" w:lineRule="exact"/>
        <w:rPr>
          <w:rFonts w:ascii="楷体" w:hAnsi="楷体" w:eastAsia="楷体" w:cs="楷体"/>
          <w:color w:val="auto"/>
          <w:sz w:val="21"/>
          <w:szCs w:val="21"/>
          <w:highlight w:val="none"/>
        </w:rPr>
      </w:pPr>
      <w:bookmarkStart w:id="14" w:name="_Toc1720211"/>
      <w:bookmarkStart w:id="15" w:name="_Toc530564468"/>
      <w:r>
        <w:rPr>
          <w:rFonts w:hint="eastAsia" w:ascii="楷体" w:hAnsi="楷体" w:eastAsia="楷体" w:cs="楷体"/>
          <w:color w:val="auto"/>
          <w:sz w:val="21"/>
          <w:szCs w:val="21"/>
          <w:highlight w:val="none"/>
        </w:rPr>
        <w:t>1.1初步评审标准</w:t>
      </w:r>
      <w:bookmarkEnd w:id="14"/>
      <w:bookmarkEnd w:id="15"/>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1.1.1 形式性评审标准：见评标办法前附表。</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 资格评审标准：见评标办法前附表。</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1.1.3 响应性评审标准：见评标办法前附表。</w:t>
      </w:r>
    </w:p>
    <w:p>
      <w:pPr>
        <w:pStyle w:val="4"/>
        <w:spacing w:before="0" w:after="0" w:line="360" w:lineRule="exact"/>
        <w:rPr>
          <w:rFonts w:ascii="楷体" w:hAnsi="楷体" w:eastAsia="楷体" w:cs="楷体"/>
          <w:color w:val="auto"/>
          <w:sz w:val="21"/>
          <w:szCs w:val="21"/>
          <w:highlight w:val="none"/>
        </w:rPr>
      </w:pPr>
      <w:bookmarkStart w:id="16" w:name="_Toc530564469"/>
      <w:bookmarkStart w:id="17" w:name="_Toc1720212"/>
      <w:r>
        <w:rPr>
          <w:rFonts w:hint="eastAsia" w:ascii="楷体" w:hAnsi="楷体" w:eastAsia="楷体" w:cs="楷体"/>
          <w:color w:val="auto"/>
          <w:sz w:val="21"/>
          <w:szCs w:val="21"/>
          <w:highlight w:val="none"/>
        </w:rPr>
        <w:t>1.2详细评审标准</w:t>
      </w:r>
      <w:bookmarkEnd w:id="16"/>
      <w:bookmarkEnd w:id="17"/>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1.2.1 商务标主要由项目管理机构具体评审标准见评标办法。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1.2.2 经济标主要由投标报价组成，具体评审标准见评标办法。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1.2.3技术标主要由项目管理组织方案组成，具体评审标准见评标办法。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1.2.4 各评审因素的具体分值由招标人参照综合评估法的评分细则制订。</w:t>
      </w:r>
    </w:p>
    <w:p>
      <w:pPr>
        <w:keepNext/>
        <w:keepLines/>
        <w:spacing w:line="360" w:lineRule="exact"/>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 评标程序</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2.1评标准备（清标）</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2.1.1 评标前，招标人应当组织进行下列评标准备（清标）工作，并向评标委员会提供相关信息；采用电子招标投标的，应当使用电子交易系统自动开展评标准备（清标）工作：</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（一）根据招标文件，编制评标使用的相应表格；</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（二）对投标报价进行算术性校核；</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（三）以评标标准和方法为依据，列出第一阶段开标的投标文件部分相对于招标文件的所有偏差，并进行归类汇总；</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（四）核实投标人和项目负责人的资质和资格、经历和业绩、在建工程和信用状况等方面的情况。</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招标人应当依据招标文件，采用同样的标准对所有投标文件进行全面的审查，但不对投标文件作出评价。</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招标人认为投标人的投标价有可能无法完成招标文件规定的所有工程内容，招标人可以提请评标委员会要求该投标人作出书面说明并提供相关证明材料。</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评标准备（清标）工作结束后,评标委员会收到评标准备（清标）报告后方可开始评标；评标委员会要复核评标准备（清标）报告，并承担相应责任。</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2.1.2评标委员会成员首先推选一名评标委员会负责人，负责评标活动的组织领导工作，具有与评标委员会其他成员同等的表决权。</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2.1.3招标人或招标代理机构应向评标委员会提供评标所需的信息和数据。评标委员会负责人应组织评标委员会成员认真研究招标文件，未在招标文件中规定的标准和方法不得作为评标的依据。</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2.1.4评标委员会应当根据招标文件规定，全面、独立评审所有投标文件，并对招标人提供的评标准备（清标）相关信息进行复核，发现错误或者遗漏的，应当进行补正。</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2.2初步评审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2.2.1形式性评审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2.2.2资格评审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2.2.3响应性评审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2.2.4投标报价有算术错误的，评标委员会按以下原则对投标报价进行修正，修正的价格经投标人书面确认后具有约束力。投标人不接受修正价格的，评标委员会应当否决其投标。</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（1）投标文件中的大写金额与小写金额不一致的，以大写金额为准；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（2）总价金额与依据单价计算出的结果不一致的，以单价金额为准修正总价，但单价金额小数点有明显错误、四舍五入原因的除外；</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2.2.5澄清、说明或补正</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在初步评审过程中，评标委员会应当就投标文件中不明确的内容要求投标人进行澄清、说明或补正，澄清、说明或补正按照本章第2.4款的规定进行。</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2.3详细评审</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2.3.1评标委员会对满足招标文件实质要求的投标文件的，按照本章前附表规定的评分标准进行打分，并按最终得分由高到低顺序推荐3名中标候选人。综合评分相等时，以投标报价低的优先；投标报价也相等的，由招标人自行确定。</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2.3.2评分分值计算保留小数点后两位，第三位“四舍五入”。</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2.4投标文件的澄清和补正</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2.4.1在评标过程中，评标委员会可以书面形式要求投标人对所提交的投标文件中不明确的内容进行书面澄清或说明。评标委员会不接受投标人主动提出的澄清、说明或补正。</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2.4.2 澄清、说明和补正不得改变投标文件的实质性内容。投标人的书面澄清、说明和补正属于投标文件的组成部分。</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2.4.3 评标委员会对投标人提交的澄清、说明或补正有疑问的，可以要求投标人进一步澄清、说明或补正，直至满足评标委员会的要求。</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2.4.4 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pPr>
        <w:keepNext/>
        <w:keepLines/>
        <w:spacing w:line="360" w:lineRule="exact"/>
        <w:outlineLvl w:val="2"/>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2.5推荐中标候选人</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评标委员会在推荐中标候选人时，应遵照以下原则:</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2.5.1评标委员会推荐3名中标候选人。</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2.5.2如果评标委员会根据本章的规定作无效标处理后，有效投标不足三个，评标委员会应当对是否具有竞争性进行判断。有竞争性的，评标委员会继续推荐中标候选人；缺乏竞争的，评标委员会应当否决全部投标。</w:t>
      </w:r>
    </w:p>
    <w:p>
      <w:pPr>
        <w:spacing w:line="36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2.5.3评标委员会完成评标后，应当向招标人提交评标报告。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rPr>
          <w:rFonts w:ascii="楷体" w:hAnsi="楷体" w:eastAsia="楷体" w:cs="楷体"/>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color w:val="auto"/>
          <w:sz w:val="24"/>
          <w:highlight w:val="none"/>
        </w:rPr>
      </w:pPr>
    </w:p>
    <w:p>
      <w:pP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p>
    <w:p>
      <w:pPr>
        <w:pStyle w:val="18"/>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8"/>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8"/>
        <w:spacing w:before="0" w:beforeAutospacing="0" w:after="0" w:afterAutospacing="0" w:line="400" w:lineRule="exact"/>
        <w:jc w:val="both"/>
        <w:textAlignment w:val="baseline"/>
        <w:rPr>
          <w:rFonts w:ascii="楷体" w:hAnsi="楷体" w:eastAsia="楷体" w:cs="楷体"/>
          <w:bCs/>
          <w:color w:val="auto"/>
          <w:highlight w:val="none"/>
        </w:rPr>
      </w:pPr>
    </w:p>
    <w:p>
      <w:pPr>
        <w:pStyle w:val="18"/>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rPr>
        <w:t>盐城工业职业技术学院铁军文化苑设计施工一体化项目</w:t>
      </w:r>
      <w:r>
        <w:rPr>
          <w:rFonts w:hint="eastAsia" w:ascii="楷体" w:hAnsi="楷体" w:eastAsia="楷体" w:cs="楷体"/>
          <w:bCs/>
          <w:color w:val="auto"/>
          <w:highlight w:val="none"/>
        </w:rPr>
        <w:t>做出如下诚信承诺：</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我方投标项目负责人无在建工程；</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我方未被各级行政主管部门做出停止市场行为的处罚;</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我方杜绝捏造、虚构事实等方式进行恶意投诉的行为；</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8"/>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8"/>
        <w:ind w:firstLine="0"/>
        <w:rPr>
          <w:rFonts w:ascii="楷体" w:hAnsi="楷体" w:eastAsia="楷体" w:cs="楷体"/>
          <w:b w:val="0"/>
          <w:color w:val="auto"/>
          <w:highlight w:val="none"/>
        </w:rPr>
      </w:pPr>
    </w:p>
    <w:p>
      <w:pPr>
        <w:pStyle w:val="8"/>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8"/>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8"/>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rPr>
        <w:t>盐城工业职业技术学院铁军文化苑设计施工一体化项目</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8"/>
        <w:tabs>
          <w:tab w:val="left" w:pos="840"/>
        </w:tabs>
        <w:spacing w:after="156"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8"/>
        <w:spacing w:after="156"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8"/>
        <w:spacing w:line="380" w:lineRule="exact"/>
        <w:ind w:firstLine="0"/>
        <w:rPr>
          <w:rFonts w:ascii="楷体" w:hAnsi="楷体" w:eastAsia="楷体" w:cs="楷体"/>
          <w:b w:val="0"/>
          <w:color w:val="auto"/>
          <w:highlight w:val="none"/>
          <w:u w:val="single"/>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rPr>
        <w:t>盐城工业职业技术学院</w:t>
      </w:r>
    </w:p>
    <w:p>
      <w:pPr>
        <w:pStyle w:val="8"/>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rPr>
        <w:t>盐城工业职业技术学院铁军文化苑设计施工一体化项目</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auto"/>
          <w:spacing w:val="10"/>
          <w:kern w:val="24"/>
          <w:highlight w:val="none"/>
          <w:u w:val="single"/>
        </w:rPr>
        <w:t>（大写）   　　</w:t>
      </w:r>
      <w:r>
        <w:rPr>
          <w:rFonts w:hint="eastAsia" w:ascii="楷体" w:hAnsi="楷体" w:eastAsia="楷体" w:cs="楷体"/>
          <w:b w:val="0"/>
          <w:color w:val="auto"/>
          <w:spacing w:val="10"/>
          <w:kern w:val="24"/>
          <w:highlight w:val="none"/>
        </w:rPr>
        <w:t>（小写：</w:t>
      </w:r>
      <w:r>
        <w:rPr>
          <w:rFonts w:hint="eastAsia" w:ascii="楷体" w:hAnsi="楷体" w:eastAsia="楷体" w:cs="楷体"/>
          <w:b w:val="0"/>
          <w:color w:val="auto"/>
          <w:spacing w:val="10"/>
          <w:kern w:val="24"/>
          <w:highlight w:val="none"/>
          <w:u w:val="single"/>
        </w:rPr>
        <w:t>　 　</w:t>
      </w:r>
      <w:r>
        <w:rPr>
          <w:rFonts w:hint="eastAsia" w:ascii="楷体" w:hAnsi="楷体" w:eastAsia="楷体" w:cs="楷体"/>
          <w:b w:val="0"/>
          <w:color w:val="auto"/>
          <w:spacing w:val="10"/>
          <w:kern w:val="24"/>
          <w:highlight w:val="none"/>
        </w:rPr>
        <w:t>元）</w:t>
      </w:r>
      <w:r>
        <w:rPr>
          <w:rFonts w:hint="eastAsia" w:ascii="楷体" w:hAnsi="楷体" w:eastAsia="楷体" w:cs="楷体"/>
          <w:b w:val="0"/>
          <w:color w:val="auto"/>
          <w:spacing w:val="10"/>
          <w:highlight w:val="none"/>
        </w:rPr>
        <w:t>的投标报价并按上述图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量清单的条件要求承包上述工程的设计、采购、施工、竣工，并承担任何质量缺陷保修责任。</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5.一旦我方中标，我方保证在招标人要求的工期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日历天内完成并移交全部工程，并确保工程质量达到</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标准，同时严格执行《建设工程质量管理条例》中有关工程保修条款。</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8"/>
        <w:spacing w:line="380" w:lineRule="exact"/>
        <w:ind w:firstLine="1473" w:firstLineChars="614"/>
        <w:rPr>
          <w:rFonts w:ascii="楷体" w:hAnsi="楷体" w:eastAsia="楷体" w:cs="楷体"/>
          <w:b w:val="0"/>
          <w:color w:val="auto"/>
          <w:highlight w:val="none"/>
        </w:rPr>
      </w:pPr>
    </w:p>
    <w:p>
      <w:pPr>
        <w:pStyle w:val="8"/>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10"/>
        <w:adjustRightInd w:val="0"/>
        <w:snapToGrid w:val="0"/>
        <w:spacing w:line="300" w:lineRule="exact"/>
        <w:ind w:left="109" w:leftChars="52"/>
        <w:rPr>
          <w:rFonts w:ascii="楷体" w:hAnsi="楷体" w:eastAsia="楷体" w:cs="楷体"/>
          <w:b/>
          <w:bCs/>
          <w:color w:val="auto"/>
          <w:sz w:val="32"/>
          <w:szCs w:val="32"/>
          <w:highlight w:val="none"/>
        </w:rPr>
      </w:pPr>
    </w:p>
    <w:p>
      <w:pPr>
        <w:pStyle w:val="10"/>
        <w:adjustRightInd w:val="0"/>
        <w:snapToGrid w:val="0"/>
        <w:spacing w:line="300" w:lineRule="exact"/>
        <w:rPr>
          <w:rFonts w:ascii="楷体" w:hAnsi="楷体" w:eastAsia="楷体" w:cs="楷体"/>
          <w:b/>
          <w:bCs/>
          <w:color w:val="auto"/>
          <w:sz w:val="32"/>
          <w:szCs w:val="32"/>
          <w:highlight w:val="none"/>
        </w:rPr>
      </w:pPr>
    </w:p>
    <w:p>
      <w:pPr>
        <w:pStyle w:val="10"/>
        <w:adjustRightInd w:val="0"/>
        <w:snapToGrid w:val="0"/>
        <w:spacing w:line="300" w:lineRule="exact"/>
        <w:ind w:left="109" w:leftChars="52"/>
        <w:rPr>
          <w:rFonts w:ascii="楷体" w:hAnsi="楷体" w:eastAsia="楷体" w:cs="楷体"/>
          <w:b/>
          <w:bCs/>
          <w:color w:val="auto"/>
          <w:sz w:val="32"/>
          <w:szCs w:val="32"/>
          <w:highlight w:val="none"/>
        </w:rPr>
      </w:pPr>
    </w:p>
    <w:p>
      <w:pPr>
        <w:pStyle w:val="10"/>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rPr>
        <w:t>盐城工业职业技术学院铁军文化苑设计施工一体化项目</w:t>
      </w:r>
    </w:p>
    <w:p>
      <w:pPr>
        <w:spacing w:line="480" w:lineRule="auto"/>
        <w:jc w:val="center"/>
        <w:rPr>
          <w:rFonts w:ascii="楷体" w:hAnsi="楷体" w:eastAsia="楷体" w:cs="楷体"/>
          <w:b/>
          <w:color w:val="auto"/>
          <w:sz w:val="32"/>
          <w:szCs w:val="32"/>
          <w:highlight w:val="none"/>
        </w:rPr>
      </w:pPr>
    </w:p>
    <w:p>
      <w:pPr>
        <w:spacing w:line="520" w:lineRule="atLeast"/>
        <w:rPr>
          <w:rFonts w:ascii="楷体" w:hAnsi="楷体" w:eastAsia="楷体" w:cs="楷体"/>
          <w:color w:val="auto"/>
          <w:sz w:val="48"/>
          <w:highlight w:val="none"/>
        </w:rPr>
      </w:pPr>
    </w:p>
    <w:p>
      <w:pPr>
        <w:pStyle w:val="19"/>
        <w:ind w:firstLine="422"/>
        <w:rPr>
          <w:rFonts w:ascii="楷体" w:hAnsi="楷体" w:eastAsia="楷体" w:cs="楷体"/>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19"/>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19"/>
        <w:ind w:firstLine="422"/>
        <w:rPr>
          <w:rFonts w:ascii="楷体" w:hAnsi="楷体" w:eastAsia="楷体" w:cs="楷体"/>
          <w:color w:val="auto"/>
          <w:highlight w:val="none"/>
        </w:rPr>
      </w:pPr>
    </w:p>
    <w:p>
      <w:pPr>
        <w:pStyle w:val="19"/>
        <w:ind w:firstLine="422"/>
        <w:rPr>
          <w:rFonts w:ascii="楷体" w:hAnsi="楷体" w:eastAsia="楷体" w:cs="楷体"/>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pStyle w:val="4"/>
        <w:rPr>
          <w:rFonts w:ascii="楷体" w:hAnsi="楷体" w:eastAsia="楷体" w:cs="楷体"/>
          <w:b w:val="0"/>
          <w:color w:val="auto"/>
          <w:sz w:val="28"/>
          <w:highlight w:val="none"/>
        </w:rPr>
      </w:pPr>
      <w:bookmarkStart w:id="18" w:name="_Toc10943"/>
      <w:r>
        <w:rPr>
          <w:rFonts w:hint="eastAsia" w:ascii="楷体" w:hAnsi="楷体" w:eastAsia="楷体" w:cs="楷体"/>
          <w:b w:val="0"/>
          <w:color w:val="auto"/>
          <w:sz w:val="28"/>
          <w:highlight w:val="none"/>
        </w:rPr>
        <w:t>联合体协议书（如有时）</w:t>
      </w:r>
      <w:bookmarkEnd w:id="18"/>
    </w:p>
    <w:p>
      <w:pPr>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联合体协议书</w:t>
      </w:r>
    </w:p>
    <w:p>
      <w:pPr>
        <w:jc w:val="center"/>
        <w:rPr>
          <w:rFonts w:ascii="楷体" w:hAnsi="楷体" w:eastAsia="楷体" w:cs="楷体"/>
          <w:color w:val="auto"/>
          <w:sz w:val="30"/>
          <w:szCs w:val="30"/>
          <w:highlight w:val="none"/>
        </w:rPr>
      </w:pPr>
    </w:p>
    <w:p>
      <w:pPr>
        <w:topLinePunct/>
        <w:spacing w:line="44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（所有成员单位名称）自愿组成</w:t>
      </w:r>
      <w:r>
        <w:rPr>
          <w:rFonts w:hint="eastAsia" w:ascii="楷体" w:hAnsi="楷体" w:eastAsia="楷体" w:cs="楷体"/>
          <w:color w:val="auto"/>
          <w:szCs w:val="21"/>
          <w:highlight w:val="none"/>
          <w:u w:val="single"/>
        </w:rPr>
        <w:t>（联合体名称）</w:t>
      </w:r>
      <w:r>
        <w:rPr>
          <w:rFonts w:hint="eastAsia" w:ascii="楷体" w:hAnsi="楷体" w:eastAsia="楷体" w:cs="楷体"/>
          <w:color w:val="auto"/>
          <w:szCs w:val="21"/>
          <w:highlight w:val="none"/>
        </w:rPr>
        <w:t>联合体，共同参加</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（项目名称）工程总承包投标。现就联合体投标事宜订立如下协议。</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（某成员单位名称）为</w:t>
      </w:r>
      <w:r>
        <w:rPr>
          <w:rFonts w:hint="eastAsia" w:ascii="楷体" w:hAnsi="楷体" w:eastAsia="楷体" w:cs="楷体"/>
          <w:color w:val="auto"/>
          <w:szCs w:val="21"/>
          <w:highlight w:val="none"/>
          <w:u w:val="single"/>
        </w:rPr>
        <w:t>（联合体名称）</w:t>
      </w:r>
      <w:r>
        <w:rPr>
          <w:rFonts w:hint="eastAsia" w:ascii="楷体" w:hAnsi="楷体" w:eastAsia="楷体" w:cs="楷体"/>
          <w:color w:val="auto"/>
          <w:szCs w:val="21"/>
          <w:highlight w:val="none"/>
        </w:rPr>
        <w:t>牵头人。</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4、联合体各成员单位内部的职责分工如下：</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5、本协议书自签署之日起生效，合同履行完毕后自动失效。 </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6、本协议书一式</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份，联合体成员和招标人各执一份。</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注：本协议书由委托代理人签字的，应附法定代表人签字的授权委托书。</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牵头人名称：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（盖单位章）</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（签字）</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成员一名称：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（盖单位章）</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（签字）</w:t>
      </w:r>
    </w:p>
    <w:p>
      <w:pPr>
        <w:topLinePunct/>
        <w:spacing w:line="44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topLinePunct/>
        <w:spacing w:line="440" w:lineRule="exact"/>
        <w:rPr>
          <w:rFonts w:ascii="楷体" w:hAnsi="楷体" w:eastAsia="楷体" w:cs="楷体"/>
          <w:color w:val="auto"/>
          <w:szCs w:val="21"/>
          <w:highlight w:val="none"/>
        </w:rPr>
      </w:pPr>
    </w:p>
    <w:p>
      <w:pPr>
        <w:ind w:firstLine="2879" w:firstLineChars="1371"/>
        <w:rPr>
          <w:rFonts w:ascii="楷体" w:hAnsi="楷体" w:eastAsia="楷体" w:cs="楷体"/>
          <w:color w:val="auto"/>
          <w:highlight w:val="none"/>
        </w:rPr>
      </w:pP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年</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月</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日</w:t>
      </w:r>
    </w:p>
    <w:p>
      <w:pPr>
        <w:ind w:firstLine="2879" w:firstLineChars="1371"/>
        <w:rPr>
          <w:rFonts w:ascii="楷体" w:hAnsi="楷体" w:eastAsia="楷体" w:cs="楷体"/>
          <w:color w:val="auto"/>
          <w:highlight w:val="none"/>
        </w:rPr>
      </w:pPr>
    </w:p>
    <w:p>
      <w:pPr>
        <w:spacing w:line="360" w:lineRule="auto"/>
        <w:ind w:firstLine="490"/>
        <w:jc w:val="center"/>
        <w:rPr>
          <w:rFonts w:ascii="楷体" w:hAnsi="楷体" w:eastAsia="楷体" w:cs="楷体"/>
          <w:color w:val="auto"/>
          <w:sz w:val="28"/>
          <w:szCs w:val="20"/>
          <w:highlight w:val="none"/>
        </w:rPr>
      </w:pPr>
      <w:r>
        <w:rPr>
          <w:rFonts w:hint="eastAsia" w:ascii="楷体" w:hAnsi="楷体" w:eastAsia="楷体" w:cs="楷体"/>
          <w:color w:val="auto"/>
          <w:sz w:val="28"/>
          <w:szCs w:val="20"/>
          <w:highlight w:val="none"/>
        </w:rPr>
        <w:br w:type="page"/>
      </w:r>
    </w:p>
    <w:p>
      <w:pPr>
        <w:rPr>
          <w:rFonts w:hint="eastAsia" w:ascii="楷体" w:hAnsi="楷体" w:eastAsia="楷体" w:cs="楷体"/>
          <w:b/>
          <w:color w:val="auto"/>
          <w:sz w:val="32"/>
          <w:szCs w:val="32"/>
          <w:highlight w:val="none"/>
          <w:lang w:val="en-US" w:eastAsia="zh-CN"/>
        </w:rPr>
      </w:pPr>
      <w:bookmarkStart w:id="19" w:name="_Toc14019"/>
      <w:r>
        <w:rPr>
          <w:rFonts w:hint="eastAsia" w:ascii="楷体" w:hAnsi="楷体" w:eastAsia="楷体" w:cs="楷体"/>
          <w:b/>
          <w:color w:val="auto"/>
          <w:sz w:val="32"/>
          <w:szCs w:val="32"/>
          <w:highlight w:val="none"/>
        </w:rPr>
        <w:t>附件</w:t>
      </w:r>
      <w:r>
        <w:rPr>
          <w:rFonts w:hint="eastAsia" w:ascii="楷体" w:hAnsi="楷体" w:eastAsia="楷体" w:cs="楷体"/>
          <w:b/>
          <w:color w:val="auto"/>
          <w:sz w:val="32"/>
          <w:szCs w:val="32"/>
          <w:highlight w:val="none"/>
          <w:lang w:val="en-US" w:eastAsia="zh-CN"/>
        </w:rPr>
        <w:t>9</w:t>
      </w:r>
    </w:p>
    <w:p>
      <w:pPr>
        <w:pStyle w:val="4"/>
        <w:jc w:val="center"/>
        <w:rPr>
          <w:rFonts w:ascii="楷体" w:hAnsi="楷体" w:eastAsia="楷体" w:cs="楷体"/>
          <w:color w:val="auto"/>
          <w:highlight w:val="none"/>
        </w:rPr>
      </w:pPr>
      <w:r>
        <w:rPr>
          <w:rFonts w:hint="eastAsia" w:ascii="楷体" w:hAnsi="楷体" w:eastAsia="楷体" w:cs="楷体"/>
          <w:b w:val="0"/>
          <w:color w:val="auto"/>
          <w:highlight w:val="none"/>
        </w:rPr>
        <w:t>工程总承包报价</w:t>
      </w:r>
      <w:bookmarkEnd w:id="19"/>
    </w:p>
    <w:p>
      <w:pPr>
        <w:spacing w:line="360" w:lineRule="auto"/>
        <w:ind w:firstLine="490"/>
        <w:jc w:val="center"/>
        <w:rPr>
          <w:rFonts w:ascii="楷体" w:hAnsi="楷体" w:eastAsia="楷体" w:cs="楷体"/>
          <w:color w:val="auto"/>
          <w:highlight w:val="none"/>
        </w:rPr>
      </w:pPr>
      <w:r>
        <w:rPr>
          <w:rFonts w:hint="eastAsia" w:ascii="楷体" w:hAnsi="楷体" w:eastAsia="楷体" w:cs="楷体"/>
          <w:color w:val="auto"/>
          <w:kern w:val="0"/>
          <w:sz w:val="28"/>
          <w:szCs w:val="28"/>
          <w:highlight w:val="none"/>
        </w:rPr>
        <w:t>（格式自理，参照现行计价规范要求）</w:t>
      </w:r>
    </w:p>
    <w:p>
      <w:pPr>
        <w:spacing w:line="360" w:lineRule="auto"/>
        <w:ind w:firstLine="490"/>
        <w:jc w:val="center"/>
        <w:rPr>
          <w:rFonts w:ascii="楷体" w:hAnsi="楷体" w:eastAsia="楷体" w:cs="楷体"/>
          <w:color w:val="auto"/>
          <w:highlight w:val="none"/>
        </w:rPr>
      </w:pPr>
    </w:p>
    <w:p>
      <w:pPr>
        <w:spacing w:line="360" w:lineRule="auto"/>
        <w:ind w:firstLine="490"/>
        <w:jc w:val="center"/>
        <w:rPr>
          <w:rFonts w:ascii="楷体" w:hAnsi="楷体" w:eastAsia="楷体" w:cs="楷体"/>
          <w:color w:val="auto"/>
          <w:highlight w:val="none"/>
        </w:rPr>
      </w:pPr>
    </w:p>
    <w:p>
      <w:pPr>
        <w:spacing w:line="360" w:lineRule="auto"/>
        <w:ind w:firstLine="490"/>
        <w:jc w:val="center"/>
        <w:rPr>
          <w:rFonts w:ascii="楷体" w:hAnsi="楷体" w:eastAsia="楷体" w:cs="楷体"/>
          <w:color w:val="auto"/>
          <w:highlight w:val="none"/>
        </w:rPr>
      </w:pPr>
    </w:p>
    <w:p>
      <w:pPr>
        <w:widowControl/>
        <w:jc w:val="left"/>
        <w:rPr>
          <w:rFonts w:ascii="楷体" w:hAnsi="楷体" w:eastAsia="楷体" w:cs="楷体"/>
          <w:color w:val="auto"/>
          <w:highlight w:val="none"/>
        </w:rPr>
      </w:pPr>
      <w:r>
        <w:rPr>
          <w:rFonts w:hint="eastAsia" w:ascii="楷体" w:hAnsi="楷体" w:eastAsia="楷体" w:cs="楷体"/>
          <w:color w:val="auto"/>
          <w:highlight w:val="none"/>
        </w:rPr>
        <w:br w:type="page"/>
      </w:r>
    </w:p>
    <w:p>
      <w:pPr>
        <w:pStyle w:val="4"/>
        <w:jc w:val="center"/>
        <w:rPr>
          <w:rFonts w:ascii="楷体" w:hAnsi="楷体" w:eastAsia="楷体" w:cs="楷体"/>
          <w:color w:val="auto"/>
          <w:highlight w:val="none"/>
        </w:rPr>
      </w:pPr>
      <w:bookmarkStart w:id="20" w:name="_Toc6761"/>
      <w:r>
        <w:rPr>
          <w:rFonts w:hint="eastAsia" w:ascii="楷体" w:hAnsi="楷体" w:eastAsia="楷体" w:cs="楷体"/>
          <w:b w:val="0"/>
          <w:color w:val="auto"/>
          <w:highlight w:val="none"/>
        </w:rPr>
        <w:t>投标分项报价汇总表</w:t>
      </w:r>
      <w:bookmarkEnd w:id="20"/>
    </w:p>
    <w:tbl>
      <w:tblPr>
        <w:tblStyle w:val="20"/>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5"/>
        <w:gridCol w:w="1984"/>
        <w:gridCol w:w="2408"/>
        <w:gridCol w:w="141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5"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1276"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分项名称</w:t>
            </w:r>
          </w:p>
        </w:tc>
        <w:tc>
          <w:tcPr>
            <w:tcW w:w="1985"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范围、规模</w:t>
            </w:r>
          </w:p>
        </w:tc>
        <w:tc>
          <w:tcPr>
            <w:tcW w:w="2409"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工作内容</w:t>
            </w:r>
          </w:p>
        </w:tc>
        <w:tc>
          <w:tcPr>
            <w:tcW w:w="1418"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投标报价（元）</w:t>
            </w:r>
          </w:p>
        </w:tc>
        <w:tc>
          <w:tcPr>
            <w:tcW w:w="1882"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7088" w:type="dxa"/>
            <w:gridSpan w:val="4"/>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工程设计费</w:t>
            </w:r>
          </w:p>
        </w:tc>
        <w:tc>
          <w:tcPr>
            <w:tcW w:w="1882" w:type="dxa"/>
            <w:vAlign w:val="center"/>
          </w:tcPr>
          <w:p>
            <w:pPr>
              <w:spacing w:line="360" w:lineRule="auto"/>
              <w:jc w:val="center"/>
              <w:rPr>
                <w:rFonts w:ascii="楷体" w:hAnsi="楷体" w:eastAsia="楷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工程设计</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7088" w:type="dxa"/>
            <w:gridSpan w:val="4"/>
            <w:vAlign w:val="center"/>
          </w:tcPr>
          <w:p>
            <w:pPr>
              <w:spacing w:line="360" w:lineRule="auto"/>
              <w:jc w:val="center"/>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工程采购费（如有）</w:t>
            </w: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工程采购</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7088" w:type="dxa"/>
            <w:gridSpan w:val="4"/>
            <w:vAlign w:val="center"/>
          </w:tcPr>
          <w:p>
            <w:pPr>
              <w:spacing w:line="360" w:lineRule="auto"/>
              <w:jc w:val="center"/>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工程施工费</w:t>
            </w: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工程施工</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0"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4</w:t>
            </w:r>
          </w:p>
        </w:tc>
        <w:tc>
          <w:tcPr>
            <w:tcW w:w="7083" w:type="dxa"/>
            <w:gridSpan w:val="4"/>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暂列资金</w:t>
            </w:r>
          </w:p>
        </w:tc>
        <w:tc>
          <w:tcPr>
            <w:tcW w:w="1882" w:type="dxa"/>
            <w:vAlign w:val="center"/>
          </w:tcPr>
          <w:p>
            <w:pPr>
              <w:spacing w:line="360" w:lineRule="auto"/>
              <w:jc w:val="center"/>
              <w:rPr>
                <w:rFonts w:ascii="楷体" w:hAnsi="楷体" w:eastAsia="楷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0"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4.1</w:t>
            </w:r>
          </w:p>
        </w:tc>
        <w:tc>
          <w:tcPr>
            <w:tcW w:w="1276"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暂列资金</w:t>
            </w:r>
          </w:p>
        </w:tc>
        <w:tc>
          <w:tcPr>
            <w:tcW w:w="4389" w:type="dxa"/>
            <w:gridSpan w:val="2"/>
            <w:vAlign w:val="center"/>
          </w:tcPr>
          <w:p>
            <w:pPr>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暂列金额，不作为承包人费用；当实际发生价格调整后，发生的费用纳入合同总价中，扣除实际发生额后余额归发包人所有。暂列金额按发包人签证认可的价格执行。</w:t>
            </w:r>
          </w:p>
        </w:tc>
        <w:tc>
          <w:tcPr>
            <w:tcW w:w="1418"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150000.00</w:t>
            </w:r>
          </w:p>
        </w:tc>
        <w:tc>
          <w:tcPr>
            <w:tcW w:w="1882" w:type="dxa"/>
            <w:vAlign w:val="center"/>
          </w:tcPr>
          <w:p>
            <w:pPr>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各投标人投标时对本项暂列资金不得作任何调整，直接按150000.00元计取。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763" w:type="dxa"/>
            <w:gridSpan w:val="5"/>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工程总承包（设计施工一体化）报价</w:t>
            </w:r>
          </w:p>
        </w:tc>
        <w:tc>
          <w:tcPr>
            <w:tcW w:w="1882" w:type="dxa"/>
            <w:vAlign w:val="center"/>
          </w:tcPr>
          <w:p>
            <w:pPr>
              <w:spacing w:line="360" w:lineRule="auto"/>
              <w:jc w:val="center"/>
              <w:rPr>
                <w:rFonts w:ascii="楷体" w:hAnsi="楷体" w:eastAsia="楷体" w:cs="楷体"/>
                <w:color w:val="auto"/>
                <w:szCs w:val="21"/>
                <w:highlight w:val="none"/>
              </w:rPr>
            </w:pPr>
          </w:p>
        </w:tc>
      </w:tr>
    </w:tbl>
    <w:p>
      <w:pPr>
        <w:jc w:val="center"/>
        <w:rPr>
          <w:rFonts w:ascii="楷体" w:hAnsi="楷体" w:eastAsia="楷体" w:cs="楷体"/>
          <w:color w:val="auto"/>
          <w:szCs w:val="21"/>
          <w:highlight w:val="none"/>
        </w:rPr>
      </w:pPr>
    </w:p>
    <w:p>
      <w:pPr>
        <w:spacing w:line="360" w:lineRule="auto"/>
        <w:ind w:left="359" w:leftChars="171" w:firstLine="4410" w:firstLineChars="2100"/>
        <w:rPr>
          <w:rFonts w:ascii="楷体" w:hAnsi="楷体" w:eastAsia="楷体" w:cs="楷体"/>
          <w:color w:val="auto"/>
          <w:szCs w:val="21"/>
          <w:highlight w:val="none"/>
        </w:rPr>
      </w:pPr>
      <w:r>
        <w:rPr>
          <w:rFonts w:hint="eastAsia" w:ascii="楷体" w:hAnsi="楷体" w:eastAsia="楷体" w:cs="楷体"/>
          <w:color w:val="auto"/>
          <w:szCs w:val="21"/>
          <w:highlight w:val="none"/>
        </w:rPr>
        <w:t>投标人：（盖单位章）</w:t>
      </w:r>
    </w:p>
    <w:p>
      <w:pPr>
        <w:spacing w:line="360" w:lineRule="auto"/>
        <w:ind w:left="359" w:leftChars="171" w:firstLine="4410" w:firstLineChars="2100"/>
        <w:rPr>
          <w:rFonts w:ascii="楷体" w:hAnsi="楷体" w:eastAsia="楷体" w:cs="楷体"/>
          <w:color w:val="auto"/>
          <w:szCs w:val="21"/>
          <w:highlight w:val="none"/>
        </w:rPr>
      </w:pPr>
    </w:p>
    <w:p>
      <w:pPr>
        <w:spacing w:line="360" w:lineRule="auto"/>
        <w:ind w:left="359" w:leftChars="171" w:firstLine="3990" w:firstLineChars="19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法定代表人或其委托代理人：(签字或盖章)</w:t>
      </w:r>
    </w:p>
    <w:p>
      <w:pPr>
        <w:spacing w:line="360" w:lineRule="auto"/>
        <w:ind w:left="359" w:leftChars="171" w:firstLine="3990" w:firstLineChars="1900"/>
        <w:rPr>
          <w:rFonts w:ascii="楷体" w:hAnsi="楷体" w:eastAsia="楷体" w:cs="楷体"/>
          <w:color w:val="auto"/>
          <w:szCs w:val="21"/>
          <w:highlight w:val="none"/>
        </w:rPr>
      </w:pPr>
    </w:p>
    <w:p>
      <w:pPr>
        <w:wordWrap w:val="0"/>
        <w:spacing w:before="156" w:beforeLines="50" w:after="312" w:afterLines="100" w:line="440" w:lineRule="exact"/>
        <w:jc w:val="right"/>
        <w:rPr>
          <w:rFonts w:ascii="楷体" w:hAnsi="楷体" w:eastAsia="楷体" w:cs="楷体"/>
          <w:color w:val="auto"/>
          <w:highlight w:val="none"/>
        </w:rPr>
      </w:pPr>
      <w:r>
        <w:rPr>
          <w:rFonts w:hint="eastAsia" w:ascii="楷体" w:hAnsi="楷体" w:eastAsia="楷体" w:cs="楷体"/>
          <w:color w:val="auto"/>
          <w:highlight w:val="none"/>
        </w:rPr>
        <w:t xml:space="preserve">  日期: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注：投标报价附表的格式及内容可由招标人根据项目具体情况修改调整。</w:t>
      </w:r>
    </w:p>
    <w:p>
      <w:pPr>
        <w:keepNext/>
        <w:keepLines/>
        <w:spacing w:before="260" w:after="260" w:line="415" w:lineRule="auto"/>
        <w:ind w:firstLine="137" w:firstLineChars="49"/>
        <w:jc w:val="center"/>
        <w:outlineLvl w:val="2"/>
        <w:rPr>
          <w:rFonts w:ascii="楷体" w:hAnsi="楷体" w:eastAsia="楷体" w:cs="楷体"/>
          <w:color w:val="auto"/>
          <w:szCs w:val="21"/>
          <w:highlight w:val="none"/>
        </w:rPr>
      </w:pPr>
      <w:r>
        <w:rPr>
          <w:rFonts w:hint="eastAsia" w:ascii="楷体" w:hAnsi="楷体" w:eastAsia="楷体" w:cs="楷体"/>
          <w:b/>
          <w:color w:val="auto"/>
          <w:sz w:val="28"/>
          <w:highlight w:val="none"/>
        </w:rPr>
        <w:br w:type="page"/>
      </w:r>
    </w:p>
    <w:p>
      <w:pPr>
        <w:pStyle w:val="4"/>
        <w:jc w:val="center"/>
        <w:rPr>
          <w:rFonts w:ascii="楷体" w:hAnsi="楷体" w:eastAsia="楷体" w:cs="楷体"/>
          <w:color w:val="auto"/>
          <w:highlight w:val="none"/>
        </w:rPr>
      </w:pPr>
      <w:bookmarkStart w:id="21" w:name="_Toc21383"/>
      <w:r>
        <w:rPr>
          <w:rFonts w:hint="eastAsia" w:ascii="楷体" w:hAnsi="楷体" w:eastAsia="楷体" w:cs="楷体"/>
          <w:b w:val="0"/>
          <w:color w:val="auto"/>
          <w:highlight w:val="none"/>
        </w:rPr>
        <w:t>各投标分项报价明细表</w:t>
      </w:r>
      <w:bookmarkEnd w:id="21"/>
      <w:r>
        <w:rPr>
          <w:rFonts w:hint="eastAsia" w:ascii="楷体" w:hAnsi="楷体" w:eastAsia="楷体" w:cs="楷体"/>
          <w:b w:val="0"/>
          <w:color w:val="auto"/>
          <w:highlight w:val="none"/>
        </w:rPr>
        <w:t>（</w:t>
      </w:r>
      <w:r>
        <w:rPr>
          <w:rFonts w:hint="eastAsia" w:ascii="楷体" w:hAnsi="楷体" w:eastAsia="楷体" w:cs="楷体"/>
          <w:color w:val="auto"/>
          <w:kern w:val="0"/>
          <w:sz w:val="28"/>
          <w:szCs w:val="28"/>
          <w:highlight w:val="none"/>
        </w:rPr>
        <w:t>已标价工程量清单）</w:t>
      </w:r>
    </w:p>
    <w:p>
      <w:pPr>
        <w:spacing w:line="360" w:lineRule="auto"/>
        <w:ind w:firstLine="490"/>
        <w:jc w:val="center"/>
        <w:rPr>
          <w:rFonts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（格式自理，参照现行计价规范要求）</w:t>
      </w:r>
    </w:p>
    <w:p>
      <w:pPr>
        <w:spacing w:line="360" w:lineRule="auto"/>
        <w:ind w:right="1260" w:firstLine="3990" w:firstLineChars="1900"/>
        <w:rPr>
          <w:rFonts w:ascii="楷体" w:hAnsi="楷体" w:eastAsia="楷体" w:cs="楷体"/>
          <w:color w:val="auto"/>
          <w:highlight w:val="none"/>
        </w:rPr>
      </w:pPr>
    </w:p>
    <w:p>
      <w:pPr>
        <w:pStyle w:val="30"/>
        <w:tabs>
          <w:tab w:val="left" w:pos="900"/>
        </w:tabs>
        <w:spacing w:line="400" w:lineRule="exact"/>
        <w:ind w:firstLine="0" w:firstLineChars="0"/>
        <w:jc w:val="left"/>
        <w:outlineLvl w:val="0"/>
        <w:rPr>
          <w:rFonts w:ascii="仿宋" w:hAnsi="仿宋" w:eastAsia="仿宋"/>
          <w:color w:val="auto"/>
          <w:kern w:val="0"/>
          <w:sz w:val="28"/>
          <w:szCs w:val="28"/>
          <w:highlight w:val="none"/>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2020-049S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5716"/>
    <w:multiLevelType w:val="multilevel"/>
    <w:tmpl w:val="1B385716"/>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89965F2"/>
    <w:multiLevelType w:val="multilevel"/>
    <w:tmpl w:val="789965F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C7B78"/>
    <w:rsid w:val="000D14E7"/>
    <w:rsid w:val="000D1A2C"/>
    <w:rsid w:val="000D1CBD"/>
    <w:rsid w:val="000D41B8"/>
    <w:rsid w:val="000D4424"/>
    <w:rsid w:val="000E7051"/>
    <w:rsid w:val="000F03B8"/>
    <w:rsid w:val="000F3684"/>
    <w:rsid w:val="000F5044"/>
    <w:rsid w:val="001050DA"/>
    <w:rsid w:val="00105FDE"/>
    <w:rsid w:val="001135E1"/>
    <w:rsid w:val="00113950"/>
    <w:rsid w:val="001143A1"/>
    <w:rsid w:val="00114568"/>
    <w:rsid w:val="00122C5E"/>
    <w:rsid w:val="00122D66"/>
    <w:rsid w:val="001231A3"/>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89F"/>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4339"/>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2B27"/>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739"/>
    <w:rsid w:val="005B2BD4"/>
    <w:rsid w:val="005B3F41"/>
    <w:rsid w:val="005C4DF1"/>
    <w:rsid w:val="005D0FD9"/>
    <w:rsid w:val="005D1684"/>
    <w:rsid w:val="005D21D9"/>
    <w:rsid w:val="005E1ECD"/>
    <w:rsid w:val="005F391B"/>
    <w:rsid w:val="005F7330"/>
    <w:rsid w:val="0060483D"/>
    <w:rsid w:val="00611747"/>
    <w:rsid w:val="00613767"/>
    <w:rsid w:val="0061378E"/>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11B5"/>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3421"/>
    <w:rsid w:val="007656DA"/>
    <w:rsid w:val="00765A4B"/>
    <w:rsid w:val="00766765"/>
    <w:rsid w:val="007670A4"/>
    <w:rsid w:val="00771791"/>
    <w:rsid w:val="00773F64"/>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336"/>
    <w:rsid w:val="007E2589"/>
    <w:rsid w:val="007E5F2C"/>
    <w:rsid w:val="007E62DC"/>
    <w:rsid w:val="007F03E8"/>
    <w:rsid w:val="007F06F8"/>
    <w:rsid w:val="007F35CA"/>
    <w:rsid w:val="007F44FB"/>
    <w:rsid w:val="007F4D38"/>
    <w:rsid w:val="007F6534"/>
    <w:rsid w:val="007F6858"/>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4C9B"/>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24AA"/>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E5643"/>
    <w:rsid w:val="009F336C"/>
    <w:rsid w:val="009F3700"/>
    <w:rsid w:val="009F3A35"/>
    <w:rsid w:val="009F4C42"/>
    <w:rsid w:val="009F4D2C"/>
    <w:rsid w:val="009F7995"/>
    <w:rsid w:val="00A00F37"/>
    <w:rsid w:val="00A016CC"/>
    <w:rsid w:val="00A045CA"/>
    <w:rsid w:val="00A049D4"/>
    <w:rsid w:val="00A10EEF"/>
    <w:rsid w:val="00A12AA9"/>
    <w:rsid w:val="00A1386F"/>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5720"/>
    <w:rsid w:val="00AD6286"/>
    <w:rsid w:val="00AE0C12"/>
    <w:rsid w:val="00AF10BE"/>
    <w:rsid w:val="00AF5968"/>
    <w:rsid w:val="00B001D8"/>
    <w:rsid w:val="00B01964"/>
    <w:rsid w:val="00B135DD"/>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1C9F"/>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227A"/>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19A"/>
    <w:rsid w:val="00C53C8C"/>
    <w:rsid w:val="00C55639"/>
    <w:rsid w:val="00C57E2A"/>
    <w:rsid w:val="00C6394D"/>
    <w:rsid w:val="00C6576D"/>
    <w:rsid w:val="00C67092"/>
    <w:rsid w:val="00C70AE5"/>
    <w:rsid w:val="00C70CC3"/>
    <w:rsid w:val="00C71016"/>
    <w:rsid w:val="00C73E9E"/>
    <w:rsid w:val="00C74E4C"/>
    <w:rsid w:val="00C76526"/>
    <w:rsid w:val="00C770FF"/>
    <w:rsid w:val="00C808CB"/>
    <w:rsid w:val="00C83218"/>
    <w:rsid w:val="00C8677C"/>
    <w:rsid w:val="00C90453"/>
    <w:rsid w:val="00C90E03"/>
    <w:rsid w:val="00C91AD6"/>
    <w:rsid w:val="00C92A23"/>
    <w:rsid w:val="00C9458F"/>
    <w:rsid w:val="00C956E8"/>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1F3A"/>
    <w:rsid w:val="00D63AA0"/>
    <w:rsid w:val="00D63FB1"/>
    <w:rsid w:val="00D7031A"/>
    <w:rsid w:val="00D73E2F"/>
    <w:rsid w:val="00D764F1"/>
    <w:rsid w:val="00D80F16"/>
    <w:rsid w:val="00D875D9"/>
    <w:rsid w:val="00D8770C"/>
    <w:rsid w:val="00D91A86"/>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E5B00"/>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3734"/>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1A74"/>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D62E5"/>
    <w:rsid w:val="01922DAC"/>
    <w:rsid w:val="01A10813"/>
    <w:rsid w:val="01AA5DCF"/>
    <w:rsid w:val="01C56D4D"/>
    <w:rsid w:val="01CC0385"/>
    <w:rsid w:val="01F4288E"/>
    <w:rsid w:val="02086DD1"/>
    <w:rsid w:val="02096875"/>
    <w:rsid w:val="020F4FEF"/>
    <w:rsid w:val="023C5067"/>
    <w:rsid w:val="023F4004"/>
    <w:rsid w:val="026011A7"/>
    <w:rsid w:val="029D05EB"/>
    <w:rsid w:val="02E15606"/>
    <w:rsid w:val="02E6056C"/>
    <w:rsid w:val="02E66489"/>
    <w:rsid w:val="02EA366D"/>
    <w:rsid w:val="02F076F8"/>
    <w:rsid w:val="02FC0890"/>
    <w:rsid w:val="03017681"/>
    <w:rsid w:val="03213326"/>
    <w:rsid w:val="032E5CFE"/>
    <w:rsid w:val="0353301B"/>
    <w:rsid w:val="03554DFB"/>
    <w:rsid w:val="035F1C34"/>
    <w:rsid w:val="03B33244"/>
    <w:rsid w:val="03BB03F0"/>
    <w:rsid w:val="03C2338C"/>
    <w:rsid w:val="03C44BB5"/>
    <w:rsid w:val="03CA2475"/>
    <w:rsid w:val="04093C09"/>
    <w:rsid w:val="043041D3"/>
    <w:rsid w:val="044A451F"/>
    <w:rsid w:val="046926C7"/>
    <w:rsid w:val="047D3568"/>
    <w:rsid w:val="04930524"/>
    <w:rsid w:val="049A01E1"/>
    <w:rsid w:val="049A6BC0"/>
    <w:rsid w:val="049F746B"/>
    <w:rsid w:val="04C161C2"/>
    <w:rsid w:val="051D57D9"/>
    <w:rsid w:val="052D7AAA"/>
    <w:rsid w:val="0541155C"/>
    <w:rsid w:val="05413F57"/>
    <w:rsid w:val="05431A26"/>
    <w:rsid w:val="054F3468"/>
    <w:rsid w:val="05521A8D"/>
    <w:rsid w:val="05721669"/>
    <w:rsid w:val="05767FB8"/>
    <w:rsid w:val="05804C64"/>
    <w:rsid w:val="058500B4"/>
    <w:rsid w:val="05AC7BF4"/>
    <w:rsid w:val="05CC57C4"/>
    <w:rsid w:val="05DE41BD"/>
    <w:rsid w:val="05F80B9E"/>
    <w:rsid w:val="05F833A7"/>
    <w:rsid w:val="0603174A"/>
    <w:rsid w:val="0614624B"/>
    <w:rsid w:val="062749D2"/>
    <w:rsid w:val="0678078D"/>
    <w:rsid w:val="06821EEF"/>
    <w:rsid w:val="069809AC"/>
    <w:rsid w:val="069D3DEC"/>
    <w:rsid w:val="069D7ED4"/>
    <w:rsid w:val="070D57E4"/>
    <w:rsid w:val="0747226A"/>
    <w:rsid w:val="076D0B83"/>
    <w:rsid w:val="07C35286"/>
    <w:rsid w:val="07C631E6"/>
    <w:rsid w:val="07CB41A4"/>
    <w:rsid w:val="07F61629"/>
    <w:rsid w:val="08124875"/>
    <w:rsid w:val="08154D08"/>
    <w:rsid w:val="08171156"/>
    <w:rsid w:val="082F75FC"/>
    <w:rsid w:val="084349F8"/>
    <w:rsid w:val="08625508"/>
    <w:rsid w:val="089326E0"/>
    <w:rsid w:val="08AC08E6"/>
    <w:rsid w:val="08AD5056"/>
    <w:rsid w:val="08E3343B"/>
    <w:rsid w:val="092154C7"/>
    <w:rsid w:val="09554073"/>
    <w:rsid w:val="09855E02"/>
    <w:rsid w:val="09AD12A0"/>
    <w:rsid w:val="09B15222"/>
    <w:rsid w:val="09BE1F73"/>
    <w:rsid w:val="09C742E1"/>
    <w:rsid w:val="09DD0CF5"/>
    <w:rsid w:val="09E1421F"/>
    <w:rsid w:val="09F930EA"/>
    <w:rsid w:val="09FE52ED"/>
    <w:rsid w:val="09FF54DC"/>
    <w:rsid w:val="0A107962"/>
    <w:rsid w:val="0A1603C1"/>
    <w:rsid w:val="0A245448"/>
    <w:rsid w:val="0A767559"/>
    <w:rsid w:val="0A7C3F6D"/>
    <w:rsid w:val="0A7D3AE6"/>
    <w:rsid w:val="0A9868F9"/>
    <w:rsid w:val="0AB10B02"/>
    <w:rsid w:val="0AC172E9"/>
    <w:rsid w:val="0ACA060F"/>
    <w:rsid w:val="0AD71E9B"/>
    <w:rsid w:val="0B0B5F07"/>
    <w:rsid w:val="0B516F03"/>
    <w:rsid w:val="0B674F8E"/>
    <w:rsid w:val="0B7D3EDE"/>
    <w:rsid w:val="0B89775E"/>
    <w:rsid w:val="0BCE7EA7"/>
    <w:rsid w:val="0BF72E8F"/>
    <w:rsid w:val="0C3928C9"/>
    <w:rsid w:val="0C4718F6"/>
    <w:rsid w:val="0C5B76F5"/>
    <w:rsid w:val="0C9C36D5"/>
    <w:rsid w:val="0CE034C0"/>
    <w:rsid w:val="0CE37539"/>
    <w:rsid w:val="0CF63F41"/>
    <w:rsid w:val="0CFE0FC0"/>
    <w:rsid w:val="0D0374E3"/>
    <w:rsid w:val="0D063A42"/>
    <w:rsid w:val="0D0A572F"/>
    <w:rsid w:val="0D0A6306"/>
    <w:rsid w:val="0D16312A"/>
    <w:rsid w:val="0D1B1559"/>
    <w:rsid w:val="0D1C1711"/>
    <w:rsid w:val="0D555176"/>
    <w:rsid w:val="0D6F0E5D"/>
    <w:rsid w:val="0D7B2231"/>
    <w:rsid w:val="0D887BC6"/>
    <w:rsid w:val="0D960FDF"/>
    <w:rsid w:val="0DB1060F"/>
    <w:rsid w:val="0DEE750B"/>
    <w:rsid w:val="0E0A6D47"/>
    <w:rsid w:val="0E336A16"/>
    <w:rsid w:val="0E64092D"/>
    <w:rsid w:val="0E7D0AB3"/>
    <w:rsid w:val="0E7D5C8D"/>
    <w:rsid w:val="0E963CAB"/>
    <w:rsid w:val="0EA51F74"/>
    <w:rsid w:val="0EAF1251"/>
    <w:rsid w:val="0ED36ED3"/>
    <w:rsid w:val="0EE6002D"/>
    <w:rsid w:val="0EEE1E26"/>
    <w:rsid w:val="0F00375C"/>
    <w:rsid w:val="0F1F39D9"/>
    <w:rsid w:val="0F5302A6"/>
    <w:rsid w:val="0F560D8D"/>
    <w:rsid w:val="0F5764BB"/>
    <w:rsid w:val="0F6257C5"/>
    <w:rsid w:val="0FB42DAE"/>
    <w:rsid w:val="0FBB1C4A"/>
    <w:rsid w:val="0FC41391"/>
    <w:rsid w:val="0FC43940"/>
    <w:rsid w:val="0FDE036F"/>
    <w:rsid w:val="0FEA11FB"/>
    <w:rsid w:val="0FF72380"/>
    <w:rsid w:val="10227FC7"/>
    <w:rsid w:val="1029166D"/>
    <w:rsid w:val="10374968"/>
    <w:rsid w:val="108C1B09"/>
    <w:rsid w:val="10F3457C"/>
    <w:rsid w:val="10FE2ED7"/>
    <w:rsid w:val="11160C7D"/>
    <w:rsid w:val="112B3BA0"/>
    <w:rsid w:val="1155348D"/>
    <w:rsid w:val="116105A8"/>
    <w:rsid w:val="11746A5F"/>
    <w:rsid w:val="11AA42B6"/>
    <w:rsid w:val="11CB3F36"/>
    <w:rsid w:val="11F15383"/>
    <w:rsid w:val="12065192"/>
    <w:rsid w:val="12125307"/>
    <w:rsid w:val="12307741"/>
    <w:rsid w:val="125F51F7"/>
    <w:rsid w:val="12607E18"/>
    <w:rsid w:val="12663C07"/>
    <w:rsid w:val="126C6ADD"/>
    <w:rsid w:val="12706765"/>
    <w:rsid w:val="12A15683"/>
    <w:rsid w:val="12D45BF3"/>
    <w:rsid w:val="12E61DF9"/>
    <w:rsid w:val="132C0FC9"/>
    <w:rsid w:val="13DC1C7A"/>
    <w:rsid w:val="13DF6617"/>
    <w:rsid w:val="13F15A97"/>
    <w:rsid w:val="14127E02"/>
    <w:rsid w:val="141D0B87"/>
    <w:rsid w:val="14CA3D5D"/>
    <w:rsid w:val="14D75725"/>
    <w:rsid w:val="152C1B96"/>
    <w:rsid w:val="156845D9"/>
    <w:rsid w:val="156A2131"/>
    <w:rsid w:val="15A23E67"/>
    <w:rsid w:val="15B74989"/>
    <w:rsid w:val="15F54513"/>
    <w:rsid w:val="15F54AE8"/>
    <w:rsid w:val="16447D78"/>
    <w:rsid w:val="165F5F88"/>
    <w:rsid w:val="16742C11"/>
    <w:rsid w:val="167D64C8"/>
    <w:rsid w:val="168025D4"/>
    <w:rsid w:val="16B243CF"/>
    <w:rsid w:val="16C53D0A"/>
    <w:rsid w:val="16D62715"/>
    <w:rsid w:val="16DB7598"/>
    <w:rsid w:val="16E057F3"/>
    <w:rsid w:val="170A3E8B"/>
    <w:rsid w:val="173B3423"/>
    <w:rsid w:val="17485866"/>
    <w:rsid w:val="174E1EC3"/>
    <w:rsid w:val="174F614E"/>
    <w:rsid w:val="17593F7C"/>
    <w:rsid w:val="179C6BA6"/>
    <w:rsid w:val="17B9383D"/>
    <w:rsid w:val="17C75809"/>
    <w:rsid w:val="17E165CB"/>
    <w:rsid w:val="17EB74E7"/>
    <w:rsid w:val="180D7E99"/>
    <w:rsid w:val="18157475"/>
    <w:rsid w:val="185C66AE"/>
    <w:rsid w:val="186B2AA6"/>
    <w:rsid w:val="1876710A"/>
    <w:rsid w:val="187B6074"/>
    <w:rsid w:val="187C3036"/>
    <w:rsid w:val="188D3123"/>
    <w:rsid w:val="18A16C3D"/>
    <w:rsid w:val="18D30298"/>
    <w:rsid w:val="18DC4043"/>
    <w:rsid w:val="18DD0937"/>
    <w:rsid w:val="190D6C99"/>
    <w:rsid w:val="19223429"/>
    <w:rsid w:val="19245762"/>
    <w:rsid w:val="19500F21"/>
    <w:rsid w:val="19601987"/>
    <w:rsid w:val="19690B66"/>
    <w:rsid w:val="197403CC"/>
    <w:rsid w:val="19B429F8"/>
    <w:rsid w:val="19B54A45"/>
    <w:rsid w:val="19B72F86"/>
    <w:rsid w:val="19B85E10"/>
    <w:rsid w:val="19BC22D6"/>
    <w:rsid w:val="19E020B8"/>
    <w:rsid w:val="19E8568F"/>
    <w:rsid w:val="1A0265AC"/>
    <w:rsid w:val="1A0D36FE"/>
    <w:rsid w:val="1A230D00"/>
    <w:rsid w:val="1A3106BF"/>
    <w:rsid w:val="1A5060D4"/>
    <w:rsid w:val="1A5B6C23"/>
    <w:rsid w:val="1A8717B9"/>
    <w:rsid w:val="1AC6787B"/>
    <w:rsid w:val="1ACB0AE0"/>
    <w:rsid w:val="1AE66D1D"/>
    <w:rsid w:val="1AED2EFC"/>
    <w:rsid w:val="1B0D313F"/>
    <w:rsid w:val="1B320224"/>
    <w:rsid w:val="1B547458"/>
    <w:rsid w:val="1B830DA9"/>
    <w:rsid w:val="1BC3044B"/>
    <w:rsid w:val="1BD23808"/>
    <w:rsid w:val="1C1007DD"/>
    <w:rsid w:val="1C3938AC"/>
    <w:rsid w:val="1C3B2B44"/>
    <w:rsid w:val="1C3E68C5"/>
    <w:rsid w:val="1C401C64"/>
    <w:rsid w:val="1C551678"/>
    <w:rsid w:val="1CA677B8"/>
    <w:rsid w:val="1CD6295C"/>
    <w:rsid w:val="1CF20859"/>
    <w:rsid w:val="1D094367"/>
    <w:rsid w:val="1D393F6D"/>
    <w:rsid w:val="1D3C017E"/>
    <w:rsid w:val="1D664BF1"/>
    <w:rsid w:val="1D66642C"/>
    <w:rsid w:val="1D7E641D"/>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7478B7"/>
    <w:rsid w:val="1F922306"/>
    <w:rsid w:val="1F93576C"/>
    <w:rsid w:val="1F9D2053"/>
    <w:rsid w:val="1FCB7610"/>
    <w:rsid w:val="200158E4"/>
    <w:rsid w:val="201F614A"/>
    <w:rsid w:val="2036061A"/>
    <w:rsid w:val="20390284"/>
    <w:rsid w:val="204474F4"/>
    <w:rsid w:val="206308DD"/>
    <w:rsid w:val="206B7CFB"/>
    <w:rsid w:val="20782FE0"/>
    <w:rsid w:val="20956654"/>
    <w:rsid w:val="20BF6B4D"/>
    <w:rsid w:val="20CE49E5"/>
    <w:rsid w:val="20EB177E"/>
    <w:rsid w:val="20EC2AB3"/>
    <w:rsid w:val="20F05C86"/>
    <w:rsid w:val="21075EAE"/>
    <w:rsid w:val="21246D50"/>
    <w:rsid w:val="212D6C5B"/>
    <w:rsid w:val="21446D64"/>
    <w:rsid w:val="218E227A"/>
    <w:rsid w:val="219B0E35"/>
    <w:rsid w:val="21B262B5"/>
    <w:rsid w:val="21B97618"/>
    <w:rsid w:val="21C46F29"/>
    <w:rsid w:val="21F82CE7"/>
    <w:rsid w:val="220732D0"/>
    <w:rsid w:val="220F24E7"/>
    <w:rsid w:val="221B1AA1"/>
    <w:rsid w:val="22493602"/>
    <w:rsid w:val="22871F41"/>
    <w:rsid w:val="22E76720"/>
    <w:rsid w:val="231722CF"/>
    <w:rsid w:val="23351427"/>
    <w:rsid w:val="2336234D"/>
    <w:rsid w:val="233D075D"/>
    <w:rsid w:val="235A2118"/>
    <w:rsid w:val="23A302C8"/>
    <w:rsid w:val="23AE428F"/>
    <w:rsid w:val="23CA04FD"/>
    <w:rsid w:val="23EF4F44"/>
    <w:rsid w:val="24017C3E"/>
    <w:rsid w:val="2415044A"/>
    <w:rsid w:val="2426724D"/>
    <w:rsid w:val="24423424"/>
    <w:rsid w:val="246322DC"/>
    <w:rsid w:val="2478400A"/>
    <w:rsid w:val="24A0631A"/>
    <w:rsid w:val="24A977D4"/>
    <w:rsid w:val="24C87040"/>
    <w:rsid w:val="24FB7B5E"/>
    <w:rsid w:val="251373E6"/>
    <w:rsid w:val="252C7FCF"/>
    <w:rsid w:val="25482D76"/>
    <w:rsid w:val="25572B9A"/>
    <w:rsid w:val="256956B8"/>
    <w:rsid w:val="25830BDD"/>
    <w:rsid w:val="2595447B"/>
    <w:rsid w:val="25AB53AA"/>
    <w:rsid w:val="25CA6E03"/>
    <w:rsid w:val="25D90F8B"/>
    <w:rsid w:val="26015287"/>
    <w:rsid w:val="26106664"/>
    <w:rsid w:val="26205CFD"/>
    <w:rsid w:val="26336CB3"/>
    <w:rsid w:val="263B1339"/>
    <w:rsid w:val="263D681D"/>
    <w:rsid w:val="266807FF"/>
    <w:rsid w:val="268A568C"/>
    <w:rsid w:val="26911AED"/>
    <w:rsid w:val="26984142"/>
    <w:rsid w:val="26AC098C"/>
    <w:rsid w:val="26AF4030"/>
    <w:rsid w:val="26F02FAB"/>
    <w:rsid w:val="272145E0"/>
    <w:rsid w:val="275E3610"/>
    <w:rsid w:val="276A51E0"/>
    <w:rsid w:val="277B3338"/>
    <w:rsid w:val="277E33C0"/>
    <w:rsid w:val="279E6E7F"/>
    <w:rsid w:val="27CC685D"/>
    <w:rsid w:val="27ED72B6"/>
    <w:rsid w:val="27F52CFD"/>
    <w:rsid w:val="280C0039"/>
    <w:rsid w:val="282D258B"/>
    <w:rsid w:val="285E0683"/>
    <w:rsid w:val="28854F72"/>
    <w:rsid w:val="28BA186B"/>
    <w:rsid w:val="28D864E0"/>
    <w:rsid w:val="28E32ED5"/>
    <w:rsid w:val="290D5247"/>
    <w:rsid w:val="294F1A4F"/>
    <w:rsid w:val="29814F03"/>
    <w:rsid w:val="298C0952"/>
    <w:rsid w:val="298D119C"/>
    <w:rsid w:val="29A0418D"/>
    <w:rsid w:val="29B81621"/>
    <w:rsid w:val="29E91BC9"/>
    <w:rsid w:val="29E97234"/>
    <w:rsid w:val="29ED3EB9"/>
    <w:rsid w:val="29F9264C"/>
    <w:rsid w:val="2A45593B"/>
    <w:rsid w:val="2A546A20"/>
    <w:rsid w:val="2A5471DE"/>
    <w:rsid w:val="2ADE530A"/>
    <w:rsid w:val="2AEC38E2"/>
    <w:rsid w:val="2B6B1198"/>
    <w:rsid w:val="2BB2438C"/>
    <w:rsid w:val="2BC22C7B"/>
    <w:rsid w:val="2BCA32A1"/>
    <w:rsid w:val="2C055696"/>
    <w:rsid w:val="2C05599A"/>
    <w:rsid w:val="2C070392"/>
    <w:rsid w:val="2C2D2F9C"/>
    <w:rsid w:val="2C551389"/>
    <w:rsid w:val="2C863751"/>
    <w:rsid w:val="2CB2362F"/>
    <w:rsid w:val="2CC35888"/>
    <w:rsid w:val="2CDC700C"/>
    <w:rsid w:val="2CE6404C"/>
    <w:rsid w:val="2CEB1449"/>
    <w:rsid w:val="2D4D5DA6"/>
    <w:rsid w:val="2D883B0E"/>
    <w:rsid w:val="2D8B3A56"/>
    <w:rsid w:val="2D9655B5"/>
    <w:rsid w:val="2D9B4C43"/>
    <w:rsid w:val="2DB60C0D"/>
    <w:rsid w:val="2DB66DAF"/>
    <w:rsid w:val="2DBB37E0"/>
    <w:rsid w:val="2DC216BD"/>
    <w:rsid w:val="2DED7AC1"/>
    <w:rsid w:val="2DF55C0B"/>
    <w:rsid w:val="2E007F3F"/>
    <w:rsid w:val="2E034032"/>
    <w:rsid w:val="2E110ADE"/>
    <w:rsid w:val="2E29498D"/>
    <w:rsid w:val="2E2E141D"/>
    <w:rsid w:val="2E514620"/>
    <w:rsid w:val="2E521653"/>
    <w:rsid w:val="2E592D3C"/>
    <w:rsid w:val="2E6D15F0"/>
    <w:rsid w:val="2E7B7104"/>
    <w:rsid w:val="2E7C7DB1"/>
    <w:rsid w:val="2E926146"/>
    <w:rsid w:val="2E9E2680"/>
    <w:rsid w:val="2EB7183E"/>
    <w:rsid w:val="2EBF5D80"/>
    <w:rsid w:val="2EC67B81"/>
    <w:rsid w:val="2EED184C"/>
    <w:rsid w:val="2EF32DF2"/>
    <w:rsid w:val="2F946053"/>
    <w:rsid w:val="2FB111C0"/>
    <w:rsid w:val="2FB250EE"/>
    <w:rsid w:val="2FBE1727"/>
    <w:rsid w:val="300A04DE"/>
    <w:rsid w:val="302A58D2"/>
    <w:rsid w:val="3034564F"/>
    <w:rsid w:val="30605100"/>
    <w:rsid w:val="306B6815"/>
    <w:rsid w:val="307811E2"/>
    <w:rsid w:val="308B7EDE"/>
    <w:rsid w:val="308C1105"/>
    <w:rsid w:val="308D292D"/>
    <w:rsid w:val="30996E7C"/>
    <w:rsid w:val="30BB7024"/>
    <w:rsid w:val="30E363D4"/>
    <w:rsid w:val="30E72B9B"/>
    <w:rsid w:val="31386DF1"/>
    <w:rsid w:val="31461845"/>
    <w:rsid w:val="3175576D"/>
    <w:rsid w:val="319B49F2"/>
    <w:rsid w:val="31DA1919"/>
    <w:rsid w:val="31DB702A"/>
    <w:rsid w:val="31ED18E3"/>
    <w:rsid w:val="31EE3D4C"/>
    <w:rsid w:val="322B69F3"/>
    <w:rsid w:val="32997C5C"/>
    <w:rsid w:val="329F5D83"/>
    <w:rsid w:val="32AE67FE"/>
    <w:rsid w:val="32BF1974"/>
    <w:rsid w:val="32C40656"/>
    <w:rsid w:val="32D77EED"/>
    <w:rsid w:val="32EF63BD"/>
    <w:rsid w:val="3300581E"/>
    <w:rsid w:val="331204DD"/>
    <w:rsid w:val="332D317D"/>
    <w:rsid w:val="3371460F"/>
    <w:rsid w:val="338623B5"/>
    <w:rsid w:val="33897800"/>
    <w:rsid w:val="33C12B14"/>
    <w:rsid w:val="33C62FB3"/>
    <w:rsid w:val="33C77CE4"/>
    <w:rsid w:val="342111CC"/>
    <w:rsid w:val="347608AD"/>
    <w:rsid w:val="34B45F97"/>
    <w:rsid w:val="34C533CE"/>
    <w:rsid w:val="34DE1476"/>
    <w:rsid w:val="34E7797D"/>
    <w:rsid w:val="350100F6"/>
    <w:rsid w:val="35081CE0"/>
    <w:rsid w:val="353225AF"/>
    <w:rsid w:val="35330164"/>
    <w:rsid w:val="35372BEB"/>
    <w:rsid w:val="357D18D4"/>
    <w:rsid w:val="3583106D"/>
    <w:rsid w:val="35833B30"/>
    <w:rsid w:val="35842642"/>
    <w:rsid w:val="358D6E27"/>
    <w:rsid w:val="35AB1587"/>
    <w:rsid w:val="35DD7083"/>
    <w:rsid w:val="35EF3E0E"/>
    <w:rsid w:val="35FB01E4"/>
    <w:rsid w:val="35FC2475"/>
    <w:rsid w:val="36000DEE"/>
    <w:rsid w:val="361075AA"/>
    <w:rsid w:val="3619247E"/>
    <w:rsid w:val="361C32E3"/>
    <w:rsid w:val="362D1EA8"/>
    <w:rsid w:val="363B4F21"/>
    <w:rsid w:val="36452244"/>
    <w:rsid w:val="365325D3"/>
    <w:rsid w:val="36604074"/>
    <w:rsid w:val="367A4AE9"/>
    <w:rsid w:val="36C733A6"/>
    <w:rsid w:val="36CD210D"/>
    <w:rsid w:val="36CF0F85"/>
    <w:rsid w:val="36F24313"/>
    <w:rsid w:val="37081216"/>
    <w:rsid w:val="37096D47"/>
    <w:rsid w:val="37167A3C"/>
    <w:rsid w:val="37176A8D"/>
    <w:rsid w:val="371C4C0A"/>
    <w:rsid w:val="372F0C76"/>
    <w:rsid w:val="37332780"/>
    <w:rsid w:val="37420241"/>
    <w:rsid w:val="37461637"/>
    <w:rsid w:val="37906037"/>
    <w:rsid w:val="37B107DF"/>
    <w:rsid w:val="37EC2340"/>
    <w:rsid w:val="383306CA"/>
    <w:rsid w:val="388F3360"/>
    <w:rsid w:val="38B60CED"/>
    <w:rsid w:val="38C66435"/>
    <w:rsid w:val="38C72C82"/>
    <w:rsid w:val="38D0712F"/>
    <w:rsid w:val="390147D5"/>
    <w:rsid w:val="3903199B"/>
    <w:rsid w:val="391E4543"/>
    <w:rsid w:val="39297CD8"/>
    <w:rsid w:val="393F06F5"/>
    <w:rsid w:val="39555064"/>
    <w:rsid w:val="39556ABF"/>
    <w:rsid w:val="39800FD4"/>
    <w:rsid w:val="39DB0183"/>
    <w:rsid w:val="39E16FE0"/>
    <w:rsid w:val="39F7145B"/>
    <w:rsid w:val="3A084041"/>
    <w:rsid w:val="3A0C5A88"/>
    <w:rsid w:val="3A180BCE"/>
    <w:rsid w:val="3A22197C"/>
    <w:rsid w:val="3A3D6BEF"/>
    <w:rsid w:val="3A3E0FB0"/>
    <w:rsid w:val="3A7D1465"/>
    <w:rsid w:val="3AC6747A"/>
    <w:rsid w:val="3AC8207F"/>
    <w:rsid w:val="3AD0228D"/>
    <w:rsid w:val="3AF172AC"/>
    <w:rsid w:val="3B0E1595"/>
    <w:rsid w:val="3B22543A"/>
    <w:rsid w:val="3B311067"/>
    <w:rsid w:val="3B513B97"/>
    <w:rsid w:val="3B6C3AF0"/>
    <w:rsid w:val="3B8C10A4"/>
    <w:rsid w:val="3BA5009C"/>
    <w:rsid w:val="3BE00A47"/>
    <w:rsid w:val="3C0E4B8A"/>
    <w:rsid w:val="3C1E52CF"/>
    <w:rsid w:val="3C3057C7"/>
    <w:rsid w:val="3C522796"/>
    <w:rsid w:val="3C8056A3"/>
    <w:rsid w:val="3CA95D3D"/>
    <w:rsid w:val="3CBB2089"/>
    <w:rsid w:val="3CBE6F6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8767C6"/>
    <w:rsid w:val="3EDC70DA"/>
    <w:rsid w:val="3EEA6653"/>
    <w:rsid w:val="3EF04227"/>
    <w:rsid w:val="3F1F063F"/>
    <w:rsid w:val="3F344A27"/>
    <w:rsid w:val="3F395DA7"/>
    <w:rsid w:val="3F3D1A00"/>
    <w:rsid w:val="3F693D1E"/>
    <w:rsid w:val="3F7C08BE"/>
    <w:rsid w:val="3F8C4BB5"/>
    <w:rsid w:val="3FAF1BDB"/>
    <w:rsid w:val="3FAF36F8"/>
    <w:rsid w:val="3FFC3435"/>
    <w:rsid w:val="3FFC3589"/>
    <w:rsid w:val="402F10B7"/>
    <w:rsid w:val="40BE135F"/>
    <w:rsid w:val="40C84DC0"/>
    <w:rsid w:val="40E63087"/>
    <w:rsid w:val="40EE74C4"/>
    <w:rsid w:val="41021FF2"/>
    <w:rsid w:val="41115EFD"/>
    <w:rsid w:val="413B7C4F"/>
    <w:rsid w:val="41650D3E"/>
    <w:rsid w:val="41662BF3"/>
    <w:rsid w:val="417047AC"/>
    <w:rsid w:val="417D2BF0"/>
    <w:rsid w:val="41A87384"/>
    <w:rsid w:val="41D74163"/>
    <w:rsid w:val="41EC7D00"/>
    <w:rsid w:val="420402E9"/>
    <w:rsid w:val="42040900"/>
    <w:rsid w:val="42531840"/>
    <w:rsid w:val="42856D8B"/>
    <w:rsid w:val="429814D9"/>
    <w:rsid w:val="42A677C5"/>
    <w:rsid w:val="42B73177"/>
    <w:rsid w:val="42D66CA8"/>
    <w:rsid w:val="42FE679E"/>
    <w:rsid w:val="43131DC9"/>
    <w:rsid w:val="43315492"/>
    <w:rsid w:val="4363130B"/>
    <w:rsid w:val="43C42B2A"/>
    <w:rsid w:val="43D80BD9"/>
    <w:rsid w:val="43DD39C4"/>
    <w:rsid w:val="43E1472A"/>
    <w:rsid w:val="43EB49D6"/>
    <w:rsid w:val="44070D31"/>
    <w:rsid w:val="44551294"/>
    <w:rsid w:val="446620DC"/>
    <w:rsid w:val="44994749"/>
    <w:rsid w:val="44B17375"/>
    <w:rsid w:val="44CB06C6"/>
    <w:rsid w:val="44D96A59"/>
    <w:rsid w:val="450F03E2"/>
    <w:rsid w:val="451413DC"/>
    <w:rsid w:val="455F04A3"/>
    <w:rsid w:val="458A0E9B"/>
    <w:rsid w:val="45AA21AA"/>
    <w:rsid w:val="45B03354"/>
    <w:rsid w:val="45BE3AA1"/>
    <w:rsid w:val="45D13135"/>
    <w:rsid w:val="45D77AC2"/>
    <w:rsid w:val="460D03A3"/>
    <w:rsid w:val="46170337"/>
    <w:rsid w:val="46AA1672"/>
    <w:rsid w:val="46FA7089"/>
    <w:rsid w:val="4709536A"/>
    <w:rsid w:val="47346345"/>
    <w:rsid w:val="474C22E0"/>
    <w:rsid w:val="475F108B"/>
    <w:rsid w:val="479E0BF9"/>
    <w:rsid w:val="47CC2CBF"/>
    <w:rsid w:val="47E859E5"/>
    <w:rsid w:val="48015AC2"/>
    <w:rsid w:val="48026040"/>
    <w:rsid w:val="4806597B"/>
    <w:rsid w:val="4818686D"/>
    <w:rsid w:val="48290EA1"/>
    <w:rsid w:val="482F00F2"/>
    <w:rsid w:val="483766CD"/>
    <w:rsid w:val="485D3FFB"/>
    <w:rsid w:val="485E3463"/>
    <w:rsid w:val="48875E19"/>
    <w:rsid w:val="48941192"/>
    <w:rsid w:val="48985421"/>
    <w:rsid w:val="48A90E72"/>
    <w:rsid w:val="48B66A37"/>
    <w:rsid w:val="48C76687"/>
    <w:rsid w:val="48D90BAA"/>
    <w:rsid w:val="48F60966"/>
    <w:rsid w:val="48F71B49"/>
    <w:rsid w:val="49022E3C"/>
    <w:rsid w:val="493A64D3"/>
    <w:rsid w:val="494A65AA"/>
    <w:rsid w:val="49563556"/>
    <w:rsid w:val="495B46CC"/>
    <w:rsid w:val="49777E12"/>
    <w:rsid w:val="49791ED9"/>
    <w:rsid w:val="4994738B"/>
    <w:rsid w:val="49B11360"/>
    <w:rsid w:val="49BA4E94"/>
    <w:rsid w:val="49C47816"/>
    <w:rsid w:val="49D96ACF"/>
    <w:rsid w:val="49FA32DA"/>
    <w:rsid w:val="49FF6276"/>
    <w:rsid w:val="4A0E54CD"/>
    <w:rsid w:val="4A106B86"/>
    <w:rsid w:val="4A3657BB"/>
    <w:rsid w:val="4A4354C2"/>
    <w:rsid w:val="4A474308"/>
    <w:rsid w:val="4A5934BB"/>
    <w:rsid w:val="4A6855C7"/>
    <w:rsid w:val="4A720EEF"/>
    <w:rsid w:val="4A8926F4"/>
    <w:rsid w:val="4AA91B97"/>
    <w:rsid w:val="4AAF31B1"/>
    <w:rsid w:val="4AD706A1"/>
    <w:rsid w:val="4B434E7D"/>
    <w:rsid w:val="4B6603D5"/>
    <w:rsid w:val="4B7E054D"/>
    <w:rsid w:val="4B8E5A73"/>
    <w:rsid w:val="4B9716E8"/>
    <w:rsid w:val="4B981AFB"/>
    <w:rsid w:val="4BFB0D39"/>
    <w:rsid w:val="4C165BC1"/>
    <w:rsid w:val="4C2E031D"/>
    <w:rsid w:val="4C2E05AB"/>
    <w:rsid w:val="4C3460DC"/>
    <w:rsid w:val="4C751E30"/>
    <w:rsid w:val="4C7B2918"/>
    <w:rsid w:val="4C860DF1"/>
    <w:rsid w:val="4C93465E"/>
    <w:rsid w:val="4C940FE0"/>
    <w:rsid w:val="4C9D4189"/>
    <w:rsid w:val="4CEE7232"/>
    <w:rsid w:val="4D1D334B"/>
    <w:rsid w:val="4D1F5259"/>
    <w:rsid w:val="4D310CE0"/>
    <w:rsid w:val="4D6B61CD"/>
    <w:rsid w:val="4D7609DC"/>
    <w:rsid w:val="4D764358"/>
    <w:rsid w:val="4D910628"/>
    <w:rsid w:val="4DA274F8"/>
    <w:rsid w:val="4DCB4C25"/>
    <w:rsid w:val="4DCD485F"/>
    <w:rsid w:val="4DEC7F03"/>
    <w:rsid w:val="4DF1748A"/>
    <w:rsid w:val="4DF9198D"/>
    <w:rsid w:val="4E19786B"/>
    <w:rsid w:val="4E3C460A"/>
    <w:rsid w:val="4E3E69BC"/>
    <w:rsid w:val="4E3F10A8"/>
    <w:rsid w:val="4E405EE6"/>
    <w:rsid w:val="4E4B26D4"/>
    <w:rsid w:val="4E547C4C"/>
    <w:rsid w:val="4E6B3D76"/>
    <w:rsid w:val="4E751922"/>
    <w:rsid w:val="4E7F48DD"/>
    <w:rsid w:val="4E846489"/>
    <w:rsid w:val="4E874D01"/>
    <w:rsid w:val="4E8A1E20"/>
    <w:rsid w:val="4E931ECD"/>
    <w:rsid w:val="4EAD4950"/>
    <w:rsid w:val="4EB34DD0"/>
    <w:rsid w:val="4ECE788B"/>
    <w:rsid w:val="4EDE4786"/>
    <w:rsid w:val="4F1E5F93"/>
    <w:rsid w:val="4F5416EE"/>
    <w:rsid w:val="4F573C87"/>
    <w:rsid w:val="4F5802AB"/>
    <w:rsid w:val="4F604D99"/>
    <w:rsid w:val="4F6F1C9B"/>
    <w:rsid w:val="4F94265F"/>
    <w:rsid w:val="4F9B3E73"/>
    <w:rsid w:val="4FAF1E86"/>
    <w:rsid w:val="4FE517DB"/>
    <w:rsid w:val="50181D1A"/>
    <w:rsid w:val="502E4BEA"/>
    <w:rsid w:val="505A2966"/>
    <w:rsid w:val="507B2640"/>
    <w:rsid w:val="508B5174"/>
    <w:rsid w:val="50A8231C"/>
    <w:rsid w:val="50B05815"/>
    <w:rsid w:val="50F966D4"/>
    <w:rsid w:val="50FE62A2"/>
    <w:rsid w:val="51021F59"/>
    <w:rsid w:val="51032870"/>
    <w:rsid w:val="51062C7C"/>
    <w:rsid w:val="510A1923"/>
    <w:rsid w:val="5120599C"/>
    <w:rsid w:val="51205C57"/>
    <w:rsid w:val="5145465F"/>
    <w:rsid w:val="515E708D"/>
    <w:rsid w:val="5169663D"/>
    <w:rsid w:val="51C80F05"/>
    <w:rsid w:val="51E03A19"/>
    <w:rsid w:val="51EE75D5"/>
    <w:rsid w:val="52563E44"/>
    <w:rsid w:val="527F2428"/>
    <w:rsid w:val="52870E84"/>
    <w:rsid w:val="52BC1638"/>
    <w:rsid w:val="52D070F5"/>
    <w:rsid w:val="52D723B0"/>
    <w:rsid w:val="52FF75B0"/>
    <w:rsid w:val="534E0590"/>
    <w:rsid w:val="53AD4E07"/>
    <w:rsid w:val="53AE1EDD"/>
    <w:rsid w:val="53E64495"/>
    <w:rsid w:val="540727CA"/>
    <w:rsid w:val="5415503F"/>
    <w:rsid w:val="543E07CB"/>
    <w:rsid w:val="54473411"/>
    <w:rsid w:val="54546A52"/>
    <w:rsid w:val="54B61333"/>
    <w:rsid w:val="54B655F7"/>
    <w:rsid w:val="54CD13A5"/>
    <w:rsid w:val="54CE60A9"/>
    <w:rsid w:val="54D71C0F"/>
    <w:rsid w:val="54D84798"/>
    <w:rsid w:val="552134EF"/>
    <w:rsid w:val="55346F44"/>
    <w:rsid w:val="556548A8"/>
    <w:rsid w:val="556B26A8"/>
    <w:rsid w:val="556E70B3"/>
    <w:rsid w:val="55780BB3"/>
    <w:rsid w:val="557E5388"/>
    <w:rsid w:val="558420D1"/>
    <w:rsid w:val="559D25E7"/>
    <w:rsid w:val="55B8599C"/>
    <w:rsid w:val="55C51D6D"/>
    <w:rsid w:val="55EC16DE"/>
    <w:rsid w:val="55F425D1"/>
    <w:rsid w:val="55FB7AE9"/>
    <w:rsid w:val="56197DD7"/>
    <w:rsid w:val="56281897"/>
    <w:rsid w:val="564C3BAF"/>
    <w:rsid w:val="567C73D4"/>
    <w:rsid w:val="56971C9D"/>
    <w:rsid w:val="56A13FD5"/>
    <w:rsid w:val="56AF212C"/>
    <w:rsid w:val="56B22FD9"/>
    <w:rsid w:val="56CD35B6"/>
    <w:rsid w:val="56CD5DF2"/>
    <w:rsid w:val="56EF0E1E"/>
    <w:rsid w:val="56F55E75"/>
    <w:rsid w:val="57085025"/>
    <w:rsid w:val="570925BD"/>
    <w:rsid w:val="57237389"/>
    <w:rsid w:val="574A01C9"/>
    <w:rsid w:val="57683EB8"/>
    <w:rsid w:val="578010DD"/>
    <w:rsid w:val="57A51515"/>
    <w:rsid w:val="57C970C0"/>
    <w:rsid w:val="57CD20EB"/>
    <w:rsid w:val="57F8518C"/>
    <w:rsid w:val="58055912"/>
    <w:rsid w:val="580F5F80"/>
    <w:rsid w:val="584136A9"/>
    <w:rsid w:val="587161E6"/>
    <w:rsid w:val="588F79F3"/>
    <w:rsid w:val="58B06C41"/>
    <w:rsid w:val="58BC2BEA"/>
    <w:rsid w:val="58C37E45"/>
    <w:rsid w:val="58E50E83"/>
    <w:rsid w:val="58F637C8"/>
    <w:rsid w:val="58FA1C78"/>
    <w:rsid w:val="59114924"/>
    <w:rsid w:val="591E35A8"/>
    <w:rsid w:val="59293BB0"/>
    <w:rsid w:val="594A0D9A"/>
    <w:rsid w:val="59530AC8"/>
    <w:rsid w:val="596140D0"/>
    <w:rsid w:val="596F395C"/>
    <w:rsid w:val="5976348A"/>
    <w:rsid w:val="59835F75"/>
    <w:rsid w:val="598A1B97"/>
    <w:rsid w:val="59A8766A"/>
    <w:rsid w:val="59BB5DF4"/>
    <w:rsid w:val="59F438C7"/>
    <w:rsid w:val="59FB7D2C"/>
    <w:rsid w:val="5A10726D"/>
    <w:rsid w:val="5A35296A"/>
    <w:rsid w:val="5ABF7889"/>
    <w:rsid w:val="5ACA0880"/>
    <w:rsid w:val="5AEC5D6B"/>
    <w:rsid w:val="5B17524C"/>
    <w:rsid w:val="5B530B81"/>
    <w:rsid w:val="5B5A43D2"/>
    <w:rsid w:val="5B6202AD"/>
    <w:rsid w:val="5B6A0214"/>
    <w:rsid w:val="5B6A078A"/>
    <w:rsid w:val="5B725AC7"/>
    <w:rsid w:val="5B7D66A9"/>
    <w:rsid w:val="5B7F6419"/>
    <w:rsid w:val="5B827C48"/>
    <w:rsid w:val="5B8B15FE"/>
    <w:rsid w:val="5B980A38"/>
    <w:rsid w:val="5BAC00C5"/>
    <w:rsid w:val="5BB03FDE"/>
    <w:rsid w:val="5BEC6454"/>
    <w:rsid w:val="5BF36CFF"/>
    <w:rsid w:val="5C003D71"/>
    <w:rsid w:val="5C0A07E7"/>
    <w:rsid w:val="5C5C7F0A"/>
    <w:rsid w:val="5C62594C"/>
    <w:rsid w:val="5C814268"/>
    <w:rsid w:val="5C86422F"/>
    <w:rsid w:val="5C8F248B"/>
    <w:rsid w:val="5C945F6B"/>
    <w:rsid w:val="5CBD6243"/>
    <w:rsid w:val="5CEB1947"/>
    <w:rsid w:val="5CFB35C0"/>
    <w:rsid w:val="5CFE0B84"/>
    <w:rsid w:val="5D107DC0"/>
    <w:rsid w:val="5D2A2F13"/>
    <w:rsid w:val="5D2D4F79"/>
    <w:rsid w:val="5D5B1614"/>
    <w:rsid w:val="5D626994"/>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EEA0CCA"/>
    <w:rsid w:val="5F37360D"/>
    <w:rsid w:val="5F49229E"/>
    <w:rsid w:val="5F684F25"/>
    <w:rsid w:val="5F6B00CA"/>
    <w:rsid w:val="5F6E48EF"/>
    <w:rsid w:val="5F7073BF"/>
    <w:rsid w:val="5F760A23"/>
    <w:rsid w:val="5F817211"/>
    <w:rsid w:val="5F914557"/>
    <w:rsid w:val="5F924DB0"/>
    <w:rsid w:val="5FA66240"/>
    <w:rsid w:val="5FC554F9"/>
    <w:rsid w:val="5FC6028B"/>
    <w:rsid w:val="5FCB6C9D"/>
    <w:rsid w:val="5FDF438C"/>
    <w:rsid w:val="5FED4422"/>
    <w:rsid w:val="600F3C6C"/>
    <w:rsid w:val="603431AE"/>
    <w:rsid w:val="604A6D49"/>
    <w:rsid w:val="60AB0DF5"/>
    <w:rsid w:val="60C61CEC"/>
    <w:rsid w:val="60D7093C"/>
    <w:rsid w:val="60EC2501"/>
    <w:rsid w:val="60EF79BC"/>
    <w:rsid w:val="60F87F31"/>
    <w:rsid w:val="61104A26"/>
    <w:rsid w:val="61240A21"/>
    <w:rsid w:val="61471A2E"/>
    <w:rsid w:val="6148017D"/>
    <w:rsid w:val="614A0AA6"/>
    <w:rsid w:val="616022A7"/>
    <w:rsid w:val="616F69E1"/>
    <w:rsid w:val="61807D53"/>
    <w:rsid w:val="6199549E"/>
    <w:rsid w:val="61DD4B30"/>
    <w:rsid w:val="61F91B73"/>
    <w:rsid w:val="621A643A"/>
    <w:rsid w:val="62405901"/>
    <w:rsid w:val="624F27FA"/>
    <w:rsid w:val="626A0712"/>
    <w:rsid w:val="62990AE3"/>
    <w:rsid w:val="62E658D4"/>
    <w:rsid w:val="63586784"/>
    <w:rsid w:val="6371469D"/>
    <w:rsid w:val="63750C45"/>
    <w:rsid w:val="63916F28"/>
    <w:rsid w:val="63CA3D38"/>
    <w:rsid w:val="641260C0"/>
    <w:rsid w:val="642549B8"/>
    <w:rsid w:val="642678DA"/>
    <w:rsid w:val="643B0262"/>
    <w:rsid w:val="6443661D"/>
    <w:rsid w:val="64485D14"/>
    <w:rsid w:val="64814DC1"/>
    <w:rsid w:val="64D55C29"/>
    <w:rsid w:val="651B5E29"/>
    <w:rsid w:val="65220114"/>
    <w:rsid w:val="652D0934"/>
    <w:rsid w:val="652F3D17"/>
    <w:rsid w:val="653063AB"/>
    <w:rsid w:val="6536207A"/>
    <w:rsid w:val="653E395B"/>
    <w:rsid w:val="654208B8"/>
    <w:rsid w:val="65B473BF"/>
    <w:rsid w:val="65EF0909"/>
    <w:rsid w:val="65EF6B1F"/>
    <w:rsid w:val="65FE13CB"/>
    <w:rsid w:val="66130CF9"/>
    <w:rsid w:val="66345BE8"/>
    <w:rsid w:val="66365C97"/>
    <w:rsid w:val="6648642A"/>
    <w:rsid w:val="668460E0"/>
    <w:rsid w:val="669E44D1"/>
    <w:rsid w:val="66BC5967"/>
    <w:rsid w:val="66CD7E07"/>
    <w:rsid w:val="66CE14BB"/>
    <w:rsid w:val="670E0CB6"/>
    <w:rsid w:val="67113266"/>
    <w:rsid w:val="674047CC"/>
    <w:rsid w:val="67544869"/>
    <w:rsid w:val="675E17FD"/>
    <w:rsid w:val="676E458A"/>
    <w:rsid w:val="67D13808"/>
    <w:rsid w:val="67DE5F73"/>
    <w:rsid w:val="68026E74"/>
    <w:rsid w:val="680B110A"/>
    <w:rsid w:val="680D6EAE"/>
    <w:rsid w:val="6826276A"/>
    <w:rsid w:val="683D512D"/>
    <w:rsid w:val="68436F8D"/>
    <w:rsid w:val="684D472B"/>
    <w:rsid w:val="686E5BB4"/>
    <w:rsid w:val="68A5520F"/>
    <w:rsid w:val="68A62B31"/>
    <w:rsid w:val="68BE5593"/>
    <w:rsid w:val="68D330E6"/>
    <w:rsid w:val="68F631D5"/>
    <w:rsid w:val="691124A6"/>
    <w:rsid w:val="692D4180"/>
    <w:rsid w:val="692F2139"/>
    <w:rsid w:val="694C5544"/>
    <w:rsid w:val="696A7D45"/>
    <w:rsid w:val="698B1EAA"/>
    <w:rsid w:val="6991300A"/>
    <w:rsid w:val="699743DB"/>
    <w:rsid w:val="69B11567"/>
    <w:rsid w:val="69DD1EF2"/>
    <w:rsid w:val="69EF2356"/>
    <w:rsid w:val="6A0B7CAC"/>
    <w:rsid w:val="6A3F4B44"/>
    <w:rsid w:val="6A767940"/>
    <w:rsid w:val="6A8702CE"/>
    <w:rsid w:val="6A96278C"/>
    <w:rsid w:val="6AAB6638"/>
    <w:rsid w:val="6ACB2D6C"/>
    <w:rsid w:val="6AEC7FA6"/>
    <w:rsid w:val="6B015D49"/>
    <w:rsid w:val="6B0D6777"/>
    <w:rsid w:val="6B4A06B0"/>
    <w:rsid w:val="6B526AFF"/>
    <w:rsid w:val="6B547775"/>
    <w:rsid w:val="6B796E7B"/>
    <w:rsid w:val="6B8C5DC0"/>
    <w:rsid w:val="6B926804"/>
    <w:rsid w:val="6BB57DF0"/>
    <w:rsid w:val="6BD85211"/>
    <w:rsid w:val="6BE1256C"/>
    <w:rsid w:val="6BEA4587"/>
    <w:rsid w:val="6BF17577"/>
    <w:rsid w:val="6BF302FF"/>
    <w:rsid w:val="6BFF58F6"/>
    <w:rsid w:val="6C1A0D74"/>
    <w:rsid w:val="6C22550C"/>
    <w:rsid w:val="6C6626E3"/>
    <w:rsid w:val="6C662C4E"/>
    <w:rsid w:val="6C6E2AEC"/>
    <w:rsid w:val="6C762D8F"/>
    <w:rsid w:val="6CDB2174"/>
    <w:rsid w:val="6CE170B5"/>
    <w:rsid w:val="6CF62758"/>
    <w:rsid w:val="6D3163D3"/>
    <w:rsid w:val="6D34441D"/>
    <w:rsid w:val="6D3B47A6"/>
    <w:rsid w:val="6D483DE7"/>
    <w:rsid w:val="6D7664AF"/>
    <w:rsid w:val="6D8C5F9F"/>
    <w:rsid w:val="6D8F609F"/>
    <w:rsid w:val="6DCE79C6"/>
    <w:rsid w:val="6DD40D8B"/>
    <w:rsid w:val="6DF47F72"/>
    <w:rsid w:val="6E093526"/>
    <w:rsid w:val="6E0B43ED"/>
    <w:rsid w:val="6E1B3F67"/>
    <w:rsid w:val="6E202BC7"/>
    <w:rsid w:val="6E690C17"/>
    <w:rsid w:val="6E9E6DE2"/>
    <w:rsid w:val="6EB47DBF"/>
    <w:rsid w:val="6EB91B72"/>
    <w:rsid w:val="6ECC2F07"/>
    <w:rsid w:val="6EE06106"/>
    <w:rsid w:val="6F072652"/>
    <w:rsid w:val="6F655E08"/>
    <w:rsid w:val="6F9E422F"/>
    <w:rsid w:val="6F9F02B2"/>
    <w:rsid w:val="6FC27461"/>
    <w:rsid w:val="6FC71D13"/>
    <w:rsid w:val="6FDF692D"/>
    <w:rsid w:val="70004EC4"/>
    <w:rsid w:val="70054296"/>
    <w:rsid w:val="708176D1"/>
    <w:rsid w:val="70D03517"/>
    <w:rsid w:val="70D46B74"/>
    <w:rsid w:val="70E43CE1"/>
    <w:rsid w:val="7101046C"/>
    <w:rsid w:val="710513B9"/>
    <w:rsid w:val="710F1327"/>
    <w:rsid w:val="71273FA1"/>
    <w:rsid w:val="712F452E"/>
    <w:rsid w:val="713B779B"/>
    <w:rsid w:val="715F3DE9"/>
    <w:rsid w:val="717E00E8"/>
    <w:rsid w:val="719A25B5"/>
    <w:rsid w:val="71A34F9A"/>
    <w:rsid w:val="72245008"/>
    <w:rsid w:val="7224755A"/>
    <w:rsid w:val="72346A12"/>
    <w:rsid w:val="72537A2C"/>
    <w:rsid w:val="72677691"/>
    <w:rsid w:val="727A5785"/>
    <w:rsid w:val="72A539E6"/>
    <w:rsid w:val="72CD2DBE"/>
    <w:rsid w:val="730048C9"/>
    <w:rsid w:val="731A55B0"/>
    <w:rsid w:val="73511E13"/>
    <w:rsid w:val="738E738B"/>
    <w:rsid w:val="73A159D5"/>
    <w:rsid w:val="73E71278"/>
    <w:rsid w:val="73EB2712"/>
    <w:rsid w:val="73FD4900"/>
    <w:rsid w:val="744317E0"/>
    <w:rsid w:val="74450F3F"/>
    <w:rsid w:val="74533376"/>
    <w:rsid w:val="745665A3"/>
    <w:rsid w:val="746F221E"/>
    <w:rsid w:val="746F4466"/>
    <w:rsid w:val="74711172"/>
    <w:rsid w:val="74830CB6"/>
    <w:rsid w:val="74A43DCE"/>
    <w:rsid w:val="74BE27A9"/>
    <w:rsid w:val="74C306D0"/>
    <w:rsid w:val="74ED1299"/>
    <w:rsid w:val="752141B2"/>
    <w:rsid w:val="752A76B2"/>
    <w:rsid w:val="756273A8"/>
    <w:rsid w:val="756375D4"/>
    <w:rsid w:val="757D7FE6"/>
    <w:rsid w:val="75800318"/>
    <w:rsid w:val="7587614B"/>
    <w:rsid w:val="758B51E5"/>
    <w:rsid w:val="7594786A"/>
    <w:rsid w:val="75952B4B"/>
    <w:rsid w:val="75A91B7B"/>
    <w:rsid w:val="75F22D06"/>
    <w:rsid w:val="75F3613A"/>
    <w:rsid w:val="75F4210F"/>
    <w:rsid w:val="75F46F2C"/>
    <w:rsid w:val="76051584"/>
    <w:rsid w:val="76087A16"/>
    <w:rsid w:val="763F7892"/>
    <w:rsid w:val="7674730B"/>
    <w:rsid w:val="7683775D"/>
    <w:rsid w:val="76C30678"/>
    <w:rsid w:val="76F06858"/>
    <w:rsid w:val="7713302C"/>
    <w:rsid w:val="77136A2D"/>
    <w:rsid w:val="773F00B5"/>
    <w:rsid w:val="776F655D"/>
    <w:rsid w:val="777344BA"/>
    <w:rsid w:val="778911F3"/>
    <w:rsid w:val="778D0A82"/>
    <w:rsid w:val="778F6DA7"/>
    <w:rsid w:val="77991202"/>
    <w:rsid w:val="77A271B3"/>
    <w:rsid w:val="77AD1753"/>
    <w:rsid w:val="77AF5682"/>
    <w:rsid w:val="77B41775"/>
    <w:rsid w:val="77CB5AC9"/>
    <w:rsid w:val="77DC5774"/>
    <w:rsid w:val="78194131"/>
    <w:rsid w:val="782112B1"/>
    <w:rsid w:val="7829323C"/>
    <w:rsid w:val="782C408D"/>
    <w:rsid w:val="7879346A"/>
    <w:rsid w:val="788D3C02"/>
    <w:rsid w:val="78C651E8"/>
    <w:rsid w:val="78C718E2"/>
    <w:rsid w:val="78CE7A0D"/>
    <w:rsid w:val="78DB0A49"/>
    <w:rsid w:val="78F2466F"/>
    <w:rsid w:val="79132357"/>
    <w:rsid w:val="792B1401"/>
    <w:rsid w:val="79311B1F"/>
    <w:rsid w:val="793C03C5"/>
    <w:rsid w:val="79474056"/>
    <w:rsid w:val="79650D4B"/>
    <w:rsid w:val="79BB424A"/>
    <w:rsid w:val="79C40F42"/>
    <w:rsid w:val="79C91C92"/>
    <w:rsid w:val="79CE6679"/>
    <w:rsid w:val="7A0B5E51"/>
    <w:rsid w:val="7A110017"/>
    <w:rsid w:val="7A343FE5"/>
    <w:rsid w:val="7A557FF1"/>
    <w:rsid w:val="7A5D0C82"/>
    <w:rsid w:val="7A972CF7"/>
    <w:rsid w:val="7AA349F6"/>
    <w:rsid w:val="7ACD61FF"/>
    <w:rsid w:val="7ADD2765"/>
    <w:rsid w:val="7B2D00FC"/>
    <w:rsid w:val="7B2F5EA3"/>
    <w:rsid w:val="7B4F0952"/>
    <w:rsid w:val="7B5C4060"/>
    <w:rsid w:val="7B9675CB"/>
    <w:rsid w:val="7BB61BF2"/>
    <w:rsid w:val="7BCC7612"/>
    <w:rsid w:val="7BD63BC4"/>
    <w:rsid w:val="7BE01F2B"/>
    <w:rsid w:val="7BF13B58"/>
    <w:rsid w:val="7C1C212F"/>
    <w:rsid w:val="7C2A1290"/>
    <w:rsid w:val="7C3462D4"/>
    <w:rsid w:val="7C5108ED"/>
    <w:rsid w:val="7C637794"/>
    <w:rsid w:val="7C6B75A2"/>
    <w:rsid w:val="7C872DCE"/>
    <w:rsid w:val="7C8A5C39"/>
    <w:rsid w:val="7C8D4593"/>
    <w:rsid w:val="7C9C6253"/>
    <w:rsid w:val="7CA22103"/>
    <w:rsid w:val="7CA634A8"/>
    <w:rsid w:val="7CC54136"/>
    <w:rsid w:val="7CDE4EDA"/>
    <w:rsid w:val="7CED6ADE"/>
    <w:rsid w:val="7CFF4D5A"/>
    <w:rsid w:val="7D102107"/>
    <w:rsid w:val="7D1F324E"/>
    <w:rsid w:val="7D300344"/>
    <w:rsid w:val="7D507C87"/>
    <w:rsid w:val="7D6210E3"/>
    <w:rsid w:val="7D812EA1"/>
    <w:rsid w:val="7D8D0E31"/>
    <w:rsid w:val="7D90016A"/>
    <w:rsid w:val="7D9508F0"/>
    <w:rsid w:val="7DA80BC8"/>
    <w:rsid w:val="7DAC507A"/>
    <w:rsid w:val="7DBE0AFF"/>
    <w:rsid w:val="7DC01F88"/>
    <w:rsid w:val="7DD16438"/>
    <w:rsid w:val="7DE628D2"/>
    <w:rsid w:val="7DEB0C97"/>
    <w:rsid w:val="7E05110C"/>
    <w:rsid w:val="7E102E1B"/>
    <w:rsid w:val="7E2B7079"/>
    <w:rsid w:val="7E306B12"/>
    <w:rsid w:val="7E3C241E"/>
    <w:rsid w:val="7E5019F3"/>
    <w:rsid w:val="7E6C1950"/>
    <w:rsid w:val="7E8A5090"/>
    <w:rsid w:val="7EA05EF0"/>
    <w:rsid w:val="7F0238CB"/>
    <w:rsid w:val="7F09056F"/>
    <w:rsid w:val="7F0A01BE"/>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Document Map"/>
    <w:basedOn w:val="1"/>
    <w:link w:val="36"/>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31"/>
    <w:qFormat/>
    <w:uiPriority w:val="0"/>
    <w:pPr>
      <w:spacing w:after="120"/>
    </w:pPr>
    <w:rPr>
      <w:rFonts w:asciiTheme="minorHAnsi" w:hAnsiTheme="minorHAnsi" w:eastAsiaTheme="minorEastAsia" w:cstheme="minorBidi"/>
    </w:rPr>
  </w:style>
  <w:style w:type="paragraph" w:styleId="8">
    <w:name w:val="Body Text Indent"/>
    <w:basedOn w:val="1"/>
    <w:next w:val="9"/>
    <w:link w:val="38"/>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字符"/>
    <w:basedOn w:val="22"/>
    <w:link w:val="15"/>
    <w:qFormat/>
    <w:uiPriority w:val="99"/>
    <w:rPr>
      <w:rFonts w:ascii="Times New Roman" w:hAnsi="Times New Roman" w:eastAsia="宋体" w:cs="Times New Roman"/>
      <w:sz w:val="18"/>
      <w:szCs w:val="18"/>
    </w:rPr>
  </w:style>
  <w:style w:type="character" w:customStyle="1" w:styleId="28">
    <w:name w:val="页脚 字符"/>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字符"/>
    <w:basedOn w:val="22"/>
    <w:link w:val="7"/>
    <w:semiHidden/>
    <w:qFormat/>
    <w:uiPriority w:val="99"/>
    <w:rPr>
      <w:rFonts w:ascii="Times New Roman" w:hAnsi="Times New Roman" w:eastAsia="宋体" w:cs="Times New Roman"/>
      <w:szCs w:val="24"/>
    </w:rPr>
  </w:style>
  <w:style w:type="character" w:customStyle="1" w:styleId="32">
    <w:name w:val="日期 字符"/>
    <w:basedOn w:val="22"/>
    <w:link w:val="11"/>
    <w:qFormat/>
    <w:uiPriority w:val="0"/>
    <w:rPr>
      <w:rFonts w:ascii="Times New Roman" w:hAnsi="Times New Roman" w:eastAsia="宋体" w:cs="Times New Roman"/>
      <w:kern w:val="0"/>
      <w:sz w:val="28"/>
      <w:szCs w:val="24"/>
    </w:rPr>
  </w:style>
  <w:style w:type="character" w:customStyle="1" w:styleId="33">
    <w:name w:val="批注框文本 字符"/>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字符"/>
    <w:basedOn w:val="22"/>
    <w:link w:val="12"/>
    <w:qFormat/>
    <w:uiPriority w:val="0"/>
    <w:rPr>
      <w:rFonts w:ascii="楷体_GB2312" w:hAnsi="Times New Roman" w:eastAsia="楷体_GB2312" w:cs="Times New Roman"/>
      <w:kern w:val="0"/>
      <w:sz w:val="24"/>
      <w:szCs w:val="24"/>
    </w:rPr>
  </w:style>
  <w:style w:type="character" w:customStyle="1" w:styleId="36">
    <w:name w:val="文档结构图 字符"/>
    <w:basedOn w:val="22"/>
    <w:link w:val="5"/>
    <w:qFormat/>
    <w:uiPriority w:val="0"/>
    <w:rPr>
      <w:rFonts w:ascii="Times New Roman" w:hAnsi="Times New Roman" w:eastAsia="宋体" w:cs="Times New Roman"/>
      <w:kern w:val="0"/>
      <w:sz w:val="20"/>
      <w:szCs w:val="24"/>
      <w:shd w:val="clear" w:color="auto" w:fill="000080"/>
    </w:rPr>
  </w:style>
  <w:style w:type="character" w:customStyle="1" w:styleId="37">
    <w:name w:val="纯文本 字符"/>
    <w:basedOn w:val="22"/>
    <w:link w:val="10"/>
    <w:qFormat/>
    <w:uiPriority w:val="0"/>
    <w:rPr>
      <w:rFonts w:ascii="宋体" w:hAnsi="Courier New" w:eastAsia="宋体" w:cs="Times New Roman"/>
      <w:kern w:val="0"/>
      <w:sz w:val="20"/>
      <w:szCs w:val="21"/>
    </w:rPr>
  </w:style>
  <w:style w:type="character" w:customStyle="1" w:styleId="38">
    <w:name w:val="正文文本缩进 字符"/>
    <w:basedOn w:val="22"/>
    <w:link w:val="8"/>
    <w:qFormat/>
    <w:uiPriority w:val="0"/>
    <w:rPr>
      <w:rFonts w:ascii="楷体_GB2312" w:hAnsi="Times New Roman" w:eastAsia="楷体_GB2312" w:cs="Times New Roman"/>
      <w:b/>
      <w:bCs/>
      <w:kern w:val="0"/>
      <w:sz w:val="24"/>
      <w:szCs w:val="24"/>
    </w:rPr>
  </w:style>
  <w:style w:type="character" w:customStyle="1" w:styleId="39">
    <w:name w:val="正文文本缩进 3 字符"/>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字符"/>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列出段落3"/>
    <w:basedOn w:val="1"/>
    <w:qFormat/>
    <w:uiPriority w:val="34"/>
    <w:pPr>
      <w:ind w:firstLine="420" w:firstLineChars="200"/>
    </w:pPr>
    <w:rPr>
      <w:szCs w:val="21"/>
    </w:rPr>
  </w:style>
  <w:style w:type="paragraph" w:customStyle="1" w:styleId="51">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8727</Words>
  <Characters>49747</Characters>
  <Lines>414</Lines>
  <Paragraphs>116</Paragraphs>
  <TotalTime>7</TotalTime>
  <ScaleCrop>false</ScaleCrop>
  <LinksUpToDate>false</LinksUpToDate>
  <CharactersWithSpaces>58358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2020-10-23T07:44:00Z</cp:lastPrinted>
  <dcterms:modified xsi:type="dcterms:W3CDTF">2020-10-27T03:32:47Z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