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项目编号：2022-0</w:t>
      </w:r>
      <w:r>
        <w:rPr>
          <w:rFonts w:hint="eastAsia" w:ascii="宋体" w:hAnsi="宋体" w:cs="宋体"/>
          <w:b/>
          <w:color w:val="000000" w:themeColor="text1"/>
          <w:sz w:val="36"/>
          <w:lang w:val="en-US" w:eastAsia="zh-CN"/>
        </w:rPr>
        <w:t>43</w:t>
      </w:r>
      <w:r>
        <w:rPr>
          <w:rFonts w:hint="eastAsia" w:ascii="宋体" w:hAnsi="宋体" w:cs="宋体"/>
          <w:b/>
          <w:color w:val="000000" w:themeColor="text1"/>
          <w:sz w:val="36"/>
        </w:rPr>
        <w:t>Q</w:t>
      </w:r>
    </w:p>
    <w:p>
      <w:pPr>
        <w:jc w:val="center"/>
        <w:rPr>
          <w:rFonts w:ascii="宋体" w:hAnsi="宋体" w:cs="宋体"/>
          <w:b/>
          <w:color w:val="000000" w:themeColor="text1"/>
          <w:sz w:val="32"/>
        </w:rPr>
      </w:pPr>
    </w:p>
    <w:p>
      <w:pPr>
        <w:ind w:left="2525" w:leftChars="342" w:hanging="1807" w:hangingChars="500"/>
        <w:rPr>
          <w:rFonts w:ascii="宋体" w:hAnsi="宋体" w:cs="宋体"/>
          <w:b/>
          <w:color w:val="000000" w:themeColor="text1"/>
          <w:sz w:val="36"/>
          <w:szCs w:val="36"/>
        </w:rPr>
      </w:pPr>
    </w:p>
    <w:p>
      <w:pPr>
        <w:ind w:left="2164" w:leftChars="342" w:hanging="1446" w:hangingChars="400"/>
        <w:rPr>
          <w:rFonts w:hint="eastAsia" w:ascii="宋体" w:hAnsi="宋体" w:eastAsia="宋体" w:cs="宋体"/>
          <w:b/>
          <w:color w:val="000000" w:themeColor="text1"/>
          <w:sz w:val="36"/>
          <w:szCs w:val="36"/>
          <w:lang w:eastAsia="zh-CN"/>
        </w:rPr>
      </w:pPr>
      <w:r>
        <w:rPr>
          <w:rFonts w:hint="eastAsia" w:ascii="宋体" w:hAnsi="宋体" w:cs="宋体"/>
          <w:b/>
          <w:color w:val="000000" w:themeColor="text1"/>
          <w:sz w:val="36"/>
          <w:szCs w:val="36"/>
        </w:rPr>
        <w:t>项目名称：</w:t>
      </w:r>
      <w:r>
        <w:rPr>
          <w:rFonts w:hint="eastAsia" w:ascii="宋体" w:hAnsi="宋体" w:cs="宋体"/>
          <w:b/>
          <w:color w:val="000000" w:themeColor="text1"/>
          <w:sz w:val="36"/>
          <w:szCs w:val="36"/>
          <w:lang w:eastAsia="zh-CN"/>
        </w:rPr>
        <w:t>盐城工业职业技术学院塔吊及物联网监控系统模型</w:t>
      </w:r>
    </w:p>
    <w:p>
      <w:pPr>
        <w:ind w:firstLine="602" w:firstLineChars="200"/>
        <w:rPr>
          <w:rFonts w:ascii="宋体" w:hAnsi="宋体" w:cs="宋体"/>
          <w:b/>
          <w:color w:val="000000" w:themeColor="text1"/>
          <w:sz w:val="30"/>
          <w:szCs w:val="30"/>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spacing w:line="460" w:lineRule="exact"/>
        <w:ind w:firstLine="723" w:firstLineChars="200"/>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spacing w:line="460" w:lineRule="exact"/>
        <w:ind w:firstLine="723" w:firstLineChars="200"/>
        <w:jc w:val="center"/>
        <w:rPr>
          <w:rFonts w:ascii="宋体" w:hAnsi="宋体" w:cs="宋体"/>
          <w:color w:val="000000" w:themeColor="text1"/>
        </w:rPr>
      </w:pPr>
      <w:r>
        <w:rPr>
          <w:rFonts w:hint="eastAsia" w:ascii="宋体" w:hAnsi="宋体" w:cs="宋体"/>
          <w:b/>
          <w:color w:val="000000" w:themeColor="text1"/>
          <w:sz w:val="36"/>
          <w:szCs w:val="36"/>
        </w:rPr>
        <w:t>江苏全盛工程造价事务所有限公司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 xml:space="preserve"> 2022年</w:t>
      </w:r>
      <w:r>
        <w:rPr>
          <w:rFonts w:hint="eastAsia" w:ascii="宋体" w:hAnsi="宋体" w:cs="宋体"/>
          <w:b/>
          <w:color w:val="000000" w:themeColor="text1"/>
          <w:sz w:val="36"/>
          <w:szCs w:val="36"/>
          <w:lang w:val="en-US" w:eastAsia="zh-CN"/>
        </w:rPr>
        <w:t>11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9</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513029200"/>
      <w:bookmarkStart w:id="3" w:name="_Toc20823272"/>
      <w:bookmarkStart w:id="4" w:name="_Toc523127445"/>
      <w:bookmarkStart w:id="5" w:name="_Toc479757206"/>
      <w:bookmarkStart w:id="6" w:name="_Toc16938516"/>
    </w:p>
    <w:p>
      <w:pPr>
        <w:spacing w:line="480" w:lineRule="auto"/>
        <w:jc w:val="center"/>
        <w:outlineLvl w:val="0"/>
        <w:rPr>
          <w:rFonts w:ascii="宋体" w:hAnsi="宋体" w:cs="宋体"/>
          <w:b/>
          <w:color w:val="000000" w:themeColor="text1"/>
          <w:sz w:val="44"/>
        </w:rPr>
      </w:pPr>
      <w:r>
        <w:rPr>
          <w:rFonts w:hint="eastAsia" w:ascii="宋体" w:hAnsi="宋体" w:cs="宋体"/>
          <w:b/>
          <w:color w:val="000000" w:themeColor="text1"/>
          <w:sz w:val="44"/>
        </w:rPr>
        <w:t>总  目  录</w:t>
      </w:r>
      <w:bookmarkEnd w:id="0"/>
    </w:p>
    <w:p>
      <w:pPr>
        <w:spacing w:line="480" w:lineRule="auto"/>
        <w:rPr>
          <w:rFonts w:ascii="宋体" w:hAnsi="宋体" w:cs="宋体"/>
          <w:b/>
          <w:color w:val="000000" w:themeColor="text1"/>
          <w:sz w:val="28"/>
        </w:rPr>
      </w:pPr>
    </w:p>
    <w:sdt>
      <w:sdtPr>
        <w:rPr>
          <w:rFonts w:hint="eastAsia" w:ascii="宋体" w:hAnsi="宋体" w:eastAsia="楷体_GB2312" w:cs="宋体"/>
          <w:color w:val="000000" w:themeColor="text1"/>
          <w:sz w:val="28"/>
          <w:szCs w:val="28"/>
        </w:rPr>
        <w:id w:val="147461667"/>
        <w:docPartObj>
          <w:docPartGallery w:val="Table of Contents"/>
          <w:docPartUnique/>
        </w:docPartObj>
      </w:sdtPr>
      <w:sdtEndPr>
        <w:rPr>
          <w:rFonts w:hint="eastAsia" w:ascii="宋体" w:hAnsi="宋体" w:eastAsia="楷体_GB2312" w:cs="宋体"/>
          <w:bCs/>
          <w:color w:val="000000" w:themeColor="text1"/>
          <w:sz w:val="28"/>
          <w:szCs w:val="28"/>
        </w:rPr>
      </w:sdtEndPr>
      <w:sdtContent>
        <w:p>
          <w:pPr>
            <w:jc w:val="center"/>
            <w:rPr>
              <w:rFonts w:ascii="宋体" w:hAnsi="宋体" w:cs="宋体"/>
              <w:color w:val="000000" w:themeColor="text1"/>
            </w:rPr>
          </w:pPr>
        </w:p>
        <w:p>
          <w:pPr>
            <w:pStyle w:val="120"/>
            <w:tabs>
              <w:tab w:val="right" w:leader="dot" w:pos="9072"/>
            </w:tabs>
            <w:rPr>
              <w:rFonts w:ascii="宋体" w:hAnsi="宋体" w:cs="宋体"/>
              <w:color w:val="000000" w:themeColor="text1"/>
            </w:rPr>
          </w:pPr>
          <w:r>
            <w:rPr>
              <w:rFonts w:hint="eastAsia" w:ascii="宋体" w:hAnsi="宋体" w:cs="宋体"/>
              <w:bCs/>
              <w:color w:val="000000" w:themeColor="text1"/>
              <w:sz w:val="44"/>
            </w:rPr>
            <w:fldChar w:fldCharType="begin"/>
          </w:r>
          <w:r>
            <w:rPr>
              <w:rFonts w:hint="eastAsia" w:ascii="宋体" w:hAnsi="宋体" w:cs="宋体"/>
              <w:bCs/>
              <w:color w:val="000000" w:themeColor="text1"/>
              <w:sz w:val="44"/>
            </w:rPr>
            <w:instrText xml:space="preserve">TOC \o "1-1" \h \u </w:instrText>
          </w:r>
          <w:r>
            <w:rPr>
              <w:rFonts w:hint="eastAsia" w:ascii="宋体" w:hAnsi="宋体" w:cs="宋体"/>
              <w:bCs/>
              <w:color w:val="000000" w:themeColor="text1"/>
              <w:sz w:val="44"/>
            </w:rPr>
            <w:fldChar w:fldCharType="separate"/>
          </w: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"_Toc16364" </w:instrText>
          </w:r>
          <w:r>
            <w:fldChar w:fldCharType="separate"/>
          </w:r>
          <w:r>
            <w:rPr>
              <w:rFonts w:hint="eastAsia" w:ascii="宋体" w:hAnsi="宋体" w:cs="宋体"/>
              <w:b/>
              <w:color w:val="000000" w:themeColor="text1"/>
              <w:sz w:val="36"/>
              <w:szCs w:val="36"/>
            </w:rPr>
            <w:t>第一章</w:t>
          </w:r>
          <w:r>
            <w:rPr>
              <w:rFonts w:hint="eastAsia" w:ascii="宋体" w:hAnsi="宋体" w:cs="宋体"/>
              <w:bCs/>
              <w:color w:val="000000" w:themeColor="text1"/>
              <w:sz w:val="36"/>
              <w:szCs w:val="36"/>
            </w:rPr>
            <w:t xml:space="preserve">  招标公告</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_Toc16364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"_Toc8631" </w:instrText>
          </w:r>
          <w: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_Toc8631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"_Toc602" </w:instrText>
          </w:r>
          <w: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_Toc602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16</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"_Toc574" </w:instrText>
          </w:r>
          <w: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 xml:space="preserve"> </w:t>
          </w:r>
          <w:r>
            <w:rPr>
              <w:rFonts w:ascii="宋体" w:hAnsi="宋体" w:cs="宋体"/>
              <w:color w:val="000000" w:themeColor="text1"/>
              <w:sz w:val="36"/>
              <w:szCs w:val="36"/>
            </w:rPr>
            <w:t xml:space="preserve"> </w:t>
          </w:r>
          <w:r>
            <w:rPr>
              <w:rFonts w:hint="eastAsia" w:ascii="宋体" w:hAnsi="宋体" w:cs="宋体"/>
              <w:color w:val="000000" w:themeColor="text1"/>
              <w:sz w:val="36"/>
              <w:szCs w:val="36"/>
            </w:rPr>
            <w:t>项目技术需求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_Toc574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22</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"_Toc4016" </w:instrText>
          </w:r>
          <w: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_Toc4016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23</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rPr>
          </w:pPr>
          <w:r>
            <w:fldChar w:fldCharType="begin"/>
          </w:r>
          <w:r>
            <w:instrText xml:space="preserve"> HYPERLINK \l "_Toc22937" </w:instrText>
          </w:r>
          <w: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_Toc22937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3"/>
            <w:jc w:val="both"/>
            <w:rPr>
              <w:rFonts w:ascii="宋体" w:hAnsi="宋体" w:cs="宋体"/>
              <w:bCs/>
              <w:color w:val="000000" w:themeColor="text1"/>
            </w:rPr>
          </w:pPr>
          <w:r>
            <w:rPr>
              <w:rFonts w:hint="eastAsia" w:ascii="宋体" w:hAnsi="宋体" w:eastAsia="宋体" w:cs="宋体"/>
              <w:bCs/>
              <w:color w:val="000000" w:themeColor="text1"/>
            </w:rPr>
            <w:fldChar w:fldCharType="end"/>
          </w:r>
        </w:p>
      </w:sdtContent>
    </w:sdt>
    <w:p>
      <w:pPr>
        <w:rPr>
          <w:color w:val="000000" w:themeColor="text1"/>
        </w:rPr>
      </w:pPr>
    </w:p>
    <w:p>
      <w:pPr>
        <w:tabs>
          <w:tab w:val="right" w:pos="9072"/>
        </w:tabs>
        <w:jc w:val="left"/>
        <w:rPr>
          <w:color w:val="000000" w:themeColor="text1"/>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rPr>
        <w:tab/>
      </w:r>
    </w:p>
    <w:bookmarkEnd w:id="1"/>
    <w:p>
      <w:pPr>
        <w:pStyle w:val="3"/>
        <w:numPr>
          <w:ilvl w:val="0"/>
          <w:numId w:val="4"/>
        </w:numPr>
        <w:rPr>
          <w:rFonts w:ascii="宋体" w:hAnsi="宋体" w:eastAsia="宋体" w:cs="宋体"/>
          <w:b/>
          <w:bCs/>
          <w:color w:val="000000" w:themeColor="text1"/>
          <w:sz w:val="44"/>
          <w:szCs w:val="44"/>
        </w:rPr>
      </w:pPr>
      <w:bookmarkStart w:id="7" w:name="_Toc16364"/>
      <w:r>
        <w:rPr>
          <w:rFonts w:hint="eastAsia" w:ascii="宋体" w:hAnsi="宋体" w:eastAsia="宋体" w:cs="宋体"/>
          <w:b/>
          <w:bCs/>
          <w:color w:val="000000" w:themeColor="text1"/>
          <w:sz w:val="44"/>
          <w:szCs w:val="44"/>
        </w:rPr>
        <w:t>招标公告</w:t>
      </w:r>
      <w:bookmarkEnd w:id="7"/>
      <w:bookmarkStart w:id="8" w:name="_Toc28359001"/>
      <w:bookmarkStart w:id="9" w:name="_Toc9682"/>
      <w:bookmarkStart w:id="10" w:name="_Toc35393789"/>
    </w:p>
    <w:p>
      <w:pPr>
        <w:pStyle w:val="3"/>
        <w:ind w:firstLine="843" w:firstLineChars="300"/>
        <w:rPr>
          <w:rFonts w:ascii="宋体" w:hAnsi="宋体" w:eastAsia="宋体" w:cs="宋体"/>
          <w:b/>
          <w:bCs/>
          <w:color w:val="000000" w:themeColor="text1"/>
        </w:rPr>
      </w:pPr>
      <w:r>
        <w:rPr>
          <w:rFonts w:hint="eastAsia" w:ascii="宋体" w:hAnsi="宋体" w:eastAsia="宋体" w:cs="宋体"/>
          <w:b/>
          <w:bCs/>
          <w:color w:val="000000" w:themeColor="text1"/>
          <w:lang w:val="en-US" w:eastAsia="zh-CN"/>
        </w:rPr>
        <w:t>盐城工业职业技术学院</w:t>
      </w:r>
      <w:r>
        <w:rPr>
          <w:rFonts w:hint="eastAsia" w:ascii="宋体" w:hAnsi="宋体" w:eastAsia="宋体" w:cs="宋体"/>
          <w:b/>
          <w:bCs/>
          <w:color w:val="000000" w:themeColor="text1"/>
        </w:rPr>
        <w:t>塔吊及物联网监控系统模型招标公告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u w:val="single"/>
          <w:lang w:eastAsia="zh-CN"/>
        </w:rPr>
        <w:t>盐城工业职业技术学院塔吊及物联网监控系统模型</w:t>
      </w:r>
      <w:r>
        <w:rPr>
          <w:rFonts w:hint="eastAsia" w:ascii="宋体" w:hAnsi="宋体" w:cs="宋体"/>
          <w:bCs/>
          <w:color w:val="000000" w:themeColor="text1"/>
          <w:sz w:val="24"/>
          <w:szCs w:val="24"/>
        </w:rPr>
        <w:t>的潜在投标人应在</w:t>
      </w:r>
      <w:r>
        <w:rPr>
          <w:rFonts w:hint="eastAsia" w:ascii="宋体" w:hAnsi="宋体" w:cs="宋体"/>
          <w:bCs/>
          <w:color w:val="000000" w:themeColor="text1"/>
          <w:sz w:val="24"/>
          <w:szCs w:val="24"/>
          <w:u w:val="single"/>
        </w:rPr>
        <w:t>盐城工业职业技术学院招标采购网</w:t>
      </w:r>
      <w:r>
        <w:rPr>
          <w:rFonts w:hint="eastAsia" w:ascii="宋体" w:hAnsi="宋体" w:cs="宋体"/>
          <w:bCs/>
          <w:color w:val="000000" w:themeColor="text1"/>
          <w:sz w:val="24"/>
          <w:szCs w:val="24"/>
        </w:rPr>
        <w:t>获</w:t>
      </w:r>
      <w:r>
        <w:rPr>
          <w:rFonts w:hint="eastAsia" w:ascii="宋体" w:hAnsi="宋体" w:cs="宋体"/>
          <w:color w:val="000000" w:themeColor="text1"/>
          <w:sz w:val="24"/>
          <w:szCs w:val="24"/>
        </w:rPr>
        <w:t>取招标文件，并于</w:t>
      </w: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2</w:t>
      </w:r>
      <w:r>
        <w:rPr>
          <w:rFonts w:hint="eastAsia" w:ascii="宋体" w:hAnsi="宋体" w:cs="宋体"/>
          <w:bCs/>
          <w:color w:val="000000" w:themeColor="text1"/>
          <w:sz w:val="24"/>
          <w:szCs w:val="24"/>
          <w:u w:val="single"/>
        </w:rPr>
        <w:t>日15点00分（</w:t>
      </w:r>
      <w:r>
        <w:rPr>
          <w:rFonts w:hint="eastAsia" w:ascii="宋体" w:hAnsi="宋体" w:cs="宋体"/>
          <w:bCs/>
          <w:color w:val="000000" w:themeColor="text1"/>
          <w:sz w:val="24"/>
          <w:szCs w:val="24"/>
        </w:rPr>
        <w:t>北京时间）前递交投标文件</w:t>
      </w:r>
      <w:r>
        <w:rPr>
          <w:rFonts w:hint="eastAsia" w:ascii="宋体" w:hAnsi="宋体" w:cs="宋体"/>
          <w:color w:val="000000" w:themeColor="text1"/>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rPr>
      </w:pPr>
      <w:bookmarkStart w:id="11" w:name="_Toc35393790"/>
      <w:bookmarkStart w:id="12" w:name="_Toc35393621"/>
      <w:bookmarkStart w:id="13" w:name="_Toc17573"/>
      <w:bookmarkStart w:id="14" w:name="_Toc28359002"/>
      <w:bookmarkStart w:id="15" w:name="_Toc28359079"/>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项目编号：</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43</w:t>
      </w:r>
      <w:r>
        <w:rPr>
          <w:rFonts w:hint="eastAsia" w:ascii="宋体" w:hAnsi="宋体" w:cs="宋体"/>
          <w:color w:val="000000" w:themeColor="text1"/>
          <w:sz w:val="24"/>
          <w:szCs w:val="24"/>
          <w:u w:val="single"/>
        </w:rPr>
        <w:t>Q</w:t>
      </w:r>
    </w:p>
    <w:p>
      <w:pPr>
        <w:spacing w:line="460" w:lineRule="exact"/>
        <w:ind w:firstLine="480" w:firstLineChars="200"/>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u w:val="single"/>
          <w:lang w:eastAsia="zh-CN"/>
        </w:rPr>
        <w:t>盐城工业职业技术学院塔吊及物联网监控系统模型</w:t>
      </w:r>
    </w:p>
    <w:bookmarkEnd w:id="16"/>
    <w:p>
      <w:pPr>
        <w:pStyle w:val="40"/>
        <w:spacing w:before="0" w:beforeAutospacing="0" w:after="0" w:afterAutospacing="0"/>
        <w:ind w:firstLine="480" w:firstLineChars="200"/>
        <w:rPr>
          <w:color w:val="000000" w:themeColor="text1"/>
          <w:u w:val="single"/>
        </w:rPr>
      </w:pPr>
      <w:r>
        <w:rPr>
          <w:rFonts w:hint="eastAsia"/>
          <w:color w:val="000000" w:themeColor="text1"/>
        </w:rPr>
        <w:t>预算金额：最高限价</w:t>
      </w:r>
      <w:r>
        <w:rPr>
          <w:rFonts w:hint="eastAsia" w:ascii="仿宋" w:hAnsi="仿宋" w:eastAsia="仿宋" w:cs="仿宋"/>
          <w:color w:val="000000" w:themeColor="text1"/>
          <w:u w:val="single"/>
        </w:rPr>
        <w:t>16</w:t>
      </w:r>
      <w:r>
        <w:rPr>
          <w:rFonts w:hint="eastAsia"/>
          <w:color w:val="000000" w:themeColor="text1"/>
          <w:kern w:val="2"/>
          <w:u w:val="single"/>
        </w:rPr>
        <w:t>万元</w:t>
      </w:r>
      <w:r>
        <w:rPr>
          <w:rFonts w:hint="eastAsia"/>
          <w:color w:val="000000" w:themeColor="text1"/>
          <w:kern w:val="2"/>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采购需求：</w:t>
      </w:r>
      <w:r>
        <w:rPr>
          <w:rStyle w:val="115"/>
          <w:rFonts w:hint="eastAsia" w:ascii="宋体" w:hAnsi="宋体" w:cs="宋体"/>
          <w:color w:val="000000" w:themeColor="text1"/>
          <w:sz w:val="24"/>
          <w:szCs w:val="24"/>
          <w:lang w:eastAsia="zh-CN"/>
        </w:rPr>
        <w:t>盐城工业职业技术学院塔吊及物联网监控系统模型</w:t>
      </w:r>
      <w:r>
        <w:rPr>
          <w:rStyle w:val="115"/>
          <w:rFonts w:hint="eastAsia" w:ascii="宋体" w:hAnsi="宋体" w:cs="宋体"/>
          <w:color w:val="000000" w:themeColor="text1"/>
          <w:sz w:val="24"/>
          <w:szCs w:val="24"/>
        </w:rPr>
        <w:t xml:space="preserve">的采购、供应、运输、安装及就位、调试、维保、售前、售后等相关伴随服务，具体产品名称、数量、规格及技术参数等以招标文件及报价清单为准，采购人保留对上述采购规模进行调整的权利。（详见采购清单）。 </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合同履行期限：</w:t>
      </w:r>
      <w:r>
        <w:rPr>
          <w:rStyle w:val="115"/>
          <w:rFonts w:hint="eastAsia" w:ascii="宋体" w:hAnsi="宋体" w:cs="宋体"/>
          <w:color w:val="000000" w:themeColor="text1"/>
          <w:sz w:val="24"/>
          <w:szCs w:val="24"/>
          <w:u w:val="single"/>
        </w:rPr>
        <w:t xml:space="preserve"> 项目合同签订后90天内完成设备的供货、 安装及调试。（如甲方需要延时交付，可另行约定时间）</w:t>
      </w:r>
      <w:r>
        <w:rPr>
          <w:rStyle w:val="115"/>
          <w:rFonts w:hint="eastAsia" w:ascii="宋体" w:hAnsi="宋体" w:cs="宋体"/>
          <w:color w:val="000000" w:themeColor="text1"/>
          <w:sz w:val="24"/>
          <w:szCs w:val="24"/>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本项目不接受联合体投标。</w:t>
      </w:r>
      <w:bookmarkStart w:id="17" w:name="_Toc28359080"/>
      <w:bookmarkStart w:id="18" w:name="_Toc35393622"/>
      <w:bookmarkStart w:id="19" w:name="_Toc35393791"/>
      <w:bookmarkStart w:id="20" w:name="_Toc28359003"/>
      <w:bookmarkStart w:id="21" w:name="_Toc28359081"/>
      <w:bookmarkStart w:id="22" w:name="_Toc35393792"/>
      <w:bookmarkStart w:id="23" w:name="_Toc35393623"/>
      <w:bookmarkStart w:id="24" w:name="_Toc28359004"/>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（4）具备履行合同所必需的设备和专业技术能力的书面声明；</w:t>
      </w:r>
      <w:bookmarkStart w:id="267" w:name="_GoBack"/>
      <w:bookmarkEnd w:id="267"/>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rPr>
      </w:pPr>
      <w:bookmarkStart w:id="25" w:name="_Toc28359005"/>
      <w:bookmarkStart w:id="26" w:name="_Toc28359082"/>
      <w:bookmarkStart w:id="27" w:name="_Toc35393793"/>
      <w:bookmarkStart w:id="28" w:name="_Toc35393624"/>
      <w:r>
        <w:rPr>
          <w:rFonts w:hint="eastAsia" w:ascii="宋体" w:hAnsi="宋体" w:cs="宋体"/>
          <w:color w:val="000000" w:themeColor="text1"/>
          <w:sz w:val="24"/>
          <w:szCs w:val="24"/>
        </w:rPr>
        <w:t>3.本项目的特定资格要求：</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rPr>
      </w:pPr>
      <w:bookmarkStart w:id="29" w:name="_Toc392"/>
      <w:r>
        <w:rPr>
          <w:rFonts w:hint="eastAsia" w:ascii="宋体" w:hAnsi="宋体" w:cs="宋体"/>
          <w:b/>
          <w:bCs/>
          <w:color w:val="000000" w:themeColor="text1"/>
          <w:sz w:val="24"/>
          <w:szCs w:val="24"/>
        </w:rPr>
        <w:t>三、获取招标文件</w:t>
      </w:r>
      <w:bookmarkEnd w:id="29"/>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时间：自公告之日起至投标截止时间前1日</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地点：盐城工业职业技术学院招标采购网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日至2022年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27</w:t>
      </w:r>
      <w:r>
        <w:rPr>
          <w:rFonts w:hint="eastAsia" w:ascii="宋体" w:hAnsi="宋体" w:cs="宋体"/>
          <w:color w:val="000000" w:themeColor="text1"/>
          <w:sz w:val="24"/>
          <w:szCs w:val="24"/>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30" w:name="_Toc7670"/>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2</w:t>
      </w:r>
      <w:r>
        <w:rPr>
          <w:rFonts w:hint="eastAsia" w:ascii="宋体" w:hAnsi="宋体" w:cs="宋体"/>
          <w:bCs/>
          <w:color w:val="000000" w:themeColor="text1"/>
          <w:sz w:val="24"/>
          <w:szCs w:val="24"/>
          <w:u w:val="single"/>
        </w:rPr>
        <w:t>日15点00分</w:t>
      </w:r>
      <w:r>
        <w:rPr>
          <w:rFonts w:hint="eastAsia" w:ascii="宋体" w:hAnsi="宋体" w:cs="宋体"/>
          <w:color w:val="000000" w:themeColor="text1"/>
          <w:sz w:val="24"/>
          <w:szCs w:val="24"/>
        </w:rPr>
        <w:t>（北京时间）</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1" w:name="_Toc12763"/>
      <w:bookmarkStart w:id="32" w:name="_Toc28359007"/>
      <w:bookmarkStart w:id="33" w:name="_Toc28359084"/>
      <w:bookmarkStart w:id="34" w:name="_Toc35393625"/>
      <w:bookmarkStart w:id="35" w:name="_Toc35393794"/>
      <w:r>
        <w:rPr>
          <w:rFonts w:hint="eastAsia" w:ascii="宋体" w:hAnsi="宋体" w:eastAsia="宋体" w:cs="宋体"/>
          <w:b/>
          <w:bCs/>
          <w:color w:val="000000" w:themeColor="text1"/>
          <w:sz w:val="24"/>
          <w:szCs w:val="24"/>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6" w:name="_Toc35393626"/>
      <w:bookmarkStart w:id="37" w:name="_Toc21328"/>
      <w:bookmarkStart w:id="38" w:name="_Toc35393795"/>
      <w:bookmarkStart w:id="39" w:name="_Toc35393796"/>
      <w:bookmarkStart w:id="40" w:name="_Toc35393627"/>
      <w:bookmarkStart w:id="41" w:name="_Toc28359085"/>
      <w:bookmarkStart w:id="42" w:name="_Toc28359008"/>
      <w:r>
        <w:rPr>
          <w:rFonts w:hint="eastAsia" w:ascii="宋体" w:hAnsi="宋体" w:eastAsia="宋体" w:cs="宋体"/>
          <w:b/>
          <w:bCs/>
          <w:color w:val="000000" w:themeColor="text1"/>
          <w:sz w:val="24"/>
          <w:szCs w:val="24"/>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w:t>
      </w:r>
      <w:r>
        <w:rPr>
          <w:rStyle w:val="115"/>
          <w:rFonts w:hint="eastAsia" w:ascii="宋体" w:hAnsi="宋体" w:cs="宋体"/>
          <w:color w:val="000000" w:themeColor="text1"/>
          <w:sz w:val="24"/>
          <w:szCs w:val="24"/>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rPr>
      </w:pPr>
      <w:r>
        <w:rPr>
          <w:rStyle w:val="115"/>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43" w:name="_Toc1982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rPr>
      </w:pPr>
      <w:bookmarkStart w:id="44" w:name="_Toc35393637"/>
      <w:bookmarkStart w:id="45" w:name="_Toc28359019"/>
      <w:bookmarkStart w:id="46" w:name="_Toc28359096"/>
      <w:bookmarkStart w:id="47" w:name="_Toc35393806"/>
      <w:r>
        <w:rPr>
          <w:rFonts w:hint="eastAsia" w:ascii="宋体" w:hAnsi="宋体" w:cs="宋体"/>
          <w:color w:val="000000" w:themeColor="text1"/>
          <w:sz w:val="24"/>
          <w:szCs w:val="24"/>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w:t>
      </w:r>
      <w:r>
        <w:rPr>
          <w:rStyle w:val="115"/>
          <w:rFonts w:hint="eastAsia" w:ascii="宋体" w:hAnsi="宋体"/>
          <w:color w:val="000000" w:themeColor="text1"/>
          <w:sz w:val="24"/>
          <w:szCs w:val="24"/>
        </w:rPr>
        <w:t>盐城市解放南路285号</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联系人：赵老师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联系电话：0515-88588707</w:t>
      </w:r>
    </w:p>
    <w:p>
      <w:pPr>
        <w:spacing w:line="460" w:lineRule="exact"/>
        <w:ind w:firstLine="480" w:firstLineChars="200"/>
        <w:rPr>
          <w:rFonts w:ascii="宋体" w:hAnsi="宋体" w:cs="宋体"/>
          <w:color w:val="000000" w:themeColor="text1"/>
          <w:sz w:val="24"/>
          <w:szCs w:val="24"/>
        </w:rPr>
      </w:pPr>
      <w:bookmarkStart w:id="48" w:name="_Toc35393807"/>
      <w:bookmarkStart w:id="49" w:name="_Toc28359020"/>
      <w:bookmarkStart w:id="50" w:name="_Toc28359097"/>
      <w:bookmarkStart w:id="51" w:name="_Toc35393638"/>
      <w:r>
        <w:rPr>
          <w:rFonts w:hint="eastAsia" w:ascii="宋体" w:hAnsi="宋体" w:cs="宋体"/>
          <w:color w:val="000000" w:themeColor="text1"/>
          <w:sz w:val="24"/>
          <w:szCs w:val="24"/>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rPr>
      </w:pPr>
      <w:bookmarkStart w:id="52" w:name="_Toc28359021"/>
      <w:bookmarkStart w:id="53" w:name="_Toc35393808"/>
      <w:bookmarkStart w:id="54" w:name="_Toc35393639"/>
      <w:bookmarkStart w:id="55" w:name="_Toc28359098"/>
      <w:r>
        <w:rPr>
          <w:rFonts w:hint="eastAsia" w:ascii="宋体" w:hAnsi="宋体" w:cs="宋体"/>
          <w:color w:val="000000" w:themeColor="text1"/>
          <w:sz w:val="24"/>
          <w:szCs w:val="24"/>
        </w:rPr>
        <w:t>名称：江苏全盛工程造价事务所有限公司</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地址：盐城市人民南路华邦国际东厦A区22楼2203室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联系人：朱玲娜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联系电话：18751450656</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hint="eastAsia" w:ascii="宋体" w:hAnsi="宋体" w:cs="宋体" w:eastAsiaTheme="minorEastAsia"/>
          <w:color w:val="000000" w:themeColor="text1"/>
          <w:sz w:val="24"/>
          <w:szCs w:val="24"/>
          <w:lang w:val="en-US" w:eastAsia="zh-CN"/>
        </w:rPr>
      </w:pPr>
      <w:r>
        <w:rPr>
          <w:rFonts w:hint="eastAsia" w:ascii="宋体" w:hAnsi="宋体" w:cs="宋体"/>
          <w:color w:val="000000" w:themeColor="text1"/>
          <w:sz w:val="24"/>
          <w:szCs w:val="24"/>
        </w:rPr>
        <w:t>项目联系人：</w:t>
      </w:r>
      <w:r>
        <w:rPr>
          <w:rFonts w:hint="eastAsia" w:asciiTheme="minorEastAsia" w:hAnsiTheme="minorEastAsia" w:eastAsiaTheme="minorEastAsia"/>
          <w:color w:val="000000" w:themeColor="text1"/>
        </w:rPr>
        <w:t>顾</w:t>
      </w:r>
      <w:r>
        <w:rPr>
          <w:rFonts w:hint="eastAsia" w:asciiTheme="minorEastAsia" w:hAnsiTheme="minorEastAsia" w:eastAsiaTheme="minorEastAsia"/>
          <w:color w:val="000000" w:themeColor="text1"/>
          <w:lang w:val="en-US" w:eastAsia="zh-CN"/>
        </w:rPr>
        <w:t>老师</w:t>
      </w:r>
    </w:p>
    <w:p>
      <w:pPr>
        <w:pStyle w:val="40"/>
        <w:spacing w:before="0" w:beforeAutospacing="0" w:after="0" w:afterAutospacing="0"/>
        <w:ind w:firstLine="480" w:firstLineChars="200"/>
        <w:rPr>
          <w:color w:val="000000" w:themeColor="text1"/>
        </w:rPr>
      </w:pPr>
      <w:r>
        <w:rPr>
          <w:rFonts w:hint="eastAsia"/>
          <w:color w:val="000000" w:themeColor="text1"/>
        </w:rPr>
        <w:t>联系电话：</w:t>
      </w:r>
      <w:r>
        <w:rPr>
          <w:rFonts w:hint="eastAsia" w:asciiTheme="minorEastAsia" w:hAnsiTheme="minorEastAsia" w:eastAsiaTheme="minorEastAsia"/>
          <w:color w:val="000000" w:themeColor="text1"/>
        </w:rPr>
        <w:t>15050559397</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对项目需求部分的询问、质疑请向项目联系人提出，由项目联系人答复</w:t>
      </w:r>
      <w:bookmarkEnd w:id="2"/>
      <w:bookmarkEnd w:id="3"/>
      <w:bookmarkEnd w:id="4"/>
      <w:bookmarkEnd w:id="5"/>
      <w:bookmarkEnd w:id="6"/>
      <w:bookmarkStart w:id="56" w:name="_Toc513029242"/>
      <w:bookmarkStart w:id="57" w:name="_Toc479757207"/>
      <w:bookmarkStart w:id="58" w:name="_Toc20823314"/>
      <w:bookmarkStart w:id="59" w:name="_Toc120614221"/>
      <w:bookmarkStart w:id="60" w:name="_Toc16938558"/>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
      <w:pPr>
        <w:pStyle w:val="4"/>
        <w:spacing w:before="0" w:after="0" w:line="240" w:lineRule="auto"/>
        <w:jc w:val="both"/>
        <w:rPr>
          <w:rFonts w:ascii="宋体" w:hAnsi="宋体" w:eastAsia="宋体" w:cs="宋体"/>
          <w:color w:val="000000" w:themeColor="text1"/>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Start w:id="62" w:name="_Toc513029202"/>
      <w:bookmarkStart w:id="63" w:name="_Toc16938518"/>
      <w:bookmarkStart w:id="64" w:name="_Toc20823274"/>
      <w:bookmarkStart w:id="65" w:name="_Toc120614213"/>
      <w:r>
        <w:rPr>
          <w:rFonts w:hint="eastAsia" w:ascii="宋体" w:hAnsi="宋体" w:eastAsia="宋体" w:cs="宋体"/>
          <w:color w:val="000000" w:themeColor="text1"/>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rPr>
      </w:pPr>
      <w:bookmarkStart w:id="66" w:name="_Toc16938519"/>
      <w:bookmarkStart w:id="67" w:name="_Toc120614214"/>
      <w:bookmarkStart w:id="68" w:name="_Toc513029203"/>
      <w:bookmarkStart w:id="69" w:name="_Toc20823275"/>
      <w:r>
        <w:rPr>
          <w:rFonts w:hint="eastAsia" w:ascii="宋体" w:hAnsi="宋体" w:cs="宋体"/>
          <w:color w:val="000000" w:themeColor="text1"/>
          <w:sz w:val="24"/>
          <w:szCs w:val="24"/>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rPr>
      </w:pPr>
      <w:bookmarkStart w:id="70" w:name="_Hlt16619475"/>
      <w:bookmarkEnd w:id="70"/>
      <w:bookmarkStart w:id="71" w:name="_Toc458694821"/>
      <w:bookmarkStart w:id="72" w:name="_Toc16938520"/>
      <w:bookmarkStart w:id="73" w:name="_Toc20823276"/>
      <w:bookmarkStart w:id="74" w:name="_Toc513029204"/>
      <w:r>
        <w:rPr>
          <w:rFonts w:hint="eastAsia" w:ascii="宋体" w:hAnsi="宋体" w:cs="宋体"/>
          <w:b w:val="0"/>
          <w:color w:val="000000" w:themeColor="text1"/>
          <w:sz w:val="24"/>
          <w:szCs w:val="24"/>
        </w:rPr>
        <w:t>1</w:t>
      </w:r>
      <w:bookmarkEnd w:id="71"/>
      <w:r>
        <w:rPr>
          <w:rFonts w:hint="eastAsia" w:ascii="宋体" w:hAnsi="宋体" w:cs="宋体"/>
          <w:b w:val="0"/>
          <w:color w:val="000000" w:themeColor="text1"/>
          <w:sz w:val="24"/>
          <w:szCs w:val="24"/>
        </w:rPr>
        <w:t>、招标方式</w:t>
      </w:r>
      <w:bookmarkEnd w:id="72"/>
      <w:bookmarkEnd w:id="73"/>
      <w:bookmarkEnd w:id="7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rPr>
      </w:pPr>
      <w:bookmarkStart w:id="75" w:name="_Toc16938521"/>
      <w:bookmarkStart w:id="76" w:name="_Toc513029205"/>
      <w:bookmarkStart w:id="77" w:name="_Toc20823277"/>
      <w:r>
        <w:rPr>
          <w:rFonts w:hint="eastAsia" w:ascii="宋体" w:hAnsi="宋体" w:cs="宋体"/>
          <w:b w:val="0"/>
          <w:color w:val="000000" w:themeColor="text1"/>
          <w:sz w:val="24"/>
          <w:szCs w:val="24"/>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rPr>
      </w:pPr>
      <w:bookmarkStart w:id="78" w:name="_Toc16938522"/>
      <w:bookmarkStart w:id="79" w:name="_Toc513029206"/>
      <w:bookmarkStart w:id="80" w:name="_Toc20823278"/>
      <w:r>
        <w:rPr>
          <w:rFonts w:hint="eastAsia" w:ascii="宋体" w:hAnsi="宋体" w:cs="宋体"/>
          <w:b w:val="0"/>
          <w:color w:val="000000" w:themeColor="text1"/>
          <w:sz w:val="24"/>
          <w:szCs w:val="24"/>
        </w:rPr>
        <w:t>3、适用法律</w:t>
      </w:r>
      <w:bookmarkEnd w:id="78"/>
      <w:bookmarkEnd w:id="79"/>
      <w:bookmarkEnd w:id="80"/>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rPr>
      </w:pPr>
      <w:bookmarkStart w:id="81" w:name="_Toc16938523"/>
      <w:bookmarkStart w:id="82" w:name="_Toc513029207"/>
      <w:bookmarkStart w:id="83" w:name="_Toc20823279"/>
      <w:bookmarkStart w:id="84" w:name="_Toc462564067"/>
      <w:r>
        <w:rPr>
          <w:rFonts w:hint="eastAsia" w:ascii="宋体" w:hAnsi="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5、招标文件的约束力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rPr>
      </w:pPr>
      <w:bookmarkStart w:id="85" w:name="_Toc16938525"/>
      <w:bookmarkStart w:id="86" w:name="_Toc20823281"/>
      <w:bookmarkStart w:id="87" w:name="_Toc513029209"/>
      <w:bookmarkStart w:id="88" w:name="_Toc120614215"/>
      <w:r>
        <w:rPr>
          <w:rFonts w:hint="eastAsia" w:ascii="宋体" w:hAnsi="宋体" w:cs="宋体"/>
          <w:color w:val="000000" w:themeColor="text1"/>
          <w:sz w:val="24"/>
          <w:szCs w:val="24"/>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rPr>
      </w:pPr>
      <w:bookmarkStart w:id="89" w:name="_Toc20823282"/>
      <w:bookmarkStart w:id="90" w:name="_Toc513029210"/>
      <w:bookmarkStart w:id="91" w:name="_Toc16938526"/>
      <w:r>
        <w:rPr>
          <w:rFonts w:hint="eastAsia" w:ascii="宋体" w:hAnsi="宋体" w:cs="宋体"/>
          <w:b w:val="0"/>
          <w:color w:val="000000" w:themeColor="text1"/>
          <w:sz w:val="24"/>
          <w:szCs w:val="24"/>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（4）项目技术要求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92" w:name="_Toc16938527"/>
      <w:bookmarkStart w:id="93" w:name="_Toc513029211"/>
      <w:bookmarkStart w:id="94" w:name="_Toc462564070"/>
      <w:bookmarkStart w:id="95" w:name="_Toc20823283"/>
      <w:r>
        <w:rPr>
          <w:rFonts w:hint="eastAsia" w:ascii="宋体" w:hAnsi="宋体" w:cs="宋体"/>
          <w:b w:val="0"/>
          <w:color w:val="000000" w:themeColor="text1"/>
          <w:sz w:val="24"/>
          <w:szCs w:val="24"/>
        </w:rPr>
        <w:t>8、招标文件的</w:t>
      </w:r>
      <w:bookmarkEnd w:id="92"/>
      <w:bookmarkEnd w:id="93"/>
      <w:bookmarkEnd w:id="94"/>
      <w:bookmarkEnd w:id="95"/>
      <w:r>
        <w:rPr>
          <w:rFonts w:hint="eastAsia" w:ascii="宋体" w:hAnsi="宋体" w:cs="宋体"/>
          <w:b w:val="0"/>
          <w:color w:val="000000" w:themeColor="text1"/>
          <w:sz w:val="24"/>
          <w:szCs w:val="24"/>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rPr>
      </w:pPr>
      <w:bookmarkStart w:id="96" w:name="_Toc16938528"/>
      <w:bookmarkStart w:id="97" w:name="_Toc513029212"/>
      <w:bookmarkStart w:id="98" w:name="_Toc462564071"/>
      <w:bookmarkStart w:id="99" w:name="_Toc20823284"/>
      <w:r>
        <w:rPr>
          <w:rFonts w:hint="eastAsia" w:ascii="宋体" w:hAnsi="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rPr>
      </w:pPr>
      <w:bookmarkStart w:id="100" w:name="_Toc513029213"/>
      <w:bookmarkStart w:id="101" w:name="_Toc16938529"/>
      <w:bookmarkStart w:id="102" w:name="_Toc120614216"/>
      <w:bookmarkStart w:id="103" w:name="_Toc462564072"/>
      <w:bookmarkStart w:id="104" w:name="_Toc20823285"/>
      <w:r>
        <w:rPr>
          <w:rFonts w:hint="eastAsia" w:ascii="宋体" w:hAnsi="宋体" w:cs="宋体"/>
          <w:color w:val="000000" w:themeColor="text1"/>
          <w:sz w:val="24"/>
          <w:szCs w:val="24"/>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rPr>
      </w:pPr>
      <w:bookmarkStart w:id="105" w:name="_Toc513029214"/>
      <w:bookmarkStart w:id="106" w:name="_Toc20823286"/>
      <w:bookmarkStart w:id="107" w:name="_Toc16938530"/>
      <w:bookmarkStart w:id="108" w:name="_Toc462564073"/>
      <w:r>
        <w:rPr>
          <w:rFonts w:hint="eastAsia" w:ascii="宋体" w:hAnsi="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rPr>
      </w:pPr>
      <w:bookmarkStart w:id="109" w:name="_Toc513029215"/>
      <w:bookmarkStart w:id="110" w:name="_Toc462564074"/>
      <w:bookmarkStart w:id="111" w:name="_Toc20823287"/>
      <w:bookmarkStart w:id="112" w:name="_Toc16938531"/>
      <w:r>
        <w:rPr>
          <w:rFonts w:hint="eastAsia" w:ascii="宋体" w:hAnsi="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rPr>
      </w:pPr>
      <w:r>
        <w:rPr>
          <w:rFonts w:hint="eastAsia" w:ascii="宋体" w:hAnsi="宋体" w:cs="宋体"/>
          <w:color w:val="000000" w:themeColor="text1"/>
          <w:sz w:val="24"/>
          <w:szCs w:val="24"/>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rPr>
      </w:pPr>
      <w:bookmarkStart w:id="113" w:name="_Hlt26954838"/>
      <w:bookmarkEnd w:id="113"/>
      <w:bookmarkStart w:id="114" w:name="_Hlt26668975"/>
      <w:bookmarkEnd w:id="114"/>
      <w:bookmarkStart w:id="115" w:name="_Hlt26670360"/>
      <w:bookmarkEnd w:id="115"/>
      <w:bookmarkStart w:id="116" w:name="_Toc49090509"/>
      <w:bookmarkStart w:id="117" w:name="_Toc513029219"/>
      <w:bookmarkStart w:id="118" w:name="_Toc14577357"/>
      <w:bookmarkStart w:id="119" w:name="_Toc14577354"/>
      <w:bookmarkStart w:id="120" w:name="_Toc513029216"/>
      <w:bookmarkStart w:id="121" w:name="_Toc49090507"/>
      <w:r>
        <w:rPr>
          <w:rFonts w:hint="eastAsia" w:ascii="宋体" w:hAnsi="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122" w:name="_Hlt26668999"/>
      <w:bookmarkEnd w:id="122"/>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12.5证明投标人所提供货物及服务与招标文件的要求相一致的文件可以是手册、图纸、文字资料和数据</w:t>
      </w:r>
      <w:r>
        <w:rPr>
          <w:rFonts w:hint="eastAsia" w:ascii="宋体" w:hAnsi="宋体" w:cs="宋体"/>
          <w:bCs/>
          <w:color w:val="000000" w:themeColor="text1"/>
          <w:sz w:val="24"/>
          <w:szCs w:val="24"/>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rPr>
      </w:pPr>
      <w:bookmarkStart w:id="123" w:name="_Toc14577355"/>
      <w:bookmarkStart w:id="124" w:name="_Toc49090508"/>
      <w:r>
        <w:rPr>
          <w:rFonts w:hint="eastAsia" w:ascii="宋体" w:hAnsi="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cs="宋体"/>
          <w:b w:val="0"/>
          <w:color w:val="000000" w:themeColor="text1"/>
          <w:sz w:val="24"/>
          <w:szCs w:val="24"/>
        </w:rPr>
        <w:t>表</w:t>
      </w:r>
      <w:bookmarkEnd w:id="124"/>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126" w:name="_Hlt26954840"/>
      <w:bookmarkEnd w:id="126"/>
      <w:r>
        <w:rPr>
          <w:rFonts w:hint="eastAsia" w:ascii="宋体" w:hAnsi="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w:t>
      </w:r>
      <w:r>
        <w:rPr>
          <w:rFonts w:hint="eastAsia" w:ascii="宋体" w:hAnsi="宋体" w:cs="宋体"/>
          <w:color w:val="000000" w:themeColor="text1"/>
          <w:sz w:val="24"/>
          <w:szCs w:val="24"/>
        </w:rPr>
        <w:t>及服务</w:t>
      </w:r>
      <w:r>
        <w:rPr>
          <w:rFonts w:hint="eastAsia" w:ascii="宋体" w:hAnsi="宋体" w:cs="宋体"/>
          <w:bCs/>
          <w:color w:val="000000" w:themeColor="text1"/>
          <w:sz w:val="24"/>
          <w:szCs w:val="24"/>
        </w:rPr>
        <w:t>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bookmarkStart w:id="128" w:name="_Hlt26954844"/>
      <w:bookmarkEnd w:id="128"/>
      <w:bookmarkStart w:id="129" w:name="_Hlt26954842"/>
      <w:bookmarkEnd w:id="129"/>
      <w:bookmarkStart w:id="130" w:name="_Hlt26668983"/>
      <w:bookmarkEnd w:id="130"/>
      <w:bookmarkStart w:id="131" w:name="_Hlt26670403"/>
      <w:bookmarkEnd w:id="131"/>
      <w:bookmarkStart w:id="132" w:name="_Hlt26670425"/>
      <w:bookmarkEnd w:id="132"/>
      <w:r>
        <w:rPr>
          <w:rFonts w:hint="eastAsia" w:ascii="宋体" w:hAnsi="宋体" w:cs="宋体"/>
          <w:bCs/>
          <w:color w:val="000000" w:themeColor="text1"/>
          <w:sz w:val="24"/>
          <w:szCs w:val="24"/>
        </w:rPr>
        <w:t xml:space="preserve">13.6.1 </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13.6.2</w:t>
      </w:r>
      <w:r>
        <w:rPr>
          <w:rFonts w:hint="eastAsia" w:ascii="宋体" w:hAnsi="宋体" w:cs="宋体"/>
          <w:bCs/>
          <w:color w:val="000000" w:themeColor="text1"/>
          <w:sz w:val="24"/>
          <w:szCs w:val="24"/>
        </w:rPr>
        <w:t>项目单价按投标配置及分项报价表中要求填报。</w:t>
      </w:r>
      <w:bookmarkStart w:id="133" w:name="_Hlt26954846"/>
      <w:bookmarkEnd w:id="133"/>
      <w:bookmarkStart w:id="134" w:name="_Hlt26670486"/>
      <w:bookmarkEnd w:id="134"/>
      <w:bookmarkStart w:id="135" w:name="_Hlt26954848"/>
      <w:bookmarkEnd w:id="135"/>
      <w:bookmarkStart w:id="136" w:name="_Hlt26670482"/>
      <w:bookmarkEnd w:id="136"/>
      <w:bookmarkStart w:id="137" w:name="_Hlt26954731"/>
      <w:bookmarkEnd w:id="137"/>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w:t>
      </w:r>
      <w:r>
        <w:rPr>
          <w:rFonts w:hint="eastAsia" w:ascii="宋体" w:hAnsi="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15、1</w:t>
      </w:r>
      <w:r>
        <w:rPr>
          <w:rFonts w:hint="eastAsia" w:ascii="宋体" w:hAnsi="宋体" w:cs="宋体"/>
          <w:color w:val="000000" w:themeColor="text1"/>
          <w:sz w:val="24"/>
          <w:szCs w:val="24"/>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rPr>
      </w:pPr>
      <w:bookmarkStart w:id="138" w:name="_Toc49090510"/>
      <w:bookmarkStart w:id="139" w:name="_Toc14577359"/>
      <w:r>
        <w:rPr>
          <w:rFonts w:hint="eastAsia" w:ascii="宋体" w:hAnsi="宋体" w:cs="宋体"/>
          <w:b w:val="0"/>
          <w:color w:val="000000" w:themeColor="text1"/>
          <w:sz w:val="24"/>
          <w:szCs w:val="24"/>
        </w:rPr>
        <w:t>16、投标函和开标一览表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rPr>
      </w:pPr>
      <w:bookmarkStart w:id="140" w:name="_Hlt26670489"/>
      <w:bookmarkEnd w:id="140"/>
      <w:bookmarkStart w:id="141" w:name="_Hlt26954734"/>
      <w:bookmarkEnd w:id="141"/>
      <w:bookmarkStart w:id="142" w:name="_Hlt26954850"/>
      <w:bookmarkEnd w:id="142"/>
      <w:bookmarkStart w:id="143" w:name="_Toc14577360"/>
      <w:bookmarkStart w:id="144" w:name="_Toc49090511"/>
      <w:r>
        <w:rPr>
          <w:rFonts w:hint="eastAsia" w:ascii="宋体" w:hAnsi="宋体" w:cs="宋体"/>
          <w:b w:val="0"/>
          <w:color w:val="000000" w:themeColor="text1"/>
          <w:sz w:val="24"/>
          <w:szCs w:val="24"/>
        </w:rPr>
        <w:t>17、投标有效期</w:t>
      </w:r>
      <w:bookmarkEnd w:id="143"/>
      <w:bookmarkEnd w:id="144"/>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投标有效期为采购人或采购代理机构规定的开标之日后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7"/>
        <w:spacing w:before="0" w:after="0" w:line="440" w:lineRule="exact"/>
        <w:ind w:firstLine="480" w:firstLineChars="200"/>
        <w:rPr>
          <w:rFonts w:ascii="宋体" w:hAnsi="宋体" w:cs="宋体"/>
          <w:b w:val="0"/>
          <w:color w:val="000000" w:themeColor="text1"/>
          <w:sz w:val="24"/>
          <w:szCs w:val="24"/>
        </w:rPr>
      </w:pPr>
      <w:bookmarkStart w:id="145" w:name="_Hlt26954739"/>
      <w:bookmarkEnd w:id="145"/>
      <w:bookmarkStart w:id="146" w:name="_Hlt26954852"/>
      <w:bookmarkEnd w:id="146"/>
      <w:bookmarkStart w:id="147" w:name="_Toc14577361"/>
      <w:bookmarkStart w:id="148" w:name="_Toc49090512"/>
      <w:r>
        <w:rPr>
          <w:rFonts w:hint="eastAsia" w:ascii="宋体" w:hAnsi="宋体" w:cs="宋体"/>
          <w:b w:val="0"/>
          <w:color w:val="000000" w:themeColor="text1"/>
          <w:sz w:val="24"/>
          <w:szCs w:val="24"/>
        </w:rPr>
        <w:t>18、投标文件份数和签署</w:t>
      </w:r>
      <w:bookmarkEnd w:id="147"/>
      <w:bookmarkEnd w:id="148"/>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rPr>
      </w:pPr>
      <w:bookmarkStart w:id="149" w:name="_Toc120614217"/>
      <w:bookmarkStart w:id="150" w:name="_Toc20823296"/>
      <w:bookmarkStart w:id="151" w:name="_Toc16938540"/>
      <w:bookmarkStart w:id="152" w:name="_Toc513029224"/>
      <w:r>
        <w:rPr>
          <w:rFonts w:hint="eastAsia" w:ascii="宋体" w:hAnsi="宋体" w:cs="宋体"/>
          <w:color w:val="000000" w:themeColor="text1"/>
          <w:sz w:val="24"/>
          <w:szCs w:val="24"/>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rPr>
      </w:pPr>
      <w:bookmarkStart w:id="153" w:name="_Toc16938541"/>
      <w:bookmarkStart w:id="154" w:name="_Toc462564084"/>
      <w:bookmarkStart w:id="155" w:name="_Toc20823297"/>
      <w:bookmarkStart w:id="156" w:name="_Toc513029225"/>
      <w:r>
        <w:rPr>
          <w:rFonts w:hint="eastAsia" w:ascii="宋体" w:hAnsi="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 xml:space="preserve"> 密封的投标文件应：</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注明投标项目名称、标书编号及包号。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rPr>
      </w:pPr>
      <w:bookmarkStart w:id="157" w:name="_Toc16938542"/>
      <w:bookmarkStart w:id="158" w:name="_Toc20823298"/>
      <w:bookmarkStart w:id="159" w:name="_Toc513029226"/>
      <w:r>
        <w:rPr>
          <w:rFonts w:hint="eastAsia" w:ascii="宋体" w:hAnsi="宋体" w:cs="宋体"/>
          <w:b w:val="0"/>
          <w:color w:val="000000" w:themeColor="text1"/>
          <w:sz w:val="24"/>
          <w:szCs w:val="24"/>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w:t>
      </w:r>
      <w:r>
        <w:rPr>
          <w:rFonts w:hint="eastAsia" w:ascii="宋体" w:hAnsi="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w:t>
      </w:r>
      <w:r>
        <w:rPr>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rPr>
      </w:pPr>
      <w:bookmarkStart w:id="160" w:name="_Toc16938543"/>
      <w:bookmarkStart w:id="161" w:name="_Toc513029227"/>
      <w:bookmarkStart w:id="162" w:name="_Toc20823299"/>
      <w:r>
        <w:rPr>
          <w:rFonts w:hint="eastAsia" w:ascii="宋体" w:hAnsi="宋体" w:cs="宋体"/>
          <w:b w:val="0"/>
          <w:color w:val="000000" w:themeColor="text1"/>
          <w:sz w:val="24"/>
          <w:szCs w:val="24"/>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w:t>
      </w:r>
      <w:r>
        <w:rPr>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rPr>
      </w:pPr>
      <w:bookmarkStart w:id="163" w:name="_Toc513029228"/>
      <w:bookmarkStart w:id="164" w:name="_Toc16938544"/>
      <w:bookmarkStart w:id="165" w:name="_Toc20823300"/>
      <w:r>
        <w:rPr>
          <w:rFonts w:hint="eastAsia" w:ascii="宋体" w:hAnsi="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rPr>
      </w:pPr>
      <w:bookmarkStart w:id="166" w:name="_Toc513029229"/>
      <w:bookmarkStart w:id="167" w:name="_Toc120614218"/>
      <w:bookmarkStart w:id="168" w:name="_Toc20823301"/>
      <w:bookmarkStart w:id="169" w:name="_Toc16938545"/>
      <w:r>
        <w:rPr>
          <w:rFonts w:hint="eastAsia" w:ascii="宋体" w:hAnsi="宋体" w:cs="宋体"/>
          <w:color w:val="000000" w:themeColor="text1"/>
          <w:sz w:val="24"/>
          <w:szCs w:val="24"/>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rPr>
      </w:pPr>
      <w:bookmarkStart w:id="170" w:name="_Toc20823302"/>
      <w:bookmarkStart w:id="171" w:name="_Toc513029230"/>
      <w:bookmarkStart w:id="172" w:name="_Toc16938546"/>
      <w:r>
        <w:rPr>
          <w:rFonts w:hint="eastAsia" w:ascii="宋体" w:hAnsi="宋体" w:cs="宋体"/>
          <w:b w:val="0"/>
          <w:color w:val="000000" w:themeColor="text1"/>
          <w:sz w:val="24"/>
          <w:szCs w:val="24"/>
        </w:rPr>
        <w:t>23、开标</w:t>
      </w:r>
      <w:bookmarkEnd w:id="170"/>
      <w:bookmarkEnd w:id="171"/>
      <w:bookmarkEnd w:id="172"/>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w:t>
      </w:r>
      <w:r>
        <w:rPr>
          <w:rFonts w:hint="eastAsia" w:ascii="宋体" w:hAnsi="宋体" w:cs="宋体"/>
          <w:bCs/>
          <w:color w:val="000000" w:themeColor="text1"/>
          <w:sz w:val="24"/>
          <w:szCs w:val="24"/>
        </w:rPr>
        <w:t xml:space="preserve"> 采购人和采购代理机构将在招标公告中规定的时间和地点组织公开开标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w:t>
      </w:r>
      <w:r>
        <w:rPr>
          <w:rFonts w:hint="eastAsia" w:ascii="宋体" w:hAnsi="宋体" w:cs="宋体"/>
          <w:b/>
          <w:color w:val="000000" w:themeColor="text1"/>
          <w:sz w:val="24"/>
          <w:szCs w:val="24"/>
        </w:rPr>
        <w:t>(需提供单位授权函)</w:t>
      </w:r>
      <w:r>
        <w:rPr>
          <w:rFonts w:hint="eastAsia" w:ascii="宋体" w:hAnsi="宋体" w:cs="宋体"/>
          <w:color w:val="000000" w:themeColor="text1"/>
          <w:sz w:val="24"/>
          <w:szCs w:val="24"/>
        </w:rPr>
        <w:t>、监管代表、投标人代表等参加。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rPr>
      </w:pPr>
      <w:bookmarkStart w:id="173" w:name="_Toc513029231"/>
      <w:bookmarkStart w:id="174" w:name="_Toc16938547"/>
      <w:bookmarkStart w:id="175" w:name="_Toc20823303"/>
      <w:r>
        <w:rPr>
          <w:rFonts w:hint="eastAsia" w:ascii="宋体" w:hAnsi="宋体" w:cs="宋体"/>
          <w:b w:val="0"/>
          <w:color w:val="000000" w:themeColor="text1"/>
          <w:sz w:val="24"/>
          <w:szCs w:val="24"/>
        </w:rPr>
        <w:t>24、资格审查</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24.1</w:t>
      </w:r>
      <w:r>
        <w:rPr>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rPr>
      </w:pPr>
      <w:r>
        <w:rPr>
          <w:rFonts w:hint="eastAsia" w:ascii="宋体" w:hAnsi="宋体" w:cs="宋体"/>
          <w:color w:val="000000" w:themeColor="text1"/>
          <w:sz w:val="24"/>
          <w:szCs w:val="24"/>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25、评标委员会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rPr>
      </w:pPr>
      <w:bookmarkStart w:id="176" w:name="_Toc16938548"/>
      <w:bookmarkStart w:id="177" w:name="_Toc20823304"/>
      <w:bookmarkStart w:id="178" w:name="_Toc513029232"/>
      <w:r>
        <w:rPr>
          <w:rFonts w:hint="eastAsia" w:ascii="宋体" w:hAnsi="宋体" w:cs="宋体"/>
          <w:b w:val="0"/>
          <w:color w:val="000000" w:themeColor="text1"/>
          <w:sz w:val="24"/>
          <w:szCs w:val="24"/>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179" w:name="_Toc20823305"/>
      <w:bookmarkStart w:id="180" w:name="_Toc513029233"/>
      <w:bookmarkStart w:id="181" w:name="_Toc16938549"/>
      <w:r>
        <w:rPr>
          <w:rFonts w:hint="eastAsia" w:ascii="宋体" w:hAnsi="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（2）大写金额和小写金额不一致的，以大写金额为准。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同时出现两种以上错误的，按照前款规定的顺序修正。</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w:t>
      </w:r>
      <w:r>
        <w:rPr>
          <w:rFonts w:hint="eastAsia" w:ascii="宋体" w:hAnsi="宋体" w:cs="宋体"/>
          <w:b/>
          <w:color w:val="000000" w:themeColor="text1"/>
          <w:sz w:val="24"/>
          <w:szCs w:val="24"/>
        </w:rPr>
        <w:t>采用最低评标价法的采购项目，</w:t>
      </w:r>
      <w:r>
        <w:rPr>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rPr>
      </w:pPr>
      <w:bookmarkStart w:id="182" w:name="_Toc20823306"/>
      <w:bookmarkStart w:id="183" w:name="_Toc16938550"/>
      <w:bookmarkStart w:id="184" w:name="_Toc513029234"/>
      <w:r>
        <w:rPr>
          <w:rFonts w:hint="eastAsia" w:ascii="宋体" w:hAnsi="宋体" w:cs="宋体"/>
          <w:b w:val="0"/>
          <w:color w:val="000000" w:themeColor="text1"/>
          <w:sz w:val="24"/>
          <w:szCs w:val="24"/>
        </w:rPr>
        <w:t>29、</w:t>
      </w:r>
      <w:bookmarkEnd w:id="182"/>
      <w:bookmarkEnd w:id="183"/>
      <w:bookmarkEnd w:id="184"/>
      <w:r>
        <w:rPr>
          <w:rFonts w:hint="eastAsia" w:ascii="宋体" w:hAnsi="宋体" w:cs="宋体"/>
          <w:b w:val="0"/>
          <w:color w:val="000000" w:themeColor="text1"/>
          <w:sz w:val="24"/>
          <w:szCs w:val="24"/>
        </w:rPr>
        <w:t>无效投标条款和废标条款</w:t>
      </w:r>
    </w:p>
    <w:p>
      <w:pPr>
        <w:spacing w:line="440" w:lineRule="exact"/>
        <w:ind w:firstLine="480" w:firstLineChars="200"/>
        <w:rPr>
          <w:rFonts w:ascii="宋体" w:hAnsi="宋体" w:cs="宋体"/>
          <w:bCs/>
          <w:color w:val="000000" w:themeColor="text1"/>
          <w:sz w:val="24"/>
          <w:szCs w:val="24"/>
        </w:rPr>
      </w:pPr>
      <w:bookmarkStart w:id="185" w:name="_Toc20823307"/>
      <w:bookmarkStart w:id="186" w:name="_Toc513029235"/>
      <w:bookmarkStart w:id="187" w:name="_Toc16938551"/>
      <w:r>
        <w:rPr>
          <w:rFonts w:hint="eastAsia" w:ascii="宋体" w:hAnsi="宋体" w:cs="宋体"/>
          <w:bCs/>
          <w:color w:val="000000" w:themeColor="text1"/>
          <w:sz w:val="24"/>
          <w:szCs w:val="24"/>
        </w:rPr>
        <w:t>29.1无效投标条款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29.1.1未按照招标文件规定要求密封、签署、盖章的；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29.1.2投标人在报价时采用选择性报价；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29.1.3投标人不具备招标文件中规定资格要求的；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29.1.5未通过符合性检查的；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 投标人串通投标；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投标文件含有采购人不能接受的附加条件的。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rPr>
      </w:pPr>
      <w:bookmarkStart w:id="188" w:name="_Toc120614219"/>
      <w:r>
        <w:rPr>
          <w:rFonts w:hint="eastAsia" w:ascii="宋体" w:hAnsi="宋体" w:cs="宋体"/>
          <w:color w:val="000000" w:themeColor="text1"/>
          <w:sz w:val="24"/>
          <w:szCs w:val="24"/>
        </w:rPr>
        <w:t>六、</w:t>
      </w:r>
      <w:bookmarkEnd w:id="185"/>
      <w:bookmarkEnd w:id="186"/>
      <w:bookmarkEnd w:id="187"/>
      <w:r>
        <w:rPr>
          <w:rFonts w:hint="eastAsia" w:ascii="宋体" w:hAnsi="宋体" w:cs="宋体"/>
          <w:color w:val="000000" w:themeColor="text1"/>
          <w:sz w:val="24"/>
          <w:szCs w:val="24"/>
        </w:rPr>
        <w:t>定标</w:t>
      </w:r>
      <w:bookmarkEnd w:id="188"/>
    </w:p>
    <w:p>
      <w:pPr>
        <w:pStyle w:val="7"/>
        <w:spacing w:before="0" w:after="0" w:line="440" w:lineRule="exact"/>
        <w:ind w:firstLine="480" w:firstLineChars="200"/>
        <w:rPr>
          <w:rFonts w:ascii="宋体" w:hAnsi="宋体" w:cs="宋体"/>
          <w:b w:val="0"/>
          <w:color w:val="000000" w:themeColor="text1"/>
          <w:sz w:val="24"/>
          <w:szCs w:val="24"/>
        </w:rPr>
      </w:pPr>
      <w:bookmarkStart w:id="189" w:name="_Toc513029238"/>
      <w:bookmarkStart w:id="190" w:name="_Toc16938554"/>
      <w:bookmarkStart w:id="191" w:name="_Toc20823310"/>
      <w:r>
        <w:rPr>
          <w:rFonts w:hint="eastAsia" w:ascii="宋体" w:hAnsi="宋体" w:cs="宋体"/>
          <w:b w:val="0"/>
          <w:color w:val="000000" w:themeColor="text1"/>
          <w:sz w:val="24"/>
          <w:szCs w:val="24"/>
        </w:rPr>
        <w:t>30、</w:t>
      </w:r>
      <w:bookmarkEnd w:id="189"/>
      <w:r>
        <w:rPr>
          <w:rFonts w:hint="eastAsia" w:ascii="宋体" w:hAnsi="宋体" w:cs="宋体"/>
          <w:b w:val="0"/>
          <w:color w:val="000000" w:themeColor="text1"/>
          <w:sz w:val="24"/>
          <w:szCs w:val="24"/>
        </w:rPr>
        <w:t>确定</w:t>
      </w:r>
      <w:bookmarkEnd w:id="190"/>
      <w:bookmarkEnd w:id="191"/>
      <w:r>
        <w:rPr>
          <w:rFonts w:hint="eastAsia" w:ascii="宋体" w:hAnsi="宋体" w:cs="宋体"/>
          <w:b w:val="0"/>
          <w:color w:val="000000" w:themeColor="text1"/>
          <w:sz w:val="24"/>
          <w:szCs w:val="24"/>
        </w:rPr>
        <w:t>中标单位</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30.3采购人</w:t>
      </w:r>
      <w:r>
        <w:rPr>
          <w:rFonts w:hint="eastAsia" w:ascii="宋体" w:hAnsi="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31、质疑处理</w:t>
      </w:r>
      <w:bookmarkEnd w:id="192"/>
      <w:r>
        <w:rPr>
          <w:rFonts w:hint="eastAsia" w:ascii="宋体" w:hAnsi="宋体" w:cs="宋体"/>
          <w:b w:val="0"/>
          <w:color w:val="000000" w:themeColor="text1"/>
          <w:sz w:val="24"/>
          <w:szCs w:val="24"/>
        </w:rPr>
        <w:tab/>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32、中标通知书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rPr>
      </w:pPr>
      <w:bookmarkStart w:id="193" w:name="_Toc120614220"/>
      <w:bookmarkStart w:id="194" w:name="_Toc20823308"/>
      <w:bookmarkStart w:id="195" w:name="_Toc16938552"/>
      <w:bookmarkStart w:id="196" w:name="_Toc513029236"/>
      <w:r>
        <w:rPr>
          <w:rFonts w:hint="eastAsia" w:ascii="宋体" w:hAnsi="宋体" w:cs="宋体"/>
          <w:color w:val="000000" w:themeColor="text1"/>
          <w:sz w:val="24"/>
          <w:szCs w:val="24"/>
        </w:rPr>
        <w:t>七、合同</w:t>
      </w:r>
      <w:bookmarkEnd w:id="193"/>
      <w:r>
        <w:rPr>
          <w:rFonts w:hint="eastAsia" w:ascii="宋体" w:hAnsi="宋体" w:cs="宋体"/>
          <w:color w:val="000000" w:themeColor="text1"/>
          <w:sz w:val="24"/>
          <w:szCs w:val="24"/>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rPr>
      </w:pPr>
      <w:bookmarkStart w:id="197" w:name="_Toc513029237"/>
      <w:bookmarkStart w:id="198" w:name="_Toc16938553"/>
      <w:bookmarkStart w:id="199" w:name="_Toc20823309"/>
      <w:r>
        <w:rPr>
          <w:rFonts w:hint="eastAsia" w:ascii="宋体" w:hAnsi="宋体" w:cs="宋体"/>
          <w:b w:val="0"/>
          <w:color w:val="000000" w:themeColor="text1"/>
          <w:sz w:val="24"/>
          <w:szCs w:val="24"/>
        </w:rPr>
        <w:t>33.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34、货物和服务的追加、减少和添购。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35、履约保证金</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6"/>
        <w:adjustRightInd w:val="0"/>
        <w:snapToGrid w:val="0"/>
        <w:spacing w:line="360" w:lineRule="auto"/>
        <w:ind w:firstLine="480" w:firstLineChars="200"/>
        <w:rPr>
          <w:rFonts w:ascii="宋体" w:hAnsi="宋体" w:cs="宋体"/>
          <w:color w:val="000000" w:themeColor="text1"/>
          <w:sz w:val="24"/>
        </w:rPr>
      </w:pPr>
    </w:p>
    <w:p>
      <w:pPr>
        <w:pStyle w:val="3"/>
        <w:jc w:val="center"/>
        <w:rPr>
          <w:rFonts w:ascii="宋体" w:hAnsi="宋体" w:eastAsia="宋体" w:cs="宋体"/>
          <w:b/>
          <w:color w:val="000000" w:themeColor="text1"/>
          <w:sz w:val="44"/>
        </w:rPr>
      </w:pPr>
      <w:bookmarkStart w:id="200" w:name="_Toc602"/>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rPr>
      </w:pPr>
      <w:bookmarkStart w:id="201" w:name="_Toc6096"/>
      <w:r>
        <w:rPr>
          <w:rFonts w:hint="eastAsia" w:ascii="宋体" w:hAnsi="宋体" w:cs="宋体"/>
          <w:b/>
          <w:color w:val="000000" w:themeColor="text1"/>
          <w:sz w:val="30"/>
        </w:rPr>
        <w:t>采购合同</w:t>
      </w:r>
      <w:bookmarkEnd w:id="201"/>
    </w:p>
    <w:p>
      <w:pPr>
        <w:spacing w:line="440" w:lineRule="exact"/>
        <w:ind w:firstLine="480" w:firstLineChars="200"/>
        <w:rPr>
          <w:rFonts w:hint="eastAsia" w:ascii="宋体" w:hAnsi="宋体" w:eastAsia="宋体" w:cs="宋体"/>
          <w:bCs/>
          <w:color w:val="000000" w:themeColor="text1"/>
          <w:sz w:val="24"/>
          <w:u w:val="single"/>
          <w:lang w:eastAsia="zh-CN"/>
        </w:rPr>
      </w:pPr>
      <w:r>
        <w:rPr>
          <w:rFonts w:hint="eastAsia" w:ascii="宋体" w:hAnsi="宋体" w:cs="宋体"/>
          <w:bCs/>
          <w:color w:val="000000" w:themeColor="text1"/>
          <w:sz w:val="24"/>
        </w:rPr>
        <w:t>项目名称：</w:t>
      </w:r>
      <w:r>
        <w:rPr>
          <w:rFonts w:hint="eastAsia" w:ascii="宋体" w:hAnsi="宋体" w:cs="宋体"/>
          <w:bCs/>
          <w:color w:val="000000" w:themeColor="text1"/>
          <w:sz w:val="24"/>
          <w:u w:val="single"/>
          <w:lang w:eastAsia="zh-CN"/>
        </w:rPr>
        <w:t>盐城工业职业技术学院塔吊及物联网监控系统模型</w:t>
      </w:r>
    </w:p>
    <w:p>
      <w:pPr>
        <w:pStyle w:val="40"/>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r>
        <w:rPr>
          <w:rFonts w:hint="eastAsia"/>
          <w:color w:val="000000" w:themeColor="text1"/>
          <w:kern w:val="2"/>
          <w:u w:val="single"/>
        </w:rPr>
        <w:t>2022-0</w:t>
      </w:r>
      <w:r>
        <w:rPr>
          <w:rFonts w:hint="eastAsia"/>
          <w:color w:val="000000" w:themeColor="text1"/>
          <w:kern w:val="2"/>
          <w:u w:val="single"/>
          <w:lang w:val="en-US" w:eastAsia="zh-CN"/>
        </w:rPr>
        <w:t>43</w:t>
      </w:r>
      <w:r>
        <w:rPr>
          <w:rFonts w:hint="eastAsia"/>
          <w:color w:val="000000" w:themeColor="text1"/>
          <w:kern w:val="2"/>
          <w:u w:val="single"/>
        </w:rPr>
        <w:t>Q</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bCs/>
          <w:color w:val="000000" w:themeColor="text1"/>
          <w:sz w:val="24"/>
        </w:rPr>
        <w:t>塔吊及物联网监控系统模型采购</w:t>
      </w:r>
      <w:r>
        <w:rPr>
          <w:rFonts w:hint="eastAsia" w:ascii="宋体" w:hAnsi="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440" w:lineRule="exact"/>
        <w:ind w:firstLine="420" w:firstLineChars="200"/>
        <w:rPr>
          <w:color w:val="000000" w:themeColor="text1"/>
        </w:rPr>
      </w:pPr>
      <w:r>
        <w:rPr>
          <w:rFonts w:hint="eastAsia"/>
          <w:color w:val="000000" w:themeColor="text1"/>
        </w:rPr>
        <w:t>1.1 项目名称：</w:t>
      </w:r>
      <w:r>
        <w:rPr>
          <w:rFonts w:hint="eastAsia" w:ascii="宋体" w:hAnsi="宋体" w:cs="宋体"/>
          <w:bCs/>
          <w:color w:val="000000" w:themeColor="text1"/>
          <w:sz w:val="24"/>
          <w:u w:val="single"/>
          <w:lang w:eastAsia="zh-CN"/>
        </w:rPr>
        <w:t>盐城工业职业技术学院塔吊及物联网监控系统模型</w:t>
      </w:r>
      <w:r>
        <w:rPr>
          <w:rFonts w:hint="eastAsia"/>
          <w:color w:val="000000" w:themeColor="text1"/>
          <w:u w:val="single"/>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2.1 本合同金额为（大写）：（小写）：______元人民币或其他币种。</w:t>
      </w:r>
    </w:p>
    <w:p>
      <w:pPr>
        <w:spacing w:line="360" w:lineRule="auto"/>
        <w:ind w:firstLine="480" w:firstLineChars="200"/>
        <w:rPr>
          <w:rFonts w:ascii="宋体" w:hAnsi="宋体" w:cs="宋体"/>
          <w:color w:val="000000" w:themeColor="text1"/>
        </w:rPr>
      </w:pPr>
      <w:r>
        <w:rPr>
          <w:rFonts w:hint="eastAsia" w:ascii="宋体" w:hAnsi="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szCs w:val="21"/>
        </w:rPr>
        <w:t>和服务</w:t>
      </w:r>
      <w:r>
        <w:rPr>
          <w:rFonts w:hint="eastAsia"/>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质保期：质保期</w:t>
      </w:r>
      <w:r>
        <w:rPr>
          <w:rFonts w:hint="eastAsia"/>
          <w:color w:val="000000" w:themeColor="text1"/>
          <w:kern w:val="2"/>
          <w:u w:val="single"/>
        </w:rPr>
        <w:t xml:space="preserve">  3  </w:t>
      </w:r>
      <w:r>
        <w:rPr>
          <w:rFonts w:hint="eastAsia"/>
          <w:color w:val="000000" w:themeColor="text1"/>
          <w:kern w:val="2"/>
        </w:rPr>
        <w:t>年（具体以投标时承诺为准）。（自交货验收合格之日起计）</w:t>
      </w:r>
    </w:p>
    <w:p>
      <w:pPr>
        <w:widowControl/>
        <w:spacing w:line="50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8.3、中标人须设有维修服务电话</w:t>
      </w:r>
      <w:r>
        <w:rPr>
          <w:rFonts w:hint="eastAsia"/>
          <w:color w:val="000000" w:themeColor="text1"/>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九、交货期、交货方式及交货地点</w:t>
      </w:r>
    </w:p>
    <w:p>
      <w:pPr>
        <w:pStyle w:val="40"/>
        <w:spacing w:before="0" w:beforeAutospacing="0" w:after="0" w:afterAutospacing="0" w:line="500" w:lineRule="exact"/>
        <w:ind w:firstLine="480" w:firstLineChars="200"/>
        <w:rPr>
          <w:color w:val="000000" w:themeColor="text1"/>
        </w:rPr>
      </w:pPr>
      <w:r>
        <w:rPr>
          <w:rFonts w:hint="eastAsia"/>
          <w:color w:val="000000" w:themeColor="text1"/>
        </w:rPr>
        <w:t>9.1 交货期：</w:t>
      </w:r>
      <w:r>
        <w:rPr>
          <w:rFonts w:ascii="Times New Roman" w:hAnsi="Times New Roman"/>
          <w:bCs/>
          <w:szCs w:val="28"/>
        </w:rPr>
        <w:t>自收到中标通知书90个工作日内交货和安装培训，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r>
        <w:rPr>
          <w:rFonts w:hint="eastAsia"/>
          <w:color w:val="000000" w:themeColor="text1"/>
        </w:rPr>
        <w:t>（如甲方需要延时交付，可另行约定时间）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9.2 交货方式：</w:t>
      </w:r>
      <w:r>
        <w:rPr>
          <w:rFonts w:hint="eastAsia"/>
          <w:color w:val="000000" w:themeColor="text1"/>
          <w:kern w:val="2"/>
          <w:lang w:eastAsia="zh-TW"/>
        </w:rPr>
        <w:t>送货上门、安装与调试</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9.3 交货地点：</w:t>
      </w:r>
      <w:r>
        <w:rPr>
          <w:rFonts w:hint="eastAsia"/>
          <w:color w:val="000000" w:themeColor="text1"/>
          <w:kern w:val="2"/>
          <w:lang w:eastAsia="zh-TW"/>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40"/>
        <w:spacing w:before="0" w:beforeAutospacing="0" w:after="0" w:afterAutospacing="0"/>
        <w:ind w:firstLine="480" w:firstLineChars="200"/>
        <w:rPr>
          <w:color w:val="000000" w:themeColor="text1"/>
          <w:kern w:val="2"/>
        </w:rPr>
      </w:pPr>
      <w:r>
        <w:rPr>
          <w:rFonts w:hint="eastAsia"/>
          <w:color w:val="000000" w:themeColor="text1"/>
          <w:kern w:val="2"/>
        </w:rPr>
        <w:t>10.1</w:t>
      </w:r>
      <w:r>
        <w:rPr>
          <w:rFonts w:hint="eastAsia"/>
          <w:color w:val="000000" w:themeColor="text1"/>
          <w:kern w:val="2"/>
          <w:lang w:eastAsia="zh-TW"/>
        </w:rPr>
        <w:t>招标范围内容全部完成并经安装调试、培训结束，验收合格后付总价的</w:t>
      </w:r>
      <w:r>
        <w:rPr>
          <w:rFonts w:hint="eastAsia"/>
          <w:color w:val="000000" w:themeColor="text1"/>
          <w:kern w:val="2"/>
        </w:rPr>
        <w:t>9</w:t>
      </w:r>
      <w:r>
        <w:rPr>
          <w:rFonts w:hint="eastAsia"/>
          <w:color w:val="000000" w:themeColor="text1"/>
          <w:kern w:val="2"/>
          <w:lang w:eastAsia="zh-TW"/>
        </w:rPr>
        <w:t>0%；余款一年后根据售后服务情况付总价的</w:t>
      </w:r>
      <w:r>
        <w:rPr>
          <w:rFonts w:hint="eastAsia"/>
          <w:color w:val="000000" w:themeColor="text1"/>
          <w:kern w:val="2"/>
        </w:rPr>
        <w:t>5</w:t>
      </w:r>
      <w:r>
        <w:rPr>
          <w:rFonts w:hint="eastAsia"/>
          <w:color w:val="000000" w:themeColor="text1"/>
          <w:kern w:val="2"/>
          <w:lang w:eastAsia="zh-TW"/>
        </w:rPr>
        <w:t>%</w:t>
      </w:r>
      <w:r>
        <w:rPr>
          <w:rFonts w:hint="eastAsia"/>
          <w:color w:val="000000" w:themeColor="text1"/>
          <w:kern w:val="2"/>
        </w:rPr>
        <w:t>；三年后</w:t>
      </w:r>
      <w:r>
        <w:rPr>
          <w:rFonts w:hint="eastAsia"/>
          <w:color w:val="000000" w:themeColor="text1"/>
          <w:kern w:val="2"/>
          <w:lang w:eastAsia="zh-TW"/>
        </w:rPr>
        <w:t>根据售后服务情况付总价的5%。</w:t>
      </w:r>
      <w:r>
        <w:rPr>
          <w:rFonts w:hint="eastAsia"/>
          <w:color w:val="000000" w:themeColor="text1"/>
          <w:kern w:val="2"/>
        </w:rPr>
        <w:t>乙方必须提供增值税专用发票，否则甲方有权不付款。</w:t>
      </w:r>
    </w:p>
    <w:p>
      <w:pPr>
        <w:snapToGrid w:val="0"/>
        <w:spacing w:line="460" w:lineRule="exact"/>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十一、税费</w:t>
      </w:r>
    </w:p>
    <w:p>
      <w:pPr>
        <w:snapToGrid w:val="0"/>
        <w:spacing w:line="460" w:lineRule="exact"/>
        <w:ind w:firstLine="480" w:firstLineChars="200"/>
        <w:rPr>
          <w:b/>
          <w:color w:val="000000" w:themeColor="text1"/>
          <w:kern w:val="2"/>
        </w:rPr>
      </w:pPr>
      <w:r>
        <w:rPr>
          <w:rFonts w:hint="eastAsia" w:ascii="宋体" w:hAnsi="宋体" w:cs="宋体"/>
          <w:color w:val="000000" w:themeColor="text1"/>
          <w:sz w:val="24"/>
          <w:szCs w:val="24"/>
        </w:rPr>
        <w:t>11.1本合同执行中相关的一切税费均由乙方负担。</w:t>
      </w:r>
    </w:p>
    <w:p>
      <w:pPr>
        <w:snapToGrid w:val="0"/>
        <w:spacing w:line="460" w:lineRule="exact"/>
        <w:ind w:firstLine="482" w:firstLineChars="200"/>
        <w:rPr>
          <w:rFonts w:hint="eastAsia" w:ascii="宋体" w:hAnsi="宋体" w:cs="宋体"/>
          <w:b/>
          <w:bCs/>
          <w:color w:val="000000" w:themeColor="text1"/>
          <w:sz w:val="24"/>
          <w:szCs w:val="24"/>
        </w:rPr>
      </w:pPr>
      <w:r>
        <w:rPr>
          <w:rFonts w:hint="eastAsia" w:ascii="宋体" w:hAnsi="宋体" w:cs="宋体"/>
          <w:b/>
          <w:bCs/>
          <w:color w:val="000000" w:themeColor="text1"/>
          <w:sz w:val="24"/>
          <w:szCs w:val="24"/>
        </w:rPr>
        <w:t>十二、质量保证及售后服务</w:t>
      </w:r>
    </w:p>
    <w:p>
      <w:pPr>
        <w:snapToGrid w:val="0"/>
        <w:spacing w:line="46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提供的货物（含配件）应是全新的、未使用过的原装合格正品，开箱后，如甲方发现有任何问题（如外观有损伤），乙方必须立即以同样型号的货物在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rPr>
      </w:pPr>
      <w:r>
        <w:rPr>
          <w:rFonts w:hint="eastAsia" w:ascii="宋体" w:hAnsi="宋体" w:cs="宋体"/>
          <w:bCs/>
          <w:color w:val="000000" w:themeColor="text1"/>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rPr>
      </w:pPr>
      <w:r>
        <w:rPr>
          <w:rFonts w:hint="eastAsia" w:ascii="宋体" w:hAnsi="宋体" w:cs="宋体"/>
          <w:color w:val="000000" w:themeColor="text1"/>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十三、安装、调试和验收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十四、货物包装、发运及运输</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adjustRightInd w:val="0"/>
        <w:snapToGrid w:val="0"/>
        <w:spacing w:line="360" w:lineRule="auto"/>
        <w:ind w:firstLine="480" w:firstLineChars="200"/>
        <w:rPr>
          <w:b/>
          <w:color w:val="000000" w:themeColor="text1"/>
          <w:kern w:val="2"/>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十八、合同生效及其它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
        <w:numPr>
          <w:ilvl w:val="0"/>
          <w:numId w:val="5"/>
        </w:numPr>
        <w:ind w:firstLine="2871" w:firstLineChars="650"/>
        <w:jc w:val="both"/>
        <w:rPr>
          <w:rFonts w:ascii="宋体" w:hAnsi="宋体" w:eastAsia="宋体" w:cs="宋体"/>
          <w:b/>
          <w:color w:val="000000" w:themeColor="text1"/>
          <w:sz w:val="44"/>
        </w:rPr>
      </w:pPr>
      <w:bookmarkStart w:id="202" w:name="_Toc20823346"/>
      <w:bookmarkStart w:id="203" w:name="_Toc574"/>
      <w:bookmarkStart w:id="204" w:name="_Toc16938590"/>
      <w:bookmarkStart w:id="205" w:name="_Toc120614244"/>
      <w:bookmarkStart w:id="206" w:name="_Toc479757211"/>
      <w:bookmarkStart w:id="207" w:name="_Toc462564139"/>
      <w:r>
        <w:rPr>
          <w:rFonts w:hint="eastAsia" w:ascii="宋体" w:hAnsi="宋体" w:eastAsia="宋体" w:cs="宋体"/>
          <w:b/>
          <w:color w:val="000000" w:themeColor="text1"/>
          <w:sz w:val="44"/>
        </w:rPr>
        <w:t>项目技术需求</w:t>
      </w:r>
      <w:bookmarkEnd w:id="202"/>
      <w:bookmarkEnd w:id="203"/>
      <w:bookmarkEnd w:id="204"/>
      <w:bookmarkEnd w:id="205"/>
    </w:p>
    <w:p>
      <w:pPr>
        <w:numPr>
          <w:ilvl w:val="0"/>
          <w:numId w:val="6"/>
        </w:numPr>
        <w:spacing w:line="440" w:lineRule="exact"/>
        <w:ind w:firstLine="482" w:firstLineChars="200"/>
        <w:rPr>
          <w:rFonts w:ascii="宋体" w:hAnsi="宋体" w:cs="宋体"/>
          <w:b/>
          <w:bCs/>
          <w:color w:val="000000" w:themeColor="text1"/>
          <w:sz w:val="24"/>
          <w:szCs w:val="24"/>
        </w:rPr>
      </w:pPr>
      <w:bookmarkStart w:id="208" w:name="_Toc26554093"/>
      <w:bookmarkStart w:id="209" w:name="_Toc49090575"/>
      <w:bookmarkStart w:id="210" w:name="_Toc120614281"/>
      <w:r>
        <w:rPr>
          <w:rFonts w:hint="eastAsia" w:ascii="宋体" w:hAnsi="宋体" w:cs="宋体"/>
          <w:b/>
          <w:bCs/>
          <w:color w:val="000000" w:themeColor="text1"/>
          <w:sz w:val="24"/>
          <w:szCs w:val="24"/>
        </w:rPr>
        <w:t>项目具体技术要求</w:t>
      </w:r>
    </w:p>
    <w:tbl>
      <w:tblPr>
        <w:tblStyle w:val="4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ascii="仿宋" w:hAnsi="仿宋" w:eastAsia="仿宋" w:cs="宋体"/>
                <w:b/>
                <w:color w:val="000000"/>
              </w:rPr>
            </w:pPr>
            <w:r>
              <w:rPr>
                <w:rFonts w:hint="eastAsia" w:ascii="仿宋" w:hAnsi="仿宋" w:eastAsia="仿宋" w:cs="宋体"/>
                <w:b/>
                <w:color w:val="000000"/>
              </w:rPr>
              <w:t>设备名称</w:t>
            </w:r>
          </w:p>
        </w:tc>
        <w:tc>
          <w:tcPr>
            <w:tcW w:w="7371"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技术要求</w:t>
            </w:r>
          </w:p>
        </w:tc>
        <w:tc>
          <w:tcPr>
            <w:tcW w:w="850"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cs="宋体" w:asciiTheme="minorEastAsia" w:hAnsiTheme="minorEastAsia"/>
                <w:bCs/>
                <w:color w:val="000000"/>
              </w:rPr>
            </w:pPr>
            <w:r>
              <w:rPr>
                <w:rFonts w:hint="eastAsia" w:cs="宋体" w:asciiTheme="minorEastAsia" w:hAnsiTheme="minorEastAsia"/>
                <w:bCs/>
                <w:color w:val="000000"/>
              </w:rPr>
              <w:t>塔吊及物联网监控系统模型</w:t>
            </w:r>
          </w:p>
        </w:tc>
        <w:tc>
          <w:tcPr>
            <w:tcW w:w="7371" w:type="dxa"/>
          </w:tcPr>
          <w:p>
            <w:pPr>
              <w:ind w:right="210"/>
              <w:jc w:val="left"/>
              <w:rPr>
                <w:rFonts w:cs="宋体" w:asciiTheme="minorEastAsia" w:hAnsiTheme="minorEastAsia"/>
                <w:bCs/>
                <w:color w:val="000000"/>
              </w:rPr>
            </w:pPr>
            <w:r>
              <w:rPr>
                <w:rFonts w:hint="eastAsia" w:cs="宋体" w:asciiTheme="minorEastAsia" w:hAnsiTheme="minorEastAsia"/>
                <w:bCs/>
                <w:color w:val="000000"/>
              </w:rPr>
              <w:t>1.系统须配备动臂塔机、平臂塔机、摄像头、控制盒、显示屏与监控系统，可模拟真实塔机工作环境，实现塔吊运行的安全可视化监管。其中动臂塔机模型尺寸不小于1.7m×2.2m，平臂塔机模型尺寸不小于1.7m×2.1m，塔机模型支持附加回转控制模块，变幅控制模块，起升控制模块等；控制盒具有两组操作手柄，可实时控制塔机工作。</w:t>
            </w:r>
          </w:p>
          <w:p>
            <w:pPr>
              <w:ind w:right="210"/>
              <w:jc w:val="left"/>
              <w:rPr>
                <w:rFonts w:cs="宋体" w:asciiTheme="minorEastAsia" w:hAnsiTheme="minorEastAsia"/>
                <w:bCs/>
                <w:color w:val="000000"/>
              </w:rPr>
            </w:pPr>
            <w:r>
              <w:rPr>
                <w:rFonts w:hint="eastAsia" w:cs="宋体" w:asciiTheme="minorEastAsia" w:hAnsiTheme="minorEastAsia"/>
                <w:bCs/>
                <w:color w:val="000000"/>
              </w:rPr>
              <w:t>★2.支持防碰撞监控功能，可对工作区域存在互相干涉的相邻塔机进行实时监测，即塔机之间任何部位存在碰撞趋势，立即发出报警信号。</w:t>
            </w:r>
          </w:p>
          <w:p>
            <w:pPr>
              <w:ind w:right="210"/>
              <w:jc w:val="left"/>
              <w:rPr>
                <w:rFonts w:cs="宋体" w:asciiTheme="minorEastAsia" w:hAnsiTheme="minorEastAsia"/>
                <w:bCs/>
                <w:color w:val="000000"/>
              </w:rPr>
            </w:pPr>
            <w:r>
              <w:rPr>
                <w:rFonts w:hint="eastAsia" w:cs="宋体" w:asciiTheme="minorEastAsia" w:hAnsiTheme="minorEastAsia"/>
                <w:bCs/>
                <w:color w:val="000000"/>
              </w:rPr>
              <w:t>★3.支持区域保护功能，可以设置吊钩禁行区域功能，吊钩即将进入禁行区域上方时发出语音报警信号。可设限制区域不少于5个，每个区域不少于3个点。</w:t>
            </w:r>
          </w:p>
          <w:p>
            <w:pPr>
              <w:ind w:right="210"/>
              <w:jc w:val="left"/>
              <w:rPr>
                <w:rFonts w:cs="宋体" w:asciiTheme="minorEastAsia" w:hAnsiTheme="minorEastAsia"/>
                <w:bCs/>
                <w:color w:val="000000"/>
              </w:rPr>
            </w:pPr>
            <w:r>
              <w:rPr>
                <w:rFonts w:hint="eastAsia" w:cs="宋体" w:asciiTheme="minorEastAsia" w:hAnsiTheme="minorEastAsia"/>
                <w:bCs/>
                <w:color w:val="000000"/>
              </w:rPr>
              <w:t>★4.支持设置障碍功能，塔臂、钢丝绳以及吊钩与障碍物存在碰撞趋势时能够发出语音报警；</w:t>
            </w:r>
          </w:p>
          <w:p>
            <w:pPr>
              <w:ind w:right="210"/>
              <w:jc w:val="left"/>
              <w:rPr>
                <w:rFonts w:cs="宋体" w:asciiTheme="minorEastAsia" w:hAnsiTheme="minorEastAsia"/>
                <w:bCs/>
                <w:color w:val="000000"/>
              </w:rPr>
            </w:pPr>
            <w:r>
              <w:rPr>
                <w:rFonts w:hint="eastAsia" w:cs="宋体" w:asciiTheme="minorEastAsia" w:hAnsiTheme="minorEastAsia"/>
                <w:bCs/>
                <w:color w:val="000000"/>
              </w:rPr>
              <w:t>5.支持超载保护，对起重量达到额定起重量的90%以上时，发出语音预警信号；超过额定起重量100%后发出语音报警信号；</w:t>
            </w:r>
          </w:p>
          <w:p>
            <w:pPr>
              <w:ind w:right="210"/>
              <w:jc w:val="left"/>
              <w:rPr>
                <w:rFonts w:cs="宋体" w:asciiTheme="minorEastAsia" w:hAnsiTheme="minorEastAsia"/>
                <w:bCs/>
                <w:color w:val="000000"/>
              </w:rPr>
            </w:pPr>
            <w:r>
              <w:rPr>
                <w:rFonts w:hint="eastAsia" w:cs="宋体" w:asciiTheme="minorEastAsia" w:hAnsiTheme="minorEastAsia"/>
                <w:bCs/>
                <w:color w:val="000000"/>
              </w:rPr>
              <w:t>6.配置智能化变焦高清摄像头，实时追踪吊钩位置，实时显示吊钩运行画面，协助塔吊吊装作业；</w:t>
            </w:r>
          </w:p>
          <w:p>
            <w:pPr>
              <w:ind w:right="210"/>
              <w:jc w:val="left"/>
              <w:rPr>
                <w:rFonts w:cs="宋体" w:asciiTheme="minorEastAsia" w:hAnsiTheme="minorEastAsia"/>
                <w:bCs/>
                <w:color w:val="000000"/>
              </w:rPr>
            </w:pPr>
            <w:r>
              <w:rPr>
                <w:rFonts w:hint="eastAsia" w:cs="宋体" w:asciiTheme="minorEastAsia" w:hAnsiTheme="minorEastAsia"/>
                <w:bCs/>
                <w:color w:val="000000"/>
              </w:rPr>
              <w:t>7.支持远程视频调度，通过摄像机可以自动切换画面看到两塔机的碰撞点、吊钩视频等画面，保证司机精准吊物，安全操作；</w:t>
            </w:r>
          </w:p>
          <w:p>
            <w:pPr>
              <w:ind w:right="210"/>
              <w:jc w:val="left"/>
              <w:rPr>
                <w:rFonts w:cs="宋体" w:asciiTheme="minorEastAsia" w:hAnsiTheme="minorEastAsia"/>
                <w:bCs/>
                <w:color w:val="000000"/>
              </w:rPr>
            </w:pPr>
            <w:r>
              <w:rPr>
                <w:rFonts w:hint="eastAsia" w:cs="宋体" w:asciiTheme="minorEastAsia" w:hAnsiTheme="minorEastAsia"/>
                <w:bCs/>
                <w:color w:val="000000"/>
              </w:rPr>
              <w:t>8.数据存储功能：能实时采集并记录塔机的工作参数，自动累积存储工作信息。同时能实时记录塔机的运行数据，记录间隔不大于2s，记录容量不小于72小时，支持记录U盘下载。</w:t>
            </w:r>
          </w:p>
          <w:p>
            <w:pPr>
              <w:ind w:right="210"/>
              <w:jc w:val="left"/>
              <w:rPr>
                <w:rFonts w:cs="宋体" w:asciiTheme="minorEastAsia" w:hAnsiTheme="minorEastAsia"/>
                <w:bCs/>
                <w:color w:val="000000"/>
              </w:rPr>
            </w:pPr>
            <w:r>
              <w:rPr>
                <w:rFonts w:hint="eastAsia" w:cs="宋体" w:asciiTheme="minorEastAsia" w:hAnsiTheme="minorEastAsia"/>
                <w:bCs/>
                <w:color w:val="000000"/>
              </w:rPr>
              <w:t>9.支持远程监管，通过监控平台对塔机运行情况可以进行远程实时监控，支持4G在线监控系统远程智能升级模式，塔机全部运行记录、运行轨迹和违规操作报警信息能够在监控平台完整显示、存储和下载，支持实时查看塔吊运行视频；</w:t>
            </w:r>
          </w:p>
          <w:p>
            <w:pPr>
              <w:ind w:right="210"/>
              <w:jc w:val="left"/>
              <w:rPr>
                <w:rFonts w:cs="宋体" w:asciiTheme="minorEastAsia" w:hAnsiTheme="minorEastAsia"/>
                <w:bCs/>
                <w:color w:val="000000"/>
              </w:rPr>
            </w:pPr>
            <w:r>
              <w:rPr>
                <w:rFonts w:hint="eastAsia" w:cs="宋体" w:asciiTheme="minorEastAsia" w:hAnsiTheme="minorEastAsia"/>
                <w:bCs/>
                <w:color w:val="000000"/>
              </w:rPr>
              <w:t>1</w:t>
            </w:r>
            <w:r>
              <w:rPr>
                <w:rFonts w:cs="宋体" w:asciiTheme="minorEastAsia" w:hAnsiTheme="minorEastAsia"/>
                <w:bCs/>
                <w:color w:val="000000"/>
              </w:rPr>
              <w:t>0</w:t>
            </w:r>
            <w:r>
              <w:rPr>
                <w:rFonts w:hint="eastAsia" w:cs="宋体" w:asciiTheme="minorEastAsia" w:hAnsiTheme="minorEastAsia"/>
                <w:bCs/>
                <w:color w:val="000000"/>
              </w:rPr>
              <w:t>.支持自动检测软硬件运行状态，在系统发生异常时及时感知，及时通知驾驶员失效状态；</w:t>
            </w:r>
          </w:p>
          <w:p>
            <w:pPr>
              <w:ind w:right="210"/>
              <w:jc w:val="left"/>
              <w:rPr>
                <w:rFonts w:cs="宋体" w:asciiTheme="minorEastAsia" w:hAnsiTheme="minorEastAsia"/>
                <w:bCs/>
                <w:color w:val="000000" w:themeColor="text1"/>
              </w:rPr>
            </w:pPr>
            <w:r>
              <w:rPr>
                <w:rFonts w:hint="eastAsia" w:cs="宋体" w:asciiTheme="minorEastAsia" w:hAnsiTheme="minorEastAsia"/>
                <w:bCs/>
                <w:color w:val="000000"/>
              </w:rPr>
              <w:t>1</w:t>
            </w:r>
            <w:r>
              <w:rPr>
                <w:rFonts w:cs="宋体" w:asciiTheme="minorEastAsia" w:hAnsiTheme="minorEastAsia"/>
                <w:bCs/>
                <w:color w:val="000000"/>
              </w:rPr>
              <w:t>1</w:t>
            </w:r>
            <w:r>
              <w:rPr>
                <w:rFonts w:hint="eastAsia" w:cs="宋体" w:asciiTheme="minorEastAsia" w:hAnsiTheme="minorEastAsia"/>
                <w:bCs/>
                <w:color w:val="000000"/>
              </w:rPr>
              <w:t>.支持多路</w:t>
            </w:r>
            <w:r>
              <w:rPr>
                <w:rFonts w:hint="eastAsia" w:cs="宋体" w:asciiTheme="minorEastAsia" w:hAnsiTheme="minorEastAsia"/>
                <w:bCs/>
                <w:color w:val="000000" w:themeColor="text1"/>
              </w:rPr>
              <w:t>视频接入，可将塔机驾驶室、主卷扬机、回转中心等位置的画面实时传回显示屏，协助塔机司机全面监控塔机主卷扬机钢丝绳盘绳过程；</w:t>
            </w:r>
          </w:p>
          <w:p>
            <w:pPr>
              <w:ind w:right="210"/>
              <w:jc w:val="left"/>
              <w:rPr>
                <w:rFonts w:cs="宋体" w:asciiTheme="minorEastAsia" w:hAnsiTheme="minorEastAsia"/>
                <w:bCs/>
                <w:color w:val="000000" w:themeColor="text1"/>
              </w:rPr>
            </w:pPr>
            <w:r>
              <w:rPr>
                <w:rFonts w:cs="宋体" w:asciiTheme="minorEastAsia" w:hAnsiTheme="minorEastAsia"/>
                <w:bCs/>
                <w:color w:val="000000" w:themeColor="text1"/>
              </w:rPr>
              <w:t>12</w:t>
            </w:r>
            <w:r>
              <w:rPr>
                <w:rFonts w:hint="eastAsia" w:cs="宋体" w:asciiTheme="minorEastAsia" w:hAnsiTheme="minorEastAsia"/>
                <w:bCs/>
                <w:color w:val="000000" w:themeColor="text1"/>
              </w:rPr>
              <w:t>.设备应采用模块化设计，能根据工作需要快速进行功能扩展和升级。</w:t>
            </w:r>
          </w:p>
          <w:p>
            <w:pPr>
              <w:ind w:right="210"/>
              <w:jc w:val="left"/>
              <w:rPr>
                <w:rFonts w:cs="宋体" w:asciiTheme="minorEastAsia" w:hAnsiTheme="minorEastAsia"/>
                <w:bCs/>
                <w:color w:val="000000" w:themeColor="text1"/>
              </w:rPr>
            </w:pPr>
            <w:r>
              <w:rPr>
                <w:rFonts w:hint="eastAsia" w:cs="宋体" w:asciiTheme="minorEastAsia" w:hAnsiTheme="minorEastAsia"/>
                <w:bCs/>
                <w:color w:val="000000" w:themeColor="text1"/>
              </w:rPr>
              <w:t>1</w:t>
            </w:r>
            <w:r>
              <w:rPr>
                <w:rFonts w:cs="宋体" w:asciiTheme="minorEastAsia" w:hAnsiTheme="minorEastAsia"/>
                <w:bCs/>
                <w:color w:val="000000" w:themeColor="text1"/>
              </w:rPr>
              <w:t>3</w:t>
            </w:r>
            <w:r>
              <w:rPr>
                <w:rFonts w:hint="eastAsia" w:cs="宋体" w:asciiTheme="minorEastAsia" w:hAnsiTheme="minorEastAsia"/>
                <w:bCs/>
                <w:color w:val="000000" w:themeColor="text1"/>
              </w:rPr>
              <w:t>. 提供塔机安全监管实践教学资源包，可包括但不限于：</w:t>
            </w:r>
          </w:p>
          <w:p>
            <w:pPr>
              <w:ind w:right="210"/>
              <w:jc w:val="left"/>
              <w:rPr>
                <w:rFonts w:cs="宋体" w:asciiTheme="minorEastAsia" w:hAnsiTheme="minorEastAsia"/>
                <w:bCs/>
                <w:color w:val="000000" w:themeColor="text1"/>
              </w:rPr>
            </w:pPr>
            <w:r>
              <w:rPr>
                <w:rFonts w:hint="eastAsia" w:cs="宋体" w:asciiTheme="minorEastAsia" w:hAnsiTheme="minorEastAsia"/>
                <w:bCs/>
                <w:color w:val="000000" w:themeColor="text1"/>
              </w:rPr>
              <w:t>（1）塔机操作安全规范；</w:t>
            </w:r>
          </w:p>
          <w:p>
            <w:pPr>
              <w:ind w:right="210"/>
              <w:jc w:val="left"/>
              <w:rPr>
                <w:rFonts w:cs="宋体" w:asciiTheme="minorEastAsia" w:hAnsiTheme="minorEastAsia"/>
                <w:bCs/>
                <w:color w:val="000000" w:themeColor="text1"/>
              </w:rPr>
            </w:pPr>
            <w:r>
              <w:rPr>
                <w:rFonts w:hint="eastAsia" w:cs="宋体" w:asciiTheme="minorEastAsia" w:hAnsiTheme="minorEastAsia"/>
                <w:bCs/>
                <w:color w:val="000000" w:themeColor="text1"/>
              </w:rPr>
              <w:t>（2）塔机组成运行原理；</w:t>
            </w:r>
          </w:p>
          <w:p>
            <w:pPr>
              <w:ind w:right="210"/>
              <w:jc w:val="left"/>
              <w:rPr>
                <w:rFonts w:cs="宋体" w:asciiTheme="minorEastAsia" w:hAnsiTheme="minorEastAsia"/>
                <w:bCs/>
                <w:color w:val="000000"/>
              </w:rPr>
            </w:pPr>
            <w:r>
              <w:rPr>
                <w:rFonts w:hint="eastAsia" w:cs="宋体" w:asciiTheme="minorEastAsia" w:hAnsiTheme="minorEastAsia"/>
                <w:bCs/>
                <w:color w:val="000000"/>
              </w:rPr>
              <w:t>（3）塔机数据传输、采集、分析原理；</w:t>
            </w:r>
          </w:p>
          <w:p>
            <w:pPr>
              <w:ind w:right="210"/>
              <w:jc w:val="left"/>
              <w:rPr>
                <w:rFonts w:cs="宋体" w:asciiTheme="minorEastAsia" w:hAnsiTheme="minorEastAsia"/>
                <w:bCs/>
                <w:color w:val="000000"/>
              </w:rPr>
            </w:pPr>
            <w:r>
              <w:rPr>
                <w:rFonts w:hint="eastAsia" w:cs="宋体" w:asciiTheme="minorEastAsia" w:hAnsiTheme="minorEastAsia"/>
                <w:bCs/>
                <w:color w:val="000000"/>
              </w:rPr>
              <w:t>（4）能辨别方向的传感器；</w:t>
            </w:r>
          </w:p>
          <w:p>
            <w:pPr>
              <w:ind w:right="210"/>
              <w:jc w:val="left"/>
              <w:rPr>
                <w:rFonts w:cs="宋体" w:asciiTheme="minorEastAsia" w:hAnsiTheme="minorEastAsia"/>
                <w:bCs/>
                <w:color w:val="000000"/>
              </w:rPr>
            </w:pPr>
            <w:r>
              <w:rPr>
                <w:rFonts w:hint="eastAsia" w:cs="宋体" w:asciiTheme="minorEastAsia" w:hAnsiTheme="minorEastAsia"/>
                <w:bCs/>
                <w:color w:val="000000"/>
              </w:rPr>
              <w:t>（5）能感受高度的传感器；</w:t>
            </w:r>
          </w:p>
          <w:p>
            <w:pPr>
              <w:ind w:right="210"/>
              <w:jc w:val="left"/>
              <w:rPr>
                <w:rFonts w:cs="宋体" w:asciiTheme="minorEastAsia" w:hAnsiTheme="minorEastAsia"/>
                <w:bCs/>
                <w:color w:val="000000"/>
              </w:rPr>
            </w:pPr>
            <w:r>
              <w:rPr>
                <w:rFonts w:hint="eastAsia" w:cs="宋体" w:asciiTheme="minorEastAsia" w:hAnsiTheme="minorEastAsia"/>
                <w:bCs/>
                <w:color w:val="000000"/>
              </w:rPr>
              <w:t>（6）授课PPT</w:t>
            </w:r>
          </w:p>
          <w:p>
            <w:pPr>
              <w:ind w:right="210"/>
              <w:jc w:val="left"/>
              <w:rPr>
                <w:rFonts w:cs="宋体" w:asciiTheme="minorEastAsia" w:hAnsiTheme="minorEastAsia"/>
                <w:bCs/>
                <w:color w:val="000000"/>
              </w:rPr>
            </w:pPr>
            <w:r>
              <w:rPr>
                <w:rFonts w:hint="eastAsia" w:cs="宋体" w:asciiTheme="minorEastAsia" w:hAnsiTheme="minorEastAsia"/>
                <w:bCs/>
                <w:color w:val="000000"/>
              </w:rPr>
              <w:t>（7）提供项目实际应用案例和实训指导手册。</w:t>
            </w:r>
          </w:p>
        </w:tc>
        <w:tc>
          <w:tcPr>
            <w:tcW w:w="850" w:type="dxa"/>
            <w:vAlign w:val="center"/>
          </w:tcPr>
          <w:p>
            <w:pPr>
              <w:ind w:right="210"/>
              <w:jc w:val="center"/>
              <w:rPr>
                <w:rFonts w:cs="宋体" w:asciiTheme="minorEastAsia" w:hAnsiTheme="minorEastAsia"/>
                <w:bCs/>
                <w:color w:val="000000"/>
              </w:rPr>
            </w:pPr>
            <w:r>
              <w:rPr>
                <w:rFonts w:cs="宋体" w:asciiTheme="minorEastAsia" w:hAnsiTheme="minorEastAsia"/>
                <w:bCs/>
                <w:color w:val="000000"/>
              </w:rPr>
              <w:t>1</w:t>
            </w:r>
            <w:r>
              <w:rPr>
                <w:rFonts w:hint="eastAsia" w:cs="宋体" w:asciiTheme="minorEastAsia" w:hAnsiTheme="minorEastAsia"/>
                <w:bCs/>
                <w:color w:val="000000"/>
              </w:rPr>
              <w:t>套</w:t>
            </w:r>
          </w:p>
        </w:tc>
      </w:tr>
    </w:tbl>
    <w:p>
      <w:pPr>
        <w:spacing w:line="400" w:lineRule="exact"/>
        <w:jc w:val="left"/>
        <w:rPr>
          <w:rFonts w:ascii="宋体" w:hAnsi="宋体" w:cs="宋体"/>
          <w:b/>
          <w:color w:val="000000" w:themeColor="text1"/>
          <w:szCs w:val="24"/>
        </w:rPr>
      </w:pPr>
    </w:p>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color w:val="000000" w:themeColor="text1"/>
        </w:rPr>
      </w:pPr>
      <w:r>
        <w:rPr>
          <w:rFonts w:hint="eastAsia"/>
          <w:color w:val="000000" w:themeColor="text1"/>
        </w:rPr>
        <w:t>3、本项目需开具增值税专用发票。</w:t>
      </w:r>
    </w:p>
    <w:p>
      <w:pPr>
        <w:pStyle w:val="2"/>
        <w:ind w:firstLine="210" w:firstLineChars="10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4、投标人须提供响应本项目各条技术要求的设备操作照片或其他佐证材料以及技术参数偏离表。</w:t>
      </w:r>
    </w:p>
    <w:p>
      <w:pPr>
        <w:pStyle w:val="40"/>
        <w:spacing w:before="0" w:beforeAutospacing="0" w:after="0" w:afterAutospacing="0"/>
        <w:ind w:firstLine="420"/>
        <w:rPr>
          <w:color w:val="000000" w:themeColor="text1"/>
          <w:kern w:val="2"/>
        </w:rPr>
      </w:pPr>
      <w:r>
        <w:rPr>
          <w:rFonts w:hint="eastAsia"/>
          <w:b/>
          <w:bCs/>
          <w:color w:val="000000" w:themeColor="text1"/>
          <w:kern w:val="2"/>
        </w:rPr>
        <w:t>二、售后服务及质保要求</w:t>
      </w:r>
    </w:p>
    <w:p>
      <w:pPr>
        <w:widowControl/>
        <w:spacing w:line="500" w:lineRule="exact"/>
        <w:ind w:firstLine="480" w:firstLineChars="200"/>
        <w:jc w:val="left"/>
        <w:rPr>
          <w:rFonts w:cs="宋体"/>
          <w:bCs/>
          <w:color w:val="000000" w:themeColor="text1"/>
          <w:kern w:val="0"/>
          <w:sz w:val="24"/>
          <w:szCs w:val="28"/>
        </w:rPr>
      </w:pPr>
      <w:bookmarkStart w:id="211" w:name="_Toc4016"/>
      <w:r>
        <w:rPr>
          <w:rFonts w:hint="eastAsia" w:cs="宋体"/>
          <w:bCs/>
          <w:color w:val="000000" w:themeColor="text1"/>
          <w:kern w:val="0"/>
          <w:sz w:val="24"/>
          <w:szCs w:val="28"/>
        </w:rPr>
        <w:t>1、</w:t>
      </w:r>
      <w:r>
        <w:rPr>
          <w:rFonts w:cs="宋体"/>
          <w:bCs/>
          <w:color w:val="000000" w:themeColor="text1"/>
          <w:kern w:val="0"/>
          <w:sz w:val="24"/>
          <w:szCs w:val="28"/>
        </w:rPr>
        <w:t>按照国家规定的标准和标书规定的标准执行。</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2、</w:t>
      </w:r>
      <w:r>
        <w:rPr>
          <w:rFonts w:cs="宋体"/>
          <w:bCs/>
          <w:color w:val="000000" w:themeColor="text1"/>
          <w:kern w:val="0"/>
          <w:sz w:val="24"/>
          <w:szCs w:val="28"/>
        </w:rPr>
        <w:t>按招标文件规定的</w:t>
      </w:r>
      <w:r>
        <w:rPr>
          <w:rFonts w:hint="eastAsia" w:cs="宋体"/>
          <w:bCs/>
          <w:color w:val="000000" w:themeColor="text1"/>
          <w:kern w:val="0"/>
          <w:sz w:val="24"/>
          <w:szCs w:val="28"/>
        </w:rPr>
        <w:t>设备</w:t>
      </w:r>
      <w:r>
        <w:rPr>
          <w:rFonts w:cs="宋体"/>
          <w:bCs/>
          <w:color w:val="000000" w:themeColor="text1"/>
          <w:kern w:val="0"/>
          <w:sz w:val="24"/>
          <w:szCs w:val="28"/>
        </w:rPr>
        <w:t>技术要求、质量标准向采购方提供未经使用的全新产品。并向甲方提供质量保证书、出厂合格证。</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3、设备硬件质保期3年，</w:t>
      </w:r>
      <w:r>
        <w:rPr>
          <w:rFonts w:cs="宋体"/>
          <w:bCs/>
          <w:color w:val="000000" w:themeColor="text1"/>
          <w:kern w:val="0"/>
          <w:sz w:val="24"/>
          <w:szCs w:val="28"/>
        </w:rPr>
        <w:t>供应商提供的</w:t>
      </w:r>
      <w:r>
        <w:rPr>
          <w:rFonts w:hint="eastAsia" w:cs="宋体"/>
          <w:bCs/>
          <w:color w:val="000000" w:themeColor="text1"/>
          <w:kern w:val="0"/>
          <w:sz w:val="24"/>
          <w:szCs w:val="28"/>
        </w:rPr>
        <w:t>设备</w:t>
      </w:r>
      <w:r>
        <w:rPr>
          <w:rFonts w:cs="宋体"/>
          <w:bCs/>
          <w:color w:val="000000" w:themeColor="text1"/>
          <w:kern w:val="0"/>
          <w:sz w:val="24"/>
          <w:szCs w:val="28"/>
        </w:rPr>
        <w:t>在质保期内因本身的质量问题发生故障，乙方应负责免费维修。</w:t>
      </w:r>
      <w:r>
        <w:rPr>
          <w:rFonts w:hint="eastAsia" w:cs="宋体"/>
          <w:bCs/>
          <w:color w:val="000000" w:themeColor="text1"/>
          <w:kern w:val="0"/>
          <w:sz w:val="24"/>
          <w:szCs w:val="28"/>
        </w:rPr>
        <w:t>供应商应对提供的设备免费安装、免费调试、免费培训、免费提供学习资料。</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4、设备</w:t>
      </w:r>
      <w:r>
        <w:rPr>
          <w:rFonts w:cs="宋体"/>
          <w:bCs/>
          <w:color w:val="000000" w:themeColor="text1"/>
          <w:kern w:val="0"/>
          <w:sz w:val="24"/>
          <w:szCs w:val="28"/>
        </w:rPr>
        <w:t>如在使用过程中发生质量问题，供应商应在接到采购方通知后24小时内到达现场。</w:t>
      </w: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r>
        <w:rPr>
          <w:rFonts w:hint="eastAsia"/>
          <w:b/>
          <w:color w:val="000000" w:themeColor="text1"/>
          <w:sz w:val="44"/>
        </w:rPr>
        <w:t>第五章  评标方法与评标标准</w:t>
      </w:r>
      <w:bookmarkEnd w:id="211"/>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adjustRightInd w:val="0"/>
        <w:snapToGrid w:val="0"/>
        <w:spacing w:line="360" w:lineRule="auto"/>
        <w:ind w:firstLine="480" w:firstLineChars="200"/>
        <w:rPr>
          <w:rFonts w:hint="eastAsia" w:ascii="宋体" w:hAnsi="宋体" w:cs="宋体"/>
          <w:bCs/>
          <w:color w:val="000000" w:themeColor="text1"/>
          <w:sz w:val="24"/>
          <w:szCs w:val="24"/>
        </w:rPr>
      </w:pPr>
      <w:r>
        <w:rPr>
          <w:rFonts w:hint="eastAsia" w:ascii="宋体" w:hAnsi="宋体" w:cs="宋体"/>
          <w:bCs/>
          <w:color w:val="000000" w:themeColor="text1"/>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政府采购政策功能落实</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1、小微型企业价格扣除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pStyle w:val="40"/>
        <w:spacing w:before="0" w:beforeAutospacing="0" w:after="0" w:afterAutospacing="0"/>
        <w:ind w:firstLine="480" w:firstLineChars="200"/>
        <w:rPr>
          <w:bCs/>
          <w:color w:val="00B0F0"/>
        </w:rPr>
      </w:pPr>
      <w:r>
        <w:rPr>
          <w:rFonts w:hint="eastAsia"/>
          <w:bCs/>
          <w:color w:val="000000" w:themeColor="text1"/>
        </w:rPr>
        <w:t>（3）企业标准请参照《关于印发中小企业划型标准规定的通知》（工信部联企业[2011]300号）文件规定自行填写，</w:t>
      </w:r>
      <w:r>
        <w:rPr>
          <w:rFonts w:hint="eastAsia"/>
          <w:b/>
          <w:color w:val="000000" w:themeColor="text1"/>
        </w:rPr>
        <w:t>本采购标的的所属行业为软件和信息技术服务业</w:t>
      </w:r>
      <w:r>
        <w:rPr>
          <w:rFonts w:hint="eastAsia"/>
          <w:bCs/>
          <w:color w:val="000000" w:themeColor="text1"/>
        </w:rPr>
        <w:t>。如未按要求填写，不得享受价格扣除。</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2、残疾人福利单位价格扣除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3、监狱和戒毒企业价格扣除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B0F0"/>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r>
        <w:rPr>
          <w:rFonts w:hint="eastAsia" w:ascii="宋体" w:hAnsi="宋体" w:cs="宋体"/>
          <w:bCs/>
          <w:color w:val="00B0F0"/>
          <w:sz w:val="24"/>
          <w:szCs w:val="24"/>
        </w:rPr>
        <w:t>。</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二、评标标准</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tbl>
      <w:tblPr>
        <w:tblStyle w:val="4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0"/>
        <w:gridCol w:w="1046"/>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26" w:type="dxa"/>
            <w:vAlign w:val="center"/>
          </w:tcPr>
          <w:p>
            <w:pPr>
              <w:jc w:val="center"/>
              <w:rPr>
                <w:color w:val="000000" w:themeColor="text1"/>
              </w:rPr>
            </w:pPr>
            <w:r>
              <w:rPr>
                <w:color w:val="000000" w:themeColor="text1"/>
              </w:rPr>
              <w:t>序号</w:t>
            </w:r>
          </w:p>
        </w:tc>
        <w:tc>
          <w:tcPr>
            <w:tcW w:w="860" w:type="dxa"/>
            <w:vAlign w:val="center"/>
          </w:tcPr>
          <w:p>
            <w:pPr>
              <w:jc w:val="center"/>
              <w:rPr>
                <w:color w:val="000000" w:themeColor="text1"/>
              </w:rPr>
            </w:pPr>
            <w:r>
              <w:rPr>
                <w:color w:val="000000" w:themeColor="text1"/>
              </w:rPr>
              <w:t>评分</w:t>
            </w:r>
          </w:p>
          <w:p>
            <w:pPr>
              <w:jc w:val="center"/>
              <w:rPr>
                <w:color w:val="000000" w:themeColor="text1"/>
              </w:rPr>
            </w:pPr>
            <w:r>
              <w:rPr>
                <w:color w:val="000000" w:themeColor="text1"/>
              </w:rPr>
              <w:t>因素</w:t>
            </w:r>
          </w:p>
        </w:tc>
        <w:tc>
          <w:tcPr>
            <w:tcW w:w="1046" w:type="dxa"/>
            <w:vAlign w:val="center"/>
          </w:tcPr>
          <w:p>
            <w:pPr>
              <w:jc w:val="center"/>
              <w:rPr>
                <w:color w:val="000000" w:themeColor="text1"/>
              </w:rPr>
            </w:pPr>
            <w:r>
              <w:rPr>
                <w:color w:val="000000" w:themeColor="text1"/>
              </w:rPr>
              <w:t>分值</w:t>
            </w:r>
          </w:p>
        </w:tc>
        <w:tc>
          <w:tcPr>
            <w:tcW w:w="7161" w:type="dxa"/>
            <w:vAlign w:val="center"/>
          </w:tcPr>
          <w:p>
            <w:pPr>
              <w:jc w:val="center"/>
              <w:rPr>
                <w:color w:val="000000" w:themeColor="text1"/>
              </w:rPr>
            </w:pPr>
            <w:r>
              <w:rPr>
                <w:color w:val="000000" w:themeColor="text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79" w:hRule="atLeast"/>
          <w:jc w:val="center"/>
        </w:trPr>
        <w:tc>
          <w:tcPr>
            <w:tcW w:w="426" w:type="dxa"/>
            <w:vAlign w:val="center"/>
          </w:tcPr>
          <w:p>
            <w:pPr>
              <w:jc w:val="center"/>
              <w:rPr>
                <w:color w:val="000000" w:themeColor="text1"/>
              </w:rPr>
            </w:pPr>
            <w:r>
              <w:rPr>
                <w:color w:val="000000" w:themeColor="text1"/>
              </w:rPr>
              <w:t>1</w:t>
            </w:r>
          </w:p>
        </w:tc>
        <w:tc>
          <w:tcPr>
            <w:tcW w:w="860" w:type="dxa"/>
            <w:vAlign w:val="center"/>
          </w:tcPr>
          <w:p>
            <w:pPr>
              <w:jc w:val="center"/>
              <w:rPr>
                <w:color w:val="000000" w:themeColor="text1"/>
              </w:rPr>
            </w:pPr>
            <w:r>
              <w:rPr>
                <w:color w:val="000000" w:themeColor="text1"/>
              </w:rPr>
              <w:t>价格部分</w:t>
            </w:r>
          </w:p>
          <w:p>
            <w:pPr>
              <w:rPr>
                <w:color w:val="000000" w:themeColor="text1"/>
              </w:rPr>
            </w:pPr>
            <w:r>
              <w:rPr>
                <w:color w:val="000000" w:themeColor="text1"/>
              </w:rPr>
              <w:t>（50分）</w:t>
            </w:r>
          </w:p>
        </w:tc>
        <w:tc>
          <w:tcPr>
            <w:tcW w:w="1046" w:type="dxa"/>
            <w:vAlign w:val="center"/>
          </w:tcPr>
          <w:p>
            <w:pPr>
              <w:jc w:val="center"/>
              <w:rPr>
                <w:color w:val="000000" w:themeColor="text1"/>
              </w:rPr>
            </w:pPr>
            <w:r>
              <w:rPr>
                <w:color w:val="000000" w:themeColor="text1"/>
              </w:rPr>
              <w:t>投标报价</w:t>
            </w:r>
          </w:p>
          <w:p>
            <w:pPr>
              <w:jc w:val="center"/>
              <w:rPr>
                <w:color w:val="000000" w:themeColor="text1"/>
              </w:rPr>
            </w:pPr>
            <w:r>
              <w:rPr>
                <w:color w:val="000000" w:themeColor="text1"/>
              </w:rPr>
              <w:t>（50分）</w:t>
            </w:r>
          </w:p>
        </w:tc>
        <w:tc>
          <w:tcPr>
            <w:tcW w:w="7161"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所有有效投标报价中满足招标文件要求，价格最低的投标报价为评标基准价，其价格分为50分，其他投标人的价格分按照下列公式计算（计算结果四舍五入保留两位小数）。</w:t>
            </w:r>
          </w:p>
          <w:p>
            <w:pPr>
              <w:rPr>
                <w:color w:val="000000" w:themeColor="text1"/>
              </w:rPr>
            </w:pPr>
            <w:r>
              <w:rPr>
                <w:rFonts w:hint="eastAsia" w:ascii="宋体" w:hAnsi="宋体" w:cs="宋体"/>
                <w:color w:val="000000" w:themeColor="text1"/>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94" w:hRule="atLeast"/>
          <w:jc w:val="center"/>
        </w:trPr>
        <w:tc>
          <w:tcPr>
            <w:tcW w:w="426" w:type="dxa"/>
            <w:vMerge w:val="restart"/>
            <w:vAlign w:val="center"/>
          </w:tcPr>
          <w:p>
            <w:pPr>
              <w:jc w:val="center"/>
              <w:rPr>
                <w:color w:val="000000" w:themeColor="text1"/>
              </w:rPr>
            </w:pPr>
            <w:r>
              <w:rPr>
                <w:color w:val="000000" w:themeColor="text1"/>
              </w:rPr>
              <w:t>2</w:t>
            </w:r>
          </w:p>
        </w:tc>
        <w:tc>
          <w:tcPr>
            <w:tcW w:w="860" w:type="dxa"/>
            <w:vMerge w:val="restart"/>
            <w:vAlign w:val="center"/>
          </w:tcPr>
          <w:p>
            <w:pPr>
              <w:rPr>
                <w:color w:val="000000" w:themeColor="text1"/>
              </w:rPr>
            </w:pPr>
            <w:r>
              <w:rPr>
                <w:color w:val="000000" w:themeColor="text1"/>
              </w:rPr>
              <w:t>商务部分</w:t>
            </w:r>
          </w:p>
          <w:p>
            <w:pPr>
              <w:rPr>
                <w:color w:val="000000" w:themeColor="text1"/>
              </w:rPr>
            </w:pPr>
            <w:r>
              <w:rPr>
                <w:color w:val="000000" w:themeColor="text1"/>
              </w:rPr>
              <w:t>（20分）</w:t>
            </w:r>
          </w:p>
        </w:tc>
        <w:tc>
          <w:tcPr>
            <w:tcW w:w="1046" w:type="dxa"/>
            <w:vAlign w:val="center"/>
          </w:tcPr>
          <w:p>
            <w:pPr>
              <w:jc w:val="center"/>
              <w:rPr>
                <w:color w:val="000000" w:themeColor="text1"/>
              </w:rPr>
            </w:pPr>
            <w:r>
              <w:rPr>
                <w:rFonts w:hint="eastAsia"/>
                <w:color w:val="000000" w:themeColor="text1"/>
              </w:rPr>
              <w:t>技术安全保障</w:t>
            </w:r>
            <w:r>
              <w:rPr>
                <w:color w:val="000000" w:themeColor="text1"/>
              </w:rPr>
              <w:t>（5分）</w:t>
            </w:r>
          </w:p>
        </w:tc>
        <w:tc>
          <w:tcPr>
            <w:tcW w:w="7161" w:type="dxa"/>
            <w:vAlign w:val="center"/>
          </w:tcPr>
          <w:p>
            <w:pPr>
              <w:rPr>
                <w:color w:val="000000" w:themeColor="text1"/>
              </w:rPr>
            </w:pPr>
            <w:r>
              <w:rPr>
                <w:rFonts w:hint="eastAsia"/>
                <w:color w:val="000000" w:themeColor="text1"/>
              </w:rPr>
              <w:t>（1）具备有效期内的信息安全管理体系认证证书加2分。</w:t>
            </w:r>
          </w:p>
          <w:p>
            <w:pPr>
              <w:rPr>
                <w:color w:val="000000" w:themeColor="text1"/>
              </w:rPr>
            </w:pPr>
            <w:r>
              <w:rPr>
                <w:rFonts w:hint="eastAsia"/>
                <w:color w:val="000000" w:themeColor="text1"/>
              </w:rPr>
              <w:t>（2）具有信息系统安全等级保护备案证明二级及以上的加3分。</w:t>
            </w:r>
          </w:p>
          <w:p>
            <w:pPr>
              <w:rPr>
                <w:color w:val="000000" w:themeColor="text1"/>
              </w:rPr>
            </w:pPr>
            <w:r>
              <w:rPr>
                <w:rFonts w:hint="eastAsia"/>
                <w:color w:val="000000" w:themeColor="text1"/>
              </w:rPr>
              <w:t>评审依据：需提供证书扫描件加盖投标单位公章。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75" w:hRule="atLeast"/>
          <w:jc w:val="center"/>
        </w:trPr>
        <w:tc>
          <w:tcPr>
            <w:tcW w:w="426" w:type="dxa"/>
            <w:vMerge w:val="continue"/>
            <w:vAlign w:val="center"/>
          </w:tcPr>
          <w:p>
            <w:pPr>
              <w:rPr>
                <w:color w:val="000000" w:themeColor="text1"/>
              </w:rPr>
            </w:pPr>
          </w:p>
        </w:tc>
        <w:tc>
          <w:tcPr>
            <w:tcW w:w="860" w:type="dxa"/>
            <w:vMerge w:val="continue"/>
            <w:vAlign w:val="center"/>
          </w:tcPr>
          <w:p>
            <w:pPr>
              <w:rPr>
                <w:color w:val="000000" w:themeColor="text1"/>
              </w:rPr>
            </w:pPr>
          </w:p>
        </w:tc>
        <w:tc>
          <w:tcPr>
            <w:tcW w:w="1046" w:type="dxa"/>
            <w:vAlign w:val="center"/>
          </w:tcPr>
          <w:p>
            <w:pPr>
              <w:jc w:val="center"/>
              <w:rPr>
                <w:color w:val="000000" w:themeColor="text1"/>
              </w:rPr>
            </w:pPr>
            <w:r>
              <w:rPr>
                <w:rFonts w:hint="eastAsia"/>
                <w:color w:val="000000" w:themeColor="text1"/>
              </w:rPr>
              <w:t>系统</w:t>
            </w:r>
            <w:r>
              <w:rPr>
                <w:color w:val="000000" w:themeColor="text1"/>
              </w:rPr>
              <w:t>升级</w:t>
            </w:r>
          </w:p>
          <w:p>
            <w:pPr>
              <w:jc w:val="center"/>
              <w:rPr>
                <w:color w:val="000000" w:themeColor="text1"/>
              </w:rPr>
            </w:pPr>
            <w:r>
              <w:rPr>
                <w:color w:val="000000" w:themeColor="text1"/>
              </w:rPr>
              <w:t>服务</w:t>
            </w:r>
          </w:p>
          <w:p>
            <w:pPr>
              <w:jc w:val="center"/>
              <w:rPr>
                <w:color w:val="000000" w:themeColor="text1"/>
              </w:rPr>
            </w:pPr>
            <w:r>
              <w:rPr>
                <w:color w:val="000000" w:themeColor="text1"/>
              </w:rPr>
              <w:t>（5分）</w:t>
            </w:r>
          </w:p>
        </w:tc>
        <w:tc>
          <w:tcPr>
            <w:tcW w:w="7161" w:type="dxa"/>
            <w:vAlign w:val="center"/>
          </w:tcPr>
          <w:p>
            <w:pPr>
              <w:rPr>
                <w:color w:val="000000" w:themeColor="text1"/>
              </w:rPr>
            </w:pPr>
            <w:r>
              <w:rPr>
                <w:rFonts w:hint="eastAsia"/>
                <w:color w:val="000000" w:themeColor="text1"/>
              </w:rPr>
              <w:t>投标人提供的产品不涉及知识产权纠纷，质保期内设备内置系统不限版本不限次数免费升级和维护得3分，质保期外每延长1年免费升级加1分，最多不超过5分.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550" w:hRule="atLeast"/>
          <w:jc w:val="center"/>
        </w:trPr>
        <w:tc>
          <w:tcPr>
            <w:tcW w:w="426" w:type="dxa"/>
            <w:vMerge w:val="continue"/>
            <w:vAlign w:val="center"/>
          </w:tcPr>
          <w:p>
            <w:pPr>
              <w:rPr>
                <w:color w:val="000000" w:themeColor="text1"/>
              </w:rPr>
            </w:pPr>
          </w:p>
        </w:tc>
        <w:tc>
          <w:tcPr>
            <w:tcW w:w="860" w:type="dxa"/>
            <w:vMerge w:val="continue"/>
            <w:vAlign w:val="center"/>
          </w:tcPr>
          <w:p>
            <w:pPr>
              <w:rPr>
                <w:color w:val="000000" w:themeColor="text1"/>
              </w:rPr>
            </w:pPr>
          </w:p>
        </w:tc>
        <w:tc>
          <w:tcPr>
            <w:tcW w:w="1046" w:type="dxa"/>
            <w:vAlign w:val="center"/>
          </w:tcPr>
          <w:p>
            <w:pPr>
              <w:jc w:val="center"/>
              <w:rPr>
                <w:color w:val="000000" w:themeColor="text1"/>
              </w:rPr>
            </w:pPr>
            <w:r>
              <w:rPr>
                <w:color w:val="000000" w:themeColor="text1"/>
              </w:rPr>
              <w:t>售后服务方面其他承诺</w:t>
            </w:r>
          </w:p>
          <w:p>
            <w:pPr>
              <w:jc w:val="center"/>
              <w:rPr>
                <w:color w:val="000000" w:themeColor="text1"/>
              </w:rPr>
            </w:pPr>
            <w:r>
              <w:rPr>
                <w:color w:val="000000" w:themeColor="text1"/>
              </w:rPr>
              <w:t>（2分）</w:t>
            </w:r>
          </w:p>
        </w:tc>
        <w:tc>
          <w:tcPr>
            <w:tcW w:w="7161" w:type="dxa"/>
            <w:vAlign w:val="center"/>
          </w:tcPr>
          <w:p>
            <w:pPr>
              <w:rPr>
                <w:color w:val="000000" w:themeColor="text1"/>
              </w:rPr>
            </w:pPr>
            <w:r>
              <w:rPr>
                <w:rFonts w:hint="eastAsia"/>
                <w:color w:val="000000" w:themeColor="text1"/>
              </w:rPr>
              <w:t>（1）售后服务方案具体明确，针对性强，售后服务人员能力强，服务体系完整度高，保障性强，有具体的服务承诺及违约责任措施的得</w:t>
            </w:r>
            <w:r>
              <w:rPr>
                <w:rFonts w:hint="eastAsia"/>
                <w:color w:val="000000" w:themeColor="text1"/>
                <w:lang w:val="en-US" w:eastAsia="zh-CN"/>
              </w:rPr>
              <w:t>1（不含）-</w:t>
            </w:r>
            <w:r>
              <w:rPr>
                <w:color w:val="000000" w:themeColor="text1"/>
              </w:rPr>
              <w:t>2</w:t>
            </w:r>
            <w:r>
              <w:rPr>
                <w:rFonts w:hint="eastAsia"/>
                <w:color w:val="000000" w:themeColor="text1"/>
              </w:rPr>
              <w:t>分。</w:t>
            </w:r>
          </w:p>
          <w:p>
            <w:pPr>
              <w:rPr>
                <w:color w:val="000000" w:themeColor="text1"/>
              </w:rPr>
            </w:pPr>
            <w:r>
              <w:rPr>
                <w:rFonts w:hint="eastAsia"/>
                <w:color w:val="000000" w:themeColor="text1"/>
              </w:rPr>
              <w:t>（2）具有售后服务方案，针对性差，售后服务体系完整度及保障性差，无售后服务承诺及违约责任措施的得0-1分。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96" w:hRule="atLeast"/>
          <w:jc w:val="center"/>
        </w:trPr>
        <w:tc>
          <w:tcPr>
            <w:tcW w:w="426" w:type="dxa"/>
            <w:vMerge w:val="continue"/>
            <w:vAlign w:val="center"/>
          </w:tcPr>
          <w:p>
            <w:pPr>
              <w:rPr>
                <w:color w:val="000000" w:themeColor="text1"/>
              </w:rPr>
            </w:pPr>
          </w:p>
        </w:tc>
        <w:tc>
          <w:tcPr>
            <w:tcW w:w="860" w:type="dxa"/>
            <w:vMerge w:val="continue"/>
            <w:vAlign w:val="center"/>
          </w:tcPr>
          <w:p>
            <w:pPr>
              <w:rPr>
                <w:color w:val="000000" w:themeColor="text1"/>
              </w:rPr>
            </w:pPr>
          </w:p>
        </w:tc>
        <w:tc>
          <w:tcPr>
            <w:tcW w:w="1046" w:type="dxa"/>
            <w:vAlign w:val="center"/>
          </w:tcPr>
          <w:p>
            <w:pPr>
              <w:jc w:val="center"/>
              <w:rPr>
                <w:color w:val="000000" w:themeColor="text1"/>
              </w:rPr>
            </w:pPr>
            <w:r>
              <w:rPr>
                <w:color w:val="000000" w:themeColor="text1"/>
              </w:rPr>
              <w:t>公司</w:t>
            </w:r>
            <w:r>
              <w:rPr>
                <w:rFonts w:hint="eastAsia"/>
                <w:color w:val="000000" w:themeColor="text1"/>
              </w:rPr>
              <w:t>实力</w:t>
            </w:r>
          </w:p>
          <w:p>
            <w:pPr>
              <w:jc w:val="center"/>
              <w:rPr>
                <w:color w:val="000000" w:themeColor="text1"/>
              </w:rPr>
            </w:pPr>
            <w:r>
              <w:rPr>
                <w:color w:val="000000" w:themeColor="text1"/>
              </w:rPr>
              <w:t>（5分）</w:t>
            </w:r>
          </w:p>
        </w:tc>
        <w:tc>
          <w:tcPr>
            <w:tcW w:w="7161" w:type="dxa"/>
            <w:vAlign w:val="center"/>
          </w:tcPr>
          <w:p>
            <w:pPr>
              <w:rPr>
                <w:color w:val="000000" w:themeColor="text1"/>
              </w:rPr>
            </w:pPr>
            <w:r>
              <w:rPr>
                <w:rFonts w:hint="eastAsia"/>
                <w:color w:val="000000" w:themeColor="text1"/>
              </w:rPr>
              <w:t>（1）取得与本项目相关的专利、软件著作权，其中发明专利每项得1分，软件著作权每项得0.5分，总分不超过2分。</w:t>
            </w:r>
          </w:p>
          <w:p>
            <w:pPr>
              <w:rPr>
                <w:color w:val="000000" w:themeColor="text1"/>
              </w:rPr>
            </w:pPr>
            <w:r>
              <w:rPr>
                <w:rFonts w:hint="eastAsia"/>
                <w:color w:val="000000" w:themeColor="text1"/>
              </w:rPr>
              <w:t>（2）提供信用评级机构出具的信用评级报告为AAA级的得1分；</w:t>
            </w:r>
          </w:p>
          <w:p>
            <w:pPr>
              <w:rPr>
                <w:color w:val="000000" w:themeColor="text1"/>
              </w:rPr>
            </w:pPr>
            <w:r>
              <w:rPr>
                <w:rFonts w:hint="eastAsia"/>
                <w:color w:val="000000" w:themeColor="text1"/>
              </w:rPr>
              <w:t>（3）</w:t>
            </w:r>
            <w:r>
              <w:rPr>
                <w:rFonts w:hint="eastAsia" w:ascii="宋体" w:hAnsi="宋体"/>
                <w:color w:val="000000" w:themeColor="text1"/>
              </w:rPr>
              <w:t>通过高新技术企业认证</w:t>
            </w:r>
            <w:r>
              <w:rPr>
                <w:rFonts w:hint="eastAsia"/>
                <w:color w:val="000000" w:themeColor="text1"/>
              </w:rPr>
              <w:t>得1分；</w:t>
            </w:r>
          </w:p>
          <w:p>
            <w:pPr>
              <w:pStyle w:val="7"/>
              <w:spacing w:before="0" w:after="0" w:line="240" w:lineRule="auto"/>
              <w:rPr>
                <w:rFonts w:ascii="宋体" w:hAnsi="宋体"/>
                <w:b w:val="0"/>
                <w:color w:val="000000" w:themeColor="text1"/>
                <w:sz w:val="21"/>
                <w:szCs w:val="21"/>
              </w:rPr>
            </w:pPr>
            <w:r>
              <w:rPr>
                <w:rFonts w:hint="eastAsia" w:ascii="宋体" w:hAnsi="宋体"/>
                <w:b w:val="0"/>
                <w:color w:val="000000" w:themeColor="text1"/>
                <w:sz w:val="21"/>
                <w:szCs w:val="21"/>
              </w:rPr>
              <w:t>（4）具有软件企业认定证书得1分。</w:t>
            </w:r>
          </w:p>
          <w:p>
            <w:pPr>
              <w:pStyle w:val="7"/>
              <w:spacing w:before="0" w:after="0" w:line="240" w:lineRule="auto"/>
              <w:rPr>
                <w:rFonts w:ascii="宋体" w:hAnsi="宋体"/>
                <w:b w:val="0"/>
                <w:color w:val="000000" w:themeColor="text1"/>
                <w:sz w:val="21"/>
                <w:szCs w:val="21"/>
              </w:rPr>
            </w:pPr>
            <w:r>
              <w:rPr>
                <w:rFonts w:hint="eastAsia" w:ascii="Times New Roman" w:hAnsi="Times New Roman" w:eastAsiaTheme="minorEastAsia" w:cstheme="minorBidi"/>
                <w:b w:val="0"/>
                <w:color w:val="000000" w:themeColor="text1"/>
                <w:sz w:val="21"/>
                <w:szCs w:val="22"/>
              </w:rPr>
              <w:t>（以上提供相关证明材料复印件并加盖投标单位公章，不提供的不得分）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208" w:hRule="atLeast"/>
          <w:jc w:val="center"/>
        </w:trPr>
        <w:tc>
          <w:tcPr>
            <w:tcW w:w="426" w:type="dxa"/>
            <w:vMerge w:val="continue"/>
            <w:vAlign w:val="center"/>
          </w:tcPr>
          <w:p>
            <w:pPr>
              <w:rPr>
                <w:color w:val="000000" w:themeColor="text1"/>
              </w:rPr>
            </w:pPr>
          </w:p>
        </w:tc>
        <w:tc>
          <w:tcPr>
            <w:tcW w:w="860" w:type="dxa"/>
            <w:vMerge w:val="continue"/>
            <w:vAlign w:val="center"/>
          </w:tcPr>
          <w:p>
            <w:pPr>
              <w:rPr>
                <w:color w:val="000000" w:themeColor="text1"/>
              </w:rPr>
            </w:pPr>
          </w:p>
        </w:tc>
        <w:tc>
          <w:tcPr>
            <w:tcW w:w="1046" w:type="dxa"/>
            <w:vAlign w:val="center"/>
          </w:tcPr>
          <w:p>
            <w:pPr>
              <w:rPr>
                <w:color w:val="000000" w:themeColor="text1"/>
              </w:rPr>
            </w:pPr>
            <w:r>
              <w:rPr>
                <w:color w:val="000000" w:themeColor="text1"/>
              </w:rPr>
              <w:t>业绩部分</w:t>
            </w:r>
          </w:p>
          <w:p>
            <w:pPr>
              <w:rPr>
                <w:color w:val="000000" w:themeColor="text1"/>
              </w:rPr>
            </w:pPr>
            <w:r>
              <w:rPr>
                <w:color w:val="000000" w:themeColor="text1"/>
              </w:rPr>
              <w:t>（3分）</w:t>
            </w:r>
          </w:p>
        </w:tc>
        <w:tc>
          <w:tcPr>
            <w:tcW w:w="7161" w:type="dxa"/>
            <w:vAlign w:val="center"/>
          </w:tcPr>
          <w:p>
            <w:pPr>
              <w:rPr>
                <w:color w:val="000000" w:themeColor="text1"/>
              </w:rPr>
            </w:pPr>
            <w:r>
              <w:rPr>
                <w:rFonts w:hint="eastAsia"/>
                <w:color w:val="000000" w:themeColor="text1"/>
              </w:rPr>
              <w:t>提供201</w:t>
            </w:r>
            <w:r>
              <w:rPr>
                <w:color w:val="000000" w:themeColor="text1"/>
              </w:rPr>
              <w:t>9</w:t>
            </w:r>
            <w:r>
              <w:rPr>
                <w:rFonts w:hint="eastAsia"/>
                <w:color w:val="000000" w:themeColor="text1"/>
              </w:rPr>
              <w:t>年以来同类设备的合同复印件，每提供1份合同得1分，最高3分。（需提供合同复印件加盖投标单位公章）没有提供以上要求合同的此项不得分。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Align w:val="center"/>
          </w:tcPr>
          <w:p>
            <w:pPr>
              <w:jc w:val="center"/>
              <w:rPr>
                <w:color w:val="000000" w:themeColor="text1"/>
              </w:rPr>
            </w:pPr>
            <w:r>
              <w:rPr>
                <w:color w:val="000000" w:themeColor="text1"/>
              </w:rPr>
              <w:t>3</w:t>
            </w:r>
          </w:p>
        </w:tc>
        <w:tc>
          <w:tcPr>
            <w:tcW w:w="860" w:type="dxa"/>
            <w:vAlign w:val="center"/>
          </w:tcPr>
          <w:p>
            <w:pPr>
              <w:rPr>
                <w:color w:val="000000" w:themeColor="text1"/>
              </w:rPr>
            </w:pPr>
            <w:r>
              <w:rPr>
                <w:rFonts w:hint="eastAsia"/>
                <w:color w:val="000000" w:themeColor="text1"/>
              </w:rPr>
              <w:t>技术部分</w:t>
            </w:r>
          </w:p>
          <w:p>
            <w:pPr>
              <w:rPr>
                <w:color w:val="000000" w:themeColor="text1"/>
              </w:rPr>
            </w:pPr>
            <w:r>
              <w:rPr>
                <w:rFonts w:hint="eastAsia"/>
                <w:color w:val="000000" w:themeColor="text1"/>
              </w:rPr>
              <w:t>（30分）</w:t>
            </w:r>
          </w:p>
        </w:tc>
        <w:tc>
          <w:tcPr>
            <w:tcW w:w="1046" w:type="dxa"/>
            <w:vAlign w:val="center"/>
          </w:tcPr>
          <w:p>
            <w:pPr>
              <w:rPr>
                <w:color w:val="000000" w:themeColor="text1"/>
              </w:rPr>
            </w:pPr>
            <w:r>
              <w:rPr>
                <w:rFonts w:hint="eastAsia"/>
                <w:color w:val="000000" w:themeColor="text1"/>
              </w:rPr>
              <w:t>技术响应要求（30分）</w:t>
            </w:r>
          </w:p>
        </w:tc>
        <w:tc>
          <w:tcPr>
            <w:tcW w:w="7161" w:type="dxa"/>
            <w:vAlign w:val="center"/>
          </w:tcPr>
          <w:p>
            <w:pPr>
              <w:rPr>
                <w:color w:val="000000" w:themeColor="text1"/>
              </w:rPr>
            </w:pPr>
            <w:r>
              <w:rPr>
                <w:rFonts w:hint="eastAsia"/>
                <w:color w:val="000000" w:themeColor="text1"/>
              </w:rPr>
              <w:t>综合考虑供应商投标产品的技术性能、可靠性、稳定性、产品的操作性、维护性以及对招标文件的响应程度等因素综合打分：</w:t>
            </w:r>
          </w:p>
          <w:p>
            <w:pPr>
              <w:pStyle w:val="106"/>
              <w:numPr>
                <w:ilvl w:val="0"/>
                <w:numId w:val="7"/>
              </w:numPr>
              <w:rPr>
                <w:rFonts w:ascii="Times New Roman" w:hAnsi="Times New Roman"/>
                <w:color w:val="000000" w:themeColor="text1"/>
                <w:kern w:val="2"/>
                <w:sz w:val="21"/>
                <w:szCs w:val="21"/>
                <w:lang w:eastAsia="zh-CN" w:bidi="ar-SA"/>
              </w:rPr>
            </w:pPr>
            <w:r>
              <w:rPr>
                <w:rFonts w:hint="eastAsia" w:ascii="Times New Roman" w:hAnsi="Times New Roman"/>
                <w:color w:val="000000" w:themeColor="text1"/>
                <w:kern w:val="2"/>
                <w:sz w:val="21"/>
                <w:szCs w:val="21"/>
                <w:lang w:eastAsia="zh-CN" w:bidi="ar-SA"/>
              </w:rPr>
              <w:t>带“★”条款：每负偏离一项，扣10分，扣完为止。</w:t>
            </w:r>
          </w:p>
          <w:p>
            <w:pPr>
              <w:pStyle w:val="106"/>
              <w:numPr>
                <w:ilvl w:val="0"/>
                <w:numId w:val="7"/>
              </w:numPr>
              <w:rPr>
                <w:rFonts w:ascii="Times New Roman" w:hAnsi="Times New Roman"/>
                <w:color w:val="000000" w:themeColor="text1"/>
                <w:kern w:val="2"/>
                <w:sz w:val="21"/>
                <w:szCs w:val="21"/>
                <w:lang w:eastAsia="zh-CN" w:bidi="ar-SA"/>
              </w:rPr>
            </w:pPr>
            <w:r>
              <w:rPr>
                <w:rFonts w:hint="eastAsia" w:ascii="Times New Roman" w:hAnsi="Times New Roman"/>
                <w:color w:val="000000" w:themeColor="text1"/>
                <w:kern w:val="2"/>
                <w:sz w:val="21"/>
                <w:szCs w:val="21"/>
                <w:lang w:eastAsia="zh-CN" w:bidi="ar-SA"/>
              </w:rPr>
              <w:t>非“★”条款：每负偏一项，扣3分，扣完为止。</w:t>
            </w:r>
          </w:p>
          <w:p>
            <w:pPr>
              <w:rPr>
                <w:color w:val="000000" w:themeColor="text1"/>
              </w:rPr>
            </w:pPr>
            <w:r>
              <w:rPr>
                <w:rFonts w:hint="eastAsia"/>
                <w:color w:val="000000" w:themeColor="text1"/>
              </w:rPr>
              <w:t>招标文件中带“★”条款必须提供投标产品操作照片或其他佐证材料，未提供的作为负偏离评审。</w:t>
            </w:r>
          </w:p>
        </w:tc>
      </w:tr>
    </w:tbl>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说明：</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val="zh-CN"/>
        </w:rPr>
        <w:t>、中标公告期内，中标单位需向采购单位提供产品相关证明文件原件以供审核，如有不实采购人有权取消其中标资格。</w:t>
      </w:r>
    </w:p>
    <w:p>
      <w:pPr>
        <w:pStyle w:val="44"/>
        <w:rPr>
          <w:rFonts w:cs="宋体"/>
          <w:color w:val="000000" w:themeColor="text1"/>
        </w:rPr>
      </w:pPr>
    </w:p>
    <w:p>
      <w:pPr>
        <w:pStyle w:val="44"/>
        <w:ind w:firstLine="720" w:firstLineChars="300"/>
        <w:rPr>
          <w:rFonts w:cs="宋体"/>
          <w:color w:val="000000" w:themeColor="text1"/>
          <w:sz w:val="24"/>
          <w:szCs w:val="24"/>
        </w:rPr>
      </w:pPr>
    </w:p>
    <w:p>
      <w:pPr>
        <w:widowControl/>
        <w:jc w:val="left"/>
        <w:rPr>
          <w:rFonts w:ascii="宋体" w:hAnsi="宋体" w:cs="宋体"/>
          <w:color w:val="000000" w:themeColor="text1"/>
          <w:sz w:val="24"/>
          <w:szCs w:val="24"/>
        </w:rPr>
      </w:pPr>
      <w:r>
        <w:rPr>
          <w:rFonts w:cs="宋体"/>
          <w:color w:val="000000" w:themeColor="text1"/>
          <w:sz w:val="24"/>
          <w:szCs w:val="24"/>
        </w:rPr>
        <w:br w:type="page"/>
      </w:r>
    </w:p>
    <w:p>
      <w:pPr>
        <w:pStyle w:val="44"/>
        <w:ind w:firstLine="480"/>
        <w:rPr>
          <w:rFonts w:cs="宋体"/>
          <w:color w:val="000000" w:themeColor="text1"/>
          <w:sz w:val="24"/>
          <w:szCs w:val="24"/>
        </w:rPr>
      </w:pPr>
    </w:p>
    <w:p>
      <w:pPr>
        <w:pStyle w:val="3"/>
        <w:jc w:val="both"/>
        <w:rPr>
          <w:rFonts w:ascii="宋体" w:hAnsi="宋体" w:eastAsia="宋体" w:cs="宋体"/>
          <w:b/>
          <w:color w:val="000000" w:themeColor="text1"/>
          <w:sz w:val="44"/>
        </w:rPr>
      </w:pPr>
      <w:bookmarkStart w:id="212" w:name="_Toc22937"/>
    </w:p>
    <w:p>
      <w:pPr>
        <w:pStyle w:val="3"/>
        <w:ind w:firstLine="2209" w:firstLineChars="500"/>
        <w:jc w:val="both"/>
        <w:rPr>
          <w:rFonts w:ascii="宋体" w:hAnsi="宋体" w:eastAsia="宋体" w:cs="宋体"/>
          <w:b/>
          <w:color w:val="000000" w:themeColor="text1"/>
          <w:sz w:val="44"/>
        </w:rPr>
      </w:pPr>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ascii="宋体" w:hAnsi="宋体" w:cs="宋体"/>
          <w:b/>
          <w:color w:val="000000" w:themeColor="text1"/>
          <w:sz w:val="72"/>
        </w:rPr>
      </w:pPr>
      <w:bookmarkStart w:id="213" w:name="_Hlt26955039"/>
      <w:bookmarkEnd w:id="213"/>
      <w:bookmarkStart w:id="214" w:name="_Hlt26671244"/>
      <w:bookmarkEnd w:id="214"/>
      <w:bookmarkStart w:id="215" w:name="_Toc26554094"/>
      <w:bookmarkStart w:id="216" w:name="_Toc120614282"/>
      <w:bookmarkStart w:id="217" w:name="_Toc49090576"/>
    </w:p>
    <w:p>
      <w:pPr>
        <w:jc w:val="center"/>
        <w:outlineLvl w:val="0"/>
        <w:rPr>
          <w:rFonts w:ascii="宋体" w:hAnsi="宋体" w:cs="宋体"/>
          <w:b/>
          <w:color w:val="000000" w:themeColor="text1"/>
          <w:sz w:val="72"/>
        </w:rPr>
      </w:pPr>
      <w:bookmarkStart w:id="218" w:name="_Toc23509"/>
      <w:r>
        <w:rPr>
          <w:rFonts w:hint="eastAsia" w:ascii="宋体" w:hAnsi="宋体" w:cs="宋体"/>
          <w:b/>
          <w:color w:val="000000" w:themeColor="text1"/>
          <w:sz w:val="72"/>
        </w:rPr>
        <w:t>投  标  文  件</w:t>
      </w:r>
      <w:bookmarkEnd w:id="218"/>
    </w:p>
    <w:p>
      <w:pPr>
        <w:jc w:val="center"/>
        <w:outlineLvl w:val="0"/>
        <w:rPr>
          <w:rFonts w:ascii="宋体" w:hAnsi="宋体" w:cs="宋体"/>
          <w:b/>
          <w:color w:val="000000" w:themeColor="text1"/>
          <w:sz w:val="72"/>
        </w:rPr>
      </w:pPr>
      <w:bookmarkStart w:id="219" w:name="_Toc20782"/>
      <w:r>
        <w:rPr>
          <w:rFonts w:hint="eastAsia" w:ascii="宋体" w:hAnsi="宋体" w:cs="宋体"/>
          <w:b/>
          <w:color w:val="000000" w:themeColor="text1"/>
          <w:sz w:val="36"/>
        </w:rPr>
        <w:t>（正或副本）</w:t>
      </w:r>
      <w:bookmarkEnd w:id="219"/>
    </w:p>
    <w:p>
      <w:pPr>
        <w:jc w:val="center"/>
        <w:rPr>
          <w:rFonts w:ascii="宋体" w:hAnsi="宋体" w:cs="宋体"/>
          <w:b/>
          <w:color w:val="000000" w:themeColor="text1"/>
          <w:sz w:val="72"/>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4" w:firstLineChars="300"/>
        <w:outlineLvl w:val="0"/>
        <w:rPr>
          <w:rFonts w:ascii="宋体" w:hAnsi="宋体" w:cs="宋体"/>
          <w:b/>
          <w:color w:val="000000" w:themeColor="text1"/>
          <w:sz w:val="36"/>
        </w:rPr>
      </w:pPr>
      <w:bookmarkStart w:id="220" w:name="_Toc26923"/>
      <w:r>
        <w:rPr>
          <w:rFonts w:hint="eastAsia" w:ascii="宋体" w:hAnsi="宋体" w:cs="宋体"/>
          <w:b/>
          <w:color w:val="000000" w:themeColor="text1"/>
          <w:sz w:val="36"/>
        </w:rPr>
        <w:t>项 目 名 称：</w:t>
      </w:r>
      <w:bookmarkEnd w:id="220"/>
    </w:p>
    <w:p>
      <w:pPr>
        <w:ind w:firstLine="1084" w:firstLineChars="300"/>
        <w:outlineLvl w:val="0"/>
        <w:rPr>
          <w:rFonts w:ascii="宋体" w:hAnsi="宋体" w:cs="宋体"/>
          <w:b/>
          <w:color w:val="000000" w:themeColor="text1"/>
          <w:sz w:val="36"/>
          <w:u w:val="single"/>
        </w:rPr>
      </w:pPr>
      <w:bookmarkStart w:id="221" w:name="_Toc13450"/>
      <w:r>
        <w:rPr>
          <w:rFonts w:hint="eastAsia" w:ascii="宋体" w:hAnsi="宋体" w:cs="宋体"/>
          <w:b/>
          <w:color w:val="000000" w:themeColor="text1"/>
          <w:sz w:val="36"/>
        </w:rPr>
        <w:t>招 标 编 号：</w:t>
      </w:r>
      <w:bookmarkEnd w:id="221"/>
    </w:p>
    <w:p>
      <w:pPr>
        <w:ind w:firstLine="1084" w:firstLineChars="300"/>
        <w:outlineLvl w:val="0"/>
        <w:rPr>
          <w:rFonts w:ascii="宋体" w:hAnsi="宋体" w:cs="宋体"/>
          <w:b/>
          <w:color w:val="000000" w:themeColor="text1"/>
          <w:sz w:val="36"/>
          <w:u w:val="single"/>
        </w:rPr>
      </w:pPr>
      <w:bookmarkStart w:id="222" w:name="_Toc26135"/>
      <w:r>
        <w:rPr>
          <w:rFonts w:hint="eastAsia" w:ascii="宋体" w:hAnsi="宋体" w:cs="宋体"/>
          <w:b/>
          <w:color w:val="000000" w:themeColor="text1"/>
          <w:sz w:val="36"/>
        </w:rPr>
        <w:t>投标人名称 ：</w:t>
      </w:r>
      <w:bookmarkEnd w:id="222"/>
    </w:p>
    <w:p>
      <w:pPr>
        <w:ind w:firstLine="1084" w:firstLineChars="300"/>
        <w:outlineLvl w:val="0"/>
        <w:rPr>
          <w:rFonts w:ascii="宋体" w:hAnsi="宋体" w:cs="宋体"/>
          <w:b/>
          <w:color w:val="000000" w:themeColor="text1"/>
          <w:sz w:val="36"/>
        </w:rPr>
      </w:pPr>
      <w:bookmarkStart w:id="223" w:name="_Toc28004"/>
      <w:r>
        <w:rPr>
          <w:rFonts w:hint="eastAsia" w:ascii="宋体" w:hAnsi="宋体" w:cs="宋体"/>
          <w:b/>
          <w:color w:val="000000" w:themeColor="text1"/>
          <w:sz w:val="36"/>
        </w:rPr>
        <w:t>日      期 ：</w:t>
      </w:r>
      <w:bookmarkEnd w:id="223"/>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ind w:firstLine="1084" w:firstLineChars="300"/>
        <w:jc w:val="center"/>
        <w:outlineLvl w:val="0"/>
        <w:rPr>
          <w:rFonts w:ascii="宋体" w:hAnsi="宋体" w:cs="宋体"/>
          <w:b/>
          <w:bCs/>
          <w:color w:val="000000" w:themeColor="text1"/>
          <w:sz w:val="32"/>
          <w:szCs w:val="32"/>
        </w:rPr>
      </w:pPr>
      <w:r>
        <w:rPr>
          <w:rFonts w:hint="eastAsia" w:ascii="宋体" w:hAnsi="宋体" w:cs="宋体"/>
          <w:b/>
          <w:color w:val="000000" w:themeColor="text1"/>
          <w:sz w:val="36"/>
          <w:u w:val="single"/>
        </w:rPr>
        <w:br w:type="page"/>
      </w:r>
      <w:bookmarkStart w:id="224" w:name="_Toc16079"/>
      <w:r>
        <w:rPr>
          <w:rFonts w:hint="eastAsia" w:ascii="宋体" w:hAnsi="宋体" w:cs="宋体"/>
          <w:b/>
          <w:bCs/>
          <w:color w:val="000000" w:themeColor="text1"/>
          <w:sz w:val="32"/>
          <w:szCs w:val="32"/>
        </w:rPr>
        <w:t>投标主要文件目录</w:t>
      </w:r>
      <w:bookmarkEnd w:id="22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225"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225"/>
    </w:p>
    <w:p>
      <w:pPr>
        <w:ind w:firstLine="482" w:firstLineChars="200"/>
        <w:outlineLvl w:val="0"/>
        <w:rPr>
          <w:rFonts w:ascii="宋体" w:hAnsi="宋体" w:cs="宋体"/>
          <w:color w:val="000000" w:themeColor="text1"/>
          <w:sz w:val="24"/>
        </w:rPr>
      </w:pPr>
      <w:bookmarkStart w:id="226"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226"/>
    </w:p>
    <w:p>
      <w:pPr>
        <w:ind w:firstLine="480" w:firstLineChars="200"/>
        <w:outlineLvl w:val="0"/>
        <w:rPr>
          <w:rFonts w:ascii="宋体" w:hAnsi="宋体" w:cs="宋体"/>
          <w:bCs/>
          <w:color w:val="000000" w:themeColor="text1"/>
          <w:sz w:val="24"/>
        </w:rPr>
      </w:pPr>
      <w:bookmarkStart w:id="227" w:name="_Toc17993"/>
      <w:r>
        <w:rPr>
          <w:rFonts w:hint="eastAsia" w:ascii="宋体" w:hAnsi="宋体" w:cs="宋体"/>
          <w:color w:val="000000" w:themeColor="text1"/>
          <w:sz w:val="24"/>
        </w:rPr>
        <w:t>三、符合性检查响应对照表</w:t>
      </w:r>
      <w:bookmarkEnd w:id="227"/>
    </w:p>
    <w:p>
      <w:pPr>
        <w:ind w:firstLine="480" w:firstLineChars="200"/>
        <w:outlineLvl w:val="0"/>
        <w:rPr>
          <w:rFonts w:ascii="宋体" w:hAnsi="宋体" w:cs="宋体"/>
          <w:color w:val="000000" w:themeColor="text1"/>
          <w:sz w:val="24"/>
        </w:rPr>
      </w:pPr>
      <w:bookmarkStart w:id="228" w:name="_Toc4466"/>
      <w:r>
        <w:rPr>
          <w:rFonts w:hint="eastAsia" w:ascii="宋体" w:hAnsi="宋体" w:cs="宋体"/>
          <w:color w:val="000000" w:themeColor="text1"/>
          <w:sz w:val="24"/>
        </w:rPr>
        <w:t>四、投标函</w:t>
      </w:r>
      <w:bookmarkEnd w:id="228"/>
    </w:p>
    <w:p>
      <w:pPr>
        <w:ind w:firstLine="480" w:firstLineChars="200"/>
        <w:outlineLvl w:val="0"/>
        <w:rPr>
          <w:rFonts w:ascii="宋体" w:hAnsi="宋体" w:cs="宋体"/>
          <w:color w:val="000000" w:themeColor="text1"/>
          <w:sz w:val="24"/>
        </w:rPr>
      </w:pPr>
      <w:bookmarkStart w:id="229"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29"/>
    </w:p>
    <w:p>
      <w:pPr>
        <w:ind w:firstLine="480" w:firstLineChars="200"/>
        <w:outlineLvl w:val="0"/>
        <w:rPr>
          <w:rFonts w:ascii="宋体" w:hAnsi="宋体" w:cs="宋体"/>
          <w:color w:val="000000" w:themeColor="text1"/>
          <w:sz w:val="24"/>
        </w:rPr>
      </w:pPr>
      <w:bookmarkStart w:id="230" w:name="_Toc1256"/>
      <w:r>
        <w:rPr>
          <w:rFonts w:hint="eastAsia" w:ascii="宋体" w:hAnsi="宋体" w:cs="宋体"/>
          <w:color w:val="000000" w:themeColor="text1"/>
          <w:sz w:val="24"/>
        </w:rPr>
        <w:t>六、投标配置与分项报价表</w:t>
      </w:r>
      <w:bookmarkEnd w:id="230"/>
    </w:p>
    <w:p>
      <w:pPr>
        <w:ind w:firstLine="480" w:firstLineChars="200"/>
        <w:outlineLvl w:val="0"/>
        <w:rPr>
          <w:rFonts w:ascii="宋体" w:hAnsi="宋体" w:cs="宋体"/>
          <w:color w:val="000000" w:themeColor="text1"/>
          <w:sz w:val="24"/>
        </w:rPr>
      </w:pPr>
      <w:bookmarkStart w:id="231"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31"/>
    </w:p>
    <w:p>
      <w:pPr>
        <w:ind w:firstLine="480" w:firstLineChars="200"/>
        <w:outlineLvl w:val="0"/>
        <w:rPr>
          <w:rFonts w:ascii="宋体" w:hAnsi="宋体" w:cs="宋体"/>
          <w:color w:val="000000" w:themeColor="text1"/>
          <w:sz w:val="24"/>
        </w:rPr>
      </w:pPr>
      <w:bookmarkStart w:id="232" w:name="_Toc13614"/>
      <w:r>
        <w:rPr>
          <w:rFonts w:hint="eastAsia" w:ascii="宋体" w:hAnsi="宋体" w:cs="宋体"/>
          <w:color w:val="000000" w:themeColor="text1"/>
          <w:sz w:val="24"/>
        </w:rPr>
        <w:t>八、商务条款响应及偏离表</w:t>
      </w:r>
      <w:bookmarkEnd w:id="232"/>
    </w:p>
    <w:p>
      <w:pPr>
        <w:ind w:firstLine="480" w:firstLineChars="200"/>
        <w:outlineLvl w:val="0"/>
        <w:rPr>
          <w:rFonts w:ascii="宋体" w:hAnsi="宋体" w:cs="宋体"/>
          <w:color w:val="000000" w:themeColor="text1"/>
          <w:sz w:val="24"/>
        </w:rPr>
      </w:pPr>
      <w:bookmarkStart w:id="233" w:name="_Toc25377"/>
      <w:r>
        <w:rPr>
          <w:rFonts w:hint="eastAsia" w:ascii="宋体" w:hAnsi="宋体" w:cs="宋体"/>
          <w:color w:val="000000" w:themeColor="text1"/>
          <w:sz w:val="24"/>
        </w:rPr>
        <w:t>九、技术方案、服务承诺、培训承诺等</w:t>
      </w:r>
      <w:bookmarkEnd w:id="233"/>
    </w:p>
    <w:p>
      <w:pPr>
        <w:ind w:firstLine="480" w:firstLineChars="200"/>
        <w:outlineLvl w:val="0"/>
        <w:rPr>
          <w:rFonts w:ascii="宋体" w:hAnsi="宋体" w:cs="宋体"/>
          <w:color w:val="000000" w:themeColor="text1"/>
        </w:rPr>
      </w:pPr>
      <w:bookmarkStart w:id="234" w:name="_Toc28209"/>
      <w:r>
        <w:rPr>
          <w:rFonts w:hint="eastAsia" w:ascii="宋体" w:hAnsi="宋体" w:cs="宋体"/>
          <w:color w:val="000000" w:themeColor="text1"/>
          <w:sz w:val="24"/>
          <w:szCs w:val="24"/>
        </w:rPr>
        <w:t>十、中小企业声明函</w:t>
      </w:r>
      <w:bookmarkEnd w:id="234"/>
    </w:p>
    <w:p>
      <w:pPr>
        <w:spacing w:line="440" w:lineRule="exact"/>
        <w:ind w:firstLine="480" w:firstLineChars="200"/>
        <w:outlineLvl w:val="0"/>
        <w:rPr>
          <w:rFonts w:ascii="宋体" w:hAnsi="宋体" w:cs="宋体"/>
          <w:color w:val="000000" w:themeColor="text1"/>
          <w:sz w:val="24"/>
        </w:rPr>
      </w:pPr>
      <w:bookmarkStart w:id="235" w:name="_Toc13879"/>
      <w:r>
        <w:rPr>
          <w:rFonts w:hint="eastAsia" w:ascii="宋体" w:hAnsi="宋体" w:cs="宋体"/>
          <w:color w:val="000000" w:themeColor="text1"/>
          <w:sz w:val="24"/>
        </w:rPr>
        <w:t>十一、盐城市政府采购事前信用承诺书</w:t>
      </w:r>
      <w:bookmarkEnd w:id="235"/>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24"/>
        </w:rPr>
        <w:br w:type="page"/>
      </w:r>
      <w:bookmarkStart w:id="236" w:name="_Toc27319"/>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3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
        <w:rPr>
          <w:rFonts w:ascii="宋体" w:hAnsi="宋体" w:eastAsia="宋体" w:cs="宋体"/>
          <w:color w:val="000000" w:themeColor="text1"/>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ind w:firstLine="0"/>
        <w:rPr>
          <w:rFonts w:ascii="宋体" w:hAnsi="宋体" w:cs="宋体"/>
          <w:color w:val="000000" w:themeColor="text1"/>
          <w:sz w:val="24"/>
          <w:szCs w:val="24"/>
        </w:rPr>
      </w:pPr>
    </w:p>
    <w:p>
      <w:pPr>
        <w:pStyle w:val="5"/>
        <w:jc w:val="center"/>
        <w:rPr>
          <w:rFonts w:ascii="宋体" w:hAnsi="宋体" w:cs="宋体"/>
          <w:b w:val="0"/>
          <w:bCs w:val="0"/>
          <w:color w:val="000000" w:themeColor="text1"/>
          <w:sz w:val="28"/>
          <w:szCs w:val="28"/>
        </w:rPr>
      </w:pPr>
      <w:r>
        <w:rPr>
          <w:rFonts w:hint="eastAsia" w:ascii="宋体" w:hAnsi="宋体" w:cs="宋体"/>
          <w:color w:val="000000" w:themeColor="text1"/>
          <w:sz w:val="28"/>
          <w:szCs w:val="28"/>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br w:type="page"/>
      </w:r>
      <w:r>
        <w:rPr>
          <w:rFonts w:hint="eastAsia" w:ascii="宋体" w:hAnsi="宋体" w:cs="宋体"/>
          <w:color w:val="000000" w:themeColor="text1"/>
          <w:sz w:val="28"/>
          <w:szCs w:val="28"/>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t>法人授权书</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43</w:t>
      </w:r>
      <w:r>
        <w:rPr>
          <w:rFonts w:hint="eastAsia" w:ascii="宋体" w:hAnsi="宋体" w:cs="宋体"/>
          <w:color w:val="000000" w:themeColor="text1"/>
          <w:sz w:val="24"/>
          <w:szCs w:val="24"/>
          <w:u w:val="single"/>
        </w:rPr>
        <w:t>Q</w:t>
      </w:r>
      <w:r>
        <w:rPr>
          <w:rFonts w:hint="eastAsia" w:ascii="宋体" w:hAnsi="宋体" w:cs="宋体"/>
          <w:color w:val="000000" w:themeColor="text1"/>
          <w:sz w:val="24"/>
          <w:szCs w:val="24"/>
        </w:rPr>
        <w:t>号项目采购活动的合法代理人，以本公司名义全权处理一切与该项目采购有关的事务。</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9"/>
        <w:ind w:firstLine="0" w:firstLineChars="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37" w:name="_Hlt26955070"/>
      <w:bookmarkEnd w:id="237"/>
      <w:bookmarkStart w:id="238" w:name="_Hlt26671380"/>
      <w:bookmarkEnd w:id="238"/>
      <w:bookmarkStart w:id="239" w:name="_格式3__银行出具的资信证明"/>
      <w:bookmarkEnd w:id="239"/>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40" w:name="_Toc3822"/>
      <w:r>
        <w:rPr>
          <w:rFonts w:hint="eastAsia" w:ascii="宋体" w:hAnsi="宋体" w:cs="宋体"/>
          <w:color w:val="000000" w:themeColor="text1"/>
          <w:sz w:val="32"/>
          <w:szCs w:val="32"/>
        </w:rPr>
        <w:t>二、资格性审查响应对照表（格式）</w:t>
      </w:r>
      <w:bookmarkEnd w:id="24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215"/>
    <w:bookmarkEnd w:id="216"/>
    <w:bookmarkEnd w:id="217"/>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1" w:name="_Toc26324"/>
      <w:r>
        <w:rPr>
          <w:rFonts w:hint="eastAsia" w:ascii="宋体" w:hAnsi="宋体" w:cs="宋体"/>
          <w:color w:val="000000" w:themeColor="text1"/>
          <w:sz w:val="32"/>
          <w:szCs w:val="32"/>
        </w:rPr>
        <w:t>三、符合性检查响应对照表（格式）</w:t>
      </w:r>
      <w:bookmarkEnd w:id="24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242" w:name="_Toc120614284"/>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3" w:name="_Toc13422"/>
      <w:r>
        <w:rPr>
          <w:rFonts w:hint="eastAsia" w:ascii="宋体" w:hAnsi="宋体" w:cs="宋体"/>
          <w:color w:val="000000" w:themeColor="text1"/>
          <w:sz w:val="32"/>
          <w:szCs w:val="32"/>
        </w:rPr>
        <w:t>四、投标函（格式）</w:t>
      </w:r>
      <w:bookmarkEnd w:id="243"/>
    </w:p>
    <w:p>
      <w:pPr>
        <w:pStyle w:val="98"/>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2022-0</w:t>
      </w:r>
      <w:r>
        <w:rPr>
          <w:rFonts w:hint="eastAsia" w:ascii="宋体" w:hAnsi="宋体" w:cs="宋体"/>
          <w:color w:val="000000" w:themeColor="text1"/>
          <w:kern w:val="2"/>
          <w:u w:val="single"/>
          <w:lang w:val="en-US" w:eastAsia="zh-CN"/>
        </w:rPr>
        <w:t>43</w:t>
      </w:r>
      <w:r>
        <w:rPr>
          <w:rFonts w:hint="eastAsia" w:ascii="宋体" w:hAnsi="宋体" w:cs="宋体"/>
          <w:color w:val="000000" w:themeColor="text1"/>
          <w:kern w:val="2"/>
          <w:u w:val="single"/>
        </w:rPr>
        <w:t>Q号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afterLines="50"/>
        <w:jc w:val="left"/>
        <w:rPr>
          <w:rFonts w:ascii="宋体" w:hAnsi="宋体" w:cs="宋体"/>
          <w:color w:val="000000" w:themeColor="text1"/>
          <w:sz w:val="24"/>
          <w:szCs w:val="24"/>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numPr>
          <w:ilvl w:val="0"/>
          <w:numId w:val="8"/>
        </w:numPr>
        <w:snapToGrid w:val="0"/>
        <w:spacing w:before="50" w:after="50"/>
        <w:jc w:val="center"/>
        <w:outlineLvl w:val="0"/>
        <w:rPr>
          <w:rFonts w:ascii="宋体" w:hAnsi="宋体" w:cs="宋体"/>
          <w:color w:val="000000" w:themeColor="text1"/>
          <w:sz w:val="32"/>
          <w:szCs w:val="32"/>
        </w:rPr>
      </w:pPr>
      <w:bookmarkStart w:id="244" w:name="_Toc8939"/>
      <w:r>
        <w:rPr>
          <w:rFonts w:hint="eastAsia" w:ascii="宋体" w:hAnsi="宋体" w:cs="宋体"/>
          <w:color w:val="000000" w:themeColor="text1"/>
          <w:sz w:val="32"/>
          <w:szCs w:val="32"/>
        </w:rPr>
        <w:t>开标一览表（格式）</w:t>
      </w:r>
      <w:bookmarkEnd w:id="244"/>
    </w:p>
    <w:p>
      <w:pPr>
        <w:pStyle w:val="3"/>
        <w:jc w:val="both"/>
        <w:rPr>
          <w:rFonts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rPr>
            </w:pPr>
            <w:r>
              <w:rPr>
                <w:rStyle w:val="115"/>
                <w:rFonts w:hint="eastAsia" w:ascii="宋体" w:hAnsi="宋体" w:cs="宋体"/>
                <w:b/>
                <w:bCs/>
                <w:color w:val="000000" w:themeColor="text1"/>
                <w:sz w:val="24"/>
                <w:szCs w:val="24"/>
              </w:rPr>
              <w:t>项目投标报价：（大写）</w:t>
            </w:r>
            <w:r>
              <w:rPr>
                <w:rStyle w:val="115"/>
                <w:rFonts w:hint="eastAsia" w:ascii="宋体" w:hAnsi="宋体" w:cs="宋体"/>
                <w:color w:val="000000" w:themeColor="text1"/>
                <w:sz w:val="24"/>
                <w:szCs w:val="24"/>
              </w:rPr>
              <w:t>_____</w:t>
            </w:r>
            <w:r>
              <w:rPr>
                <w:rStyle w:val="115"/>
                <w:rFonts w:hint="eastAsia" w:ascii="宋体" w:hAnsi="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rPr>
            </w:pPr>
            <w:r>
              <w:rPr>
                <w:rStyle w:val="115"/>
                <w:rFonts w:hint="eastAsia" w:ascii="宋体" w:hAnsi="宋体" w:cs="宋体"/>
                <w:b/>
                <w:bCs/>
                <w:color w:val="000000" w:themeColor="text1"/>
                <w:szCs w:val="28"/>
              </w:rPr>
              <w:t>是否提供《中小企业声明函》：是 / 否   ，见（       ）页。</w:t>
            </w:r>
          </w:p>
        </w:tc>
      </w:tr>
    </w:tbl>
    <w:p>
      <w:pPr>
        <w:spacing w:line="180" w:lineRule="atLeast"/>
        <w:rPr>
          <w:rFonts w:ascii="宋体" w:hAnsi="宋体" w:cs="宋体"/>
          <w:color w:val="000000" w:themeColor="text1"/>
          <w:szCs w:val="28"/>
        </w:rPr>
      </w:pPr>
    </w:p>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snapToGrid w:val="0"/>
        <w:spacing w:before="50" w:after="50"/>
        <w:rPr>
          <w:rFonts w:ascii="宋体" w:hAnsi="宋体" w:cs="宋体"/>
          <w:color w:val="000000" w:themeColor="text1"/>
          <w:sz w:val="32"/>
          <w:szCs w:val="32"/>
        </w:rPr>
      </w:pPr>
    </w:p>
    <w:p>
      <w:pPr>
        <w:rPr>
          <w:rFonts w:ascii="宋体" w:hAnsi="宋体" w:cs="宋体"/>
          <w:color w:val="000000" w:themeColor="text1"/>
          <w:sz w:val="32"/>
          <w:szCs w:val="32"/>
        </w:rPr>
      </w:pPr>
    </w:p>
    <w:p>
      <w:pPr>
        <w:pStyle w:val="4"/>
        <w:pageBreakBefore/>
        <w:rPr>
          <w:rFonts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r>
        <w:rPr>
          <w:rFonts w:hint="eastAsia"/>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22"/>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22"/>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245"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245"/>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bookmarkEnd w:id="242"/>
    <w:p>
      <w:pPr>
        <w:widowControl/>
        <w:jc w:val="left"/>
        <w:rPr>
          <w:rFonts w:ascii="宋体" w:hAnsi="宋体" w:cs="宋体"/>
          <w:color w:val="000000" w:themeColor="text1"/>
          <w:sz w:val="32"/>
          <w:szCs w:val="32"/>
        </w:rPr>
      </w:pPr>
      <w:bookmarkStart w:id="246" w:name="_Hlt26955054"/>
      <w:bookmarkEnd w:id="246"/>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7" w:name="_Toc17355"/>
      <w:r>
        <w:rPr>
          <w:rFonts w:hint="eastAsia" w:ascii="宋体" w:hAnsi="宋体" w:cs="宋体"/>
          <w:color w:val="000000" w:themeColor="text1"/>
          <w:sz w:val="32"/>
          <w:szCs w:val="32"/>
        </w:rPr>
        <w:t>七、技术参数响应及偏离表（如有）</w:t>
      </w:r>
      <w:bookmarkEnd w:id="247"/>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248" w:name="_Toc20796"/>
      <w:r>
        <w:rPr>
          <w:rFonts w:hint="eastAsia" w:ascii="宋体" w:hAnsi="宋体" w:cs="宋体"/>
          <w:color w:val="000000" w:themeColor="text1"/>
          <w:sz w:val="32"/>
          <w:szCs w:val="32"/>
        </w:rPr>
        <w:t>八、商务条款响应及偏离表（如有）</w:t>
      </w:r>
      <w:bookmarkEnd w:id="24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49" w:name="_Hlt24879081"/>
      <w:bookmarkEnd w:id="249"/>
      <w:bookmarkStart w:id="250" w:name="_Hlt26955056"/>
      <w:bookmarkEnd w:id="250"/>
      <w:bookmarkStart w:id="251" w:name="_Hlt26580838"/>
      <w:bookmarkEnd w:id="251"/>
      <w:bookmarkStart w:id="252" w:name="_Hlt26671374"/>
      <w:bookmarkEnd w:id="252"/>
      <w:bookmarkStart w:id="253" w:name="_Hlt26782999"/>
      <w:bookmarkEnd w:id="253"/>
      <w:bookmarkStart w:id="254" w:name="_Hlt26671343"/>
      <w:bookmarkEnd w:id="254"/>
      <w:bookmarkStart w:id="255" w:name="_Hlt26671372"/>
      <w:bookmarkEnd w:id="255"/>
      <w:bookmarkStart w:id="256" w:name="_Hlt26609389"/>
      <w:bookmarkEnd w:id="256"/>
      <w:bookmarkStart w:id="257" w:name="_Hlt26955066"/>
      <w:bookmarkEnd w:id="257"/>
      <w:bookmarkStart w:id="258" w:name="_Hlt26955064"/>
      <w:bookmarkEnd w:id="258"/>
      <w:bookmarkStart w:id="259" w:name="_Hlt26609391"/>
      <w:bookmarkEnd w:id="259"/>
      <w:bookmarkStart w:id="260"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261" w:name="_Toc8363"/>
      <w:r>
        <w:rPr>
          <w:rFonts w:hint="eastAsia" w:ascii="宋体" w:hAnsi="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numPr>
          <w:ilvl w:val="0"/>
          <w:numId w:val="11"/>
        </w:numPr>
        <w:snapToGrid w:val="0"/>
        <w:spacing w:before="50" w:after="50"/>
        <w:outlineLvl w:val="0"/>
        <w:rPr>
          <w:rFonts w:hAnsi="宋体" w:cs="宋体"/>
          <w:b/>
          <w:bCs/>
          <w:color w:val="000000" w:themeColor="text1"/>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outlineLvl w:val="0"/>
        <w:rPr>
          <w:rFonts w:ascii="宋体" w:hAnsi="宋体" w:cs="宋体"/>
          <w:color w:val="000000" w:themeColor="text1"/>
          <w:sz w:val="32"/>
        </w:rPr>
      </w:pPr>
      <w:bookmarkStart w:id="263" w:name="_Toc22033"/>
    </w:p>
    <w:p>
      <w:pPr>
        <w:widowControl/>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rPr>
      </w:pP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4" w:name="_Toc1790"/>
      <w:r>
        <w:rPr>
          <w:rFonts w:hint="eastAsia" w:ascii="宋体" w:hAnsi="宋体" w:cs="宋体"/>
          <w:color w:val="000000" w:themeColor="text1"/>
          <w:sz w:val="24"/>
          <w:szCs w:val="24"/>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5" w:name="_Toc27882"/>
      <w:r>
        <w:rPr>
          <w:rFonts w:hint="eastAsia" w:ascii="宋体" w:hAnsi="宋体" w:cs="宋体"/>
          <w:color w:val="000000" w:themeColor="text1"/>
          <w:sz w:val="24"/>
          <w:szCs w:val="24"/>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6" w:name="_Toc385"/>
      <w:r>
        <w:rPr>
          <w:rFonts w:hint="eastAsia" w:ascii="宋体" w:hAnsi="宋体" w:cs="宋体"/>
          <w:color w:val="000000" w:themeColor="text1"/>
          <w:sz w:val="24"/>
          <w:szCs w:val="24"/>
        </w:rPr>
        <w:t>年    月    日</w:t>
      </w:r>
      <w:bookmarkEnd w:id="266"/>
    </w:p>
    <w:p>
      <w:pPr>
        <w:pStyle w:val="2"/>
        <w:rPr>
          <w:rFonts w:ascii="宋体" w:hAnsi="宋体" w:eastAsia="宋体" w:cs="宋体"/>
          <w:color w:val="000000" w:themeColor="text1"/>
        </w:rPr>
      </w:pPr>
    </w:p>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22</w:t>
                </w:r>
                <w:r>
                  <w:fldChar w:fldCharType="end"/>
                </w:r>
              </w:p>
            </w:txbxContent>
          </v:textbox>
        </v:shape>
      </w:pic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4" o:spid="_x0000_s10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5"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41</w:t>
                </w:r>
                <w: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2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6" o:spid="_x0000_s103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43</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43</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BE321FD4"/>
    <w:multiLevelType w:val="singleLevel"/>
    <w:tmpl w:val="BE321FD4"/>
    <w:lvl w:ilvl="0" w:tentative="0">
      <w:start w:val="1"/>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07B13F14"/>
    <w:multiLevelType w:val="multilevel"/>
    <w:tmpl w:val="07B13F1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644F86A"/>
    <w:multiLevelType w:val="singleLevel"/>
    <w:tmpl w:val="1644F86A"/>
    <w:lvl w:ilvl="0" w:tentative="0">
      <w:start w:val="4"/>
      <w:numFmt w:val="chineseCounting"/>
      <w:suff w:val="space"/>
      <w:lvlText w:val="第%1章"/>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8">
    <w:nsid w:val="34620FCE"/>
    <w:multiLevelType w:val="singleLevel"/>
    <w:tmpl w:val="34620FCE"/>
    <w:lvl w:ilvl="0" w:tentative="0">
      <w:start w:val="5"/>
      <w:numFmt w:val="chineseCounting"/>
      <w:suff w:val="nothing"/>
      <w:lvlText w:val="%1、"/>
      <w:lvlJc w:val="left"/>
      <w:rPr>
        <w:rFonts w:hint="eastAsia"/>
      </w:rPr>
    </w:lvl>
  </w:abstractNum>
  <w:abstractNum w:abstractNumId="9">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0"/>
  </w:num>
  <w:num w:numId="2">
    <w:abstractNumId w:val="2"/>
  </w:num>
  <w:num w:numId="3">
    <w:abstractNumId w:val="9"/>
  </w:num>
  <w:num w:numId="4">
    <w:abstractNumId w:val="0"/>
  </w:num>
  <w:num w:numId="5">
    <w:abstractNumId w:val="5"/>
  </w:num>
  <w:num w:numId="6">
    <w:abstractNumId w:val="1"/>
  </w:num>
  <w:num w:numId="7">
    <w:abstractNumId w:val="3"/>
  </w:num>
  <w:num w:numId="8">
    <w:abstractNumId w:val="8"/>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7E4"/>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63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11B"/>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6C91"/>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1D2C"/>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368"/>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0886"/>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E7D0C"/>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17814"/>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1831"/>
    <w:rsid w:val="0060313A"/>
    <w:rsid w:val="0060350E"/>
    <w:rsid w:val="00605458"/>
    <w:rsid w:val="0060612E"/>
    <w:rsid w:val="00606422"/>
    <w:rsid w:val="00610966"/>
    <w:rsid w:val="00611087"/>
    <w:rsid w:val="00611A6B"/>
    <w:rsid w:val="00611B75"/>
    <w:rsid w:val="00612785"/>
    <w:rsid w:val="0061457B"/>
    <w:rsid w:val="00615124"/>
    <w:rsid w:val="00617A49"/>
    <w:rsid w:val="00617E8B"/>
    <w:rsid w:val="00623297"/>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0B32"/>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9B6"/>
    <w:rsid w:val="00950F1C"/>
    <w:rsid w:val="00952F16"/>
    <w:rsid w:val="0095318A"/>
    <w:rsid w:val="00953603"/>
    <w:rsid w:val="00953D4F"/>
    <w:rsid w:val="00953D99"/>
    <w:rsid w:val="009540B3"/>
    <w:rsid w:val="00956B1B"/>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3358"/>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5772"/>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22D"/>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0ADB"/>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6E7E"/>
    <w:rsid w:val="00BE721E"/>
    <w:rsid w:val="00BE7AAF"/>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36FC0"/>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4B8D"/>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63E"/>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585D"/>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5F44"/>
    <w:rsid w:val="00FA6239"/>
    <w:rsid w:val="00FA6763"/>
    <w:rsid w:val="00FA6A26"/>
    <w:rsid w:val="00FA7DEC"/>
    <w:rsid w:val="00FB0532"/>
    <w:rsid w:val="00FB1BFB"/>
    <w:rsid w:val="00FB3D8D"/>
    <w:rsid w:val="00FB41A1"/>
    <w:rsid w:val="00FB5C3D"/>
    <w:rsid w:val="00FB606A"/>
    <w:rsid w:val="00FB682E"/>
    <w:rsid w:val="00FC05DB"/>
    <w:rsid w:val="00FC20E0"/>
    <w:rsid w:val="00FC263A"/>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4801B9B"/>
    <w:rsid w:val="05EB7A33"/>
    <w:rsid w:val="061A3A5E"/>
    <w:rsid w:val="06DA0035"/>
    <w:rsid w:val="06DD2A3E"/>
    <w:rsid w:val="06FC0BD1"/>
    <w:rsid w:val="07537D8D"/>
    <w:rsid w:val="07E970E1"/>
    <w:rsid w:val="092819AB"/>
    <w:rsid w:val="099005DD"/>
    <w:rsid w:val="099E54B7"/>
    <w:rsid w:val="09B87692"/>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83D0EAD"/>
    <w:rsid w:val="19E2542C"/>
    <w:rsid w:val="1AA22D2D"/>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2C87508"/>
    <w:rsid w:val="23B25BC1"/>
    <w:rsid w:val="24684E55"/>
    <w:rsid w:val="246F00C4"/>
    <w:rsid w:val="248E7DC8"/>
    <w:rsid w:val="24FD3BFF"/>
    <w:rsid w:val="256A51B9"/>
    <w:rsid w:val="27233DA8"/>
    <w:rsid w:val="275978C1"/>
    <w:rsid w:val="275F3615"/>
    <w:rsid w:val="28A8690F"/>
    <w:rsid w:val="29395EDB"/>
    <w:rsid w:val="295A6C21"/>
    <w:rsid w:val="296E77CC"/>
    <w:rsid w:val="29D578F1"/>
    <w:rsid w:val="2A186894"/>
    <w:rsid w:val="2B556D8B"/>
    <w:rsid w:val="2BAC4606"/>
    <w:rsid w:val="2BF94B05"/>
    <w:rsid w:val="2C071C8D"/>
    <w:rsid w:val="2C4A2609"/>
    <w:rsid w:val="2CD43621"/>
    <w:rsid w:val="2D025BA4"/>
    <w:rsid w:val="2D1D6F93"/>
    <w:rsid w:val="2D255B2E"/>
    <w:rsid w:val="2D433FFD"/>
    <w:rsid w:val="2D9E4D2B"/>
    <w:rsid w:val="2E656801"/>
    <w:rsid w:val="2E8A07BD"/>
    <w:rsid w:val="2EC152C1"/>
    <w:rsid w:val="2EEB0553"/>
    <w:rsid w:val="2F056EEE"/>
    <w:rsid w:val="2F2213F4"/>
    <w:rsid w:val="2F515A05"/>
    <w:rsid w:val="306D6FBD"/>
    <w:rsid w:val="30806A8E"/>
    <w:rsid w:val="308F4CF9"/>
    <w:rsid w:val="30D763BF"/>
    <w:rsid w:val="3163741B"/>
    <w:rsid w:val="32093A30"/>
    <w:rsid w:val="321310F1"/>
    <w:rsid w:val="3223166E"/>
    <w:rsid w:val="33B714F6"/>
    <w:rsid w:val="34711F4D"/>
    <w:rsid w:val="347A7879"/>
    <w:rsid w:val="34EA0C07"/>
    <w:rsid w:val="35577B35"/>
    <w:rsid w:val="35D935F1"/>
    <w:rsid w:val="37105028"/>
    <w:rsid w:val="385139BD"/>
    <w:rsid w:val="398F69F5"/>
    <w:rsid w:val="39957D5B"/>
    <w:rsid w:val="3A0663B5"/>
    <w:rsid w:val="3A323F12"/>
    <w:rsid w:val="3AF93623"/>
    <w:rsid w:val="3B343338"/>
    <w:rsid w:val="3BB731E4"/>
    <w:rsid w:val="3C5D2E55"/>
    <w:rsid w:val="3C7025C7"/>
    <w:rsid w:val="3C8B7266"/>
    <w:rsid w:val="3D8457B7"/>
    <w:rsid w:val="3D9703B1"/>
    <w:rsid w:val="3DA45504"/>
    <w:rsid w:val="3E2F6470"/>
    <w:rsid w:val="3F1B3A07"/>
    <w:rsid w:val="40195DA0"/>
    <w:rsid w:val="40965737"/>
    <w:rsid w:val="40D76DFD"/>
    <w:rsid w:val="4132380B"/>
    <w:rsid w:val="420B6D31"/>
    <w:rsid w:val="42431CC8"/>
    <w:rsid w:val="42BD1230"/>
    <w:rsid w:val="4355594B"/>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0F23AB"/>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0D54F24"/>
    <w:rsid w:val="513D15FA"/>
    <w:rsid w:val="515F22AF"/>
    <w:rsid w:val="51877C0C"/>
    <w:rsid w:val="51B97CC5"/>
    <w:rsid w:val="51D100F5"/>
    <w:rsid w:val="5203014F"/>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C564D6"/>
    <w:rsid w:val="5A127462"/>
    <w:rsid w:val="5AB31D37"/>
    <w:rsid w:val="5AD12546"/>
    <w:rsid w:val="5CA05437"/>
    <w:rsid w:val="5D2D3F61"/>
    <w:rsid w:val="5D8D128E"/>
    <w:rsid w:val="5DCD0713"/>
    <w:rsid w:val="5E262CED"/>
    <w:rsid w:val="5E347ADF"/>
    <w:rsid w:val="5E4467FA"/>
    <w:rsid w:val="5E91745A"/>
    <w:rsid w:val="5EA23BE9"/>
    <w:rsid w:val="5EAA3CE9"/>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62B29"/>
    <w:rsid w:val="69D8078F"/>
    <w:rsid w:val="6A41228D"/>
    <w:rsid w:val="6A4E2E77"/>
    <w:rsid w:val="6AB663FC"/>
    <w:rsid w:val="6B047A4E"/>
    <w:rsid w:val="6B0A6015"/>
    <w:rsid w:val="6BEA0B22"/>
    <w:rsid w:val="6BF5735C"/>
    <w:rsid w:val="6C480AB5"/>
    <w:rsid w:val="6D69131E"/>
    <w:rsid w:val="6D754FE7"/>
    <w:rsid w:val="6D8132A7"/>
    <w:rsid w:val="6DB00E88"/>
    <w:rsid w:val="6DFB7772"/>
    <w:rsid w:val="6E826BC5"/>
    <w:rsid w:val="6EC77533"/>
    <w:rsid w:val="6EE1672F"/>
    <w:rsid w:val="6F1D4630"/>
    <w:rsid w:val="6F80131E"/>
    <w:rsid w:val="70123A7A"/>
    <w:rsid w:val="705B7179"/>
    <w:rsid w:val="708F1141"/>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DED698D"/>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6"/>
    <w:qFormat/>
    <w:uiPriority w:val="0"/>
    <w:rPr>
      <w:kern w:val="2"/>
      <w:sz w:val="21"/>
      <w:szCs w:val="21"/>
    </w:rPr>
  </w:style>
  <w:style w:type="character" w:customStyle="1" w:styleId="65">
    <w:name w:val="标题 3 字符"/>
    <w:link w:val="5"/>
    <w:qFormat/>
    <w:uiPriority w:val="0"/>
    <w:rPr>
      <w:rFonts w:eastAsia="宋体"/>
      <w:b/>
      <w:bCs/>
      <w:kern w:val="2"/>
      <w:sz w:val="32"/>
      <w:szCs w:val="32"/>
      <w:lang w:val="en-US" w:eastAsia="zh-CN" w:bidi="ar-SA"/>
    </w:rPr>
  </w:style>
  <w:style w:type="character" w:customStyle="1" w:styleId="66">
    <w:name w:val="标题 4 字符"/>
    <w:link w:val="7"/>
    <w:qFormat/>
    <w:uiPriority w:val="0"/>
    <w:rPr>
      <w:rFonts w:ascii="Cambria" w:hAnsi="Cambria" w:eastAsia="宋体" w:cs="Times New Roman"/>
      <w:b/>
      <w:kern w:val="2"/>
      <w:sz w:val="28"/>
      <w:szCs w:val="28"/>
    </w:rPr>
  </w:style>
  <w:style w:type="character" w:customStyle="1" w:styleId="67">
    <w:name w:val="文档结构图 字符"/>
    <w:link w:val="15"/>
    <w:qFormat/>
    <w:uiPriority w:val="0"/>
    <w:rPr>
      <w:rFonts w:eastAsia="宋体"/>
      <w:kern w:val="2"/>
      <w:sz w:val="21"/>
      <w:szCs w:val="21"/>
      <w:lang w:val="en-US" w:eastAsia="zh-CN" w:bidi="ar-SA"/>
    </w:rPr>
  </w:style>
  <w:style w:type="character" w:customStyle="1" w:styleId="68">
    <w:name w:val="纯文本 字符"/>
    <w:link w:val="24"/>
    <w:qFormat/>
    <w:uiPriority w:val="0"/>
    <w:rPr>
      <w:rFonts w:ascii="宋体" w:hAnsi="Courier New" w:cs="Courier New"/>
      <w:kern w:val="2"/>
      <w:sz w:val="21"/>
      <w:szCs w:val="21"/>
    </w:rPr>
  </w:style>
  <w:style w:type="character" w:customStyle="1" w:styleId="69">
    <w:name w:val="页脚 字符"/>
    <w:link w:val="29"/>
    <w:qFormat/>
    <w:uiPriority w:val="0"/>
    <w:rPr>
      <w:kern w:val="2"/>
      <w:sz w:val="18"/>
      <w:szCs w:val="18"/>
    </w:rPr>
  </w:style>
  <w:style w:type="character" w:customStyle="1" w:styleId="70">
    <w:name w:val="页眉 字符"/>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33" textRotate="1"/>
    <customShpInfo spid="_x0000_s1034" textRotate="1"/>
    <customShpInfo spid="_x0000_s1035" textRotate="1"/>
    <customShpInfo spid="_x0000_s1029"/>
    <customShpInfo spid="_x0000_s103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C0EF1-3533-441A-80A7-B43486C67767}">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47</Pages>
  <Words>21490</Words>
  <Characters>22741</Characters>
  <Lines>187</Lines>
  <Paragraphs>52</Paragraphs>
  <TotalTime>50</TotalTime>
  <ScaleCrop>false</ScaleCrop>
  <LinksUpToDate>false</LinksUpToDate>
  <CharactersWithSpaces>24834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2022-11-09T08:59:42Z</dcterms:modified>
  <dc:title>江苏卫生信息系统业务软件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8400234576B2478F8ACA41C75A0DC4D3</vt:lpwstr>
  </property>
</Properties>
</file>