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宋体" w:hAnsi="宋体" w:cs="宋体"/>
          <w:color w:val="000000" w:themeColor="text1"/>
          <w:sz w:val="36"/>
          <w14:textFill>
            <w14:solidFill>
              <w14:schemeClr w14:val="tx1"/>
            </w14:solidFill>
          </w14:textFill>
        </w:rPr>
      </w:pPr>
    </w:p>
    <w:p>
      <w:pPr>
        <w:rPr>
          <w:rFonts w:ascii="宋体" w:hAnsi="宋体" w:cs="宋体"/>
          <w:color w:val="000000" w:themeColor="text1"/>
          <w:sz w:val="36"/>
          <w14:textFill>
            <w14:solidFill>
              <w14:schemeClr w14:val="tx1"/>
            </w14:solidFill>
          </w14:textFill>
        </w:rPr>
      </w:pPr>
    </w:p>
    <w:p>
      <w:pPr>
        <w:rPr>
          <w:rFonts w:ascii="宋体" w:hAnsi="宋体" w:cs="宋体"/>
          <w:color w:val="000000" w:themeColor="text1"/>
          <w:sz w:val="36"/>
          <w14:textFill>
            <w14:solidFill>
              <w14:schemeClr w14:val="tx1"/>
            </w14:solidFill>
          </w14:textFill>
        </w:rPr>
      </w:pPr>
    </w:p>
    <w:p>
      <w:pPr>
        <w:rPr>
          <w:rFonts w:ascii="宋体" w:hAnsi="宋体" w:cs="宋体"/>
          <w:color w:val="000000" w:themeColor="text1"/>
          <w:sz w:val="36"/>
          <w14:textFill>
            <w14:solidFill>
              <w14:schemeClr w14:val="tx1"/>
            </w14:solidFill>
          </w14:textFill>
        </w:rPr>
      </w:pPr>
    </w:p>
    <w:p>
      <w:pPr>
        <w:rPr>
          <w:rFonts w:ascii="宋体" w:hAnsi="宋体" w:cs="宋体"/>
          <w:color w:val="000000" w:themeColor="text1"/>
          <w:sz w:val="36"/>
          <w14:textFill>
            <w14:solidFill>
              <w14:schemeClr w14:val="tx1"/>
            </w14:solidFill>
          </w14:textFill>
        </w:rPr>
      </w:pPr>
    </w:p>
    <w:p>
      <w:pPr>
        <w:jc w:val="center"/>
        <w:rPr>
          <w:rFonts w:ascii="宋体" w:hAnsi="宋体" w:cs="宋体"/>
          <w:b/>
          <w:color w:val="000000" w:themeColor="text1"/>
          <w:sz w:val="84"/>
          <w14:textFill>
            <w14:solidFill>
              <w14:schemeClr w14:val="tx1"/>
            </w14:solidFill>
          </w14:textFill>
        </w:rPr>
      </w:pPr>
      <w:r>
        <w:rPr>
          <w:rFonts w:hint="eastAsia" w:ascii="宋体" w:hAnsi="宋体" w:cs="宋体"/>
          <w:b/>
          <w:color w:val="000000" w:themeColor="text1"/>
          <w:sz w:val="84"/>
          <w14:textFill>
            <w14:solidFill>
              <w14:schemeClr w14:val="tx1"/>
            </w14:solidFill>
          </w14:textFill>
        </w:rPr>
        <w:t>招 标 文 件</w:t>
      </w:r>
    </w:p>
    <w:p>
      <w:pPr>
        <w:rPr>
          <w:rFonts w:ascii="宋体" w:hAnsi="宋体" w:cs="宋体"/>
          <w:b/>
          <w:color w:val="000000" w:themeColor="text1"/>
          <w:sz w:val="32"/>
          <w14:textFill>
            <w14:solidFill>
              <w14:schemeClr w14:val="tx1"/>
            </w14:solidFill>
          </w14:textFill>
        </w:rPr>
      </w:pPr>
    </w:p>
    <w:p>
      <w:pPr>
        <w:jc w:val="center"/>
        <w:rPr>
          <w:rFonts w:ascii="宋体" w:hAnsi="宋体" w:cs="宋体"/>
          <w:b/>
          <w:color w:val="000000" w:themeColor="text1"/>
          <w:sz w:val="32"/>
          <w14:textFill>
            <w14:solidFill>
              <w14:schemeClr w14:val="tx1"/>
            </w14:solidFill>
          </w14:textFill>
        </w:rPr>
      </w:pPr>
    </w:p>
    <w:p>
      <w:pPr>
        <w:jc w:val="center"/>
        <w:rPr>
          <w:rFonts w:ascii="宋体" w:hAnsi="宋体" w:cs="宋体"/>
          <w:b/>
          <w:color w:val="000000" w:themeColor="text1"/>
          <w:sz w:val="32"/>
          <w14:textFill>
            <w14:solidFill>
              <w14:schemeClr w14:val="tx1"/>
            </w14:solidFill>
          </w14:textFill>
        </w:rPr>
      </w:pPr>
    </w:p>
    <w:p>
      <w:pPr>
        <w:jc w:val="center"/>
        <w:rPr>
          <w:rFonts w:ascii="宋体" w:hAnsi="宋体" w:cs="宋体"/>
          <w:b/>
          <w:color w:val="000000" w:themeColor="text1"/>
          <w:sz w:val="32"/>
          <w14:textFill>
            <w14:solidFill>
              <w14:schemeClr w14:val="tx1"/>
            </w14:solidFill>
          </w14:textFill>
        </w:rPr>
      </w:pPr>
    </w:p>
    <w:p>
      <w:pPr>
        <w:ind w:firstLine="723" w:firstLineChars="200"/>
        <w:rPr>
          <w:rFonts w:ascii="宋体" w:hAnsi="宋体" w:cs="宋体"/>
          <w:b/>
          <w:color w:val="000000" w:themeColor="text1"/>
          <w:sz w:val="36"/>
          <w14:textFill>
            <w14:solidFill>
              <w14:schemeClr w14:val="tx1"/>
            </w14:solidFill>
          </w14:textFill>
        </w:rPr>
      </w:pPr>
      <w:r>
        <w:rPr>
          <w:rFonts w:hint="eastAsia" w:ascii="宋体" w:hAnsi="宋体" w:cs="宋体"/>
          <w:b/>
          <w:color w:val="000000" w:themeColor="text1"/>
          <w:sz w:val="36"/>
          <w14:textFill>
            <w14:solidFill>
              <w14:schemeClr w14:val="tx1"/>
            </w14:solidFill>
          </w14:textFill>
        </w:rPr>
        <w:t>项目编号：2021-0</w:t>
      </w:r>
      <w:r>
        <w:rPr>
          <w:rFonts w:hint="eastAsia" w:ascii="宋体" w:hAnsi="宋体" w:cs="宋体"/>
          <w:b/>
          <w:color w:val="000000" w:themeColor="text1"/>
          <w:sz w:val="36"/>
          <w:lang w:val="en-US" w:eastAsia="zh-CN"/>
          <w14:textFill>
            <w14:solidFill>
              <w14:schemeClr w14:val="tx1"/>
            </w14:solidFill>
          </w14:textFill>
        </w:rPr>
        <w:t>32</w:t>
      </w:r>
      <w:r>
        <w:rPr>
          <w:rFonts w:hint="eastAsia" w:ascii="宋体" w:hAnsi="宋体" w:cs="宋体"/>
          <w:b/>
          <w:color w:val="000000" w:themeColor="text1"/>
          <w:sz w:val="36"/>
          <w14:textFill>
            <w14:solidFill>
              <w14:schemeClr w14:val="tx1"/>
            </w14:solidFill>
          </w14:textFill>
        </w:rPr>
        <w:t>Q</w:t>
      </w:r>
    </w:p>
    <w:p>
      <w:pPr>
        <w:jc w:val="center"/>
        <w:rPr>
          <w:rFonts w:ascii="宋体" w:hAnsi="宋体" w:cs="宋体"/>
          <w:b/>
          <w:color w:val="000000" w:themeColor="text1"/>
          <w:sz w:val="32"/>
          <w14:textFill>
            <w14:solidFill>
              <w14:schemeClr w14:val="tx1"/>
            </w14:solidFill>
          </w14:textFill>
        </w:rPr>
      </w:pPr>
    </w:p>
    <w:p>
      <w:pPr>
        <w:jc w:val="center"/>
        <w:rPr>
          <w:rFonts w:ascii="宋体" w:hAnsi="宋体" w:cs="宋体"/>
          <w:b/>
          <w:color w:val="000000" w:themeColor="text1"/>
          <w:sz w:val="32"/>
          <w14:textFill>
            <w14:solidFill>
              <w14:schemeClr w14:val="tx1"/>
            </w14:solidFill>
          </w14:textFill>
        </w:rPr>
      </w:pPr>
    </w:p>
    <w:p>
      <w:pPr>
        <w:ind w:left="2525" w:leftChars="342" w:hanging="1807" w:hangingChars="500"/>
        <w:rPr>
          <w:rFonts w:hint="eastAsia" w:ascii="宋体" w:hAnsi="宋体" w:eastAsia="宋体" w:cs="宋体"/>
          <w:b/>
          <w:color w:val="000000" w:themeColor="text1"/>
          <w:sz w:val="36"/>
          <w:szCs w:val="36"/>
          <w:lang w:eastAsia="zh-CN"/>
          <w14:textFill>
            <w14:solidFill>
              <w14:schemeClr w14:val="tx1"/>
            </w14:solidFill>
          </w14:textFill>
        </w:rPr>
      </w:pPr>
      <w:r>
        <w:rPr>
          <w:rFonts w:hint="eastAsia" w:ascii="宋体" w:hAnsi="宋体" w:cs="宋体"/>
          <w:b/>
          <w:color w:val="000000" w:themeColor="text1"/>
          <w:sz w:val="36"/>
          <w:szCs w:val="36"/>
          <w14:textFill>
            <w14:solidFill>
              <w14:schemeClr w14:val="tx1"/>
            </w14:solidFill>
          </w14:textFill>
        </w:rPr>
        <w:t>项目名称：盐城工业职业技术学院</w:t>
      </w:r>
      <w:r>
        <w:rPr>
          <w:rFonts w:hint="eastAsia" w:ascii="黑体" w:hAnsi="黑体" w:eastAsia="黑体"/>
          <w:color w:val="000000" w:themeColor="text1"/>
          <w:sz w:val="36"/>
          <w:szCs w:val="36"/>
          <w:lang w:eastAsia="zh-CN"/>
          <w14:textFill>
            <w14:solidFill>
              <w14:schemeClr w14:val="tx1"/>
            </w14:solidFill>
          </w14:textFill>
        </w:rPr>
        <w:t>2022年省技能大赛耗材采购项目</w:t>
      </w:r>
    </w:p>
    <w:p>
      <w:pPr>
        <w:ind w:firstLine="602" w:firstLineChars="200"/>
        <w:rPr>
          <w:rFonts w:ascii="宋体" w:hAnsi="宋体" w:cs="宋体"/>
          <w:b/>
          <w:color w:val="000000" w:themeColor="text1"/>
          <w:sz w:val="30"/>
          <w:szCs w:val="30"/>
          <w14:textFill>
            <w14:solidFill>
              <w14:schemeClr w14:val="tx1"/>
            </w14:solidFill>
          </w14:textFill>
        </w:rPr>
      </w:pPr>
    </w:p>
    <w:p>
      <w:pPr>
        <w:rPr>
          <w:rFonts w:ascii="宋体" w:hAnsi="宋体" w:cs="宋体"/>
          <w:b/>
          <w:color w:val="000000" w:themeColor="text1"/>
          <w:sz w:val="32"/>
          <w14:textFill>
            <w14:solidFill>
              <w14:schemeClr w14:val="tx1"/>
            </w14:solidFill>
          </w14:textFill>
        </w:rPr>
      </w:pPr>
    </w:p>
    <w:p>
      <w:pPr>
        <w:rPr>
          <w:rFonts w:ascii="宋体" w:hAnsi="宋体" w:cs="宋体"/>
          <w:b/>
          <w:color w:val="000000" w:themeColor="text1"/>
          <w:sz w:val="32"/>
          <w14:textFill>
            <w14:solidFill>
              <w14:schemeClr w14:val="tx1"/>
            </w14:solidFill>
          </w14:textFill>
        </w:rPr>
      </w:pPr>
    </w:p>
    <w:p>
      <w:pPr>
        <w:rPr>
          <w:rFonts w:ascii="宋体" w:hAnsi="宋体" w:cs="宋体"/>
          <w:b/>
          <w:color w:val="000000" w:themeColor="text1"/>
          <w:sz w:val="32"/>
          <w14:textFill>
            <w14:solidFill>
              <w14:schemeClr w14:val="tx1"/>
            </w14:solidFill>
          </w14:textFill>
        </w:rPr>
      </w:pPr>
    </w:p>
    <w:p>
      <w:pPr>
        <w:rPr>
          <w:rFonts w:ascii="宋体" w:hAnsi="宋体" w:cs="宋体"/>
          <w:b/>
          <w:color w:val="000000" w:themeColor="text1"/>
          <w:sz w:val="32"/>
          <w14:textFill>
            <w14:solidFill>
              <w14:schemeClr w14:val="tx1"/>
            </w14:solidFill>
          </w14:textFill>
        </w:rPr>
      </w:pPr>
    </w:p>
    <w:p>
      <w:pPr>
        <w:spacing w:line="460" w:lineRule="exact"/>
        <w:ind w:firstLine="723" w:firstLineChars="200"/>
        <w:jc w:val="center"/>
        <w:rPr>
          <w:rFonts w:ascii="宋体" w:hAnsi="宋体" w:cs="宋体"/>
          <w:b/>
          <w:color w:val="000000" w:themeColor="text1"/>
          <w:sz w:val="36"/>
          <w:szCs w:val="36"/>
          <w14:textFill>
            <w14:solidFill>
              <w14:schemeClr w14:val="tx1"/>
            </w14:solidFill>
          </w14:textFill>
        </w:rPr>
      </w:pPr>
      <w:r>
        <w:rPr>
          <w:rFonts w:hint="eastAsia" w:ascii="宋体" w:hAnsi="宋体" w:cs="宋体"/>
          <w:b/>
          <w:color w:val="000000" w:themeColor="text1"/>
          <w:sz w:val="36"/>
          <w:szCs w:val="36"/>
          <w14:textFill>
            <w14:solidFill>
              <w14:schemeClr w14:val="tx1"/>
            </w14:solidFill>
          </w14:textFill>
        </w:rPr>
        <w:t>盐城工业职业技术学院</w:t>
      </w:r>
    </w:p>
    <w:p>
      <w:pPr>
        <w:spacing w:line="460" w:lineRule="exact"/>
        <w:ind w:firstLine="723" w:firstLineChars="200"/>
        <w:jc w:val="center"/>
        <w:rPr>
          <w:color w:val="000000" w:themeColor="text1"/>
          <w14:textFill>
            <w14:solidFill>
              <w14:schemeClr w14:val="tx1"/>
            </w14:solidFill>
          </w14:textFill>
        </w:rPr>
      </w:pPr>
      <w:r>
        <w:rPr>
          <w:rFonts w:hint="eastAsia" w:ascii="宋体" w:hAnsi="宋体" w:cs="宋体"/>
          <w:b/>
          <w:color w:val="000000" w:themeColor="text1"/>
          <w:sz w:val="36"/>
          <w:szCs w:val="36"/>
          <w14:textFill>
            <w14:solidFill>
              <w14:schemeClr w14:val="tx1"/>
            </w14:solidFill>
          </w14:textFill>
        </w:rPr>
        <w:t>江苏全盛工程造价事务所有限公司</w:t>
      </w:r>
    </w:p>
    <w:p>
      <w:pPr>
        <w:jc w:val="center"/>
        <w:rPr>
          <w:rFonts w:ascii="宋体" w:hAnsi="宋体" w:cs="宋体"/>
          <w:b/>
          <w:color w:val="000000" w:themeColor="text1"/>
          <w:sz w:val="36"/>
          <w:szCs w:val="36"/>
          <w14:textFill>
            <w14:solidFill>
              <w14:schemeClr w14:val="tx1"/>
            </w14:solidFill>
          </w14:textFill>
        </w:rPr>
      </w:pPr>
      <w:r>
        <w:rPr>
          <w:rFonts w:hint="eastAsia" w:ascii="宋体" w:hAnsi="宋体" w:cs="宋体"/>
          <w:b/>
          <w:color w:val="000000" w:themeColor="text1"/>
          <w:sz w:val="36"/>
          <w:szCs w:val="36"/>
          <w14:textFill>
            <w14:solidFill>
              <w14:schemeClr w14:val="tx1"/>
            </w14:solidFill>
          </w14:textFill>
        </w:rPr>
        <w:t xml:space="preserve"> 2021年</w:t>
      </w:r>
      <w:r>
        <w:rPr>
          <w:rFonts w:hint="eastAsia" w:ascii="宋体" w:hAnsi="宋体" w:cs="宋体"/>
          <w:b/>
          <w:color w:val="000000" w:themeColor="text1"/>
          <w:sz w:val="36"/>
          <w:szCs w:val="36"/>
          <w:lang w:val="en-US" w:eastAsia="zh-CN"/>
          <w14:textFill>
            <w14:solidFill>
              <w14:schemeClr w14:val="tx1"/>
            </w14:solidFill>
          </w14:textFill>
        </w:rPr>
        <w:t>11</w:t>
      </w:r>
      <w:r>
        <w:rPr>
          <w:rFonts w:hint="eastAsia" w:ascii="宋体" w:hAnsi="宋体" w:cs="宋体"/>
          <w:b/>
          <w:color w:val="000000" w:themeColor="text1"/>
          <w:sz w:val="36"/>
          <w:szCs w:val="36"/>
          <w14:textFill>
            <w14:solidFill>
              <w14:schemeClr w14:val="tx1"/>
            </w14:solidFill>
          </w14:textFill>
        </w:rPr>
        <w:t>月</w:t>
      </w:r>
      <w:r>
        <w:rPr>
          <w:rFonts w:hint="eastAsia" w:ascii="宋体" w:hAnsi="宋体" w:cs="宋体"/>
          <w:b/>
          <w:color w:val="000000" w:themeColor="text1"/>
          <w:sz w:val="36"/>
          <w:szCs w:val="36"/>
          <w:lang w:val="en-US" w:eastAsia="zh-CN"/>
          <w14:textFill>
            <w14:solidFill>
              <w14:schemeClr w14:val="tx1"/>
            </w14:solidFill>
          </w14:textFill>
        </w:rPr>
        <w:t>23</w:t>
      </w:r>
      <w:r>
        <w:rPr>
          <w:rFonts w:hint="eastAsia" w:ascii="宋体" w:hAnsi="宋体" w:cs="宋体"/>
          <w:b/>
          <w:color w:val="000000" w:themeColor="text1"/>
          <w:sz w:val="36"/>
          <w:szCs w:val="36"/>
          <w14:textFill>
            <w14:solidFill>
              <w14:schemeClr w14:val="tx1"/>
            </w14:solidFill>
          </w14:textFill>
        </w:rPr>
        <w:t xml:space="preserve"> 日</w:t>
      </w:r>
    </w:p>
    <w:p>
      <w:pPr>
        <w:spacing w:line="480" w:lineRule="auto"/>
        <w:jc w:val="center"/>
        <w:outlineLvl w:val="9"/>
        <w:rPr>
          <w:rFonts w:ascii="宋体" w:hAnsi="宋体" w:cs="宋体"/>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br w:type="page"/>
      </w:r>
      <w:bookmarkStart w:id="0" w:name="_Toc120614210"/>
      <w:bookmarkStart w:id="1" w:name="_Toc523127445"/>
      <w:bookmarkStart w:id="2" w:name="_Toc479757206"/>
      <w:bookmarkStart w:id="3" w:name="_Toc513029200"/>
      <w:bookmarkStart w:id="4" w:name="_Toc16938516"/>
      <w:bookmarkStart w:id="5" w:name="_Toc20823272"/>
    </w:p>
    <w:p>
      <w:pPr>
        <w:spacing w:line="480" w:lineRule="auto"/>
        <w:jc w:val="center"/>
        <w:outlineLvl w:val="0"/>
        <w:rPr>
          <w:rFonts w:ascii="宋体" w:hAnsi="宋体" w:cs="宋体"/>
          <w:b/>
          <w:color w:val="000000" w:themeColor="text1"/>
          <w:sz w:val="44"/>
          <w14:textFill>
            <w14:solidFill>
              <w14:schemeClr w14:val="tx1"/>
            </w14:solidFill>
          </w14:textFill>
        </w:rPr>
      </w:pPr>
      <w:bookmarkStart w:id="6" w:name="_Toc20448"/>
      <w:r>
        <w:rPr>
          <w:rFonts w:hint="eastAsia" w:ascii="宋体" w:hAnsi="宋体" w:cs="宋体"/>
          <w:b/>
          <w:color w:val="000000" w:themeColor="text1"/>
          <w:sz w:val="44"/>
          <w14:textFill>
            <w14:solidFill>
              <w14:schemeClr w14:val="tx1"/>
            </w14:solidFill>
          </w14:textFill>
        </w:rPr>
        <w:t>总  目  录</w:t>
      </w:r>
      <w:bookmarkEnd w:id="6"/>
    </w:p>
    <w:p>
      <w:pPr>
        <w:spacing w:line="480" w:lineRule="auto"/>
        <w:rPr>
          <w:rFonts w:ascii="宋体" w:hAnsi="宋体" w:cs="宋体"/>
          <w:b/>
          <w:color w:val="000000" w:themeColor="text1"/>
          <w:sz w:val="28"/>
          <w14:textFill>
            <w14:solidFill>
              <w14:schemeClr w14:val="tx1"/>
            </w14:solidFill>
          </w14:textFill>
        </w:rPr>
      </w:pPr>
    </w:p>
    <w:sdt>
      <w:sdtPr>
        <w:rPr>
          <w:rFonts w:ascii="宋体" w:hAnsi="宋体" w:eastAsia="宋体" w:cs="Times New Roman"/>
          <w:kern w:val="2"/>
          <w:sz w:val="21"/>
          <w:szCs w:val="21"/>
          <w:lang w:val="en-US" w:eastAsia="zh-CN" w:bidi="ar-SA"/>
        </w:rPr>
        <w:id w:val="147462100"/>
        <w15:color w:val="DBDBDB"/>
        <w:docPartObj>
          <w:docPartGallery w:val="Table of Contents"/>
          <w:docPartUnique/>
        </w:docPartObj>
      </w:sdtPr>
      <w:sdtEndPr>
        <w:rPr>
          <w:rFonts w:ascii="宋体" w:hAnsi="宋体" w:eastAsia="宋体" w:cs="宋体"/>
          <w:b w:val="0"/>
          <w:bCs w:val="0"/>
          <w:color w:val="000000" w:themeColor="text1"/>
          <w:kern w:val="2"/>
          <w:sz w:val="28"/>
          <w:szCs w:val="28"/>
          <w:lang w:val="en-US" w:eastAsia="zh-CN" w:bidi="ar-SA"/>
          <w14:textFill>
            <w14:solidFill>
              <w14:schemeClr w14:val="tx1"/>
            </w14:solidFill>
          </w14:textFill>
        </w:rPr>
      </w:sdtEndPr>
      <w:sdtContent>
        <w:p>
          <w:pPr>
            <w:spacing w:before="0" w:beforeLines="0" w:after="0" w:afterLines="0" w:line="240" w:lineRule="auto"/>
            <w:ind w:left="0" w:leftChars="0" w:right="0" w:rightChars="0" w:firstLine="0" w:firstLineChars="0"/>
            <w:jc w:val="center"/>
            <w:rPr>
              <w:b w:val="0"/>
              <w:bCs w:val="0"/>
            </w:rPr>
          </w:pPr>
          <w:r>
            <w:rPr>
              <w:rFonts w:ascii="宋体" w:hAnsi="宋体" w:eastAsia="宋体" w:cs="宋体"/>
              <w:b w:val="0"/>
              <w:bCs w:val="0"/>
              <w:color w:val="000000" w:themeColor="text1"/>
              <w:sz w:val="44"/>
              <w14:textFill>
                <w14:solidFill>
                  <w14:schemeClr w14:val="tx1"/>
                </w14:solidFill>
              </w14:textFill>
            </w:rPr>
            <w:fldChar w:fldCharType="begin"/>
          </w:r>
          <w:r>
            <w:rPr>
              <w:rFonts w:ascii="宋体" w:hAnsi="宋体" w:eastAsia="宋体" w:cs="宋体"/>
              <w:b w:val="0"/>
              <w:bCs w:val="0"/>
              <w:color w:val="000000" w:themeColor="text1"/>
              <w:sz w:val="44"/>
              <w14:textFill>
                <w14:solidFill>
                  <w14:schemeClr w14:val="tx1"/>
                </w14:solidFill>
              </w14:textFill>
            </w:rPr>
            <w:instrText xml:space="preserve">TOC \o "1-1" \h \u </w:instrText>
          </w:r>
          <w:r>
            <w:rPr>
              <w:rFonts w:ascii="宋体" w:hAnsi="宋体" w:eastAsia="宋体" w:cs="宋体"/>
              <w:b w:val="0"/>
              <w:bCs w:val="0"/>
              <w:color w:val="000000" w:themeColor="text1"/>
              <w:sz w:val="44"/>
              <w14:textFill>
                <w14:solidFill>
                  <w14:schemeClr w14:val="tx1"/>
                </w14:solidFill>
              </w14:textFill>
            </w:rPr>
            <w:fldChar w:fldCharType="separate"/>
          </w:r>
        </w:p>
        <w:p>
          <w:pPr>
            <w:pStyle w:val="118"/>
            <w:tabs>
              <w:tab w:val="right" w:leader="dot" w:pos="9072"/>
            </w:tabs>
            <w:rPr>
              <w:rFonts w:hint="eastAsia" w:ascii="宋体" w:hAnsi="宋体" w:eastAsia="宋体" w:cs="宋体"/>
              <w:b w:val="0"/>
              <w:bCs w:val="0"/>
              <w:sz w:val="36"/>
              <w:szCs w:val="36"/>
            </w:rPr>
          </w:pPr>
          <w:r>
            <w:rPr>
              <w:rFonts w:hint="eastAsia" w:ascii="宋体" w:hAnsi="宋体" w:eastAsia="宋体" w:cs="宋体"/>
              <w:b w:val="0"/>
              <w:bCs w:val="0"/>
              <w:color w:val="000000" w:themeColor="text1"/>
              <w:sz w:val="36"/>
              <w:szCs w:val="36"/>
              <w14:textFill>
                <w14:solidFill>
                  <w14:schemeClr w14:val="tx1"/>
                </w14:solidFill>
              </w14:textFill>
            </w:rPr>
            <w:fldChar w:fldCharType="begin"/>
          </w:r>
          <w:r>
            <w:rPr>
              <w:rFonts w:hint="eastAsia" w:ascii="宋体" w:hAnsi="宋体" w:eastAsia="宋体" w:cs="宋体"/>
              <w:b w:val="0"/>
              <w:bCs w:val="0"/>
              <w:sz w:val="36"/>
              <w:szCs w:val="36"/>
            </w:rPr>
            <w:instrText xml:space="preserve"> HYPERLINK \l _Toc28334 </w:instrText>
          </w:r>
          <w:r>
            <w:rPr>
              <w:rFonts w:hint="eastAsia" w:ascii="宋体" w:hAnsi="宋体" w:eastAsia="宋体" w:cs="宋体"/>
              <w:b w:val="0"/>
              <w:bCs w:val="0"/>
              <w:sz w:val="36"/>
              <w:szCs w:val="36"/>
            </w:rPr>
            <w:fldChar w:fldCharType="separate"/>
          </w:r>
          <w:r>
            <w:rPr>
              <w:rFonts w:hint="eastAsia" w:ascii="宋体" w:hAnsi="宋体" w:eastAsia="宋体" w:cs="宋体"/>
              <w:b w:val="0"/>
              <w:bCs w:val="0"/>
              <w:sz w:val="36"/>
              <w:szCs w:val="36"/>
            </w:rPr>
            <w:t>第一章  招标公告</w:t>
          </w:r>
          <w:r>
            <w:rPr>
              <w:rFonts w:hint="eastAsia" w:ascii="宋体" w:hAnsi="宋体" w:eastAsia="宋体" w:cs="宋体"/>
              <w:b w:val="0"/>
              <w:bCs w:val="0"/>
              <w:sz w:val="36"/>
              <w:szCs w:val="36"/>
            </w:rPr>
            <w:tab/>
          </w:r>
          <w:r>
            <w:rPr>
              <w:rFonts w:hint="eastAsia" w:ascii="宋体" w:hAnsi="宋体" w:eastAsia="宋体" w:cs="宋体"/>
              <w:b w:val="0"/>
              <w:bCs w:val="0"/>
              <w:sz w:val="36"/>
              <w:szCs w:val="36"/>
            </w:rPr>
            <w:fldChar w:fldCharType="begin"/>
          </w:r>
          <w:r>
            <w:rPr>
              <w:rFonts w:hint="eastAsia" w:ascii="宋体" w:hAnsi="宋体" w:eastAsia="宋体" w:cs="宋体"/>
              <w:b w:val="0"/>
              <w:bCs w:val="0"/>
              <w:sz w:val="36"/>
              <w:szCs w:val="36"/>
            </w:rPr>
            <w:instrText xml:space="preserve"> PAGEREF _Toc28334 \h </w:instrText>
          </w:r>
          <w:r>
            <w:rPr>
              <w:rFonts w:hint="eastAsia" w:ascii="宋体" w:hAnsi="宋体" w:eastAsia="宋体" w:cs="宋体"/>
              <w:b w:val="0"/>
              <w:bCs w:val="0"/>
              <w:sz w:val="36"/>
              <w:szCs w:val="36"/>
            </w:rPr>
            <w:fldChar w:fldCharType="separate"/>
          </w:r>
          <w:r>
            <w:rPr>
              <w:rFonts w:hint="eastAsia" w:ascii="宋体" w:hAnsi="宋体" w:eastAsia="宋体" w:cs="宋体"/>
              <w:b w:val="0"/>
              <w:bCs w:val="0"/>
              <w:sz w:val="36"/>
              <w:szCs w:val="36"/>
            </w:rPr>
            <w:t>- 3 -</w:t>
          </w:r>
          <w:r>
            <w:rPr>
              <w:rFonts w:hint="eastAsia" w:ascii="宋体" w:hAnsi="宋体" w:eastAsia="宋体" w:cs="宋体"/>
              <w:b w:val="0"/>
              <w:bCs w:val="0"/>
              <w:sz w:val="36"/>
              <w:szCs w:val="36"/>
            </w:rPr>
            <w:fldChar w:fldCharType="end"/>
          </w:r>
          <w:r>
            <w:rPr>
              <w:rFonts w:hint="eastAsia" w:ascii="宋体" w:hAnsi="宋体" w:eastAsia="宋体" w:cs="宋体"/>
              <w:b w:val="0"/>
              <w:bCs w:val="0"/>
              <w:color w:val="000000" w:themeColor="text1"/>
              <w:sz w:val="36"/>
              <w:szCs w:val="36"/>
              <w14:textFill>
                <w14:solidFill>
                  <w14:schemeClr w14:val="tx1"/>
                </w14:solidFill>
              </w14:textFill>
            </w:rPr>
            <w:fldChar w:fldCharType="end"/>
          </w:r>
        </w:p>
        <w:p>
          <w:pPr>
            <w:pStyle w:val="118"/>
            <w:tabs>
              <w:tab w:val="right" w:leader="dot" w:pos="9072"/>
            </w:tabs>
            <w:rPr>
              <w:rFonts w:hint="eastAsia" w:ascii="宋体" w:hAnsi="宋体" w:eastAsia="宋体" w:cs="宋体"/>
              <w:b w:val="0"/>
              <w:bCs w:val="0"/>
              <w:color w:val="000000" w:themeColor="text1"/>
              <w:sz w:val="36"/>
              <w:szCs w:val="36"/>
              <w14:textFill>
                <w14:solidFill>
                  <w14:schemeClr w14:val="tx1"/>
                </w14:solidFill>
              </w14:textFill>
            </w:rPr>
          </w:pPr>
        </w:p>
        <w:p>
          <w:pPr>
            <w:pStyle w:val="118"/>
            <w:tabs>
              <w:tab w:val="right" w:leader="dot" w:pos="9072"/>
            </w:tabs>
            <w:rPr>
              <w:rFonts w:hint="eastAsia" w:ascii="宋体" w:hAnsi="宋体" w:eastAsia="宋体" w:cs="宋体"/>
              <w:b w:val="0"/>
              <w:bCs w:val="0"/>
              <w:sz w:val="36"/>
              <w:szCs w:val="36"/>
            </w:rPr>
          </w:pPr>
          <w:r>
            <w:rPr>
              <w:rFonts w:hint="eastAsia" w:ascii="宋体" w:hAnsi="宋体" w:eastAsia="宋体" w:cs="宋体"/>
              <w:b w:val="0"/>
              <w:bCs w:val="0"/>
              <w:color w:val="000000" w:themeColor="text1"/>
              <w:sz w:val="36"/>
              <w:szCs w:val="36"/>
              <w14:textFill>
                <w14:solidFill>
                  <w14:schemeClr w14:val="tx1"/>
                </w14:solidFill>
              </w14:textFill>
            </w:rPr>
            <w:fldChar w:fldCharType="begin"/>
          </w:r>
          <w:r>
            <w:rPr>
              <w:rFonts w:hint="eastAsia" w:ascii="宋体" w:hAnsi="宋体" w:eastAsia="宋体" w:cs="宋体"/>
              <w:b w:val="0"/>
              <w:bCs w:val="0"/>
              <w:sz w:val="36"/>
              <w:szCs w:val="36"/>
            </w:rPr>
            <w:instrText xml:space="preserve"> HYPERLINK \l _Toc8598 </w:instrText>
          </w:r>
          <w:r>
            <w:rPr>
              <w:rFonts w:hint="eastAsia" w:ascii="宋体" w:hAnsi="宋体" w:eastAsia="宋体" w:cs="宋体"/>
              <w:b w:val="0"/>
              <w:bCs w:val="0"/>
              <w:sz w:val="36"/>
              <w:szCs w:val="36"/>
            </w:rPr>
            <w:fldChar w:fldCharType="separate"/>
          </w:r>
          <w:r>
            <w:rPr>
              <w:rFonts w:hint="eastAsia" w:ascii="宋体" w:hAnsi="宋体" w:eastAsia="宋体" w:cs="宋体"/>
              <w:b w:val="0"/>
              <w:bCs w:val="0"/>
              <w:sz w:val="36"/>
              <w:szCs w:val="36"/>
            </w:rPr>
            <w:t>第二章  投标人须知</w:t>
          </w:r>
          <w:r>
            <w:rPr>
              <w:rFonts w:hint="eastAsia" w:ascii="宋体" w:hAnsi="宋体" w:eastAsia="宋体" w:cs="宋体"/>
              <w:b w:val="0"/>
              <w:bCs w:val="0"/>
              <w:sz w:val="36"/>
              <w:szCs w:val="36"/>
            </w:rPr>
            <w:tab/>
          </w:r>
          <w:r>
            <w:rPr>
              <w:rFonts w:hint="eastAsia" w:ascii="宋体" w:hAnsi="宋体" w:eastAsia="宋体" w:cs="宋体"/>
              <w:b w:val="0"/>
              <w:bCs w:val="0"/>
              <w:sz w:val="36"/>
              <w:szCs w:val="36"/>
            </w:rPr>
            <w:fldChar w:fldCharType="begin"/>
          </w:r>
          <w:r>
            <w:rPr>
              <w:rFonts w:hint="eastAsia" w:ascii="宋体" w:hAnsi="宋体" w:eastAsia="宋体" w:cs="宋体"/>
              <w:b w:val="0"/>
              <w:bCs w:val="0"/>
              <w:sz w:val="36"/>
              <w:szCs w:val="36"/>
            </w:rPr>
            <w:instrText xml:space="preserve"> PAGEREF _Toc8598 \h </w:instrText>
          </w:r>
          <w:r>
            <w:rPr>
              <w:rFonts w:hint="eastAsia" w:ascii="宋体" w:hAnsi="宋体" w:eastAsia="宋体" w:cs="宋体"/>
              <w:b w:val="0"/>
              <w:bCs w:val="0"/>
              <w:sz w:val="36"/>
              <w:szCs w:val="36"/>
            </w:rPr>
            <w:fldChar w:fldCharType="separate"/>
          </w:r>
          <w:r>
            <w:rPr>
              <w:rFonts w:hint="eastAsia" w:ascii="宋体" w:hAnsi="宋体" w:eastAsia="宋体" w:cs="宋体"/>
              <w:b w:val="0"/>
              <w:bCs w:val="0"/>
              <w:sz w:val="36"/>
              <w:szCs w:val="36"/>
            </w:rPr>
            <w:t>- 7 -</w:t>
          </w:r>
          <w:r>
            <w:rPr>
              <w:rFonts w:hint="eastAsia" w:ascii="宋体" w:hAnsi="宋体" w:eastAsia="宋体" w:cs="宋体"/>
              <w:b w:val="0"/>
              <w:bCs w:val="0"/>
              <w:sz w:val="36"/>
              <w:szCs w:val="36"/>
            </w:rPr>
            <w:fldChar w:fldCharType="end"/>
          </w:r>
          <w:r>
            <w:rPr>
              <w:rFonts w:hint="eastAsia" w:ascii="宋体" w:hAnsi="宋体" w:eastAsia="宋体" w:cs="宋体"/>
              <w:b w:val="0"/>
              <w:bCs w:val="0"/>
              <w:color w:val="000000" w:themeColor="text1"/>
              <w:sz w:val="36"/>
              <w:szCs w:val="36"/>
              <w14:textFill>
                <w14:solidFill>
                  <w14:schemeClr w14:val="tx1"/>
                </w14:solidFill>
              </w14:textFill>
            </w:rPr>
            <w:fldChar w:fldCharType="end"/>
          </w:r>
        </w:p>
        <w:p>
          <w:pPr>
            <w:pStyle w:val="118"/>
            <w:tabs>
              <w:tab w:val="right" w:leader="dot" w:pos="9072"/>
            </w:tabs>
            <w:rPr>
              <w:rFonts w:hint="eastAsia" w:ascii="宋体" w:hAnsi="宋体" w:eastAsia="宋体" w:cs="宋体"/>
              <w:b w:val="0"/>
              <w:bCs w:val="0"/>
              <w:color w:val="000000" w:themeColor="text1"/>
              <w:sz w:val="36"/>
              <w:szCs w:val="36"/>
              <w14:textFill>
                <w14:solidFill>
                  <w14:schemeClr w14:val="tx1"/>
                </w14:solidFill>
              </w14:textFill>
            </w:rPr>
          </w:pPr>
        </w:p>
        <w:p>
          <w:pPr>
            <w:pStyle w:val="118"/>
            <w:tabs>
              <w:tab w:val="right" w:leader="dot" w:pos="9072"/>
            </w:tabs>
            <w:rPr>
              <w:rFonts w:hint="eastAsia" w:ascii="宋体" w:hAnsi="宋体" w:eastAsia="宋体" w:cs="宋体"/>
              <w:b w:val="0"/>
              <w:bCs w:val="0"/>
              <w:sz w:val="36"/>
              <w:szCs w:val="36"/>
            </w:rPr>
          </w:pPr>
          <w:r>
            <w:rPr>
              <w:rFonts w:hint="eastAsia" w:ascii="宋体" w:hAnsi="宋体" w:eastAsia="宋体" w:cs="宋体"/>
              <w:b w:val="0"/>
              <w:bCs w:val="0"/>
              <w:color w:val="000000" w:themeColor="text1"/>
              <w:sz w:val="36"/>
              <w:szCs w:val="36"/>
              <w14:textFill>
                <w14:solidFill>
                  <w14:schemeClr w14:val="tx1"/>
                </w14:solidFill>
              </w14:textFill>
            </w:rPr>
            <w:fldChar w:fldCharType="begin"/>
          </w:r>
          <w:r>
            <w:rPr>
              <w:rFonts w:hint="eastAsia" w:ascii="宋体" w:hAnsi="宋体" w:eastAsia="宋体" w:cs="宋体"/>
              <w:b w:val="0"/>
              <w:bCs w:val="0"/>
              <w:sz w:val="36"/>
              <w:szCs w:val="36"/>
            </w:rPr>
            <w:instrText xml:space="preserve"> HYPERLINK \l _Toc18422 </w:instrText>
          </w:r>
          <w:r>
            <w:rPr>
              <w:rFonts w:hint="eastAsia" w:ascii="宋体" w:hAnsi="宋体" w:eastAsia="宋体" w:cs="宋体"/>
              <w:b w:val="0"/>
              <w:bCs w:val="0"/>
              <w:sz w:val="36"/>
              <w:szCs w:val="36"/>
            </w:rPr>
            <w:fldChar w:fldCharType="separate"/>
          </w:r>
          <w:r>
            <w:rPr>
              <w:rFonts w:hint="eastAsia" w:ascii="宋体" w:hAnsi="宋体" w:eastAsia="宋体" w:cs="宋体"/>
              <w:b w:val="0"/>
              <w:bCs w:val="0"/>
              <w:sz w:val="36"/>
              <w:szCs w:val="36"/>
            </w:rPr>
            <w:t>第三章  合同条款及格式</w:t>
          </w:r>
          <w:r>
            <w:rPr>
              <w:rFonts w:hint="eastAsia" w:ascii="宋体" w:hAnsi="宋体" w:eastAsia="宋体" w:cs="宋体"/>
              <w:b w:val="0"/>
              <w:bCs w:val="0"/>
              <w:sz w:val="36"/>
              <w:szCs w:val="36"/>
            </w:rPr>
            <w:tab/>
          </w:r>
          <w:r>
            <w:rPr>
              <w:rFonts w:hint="eastAsia" w:ascii="宋体" w:hAnsi="宋体" w:eastAsia="宋体" w:cs="宋体"/>
              <w:b w:val="0"/>
              <w:bCs w:val="0"/>
              <w:sz w:val="36"/>
              <w:szCs w:val="36"/>
            </w:rPr>
            <w:fldChar w:fldCharType="begin"/>
          </w:r>
          <w:r>
            <w:rPr>
              <w:rFonts w:hint="eastAsia" w:ascii="宋体" w:hAnsi="宋体" w:eastAsia="宋体" w:cs="宋体"/>
              <w:b w:val="0"/>
              <w:bCs w:val="0"/>
              <w:sz w:val="36"/>
              <w:szCs w:val="36"/>
            </w:rPr>
            <w:instrText xml:space="preserve"> PAGEREF _Toc18422 \h </w:instrText>
          </w:r>
          <w:r>
            <w:rPr>
              <w:rFonts w:hint="eastAsia" w:ascii="宋体" w:hAnsi="宋体" w:eastAsia="宋体" w:cs="宋体"/>
              <w:b w:val="0"/>
              <w:bCs w:val="0"/>
              <w:sz w:val="36"/>
              <w:szCs w:val="36"/>
            </w:rPr>
            <w:fldChar w:fldCharType="separate"/>
          </w:r>
          <w:r>
            <w:rPr>
              <w:rFonts w:hint="eastAsia" w:ascii="宋体" w:hAnsi="宋体" w:eastAsia="宋体" w:cs="宋体"/>
              <w:b w:val="0"/>
              <w:bCs w:val="0"/>
              <w:sz w:val="36"/>
              <w:szCs w:val="36"/>
            </w:rPr>
            <w:t>- 20 -</w:t>
          </w:r>
          <w:r>
            <w:rPr>
              <w:rFonts w:hint="eastAsia" w:ascii="宋体" w:hAnsi="宋体" w:eastAsia="宋体" w:cs="宋体"/>
              <w:b w:val="0"/>
              <w:bCs w:val="0"/>
              <w:sz w:val="36"/>
              <w:szCs w:val="36"/>
            </w:rPr>
            <w:fldChar w:fldCharType="end"/>
          </w:r>
          <w:r>
            <w:rPr>
              <w:rFonts w:hint="eastAsia" w:ascii="宋体" w:hAnsi="宋体" w:eastAsia="宋体" w:cs="宋体"/>
              <w:b w:val="0"/>
              <w:bCs w:val="0"/>
              <w:color w:val="000000" w:themeColor="text1"/>
              <w:sz w:val="36"/>
              <w:szCs w:val="36"/>
              <w14:textFill>
                <w14:solidFill>
                  <w14:schemeClr w14:val="tx1"/>
                </w14:solidFill>
              </w14:textFill>
            </w:rPr>
            <w:fldChar w:fldCharType="end"/>
          </w:r>
        </w:p>
        <w:p>
          <w:pPr>
            <w:pStyle w:val="118"/>
            <w:tabs>
              <w:tab w:val="right" w:leader="dot" w:pos="9072"/>
            </w:tabs>
            <w:rPr>
              <w:rFonts w:hint="eastAsia" w:ascii="宋体" w:hAnsi="宋体" w:eastAsia="宋体" w:cs="宋体"/>
              <w:b w:val="0"/>
              <w:bCs w:val="0"/>
              <w:color w:val="000000" w:themeColor="text1"/>
              <w:sz w:val="36"/>
              <w:szCs w:val="36"/>
              <w14:textFill>
                <w14:solidFill>
                  <w14:schemeClr w14:val="tx1"/>
                </w14:solidFill>
              </w14:textFill>
            </w:rPr>
          </w:pPr>
        </w:p>
        <w:p>
          <w:pPr>
            <w:pStyle w:val="118"/>
            <w:tabs>
              <w:tab w:val="right" w:leader="dot" w:pos="9072"/>
            </w:tabs>
            <w:rPr>
              <w:rFonts w:hint="eastAsia" w:ascii="宋体" w:hAnsi="宋体" w:eastAsia="宋体" w:cs="宋体"/>
              <w:b w:val="0"/>
              <w:bCs w:val="0"/>
              <w:sz w:val="36"/>
              <w:szCs w:val="36"/>
            </w:rPr>
          </w:pPr>
          <w:r>
            <w:rPr>
              <w:rFonts w:hint="eastAsia" w:ascii="宋体" w:hAnsi="宋体" w:eastAsia="宋体" w:cs="宋体"/>
              <w:b w:val="0"/>
              <w:bCs w:val="0"/>
              <w:color w:val="000000" w:themeColor="text1"/>
              <w:sz w:val="36"/>
              <w:szCs w:val="36"/>
              <w14:textFill>
                <w14:solidFill>
                  <w14:schemeClr w14:val="tx1"/>
                </w14:solidFill>
              </w14:textFill>
            </w:rPr>
            <w:fldChar w:fldCharType="begin"/>
          </w:r>
          <w:r>
            <w:rPr>
              <w:rFonts w:hint="eastAsia" w:ascii="宋体" w:hAnsi="宋体" w:eastAsia="宋体" w:cs="宋体"/>
              <w:b w:val="0"/>
              <w:bCs w:val="0"/>
              <w:sz w:val="36"/>
              <w:szCs w:val="36"/>
            </w:rPr>
            <w:instrText xml:space="preserve"> HYPERLINK \l _Toc28173 </w:instrText>
          </w:r>
          <w:r>
            <w:rPr>
              <w:rFonts w:hint="eastAsia" w:ascii="宋体" w:hAnsi="宋体" w:eastAsia="宋体" w:cs="宋体"/>
              <w:b w:val="0"/>
              <w:bCs w:val="0"/>
              <w:sz w:val="36"/>
              <w:szCs w:val="36"/>
            </w:rPr>
            <w:fldChar w:fldCharType="separate"/>
          </w:r>
          <w:r>
            <w:rPr>
              <w:rFonts w:hint="eastAsia" w:ascii="宋体" w:hAnsi="宋体" w:eastAsia="宋体" w:cs="宋体"/>
              <w:b w:val="0"/>
              <w:bCs w:val="0"/>
              <w:sz w:val="36"/>
              <w:szCs w:val="36"/>
            </w:rPr>
            <w:t>第四章 项目技术需求</w:t>
          </w:r>
          <w:r>
            <w:rPr>
              <w:rFonts w:hint="eastAsia" w:ascii="宋体" w:hAnsi="宋体" w:eastAsia="宋体" w:cs="宋体"/>
              <w:b w:val="0"/>
              <w:bCs w:val="0"/>
              <w:sz w:val="36"/>
              <w:szCs w:val="36"/>
            </w:rPr>
            <w:tab/>
          </w:r>
          <w:r>
            <w:rPr>
              <w:rFonts w:hint="eastAsia" w:ascii="宋体" w:hAnsi="宋体" w:eastAsia="宋体" w:cs="宋体"/>
              <w:b w:val="0"/>
              <w:bCs w:val="0"/>
              <w:sz w:val="36"/>
              <w:szCs w:val="36"/>
            </w:rPr>
            <w:fldChar w:fldCharType="begin"/>
          </w:r>
          <w:r>
            <w:rPr>
              <w:rFonts w:hint="eastAsia" w:ascii="宋体" w:hAnsi="宋体" w:eastAsia="宋体" w:cs="宋体"/>
              <w:b w:val="0"/>
              <w:bCs w:val="0"/>
              <w:sz w:val="36"/>
              <w:szCs w:val="36"/>
            </w:rPr>
            <w:instrText xml:space="preserve"> PAGEREF _Toc28173 \h </w:instrText>
          </w:r>
          <w:r>
            <w:rPr>
              <w:rFonts w:hint="eastAsia" w:ascii="宋体" w:hAnsi="宋体" w:eastAsia="宋体" w:cs="宋体"/>
              <w:b w:val="0"/>
              <w:bCs w:val="0"/>
              <w:sz w:val="36"/>
              <w:szCs w:val="36"/>
            </w:rPr>
            <w:fldChar w:fldCharType="separate"/>
          </w:r>
          <w:r>
            <w:rPr>
              <w:rFonts w:hint="eastAsia" w:ascii="宋体" w:hAnsi="宋体" w:eastAsia="宋体" w:cs="宋体"/>
              <w:b w:val="0"/>
              <w:bCs w:val="0"/>
              <w:sz w:val="36"/>
              <w:szCs w:val="36"/>
            </w:rPr>
            <w:t>- 25 -</w:t>
          </w:r>
          <w:r>
            <w:rPr>
              <w:rFonts w:hint="eastAsia" w:ascii="宋体" w:hAnsi="宋体" w:eastAsia="宋体" w:cs="宋体"/>
              <w:b w:val="0"/>
              <w:bCs w:val="0"/>
              <w:sz w:val="36"/>
              <w:szCs w:val="36"/>
            </w:rPr>
            <w:fldChar w:fldCharType="end"/>
          </w:r>
          <w:r>
            <w:rPr>
              <w:rFonts w:hint="eastAsia" w:ascii="宋体" w:hAnsi="宋体" w:eastAsia="宋体" w:cs="宋体"/>
              <w:b w:val="0"/>
              <w:bCs w:val="0"/>
              <w:color w:val="000000" w:themeColor="text1"/>
              <w:sz w:val="36"/>
              <w:szCs w:val="36"/>
              <w14:textFill>
                <w14:solidFill>
                  <w14:schemeClr w14:val="tx1"/>
                </w14:solidFill>
              </w14:textFill>
            </w:rPr>
            <w:fldChar w:fldCharType="end"/>
          </w:r>
        </w:p>
        <w:p>
          <w:pPr>
            <w:pStyle w:val="118"/>
            <w:tabs>
              <w:tab w:val="right" w:leader="dot" w:pos="9072"/>
            </w:tabs>
            <w:rPr>
              <w:rFonts w:hint="eastAsia" w:ascii="宋体" w:hAnsi="宋体" w:eastAsia="宋体" w:cs="宋体"/>
              <w:b w:val="0"/>
              <w:bCs w:val="0"/>
              <w:color w:val="000000" w:themeColor="text1"/>
              <w:sz w:val="36"/>
              <w:szCs w:val="36"/>
              <w14:textFill>
                <w14:solidFill>
                  <w14:schemeClr w14:val="tx1"/>
                </w14:solidFill>
              </w14:textFill>
            </w:rPr>
          </w:pPr>
        </w:p>
        <w:p>
          <w:pPr>
            <w:pStyle w:val="118"/>
            <w:tabs>
              <w:tab w:val="right" w:leader="dot" w:pos="9072"/>
            </w:tabs>
            <w:rPr>
              <w:rFonts w:hint="eastAsia" w:ascii="宋体" w:hAnsi="宋体" w:eastAsia="宋体" w:cs="宋体"/>
              <w:b w:val="0"/>
              <w:bCs w:val="0"/>
              <w:sz w:val="36"/>
              <w:szCs w:val="36"/>
            </w:rPr>
          </w:pPr>
          <w:r>
            <w:rPr>
              <w:rFonts w:hint="eastAsia" w:ascii="宋体" w:hAnsi="宋体" w:eastAsia="宋体" w:cs="宋体"/>
              <w:b w:val="0"/>
              <w:bCs w:val="0"/>
              <w:color w:val="000000" w:themeColor="text1"/>
              <w:sz w:val="36"/>
              <w:szCs w:val="36"/>
              <w14:textFill>
                <w14:solidFill>
                  <w14:schemeClr w14:val="tx1"/>
                </w14:solidFill>
              </w14:textFill>
            </w:rPr>
            <w:fldChar w:fldCharType="begin"/>
          </w:r>
          <w:r>
            <w:rPr>
              <w:rFonts w:hint="eastAsia" w:ascii="宋体" w:hAnsi="宋体" w:eastAsia="宋体" w:cs="宋体"/>
              <w:b w:val="0"/>
              <w:bCs w:val="0"/>
              <w:sz w:val="36"/>
              <w:szCs w:val="36"/>
            </w:rPr>
            <w:instrText xml:space="preserve"> HYPERLINK \l _Toc11599 </w:instrText>
          </w:r>
          <w:r>
            <w:rPr>
              <w:rFonts w:hint="eastAsia" w:ascii="宋体" w:hAnsi="宋体" w:eastAsia="宋体" w:cs="宋体"/>
              <w:b w:val="0"/>
              <w:bCs w:val="0"/>
              <w:sz w:val="36"/>
              <w:szCs w:val="36"/>
            </w:rPr>
            <w:fldChar w:fldCharType="separate"/>
          </w:r>
          <w:r>
            <w:rPr>
              <w:rFonts w:hint="eastAsia" w:ascii="宋体" w:hAnsi="宋体" w:eastAsia="宋体" w:cs="宋体"/>
              <w:b w:val="0"/>
              <w:bCs w:val="0"/>
              <w:sz w:val="36"/>
              <w:szCs w:val="36"/>
            </w:rPr>
            <w:t>第五章  评标方法与评标标准</w:t>
          </w:r>
          <w:r>
            <w:rPr>
              <w:rFonts w:hint="eastAsia" w:ascii="宋体" w:hAnsi="宋体" w:eastAsia="宋体" w:cs="宋体"/>
              <w:b w:val="0"/>
              <w:bCs w:val="0"/>
              <w:sz w:val="36"/>
              <w:szCs w:val="36"/>
            </w:rPr>
            <w:tab/>
          </w:r>
          <w:r>
            <w:rPr>
              <w:rFonts w:hint="eastAsia" w:ascii="宋体" w:hAnsi="宋体" w:eastAsia="宋体" w:cs="宋体"/>
              <w:b w:val="0"/>
              <w:bCs w:val="0"/>
              <w:sz w:val="36"/>
              <w:szCs w:val="36"/>
            </w:rPr>
            <w:fldChar w:fldCharType="begin"/>
          </w:r>
          <w:r>
            <w:rPr>
              <w:rFonts w:hint="eastAsia" w:ascii="宋体" w:hAnsi="宋体" w:eastAsia="宋体" w:cs="宋体"/>
              <w:b w:val="0"/>
              <w:bCs w:val="0"/>
              <w:sz w:val="36"/>
              <w:szCs w:val="36"/>
            </w:rPr>
            <w:instrText xml:space="preserve"> PAGEREF _Toc11599 \h </w:instrText>
          </w:r>
          <w:r>
            <w:rPr>
              <w:rFonts w:hint="eastAsia" w:ascii="宋体" w:hAnsi="宋体" w:eastAsia="宋体" w:cs="宋体"/>
              <w:b w:val="0"/>
              <w:bCs w:val="0"/>
              <w:sz w:val="36"/>
              <w:szCs w:val="36"/>
            </w:rPr>
            <w:fldChar w:fldCharType="separate"/>
          </w:r>
          <w:r>
            <w:rPr>
              <w:rFonts w:hint="eastAsia" w:ascii="宋体" w:hAnsi="宋体" w:eastAsia="宋体" w:cs="宋体"/>
              <w:b w:val="0"/>
              <w:bCs w:val="0"/>
              <w:sz w:val="36"/>
              <w:szCs w:val="36"/>
            </w:rPr>
            <w:t>- 26 -</w:t>
          </w:r>
          <w:r>
            <w:rPr>
              <w:rFonts w:hint="eastAsia" w:ascii="宋体" w:hAnsi="宋体" w:eastAsia="宋体" w:cs="宋体"/>
              <w:b w:val="0"/>
              <w:bCs w:val="0"/>
              <w:sz w:val="36"/>
              <w:szCs w:val="36"/>
            </w:rPr>
            <w:fldChar w:fldCharType="end"/>
          </w:r>
          <w:r>
            <w:rPr>
              <w:rFonts w:hint="eastAsia" w:ascii="宋体" w:hAnsi="宋体" w:eastAsia="宋体" w:cs="宋体"/>
              <w:b w:val="0"/>
              <w:bCs w:val="0"/>
              <w:color w:val="000000" w:themeColor="text1"/>
              <w:sz w:val="36"/>
              <w:szCs w:val="36"/>
              <w14:textFill>
                <w14:solidFill>
                  <w14:schemeClr w14:val="tx1"/>
                </w14:solidFill>
              </w14:textFill>
            </w:rPr>
            <w:fldChar w:fldCharType="end"/>
          </w:r>
        </w:p>
        <w:p>
          <w:pPr>
            <w:pStyle w:val="118"/>
            <w:tabs>
              <w:tab w:val="right" w:leader="dot" w:pos="9072"/>
            </w:tabs>
            <w:rPr>
              <w:rFonts w:hint="eastAsia" w:ascii="宋体" w:hAnsi="宋体" w:eastAsia="宋体" w:cs="宋体"/>
              <w:b w:val="0"/>
              <w:bCs w:val="0"/>
              <w:color w:val="000000" w:themeColor="text1"/>
              <w:sz w:val="36"/>
              <w:szCs w:val="36"/>
              <w14:textFill>
                <w14:solidFill>
                  <w14:schemeClr w14:val="tx1"/>
                </w14:solidFill>
              </w14:textFill>
            </w:rPr>
          </w:pPr>
        </w:p>
        <w:p>
          <w:pPr>
            <w:pStyle w:val="118"/>
            <w:tabs>
              <w:tab w:val="right" w:leader="dot" w:pos="9072"/>
            </w:tabs>
            <w:rPr>
              <w:rFonts w:hint="eastAsia" w:ascii="宋体" w:hAnsi="宋体" w:eastAsia="宋体" w:cs="宋体"/>
              <w:b w:val="0"/>
              <w:bCs w:val="0"/>
              <w:sz w:val="32"/>
              <w:szCs w:val="32"/>
            </w:rPr>
          </w:pPr>
          <w:r>
            <w:rPr>
              <w:rFonts w:hint="eastAsia" w:ascii="宋体" w:hAnsi="宋体" w:eastAsia="宋体" w:cs="宋体"/>
              <w:b w:val="0"/>
              <w:bCs w:val="0"/>
              <w:color w:val="000000" w:themeColor="text1"/>
              <w:sz w:val="36"/>
              <w:szCs w:val="36"/>
              <w14:textFill>
                <w14:solidFill>
                  <w14:schemeClr w14:val="tx1"/>
                </w14:solidFill>
              </w14:textFill>
            </w:rPr>
            <w:fldChar w:fldCharType="begin"/>
          </w:r>
          <w:r>
            <w:rPr>
              <w:rFonts w:hint="eastAsia" w:ascii="宋体" w:hAnsi="宋体" w:eastAsia="宋体" w:cs="宋体"/>
              <w:b w:val="0"/>
              <w:bCs w:val="0"/>
              <w:sz w:val="36"/>
              <w:szCs w:val="36"/>
            </w:rPr>
            <w:instrText xml:space="preserve"> HYPERLINK \l _Toc12169 </w:instrText>
          </w:r>
          <w:r>
            <w:rPr>
              <w:rFonts w:hint="eastAsia" w:ascii="宋体" w:hAnsi="宋体" w:eastAsia="宋体" w:cs="宋体"/>
              <w:b w:val="0"/>
              <w:bCs w:val="0"/>
              <w:sz w:val="36"/>
              <w:szCs w:val="36"/>
            </w:rPr>
            <w:fldChar w:fldCharType="separate"/>
          </w:r>
          <w:r>
            <w:rPr>
              <w:rFonts w:hint="eastAsia" w:ascii="宋体" w:hAnsi="宋体" w:eastAsia="宋体" w:cs="宋体"/>
              <w:b w:val="0"/>
              <w:bCs w:val="0"/>
              <w:sz w:val="36"/>
              <w:szCs w:val="36"/>
            </w:rPr>
            <w:t>第六章  投标文件格式</w:t>
          </w:r>
          <w:r>
            <w:rPr>
              <w:rFonts w:hint="eastAsia" w:ascii="宋体" w:hAnsi="宋体" w:eastAsia="宋体" w:cs="宋体"/>
              <w:b w:val="0"/>
              <w:bCs w:val="0"/>
              <w:sz w:val="36"/>
              <w:szCs w:val="36"/>
            </w:rPr>
            <w:tab/>
          </w:r>
          <w:r>
            <w:rPr>
              <w:rFonts w:hint="eastAsia" w:ascii="宋体" w:hAnsi="宋体" w:eastAsia="宋体" w:cs="宋体"/>
              <w:b w:val="0"/>
              <w:bCs w:val="0"/>
              <w:sz w:val="36"/>
              <w:szCs w:val="36"/>
            </w:rPr>
            <w:fldChar w:fldCharType="begin"/>
          </w:r>
          <w:r>
            <w:rPr>
              <w:rFonts w:hint="eastAsia" w:ascii="宋体" w:hAnsi="宋体" w:eastAsia="宋体" w:cs="宋体"/>
              <w:b w:val="0"/>
              <w:bCs w:val="0"/>
              <w:sz w:val="36"/>
              <w:szCs w:val="36"/>
            </w:rPr>
            <w:instrText xml:space="preserve"> PAGEREF _Toc12169 \h </w:instrText>
          </w:r>
          <w:r>
            <w:rPr>
              <w:rFonts w:hint="eastAsia" w:ascii="宋体" w:hAnsi="宋体" w:eastAsia="宋体" w:cs="宋体"/>
              <w:b w:val="0"/>
              <w:bCs w:val="0"/>
              <w:sz w:val="36"/>
              <w:szCs w:val="36"/>
            </w:rPr>
            <w:fldChar w:fldCharType="separate"/>
          </w:r>
          <w:r>
            <w:rPr>
              <w:rFonts w:hint="eastAsia" w:ascii="宋体" w:hAnsi="宋体" w:eastAsia="宋体" w:cs="宋体"/>
              <w:b w:val="0"/>
              <w:bCs w:val="0"/>
              <w:sz w:val="36"/>
              <w:szCs w:val="36"/>
            </w:rPr>
            <w:t>- 27 -</w:t>
          </w:r>
          <w:r>
            <w:rPr>
              <w:rFonts w:hint="eastAsia" w:ascii="宋体" w:hAnsi="宋体" w:eastAsia="宋体" w:cs="宋体"/>
              <w:b w:val="0"/>
              <w:bCs w:val="0"/>
              <w:sz w:val="36"/>
              <w:szCs w:val="36"/>
            </w:rPr>
            <w:fldChar w:fldCharType="end"/>
          </w:r>
          <w:r>
            <w:rPr>
              <w:rFonts w:hint="eastAsia" w:ascii="宋体" w:hAnsi="宋体" w:eastAsia="宋体" w:cs="宋体"/>
              <w:b w:val="0"/>
              <w:bCs w:val="0"/>
              <w:color w:val="000000" w:themeColor="text1"/>
              <w:sz w:val="36"/>
              <w:szCs w:val="36"/>
              <w14:textFill>
                <w14:solidFill>
                  <w14:schemeClr w14:val="tx1"/>
                </w14:solidFill>
              </w14:textFill>
            </w:rPr>
            <w:fldChar w:fldCharType="end"/>
          </w:r>
        </w:p>
        <w:p>
          <w:pPr>
            <w:pStyle w:val="118"/>
            <w:tabs>
              <w:tab w:val="right" w:leader="dot" w:pos="9072"/>
            </w:tabs>
            <w:rPr>
              <w:b w:val="0"/>
              <w:bCs w:val="0"/>
            </w:rPr>
          </w:pPr>
        </w:p>
        <w:p>
          <w:pPr>
            <w:pStyle w:val="3"/>
            <w:jc w:val="both"/>
            <w:outlineLvl w:val="9"/>
            <w:rPr>
              <w:rFonts w:ascii="宋体" w:hAnsi="宋体" w:eastAsia="宋体" w:cs="宋体"/>
              <w:b w:val="0"/>
              <w:bCs w:val="0"/>
              <w:color w:val="000000" w:themeColor="text1"/>
              <w:kern w:val="2"/>
              <w:sz w:val="28"/>
              <w:szCs w:val="28"/>
              <w:lang w:val="en-US" w:eastAsia="zh-CN" w:bidi="ar-SA"/>
              <w14:textFill>
                <w14:solidFill>
                  <w14:schemeClr w14:val="tx1"/>
                </w14:solidFill>
              </w14:textFill>
            </w:rPr>
            <w:sectPr>
              <w:headerReference r:id="rId3" w:type="default"/>
              <w:footerReference r:id="rId4" w:type="default"/>
              <w:footerReference r:id="rId5" w:type="even"/>
              <w:pgSz w:w="11906" w:h="16838"/>
              <w:pgMar w:top="1418" w:right="1417" w:bottom="1418" w:left="1417" w:header="851" w:footer="907" w:gutter="0"/>
              <w:pgNumType w:fmt="numberInDash" w:start="1"/>
              <w:cols w:space="720" w:num="1"/>
              <w:docGrid w:type="lines" w:linePitch="290" w:charSpace="0"/>
            </w:sectPr>
          </w:pPr>
          <w:r>
            <w:rPr>
              <w:rFonts w:ascii="宋体" w:hAnsi="宋体" w:eastAsia="宋体" w:cs="宋体"/>
              <w:b w:val="0"/>
              <w:bCs w:val="0"/>
              <w:color w:val="000000" w:themeColor="text1"/>
              <w14:textFill>
                <w14:solidFill>
                  <w14:schemeClr w14:val="tx1"/>
                </w14:solidFill>
              </w14:textFill>
            </w:rPr>
            <w:fldChar w:fldCharType="end"/>
          </w:r>
        </w:p>
      </w:sdtContent>
    </w:sdt>
    <w:p/>
    <w:p>
      <w:pPr>
        <w:pStyle w:val="3"/>
        <w:jc w:val="center"/>
        <w:rPr>
          <w:rFonts w:ascii="宋体" w:hAnsi="宋体" w:eastAsia="宋体" w:cs="宋体"/>
          <w:b/>
          <w:bCs/>
          <w:color w:val="000000" w:themeColor="text1"/>
          <w:sz w:val="44"/>
          <w:szCs w:val="44"/>
          <w14:textFill>
            <w14:solidFill>
              <w14:schemeClr w14:val="tx1"/>
            </w14:solidFill>
          </w14:textFill>
        </w:rPr>
      </w:pPr>
      <w:bookmarkStart w:id="7" w:name="_Toc28334"/>
      <w:r>
        <w:rPr>
          <w:rFonts w:hint="eastAsia" w:ascii="宋体" w:hAnsi="宋体" w:eastAsia="宋体" w:cs="宋体"/>
          <w:b/>
          <w:bCs/>
          <w:color w:val="000000" w:themeColor="text1"/>
          <w:sz w:val="44"/>
          <w:szCs w:val="44"/>
          <w14:textFill>
            <w14:solidFill>
              <w14:schemeClr w14:val="tx1"/>
            </w14:solidFill>
          </w14:textFill>
        </w:rPr>
        <w:t xml:space="preserve">第一章  </w:t>
      </w:r>
      <w:bookmarkEnd w:id="0"/>
      <w:r>
        <w:rPr>
          <w:rFonts w:hint="eastAsia" w:ascii="宋体" w:hAnsi="宋体" w:eastAsia="宋体" w:cs="宋体"/>
          <w:b/>
          <w:bCs/>
          <w:color w:val="000000" w:themeColor="text1"/>
          <w:sz w:val="44"/>
          <w:szCs w:val="44"/>
          <w14:textFill>
            <w14:solidFill>
              <w14:schemeClr w14:val="tx1"/>
            </w14:solidFill>
          </w14:textFill>
        </w:rPr>
        <w:t>招标公告</w:t>
      </w:r>
      <w:bookmarkEnd w:id="7"/>
    </w:p>
    <w:p>
      <w:pPr>
        <w:pStyle w:val="3"/>
        <w:tabs>
          <w:tab w:val="left" w:pos="0"/>
          <w:tab w:val="left" w:pos="3165"/>
          <w:tab w:val="center" w:pos="4153"/>
        </w:tabs>
        <w:autoSpaceDE w:val="0"/>
        <w:autoSpaceDN w:val="0"/>
        <w:adjustRightInd w:val="0"/>
        <w:spacing w:line="360" w:lineRule="auto"/>
        <w:rPr>
          <w:rFonts w:ascii="宋体" w:hAnsi="宋体" w:eastAsia="宋体" w:cs="宋体"/>
          <w:b/>
          <w:bCs/>
          <w:color w:val="000000" w:themeColor="text1"/>
          <w14:textFill>
            <w14:solidFill>
              <w14:schemeClr w14:val="tx1"/>
            </w14:solidFill>
          </w14:textFill>
        </w:rPr>
      </w:pPr>
      <w:bookmarkStart w:id="8" w:name="_Toc35393789"/>
      <w:bookmarkStart w:id="9" w:name="_Toc28359001"/>
      <w:bookmarkStart w:id="10" w:name="_Toc3872"/>
      <w:r>
        <w:rPr>
          <w:rFonts w:hint="eastAsia" w:ascii="宋体" w:hAnsi="宋体" w:eastAsia="宋体" w:cs="宋体"/>
          <w:b/>
          <w:bCs/>
          <w:color w:val="000000" w:themeColor="text1"/>
          <w14:textFill>
            <w14:solidFill>
              <w14:schemeClr w14:val="tx1"/>
            </w14:solidFill>
          </w14:textFill>
        </w:rPr>
        <w:t>盐城工业职业技术学院2022年省技能大赛耗材</w:t>
      </w:r>
      <w:r>
        <w:rPr>
          <w:rFonts w:hint="eastAsia" w:ascii="宋体" w:hAnsi="宋体" w:eastAsia="宋体" w:cs="宋体"/>
          <w:b/>
          <w:bCs/>
          <w:color w:val="000000" w:themeColor="text1"/>
          <w:lang w:val="en-US" w:eastAsia="zh-CN"/>
          <w14:textFill>
            <w14:solidFill>
              <w14:schemeClr w14:val="tx1"/>
            </w14:solidFill>
          </w14:textFill>
        </w:rPr>
        <w:t>采购</w:t>
      </w:r>
      <w:r>
        <w:rPr>
          <w:rFonts w:hint="eastAsia" w:ascii="宋体" w:hAnsi="宋体" w:eastAsia="宋体" w:cs="宋体"/>
          <w:b/>
          <w:bCs/>
          <w:color w:val="000000" w:themeColor="text1"/>
          <w:lang w:eastAsia="zh-CN"/>
          <w14:textFill>
            <w14:solidFill>
              <w14:schemeClr w14:val="tx1"/>
            </w14:solidFill>
          </w14:textFill>
        </w:rPr>
        <w:t>项目</w:t>
      </w:r>
      <w:r>
        <w:rPr>
          <w:rFonts w:hint="eastAsia" w:ascii="宋体" w:hAnsi="宋体" w:eastAsia="宋体" w:cs="宋体"/>
          <w:b/>
          <w:bCs/>
          <w:color w:val="000000" w:themeColor="text1"/>
          <w14:textFill>
            <w14:solidFill>
              <w14:schemeClr w14:val="tx1"/>
            </w14:solidFill>
          </w14:textFill>
        </w:rPr>
        <w:t>招标公告</w:t>
      </w:r>
      <w:bookmarkEnd w:id="8"/>
      <w:bookmarkEnd w:id="9"/>
      <w:bookmarkEnd w:id="10"/>
    </w:p>
    <w:p>
      <w:pPr>
        <w:pBdr>
          <w:top w:val="single" w:color="auto" w:sz="4" w:space="1"/>
          <w:left w:val="single" w:color="auto" w:sz="4" w:space="4"/>
          <w:bottom w:val="single" w:color="auto" w:sz="4" w:space="1"/>
          <w:right w:val="single" w:color="auto" w:sz="4" w:space="4"/>
        </w:pBdr>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项目概况</w:t>
      </w:r>
    </w:p>
    <w:p>
      <w:pPr>
        <w:pBdr>
          <w:top w:val="single" w:color="auto" w:sz="4" w:space="1"/>
          <w:left w:val="single" w:color="auto" w:sz="4" w:space="4"/>
          <w:bottom w:val="single" w:color="auto" w:sz="4" w:space="1"/>
          <w:right w:val="single" w:color="auto" w:sz="4" w:space="4"/>
        </w:pBdr>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bCs/>
          <w:color w:val="000000" w:themeColor="text1"/>
          <w:sz w:val="24"/>
          <w:szCs w:val="24"/>
          <w:u w:val="single"/>
          <w14:textFill>
            <w14:solidFill>
              <w14:schemeClr w14:val="tx1"/>
            </w14:solidFill>
          </w14:textFill>
        </w:rPr>
        <w:t>盐城工业职业技术学院2022年省技能大赛耗材</w:t>
      </w:r>
      <w:r>
        <w:rPr>
          <w:rFonts w:hint="eastAsia" w:ascii="宋体" w:hAnsi="宋体" w:cs="宋体"/>
          <w:bCs/>
          <w:color w:val="000000" w:themeColor="text1"/>
          <w:sz w:val="24"/>
          <w:szCs w:val="24"/>
          <w:u w:val="single"/>
          <w:lang w:val="en-US" w:eastAsia="zh-CN"/>
          <w14:textFill>
            <w14:solidFill>
              <w14:schemeClr w14:val="tx1"/>
            </w14:solidFill>
          </w14:textFill>
        </w:rPr>
        <w:t>采购</w:t>
      </w:r>
      <w:r>
        <w:rPr>
          <w:rFonts w:hint="eastAsia" w:ascii="宋体" w:hAnsi="宋体" w:cs="宋体"/>
          <w:bCs/>
          <w:color w:val="000000" w:themeColor="text1"/>
          <w:sz w:val="24"/>
          <w:szCs w:val="24"/>
          <w:u w:val="single"/>
          <w:lang w:eastAsia="zh-CN"/>
          <w14:textFill>
            <w14:solidFill>
              <w14:schemeClr w14:val="tx1"/>
            </w14:solidFill>
          </w14:textFill>
        </w:rPr>
        <w:t>项目</w:t>
      </w:r>
      <w:r>
        <w:rPr>
          <w:rFonts w:hint="eastAsia" w:ascii="宋体" w:hAnsi="宋体" w:cs="宋体"/>
          <w:bCs/>
          <w:color w:val="000000" w:themeColor="text1"/>
          <w:sz w:val="24"/>
          <w:szCs w:val="24"/>
          <w:u w:val="single"/>
          <w14:textFill>
            <w14:solidFill>
              <w14:schemeClr w14:val="tx1"/>
            </w14:solidFill>
          </w14:textFill>
        </w:rPr>
        <w:t>的</w:t>
      </w:r>
      <w:r>
        <w:rPr>
          <w:rFonts w:hint="eastAsia" w:ascii="宋体" w:hAnsi="宋体" w:cs="宋体"/>
          <w:bCs/>
          <w:color w:val="000000" w:themeColor="text1"/>
          <w:sz w:val="24"/>
          <w:szCs w:val="24"/>
          <w14:textFill>
            <w14:solidFill>
              <w14:schemeClr w14:val="tx1"/>
            </w14:solidFill>
          </w14:textFill>
        </w:rPr>
        <w:t>潜在投标人应在</w:t>
      </w:r>
      <w:r>
        <w:rPr>
          <w:rFonts w:hint="eastAsia" w:ascii="宋体" w:hAnsi="宋体" w:cs="宋体"/>
          <w:bCs/>
          <w:color w:val="000000" w:themeColor="text1"/>
          <w:sz w:val="24"/>
          <w:szCs w:val="24"/>
          <w:u w:val="single"/>
          <w14:textFill>
            <w14:solidFill>
              <w14:schemeClr w14:val="tx1"/>
            </w14:solidFill>
          </w14:textFill>
        </w:rPr>
        <w:t>盐城工业职业技术学院招标采购网</w:t>
      </w:r>
      <w:r>
        <w:rPr>
          <w:rFonts w:hint="eastAsia" w:ascii="宋体" w:hAnsi="宋体" w:cs="宋体"/>
          <w:bCs/>
          <w:color w:val="000000" w:themeColor="text1"/>
          <w:sz w:val="24"/>
          <w:szCs w:val="24"/>
          <w14:textFill>
            <w14:solidFill>
              <w14:schemeClr w14:val="tx1"/>
            </w14:solidFill>
          </w14:textFill>
        </w:rPr>
        <w:t>获</w:t>
      </w:r>
      <w:r>
        <w:rPr>
          <w:rFonts w:hint="eastAsia" w:ascii="宋体" w:hAnsi="宋体" w:cs="宋体"/>
          <w:color w:val="000000" w:themeColor="text1"/>
          <w:sz w:val="24"/>
          <w:szCs w:val="24"/>
          <w14:textFill>
            <w14:solidFill>
              <w14:schemeClr w14:val="tx1"/>
            </w14:solidFill>
          </w14:textFill>
        </w:rPr>
        <w:t>取招标文件，并于</w:t>
      </w:r>
      <w:r>
        <w:rPr>
          <w:rFonts w:hint="eastAsia" w:ascii="宋体" w:hAnsi="宋体" w:cs="宋体"/>
          <w:color w:val="000000" w:themeColor="text1"/>
          <w:sz w:val="24"/>
          <w:szCs w:val="24"/>
          <w:u w:val="single"/>
          <w14:textFill>
            <w14:solidFill>
              <w14:schemeClr w14:val="tx1"/>
            </w14:solidFill>
          </w14:textFill>
        </w:rPr>
        <w:t>2021</w:t>
      </w:r>
      <w:r>
        <w:rPr>
          <w:rFonts w:hint="eastAsia" w:ascii="宋体" w:hAnsi="宋体" w:cs="宋体"/>
          <w:bCs/>
          <w:color w:val="000000" w:themeColor="text1"/>
          <w:sz w:val="24"/>
          <w:szCs w:val="24"/>
          <w:u w:val="single"/>
          <w14:textFill>
            <w14:solidFill>
              <w14:schemeClr w14:val="tx1"/>
            </w14:solidFill>
          </w14:textFill>
        </w:rPr>
        <w:t>年</w:t>
      </w:r>
      <w:r>
        <w:rPr>
          <w:rFonts w:hint="eastAsia" w:ascii="宋体" w:hAnsi="宋体" w:cs="宋体"/>
          <w:bCs/>
          <w:color w:val="000000" w:themeColor="text1"/>
          <w:sz w:val="24"/>
          <w:szCs w:val="24"/>
          <w:u w:val="single"/>
          <w:lang w:val="en-US" w:eastAsia="zh-CN"/>
          <w14:textFill>
            <w14:solidFill>
              <w14:schemeClr w14:val="tx1"/>
            </w14:solidFill>
          </w14:textFill>
        </w:rPr>
        <w:t>12</w:t>
      </w:r>
      <w:r>
        <w:rPr>
          <w:rFonts w:hint="eastAsia" w:ascii="宋体" w:hAnsi="宋体" w:cs="宋体"/>
          <w:bCs/>
          <w:color w:val="000000" w:themeColor="text1"/>
          <w:sz w:val="24"/>
          <w:szCs w:val="24"/>
          <w:u w:val="single"/>
          <w14:textFill>
            <w14:solidFill>
              <w14:schemeClr w14:val="tx1"/>
            </w14:solidFill>
          </w14:textFill>
        </w:rPr>
        <w:t>月</w:t>
      </w:r>
      <w:r>
        <w:rPr>
          <w:rFonts w:hint="eastAsia" w:ascii="宋体" w:hAnsi="宋体" w:cs="宋体"/>
          <w:bCs/>
          <w:color w:val="000000" w:themeColor="text1"/>
          <w:sz w:val="24"/>
          <w:szCs w:val="24"/>
          <w:u w:val="single"/>
          <w:lang w:val="en-US" w:eastAsia="zh-CN"/>
          <w14:textFill>
            <w14:solidFill>
              <w14:schemeClr w14:val="tx1"/>
            </w14:solidFill>
          </w14:textFill>
        </w:rPr>
        <w:t>14</w:t>
      </w:r>
      <w:r>
        <w:rPr>
          <w:rFonts w:hint="eastAsia" w:ascii="宋体" w:hAnsi="宋体" w:cs="宋体"/>
          <w:bCs/>
          <w:color w:val="000000" w:themeColor="text1"/>
          <w:sz w:val="24"/>
          <w:szCs w:val="24"/>
          <w:u w:val="single"/>
          <w14:textFill>
            <w14:solidFill>
              <w14:schemeClr w14:val="tx1"/>
            </w14:solidFill>
          </w14:textFill>
        </w:rPr>
        <w:t>日</w:t>
      </w:r>
      <w:r>
        <w:rPr>
          <w:rFonts w:hint="eastAsia" w:ascii="宋体" w:hAnsi="宋体" w:cs="宋体"/>
          <w:bCs/>
          <w:color w:val="000000" w:themeColor="text1"/>
          <w:sz w:val="24"/>
          <w:szCs w:val="24"/>
          <w:u w:val="single"/>
          <w:lang w:val="en-US" w:eastAsia="zh-CN"/>
          <w14:textFill>
            <w14:solidFill>
              <w14:schemeClr w14:val="tx1"/>
            </w14:solidFill>
          </w14:textFill>
        </w:rPr>
        <w:t>9</w:t>
      </w:r>
      <w:r>
        <w:rPr>
          <w:rFonts w:hint="eastAsia" w:ascii="宋体" w:hAnsi="宋体" w:cs="宋体"/>
          <w:bCs/>
          <w:color w:val="000000" w:themeColor="text1"/>
          <w:sz w:val="24"/>
          <w:szCs w:val="24"/>
          <w:u w:val="single"/>
          <w14:textFill>
            <w14:solidFill>
              <w14:schemeClr w14:val="tx1"/>
            </w14:solidFill>
          </w14:textFill>
        </w:rPr>
        <w:t>点00分（</w:t>
      </w:r>
      <w:r>
        <w:rPr>
          <w:rFonts w:hint="eastAsia" w:ascii="宋体" w:hAnsi="宋体" w:cs="宋体"/>
          <w:bCs/>
          <w:color w:val="000000" w:themeColor="text1"/>
          <w:sz w:val="24"/>
          <w:szCs w:val="24"/>
          <w14:textFill>
            <w14:solidFill>
              <w14:schemeClr w14:val="tx1"/>
            </w14:solidFill>
          </w14:textFill>
        </w:rPr>
        <w:t>北京时间）前递交投标文件</w:t>
      </w:r>
      <w:r>
        <w:rPr>
          <w:rFonts w:hint="eastAsia" w:ascii="宋体" w:hAnsi="宋体" w:cs="宋体"/>
          <w:color w:val="000000" w:themeColor="text1"/>
          <w:sz w:val="24"/>
          <w:szCs w:val="24"/>
          <w14:textFill>
            <w14:solidFill>
              <w14:schemeClr w14:val="tx1"/>
            </w14:solidFill>
          </w14:textFill>
        </w:rPr>
        <w:t>。</w:t>
      </w:r>
    </w:p>
    <w:p>
      <w:pPr>
        <w:pStyle w:val="3"/>
        <w:tabs>
          <w:tab w:val="left" w:pos="0"/>
          <w:tab w:val="left" w:pos="3165"/>
          <w:tab w:val="center" w:pos="4153"/>
        </w:tabs>
        <w:autoSpaceDE w:val="0"/>
        <w:autoSpaceDN w:val="0"/>
        <w:adjustRightInd w:val="0"/>
        <w:spacing w:line="460" w:lineRule="exact"/>
        <w:jc w:val="left"/>
        <w:rPr>
          <w:rFonts w:ascii="宋体" w:hAnsi="宋体" w:eastAsia="宋体" w:cs="宋体"/>
          <w:b/>
          <w:bCs/>
          <w:color w:val="000000" w:themeColor="text1"/>
          <w:sz w:val="24"/>
          <w:szCs w:val="24"/>
          <w14:textFill>
            <w14:solidFill>
              <w14:schemeClr w14:val="tx1"/>
            </w14:solidFill>
          </w14:textFill>
        </w:rPr>
      </w:pPr>
      <w:bookmarkStart w:id="11" w:name="_Toc1322"/>
      <w:bookmarkStart w:id="12" w:name="_Toc35393621"/>
      <w:bookmarkStart w:id="13" w:name="_Toc28359002"/>
      <w:bookmarkStart w:id="14" w:name="_Toc28359079"/>
      <w:bookmarkStart w:id="15" w:name="_Toc35393790"/>
      <w:bookmarkStart w:id="16" w:name="_Hlk24379207"/>
      <w:r>
        <w:rPr>
          <w:rFonts w:hint="eastAsia" w:ascii="宋体" w:hAnsi="宋体" w:eastAsia="宋体" w:cs="宋体"/>
          <w:b/>
          <w:bCs/>
          <w:color w:val="000000" w:themeColor="text1"/>
          <w:sz w:val="24"/>
          <w:szCs w:val="24"/>
          <w14:textFill>
            <w14:solidFill>
              <w14:schemeClr w14:val="tx1"/>
            </w14:solidFill>
          </w14:textFill>
        </w:rPr>
        <w:t>一、项目基本情况</w:t>
      </w:r>
      <w:bookmarkEnd w:id="11"/>
      <w:bookmarkEnd w:id="12"/>
      <w:bookmarkEnd w:id="13"/>
      <w:bookmarkEnd w:id="14"/>
      <w:bookmarkEnd w:id="15"/>
    </w:p>
    <w:p>
      <w:pPr>
        <w:spacing w:line="460" w:lineRule="exact"/>
        <w:ind w:firstLine="480" w:firstLineChars="200"/>
        <w:rPr>
          <w:rFonts w:ascii="宋体" w:hAnsi="宋体" w:cs="宋体"/>
          <w:color w:val="000000" w:themeColor="text1"/>
          <w:sz w:val="24"/>
          <w:szCs w:val="24"/>
          <w:u w:val="single"/>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项目编号：</w:t>
      </w:r>
      <w:r>
        <w:rPr>
          <w:rFonts w:hint="eastAsia" w:ascii="宋体" w:hAnsi="宋体" w:cs="宋体"/>
          <w:color w:val="000000" w:themeColor="text1"/>
          <w:sz w:val="24"/>
          <w:szCs w:val="24"/>
          <w:u w:val="single"/>
          <w14:textFill>
            <w14:solidFill>
              <w14:schemeClr w14:val="tx1"/>
            </w14:solidFill>
          </w14:textFill>
        </w:rPr>
        <w:t>2021-0</w:t>
      </w:r>
      <w:r>
        <w:rPr>
          <w:rFonts w:hint="eastAsia" w:ascii="宋体" w:hAnsi="宋体" w:cs="宋体"/>
          <w:color w:val="000000" w:themeColor="text1"/>
          <w:sz w:val="24"/>
          <w:szCs w:val="24"/>
          <w:u w:val="single"/>
          <w:lang w:val="en-US" w:eastAsia="zh-CN"/>
          <w14:textFill>
            <w14:solidFill>
              <w14:schemeClr w14:val="tx1"/>
            </w14:solidFill>
          </w14:textFill>
        </w:rPr>
        <w:t>32</w:t>
      </w:r>
      <w:r>
        <w:rPr>
          <w:rFonts w:hint="eastAsia" w:ascii="宋体" w:hAnsi="宋体" w:cs="宋体"/>
          <w:color w:val="000000" w:themeColor="text1"/>
          <w:sz w:val="24"/>
          <w:szCs w:val="24"/>
          <w:u w:val="single"/>
          <w14:textFill>
            <w14:solidFill>
              <w14:schemeClr w14:val="tx1"/>
            </w14:solidFill>
          </w14:textFill>
        </w:rPr>
        <w:t>Q</w:t>
      </w:r>
    </w:p>
    <w:p>
      <w:pPr>
        <w:spacing w:line="460" w:lineRule="exact"/>
        <w:ind w:firstLine="480" w:firstLineChars="200"/>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项目名称：</w:t>
      </w:r>
      <w:r>
        <w:rPr>
          <w:rFonts w:hint="eastAsia" w:ascii="宋体" w:hAnsi="宋体" w:cs="宋体"/>
          <w:bCs/>
          <w:color w:val="000000" w:themeColor="text1"/>
          <w:sz w:val="24"/>
          <w:szCs w:val="24"/>
          <w:u w:val="single"/>
          <w14:textFill>
            <w14:solidFill>
              <w14:schemeClr w14:val="tx1"/>
            </w14:solidFill>
          </w14:textFill>
        </w:rPr>
        <w:t>盐城工业职业技术学院</w:t>
      </w:r>
      <w:r>
        <w:rPr>
          <w:rFonts w:hint="eastAsia" w:ascii="宋体" w:hAnsi="宋体" w:cs="宋体"/>
          <w:bCs/>
          <w:color w:val="000000" w:themeColor="text1"/>
          <w:sz w:val="24"/>
          <w:szCs w:val="24"/>
          <w:u w:val="single"/>
          <w:lang w:eastAsia="zh-CN"/>
          <w14:textFill>
            <w14:solidFill>
              <w14:schemeClr w14:val="tx1"/>
            </w14:solidFill>
          </w14:textFill>
        </w:rPr>
        <w:t>2022年省技能大赛耗材采购项目</w:t>
      </w:r>
    </w:p>
    <w:bookmarkEnd w:id="16"/>
    <w:p>
      <w:pPr>
        <w:pStyle w:val="40"/>
        <w:spacing w:before="0" w:beforeAutospacing="0" w:after="0" w:afterAutospacing="0"/>
        <w:ind w:firstLine="480" w:firstLineChars="200"/>
        <w:rPr>
          <w:color w:val="000000" w:themeColor="text1"/>
          <w:u w:val="single"/>
          <w14:textFill>
            <w14:solidFill>
              <w14:schemeClr w14:val="tx1"/>
            </w14:solidFill>
          </w14:textFill>
        </w:rPr>
      </w:pPr>
      <w:r>
        <w:rPr>
          <w:rFonts w:hint="eastAsia"/>
          <w:color w:val="000000" w:themeColor="text1"/>
          <w14:textFill>
            <w14:solidFill>
              <w14:schemeClr w14:val="tx1"/>
            </w14:solidFill>
          </w14:textFill>
        </w:rPr>
        <w:t>预算金额：</w:t>
      </w:r>
      <w:r>
        <w:rPr>
          <w:rFonts w:hint="eastAsia"/>
          <w:color w:val="000000" w:themeColor="text1"/>
          <w:kern w:val="2"/>
          <w:u w:val="single"/>
          <w:lang w:val="en-US" w:eastAsia="zh-CN"/>
          <w14:textFill>
            <w14:solidFill>
              <w14:schemeClr w14:val="tx1"/>
            </w14:solidFill>
          </w14:textFill>
        </w:rPr>
        <w:t>21.6</w:t>
      </w:r>
      <w:r>
        <w:rPr>
          <w:rFonts w:hint="eastAsia"/>
          <w:color w:val="000000" w:themeColor="text1"/>
          <w:kern w:val="2"/>
          <w:u w:val="single"/>
          <w14:textFill>
            <w14:solidFill>
              <w14:schemeClr w14:val="tx1"/>
            </w14:solidFill>
          </w14:textFill>
        </w:rPr>
        <w:t>万元。</w:t>
      </w:r>
    </w:p>
    <w:p>
      <w:pPr>
        <w:tabs>
          <w:tab w:val="left" w:pos="900"/>
        </w:tabs>
        <w:spacing w:line="440" w:lineRule="exact"/>
        <w:ind w:firstLine="480" w:firstLineChars="200"/>
        <w:rPr>
          <w:rFonts w:ascii="宋体" w:hAnsi="宋体" w:cs="宋体"/>
          <w:color w:val="000000" w:themeColor="text1"/>
          <w:sz w:val="24"/>
          <w:szCs w:val="24"/>
          <w:u w:val="single"/>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最高限价：</w:t>
      </w:r>
      <w:r>
        <w:rPr>
          <w:rFonts w:hint="eastAsia" w:ascii="宋体" w:hAnsi="宋体" w:cs="宋体"/>
          <w:color w:val="000000" w:themeColor="text1"/>
          <w:sz w:val="24"/>
          <w:szCs w:val="24"/>
          <w:u w:val="single"/>
          <w14:textFill>
            <w14:solidFill>
              <w14:schemeClr w14:val="tx1"/>
            </w14:solidFill>
          </w14:textFill>
        </w:rPr>
        <w:t>人民币</w:t>
      </w:r>
      <w:r>
        <w:rPr>
          <w:rFonts w:hint="eastAsia" w:ascii="宋体" w:hAnsi="宋体" w:cs="宋体"/>
          <w:color w:val="000000" w:themeColor="text1"/>
          <w:sz w:val="24"/>
          <w:szCs w:val="24"/>
          <w:u w:val="single"/>
          <w:lang w:val="en-US" w:eastAsia="zh-CN"/>
          <w14:textFill>
            <w14:solidFill>
              <w14:schemeClr w14:val="tx1"/>
            </w14:solidFill>
          </w14:textFill>
        </w:rPr>
        <w:t>21.6</w:t>
      </w:r>
      <w:r>
        <w:rPr>
          <w:rFonts w:hint="eastAsia" w:ascii="宋体" w:hAnsi="宋体" w:cs="宋体"/>
          <w:color w:val="000000" w:themeColor="text1"/>
          <w:sz w:val="24"/>
          <w:szCs w:val="24"/>
          <w:u w:val="single"/>
          <w14:textFill>
            <w14:solidFill>
              <w14:schemeClr w14:val="tx1"/>
            </w14:solidFill>
          </w14:textFill>
        </w:rPr>
        <w:t>万元。投标人的投标报价不得超过最高限价。</w:t>
      </w:r>
    </w:p>
    <w:p>
      <w:pPr>
        <w:pStyle w:val="40"/>
        <w:spacing w:before="0" w:beforeAutospacing="0" w:after="0" w:afterAutospacing="0"/>
        <w:ind w:firstLine="480" w:firstLineChars="200"/>
        <w:rPr>
          <w:color w:val="000000" w:themeColor="text1"/>
          <w:u w:val="single"/>
          <w14:textFill>
            <w14:solidFill>
              <w14:schemeClr w14:val="tx1"/>
            </w14:solidFill>
          </w14:textFill>
        </w:rPr>
      </w:pPr>
      <w:r>
        <w:rPr>
          <w:rFonts w:hint="eastAsia"/>
          <w:color w:val="000000" w:themeColor="text1"/>
          <w14:textFill>
            <w14:solidFill>
              <w14:schemeClr w14:val="tx1"/>
            </w14:solidFill>
          </w14:textFill>
        </w:rPr>
        <w:t>采购需求：</w:t>
      </w:r>
      <w:r>
        <w:rPr>
          <w:rFonts w:hint="eastAsia" w:ascii="宋体" w:hAnsi="宋体"/>
          <w:color w:val="000000" w:themeColor="text1"/>
          <w:sz w:val="24"/>
          <w:szCs w:val="24"/>
          <w:u w:val="single"/>
          <w:lang w:val="en-US" w:eastAsia="zh-CN"/>
          <w14:textFill>
            <w14:solidFill>
              <w14:schemeClr w14:val="tx1"/>
            </w14:solidFill>
          </w14:textFill>
        </w:rPr>
        <w:t>盐城工业职业技术学院</w:t>
      </w:r>
      <w:r>
        <w:rPr>
          <w:rFonts w:hint="eastAsia"/>
          <w:color w:val="000000" w:themeColor="text1"/>
          <w:sz w:val="24"/>
          <w:szCs w:val="24"/>
          <w:u w:val="single"/>
          <w:lang w:eastAsia="zh-CN"/>
          <w14:textFill>
            <w14:solidFill>
              <w14:schemeClr w14:val="tx1"/>
            </w14:solidFill>
          </w14:textFill>
        </w:rPr>
        <w:t>2022年省技能大赛耗材采购项目</w:t>
      </w:r>
      <w:r>
        <w:rPr>
          <w:rFonts w:hint="eastAsia" w:ascii="宋体" w:hAnsi="宋体"/>
          <w:color w:val="000000" w:themeColor="text1"/>
          <w:sz w:val="24"/>
          <w:szCs w:val="24"/>
          <w:u w:val="single"/>
          <w14:textFill>
            <w14:solidFill>
              <w14:schemeClr w14:val="tx1"/>
            </w14:solidFill>
          </w14:textFill>
        </w:rPr>
        <w:t>的采购、供应、运输、安装及就位、调试、维保、售前、售后等相关伴随服务，具体产品名称、数量、规格及技术参数等以招标文件及报价清单为准，采购人保留对上述采购规模进行调整的权利。（详见采购清单）。</w:t>
      </w:r>
    </w:p>
    <w:p>
      <w:pPr>
        <w:pStyle w:val="105"/>
        <w:tabs>
          <w:tab w:val="left" w:pos="0"/>
        </w:tabs>
        <w:adjustRightInd w:val="0"/>
        <w:snapToGrid w:val="0"/>
        <w:spacing w:line="360" w:lineRule="auto"/>
        <w:ind w:left="0" w:leftChars="0" w:firstLine="480" w:firstLineChars="200"/>
        <w:rPr>
          <w:rFonts w:hint="eastAsia" w:eastAsia="宋体"/>
          <w:color w:val="000000" w:themeColor="text1"/>
          <w:kern w:val="2"/>
          <w:u w:val="single"/>
          <w:lang w:eastAsia="zh-CN"/>
          <w14:textFill>
            <w14:solidFill>
              <w14:schemeClr w14:val="tx1"/>
            </w14:solidFill>
          </w14:textFill>
        </w:rPr>
      </w:pPr>
      <w:r>
        <w:rPr>
          <w:rFonts w:hint="eastAsia"/>
          <w:color w:val="000000" w:themeColor="text1"/>
          <w14:textFill>
            <w14:solidFill>
              <w14:schemeClr w14:val="tx1"/>
            </w14:solidFill>
          </w14:textFill>
        </w:rPr>
        <w:t>合同履行期限：</w:t>
      </w:r>
      <w:r>
        <w:rPr>
          <w:rStyle w:val="114"/>
          <w:rFonts w:hint="eastAsia" w:ascii="宋体" w:hAnsi="宋体" w:cs="宋体"/>
          <w:color w:val="000000" w:themeColor="text1"/>
          <w:sz w:val="24"/>
          <w:szCs w:val="24"/>
          <w:u w:val="single"/>
          <w14:textFill>
            <w14:solidFill>
              <w14:schemeClr w14:val="tx1"/>
            </w14:solidFill>
          </w14:textFill>
        </w:rPr>
        <w:t>合同签订</w:t>
      </w:r>
      <w:r>
        <w:rPr>
          <w:rStyle w:val="114"/>
          <w:rFonts w:hint="eastAsia" w:ascii="宋体" w:hAnsi="宋体" w:cs="宋体"/>
          <w:color w:val="000000" w:themeColor="text1"/>
          <w:sz w:val="24"/>
          <w:szCs w:val="24"/>
          <w:u w:val="single"/>
          <w:lang w:val="en-US" w:eastAsia="zh-CN"/>
          <w14:textFill>
            <w14:solidFill>
              <w14:schemeClr w14:val="tx1"/>
            </w14:solidFill>
          </w14:textFill>
        </w:rPr>
        <w:t>后</w:t>
      </w:r>
      <w:r>
        <w:rPr>
          <w:rStyle w:val="114"/>
          <w:rFonts w:hint="eastAsia" w:ascii="宋体" w:hAnsi="宋体" w:cs="宋体"/>
          <w:color w:val="000000" w:themeColor="text1"/>
          <w:sz w:val="24"/>
          <w:szCs w:val="24"/>
          <w:u w:val="single"/>
          <w:lang w:eastAsia="zh-CN"/>
          <w14:textFill>
            <w14:solidFill>
              <w14:schemeClr w14:val="tx1"/>
            </w14:solidFill>
          </w14:textFill>
        </w:rPr>
        <w:t>，</w:t>
      </w:r>
      <w:r>
        <w:rPr>
          <w:rFonts w:hint="eastAsia" w:ascii="宋体" w:hAnsi="宋体"/>
          <w:color w:val="000000" w:themeColor="text1"/>
          <w:sz w:val="24"/>
          <w:szCs w:val="24"/>
          <w:u w:val="single"/>
          <w14:textFill>
            <w14:solidFill>
              <w14:schemeClr w14:val="tx1"/>
            </w14:solidFill>
          </w14:textFill>
        </w:rPr>
        <w:t>自甲方通知供货之日起的</w:t>
      </w:r>
      <w:r>
        <w:rPr>
          <w:rFonts w:hint="eastAsia" w:ascii="宋体" w:hAnsi="宋体"/>
          <w:color w:val="000000" w:themeColor="text1"/>
          <w:sz w:val="24"/>
          <w:szCs w:val="24"/>
          <w:u w:val="single"/>
          <w:lang w:val="en-US" w:eastAsia="zh-CN"/>
          <w14:textFill>
            <w14:solidFill>
              <w14:schemeClr w14:val="tx1"/>
            </w14:solidFill>
          </w14:textFill>
        </w:rPr>
        <w:t>5</w:t>
      </w:r>
      <w:r>
        <w:rPr>
          <w:rFonts w:hint="eastAsia" w:ascii="宋体" w:hAnsi="宋体"/>
          <w:color w:val="000000" w:themeColor="text1"/>
          <w:sz w:val="24"/>
          <w:szCs w:val="24"/>
          <w:u w:val="single"/>
          <w14:textFill>
            <w14:solidFill>
              <w14:schemeClr w14:val="tx1"/>
            </w14:solidFill>
          </w14:textFill>
        </w:rPr>
        <w:t>日历天内完成供货及安装</w:t>
      </w:r>
      <w:r>
        <w:rPr>
          <w:rFonts w:hint="eastAsia" w:ascii="宋体" w:hAnsi="宋体"/>
          <w:bCs/>
          <w:color w:val="000000" w:themeColor="text1"/>
          <w:sz w:val="24"/>
          <w:szCs w:val="24"/>
          <w:u w:val="single"/>
          <w:lang w:val="zh-CN"/>
          <w14:textFill>
            <w14:solidFill>
              <w14:schemeClr w14:val="tx1"/>
            </w14:solidFill>
          </w14:textFill>
        </w:rPr>
        <w:t>并通过验收。</w:t>
      </w:r>
      <w:r>
        <w:rPr>
          <w:rFonts w:hint="eastAsia"/>
          <w:color w:val="000000" w:themeColor="text1"/>
          <w:kern w:val="2"/>
          <w:u w:val="single"/>
          <w14:textFill>
            <w14:solidFill>
              <w14:schemeClr w14:val="tx1"/>
            </w14:solidFill>
          </w14:textFill>
        </w:rPr>
        <w:t>（如甲方需要延时交付，可另行约定时间）</w:t>
      </w:r>
      <w:r>
        <w:rPr>
          <w:rFonts w:hint="eastAsia"/>
          <w:color w:val="000000" w:themeColor="text1"/>
          <w:kern w:val="2"/>
          <w:u w:val="single"/>
          <w:lang w:eastAsia="zh-CN"/>
          <w14:textFill>
            <w14:solidFill>
              <w14:schemeClr w14:val="tx1"/>
            </w14:solidFill>
          </w14:textFill>
        </w:rPr>
        <w:t>。</w:t>
      </w:r>
    </w:p>
    <w:p>
      <w:pPr>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本项目</w:t>
      </w:r>
      <w:r>
        <w:rPr>
          <w:rFonts w:hint="eastAsia" w:ascii="宋体" w:hAnsi="宋体" w:cs="宋体"/>
          <w:color w:val="000000" w:themeColor="text1"/>
          <w:sz w:val="24"/>
          <w:szCs w:val="24"/>
          <w:u w:val="single"/>
          <w14:textFill>
            <w14:solidFill>
              <w14:schemeClr w14:val="tx1"/>
            </w14:solidFill>
          </w14:textFill>
        </w:rPr>
        <w:t>不接受</w:t>
      </w:r>
      <w:r>
        <w:rPr>
          <w:rFonts w:hint="eastAsia" w:ascii="宋体" w:hAnsi="宋体" w:cs="宋体"/>
          <w:color w:val="000000" w:themeColor="text1"/>
          <w:sz w:val="24"/>
          <w:szCs w:val="24"/>
          <w14:textFill>
            <w14:solidFill>
              <w14:schemeClr w14:val="tx1"/>
            </w14:solidFill>
          </w14:textFill>
        </w:rPr>
        <w:t>联合体投标。</w:t>
      </w:r>
      <w:bookmarkStart w:id="17" w:name="_Toc28359003"/>
      <w:bookmarkStart w:id="18" w:name="_Toc28359080"/>
      <w:bookmarkStart w:id="19" w:name="_Toc35393622"/>
      <w:bookmarkStart w:id="20" w:name="_Toc35393791"/>
      <w:bookmarkStart w:id="21" w:name="_Toc35393623"/>
      <w:bookmarkStart w:id="22" w:name="_Toc35393792"/>
      <w:bookmarkStart w:id="23" w:name="_Toc28359004"/>
      <w:bookmarkStart w:id="24" w:name="_Toc28359081"/>
    </w:p>
    <w:bookmarkEnd w:id="17"/>
    <w:bookmarkEnd w:id="18"/>
    <w:bookmarkEnd w:id="19"/>
    <w:bookmarkEnd w:id="20"/>
    <w:p>
      <w:pPr>
        <w:spacing w:line="460" w:lineRule="exact"/>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二、申请人的资格要求：</w:t>
      </w:r>
    </w:p>
    <w:p>
      <w:pPr>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1.满足《中华人民共和国政府采购法》第二十二条规定，并提供下列材料；</w:t>
      </w:r>
    </w:p>
    <w:p>
      <w:pPr>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（1）法人或者其他组织的营业执照等证明文件，自然人的身份证明；</w:t>
      </w:r>
    </w:p>
    <w:p>
      <w:pPr>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（2）上一年度的财务报表（成立不满一年不需提供</w:t>
      </w:r>
      <w:r>
        <w:rPr>
          <w:rFonts w:hint="eastAsia" w:ascii="宋体" w:hAnsi="宋体" w:cs="宋体"/>
          <w:color w:val="000000" w:themeColor="text1"/>
          <w:sz w:val="24"/>
          <w:szCs w:val="24"/>
          <w:lang w:eastAsia="zh-CN"/>
          <w14:textFill>
            <w14:solidFill>
              <w14:schemeClr w14:val="tx1"/>
            </w14:solidFill>
          </w14:textFill>
        </w:rPr>
        <w:t>、个体工商户不需提供</w:t>
      </w:r>
      <w:r>
        <w:rPr>
          <w:rFonts w:hint="eastAsia" w:ascii="宋体" w:hAnsi="宋体" w:cs="宋体"/>
          <w:color w:val="000000" w:themeColor="text1"/>
          <w:sz w:val="24"/>
          <w:szCs w:val="24"/>
          <w14:textFill>
            <w14:solidFill>
              <w14:schemeClr w14:val="tx1"/>
            </w14:solidFill>
          </w14:textFill>
        </w:rPr>
        <w:t>）；</w:t>
      </w:r>
    </w:p>
    <w:p>
      <w:pPr>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（3）依法缴纳税收</w:t>
      </w:r>
      <w:r>
        <w:rPr>
          <w:rFonts w:hint="eastAsia" w:ascii="宋体" w:hAnsi="宋体" w:cs="宋体"/>
          <w:color w:val="000000" w:themeColor="text1"/>
          <w:sz w:val="24"/>
          <w:szCs w:val="24"/>
          <w:lang w:eastAsia="zh-CN"/>
          <w14:textFill>
            <w14:solidFill>
              <w14:schemeClr w14:val="tx1"/>
            </w14:solidFill>
          </w14:textFill>
        </w:rPr>
        <w:t>（如无需缴纳，也要提供相关证明材料）</w:t>
      </w:r>
      <w:r>
        <w:rPr>
          <w:rFonts w:hint="eastAsia" w:ascii="宋体" w:hAnsi="宋体" w:cs="宋体"/>
          <w:color w:val="000000" w:themeColor="text1"/>
          <w:sz w:val="24"/>
          <w:szCs w:val="24"/>
          <w14:textFill>
            <w14:solidFill>
              <w14:schemeClr w14:val="tx1"/>
            </w14:solidFill>
          </w14:textFill>
        </w:rPr>
        <w:t>；</w:t>
      </w:r>
    </w:p>
    <w:p>
      <w:pPr>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（4）具备履行合同所必需的设备和专业技术能力的书面声明；</w:t>
      </w:r>
    </w:p>
    <w:p>
      <w:pPr>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（5）参加政府采购活动前3年内在经营活动中没有重大违法记录的书面声明；</w:t>
      </w:r>
    </w:p>
    <w:p>
      <w:pPr>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2.落实政府采购政策需满足的资格要求：/。</w:t>
      </w:r>
    </w:p>
    <w:bookmarkEnd w:id="21"/>
    <w:bookmarkEnd w:id="22"/>
    <w:bookmarkEnd w:id="23"/>
    <w:bookmarkEnd w:id="24"/>
    <w:p>
      <w:pPr>
        <w:spacing w:line="460" w:lineRule="exact"/>
        <w:ind w:firstLine="480" w:firstLineChars="200"/>
        <w:rPr>
          <w:rFonts w:ascii="宋体" w:hAnsi="宋体" w:cs="宋体"/>
          <w:color w:val="000000" w:themeColor="text1"/>
          <w:sz w:val="24"/>
          <w:szCs w:val="24"/>
          <w14:textFill>
            <w14:solidFill>
              <w14:schemeClr w14:val="tx1"/>
            </w14:solidFill>
          </w14:textFill>
        </w:rPr>
      </w:pPr>
      <w:bookmarkStart w:id="25" w:name="_Toc28359082"/>
      <w:bookmarkStart w:id="26" w:name="_Toc28359005"/>
      <w:bookmarkStart w:id="27" w:name="_Toc35393793"/>
      <w:bookmarkStart w:id="28" w:name="_Toc35393624"/>
      <w:r>
        <w:rPr>
          <w:rFonts w:hint="eastAsia" w:ascii="宋体" w:hAnsi="宋体" w:cs="宋体"/>
          <w:color w:val="000000" w:themeColor="text1"/>
          <w:sz w:val="24"/>
          <w:szCs w:val="24"/>
          <w14:textFill>
            <w14:solidFill>
              <w14:schemeClr w14:val="tx1"/>
            </w14:solidFill>
          </w14:textFill>
        </w:rPr>
        <w:t>3.本项目的特定资格要求：</w:t>
      </w:r>
    </w:p>
    <w:p>
      <w:pPr>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（1）未被“信用中国”网站（www.creditchina.gov.cn）列入失信被执行人、重大税收违法案件当事人名单、政府采购严重失信行为记录名单。</w:t>
      </w:r>
    </w:p>
    <w:p>
      <w:pPr>
        <w:spacing w:line="460" w:lineRule="exact"/>
        <w:ind w:firstLine="480" w:firstLineChars="200"/>
        <w:rPr>
          <w:rFonts w:ascii="宋体" w:hAnsi="宋体" w:cs="宋体"/>
          <w:b/>
          <w:bCs/>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（2）单位负责人为同一人或者存在直接控股、管理关系的不同供应商，不得参加同一合同项下的政府采购活动。</w:t>
      </w:r>
    </w:p>
    <w:p>
      <w:pPr>
        <w:pStyle w:val="3"/>
        <w:tabs>
          <w:tab w:val="left" w:pos="0"/>
          <w:tab w:val="left" w:pos="3165"/>
          <w:tab w:val="center" w:pos="4153"/>
        </w:tabs>
        <w:autoSpaceDE w:val="0"/>
        <w:autoSpaceDN w:val="0"/>
        <w:adjustRightInd w:val="0"/>
        <w:snapToGrid w:val="0"/>
        <w:spacing w:line="360" w:lineRule="auto"/>
        <w:ind w:firstLine="482" w:firstLineChars="200"/>
        <w:jc w:val="left"/>
        <w:rPr>
          <w:rFonts w:ascii="宋体" w:hAnsi="宋体" w:eastAsia="宋体" w:cs="宋体"/>
          <w:b/>
          <w:bCs/>
          <w:color w:val="000000" w:themeColor="text1"/>
          <w:sz w:val="24"/>
          <w:szCs w:val="24"/>
          <w14:textFill>
            <w14:solidFill>
              <w14:schemeClr w14:val="tx1"/>
            </w14:solidFill>
          </w14:textFill>
        </w:rPr>
      </w:pPr>
      <w:bookmarkStart w:id="29" w:name="_Toc29468"/>
      <w:r>
        <w:rPr>
          <w:rFonts w:hint="eastAsia" w:ascii="宋体" w:hAnsi="宋体" w:eastAsia="宋体" w:cs="宋体"/>
          <w:b/>
          <w:bCs/>
          <w:color w:val="000000" w:themeColor="text1"/>
          <w:sz w:val="24"/>
          <w:szCs w:val="24"/>
          <w14:textFill>
            <w14:solidFill>
              <w14:schemeClr w14:val="tx1"/>
            </w14:solidFill>
          </w14:textFill>
        </w:rPr>
        <w:t>三、获取招标文件</w:t>
      </w:r>
      <w:bookmarkEnd w:id="29"/>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时间：自公告之日起至投标截止时间前1日</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地点：盐城工业职业技术学院招标采购网</w:t>
      </w:r>
    </w:p>
    <w:p>
      <w:pPr>
        <w:snapToGrid w:val="0"/>
        <w:spacing w:line="360" w:lineRule="auto"/>
        <w:ind w:firstLine="480" w:firstLineChars="200"/>
        <w:rPr>
          <w:rStyle w:val="114"/>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方式：符合资格要求的投标人可自行下载采购文件，采购文件见盐城工业职业技术学院招标采购网本公告附件。</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color w:val="000000" w:themeColor="text1"/>
          <w:highlight w:val="none"/>
          <w14:textFill>
            <w14:solidFill>
              <w14:schemeClr w14:val="tx1"/>
            </w14:solidFill>
          </w14:textFill>
        </w:rPr>
      </w:pPr>
      <w:r>
        <w:rPr>
          <w:rFonts w:hint="eastAsia" w:ascii="宋体" w:hAnsi="宋体" w:cs="宋体"/>
          <w:bCs/>
          <w:color w:val="000000" w:themeColor="text1"/>
          <w:sz w:val="24"/>
          <w:highlight w:val="none"/>
          <w:lang w:val="en-US" w:eastAsia="zh-CN"/>
          <w14:textFill>
            <w14:solidFill>
              <w14:schemeClr w14:val="tx1"/>
            </w14:solidFill>
          </w14:textFill>
        </w:rPr>
        <w:t>报名时间及地点：本公告发布后凡具备上述资格条件，并自愿参加本项目投标的投标人应于2021年11月24日至2021年12月11日（早上8:30-下午18：00）委派本单位正式人员携带单位介绍信或授权委托书到江苏全盛工程造价事务所有限公司报名且购买招标文件，逾期报名的不予接收。招标文件售价500元/份，售后不退。</w:t>
      </w:r>
    </w:p>
    <w:p>
      <w:pPr>
        <w:snapToGrid w:val="0"/>
        <w:spacing w:line="360" w:lineRule="auto"/>
        <w:ind w:firstLine="480" w:firstLineChars="200"/>
        <w:rPr>
          <w:rStyle w:val="114"/>
          <w:rFonts w:hint="eastAsia" w:ascii="宋体" w:hAnsi="宋体" w:cs="宋体"/>
          <w:color w:val="000000" w:themeColor="text1"/>
          <w:sz w:val="24"/>
          <w:szCs w:val="24"/>
          <w14:textFill>
            <w14:solidFill>
              <w14:schemeClr w14:val="tx1"/>
            </w14:solidFill>
          </w14:textFill>
        </w:rPr>
      </w:pPr>
      <w:r>
        <w:rPr>
          <w:rStyle w:val="114"/>
          <w:rFonts w:hint="eastAsia" w:ascii="宋体" w:hAnsi="宋体" w:cs="宋体"/>
          <w:color w:val="000000" w:themeColor="text1"/>
          <w:sz w:val="24"/>
          <w:szCs w:val="24"/>
          <w14:textFill>
            <w14:solidFill>
              <w14:schemeClr w14:val="tx1"/>
            </w14:solidFill>
          </w14:textFill>
        </w:rPr>
        <w:t>有关本次招标的事项若存在变动或修改，敬请及时关注“盐城工业职业技术学院招标采购网”发布的信息更正公告。</w:t>
      </w:r>
    </w:p>
    <w:p>
      <w:pPr>
        <w:pStyle w:val="3"/>
        <w:tabs>
          <w:tab w:val="left" w:pos="0"/>
          <w:tab w:val="left" w:pos="3165"/>
          <w:tab w:val="center" w:pos="4153"/>
        </w:tabs>
        <w:autoSpaceDE w:val="0"/>
        <w:autoSpaceDN w:val="0"/>
        <w:adjustRightInd w:val="0"/>
        <w:spacing w:line="460" w:lineRule="exact"/>
        <w:ind w:firstLine="482" w:firstLineChars="200"/>
        <w:jc w:val="left"/>
        <w:rPr>
          <w:rFonts w:ascii="宋体" w:hAnsi="宋体" w:eastAsia="宋体" w:cs="宋体"/>
          <w:b/>
          <w:bCs/>
          <w:color w:val="000000" w:themeColor="text1"/>
          <w:sz w:val="24"/>
          <w:szCs w:val="24"/>
          <w14:textFill>
            <w14:solidFill>
              <w14:schemeClr w14:val="tx1"/>
            </w14:solidFill>
          </w14:textFill>
        </w:rPr>
      </w:pPr>
      <w:bookmarkStart w:id="30" w:name="_Toc30340"/>
      <w:r>
        <w:rPr>
          <w:rFonts w:hint="eastAsia" w:ascii="宋体" w:hAnsi="宋体" w:eastAsia="宋体" w:cs="宋体"/>
          <w:b/>
          <w:bCs/>
          <w:color w:val="000000" w:themeColor="text1"/>
          <w:sz w:val="24"/>
          <w:szCs w:val="24"/>
          <w14:textFill>
            <w14:solidFill>
              <w14:schemeClr w14:val="tx1"/>
            </w14:solidFill>
          </w14:textFill>
        </w:rPr>
        <w:t>四、提交投标文件</w:t>
      </w:r>
      <w:bookmarkEnd w:id="25"/>
      <w:bookmarkEnd w:id="26"/>
      <w:r>
        <w:rPr>
          <w:rFonts w:hint="eastAsia" w:ascii="宋体" w:hAnsi="宋体" w:eastAsia="宋体" w:cs="宋体"/>
          <w:b/>
          <w:bCs/>
          <w:color w:val="000000" w:themeColor="text1"/>
          <w:sz w:val="24"/>
          <w:szCs w:val="24"/>
          <w14:textFill>
            <w14:solidFill>
              <w14:schemeClr w14:val="tx1"/>
            </w14:solidFill>
          </w14:textFill>
        </w:rPr>
        <w:t>截止时间、开标时间和地点</w:t>
      </w:r>
      <w:bookmarkEnd w:id="27"/>
      <w:bookmarkEnd w:id="28"/>
      <w:bookmarkEnd w:id="30"/>
    </w:p>
    <w:p>
      <w:pPr>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u w:val="single"/>
          <w14:textFill>
            <w14:solidFill>
              <w14:schemeClr w14:val="tx1"/>
            </w14:solidFill>
          </w14:textFill>
        </w:rPr>
        <w:t>2021</w:t>
      </w:r>
      <w:r>
        <w:rPr>
          <w:rFonts w:hint="eastAsia" w:ascii="宋体" w:hAnsi="宋体" w:cs="宋体"/>
          <w:bCs/>
          <w:color w:val="000000" w:themeColor="text1"/>
          <w:sz w:val="24"/>
          <w:szCs w:val="24"/>
          <w:u w:val="single"/>
          <w14:textFill>
            <w14:solidFill>
              <w14:schemeClr w14:val="tx1"/>
            </w14:solidFill>
          </w14:textFill>
        </w:rPr>
        <w:t>年</w:t>
      </w:r>
      <w:r>
        <w:rPr>
          <w:rFonts w:hint="eastAsia" w:ascii="宋体" w:hAnsi="宋体" w:cs="宋体"/>
          <w:bCs/>
          <w:color w:val="000000" w:themeColor="text1"/>
          <w:sz w:val="24"/>
          <w:szCs w:val="24"/>
          <w:u w:val="single"/>
          <w:lang w:val="en-US" w:eastAsia="zh-CN"/>
          <w14:textFill>
            <w14:solidFill>
              <w14:schemeClr w14:val="tx1"/>
            </w14:solidFill>
          </w14:textFill>
        </w:rPr>
        <w:t>12</w:t>
      </w:r>
      <w:r>
        <w:rPr>
          <w:rFonts w:hint="eastAsia" w:ascii="宋体" w:hAnsi="宋体" w:cs="宋体"/>
          <w:bCs/>
          <w:color w:val="000000" w:themeColor="text1"/>
          <w:sz w:val="24"/>
          <w:szCs w:val="24"/>
          <w:u w:val="single"/>
          <w14:textFill>
            <w14:solidFill>
              <w14:schemeClr w14:val="tx1"/>
            </w14:solidFill>
          </w14:textFill>
        </w:rPr>
        <w:t>月</w:t>
      </w:r>
      <w:r>
        <w:rPr>
          <w:rFonts w:hint="eastAsia" w:ascii="宋体" w:hAnsi="宋体" w:cs="宋体"/>
          <w:bCs/>
          <w:color w:val="000000" w:themeColor="text1"/>
          <w:sz w:val="24"/>
          <w:szCs w:val="24"/>
          <w:u w:val="single"/>
          <w:lang w:val="en-US" w:eastAsia="zh-CN"/>
          <w14:textFill>
            <w14:solidFill>
              <w14:schemeClr w14:val="tx1"/>
            </w14:solidFill>
          </w14:textFill>
        </w:rPr>
        <w:t>14</w:t>
      </w:r>
      <w:r>
        <w:rPr>
          <w:rFonts w:hint="eastAsia" w:ascii="宋体" w:hAnsi="宋体" w:cs="宋体"/>
          <w:bCs/>
          <w:color w:val="000000" w:themeColor="text1"/>
          <w:sz w:val="24"/>
          <w:szCs w:val="24"/>
          <w:u w:val="single"/>
          <w14:textFill>
            <w14:solidFill>
              <w14:schemeClr w14:val="tx1"/>
            </w14:solidFill>
          </w14:textFill>
        </w:rPr>
        <w:t>日</w:t>
      </w:r>
      <w:r>
        <w:rPr>
          <w:rFonts w:hint="eastAsia" w:ascii="宋体" w:hAnsi="宋体" w:cs="宋体"/>
          <w:bCs/>
          <w:color w:val="000000" w:themeColor="text1"/>
          <w:sz w:val="24"/>
          <w:szCs w:val="24"/>
          <w:u w:val="single"/>
          <w:lang w:val="en-US" w:eastAsia="zh-CN"/>
          <w14:textFill>
            <w14:solidFill>
              <w14:schemeClr w14:val="tx1"/>
            </w14:solidFill>
          </w14:textFill>
        </w:rPr>
        <w:t>9</w:t>
      </w:r>
      <w:r>
        <w:rPr>
          <w:rFonts w:hint="eastAsia" w:ascii="宋体" w:hAnsi="宋体" w:cs="宋体"/>
          <w:bCs/>
          <w:color w:val="000000" w:themeColor="text1"/>
          <w:sz w:val="24"/>
          <w:szCs w:val="24"/>
          <w:u w:val="single"/>
          <w14:textFill>
            <w14:solidFill>
              <w14:schemeClr w14:val="tx1"/>
            </w14:solidFill>
          </w14:textFill>
        </w:rPr>
        <w:t>点00分</w:t>
      </w:r>
      <w:r>
        <w:rPr>
          <w:rFonts w:hint="eastAsia" w:ascii="宋体" w:hAnsi="宋体" w:cs="宋体"/>
          <w:color w:val="000000" w:themeColor="text1"/>
          <w:sz w:val="24"/>
          <w:szCs w:val="24"/>
          <w14:textFill>
            <w14:solidFill>
              <w14:schemeClr w14:val="tx1"/>
            </w14:solidFill>
          </w14:textFill>
        </w:rPr>
        <w:t>（北京时间）</w:t>
      </w:r>
    </w:p>
    <w:p>
      <w:pPr>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地点：盐城工业职业技术学院（盐城市解放南路285号）后勤服务中心四楼402开标室。</w:t>
      </w:r>
    </w:p>
    <w:p>
      <w:pPr>
        <w:pStyle w:val="3"/>
        <w:tabs>
          <w:tab w:val="left" w:pos="0"/>
          <w:tab w:val="left" w:pos="3165"/>
          <w:tab w:val="center" w:pos="4153"/>
        </w:tabs>
        <w:autoSpaceDE w:val="0"/>
        <w:autoSpaceDN w:val="0"/>
        <w:adjustRightInd w:val="0"/>
        <w:snapToGrid w:val="0"/>
        <w:spacing w:line="360" w:lineRule="auto"/>
        <w:ind w:firstLine="482" w:firstLineChars="200"/>
        <w:jc w:val="left"/>
        <w:rPr>
          <w:rFonts w:ascii="宋体" w:hAnsi="宋体" w:eastAsia="宋体" w:cs="宋体"/>
          <w:b/>
          <w:bCs/>
          <w:color w:val="000000" w:themeColor="text1"/>
          <w:sz w:val="24"/>
          <w:szCs w:val="24"/>
          <w14:textFill>
            <w14:solidFill>
              <w14:schemeClr w14:val="tx1"/>
            </w14:solidFill>
          </w14:textFill>
        </w:rPr>
      </w:pPr>
      <w:bookmarkStart w:id="31" w:name="_Toc3137"/>
      <w:bookmarkStart w:id="32" w:name="_Toc35393625"/>
      <w:bookmarkStart w:id="33" w:name="_Toc28359084"/>
      <w:bookmarkStart w:id="34" w:name="_Toc28359007"/>
      <w:bookmarkStart w:id="35" w:name="_Toc35393794"/>
      <w:r>
        <w:rPr>
          <w:rFonts w:hint="eastAsia" w:ascii="宋体" w:hAnsi="宋体" w:eastAsia="宋体" w:cs="宋体"/>
          <w:b/>
          <w:bCs/>
          <w:color w:val="000000" w:themeColor="text1"/>
          <w:sz w:val="24"/>
          <w:szCs w:val="24"/>
          <w14:textFill>
            <w14:solidFill>
              <w14:schemeClr w14:val="tx1"/>
            </w14:solidFill>
          </w14:textFill>
        </w:rPr>
        <w:t>五、公告期限</w:t>
      </w:r>
      <w:bookmarkEnd w:id="31"/>
    </w:p>
    <w:p>
      <w:pPr>
        <w:adjustRightInd w:val="0"/>
        <w:snapToGrid w:val="0"/>
        <w:spacing w:line="360" w:lineRule="auto"/>
        <w:ind w:firstLine="480" w:firstLineChars="200"/>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自本公告发布之日起5个工作日。</w:t>
      </w:r>
    </w:p>
    <w:bookmarkEnd w:id="32"/>
    <w:bookmarkEnd w:id="33"/>
    <w:bookmarkEnd w:id="34"/>
    <w:bookmarkEnd w:id="35"/>
    <w:p>
      <w:pPr>
        <w:pStyle w:val="3"/>
        <w:tabs>
          <w:tab w:val="left" w:pos="0"/>
          <w:tab w:val="left" w:pos="3165"/>
          <w:tab w:val="center" w:pos="4153"/>
        </w:tabs>
        <w:autoSpaceDE w:val="0"/>
        <w:autoSpaceDN w:val="0"/>
        <w:adjustRightInd w:val="0"/>
        <w:snapToGrid w:val="0"/>
        <w:spacing w:line="360" w:lineRule="auto"/>
        <w:ind w:firstLine="482" w:firstLineChars="200"/>
        <w:jc w:val="left"/>
        <w:rPr>
          <w:rFonts w:ascii="宋体" w:hAnsi="宋体" w:eastAsia="宋体" w:cs="宋体"/>
          <w:b/>
          <w:bCs/>
          <w:color w:val="000000" w:themeColor="text1"/>
          <w:sz w:val="24"/>
          <w:szCs w:val="24"/>
          <w14:textFill>
            <w14:solidFill>
              <w14:schemeClr w14:val="tx1"/>
            </w14:solidFill>
          </w14:textFill>
        </w:rPr>
      </w:pPr>
      <w:bookmarkStart w:id="36" w:name="_Toc5146"/>
      <w:bookmarkStart w:id="37" w:name="_Toc35393795"/>
      <w:bookmarkStart w:id="38" w:name="_Toc35393626"/>
      <w:bookmarkStart w:id="39" w:name="_Toc28359008"/>
      <w:bookmarkStart w:id="40" w:name="_Toc28359085"/>
      <w:bookmarkStart w:id="41" w:name="_Toc35393796"/>
      <w:bookmarkStart w:id="42" w:name="_Toc35393627"/>
      <w:r>
        <w:rPr>
          <w:rFonts w:hint="eastAsia" w:ascii="宋体" w:hAnsi="宋体" w:eastAsia="宋体" w:cs="宋体"/>
          <w:b/>
          <w:bCs/>
          <w:color w:val="000000" w:themeColor="text1"/>
          <w:sz w:val="24"/>
          <w:szCs w:val="24"/>
          <w14:textFill>
            <w14:solidFill>
              <w14:schemeClr w14:val="tx1"/>
            </w14:solidFill>
          </w14:textFill>
        </w:rPr>
        <w:t>六、其他补充事宜</w:t>
      </w:r>
      <w:bookmarkEnd w:id="36"/>
      <w:bookmarkEnd w:id="37"/>
      <w:bookmarkEnd w:id="38"/>
    </w:p>
    <w:p>
      <w:pPr>
        <w:snapToGrid w:val="0"/>
        <w:spacing w:line="360" w:lineRule="auto"/>
        <w:ind w:firstLine="480" w:firstLineChars="200"/>
        <w:rPr>
          <w:rStyle w:val="114"/>
          <w:rFonts w:asciiTheme="minorEastAsia" w:hAnsiTheme="minorEastAsia" w:eastAsiaTheme="minorEastAsia" w:cstheme="minorEastAsia"/>
          <w:color w:val="000000" w:themeColor="text1"/>
          <w:sz w:val="24"/>
          <w:szCs w:val="24"/>
          <w14:textFill>
            <w14:solidFill>
              <w14:schemeClr w14:val="tx1"/>
            </w14:solidFill>
          </w14:textFill>
        </w:rPr>
      </w:pPr>
      <w:r>
        <w:rPr>
          <w:rStyle w:val="114"/>
          <w:rFonts w:hint="eastAsia" w:asciiTheme="minorEastAsia" w:hAnsiTheme="minorEastAsia" w:eastAsiaTheme="minorEastAsia" w:cstheme="minorEastAsia"/>
          <w:color w:val="000000" w:themeColor="text1"/>
          <w:sz w:val="24"/>
          <w:szCs w:val="24"/>
          <w14:textFill>
            <w14:solidFill>
              <w14:schemeClr w14:val="tx1"/>
            </w14:solidFill>
          </w14:textFill>
        </w:rPr>
        <w:t>(一)因疫情防控需要，为确保校园安全，投标人进入盐城工业职业技术学院校区时应服从下列疫情防控措施：</w:t>
      </w:r>
    </w:p>
    <w:p>
      <w:pPr>
        <w:snapToGrid w:val="0"/>
        <w:spacing w:line="360" w:lineRule="auto"/>
        <w:ind w:firstLine="480" w:firstLineChars="200"/>
        <w:rPr>
          <w:rStyle w:val="114"/>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Style w:val="114"/>
          <w:rFonts w:hint="eastAsia" w:asciiTheme="minorEastAsia" w:hAnsiTheme="minorEastAsia" w:eastAsiaTheme="minorEastAsia" w:cstheme="minorEastAsia"/>
          <w:color w:val="000000" w:themeColor="text1"/>
          <w:sz w:val="24"/>
          <w:szCs w:val="24"/>
          <w14:textFill>
            <w14:solidFill>
              <w14:schemeClr w14:val="tx1"/>
            </w14:solidFill>
          </w14:textFill>
        </w:rPr>
        <w:t>（1）投标前14天内与确诊/疑似病例或无症状感染者有密切接触的人员，以及与密切接触者接触的次密切接触者，一律不得进校。</w:t>
      </w:r>
    </w:p>
    <w:p>
      <w:pPr>
        <w:snapToGrid w:val="0"/>
        <w:spacing w:line="360" w:lineRule="auto"/>
        <w:ind w:firstLine="480" w:firstLineChars="200"/>
        <w:rPr>
          <w:rStyle w:val="114"/>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Style w:val="114"/>
          <w:rFonts w:hint="eastAsia" w:asciiTheme="minorEastAsia" w:hAnsiTheme="minorEastAsia" w:eastAsiaTheme="minorEastAsia" w:cstheme="minorEastAsia"/>
          <w:color w:val="000000" w:themeColor="text1"/>
          <w:sz w:val="24"/>
          <w:szCs w:val="24"/>
          <w14:textFill>
            <w14:solidFill>
              <w14:schemeClr w14:val="tx1"/>
            </w14:solidFill>
          </w14:textFill>
        </w:rPr>
        <w:t>（2）投标前14天内接触过境外归国人员（未解除隔离的），按次密切接触者处置，一律不得进校。</w:t>
      </w:r>
    </w:p>
    <w:p>
      <w:pPr>
        <w:snapToGrid w:val="0"/>
        <w:spacing w:line="360" w:lineRule="auto"/>
        <w:ind w:firstLine="480" w:firstLineChars="200"/>
        <w:rPr>
          <w:rStyle w:val="114"/>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Style w:val="114"/>
          <w:rFonts w:hint="eastAsia" w:asciiTheme="minorEastAsia" w:hAnsiTheme="minorEastAsia" w:eastAsiaTheme="minorEastAsia" w:cstheme="minorEastAsia"/>
          <w:color w:val="000000" w:themeColor="text1"/>
          <w:sz w:val="24"/>
          <w:szCs w:val="24"/>
          <w14:textFill>
            <w14:solidFill>
              <w14:schemeClr w14:val="tx1"/>
            </w14:solidFill>
          </w14:textFill>
        </w:rPr>
        <w:t>（3）投标前14天内有疫情中高风险地区（以开标前一日权威发布的疫情风险等级区域划分为依据）旅居史的人员，一律不得进校。</w:t>
      </w:r>
    </w:p>
    <w:p>
      <w:pPr>
        <w:snapToGrid w:val="0"/>
        <w:spacing w:line="360" w:lineRule="auto"/>
        <w:ind w:firstLine="480" w:firstLineChars="200"/>
        <w:rPr>
          <w:rStyle w:val="114"/>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Style w:val="114"/>
          <w:rFonts w:hint="eastAsia" w:asciiTheme="minorEastAsia" w:hAnsiTheme="minorEastAsia" w:eastAsiaTheme="minorEastAsia" w:cstheme="minorEastAsia"/>
          <w:color w:val="000000" w:themeColor="text1"/>
          <w:sz w:val="24"/>
          <w:szCs w:val="24"/>
          <w14:textFill>
            <w14:solidFill>
              <w14:schemeClr w14:val="tx1"/>
            </w14:solidFill>
          </w14:textFill>
        </w:rPr>
        <w:t>（4）投标前14天内有中高风险地区所在设区市的其他低风险地区旅居史的人员，须持有48小时内核酸检测阴性证明，或者能够出示包括48小时内核酸检测阴性证明的健康码。</w:t>
      </w:r>
    </w:p>
    <w:p>
      <w:pPr>
        <w:snapToGrid w:val="0"/>
        <w:spacing w:line="360" w:lineRule="auto"/>
        <w:ind w:firstLine="480" w:firstLineChars="200"/>
        <w:rPr>
          <w:rStyle w:val="114"/>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Style w:val="114"/>
          <w:rFonts w:hint="eastAsia" w:asciiTheme="minorEastAsia" w:hAnsiTheme="minorEastAsia" w:eastAsiaTheme="minorEastAsia" w:cstheme="minorEastAsia"/>
          <w:color w:val="000000" w:themeColor="text1"/>
          <w:sz w:val="24"/>
          <w:szCs w:val="24"/>
          <w14:textFill>
            <w14:solidFill>
              <w14:schemeClr w14:val="tx1"/>
            </w14:solidFill>
          </w14:textFill>
        </w:rPr>
        <w:t>（5）投标前14天内出现发热或呼吸道症状的人员，经当地医院就诊治疗，排除新冠病毒感染并在身体康复后，须持有48小时内核酸检测阴性证明，或者能够出示包括48小时内核酸检测阴性证明的健康码。</w:t>
      </w:r>
    </w:p>
    <w:p>
      <w:pPr>
        <w:snapToGrid w:val="0"/>
        <w:spacing w:line="360" w:lineRule="auto"/>
        <w:ind w:firstLine="480" w:firstLineChars="200"/>
        <w:rPr>
          <w:rStyle w:val="114"/>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Style w:val="114"/>
          <w:rFonts w:hint="eastAsia" w:asciiTheme="minorEastAsia" w:hAnsiTheme="minorEastAsia" w:eastAsiaTheme="minorEastAsia" w:cstheme="minorEastAsia"/>
          <w:color w:val="000000" w:themeColor="text1"/>
          <w:sz w:val="24"/>
          <w:szCs w:val="24"/>
          <w14:textFill>
            <w14:solidFill>
              <w14:schemeClr w14:val="tx1"/>
            </w14:solidFill>
          </w14:textFill>
        </w:rPr>
        <w:t xml:space="preserve"> </w:t>
      </w:r>
      <w:r>
        <w:rPr>
          <w:rStyle w:val="114"/>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w:t>
      </w:r>
      <w:r>
        <w:rPr>
          <w:rStyle w:val="114"/>
          <w:rFonts w:hint="eastAsia" w:asciiTheme="minorEastAsia" w:hAnsiTheme="minorEastAsia" w:eastAsiaTheme="minorEastAsia" w:cstheme="minorEastAsia"/>
          <w:color w:val="000000" w:themeColor="text1"/>
          <w:sz w:val="24"/>
          <w:szCs w:val="24"/>
          <w14:textFill>
            <w14:solidFill>
              <w14:schemeClr w14:val="tx1"/>
            </w14:solidFill>
          </w14:textFill>
        </w:rPr>
        <w:t>6）投标人进入校园前，须在学校东门外相关工作人员处进行信息实名登记，主动出示有效“健康码”（非绿色健康码拒绝进入校园）和“行程码”，并接受体温测量（如体温≥37.3度一律不得进校园），符合要求方可进入。</w:t>
      </w:r>
    </w:p>
    <w:p>
      <w:pPr>
        <w:snapToGrid w:val="0"/>
        <w:spacing w:line="360" w:lineRule="auto"/>
        <w:ind w:left="0" w:leftChars="0" w:firstLine="420" w:firstLineChars="175"/>
        <w:rPr>
          <w:rStyle w:val="114"/>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Style w:val="114"/>
          <w:rFonts w:hint="eastAsia" w:asciiTheme="minorEastAsia" w:hAnsiTheme="minorEastAsia" w:eastAsiaTheme="minorEastAsia" w:cstheme="minorEastAsia"/>
          <w:color w:val="000000" w:themeColor="text1"/>
          <w:sz w:val="24"/>
          <w:szCs w:val="24"/>
          <w14:textFill>
            <w14:solidFill>
              <w14:schemeClr w14:val="tx1"/>
            </w14:solidFill>
          </w14:textFill>
        </w:rPr>
        <w:t xml:space="preserve">  （7）投标人从东门进出，车辆一律不得进入校园（如确因提供样品需要，经同意后可进校园，服从管理，在指定位置停放）。</w:t>
      </w:r>
    </w:p>
    <w:p>
      <w:pPr>
        <w:snapToGrid w:val="0"/>
        <w:spacing w:line="360" w:lineRule="auto"/>
        <w:ind w:firstLine="480" w:firstLineChars="200"/>
        <w:rPr>
          <w:rStyle w:val="114"/>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Style w:val="114"/>
          <w:rFonts w:hint="eastAsia" w:asciiTheme="minorEastAsia" w:hAnsiTheme="minorEastAsia" w:eastAsiaTheme="minorEastAsia" w:cstheme="minorEastAsia"/>
          <w:color w:val="000000" w:themeColor="text1"/>
          <w:sz w:val="24"/>
          <w:szCs w:val="24"/>
          <w14:textFill>
            <w14:solidFill>
              <w14:schemeClr w14:val="tx1"/>
            </w14:solidFill>
          </w14:textFill>
        </w:rPr>
        <w:t xml:space="preserve"> （8）各投标项目授权代表限1人进入校园，项目授权代表进入校园时须全程配戴口罩，做好手部消毒及投标文件等消毒防护工作。</w:t>
      </w:r>
    </w:p>
    <w:p>
      <w:pPr>
        <w:snapToGrid w:val="0"/>
        <w:spacing w:line="360" w:lineRule="auto"/>
        <w:ind w:firstLine="480" w:firstLineChars="200"/>
        <w:rPr>
          <w:rStyle w:val="114"/>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Style w:val="114"/>
          <w:rFonts w:hint="eastAsia" w:asciiTheme="minorEastAsia" w:hAnsiTheme="minorEastAsia" w:eastAsiaTheme="minorEastAsia" w:cstheme="minorEastAsia"/>
          <w:color w:val="000000" w:themeColor="text1"/>
          <w:sz w:val="24"/>
          <w:szCs w:val="24"/>
          <w14:textFill>
            <w14:solidFill>
              <w14:schemeClr w14:val="tx1"/>
            </w14:solidFill>
          </w14:textFill>
        </w:rPr>
        <w:t xml:space="preserve"> （9）投标人进入校园须由校方人员引领，直接到后勤服务楼402开标室递交投标材料并在原地等候，不得到非相关场所活动；投标工作结束后由校方人员引领立即离开校园，不逗留。各投标人预留好相应时间，配合做好上述管控措施</w:t>
      </w:r>
    </w:p>
    <w:p>
      <w:pPr>
        <w:snapToGrid w:val="0"/>
        <w:spacing w:line="360" w:lineRule="auto"/>
        <w:ind w:firstLine="480" w:firstLineChars="200"/>
        <w:rPr>
          <w:rStyle w:val="114"/>
          <w:rFonts w:asciiTheme="minorEastAsia" w:hAnsiTheme="minorEastAsia" w:eastAsiaTheme="minorEastAsia" w:cstheme="minorEastAsia"/>
          <w:color w:val="000000" w:themeColor="text1"/>
          <w:sz w:val="24"/>
          <w:szCs w:val="24"/>
          <w14:textFill>
            <w14:solidFill>
              <w14:schemeClr w14:val="tx1"/>
            </w14:solidFill>
          </w14:textFill>
        </w:rPr>
      </w:pPr>
      <w:r>
        <w:rPr>
          <w:rStyle w:val="114"/>
          <w:rFonts w:hint="eastAsia" w:asciiTheme="minorEastAsia" w:hAnsiTheme="minorEastAsia" w:eastAsiaTheme="minorEastAsia" w:cstheme="minorEastAsia"/>
          <w:color w:val="000000" w:themeColor="text1"/>
          <w:sz w:val="24"/>
          <w:szCs w:val="24"/>
          <w14:textFill>
            <w14:solidFill>
              <w14:schemeClr w14:val="tx1"/>
            </w14:solidFill>
          </w14:textFill>
        </w:rPr>
        <w:t xml:space="preserve">  （10）投标人未如实报告个人信息，承担相应责任和法律后果，引发问题学校可取消其中标资格。</w:t>
      </w:r>
    </w:p>
    <w:p>
      <w:pPr>
        <w:snapToGrid w:val="0"/>
        <w:spacing w:line="360" w:lineRule="auto"/>
        <w:ind w:firstLine="480" w:firstLineChars="200"/>
        <w:rPr>
          <w:rStyle w:val="114"/>
          <w:rFonts w:asciiTheme="minorEastAsia" w:hAnsiTheme="minorEastAsia" w:eastAsiaTheme="minorEastAsia" w:cstheme="minorEastAsia"/>
          <w:color w:val="000000" w:themeColor="text1"/>
          <w:sz w:val="24"/>
          <w:szCs w:val="24"/>
          <w14:textFill>
            <w14:solidFill>
              <w14:schemeClr w14:val="tx1"/>
            </w14:solidFill>
          </w14:textFill>
        </w:rPr>
      </w:pPr>
      <w:r>
        <w:rPr>
          <w:rStyle w:val="114"/>
          <w:rFonts w:hint="eastAsia" w:asciiTheme="minorEastAsia" w:hAnsiTheme="minorEastAsia" w:eastAsiaTheme="minorEastAsia" w:cstheme="minorEastAsia"/>
          <w:color w:val="000000" w:themeColor="text1"/>
          <w:sz w:val="24"/>
          <w:szCs w:val="24"/>
          <w14:textFill>
            <w14:solidFill>
              <w14:schemeClr w14:val="tx1"/>
            </w14:solidFill>
          </w14:textFill>
        </w:rPr>
        <w:t>请各投标人预留好相应时间，配合做好上述管控措施。</w:t>
      </w:r>
    </w:p>
    <w:p>
      <w:pPr>
        <w:widowControl w:val="0"/>
        <w:snapToGrid w:val="0"/>
        <w:spacing w:line="360" w:lineRule="auto"/>
        <w:ind w:firstLine="480" w:firstLineChars="200"/>
        <w:jc w:val="left"/>
        <w:textAlignment w:val="auto"/>
        <w:rPr>
          <w:rStyle w:val="114"/>
          <w:rFonts w:hint="eastAsia" w:asciiTheme="minorEastAsia" w:hAnsiTheme="minorEastAsia" w:eastAsiaTheme="minorEastAsia" w:cstheme="minorEastAsia"/>
          <w:color w:val="000000" w:themeColor="text1"/>
          <w:sz w:val="24"/>
          <w:szCs w:val="24"/>
          <w14:textFill>
            <w14:solidFill>
              <w14:schemeClr w14:val="tx1"/>
            </w14:solidFill>
          </w14:textFill>
        </w:rPr>
      </w:pPr>
      <w:r>
        <w:rPr>
          <w:rStyle w:val="114"/>
          <w:rFonts w:hint="eastAsia" w:asciiTheme="minorEastAsia" w:hAnsiTheme="minorEastAsia" w:eastAsiaTheme="minorEastAsia" w:cstheme="minorEastAsia"/>
          <w:color w:val="000000" w:themeColor="text1"/>
          <w:sz w:val="24"/>
          <w:szCs w:val="24"/>
          <w14:textFill>
            <w14:solidFill>
              <w14:schemeClr w14:val="tx1"/>
            </w14:solidFill>
          </w14:textFill>
        </w:rPr>
        <w:t>投标文件制作份数要求：正本份数：1份，副本份数：4份。</w:t>
      </w:r>
    </w:p>
    <w:p>
      <w:pPr>
        <w:widowControl w:val="0"/>
        <w:snapToGrid w:val="0"/>
        <w:spacing w:line="360" w:lineRule="auto"/>
        <w:ind w:firstLine="482" w:firstLineChars="200"/>
        <w:jc w:val="left"/>
        <w:textAlignment w:val="auto"/>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七、本项目投标保证金</w:t>
      </w:r>
    </w:p>
    <w:p>
      <w:pPr>
        <w:pStyle w:val="117"/>
        <w:tabs>
          <w:tab w:val="left" w:pos="0"/>
          <w:tab w:val="left" w:pos="3165"/>
          <w:tab w:val="center" w:pos="4153"/>
        </w:tabs>
        <w:snapToGrid w:val="0"/>
        <w:spacing w:line="360" w:lineRule="auto"/>
        <w:ind w:firstLine="480" w:firstLineChars="200"/>
        <w:jc w:val="left"/>
        <w:rPr>
          <w:color w:val="000000" w:themeColor="text1"/>
          <w14:textFill>
            <w14:solidFill>
              <w14:schemeClr w14:val="tx1"/>
            </w14:solidFill>
          </w14:textFill>
        </w:rPr>
      </w:pPr>
      <w:r>
        <w:rPr>
          <w:rStyle w:val="114"/>
          <w:rFonts w:hint="eastAsia" w:ascii="宋体" w:hAnsi="宋体" w:eastAsia="宋体" w:cs="宋体"/>
          <w:color w:val="000000" w:themeColor="text1"/>
          <w:sz w:val="24"/>
          <w:szCs w:val="24"/>
          <w14:textFill>
            <w14:solidFill>
              <w14:schemeClr w14:val="tx1"/>
            </w14:solidFill>
          </w14:textFill>
        </w:rPr>
        <w:t>根据江苏省财政厅及盐财购〔2020〕11号文件关于取消政府采购投标保证金的规定，本采购项目投标人无需在投标截止时间之前交纳（提交）投标保证金。</w:t>
      </w:r>
    </w:p>
    <w:p>
      <w:pPr>
        <w:pStyle w:val="3"/>
        <w:tabs>
          <w:tab w:val="left" w:pos="0"/>
          <w:tab w:val="left" w:pos="3165"/>
          <w:tab w:val="center" w:pos="4153"/>
        </w:tabs>
        <w:autoSpaceDE w:val="0"/>
        <w:autoSpaceDN w:val="0"/>
        <w:adjustRightInd w:val="0"/>
        <w:spacing w:line="460" w:lineRule="exact"/>
        <w:ind w:firstLine="482" w:firstLineChars="200"/>
        <w:jc w:val="left"/>
        <w:rPr>
          <w:rFonts w:ascii="宋体" w:hAnsi="宋体" w:eastAsia="宋体" w:cs="宋体"/>
          <w:b/>
          <w:bCs/>
          <w:color w:val="000000" w:themeColor="text1"/>
          <w:sz w:val="24"/>
          <w:szCs w:val="24"/>
          <w14:textFill>
            <w14:solidFill>
              <w14:schemeClr w14:val="tx1"/>
            </w14:solidFill>
          </w14:textFill>
        </w:rPr>
      </w:pPr>
      <w:bookmarkStart w:id="43" w:name="_Toc26258"/>
      <w:r>
        <w:rPr>
          <w:rFonts w:hint="eastAsia" w:ascii="宋体" w:hAnsi="宋体" w:eastAsia="宋体" w:cs="宋体"/>
          <w:b/>
          <w:bCs/>
          <w:color w:val="000000" w:themeColor="text1"/>
          <w:sz w:val="24"/>
          <w:szCs w:val="24"/>
          <w:lang w:val="en-US" w:eastAsia="zh-CN"/>
          <w14:textFill>
            <w14:solidFill>
              <w14:schemeClr w14:val="tx1"/>
            </w14:solidFill>
          </w14:textFill>
        </w:rPr>
        <w:t>八</w:t>
      </w:r>
      <w:r>
        <w:rPr>
          <w:rFonts w:hint="eastAsia" w:ascii="宋体" w:hAnsi="宋体" w:eastAsia="宋体" w:cs="宋体"/>
          <w:b/>
          <w:bCs/>
          <w:color w:val="000000" w:themeColor="text1"/>
          <w:sz w:val="24"/>
          <w:szCs w:val="24"/>
          <w14:textFill>
            <w14:solidFill>
              <w14:schemeClr w14:val="tx1"/>
            </w14:solidFill>
          </w14:textFill>
        </w:rPr>
        <w:t>、对本次招标提出询问，请按以下方式联系。</w:t>
      </w:r>
      <w:bookmarkEnd w:id="39"/>
      <w:bookmarkEnd w:id="40"/>
      <w:bookmarkEnd w:id="41"/>
      <w:bookmarkEnd w:id="42"/>
      <w:bookmarkEnd w:id="43"/>
    </w:p>
    <w:p>
      <w:pPr>
        <w:spacing w:line="460" w:lineRule="exact"/>
        <w:ind w:firstLine="480" w:firstLineChars="200"/>
        <w:rPr>
          <w:rFonts w:ascii="宋体" w:hAnsi="宋体" w:cs="宋体"/>
          <w:color w:val="000000" w:themeColor="text1"/>
          <w:sz w:val="24"/>
          <w:szCs w:val="24"/>
          <w14:textFill>
            <w14:solidFill>
              <w14:schemeClr w14:val="tx1"/>
            </w14:solidFill>
          </w14:textFill>
        </w:rPr>
      </w:pPr>
      <w:bookmarkStart w:id="44" w:name="_Toc28359096"/>
      <w:bookmarkStart w:id="45" w:name="_Toc35393637"/>
      <w:bookmarkStart w:id="46" w:name="_Toc35393806"/>
      <w:bookmarkStart w:id="47" w:name="_Toc28359019"/>
      <w:r>
        <w:rPr>
          <w:rFonts w:hint="eastAsia" w:ascii="宋体" w:hAnsi="宋体" w:cs="宋体"/>
          <w:color w:val="000000" w:themeColor="text1"/>
          <w:sz w:val="24"/>
          <w:szCs w:val="24"/>
          <w14:textFill>
            <w14:solidFill>
              <w14:schemeClr w14:val="tx1"/>
            </w14:solidFill>
          </w14:textFill>
        </w:rPr>
        <w:t>1.采购人信息</w:t>
      </w:r>
      <w:bookmarkEnd w:id="44"/>
      <w:bookmarkEnd w:id="45"/>
      <w:bookmarkEnd w:id="46"/>
      <w:bookmarkEnd w:id="47"/>
    </w:p>
    <w:p>
      <w:pPr>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名称：盐城工业职业技术学院</w:t>
      </w:r>
    </w:p>
    <w:p>
      <w:pPr>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地址：盐城工业职业技术学院后勤服务中心四楼405室招标办公室</w:t>
      </w:r>
    </w:p>
    <w:p>
      <w:pPr>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联系人：赵老师             </w:t>
      </w:r>
    </w:p>
    <w:p>
      <w:pPr>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联系电话：0515-88588707</w:t>
      </w:r>
    </w:p>
    <w:p>
      <w:pPr>
        <w:spacing w:line="460" w:lineRule="exact"/>
        <w:ind w:firstLine="480" w:firstLineChars="200"/>
        <w:rPr>
          <w:rFonts w:ascii="宋体" w:hAnsi="宋体" w:cs="宋体"/>
          <w:color w:val="000000" w:themeColor="text1"/>
          <w:sz w:val="24"/>
          <w:szCs w:val="24"/>
          <w14:textFill>
            <w14:solidFill>
              <w14:schemeClr w14:val="tx1"/>
            </w14:solidFill>
          </w14:textFill>
        </w:rPr>
      </w:pPr>
      <w:bookmarkStart w:id="48" w:name="_Toc35393807"/>
      <w:bookmarkStart w:id="49" w:name="_Toc28359020"/>
      <w:bookmarkStart w:id="50" w:name="_Toc28359097"/>
      <w:bookmarkStart w:id="51" w:name="_Toc35393638"/>
      <w:r>
        <w:rPr>
          <w:rFonts w:hint="eastAsia" w:ascii="宋体" w:hAnsi="宋体" w:cs="宋体"/>
          <w:color w:val="000000" w:themeColor="text1"/>
          <w:sz w:val="24"/>
          <w:szCs w:val="24"/>
          <w14:textFill>
            <w14:solidFill>
              <w14:schemeClr w14:val="tx1"/>
            </w14:solidFill>
          </w14:textFill>
        </w:rPr>
        <w:t>2.采购代理机构信息</w:t>
      </w:r>
      <w:bookmarkEnd w:id="48"/>
      <w:bookmarkEnd w:id="49"/>
      <w:bookmarkEnd w:id="50"/>
      <w:bookmarkEnd w:id="51"/>
    </w:p>
    <w:p>
      <w:pPr>
        <w:spacing w:line="460" w:lineRule="exact"/>
        <w:ind w:firstLine="480" w:firstLineChars="200"/>
        <w:rPr>
          <w:rFonts w:ascii="宋体" w:hAnsi="宋体" w:cs="宋体"/>
          <w:color w:val="000000" w:themeColor="text1"/>
          <w:sz w:val="24"/>
          <w:szCs w:val="24"/>
          <w14:textFill>
            <w14:solidFill>
              <w14:schemeClr w14:val="tx1"/>
            </w14:solidFill>
          </w14:textFill>
        </w:rPr>
      </w:pPr>
      <w:bookmarkStart w:id="52" w:name="_Toc28359021"/>
      <w:bookmarkStart w:id="53" w:name="_Toc35393639"/>
      <w:bookmarkStart w:id="54" w:name="_Toc28359098"/>
      <w:bookmarkStart w:id="55" w:name="_Toc35393808"/>
      <w:r>
        <w:rPr>
          <w:rFonts w:hint="eastAsia" w:ascii="宋体" w:hAnsi="宋体" w:cs="宋体"/>
          <w:color w:val="000000" w:themeColor="text1"/>
          <w:sz w:val="24"/>
          <w:szCs w:val="24"/>
          <w14:textFill>
            <w14:solidFill>
              <w14:schemeClr w14:val="tx1"/>
            </w14:solidFill>
          </w14:textFill>
        </w:rPr>
        <w:t>名称：江苏全盛工程造价事务所有限公司</w:t>
      </w:r>
    </w:p>
    <w:p>
      <w:pPr>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地址：盐城市人民南路华邦国际东厦A区22楼2203室</w:t>
      </w:r>
    </w:p>
    <w:p>
      <w:pPr>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联系人：朱玲娜            </w:t>
      </w:r>
    </w:p>
    <w:p>
      <w:pPr>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联系电话：18751450656</w:t>
      </w:r>
    </w:p>
    <w:p>
      <w:pPr>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3.项目联系方式</w:t>
      </w:r>
      <w:bookmarkEnd w:id="52"/>
      <w:bookmarkEnd w:id="53"/>
      <w:bookmarkEnd w:id="54"/>
      <w:bookmarkEnd w:id="55"/>
    </w:p>
    <w:p>
      <w:pPr>
        <w:spacing w:line="460" w:lineRule="exact"/>
        <w:ind w:firstLine="480" w:firstLineChars="200"/>
        <w:rPr>
          <w:rFonts w:hint="eastAsia" w:ascii="仿宋_GB2312" w:eastAsia="仿宋_GB2312"/>
          <w:color w:val="000000" w:themeColor="text1"/>
          <w:sz w:val="28"/>
          <w:szCs w:val="28"/>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项目联系人</w:t>
      </w:r>
      <w:r>
        <w:rPr>
          <w:rFonts w:hint="eastAsia" w:ascii="宋体" w:hAnsi="宋体" w:eastAsia="宋体" w:cs="宋体"/>
          <w:color w:val="000000" w:themeColor="text1"/>
          <w:kern w:val="2"/>
          <w:sz w:val="24"/>
          <w:szCs w:val="24"/>
          <w:lang w:val="en-US" w:eastAsia="zh-CN" w:bidi="ar-SA"/>
          <w14:textFill>
            <w14:solidFill>
              <w14:schemeClr w14:val="tx1"/>
            </w14:solidFill>
          </w14:textFill>
        </w:rPr>
        <w:t>：王驰</w:t>
      </w:r>
    </w:p>
    <w:p>
      <w:pPr>
        <w:pStyle w:val="40"/>
        <w:spacing w:before="0" w:beforeAutospacing="0" w:after="0" w:afterAutospacing="0"/>
        <w:ind w:firstLine="480" w:firstLineChars="200"/>
        <w:rPr>
          <w:rFonts w:hint="default" w:ascii="宋体" w:hAnsi="宋体" w:cs="宋体"/>
          <w:color w:val="000000" w:themeColor="text1"/>
          <w:sz w:val="24"/>
          <w:szCs w:val="24"/>
          <w:lang w:val="en-US"/>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联系电话：</w:t>
      </w:r>
      <w:r>
        <w:rPr>
          <w:rFonts w:hint="eastAsia" w:cs="宋体"/>
          <w:color w:val="000000" w:themeColor="text1"/>
          <w:kern w:val="2"/>
          <w:sz w:val="24"/>
          <w:szCs w:val="24"/>
          <w:lang w:val="en-US" w:eastAsia="zh-CN" w:bidi="ar-SA"/>
          <w14:textFill>
            <w14:solidFill>
              <w14:schemeClr w14:val="tx1"/>
            </w14:solidFill>
          </w14:textFill>
        </w:rPr>
        <w:t>17805193063</w:t>
      </w:r>
    </w:p>
    <w:p>
      <w:pPr>
        <w:tabs>
          <w:tab w:val="left" w:pos="900"/>
        </w:tabs>
        <w:spacing w:line="440" w:lineRule="exact"/>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对项目需求部分的询问、质疑请向项目联系人提出，由项目联系人答复</w:t>
      </w:r>
      <w:bookmarkEnd w:id="1"/>
      <w:bookmarkEnd w:id="2"/>
      <w:bookmarkEnd w:id="3"/>
      <w:bookmarkEnd w:id="4"/>
      <w:bookmarkEnd w:id="5"/>
      <w:bookmarkStart w:id="56" w:name="_Toc120614221"/>
      <w:bookmarkStart w:id="57" w:name="_Toc20823314"/>
      <w:bookmarkStart w:id="58" w:name="_Toc513029242"/>
      <w:bookmarkStart w:id="59" w:name="_Toc16938558"/>
      <w:bookmarkStart w:id="60" w:name="_Toc479757207"/>
    </w:p>
    <w:p>
      <w:pPr>
        <w:pStyle w:val="44"/>
        <w:rPr>
          <w:rFonts w:hint="eastAsia" w:ascii="宋体" w:hAnsi="宋体" w:cs="宋体"/>
          <w:color w:val="000000" w:themeColor="text1"/>
          <w:sz w:val="24"/>
          <w:szCs w:val="24"/>
          <w14:textFill>
            <w14:solidFill>
              <w14:schemeClr w14:val="tx1"/>
            </w14:solidFill>
          </w14:textFill>
        </w:rPr>
      </w:pPr>
    </w:p>
    <w:p>
      <w:pPr>
        <w:pStyle w:val="44"/>
        <w:rPr>
          <w:rFonts w:hint="eastAsia" w:ascii="宋体" w:hAnsi="宋体" w:cs="宋体"/>
          <w:color w:val="000000" w:themeColor="text1"/>
          <w:sz w:val="24"/>
          <w:szCs w:val="24"/>
          <w14:textFill>
            <w14:solidFill>
              <w14:schemeClr w14:val="tx1"/>
            </w14:solidFill>
          </w14:textFill>
        </w:rPr>
      </w:pPr>
    </w:p>
    <w:p>
      <w:pPr>
        <w:pStyle w:val="44"/>
        <w:rPr>
          <w:rFonts w:hint="eastAsia" w:ascii="宋体" w:hAnsi="宋体" w:cs="宋体"/>
          <w:color w:val="000000" w:themeColor="text1"/>
          <w:sz w:val="24"/>
          <w:szCs w:val="24"/>
          <w14:textFill>
            <w14:solidFill>
              <w14:schemeClr w14:val="tx1"/>
            </w14:solidFill>
          </w14:textFill>
        </w:rPr>
      </w:pPr>
    </w:p>
    <w:p>
      <w:pPr>
        <w:pStyle w:val="44"/>
        <w:rPr>
          <w:rFonts w:hint="eastAsia" w:ascii="宋体" w:hAnsi="宋体" w:cs="宋体"/>
          <w:color w:val="000000" w:themeColor="text1"/>
          <w:sz w:val="24"/>
          <w:szCs w:val="24"/>
          <w14:textFill>
            <w14:solidFill>
              <w14:schemeClr w14:val="tx1"/>
            </w14:solidFill>
          </w14:textFill>
        </w:rPr>
      </w:pPr>
    </w:p>
    <w:p>
      <w:pPr>
        <w:pStyle w:val="44"/>
        <w:rPr>
          <w:rFonts w:hint="eastAsia" w:ascii="宋体" w:hAnsi="宋体" w:cs="宋体"/>
          <w:color w:val="000000" w:themeColor="text1"/>
          <w:sz w:val="24"/>
          <w:szCs w:val="24"/>
          <w14:textFill>
            <w14:solidFill>
              <w14:schemeClr w14:val="tx1"/>
            </w14:solidFill>
          </w14:textFill>
        </w:rPr>
      </w:pPr>
    </w:p>
    <w:p>
      <w:pPr>
        <w:pStyle w:val="44"/>
        <w:rPr>
          <w:rFonts w:hint="eastAsia" w:ascii="宋体" w:hAnsi="宋体" w:cs="宋体"/>
          <w:color w:val="000000" w:themeColor="text1"/>
          <w:sz w:val="24"/>
          <w:szCs w:val="24"/>
          <w14:textFill>
            <w14:solidFill>
              <w14:schemeClr w14:val="tx1"/>
            </w14:solidFill>
          </w14:textFill>
        </w:rPr>
      </w:pPr>
    </w:p>
    <w:p>
      <w:pPr>
        <w:pStyle w:val="44"/>
        <w:rPr>
          <w:rFonts w:hint="eastAsia" w:ascii="宋体" w:hAnsi="宋体" w:cs="宋体"/>
          <w:color w:val="000000" w:themeColor="text1"/>
          <w:sz w:val="24"/>
          <w:szCs w:val="24"/>
          <w14:textFill>
            <w14:solidFill>
              <w14:schemeClr w14:val="tx1"/>
            </w14:solidFill>
          </w14:textFill>
        </w:rPr>
      </w:pPr>
    </w:p>
    <w:p>
      <w:pPr>
        <w:pStyle w:val="44"/>
        <w:rPr>
          <w:rFonts w:hint="eastAsia" w:ascii="宋体" w:hAnsi="宋体" w:cs="宋体"/>
          <w:color w:val="000000" w:themeColor="text1"/>
          <w:sz w:val="24"/>
          <w:szCs w:val="24"/>
          <w14:textFill>
            <w14:solidFill>
              <w14:schemeClr w14:val="tx1"/>
            </w14:solidFill>
          </w14:textFill>
        </w:rPr>
      </w:pPr>
    </w:p>
    <w:p>
      <w:pPr>
        <w:pStyle w:val="44"/>
        <w:rPr>
          <w:rFonts w:hint="eastAsia" w:ascii="宋体" w:hAnsi="宋体" w:cs="宋体"/>
          <w:color w:val="000000" w:themeColor="text1"/>
          <w:sz w:val="24"/>
          <w:szCs w:val="24"/>
          <w14:textFill>
            <w14:solidFill>
              <w14:schemeClr w14:val="tx1"/>
            </w14:solidFill>
          </w14:textFill>
        </w:rPr>
      </w:pPr>
    </w:p>
    <w:p>
      <w:pPr>
        <w:pStyle w:val="44"/>
        <w:rPr>
          <w:rFonts w:hint="eastAsia" w:ascii="宋体" w:hAnsi="宋体" w:cs="宋体"/>
          <w:color w:val="000000" w:themeColor="text1"/>
          <w:sz w:val="24"/>
          <w:szCs w:val="24"/>
          <w14:textFill>
            <w14:solidFill>
              <w14:schemeClr w14:val="tx1"/>
            </w14:solidFill>
          </w14:textFill>
        </w:rPr>
      </w:pPr>
    </w:p>
    <w:p>
      <w:pPr>
        <w:pStyle w:val="44"/>
        <w:rPr>
          <w:rFonts w:hint="eastAsia" w:ascii="宋体" w:hAnsi="宋体" w:cs="宋体"/>
          <w:color w:val="000000" w:themeColor="text1"/>
          <w:sz w:val="24"/>
          <w:szCs w:val="24"/>
          <w14:textFill>
            <w14:solidFill>
              <w14:schemeClr w14:val="tx1"/>
            </w14:solidFill>
          </w14:textFill>
        </w:rPr>
      </w:pPr>
    </w:p>
    <w:p>
      <w:pPr>
        <w:pStyle w:val="44"/>
        <w:rPr>
          <w:rFonts w:hint="eastAsia" w:ascii="宋体" w:hAnsi="宋体" w:cs="宋体"/>
          <w:color w:val="000000" w:themeColor="text1"/>
          <w:sz w:val="24"/>
          <w:szCs w:val="24"/>
          <w14:textFill>
            <w14:solidFill>
              <w14:schemeClr w14:val="tx1"/>
            </w14:solidFill>
          </w14:textFill>
        </w:rPr>
      </w:pPr>
    </w:p>
    <w:p>
      <w:pPr>
        <w:pStyle w:val="44"/>
        <w:rPr>
          <w:rFonts w:hint="eastAsia" w:ascii="宋体" w:hAnsi="宋体" w:cs="宋体"/>
          <w:color w:val="000000" w:themeColor="text1"/>
          <w:sz w:val="24"/>
          <w:szCs w:val="24"/>
          <w14:textFill>
            <w14:solidFill>
              <w14:schemeClr w14:val="tx1"/>
            </w14:solidFill>
          </w14:textFill>
        </w:rPr>
      </w:pPr>
    </w:p>
    <w:p>
      <w:pPr>
        <w:pStyle w:val="44"/>
        <w:rPr>
          <w:rFonts w:hint="eastAsia" w:ascii="宋体" w:hAnsi="宋体" w:cs="宋体"/>
          <w:color w:val="000000" w:themeColor="text1"/>
          <w:sz w:val="24"/>
          <w:szCs w:val="24"/>
          <w14:textFill>
            <w14:solidFill>
              <w14:schemeClr w14:val="tx1"/>
            </w14:solidFill>
          </w14:textFill>
        </w:rPr>
      </w:pPr>
    </w:p>
    <w:p>
      <w:pPr>
        <w:pStyle w:val="44"/>
        <w:rPr>
          <w:rFonts w:hint="eastAsia" w:ascii="宋体" w:hAnsi="宋体" w:cs="宋体"/>
          <w:color w:val="000000" w:themeColor="text1"/>
          <w:sz w:val="24"/>
          <w:szCs w:val="24"/>
          <w14:textFill>
            <w14:solidFill>
              <w14:schemeClr w14:val="tx1"/>
            </w14:solidFill>
          </w14:textFill>
        </w:rPr>
      </w:pPr>
    </w:p>
    <w:p>
      <w:pPr>
        <w:pStyle w:val="44"/>
        <w:rPr>
          <w:rFonts w:hint="eastAsia" w:ascii="宋体" w:hAnsi="宋体" w:cs="宋体"/>
          <w:color w:val="000000" w:themeColor="text1"/>
          <w:sz w:val="24"/>
          <w:szCs w:val="24"/>
          <w14:textFill>
            <w14:solidFill>
              <w14:schemeClr w14:val="tx1"/>
            </w14:solidFill>
          </w14:textFill>
        </w:rPr>
      </w:pPr>
    </w:p>
    <w:p>
      <w:pPr>
        <w:pStyle w:val="44"/>
        <w:ind w:left="0" w:leftChars="0" w:firstLine="0" w:firstLineChars="0"/>
        <w:rPr>
          <w:rFonts w:hint="eastAsia" w:ascii="宋体" w:hAnsi="宋体" w:cs="宋体"/>
          <w:color w:val="000000" w:themeColor="text1"/>
          <w:sz w:val="24"/>
          <w:szCs w:val="24"/>
          <w14:textFill>
            <w14:solidFill>
              <w14:schemeClr w14:val="tx1"/>
            </w14:solidFill>
          </w14:textFill>
        </w:rPr>
      </w:pPr>
    </w:p>
    <w:p>
      <w:pPr>
        <w:pStyle w:val="4"/>
        <w:spacing w:before="0" w:after="0" w:line="240" w:lineRule="auto"/>
        <w:ind w:firstLine="2209" w:firstLineChars="500"/>
        <w:jc w:val="both"/>
        <w:outlineLvl w:val="0"/>
        <w:rPr>
          <w:rFonts w:ascii="宋体" w:hAnsi="宋体" w:eastAsia="宋体" w:cs="宋体"/>
          <w:b w:val="0"/>
          <w:bCs w:val="0"/>
          <w:color w:val="000000" w:themeColor="text1"/>
          <w14:textFill>
            <w14:solidFill>
              <w14:schemeClr w14:val="tx1"/>
            </w14:solidFill>
          </w14:textFill>
        </w:rPr>
      </w:pPr>
      <w:bookmarkStart w:id="61" w:name="_Toc8598"/>
      <w:r>
        <w:rPr>
          <w:rFonts w:hint="eastAsia" w:ascii="宋体" w:hAnsi="宋体" w:eastAsia="宋体" w:cs="宋体"/>
          <w:color w:val="000000" w:themeColor="text1"/>
          <w14:textFill>
            <w14:solidFill>
              <w14:schemeClr w14:val="tx1"/>
            </w14:solidFill>
          </w14:textFill>
        </w:rPr>
        <w:t xml:space="preserve">第二章  </w:t>
      </w:r>
      <w:bookmarkStart w:id="62" w:name="_Toc20823274"/>
      <w:bookmarkStart w:id="63" w:name="_Toc513029202"/>
      <w:bookmarkStart w:id="64" w:name="_Toc120614213"/>
      <w:bookmarkStart w:id="65" w:name="_Toc16938518"/>
      <w:r>
        <w:rPr>
          <w:rFonts w:hint="eastAsia" w:ascii="宋体" w:hAnsi="宋体" w:eastAsia="宋体" w:cs="宋体"/>
          <w:color w:val="000000" w:themeColor="text1"/>
          <w14:textFill>
            <w14:solidFill>
              <w14:schemeClr w14:val="tx1"/>
            </w14:solidFill>
          </w14:textFill>
        </w:rPr>
        <w:t>投标人须知</w:t>
      </w:r>
      <w:bookmarkEnd w:id="61"/>
      <w:bookmarkEnd w:id="62"/>
      <w:bookmarkEnd w:id="63"/>
      <w:bookmarkEnd w:id="64"/>
      <w:bookmarkEnd w:id="65"/>
    </w:p>
    <w:p>
      <w:pPr>
        <w:pStyle w:val="6"/>
        <w:spacing w:before="0" w:after="0" w:line="440" w:lineRule="exact"/>
        <w:ind w:firstLine="482" w:firstLineChars="200"/>
        <w:rPr>
          <w:rFonts w:ascii="宋体" w:hAnsi="宋体" w:cs="宋体"/>
          <w:color w:val="000000" w:themeColor="text1"/>
          <w:sz w:val="24"/>
          <w:szCs w:val="24"/>
          <w14:textFill>
            <w14:solidFill>
              <w14:schemeClr w14:val="tx1"/>
            </w14:solidFill>
          </w14:textFill>
        </w:rPr>
      </w:pPr>
      <w:bookmarkStart w:id="66" w:name="_Toc20823275"/>
      <w:bookmarkStart w:id="67" w:name="_Toc513029203"/>
      <w:bookmarkStart w:id="68" w:name="_Toc120614214"/>
      <w:bookmarkStart w:id="69" w:name="_Toc16938519"/>
      <w:r>
        <w:rPr>
          <w:rFonts w:hint="eastAsia" w:ascii="宋体" w:hAnsi="宋体" w:cs="宋体"/>
          <w:color w:val="000000" w:themeColor="text1"/>
          <w:sz w:val="24"/>
          <w:szCs w:val="24"/>
          <w14:textFill>
            <w14:solidFill>
              <w14:schemeClr w14:val="tx1"/>
            </w14:solidFill>
          </w14:textFill>
        </w:rPr>
        <w:t>一、总则</w:t>
      </w:r>
      <w:bookmarkEnd w:id="66"/>
      <w:bookmarkEnd w:id="67"/>
      <w:bookmarkEnd w:id="68"/>
      <w:bookmarkEnd w:id="69"/>
    </w:p>
    <w:p>
      <w:pPr>
        <w:pStyle w:val="7"/>
        <w:spacing w:before="0" w:after="0" w:line="440" w:lineRule="exact"/>
        <w:ind w:firstLine="480" w:firstLineChars="200"/>
        <w:rPr>
          <w:rFonts w:ascii="宋体" w:hAnsi="宋体" w:cs="宋体"/>
          <w:b w:val="0"/>
          <w:color w:val="000000" w:themeColor="text1"/>
          <w:sz w:val="24"/>
          <w:szCs w:val="24"/>
          <w14:textFill>
            <w14:solidFill>
              <w14:schemeClr w14:val="tx1"/>
            </w14:solidFill>
          </w14:textFill>
        </w:rPr>
      </w:pPr>
      <w:bookmarkStart w:id="70" w:name="_Hlt16619475"/>
      <w:bookmarkEnd w:id="70"/>
      <w:bookmarkStart w:id="71" w:name="_Toc458694821"/>
      <w:bookmarkStart w:id="72" w:name="_Toc20823276"/>
      <w:bookmarkStart w:id="73" w:name="_Toc513029204"/>
      <w:bookmarkStart w:id="74" w:name="_Toc16938520"/>
      <w:r>
        <w:rPr>
          <w:rFonts w:hint="eastAsia" w:ascii="宋体" w:hAnsi="宋体" w:cs="宋体"/>
          <w:b w:val="0"/>
          <w:color w:val="000000" w:themeColor="text1"/>
          <w:sz w:val="24"/>
          <w:szCs w:val="24"/>
          <w14:textFill>
            <w14:solidFill>
              <w14:schemeClr w14:val="tx1"/>
            </w14:solidFill>
          </w14:textFill>
        </w:rPr>
        <w:t>1</w:t>
      </w:r>
      <w:bookmarkEnd w:id="71"/>
      <w:r>
        <w:rPr>
          <w:rFonts w:hint="eastAsia" w:ascii="宋体" w:hAnsi="宋体" w:cs="宋体"/>
          <w:b w:val="0"/>
          <w:color w:val="000000" w:themeColor="text1"/>
          <w:sz w:val="24"/>
          <w:szCs w:val="24"/>
          <w14:textFill>
            <w14:solidFill>
              <w14:schemeClr w14:val="tx1"/>
            </w14:solidFill>
          </w14:textFill>
        </w:rPr>
        <w:t>、招标方式</w:t>
      </w:r>
      <w:bookmarkEnd w:id="72"/>
      <w:bookmarkEnd w:id="73"/>
      <w:bookmarkEnd w:id="74"/>
    </w:p>
    <w:p>
      <w:pPr>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1.1 本次招标采取公开招标方式，本招标文件仅适用于招标公告中所述项目。</w:t>
      </w:r>
    </w:p>
    <w:p>
      <w:pPr>
        <w:pStyle w:val="7"/>
        <w:spacing w:before="0" w:after="0" w:line="440" w:lineRule="exact"/>
        <w:ind w:firstLine="480" w:firstLineChars="200"/>
        <w:rPr>
          <w:rFonts w:ascii="宋体" w:hAnsi="宋体" w:cs="宋体"/>
          <w:b w:val="0"/>
          <w:color w:val="000000" w:themeColor="text1"/>
          <w:sz w:val="24"/>
          <w:szCs w:val="24"/>
          <w14:textFill>
            <w14:solidFill>
              <w14:schemeClr w14:val="tx1"/>
            </w14:solidFill>
          </w14:textFill>
        </w:rPr>
      </w:pPr>
      <w:bookmarkStart w:id="75" w:name="_Toc20823277"/>
      <w:bookmarkStart w:id="76" w:name="_Toc513029205"/>
      <w:bookmarkStart w:id="77" w:name="_Toc16938521"/>
      <w:r>
        <w:rPr>
          <w:rFonts w:hint="eastAsia" w:ascii="宋体" w:hAnsi="宋体" w:cs="宋体"/>
          <w:b w:val="0"/>
          <w:color w:val="000000" w:themeColor="text1"/>
          <w:sz w:val="24"/>
          <w:szCs w:val="24"/>
          <w14:textFill>
            <w14:solidFill>
              <w14:schemeClr w14:val="tx1"/>
            </w14:solidFill>
          </w14:textFill>
        </w:rPr>
        <w:t>2、合格的投标人</w:t>
      </w:r>
      <w:bookmarkEnd w:id="75"/>
      <w:bookmarkEnd w:id="76"/>
      <w:bookmarkEnd w:id="77"/>
    </w:p>
    <w:p>
      <w:pPr>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2.1满足招标公告中供应商的资格要求的规定。</w:t>
      </w:r>
    </w:p>
    <w:p>
      <w:pPr>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2.2 满足本文件实质性条款的规定。</w:t>
      </w:r>
    </w:p>
    <w:p>
      <w:pPr>
        <w:pStyle w:val="7"/>
        <w:spacing w:before="0" w:after="0" w:line="440" w:lineRule="exact"/>
        <w:ind w:firstLine="480" w:firstLineChars="200"/>
        <w:rPr>
          <w:rFonts w:ascii="宋体" w:hAnsi="宋体" w:cs="宋体"/>
          <w:b w:val="0"/>
          <w:color w:val="000000" w:themeColor="text1"/>
          <w:sz w:val="24"/>
          <w:szCs w:val="24"/>
          <w14:textFill>
            <w14:solidFill>
              <w14:schemeClr w14:val="tx1"/>
            </w14:solidFill>
          </w14:textFill>
        </w:rPr>
      </w:pPr>
      <w:bookmarkStart w:id="78" w:name="_Toc16938522"/>
      <w:bookmarkStart w:id="79" w:name="_Toc20823278"/>
      <w:bookmarkStart w:id="80" w:name="_Toc513029206"/>
      <w:r>
        <w:rPr>
          <w:rFonts w:hint="eastAsia" w:ascii="宋体" w:hAnsi="宋体" w:cs="宋体"/>
          <w:b w:val="0"/>
          <w:color w:val="000000" w:themeColor="text1"/>
          <w:sz w:val="24"/>
          <w:szCs w:val="24"/>
          <w14:textFill>
            <w14:solidFill>
              <w14:schemeClr w14:val="tx1"/>
            </w14:solidFill>
          </w14:textFill>
        </w:rPr>
        <w:t>3、适用法律</w:t>
      </w:r>
      <w:bookmarkEnd w:id="78"/>
      <w:bookmarkEnd w:id="79"/>
      <w:bookmarkEnd w:id="80"/>
    </w:p>
    <w:p>
      <w:pPr>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3.1 本次招标及由此产生的合同受中华人民共和国有关的法律法规制约和保护。</w:t>
      </w:r>
    </w:p>
    <w:p>
      <w:pPr>
        <w:pStyle w:val="7"/>
        <w:spacing w:before="0" w:after="0" w:line="440" w:lineRule="exact"/>
        <w:ind w:firstLine="480" w:firstLineChars="200"/>
        <w:rPr>
          <w:rFonts w:ascii="宋体" w:hAnsi="宋体" w:cs="宋体"/>
          <w:b w:val="0"/>
          <w:color w:val="000000" w:themeColor="text1"/>
          <w:sz w:val="24"/>
          <w:szCs w:val="24"/>
          <w14:textFill>
            <w14:solidFill>
              <w14:schemeClr w14:val="tx1"/>
            </w14:solidFill>
          </w14:textFill>
        </w:rPr>
      </w:pPr>
      <w:bookmarkStart w:id="81" w:name="_Toc16938523"/>
      <w:bookmarkStart w:id="82" w:name="_Toc20823279"/>
      <w:bookmarkStart w:id="83" w:name="_Toc513029207"/>
      <w:bookmarkStart w:id="84" w:name="_Toc462564067"/>
      <w:r>
        <w:rPr>
          <w:rFonts w:hint="eastAsia" w:ascii="宋体" w:hAnsi="宋体" w:cs="宋体"/>
          <w:b w:val="0"/>
          <w:color w:val="000000" w:themeColor="text1"/>
          <w:sz w:val="24"/>
          <w:szCs w:val="24"/>
          <w14:textFill>
            <w14:solidFill>
              <w14:schemeClr w14:val="tx1"/>
            </w14:solidFill>
          </w14:textFill>
        </w:rPr>
        <w:t>4、投标费用</w:t>
      </w:r>
      <w:bookmarkEnd w:id="81"/>
      <w:bookmarkEnd w:id="82"/>
      <w:bookmarkEnd w:id="83"/>
      <w:bookmarkEnd w:id="84"/>
    </w:p>
    <w:p>
      <w:pPr>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4.1</w:t>
      </w:r>
      <w:r>
        <w:rPr>
          <w:rFonts w:hint="eastAsia" w:ascii="宋体" w:hAnsi="宋体" w:cs="宋体"/>
          <w:color w:val="000000" w:themeColor="text1"/>
          <w:sz w:val="24"/>
          <w:szCs w:val="24"/>
          <w14:textFill>
            <w14:solidFill>
              <w14:schemeClr w14:val="tx1"/>
            </w14:solidFill>
          </w14:textFill>
        </w:rPr>
        <w:t xml:space="preserve"> 投标人应自行承担所有与参加投标有关的费用，无论投标过程中的做法和结果如何，采购人及采购代理机构在任何情况下均无义务和责任承担这些费用。</w:t>
      </w:r>
    </w:p>
    <w:p>
      <w:pPr>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4.2本项目中标人与采购人签订合同前领取中标通知书时须向采购代理机构支付招标代理服务费，收费标准按中标价的1.5%×40%计取（如低于3000元的直接按3000元计取）；上述费用由各投标人在投标时自行综合考虑分摊含进投标报价中，且不得单列，采购人不再承担上述费用。</w:t>
      </w:r>
    </w:p>
    <w:p>
      <w:pPr>
        <w:pStyle w:val="7"/>
        <w:spacing w:before="0" w:after="0" w:line="440" w:lineRule="exact"/>
        <w:ind w:firstLine="480" w:firstLineChars="200"/>
        <w:rPr>
          <w:rFonts w:ascii="宋体" w:hAnsi="宋体" w:cs="宋体"/>
          <w:b w:val="0"/>
          <w:color w:val="000000" w:themeColor="text1"/>
          <w:sz w:val="24"/>
          <w:szCs w:val="24"/>
          <w14:textFill>
            <w14:solidFill>
              <w14:schemeClr w14:val="tx1"/>
            </w14:solidFill>
          </w14:textFill>
        </w:rPr>
      </w:pPr>
      <w:r>
        <w:rPr>
          <w:rFonts w:hint="eastAsia" w:ascii="宋体" w:hAnsi="宋体" w:cs="宋体"/>
          <w:b w:val="0"/>
          <w:color w:val="000000" w:themeColor="text1"/>
          <w:sz w:val="24"/>
          <w:szCs w:val="24"/>
          <w14:textFill>
            <w14:solidFill>
              <w14:schemeClr w14:val="tx1"/>
            </w14:solidFill>
          </w14:textFill>
        </w:rPr>
        <w:t>5、招标文件的约束力</w:t>
      </w:r>
    </w:p>
    <w:p>
      <w:pPr>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5.1</w:t>
      </w:r>
      <w:r>
        <w:rPr>
          <w:rFonts w:hint="eastAsia" w:ascii="宋体" w:hAnsi="宋体" w:cs="宋体"/>
          <w:color w:val="000000" w:themeColor="text1"/>
          <w:sz w:val="24"/>
          <w:szCs w:val="24"/>
          <w14:textFill>
            <w14:solidFill>
              <w14:schemeClr w14:val="tx1"/>
            </w14:solidFill>
          </w14:textFill>
        </w:rPr>
        <w:t xml:space="preserve"> 投标人一旦参加本项目采购活动，即被认为接受了本招标文件的规定和约束，并且视为自招标公告期限届满之日起知道或应当知道自身权益是否受到了损害。</w:t>
      </w:r>
    </w:p>
    <w:p>
      <w:pPr>
        <w:pStyle w:val="7"/>
        <w:spacing w:before="0" w:after="0" w:line="440" w:lineRule="exact"/>
        <w:ind w:firstLine="480" w:firstLineChars="200"/>
        <w:rPr>
          <w:rFonts w:ascii="宋体" w:hAnsi="宋体" w:cs="宋体"/>
          <w:b w:val="0"/>
          <w:color w:val="000000" w:themeColor="text1"/>
          <w:sz w:val="24"/>
          <w:szCs w:val="24"/>
          <w14:textFill>
            <w14:solidFill>
              <w14:schemeClr w14:val="tx1"/>
            </w14:solidFill>
          </w14:textFill>
        </w:rPr>
      </w:pPr>
      <w:r>
        <w:rPr>
          <w:rFonts w:hint="eastAsia" w:ascii="宋体" w:hAnsi="宋体" w:cs="宋体"/>
          <w:b w:val="0"/>
          <w:color w:val="000000" w:themeColor="text1"/>
          <w:sz w:val="24"/>
          <w:szCs w:val="24"/>
          <w14:textFill>
            <w14:solidFill>
              <w14:schemeClr w14:val="tx1"/>
            </w14:solidFill>
          </w14:textFill>
        </w:rPr>
        <w:t>6、招标文件的解释</w:t>
      </w:r>
    </w:p>
    <w:p>
      <w:pPr>
        <w:spacing w:line="44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6.1 本招标文件由采购人或采购代理机构负责解释。</w:t>
      </w:r>
    </w:p>
    <w:p>
      <w:pPr>
        <w:pStyle w:val="6"/>
        <w:spacing w:before="0" w:after="0" w:line="440" w:lineRule="exact"/>
        <w:ind w:firstLine="482" w:firstLineChars="200"/>
        <w:rPr>
          <w:rFonts w:ascii="宋体" w:hAnsi="宋体" w:cs="宋体"/>
          <w:color w:val="000000" w:themeColor="text1"/>
          <w:sz w:val="24"/>
          <w:szCs w:val="24"/>
          <w14:textFill>
            <w14:solidFill>
              <w14:schemeClr w14:val="tx1"/>
            </w14:solidFill>
          </w14:textFill>
        </w:rPr>
      </w:pPr>
      <w:bookmarkStart w:id="85" w:name="_Toc16938525"/>
      <w:bookmarkStart w:id="86" w:name="_Toc513029209"/>
      <w:bookmarkStart w:id="87" w:name="_Toc20823281"/>
      <w:bookmarkStart w:id="88" w:name="_Toc120614215"/>
      <w:r>
        <w:rPr>
          <w:rFonts w:hint="eastAsia" w:ascii="宋体" w:hAnsi="宋体" w:cs="宋体"/>
          <w:color w:val="000000" w:themeColor="text1"/>
          <w:sz w:val="24"/>
          <w:szCs w:val="24"/>
          <w14:textFill>
            <w14:solidFill>
              <w14:schemeClr w14:val="tx1"/>
            </w14:solidFill>
          </w14:textFill>
        </w:rPr>
        <w:t>二、招标文件</w:t>
      </w:r>
      <w:bookmarkEnd w:id="85"/>
      <w:bookmarkEnd w:id="86"/>
      <w:bookmarkEnd w:id="87"/>
      <w:bookmarkEnd w:id="88"/>
    </w:p>
    <w:p>
      <w:pPr>
        <w:pStyle w:val="7"/>
        <w:spacing w:before="0" w:after="0" w:line="440" w:lineRule="exact"/>
        <w:ind w:firstLine="480" w:firstLineChars="200"/>
        <w:rPr>
          <w:rFonts w:ascii="宋体" w:hAnsi="宋体" w:cs="宋体"/>
          <w:b w:val="0"/>
          <w:color w:val="000000" w:themeColor="text1"/>
          <w:sz w:val="24"/>
          <w:szCs w:val="24"/>
          <w14:textFill>
            <w14:solidFill>
              <w14:schemeClr w14:val="tx1"/>
            </w14:solidFill>
          </w14:textFill>
        </w:rPr>
      </w:pPr>
      <w:bookmarkStart w:id="89" w:name="_Toc20823282"/>
      <w:bookmarkStart w:id="90" w:name="_Toc16938526"/>
      <w:bookmarkStart w:id="91" w:name="_Toc513029210"/>
      <w:r>
        <w:rPr>
          <w:rFonts w:hint="eastAsia" w:ascii="宋体" w:hAnsi="宋体" w:cs="宋体"/>
          <w:b w:val="0"/>
          <w:color w:val="000000" w:themeColor="text1"/>
          <w:sz w:val="24"/>
          <w:szCs w:val="24"/>
          <w14:textFill>
            <w14:solidFill>
              <w14:schemeClr w14:val="tx1"/>
            </w14:solidFill>
          </w14:textFill>
        </w:rPr>
        <w:t>7、招标文件构成</w:t>
      </w:r>
      <w:bookmarkEnd w:id="89"/>
      <w:bookmarkEnd w:id="90"/>
      <w:bookmarkEnd w:id="91"/>
    </w:p>
    <w:p>
      <w:pPr>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7.1</w:t>
      </w:r>
      <w:r>
        <w:rPr>
          <w:rFonts w:hint="eastAsia" w:ascii="宋体" w:hAnsi="宋体" w:cs="宋体"/>
          <w:color w:val="000000" w:themeColor="text1"/>
          <w:sz w:val="24"/>
          <w:szCs w:val="24"/>
          <w14:textFill>
            <w14:solidFill>
              <w14:schemeClr w14:val="tx1"/>
            </w14:solidFill>
          </w14:textFill>
        </w:rPr>
        <w:t xml:space="preserve"> 招标文件有以下部分组成：</w:t>
      </w:r>
    </w:p>
    <w:p>
      <w:pPr>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（1）招标公告</w:t>
      </w:r>
    </w:p>
    <w:p>
      <w:pPr>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（2）投标人须知</w:t>
      </w:r>
    </w:p>
    <w:p>
      <w:pPr>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（3）合同条款及格式</w:t>
      </w:r>
    </w:p>
    <w:p>
      <w:pPr>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（4）项目技术要求</w:t>
      </w:r>
    </w:p>
    <w:p>
      <w:pPr>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（5）评标方法与评标标准</w:t>
      </w:r>
    </w:p>
    <w:p>
      <w:pPr>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（6）投标文件格式</w:t>
      </w:r>
    </w:p>
    <w:p>
      <w:pPr>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请仔细检查招标文件是否齐全，如有缺漏请立即与采购人或采购代理机构联系解决。</w:t>
      </w:r>
    </w:p>
    <w:p>
      <w:pPr>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7.2</w:t>
      </w:r>
      <w:r>
        <w:rPr>
          <w:rFonts w:hint="eastAsia" w:ascii="宋体" w:hAnsi="宋体" w:cs="宋体"/>
          <w:color w:val="000000" w:themeColor="text1"/>
          <w:sz w:val="24"/>
          <w:szCs w:val="24"/>
          <w14:textFill>
            <w14:solidFill>
              <w14:schemeClr w14:val="tx1"/>
            </w14:solidFill>
          </w14:textFill>
        </w:rPr>
        <w:t xml:space="preserve">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pPr>
        <w:pStyle w:val="7"/>
        <w:spacing w:before="0" w:after="0" w:line="440" w:lineRule="exact"/>
        <w:ind w:firstLine="480" w:firstLineChars="200"/>
        <w:rPr>
          <w:rFonts w:ascii="宋体" w:hAnsi="宋体" w:cs="宋体"/>
          <w:b w:val="0"/>
          <w:color w:val="000000" w:themeColor="text1"/>
          <w:sz w:val="24"/>
          <w:szCs w:val="24"/>
          <w14:textFill>
            <w14:solidFill>
              <w14:schemeClr w14:val="tx1"/>
            </w14:solidFill>
          </w14:textFill>
        </w:rPr>
      </w:pPr>
      <w:bookmarkStart w:id="92" w:name="_Toc513029211"/>
      <w:bookmarkStart w:id="93" w:name="_Toc16938527"/>
      <w:bookmarkStart w:id="94" w:name="_Toc20823283"/>
      <w:bookmarkStart w:id="95" w:name="_Toc462564070"/>
      <w:r>
        <w:rPr>
          <w:rFonts w:hint="eastAsia" w:ascii="宋体" w:hAnsi="宋体" w:cs="宋体"/>
          <w:b w:val="0"/>
          <w:color w:val="000000" w:themeColor="text1"/>
          <w:sz w:val="24"/>
          <w:szCs w:val="24"/>
          <w14:textFill>
            <w14:solidFill>
              <w14:schemeClr w14:val="tx1"/>
            </w14:solidFill>
          </w14:textFill>
        </w:rPr>
        <w:t>8、招标文件的</w:t>
      </w:r>
      <w:bookmarkEnd w:id="92"/>
      <w:bookmarkEnd w:id="93"/>
      <w:bookmarkEnd w:id="94"/>
      <w:bookmarkEnd w:id="95"/>
      <w:r>
        <w:rPr>
          <w:rFonts w:hint="eastAsia" w:ascii="宋体" w:hAnsi="宋体" w:cs="宋体"/>
          <w:b w:val="0"/>
          <w:color w:val="000000" w:themeColor="text1"/>
          <w:sz w:val="24"/>
          <w:szCs w:val="24"/>
          <w14:textFill>
            <w14:solidFill>
              <w14:schemeClr w14:val="tx1"/>
            </w14:solidFill>
          </w14:textFill>
        </w:rPr>
        <w:t>询问</w:t>
      </w:r>
    </w:p>
    <w:p>
      <w:pPr>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8.1</w:t>
      </w:r>
      <w:r>
        <w:rPr>
          <w:rFonts w:hint="eastAsia" w:ascii="宋体" w:hAnsi="宋体" w:cs="宋体"/>
          <w:color w:val="000000" w:themeColor="text1"/>
          <w:sz w:val="24"/>
          <w:szCs w:val="24"/>
          <w14:textFill>
            <w14:solidFill>
              <w14:schemeClr w14:val="tx1"/>
            </w14:solidFill>
          </w14:textFill>
        </w:rPr>
        <w:t xml:space="preserve"> 任何要求对招标文件进行询问的投标人，应在投标截止日期</w:t>
      </w:r>
      <w:r>
        <w:rPr>
          <w:rFonts w:hint="eastAsia" w:ascii="宋体" w:hAnsi="宋体" w:cs="宋体"/>
          <w:b/>
          <w:color w:val="000000" w:themeColor="text1"/>
          <w:sz w:val="24"/>
          <w:szCs w:val="24"/>
          <w14:textFill>
            <w14:solidFill>
              <w14:schemeClr w14:val="tx1"/>
            </w14:solidFill>
          </w14:textFill>
        </w:rPr>
        <w:t>十日</w:t>
      </w:r>
      <w:r>
        <w:rPr>
          <w:rFonts w:hint="eastAsia" w:ascii="宋体" w:hAnsi="宋体" w:cs="宋体"/>
          <w:color w:val="000000" w:themeColor="text1"/>
          <w:sz w:val="24"/>
          <w:szCs w:val="24"/>
          <w14:textFill>
            <w14:solidFill>
              <w14:schemeClr w14:val="tx1"/>
            </w14:solidFill>
          </w14:textFill>
        </w:rPr>
        <w:t>前按招标公告中的通讯地址，向采购人或采购代理机构提出。</w:t>
      </w:r>
    </w:p>
    <w:p>
      <w:pPr>
        <w:pStyle w:val="7"/>
        <w:spacing w:before="0" w:after="0" w:line="440" w:lineRule="exact"/>
        <w:ind w:firstLine="480" w:firstLineChars="200"/>
        <w:rPr>
          <w:rFonts w:ascii="宋体" w:hAnsi="宋体" w:cs="宋体"/>
          <w:b w:val="0"/>
          <w:color w:val="000000" w:themeColor="text1"/>
          <w:sz w:val="24"/>
          <w:szCs w:val="24"/>
          <w14:textFill>
            <w14:solidFill>
              <w14:schemeClr w14:val="tx1"/>
            </w14:solidFill>
          </w14:textFill>
        </w:rPr>
      </w:pPr>
      <w:bookmarkStart w:id="96" w:name="_Toc20823284"/>
      <w:bookmarkStart w:id="97" w:name="_Toc16938528"/>
      <w:bookmarkStart w:id="98" w:name="_Toc513029212"/>
      <w:bookmarkStart w:id="99" w:name="_Toc462564071"/>
      <w:r>
        <w:rPr>
          <w:rFonts w:hint="eastAsia" w:ascii="宋体" w:hAnsi="宋体" w:cs="宋体"/>
          <w:b w:val="0"/>
          <w:color w:val="000000" w:themeColor="text1"/>
          <w:sz w:val="24"/>
          <w:szCs w:val="24"/>
          <w14:textFill>
            <w14:solidFill>
              <w14:schemeClr w14:val="tx1"/>
            </w14:solidFill>
          </w14:textFill>
        </w:rPr>
        <w:t>9、招标文件的修改</w:t>
      </w:r>
      <w:bookmarkEnd w:id="96"/>
      <w:bookmarkEnd w:id="97"/>
      <w:bookmarkEnd w:id="98"/>
      <w:bookmarkEnd w:id="99"/>
    </w:p>
    <w:p>
      <w:pPr>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9.1</w:t>
      </w:r>
      <w:r>
        <w:rPr>
          <w:rFonts w:hint="eastAsia" w:ascii="宋体" w:hAnsi="宋体" w:cs="宋体"/>
          <w:color w:val="000000" w:themeColor="text1"/>
          <w:sz w:val="24"/>
          <w:szCs w:val="24"/>
          <w14:textFill>
            <w14:solidFill>
              <w14:schemeClr w14:val="tx1"/>
            </w14:solidFill>
          </w14:textFill>
        </w:rPr>
        <w:t xml:space="preserve"> 在投标截止时间前，采购人或采购代理机构可以对招标文件进行修改。</w:t>
      </w:r>
    </w:p>
    <w:p>
      <w:pPr>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9.2</w:t>
      </w:r>
      <w:r>
        <w:rPr>
          <w:rFonts w:hint="eastAsia" w:ascii="宋体" w:hAnsi="宋体" w:cs="宋体"/>
          <w:color w:val="000000" w:themeColor="text1"/>
          <w:sz w:val="24"/>
          <w:szCs w:val="24"/>
          <w14:textFill>
            <w14:solidFill>
              <w14:schemeClr w14:val="tx1"/>
            </w14:solidFill>
          </w14:textFill>
        </w:rPr>
        <w:t>采购人或采购代理机构有权依法推迟投标截止日期和开标日期。</w:t>
      </w:r>
    </w:p>
    <w:p>
      <w:pPr>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9.3</w:t>
      </w:r>
      <w:r>
        <w:rPr>
          <w:rFonts w:hint="eastAsia" w:ascii="宋体" w:hAnsi="宋体" w:cs="宋体"/>
          <w:color w:val="000000" w:themeColor="text1"/>
          <w:sz w:val="24"/>
          <w:szCs w:val="24"/>
          <w14:textFill>
            <w14:solidFill>
              <w14:schemeClr w14:val="tx1"/>
            </w14:solidFill>
          </w14:textFill>
        </w:rPr>
        <w:t>招标文件的修改将在</w:t>
      </w:r>
      <w:r>
        <w:rPr>
          <w:rFonts w:hint="eastAsia" w:ascii="宋体" w:hAnsi="宋体" w:cs="宋体"/>
          <w:bCs/>
          <w:color w:val="000000" w:themeColor="text1"/>
          <w:sz w:val="24"/>
          <w:szCs w:val="24"/>
          <w14:textFill>
            <w14:solidFill>
              <w14:schemeClr w14:val="tx1"/>
            </w14:solidFill>
          </w14:textFill>
        </w:rPr>
        <w:t>盐城工业职业技术学院招标采购网</w:t>
      </w:r>
      <w:r>
        <w:rPr>
          <w:rFonts w:hint="eastAsia" w:ascii="宋体" w:hAnsi="宋体" w:cs="宋体"/>
          <w:color w:val="000000" w:themeColor="text1"/>
          <w:sz w:val="24"/>
          <w:szCs w:val="24"/>
          <w14:textFill>
            <w14:solidFill>
              <w14:schemeClr w14:val="tx1"/>
            </w14:solidFill>
          </w14:textFill>
        </w:rPr>
        <w:t>公布，补充文件将作为招标文件的组成部分，并对投标人具有约束力。</w:t>
      </w:r>
    </w:p>
    <w:p>
      <w:pPr>
        <w:pStyle w:val="6"/>
        <w:spacing w:before="0" w:after="0" w:line="440" w:lineRule="exact"/>
        <w:ind w:firstLine="482" w:firstLineChars="200"/>
        <w:rPr>
          <w:rFonts w:ascii="宋体" w:hAnsi="宋体" w:cs="宋体"/>
          <w:color w:val="000000" w:themeColor="text1"/>
          <w:sz w:val="24"/>
          <w:szCs w:val="24"/>
          <w14:textFill>
            <w14:solidFill>
              <w14:schemeClr w14:val="tx1"/>
            </w14:solidFill>
          </w14:textFill>
        </w:rPr>
      </w:pPr>
      <w:bookmarkStart w:id="100" w:name="_Toc16938529"/>
      <w:bookmarkStart w:id="101" w:name="_Toc462564072"/>
      <w:bookmarkStart w:id="102" w:name="_Toc120614216"/>
      <w:bookmarkStart w:id="103" w:name="_Toc513029213"/>
      <w:bookmarkStart w:id="104" w:name="_Toc20823285"/>
      <w:r>
        <w:rPr>
          <w:rFonts w:hint="eastAsia" w:ascii="宋体" w:hAnsi="宋体" w:cs="宋体"/>
          <w:color w:val="000000" w:themeColor="text1"/>
          <w:sz w:val="24"/>
          <w:szCs w:val="24"/>
          <w14:textFill>
            <w14:solidFill>
              <w14:schemeClr w14:val="tx1"/>
            </w14:solidFill>
          </w14:textFill>
        </w:rPr>
        <w:t>三、投标文件的编制</w:t>
      </w:r>
      <w:bookmarkEnd w:id="100"/>
      <w:bookmarkEnd w:id="101"/>
      <w:bookmarkEnd w:id="102"/>
      <w:bookmarkEnd w:id="103"/>
      <w:bookmarkEnd w:id="104"/>
    </w:p>
    <w:p>
      <w:pPr>
        <w:pStyle w:val="7"/>
        <w:spacing w:before="0" w:after="0" w:line="440" w:lineRule="exact"/>
        <w:ind w:firstLine="480" w:firstLineChars="200"/>
        <w:rPr>
          <w:rFonts w:ascii="宋体" w:hAnsi="宋体" w:cs="宋体"/>
          <w:color w:val="000000" w:themeColor="text1"/>
          <w:sz w:val="24"/>
          <w:szCs w:val="24"/>
          <w14:textFill>
            <w14:solidFill>
              <w14:schemeClr w14:val="tx1"/>
            </w14:solidFill>
          </w14:textFill>
        </w:rPr>
      </w:pPr>
      <w:bookmarkStart w:id="105" w:name="_Toc462564073"/>
      <w:bookmarkStart w:id="106" w:name="_Toc20823286"/>
      <w:bookmarkStart w:id="107" w:name="_Toc513029214"/>
      <w:bookmarkStart w:id="108" w:name="_Toc16938530"/>
      <w:r>
        <w:rPr>
          <w:rFonts w:hint="eastAsia" w:ascii="宋体" w:hAnsi="宋体" w:cs="宋体"/>
          <w:b w:val="0"/>
          <w:color w:val="000000" w:themeColor="text1"/>
          <w:sz w:val="24"/>
          <w:szCs w:val="24"/>
          <w14:textFill>
            <w14:solidFill>
              <w14:schemeClr w14:val="tx1"/>
            </w14:solidFill>
          </w14:textFill>
        </w:rPr>
        <w:t>10、投标文件的语言及度量衡单位</w:t>
      </w:r>
      <w:bookmarkEnd w:id="105"/>
      <w:bookmarkEnd w:id="106"/>
      <w:bookmarkEnd w:id="107"/>
      <w:bookmarkEnd w:id="108"/>
    </w:p>
    <w:p>
      <w:pPr>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10.1</w:t>
      </w:r>
      <w:r>
        <w:rPr>
          <w:rFonts w:hint="eastAsia" w:ascii="宋体" w:hAnsi="宋体" w:cs="宋体"/>
          <w:color w:val="000000" w:themeColor="text1"/>
          <w:sz w:val="24"/>
          <w:szCs w:val="24"/>
          <w14:textFill>
            <w14:solidFill>
              <w14:schemeClr w14:val="tx1"/>
            </w14:solidFill>
          </w14:textFill>
        </w:rPr>
        <w:t xml:space="preserve"> 投标人提交的投标文件以及投标人与采购人或采购代理机构就有关投标的所有来往通知、函件和文件均应使用</w:t>
      </w:r>
      <w:r>
        <w:rPr>
          <w:rFonts w:hint="eastAsia" w:ascii="宋体" w:hAnsi="宋体" w:cs="宋体"/>
          <w:b/>
          <w:bCs/>
          <w:color w:val="000000" w:themeColor="text1"/>
          <w:sz w:val="24"/>
          <w:szCs w:val="24"/>
          <w14:textFill>
            <w14:solidFill>
              <w14:schemeClr w14:val="tx1"/>
            </w14:solidFill>
          </w14:textFill>
        </w:rPr>
        <w:t>简体中文</w:t>
      </w:r>
      <w:r>
        <w:rPr>
          <w:rFonts w:hint="eastAsia" w:ascii="宋体" w:hAnsi="宋体" w:cs="宋体"/>
          <w:color w:val="000000" w:themeColor="text1"/>
          <w:sz w:val="24"/>
          <w:szCs w:val="24"/>
          <w14:textFill>
            <w14:solidFill>
              <w14:schemeClr w14:val="tx1"/>
            </w14:solidFill>
          </w14:textFill>
        </w:rPr>
        <w:t>。</w:t>
      </w:r>
    </w:p>
    <w:p>
      <w:pPr>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10.2</w:t>
      </w:r>
      <w:r>
        <w:rPr>
          <w:rFonts w:hint="eastAsia" w:ascii="宋体" w:hAnsi="宋体" w:cs="宋体"/>
          <w:color w:val="000000" w:themeColor="text1"/>
          <w:sz w:val="24"/>
          <w:szCs w:val="24"/>
          <w14:textFill>
            <w14:solidFill>
              <w14:schemeClr w14:val="tx1"/>
            </w14:solidFill>
          </w14:textFill>
        </w:rPr>
        <w:t xml:space="preserve"> 除技术性能另有规定外，投标文件所使用的度量衡单位，均须采用国家法定计量单位。</w:t>
      </w:r>
    </w:p>
    <w:p>
      <w:pPr>
        <w:pStyle w:val="7"/>
        <w:spacing w:before="0" w:after="0" w:line="440" w:lineRule="exact"/>
        <w:ind w:firstLine="480" w:firstLineChars="200"/>
        <w:rPr>
          <w:rFonts w:ascii="宋体" w:hAnsi="宋体" w:cs="宋体"/>
          <w:b w:val="0"/>
          <w:color w:val="000000" w:themeColor="text1"/>
          <w:sz w:val="24"/>
          <w:szCs w:val="24"/>
          <w14:textFill>
            <w14:solidFill>
              <w14:schemeClr w14:val="tx1"/>
            </w14:solidFill>
          </w14:textFill>
        </w:rPr>
      </w:pPr>
      <w:bookmarkStart w:id="109" w:name="_Toc16938531"/>
      <w:bookmarkStart w:id="110" w:name="_Toc20823287"/>
      <w:bookmarkStart w:id="111" w:name="_Toc462564074"/>
      <w:bookmarkStart w:id="112" w:name="_Toc513029215"/>
      <w:r>
        <w:rPr>
          <w:rFonts w:hint="eastAsia" w:ascii="宋体" w:hAnsi="宋体" w:cs="宋体"/>
          <w:b w:val="0"/>
          <w:color w:val="000000" w:themeColor="text1"/>
          <w:sz w:val="24"/>
          <w:szCs w:val="24"/>
          <w14:textFill>
            <w14:solidFill>
              <w14:schemeClr w14:val="tx1"/>
            </w14:solidFill>
          </w14:textFill>
        </w:rPr>
        <w:t>11、投标文件构成</w:t>
      </w:r>
      <w:bookmarkEnd w:id="109"/>
      <w:bookmarkEnd w:id="110"/>
      <w:bookmarkEnd w:id="111"/>
      <w:bookmarkEnd w:id="112"/>
    </w:p>
    <w:p>
      <w:pPr>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11.1</w:t>
      </w:r>
      <w:r>
        <w:rPr>
          <w:rFonts w:hint="eastAsia" w:ascii="宋体" w:hAnsi="宋体" w:cs="宋体"/>
          <w:color w:val="000000" w:themeColor="text1"/>
          <w:sz w:val="24"/>
          <w:szCs w:val="24"/>
          <w14:textFill>
            <w14:solidFill>
              <w14:schemeClr w14:val="tx1"/>
            </w14:solidFill>
          </w14:textFill>
        </w:rPr>
        <w:t xml:space="preserve"> 投标人编写的投标文件应包括资信证明文件、投标配置与分项报价表、供货一览表、技术参数响应及偏离表、商务条款响应及偏离表、技术及售后服务承诺书、投标函、开标一览表等部分；</w:t>
      </w:r>
    </w:p>
    <w:p>
      <w:pPr>
        <w:snapToGrid w:val="0"/>
        <w:spacing w:line="440" w:lineRule="exact"/>
        <w:ind w:firstLine="480" w:firstLineChars="200"/>
        <w:rPr>
          <w:rFonts w:ascii="宋体" w:hAnsi="宋体" w:cs="宋体"/>
          <w:b/>
          <w:color w:val="000000" w:themeColor="text1"/>
          <w:sz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11.2投标人应将投标文件按顺序装订成册，并编制投标文件资料目录。</w:t>
      </w:r>
    </w:p>
    <w:p>
      <w:pPr>
        <w:spacing w:line="440" w:lineRule="exact"/>
        <w:ind w:firstLine="482" w:firstLineChars="200"/>
        <w:rPr>
          <w:rFonts w:ascii="宋体" w:hAnsi="宋体" w:cs="宋体"/>
          <w:color w:val="000000" w:themeColor="text1"/>
          <w:sz w:val="24"/>
          <w:szCs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以上材料需提供原件及复印件, 复印件加盖单位法人章、法定代表人章印（或签署），原件不必装订，直接封在档案袋内密封后提交，并将原件资料清单放在封袋内。</w:t>
      </w:r>
    </w:p>
    <w:p>
      <w:pPr>
        <w:pStyle w:val="7"/>
        <w:spacing w:before="0" w:after="0" w:line="440" w:lineRule="exact"/>
        <w:ind w:firstLine="480" w:firstLineChars="200"/>
        <w:rPr>
          <w:rFonts w:ascii="宋体" w:hAnsi="宋体" w:cs="宋体"/>
          <w:b w:val="0"/>
          <w:color w:val="000000" w:themeColor="text1"/>
          <w:sz w:val="24"/>
          <w:szCs w:val="24"/>
          <w14:textFill>
            <w14:solidFill>
              <w14:schemeClr w14:val="tx1"/>
            </w14:solidFill>
          </w14:textFill>
        </w:rPr>
      </w:pPr>
      <w:bookmarkStart w:id="113" w:name="_Hlt26670360"/>
      <w:bookmarkEnd w:id="113"/>
      <w:bookmarkStart w:id="114" w:name="_Hlt26954838"/>
      <w:bookmarkEnd w:id="114"/>
      <w:bookmarkStart w:id="115" w:name="_Hlt26668975"/>
      <w:bookmarkEnd w:id="115"/>
      <w:bookmarkStart w:id="116" w:name="_Toc14577357"/>
      <w:bookmarkStart w:id="117" w:name="_Toc513029219"/>
      <w:bookmarkStart w:id="118" w:name="_Toc49090509"/>
      <w:bookmarkStart w:id="119" w:name="_Toc49090507"/>
      <w:bookmarkStart w:id="120" w:name="_Toc14577354"/>
      <w:bookmarkStart w:id="121" w:name="_Toc513029216"/>
      <w:r>
        <w:rPr>
          <w:rFonts w:hint="eastAsia" w:ascii="宋体" w:hAnsi="宋体" w:cs="宋体"/>
          <w:b w:val="0"/>
          <w:color w:val="000000" w:themeColor="text1"/>
          <w:sz w:val="24"/>
          <w:szCs w:val="24"/>
          <w14:textFill>
            <w14:solidFill>
              <w14:schemeClr w14:val="tx1"/>
            </w14:solidFill>
          </w14:textFill>
        </w:rPr>
        <w:t>12、证明投标人资格及符合招标文件规定的文件</w:t>
      </w:r>
      <w:bookmarkEnd w:id="116"/>
      <w:bookmarkEnd w:id="117"/>
      <w:bookmarkEnd w:id="118"/>
    </w:p>
    <w:p>
      <w:pPr>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12.1</w:t>
      </w:r>
      <w:bookmarkStart w:id="122" w:name="_Hlt26668999"/>
      <w:bookmarkEnd w:id="122"/>
      <w:r>
        <w:rPr>
          <w:rFonts w:hint="eastAsia" w:ascii="宋体" w:hAnsi="宋体" w:cs="宋体"/>
          <w:color w:val="000000" w:themeColor="text1"/>
          <w:sz w:val="24"/>
          <w:szCs w:val="24"/>
          <w14:textFill>
            <w14:solidFill>
              <w14:schemeClr w14:val="tx1"/>
            </w14:solidFill>
          </w14:textFill>
        </w:rPr>
        <w:t>投标人应按要求提交资格证明文件及符合招标文件规定的文件。</w:t>
      </w:r>
    </w:p>
    <w:p>
      <w:pPr>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12.2投标人应提交证明其有资格参加投标和中标后有能力独立履行合同的文件。</w:t>
      </w:r>
    </w:p>
    <w:p>
      <w:pPr>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12.3投标人除必须具有履行合同所需提供的货物以及服务的能力外，还必须具备相应的财务、技术方面的能力。</w:t>
      </w:r>
    </w:p>
    <w:p>
      <w:pPr>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12.4投标人应提交根据合同要求提供的证明货物以及服务质量合格以及符合招标文件规定的证明文件。</w:t>
      </w:r>
    </w:p>
    <w:p>
      <w:pPr>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12.5证明投标人所提供货物及服务与招标文件的要求相一致的文件可以是手册、图纸、文字资料和数据</w:t>
      </w:r>
      <w:r>
        <w:rPr>
          <w:rFonts w:hint="eastAsia" w:ascii="宋体" w:hAnsi="宋体" w:cs="宋体"/>
          <w:bCs/>
          <w:color w:val="000000" w:themeColor="text1"/>
          <w:sz w:val="24"/>
          <w:szCs w:val="24"/>
          <w14:textFill>
            <w14:solidFill>
              <w14:schemeClr w14:val="tx1"/>
            </w14:solidFill>
          </w14:textFill>
        </w:rPr>
        <w:t>。</w:t>
      </w:r>
    </w:p>
    <w:bookmarkEnd w:id="119"/>
    <w:bookmarkEnd w:id="120"/>
    <w:bookmarkEnd w:id="121"/>
    <w:p>
      <w:pPr>
        <w:pStyle w:val="7"/>
        <w:spacing w:before="0" w:after="0" w:line="440" w:lineRule="exact"/>
        <w:ind w:firstLine="480" w:firstLineChars="200"/>
        <w:rPr>
          <w:rFonts w:ascii="宋体" w:hAnsi="宋体" w:cs="宋体"/>
          <w:b w:val="0"/>
          <w:color w:val="000000" w:themeColor="text1"/>
          <w:sz w:val="24"/>
          <w:szCs w:val="24"/>
          <w14:textFill>
            <w14:solidFill>
              <w14:schemeClr w14:val="tx1"/>
            </w14:solidFill>
          </w14:textFill>
        </w:rPr>
      </w:pPr>
      <w:bookmarkStart w:id="123" w:name="_Toc14577355"/>
      <w:bookmarkStart w:id="124" w:name="_Toc49090508"/>
      <w:r>
        <w:rPr>
          <w:rFonts w:hint="eastAsia" w:ascii="宋体" w:hAnsi="宋体" w:cs="宋体"/>
          <w:b w:val="0"/>
          <w:color w:val="000000" w:themeColor="text1"/>
          <w:sz w:val="24"/>
          <w:szCs w:val="24"/>
          <w14:textFill>
            <w14:solidFill>
              <w14:schemeClr w14:val="tx1"/>
            </w14:solidFill>
          </w14:textFill>
        </w:rPr>
        <w:t>13、供货一览表和投标配置与分项报价</w:t>
      </w:r>
      <w:bookmarkEnd w:id="123"/>
      <w:bookmarkStart w:id="125" w:name="_Hlt26670373"/>
      <w:bookmarkEnd w:id="125"/>
      <w:r>
        <w:rPr>
          <w:rFonts w:hint="eastAsia" w:ascii="宋体" w:hAnsi="宋体" w:cs="宋体"/>
          <w:b w:val="0"/>
          <w:color w:val="000000" w:themeColor="text1"/>
          <w:sz w:val="24"/>
          <w:szCs w:val="24"/>
          <w14:textFill>
            <w14:solidFill>
              <w14:schemeClr w14:val="tx1"/>
            </w14:solidFill>
          </w14:textFill>
        </w:rPr>
        <w:t>表</w:t>
      </w:r>
      <w:bookmarkEnd w:id="124"/>
    </w:p>
    <w:p>
      <w:pPr>
        <w:spacing w:line="44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13.1</w:t>
      </w:r>
      <w:r>
        <w:rPr>
          <w:rFonts w:hint="eastAsia" w:ascii="宋体" w:hAnsi="宋体" w:cs="宋体"/>
          <w:color w:val="000000" w:themeColor="text1"/>
          <w:sz w:val="24"/>
          <w:szCs w:val="24"/>
          <w14:textFill>
            <w14:solidFill>
              <w14:schemeClr w14:val="tx1"/>
            </w14:solidFill>
          </w14:textFill>
        </w:rPr>
        <w:t xml:space="preserve"> 投</w:t>
      </w:r>
      <w:bookmarkStart w:id="126" w:name="_Hlt26954840"/>
      <w:bookmarkEnd w:id="126"/>
      <w:r>
        <w:rPr>
          <w:rFonts w:hint="eastAsia" w:ascii="宋体" w:hAnsi="宋体" w:cs="宋体"/>
          <w:color w:val="000000" w:themeColor="text1"/>
          <w:sz w:val="24"/>
          <w:szCs w:val="24"/>
          <w14:textFill>
            <w14:solidFill>
              <w14:schemeClr w14:val="tx1"/>
            </w14:solidFill>
          </w14:textFill>
        </w:rPr>
        <w:t>标人应按照招标文件规定格式填报供货一览表、投标配置与分项报价表</w:t>
      </w:r>
      <w:bookmarkStart w:id="127" w:name="_Hlt26670399"/>
      <w:bookmarkEnd w:id="127"/>
      <w:r>
        <w:rPr>
          <w:rFonts w:hint="eastAsia" w:ascii="宋体" w:hAnsi="宋体" w:cs="宋体"/>
          <w:color w:val="000000" w:themeColor="text1"/>
          <w:sz w:val="24"/>
          <w:szCs w:val="24"/>
          <w14:textFill>
            <w14:solidFill>
              <w14:schemeClr w14:val="tx1"/>
            </w14:solidFill>
          </w14:textFill>
        </w:rPr>
        <w:t>，在表中标明所提供的设备品牌、规格、型号、原产地、主要部件型号及其功能的中文说明和供货期。每项货物和服务等只允许有一个报价，任何有选择的报价将不予接受(如有备选配件，备选配件的报价不属于选择的报价)。</w:t>
      </w:r>
    </w:p>
    <w:p>
      <w:pPr>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13.2</w:t>
      </w:r>
      <w:r>
        <w:rPr>
          <w:rFonts w:hint="eastAsia" w:ascii="宋体" w:hAnsi="宋体" w:cs="宋体"/>
          <w:color w:val="000000" w:themeColor="text1"/>
          <w:sz w:val="24"/>
          <w:szCs w:val="24"/>
          <w14:textFill>
            <w14:solidFill>
              <w14:schemeClr w14:val="tx1"/>
            </w14:solidFill>
          </w14:textFill>
        </w:rPr>
        <w:t xml:space="preserve"> 标的物</w:t>
      </w:r>
    </w:p>
    <w:p>
      <w:pPr>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采购人需求的货物供应、安装，调试及有关技术服务等</w:t>
      </w:r>
      <w:r>
        <w:rPr>
          <w:rFonts w:hint="eastAsia" w:ascii="宋体" w:hAnsi="宋体" w:cs="宋体"/>
          <w:color w:val="000000" w:themeColor="text1"/>
          <w:sz w:val="24"/>
          <w:szCs w:val="24"/>
          <w14:textFill>
            <w14:solidFill>
              <w14:schemeClr w14:val="tx1"/>
            </w14:solidFill>
          </w14:textFill>
        </w:rPr>
        <w:t>。</w:t>
      </w:r>
    </w:p>
    <w:p>
      <w:pPr>
        <w:spacing w:line="44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13.3</w:t>
      </w:r>
      <w:r>
        <w:rPr>
          <w:rFonts w:hint="eastAsia" w:ascii="宋体" w:hAnsi="宋体" w:cs="宋体"/>
          <w:bCs/>
          <w:color w:val="000000" w:themeColor="text1"/>
          <w:sz w:val="24"/>
          <w:szCs w:val="24"/>
          <w14:textFill>
            <w14:solidFill>
              <w14:schemeClr w14:val="tx1"/>
            </w14:solidFill>
          </w14:textFill>
        </w:rPr>
        <w:t>有关费用处理</w:t>
      </w:r>
    </w:p>
    <w:p>
      <w:pPr>
        <w:spacing w:line="44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招标报价采用总承包方式，投标人的报价应包括所投产品费用、安装调试费、测试验收费、培训费、运行维护费用、税金、国际国内运输保险、报关清关、开证、办理全套免税手续费用及其他有关的为完成本项目发生的所有费用，招标文件中另有规定的除外。</w:t>
      </w:r>
    </w:p>
    <w:p>
      <w:pPr>
        <w:spacing w:line="44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13.4</w:t>
      </w:r>
      <w:r>
        <w:rPr>
          <w:rFonts w:hint="eastAsia" w:ascii="宋体" w:hAnsi="宋体" w:cs="宋体"/>
          <w:bCs/>
          <w:color w:val="000000" w:themeColor="text1"/>
          <w:sz w:val="24"/>
          <w:szCs w:val="24"/>
          <w14:textFill>
            <w14:solidFill>
              <w14:schemeClr w14:val="tx1"/>
            </w14:solidFill>
          </w14:textFill>
        </w:rPr>
        <w:t>其它费用处理</w:t>
      </w:r>
    </w:p>
    <w:p>
      <w:pPr>
        <w:spacing w:line="44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招标文件未列明，而投标人认为必需的费用也需列入报价。</w:t>
      </w:r>
    </w:p>
    <w:p>
      <w:pPr>
        <w:spacing w:line="44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13.5</w:t>
      </w:r>
      <w:r>
        <w:rPr>
          <w:rFonts w:hint="eastAsia" w:ascii="宋体" w:hAnsi="宋体" w:cs="宋体"/>
          <w:bCs/>
          <w:color w:val="000000" w:themeColor="text1"/>
          <w:sz w:val="24"/>
          <w:szCs w:val="24"/>
          <w14:textFill>
            <w14:solidFill>
              <w14:schemeClr w14:val="tx1"/>
            </w14:solidFill>
          </w14:textFill>
        </w:rPr>
        <w:t>投标货币</w:t>
      </w:r>
    </w:p>
    <w:p>
      <w:pPr>
        <w:spacing w:line="44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投标文件中的货物</w:t>
      </w:r>
      <w:r>
        <w:rPr>
          <w:rFonts w:hint="eastAsia" w:ascii="宋体" w:hAnsi="宋体" w:cs="宋体"/>
          <w:color w:val="000000" w:themeColor="text1"/>
          <w:sz w:val="24"/>
          <w:szCs w:val="24"/>
          <w14:textFill>
            <w14:solidFill>
              <w14:schemeClr w14:val="tx1"/>
            </w14:solidFill>
          </w14:textFill>
        </w:rPr>
        <w:t>及服务</w:t>
      </w:r>
      <w:r>
        <w:rPr>
          <w:rFonts w:hint="eastAsia" w:ascii="宋体" w:hAnsi="宋体" w:cs="宋体"/>
          <w:bCs/>
          <w:color w:val="000000" w:themeColor="text1"/>
          <w:sz w:val="24"/>
          <w:szCs w:val="24"/>
          <w14:textFill>
            <w14:solidFill>
              <w14:schemeClr w14:val="tx1"/>
            </w14:solidFill>
          </w14:textFill>
        </w:rPr>
        <w:t>单价和总价无特殊规定的采用人民币报价，以元为单位标注。</w:t>
      </w:r>
      <w:r>
        <w:rPr>
          <w:rFonts w:hint="eastAsia" w:ascii="宋体" w:hAnsi="宋体" w:cs="宋体"/>
          <w:color w:val="000000" w:themeColor="text1"/>
          <w:sz w:val="24"/>
          <w:szCs w:val="24"/>
          <w14:textFill>
            <w14:solidFill>
              <w14:schemeClr w14:val="tx1"/>
            </w14:solidFill>
          </w14:textFill>
        </w:rPr>
        <w:t>招标文件中另有规定的按规定执行。</w:t>
      </w:r>
    </w:p>
    <w:p>
      <w:pPr>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13.6</w:t>
      </w:r>
      <w:r>
        <w:rPr>
          <w:rFonts w:hint="eastAsia" w:ascii="宋体" w:hAnsi="宋体" w:cs="宋体"/>
          <w:bCs/>
          <w:color w:val="000000" w:themeColor="text1"/>
          <w:sz w:val="24"/>
          <w:szCs w:val="24"/>
          <w14:textFill>
            <w14:solidFill>
              <w14:schemeClr w14:val="tx1"/>
            </w14:solidFill>
          </w14:textFill>
        </w:rPr>
        <w:t xml:space="preserve"> 投标配置与分项报价表上的价格应按下列方式分开填写</w:t>
      </w:r>
      <w:r>
        <w:rPr>
          <w:rFonts w:hint="eastAsia" w:ascii="宋体" w:hAnsi="宋体" w:cs="宋体"/>
          <w:color w:val="000000" w:themeColor="text1"/>
          <w:sz w:val="24"/>
          <w:szCs w:val="24"/>
          <w14:textFill>
            <w14:solidFill>
              <w14:schemeClr w14:val="tx1"/>
            </w14:solidFill>
          </w14:textFill>
        </w:rPr>
        <w:t>：</w:t>
      </w:r>
    </w:p>
    <w:p>
      <w:pPr>
        <w:spacing w:line="440" w:lineRule="exact"/>
        <w:ind w:firstLine="480" w:firstLineChars="200"/>
        <w:rPr>
          <w:rFonts w:ascii="宋体" w:hAnsi="宋体" w:cs="宋体"/>
          <w:bCs/>
          <w:color w:val="000000" w:themeColor="text1"/>
          <w:sz w:val="24"/>
          <w:szCs w:val="24"/>
          <w14:textFill>
            <w14:solidFill>
              <w14:schemeClr w14:val="tx1"/>
            </w14:solidFill>
          </w14:textFill>
        </w:rPr>
      </w:pPr>
      <w:bookmarkStart w:id="128" w:name="_Hlt26954844"/>
      <w:bookmarkEnd w:id="128"/>
      <w:bookmarkStart w:id="129" w:name="_Hlt26668983"/>
      <w:bookmarkEnd w:id="129"/>
      <w:bookmarkStart w:id="130" w:name="_Hlt26670425"/>
      <w:bookmarkEnd w:id="130"/>
      <w:bookmarkStart w:id="131" w:name="_Hlt26670403"/>
      <w:bookmarkEnd w:id="131"/>
      <w:bookmarkStart w:id="132" w:name="_Hlt26954842"/>
      <w:bookmarkEnd w:id="132"/>
      <w:r>
        <w:rPr>
          <w:rFonts w:hint="eastAsia" w:ascii="宋体" w:hAnsi="宋体" w:cs="宋体"/>
          <w:bCs/>
          <w:color w:val="000000" w:themeColor="text1"/>
          <w:sz w:val="24"/>
          <w:szCs w:val="24"/>
          <w14:textFill>
            <w14:solidFill>
              <w14:schemeClr w14:val="tx1"/>
            </w14:solidFill>
          </w14:textFill>
        </w:rPr>
        <w:t xml:space="preserve">13.6.1 </w:t>
      </w:r>
      <w:r>
        <w:rPr>
          <w:rFonts w:hint="eastAsia" w:ascii="宋体" w:hAnsi="宋体" w:cs="宋体"/>
          <w:color w:val="000000" w:themeColor="text1"/>
          <w:sz w:val="24"/>
          <w:szCs w:val="24"/>
          <w14:textFill>
            <w14:solidFill>
              <w14:schemeClr w14:val="tx1"/>
            </w14:solidFill>
          </w14:textFill>
        </w:rPr>
        <w:t>项目总价：包括</w:t>
      </w:r>
      <w:r>
        <w:rPr>
          <w:rFonts w:hint="eastAsia" w:ascii="宋体" w:hAnsi="宋体" w:cs="宋体"/>
          <w:bCs/>
          <w:color w:val="000000" w:themeColor="text1"/>
          <w:sz w:val="24"/>
          <w:szCs w:val="24"/>
          <w14:textFill>
            <w14:solidFill>
              <w14:schemeClr w14:val="tx1"/>
            </w14:solidFill>
          </w14:textFill>
        </w:rPr>
        <w:t>买方需求的货物价格</w:t>
      </w:r>
      <w:r>
        <w:rPr>
          <w:rFonts w:hint="eastAsia" w:ascii="宋体" w:hAnsi="宋体" w:cs="宋体"/>
          <w:color w:val="000000" w:themeColor="text1"/>
          <w:sz w:val="24"/>
          <w:szCs w:val="24"/>
          <w14:textFill>
            <w14:solidFill>
              <w14:schemeClr w14:val="tx1"/>
            </w14:solidFill>
          </w14:textFill>
        </w:rPr>
        <w:t>、</w:t>
      </w:r>
      <w:r>
        <w:rPr>
          <w:rFonts w:hint="eastAsia" w:ascii="宋体" w:hAnsi="宋体" w:cs="宋体"/>
          <w:bCs/>
          <w:color w:val="000000" w:themeColor="text1"/>
          <w:sz w:val="24"/>
          <w:szCs w:val="24"/>
          <w14:textFill>
            <w14:solidFill>
              <w14:schemeClr w14:val="tx1"/>
            </w14:solidFill>
          </w14:textFill>
        </w:rPr>
        <w:t>质量保证费用、培训费用及售后服务费用，项目在指定地点、环境交付、安装、调试、验收所需费用和所有</w:t>
      </w:r>
      <w:r>
        <w:rPr>
          <w:rFonts w:hint="eastAsia" w:ascii="宋体" w:hAnsi="宋体" w:cs="宋体"/>
          <w:color w:val="000000" w:themeColor="text1"/>
          <w:sz w:val="24"/>
          <w:szCs w:val="24"/>
          <w14:textFill>
            <w14:solidFill>
              <w14:schemeClr w14:val="tx1"/>
            </w14:solidFill>
          </w14:textFill>
        </w:rPr>
        <w:t>相关税金费用</w:t>
      </w:r>
      <w:r>
        <w:rPr>
          <w:rFonts w:hint="eastAsia" w:ascii="宋体" w:hAnsi="宋体" w:cs="宋体"/>
          <w:bCs/>
          <w:color w:val="000000" w:themeColor="text1"/>
          <w:sz w:val="24"/>
          <w:szCs w:val="24"/>
          <w14:textFill>
            <w14:solidFill>
              <w14:schemeClr w14:val="tx1"/>
            </w14:solidFill>
          </w14:textFill>
        </w:rPr>
        <w:t>及为完成整个项目所产生的其它所有费用。</w:t>
      </w:r>
    </w:p>
    <w:p>
      <w:pPr>
        <w:spacing w:line="44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13.6.2</w:t>
      </w:r>
      <w:r>
        <w:rPr>
          <w:rFonts w:hint="eastAsia" w:ascii="宋体" w:hAnsi="宋体" w:cs="宋体"/>
          <w:bCs/>
          <w:color w:val="000000" w:themeColor="text1"/>
          <w:sz w:val="24"/>
          <w:szCs w:val="24"/>
          <w14:textFill>
            <w14:solidFill>
              <w14:schemeClr w14:val="tx1"/>
            </w14:solidFill>
          </w14:textFill>
        </w:rPr>
        <w:t>项目单价按投标配置及分项报价表中要求填报。</w:t>
      </w:r>
      <w:bookmarkStart w:id="133" w:name="_Hlt26670486"/>
      <w:bookmarkEnd w:id="133"/>
      <w:bookmarkStart w:id="134" w:name="_Hlt26954848"/>
      <w:bookmarkEnd w:id="134"/>
      <w:bookmarkStart w:id="135" w:name="_Hlt26954731"/>
      <w:bookmarkEnd w:id="135"/>
      <w:bookmarkStart w:id="136" w:name="_Hlt26954846"/>
      <w:bookmarkEnd w:id="136"/>
      <w:bookmarkStart w:id="137" w:name="_Hlt26670482"/>
      <w:bookmarkEnd w:id="137"/>
    </w:p>
    <w:p>
      <w:pPr>
        <w:spacing w:line="44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14</w:t>
      </w:r>
      <w:r>
        <w:rPr>
          <w:rFonts w:hint="eastAsia" w:ascii="宋体" w:hAnsi="宋体" w:cs="宋体"/>
          <w:b/>
          <w:bCs/>
          <w:color w:val="000000" w:themeColor="text1"/>
          <w:sz w:val="24"/>
          <w:szCs w:val="24"/>
          <w14:textFill>
            <w14:solidFill>
              <w14:schemeClr w14:val="tx1"/>
            </w14:solidFill>
          </w14:textFill>
        </w:rPr>
        <w:t>、</w:t>
      </w:r>
      <w:r>
        <w:rPr>
          <w:rFonts w:hint="eastAsia" w:ascii="宋体" w:hAnsi="宋体" w:cs="宋体"/>
          <w:color w:val="000000" w:themeColor="text1"/>
          <w:sz w:val="24"/>
          <w:szCs w:val="24"/>
          <w14:textFill>
            <w14:solidFill>
              <w14:schemeClr w14:val="tx1"/>
            </w14:solidFill>
          </w14:textFill>
        </w:rPr>
        <w:t>技术参数响应及偏离表、商务条款响应及偏离表及投标货物说明</w:t>
      </w:r>
    </w:p>
    <w:p>
      <w:pPr>
        <w:autoSpaceDE w:val="0"/>
        <w:autoSpaceDN w:val="0"/>
        <w:adjustRightInd w:val="0"/>
        <w:spacing w:line="440" w:lineRule="exact"/>
        <w:ind w:firstLine="480" w:firstLineChars="200"/>
        <w:rPr>
          <w:rFonts w:ascii="宋体" w:hAnsi="宋体" w:cs="宋体"/>
          <w:color w:val="000000" w:themeColor="text1"/>
          <w:sz w:val="24"/>
          <w:szCs w:val="24"/>
          <w:lang w:val="zh-CN"/>
          <w14:textFill>
            <w14:solidFill>
              <w14:schemeClr w14:val="tx1"/>
            </w14:solidFill>
          </w14:textFill>
        </w:rPr>
      </w:pPr>
      <w:r>
        <w:rPr>
          <w:rFonts w:hint="eastAsia" w:ascii="宋体" w:hAnsi="宋体" w:cs="宋体"/>
          <w:bCs/>
          <w:color w:val="000000" w:themeColor="text1"/>
          <w:sz w:val="24"/>
          <w:szCs w:val="24"/>
          <w:lang w:val="zh-CN"/>
          <w14:textFill>
            <w14:solidFill>
              <w14:schemeClr w14:val="tx1"/>
            </w14:solidFill>
          </w14:textFill>
        </w:rPr>
        <w:t>14.1</w:t>
      </w:r>
      <w:r>
        <w:rPr>
          <w:rFonts w:hint="eastAsia" w:ascii="宋体" w:hAnsi="宋体" w:cs="宋体"/>
          <w:color w:val="000000" w:themeColor="text1"/>
          <w:sz w:val="24"/>
          <w:szCs w:val="24"/>
          <w:lang w:val="zh-CN"/>
          <w14:textFill>
            <w14:solidFill>
              <w14:schemeClr w14:val="tx1"/>
            </w14:solidFill>
          </w14:textFill>
        </w:rPr>
        <w:t xml:space="preserve"> 对招标文件中的技术与商务条款要求逐项作出响应或偏离，并说明原因；</w:t>
      </w:r>
    </w:p>
    <w:p>
      <w:pPr>
        <w:tabs>
          <w:tab w:val="left" w:pos="1035"/>
        </w:tabs>
        <w:autoSpaceDE w:val="0"/>
        <w:autoSpaceDN w:val="0"/>
        <w:adjustRightInd w:val="0"/>
        <w:spacing w:line="440" w:lineRule="exact"/>
        <w:ind w:firstLine="480" w:firstLineChars="200"/>
        <w:rPr>
          <w:rFonts w:ascii="宋体" w:hAnsi="宋体" w:cs="宋体"/>
          <w:color w:val="000000" w:themeColor="text1"/>
          <w:sz w:val="24"/>
          <w:szCs w:val="24"/>
          <w:lang w:val="zh-CN"/>
          <w14:textFill>
            <w14:solidFill>
              <w14:schemeClr w14:val="tx1"/>
            </w14:solidFill>
          </w14:textFill>
        </w:rPr>
      </w:pPr>
      <w:r>
        <w:rPr>
          <w:rFonts w:hint="eastAsia" w:ascii="宋体" w:hAnsi="宋体" w:cs="宋体"/>
          <w:color w:val="000000" w:themeColor="text1"/>
          <w:sz w:val="24"/>
          <w:szCs w:val="24"/>
          <w:lang w:val="zh-CN"/>
          <w14:textFill>
            <w14:solidFill>
              <w14:schemeClr w14:val="tx1"/>
            </w14:solidFill>
          </w14:textFill>
        </w:rPr>
        <w:t>14.2 提供参加本项目类似案例简介；</w:t>
      </w:r>
    </w:p>
    <w:p>
      <w:pPr>
        <w:tabs>
          <w:tab w:val="left" w:pos="1035"/>
        </w:tabs>
        <w:autoSpaceDE w:val="0"/>
        <w:autoSpaceDN w:val="0"/>
        <w:adjustRightInd w:val="0"/>
        <w:spacing w:line="440" w:lineRule="exact"/>
        <w:ind w:firstLine="480" w:firstLineChars="200"/>
        <w:rPr>
          <w:rFonts w:ascii="宋体" w:hAnsi="宋体" w:cs="宋体"/>
          <w:color w:val="000000" w:themeColor="text1"/>
          <w:sz w:val="24"/>
          <w:szCs w:val="24"/>
          <w:lang w:val="zh-CN"/>
          <w14:textFill>
            <w14:solidFill>
              <w14:schemeClr w14:val="tx1"/>
            </w14:solidFill>
          </w14:textFill>
        </w:rPr>
      </w:pPr>
      <w:r>
        <w:rPr>
          <w:rFonts w:hint="eastAsia" w:ascii="宋体" w:hAnsi="宋体" w:cs="宋体"/>
          <w:color w:val="000000" w:themeColor="text1"/>
          <w:sz w:val="24"/>
          <w:szCs w:val="24"/>
          <w:lang w:val="zh-CN"/>
          <w14:textFill>
            <w14:solidFill>
              <w14:schemeClr w14:val="tx1"/>
            </w14:solidFill>
          </w14:textFill>
        </w:rPr>
        <w:t>14.3 培训计划；</w:t>
      </w:r>
    </w:p>
    <w:p>
      <w:pPr>
        <w:tabs>
          <w:tab w:val="left" w:pos="1035"/>
        </w:tabs>
        <w:autoSpaceDE w:val="0"/>
        <w:autoSpaceDN w:val="0"/>
        <w:adjustRightInd w:val="0"/>
        <w:spacing w:line="440" w:lineRule="exact"/>
        <w:ind w:firstLine="480" w:firstLineChars="200"/>
        <w:rPr>
          <w:rFonts w:ascii="宋体" w:hAnsi="宋体" w:cs="宋体"/>
          <w:color w:val="000000" w:themeColor="text1"/>
          <w:sz w:val="24"/>
          <w:szCs w:val="24"/>
          <w:lang w:val="zh-CN"/>
          <w14:textFill>
            <w14:solidFill>
              <w14:schemeClr w14:val="tx1"/>
            </w14:solidFill>
          </w14:textFill>
        </w:rPr>
      </w:pPr>
      <w:r>
        <w:rPr>
          <w:rFonts w:hint="eastAsia" w:ascii="宋体" w:hAnsi="宋体" w:cs="宋体"/>
          <w:color w:val="000000" w:themeColor="text1"/>
          <w:sz w:val="24"/>
          <w:szCs w:val="24"/>
          <w:lang w:val="zh-CN"/>
          <w14:textFill>
            <w14:solidFill>
              <w14:schemeClr w14:val="tx1"/>
            </w14:solidFill>
          </w14:textFill>
        </w:rPr>
        <w:t>14.4 详细阐述所投货物的主要组成部分、功能设计、实现思路及关键技术；</w:t>
      </w:r>
    </w:p>
    <w:p>
      <w:pPr>
        <w:tabs>
          <w:tab w:val="left" w:pos="1035"/>
        </w:tabs>
        <w:autoSpaceDE w:val="0"/>
        <w:autoSpaceDN w:val="0"/>
        <w:adjustRightInd w:val="0"/>
        <w:spacing w:line="440" w:lineRule="exact"/>
        <w:ind w:firstLine="480" w:firstLineChars="200"/>
        <w:rPr>
          <w:rFonts w:ascii="宋体" w:hAnsi="宋体" w:cs="宋体"/>
          <w:color w:val="000000" w:themeColor="text1"/>
          <w:sz w:val="24"/>
          <w:szCs w:val="24"/>
          <w:lang w:val="zh-CN"/>
          <w14:textFill>
            <w14:solidFill>
              <w14:schemeClr w14:val="tx1"/>
            </w14:solidFill>
          </w14:textFill>
        </w:rPr>
      </w:pPr>
      <w:r>
        <w:rPr>
          <w:rFonts w:hint="eastAsia" w:ascii="宋体" w:hAnsi="宋体" w:cs="宋体"/>
          <w:color w:val="000000" w:themeColor="text1"/>
          <w:sz w:val="24"/>
          <w:szCs w:val="24"/>
          <w:lang w:val="zh-CN"/>
          <w14:textFill>
            <w14:solidFill>
              <w14:schemeClr w14:val="tx1"/>
            </w14:solidFill>
          </w14:textFill>
        </w:rPr>
        <w:t>14.5 投标人认为需要的其他技术文件或说明。</w:t>
      </w:r>
    </w:p>
    <w:p>
      <w:pPr>
        <w:tabs>
          <w:tab w:val="left" w:pos="1035"/>
        </w:tabs>
        <w:autoSpaceDE w:val="0"/>
        <w:autoSpaceDN w:val="0"/>
        <w:adjustRightInd w:val="0"/>
        <w:spacing w:line="440" w:lineRule="exact"/>
        <w:ind w:firstLine="480" w:firstLineChars="200"/>
        <w:rPr>
          <w:rFonts w:ascii="宋体" w:hAnsi="宋体" w:cs="宋体"/>
          <w:color w:val="000000" w:themeColor="text1"/>
          <w:sz w:val="24"/>
          <w:szCs w:val="24"/>
          <w:lang w:val="zh-CN"/>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15、</w:t>
      </w:r>
      <w:r>
        <w:rPr>
          <w:rFonts w:hint="eastAsia" w:ascii="宋体" w:hAnsi="宋体" w:cs="宋体"/>
          <w:color w:val="000000" w:themeColor="text1"/>
          <w:sz w:val="24"/>
          <w:szCs w:val="24"/>
          <w14:textFill>
            <w14:solidFill>
              <w14:schemeClr w14:val="tx1"/>
            </w14:solidFill>
          </w14:textFill>
        </w:rPr>
        <w:t>服务承诺及售后服务机构、人员的情况介绍</w:t>
      </w:r>
    </w:p>
    <w:p>
      <w:pPr>
        <w:tabs>
          <w:tab w:val="left" w:pos="1035"/>
        </w:tabs>
        <w:autoSpaceDE w:val="0"/>
        <w:autoSpaceDN w:val="0"/>
        <w:adjustRightInd w:val="0"/>
        <w:spacing w:line="440" w:lineRule="exact"/>
        <w:ind w:firstLine="480" w:firstLineChars="200"/>
        <w:rPr>
          <w:rFonts w:ascii="宋体" w:hAnsi="宋体" w:cs="宋体"/>
          <w:color w:val="000000" w:themeColor="text1"/>
          <w:sz w:val="24"/>
          <w:szCs w:val="24"/>
          <w:lang w:val="zh-CN"/>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15、1</w:t>
      </w:r>
      <w:r>
        <w:rPr>
          <w:rFonts w:hint="eastAsia" w:ascii="宋体" w:hAnsi="宋体" w:cs="宋体"/>
          <w:color w:val="000000" w:themeColor="text1"/>
          <w:sz w:val="24"/>
          <w:szCs w:val="24"/>
          <w14:textFill>
            <w14:solidFill>
              <w14:schemeClr w14:val="tx1"/>
            </w14:solidFill>
          </w14:textFill>
        </w:rPr>
        <w:t>投标人的服务承诺应按不低于招标文件中商务要求的标准。</w:t>
      </w:r>
    </w:p>
    <w:p>
      <w:pPr>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15、2</w:t>
      </w:r>
      <w:r>
        <w:rPr>
          <w:rFonts w:hint="eastAsia" w:ascii="宋体" w:hAnsi="宋体" w:cs="宋体"/>
          <w:color w:val="000000" w:themeColor="text1"/>
          <w:sz w:val="24"/>
          <w:szCs w:val="24"/>
          <w14:textFill>
            <w14:solidFill>
              <w14:schemeClr w14:val="tx1"/>
            </w14:solidFill>
          </w14:textFill>
        </w:rPr>
        <w:t>提供投标人有关售后服务的管理制度、售后服务机构的分布情况、售后服务人员的数量、素质、技术水平及售后服务的反应能力。</w:t>
      </w:r>
    </w:p>
    <w:p>
      <w:pPr>
        <w:pStyle w:val="7"/>
        <w:spacing w:before="0" w:after="0" w:line="440" w:lineRule="exact"/>
        <w:ind w:firstLine="480" w:firstLineChars="200"/>
        <w:rPr>
          <w:rFonts w:ascii="宋体" w:hAnsi="宋体" w:cs="宋体"/>
          <w:b w:val="0"/>
          <w:color w:val="000000" w:themeColor="text1"/>
          <w:sz w:val="24"/>
          <w:szCs w:val="24"/>
          <w14:textFill>
            <w14:solidFill>
              <w14:schemeClr w14:val="tx1"/>
            </w14:solidFill>
          </w14:textFill>
        </w:rPr>
      </w:pPr>
      <w:bookmarkStart w:id="138" w:name="_Toc14577359"/>
      <w:bookmarkStart w:id="139" w:name="_Toc49090510"/>
      <w:r>
        <w:rPr>
          <w:rFonts w:hint="eastAsia" w:ascii="宋体" w:hAnsi="宋体" w:cs="宋体"/>
          <w:b w:val="0"/>
          <w:color w:val="000000" w:themeColor="text1"/>
          <w:sz w:val="24"/>
          <w:szCs w:val="24"/>
          <w14:textFill>
            <w14:solidFill>
              <w14:schemeClr w14:val="tx1"/>
            </w14:solidFill>
          </w14:textFill>
        </w:rPr>
        <w:t>16、投标函和开标一览表</w:t>
      </w:r>
    </w:p>
    <w:p>
      <w:pPr>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16.1</w:t>
      </w:r>
      <w:r>
        <w:rPr>
          <w:rFonts w:hint="eastAsia" w:ascii="宋体" w:hAnsi="宋体" w:cs="宋体"/>
          <w:color w:val="000000" w:themeColor="text1"/>
          <w:sz w:val="24"/>
          <w:szCs w:val="24"/>
          <w14:textFill>
            <w14:solidFill>
              <w14:schemeClr w14:val="tx1"/>
            </w14:solidFill>
          </w14:textFill>
        </w:rPr>
        <w:t xml:space="preserve"> 投标人应按照招标文件中提供的格式完整、正确填写投标函、开标一览表。</w:t>
      </w:r>
    </w:p>
    <w:p>
      <w:pPr>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16.2开标一览表中的价格应与投标文件中投标配置与分项报价表中的价格一致，如不一致，</w:t>
      </w:r>
      <w:r>
        <w:rPr>
          <w:rFonts w:hint="eastAsia" w:ascii="宋体" w:hAnsi="宋体" w:cs="宋体"/>
          <w:color w:val="000000" w:themeColor="text1"/>
          <w:sz w:val="24"/>
          <w:szCs w:val="24"/>
          <w14:textFill>
            <w14:solidFill>
              <w14:schemeClr w14:val="tx1"/>
            </w14:solidFill>
          </w14:textFill>
        </w:rPr>
        <w:t>不作为无效投标处理</w:t>
      </w:r>
      <w:r>
        <w:rPr>
          <w:rFonts w:hint="eastAsia" w:ascii="宋体" w:hAnsi="宋体" w:cs="宋体"/>
          <w:bCs/>
          <w:color w:val="000000" w:themeColor="text1"/>
          <w:sz w:val="24"/>
          <w:szCs w:val="24"/>
          <w14:textFill>
            <w14:solidFill>
              <w14:schemeClr w14:val="tx1"/>
            </w14:solidFill>
          </w14:textFill>
        </w:rPr>
        <w:t>，但评标时按开标一览表中价格为准</w:t>
      </w:r>
      <w:r>
        <w:rPr>
          <w:rFonts w:hint="eastAsia" w:ascii="宋体" w:hAnsi="宋体" w:cs="宋体"/>
          <w:b/>
          <w:bCs/>
          <w:color w:val="000000" w:themeColor="text1"/>
          <w:sz w:val="24"/>
          <w:szCs w:val="24"/>
          <w14:textFill>
            <w14:solidFill>
              <w14:schemeClr w14:val="tx1"/>
            </w14:solidFill>
          </w14:textFill>
        </w:rPr>
        <w:t>。</w:t>
      </w:r>
    </w:p>
    <w:bookmarkEnd w:id="138"/>
    <w:bookmarkEnd w:id="139"/>
    <w:p>
      <w:pPr>
        <w:pStyle w:val="7"/>
        <w:spacing w:before="0" w:after="0" w:line="440" w:lineRule="exact"/>
        <w:ind w:firstLine="480" w:firstLineChars="200"/>
        <w:rPr>
          <w:rFonts w:ascii="宋体" w:hAnsi="宋体" w:cs="宋体"/>
          <w:b w:val="0"/>
          <w:color w:val="000000" w:themeColor="text1"/>
          <w:sz w:val="24"/>
          <w:szCs w:val="24"/>
          <w14:textFill>
            <w14:solidFill>
              <w14:schemeClr w14:val="tx1"/>
            </w14:solidFill>
          </w14:textFill>
        </w:rPr>
      </w:pPr>
      <w:bookmarkStart w:id="140" w:name="_Hlt26954850"/>
      <w:bookmarkEnd w:id="140"/>
      <w:bookmarkStart w:id="141" w:name="_Hlt26670489"/>
      <w:bookmarkEnd w:id="141"/>
      <w:bookmarkStart w:id="142" w:name="_Hlt26954734"/>
      <w:bookmarkEnd w:id="142"/>
      <w:bookmarkStart w:id="143" w:name="_Toc14577360"/>
      <w:bookmarkStart w:id="144" w:name="_Toc49090511"/>
      <w:r>
        <w:rPr>
          <w:rFonts w:hint="eastAsia" w:ascii="宋体" w:hAnsi="宋体" w:cs="宋体"/>
          <w:b w:val="0"/>
          <w:color w:val="000000" w:themeColor="text1"/>
          <w:sz w:val="24"/>
          <w:szCs w:val="24"/>
          <w14:textFill>
            <w14:solidFill>
              <w14:schemeClr w14:val="tx1"/>
            </w14:solidFill>
          </w14:textFill>
        </w:rPr>
        <w:t>17、投标有效期</w:t>
      </w:r>
      <w:bookmarkEnd w:id="143"/>
      <w:bookmarkEnd w:id="144"/>
    </w:p>
    <w:p>
      <w:pPr>
        <w:spacing w:line="44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17.1</w:t>
      </w:r>
      <w:r>
        <w:rPr>
          <w:rFonts w:hint="eastAsia" w:ascii="宋体" w:hAnsi="宋体" w:cs="宋体"/>
          <w:bCs/>
          <w:color w:val="000000" w:themeColor="text1"/>
          <w:sz w:val="24"/>
          <w:szCs w:val="24"/>
          <w14:textFill>
            <w14:solidFill>
              <w14:schemeClr w14:val="tx1"/>
            </w14:solidFill>
          </w14:textFill>
        </w:rPr>
        <w:t xml:space="preserve"> 投标有效期为采购人或采购代理机构规定的开标之日后</w:t>
      </w:r>
      <w:r>
        <w:rPr>
          <w:rFonts w:hint="eastAsia" w:ascii="宋体" w:hAnsi="宋体" w:cs="宋体"/>
          <w:b/>
          <w:color w:val="000000" w:themeColor="text1"/>
          <w:sz w:val="24"/>
          <w:szCs w:val="24"/>
          <w:u w:val="single"/>
          <w14:textFill>
            <w14:solidFill>
              <w14:schemeClr w14:val="tx1"/>
            </w14:solidFill>
          </w14:textFill>
        </w:rPr>
        <w:t>六十（60）天</w:t>
      </w:r>
      <w:r>
        <w:rPr>
          <w:rFonts w:hint="eastAsia" w:ascii="宋体" w:hAnsi="宋体" w:cs="宋体"/>
          <w:bCs/>
          <w:color w:val="000000" w:themeColor="text1"/>
          <w:sz w:val="24"/>
          <w:szCs w:val="24"/>
          <w14:textFill>
            <w14:solidFill>
              <w14:schemeClr w14:val="tx1"/>
            </w14:solidFill>
          </w14:textFill>
        </w:rPr>
        <w:t>。投标有效期比规定短的将被视为非响应性投标而予以拒绝。</w:t>
      </w:r>
    </w:p>
    <w:p>
      <w:pPr>
        <w:spacing w:line="44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17.2</w:t>
      </w:r>
      <w:r>
        <w:rPr>
          <w:rFonts w:hint="eastAsia" w:ascii="宋体" w:hAnsi="宋体" w:cs="宋体"/>
          <w:bCs/>
          <w:color w:val="000000" w:themeColor="text1"/>
          <w:sz w:val="24"/>
          <w:szCs w:val="24"/>
          <w14:textFill>
            <w14:solidFill>
              <w14:schemeClr w14:val="tx1"/>
            </w14:solidFill>
          </w14:textFill>
        </w:rPr>
        <w:t xml:space="preserve"> 在特殊情况下，采购人或采购代理机构于原投标有效期满之前，可向投标人提出延长投标有效期的要求。这种要求与答复均应采用书面形式。投标人可以拒绝采购人或采购代理机构的这一要求而放弃投标，</w:t>
      </w:r>
      <w:r>
        <w:rPr>
          <w:rFonts w:hint="eastAsia" w:ascii="宋体" w:hAnsi="宋体" w:cs="宋体"/>
          <w:color w:val="000000" w:themeColor="text1"/>
          <w:sz w:val="24"/>
          <w:szCs w:val="24"/>
          <w14:textFill>
            <w14:solidFill>
              <w14:schemeClr w14:val="tx1"/>
            </w14:solidFill>
          </w14:textFill>
        </w:rPr>
        <w:t>采购人或采购代理机构在接到投标人书面答复后，将在原投标有效期满后五日内</w:t>
      </w:r>
      <w:r>
        <w:rPr>
          <w:rFonts w:hint="eastAsia" w:ascii="宋体" w:hAnsi="宋体" w:cs="宋体"/>
          <w:b/>
          <w:bCs/>
          <w:color w:val="000000" w:themeColor="text1"/>
          <w:sz w:val="24"/>
          <w:szCs w:val="24"/>
          <w14:textFill>
            <w14:solidFill>
              <w14:schemeClr w14:val="tx1"/>
            </w14:solidFill>
          </w14:textFill>
        </w:rPr>
        <w:t>无息退还其投标保证金</w:t>
      </w:r>
      <w:r>
        <w:rPr>
          <w:rFonts w:hint="eastAsia" w:ascii="宋体" w:hAnsi="宋体" w:cs="宋体"/>
          <w:color w:val="000000" w:themeColor="text1"/>
          <w:sz w:val="24"/>
          <w:szCs w:val="24"/>
          <w14:textFill>
            <w14:solidFill>
              <w14:schemeClr w14:val="tx1"/>
            </w14:solidFill>
          </w14:textFill>
        </w:rPr>
        <w:t>。</w:t>
      </w:r>
      <w:r>
        <w:rPr>
          <w:rFonts w:hint="eastAsia" w:ascii="宋体" w:hAnsi="宋体" w:cs="宋体"/>
          <w:bCs/>
          <w:color w:val="000000" w:themeColor="text1"/>
          <w:sz w:val="24"/>
          <w:szCs w:val="24"/>
          <w14:textFill>
            <w14:solidFill>
              <w14:schemeClr w14:val="tx1"/>
            </w14:solidFill>
          </w14:textFill>
        </w:rPr>
        <w:t>同意延长投标有效期的投标人既不能要求也不允许修改其投标文件。第16条有关投标保证金的规定在延长期内继续有效</w:t>
      </w:r>
      <w:r>
        <w:rPr>
          <w:rFonts w:hint="eastAsia" w:ascii="宋体" w:hAnsi="宋体" w:cs="宋体"/>
          <w:color w:val="000000" w:themeColor="text1"/>
          <w:sz w:val="24"/>
          <w:szCs w:val="24"/>
          <w14:textFill>
            <w14:solidFill>
              <w14:schemeClr w14:val="tx1"/>
            </w14:solidFill>
          </w14:textFill>
        </w:rPr>
        <w:t>，同时受投标有效期约束的所有权利与义务均延长至新的有效期</w:t>
      </w:r>
      <w:r>
        <w:rPr>
          <w:rFonts w:hint="eastAsia" w:ascii="宋体" w:hAnsi="宋体" w:cs="宋体"/>
          <w:bCs/>
          <w:color w:val="000000" w:themeColor="text1"/>
          <w:sz w:val="24"/>
          <w:szCs w:val="24"/>
          <w14:textFill>
            <w14:solidFill>
              <w14:schemeClr w14:val="tx1"/>
            </w14:solidFill>
          </w14:textFill>
        </w:rPr>
        <w:t>。</w:t>
      </w:r>
    </w:p>
    <w:p>
      <w:pPr>
        <w:pStyle w:val="7"/>
        <w:spacing w:before="0" w:after="0" w:line="440" w:lineRule="exact"/>
        <w:ind w:firstLine="480" w:firstLineChars="200"/>
        <w:rPr>
          <w:rFonts w:ascii="宋体" w:hAnsi="宋体" w:cs="宋体"/>
          <w:b w:val="0"/>
          <w:color w:val="000000" w:themeColor="text1"/>
          <w:sz w:val="24"/>
          <w:szCs w:val="24"/>
          <w14:textFill>
            <w14:solidFill>
              <w14:schemeClr w14:val="tx1"/>
            </w14:solidFill>
          </w14:textFill>
        </w:rPr>
      </w:pPr>
      <w:bookmarkStart w:id="145" w:name="_Hlt26954852"/>
      <w:bookmarkEnd w:id="145"/>
      <w:bookmarkStart w:id="146" w:name="_Hlt26954739"/>
      <w:bookmarkEnd w:id="146"/>
      <w:bookmarkStart w:id="147" w:name="_Toc14577361"/>
      <w:bookmarkStart w:id="148" w:name="_Toc49090512"/>
      <w:r>
        <w:rPr>
          <w:rFonts w:hint="eastAsia" w:ascii="宋体" w:hAnsi="宋体" w:cs="宋体"/>
          <w:b w:val="0"/>
          <w:color w:val="000000" w:themeColor="text1"/>
          <w:sz w:val="24"/>
          <w:szCs w:val="24"/>
          <w14:textFill>
            <w14:solidFill>
              <w14:schemeClr w14:val="tx1"/>
            </w14:solidFill>
          </w14:textFill>
        </w:rPr>
        <w:t>18、投标文件份数和签署</w:t>
      </w:r>
      <w:bookmarkEnd w:id="147"/>
      <w:bookmarkEnd w:id="148"/>
    </w:p>
    <w:p>
      <w:pPr>
        <w:spacing w:line="44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18.1</w:t>
      </w:r>
      <w:r>
        <w:rPr>
          <w:rFonts w:hint="eastAsia" w:ascii="宋体" w:hAnsi="宋体" w:cs="宋体"/>
          <w:bCs/>
          <w:color w:val="000000" w:themeColor="text1"/>
          <w:sz w:val="24"/>
          <w:szCs w:val="24"/>
          <w14:textFill>
            <w14:solidFill>
              <w14:schemeClr w14:val="tx1"/>
            </w14:solidFill>
          </w14:textFill>
        </w:rPr>
        <w:t>投标人应严格按照招标公告和招标文件要求的份数准备投标文件，每份投标文件须清楚地标明“正本”或“副本”字样。一旦正本和副本不符，以正本为准。</w:t>
      </w:r>
    </w:p>
    <w:p>
      <w:pPr>
        <w:spacing w:line="44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18.2投标文件正本中，</w:t>
      </w:r>
      <w:r>
        <w:rPr>
          <w:rFonts w:hint="eastAsia" w:ascii="宋体" w:hAnsi="宋体" w:cs="宋体"/>
          <w:bCs/>
          <w:color w:val="000000" w:themeColor="text1"/>
          <w:sz w:val="24"/>
          <w:szCs w:val="24"/>
          <w14:textFill>
            <w14:solidFill>
              <w14:schemeClr w14:val="tx1"/>
            </w14:solidFill>
          </w14:textFill>
        </w:rPr>
        <w:t>招标文件要求必须提供原件的按照要求提供，文</w:t>
      </w:r>
      <w:r>
        <w:rPr>
          <w:rFonts w:hint="eastAsia" w:ascii="宋体" w:hAnsi="宋体" w:cs="宋体"/>
          <w:color w:val="000000" w:themeColor="text1"/>
          <w:sz w:val="24"/>
          <w:szCs w:val="24"/>
          <w14:textFill>
            <w14:solidFill>
              <w14:schemeClr w14:val="tx1"/>
            </w14:solidFill>
          </w14:textFill>
        </w:rPr>
        <w:t>字材料需打印或用不褪色墨水书写。投标文件的正本须经法定代表人或授权委托人（被授权人）签署和加盖投标人公章。 本采购文件所表述（指定）的公章是指法定名称章，不包括合同专用章、业务专用章等印章。</w:t>
      </w:r>
    </w:p>
    <w:p>
      <w:pPr>
        <w:spacing w:line="44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18.3</w:t>
      </w:r>
      <w:r>
        <w:rPr>
          <w:rFonts w:hint="eastAsia" w:ascii="宋体" w:hAnsi="宋体" w:cs="宋体"/>
          <w:bCs/>
          <w:color w:val="000000" w:themeColor="text1"/>
          <w:sz w:val="24"/>
          <w:szCs w:val="24"/>
          <w14:textFill>
            <w14:solidFill>
              <w14:schemeClr w14:val="tx1"/>
            </w14:solidFill>
          </w14:textFill>
        </w:rPr>
        <w:t xml:space="preserve"> 除投标人对错处做必要修改外，投标文件不得行间插字、涂改或增删。如有修改错漏处，必须由投标文件签署人签字或盖章。</w:t>
      </w:r>
    </w:p>
    <w:p>
      <w:pPr>
        <w:pStyle w:val="6"/>
        <w:spacing w:before="0" w:after="0" w:line="440" w:lineRule="exact"/>
        <w:ind w:firstLine="482" w:firstLineChars="200"/>
        <w:rPr>
          <w:rFonts w:ascii="宋体" w:hAnsi="宋体" w:cs="宋体"/>
          <w:color w:val="000000" w:themeColor="text1"/>
          <w:sz w:val="24"/>
          <w:szCs w:val="24"/>
          <w14:textFill>
            <w14:solidFill>
              <w14:schemeClr w14:val="tx1"/>
            </w14:solidFill>
          </w14:textFill>
        </w:rPr>
      </w:pPr>
      <w:bookmarkStart w:id="149" w:name="_Toc513029224"/>
      <w:bookmarkStart w:id="150" w:name="_Toc120614217"/>
      <w:bookmarkStart w:id="151" w:name="_Toc16938540"/>
      <w:bookmarkStart w:id="152" w:name="_Toc20823296"/>
      <w:r>
        <w:rPr>
          <w:rFonts w:hint="eastAsia" w:ascii="宋体" w:hAnsi="宋体" w:cs="宋体"/>
          <w:color w:val="000000" w:themeColor="text1"/>
          <w:sz w:val="24"/>
          <w:szCs w:val="24"/>
          <w14:textFill>
            <w14:solidFill>
              <w14:schemeClr w14:val="tx1"/>
            </w14:solidFill>
          </w14:textFill>
        </w:rPr>
        <w:t>四、投标文件的递交</w:t>
      </w:r>
      <w:bookmarkEnd w:id="149"/>
      <w:bookmarkEnd w:id="150"/>
      <w:bookmarkEnd w:id="151"/>
      <w:bookmarkEnd w:id="152"/>
    </w:p>
    <w:p>
      <w:pPr>
        <w:pStyle w:val="7"/>
        <w:spacing w:before="0" w:after="0" w:line="440" w:lineRule="exact"/>
        <w:ind w:firstLine="480" w:firstLineChars="200"/>
        <w:rPr>
          <w:rFonts w:ascii="宋体" w:hAnsi="宋体" w:cs="宋体"/>
          <w:b w:val="0"/>
          <w:color w:val="000000" w:themeColor="text1"/>
          <w:sz w:val="24"/>
          <w:szCs w:val="24"/>
          <w14:textFill>
            <w14:solidFill>
              <w14:schemeClr w14:val="tx1"/>
            </w14:solidFill>
          </w14:textFill>
        </w:rPr>
      </w:pPr>
      <w:bookmarkStart w:id="153" w:name="_Toc513029225"/>
      <w:bookmarkStart w:id="154" w:name="_Toc16938541"/>
      <w:bookmarkStart w:id="155" w:name="_Toc20823297"/>
      <w:bookmarkStart w:id="156" w:name="_Toc462564084"/>
      <w:r>
        <w:rPr>
          <w:rFonts w:hint="eastAsia" w:ascii="宋体" w:hAnsi="宋体" w:cs="宋体"/>
          <w:b w:val="0"/>
          <w:color w:val="000000" w:themeColor="text1"/>
          <w:sz w:val="24"/>
          <w:szCs w:val="24"/>
          <w14:textFill>
            <w14:solidFill>
              <w14:schemeClr w14:val="tx1"/>
            </w14:solidFill>
          </w14:textFill>
        </w:rPr>
        <w:t>19、投标文件的密封和标记</w:t>
      </w:r>
      <w:bookmarkEnd w:id="153"/>
      <w:bookmarkEnd w:id="154"/>
      <w:bookmarkEnd w:id="155"/>
      <w:bookmarkEnd w:id="156"/>
    </w:p>
    <w:p>
      <w:pPr>
        <w:spacing w:line="44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19.1</w:t>
      </w:r>
      <w:r>
        <w:rPr>
          <w:rFonts w:hint="eastAsia" w:ascii="宋体" w:hAnsi="宋体" w:cs="宋体"/>
          <w:bCs/>
          <w:color w:val="000000" w:themeColor="text1"/>
          <w:sz w:val="24"/>
          <w:szCs w:val="24"/>
          <w14:textFill>
            <w14:solidFill>
              <w14:schemeClr w14:val="tx1"/>
            </w14:solidFill>
          </w14:textFill>
        </w:rPr>
        <w:t>投标人应将投标文件正本和所有副本密封，不论投标人中标与否，投标文件均不退回。</w:t>
      </w:r>
    </w:p>
    <w:p>
      <w:pPr>
        <w:spacing w:line="44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19.2</w:t>
      </w:r>
      <w:r>
        <w:rPr>
          <w:rFonts w:hint="eastAsia" w:ascii="宋体" w:hAnsi="宋体" w:cs="宋体"/>
          <w:bCs/>
          <w:color w:val="000000" w:themeColor="text1"/>
          <w:sz w:val="24"/>
          <w:szCs w:val="24"/>
          <w14:textFill>
            <w14:solidFill>
              <w14:schemeClr w14:val="tx1"/>
            </w14:solidFill>
          </w14:textFill>
        </w:rPr>
        <w:t xml:space="preserve"> 密封的投标文件应：</w:t>
      </w:r>
    </w:p>
    <w:p>
      <w:pPr>
        <w:spacing w:line="44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19.2.1 注明投标人名称，如因标注不清而产生的后果由投标人自负。按招标公告中注明的地址送达；</w:t>
      </w:r>
    </w:p>
    <w:p>
      <w:pPr>
        <w:spacing w:line="44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19.2.2  注明投标项目名称、标书编号及包号。</w:t>
      </w:r>
    </w:p>
    <w:p>
      <w:pPr>
        <w:spacing w:line="44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19.2.3</w:t>
      </w:r>
      <w:r>
        <w:rPr>
          <w:rFonts w:hint="eastAsia" w:ascii="宋体" w:hAnsi="宋体" w:cs="宋体"/>
          <w:bCs/>
          <w:color w:val="000000" w:themeColor="text1"/>
          <w:sz w:val="24"/>
          <w:szCs w:val="24"/>
          <w14:textFill>
            <w14:solidFill>
              <w14:schemeClr w14:val="tx1"/>
            </w14:solidFill>
          </w14:textFill>
        </w:rPr>
        <w:t xml:space="preserve">  未按要求密封和加写标记，采购人和采购代理机构对误投或过早启封概不负责。对由此造成提前开封的投标文件，采购人和采购代理机构将予以拒绝。</w:t>
      </w:r>
    </w:p>
    <w:p>
      <w:pPr>
        <w:pStyle w:val="7"/>
        <w:spacing w:before="0" w:after="0" w:line="440" w:lineRule="exact"/>
        <w:ind w:firstLine="480" w:firstLineChars="200"/>
        <w:rPr>
          <w:rFonts w:ascii="宋体" w:hAnsi="宋体" w:cs="宋体"/>
          <w:b w:val="0"/>
          <w:color w:val="000000" w:themeColor="text1"/>
          <w:sz w:val="24"/>
          <w:szCs w:val="24"/>
          <w14:textFill>
            <w14:solidFill>
              <w14:schemeClr w14:val="tx1"/>
            </w14:solidFill>
          </w14:textFill>
        </w:rPr>
      </w:pPr>
      <w:bookmarkStart w:id="157" w:name="_Toc20823298"/>
      <w:bookmarkStart w:id="158" w:name="_Toc16938542"/>
      <w:bookmarkStart w:id="159" w:name="_Toc513029226"/>
      <w:r>
        <w:rPr>
          <w:rFonts w:hint="eastAsia" w:ascii="宋体" w:hAnsi="宋体" w:cs="宋体"/>
          <w:b w:val="0"/>
          <w:color w:val="000000" w:themeColor="text1"/>
          <w:sz w:val="24"/>
          <w:szCs w:val="24"/>
          <w14:textFill>
            <w14:solidFill>
              <w14:schemeClr w14:val="tx1"/>
            </w14:solidFill>
          </w14:textFill>
        </w:rPr>
        <w:t>20、投标截止日期</w:t>
      </w:r>
      <w:bookmarkEnd w:id="157"/>
      <w:bookmarkEnd w:id="158"/>
      <w:bookmarkEnd w:id="159"/>
    </w:p>
    <w:p>
      <w:pPr>
        <w:spacing w:line="44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20.1</w:t>
      </w:r>
      <w:r>
        <w:rPr>
          <w:rFonts w:hint="eastAsia" w:ascii="宋体" w:hAnsi="宋体" w:cs="宋体"/>
          <w:bCs/>
          <w:color w:val="000000" w:themeColor="text1"/>
          <w:sz w:val="24"/>
          <w:szCs w:val="24"/>
          <w14:textFill>
            <w14:solidFill>
              <w14:schemeClr w14:val="tx1"/>
            </w14:solidFill>
          </w14:textFill>
        </w:rPr>
        <w:t xml:space="preserve"> 采购人和采购代理机构收到投标文件的时间不得迟于招标公告中规定的截止时间。</w:t>
      </w:r>
    </w:p>
    <w:p>
      <w:pPr>
        <w:spacing w:line="44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20.2</w:t>
      </w:r>
      <w:r>
        <w:rPr>
          <w:rFonts w:hint="eastAsia" w:ascii="宋体" w:hAnsi="宋体" w:cs="宋体"/>
          <w:bCs/>
          <w:color w:val="000000" w:themeColor="text1"/>
          <w:sz w:val="24"/>
          <w:szCs w:val="24"/>
          <w14:textFill>
            <w14:solidFill>
              <w14:schemeClr w14:val="tx1"/>
            </w14:solidFill>
          </w14:textFill>
        </w:rPr>
        <w:t xml:space="preserve"> 采购人或采购代理机构有权通过修改招标文件酌情延长投标截止日期，在此情况下，投标人的所有权利和义务以及投标人受制的截止日期均应以延长后新的截止日期为准。</w:t>
      </w:r>
    </w:p>
    <w:p>
      <w:pPr>
        <w:pStyle w:val="7"/>
        <w:spacing w:before="0" w:after="0" w:line="440" w:lineRule="exact"/>
        <w:ind w:firstLine="480" w:firstLineChars="200"/>
        <w:rPr>
          <w:rFonts w:ascii="宋体" w:hAnsi="宋体" w:cs="宋体"/>
          <w:b w:val="0"/>
          <w:color w:val="000000" w:themeColor="text1"/>
          <w:sz w:val="24"/>
          <w:szCs w:val="24"/>
          <w14:textFill>
            <w14:solidFill>
              <w14:schemeClr w14:val="tx1"/>
            </w14:solidFill>
          </w14:textFill>
        </w:rPr>
      </w:pPr>
      <w:bookmarkStart w:id="160" w:name="_Toc16938543"/>
      <w:bookmarkStart w:id="161" w:name="_Toc513029227"/>
      <w:bookmarkStart w:id="162" w:name="_Toc20823299"/>
      <w:r>
        <w:rPr>
          <w:rFonts w:hint="eastAsia" w:ascii="宋体" w:hAnsi="宋体" w:cs="宋体"/>
          <w:b w:val="0"/>
          <w:color w:val="000000" w:themeColor="text1"/>
          <w:sz w:val="24"/>
          <w:szCs w:val="24"/>
          <w14:textFill>
            <w14:solidFill>
              <w14:schemeClr w14:val="tx1"/>
            </w14:solidFill>
          </w14:textFill>
        </w:rPr>
        <w:t>21、迟交的投标文件</w:t>
      </w:r>
      <w:bookmarkEnd w:id="160"/>
      <w:bookmarkEnd w:id="161"/>
      <w:bookmarkEnd w:id="162"/>
    </w:p>
    <w:p>
      <w:pPr>
        <w:spacing w:line="44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21.1</w:t>
      </w:r>
      <w:r>
        <w:rPr>
          <w:rFonts w:hint="eastAsia" w:ascii="宋体" w:hAnsi="宋体" w:cs="宋体"/>
          <w:bCs/>
          <w:color w:val="000000" w:themeColor="text1"/>
          <w:sz w:val="24"/>
          <w:szCs w:val="24"/>
          <w14:textFill>
            <w14:solidFill>
              <w14:schemeClr w14:val="tx1"/>
            </w14:solidFill>
          </w14:textFill>
        </w:rPr>
        <w:t xml:space="preserve"> 采购人和采购代理机构拒绝接收在其规定的投标截止时间后递交的任何投标文件。</w:t>
      </w:r>
    </w:p>
    <w:p>
      <w:pPr>
        <w:pStyle w:val="7"/>
        <w:spacing w:before="0" w:after="0" w:line="440" w:lineRule="exact"/>
        <w:ind w:firstLine="480" w:firstLineChars="200"/>
        <w:rPr>
          <w:rFonts w:ascii="宋体" w:hAnsi="宋体" w:cs="宋体"/>
          <w:b w:val="0"/>
          <w:color w:val="000000" w:themeColor="text1"/>
          <w:sz w:val="24"/>
          <w:szCs w:val="24"/>
          <w14:textFill>
            <w14:solidFill>
              <w14:schemeClr w14:val="tx1"/>
            </w14:solidFill>
          </w14:textFill>
        </w:rPr>
      </w:pPr>
      <w:bookmarkStart w:id="163" w:name="_Toc513029228"/>
      <w:bookmarkStart w:id="164" w:name="_Toc16938544"/>
      <w:bookmarkStart w:id="165" w:name="_Toc20823300"/>
      <w:r>
        <w:rPr>
          <w:rFonts w:hint="eastAsia" w:ascii="宋体" w:hAnsi="宋体" w:cs="宋体"/>
          <w:b w:val="0"/>
          <w:color w:val="000000" w:themeColor="text1"/>
          <w:sz w:val="24"/>
          <w:szCs w:val="24"/>
          <w14:textFill>
            <w14:solidFill>
              <w14:schemeClr w14:val="tx1"/>
            </w14:solidFill>
          </w14:textFill>
        </w:rPr>
        <w:t>22、投标文件的修改和撤回</w:t>
      </w:r>
      <w:bookmarkEnd w:id="163"/>
      <w:bookmarkEnd w:id="164"/>
      <w:bookmarkEnd w:id="165"/>
    </w:p>
    <w:p>
      <w:pPr>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22.1</w:t>
      </w:r>
      <w:r>
        <w:rPr>
          <w:rFonts w:hint="eastAsia" w:ascii="宋体" w:hAnsi="宋体" w:cs="宋体"/>
          <w:bCs/>
          <w:color w:val="000000" w:themeColor="text1"/>
          <w:sz w:val="24"/>
          <w:szCs w:val="24"/>
          <w14:textFill>
            <w14:solidFill>
              <w14:schemeClr w14:val="tx1"/>
            </w14:solidFill>
          </w14:textFill>
        </w:rPr>
        <w:t xml:space="preserve"> 投标人在递交投标文件后，可以修改或撤回其投标文件，但这种修改和撤回，必须在规定的投标截止时间前，以书面形式</w:t>
      </w:r>
      <w:r>
        <w:rPr>
          <w:rFonts w:hint="eastAsia" w:ascii="宋体" w:hAnsi="宋体" w:cs="宋体"/>
          <w:color w:val="000000" w:themeColor="text1"/>
          <w:sz w:val="24"/>
          <w:szCs w:val="24"/>
          <w14:textFill>
            <w14:solidFill>
              <w14:schemeClr w14:val="tx1"/>
            </w14:solidFill>
          </w14:textFill>
        </w:rPr>
        <w:t>通知采购人或采购代理机构，修改或撤回其投标文件。</w:t>
      </w:r>
    </w:p>
    <w:p>
      <w:pPr>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22.2</w:t>
      </w:r>
      <w:r>
        <w:rPr>
          <w:rFonts w:hint="eastAsia" w:ascii="宋体" w:hAnsi="宋体" w:cs="宋体"/>
          <w:bCs/>
          <w:color w:val="000000" w:themeColor="text1"/>
          <w:sz w:val="24"/>
          <w:szCs w:val="24"/>
          <w14:textFill>
            <w14:solidFill>
              <w14:schemeClr w14:val="tx1"/>
            </w14:solidFill>
          </w14:textFill>
        </w:rPr>
        <w:t xml:space="preserve"> 投标人的修改或撤回文件应按规定进行编制、密封、标记和发送，并应在封套上加注“修改”或“撤回”字样。</w:t>
      </w:r>
      <w:r>
        <w:rPr>
          <w:rFonts w:hint="eastAsia" w:ascii="宋体" w:hAnsi="宋体" w:cs="宋体"/>
          <w:color w:val="000000" w:themeColor="text1"/>
          <w:sz w:val="24"/>
          <w:szCs w:val="24"/>
          <w14:textFill>
            <w14:solidFill>
              <w14:schemeClr w14:val="tx1"/>
            </w14:solidFill>
          </w14:textFill>
        </w:rPr>
        <w:t>上述补充或修改若涉及投标报价，必须注明“最后唯一报价”字样，否则将视为有选择的报价。修改文件必须在投标截止时间前送达采购人或采购代理机构。</w:t>
      </w:r>
    </w:p>
    <w:p>
      <w:pPr>
        <w:spacing w:line="44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22.3</w:t>
      </w:r>
      <w:r>
        <w:rPr>
          <w:rFonts w:hint="eastAsia" w:ascii="宋体" w:hAnsi="宋体" w:cs="宋体"/>
          <w:bCs/>
          <w:color w:val="000000" w:themeColor="text1"/>
          <w:sz w:val="24"/>
          <w:szCs w:val="24"/>
          <w14:textFill>
            <w14:solidFill>
              <w14:schemeClr w14:val="tx1"/>
            </w14:solidFill>
          </w14:textFill>
        </w:rPr>
        <w:t xml:space="preserve"> 在投标截止时间之后，投标人不得对其投标文件作任何修改。</w:t>
      </w:r>
    </w:p>
    <w:p>
      <w:pPr>
        <w:spacing w:line="44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22.4</w:t>
      </w:r>
      <w:r>
        <w:rPr>
          <w:rFonts w:hint="eastAsia" w:ascii="宋体" w:hAnsi="宋体" w:cs="宋体"/>
          <w:bCs/>
          <w:color w:val="000000" w:themeColor="text1"/>
          <w:sz w:val="24"/>
          <w:szCs w:val="24"/>
          <w14:textFill>
            <w14:solidFill>
              <w14:schemeClr w14:val="tx1"/>
            </w14:solidFill>
          </w14:textFill>
        </w:rPr>
        <w:t xml:space="preserve"> 在投标截止时间至招标文件中规定的投标有效期满之间的这段时间内，投标人不得撤回其投标，否则其投标保证金将不予退还。</w:t>
      </w:r>
    </w:p>
    <w:p>
      <w:pPr>
        <w:pStyle w:val="6"/>
        <w:spacing w:before="0" w:after="0" w:line="440" w:lineRule="exact"/>
        <w:ind w:firstLine="482" w:firstLineChars="200"/>
        <w:rPr>
          <w:rFonts w:ascii="宋体" w:hAnsi="宋体" w:cs="宋体"/>
          <w:color w:val="000000" w:themeColor="text1"/>
          <w:sz w:val="24"/>
          <w:szCs w:val="24"/>
          <w14:textFill>
            <w14:solidFill>
              <w14:schemeClr w14:val="tx1"/>
            </w14:solidFill>
          </w14:textFill>
        </w:rPr>
      </w:pPr>
      <w:bookmarkStart w:id="166" w:name="_Toc513029229"/>
      <w:bookmarkStart w:id="167" w:name="_Toc20823301"/>
      <w:bookmarkStart w:id="168" w:name="_Toc16938545"/>
      <w:bookmarkStart w:id="169" w:name="_Toc120614218"/>
      <w:r>
        <w:rPr>
          <w:rFonts w:hint="eastAsia" w:ascii="宋体" w:hAnsi="宋体" w:cs="宋体"/>
          <w:color w:val="000000" w:themeColor="text1"/>
          <w:sz w:val="24"/>
          <w:szCs w:val="24"/>
          <w14:textFill>
            <w14:solidFill>
              <w14:schemeClr w14:val="tx1"/>
            </w14:solidFill>
          </w14:textFill>
        </w:rPr>
        <w:t>五、开标与评标</w:t>
      </w:r>
      <w:bookmarkEnd w:id="166"/>
      <w:bookmarkEnd w:id="167"/>
      <w:bookmarkEnd w:id="168"/>
      <w:bookmarkEnd w:id="169"/>
    </w:p>
    <w:p>
      <w:pPr>
        <w:pStyle w:val="7"/>
        <w:spacing w:before="0" w:after="0" w:line="440" w:lineRule="exact"/>
        <w:ind w:firstLine="480" w:firstLineChars="200"/>
        <w:rPr>
          <w:rFonts w:ascii="宋体" w:hAnsi="宋体" w:cs="宋体"/>
          <w:b w:val="0"/>
          <w:color w:val="000000" w:themeColor="text1"/>
          <w:sz w:val="24"/>
          <w:szCs w:val="24"/>
          <w14:textFill>
            <w14:solidFill>
              <w14:schemeClr w14:val="tx1"/>
            </w14:solidFill>
          </w14:textFill>
        </w:rPr>
      </w:pPr>
      <w:bookmarkStart w:id="170" w:name="_Toc16938546"/>
      <w:bookmarkStart w:id="171" w:name="_Toc513029230"/>
      <w:bookmarkStart w:id="172" w:name="_Toc20823302"/>
      <w:r>
        <w:rPr>
          <w:rFonts w:hint="eastAsia" w:ascii="宋体" w:hAnsi="宋体" w:cs="宋体"/>
          <w:b w:val="0"/>
          <w:color w:val="000000" w:themeColor="text1"/>
          <w:sz w:val="24"/>
          <w:szCs w:val="24"/>
          <w14:textFill>
            <w14:solidFill>
              <w14:schemeClr w14:val="tx1"/>
            </w14:solidFill>
          </w14:textFill>
        </w:rPr>
        <w:t>23、开标</w:t>
      </w:r>
      <w:bookmarkEnd w:id="170"/>
      <w:bookmarkEnd w:id="171"/>
      <w:bookmarkEnd w:id="172"/>
    </w:p>
    <w:p>
      <w:pPr>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23.1</w:t>
      </w:r>
      <w:r>
        <w:rPr>
          <w:rFonts w:hint="eastAsia" w:ascii="宋体" w:hAnsi="宋体" w:cs="宋体"/>
          <w:bCs/>
          <w:color w:val="000000" w:themeColor="text1"/>
          <w:sz w:val="24"/>
          <w:szCs w:val="24"/>
          <w14:textFill>
            <w14:solidFill>
              <w14:schemeClr w14:val="tx1"/>
            </w14:solidFill>
          </w14:textFill>
        </w:rPr>
        <w:t xml:space="preserve"> 采购人和采购代理机构将在招标公告中规定的时间和地点组织公开开标</w:t>
      </w:r>
      <w:r>
        <w:rPr>
          <w:rFonts w:hint="eastAsia" w:ascii="宋体" w:hAnsi="宋体" w:cs="宋体"/>
          <w:color w:val="000000" w:themeColor="text1"/>
          <w:sz w:val="24"/>
          <w:szCs w:val="24"/>
          <w14:textFill>
            <w14:solidFill>
              <w14:schemeClr w14:val="tx1"/>
            </w14:solidFill>
          </w14:textFill>
        </w:rPr>
        <w:t>。投标人应委派携带有效证件的代表准时参加，参加开标的代表需签名以证明其出席。</w:t>
      </w:r>
    </w:p>
    <w:p>
      <w:pPr>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23.2</w:t>
      </w:r>
      <w:r>
        <w:rPr>
          <w:rFonts w:hint="eastAsia" w:ascii="宋体" w:hAnsi="宋体" w:cs="宋体"/>
          <w:color w:val="000000" w:themeColor="text1"/>
          <w:sz w:val="24"/>
          <w:szCs w:val="24"/>
          <w14:textFill>
            <w14:solidFill>
              <w14:schemeClr w14:val="tx1"/>
            </w14:solidFill>
          </w14:textFill>
        </w:rPr>
        <w:t>开标仪式由采购人或采购代理机构组织，采购人代表</w:t>
      </w:r>
      <w:r>
        <w:rPr>
          <w:rFonts w:hint="eastAsia" w:ascii="宋体" w:hAnsi="宋体" w:cs="宋体"/>
          <w:b/>
          <w:color w:val="000000" w:themeColor="text1"/>
          <w:sz w:val="24"/>
          <w:szCs w:val="24"/>
          <w14:textFill>
            <w14:solidFill>
              <w14:schemeClr w14:val="tx1"/>
            </w14:solidFill>
          </w14:textFill>
        </w:rPr>
        <w:t>(需提供单位授权函)</w:t>
      </w:r>
      <w:r>
        <w:rPr>
          <w:rFonts w:hint="eastAsia" w:ascii="宋体" w:hAnsi="宋体" w:cs="宋体"/>
          <w:color w:val="000000" w:themeColor="text1"/>
          <w:sz w:val="24"/>
          <w:szCs w:val="24"/>
          <w14:textFill>
            <w14:solidFill>
              <w14:schemeClr w14:val="tx1"/>
            </w14:solidFill>
          </w14:textFill>
        </w:rPr>
        <w:t>、监管代表、投标人代表等参加。</w:t>
      </w:r>
    </w:p>
    <w:p>
      <w:pPr>
        <w:spacing w:line="44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23.3</w:t>
      </w:r>
      <w:r>
        <w:rPr>
          <w:rFonts w:hint="eastAsia" w:ascii="宋体" w:hAnsi="宋体" w:cs="宋体"/>
          <w:bCs/>
          <w:color w:val="000000" w:themeColor="text1"/>
          <w:sz w:val="24"/>
          <w:szCs w:val="24"/>
          <w14:textFill>
            <w14:solidFill>
              <w14:schemeClr w14:val="tx1"/>
            </w14:solidFill>
          </w14:textFill>
        </w:rPr>
        <w:t>按照规定同意撤回的投标将不予开封。</w:t>
      </w:r>
    </w:p>
    <w:p>
      <w:pPr>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23.4 开标时请投标人代表查验投标文件密封情况，确认无误后，采购人或采购代理机构当众拆封宣读每份投标文件中“开标一览表”的内容，未列入开标一览表的内容一律不在开标时宣读。开标时未宣读的投标报价信息，不得在评标时采用。</w:t>
      </w:r>
    </w:p>
    <w:p>
      <w:pPr>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23.5 采购人或采购代理机构将指定专人负责开标记录并存档备查，各投标人需仔细核对开标记录相关内容并签字确认。</w:t>
      </w:r>
    </w:p>
    <w:p>
      <w:pPr>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23.6 投标人在报价时不允许采用选择性报价，否则将被视为无效投标。</w:t>
      </w:r>
    </w:p>
    <w:p>
      <w:pPr>
        <w:pStyle w:val="7"/>
        <w:spacing w:before="0" w:after="0" w:line="440" w:lineRule="exact"/>
        <w:ind w:firstLine="480" w:firstLineChars="200"/>
        <w:rPr>
          <w:rFonts w:ascii="宋体" w:hAnsi="宋体" w:cs="宋体"/>
          <w:b w:val="0"/>
          <w:color w:val="000000" w:themeColor="text1"/>
          <w:sz w:val="24"/>
          <w:szCs w:val="24"/>
          <w14:textFill>
            <w14:solidFill>
              <w14:schemeClr w14:val="tx1"/>
            </w14:solidFill>
          </w14:textFill>
        </w:rPr>
      </w:pPr>
      <w:bookmarkStart w:id="173" w:name="_Toc16938547"/>
      <w:bookmarkStart w:id="174" w:name="_Toc20823303"/>
      <w:bookmarkStart w:id="175" w:name="_Toc513029231"/>
      <w:r>
        <w:rPr>
          <w:rFonts w:hint="eastAsia" w:ascii="宋体" w:hAnsi="宋体" w:cs="宋体"/>
          <w:b w:val="0"/>
          <w:color w:val="000000" w:themeColor="text1"/>
          <w:sz w:val="24"/>
          <w:szCs w:val="24"/>
          <w14:textFill>
            <w14:solidFill>
              <w14:schemeClr w14:val="tx1"/>
            </w14:solidFill>
          </w14:textFill>
        </w:rPr>
        <w:t>24、资格审查</w:t>
      </w:r>
    </w:p>
    <w:p>
      <w:pPr>
        <w:spacing w:line="44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24.1</w:t>
      </w:r>
      <w:r>
        <w:rPr>
          <w:rFonts w:hint="eastAsia" w:ascii="宋体" w:hAnsi="宋体" w:cs="宋体"/>
          <w:bCs/>
          <w:color w:val="000000" w:themeColor="text1"/>
          <w:sz w:val="24"/>
          <w:szCs w:val="24"/>
          <w14:textFill>
            <w14:solidFill>
              <w14:schemeClr w14:val="tx1"/>
            </w14:solidFill>
          </w14:textFill>
        </w:rPr>
        <w:t>依据法律法规和招标文件的约定，开标结束后，由采购人对投标文件中的资格证明文件进行审查。资格审查的结论，采购人以书面形式向评委会进行反馈。未通过资格审查的投标人，由采购人告知未通过资格审查的原因。</w:t>
      </w:r>
    </w:p>
    <w:p>
      <w:pPr>
        <w:spacing w:line="44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采购人在进行资格性审查的同时，将在“信用中国”网站（www.creditchina.gov.cn）对投标人是否被列入失信被执行人、重大税收违法案件当事人名单、政府采购严重失信行为记录名单情况进行查询，以确定投标人是否具备投标资格。查询结果将以网页打印的形式留存并归档。</w:t>
      </w:r>
    </w:p>
    <w:p>
      <w:pPr>
        <w:spacing w:line="44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接受联合体的项目，两个以上的自然人、法人或者其他组织组成一个联合体，以一个供应商的身份共同参加政府采购活动的,联合体成员存在不良信用记录的，视同联合体存在不良应用记录。</w:t>
      </w:r>
    </w:p>
    <w:p>
      <w:pPr>
        <w:widowControl/>
        <w:spacing w:line="440" w:lineRule="exact"/>
        <w:ind w:firstLine="480" w:firstLineChars="200"/>
        <w:textAlignment w:val="baseline"/>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合格投标人不足3家的，不得评标。</w:t>
      </w:r>
    </w:p>
    <w:p>
      <w:pPr>
        <w:pStyle w:val="7"/>
        <w:spacing w:before="0" w:after="0" w:line="440" w:lineRule="exact"/>
        <w:ind w:firstLine="480" w:firstLineChars="200"/>
        <w:rPr>
          <w:rFonts w:ascii="宋体" w:hAnsi="宋体" w:cs="宋体"/>
          <w:b w:val="0"/>
          <w:color w:val="000000" w:themeColor="text1"/>
          <w:sz w:val="24"/>
          <w:szCs w:val="24"/>
          <w14:textFill>
            <w14:solidFill>
              <w14:schemeClr w14:val="tx1"/>
            </w14:solidFill>
          </w14:textFill>
        </w:rPr>
      </w:pPr>
      <w:r>
        <w:rPr>
          <w:rFonts w:hint="eastAsia" w:ascii="宋体" w:hAnsi="宋体" w:cs="宋体"/>
          <w:b w:val="0"/>
          <w:color w:val="000000" w:themeColor="text1"/>
          <w:sz w:val="24"/>
          <w:szCs w:val="24"/>
          <w14:textFill>
            <w14:solidFill>
              <w14:schemeClr w14:val="tx1"/>
            </w14:solidFill>
          </w14:textFill>
        </w:rPr>
        <w:t>25、评标委员会</w:t>
      </w:r>
    </w:p>
    <w:p>
      <w:pPr>
        <w:spacing w:line="440" w:lineRule="exact"/>
        <w:ind w:firstLine="480" w:firstLineChars="200"/>
        <w:rPr>
          <w:rFonts w:ascii="宋体" w:hAnsi="宋体" w:cs="宋体"/>
          <w:b/>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25.1资格审查通过后，采购人将组织评标委员会（以下简称评委会）进行评标。</w:t>
      </w:r>
    </w:p>
    <w:p>
      <w:pPr>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25.2 评委会由采购人代表和有关技术、经济等方面的专家组成，且人员构成符合政府采购有关规定。</w:t>
      </w:r>
    </w:p>
    <w:p>
      <w:pPr>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25.3评委会独立工作，负责评审所有投标文件并确定中标侯选人。</w:t>
      </w:r>
    </w:p>
    <w:p>
      <w:pPr>
        <w:pStyle w:val="7"/>
        <w:spacing w:before="0" w:after="0" w:line="440" w:lineRule="exact"/>
        <w:ind w:firstLine="480" w:firstLineChars="200"/>
        <w:rPr>
          <w:rFonts w:ascii="宋体" w:hAnsi="宋体" w:cs="宋体"/>
          <w:b w:val="0"/>
          <w:color w:val="000000" w:themeColor="text1"/>
          <w:sz w:val="24"/>
          <w:szCs w:val="24"/>
          <w14:textFill>
            <w14:solidFill>
              <w14:schemeClr w14:val="tx1"/>
            </w14:solidFill>
          </w14:textFill>
        </w:rPr>
      </w:pPr>
      <w:r>
        <w:rPr>
          <w:rFonts w:hint="eastAsia" w:ascii="宋体" w:hAnsi="宋体" w:cs="宋体"/>
          <w:b w:val="0"/>
          <w:color w:val="000000" w:themeColor="text1"/>
          <w:sz w:val="24"/>
          <w:szCs w:val="24"/>
          <w14:textFill>
            <w14:solidFill>
              <w14:schemeClr w14:val="tx1"/>
            </w14:solidFill>
          </w14:textFill>
        </w:rPr>
        <w:t>26、评标过程的保密与公正</w:t>
      </w:r>
    </w:p>
    <w:bookmarkEnd w:id="173"/>
    <w:bookmarkEnd w:id="174"/>
    <w:bookmarkEnd w:id="175"/>
    <w:p>
      <w:pPr>
        <w:spacing w:line="44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26.1</w:t>
      </w:r>
      <w:r>
        <w:rPr>
          <w:rFonts w:hint="eastAsia" w:ascii="宋体" w:hAnsi="宋体" w:cs="宋体"/>
          <w:bCs/>
          <w:color w:val="000000" w:themeColor="text1"/>
          <w:sz w:val="24"/>
          <w:szCs w:val="24"/>
          <w14:textFill>
            <w14:solidFill>
              <w14:schemeClr w14:val="tx1"/>
            </w14:solidFill>
          </w14:textFill>
        </w:rPr>
        <w:t>公开开标后，直至签订合同之日止，凡是与审查、澄清、评价和比较投标的有关资料以及授标建议等，采购人、评委、采购人和采购代理机构均不得向投标人或与评标无关的其他人员透露。</w:t>
      </w:r>
    </w:p>
    <w:p>
      <w:pPr>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26.2在评标过程中，投标人不得以任何行为影响评标过程，否则其投标文件将被作为无效投标文件。</w:t>
      </w:r>
    </w:p>
    <w:p>
      <w:pPr>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26.3在评标期间，采购人或采购代理机构将设专门人员与投标人联系。</w:t>
      </w:r>
    </w:p>
    <w:p>
      <w:pPr>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26.4 采购人、采购代理机构和评标委员会不向落标的投标人解释未中标原因，也不公布评标过程中的相关细节。</w:t>
      </w:r>
    </w:p>
    <w:p>
      <w:pPr>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26.5 采用综合评分法的项目，未中标的投标人如需了解自己的评审得分及排序情况，可向采购人提出申请。</w:t>
      </w:r>
    </w:p>
    <w:p>
      <w:pPr>
        <w:pStyle w:val="7"/>
        <w:spacing w:before="0" w:after="0" w:line="440" w:lineRule="exact"/>
        <w:ind w:firstLine="480" w:firstLineChars="200"/>
        <w:rPr>
          <w:rFonts w:ascii="宋体" w:hAnsi="宋体" w:cs="宋体"/>
          <w:b w:val="0"/>
          <w:color w:val="000000" w:themeColor="text1"/>
          <w:sz w:val="24"/>
          <w:szCs w:val="24"/>
          <w14:textFill>
            <w14:solidFill>
              <w14:schemeClr w14:val="tx1"/>
            </w14:solidFill>
          </w14:textFill>
        </w:rPr>
      </w:pPr>
      <w:bookmarkStart w:id="176" w:name="_Toc513029232"/>
      <w:bookmarkStart w:id="177" w:name="_Toc20823304"/>
      <w:bookmarkStart w:id="178" w:name="_Toc16938548"/>
      <w:r>
        <w:rPr>
          <w:rFonts w:hint="eastAsia" w:ascii="宋体" w:hAnsi="宋体" w:cs="宋体"/>
          <w:b w:val="0"/>
          <w:color w:val="000000" w:themeColor="text1"/>
          <w:sz w:val="24"/>
          <w:szCs w:val="24"/>
          <w14:textFill>
            <w14:solidFill>
              <w14:schemeClr w14:val="tx1"/>
            </w14:solidFill>
          </w14:textFill>
        </w:rPr>
        <w:t>27、投标的澄清</w:t>
      </w:r>
      <w:bookmarkEnd w:id="176"/>
      <w:bookmarkEnd w:id="177"/>
      <w:bookmarkEnd w:id="178"/>
    </w:p>
    <w:p>
      <w:pPr>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27.1评标期间，为有助于对投标文件的审查、评价和比较，评委会有权以书面形式要求投标人对其投标文件进行澄清，但并非对每个投标人都作澄清要求。</w:t>
      </w:r>
    </w:p>
    <w:p>
      <w:pPr>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27.2接到评委会澄清要求的投标人应派人按评委会通知的时间和地点做出书面澄清，书面澄清的内容须由投标人法人或授权代表签署，并作为投标文件的补充部分，但投标的价格和实质性的内容不得做任何更改。</w:t>
      </w:r>
    </w:p>
    <w:p>
      <w:pPr>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27.3 接到评委会澄清要求的投标人如未按规定做出澄清，其风险由投标人自行承担。</w:t>
      </w:r>
    </w:p>
    <w:p>
      <w:pPr>
        <w:pStyle w:val="7"/>
        <w:spacing w:before="0" w:after="0" w:line="440" w:lineRule="exact"/>
        <w:ind w:firstLine="480" w:firstLineChars="200"/>
        <w:rPr>
          <w:rFonts w:ascii="宋体" w:hAnsi="宋体" w:cs="宋体"/>
          <w:b w:val="0"/>
          <w:color w:val="000000" w:themeColor="text1"/>
          <w:sz w:val="24"/>
          <w:szCs w:val="24"/>
          <w14:textFill>
            <w14:solidFill>
              <w14:schemeClr w14:val="tx1"/>
            </w14:solidFill>
          </w14:textFill>
        </w:rPr>
      </w:pPr>
      <w:bookmarkStart w:id="179" w:name="_Toc513029233"/>
      <w:bookmarkStart w:id="180" w:name="_Toc16938549"/>
      <w:bookmarkStart w:id="181" w:name="_Toc20823305"/>
      <w:r>
        <w:rPr>
          <w:rFonts w:hint="eastAsia" w:ascii="宋体" w:hAnsi="宋体" w:cs="宋体"/>
          <w:b w:val="0"/>
          <w:color w:val="000000" w:themeColor="text1"/>
          <w:sz w:val="24"/>
          <w:szCs w:val="24"/>
          <w14:textFill>
            <w14:solidFill>
              <w14:schemeClr w14:val="tx1"/>
            </w14:solidFill>
          </w14:textFill>
        </w:rPr>
        <w:t>28、对投标文件的评审</w:t>
      </w:r>
      <w:bookmarkEnd w:id="179"/>
      <w:bookmarkEnd w:id="180"/>
      <w:bookmarkEnd w:id="181"/>
    </w:p>
    <w:p>
      <w:pPr>
        <w:spacing w:line="44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28.1</w:t>
      </w:r>
      <w:r>
        <w:rPr>
          <w:rFonts w:hint="eastAsia" w:ascii="宋体" w:hAnsi="宋体" w:cs="宋体"/>
          <w:bCs/>
          <w:color w:val="000000" w:themeColor="text1"/>
          <w:sz w:val="24"/>
          <w:szCs w:val="24"/>
          <w14:textFill>
            <w14:solidFill>
              <w14:schemeClr w14:val="tx1"/>
            </w14:solidFill>
          </w14:textFill>
        </w:rPr>
        <w:t>符合性检查：依据招标文件的规定，从投标文件的有效性、完整性和对招标文件的响应程度进行审查，以确定是否对招标文件的实质性要求作出响应。</w:t>
      </w:r>
    </w:p>
    <w:p>
      <w:pPr>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28.2在详细评标之前，评委会将首先审查每份投标文件是否实质性响应了招标文件的要求。实质性响应的投标应该是与招标文件要求的全部条款、条件和规格相符，没有重大偏离或保留的投标。</w:t>
      </w:r>
    </w:p>
    <w:p>
      <w:pPr>
        <w:spacing w:line="44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所谓重大偏离或保留是指与招标文件规定的实质性要求存在负偏离，或者在实质上与招标文件不一致，而且限制了合同中买方和见证方的权利或投标人的义务，纠正这些偏离或保留将会对其他实质性响应要求的投标人的竞争地位产生不公正的影响。是否属于重大偏离由评委会按照少数服从多数的原则作出结论。认定</w:t>
      </w:r>
      <w:r>
        <w:rPr>
          <w:rFonts w:hint="eastAsia" w:ascii="宋体" w:hAnsi="宋体" w:cs="宋体"/>
          <w:bCs/>
          <w:color w:val="000000" w:themeColor="text1"/>
          <w:sz w:val="24"/>
          <w:szCs w:val="24"/>
          <w14:textFill>
            <w14:solidFill>
              <w14:schemeClr w14:val="tx1"/>
            </w14:solidFill>
          </w14:textFill>
        </w:rPr>
        <w:t>评委决定投标文件的响应性只根据投标文件本身的内容，而不寻求外部的证据。</w:t>
      </w:r>
    </w:p>
    <w:p>
      <w:pPr>
        <w:spacing w:line="44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28.3</w:t>
      </w:r>
      <w:r>
        <w:rPr>
          <w:rFonts w:hint="eastAsia" w:ascii="宋体" w:hAnsi="宋体" w:cs="宋体"/>
          <w:bCs/>
          <w:color w:val="000000" w:themeColor="text1"/>
          <w:sz w:val="24"/>
          <w:szCs w:val="24"/>
          <w14:textFill>
            <w14:solidFill>
              <w14:schemeClr w14:val="tx1"/>
            </w14:solidFill>
          </w14:textFill>
        </w:rPr>
        <w:t>如果投标文件实质上没有响应招标文件的要求，评委会将按无效投标处理，投标人不得通过修改或撤销不合要求的偏离或保留而使其投标成为实质性响应的投标。</w:t>
      </w:r>
    </w:p>
    <w:p>
      <w:pPr>
        <w:spacing w:line="44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28.4</w:t>
      </w:r>
      <w:r>
        <w:rPr>
          <w:rFonts w:hint="eastAsia" w:ascii="宋体" w:hAnsi="宋体" w:cs="宋体"/>
          <w:bCs/>
          <w:color w:val="000000" w:themeColor="text1"/>
          <w:sz w:val="24"/>
          <w:szCs w:val="24"/>
          <w14:textFill>
            <w14:solidFill>
              <w14:schemeClr w14:val="tx1"/>
            </w14:solidFill>
          </w14:textFill>
        </w:rPr>
        <w:t>评委会将对确定为实质性响应的投标进行进一步审核，看其是否有计算上或累加上的算术错误，修正错误的原则如下：</w:t>
      </w:r>
    </w:p>
    <w:p>
      <w:pPr>
        <w:spacing w:line="44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（1）投标文件中开标一览表内容与投标文件中相应内容不一致的，以开标一览表为准。</w:t>
      </w:r>
    </w:p>
    <w:p>
      <w:pPr>
        <w:spacing w:line="44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（2）大写金额和小写金额不一致的，以大写金额为准。</w:t>
      </w:r>
    </w:p>
    <w:p>
      <w:pPr>
        <w:spacing w:line="44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（3）单价金额小数点或者百分比有明显错位的，以开标一览表的总价为准，并修改单价。</w:t>
      </w:r>
    </w:p>
    <w:p>
      <w:pPr>
        <w:spacing w:line="44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（4）总价金额与按单价汇总金额不一致的，以单价金额计算结果为准。</w:t>
      </w:r>
    </w:p>
    <w:p>
      <w:pPr>
        <w:spacing w:line="44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同时出现两种以上错误的，按照前款规定的顺序修正。</w:t>
      </w:r>
    </w:p>
    <w:p>
      <w:pPr>
        <w:spacing w:line="44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28.5</w:t>
      </w:r>
      <w:r>
        <w:rPr>
          <w:rFonts w:hint="eastAsia" w:ascii="宋体" w:hAnsi="宋体" w:cs="宋体"/>
          <w:bCs/>
          <w:color w:val="000000" w:themeColor="text1"/>
          <w:sz w:val="24"/>
          <w:szCs w:val="24"/>
          <w14:textFill>
            <w14:solidFill>
              <w14:schemeClr w14:val="tx1"/>
            </w14:solidFill>
          </w14:textFill>
        </w:rPr>
        <w:t>评委会将按上述修正错误的方法调整投标文件中的投标报价，调整后的价格应对投标人具有约束力。如果投标人不接受修正后的价格，则其投标将被拒绝。</w:t>
      </w:r>
    </w:p>
    <w:p>
      <w:pPr>
        <w:spacing w:line="44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28.6</w:t>
      </w:r>
      <w:r>
        <w:rPr>
          <w:rFonts w:hint="eastAsia" w:ascii="宋体" w:hAnsi="宋体" w:cs="宋体"/>
          <w:bCs/>
          <w:color w:val="000000" w:themeColor="text1"/>
          <w:sz w:val="24"/>
          <w:szCs w:val="24"/>
          <w14:textFill>
            <w14:solidFill>
              <w14:schemeClr w14:val="tx1"/>
            </w14:solidFill>
          </w14:textFill>
        </w:rPr>
        <w:t>评委会将允许修正投标文件中不构成重大偏离的、微小的、非正规的、不一致的或不规则的地方，但这些修改不能影响任何投标人相应的名次排列。</w:t>
      </w:r>
    </w:p>
    <w:p>
      <w:pPr>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28.7</w:t>
      </w:r>
      <w:r>
        <w:rPr>
          <w:rFonts w:hint="eastAsia" w:ascii="宋体" w:hAnsi="宋体" w:cs="宋体"/>
          <w:b/>
          <w:color w:val="000000" w:themeColor="text1"/>
          <w:sz w:val="24"/>
          <w:szCs w:val="24"/>
          <w14:textFill>
            <w14:solidFill>
              <w14:schemeClr w14:val="tx1"/>
            </w14:solidFill>
          </w14:textFill>
        </w:rPr>
        <w:t>采用最低评标价法的采购项目，</w:t>
      </w:r>
      <w:r>
        <w:rPr>
          <w:rFonts w:hint="eastAsia" w:ascii="宋体" w:hAnsi="宋体" w:cs="宋体"/>
          <w:color w:val="000000" w:themeColor="text1"/>
          <w:sz w:val="24"/>
          <w:szCs w:val="24"/>
          <w14:textFill>
            <w14:solidFill>
              <w14:schemeClr w14:val="tx1"/>
            </w14:solidFill>
          </w14:textFill>
        </w:rPr>
        <w:t>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pPr>
        <w:spacing w:line="440" w:lineRule="exact"/>
        <w:ind w:firstLine="482" w:firstLineChars="200"/>
        <w:rPr>
          <w:rFonts w:ascii="宋体" w:hAnsi="宋体" w:cs="宋体"/>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使用综合评分法的采购项目，</w:t>
      </w:r>
      <w:r>
        <w:rPr>
          <w:rFonts w:hint="eastAsia" w:ascii="宋体" w:hAnsi="宋体" w:cs="宋体"/>
          <w:color w:val="000000" w:themeColor="text1"/>
          <w:sz w:val="24"/>
          <w:szCs w:val="24"/>
          <w14:textFill>
            <w14:solidFill>
              <w14:schemeClr w14:val="tx1"/>
            </w14:solidFill>
          </w14:textFill>
        </w:rPr>
        <w:t>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spacing w:line="440" w:lineRule="exact"/>
        <w:ind w:firstLine="482" w:firstLineChars="200"/>
        <w:rPr>
          <w:rFonts w:ascii="宋体" w:hAnsi="宋体" w:cs="宋体"/>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非单一产品采购项目，</w:t>
      </w:r>
      <w:r>
        <w:rPr>
          <w:rFonts w:hint="eastAsia" w:ascii="宋体" w:hAnsi="宋体" w:cs="宋体"/>
          <w:color w:val="000000" w:themeColor="text1"/>
          <w:sz w:val="24"/>
          <w:szCs w:val="24"/>
          <w14:textFill>
            <w14:solidFill>
              <w14:schemeClr w14:val="tx1"/>
            </w14:solidFill>
          </w14:textFill>
        </w:rPr>
        <w:t>采购人应当根据采购项目技术构成、产品价格比重等合理确定核心产品，并在招标文件中载明。多家投标人提供的核心产品品牌相同的，按前两款规定处理。 (87号令第31条)</w:t>
      </w:r>
    </w:p>
    <w:p>
      <w:pPr>
        <w:pStyle w:val="7"/>
        <w:spacing w:before="0" w:after="0" w:line="440" w:lineRule="exact"/>
        <w:ind w:firstLine="480" w:firstLineChars="200"/>
        <w:rPr>
          <w:rFonts w:ascii="宋体" w:hAnsi="宋体" w:cs="宋体"/>
          <w:b w:val="0"/>
          <w:color w:val="000000" w:themeColor="text1"/>
          <w:sz w:val="24"/>
          <w:szCs w:val="24"/>
          <w14:textFill>
            <w14:solidFill>
              <w14:schemeClr w14:val="tx1"/>
            </w14:solidFill>
          </w14:textFill>
        </w:rPr>
      </w:pPr>
      <w:bookmarkStart w:id="182" w:name="_Toc20823306"/>
      <w:bookmarkStart w:id="183" w:name="_Toc513029234"/>
      <w:bookmarkStart w:id="184" w:name="_Toc16938550"/>
      <w:r>
        <w:rPr>
          <w:rFonts w:hint="eastAsia" w:ascii="宋体" w:hAnsi="宋体" w:cs="宋体"/>
          <w:b w:val="0"/>
          <w:color w:val="000000" w:themeColor="text1"/>
          <w:sz w:val="24"/>
          <w:szCs w:val="24"/>
          <w14:textFill>
            <w14:solidFill>
              <w14:schemeClr w14:val="tx1"/>
            </w14:solidFill>
          </w14:textFill>
        </w:rPr>
        <w:t>29、</w:t>
      </w:r>
      <w:bookmarkEnd w:id="182"/>
      <w:bookmarkEnd w:id="183"/>
      <w:bookmarkEnd w:id="184"/>
      <w:r>
        <w:rPr>
          <w:rFonts w:hint="eastAsia" w:ascii="宋体" w:hAnsi="宋体" w:cs="宋体"/>
          <w:b w:val="0"/>
          <w:color w:val="000000" w:themeColor="text1"/>
          <w:sz w:val="24"/>
          <w:szCs w:val="24"/>
          <w14:textFill>
            <w14:solidFill>
              <w14:schemeClr w14:val="tx1"/>
            </w14:solidFill>
          </w14:textFill>
        </w:rPr>
        <w:t>无效投标条款和废标条款</w:t>
      </w:r>
    </w:p>
    <w:p>
      <w:pPr>
        <w:spacing w:line="440" w:lineRule="exact"/>
        <w:ind w:firstLine="480" w:firstLineChars="200"/>
        <w:rPr>
          <w:rFonts w:ascii="宋体" w:hAnsi="宋体" w:cs="宋体"/>
          <w:bCs/>
          <w:color w:val="000000" w:themeColor="text1"/>
          <w:sz w:val="24"/>
          <w:szCs w:val="24"/>
          <w14:textFill>
            <w14:solidFill>
              <w14:schemeClr w14:val="tx1"/>
            </w14:solidFill>
          </w14:textFill>
        </w:rPr>
      </w:pPr>
      <w:bookmarkStart w:id="185" w:name="_Toc513029235"/>
      <w:bookmarkStart w:id="186" w:name="_Toc16938551"/>
      <w:bookmarkStart w:id="187" w:name="_Toc20823307"/>
      <w:r>
        <w:rPr>
          <w:rFonts w:hint="eastAsia" w:ascii="宋体" w:hAnsi="宋体" w:cs="宋体"/>
          <w:bCs/>
          <w:color w:val="000000" w:themeColor="text1"/>
          <w:sz w:val="24"/>
          <w:szCs w:val="24"/>
          <w14:textFill>
            <w14:solidFill>
              <w14:schemeClr w14:val="tx1"/>
            </w14:solidFill>
          </w14:textFill>
        </w:rPr>
        <w:t>29.1无效投标条款</w:t>
      </w:r>
    </w:p>
    <w:p>
      <w:pPr>
        <w:spacing w:line="44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29.1.1未按照招标文件规定要求密封、签署、盖章的；</w:t>
      </w:r>
    </w:p>
    <w:p>
      <w:pPr>
        <w:spacing w:line="44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29.1.2投标人在报价时采用选择性报价；</w:t>
      </w:r>
    </w:p>
    <w:p>
      <w:pPr>
        <w:spacing w:line="44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29.1.3投标人不具备招标文件中规定资格要求的；</w:t>
      </w:r>
    </w:p>
    <w:p>
      <w:pPr>
        <w:spacing w:line="44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29.1.4投标人的报价超过了采购预算或最高限价的；</w:t>
      </w:r>
    </w:p>
    <w:p>
      <w:pPr>
        <w:spacing w:line="440" w:lineRule="exact"/>
        <w:ind w:firstLine="480" w:firstLineChars="200"/>
        <w:rPr>
          <w:rFonts w:ascii="宋体" w:hAnsi="宋体" w:cs="宋体"/>
          <w:bCs/>
          <w:i/>
          <w:color w:val="000000" w:themeColor="text1"/>
          <w:sz w:val="24"/>
          <w:szCs w:val="24"/>
          <w:u w:val="single"/>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29.1.5未通过符合性检查的；</w:t>
      </w:r>
    </w:p>
    <w:p>
      <w:pPr>
        <w:spacing w:line="44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29.1.6不符合招标文件中规定的其他实质性要求和条件的；</w:t>
      </w:r>
    </w:p>
    <w:p>
      <w:pPr>
        <w:spacing w:line="44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29.1.7 投标人串通投标；</w:t>
      </w:r>
    </w:p>
    <w:p>
      <w:pPr>
        <w:spacing w:line="44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29.1.8 投标文件含有采购人不能接受的附加条件的。</w:t>
      </w:r>
    </w:p>
    <w:p>
      <w:pPr>
        <w:spacing w:line="44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29.1.9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spacing w:line="44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29.1.10其他法律、法规及本招标文件规定的属无效投标的情形。</w:t>
      </w:r>
    </w:p>
    <w:p>
      <w:pPr>
        <w:spacing w:line="44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 xml:space="preserve">29.2废标条款：                                                                                                                                                                                                                                                                                                                                                                                                                                                                                                                                                                                                                                                                                                                                                                                                                                                                                                                                                                                                                                                                                                                                                                                                                                                                                                                                                                                                                                                                         </w:t>
      </w:r>
    </w:p>
    <w:p>
      <w:pPr>
        <w:spacing w:line="44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29.2.1符合专业条件的供应商或者对招标文件作实质响应的供应商不足三家的；</w:t>
      </w:r>
    </w:p>
    <w:p>
      <w:pPr>
        <w:spacing w:line="44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29.2.2出现影响采购公正的违法、违规行为的；</w:t>
      </w:r>
    </w:p>
    <w:p>
      <w:pPr>
        <w:spacing w:line="44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29.2.3因重大变故，采购任务取消的；</w:t>
      </w:r>
    </w:p>
    <w:p>
      <w:pPr>
        <w:spacing w:line="44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29.2.4评标委员会认定招标文件存在歧义、 重大缺陷导致评审工作无法进行。</w:t>
      </w:r>
    </w:p>
    <w:p>
      <w:pPr>
        <w:spacing w:line="44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29.3 投标截止时间结束后参加投标的供应商不足三家的处理：</w:t>
      </w:r>
    </w:p>
    <w:p>
      <w:pPr>
        <w:spacing w:line="44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29.3.1如出现投标截止时间结束后参加投标的供应商或者在评标期间对招标文件做出实质响应的供应商不足三家情况，按财政部第八十七号令第四十三条的规定执行。</w:t>
      </w:r>
    </w:p>
    <w:p>
      <w:pPr>
        <w:pStyle w:val="6"/>
        <w:spacing w:before="0" w:after="0" w:line="440" w:lineRule="exact"/>
        <w:ind w:firstLine="482" w:firstLineChars="200"/>
        <w:rPr>
          <w:rFonts w:ascii="宋体" w:hAnsi="宋体" w:cs="宋体"/>
          <w:color w:val="000000" w:themeColor="text1"/>
          <w:sz w:val="24"/>
          <w:szCs w:val="24"/>
          <w14:textFill>
            <w14:solidFill>
              <w14:schemeClr w14:val="tx1"/>
            </w14:solidFill>
          </w14:textFill>
        </w:rPr>
      </w:pPr>
      <w:bookmarkStart w:id="188" w:name="_Toc120614219"/>
      <w:r>
        <w:rPr>
          <w:rFonts w:hint="eastAsia" w:ascii="宋体" w:hAnsi="宋体" w:cs="宋体"/>
          <w:color w:val="000000" w:themeColor="text1"/>
          <w:sz w:val="24"/>
          <w:szCs w:val="24"/>
          <w14:textFill>
            <w14:solidFill>
              <w14:schemeClr w14:val="tx1"/>
            </w14:solidFill>
          </w14:textFill>
        </w:rPr>
        <w:t>六、</w:t>
      </w:r>
      <w:bookmarkEnd w:id="185"/>
      <w:bookmarkEnd w:id="186"/>
      <w:bookmarkEnd w:id="187"/>
      <w:r>
        <w:rPr>
          <w:rFonts w:hint="eastAsia" w:ascii="宋体" w:hAnsi="宋体" w:cs="宋体"/>
          <w:color w:val="000000" w:themeColor="text1"/>
          <w:sz w:val="24"/>
          <w:szCs w:val="24"/>
          <w14:textFill>
            <w14:solidFill>
              <w14:schemeClr w14:val="tx1"/>
            </w14:solidFill>
          </w14:textFill>
        </w:rPr>
        <w:t>定标</w:t>
      </w:r>
      <w:bookmarkEnd w:id="188"/>
    </w:p>
    <w:p>
      <w:pPr>
        <w:pStyle w:val="7"/>
        <w:spacing w:before="0" w:after="0" w:line="440" w:lineRule="exact"/>
        <w:ind w:firstLine="480" w:firstLineChars="200"/>
        <w:rPr>
          <w:rFonts w:ascii="宋体" w:hAnsi="宋体" w:cs="宋体"/>
          <w:b w:val="0"/>
          <w:color w:val="000000" w:themeColor="text1"/>
          <w:sz w:val="24"/>
          <w:szCs w:val="24"/>
          <w14:textFill>
            <w14:solidFill>
              <w14:schemeClr w14:val="tx1"/>
            </w14:solidFill>
          </w14:textFill>
        </w:rPr>
      </w:pPr>
      <w:bookmarkStart w:id="189" w:name="_Toc513029238"/>
      <w:bookmarkStart w:id="190" w:name="_Toc20823310"/>
      <w:bookmarkStart w:id="191" w:name="_Toc16938554"/>
      <w:r>
        <w:rPr>
          <w:rFonts w:hint="eastAsia" w:ascii="宋体" w:hAnsi="宋体" w:cs="宋体"/>
          <w:b w:val="0"/>
          <w:color w:val="000000" w:themeColor="text1"/>
          <w:sz w:val="24"/>
          <w:szCs w:val="24"/>
          <w14:textFill>
            <w14:solidFill>
              <w14:schemeClr w14:val="tx1"/>
            </w14:solidFill>
          </w14:textFill>
        </w:rPr>
        <w:t>30、</w:t>
      </w:r>
      <w:bookmarkEnd w:id="189"/>
      <w:r>
        <w:rPr>
          <w:rFonts w:hint="eastAsia" w:ascii="宋体" w:hAnsi="宋体" w:cs="宋体"/>
          <w:b w:val="0"/>
          <w:color w:val="000000" w:themeColor="text1"/>
          <w:sz w:val="24"/>
          <w:szCs w:val="24"/>
          <w14:textFill>
            <w14:solidFill>
              <w14:schemeClr w14:val="tx1"/>
            </w14:solidFill>
          </w14:textFill>
        </w:rPr>
        <w:t>确定</w:t>
      </w:r>
      <w:bookmarkEnd w:id="190"/>
      <w:bookmarkEnd w:id="191"/>
      <w:r>
        <w:rPr>
          <w:rFonts w:hint="eastAsia" w:ascii="宋体" w:hAnsi="宋体" w:cs="宋体"/>
          <w:b w:val="0"/>
          <w:color w:val="000000" w:themeColor="text1"/>
          <w:sz w:val="24"/>
          <w:szCs w:val="24"/>
          <w14:textFill>
            <w14:solidFill>
              <w14:schemeClr w14:val="tx1"/>
            </w14:solidFill>
          </w14:textFill>
        </w:rPr>
        <w:t>中标单位</w:t>
      </w:r>
    </w:p>
    <w:p>
      <w:pPr>
        <w:spacing w:line="44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30.1评委会根据本招标文件规定评标方法与评标标准向采购人推荐出中标候选人。</w:t>
      </w:r>
    </w:p>
    <w:p>
      <w:pPr>
        <w:spacing w:line="44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30.2 采购人应根据评委会推荐的中标候选人确定中标供应商。</w:t>
      </w:r>
    </w:p>
    <w:p>
      <w:pPr>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30.3采购人</w:t>
      </w:r>
      <w:r>
        <w:rPr>
          <w:rFonts w:hint="eastAsia" w:ascii="宋体" w:hAnsi="宋体" w:cs="宋体"/>
          <w:color w:val="000000" w:themeColor="text1"/>
          <w:sz w:val="24"/>
          <w:szCs w:val="24"/>
          <w14:textFill>
            <w14:solidFill>
              <w14:schemeClr w14:val="tx1"/>
            </w14:solidFill>
          </w14:textFill>
        </w:rPr>
        <w:t>将盐城工业职业技术学院招标采购网发布中标公告，公告期限为1个工作日。</w:t>
      </w:r>
    </w:p>
    <w:p>
      <w:pPr>
        <w:snapToGrid w:val="0"/>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30.4若有充分证据证明，中标供应商出现下列情况之一的，一经查实，将被取消中标资格：</w:t>
      </w:r>
    </w:p>
    <w:p>
      <w:pPr>
        <w:snapToGrid w:val="0"/>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30.4.1提供虚假材料谋取中标的；</w:t>
      </w:r>
    </w:p>
    <w:p>
      <w:pPr>
        <w:snapToGrid w:val="0"/>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30.4.2向采购人或采购代理机构行贿或者提供其他不正当利益的；</w:t>
      </w:r>
    </w:p>
    <w:p>
      <w:pPr>
        <w:snapToGrid w:val="0"/>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30.4.3恶意竞争，投标总报价明显低于其自身合理成本且又无法提供证明的；</w:t>
      </w:r>
    </w:p>
    <w:p>
      <w:pPr>
        <w:snapToGrid w:val="0"/>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30.4.4属于本文件规定的无效条件，但在评标过程中又未被评委会发现的；</w:t>
      </w:r>
    </w:p>
    <w:p>
      <w:pPr>
        <w:snapToGrid w:val="0"/>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30.4.5与采购人或者其他供应商恶意串通的；</w:t>
      </w:r>
    </w:p>
    <w:p>
      <w:pPr>
        <w:snapToGrid w:val="0"/>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30.4.6采取不正当手段诋毁、排挤其他供应商的；</w:t>
      </w:r>
    </w:p>
    <w:p>
      <w:pPr>
        <w:snapToGrid w:val="0"/>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30.4.7不符合法律、法规的规定的。</w:t>
      </w:r>
      <w:bookmarkStart w:id="192" w:name="_Toc200451960"/>
    </w:p>
    <w:p>
      <w:pPr>
        <w:snapToGrid w:val="0"/>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30.5. </w:t>
      </w:r>
      <w:r>
        <w:rPr>
          <w:rFonts w:hint="eastAsia" w:ascii="宋体" w:hAnsi="宋体" w:cs="宋体"/>
          <w:color w:val="000000" w:themeColor="text1"/>
          <w:kern w:val="0"/>
          <w:sz w:val="24"/>
          <w:szCs w:val="24"/>
          <w14:textFill>
            <w14:solidFill>
              <w14:schemeClr w14:val="tx1"/>
            </w14:solidFill>
          </w14:textFill>
        </w:rPr>
        <w:t>有下列情形之一的，视为投标人串通投标，投标无效：</w:t>
      </w:r>
    </w:p>
    <w:p>
      <w:pPr>
        <w:snapToGrid w:val="0"/>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30.5.1不同投标人的投标文件由同一单位或者个人编制。</w:t>
      </w:r>
    </w:p>
    <w:p>
      <w:pPr>
        <w:snapToGrid w:val="0"/>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30.5.2不同投标人委托同一单位或者个人办理投标事宜。</w:t>
      </w:r>
    </w:p>
    <w:p>
      <w:pPr>
        <w:snapToGrid w:val="0"/>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30.5.3 不同投标人的投标文件载明的项目管理成员或者联系人员为同一人。</w:t>
      </w:r>
    </w:p>
    <w:p>
      <w:pPr>
        <w:snapToGrid w:val="0"/>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30.5.4不同投标人的投标文件异常一致或者投标报价呈规律性差异。</w:t>
      </w:r>
    </w:p>
    <w:p>
      <w:pPr>
        <w:snapToGrid w:val="0"/>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30.5.5不同投标人的投标文件相互混装。</w:t>
      </w:r>
    </w:p>
    <w:p>
      <w:pPr>
        <w:pStyle w:val="7"/>
        <w:tabs>
          <w:tab w:val="left" w:pos="4120"/>
        </w:tabs>
        <w:spacing w:before="0" w:after="0" w:line="440" w:lineRule="exact"/>
        <w:ind w:firstLine="480" w:firstLineChars="200"/>
        <w:rPr>
          <w:rFonts w:ascii="宋体" w:hAnsi="宋体" w:cs="宋体"/>
          <w:b w:val="0"/>
          <w:color w:val="000000" w:themeColor="text1"/>
          <w:sz w:val="24"/>
          <w:szCs w:val="24"/>
          <w14:textFill>
            <w14:solidFill>
              <w14:schemeClr w14:val="tx1"/>
            </w14:solidFill>
          </w14:textFill>
        </w:rPr>
      </w:pPr>
      <w:r>
        <w:rPr>
          <w:rFonts w:hint="eastAsia" w:ascii="宋体" w:hAnsi="宋体" w:cs="宋体"/>
          <w:b w:val="0"/>
          <w:color w:val="000000" w:themeColor="text1"/>
          <w:sz w:val="24"/>
          <w:szCs w:val="24"/>
          <w14:textFill>
            <w14:solidFill>
              <w14:schemeClr w14:val="tx1"/>
            </w14:solidFill>
          </w14:textFill>
        </w:rPr>
        <w:t>31、质疑处理</w:t>
      </w:r>
      <w:bookmarkEnd w:id="192"/>
      <w:r>
        <w:rPr>
          <w:rFonts w:hint="eastAsia" w:ascii="宋体" w:hAnsi="宋体" w:cs="宋体"/>
          <w:b w:val="0"/>
          <w:color w:val="000000" w:themeColor="text1"/>
          <w:sz w:val="24"/>
          <w:szCs w:val="24"/>
          <w14:textFill>
            <w14:solidFill>
              <w14:schemeClr w14:val="tx1"/>
            </w14:solidFill>
          </w14:textFill>
        </w:rPr>
        <w:tab/>
      </w:r>
    </w:p>
    <w:p>
      <w:pPr>
        <w:snapToGrid w:val="0"/>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31.1参加投标供应商认为招标文件、采购过程和中标结果使自己的权益受到损害的，可以在知道或应知其权益受到损害之日起七个工作日内，以书面形式向采购人或采购代理机构提出质疑。上述应知其权益受到损害之日，是指：</w:t>
      </w:r>
    </w:p>
    <w:p>
      <w:pPr>
        <w:snapToGrid w:val="0"/>
        <w:spacing w:line="440" w:lineRule="exact"/>
        <w:ind w:firstLine="480" w:firstLineChars="200"/>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31.1.1</w:t>
      </w:r>
      <w:r>
        <w:rPr>
          <w:rFonts w:hint="eastAsia" w:ascii="宋体" w:hAnsi="宋体" w:cs="宋体"/>
          <w:color w:val="000000" w:themeColor="text1"/>
          <w:kern w:val="0"/>
          <w:sz w:val="24"/>
          <w:szCs w:val="24"/>
          <w14:textFill>
            <w14:solidFill>
              <w14:schemeClr w14:val="tx1"/>
            </w14:solidFill>
          </w14:textFill>
        </w:rPr>
        <w:t>对可以质疑的招标文件提出质疑的，为收到招标文件之日或者招标文件公告期限届满之日；</w:t>
      </w:r>
    </w:p>
    <w:p>
      <w:pPr>
        <w:snapToGrid w:val="0"/>
        <w:spacing w:line="440" w:lineRule="exact"/>
        <w:ind w:firstLine="480" w:firstLineChars="200"/>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r>
        <w:rPr>
          <w:rFonts w:hint="eastAsia" w:ascii="宋体" w:hAnsi="宋体" w:cs="宋体"/>
          <w:color w:val="000000" w:themeColor="text1"/>
          <w:sz w:val="24"/>
          <w:szCs w:val="24"/>
          <w14:textFill>
            <w14:solidFill>
              <w14:schemeClr w14:val="tx1"/>
            </w14:solidFill>
          </w14:textFill>
        </w:rPr>
        <w:t>31.1.2</w:t>
      </w:r>
      <w:r>
        <w:rPr>
          <w:rFonts w:hint="eastAsia" w:ascii="宋体" w:hAnsi="宋体" w:cs="宋体"/>
          <w:color w:val="000000" w:themeColor="text1"/>
          <w:kern w:val="0"/>
          <w:sz w:val="24"/>
          <w:szCs w:val="24"/>
          <w14:textFill>
            <w14:solidFill>
              <w14:schemeClr w14:val="tx1"/>
            </w14:solidFill>
          </w14:textFill>
        </w:rPr>
        <w:t>对采购过程提出质疑的，为各采购程序环节结束之日；</w:t>
      </w:r>
    </w:p>
    <w:p>
      <w:pPr>
        <w:snapToGrid w:val="0"/>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r>
        <w:rPr>
          <w:rFonts w:hint="eastAsia" w:ascii="宋体" w:hAnsi="宋体" w:cs="宋体"/>
          <w:color w:val="000000" w:themeColor="text1"/>
          <w:sz w:val="24"/>
          <w:szCs w:val="24"/>
          <w14:textFill>
            <w14:solidFill>
              <w14:schemeClr w14:val="tx1"/>
            </w14:solidFill>
          </w14:textFill>
        </w:rPr>
        <w:t>31.1.3</w:t>
      </w:r>
      <w:r>
        <w:rPr>
          <w:rFonts w:hint="eastAsia" w:ascii="宋体" w:hAnsi="宋体" w:cs="宋体"/>
          <w:color w:val="000000" w:themeColor="text1"/>
          <w:kern w:val="0"/>
          <w:sz w:val="24"/>
          <w:szCs w:val="24"/>
          <w14:textFill>
            <w14:solidFill>
              <w14:schemeClr w14:val="tx1"/>
            </w14:solidFill>
          </w14:textFill>
        </w:rPr>
        <w:t>对中标结果提出质疑的，为中标结果公告期限届满之日。</w:t>
      </w:r>
    </w:p>
    <w:p>
      <w:pPr>
        <w:snapToGrid w:val="0"/>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31.2质疑必须按《政府采购法》、《政府采购法实施条例》及《江苏省政府采购供应商监督管理暂行办法》的相关规定提交，未按上述要求提交的质疑函（含传真、电子邮件等）采购人和采购代理机构有权不予受理。</w:t>
      </w:r>
    </w:p>
    <w:p>
      <w:pPr>
        <w:snapToGrid w:val="0"/>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31.3未参加投标活动的供应商或在投标活动中自身权益未受到损害的供应商所提出的质疑不予受理。</w:t>
      </w:r>
    </w:p>
    <w:p>
      <w:pPr>
        <w:snapToGrid w:val="0"/>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31.4质疑函应当包括下列内容：</w:t>
      </w:r>
    </w:p>
    <w:p>
      <w:pPr>
        <w:snapToGrid w:val="0"/>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31.4.1质疑投标人的名称、地址、邮编、联系人、联系电话；</w:t>
      </w:r>
    </w:p>
    <w:p>
      <w:pPr>
        <w:snapToGrid w:val="0"/>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31.4.2具体的质疑事项及明确的请求；</w:t>
      </w:r>
    </w:p>
    <w:p>
      <w:pPr>
        <w:snapToGrid w:val="0"/>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31.4.3认为自己合法权益受到损害或可能受到损害的相关证据材料；</w:t>
      </w:r>
    </w:p>
    <w:p>
      <w:pPr>
        <w:snapToGrid w:val="0"/>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31.4.4提起质疑的日期；</w:t>
      </w:r>
    </w:p>
    <w:p>
      <w:pPr>
        <w:snapToGrid w:val="0"/>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31.4.5质疑函应当署名：质疑人为自然人的，应当由本人签字并附有效身份证</w:t>
      </w:r>
    </w:p>
    <w:p>
      <w:pPr>
        <w:snapToGrid w:val="0"/>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明；质疑人为法人或其他组织的，应当由法定代表人签字并加盖单位公章。（质疑人为联合体的，则联合体各方法定代表人均须签字并加盖单位公章），未按要求签字和盖章的为无效质疑，采购人和采购代理机构将不予受理。)质疑人委托代理质疑的，应当向采购人或采购代理机构提交授权委托书，并载明委托代理的具体权限和事项。</w:t>
      </w:r>
    </w:p>
    <w:p>
      <w:pPr>
        <w:snapToGrid w:val="0"/>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31.5采购人或采购代理机构收到质疑函后，将对质疑的形式和内容进行审查，如质疑函内容、格式不符合规定，采购人或采购代理机构将告知质疑人进行补正。</w:t>
      </w:r>
    </w:p>
    <w:p>
      <w:pPr>
        <w:snapToGrid w:val="0"/>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31.6质疑人应当在法定质疑期限内进行补正并重新提交质疑函，拒不补正或者在法定期限内未重新提交质疑函的，为无效质疑，采购人和采购代理机构将不予受理。</w:t>
      </w:r>
    </w:p>
    <w:p>
      <w:pPr>
        <w:snapToGrid w:val="0"/>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31.7对于内容、格式符合规定的质疑函，采购人或采购代理机构应当在收到投标供应商的书面质疑后七个工作日内作出答复，并以书面形式通知质疑供应商和其他有关供应商，但答复的内容不得涉及商业秘密。</w:t>
      </w:r>
    </w:p>
    <w:p>
      <w:pPr>
        <w:snapToGrid w:val="0"/>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31.8投标人提出书面质疑必须有理、有据，不得恶意质疑或提交虚假质疑。否则，一经查实，采购人和采购代理机构有权依据政府采购的有关规定，报请政府采购监管部门对该投标人进行相应的行政处罚，并扣减其诚信记录分。</w:t>
      </w:r>
    </w:p>
    <w:p>
      <w:pPr>
        <w:pStyle w:val="7"/>
        <w:spacing w:before="0" w:after="0" w:line="440" w:lineRule="exact"/>
        <w:ind w:firstLine="480" w:firstLineChars="200"/>
        <w:rPr>
          <w:rFonts w:ascii="宋体" w:hAnsi="宋体" w:cs="宋体"/>
          <w:b w:val="0"/>
          <w:color w:val="000000" w:themeColor="text1"/>
          <w:sz w:val="24"/>
          <w:szCs w:val="24"/>
          <w14:textFill>
            <w14:solidFill>
              <w14:schemeClr w14:val="tx1"/>
            </w14:solidFill>
          </w14:textFill>
        </w:rPr>
      </w:pPr>
      <w:r>
        <w:rPr>
          <w:rFonts w:hint="eastAsia" w:ascii="宋体" w:hAnsi="宋体" w:cs="宋体"/>
          <w:b w:val="0"/>
          <w:color w:val="000000" w:themeColor="text1"/>
          <w:sz w:val="24"/>
          <w:szCs w:val="24"/>
          <w14:textFill>
            <w14:solidFill>
              <w14:schemeClr w14:val="tx1"/>
            </w14:solidFill>
          </w14:textFill>
        </w:rPr>
        <w:t>32、中标通知书</w:t>
      </w:r>
    </w:p>
    <w:p>
      <w:pPr>
        <w:snapToGrid w:val="0"/>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32.l中标结果确定后，采购人将向中标供应商发出中标通知书。</w:t>
      </w:r>
    </w:p>
    <w:p>
      <w:pPr>
        <w:snapToGrid w:val="0"/>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32.2中标通知书将是合同的一个组成部分。对采购人和中标供应商均具有法律效力。中标通知书发出后，采购人改变中标结果的，或者中标供应商放弃中标项目的，应当依法承担法律责任。</w:t>
      </w:r>
    </w:p>
    <w:p>
      <w:pPr>
        <w:pStyle w:val="6"/>
        <w:spacing w:before="0" w:after="0" w:line="440" w:lineRule="exact"/>
        <w:ind w:firstLine="482" w:firstLineChars="200"/>
        <w:rPr>
          <w:rFonts w:ascii="宋体" w:hAnsi="宋体" w:cs="宋体"/>
          <w:color w:val="000000" w:themeColor="text1"/>
          <w:sz w:val="24"/>
          <w:szCs w:val="24"/>
          <w14:textFill>
            <w14:solidFill>
              <w14:schemeClr w14:val="tx1"/>
            </w14:solidFill>
          </w14:textFill>
        </w:rPr>
      </w:pPr>
      <w:bookmarkStart w:id="193" w:name="_Toc120614220"/>
      <w:bookmarkStart w:id="194" w:name="_Toc513029236"/>
      <w:bookmarkStart w:id="195" w:name="_Toc16938552"/>
      <w:bookmarkStart w:id="196" w:name="_Toc20823308"/>
      <w:r>
        <w:rPr>
          <w:rFonts w:hint="eastAsia" w:ascii="宋体" w:hAnsi="宋体" w:cs="宋体"/>
          <w:color w:val="000000" w:themeColor="text1"/>
          <w:sz w:val="24"/>
          <w:szCs w:val="24"/>
          <w14:textFill>
            <w14:solidFill>
              <w14:schemeClr w14:val="tx1"/>
            </w14:solidFill>
          </w14:textFill>
        </w:rPr>
        <w:t>七、合同</w:t>
      </w:r>
      <w:bookmarkEnd w:id="193"/>
      <w:r>
        <w:rPr>
          <w:rFonts w:hint="eastAsia" w:ascii="宋体" w:hAnsi="宋体" w:cs="宋体"/>
          <w:color w:val="000000" w:themeColor="text1"/>
          <w:sz w:val="24"/>
          <w:szCs w:val="24"/>
          <w14:textFill>
            <w14:solidFill>
              <w14:schemeClr w14:val="tx1"/>
            </w14:solidFill>
          </w14:textFill>
        </w:rPr>
        <w:t>签订相关事项</w:t>
      </w:r>
    </w:p>
    <w:bookmarkEnd w:id="194"/>
    <w:bookmarkEnd w:id="195"/>
    <w:bookmarkEnd w:id="196"/>
    <w:p>
      <w:pPr>
        <w:pStyle w:val="7"/>
        <w:spacing w:before="0" w:after="0" w:line="440" w:lineRule="exact"/>
        <w:ind w:firstLine="480" w:firstLineChars="200"/>
        <w:rPr>
          <w:rFonts w:ascii="宋体" w:hAnsi="宋体" w:cs="宋体"/>
          <w:b w:val="0"/>
          <w:color w:val="000000" w:themeColor="text1"/>
          <w:sz w:val="24"/>
          <w:szCs w:val="24"/>
          <w14:textFill>
            <w14:solidFill>
              <w14:schemeClr w14:val="tx1"/>
            </w14:solidFill>
          </w14:textFill>
        </w:rPr>
      </w:pPr>
      <w:bookmarkStart w:id="197" w:name="_Toc20823309"/>
      <w:bookmarkStart w:id="198" w:name="_Toc513029237"/>
      <w:bookmarkStart w:id="199" w:name="_Toc16938553"/>
      <w:r>
        <w:rPr>
          <w:rFonts w:hint="eastAsia" w:ascii="宋体" w:hAnsi="宋体" w:cs="宋体"/>
          <w:b w:val="0"/>
          <w:color w:val="000000" w:themeColor="text1"/>
          <w:sz w:val="24"/>
          <w:szCs w:val="24"/>
          <w14:textFill>
            <w14:solidFill>
              <w14:schemeClr w14:val="tx1"/>
            </w14:solidFill>
          </w14:textFill>
        </w:rPr>
        <w:t>33. 签订合同</w:t>
      </w:r>
    </w:p>
    <w:p>
      <w:pPr>
        <w:snapToGrid w:val="0"/>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33</w:t>
      </w:r>
      <w:r>
        <w:rPr>
          <w:rFonts w:hint="eastAsia" w:ascii="宋体" w:hAnsi="宋体" w:cs="宋体"/>
          <w:color w:val="000000" w:themeColor="text1"/>
          <w:sz w:val="24"/>
          <w:szCs w:val="24"/>
          <w14:textFill>
            <w14:solidFill>
              <w14:schemeClr w14:val="tx1"/>
            </w14:solidFill>
          </w14:textFill>
        </w:rPr>
        <w:t>.l中标供应商应按中标通知书规定的时间、地点,按照招标文件确定的事项与采购人签订政府采购合同，且不得迟于中标通知书发出之日起十五日内，由此给采购人造成损失的，中标供应商还应承担赔偿责任。</w:t>
      </w:r>
    </w:p>
    <w:p>
      <w:pPr>
        <w:snapToGrid w:val="0"/>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33.2招标文件、中标供应商的投标文件及招标过程中有关澄清、承诺文件均应作为合同附件。</w:t>
      </w:r>
    </w:p>
    <w:p>
      <w:pPr>
        <w:snapToGrid w:val="0"/>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33.3 签订合同后，中标供应商不得将货物及其他相关服务进行转包。未经采购人同意，中标供应商也不得采用分包的形式履行合同，否则采购人有权终止合同，中标供应商的履约保证金将不予退还。转包或分包造成采购人损失的，中标供应商应承担相应赔偿责任。</w:t>
      </w:r>
    </w:p>
    <w:p>
      <w:pPr>
        <w:pStyle w:val="7"/>
        <w:spacing w:before="0" w:after="0" w:line="440" w:lineRule="exact"/>
        <w:ind w:firstLine="480" w:firstLineChars="200"/>
        <w:rPr>
          <w:rFonts w:ascii="宋体" w:hAnsi="宋体" w:cs="宋体"/>
          <w:b w:val="0"/>
          <w:color w:val="000000" w:themeColor="text1"/>
          <w:sz w:val="24"/>
          <w:szCs w:val="24"/>
          <w14:textFill>
            <w14:solidFill>
              <w14:schemeClr w14:val="tx1"/>
            </w14:solidFill>
          </w14:textFill>
        </w:rPr>
      </w:pPr>
      <w:r>
        <w:rPr>
          <w:rFonts w:hint="eastAsia" w:ascii="宋体" w:hAnsi="宋体" w:cs="宋体"/>
          <w:b w:val="0"/>
          <w:color w:val="000000" w:themeColor="text1"/>
          <w:sz w:val="24"/>
          <w:szCs w:val="24"/>
          <w14:textFill>
            <w14:solidFill>
              <w14:schemeClr w14:val="tx1"/>
            </w14:solidFill>
          </w14:textFill>
        </w:rPr>
        <w:t>34、货物和服务的追加、减少和添购。</w:t>
      </w:r>
    </w:p>
    <w:p>
      <w:pPr>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34.1政府采购合同履行中，采购人需追加与合同标的相同的货物和服务的，在不改变合同其他条款的前提下，可以与中标供应商协商签订补充合同，但所有补充合同的采购金额不超过原合同金额10%。</w:t>
      </w:r>
    </w:p>
    <w:p>
      <w:pPr>
        <w:spacing w:line="440" w:lineRule="exact"/>
        <w:ind w:firstLine="480" w:firstLineChars="200"/>
        <w:rPr>
          <w:rFonts w:ascii="宋体" w:hAnsi="宋体" w:cs="宋体"/>
          <w:b/>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34.2采购结束后，采购人若由于各种客观原因，必须对采购项目所牵涉的货物和服务进行适当的减少时，在双方协商一致的前提下，可以按照招标采购时的价格水平做相应的调减，并据此签订补充合同。</w:t>
      </w:r>
    </w:p>
    <w:bookmarkEnd w:id="197"/>
    <w:bookmarkEnd w:id="198"/>
    <w:bookmarkEnd w:id="199"/>
    <w:p>
      <w:pPr>
        <w:tabs>
          <w:tab w:val="left" w:pos="900"/>
        </w:tabs>
        <w:spacing w:line="44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35、履约保证金</w:t>
      </w:r>
    </w:p>
    <w:p>
      <w:pPr>
        <w:tabs>
          <w:tab w:val="left" w:pos="900"/>
        </w:tabs>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在签订合同时，须向采购人交纳履约保证金,于合同履行后无息退还。履约保证金用以约束成交供应商在合同履行中的行为，弥补合同执行中由于自身行为可能给采购人带来的各种损失。</w:t>
      </w:r>
    </w:p>
    <w:p>
      <w:pPr>
        <w:tabs>
          <w:tab w:val="left" w:pos="900"/>
        </w:tabs>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36、政府采购履约资金扶持政策</w:t>
      </w:r>
    </w:p>
    <w:p>
      <w:pPr>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根据国家扶持中小企业的有关政策，在我中心组织的采购项目中标的注册地在盐城的中小企业，在履约过程中如遇到资金困难，凭中标通知书可在与盐城市财政局签署了《盐城市政府采购供应商融资业务合作协议》的金融机构办理授信申请。</w:t>
      </w:r>
    </w:p>
    <w:p>
      <w:pPr>
        <w:spacing w:line="440" w:lineRule="exact"/>
        <w:ind w:firstLine="480" w:firstLineChars="200"/>
        <w:rPr>
          <w:rFonts w:ascii="宋体" w:hAnsi="宋体" w:cs="宋体"/>
          <w:b/>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37、样品</w:t>
      </w:r>
    </w:p>
    <w:p>
      <w:pPr>
        <w:pStyle w:val="5"/>
        <w:spacing w:line="440" w:lineRule="exact"/>
        <w:ind w:firstLine="480" w:firstLineChars="200"/>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采购人、采购代理机构一般不得要求投标人提供样品，仅凭书面方式不能准确描述采购需求或者需要对样品进行主观判断以确认是否满足采购需求等特殊情况除外。</w:t>
      </w:r>
    </w:p>
    <w:p>
      <w:pPr>
        <w:pStyle w:val="5"/>
        <w:spacing w:line="440" w:lineRule="exact"/>
        <w:ind w:firstLine="480" w:firstLineChars="200"/>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要求投标人提供样品的，应当在招标文件中明确规定样品制作的标准和要求、是否需要随样品提交相关检测报告、样品的评审方法以及评审标准。需要随样品提交检测报告的，还应当规定检测机构的要求、检测内容等。</w:t>
      </w:r>
    </w:p>
    <w:p>
      <w:pPr>
        <w:pStyle w:val="5"/>
        <w:spacing w:line="44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采购活动结束后，对于未中标人提供的样品，应当及时退还或者经未中标人同意后自行处理；对于中标人提供的样品，应当按照招标文件的规定进行保管、封存，并作为履约验收的参考。</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p>
    <w:p>
      <w:pPr>
        <w:pStyle w:val="5"/>
        <w:adjustRightInd w:val="0"/>
        <w:snapToGrid w:val="0"/>
        <w:spacing w:line="360" w:lineRule="auto"/>
        <w:ind w:firstLine="480" w:firstLineChars="200"/>
        <w:rPr>
          <w:rFonts w:ascii="宋体" w:hAnsi="宋体" w:cs="宋体"/>
          <w:color w:val="000000" w:themeColor="text1"/>
          <w:sz w:val="24"/>
          <w14:textFill>
            <w14:solidFill>
              <w14:schemeClr w14:val="tx1"/>
            </w14:solidFill>
          </w14:textFill>
        </w:rPr>
      </w:pPr>
    </w:p>
    <w:p>
      <w:pPr>
        <w:pStyle w:val="5"/>
        <w:spacing w:line="440" w:lineRule="exact"/>
        <w:ind w:firstLine="480" w:firstLineChars="200"/>
        <w:rPr>
          <w:rFonts w:ascii="宋体" w:hAnsi="宋体" w:cs="宋体"/>
          <w:color w:val="000000" w:themeColor="text1"/>
          <w:sz w:val="24"/>
          <w14:textFill>
            <w14:solidFill>
              <w14:schemeClr w14:val="tx1"/>
            </w14:solidFill>
          </w14:textFill>
        </w:rPr>
      </w:pPr>
    </w:p>
    <w:p>
      <w:pPr>
        <w:pStyle w:val="3"/>
        <w:jc w:val="both"/>
        <w:outlineLvl w:val="9"/>
        <w:rPr>
          <w:rFonts w:ascii="宋体" w:hAnsi="宋体" w:eastAsia="宋体" w:cs="宋体"/>
          <w:b/>
          <w:color w:val="000000" w:themeColor="text1"/>
          <w:sz w:val="44"/>
          <w14:textFill>
            <w14:solidFill>
              <w14:schemeClr w14:val="tx1"/>
            </w14:solidFill>
          </w14:textFill>
        </w:rPr>
      </w:pPr>
    </w:p>
    <w:p>
      <w:pPr>
        <w:pStyle w:val="3"/>
        <w:jc w:val="both"/>
        <w:outlineLvl w:val="9"/>
        <w:rPr>
          <w:rFonts w:ascii="宋体" w:hAnsi="宋体" w:eastAsia="宋体" w:cs="宋体"/>
          <w:b/>
          <w:color w:val="000000" w:themeColor="text1"/>
          <w:sz w:val="44"/>
          <w14:textFill>
            <w14:solidFill>
              <w14:schemeClr w14:val="tx1"/>
            </w14:solidFill>
          </w14:textFill>
        </w:rPr>
      </w:pPr>
    </w:p>
    <w:p>
      <w:pPr>
        <w:pStyle w:val="3"/>
        <w:jc w:val="both"/>
        <w:outlineLvl w:val="9"/>
        <w:rPr>
          <w:rFonts w:ascii="宋体" w:hAnsi="宋体" w:eastAsia="宋体" w:cs="宋体"/>
          <w:b/>
          <w:color w:val="000000" w:themeColor="text1"/>
          <w:sz w:val="44"/>
          <w14:textFill>
            <w14:solidFill>
              <w14:schemeClr w14:val="tx1"/>
            </w14:solidFill>
          </w14:textFill>
        </w:rPr>
      </w:pPr>
    </w:p>
    <w:p>
      <w:pPr>
        <w:pStyle w:val="3"/>
        <w:rPr>
          <w:rFonts w:ascii="宋体" w:hAnsi="宋体" w:eastAsia="宋体" w:cs="宋体"/>
          <w:b/>
          <w:color w:val="000000" w:themeColor="text1"/>
          <w:sz w:val="44"/>
          <w14:textFill>
            <w14:solidFill>
              <w14:schemeClr w14:val="tx1"/>
            </w14:solidFill>
          </w14:textFill>
        </w:rPr>
      </w:pPr>
      <w:r>
        <w:rPr>
          <w:rFonts w:hint="eastAsia" w:ascii="宋体" w:hAnsi="宋体" w:eastAsia="宋体" w:cs="宋体"/>
          <w:b/>
          <w:color w:val="000000" w:themeColor="text1"/>
          <w:sz w:val="44"/>
          <w14:textFill>
            <w14:solidFill>
              <w14:schemeClr w14:val="tx1"/>
            </w14:solidFill>
          </w14:textFill>
        </w:rPr>
        <w:br w:type="page"/>
      </w:r>
      <w:bookmarkStart w:id="200" w:name="_Toc18422"/>
      <w:r>
        <w:rPr>
          <w:rFonts w:hint="eastAsia" w:ascii="宋体" w:hAnsi="宋体" w:eastAsia="宋体" w:cs="宋体"/>
          <w:b/>
          <w:color w:val="000000" w:themeColor="text1"/>
          <w:sz w:val="44"/>
          <w14:textFill>
            <w14:solidFill>
              <w14:schemeClr w14:val="tx1"/>
            </w14:solidFill>
          </w14:textFill>
        </w:rPr>
        <w:t>第三章  合同条款及</w:t>
      </w:r>
      <w:bookmarkEnd w:id="56"/>
      <w:bookmarkEnd w:id="57"/>
      <w:bookmarkEnd w:id="58"/>
      <w:bookmarkEnd w:id="59"/>
      <w:bookmarkEnd w:id="60"/>
      <w:r>
        <w:rPr>
          <w:rFonts w:hint="eastAsia" w:ascii="宋体" w:hAnsi="宋体" w:eastAsia="宋体" w:cs="宋体"/>
          <w:b/>
          <w:color w:val="000000" w:themeColor="text1"/>
          <w:sz w:val="44"/>
          <w14:textFill>
            <w14:solidFill>
              <w14:schemeClr w14:val="tx1"/>
            </w14:solidFill>
          </w14:textFill>
        </w:rPr>
        <w:t>格式</w:t>
      </w:r>
      <w:bookmarkEnd w:id="200"/>
    </w:p>
    <w:p>
      <w:pPr>
        <w:spacing w:line="440" w:lineRule="exact"/>
        <w:ind w:firstLine="480" w:firstLineChars="200"/>
        <w:rPr>
          <w:rFonts w:ascii="宋体" w:hAnsi="宋体" w:cs="宋体"/>
          <w:b/>
          <w:color w:val="000000" w:themeColor="text1"/>
          <w:sz w:val="30"/>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以下为中标后签定本项目合同的通用条款，中标供应商不得提出实质性的修改，关于专用条款将由采购人与中标供应商结合本项目具体情况协商后签订。</w:t>
      </w:r>
    </w:p>
    <w:p>
      <w:pPr>
        <w:snapToGrid w:val="0"/>
        <w:spacing w:line="440" w:lineRule="exact"/>
        <w:ind w:firstLine="602" w:firstLineChars="200"/>
        <w:jc w:val="center"/>
        <w:outlineLvl w:val="0"/>
        <w:rPr>
          <w:rFonts w:ascii="宋体" w:hAnsi="宋体" w:cs="宋体"/>
          <w:b/>
          <w:color w:val="000000" w:themeColor="text1"/>
          <w:sz w:val="30"/>
          <w:szCs w:val="20"/>
          <w14:textFill>
            <w14:solidFill>
              <w14:schemeClr w14:val="tx1"/>
            </w14:solidFill>
          </w14:textFill>
        </w:rPr>
      </w:pPr>
      <w:bookmarkStart w:id="201" w:name="_Toc17025"/>
      <w:r>
        <w:rPr>
          <w:rFonts w:hint="eastAsia" w:ascii="宋体" w:hAnsi="宋体" w:cs="宋体"/>
          <w:b/>
          <w:color w:val="000000" w:themeColor="text1"/>
          <w:sz w:val="30"/>
          <w14:textFill>
            <w14:solidFill>
              <w14:schemeClr w14:val="tx1"/>
            </w14:solidFill>
          </w14:textFill>
        </w:rPr>
        <w:t>采购合同</w:t>
      </w:r>
      <w:bookmarkEnd w:id="201"/>
    </w:p>
    <w:p>
      <w:pPr>
        <w:spacing w:line="440" w:lineRule="exact"/>
        <w:ind w:firstLine="480" w:firstLineChars="200"/>
        <w:rPr>
          <w:rFonts w:hint="eastAsia" w:ascii="宋体" w:hAnsi="宋体" w:eastAsia="宋体" w:cs="宋体"/>
          <w:bCs/>
          <w:color w:val="000000" w:themeColor="text1"/>
          <w:sz w:val="24"/>
          <w:u w:val="single"/>
          <w:lang w:eastAsia="zh-CN"/>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项目名称：</w:t>
      </w:r>
      <w:r>
        <w:rPr>
          <w:rFonts w:hint="eastAsia" w:ascii="宋体" w:hAnsi="宋体" w:cs="宋体"/>
          <w:bCs/>
          <w:color w:val="000000" w:themeColor="text1"/>
          <w:sz w:val="24"/>
          <w:u w:val="single"/>
          <w14:textFill>
            <w14:solidFill>
              <w14:schemeClr w14:val="tx1"/>
            </w14:solidFill>
          </w14:textFill>
        </w:rPr>
        <w:t>盐城工业职业技术学院</w:t>
      </w:r>
      <w:r>
        <w:rPr>
          <w:rFonts w:hint="eastAsia" w:ascii="宋体" w:hAnsi="宋体" w:cs="宋体"/>
          <w:bCs/>
          <w:color w:val="000000" w:themeColor="text1"/>
          <w:sz w:val="24"/>
          <w:u w:val="single"/>
          <w:lang w:eastAsia="zh-CN"/>
          <w14:textFill>
            <w14:solidFill>
              <w14:schemeClr w14:val="tx1"/>
            </w14:solidFill>
          </w14:textFill>
        </w:rPr>
        <w:t>2022年省技能大赛耗材采购项目</w:t>
      </w:r>
    </w:p>
    <w:p>
      <w:pPr>
        <w:spacing w:line="440" w:lineRule="exact"/>
        <w:ind w:firstLine="480" w:firstLineChars="20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项目招标采购</w:t>
      </w:r>
    </w:p>
    <w:p>
      <w:pPr>
        <w:pStyle w:val="40"/>
        <w:widowControl w:val="0"/>
        <w:snapToGrid w:val="0"/>
        <w:spacing w:before="0" w:beforeAutospacing="0" w:after="0" w:afterAutospacing="0" w:line="460" w:lineRule="exact"/>
        <w:ind w:firstLine="480" w:firstLineChars="200"/>
        <w:rPr>
          <w:color w:val="000000" w:themeColor="text1"/>
          <w14:textFill>
            <w14:solidFill>
              <w14:schemeClr w14:val="tx1"/>
            </w14:solidFill>
          </w14:textFill>
        </w:rPr>
      </w:pPr>
      <w:r>
        <w:rPr>
          <w:rFonts w:hint="eastAsia"/>
          <w:color w:val="000000" w:themeColor="text1"/>
          <w:kern w:val="2"/>
          <w14:textFill>
            <w14:solidFill>
              <w14:schemeClr w14:val="tx1"/>
            </w14:solidFill>
          </w14:textFill>
        </w:rPr>
        <w:t>项目编号：</w:t>
      </w:r>
      <w:r>
        <w:rPr>
          <w:rFonts w:hint="eastAsia"/>
          <w:color w:val="000000" w:themeColor="text1"/>
          <w:kern w:val="2"/>
          <w:u w:val="single"/>
          <w14:textFill>
            <w14:solidFill>
              <w14:schemeClr w14:val="tx1"/>
            </w14:solidFill>
          </w14:textFill>
        </w:rPr>
        <w:t>2021-0</w:t>
      </w:r>
      <w:r>
        <w:rPr>
          <w:rFonts w:hint="eastAsia"/>
          <w:color w:val="000000" w:themeColor="text1"/>
          <w:kern w:val="2"/>
          <w:u w:val="single"/>
          <w:lang w:val="en-US" w:eastAsia="zh-CN"/>
          <w14:textFill>
            <w14:solidFill>
              <w14:schemeClr w14:val="tx1"/>
            </w14:solidFill>
          </w14:textFill>
        </w:rPr>
        <w:t>32</w:t>
      </w:r>
      <w:r>
        <w:rPr>
          <w:rFonts w:hint="eastAsia"/>
          <w:color w:val="000000" w:themeColor="text1"/>
          <w:kern w:val="2"/>
          <w:u w:val="single"/>
          <w14:textFill>
            <w14:solidFill>
              <w14:schemeClr w14:val="tx1"/>
            </w14:solidFill>
          </w14:textFill>
        </w:rPr>
        <w:t>Q</w:t>
      </w:r>
    </w:p>
    <w:p>
      <w:pPr>
        <w:pStyle w:val="40"/>
        <w:widowControl w:val="0"/>
        <w:snapToGrid w:val="0"/>
        <w:spacing w:before="0" w:beforeAutospacing="0" w:after="0" w:afterAutospacing="0" w:line="460" w:lineRule="exact"/>
        <w:ind w:firstLine="480" w:firstLineChars="200"/>
        <w:jc w:val="both"/>
        <w:rPr>
          <w:color w:val="000000" w:themeColor="text1"/>
          <w14:textFill>
            <w14:solidFill>
              <w14:schemeClr w14:val="tx1"/>
            </w14:solidFill>
          </w14:textFill>
        </w:rPr>
      </w:pPr>
      <w:r>
        <w:rPr>
          <w:rFonts w:hint="eastAsia"/>
          <w:color w:val="000000" w:themeColor="text1"/>
          <w:kern w:val="2"/>
          <w14:textFill>
            <w14:solidFill>
              <w14:schemeClr w14:val="tx1"/>
            </w14:solidFill>
          </w14:textFill>
        </w:rPr>
        <w:t>甲方：（买方）</w:t>
      </w:r>
      <w:r>
        <w:rPr>
          <w:rFonts w:hint="eastAsia"/>
          <w:color w:val="000000" w:themeColor="text1"/>
          <w:kern w:val="2"/>
          <w:u w:val="single"/>
          <w14:textFill>
            <w14:solidFill>
              <w14:schemeClr w14:val="tx1"/>
            </w14:solidFill>
          </w14:textFill>
        </w:rPr>
        <w:t>盐城工业职业技术学院</w:t>
      </w:r>
    </w:p>
    <w:p>
      <w:pPr>
        <w:pStyle w:val="40"/>
        <w:widowControl w:val="0"/>
        <w:snapToGrid w:val="0"/>
        <w:spacing w:before="0" w:beforeAutospacing="0" w:after="0" w:afterAutospacing="0" w:line="460" w:lineRule="exact"/>
        <w:ind w:firstLine="480" w:firstLineChars="200"/>
        <w:jc w:val="both"/>
        <w:rPr>
          <w:color w:val="000000" w:themeColor="text1"/>
          <w:u w:val="single"/>
          <w14:textFill>
            <w14:solidFill>
              <w14:schemeClr w14:val="tx1"/>
            </w14:solidFill>
          </w14:textFill>
        </w:rPr>
      </w:pPr>
      <w:r>
        <w:rPr>
          <w:rFonts w:hint="eastAsia"/>
          <w:color w:val="000000" w:themeColor="text1"/>
          <w:kern w:val="2"/>
          <w14:textFill>
            <w14:solidFill>
              <w14:schemeClr w14:val="tx1"/>
            </w14:solidFill>
          </w14:textFill>
        </w:rPr>
        <w:t>乙方：（卖方）</w:t>
      </w:r>
    </w:p>
    <w:p>
      <w:pPr>
        <w:spacing w:line="460" w:lineRule="exact"/>
        <w:ind w:firstLine="480" w:firstLineChars="200"/>
        <w:rPr>
          <w:rFonts w:ascii="宋体" w:hAnsi="宋体" w:cs="宋体"/>
          <w:b/>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甲、乙双方根据</w:t>
      </w:r>
      <w:r>
        <w:rPr>
          <w:rFonts w:hint="eastAsia" w:ascii="宋体" w:hAnsi="宋体" w:cs="宋体"/>
          <w:bCs/>
          <w:color w:val="000000" w:themeColor="text1"/>
          <w:sz w:val="24"/>
          <w:u w:val="single"/>
          <w14:textFill>
            <w14:solidFill>
              <w14:schemeClr w14:val="tx1"/>
            </w14:solidFill>
          </w14:textFill>
        </w:rPr>
        <w:t>盐城工业职业技术学院</w:t>
      </w:r>
      <w:r>
        <w:rPr>
          <w:rFonts w:hint="eastAsia" w:ascii="宋体" w:hAnsi="宋体" w:cs="宋体"/>
          <w:bCs/>
          <w:color w:val="000000" w:themeColor="text1"/>
          <w:sz w:val="24"/>
          <w:u w:val="single"/>
          <w:lang w:eastAsia="zh-CN"/>
          <w14:textFill>
            <w14:solidFill>
              <w14:schemeClr w14:val="tx1"/>
            </w14:solidFill>
          </w14:textFill>
        </w:rPr>
        <w:t>2022年省技能大赛耗材采购项目</w:t>
      </w:r>
      <w:r>
        <w:rPr>
          <w:rFonts w:hint="eastAsia" w:ascii="宋体" w:hAnsi="宋体" w:cs="宋体"/>
          <w:color w:val="000000" w:themeColor="text1"/>
          <w:sz w:val="24"/>
          <w:szCs w:val="24"/>
          <w14:textFill>
            <w14:solidFill>
              <w14:schemeClr w14:val="tx1"/>
            </w14:solidFill>
          </w14:textFill>
        </w:rPr>
        <w:t>公开招标的结果，签署本合同。</w:t>
      </w:r>
    </w:p>
    <w:p>
      <w:pPr>
        <w:pStyle w:val="40"/>
        <w:widowControl w:val="0"/>
        <w:snapToGrid w:val="0"/>
        <w:spacing w:before="0" w:beforeAutospacing="0" w:after="0" w:afterAutospacing="0" w:line="460" w:lineRule="exact"/>
        <w:ind w:firstLine="482" w:firstLineChars="200"/>
        <w:jc w:val="both"/>
        <w:rPr>
          <w:b/>
          <w:color w:val="000000" w:themeColor="text1"/>
          <w14:textFill>
            <w14:solidFill>
              <w14:schemeClr w14:val="tx1"/>
            </w14:solidFill>
          </w14:textFill>
        </w:rPr>
      </w:pPr>
      <w:r>
        <w:rPr>
          <w:rFonts w:hint="eastAsia"/>
          <w:b/>
          <w:color w:val="000000" w:themeColor="text1"/>
          <w:kern w:val="2"/>
          <w14:textFill>
            <w14:solidFill>
              <w14:schemeClr w14:val="tx1"/>
            </w14:solidFill>
          </w14:textFill>
        </w:rPr>
        <w:t>一、项目内容</w:t>
      </w:r>
    </w:p>
    <w:p>
      <w:pPr>
        <w:pStyle w:val="40"/>
        <w:widowControl w:val="0"/>
        <w:snapToGrid w:val="0"/>
        <w:spacing w:before="0" w:beforeAutospacing="0" w:after="0" w:afterAutospacing="0" w:line="460" w:lineRule="exact"/>
        <w:ind w:firstLine="480" w:firstLineChars="200"/>
        <w:jc w:val="both"/>
        <w:rPr>
          <w:color w:val="000000" w:themeColor="text1"/>
          <w14:textFill>
            <w14:solidFill>
              <w14:schemeClr w14:val="tx1"/>
            </w14:solidFill>
          </w14:textFill>
        </w:rPr>
      </w:pPr>
      <w:r>
        <w:rPr>
          <w:rFonts w:hint="eastAsia"/>
          <w:color w:val="000000" w:themeColor="text1"/>
          <w:kern w:val="2"/>
          <w14:textFill>
            <w14:solidFill>
              <w14:schemeClr w14:val="tx1"/>
            </w14:solidFill>
          </w14:textFill>
        </w:rPr>
        <w:t>1.1 项目名称：</w:t>
      </w:r>
      <w:r>
        <w:rPr>
          <w:rFonts w:hint="eastAsia"/>
          <w:bCs/>
          <w:color w:val="000000" w:themeColor="text1"/>
          <w:u w:val="single"/>
          <w14:textFill>
            <w14:solidFill>
              <w14:schemeClr w14:val="tx1"/>
            </w14:solidFill>
          </w14:textFill>
        </w:rPr>
        <w:t>盐城工业职业技术学院</w:t>
      </w:r>
      <w:r>
        <w:rPr>
          <w:rFonts w:hint="eastAsia"/>
          <w:bCs/>
          <w:color w:val="000000" w:themeColor="text1"/>
          <w:u w:val="single"/>
          <w:lang w:eastAsia="zh-CN"/>
          <w14:textFill>
            <w14:solidFill>
              <w14:schemeClr w14:val="tx1"/>
            </w14:solidFill>
          </w14:textFill>
        </w:rPr>
        <w:t>2022年省技能大赛耗材采购项目</w:t>
      </w:r>
      <w:r>
        <w:rPr>
          <w:rFonts w:hint="eastAsia"/>
          <w:color w:val="000000" w:themeColor="text1"/>
          <w:kern w:val="2"/>
          <w:u w:val="single"/>
          <w14:textFill>
            <w14:solidFill>
              <w14:schemeClr w14:val="tx1"/>
            </w14:solidFill>
          </w14:textFill>
        </w:rPr>
        <w:t>。</w:t>
      </w:r>
    </w:p>
    <w:p>
      <w:pPr>
        <w:pStyle w:val="40"/>
        <w:widowControl w:val="0"/>
        <w:snapToGrid w:val="0"/>
        <w:spacing w:before="0" w:beforeAutospacing="0" w:after="0" w:afterAutospacing="0" w:line="460" w:lineRule="exact"/>
        <w:ind w:firstLine="480" w:firstLineChars="200"/>
        <w:jc w:val="both"/>
        <w:rPr>
          <w:color w:val="000000" w:themeColor="text1"/>
          <w14:textFill>
            <w14:solidFill>
              <w14:schemeClr w14:val="tx1"/>
            </w14:solidFill>
          </w14:textFill>
        </w:rPr>
      </w:pPr>
      <w:r>
        <w:rPr>
          <w:rFonts w:hint="eastAsia"/>
          <w:color w:val="000000" w:themeColor="text1"/>
          <w:kern w:val="2"/>
          <w14:textFill>
            <w14:solidFill>
              <w14:schemeClr w14:val="tx1"/>
            </w14:solidFill>
          </w14:textFill>
        </w:rPr>
        <w:t>1.2 型号规格及其他要求：</w:t>
      </w:r>
      <w:r>
        <w:rPr>
          <w:rFonts w:hint="eastAsia"/>
          <w:color w:val="000000" w:themeColor="text1"/>
          <w:kern w:val="2"/>
          <w:u w:val="single"/>
          <w14:textFill>
            <w14:solidFill>
              <w14:schemeClr w14:val="tx1"/>
            </w14:solidFill>
          </w14:textFill>
        </w:rPr>
        <w:t>详按项目技术需求</w:t>
      </w:r>
      <w:r>
        <w:rPr>
          <w:rFonts w:hint="eastAsia"/>
          <w:color w:val="000000" w:themeColor="text1"/>
          <w:kern w:val="2"/>
          <w14:textFill>
            <w14:solidFill>
              <w14:schemeClr w14:val="tx1"/>
            </w14:solidFill>
          </w14:textFill>
        </w:rPr>
        <w:t>。</w:t>
      </w:r>
    </w:p>
    <w:p>
      <w:pPr>
        <w:pStyle w:val="40"/>
        <w:widowControl w:val="0"/>
        <w:snapToGrid w:val="0"/>
        <w:spacing w:before="0" w:beforeAutospacing="0" w:after="0" w:afterAutospacing="0" w:line="460" w:lineRule="exact"/>
        <w:ind w:firstLine="480" w:firstLineChars="200"/>
        <w:jc w:val="both"/>
        <w:rPr>
          <w:color w:val="000000" w:themeColor="text1"/>
          <w14:textFill>
            <w14:solidFill>
              <w14:schemeClr w14:val="tx1"/>
            </w14:solidFill>
          </w14:textFill>
        </w:rPr>
      </w:pPr>
      <w:r>
        <w:rPr>
          <w:rFonts w:hint="eastAsia"/>
          <w:color w:val="000000" w:themeColor="text1"/>
          <w:kern w:val="2"/>
          <w14:textFill>
            <w14:solidFill>
              <w14:schemeClr w14:val="tx1"/>
            </w14:solidFill>
          </w14:textFill>
        </w:rPr>
        <w:t>1.3 数量（单位）：</w:t>
      </w:r>
      <w:r>
        <w:rPr>
          <w:rFonts w:hint="eastAsia"/>
          <w:color w:val="000000" w:themeColor="text1"/>
          <w:kern w:val="2"/>
          <w:u w:val="single"/>
          <w14:textFill>
            <w14:solidFill>
              <w14:schemeClr w14:val="tx1"/>
            </w14:solidFill>
          </w14:textFill>
        </w:rPr>
        <w:t>详按项目技术需求</w:t>
      </w:r>
      <w:r>
        <w:rPr>
          <w:rFonts w:hint="eastAsia"/>
          <w:color w:val="000000" w:themeColor="text1"/>
          <w:kern w:val="2"/>
          <w14:textFill>
            <w14:solidFill>
              <w14:schemeClr w14:val="tx1"/>
            </w14:solidFill>
          </w14:textFill>
        </w:rPr>
        <w:t>。</w:t>
      </w:r>
    </w:p>
    <w:p>
      <w:pPr>
        <w:pStyle w:val="40"/>
        <w:widowControl w:val="0"/>
        <w:snapToGrid w:val="0"/>
        <w:spacing w:before="0" w:beforeAutospacing="0" w:after="0" w:afterAutospacing="0" w:line="460" w:lineRule="exact"/>
        <w:ind w:firstLine="482" w:firstLineChars="200"/>
        <w:jc w:val="both"/>
        <w:rPr>
          <w:b/>
          <w:color w:val="000000" w:themeColor="text1"/>
          <w14:textFill>
            <w14:solidFill>
              <w14:schemeClr w14:val="tx1"/>
            </w14:solidFill>
          </w14:textFill>
        </w:rPr>
      </w:pPr>
      <w:r>
        <w:rPr>
          <w:rFonts w:hint="eastAsia"/>
          <w:b/>
          <w:color w:val="000000" w:themeColor="text1"/>
          <w:kern w:val="2"/>
          <w14:textFill>
            <w14:solidFill>
              <w14:schemeClr w14:val="tx1"/>
            </w14:solidFill>
          </w14:textFill>
        </w:rPr>
        <w:t>二、合同金额</w:t>
      </w:r>
    </w:p>
    <w:p>
      <w:pPr>
        <w:pStyle w:val="40"/>
        <w:widowControl w:val="0"/>
        <w:snapToGrid w:val="0"/>
        <w:spacing w:before="0" w:beforeAutospacing="0" w:after="0" w:afterAutospacing="0" w:line="460" w:lineRule="exact"/>
        <w:ind w:firstLine="480" w:firstLineChars="200"/>
        <w:jc w:val="both"/>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2.1 本合同金额为（大写）：（小写）：______元人民币或其他币种。</w:t>
      </w:r>
    </w:p>
    <w:p>
      <w:pPr>
        <w:spacing w:line="360" w:lineRule="auto"/>
        <w:ind w:firstLine="48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2.2 本合同金额按</w:t>
      </w:r>
      <w:r>
        <w:rPr>
          <w:rFonts w:hint="eastAsia" w:ascii="宋体" w:hAnsi="宋体" w:cs="宋体"/>
          <w:color w:val="000000" w:themeColor="text1"/>
          <w:sz w:val="24"/>
          <w:szCs w:val="24"/>
          <w:lang w:val="en-US" w:eastAsia="zh-CN"/>
          <w14:textFill>
            <w14:solidFill>
              <w14:schemeClr w14:val="tx1"/>
            </w14:solidFill>
          </w14:textFill>
        </w:rPr>
        <w:t>实</w:t>
      </w:r>
      <w:r>
        <w:rPr>
          <w:rFonts w:hint="eastAsia" w:ascii="宋体" w:hAnsi="宋体" w:cs="宋体"/>
          <w:color w:val="000000" w:themeColor="text1"/>
          <w:sz w:val="24"/>
          <w:szCs w:val="24"/>
          <w14:textFill>
            <w14:solidFill>
              <w14:schemeClr w14:val="tx1"/>
            </w14:solidFill>
          </w14:textFill>
        </w:rPr>
        <w:t>结算。</w:t>
      </w:r>
    </w:p>
    <w:p>
      <w:pPr>
        <w:pStyle w:val="40"/>
        <w:widowControl w:val="0"/>
        <w:snapToGrid w:val="0"/>
        <w:spacing w:before="0" w:beforeAutospacing="0" w:after="0" w:afterAutospacing="0" w:line="460" w:lineRule="exact"/>
        <w:ind w:firstLine="482" w:firstLineChars="200"/>
        <w:jc w:val="both"/>
        <w:rPr>
          <w:b/>
          <w:color w:val="000000" w:themeColor="text1"/>
          <w14:textFill>
            <w14:solidFill>
              <w14:schemeClr w14:val="tx1"/>
            </w14:solidFill>
          </w14:textFill>
        </w:rPr>
      </w:pPr>
      <w:r>
        <w:rPr>
          <w:rFonts w:hint="eastAsia"/>
          <w:b/>
          <w:color w:val="000000" w:themeColor="text1"/>
          <w:kern w:val="2"/>
          <w14:textFill>
            <w14:solidFill>
              <w14:schemeClr w14:val="tx1"/>
            </w14:solidFill>
          </w14:textFill>
        </w:rPr>
        <w:t>三、技术资料</w:t>
      </w:r>
    </w:p>
    <w:p>
      <w:pPr>
        <w:spacing w:line="460" w:lineRule="exact"/>
        <w:ind w:firstLine="480" w:firstLineChars="20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3.1乙方应按招标文件规定的时间向甲方提供使用货物和服务的有关技术资料。</w:t>
      </w:r>
    </w:p>
    <w:p>
      <w:pPr>
        <w:spacing w:line="460" w:lineRule="exact"/>
        <w:ind w:firstLine="480" w:firstLineChars="20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3.2 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pStyle w:val="40"/>
        <w:widowControl w:val="0"/>
        <w:snapToGrid w:val="0"/>
        <w:spacing w:before="0" w:beforeAutospacing="0" w:after="0" w:afterAutospacing="0" w:line="460" w:lineRule="exact"/>
        <w:ind w:firstLine="482" w:firstLineChars="200"/>
        <w:jc w:val="both"/>
        <w:rPr>
          <w:b/>
          <w:color w:val="000000" w:themeColor="text1"/>
          <w14:textFill>
            <w14:solidFill>
              <w14:schemeClr w14:val="tx1"/>
            </w14:solidFill>
          </w14:textFill>
        </w:rPr>
      </w:pPr>
      <w:r>
        <w:rPr>
          <w:rFonts w:hint="eastAsia"/>
          <w:b/>
          <w:color w:val="000000" w:themeColor="text1"/>
          <w:kern w:val="2"/>
          <w14:textFill>
            <w14:solidFill>
              <w14:schemeClr w14:val="tx1"/>
            </w14:solidFill>
          </w14:textFill>
        </w:rPr>
        <w:t>四、知识产权</w:t>
      </w:r>
    </w:p>
    <w:p>
      <w:pPr>
        <w:spacing w:line="44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4.1乙</w:t>
      </w:r>
      <w:r>
        <w:rPr>
          <w:rFonts w:hint="eastAsia" w:ascii="宋体" w:hAnsi="宋体" w:cs="宋体"/>
          <w:color w:val="000000" w:themeColor="text1"/>
          <w:sz w:val="24"/>
          <w14:textFill>
            <w14:solidFill>
              <w14:schemeClr w14:val="tx1"/>
            </w14:solidFill>
          </w14:textFill>
        </w:rPr>
        <w:t>方应保证甲方在使用、接受本合同服务或其任何一部分时不受第三方提出侵犯其专利权、版权、商标权和工业设计权等知识产权的起诉。一旦出现侵权，由乙方负全部责任。</w:t>
      </w:r>
    </w:p>
    <w:p>
      <w:pPr>
        <w:spacing w:line="44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4.2 乙方应积极维护甲方合法权益，除指定撰写代理人，不以任何形式向任何第三方泄露甲方任何技术资料，否则乙方将承担因泄密给甲方造成的损失。</w:t>
      </w:r>
    </w:p>
    <w:p>
      <w:pPr>
        <w:pStyle w:val="40"/>
        <w:widowControl w:val="0"/>
        <w:snapToGrid w:val="0"/>
        <w:spacing w:before="0" w:beforeAutospacing="0" w:after="0" w:afterAutospacing="0" w:line="460" w:lineRule="exact"/>
        <w:ind w:firstLine="482" w:firstLineChars="200"/>
        <w:jc w:val="both"/>
        <w:rPr>
          <w:color w:val="000000" w:themeColor="text1"/>
          <w:u w:val="single"/>
          <w14:textFill>
            <w14:solidFill>
              <w14:schemeClr w14:val="tx1"/>
            </w14:solidFill>
          </w14:textFill>
        </w:rPr>
      </w:pPr>
      <w:r>
        <w:rPr>
          <w:rFonts w:hint="eastAsia"/>
          <w:b/>
          <w:color w:val="000000" w:themeColor="text1"/>
          <w:kern w:val="2"/>
          <w14:textFill>
            <w14:solidFill>
              <w14:schemeClr w14:val="tx1"/>
            </w14:solidFill>
          </w14:textFill>
        </w:rPr>
        <w:t>五、产权担保</w:t>
      </w:r>
    </w:p>
    <w:p>
      <w:pPr>
        <w:pStyle w:val="40"/>
        <w:widowControl w:val="0"/>
        <w:snapToGrid w:val="0"/>
        <w:spacing w:before="0" w:beforeAutospacing="0" w:after="0" w:afterAutospacing="0" w:line="460" w:lineRule="exact"/>
        <w:ind w:firstLine="480" w:firstLineChars="200"/>
        <w:jc w:val="both"/>
        <w:rPr>
          <w:color w:val="000000" w:themeColor="text1"/>
          <w:u w:val="single"/>
          <w14:textFill>
            <w14:solidFill>
              <w14:schemeClr w14:val="tx1"/>
            </w14:solidFill>
          </w14:textFill>
        </w:rPr>
      </w:pPr>
      <w:r>
        <w:rPr>
          <w:rFonts w:hint="eastAsia"/>
          <w:color w:val="000000" w:themeColor="text1"/>
          <w:kern w:val="2"/>
          <w14:textFill>
            <w14:solidFill>
              <w14:schemeClr w14:val="tx1"/>
            </w14:solidFill>
          </w14:textFill>
        </w:rPr>
        <w:t>5.1乙方保证所交付的货物</w:t>
      </w:r>
      <w:r>
        <w:rPr>
          <w:rFonts w:hint="eastAsia"/>
          <w:bCs/>
          <w:color w:val="000000" w:themeColor="text1"/>
          <w:kern w:val="2"/>
          <w:szCs w:val="21"/>
          <w14:textFill>
            <w14:solidFill>
              <w14:schemeClr w14:val="tx1"/>
            </w14:solidFill>
          </w14:textFill>
        </w:rPr>
        <w:t>和服务</w:t>
      </w:r>
      <w:r>
        <w:rPr>
          <w:rFonts w:hint="eastAsia"/>
          <w:color w:val="000000" w:themeColor="text1"/>
          <w:kern w:val="2"/>
          <w14:textFill>
            <w14:solidFill>
              <w14:schemeClr w14:val="tx1"/>
            </w14:solidFill>
          </w14:textFill>
        </w:rPr>
        <w:t>的所有权完全属于乙方且无任何抵押、查封等产权瑕疵。</w:t>
      </w:r>
    </w:p>
    <w:p>
      <w:pPr>
        <w:pStyle w:val="40"/>
        <w:widowControl w:val="0"/>
        <w:snapToGrid w:val="0"/>
        <w:spacing w:before="0" w:beforeAutospacing="0" w:after="0" w:afterAutospacing="0" w:line="460" w:lineRule="exact"/>
        <w:ind w:firstLine="482" w:firstLineChars="200"/>
        <w:jc w:val="both"/>
        <w:rPr>
          <w:b/>
          <w:color w:val="000000" w:themeColor="text1"/>
          <w14:textFill>
            <w14:solidFill>
              <w14:schemeClr w14:val="tx1"/>
            </w14:solidFill>
          </w14:textFill>
        </w:rPr>
      </w:pPr>
      <w:r>
        <w:rPr>
          <w:rFonts w:hint="eastAsia"/>
          <w:b/>
          <w:color w:val="000000" w:themeColor="text1"/>
          <w:kern w:val="2"/>
          <w14:textFill>
            <w14:solidFill>
              <w14:schemeClr w14:val="tx1"/>
            </w14:solidFill>
          </w14:textFill>
        </w:rPr>
        <w:t>六、履约保证金</w:t>
      </w:r>
    </w:p>
    <w:p>
      <w:pPr>
        <w:pStyle w:val="40"/>
        <w:widowControl w:val="0"/>
        <w:snapToGrid w:val="0"/>
        <w:spacing w:before="0" w:beforeAutospacing="0" w:after="0" w:afterAutospacing="0" w:line="460" w:lineRule="exact"/>
        <w:ind w:firstLine="480" w:firstLineChars="200"/>
        <w:jc w:val="both"/>
        <w:rPr>
          <w:color w:val="000000" w:themeColor="text1"/>
          <w14:textFill>
            <w14:solidFill>
              <w14:schemeClr w14:val="tx1"/>
            </w14:solidFill>
          </w14:textFill>
        </w:rPr>
      </w:pPr>
      <w:r>
        <w:rPr>
          <w:rFonts w:hint="eastAsia"/>
          <w:color w:val="000000" w:themeColor="text1"/>
          <w:kern w:val="2"/>
          <w14:textFill>
            <w14:solidFill>
              <w14:schemeClr w14:val="tx1"/>
            </w14:solidFill>
          </w14:textFill>
        </w:rPr>
        <w:t>6.1乙方交纳人民币______元作为本合同的履约保证金（合同金额的5%）。</w:t>
      </w:r>
    </w:p>
    <w:p>
      <w:pPr>
        <w:snapToGrid w:val="0"/>
        <w:spacing w:line="460" w:lineRule="exact"/>
        <w:ind w:firstLine="482" w:firstLineChars="200"/>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七、转包或分包</w:t>
      </w:r>
    </w:p>
    <w:p>
      <w:pPr>
        <w:snapToGrid w:val="0"/>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7.1本合同范围的货物</w:t>
      </w:r>
      <w:r>
        <w:rPr>
          <w:rFonts w:hint="eastAsia" w:ascii="宋体" w:hAnsi="宋体" w:cs="宋体"/>
          <w:bCs/>
          <w:color w:val="000000" w:themeColor="text1"/>
          <w:sz w:val="24"/>
          <w14:textFill>
            <w14:solidFill>
              <w14:schemeClr w14:val="tx1"/>
            </w14:solidFill>
          </w14:textFill>
        </w:rPr>
        <w:t>和服务</w:t>
      </w:r>
      <w:r>
        <w:rPr>
          <w:rFonts w:hint="eastAsia" w:ascii="宋体" w:hAnsi="宋体" w:cs="宋体"/>
          <w:color w:val="000000" w:themeColor="text1"/>
          <w:sz w:val="24"/>
          <w:szCs w:val="24"/>
          <w14:textFill>
            <w14:solidFill>
              <w14:schemeClr w14:val="tx1"/>
            </w14:solidFill>
          </w14:textFill>
        </w:rPr>
        <w:t>，应由乙方直接供应，不得转让他人供应；</w:t>
      </w:r>
    </w:p>
    <w:p>
      <w:pPr>
        <w:snapToGrid w:val="0"/>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7.2 除非得到甲方的书面同意，乙方不得部分分包给他人供应。</w:t>
      </w:r>
    </w:p>
    <w:p>
      <w:pPr>
        <w:pStyle w:val="24"/>
        <w:snapToGrid w:val="0"/>
        <w:spacing w:line="440" w:lineRule="exact"/>
        <w:ind w:firstLine="480" w:firstLineChars="200"/>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7.3如有转让和未经甲方同意的分包行为，甲方有权给予终止合同。</w:t>
      </w:r>
    </w:p>
    <w:p>
      <w:pPr>
        <w:pStyle w:val="40"/>
        <w:widowControl w:val="0"/>
        <w:adjustRightInd w:val="0"/>
        <w:snapToGrid w:val="0"/>
        <w:spacing w:before="0" w:beforeAutospacing="0" w:after="0" w:afterAutospacing="0" w:line="360" w:lineRule="auto"/>
        <w:ind w:firstLine="482" w:firstLineChars="200"/>
        <w:jc w:val="both"/>
        <w:rPr>
          <w:rFonts w:hint="eastAsia"/>
          <w:b/>
          <w:color w:val="000000" w:themeColor="text1"/>
          <w:kern w:val="2"/>
          <w14:textFill>
            <w14:solidFill>
              <w14:schemeClr w14:val="tx1"/>
            </w14:solidFill>
          </w14:textFill>
        </w:rPr>
      </w:pPr>
      <w:r>
        <w:rPr>
          <w:rFonts w:hint="eastAsia"/>
          <w:b/>
          <w:color w:val="000000" w:themeColor="text1"/>
          <w:kern w:val="2"/>
          <w14:textFill>
            <w14:solidFill>
              <w14:schemeClr w14:val="tx1"/>
            </w14:solidFill>
          </w14:textFill>
        </w:rPr>
        <w:t>八、质保期</w:t>
      </w:r>
    </w:p>
    <w:p>
      <w:pPr>
        <w:pStyle w:val="40"/>
        <w:widowControl w:val="0"/>
        <w:adjustRightInd w:val="0"/>
        <w:snapToGrid w:val="0"/>
        <w:spacing w:before="0" w:beforeAutospacing="0" w:after="0" w:afterAutospacing="0" w:line="360" w:lineRule="auto"/>
        <w:ind w:firstLine="480" w:firstLineChars="200"/>
        <w:jc w:val="both"/>
        <w:rPr>
          <w:rFonts w:hint="eastAsia"/>
          <w:b w:val="0"/>
          <w:bCs/>
          <w:color w:val="000000" w:themeColor="text1"/>
          <w:kern w:val="2"/>
          <w:lang w:val="zh-CN"/>
          <w14:textFill>
            <w14:solidFill>
              <w14:schemeClr w14:val="tx1"/>
            </w14:solidFill>
          </w14:textFill>
        </w:rPr>
      </w:pPr>
      <w:r>
        <w:rPr>
          <w:rFonts w:hint="eastAsia"/>
          <w:b w:val="0"/>
          <w:bCs/>
          <w:color w:val="000000" w:themeColor="text1"/>
          <w:kern w:val="2"/>
          <w:lang w:val="zh-CN"/>
          <w14:textFill>
            <w14:solidFill>
              <w14:schemeClr w14:val="tx1"/>
            </w14:solidFill>
          </w14:textFill>
        </w:rPr>
        <w:t xml:space="preserve">8.1 质保期 </w:t>
      </w:r>
      <w:r>
        <w:rPr>
          <w:rFonts w:hint="eastAsia"/>
          <w:b w:val="0"/>
          <w:bCs/>
          <w:color w:val="000000" w:themeColor="text1"/>
          <w:kern w:val="2"/>
          <w:lang w:val="en-US" w:eastAsia="zh-CN"/>
          <w14:textFill>
            <w14:solidFill>
              <w14:schemeClr w14:val="tx1"/>
            </w14:solidFill>
          </w14:textFill>
        </w:rPr>
        <w:t>/</w:t>
      </w:r>
      <w:r>
        <w:rPr>
          <w:rFonts w:hint="eastAsia"/>
          <w:b w:val="0"/>
          <w:bCs/>
          <w:color w:val="000000" w:themeColor="text1"/>
          <w:kern w:val="2"/>
          <w:lang w:val="zh-CN"/>
          <w14:textFill>
            <w14:solidFill>
              <w14:schemeClr w14:val="tx1"/>
            </w14:solidFill>
          </w14:textFill>
        </w:rPr>
        <w:t xml:space="preserve"> 年，自交货验收合格之日起计。</w:t>
      </w:r>
    </w:p>
    <w:p>
      <w:pPr>
        <w:pStyle w:val="40"/>
        <w:widowControl w:val="0"/>
        <w:adjustRightInd w:val="0"/>
        <w:snapToGrid w:val="0"/>
        <w:spacing w:before="0" w:beforeAutospacing="0" w:after="0" w:afterAutospacing="0" w:line="360" w:lineRule="auto"/>
        <w:ind w:firstLine="482" w:firstLineChars="200"/>
        <w:jc w:val="both"/>
        <w:rPr>
          <w:b/>
          <w:color w:val="000000" w:themeColor="text1"/>
          <w14:textFill>
            <w14:solidFill>
              <w14:schemeClr w14:val="tx1"/>
            </w14:solidFill>
          </w14:textFill>
        </w:rPr>
      </w:pPr>
      <w:r>
        <w:rPr>
          <w:rFonts w:hint="eastAsia"/>
          <w:b/>
          <w:color w:val="000000" w:themeColor="text1"/>
          <w:kern w:val="2"/>
          <w14:textFill>
            <w14:solidFill>
              <w14:schemeClr w14:val="tx1"/>
            </w14:solidFill>
          </w14:textFill>
        </w:rPr>
        <w:t>九、交货期、交货方式及交货地点</w:t>
      </w:r>
    </w:p>
    <w:p>
      <w:pPr>
        <w:pStyle w:val="105"/>
        <w:tabs>
          <w:tab w:val="left" w:pos="0"/>
        </w:tabs>
        <w:adjustRightInd w:val="0"/>
        <w:snapToGrid w:val="0"/>
        <w:spacing w:line="360" w:lineRule="auto"/>
        <w:ind w:left="0" w:leftChars="0" w:firstLine="480" w:firstLineChars="200"/>
        <w:rPr>
          <w:bCs/>
          <w:color w:val="000000" w:themeColor="text1"/>
          <w14:textFill>
            <w14:solidFill>
              <w14:schemeClr w14:val="tx1"/>
            </w14:solidFill>
          </w14:textFill>
        </w:rPr>
      </w:pPr>
      <w:r>
        <w:rPr>
          <w:rFonts w:hint="eastAsia"/>
          <w:bCs/>
          <w:color w:val="000000" w:themeColor="text1"/>
          <w:kern w:val="2"/>
          <w14:textFill>
            <w14:solidFill>
              <w14:schemeClr w14:val="tx1"/>
            </w14:solidFill>
          </w14:textFill>
        </w:rPr>
        <w:t>9.1 交货期：</w:t>
      </w:r>
      <w:r>
        <w:rPr>
          <w:rStyle w:val="114"/>
          <w:rFonts w:hint="eastAsia" w:ascii="宋体" w:hAnsi="宋体" w:cs="宋体"/>
          <w:color w:val="000000" w:themeColor="text1"/>
          <w:sz w:val="24"/>
          <w:szCs w:val="24"/>
          <w:u w:val="single"/>
          <w14:textFill>
            <w14:solidFill>
              <w14:schemeClr w14:val="tx1"/>
            </w14:solidFill>
          </w14:textFill>
        </w:rPr>
        <w:t>合同签订</w:t>
      </w:r>
      <w:r>
        <w:rPr>
          <w:rStyle w:val="114"/>
          <w:rFonts w:hint="eastAsia" w:ascii="宋体" w:hAnsi="宋体" w:cs="宋体"/>
          <w:color w:val="000000" w:themeColor="text1"/>
          <w:sz w:val="24"/>
          <w:szCs w:val="24"/>
          <w:u w:val="single"/>
          <w:lang w:val="en-US" w:eastAsia="zh-CN"/>
          <w14:textFill>
            <w14:solidFill>
              <w14:schemeClr w14:val="tx1"/>
            </w14:solidFill>
          </w14:textFill>
        </w:rPr>
        <w:t>后</w:t>
      </w:r>
      <w:r>
        <w:rPr>
          <w:rStyle w:val="114"/>
          <w:rFonts w:hint="eastAsia" w:ascii="宋体" w:hAnsi="宋体" w:cs="宋体"/>
          <w:color w:val="000000" w:themeColor="text1"/>
          <w:sz w:val="24"/>
          <w:szCs w:val="24"/>
          <w:u w:val="single"/>
          <w:lang w:eastAsia="zh-CN"/>
          <w14:textFill>
            <w14:solidFill>
              <w14:schemeClr w14:val="tx1"/>
            </w14:solidFill>
          </w14:textFill>
        </w:rPr>
        <w:t>，</w:t>
      </w:r>
      <w:r>
        <w:rPr>
          <w:rFonts w:hint="eastAsia" w:ascii="宋体" w:hAnsi="宋体"/>
          <w:color w:val="000000" w:themeColor="text1"/>
          <w:sz w:val="24"/>
          <w:szCs w:val="24"/>
          <w:u w:val="single"/>
          <w14:textFill>
            <w14:solidFill>
              <w14:schemeClr w14:val="tx1"/>
            </w14:solidFill>
          </w14:textFill>
        </w:rPr>
        <w:t>自甲方通知供货之日起的</w:t>
      </w:r>
      <w:r>
        <w:rPr>
          <w:rFonts w:hint="eastAsia" w:ascii="宋体" w:hAnsi="宋体"/>
          <w:color w:val="000000" w:themeColor="text1"/>
          <w:sz w:val="24"/>
          <w:szCs w:val="24"/>
          <w:u w:val="single"/>
          <w:lang w:val="en-US" w:eastAsia="zh-CN"/>
          <w14:textFill>
            <w14:solidFill>
              <w14:schemeClr w14:val="tx1"/>
            </w14:solidFill>
          </w14:textFill>
        </w:rPr>
        <w:t>5</w:t>
      </w:r>
      <w:r>
        <w:rPr>
          <w:rFonts w:hint="eastAsia" w:ascii="宋体" w:hAnsi="宋体"/>
          <w:color w:val="000000" w:themeColor="text1"/>
          <w:sz w:val="24"/>
          <w:szCs w:val="24"/>
          <w:u w:val="single"/>
          <w14:textFill>
            <w14:solidFill>
              <w14:schemeClr w14:val="tx1"/>
            </w14:solidFill>
          </w14:textFill>
        </w:rPr>
        <w:t>日历天内完成供货及安装</w:t>
      </w:r>
      <w:r>
        <w:rPr>
          <w:rFonts w:hint="eastAsia" w:ascii="宋体" w:hAnsi="宋体"/>
          <w:bCs/>
          <w:color w:val="000000" w:themeColor="text1"/>
          <w:sz w:val="24"/>
          <w:szCs w:val="24"/>
          <w:u w:val="single"/>
          <w:lang w:val="zh-CN"/>
          <w14:textFill>
            <w14:solidFill>
              <w14:schemeClr w14:val="tx1"/>
            </w14:solidFill>
          </w14:textFill>
        </w:rPr>
        <w:t>并通过验收。</w:t>
      </w:r>
      <w:r>
        <w:rPr>
          <w:rFonts w:hint="eastAsia"/>
          <w:color w:val="000000" w:themeColor="text1"/>
          <w:kern w:val="2"/>
          <w:u w:val="single"/>
          <w14:textFill>
            <w14:solidFill>
              <w14:schemeClr w14:val="tx1"/>
            </w14:solidFill>
          </w14:textFill>
        </w:rPr>
        <w:t>（如甲方需要延时交付，可另行约定时间）</w:t>
      </w:r>
      <w:r>
        <w:rPr>
          <w:rFonts w:hint="eastAsia"/>
          <w:color w:val="000000" w:themeColor="text1"/>
          <w:kern w:val="2"/>
          <w:u w:val="single"/>
          <w:lang w:eastAsia="zh-CN"/>
          <w14:textFill>
            <w14:solidFill>
              <w14:schemeClr w14:val="tx1"/>
            </w14:solidFill>
          </w14:textFill>
        </w:rPr>
        <w:t>。</w:t>
      </w:r>
    </w:p>
    <w:p>
      <w:pPr>
        <w:pStyle w:val="40"/>
        <w:widowControl w:val="0"/>
        <w:adjustRightInd w:val="0"/>
        <w:snapToGrid w:val="0"/>
        <w:spacing w:before="0" w:beforeAutospacing="0" w:after="0" w:afterAutospacing="0" w:line="360" w:lineRule="auto"/>
        <w:ind w:firstLine="480" w:firstLineChars="200"/>
        <w:jc w:val="both"/>
        <w:rPr>
          <w:bCs/>
          <w:color w:val="000000" w:themeColor="text1"/>
          <w14:textFill>
            <w14:solidFill>
              <w14:schemeClr w14:val="tx1"/>
            </w14:solidFill>
          </w14:textFill>
        </w:rPr>
      </w:pPr>
      <w:r>
        <w:rPr>
          <w:rFonts w:hint="eastAsia"/>
          <w:bCs/>
          <w:color w:val="000000" w:themeColor="text1"/>
          <w:kern w:val="2"/>
          <w14:textFill>
            <w14:solidFill>
              <w14:schemeClr w14:val="tx1"/>
            </w14:solidFill>
          </w14:textFill>
        </w:rPr>
        <w:t>9.2 交货方式：</w:t>
      </w:r>
      <w:r>
        <w:rPr>
          <w:rFonts w:hint="eastAsia"/>
          <w:color w:val="000000" w:themeColor="text1"/>
          <w:kern w:val="2"/>
          <w:u w:val="single"/>
          <w:lang w:eastAsia="zh-TW"/>
          <w14:textFill>
            <w14:solidFill>
              <w14:schemeClr w14:val="tx1"/>
            </w14:solidFill>
          </w14:textFill>
        </w:rPr>
        <w:t>送货上门、安装与调试</w:t>
      </w:r>
      <w:r>
        <w:rPr>
          <w:rFonts w:hint="eastAsia"/>
          <w:color w:val="000000" w:themeColor="text1"/>
          <w:kern w:val="2"/>
          <w:u w:val="single"/>
          <w14:textFill>
            <w14:solidFill>
              <w14:schemeClr w14:val="tx1"/>
            </w14:solidFill>
          </w14:textFill>
        </w:rPr>
        <w:t>。</w:t>
      </w:r>
    </w:p>
    <w:p>
      <w:pPr>
        <w:pStyle w:val="40"/>
        <w:widowControl w:val="0"/>
        <w:adjustRightInd w:val="0"/>
        <w:snapToGrid w:val="0"/>
        <w:spacing w:before="0" w:beforeAutospacing="0" w:after="0" w:afterAutospacing="0" w:line="360" w:lineRule="auto"/>
        <w:ind w:firstLine="480" w:firstLineChars="200"/>
        <w:jc w:val="both"/>
        <w:rPr>
          <w:color w:val="000000" w:themeColor="text1"/>
          <w:u w:val="single"/>
          <w14:textFill>
            <w14:solidFill>
              <w14:schemeClr w14:val="tx1"/>
            </w14:solidFill>
          </w14:textFill>
        </w:rPr>
      </w:pPr>
      <w:r>
        <w:rPr>
          <w:rFonts w:hint="eastAsia"/>
          <w:bCs/>
          <w:color w:val="000000" w:themeColor="text1"/>
          <w:kern w:val="2"/>
          <w14:textFill>
            <w14:solidFill>
              <w14:schemeClr w14:val="tx1"/>
            </w14:solidFill>
          </w14:textFill>
        </w:rPr>
        <w:t>9.3 交货地点：</w:t>
      </w:r>
      <w:r>
        <w:rPr>
          <w:rFonts w:hint="eastAsia"/>
          <w:color w:val="000000" w:themeColor="text1"/>
          <w:kern w:val="2"/>
          <w:u w:val="single"/>
          <w:lang w:eastAsia="zh-TW"/>
          <w14:textFill>
            <w14:solidFill>
              <w14:schemeClr w14:val="tx1"/>
            </w14:solidFill>
          </w14:textFill>
        </w:rPr>
        <w:t>甲方指定地点。</w:t>
      </w:r>
    </w:p>
    <w:p>
      <w:pPr>
        <w:pStyle w:val="40"/>
        <w:widowControl w:val="0"/>
        <w:adjustRightInd w:val="0"/>
        <w:snapToGrid w:val="0"/>
        <w:spacing w:before="0" w:beforeAutospacing="0" w:after="0" w:afterAutospacing="0" w:line="360" w:lineRule="auto"/>
        <w:ind w:firstLine="482" w:firstLineChars="200"/>
        <w:jc w:val="both"/>
        <w:rPr>
          <w:b/>
          <w:color w:val="000000" w:themeColor="text1"/>
          <w14:textFill>
            <w14:solidFill>
              <w14:schemeClr w14:val="tx1"/>
            </w14:solidFill>
          </w14:textFill>
        </w:rPr>
      </w:pPr>
      <w:r>
        <w:rPr>
          <w:rFonts w:hint="eastAsia"/>
          <w:b/>
          <w:color w:val="000000" w:themeColor="text1"/>
          <w:kern w:val="2"/>
          <w14:textFill>
            <w14:solidFill>
              <w14:schemeClr w14:val="tx1"/>
            </w14:solidFill>
          </w14:textFill>
        </w:rPr>
        <w:t>十、货款支付</w:t>
      </w:r>
    </w:p>
    <w:p>
      <w:pPr>
        <w:autoSpaceDE w:val="0"/>
        <w:autoSpaceDN w:val="0"/>
        <w:adjustRightInd w:val="0"/>
        <w:spacing w:line="440" w:lineRule="exact"/>
        <w:ind w:firstLine="480" w:firstLineChars="200"/>
        <w:rPr>
          <w:rFonts w:ascii="Times New Roman" w:hAnsi="Times New Roman"/>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10.1 付款方式：</w:t>
      </w:r>
      <w:r>
        <w:rPr>
          <w:rFonts w:hint="eastAsia" w:ascii="宋体" w:hAnsi="Times New Roman" w:cs="宋体"/>
          <w:color w:val="000000" w:themeColor="text1"/>
          <w:sz w:val="24"/>
          <w:szCs w:val="24"/>
          <w:lang w:val="en-US" w:eastAsia="zh-CN"/>
          <w14:textFill>
            <w14:solidFill>
              <w14:schemeClr w14:val="tx1"/>
            </w14:solidFill>
          </w14:textFill>
        </w:rPr>
        <w:t>按实结算。</w:t>
      </w:r>
      <w:r>
        <w:rPr>
          <w:rFonts w:hint="eastAsia" w:ascii="宋体" w:hAnsi="Times New Roman" w:cs="宋体"/>
          <w:color w:val="000000" w:themeColor="text1"/>
          <w:sz w:val="24"/>
          <w:szCs w:val="24"/>
          <w:lang w:val="zh-CN"/>
          <w14:textFill>
            <w14:solidFill>
              <w14:schemeClr w14:val="tx1"/>
            </w14:solidFill>
          </w14:textFill>
        </w:rPr>
        <w:t>乙方（供货方）按照招标文件和合同的要求交货，经甲方（采购方）验收合格后，单据齐全，</w:t>
      </w:r>
      <w:r>
        <w:rPr>
          <w:rFonts w:hint="eastAsia" w:ascii="宋体" w:hAnsi="Times New Roman" w:cs="宋体"/>
          <w:color w:val="000000" w:themeColor="text1"/>
          <w:sz w:val="24"/>
          <w:szCs w:val="24"/>
          <w:lang w:val="en-US" w:eastAsia="zh-CN"/>
          <w14:textFill>
            <w14:solidFill>
              <w14:schemeClr w14:val="tx1"/>
            </w14:solidFill>
          </w14:textFill>
        </w:rPr>
        <w:t>按全费用综合单价</w:t>
      </w:r>
      <w:r>
        <w:rPr>
          <w:rFonts w:hint="eastAsia" w:ascii="宋体" w:hAnsi="宋体" w:cs="宋体"/>
          <w:color w:val="000000" w:themeColor="text1"/>
          <w:kern w:val="0"/>
          <w:szCs w:val="21"/>
          <w:highlight w:val="none"/>
          <w:lang w:val="en-US" w:eastAsia="zh-CN"/>
          <w14:textFill>
            <w14:solidFill>
              <w14:schemeClr w14:val="tx1"/>
            </w14:solidFill>
          </w14:textFill>
        </w:rPr>
        <w:t>*</w:t>
      </w:r>
      <w:r>
        <w:rPr>
          <w:rFonts w:hint="eastAsia" w:ascii="宋体" w:hAnsi="Times New Roman" w:eastAsia="宋体" w:cs="宋体"/>
          <w:color w:val="000000" w:themeColor="text1"/>
          <w:sz w:val="24"/>
          <w:szCs w:val="24"/>
          <w:lang w:val="en-US" w:eastAsia="zh-CN"/>
          <w14:textFill>
            <w14:solidFill>
              <w14:schemeClr w14:val="tx1"/>
            </w14:solidFill>
          </w14:textFill>
        </w:rPr>
        <w:t>检验合格数量结算。</w:t>
      </w:r>
      <w:r>
        <w:rPr>
          <w:rFonts w:hint="eastAsia" w:ascii="宋体" w:hAnsi="Times New Roman" w:cs="宋体"/>
          <w:color w:val="000000" w:themeColor="text1"/>
          <w:sz w:val="24"/>
          <w:szCs w:val="24"/>
          <w:lang w:val="zh-CN"/>
          <w14:textFill>
            <w14:solidFill>
              <w14:schemeClr w14:val="tx1"/>
            </w14:solidFill>
          </w14:textFill>
        </w:rPr>
        <w:t>在验收合格后无质量、服务问题时一次性付清（无息）。</w:t>
      </w:r>
      <w:r>
        <w:rPr>
          <w:rFonts w:ascii="Times New Roman" w:hAnsi="Times New Roman"/>
          <w:color w:val="000000" w:themeColor="text1"/>
          <w:sz w:val="24"/>
          <w:szCs w:val="24"/>
          <w14:textFill>
            <w14:solidFill>
              <w14:schemeClr w14:val="tx1"/>
            </w14:solidFill>
          </w14:textFill>
        </w:rPr>
        <w:t xml:space="preserve"> </w:t>
      </w:r>
    </w:p>
    <w:p>
      <w:pPr>
        <w:autoSpaceDE w:val="0"/>
        <w:autoSpaceDN w:val="0"/>
        <w:adjustRightInd w:val="0"/>
        <w:spacing w:line="440" w:lineRule="exact"/>
        <w:ind w:firstLine="480" w:firstLineChars="200"/>
        <w:rPr>
          <w:rFonts w:hint="eastAsia" w:ascii="宋体" w:hAnsi="Times New Roman" w:cs="宋体"/>
          <w:color w:val="000000" w:themeColor="text1"/>
          <w:sz w:val="24"/>
          <w:szCs w:val="24"/>
          <w:lang w:val="zh-CN" w:eastAsia="zh-CN"/>
          <w14:textFill>
            <w14:solidFill>
              <w14:schemeClr w14:val="tx1"/>
            </w14:solidFill>
          </w14:textFill>
        </w:rPr>
      </w:pPr>
      <w:r>
        <w:rPr>
          <w:rFonts w:hint="eastAsia" w:ascii="宋体" w:hAnsi="Times New Roman" w:cs="宋体"/>
          <w:color w:val="000000" w:themeColor="text1"/>
          <w:sz w:val="24"/>
          <w:szCs w:val="24"/>
          <w:lang w:val="zh-CN" w:eastAsia="zh-CN"/>
          <w14:textFill>
            <w14:solidFill>
              <w14:schemeClr w14:val="tx1"/>
            </w14:solidFill>
          </w14:textFill>
        </w:rPr>
        <w:t>10.2 当采购数量与实际使用数量不一致时，乙方应根据实际使用量供货，合同的最终结算金额按实际使用量乘以成交单价进行计算。</w:t>
      </w:r>
    </w:p>
    <w:p>
      <w:pPr>
        <w:autoSpaceDE w:val="0"/>
        <w:autoSpaceDN w:val="0"/>
        <w:adjustRightInd w:val="0"/>
        <w:spacing w:line="440" w:lineRule="exact"/>
        <w:ind w:firstLine="480" w:firstLineChars="200"/>
        <w:rPr>
          <w:rFonts w:hint="eastAsia" w:ascii="宋体" w:hAnsi="Times New Roman" w:cs="宋体"/>
          <w:color w:val="000000" w:themeColor="text1"/>
          <w:sz w:val="24"/>
          <w:szCs w:val="24"/>
          <w:lang w:val="en-US" w:eastAsia="zh-CN"/>
          <w14:textFill>
            <w14:solidFill>
              <w14:schemeClr w14:val="tx1"/>
            </w14:solidFill>
          </w14:textFill>
        </w:rPr>
      </w:pPr>
      <w:r>
        <w:rPr>
          <w:rFonts w:hint="eastAsia" w:ascii="宋体" w:hAnsi="Times New Roman" w:cs="宋体"/>
          <w:color w:val="000000" w:themeColor="text1"/>
          <w:sz w:val="24"/>
          <w:szCs w:val="24"/>
          <w:lang w:val="en-US" w:eastAsia="zh-CN"/>
          <w14:textFill>
            <w14:solidFill>
              <w14:schemeClr w14:val="tx1"/>
            </w14:solidFill>
          </w14:textFill>
        </w:rPr>
        <w:t>10.3当采购数量与实际使用数量不一致时，乙方应根据实际使用量供货，合同的最终结算金额按实际使用量乘以成交单价进行计算。</w:t>
      </w:r>
    </w:p>
    <w:p>
      <w:pPr>
        <w:adjustRightInd w:val="0"/>
        <w:snapToGrid w:val="0"/>
        <w:spacing w:line="360" w:lineRule="auto"/>
        <w:ind w:firstLine="482" w:firstLineChars="200"/>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十一、税费</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11.1本合同执行中相关的一切税费均由乙方负担。</w:t>
      </w:r>
    </w:p>
    <w:p>
      <w:pPr>
        <w:pStyle w:val="40"/>
        <w:widowControl w:val="0"/>
        <w:adjustRightInd w:val="0"/>
        <w:snapToGrid w:val="0"/>
        <w:spacing w:before="0" w:beforeAutospacing="0" w:after="0" w:afterAutospacing="0" w:line="360" w:lineRule="auto"/>
        <w:ind w:firstLine="482" w:firstLineChars="200"/>
        <w:jc w:val="both"/>
        <w:rPr>
          <w:color w:val="000000" w:themeColor="text1"/>
          <w14:textFill>
            <w14:solidFill>
              <w14:schemeClr w14:val="tx1"/>
            </w14:solidFill>
          </w14:textFill>
        </w:rPr>
      </w:pPr>
      <w:r>
        <w:rPr>
          <w:rFonts w:hint="eastAsia"/>
          <w:b/>
          <w:color w:val="000000" w:themeColor="text1"/>
          <w:kern w:val="2"/>
          <w14:textFill>
            <w14:solidFill>
              <w14:schemeClr w14:val="tx1"/>
            </w14:solidFill>
          </w14:textFill>
        </w:rPr>
        <w:t>十二、质量保证及售后服务</w:t>
      </w:r>
    </w:p>
    <w:p>
      <w:pPr>
        <w:adjustRightInd w:val="0"/>
        <w:snapToGrid w:val="0"/>
        <w:spacing w:line="360" w:lineRule="auto"/>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12.1 乙方应按招标文件规定的货物性能、技术要求、质量标准向甲方</w:t>
      </w:r>
      <w:r>
        <w:rPr>
          <w:rFonts w:hint="eastAsia" w:ascii="宋体" w:hAnsi="宋体" w:cs="宋体"/>
          <w:bCs/>
          <w:color w:val="000000" w:themeColor="text1"/>
          <w:sz w:val="24"/>
          <w:szCs w:val="24"/>
          <w14:textFill>
            <w14:solidFill>
              <w14:schemeClr w14:val="tx1"/>
            </w14:solidFill>
          </w14:textFill>
        </w:rPr>
        <w:t>提供的货物（含配件）应是全新的、未使用过的原装合格正品，开箱后，如</w:t>
      </w:r>
      <w:r>
        <w:rPr>
          <w:rFonts w:hint="eastAsia" w:ascii="宋体" w:hAnsi="宋体" w:cs="宋体"/>
          <w:color w:val="000000" w:themeColor="text1"/>
          <w:sz w:val="24"/>
          <w:szCs w:val="24"/>
          <w14:textFill>
            <w14:solidFill>
              <w14:schemeClr w14:val="tx1"/>
            </w14:solidFill>
          </w14:textFill>
        </w:rPr>
        <w:t>甲方</w:t>
      </w:r>
      <w:r>
        <w:rPr>
          <w:rFonts w:hint="eastAsia" w:ascii="宋体" w:hAnsi="宋体" w:cs="宋体"/>
          <w:bCs/>
          <w:color w:val="000000" w:themeColor="text1"/>
          <w:sz w:val="24"/>
          <w:szCs w:val="24"/>
          <w14:textFill>
            <w14:solidFill>
              <w14:schemeClr w14:val="tx1"/>
            </w14:solidFill>
          </w14:textFill>
        </w:rPr>
        <w:t>发现有任何问题（如外观有损伤），</w:t>
      </w:r>
      <w:r>
        <w:rPr>
          <w:rFonts w:hint="eastAsia" w:ascii="宋体" w:hAnsi="宋体" w:cs="宋体"/>
          <w:color w:val="000000" w:themeColor="text1"/>
          <w:sz w:val="24"/>
          <w:szCs w:val="24"/>
          <w14:textFill>
            <w14:solidFill>
              <w14:schemeClr w14:val="tx1"/>
            </w14:solidFill>
          </w14:textFill>
        </w:rPr>
        <w:t>乙方</w:t>
      </w:r>
      <w:r>
        <w:rPr>
          <w:rFonts w:hint="eastAsia" w:ascii="宋体" w:hAnsi="宋体" w:cs="宋体"/>
          <w:bCs/>
          <w:color w:val="000000" w:themeColor="text1"/>
          <w:sz w:val="24"/>
          <w:szCs w:val="24"/>
          <w14:textFill>
            <w14:solidFill>
              <w14:schemeClr w14:val="tx1"/>
            </w14:solidFill>
          </w14:textFill>
        </w:rPr>
        <w:t>必须立即以同样型号的货物在</w:t>
      </w:r>
      <w:r>
        <w:rPr>
          <w:rFonts w:hint="eastAsia" w:ascii="宋体" w:hAnsi="宋体" w:cs="宋体"/>
          <w:color w:val="000000" w:themeColor="text1"/>
          <w:sz w:val="24"/>
          <w:szCs w:val="24"/>
          <w14:textFill>
            <w14:solidFill>
              <w14:schemeClr w14:val="tx1"/>
            </w14:solidFill>
          </w14:textFill>
        </w:rPr>
        <w:t>甲方</w:t>
      </w:r>
      <w:r>
        <w:rPr>
          <w:rFonts w:hint="eastAsia" w:ascii="宋体" w:hAnsi="宋体" w:cs="宋体"/>
          <w:bCs/>
          <w:color w:val="000000" w:themeColor="text1"/>
          <w:sz w:val="24"/>
          <w:szCs w:val="24"/>
          <w14:textFill>
            <w14:solidFill>
              <w14:schemeClr w14:val="tx1"/>
            </w14:solidFill>
          </w14:textFill>
        </w:rPr>
        <w:t>商定的时间内更换，确保其使用。供货时提供以下材料，包括：产品合格证书、技术说明书、使用说明书、用户手册（中文）、配置清单、保修单及合同中要求的其他文件资料。</w:t>
      </w:r>
    </w:p>
    <w:p>
      <w:pPr>
        <w:adjustRightInd w:val="0"/>
        <w:snapToGrid w:val="0"/>
        <w:spacing w:line="360" w:lineRule="auto"/>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12.2所有设备、附（配）件应具备该类产品的功能要求，无瑕疵和缺陷，质量为合格产品，同时有明确的生产厂商或制造厂商；</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12.3对于出卖的标的物，乙方应当拥有完整物权，并且乙方负有保证第三人不得向甲方主张任何权利（包括知识产权）的义务。</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12.4乙方提供的货物</w:t>
      </w:r>
      <w:r>
        <w:rPr>
          <w:rFonts w:hint="eastAsia" w:ascii="宋体" w:hAnsi="宋体" w:cs="宋体"/>
          <w:bCs/>
          <w:color w:val="000000" w:themeColor="text1"/>
          <w:sz w:val="24"/>
          <w:szCs w:val="24"/>
          <w14:textFill>
            <w14:solidFill>
              <w14:schemeClr w14:val="tx1"/>
            </w14:solidFill>
          </w14:textFill>
        </w:rPr>
        <w:t>和服务</w:t>
      </w:r>
      <w:r>
        <w:rPr>
          <w:rFonts w:hint="eastAsia" w:ascii="宋体" w:hAnsi="宋体" w:cs="宋体"/>
          <w:color w:val="000000" w:themeColor="text1"/>
          <w:sz w:val="24"/>
          <w:szCs w:val="24"/>
          <w14:textFill>
            <w14:solidFill>
              <w14:schemeClr w14:val="tx1"/>
            </w14:solidFill>
          </w14:textFill>
        </w:rPr>
        <w:t>在质量期内因本身的质量问题发生故障，乙方应负责免费更换。对达不到技术要求者，根据实际情况，经双方协商，可按以下办法处理：</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⑴更换：由乙方承担所发生的全部费用。</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⑵贬值处理：由甲乙双方合议定价。</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⑶退货处理：乙方应退还甲方支付的合同款，同时应承担该货物</w:t>
      </w:r>
      <w:r>
        <w:rPr>
          <w:rFonts w:hint="eastAsia" w:ascii="宋体" w:hAnsi="宋体" w:cs="宋体"/>
          <w:bCs/>
          <w:color w:val="000000" w:themeColor="text1"/>
          <w:sz w:val="24"/>
          <w:szCs w:val="24"/>
          <w14:textFill>
            <w14:solidFill>
              <w14:schemeClr w14:val="tx1"/>
            </w14:solidFill>
          </w14:textFill>
        </w:rPr>
        <w:t>和服务</w:t>
      </w:r>
      <w:r>
        <w:rPr>
          <w:rFonts w:hint="eastAsia" w:ascii="宋体" w:hAnsi="宋体" w:cs="宋体"/>
          <w:color w:val="000000" w:themeColor="text1"/>
          <w:sz w:val="24"/>
          <w:szCs w:val="24"/>
          <w14:textFill>
            <w14:solidFill>
              <w14:schemeClr w14:val="tx1"/>
            </w14:solidFill>
          </w14:textFill>
        </w:rPr>
        <w:t>的直接费用（运输、保险、检验、货款利息及银行手续费等）。</w:t>
      </w:r>
    </w:p>
    <w:p>
      <w:pPr>
        <w:autoSpaceDE w:val="0"/>
        <w:autoSpaceDN w:val="0"/>
        <w:adjustRightInd w:val="0"/>
        <w:snapToGrid w:val="0"/>
        <w:spacing w:line="360" w:lineRule="auto"/>
        <w:ind w:firstLine="480" w:firstLineChars="200"/>
        <w:jc w:val="left"/>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12.5在质保期内，乙方应对货物和服务出现的质量及安全问题负责处理解决并承担一切费用，提供24小时免费上门维修服务，并在接到甲方通知后在24小时内到达现场，并解决故障。质保期内产生的维护费用由乙方承担。</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12.6乙方须向甲方免费提供培训服务，确保使用者完全会使用及操作为止。</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12.7上述的货物免费保修期，因人为因素出现的故障不在免费保修范围内。超过保修期的机器设备，终生维修，维修时只收部件成本费。</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12.8乙方提供的产品必须是满足招标方要求的全新现货。产品质量稳定且符合国家和有关部门质量检测标准及相关要求。如果投标货物实行生产许可证制度，应有生产许可证。</w:t>
      </w:r>
    </w:p>
    <w:p>
      <w:pPr>
        <w:pStyle w:val="40"/>
        <w:widowControl w:val="0"/>
        <w:adjustRightInd w:val="0"/>
        <w:snapToGrid w:val="0"/>
        <w:spacing w:before="0" w:beforeAutospacing="0" w:after="0" w:afterAutospacing="0" w:line="360" w:lineRule="auto"/>
        <w:ind w:firstLine="482" w:firstLineChars="200"/>
        <w:jc w:val="both"/>
        <w:rPr>
          <w:b/>
          <w:color w:val="000000" w:themeColor="text1"/>
          <w14:textFill>
            <w14:solidFill>
              <w14:schemeClr w14:val="tx1"/>
            </w14:solidFill>
          </w14:textFill>
        </w:rPr>
      </w:pPr>
      <w:r>
        <w:rPr>
          <w:rFonts w:hint="eastAsia"/>
          <w:b/>
          <w:color w:val="000000" w:themeColor="text1"/>
          <w:kern w:val="2"/>
          <w14:textFill>
            <w14:solidFill>
              <w14:schemeClr w14:val="tx1"/>
            </w14:solidFill>
          </w14:textFill>
        </w:rPr>
        <w:t>十三、安装、调试和验收</w:t>
      </w:r>
    </w:p>
    <w:p>
      <w:pPr>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13.1 货物送达约定的安装地点后,由甲方组织有关部门进行基本质量、数量及规格型号的验收，该验收应达到合同规定的要求。安装调试及试运行结束后，由甲方与乙方按规定的标准要求进行联合验收，验收合格后办理相关手续。</w:t>
      </w:r>
    </w:p>
    <w:p>
      <w:pPr>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甲方对乙方提交的货物</w:t>
      </w:r>
      <w:r>
        <w:rPr>
          <w:rFonts w:hint="eastAsia" w:ascii="宋体" w:hAnsi="宋体" w:cs="宋体"/>
          <w:bCs/>
          <w:color w:val="000000" w:themeColor="text1"/>
          <w:sz w:val="24"/>
          <w14:textFill>
            <w14:solidFill>
              <w14:schemeClr w14:val="tx1"/>
            </w14:solidFill>
          </w14:textFill>
        </w:rPr>
        <w:t>和服务</w:t>
      </w:r>
      <w:r>
        <w:rPr>
          <w:rFonts w:hint="eastAsia" w:ascii="宋体" w:hAnsi="宋体" w:cs="宋体"/>
          <w:color w:val="000000" w:themeColor="text1"/>
          <w:sz w:val="24"/>
          <w:szCs w:val="24"/>
          <w14:textFill>
            <w14:solidFill>
              <w14:schemeClr w14:val="tx1"/>
            </w14:solidFill>
          </w14:textFill>
        </w:rPr>
        <w:t>依据招标文件上的技术规格要求和国家有关质量标准进行现场初步验收，外观、说明书符合招标文件技术要求的，给予签收，初步验收不合格的不予签收。</w:t>
      </w:r>
    </w:p>
    <w:p>
      <w:pPr>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13.2 乙方交付前应对产品作出全面检查和对验收文件进行整理，并列出清单，作为甲方验收和使用的技术条件依据，检验的结果应一并交甲方。</w:t>
      </w:r>
    </w:p>
    <w:p>
      <w:pPr>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13.3 甲方对乙方提供的货物</w:t>
      </w:r>
      <w:r>
        <w:rPr>
          <w:rFonts w:hint="eastAsia" w:ascii="宋体" w:hAnsi="宋体" w:cs="宋体"/>
          <w:bCs/>
          <w:color w:val="000000" w:themeColor="text1"/>
          <w:sz w:val="24"/>
          <w14:textFill>
            <w14:solidFill>
              <w14:schemeClr w14:val="tx1"/>
            </w14:solidFill>
          </w14:textFill>
        </w:rPr>
        <w:t>和服务</w:t>
      </w:r>
      <w:r>
        <w:rPr>
          <w:rFonts w:hint="eastAsia" w:ascii="宋体" w:hAnsi="宋体" w:cs="宋体"/>
          <w:color w:val="000000" w:themeColor="text1"/>
          <w:sz w:val="24"/>
          <w:szCs w:val="24"/>
          <w14:textFill>
            <w14:solidFill>
              <w14:schemeClr w14:val="tx1"/>
            </w14:solidFill>
          </w14:textFill>
        </w:rPr>
        <w:t>在使用前进行调试时，乙方需负责安装并培训甲方的使用操作人员，并协助甲方一起调试，直到符合技术要求，甲方才做最终验收。</w:t>
      </w:r>
    </w:p>
    <w:p>
      <w:pPr>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13.4 对技术复杂的货物</w:t>
      </w:r>
      <w:r>
        <w:rPr>
          <w:rFonts w:hint="eastAsia" w:ascii="宋体" w:hAnsi="宋体" w:cs="宋体"/>
          <w:bCs/>
          <w:color w:val="000000" w:themeColor="text1"/>
          <w:sz w:val="24"/>
          <w14:textFill>
            <w14:solidFill>
              <w14:schemeClr w14:val="tx1"/>
            </w14:solidFill>
          </w14:textFill>
        </w:rPr>
        <w:t>和服务</w:t>
      </w:r>
      <w:r>
        <w:rPr>
          <w:rFonts w:hint="eastAsia" w:ascii="宋体" w:hAnsi="宋体" w:cs="宋体"/>
          <w:color w:val="000000" w:themeColor="text1"/>
          <w:sz w:val="24"/>
          <w:szCs w:val="24"/>
          <w14:textFill>
            <w14:solidFill>
              <w14:schemeClr w14:val="tx1"/>
            </w14:solidFill>
          </w14:textFill>
        </w:rPr>
        <w:t>，甲方可请国家认可的专业检测机构参与初步验收及最终验收，并由其出具质量检测报告。</w:t>
      </w:r>
    </w:p>
    <w:p>
      <w:pPr>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13.5 验收时乙方必须在现场，验收完毕后作出验收结果报告；验收费用由甲乙双方协商解决。</w:t>
      </w:r>
    </w:p>
    <w:p>
      <w:pPr>
        <w:pStyle w:val="40"/>
        <w:widowControl w:val="0"/>
        <w:adjustRightInd w:val="0"/>
        <w:snapToGrid w:val="0"/>
        <w:spacing w:before="0" w:beforeAutospacing="0" w:after="0" w:afterAutospacing="0" w:line="360" w:lineRule="auto"/>
        <w:ind w:firstLine="482" w:firstLineChars="200"/>
        <w:jc w:val="both"/>
        <w:rPr>
          <w:b/>
          <w:color w:val="000000" w:themeColor="text1"/>
          <w14:textFill>
            <w14:solidFill>
              <w14:schemeClr w14:val="tx1"/>
            </w14:solidFill>
          </w14:textFill>
        </w:rPr>
      </w:pPr>
      <w:r>
        <w:rPr>
          <w:rFonts w:hint="eastAsia"/>
          <w:b/>
          <w:color w:val="000000" w:themeColor="text1"/>
          <w:kern w:val="2"/>
          <w14:textFill>
            <w14:solidFill>
              <w14:schemeClr w14:val="tx1"/>
            </w14:solidFill>
          </w14:textFill>
        </w:rPr>
        <w:t>十四、货物包装、发运及运输</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14.1 乙方应在货物发运前对其进行满足运输距离、防潮、防震、防锈和防破损装卸等要求包装，以保证货物安全运达甲方指定地点。</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14.2 使用说明书、质量检验证明书、随配附件和工具以及清单一并附于货物内。</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14.3 乙方在货物发运手续办理完毕后24小时内或货到甲方48小时前通知甲方，以准备接货。</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14.4 货物</w:t>
      </w:r>
      <w:r>
        <w:rPr>
          <w:rFonts w:hint="eastAsia" w:ascii="宋体" w:hAnsi="宋体" w:cs="宋体"/>
          <w:bCs/>
          <w:color w:val="000000" w:themeColor="text1"/>
          <w:sz w:val="24"/>
          <w:szCs w:val="24"/>
          <w14:textFill>
            <w14:solidFill>
              <w14:schemeClr w14:val="tx1"/>
            </w14:solidFill>
          </w14:textFill>
        </w:rPr>
        <w:t>和服务</w:t>
      </w:r>
      <w:r>
        <w:rPr>
          <w:rFonts w:hint="eastAsia" w:ascii="宋体" w:hAnsi="宋体" w:cs="宋体"/>
          <w:color w:val="000000" w:themeColor="text1"/>
          <w:sz w:val="24"/>
          <w:szCs w:val="24"/>
          <w14:textFill>
            <w14:solidFill>
              <w14:schemeClr w14:val="tx1"/>
            </w14:solidFill>
          </w14:textFill>
        </w:rPr>
        <w:t>在交付甲方前发生的风险均由乙方负责。</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14.5 货物在规定的交付期限内由乙方送达甲方指定的地点视为交付，乙方同时需通知甲方货物已送达。</w:t>
      </w:r>
    </w:p>
    <w:p>
      <w:pPr>
        <w:pStyle w:val="40"/>
        <w:widowControl w:val="0"/>
        <w:adjustRightInd w:val="0"/>
        <w:snapToGrid w:val="0"/>
        <w:spacing w:before="0" w:beforeAutospacing="0" w:after="0" w:afterAutospacing="0" w:line="360" w:lineRule="auto"/>
        <w:ind w:firstLine="482" w:firstLineChars="200"/>
        <w:jc w:val="both"/>
        <w:rPr>
          <w:b/>
          <w:color w:val="000000" w:themeColor="text1"/>
          <w14:textFill>
            <w14:solidFill>
              <w14:schemeClr w14:val="tx1"/>
            </w14:solidFill>
          </w14:textFill>
        </w:rPr>
      </w:pPr>
      <w:r>
        <w:rPr>
          <w:rFonts w:hint="eastAsia"/>
          <w:b/>
          <w:color w:val="000000" w:themeColor="text1"/>
          <w:kern w:val="2"/>
          <w14:textFill>
            <w14:solidFill>
              <w14:schemeClr w14:val="tx1"/>
            </w14:solidFill>
          </w14:textFill>
        </w:rPr>
        <w:t>十五、违约责任</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15.1 甲方无正当理由拒收货物</w:t>
      </w:r>
      <w:r>
        <w:rPr>
          <w:rFonts w:hint="eastAsia" w:ascii="宋体" w:hAnsi="宋体" w:cs="宋体"/>
          <w:bCs/>
          <w:color w:val="000000" w:themeColor="text1"/>
          <w:sz w:val="24"/>
          <w:szCs w:val="24"/>
          <w14:textFill>
            <w14:solidFill>
              <w14:schemeClr w14:val="tx1"/>
            </w14:solidFill>
          </w14:textFill>
        </w:rPr>
        <w:t>和服务</w:t>
      </w:r>
      <w:r>
        <w:rPr>
          <w:rFonts w:hint="eastAsia" w:ascii="宋体" w:hAnsi="宋体" w:cs="宋体"/>
          <w:color w:val="000000" w:themeColor="text1"/>
          <w:sz w:val="24"/>
          <w:szCs w:val="24"/>
          <w14:textFill>
            <w14:solidFill>
              <w14:schemeClr w14:val="tx1"/>
            </w14:solidFill>
          </w14:textFill>
        </w:rPr>
        <w:t>的，甲方向乙方偿付拒收货款总值的百分之五违约金。</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15.2 甲方无故逾期验收和办理合同款支付手续的,甲方应按逾期付款总额每日万分之五向乙方支付违约金。</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15.3 乙方逾期交付货物</w:t>
      </w:r>
      <w:r>
        <w:rPr>
          <w:rFonts w:hint="eastAsia" w:ascii="宋体" w:hAnsi="宋体" w:cs="宋体"/>
          <w:bCs/>
          <w:color w:val="000000" w:themeColor="text1"/>
          <w:sz w:val="24"/>
          <w:szCs w:val="24"/>
          <w14:textFill>
            <w14:solidFill>
              <w14:schemeClr w14:val="tx1"/>
            </w14:solidFill>
          </w14:textFill>
        </w:rPr>
        <w:t>和服务</w:t>
      </w:r>
      <w:r>
        <w:rPr>
          <w:rFonts w:hint="eastAsia" w:ascii="宋体" w:hAnsi="宋体" w:cs="宋体"/>
          <w:color w:val="000000" w:themeColor="text1"/>
          <w:sz w:val="24"/>
          <w:szCs w:val="24"/>
          <w14:textFill>
            <w14:solidFill>
              <w14:schemeClr w14:val="tx1"/>
            </w14:solidFill>
          </w14:textFill>
        </w:rPr>
        <w:t xml:space="preserve">的，乙方应按逾期交货总额每日千分之六向甲方支付违约金，由甲方从待付合同款中扣除。逾期超过约定日期10个工作日不能交货的，甲方可解除本合同。乙方因逾期交货或因其他违约行为导致甲方解除合同的，乙方应向甲方支付合同总值5%的违约金，如造成甲方损失超过违约金的，超出部分由乙方继续承担赔偿责任。 </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15.4 乙方所交的货物</w:t>
      </w:r>
      <w:r>
        <w:rPr>
          <w:rFonts w:hint="eastAsia" w:ascii="宋体" w:hAnsi="宋体" w:cs="宋体"/>
          <w:bCs/>
          <w:color w:val="000000" w:themeColor="text1"/>
          <w:sz w:val="24"/>
          <w:szCs w:val="24"/>
          <w14:textFill>
            <w14:solidFill>
              <w14:schemeClr w14:val="tx1"/>
            </w14:solidFill>
          </w14:textFill>
        </w:rPr>
        <w:t>和服务</w:t>
      </w:r>
      <w:r>
        <w:rPr>
          <w:rFonts w:hint="eastAsia" w:ascii="宋体" w:hAnsi="宋体" w:cs="宋体"/>
          <w:color w:val="000000" w:themeColor="text1"/>
          <w:sz w:val="24"/>
          <w:szCs w:val="24"/>
          <w14:textFill>
            <w14:solidFill>
              <w14:schemeClr w14:val="tx1"/>
            </w14:solidFill>
          </w14:textFill>
        </w:rPr>
        <w:t>品种、型号、规格、技术参数、质量不符合合同规定及招标文件规定标准的，甲方有权拒收该货物</w:t>
      </w:r>
      <w:r>
        <w:rPr>
          <w:rFonts w:hint="eastAsia" w:ascii="宋体" w:hAnsi="宋体" w:cs="宋体"/>
          <w:bCs/>
          <w:color w:val="000000" w:themeColor="text1"/>
          <w:sz w:val="24"/>
          <w:szCs w:val="24"/>
          <w14:textFill>
            <w14:solidFill>
              <w14:schemeClr w14:val="tx1"/>
            </w14:solidFill>
          </w14:textFill>
        </w:rPr>
        <w:t>和服务</w:t>
      </w:r>
      <w:r>
        <w:rPr>
          <w:rFonts w:hint="eastAsia" w:ascii="宋体" w:hAnsi="宋体" w:cs="宋体"/>
          <w:color w:val="000000" w:themeColor="text1"/>
          <w:sz w:val="24"/>
          <w:szCs w:val="24"/>
          <w14:textFill>
            <w14:solidFill>
              <w14:schemeClr w14:val="tx1"/>
            </w14:solidFill>
          </w14:textFill>
        </w:rPr>
        <w:t>，乙方愿意更换货物但逾期交货的，按乙方逾期交货处理。乙方拒绝更换货物</w:t>
      </w:r>
      <w:r>
        <w:rPr>
          <w:rFonts w:hint="eastAsia" w:ascii="宋体" w:hAnsi="宋体" w:cs="宋体"/>
          <w:bCs/>
          <w:color w:val="000000" w:themeColor="text1"/>
          <w:sz w:val="24"/>
          <w:szCs w:val="24"/>
          <w14:textFill>
            <w14:solidFill>
              <w14:schemeClr w14:val="tx1"/>
            </w14:solidFill>
          </w14:textFill>
        </w:rPr>
        <w:t>和服务</w:t>
      </w:r>
      <w:r>
        <w:rPr>
          <w:rFonts w:hint="eastAsia" w:ascii="宋体" w:hAnsi="宋体" w:cs="宋体"/>
          <w:color w:val="000000" w:themeColor="text1"/>
          <w:sz w:val="24"/>
          <w:szCs w:val="24"/>
          <w14:textFill>
            <w14:solidFill>
              <w14:schemeClr w14:val="tx1"/>
            </w14:solidFill>
          </w14:textFill>
        </w:rPr>
        <w:t>的，甲方可单方面解除合同。</w:t>
      </w:r>
    </w:p>
    <w:p>
      <w:pPr>
        <w:pStyle w:val="40"/>
        <w:widowControl w:val="0"/>
        <w:adjustRightInd w:val="0"/>
        <w:snapToGrid w:val="0"/>
        <w:spacing w:before="0" w:beforeAutospacing="0" w:after="0" w:afterAutospacing="0" w:line="360" w:lineRule="auto"/>
        <w:ind w:firstLine="482" w:firstLineChars="200"/>
        <w:jc w:val="both"/>
        <w:rPr>
          <w:b/>
          <w:color w:val="000000" w:themeColor="text1"/>
          <w14:textFill>
            <w14:solidFill>
              <w14:schemeClr w14:val="tx1"/>
            </w14:solidFill>
          </w14:textFill>
        </w:rPr>
      </w:pPr>
      <w:r>
        <w:rPr>
          <w:rFonts w:hint="eastAsia"/>
          <w:b/>
          <w:color w:val="000000" w:themeColor="text1"/>
          <w:kern w:val="2"/>
          <w14:textFill>
            <w14:solidFill>
              <w14:schemeClr w14:val="tx1"/>
            </w14:solidFill>
          </w14:textFill>
        </w:rPr>
        <w:t>十六、不可抗力事件处理</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16.1 在合同有效期内，任何一方因不可抗力事件导致不能履行合同，则合同履行期可延长，其延长期与不可抗力影响期相同。</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16.2 不可抗力事件发生后，应立即通知对方，并寄送有关权威机构出具的证明。</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16.3 不可抗力事件延续120天以上，双方应通过友好协商，确定是否继续履行合同。</w:t>
      </w:r>
    </w:p>
    <w:p>
      <w:pPr>
        <w:pStyle w:val="40"/>
        <w:widowControl w:val="0"/>
        <w:adjustRightInd w:val="0"/>
        <w:snapToGrid w:val="0"/>
        <w:spacing w:before="0" w:beforeAutospacing="0" w:after="0" w:afterAutospacing="0" w:line="360" w:lineRule="auto"/>
        <w:ind w:firstLine="482" w:firstLineChars="200"/>
        <w:jc w:val="both"/>
        <w:rPr>
          <w:b/>
          <w:color w:val="000000" w:themeColor="text1"/>
          <w14:textFill>
            <w14:solidFill>
              <w14:schemeClr w14:val="tx1"/>
            </w14:solidFill>
          </w14:textFill>
        </w:rPr>
      </w:pPr>
      <w:r>
        <w:rPr>
          <w:rFonts w:hint="eastAsia"/>
          <w:b/>
          <w:color w:val="000000" w:themeColor="text1"/>
          <w:kern w:val="2"/>
          <w14:textFill>
            <w14:solidFill>
              <w14:schemeClr w14:val="tx1"/>
            </w14:solidFill>
          </w14:textFill>
        </w:rPr>
        <w:t>十七、诉讼</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17.1 双方在执行合同中所发生的一切争议，应通过协商解决。如协商不成，可向合同签订地法院起诉，合同签订地在此约定为盐城市。</w:t>
      </w:r>
    </w:p>
    <w:p>
      <w:pPr>
        <w:pStyle w:val="40"/>
        <w:widowControl w:val="0"/>
        <w:adjustRightInd w:val="0"/>
        <w:snapToGrid w:val="0"/>
        <w:spacing w:before="0" w:beforeAutospacing="0" w:after="0" w:afterAutospacing="0" w:line="360" w:lineRule="auto"/>
        <w:ind w:firstLine="482" w:firstLineChars="200"/>
        <w:jc w:val="both"/>
        <w:rPr>
          <w:b/>
          <w:color w:val="000000" w:themeColor="text1"/>
          <w14:textFill>
            <w14:solidFill>
              <w14:schemeClr w14:val="tx1"/>
            </w14:solidFill>
          </w14:textFill>
        </w:rPr>
      </w:pPr>
      <w:r>
        <w:rPr>
          <w:rFonts w:hint="eastAsia"/>
          <w:b/>
          <w:color w:val="000000" w:themeColor="text1"/>
          <w:kern w:val="2"/>
          <w14:textFill>
            <w14:solidFill>
              <w14:schemeClr w14:val="tx1"/>
            </w14:solidFill>
          </w14:textFill>
        </w:rPr>
        <w:t>十八、合同生效及其它</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18.1 合同经双方法定代表人或授权委托代表人签字并加盖单位公章后生效。</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18.2本合同未尽事宜，遵照《</w:t>
      </w:r>
      <w:r>
        <w:rPr>
          <w:rFonts w:hint="eastAsia" w:ascii="宋体" w:hAnsi="宋体" w:cs="宋体"/>
          <w:color w:val="000000" w:themeColor="text1"/>
          <w:sz w:val="24"/>
          <w:szCs w:val="24"/>
          <w:lang w:val="en-US" w:eastAsia="zh-CN"/>
          <w14:textFill>
            <w14:solidFill>
              <w14:schemeClr w14:val="tx1"/>
            </w14:solidFill>
          </w14:textFill>
        </w:rPr>
        <w:t>中华人民共和国民法典</w:t>
      </w:r>
      <w:r>
        <w:rPr>
          <w:rFonts w:hint="eastAsia" w:ascii="宋体" w:hAnsi="宋体" w:cs="宋体"/>
          <w:color w:val="000000" w:themeColor="text1"/>
          <w:sz w:val="24"/>
          <w:szCs w:val="24"/>
          <w14:textFill>
            <w14:solidFill>
              <w14:schemeClr w14:val="tx1"/>
            </w14:solidFill>
          </w14:textFill>
        </w:rPr>
        <w:t>》有关条文执行。</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18.3 本合同正本一式二份，副本一式六份，具有同等法律效力。</w:t>
      </w:r>
    </w:p>
    <w:p>
      <w:pPr>
        <w:pStyle w:val="40"/>
        <w:widowControl w:val="0"/>
        <w:snapToGrid w:val="0"/>
        <w:spacing w:before="0" w:beforeAutospacing="0" w:after="0" w:afterAutospacing="0" w:line="460" w:lineRule="exact"/>
        <w:ind w:firstLine="480" w:firstLineChars="200"/>
        <w:jc w:val="both"/>
        <w:rPr>
          <w:color w:val="000000" w:themeColor="text1"/>
          <w14:textFill>
            <w14:solidFill>
              <w14:schemeClr w14:val="tx1"/>
            </w14:solidFill>
          </w14:textFill>
        </w:rPr>
      </w:pPr>
    </w:p>
    <w:p>
      <w:pPr>
        <w:pStyle w:val="40"/>
        <w:widowControl w:val="0"/>
        <w:snapToGrid w:val="0"/>
        <w:spacing w:before="0" w:beforeAutospacing="0" w:after="0" w:afterAutospacing="0" w:line="460" w:lineRule="exact"/>
        <w:ind w:firstLine="720" w:firstLineChars="300"/>
        <w:jc w:val="both"/>
        <w:rPr>
          <w:color w:val="000000" w:themeColor="text1"/>
          <w14:textFill>
            <w14:solidFill>
              <w14:schemeClr w14:val="tx1"/>
            </w14:solidFill>
          </w14:textFill>
        </w:rPr>
      </w:pPr>
      <w:r>
        <w:rPr>
          <w:rFonts w:hint="eastAsia"/>
          <w:color w:val="000000" w:themeColor="text1"/>
          <w:kern w:val="2"/>
          <w14:textFill>
            <w14:solidFill>
              <w14:schemeClr w14:val="tx1"/>
            </w14:solidFill>
          </w14:textFill>
        </w:rPr>
        <w:t xml:space="preserve">甲方：                                   乙方： </w:t>
      </w:r>
    </w:p>
    <w:p>
      <w:pPr>
        <w:pStyle w:val="40"/>
        <w:widowControl w:val="0"/>
        <w:snapToGrid w:val="0"/>
        <w:spacing w:before="0" w:beforeAutospacing="0" w:after="0" w:afterAutospacing="0" w:line="460" w:lineRule="exact"/>
        <w:ind w:firstLine="480" w:firstLineChars="200"/>
        <w:jc w:val="both"/>
        <w:rPr>
          <w:color w:val="000000" w:themeColor="text1"/>
          <w14:textFill>
            <w14:solidFill>
              <w14:schemeClr w14:val="tx1"/>
            </w14:solidFill>
          </w14:textFill>
        </w:rPr>
      </w:pPr>
      <w:r>
        <w:rPr>
          <w:rFonts w:hint="eastAsia"/>
          <w:color w:val="000000" w:themeColor="text1"/>
          <w:kern w:val="2"/>
          <w14:textFill>
            <w14:solidFill>
              <w14:schemeClr w14:val="tx1"/>
            </w14:solidFill>
          </w14:textFill>
        </w:rPr>
        <w:t xml:space="preserve">  地址：                                   地址： </w:t>
      </w:r>
    </w:p>
    <w:p>
      <w:pPr>
        <w:pStyle w:val="40"/>
        <w:widowControl w:val="0"/>
        <w:snapToGrid w:val="0"/>
        <w:spacing w:before="0" w:beforeAutospacing="0" w:after="0" w:afterAutospacing="0" w:line="460" w:lineRule="exact"/>
        <w:ind w:firstLine="480" w:firstLineChars="200"/>
        <w:jc w:val="both"/>
        <w:rPr>
          <w:color w:val="000000" w:themeColor="text1"/>
          <w14:textFill>
            <w14:solidFill>
              <w14:schemeClr w14:val="tx1"/>
            </w14:solidFill>
          </w14:textFill>
        </w:rPr>
      </w:pPr>
      <w:r>
        <w:rPr>
          <w:rFonts w:hint="eastAsia"/>
          <w:color w:val="000000" w:themeColor="text1"/>
          <w:kern w:val="2"/>
          <w14:textFill>
            <w14:solidFill>
              <w14:schemeClr w14:val="tx1"/>
            </w14:solidFill>
          </w14:textFill>
        </w:rPr>
        <w:t xml:space="preserve">  法定代表人或授权代表：                   法定代表人或授权代表：</w:t>
      </w:r>
    </w:p>
    <w:p>
      <w:pPr>
        <w:pStyle w:val="40"/>
        <w:widowControl w:val="0"/>
        <w:snapToGrid w:val="0"/>
        <w:spacing w:before="0" w:beforeAutospacing="0" w:after="0" w:afterAutospacing="0" w:line="460" w:lineRule="exact"/>
        <w:ind w:firstLine="480" w:firstLineChars="200"/>
        <w:jc w:val="both"/>
        <w:rPr>
          <w:color w:val="000000" w:themeColor="text1"/>
          <w14:textFill>
            <w14:solidFill>
              <w14:schemeClr w14:val="tx1"/>
            </w14:solidFill>
          </w14:textFill>
        </w:rPr>
      </w:pPr>
    </w:p>
    <w:p>
      <w:pPr>
        <w:pStyle w:val="40"/>
        <w:widowControl w:val="0"/>
        <w:snapToGrid w:val="0"/>
        <w:spacing w:before="0" w:beforeAutospacing="0" w:after="0" w:afterAutospacing="0" w:line="460" w:lineRule="exact"/>
        <w:ind w:firstLine="720" w:firstLineChars="300"/>
        <w:jc w:val="both"/>
        <w:rPr>
          <w:color w:val="000000" w:themeColor="text1"/>
          <w14:textFill>
            <w14:solidFill>
              <w14:schemeClr w14:val="tx1"/>
            </w14:solidFill>
          </w14:textFill>
        </w:rPr>
      </w:pPr>
      <w:r>
        <w:rPr>
          <w:rFonts w:hint="eastAsia"/>
          <w:color w:val="000000" w:themeColor="text1"/>
          <w:kern w:val="2"/>
          <w14:textFill>
            <w14:solidFill>
              <w14:schemeClr w14:val="tx1"/>
            </w14:solidFill>
          </w14:textFill>
        </w:rPr>
        <w:t>采购单位负责人：</w:t>
      </w:r>
    </w:p>
    <w:p>
      <w:pPr>
        <w:pStyle w:val="40"/>
        <w:widowControl w:val="0"/>
        <w:snapToGrid w:val="0"/>
        <w:spacing w:before="0" w:beforeAutospacing="0" w:after="0" w:afterAutospacing="0" w:line="460" w:lineRule="exact"/>
        <w:ind w:firstLine="480" w:firstLineChars="200"/>
        <w:jc w:val="both"/>
        <w:rPr>
          <w:color w:val="000000" w:themeColor="text1"/>
          <w14:textFill>
            <w14:solidFill>
              <w14:schemeClr w14:val="tx1"/>
            </w14:solidFill>
          </w14:textFill>
        </w:rPr>
      </w:pPr>
      <w:r>
        <w:rPr>
          <w:rFonts w:hint="eastAsia"/>
          <w:color w:val="000000" w:themeColor="text1"/>
          <w:kern w:val="2"/>
          <w14:textFill>
            <w14:solidFill>
              <w14:schemeClr w14:val="tx1"/>
            </w14:solidFill>
          </w14:textFill>
        </w:rPr>
        <w:t xml:space="preserve">  联系电话：                               联系电话：</w:t>
      </w:r>
    </w:p>
    <w:p>
      <w:pPr>
        <w:spacing w:line="460" w:lineRule="exact"/>
        <w:rPr>
          <w:rFonts w:ascii="宋体" w:hAnsi="宋体" w:cs="宋体"/>
          <w:b/>
          <w:color w:val="000000" w:themeColor="text1"/>
          <w:sz w:val="44"/>
          <w14:textFill>
            <w14:solidFill>
              <w14:schemeClr w14:val="tx1"/>
            </w14:solidFill>
          </w14:textFill>
        </w:rPr>
        <w:sectPr>
          <w:pgSz w:w="11906" w:h="16838"/>
          <w:pgMar w:top="1418" w:right="1417" w:bottom="1418" w:left="1417" w:header="851" w:footer="907" w:gutter="0"/>
          <w:pgNumType w:fmt="numberInDash" w:start="1"/>
          <w:cols w:space="720" w:num="1"/>
          <w:docGrid w:type="lines" w:linePitch="290" w:charSpace="0"/>
        </w:sectPr>
      </w:pPr>
      <w:r>
        <w:rPr>
          <w:rFonts w:hint="eastAsia" w:ascii="宋体" w:hAnsi="宋体" w:cs="宋体"/>
          <w:color w:val="000000" w:themeColor="text1"/>
          <w:sz w:val="24"/>
          <w:szCs w:val="24"/>
          <w14:textFill>
            <w14:solidFill>
              <w14:schemeClr w14:val="tx1"/>
            </w14:solidFill>
          </w14:textFill>
        </w:rPr>
        <w:t xml:space="preserve">      签订日期：      年  月  日</w:t>
      </w:r>
    </w:p>
    <w:p>
      <w:pPr>
        <w:pStyle w:val="24"/>
        <w:snapToGrid w:val="0"/>
        <w:spacing w:before="120" w:after="120"/>
        <w:rPr>
          <w:rFonts w:hAnsi="宋体" w:cs="宋体"/>
          <w:color w:val="000000" w:themeColor="text1"/>
          <w:sz w:val="24"/>
          <w:szCs w:val="24"/>
          <w14:textFill>
            <w14:solidFill>
              <w14:schemeClr w14:val="tx1"/>
            </w14:solidFill>
          </w14:textFill>
        </w:rPr>
      </w:pPr>
    </w:p>
    <w:p>
      <w:pPr>
        <w:pStyle w:val="3"/>
        <w:numPr>
          <w:ilvl w:val="0"/>
          <w:numId w:val="4"/>
        </w:numPr>
        <w:ind w:firstLine="2871" w:firstLineChars="650"/>
        <w:jc w:val="both"/>
        <w:rPr>
          <w:rFonts w:ascii="宋体" w:hAnsi="宋体" w:eastAsia="宋体" w:cs="宋体"/>
          <w:b/>
          <w:color w:val="000000" w:themeColor="text1"/>
          <w:sz w:val="44"/>
          <w14:textFill>
            <w14:solidFill>
              <w14:schemeClr w14:val="tx1"/>
            </w14:solidFill>
          </w14:textFill>
        </w:rPr>
      </w:pPr>
      <w:bookmarkStart w:id="202" w:name="_Toc120614244"/>
      <w:bookmarkStart w:id="203" w:name="_Toc28173"/>
      <w:bookmarkStart w:id="204" w:name="_Toc20823346"/>
      <w:bookmarkStart w:id="205" w:name="_Toc16938590"/>
      <w:bookmarkStart w:id="206" w:name="_Toc479757211"/>
      <w:bookmarkStart w:id="207" w:name="_Toc462564139"/>
      <w:r>
        <w:rPr>
          <w:rFonts w:hint="eastAsia" w:ascii="宋体" w:hAnsi="宋体" w:eastAsia="宋体" w:cs="宋体"/>
          <w:b/>
          <w:color w:val="000000" w:themeColor="text1"/>
          <w:sz w:val="44"/>
          <w14:textFill>
            <w14:solidFill>
              <w14:schemeClr w14:val="tx1"/>
            </w14:solidFill>
          </w14:textFill>
        </w:rPr>
        <w:t>项目技术需求</w:t>
      </w:r>
      <w:bookmarkEnd w:id="202"/>
      <w:bookmarkEnd w:id="203"/>
      <w:bookmarkEnd w:id="204"/>
      <w:bookmarkEnd w:id="205"/>
    </w:p>
    <w:p>
      <w:pPr>
        <w:keepNext w:val="0"/>
        <w:keepLines w:val="0"/>
        <w:pageBreakBefore w:val="0"/>
        <w:numPr>
          <w:ilvl w:val="0"/>
          <w:numId w:val="5"/>
        </w:numPr>
        <w:kinsoku/>
        <w:wordWrap/>
        <w:overflowPunct/>
        <w:topLinePunct w:val="0"/>
        <w:bidi w:val="0"/>
        <w:adjustRightInd/>
        <w:snapToGrid/>
        <w:spacing w:line="240" w:lineRule="auto"/>
        <w:ind w:firstLine="482" w:firstLineChars="200"/>
        <w:textAlignment w:val="auto"/>
        <w:rPr>
          <w:rFonts w:ascii="宋体" w:hAnsi="宋体" w:cs="宋体"/>
          <w:b/>
          <w:bCs/>
          <w:color w:val="000000" w:themeColor="text1"/>
          <w14:textFill>
            <w14:solidFill>
              <w14:schemeClr w14:val="tx1"/>
            </w14:solidFill>
          </w14:textFill>
        </w:rPr>
      </w:pPr>
      <w:bookmarkStart w:id="208" w:name="_Toc49090575"/>
      <w:bookmarkStart w:id="209" w:name="_Toc120614281"/>
      <w:bookmarkStart w:id="210" w:name="_Toc26554093"/>
      <w:r>
        <w:rPr>
          <w:rFonts w:hint="eastAsia" w:ascii="宋体" w:hAnsi="宋体" w:cs="宋体"/>
          <w:b/>
          <w:bCs/>
          <w:color w:val="000000" w:themeColor="text1"/>
          <w:sz w:val="24"/>
          <w:szCs w:val="24"/>
          <w14:textFill>
            <w14:solidFill>
              <w14:schemeClr w14:val="tx1"/>
            </w14:solidFill>
          </w14:textFill>
        </w:rPr>
        <w:t>项目</w:t>
      </w:r>
      <w:r>
        <w:rPr>
          <w:rFonts w:hint="eastAsia" w:ascii="宋体" w:hAnsi="宋体" w:cs="宋体"/>
          <w:b/>
          <w:bCs/>
          <w:color w:val="000000" w:themeColor="text1"/>
          <w:sz w:val="24"/>
          <w:szCs w:val="24"/>
          <w:lang w:val="en-US" w:eastAsia="zh-CN"/>
          <w14:textFill>
            <w14:solidFill>
              <w14:schemeClr w14:val="tx1"/>
            </w14:solidFill>
          </w14:textFill>
        </w:rPr>
        <w:t>概况</w:t>
      </w:r>
      <w:r>
        <w:rPr>
          <w:rFonts w:hint="eastAsia" w:ascii="宋体" w:hAnsi="宋体" w:cs="宋体"/>
          <w:b/>
          <w:bCs/>
          <w:color w:val="000000" w:themeColor="text1"/>
          <w:sz w:val="24"/>
          <w:szCs w:val="24"/>
          <w14:textFill>
            <w14:solidFill>
              <w14:schemeClr w14:val="tx1"/>
            </w14:solidFill>
          </w14:textFill>
        </w:rPr>
        <w:t>：</w:t>
      </w:r>
    </w:p>
    <w:p>
      <w:pPr>
        <w:keepNext w:val="0"/>
        <w:keepLines w:val="0"/>
        <w:pageBreakBefore w:val="0"/>
        <w:kinsoku/>
        <w:wordWrap/>
        <w:overflowPunct/>
        <w:topLinePunct w:val="0"/>
        <w:bidi w:val="0"/>
        <w:adjustRightInd/>
        <w:snapToGrid/>
        <w:spacing w:line="240" w:lineRule="auto"/>
        <w:ind w:firstLine="480" w:firstLineChars="200"/>
        <w:textAlignment w:val="auto"/>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1、项目名称：</w:t>
      </w:r>
      <w:r>
        <w:rPr>
          <w:rFonts w:hint="eastAsia" w:ascii="宋体" w:hAnsi="宋体"/>
          <w:color w:val="000000" w:themeColor="text1"/>
          <w:sz w:val="24"/>
          <w:szCs w:val="24"/>
          <w:lang w:val="en-US" w:eastAsia="zh-CN"/>
          <w14:textFill>
            <w14:solidFill>
              <w14:schemeClr w14:val="tx1"/>
            </w14:solidFill>
          </w14:textFill>
        </w:rPr>
        <w:t>盐城工业职业技术学院</w:t>
      </w:r>
      <w:r>
        <w:rPr>
          <w:rFonts w:hint="eastAsia" w:ascii="宋体" w:hAnsi="宋体"/>
          <w:color w:val="000000" w:themeColor="text1"/>
          <w:sz w:val="24"/>
          <w:szCs w:val="24"/>
          <w:lang w:eastAsia="zh-CN"/>
          <w14:textFill>
            <w14:solidFill>
              <w14:schemeClr w14:val="tx1"/>
            </w14:solidFill>
          </w14:textFill>
        </w:rPr>
        <w:t>2022年省技能大赛耗材采购项目</w:t>
      </w:r>
      <w:r>
        <w:rPr>
          <w:rFonts w:hint="eastAsia" w:ascii="宋体" w:hAnsi="宋体"/>
          <w:color w:val="000000" w:themeColor="text1"/>
          <w:sz w:val="24"/>
          <w:szCs w:val="24"/>
          <w14:textFill>
            <w14:solidFill>
              <w14:schemeClr w14:val="tx1"/>
            </w14:solidFill>
          </w14:textFill>
        </w:rPr>
        <w:t>。</w:t>
      </w:r>
    </w:p>
    <w:p>
      <w:pPr>
        <w:keepNext w:val="0"/>
        <w:keepLines w:val="0"/>
        <w:pageBreakBefore w:val="0"/>
        <w:kinsoku/>
        <w:wordWrap/>
        <w:overflowPunct/>
        <w:topLinePunct w:val="0"/>
        <w:bidi w:val="0"/>
        <w:adjustRightInd/>
        <w:snapToGrid/>
        <w:spacing w:line="240" w:lineRule="auto"/>
        <w:ind w:firstLine="480" w:firstLineChars="200"/>
        <w:textAlignment w:val="auto"/>
        <w:rPr>
          <w:rFonts w:hint="eastAsia" w:ascii="宋体" w:hAnsi="宋体" w:eastAsia="宋体" w:cs="Times New Roman"/>
          <w:color w:val="000000" w:themeColor="text1"/>
          <w:sz w:val="24"/>
          <w:szCs w:val="24"/>
          <w:lang w:val="en-US" w:eastAsia="zh-CN"/>
          <w14:textFill>
            <w14:solidFill>
              <w14:schemeClr w14:val="tx1"/>
            </w14:solidFill>
          </w14:textFill>
        </w:rPr>
      </w:pPr>
      <w:r>
        <w:rPr>
          <w:rFonts w:hint="eastAsia" w:ascii="宋体" w:hAnsi="宋体" w:eastAsia="宋体" w:cs="Times New Roman"/>
          <w:color w:val="000000" w:themeColor="text1"/>
          <w:kern w:val="2"/>
          <w:sz w:val="24"/>
          <w:szCs w:val="24"/>
          <w:lang w:val="en-US" w:eastAsia="zh-CN" w:bidi="ar-SA"/>
          <w14:textFill>
            <w14:solidFill>
              <w14:schemeClr w14:val="tx1"/>
            </w14:solidFill>
          </w14:textFill>
        </w:rPr>
        <w:t>2、工期要求：合同签订后，自甲方通知供货之日起的</w:t>
      </w:r>
      <w:r>
        <w:rPr>
          <w:rFonts w:hint="eastAsia" w:ascii="宋体" w:hAnsi="宋体" w:cs="Times New Roman"/>
          <w:color w:val="000000" w:themeColor="text1"/>
          <w:kern w:val="2"/>
          <w:sz w:val="24"/>
          <w:szCs w:val="24"/>
          <w:lang w:val="en-US" w:eastAsia="zh-CN" w:bidi="ar-SA"/>
          <w14:textFill>
            <w14:solidFill>
              <w14:schemeClr w14:val="tx1"/>
            </w14:solidFill>
          </w14:textFill>
        </w:rPr>
        <w:t>5</w:t>
      </w:r>
      <w:r>
        <w:rPr>
          <w:rFonts w:hint="eastAsia" w:ascii="宋体" w:hAnsi="宋体" w:eastAsia="宋体" w:cs="Times New Roman"/>
          <w:color w:val="000000" w:themeColor="text1"/>
          <w:kern w:val="2"/>
          <w:sz w:val="24"/>
          <w:szCs w:val="24"/>
          <w:lang w:val="en-US" w:eastAsia="zh-CN" w:bidi="ar-SA"/>
          <w14:textFill>
            <w14:solidFill>
              <w14:schemeClr w14:val="tx1"/>
            </w14:solidFill>
          </w14:textFill>
        </w:rPr>
        <w:t>日历天内完成供货及安装</w:t>
      </w:r>
      <w:r>
        <w:rPr>
          <w:rFonts w:hint="eastAsia" w:ascii="宋体" w:hAnsi="宋体" w:eastAsia="宋体" w:cs="Times New Roman"/>
          <w:color w:val="000000" w:themeColor="text1"/>
          <w:sz w:val="24"/>
          <w:szCs w:val="24"/>
          <w:lang w:val="zh-CN" w:eastAsia="zh-CN"/>
          <w14:textFill>
            <w14:solidFill>
              <w14:schemeClr w14:val="tx1"/>
            </w14:solidFill>
          </w14:textFill>
        </w:rPr>
        <w:t>并通过验收。</w:t>
      </w:r>
      <w:r>
        <w:rPr>
          <w:rFonts w:hint="eastAsia" w:ascii="宋体" w:hAnsi="宋体" w:eastAsia="宋体" w:cs="Times New Roman"/>
          <w:color w:val="000000" w:themeColor="text1"/>
          <w:sz w:val="24"/>
          <w:szCs w:val="24"/>
          <w:lang w:val="en-US" w:eastAsia="zh-CN"/>
          <w14:textFill>
            <w14:solidFill>
              <w14:schemeClr w14:val="tx1"/>
            </w14:solidFill>
          </w14:textFill>
        </w:rPr>
        <w:t>（如甲方需要延时交付，可另行约定时间）。</w:t>
      </w:r>
    </w:p>
    <w:p>
      <w:pPr>
        <w:keepNext w:val="0"/>
        <w:keepLines w:val="0"/>
        <w:pageBreakBefore w:val="0"/>
        <w:kinsoku/>
        <w:wordWrap/>
        <w:overflowPunct/>
        <w:topLinePunct w:val="0"/>
        <w:bidi w:val="0"/>
        <w:adjustRightInd/>
        <w:snapToGrid/>
        <w:spacing w:line="240" w:lineRule="auto"/>
        <w:ind w:firstLine="480" w:firstLineChars="200"/>
        <w:textAlignment w:val="auto"/>
        <w:rPr>
          <w:rFonts w:hint="eastAsia" w:ascii="宋体" w:hAnsi="宋体" w:eastAsia="宋体" w:cs="Times New Roman"/>
          <w:color w:val="000000" w:themeColor="text1"/>
          <w:sz w:val="24"/>
          <w:szCs w:val="24"/>
          <w:lang w:val="en-US" w:eastAsia="zh-CN"/>
          <w14:textFill>
            <w14:solidFill>
              <w14:schemeClr w14:val="tx1"/>
            </w14:solidFill>
          </w14:textFill>
        </w:rPr>
      </w:pPr>
      <w:r>
        <w:rPr>
          <w:rFonts w:hint="eastAsia" w:ascii="宋体" w:hAnsi="宋体" w:eastAsia="宋体" w:cs="Times New Roman"/>
          <w:color w:val="000000" w:themeColor="text1"/>
          <w:sz w:val="24"/>
          <w:szCs w:val="24"/>
          <w:lang w:val="en-US" w:eastAsia="zh-CN"/>
          <w14:textFill>
            <w14:solidFill>
              <w14:schemeClr w14:val="tx1"/>
            </w14:solidFill>
          </w14:textFill>
        </w:rPr>
        <w:t>3、质量标准：货物质量等级为“合格”，且符合国家现行的相关规范标准及有关部门最新颁布的相应的最新标准；项目确保按规范和标准验收，且达国家合格标准。</w:t>
      </w:r>
    </w:p>
    <w:p>
      <w:pPr>
        <w:keepNext w:val="0"/>
        <w:keepLines w:val="0"/>
        <w:pageBreakBefore w:val="0"/>
        <w:kinsoku/>
        <w:wordWrap/>
        <w:overflowPunct/>
        <w:topLinePunct w:val="0"/>
        <w:bidi w:val="0"/>
        <w:adjustRightInd/>
        <w:snapToGrid/>
        <w:spacing w:line="240" w:lineRule="auto"/>
        <w:ind w:firstLine="480" w:firstLineChars="200"/>
        <w:textAlignment w:val="auto"/>
        <w:rPr>
          <w:rFonts w:hint="eastAsia" w:ascii="宋体" w:hAnsi="宋体" w:eastAsia="宋体" w:cs="Times New Roman"/>
          <w:color w:val="000000" w:themeColor="text1"/>
          <w:sz w:val="24"/>
          <w:szCs w:val="24"/>
          <w:lang w:val="en-US" w:eastAsia="zh-CN"/>
          <w14:textFill>
            <w14:solidFill>
              <w14:schemeClr w14:val="tx1"/>
            </w14:solidFill>
          </w14:textFill>
        </w:rPr>
      </w:pPr>
      <w:r>
        <w:rPr>
          <w:rFonts w:hint="eastAsia" w:ascii="宋体" w:hAnsi="宋体" w:eastAsia="宋体" w:cs="Times New Roman"/>
          <w:color w:val="000000" w:themeColor="text1"/>
          <w:sz w:val="24"/>
          <w:szCs w:val="24"/>
          <w:lang w:val="en-US" w:eastAsia="zh-CN"/>
          <w14:textFill>
            <w14:solidFill>
              <w14:schemeClr w14:val="tx1"/>
            </w14:solidFill>
          </w14:textFill>
        </w:rPr>
        <w:t>4、付款方式：招标范围内容全部完成，</w:t>
      </w:r>
      <w:r>
        <w:rPr>
          <w:rFonts w:hint="eastAsia" w:ascii="宋体" w:hAnsi="宋体" w:eastAsia="宋体" w:cs="Times New Roman"/>
          <w:color w:val="000000" w:themeColor="text1"/>
          <w:sz w:val="24"/>
          <w:szCs w:val="24"/>
          <w:lang w:val="en-US" w:eastAsia="zh-TW"/>
          <w14:textFill>
            <w14:solidFill>
              <w14:schemeClr w14:val="tx1"/>
            </w14:solidFill>
          </w14:textFill>
        </w:rPr>
        <w:t>本项目无预付款和进度款，货物运送至校方指定地点，安装调试完毕并经验收合格，校方自收到中标人提供的全额增值税</w:t>
      </w:r>
      <w:r>
        <w:rPr>
          <w:rFonts w:hint="eastAsia" w:ascii="宋体" w:hAnsi="宋体" w:cs="Times New Roman"/>
          <w:color w:val="000000" w:themeColor="text1"/>
          <w:sz w:val="24"/>
          <w:szCs w:val="24"/>
          <w:lang w:val="en-US" w:eastAsia="zh-CN"/>
          <w14:textFill>
            <w14:solidFill>
              <w14:schemeClr w14:val="tx1"/>
            </w14:solidFill>
          </w14:textFill>
        </w:rPr>
        <w:t>普通发票</w:t>
      </w:r>
      <w:r>
        <w:rPr>
          <w:rFonts w:hint="eastAsia" w:ascii="宋体" w:hAnsi="宋体" w:eastAsia="宋体" w:cs="Times New Roman"/>
          <w:color w:val="000000" w:themeColor="text1"/>
          <w:sz w:val="24"/>
          <w:szCs w:val="24"/>
          <w:lang w:val="en-US" w:eastAsia="zh-TW"/>
          <w14:textFill>
            <w14:solidFill>
              <w14:schemeClr w14:val="tx1"/>
            </w14:solidFill>
          </w14:textFill>
        </w:rPr>
        <w:t>之日起30个工作日内,</w:t>
      </w:r>
      <w:r>
        <w:rPr>
          <w:rFonts w:hint="eastAsia" w:ascii="宋体" w:hAnsi="宋体" w:eastAsia="宋体" w:cs="Times New Roman"/>
          <w:color w:val="000000" w:themeColor="text1"/>
          <w:sz w:val="24"/>
          <w:szCs w:val="24"/>
          <w:lang w:val="zh-CN" w:eastAsia="zh-CN"/>
          <w14:textFill>
            <w14:solidFill>
              <w14:schemeClr w14:val="tx1"/>
            </w14:solidFill>
          </w14:textFill>
        </w:rPr>
        <w:t>在验收合格后无质量、服务问题时一次性付清（无息）。</w:t>
      </w:r>
      <w:r>
        <w:rPr>
          <w:rFonts w:hint="eastAsia" w:ascii="宋体" w:hAnsi="宋体" w:eastAsia="宋体" w:cs="Times New Roman"/>
          <w:color w:val="000000" w:themeColor="text1"/>
          <w:sz w:val="24"/>
          <w:szCs w:val="24"/>
          <w:lang w:val="en-US" w:eastAsia="zh-CN"/>
          <w14:textFill>
            <w14:solidFill>
              <w14:schemeClr w14:val="tx1"/>
            </w14:solidFill>
          </w14:textFill>
        </w:rPr>
        <w:t xml:space="preserve"> </w:t>
      </w:r>
    </w:p>
    <w:p>
      <w:pPr>
        <w:keepNext w:val="0"/>
        <w:keepLines w:val="0"/>
        <w:pageBreakBefore w:val="0"/>
        <w:kinsoku/>
        <w:wordWrap/>
        <w:overflowPunct/>
        <w:topLinePunct w:val="0"/>
        <w:bidi w:val="0"/>
        <w:adjustRightInd/>
        <w:snapToGrid/>
        <w:spacing w:line="240" w:lineRule="auto"/>
        <w:ind w:firstLine="482" w:firstLineChars="200"/>
        <w:textAlignment w:val="auto"/>
        <w:rPr>
          <w:rFonts w:ascii="宋体" w:hAnsi="宋体"/>
          <w:b/>
          <w:color w:val="000000" w:themeColor="text1"/>
          <w:sz w:val="24"/>
          <w:szCs w:val="24"/>
          <w14:textFill>
            <w14:solidFill>
              <w14:schemeClr w14:val="tx1"/>
            </w14:solidFill>
          </w14:textFill>
        </w:rPr>
      </w:pPr>
      <w:r>
        <w:rPr>
          <w:rFonts w:hint="eastAsia" w:ascii="宋体" w:hAnsi="宋体" w:cs="宋体"/>
          <w:b/>
          <w:bCs/>
          <w:color w:val="000000" w:themeColor="text1"/>
          <w:sz w:val="24"/>
          <w:szCs w:val="24"/>
          <w:lang w:val="en-US" w:eastAsia="zh-CN"/>
          <w14:textFill>
            <w14:solidFill>
              <w14:schemeClr w14:val="tx1"/>
            </w14:solidFill>
          </w14:textFill>
        </w:rPr>
        <w:t>二</w:t>
      </w:r>
      <w:r>
        <w:rPr>
          <w:rFonts w:hint="eastAsia" w:ascii="宋体" w:hAnsi="宋体" w:cs="宋体"/>
          <w:b/>
          <w:bCs/>
          <w:color w:val="000000" w:themeColor="text1"/>
          <w:sz w:val="24"/>
          <w:szCs w:val="24"/>
          <w14:textFill>
            <w14:solidFill>
              <w14:schemeClr w14:val="tx1"/>
            </w14:solidFill>
          </w14:textFill>
        </w:rPr>
        <w:t>、</w:t>
      </w:r>
      <w:r>
        <w:rPr>
          <w:rFonts w:hint="eastAsia" w:ascii="宋体" w:hAnsi="宋体"/>
          <w:b/>
          <w:color w:val="000000" w:themeColor="text1"/>
          <w:sz w:val="24"/>
          <w:szCs w:val="24"/>
          <w14:textFill>
            <w14:solidFill>
              <w14:schemeClr w14:val="tx1"/>
            </w14:solidFill>
          </w14:textFill>
        </w:rPr>
        <w:t>报价、计价说明</w:t>
      </w:r>
    </w:p>
    <w:p>
      <w:pPr>
        <w:keepNext w:val="0"/>
        <w:keepLines w:val="0"/>
        <w:pageBreakBefore w:val="0"/>
        <w:kinsoku/>
        <w:wordWrap/>
        <w:overflowPunct/>
        <w:topLinePunct w:val="0"/>
        <w:bidi w:val="0"/>
        <w:adjustRightInd/>
        <w:snapToGrid/>
        <w:spacing w:line="240" w:lineRule="auto"/>
        <w:ind w:firstLine="480" w:firstLineChars="200"/>
        <w:textAlignment w:val="auto"/>
        <w:rPr>
          <w:color w:val="000000" w:themeColor="text1"/>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w:t>
      </w:r>
      <w:r>
        <w:rPr>
          <w:rFonts w:hint="eastAsia" w:ascii="宋体" w:hAnsi="宋体" w:cs="宋体"/>
          <w:color w:val="000000" w:themeColor="text1"/>
          <w:sz w:val="24"/>
          <w:szCs w:val="24"/>
          <w:lang w:val="en-US" w:eastAsia="zh-CN"/>
          <w14:textFill>
            <w14:solidFill>
              <w14:schemeClr w14:val="tx1"/>
            </w14:solidFill>
          </w14:textFill>
        </w:rPr>
        <w:t>1、</w:t>
      </w:r>
      <w:r>
        <w:rPr>
          <w:rFonts w:hint="eastAsia" w:ascii="宋体" w:hAnsi="宋体" w:cs="宋体"/>
          <w:color w:val="000000" w:themeColor="text1"/>
          <w:sz w:val="24"/>
          <w:szCs w:val="24"/>
          <w14:textFill>
            <w14:solidFill>
              <w14:schemeClr w14:val="tx1"/>
            </w14:solidFill>
          </w14:textFill>
        </w:rPr>
        <w:t>本项目采用全费用固定单价报价，合同实施过程中中标单价不作调整。</w:t>
      </w:r>
      <w:r>
        <w:rPr>
          <w:rFonts w:hint="eastAsia" w:ascii="宋体" w:hAnsi="宋体" w:cs="宋体"/>
          <w:color w:val="000000" w:themeColor="text1"/>
          <w:sz w:val="24"/>
          <w14:textFill>
            <w14:solidFill>
              <w14:schemeClr w14:val="tx1"/>
            </w14:solidFill>
          </w14:textFill>
        </w:rPr>
        <w:t>统一采用人民币作为计量单位，并且精确到元、角、分(精确到小数点后二位数)。</w:t>
      </w:r>
    </w:p>
    <w:p>
      <w:pPr>
        <w:keepNext w:val="0"/>
        <w:keepLines w:val="0"/>
        <w:pageBreakBefore w:val="0"/>
        <w:kinsoku/>
        <w:wordWrap/>
        <w:overflowPunct/>
        <w:topLinePunct w:val="0"/>
        <w:bidi w:val="0"/>
        <w:adjustRightInd/>
        <w:snapToGrid/>
        <w:spacing w:line="240" w:lineRule="auto"/>
        <w:ind w:firstLine="482" w:firstLineChars="200"/>
        <w:jc w:val="left"/>
        <w:textAlignment w:val="auto"/>
        <w:rPr>
          <w:rFonts w:hint="eastAsia"/>
          <w:b/>
          <w:bCs/>
          <w:color w:val="000000" w:themeColor="text1"/>
          <w:kern w:val="2"/>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技术要求中规定的安装、调试和培训费用</w:t>
      </w:r>
      <w:r>
        <w:rPr>
          <w:rFonts w:hint="eastAsia" w:ascii="宋体" w:hAnsi="宋体" w:cs="宋体"/>
          <w:color w:val="000000" w:themeColor="text1"/>
          <w:sz w:val="24"/>
          <w14:textFill>
            <w14:solidFill>
              <w14:schemeClr w14:val="tx1"/>
            </w14:solidFill>
          </w14:textFill>
        </w:rPr>
        <w:t>应包括在投标报价中。投标报价包括了交付使用前的全部费用，包括但不限于设备费（包括所有制造采购成本、附件、配件、备品备件及专用工具费等）、运输费、保险费、培训费、安装、调试、验收费用、质保期内的维修调换费、其他费用（如包装费、仓储费、保管费、资料费以及完成本项目所需要的其他费用）、管理费、利润、风险费用、</w:t>
      </w:r>
      <w:r>
        <w:rPr>
          <w:rFonts w:hint="eastAsia" w:ascii="宋体" w:hAnsi="宋体" w:cs="宋体"/>
          <w:bCs/>
          <w:color w:val="000000" w:themeColor="text1"/>
          <w:sz w:val="24"/>
          <w14:textFill>
            <w14:solidFill>
              <w14:schemeClr w14:val="tx1"/>
            </w14:solidFill>
          </w14:textFill>
        </w:rPr>
        <w:t>招标代理费</w:t>
      </w:r>
      <w:r>
        <w:rPr>
          <w:rFonts w:hint="eastAsia" w:ascii="宋体" w:hAnsi="宋体" w:cs="宋体"/>
          <w:color w:val="000000" w:themeColor="text1"/>
          <w:sz w:val="24"/>
          <w14:textFill>
            <w14:solidFill>
              <w14:schemeClr w14:val="tx1"/>
            </w14:solidFill>
          </w14:textFill>
        </w:rPr>
        <w:t>、国家对乙方征收的各种税费等涉及到的所有费用。</w:t>
      </w:r>
    </w:p>
    <w:p>
      <w:pPr>
        <w:pStyle w:val="40"/>
        <w:keepNext w:val="0"/>
        <w:keepLines w:val="0"/>
        <w:pageBreakBefore w:val="0"/>
        <w:kinsoku/>
        <w:wordWrap/>
        <w:overflowPunct/>
        <w:topLinePunct w:val="0"/>
        <w:bidi w:val="0"/>
        <w:adjustRightInd/>
        <w:snapToGrid/>
        <w:spacing w:before="0" w:beforeAutospacing="0" w:after="0" w:afterAutospacing="0" w:line="240" w:lineRule="auto"/>
        <w:ind w:firstLine="482" w:firstLineChars="200"/>
        <w:textAlignment w:val="auto"/>
        <w:rPr>
          <w:b/>
          <w:bCs/>
          <w:color w:val="000000" w:themeColor="text1"/>
          <w:kern w:val="2"/>
          <w14:textFill>
            <w14:solidFill>
              <w14:schemeClr w14:val="tx1"/>
            </w14:solidFill>
          </w14:textFill>
        </w:rPr>
      </w:pPr>
      <w:r>
        <w:rPr>
          <w:rFonts w:hint="eastAsia"/>
          <w:b/>
          <w:bCs/>
          <w:color w:val="000000" w:themeColor="text1"/>
          <w:kern w:val="2"/>
          <w:lang w:val="en-US" w:eastAsia="zh-CN"/>
          <w14:textFill>
            <w14:solidFill>
              <w14:schemeClr w14:val="tx1"/>
            </w14:solidFill>
          </w14:textFill>
        </w:rPr>
        <w:t>三</w:t>
      </w:r>
      <w:r>
        <w:rPr>
          <w:rFonts w:hint="eastAsia"/>
          <w:b/>
          <w:bCs/>
          <w:color w:val="000000" w:themeColor="text1"/>
          <w:kern w:val="2"/>
          <w14:textFill>
            <w14:solidFill>
              <w14:schemeClr w14:val="tx1"/>
            </w14:solidFill>
          </w14:textFill>
        </w:rPr>
        <w:t>、</w:t>
      </w:r>
      <w:r>
        <w:rPr>
          <w:rFonts w:hint="eastAsia"/>
          <w:b/>
          <w:color w:val="000000" w:themeColor="text1"/>
          <w14:textFill>
            <w14:solidFill>
              <w14:schemeClr w14:val="tx1"/>
            </w14:solidFill>
          </w14:textFill>
        </w:rPr>
        <w:t>项目具体技术要求</w:t>
      </w:r>
      <w:r>
        <w:rPr>
          <w:rFonts w:hint="eastAsia"/>
          <w:b/>
          <w:bCs/>
          <w:color w:val="000000" w:themeColor="text1"/>
          <w:kern w:val="2"/>
          <w14:textFill>
            <w14:solidFill>
              <w14:schemeClr w14:val="tx1"/>
            </w14:solidFill>
          </w14:textFill>
        </w:rPr>
        <w:t>：</w:t>
      </w:r>
    </w:p>
    <w:p>
      <w:pPr>
        <w:rPr>
          <w:rFonts w:hint="eastAsia" w:eastAsia="宋体"/>
          <w:b/>
          <w:color w:val="000000" w:themeColor="text1"/>
          <w:sz w:val="44"/>
          <w:lang w:val="en-US" w:eastAsia="zh-CN"/>
          <w14:textFill>
            <w14:solidFill>
              <w14:schemeClr w14:val="tx1"/>
            </w14:solidFill>
          </w14:textFill>
        </w:rPr>
      </w:pPr>
      <w:r>
        <w:rPr>
          <w:rFonts w:hint="eastAsia" w:ascii="宋体" w:hAnsi="宋体"/>
          <w:color w:val="000000" w:themeColor="text1"/>
          <w:sz w:val="24"/>
          <w:szCs w:val="24"/>
          <w:u w:val="single"/>
          <w14:textFill>
            <w14:solidFill>
              <w14:schemeClr w14:val="tx1"/>
            </w14:solidFill>
          </w14:textFill>
        </w:rPr>
        <w:t>（详见采购清单）</w:t>
      </w:r>
      <w:r>
        <w:rPr>
          <w:rFonts w:hint="eastAsia" w:ascii="宋体" w:hAnsi="宋体"/>
          <w:color w:val="000000" w:themeColor="text1"/>
          <w:sz w:val="24"/>
          <w:szCs w:val="24"/>
          <w:u w:val="single"/>
          <w:lang w:val="en-US" w:eastAsia="zh-CN"/>
          <w14:textFill>
            <w14:solidFill>
              <w14:schemeClr w14:val="tx1"/>
            </w14:solidFill>
          </w14:textFill>
        </w:rPr>
        <w:t>附件</w:t>
      </w:r>
    </w:p>
    <w:p>
      <w:pPr>
        <w:pStyle w:val="40"/>
        <w:jc w:val="center"/>
        <w:rPr>
          <w:rFonts w:hint="eastAsia"/>
          <w:b/>
          <w:color w:val="000000" w:themeColor="text1"/>
          <w:sz w:val="44"/>
          <w14:textFill>
            <w14:solidFill>
              <w14:schemeClr w14:val="tx1"/>
            </w14:solidFill>
          </w14:textFill>
        </w:rPr>
      </w:pPr>
    </w:p>
    <w:p>
      <w:pPr>
        <w:pStyle w:val="40"/>
        <w:jc w:val="center"/>
        <w:outlineLvl w:val="0"/>
        <w:rPr>
          <w:b/>
          <w:color w:val="000000" w:themeColor="text1"/>
          <w:sz w:val="44"/>
          <w14:textFill>
            <w14:solidFill>
              <w14:schemeClr w14:val="tx1"/>
            </w14:solidFill>
          </w14:textFill>
        </w:rPr>
      </w:pPr>
      <w:bookmarkStart w:id="211" w:name="_Toc11599"/>
      <w:r>
        <w:rPr>
          <w:rFonts w:hint="eastAsia"/>
          <w:b/>
          <w:color w:val="000000" w:themeColor="text1"/>
          <w:sz w:val="44"/>
          <w14:textFill>
            <w14:solidFill>
              <w14:schemeClr w14:val="tx1"/>
            </w14:solidFill>
          </w14:textFill>
        </w:rPr>
        <w:t>第五章  评标方法与评标标准</w:t>
      </w:r>
      <w:bookmarkEnd w:id="211"/>
    </w:p>
    <w:p>
      <w:pPr>
        <w:numPr>
          <w:ilvl w:val="0"/>
          <w:numId w:val="0"/>
        </w:numPr>
        <w:spacing w:line="440" w:lineRule="exact"/>
        <w:ind w:firstLine="482" w:firstLineChars="200"/>
        <w:rPr>
          <w:rFonts w:hint="eastAsia" w:ascii="Times New Roman" w:hAnsi="Times New Roman" w:eastAsia="宋体" w:cs="Times New Roman"/>
          <w:b/>
          <w:bCs/>
          <w:color w:val="000000" w:themeColor="text1"/>
          <w:sz w:val="24"/>
          <w:szCs w:val="24"/>
          <w:lang w:val="en-US" w:eastAsia="zh-CN"/>
          <w14:textFill>
            <w14:solidFill>
              <w14:schemeClr w14:val="tx1"/>
            </w14:solidFill>
          </w14:textFill>
        </w:rPr>
      </w:pPr>
      <w:r>
        <w:rPr>
          <w:rFonts w:hint="eastAsia" w:ascii="Times New Roman" w:hAnsi="Times New Roman" w:eastAsia="宋体" w:cs="Times New Roman"/>
          <w:b/>
          <w:bCs/>
          <w:color w:val="000000" w:themeColor="text1"/>
          <w:sz w:val="24"/>
          <w:szCs w:val="24"/>
          <w:lang w:val="en-US" w:eastAsia="zh-CN"/>
          <w14:textFill>
            <w14:solidFill>
              <w14:schemeClr w14:val="tx1"/>
            </w14:solidFill>
          </w14:textFill>
        </w:rPr>
        <w:t>一、评标办法</w:t>
      </w:r>
    </w:p>
    <w:p>
      <w:pPr>
        <w:numPr>
          <w:ilvl w:val="0"/>
          <w:numId w:val="0"/>
        </w:numPr>
        <w:spacing w:line="440" w:lineRule="exact"/>
        <w:ind w:firstLine="480" w:firstLineChars="200"/>
        <w:rPr>
          <w:rFonts w:hint="eastAsia"/>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本工程招标评标办法采用“采用最低评标价法”，</w:t>
      </w:r>
      <w:r>
        <w:rPr>
          <w:rFonts w:hint="eastAsia"/>
          <w:color w:val="000000" w:themeColor="text1"/>
          <w:sz w:val="24"/>
          <w:szCs w:val="24"/>
          <w:lang w:val="en-US" w:eastAsia="zh-CN"/>
          <w14:textFill>
            <w14:solidFill>
              <w14:schemeClr w14:val="tx1"/>
            </w14:solidFill>
          </w14:textFill>
        </w:rPr>
        <w:t>本工程</w:t>
      </w:r>
      <w:r>
        <w:rPr>
          <w:rFonts w:hint="eastAsia"/>
          <w:color w:val="000000" w:themeColor="text1"/>
          <w:sz w:val="24"/>
          <w:szCs w:val="24"/>
          <w14:textFill>
            <w14:solidFill>
              <w14:schemeClr w14:val="tx1"/>
            </w14:solidFill>
          </w14:textFill>
        </w:rPr>
        <w:t>投标文件满足招标文件的全部实质性要求，且投标报价最低的投标人为</w:t>
      </w:r>
      <w:r>
        <w:rPr>
          <w:rFonts w:hint="eastAsia"/>
          <w:color w:val="000000" w:themeColor="text1"/>
          <w:sz w:val="24"/>
          <w:szCs w:val="24"/>
          <w:lang w:val="en-US" w:eastAsia="zh-CN"/>
          <w14:textFill>
            <w14:solidFill>
              <w14:schemeClr w14:val="tx1"/>
            </w14:solidFill>
          </w14:textFill>
        </w:rPr>
        <w:t>该采购材料</w:t>
      </w:r>
      <w:r>
        <w:rPr>
          <w:rFonts w:hint="eastAsia"/>
          <w:color w:val="000000" w:themeColor="text1"/>
          <w:sz w:val="24"/>
          <w:szCs w:val="24"/>
          <w14:textFill>
            <w14:solidFill>
              <w14:schemeClr w14:val="tx1"/>
            </w14:solidFill>
          </w14:textFill>
        </w:rPr>
        <w:t>中标候选人；最低报价相同的，则再次竞价，按报价由低到高的顺序确定</w:t>
      </w:r>
      <w:r>
        <w:rPr>
          <w:rFonts w:hint="eastAsia"/>
          <w:color w:val="000000" w:themeColor="text1"/>
          <w:sz w:val="24"/>
          <w:szCs w:val="24"/>
          <w:lang w:val="en-US" w:eastAsia="zh-CN"/>
          <w14:textFill>
            <w14:solidFill>
              <w14:schemeClr w14:val="tx1"/>
            </w14:solidFill>
          </w14:textFill>
        </w:rPr>
        <w:t>1</w:t>
      </w:r>
      <w:r>
        <w:rPr>
          <w:rFonts w:hint="eastAsia"/>
          <w:color w:val="000000" w:themeColor="text1"/>
          <w:sz w:val="24"/>
          <w:szCs w:val="24"/>
          <w14:textFill>
            <w14:solidFill>
              <w14:schemeClr w14:val="tx1"/>
            </w14:solidFill>
          </w14:textFill>
        </w:rPr>
        <w:t>名中标候选人；若再次并列，由评标委员会抽签确定中标候选人。</w:t>
      </w:r>
    </w:p>
    <w:p>
      <w:pPr>
        <w:numPr>
          <w:ilvl w:val="0"/>
          <w:numId w:val="0"/>
        </w:numPr>
        <w:spacing w:line="440" w:lineRule="exact"/>
        <w:ind w:firstLine="482" w:firstLineChars="200"/>
        <w:rPr>
          <w:rFonts w:hint="eastAsia" w:ascii="Times New Roman" w:hAnsi="Times New Roman" w:eastAsia="宋体" w:cs="Times New Roman"/>
          <w:b/>
          <w:bCs/>
          <w:color w:val="000000" w:themeColor="text1"/>
          <w:sz w:val="24"/>
          <w:szCs w:val="24"/>
          <w:lang w:val="en-US" w:eastAsia="zh-CN"/>
          <w14:textFill>
            <w14:solidFill>
              <w14:schemeClr w14:val="tx1"/>
            </w14:solidFill>
          </w14:textFill>
        </w:rPr>
      </w:pPr>
      <w:r>
        <w:rPr>
          <w:rFonts w:hint="eastAsia" w:ascii="Times New Roman" w:hAnsi="Times New Roman" w:eastAsia="宋体" w:cs="Times New Roman"/>
          <w:b/>
          <w:bCs/>
          <w:color w:val="000000" w:themeColor="text1"/>
          <w:sz w:val="24"/>
          <w:szCs w:val="24"/>
          <w:lang w:val="en-US" w:eastAsia="zh-CN"/>
          <w14:textFill>
            <w14:solidFill>
              <w14:schemeClr w14:val="tx1"/>
            </w14:solidFill>
          </w14:textFill>
        </w:rPr>
        <w:t>二、评标原则</w:t>
      </w:r>
    </w:p>
    <w:p>
      <w:pPr>
        <w:numPr>
          <w:ilvl w:val="0"/>
          <w:numId w:val="0"/>
        </w:numPr>
        <w:spacing w:line="440" w:lineRule="exact"/>
        <w:ind w:firstLine="480" w:firstLineChars="200"/>
        <w:rPr>
          <w:rFonts w:hint="eastAsia" w:ascii="Times New Roman" w:hAnsi="Times New Roman" w:eastAsia="宋体" w:cs="Times New Roman"/>
          <w:color w:val="000000" w:themeColor="text1"/>
          <w:sz w:val="24"/>
          <w:szCs w:val="24"/>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lang w:val="en-US" w:eastAsia="zh-CN"/>
          <w14:textFill>
            <w14:solidFill>
              <w14:schemeClr w14:val="tx1"/>
            </w14:solidFill>
          </w14:textFill>
        </w:rPr>
        <w:t>1、评标委员会严格按照公平、公正、科学择优的原则进行评标。</w:t>
      </w:r>
    </w:p>
    <w:p>
      <w:pPr>
        <w:numPr>
          <w:ilvl w:val="0"/>
          <w:numId w:val="0"/>
        </w:numPr>
        <w:spacing w:line="440" w:lineRule="exact"/>
        <w:ind w:firstLine="480" w:firstLineChars="200"/>
        <w:rPr>
          <w:rFonts w:hint="eastAsia" w:ascii="Times New Roman" w:hAnsi="Times New Roman" w:eastAsia="宋体" w:cs="Times New Roman"/>
          <w:color w:val="000000" w:themeColor="text1"/>
          <w:sz w:val="24"/>
          <w:szCs w:val="24"/>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lang w:val="en-US" w:eastAsia="zh-CN"/>
          <w14:textFill>
            <w14:solidFill>
              <w14:schemeClr w14:val="tx1"/>
            </w14:solidFill>
          </w14:textFill>
        </w:rPr>
        <w:t>2、评标委员会严格按照招标文件的要求进行评标，严格审查投标文件是否符合招标文件的所有条款、条件和规定。</w:t>
      </w:r>
    </w:p>
    <w:p>
      <w:pPr>
        <w:numPr>
          <w:ilvl w:val="0"/>
          <w:numId w:val="0"/>
        </w:numPr>
        <w:spacing w:line="440" w:lineRule="exact"/>
        <w:ind w:firstLine="482" w:firstLineChars="200"/>
        <w:rPr>
          <w:rFonts w:hint="eastAsia" w:ascii="Times New Roman" w:hAnsi="Times New Roman" w:eastAsia="宋体" w:cs="Times New Roman"/>
          <w:b/>
          <w:bCs/>
          <w:color w:val="000000" w:themeColor="text1"/>
          <w:sz w:val="24"/>
          <w:szCs w:val="24"/>
          <w:lang w:val="en-US" w:eastAsia="zh-CN"/>
          <w14:textFill>
            <w14:solidFill>
              <w14:schemeClr w14:val="tx1"/>
            </w14:solidFill>
          </w14:textFill>
        </w:rPr>
      </w:pPr>
      <w:r>
        <w:rPr>
          <w:rFonts w:hint="eastAsia" w:ascii="Times New Roman" w:hAnsi="Times New Roman" w:eastAsia="宋体" w:cs="Times New Roman"/>
          <w:b/>
          <w:bCs/>
          <w:color w:val="000000" w:themeColor="text1"/>
          <w:sz w:val="24"/>
          <w:szCs w:val="24"/>
          <w:lang w:val="en-US" w:eastAsia="zh-CN"/>
          <w14:textFill>
            <w14:solidFill>
              <w14:schemeClr w14:val="tx1"/>
            </w14:solidFill>
          </w14:textFill>
        </w:rPr>
        <w:t>三、评审说明</w:t>
      </w:r>
    </w:p>
    <w:p>
      <w:pPr>
        <w:numPr>
          <w:ilvl w:val="0"/>
          <w:numId w:val="0"/>
        </w:numPr>
        <w:spacing w:line="440" w:lineRule="exact"/>
        <w:ind w:firstLine="480" w:firstLineChars="200"/>
        <w:rPr>
          <w:rFonts w:hint="eastAsia" w:ascii="Times New Roman" w:hAnsi="Times New Roman" w:eastAsia="宋体" w:cs="Times New Roman"/>
          <w:color w:val="000000" w:themeColor="text1"/>
          <w:sz w:val="24"/>
          <w:szCs w:val="24"/>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lang w:eastAsia="zh-CN"/>
          <w14:textFill>
            <w14:solidFill>
              <w14:schemeClr w14:val="tx1"/>
            </w14:solidFill>
          </w14:textFill>
        </w:rPr>
        <w:t>（</w:t>
      </w:r>
      <w:bookmarkStart w:id="268" w:name="_GoBack"/>
      <w:bookmarkEnd w:id="268"/>
      <w:r>
        <w:rPr>
          <w:rFonts w:hint="eastAsia" w:ascii="Times New Roman" w:hAnsi="Times New Roman" w:eastAsia="宋体" w:cs="Times New Roman"/>
          <w:color w:val="000000" w:themeColor="text1"/>
          <w:sz w:val="24"/>
          <w:szCs w:val="24"/>
          <w:lang w:val="en-US" w:eastAsia="zh-CN"/>
          <w14:textFill>
            <w14:solidFill>
              <w14:schemeClr w14:val="tx1"/>
            </w14:solidFill>
          </w14:textFill>
        </w:rPr>
        <w:t>1</w:t>
      </w:r>
      <w:r>
        <w:rPr>
          <w:rFonts w:hint="eastAsia" w:ascii="Times New Roman" w:hAnsi="Times New Roman" w:eastAsia="宋体" w:cs="Times New Roman"/>
          <w:color w:val="000000" w:themeColor="text1"/>
          <w:sz w:val="24"/>
          <w:szCs w:val="24"/>
          <w:lang w:eastAsia="zh-CN"/>
          <w14:textFill>
            <w14:solidFill>
              <w14:schemeClr w14:val="tx1"/>
            </w14:solidFill>
          </w14:textFill>
        </w:rPr>
        <w:t>）</w:t>
      </w:r>
      <w:r>
        <w:rPr>
          <w:rFonts w:hint="eastAsia" w:ascii="Times New Roman" w:hAnsi="Times New Roman" w:eastAsia="宋体" w:cs="Times New Roman"/>
          <w:color w:val="000000" w:themeColor="text1"/>
          <w:sz w:val="24"/>
          <w:szCs w:val="24"/>
          <w14:textFill>
            <w14:solidFill>
              <w14:schemeClr w14:val="tx1"/>
            </w14:solidFill>
          </w14:textFill>
        </w:rPr>
        <w:t>资格审查</w:t>
      </w:r>
      <w:r>
        <w:rPr>
          <w:rFonts w:hint="eastAsia" w:ascii="Times New Roman" w:hAnsi="Times New Roman" w:eastAsia="宋体" w:cs="Times New Roman"/>
          <w:color w:val="000000" w:themeColor="text1"/>
          <w:sz w:val="24"/>
          <w:szCs w:val="24"/>
          <w:lang w:eastAsia="zh-CN"/>
          <w14:textFill>
            <w14:solidFill>
              <w14:schemeClr w14:val="tx1"/>
            </w14:solidFill>
          </w14:textFill>
        </w:rPr>
        <w:t>：</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评标委员会小组首先按须知要求对投标人的资格进行审查，经审查合格的文件才能进行初步评审。</w:t>
      </w:r>
    </w:p>
    <w:p>
      <w:pPr>
        <w:numPr>
          <w:ilvl w:val="0"/>
          <w:numId w:val="0"/>
        </w:numPr>
        <w:spacing w:line="440" w:lineRule="exact"/>
        <w:ind w:firstLine="480" w:firstLineChars="200"/>
        <w:rPr>
          <w:rFonts w:hint="eastAsia" w:ascii="Times New Roman" w:hAnsi="Times New Roman" w:eastAsia="宋体" w:cs="Times New Roman"/>
          <w:color w:val="000000" w:themeColor="text1"/>
          <w:sz w:val="24"/>
          <w:szCs w:val="24"/>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lang w:val="en-US" w:eastAsia="zh-CN"/>
          <w14:textFill>
            <w14:solidFill>
              <w14:schemeClr w14:val="tx1"/>
            </w14:solidFill>
          </w14:textFill>
        </w:rPr>
        <w:t>（2）初步评审：评标委员会小组将审查投标申请文件是否实质上响应了招标文件的要求，对实质上响应招标文件要求的投标申请文件可进入下一步评审，对实质上不响应招标文件的视为无效。</w:t>
      </w:r>
    </w:p>
    <w:p>
      <w:pPr>
        <w:pStyle w:val="44"/>
        <w:ind w:left="0" w:leftChars="0" w:firstLine="723" w:firstLineChars="300"/>
        <w:rPr>
          <w:rFonts w:hint="eastAsia" w:ascii="Times New Roman" w:hAnsi="Times New Roman" w:eastAsia="宋体" w:cs="Times New Roman"/>
          <w:color w:val="000000" w:themeColor="text1"/>
          <w:kern w:val="2"/>
          <w:sz w:val="24"/>
          <w:szCs w:val="24"/>
          <w:u w:val="none"/>
          <w:lang w:val="en-US" w:eastAsia="zh-CN" w:bidi="ar-SA"/>
          <w14:textFill>
            <w14:solidFill>
              <w14:schemeClr w14:val="tx1"/>
            </w14:solidFill>
          </w14:textFill>
        </w:rPr>
      </w:pPr>
      <w:r>
        <w:rPr>
          <w:rFonts w:hint="eastAsia" w:ascii="Times New Roman" w:hAnsi="Times New Roman" w:cs="Times New Roman"/>
          <w:b/>
          <w:bCs/>
          <w:color w:val="000000" w:themeColor="text1"/>
          <w:kern w:val="2"/>
          <w:sz w:val="24"/>
          <w:szCs w:val="24"/>
          <w:u w:val="none"/>
          <w:lang w:val="en-US" w:eastAsia="zh-CN" w:bidi="ar-SA"/>
          <w14:textFill>
            <w14:solidFill>
              <w14:schemeClr w14:val="tx1"/>
            </w14:solidFill>
          </w14:textFill>
        </w:rPr>
        <w:t>四</w:t>
      </w:r>
      <w:r>
        <w:rPr>
          <w:rFonts w:hint="eastAsia" w:ascii="Times New Roman" w:hAnsi="Times New Roman" w:eastAsia="宋体" w:cs="Times New Roman"/>
          <w:b/>
          <w:bCs/>
          <w:color w:val="000000" w:themeColor="text1"/>
          <w:kern w:val="2"/>
          <w:sz w:val="24"/>
          <w:szCs w:val="24"/>
          <w:u w:val="none"/>
          <w:lang w:val="en-US" w:eastAsia="zh-CN" w:bidi="ar-SA"/>
          <w14:textFill>
            <w14:solidFill>
              <w14:schemeClr w14:val="tx1"/>
            </w14:solidFill>
          </w14:textFill>
        </w:rPr>
        <w:t>、评标标准</w:t>
      </w:r>
      <w:r>
        <w:rPr>
          <w:rFonts w:hint="eastAsia" w:ascii="Times New Roman" w:hAnsi="Times New Roman" w:eastAsia="宋体" w:cs="Times New Roman"/>
          <w:color w:val="000000" w:themeColor="text1"/>
          <w:kern w:val="2"/>
          <w:sz w:val="24"/>
          <w:szCs w:val="24"/>
          <w:u w:val="none"/>
          <w:lang w:val="en-US" w:eastAsia="zh-CN" w:bidi="ar-SA"/>
          <w14:textFill>
            <w14:solidFill>
              <w14:schemeClr w14:val="tx1"/>
            </w14:solidFill>
          </w14:textFill>
        </w:rPr>
        <w:t xml:space="preserve"> </w:t>
      </w:r>
    </w:p>
    <w:p>
      <w:pPr>
        <w:spacing w:line="440" w:lineRule="exact"/>
        <w:ind w:firstLine="480" w:firstLineChars="200"/>
        <w:rPr>
          <w:rFonts w:hint="eastAsia" w:ascii="Times New Roman" w:hAnsi="Times New Roman" w:eastAsia="宋体" w:cs="Times New Roman"/>
          <w:color w:val="000000" w:themeColor="text1"/>
          <w:kern w:val="2"/>
          <w:sz w:val="24"/>
          <w:szCs w:val="24"/>
          <w:u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4"/>
          <w:szCs w:val="24"/>
          <w:u w:val="none"/>
          <w:lang w:val="en-US" w:eastAsia="zh-CN" w:bidi="ar-SA"/>
          <w14:textFill>
            <w14:solidFill>
              <w14:schemeClr w14:val="tx1"/>
            </w14:solidFill>
          </w14:textFill>
        </w:rPr>
        <w:t>评标委员会通过评审，确定全部满足招标文件实质性要求前提下，投标报价的单个货物最低值，则确定为单个货物中标供应商，如投标报价相同时，由招标人采用随机抽签方式确定。</w:t>
      </w:r>
    </w:p>
    <w:p>
      <w:pPr>
        <w:pStyle w:val="44"/>
        <w:ind w:left="0" w:leftChars="0" w:firstLine="720" w:firstLineChars="300"/>
        <w:rPr>
          <w:rFonts w:hint="default" w:ascii="Times New Roman" w:hAnsi="Times New Roman" w:eastAsia="宋体" w:cs="Times New Roman"/>
          <w:color w:val="000000" w:themeColor="text1"/>
          <w:kern w:val="2"/>
          <w:sz w:val="24"/>
          <w:szCs w:val="24"/>
          <w:u w:val="none"/>
          <w:lang w:val="en-US" w:eastAsia="zh-CN" w:bidi="ar-SA"/>
          <w14:textFill>
            <w14:solidFill>
              <w14:schemeClr w14:val="tx1"/>
            </w14:solidFill>
          </w14:textFill>
        </w:rPr>
      </w:pPr>
    </w:p>
    <w:p>
      <w:pPr>
        <w:pStyle w:val="44"/>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pPr>
    </w:p>
    <w:p>
      <w:pPr>
        <w:pStyle w:val="44"/>
        <w:rPr>
          <w:rFonts w:hint="eastAsia"/>
          <w:color w:val="000000" w:themeColor="text1"/>
          <w:sz w:val="24"/>
          <w:szCs w:val="24"/>
          <w14:textFill>
            <w14:solidFill>
              <w14:schemeClr w14:val="tx1"/>
            </w14:solidFill>
          </w14:textFill>
        </w:rPr>
      </w:pPr>
    </w:p>
    <w:p>
      <w:pPr>
        <w:rPr>
          <w:rFonts w:hint="eastAsia" w:ascii="宋体" w:hAnsi="宋体" w:cs="宋体"/>
          <w:color w:val="000000" w:themeColor="text1"/>
          <w:sz w:val="24"/>
          <w14:textFill>
            <w14:solidFill>
              <w14:schemeClr w14:val="tx1"/>
            </w14:solidFill>
          </w14:textFill>
        </w:rPr>
      </w:pPr>
    </w:p>
    <w:p>
      <w:pPr>
        <w:pStyle w:val="7"/>
        <w:outlineLvl w:val="9"/>
        <w:rPr>
          <w:rFonts w:hint="eastAsia"/>
          <w:color w:val="000000" w:themeColor="text1"/>
          <w14:textFill>
            <w14:solidFill>
              <w14:schemeClr w14:val="tx1"/>
            </w14:solidFill>
          </w14:textFill>
        </w:rPr>
      </w:pPr>
    </w:p>
    <w:p>
      <w:pPr>
        <w:rPr>
          <w:rFonts w:hint="eastAsia"/>
          <w:color w:val="000000" w:themeColor="text1"/>
          <w14:textFill>
            <w14:solidFill>
              <w14:schemeClr w14:val="tx1"/>
            </w14:solidFill>
          </w14:textFill>
        </w:rPr>
      </w:pPr>
    </w:p>
    <w:p>
      <w:pPr>
        <w:pStyle w:val="3"/>
        <w:ind w:firstLine="2209" w:firstLineChars="500"/>
        <w:jc w:val="both"/>
        <w:rPr>
          <w:rFonts w:ascii="宋体" w:hAnsi="宋体" w:eastAsia="宋体" w:cs="宋体"/>
          <w:b/>
          <w:color w:val="000000" w:themeColor="text1"/>
          <w:sz w:val="44"/>
          <w14:textFill>
            <w14:solidFill>
              <w14:schemeClr w14:val="tx1"/>
            </w14:solidFill>
          </w14:textFill>
        </w:rPr>
      </w:pPr>
      <w:bookmarkStart w:id="212" w:name="_Toc12169"/>
      <w:r>
        <w:rPr>
          <w:rFonts w:hint="eastAsia" w:ascii="宋体" w:hAnsi="宋体" w:eastAsia="宋体" w:cs="宋体"/>
          <w:b/>
          <w:color w:val="000000" w:themeColor="text1"/>
          <w:sz w:val="44"/>
          <w14:textFill>
            <w14:solidFill>
              <w14:schemeClr w14:val="tx1"/>
            </w14:solidFill>
          </w14:textFill>
        </w:rPr>
        <w:t>第六章  投标</w:t>
      </w:r>
      <w:bookmarkEnd w:id="208"/>
      <w:bookmarkEnd w:id="209"/>
      <w:bookmarkEnd w:id="210"/>
      <w:r>
        <w:rPr>
          <w:rFonts w:hint="eastAsia" w:ascii="宋体" w:hAnsi="宋体" w:eastAsia="宋体" w:cs="宋体"/>
          <w:b/>
          <w:color w:val="000000" w:themeColor="text1"/>
          <w:sz w:val="44"/>
          <w14:textFill>
            <w14:solidFill>
              <w14:schemeClr w14:val="tx1"/>
            </w14:solidFill>
          </w14:textFill>
        </w:rPr>
        <w:t>文件格式</w:t>
      </w:r>
      <w:bookmarkEnd w:id="212"/>
    </w:p>
    <w:p>
      <w:pPr>
        <w:jc w:val="center"/>
        <w:rPr>
          <w:rFonts w:ascii="宋体" w:hAnsi="宋体" w:cs="宋体"/>
          <w:b/>
          <w:color w:val="000000" w:themeColor="text1"/>
          <w:sz w:val="72"/>
          <w14:textFill>
            <w14:solidFill>
              <w14:schemeClr w14:val="tx1"/>
            </w14:solidFill>
          </w14:textFill>
        </w:rPr>
      </w:pPr>
      <w:bookmarkStart w:id="213" w:name="_Hlt26955039"/>
      <w:bookmarkEnd w:id="213"/>
      <w:bookmarkStart w:id="214" w:name="_Hlt26671244"/>
      <w:bookmarkEnd w:id="214"/>
      <w:bookmarkStart w:id="215" w:name="_Toc26554094"/>
      <w:bookmarkStart w:id="216" w:name="_Toc49090576"/>
      <w:bookmarkStart w:id="217" w:name="_Toc120614282"/>
    </w:p>
    <w:p>
      <w:pPr>
        <w:jc w:val="center"/>
        <w:outlineLvl w:val="0"/>
        <w:rPr>
          <w:rFonts w:ascii="宋体" w:hAnsi="宋体" w:cs="宋体"/>
          <w:b/>
          <w:color w:val="000000" w:themeColor="text1"/>
          <w:sz w:val="72"/>
          <w14:textFill>
            <w14:solidFill>
              <w14:schemeClr w14:val="tx1"/>
            </w14:solidFill>
          </w14:textFill>
        </w:rPr>
      </w:pPr>
      <w:bookmarkStart w:id="218" w:name="_Toc6093"/>
      <w:r>
        <w:rPr>
          <w:rFonts w:hint="eastAsia" w:ascii="宋体" w:hAnsi="宋体" w:cs="宋体"/>
          <w:b/>
          <w:color w:val="000000" w:themeColor="text1"/>
          <w:sz w:val="72"/>
          <w14:textFill>
            <w14:solidFill>
              <w14:schemeClr w14:val="tx1"/>
            </w14:solidFill>
          </w14:textFill>
        </w:rPr>
        <w:t>投  标  文  件</w:t>
      </w:r>
      <w:bookmarkEnd w:id="218"/>
    </w:p>
    <w:p>
      <w:pPr>
        <w:jc w:val="center"/>
        <w:outlineLvl w:val="0"/>
        <w:rPr>
          <w:rFonts w:ascii="宋体" w:hAnsi="宋体" w:cs="宋体"/>
          <w:b/>
          <w:color w:val="000000" w:themeColor="text1"/>
          <w:sz w:val="72"/>
          <w14:textFill>
            <w14:solidFill>
              <w14:schemeClr w14:val="tx1"/>
            </w14:solidFill>
          </w14:textFill>
        </w:rPr>
      </w:pPr>
      <w:bookmarkStart w:id="219" w:name="_Toc17751"/>
      <w:r>
        <w:rPr>
          <w:rFonts w:hint="eastAsia" w:ascii="宋体" w:hAnsi="宋体" w:cs="宋体"/>
          <w:b/>
          <w:color w:val="000000" w:themeColor="text1"/>
          <w:sz w:val="36"/>
          <w14:textFill>
            <w14:solidFill>
              <w14:schemeClr w14:val="tx1"/>
            </w14:solidFill>
          </w14:textFill>
        </w:rPr>
        <w:t>（正或副本）</w:t>
      </w:r>
      <w:bookmarkEnd w:id="219"/>
    </w:p>
    <w:p>
      <w:pPr>
        <w:jc w:val="center"/>
        <w:rPr>
          <w:rFonts w:ascii="宋体" w:hAnsi="宋体" w:cs="宋体"/>
          <w:b/>
          <w:color w:val="000000" w:themeColor="text1"/>
          <w:sz w:val="72"/>
          <w14:textFill>
            <w14:solidFill>
              <w14:schemeClr w14:val="tx1"/>
            </w14:solidFill>
          </w14:textFill>
        </w:rPr>
      </w:pPr>
    </w:p>
    <w:p>
      <w:pPr>
        <w:jc w:val="center"/>
        <w:rPr>
          <w:rFonts w:ascii="宋体" w:hAnsi="宋体" w:cs="宋体"/>
          <w:b/>
          <w:color w:val="000000" w:themeColor="text1"/>
          <w:sz w:val="36"/>
          <w14:textFill>
            <w14:solidFill>
              <w14:schemeClr w14:val="tx1"/>
            </w14:solidFill>
          </w14:textFill>
        </w:rPr>
      </w:pPr>
    </w:p>
    <w:p>
      <w:pPr>
        <w:jc w:val="center"/>
        <w:rPr>
          <w:rFonts w:ascii="宋体" w:hAnsi="宋体" w:cs="宋体"/>
          <w:b/>
          <w:color w:val="000000" w:themeColor="text1"/>
          <w:sz w:val="36"/>
          <w14:textFill>
            <w14:solidFill>
              <w14:schemeClr w14:val="tx1"/>
            </w14:solidFill>
          </w14:textFill>
        </w:rPr>
      </w:pPr>
    </w:p>
    <w:p>
      <w:pPr>
        <w:jc w:val="center"/>
        <w:rPr>
          <w:rFonts w:ascii="宋体" w:hAnsi="宋体" w:cs="宋体"/>
          <w:b/>
          <w:color w:val="000000" w:themeColor="text1"/>
          <w:sz w:val="36"/>
          <w14:textFill>
            <w14:solidFill>
              <w14:schemeClr w14:val="tx1"/>
            </w14:solidFill>
          </w14:textFill>
        </w:rPr>
      </w:pPr>
    </w:p>
    <w:p>
      <w:pPr>
        <w:ind w:firstLine="1084" w:firstLineChars="300"/>
        <w:outlineLvl w:val="0"/>
        <w:rPr>
          <w:rFonts w:ascii="宋体" w:hAnsi="宋体" w:cs="宋体"/>
          <w:b/>
          <w:color w:val="000000" w:themeColor="text1"/>
          <w:sz w:val="36"/>
          <w14:textFill>
            <w14:solidFill>
              <w14:schemeClr w14:val="tx1"/>
            </w14:solidFill>
          </w14:textFill>
        </w:rPr>
      </w:pPr>
      <w:bookmarkStart w:id="220" w:name="_Toc12327"/>
      <w:r>
        <w:rPr>
          <w:rFonts w:hint="eastAsia" w:ascii="宋体" w:hAnsi="宋体" w:cs="宋体"/>
          <w:b/>
          <w:color w:val="000000" w:themeColor="text1"/>
          <w:sz w:val="36"/>
          <w14:textFill>
            <w14:solidFill>
              <w14:schemeClr w14:val="tx1"/>
            </w14:solidFill>
          </w14:textFill>
        </w:rPr>
        <w:t>项 目 名 称：</w:t>
      </w:r>
      <w:bookmarkEnd w:id="220"/>
    </w:p>
    <w:p>
      <w:pPr>
        <w:ind w:firstLine="1084" w:firstLineChars="300"/>
        <w:outlineLvl w:val="0"/>
        <w:rPr>
          <w:rFonts w:ascii="宋体" w:hAnsi="宋体" w:cs="宋体"/>
          <w:b/>
          <w:color w:val="000000" w:themeColor="text1"/>
          <w:sz w:val="36"/>
          <w:u w:val="single"/>
          <w14:textFill>
            <w14:solidFill>
              <w14:schemeClr w14:val="tx1"/>
            </w14:solidFill>
          </w14:textFill>
        </w:rPr>
      </w:pPr>
      <w:bookmarkStart w:id="221" w:name="_Toc25125"/>
      <w:r>
        <w:rPr>
          <w:rFonts w:hint="eastAsia" w:ascii="宋体" w:hAnsi="宋体" w:cs="宋体"/>
          <w:b/>
          <w:color w:val="000000" w:themeColor="text1"/>
          <w:sz w:val="36"/>
          <w14:textFill>
            <w14:solidFill>
              <w14:schemeClr w14:val="tx1"/>
            </w14:solidFill>
          </w14:textFill>
        </w:rPr>
        <w:t>招 标 编 号：</w:t>
      </w:r>
      <w:bookmarkEnd w:id="221"/>
    </w:p>
    <w:p>
      <w:pPr>
        <w:outlineLvl w:val="0"/>
        <w:rPr>
          <w:rFonts w:ascii="宋体" w:hAnsi="宋体" w:cs="宋体"/>
          <w:b/>
          <w:color w:val="000000" w:themeColor="text1"/>
          <w:sz w:val="36"/>
          <w:u w:val="single"/>
          <w14:textFill>
            <w14:solidFill>
              <w14:schemeClr w14:val="tx1"/>
            </w14:solidFill>
          </w14:textFill>
        </w:rPr>
      </w:pPr>
      <w:r>
        <w:rPr>
          <w:rFonts w:hint="eastAsia" w:ascii="宋体" w:hAnsi="宋体" w:cs="宋体"/>
          <w:b/>
          <w:color w:val="000000" w:themeColor="text1"/>
          <w:sz w:val="36"/>
          <w14:textFill>
            <w14:solidFill>
              <w14:schemeClr w14:val="tx1"/>
            </w14:solidFill>
          </w14:textFill>
        </w:rPr>
        <w:t xml:space="preserve">      </w:t>
      </w:r>
      <w:bookmarkStart w:id="222" w:name="_Toc20177"/>
      <w:r>
        <w:rPr>
          <w:rFonts w:hint="eastAsia" w:ascii="宋体" w:hAnsi="宋体" w:cs="宋体"/>
          <w:b/>
          <w:color w:val="000000" w:themeColor="text1"/>
          <w:sz w:val="36"/>
          <w14:textFill>
            <w14:solidFill>
              <w14:schemeClr w14:val="tx1"/>
            </w14:solidFill>
          </w14:textFill>
        </w:rPr>
        <w:t>投标人名称 ：</w:t>
      </w:r>
      <w:bookmarkEnd w:id="222"/>
    </w:p>
    <w:p>
      <w:pPr>
        <w:outlineLvl w:val="0"/>
        <w:rPr>
          <w:rFonts w:ascii="宋体" w:hAnsi="宋体" w:cs="宋体"/>
          <w:b/>
          <w:color w:val="000000" w:themeColor="text1"/>
          <w:sz w:val="36"/>
          <w14:textFill>
            <w14:solidFill>
              <w14:schemeClr w14:val="tx1"/>
            </w14:solidFill>
          </w14:textFill>
        </w:rPr>
      </w:pPr>
      <w:r>
        <w:rPr>
          <w:rFonts w:hint="eastAsia" w:ascii="宋体" w:hAnsi="宋体" w:cs="宋体"/>
          <w:b/>
          <w:color w:val="000000" w:themeColor="text1"/>
          <w:sz w:val="36"/>
          <w14:textFill>
            <w14:solidFill>
              <w14:schemeClr w14:val="tx1"/>
            </w14:solidFill>
          </w14:textFill>
        </w:rPr>
        <w:t xml:space="preserve">      </w:t>
      </w:r>
      <w:bookmarkStart w:id="223" w:name="_Toc13063"/>
      <w:r>
        <w:rPr>
          <w:rFonts w:hint="eastAsia" w:ascii="宋体" w:hAnsi="宋体" w:cs="宋体"/>
          <w:b/>
          <w:color w:val="000000" w:themeColor="text1"/>
          <w:sz w:val="36"/>
          <w14:textFill>
            <w14:solidFill>
              <w14:schemeClr w14:val="tx1"/>
            </w14:solidFill>
          </w14:textFill>
        </w:rPr>
        <w:t>日      期 ：</w:t>
      </w:r>
      <w:bookmarkEnd w:id="223"/>
    </w:p>
    <w:p>
      <w:pPr>
        <w:spacing w:line="440" w:lineRule="exact"/>
        <w:jc w:val="center"/>
        <w:rPr>
          <w:rFonts w:ascii="宋体" w:hAnsi="宋体" w:cs="宋体"/>
          <w:b/>
          <w:bCs/>
          <w:color w:val="000000" w:themeColor="text1"/>
          <w:sz w:val="32"/>
          <w:szCs w:val="32"/>
          <w14:textFill>
            <w14:solidFill>
              <w14:schemeClr w14:val="tx1"/>
            </w14:solidFill>
          </w14:textFill>
        </w:rPr>
      </w:pPr>
    </w:p>
    <w:p>
      <w:pPr>
        <w:spacing w:line="440" w:lineRule="exact"/>
        <w:ind w:firstLine="480" w:firstLineChars="200"/>
        <w:rPr>
          <w:rFonts w:ascii="宋体" w:hAnsi="宋体" w:cs="宋体"/>
          <w:color w:val="000000" w:themeColor="text1"/>
          <w:sz w:val="24"/>
          <w14:textFill>
            <w14:solidFill>
              <w14:schemeClr w14:val="tx1"/>
            </w14:solidFill>
          </w14:textFill>
        </w:rPr>
      </w:pPr>
    </w:p>
    <w:p>
      <w:pPr>
        <w:spacing w:line="440" w:lineRule="exact"/>
        <w:ind w:firstLine="480" w:firstLineChars="200"/>
        <w:rPr>
          <w:rFonts w:ascii="宋体" w:hAnsi="宋体" w:cs="宋体"/>
          <w:color w:val="000000" w:themeColor="text1"/>
          <w:sz w:val="24"/>
          <w14:textFill>
            <w14:solidFill>
              <w14:schemeClr w14:val="tx1"/>
            </w14:solidFill>
          </w14:textFill>
        </w:rPr>
      </w:pPr>
    </w:p>
    <w:p>
      <w:pPr>
        <w:spacing w:line="440" w:lineRule="exact"/>
        <w:jc w:val="center"/>
        <w:rPr>
          <w:rFonts w:ascii="宋体" w:hAnsi="宋体" w:cs="宋体"/>
          <w:b/>
          <w:color w:val="000000" w:themeColor="text1"/>
          <w:sz w:val="30"/>
          <w:szCs w:val="30"/>
          <w14:textFill>
            <w14:solidFill>
              <w14:schemeClr w14:val="tx1"/>
            </w14:solidFill>
          </w14:textFill>
        </w:rPr>
      </w:pPr>
      <w:r>
        <w:rPr>
          <w:rFonts w:hint="eastAsia" w:ascii="宋体" w:hAnsi="宋体" w:cs="宋体"/>
          <w:color w:val="000000" w:themeColor="text1"/>
          <w:sz w:val="24"/>
          <w14:textFill>
            <w14:solidFill>
              <w14:schemeClr w14:val="tx1"/>
            </w14:solidFill>
          </w14:textFill>
        </w:rPr>
        <w:br w:type="page"/>
      </w:r>
      <w:r>
        <w:rPr>
          <w:rFonts w:hint="eastAsia" w:ascii="宋体" w:hAnsi="宋体" w:cs="宋体"/>
          <w:b/>
          <w:color w:val="000000" w:themeColor="text1"/>
          <w:sz w:val="30"/>
          <w:szCs w:val="30"/>
          <w14:textFill>
            <w14:solidFill>
              <w14:schemeClr w14:val="tx1"/>
            </w14:solidFill>
          </w14:textFill>
        </w:rPr>
        <w:t>评分索引表</w:t>
      </w:r>
    </w:p>
    <w:p>
      <w:pPr>
        <w:spacing w:line="440" w:lineRule="exact"/>
        <w:jc w:val="center"/>
        <w:rPr>
          <w:rFonts w:ascii="宋体" w:hAnsi="宋体" w:cs="宋体"/>
          <w:b/>
          <w:color w:val="000000" w:themeColor="text1"/>
          <w:sz w:val="30"/>
          <w:szCs w:val="30"/>
          <w14:textFill>
            <w14:solidFill>
              <w14:schemeClr w14:val="tx1"/>
            </w14:solidFill>
          </w14:textFill>
        </w:rPr>
      </w:pPr>
    </w:p>
    <w:tbl>
      <w:tblPr>
        <w:tblStyle w:val="45"/>
        <w:tblW w:w="92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0"/>
        <w:gridCol w:w="35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670" w:type="dxa"/>
            <w:noWrap/>
          </w:tcPr>
          <w:p>
            <w:pPr>
              <w:pStyle w:val="73"/>
              <w:shd w:val="clear" w:color="auto" w:fill="FFFFFF"/>
              <w:spacing w:line="265" w:lineRule="atLeast"/>
              <w:ind w:left="420"/>
              <w:jc w:val="center"/>
              <w:rPr>
                <w:rFonts w:ascii="宋体" w:hAnsi="宋体" w:cs="宋体"/>
                <w:b/>
                <w:bCs/>
                <w:color w:val="000000" w:themeColor="text1"/>
                <w:lang w:eastAsia="zh-CN"/>
                <w14:textFill>
                  <w14:solidFill>
                    <w14:schemeClr w14:val="tx1"/>
                  </w14:solidFill>
                </w14:textFill>
              </w:rPr>
            </w:pPr>
            <w:r>
              <w:rPr>
                <w:rFonts w:hint="eastAsia" w:ascii="宋体" w:hAnsi="宋体" w:cs="宋体"/>
                <w:b/>
                <w:color w:val="000000" w:themeColor="text1"/>
                <w14:textFill>
                  <w14:solidFill>
                    <w14:schemeClr w14:val="tx1"/>
                  </w14:solidFill>
                </w14:textFill>
              </w:rPr>
              <w:t>评分项目</w:t>
            </w:r>
          </w:p>
        </w:tc>
        <w:tc>
          <w:tcPr>
            <w:tcW w:w="3570" w:type="dxa"/>
            <w:noWrap/>
          </w:tcPr>
          <w:p>
            <w:pPr>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kern w:val="0"/>
                <w:sz w:val="24"/>
                <w:lang w:bidi="en-US"/>
                <w14:textFill>
                  <w14:solidFill>
                    <w14:schemeClr w14:val="tx1"/>
                  </w14:solidFill>
                </w14:textFill>
              </w:rPr>
              <w:t>在投标文件中的页码位置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5670" w:type="dxa"/>
            <w:noWrap/>
          </w:tcPr>
          <w:p>
            <w:pPr>
              <w:pStyle w:val="73"/>
              <w:shd w:val="clear" w:color="auto" w:fill="FFFFFF"/>
              <w:spacing w:line="265" w:lineRule="atLeast"/>
              <w:ind w:left="420"/>
              <w:jc w:val="both"/>
              <w:rPr>
                <w:rFonts w:ascii="宋体" w:hAnsi="宋体" w:cs="宋体"/>
                <w:b/>
                <w:color w:val="000000" w:themeColor="text1"/>
                <w:lang w:eastAsia="zh-CN"/>
                <w14:textFill>
                  <w14:solidFill>
                    <w14:schemeClr w14:val="tx1"/>
                  </w14:solidFill>
                </w14:textFill>
              </w:rPr>
            </w:pPr>
          </w:p>
        </w:tc>
        <w:tc>
          <w:tcPr>
            <w:tcW w:w="3570" w:type="dxa"/>
            <w:noWrap/>
          </w:tcPr>
          <w:p>
            <w:pPr>
              <w:rPr>
                <w:rFonts w:ascii="宋体" w:hAnsi="宋体" w:cs="宋体"/>
                <w:b/>
                <w:color w:val="000000" w:themeColor="text1"/>
                <w:kern w:val="0"/>
                <w:sz w:val="24"/>
                <w:lang w:bidi="en-US"/>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240" w:type="dxa"/>
            <w:gridSpan w:val="2"/>
            <w:noWrap/>
          </w:tcPr>
          <w:p>
            <w:pPr>
              <w:pStyle w:val="73"/>
              <w:shd w:val="clear" w:color="auto" w:fill="FFFFFF"/>
              <w:spacing w:line="265" w:lineRule="atLeast"/>
              <w:ind w:left="420"/>
              <w:jc w:val="both"/>
              <w:rPr>
                <w:rFonts w:ascii="宋体" w:hAnsi="宋体" w:cs="宋体"/>
                <w:color w:val="000000" w:themeColor="text1"/>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670" w:type="dxa"/>
            <w:noWrap/>
          </w:tcPr>
          <w:p>
            <w:pPr>
              <w:pStyle w:val="73"/>
              <w:shd w:val="clear" w:color="auto" w:fill="FFFFFF"/>
              <w:spacing w:line="265" w:lineRule="atLeast"/>
              <w:ind w:left="420"/>
              <w:rPr>
                <w:rFonts w:ascii="宋体" w:hAnsi="宋体" w:cs="宋体"/>
                <w:color w:val="000000" w:themeColor="text1"/>
                <w:lang w:eastAsia="zh-CN"/>
                <w14:textFill>
                  <w14:solidFill>
                    <w14:schemeClr w14:val="tx1"/>
                  </w14:solidFill>
                </w14:textFill>
              </w:rPr>
            </w:pPr>
          </w:p>
        </w:tc>
        <w:tc>
          <w:tcPr>
            <w:tcW w:w="3570" w:type="dxa"/>
            <w:noWrap/>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670" w:type="dxa"/>
            <w:noWrap/>
          </w:tcPr>
          <w:p>
            <w:pPr>
              <w:pStyle w:val="73"/>
              <w:shd w:val="clear" w:color="auto" w:fill="FFFFFF"/>
              <w:spacing w:line="265" w:lineRule="atLeast"/>
              <w:ind w:left="420"/>
              <w:rPr>
                <w:rFonts w:ascii="宋体" w:hAnsi="宋体" w:cs="宋体"/>
                <w:color w:val="000000" w:themeColor="text1"/>
                <w:lang w:eastAsia="zh-CN"/>
                <w14:textFill>
                  <w14:solidFill>
                    <w14:schemeClr w14:val="tx1"/>
                  </w14:solidFill>
                </w14:textFill>
              </w:rPr>
            </w:pPr>
          </w:p>
        </w:tc>
        <w:tc>
          <w:tcPr>
            <w:tcW w:w="3570" w:type="dxa"/>
            <w:noWrap/>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670" w:type="dxa"/>
            <w:noWrap/>
          </w:tcPr>
          <w:p>
            <w:pPr>
              <w:pStyle w:val="73"/>
              <w:shd w:val="clear" w:color="auto" w:fill="FFFFFF"/>
              <w:spacing w:line="265" w:lineRule="atLeast"/>
              <w:ind w:left="420"/>
              <w:rPr>
                <w:rFonts w:ascii="宋体" w:hAnsi="宋体" w:cs="宋体"/>
                <w:color w:val="000000" w:themeColor="text1"/>
                <w:lang w:eastAsia="zh-CN"/>
                <w14:textFill>
                  <w14:solidFill>
                    <w14:schemeClr w14:val="tx1"/>
                  </w14:solidFill>
                </w14:textFill>
              </w:rPr>
            </w:pPr>
          </w:p>
        </w:tc>
        <w:tc>
          <w:tcPr>
            <w:tcW w:w="3570" w:type="dxa"/>
            <w:noWrap/>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670" w:type="dxa"/>
            <w:noWrap/>
          </w:tcPr>
          <w:p>
            <w:pPr>
              <w:pStyle w:val="73"/>
              <w:shd w:val="clear" w:color="auto" w:fill="FFFFFF"/>
              <w:spacing w:line="265" w:lineRule="atLeast"/>
              <w:ind w:left="420"/>
              <w:rPr>
                <w:rFonts w:ascii="宋体" w:hAnsi="宋体" w:cs="宋体"/>
                <w:color w:val="000000" w:themeColor="text1"/>
                <w:lang w:eastAsia="zh-CN"/>
                <w14:textFill>
                  <w14:solidFill>
                    <w14:schemeClr w14:val="tx1"/>
                  </w14:solidFill>
                </w14:textFill>
              </w:rPr>
            </w:pPr>
          </w:p>
        </w:tc>
        <w:tc>
          <w:tcPr>
            <w:tcW w:w="3570" w:type="dxa"/>
            <w:noWrap/>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670" w:type="dxa"/>
            <w:noWrap/>
          </w:tcPr>
          <w:p>
            <w:pPr>
              <w:pStyle w:val="73"/>
              <w:shd w:val="clear" w:color="auto" w:fill="FFFFFF"/>
              <w:spacing w:line="265" w:lineRule="atLeast"/>
              <w:ind w:left="420"/>
              <w:rPr>
                <w:rFonts w:ascii="宋体" w:hAnsi="宋体" w:cs="宋体"/>
                <w:color w:val="000000" w:themeColor="text1"/>
                <w:lang w:eastAsia="zh-CN"/>
                <w14:textFill>
                  <w14:solidFill>
                    <w14:schemeClr w14:val="tx1"/>
                  </w14:solidFill>
                </w14:textFill>
              </w:rPr>
            </w:pPr>
          </w:p>
        </w:tc>
        <w:tc>
          <w:tcPr>
            <w:tcW w:w="3570" w:type="dxa"/>
            <w:noWrap/>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9240" w:type="dxa"/>
            <w:gridSpan w:val="2"/>
            <w:noWrap/>
          </w:tcPr>
          <w:p>
            <w:pPr>
              <w:pStyle w:val="73"/>
              <w:shd w:val="clear" w:color="auto" w:fill="FFFFFF"/>
              <w:spacing w:line="265" w:lineRule="atLeast"/>
              <w:ind w:left="420"/>
              <w:jc w:val="both"/>
              <w:rPr>
                <w:rFonts w:ascii="宋体" w:hAnsi="宋体" w:cs="宋体"/>
                <w:color w:val="000000" w:themeColor="text1"/>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670" w:type="dxa"/>
            <w:noWrap/>
          </w:tcPr>
          <w:p>
            <w:pPr>
              <w:pStyle w:val="73"/>
              <w:shd w:val="clear" w:color="auto" w:fill="FFFFFF"/>
              <w:spacing w:line="265" w:lineRule="atLeast"/>
              <w:ind w:left="420"/>
              <w:rPr>
                <w:rFonts w:ascii="宋体" w:hAnsi="宋体" w:cs="宋体"/>
                <w:color w:val="000000" w:themeColor="text1"/>
                <w:lang w:eastAsia="zh-CN"/>
                <w14:textFill>
                  <w14:solidFill>
                    <w14:schemeClr w14:val="tx1"/>
                  </w14:solidFill>
                </w14:textFill>
              </w:rPr>
            </w:pPr>
          </w:p>
        </w:tc>
        <w:tc>
          <w:tcPr>
            <w:tcW w:w="3570" w:type="dxa"/>
            <w:noWrap/>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 w:hRule="atLeast"/>
        </w:trPr>
        <w:tc>
          <w:tcPr>
            <w:tcW w:w="5670" w:type="dxa"/>
            <w:noWrap/>
          </w:tcPr>
          <w:p>
            <w:pPr>
              <w:pStyle w:val="73"/>
              <w:shd w:val="clear" w:color="auto" w:fill="FFFFFF"/>
              <w:spacing w:line="265" w:lineRule="atLeast"/>
              <w:ind w:left="420"/>
              <w:rPr>
                <w:rFonts w:ascii="宋体" w:hAnsi="宋体" w:cs="宋体"/>
                <w:color w:val="000000" w:themeColor="text1"/>
                <w:lang w:eastAsia="zh-CN"/>
                <w14:textFill>
                  <w14:solidFill>
                    <w14:schemeClr w14:val="tx1"/>
                  </w14:solidFill>
                </w14:textFill>
              </w:rPr>
            </w:pPr>
          </w:p>
        </w:tc>
        <w:tc>
          <w:tcPr>
            <w:tcW w:w="3570" w:type="dxa"/>
            <w:noWrap/>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5670" w:type="dxa"/>
            <w:noWrap/>
          </w:tcPr>
          <w:p>
            <w:pPr>
              <w:pStyle w:val="73"/>
              <w:shd w:val="clear" w:color="auto" w:fill="FFFFFF"/>
              <w:spacing w:line="265" w:lineRule="atLeast"/>
              <w:ind w:left="420"/>
              <w:rPr>
                <w:rFonts w:ascii="宋体" w:hAnsi="宋体" w:cs="宋体"/>
                <w:color w:val="000000" w:themeColor="text1"/>
                <w:lang w:eastAsia="zh-CN"/>
                <w14:textFill>
                  <w14:solidFill>
                    <w14:schemeClr w14:val="tx1"/>
                  </w14:solidFill>
                </w14:textFill>
              </w:rPr>
            </w:pPr>
          </w:p>
        </w:tc>
        <w:tc>
          <w:tcPr>
            <w:tcW w:w="3570" w:type="dxa"/>
            <w:noWrap/>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5670" w:type="dxa"/>
            <w:noWrap/>
          </w:tcPr>
          <w:p>
            <w:pPr>
              <w:pStyle w:val="73"/>
              <w:shd w:val="clear" w:color="auto" w:fill="FFFFFF"/>
              <w:spacing w:line="265" w:lineRule="atLeast"/>
              <w:ind w:left="420"/>
              <w:rPr>
                <w:rFonts w:ascii="宋体" w:hAnsi="宋体" w:cs="宋体"/>
                <w:color w:val="000000" w:themeColor="text1"/>
                <w:lang w:eastAsia="zh-CN"/>
                <w14:textFill>
                  <w14:solidFill>
                    <w14:schemeClr w14:val="tx1"/>
                  </w14:solidFill>
                </w14:textFill>
              </w:rPr>
            </w:pPr>
          </w:p>
        </w:tc>
        <w:tc>
          <w:tcPr>
            <w:tcW w:w="3570" w:type="dxa"/>
            <w:noWrap/>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5670" w:type="dxa"/>
            <w:noWrap/>
          </w:tcPr>
          <w:p>
            <w:pPr>
              <w:pStyle w:val="73"/>
              <w:shd w:val="clear" w:color="auto" w:fill="FFFFFF"/>
              <w:spacing w:line="265" w:lineRule="atLeast"/>
              <w:ind w:left="420"/>
              <w:rPr>
                <w:rFonts w:ascii="宋体" w:hAnsi="宋体" w:cs="宋体"/>
                <w:color w:val="000000" w:themeColor="text1"/>
                <w:lang w:eastAsia="zh-CN"/>
                <w14:textFill>
                  <w14:solidFill>
                    <w14:schemeClr w14:val="tx1"/>
                  </w14:solidFill>
                </w14:textFill>
              </w:rPr>
            </w:pPr>
          </w:p>
        </w:tc>
        <w:tc>
          <w:tcPr>
            <w:tcW w:w="3570" w:type="dxa"/>
            <w:noWrap/>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9240" w:type="dxa"/>
            <w:gridSpan w:val="2"/>
            <w:noWrap/>
          </w:tcPr>
          <w:p>
            <w:pPr>
              <w:pStyle w:val="73"/>
              <w:shd w:val="clear" w:color="auto" w:fill="FFFFFF"/>
              <w:spacing w:line="265" w:lineRule="atLeast"/>
              <w:ind w:left="420"/>
              <w:jc w:val="both"/>
              <w:rPr>
                <w:rFonts w:ascii="宋体" w:hAnsi="宋体" w:cs="宋体"/>
                <w:b/>
                <w:color w:val="000000" w:themeColor="text1"/>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670" w:type="dxa"/>
            <w:noWrap/>
          </w:tcPr>
          <w:p>
            <w:pPr>
              <w:pStyle w:val="73"/>
              <w:shd w:val="clear" w:color="auto" w:fill="FFFFFF"/>
              <w:spacing w:line="265" w:lineRule="atLeast"/>
              <w:ind w:left="420"/>
              <w:rPr>
                <w:rFonts w:ascii="宋体" w:hAnsi="宋体" w:cs="宋体"/>
                <w:b/>
                <w:bCs/>
                <w:color w:val="000000" w:themeColor="text1"/>
                <w:lang w:eastAsia="zh-CN"/>
                <w14:textFill>
                  <w14:solidFill>
                    <w14:schemeClr w14:val="tx1"/>
                  </w14:solidFill>
                </w14:textFill>
              </w:rPr>
            </w:pPr>
          </w:p>
        </w:tc>
        <w:tc>
          <w:tcPr>
            <w:tcW w:w="3570" w:type="dxa"/>
            <w:noWrap/>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670" w:type="dxa"/>
            <w:noWrap/>
          </w:tcPr>
          <w:p>
            <w:pPr>
              <w:pStyle w:val="73"/>
              <w:shd w:val="clear" w:color="auto" w:fill="FFFFFF"/>
              <w:spacing w:line="265" w:lineRule="atLeast"/>
              <w:ind w:left="420"/>
              <w:rPr>
                <w:rFonts w:ascii="宋体" w:hAnsi="宋体" w:cs="宋体"/>
                <w:color w:val="000000" w:themeColor="text1"/>
                <w:lang w:eastAsia="zh-CN"/>
                <w14:textFill>
                  <w14:solidFill>
                    <w14:schemeClr w14:val="tx1"/>
                  </w14:solidFill>
                </w14:textFill>
              </w:rPr>
            </w:pPr>
          </w:p>
        </w:tc>
        <w:tc>
          <w:tcPr>
            <w:tcW w:w="3570" w:type="dxa"/>
            <w:noWrap/>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670" w:type="dxa"/>
            <w:noWrap/>
          </w:tcPr>
          <w:p>
            <w:pPr>
              <w:pStyle w:val="73"/>
              <w:shd w:val="clear" w:color="auto" w:fill="FFFFFF"/>
              <w:spacing w:line="265" w:lineRule="atLeast"/>
              <w:ind w:left="420"/>
              <w:rPr>
                <w:rFonts w:ascii="宋体" w:hAnsi="宋体" w:cs="宋体"/>
                <w:b/>
                <w:bCs/>
                <w:color w:val="000000" w:themeColor="text1"/>
                <w:lang w:eastAsia="zh-CN"/>
                <w14:textFill>
                  <w14:solidFill>
                    <w14:schemeClr w14:val="tx1"/>
                  </w14:solidFill>
                </w14:textFill>
              </w:rPr>
            </w:pPr>
          </w:p>
        </w:tc>
        <w:tc>
          <w:tcPr>
            <w:tcW w:w="3570" w:type="dxa"/>
            <w:noWrap/>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9240" w:type="dxa"/>
            <w:gridSpan w:val="2"/>
            <w:noWrap/>
          </w:tcPr>
          <w:p>
            <w:pPr>
              <w:pStyle w:val="73"/>
              <w:shd w:val="clear" w:color="auto" w:fill="FFFFFF"/>
              <w:spacing w:line="265" w:lineRule="atLeast"/>
              <w:ind w:left="420"/>
              <w:jc w:val="both"/>
              <w:rPr>
                <w:rFonts w:ascii="宋体" w:hAnsi="宋体" w:cs="宋体"/>
                <w:b/>
                <w:color w:val="000000" w:themeColor="text1"/>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5670" w:type="dxa"/>
            <w:noWrap/>
          </w:tcPr>
          <w:p>
            <w:pPr>
              <w:pStyle w:val="73"/>
              <w:shd w:val="clear" w:color="auto" w:fill="FFFFFF"/>
              <w:spacing w:line="265" w:lineRule="atLeast"/>
              <w:ind w:left="0" w:firstLine="480" w:firstLineChars="200"/>
              <w:rPr>
                <w:rFonts w:ascii="宋体" w:hAnsi="宋体" w:cs="宋体"/>
                <w:color w:val="000000" w:themeColor="text1"/>
                <w:szCs w:val="21"/>
                <w:lang w:eastAsia="zh-CN"/>
                <w14:textFill>
                  <w14:solidFill>
                    <w14:schemeClr w14:val="tx1"/>
                  </w14:solidFill>
                </w14:textFill>
              </w:rPr>
            </w:pPr>
          </w:p>
        </w:tc>
        <w:tc>
          <w:tcPr>
            <w:tcW w:w="3570" w:type="dxa"/>
            <w:noWrap/>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5670" w:type="dxa"/>
            <w:tcBorders>
              <w:bottom w:val="single" w:color="auto" w:sz="4" w:space="0"/>
            </w:tcBorders>
            <w:noWrap/>
          </w:tcPr>
          <w:p>
            <w:pPr>
              <w:pStyle w:val="73"/>
              <w:shd w:val="clear" w:color="auto" w:fill="FFFFFF"/>
              <w:spacing w:line="265" w:lineRule="atLeast"/>
              <w:ind w:left="0" w:firstLine="480" w:firstLineChars="200"/>
              <w:rPr>
                <w:rFonts w:ascii="宋体" w:hAnsi="宋体" w:cs="宋体"/>
                <w:color w:val="000000" w:themeColor="text1"/>
                <w:lang w:eastAsia="zh-CN"/>
                <w14:textFill>
                  <w14:solidFill>
                    <w14:schemeClr w14:val="tx1"/>
                  </w14:solidFill>
                </w14:textFill>
              </w:rPr>
            </w:pPr>
          </w:p>
        </w:tc>
        <w:tc>
          <w:tcPr>
            <w:tcW w:w="3570" w:type="dxa"/>
            <w:tcBorders>
              <w:bottom w:val="single" w:color="auto" w:sz="4" w:space="0"/>
            </w:tcBorders>
            <w:noWrap/>
          </w:tcPr>
          <w:p>
            <w:pPr>
              <w:rPr>
                <w:rFonts w:ascii="宋体" w:hAnsi="宋体" w:cs="宋体"/>
                <w:color w:val="000000" w:themeColor="text1"/>
                <w14:textFill>
                  <w14:solidFill>
                    <w14:schemeClr w14:val="tx1"/>
                  </w14:solidFill>
                </w14:textFill>
              </w:rPr>
            </w:pPr>
          </w:p>
        </w:tc>
      </w:tr>
    </w:tbl>
    <w:p>
      <w:pPr>
        <w:rPr>
          <w:rFonts w:ascii="宋体" w:hAnsi="宋体" w:cs="宋体"/>
          <w:color w:val="000000" w:themeColor="text1"/>
          <w14:textFill>
            <w14:solidFill>
              <w14:schemeClr w14:val="tx1"/>
            </w14:solidFill>
          </w14:textFill>
        </w:rPr>
      </w:pPr>
    </w:p>
    <w:p>
      <w:pPr>
        <w:ind w:firstLine="1084" w:firstLineChars="300"/>
        <w:jc w:val="center"/>
        <w:outlineLvl w:val="0"/>
        <w:rPr>
          <w:rFonts w:ascii="宋体" w:hAnsi="宋体" w:cs="宋体"/>
          <w:b/>
          <w:bCs/>
          <w:color w:val="000000" w:themeColor="text1"/>
          <w:sz w:val="32"/>
          <w:szCs w:val="32"/>
          <w14:textFill>
            <w14:solidFill>
              <w14:schemeClr w14:val="tx1"/>
            </w14:solidFill>
          </w14:textFill>
        </w:rPr>
      </w:pPr>
      <w:r>
        <w:rPr>
          <w:rFonts w:hint="eastAsia" w:ascii="宋体" w:hAnsi="宋体" w:cs="宋体"/>
          <w:b/>
          <w:color w:val="000000" w:themeColor="text1"/>
          <w:sz w:val="36"/>
          <w:u w:val="single"/>
          <w14:textFill>
            <w14:solidFill>
              <w14:schemeClr w14:val="tx1"/>
            </w14:solidFill>
          </w14:textFill>
        </w:rPr>
        <w:br w:type="page"/>
      </w:r>
      <w:bookmarkStart w:id="224" w:name="_Toc12580"/>
      <w:r>
        <w:rPr>
          <w:rFonts w:hint="eastAsia" w:ascii="宋体" w:hAnsi="宋体" w:cs="宋体"/>
          <w:b/>
          <w:bCs/>
          <w:color w:val="000000" w:themeColor="text1"/>
          <w:sz w:val="32"/>
          <w:szCs w:val="32"/>
          <w14:textFill>
            <w14:solidFill>
              <w14:schemeClr w14:val="tx1"/>
            </w14:solidFill>
          </w14:textFill>
        </w:rPr>
        <w:t>投标主要文件目录</w:t>
      </w:r>
      <w:bookmarkEnd w:id="224"/>
    </w:p>
    <w:p>
      <w:pPr>
        <w:spacing w:line="440" w:lineRule="exact"/>
        <w:jc w:val="center"/>
        <w:rPr>
          <w:rFonts w:ascii="宋体" w:hAnsi="宋体" w:cs="宋体"/>
          <w:b/>
          <w:bCs/>
          <w:color w:val="000000" w:themeColor="text1"/>
          <w:sz w:val="32"/>
          <w:szCs w:val="32"/>
          <w14:textFill>
            <w14:solidFill>
              <w14:schemeClr w14:val="tx1"/>
            </w14:solidFill>
          </w14:textFill>
        </w:rPr>
      </w:pPr>
    </w:p>
    <w:p>
      <w:pPr>
        <w:ind w:firstLine="480" w:firstLineChars="200"/>
        <w:outlineLvl w:val="0"/>
        <w:rPr>
          <w:rFonts w:ascii="宋体" w:hAnsi="宋体" w:cs="宋体"/>
          <w:color w:val="000000" w:themeColor="text1"/>
          <w:sz w:val="24"/>
          <w14:textFill>
            <w14:solidFill>
              <w14:schemeClr w14:val="tx1"/>
            </w14:solidFill>
          </w14:textFill>
        </w:rPr>
      </w:pPr>
      <w:bookmarkStart w:id="225" w:name="_Toc31301"/>
      <w:r>
        <w:rPr>
          <w:rFonts w:hint="eastAsia" w:ascii="宋体" w:hAnsi="宋体" w:cs="宋体"/>
          <w:color w:val="000000" w:themeColor="text1"/>
          <w:sz w:val="24"/>
          <w14:textFill>
            <w14:solidFill>
              <w14:schemeClr w14:val="tx1"/>
            </w14:solidFill>
          </w14:textFill>
        </w:rPr>
        <w:t>一、</w:t>
      </w:r>
      <w:r>
        <w:rPr>
          <w:rFonts w:hint="eastAsia" w:ascii="宋体" w:hAnsi="宋体" w:cs="宋体"/>
          <w:bCs/>
          <w:color w:val="000000" w:themeColor="text1"/>
          <w:sz w:val="24"/>
          <w14:textFill>
            <w14:solidFill>
              <w14:schemeClr w14:val="tx1"/>
            </w14:solidFill>
          </w14:textFill>
        </w:rPr>
        <w:t>资信证明文件要求</w:t>
      </w:r>
      <w:bookmarkEnd w:id="225"/>
    </w:p>
    <w:p>
      <w:pPr>
        <w:ind w:firstLine="482" w:firstLineChars="200"/>
        <w:outlineLvl w:val="0"/>
        <w:rPr>
          <w:rFonts w:ascii="宋体" w:hAnsi="宋体" w:cs="宋体"/>
          <w:color w:val="000000" w:themeColor="text1"/>
          <w:sz w:val="24"/>
          <w14:textFill>
            <w14:solidFill>
              <w14:schemeClr w14:val="tx1"/>
            </w14:solidFill>
          </w14:textFill>
        </w:rPr>
      </w:pPr>
      <w:bookmarkStart w:id="226" w:name="_Toc18792"/>
      <w:r>
        <w:rPr>
          <w:rFonts w:hint="eastAsia" w:ascii="宋体" w:hAnsi="宋体" w:cs="宋体"/>
          <w:b/>
          <w:bCs/>
          <w:color w:val="000000" w:themeColor="text1"/>
          <w:sz w:val="24"/>
          <w14:textFill>
            <w14:solidFill>
              <w14:schemeClr w14:val="tx1"/>
            </w14:solidFill>
          </w14:textFill>
        </w:rPr>
        <w:t>二</w:t>
      </w:r>
      <w:r>
        <w:rPr>
          <w:rFonts w:hint="eastAsia" w:ascii="宋体" w:hAnsi="宋体" w:cs="宋体"/>
          <w:color w:val="000000" w:themeColor="text1"/>
          <w:sz w:val="24"/>
          <w14:textFill>
            <w14:solidFill>
              <w14:schemeClr w14:val="tx1"/>
            </w14:solidFill>
          </w14:textFill>
        </w:rPr>
        <w:t>、资格性审查响应对照表</w:t>
      </w:r>
      <w:bookmarkEnd w:id="226"/>
    </w:p>
    <w:p>
      <w:pPr>
        <w:ind w:firstLine="480" w:firstLineChars="200"/>
        <w:outlineLvl w:val="0"/>
        <w:rPr>
          <w:rFonts w:ascii="宋体" w:hAnsi="宋体" w:cs="宋体"/>
          <w:bCs/>
          <w:color w:val="000000" w:themeColor="text1"/>
          <w:sz w:val="24"/>
          <w14:textFill>
            <w14:solidFill>
              <w14:schemeClr w14:val="tx1"/>
            </w14:solidFill>
          </w14:textFill>
        </w:rPr>
      </w:pPr>
      <w:bookmarkStart w:id="227" w:name="_Toc15770"/>
      <w:r>
        <w:rPr>
          <w:rFonts w:hint="eastAsia" w:ascii="宋体" w:hAnsi="宋体" w:cs="宋体"/>
          <w:color w:val="000000" w:themeColor="text1"/>
          <w:sz w:val="24"/>
          <w14:textFill>
            <w14:solidFill>
              <w14:schemeClr w14:val="tx1"/>
            </w14:solidFill>
          </w14:textFill>
        </w:rPr>
        <w:t>三、符合性检查响应对照表</w:t>
      </w:r>
      <w:bookmarkEnd w:id="227"/>
    </w:p>
    <w:p>
      <w:pPr>
        <w:ind w:firstLine="480" w:firstLineChars="200"/>
        <w:outlineLvl w:val="0"/>
        <w:rPr>
          <w:rFonts w:ascii="宋体" w:hAnsi="宋体" w:cs="宋体"/>
          <w:color w:val="000000" w:themeColor="text1"/>
          <w:sz w:val="24"/>
          <w14:textFill>
            <w14:solidFill>
              <w14:schemeClr w14:val="tx1"/>
            </w14:solidFill>
          </w14:textFill>
        </w:rPr>
      </w:pPr>
      <w:bookmarkStart w:id="228" w:name="_Toc22688"/>
      <w:r>
        <w:rPr>
          <w:rFonts w:hint="eastAsia" w:ascii="宋体" w:hAnsi="宋体" w:cs="宋体"/>
          <w:color w:val="000000" w:themeColor="text1"/>
          <w:sz w:val="24"/>
          <w14:textFill>
            <w14:solidFill>
              <w14:schemeClr w14:val="tx1"/>
            </w14:solidFill>
          </w14:textFill>
        </w:rPr>
        <w:t>四、投标函</w:t>
      </w:r>
      <w:bookmarkEnd w:id="228"/>
    </w:p>
    <w:p>
      <w:pPr>
        <w:ind w:firstLine="480" w:firstLineChars="200"/>
        <w:outlineLvl w:val="0"/>
        <w:rPr>
          <w:rFonts w:ascii="宋体" w:hAnsi="宋体" w:cs="宋体"/>
          <w:color w:val="000000" w:themeColor="text1"/>
          <w:sz w:val="24"/>
          <w14:textFill>
            <w14:solidFill>
              <w14:schemeClr w14:val="tx1"/>
            </w14:solidFill>
          </w14:textFill>
        </w:rPr>
      </w:pPr>
      <w:bookmarkStart w:id="229" w:name="_Toc2924"/>
      <w:r>
        <w:rPr>
          <w:rFonts w:hint="eastAsia" w:ascii="宋体" w:hAnsi="宋体" w:cs="宋体"/>
          <w:color w:val="000000" w:themeColor="text1"/>
          <w:sz w:val="24"/>
          <w14:textFill>
            <w14:solidFill>
              <w14:schemeClr w14:val="tx1"/>
            </w14:solidFill>
          </w14:textFill>
        </w:rPr>
        <w:t>五</w:t>
      </w:r>
      <w:r>
        <w:rPr>
          <w:rFonts w:hint="eastAsia" w:ascii="宋体" w:hAnsi="宋体" w:cs="宋体"/>
          <w:b/>
          <w:bCs/>
          <w:color w:val="000000" w:themeColor="text1"/>
          <w:sz w:val="24"/>
          <w14:textFill>
            <w14:solidFill>
              <w14:schemeClr w14:val="tx1"/>
            </w14:solidFill>
          </w14:textFill>
        </w:rPr>
        <w:t>、</w:t>
      </w:r>
      <w:r>
        <w:rPr>
          <w:rFonts w:hint="eastAsia" w:ascii="宋体" w:hAnsi="宋体" w:cs="宋体"/>
          <w:color w:val="000000" w:themeColor="text1"/>
          <w:sz w:val="24"/>
          <w14:textFill>
            <w14:solidFill>
              <w14:schemeClr w14:val="tx1"/>
            </w14:solidFill>
          </w14:textFill>
        </w:rPr>
        <w:t>开标一览表</w:t>
      </w:r>
      <w:bookmarkEnd w:id="229"/>
    </w:p>
    <w:p>
      <w:pPr>
        <w:ind w:firstLine="480" w:firstLineChars="200"/>
        <w:outlineLvl w:val="0"/>
        <w:rPr>
          <w:rFonts w:ascii="宋体" w:hAnsi="宋体" w:cs="宋体"/>
          <w:color w:val="000000" w:themeColor="text1"/>
          <w:sz w:val="24"/>
          <w14:textFill>
            <w14:solidFill>
              <w14:schemeClr w14:val="tx1"/>
            </w14:solidFill>
          </w14:textFill>
        </w:rPr>
      </w:pPr>
      <w:bookmarkStart w:id="230" w:name="_Toc26460"/>
      <w:r>
        <w:rPr>
          <w:rFonts w:hint="eastAsia" w:ascii="宋体" w:hAnsi="宋体" w:cs="宋体"/>
          <w:color w:val="000000" w:themeColor="text1"/>
          <w:sz w:val="24"/>
          <w14:textFill>
            <w14:solidFill>
              <w14:schemeClr w14:val="tx1"/>
            </w14:solidFill>
          </w14:textFill>
        </w:rPr>
        <w:t>六、投标配置与分项报价表</w:t>
      </w:r>
      <w:bookmarkEnd w:id="230"/>
    </w:p>
    <w:p>
      <w:pPr>
        <w:ind w:firstLine="480" w:firstLineChars="200"/>
        <w:outlineLvl w:val="0"/>
        <w:rPr>
          <w:rFonts w:ascii="宋体" w:hAnsi="宋体" w:cs="宋体"/>
          <w:color w:val="000000" w:themeColor="text1"/>
          <w:sz w:val="24"/>
          <w14:textFill>
            <w14:solidFill>
              <w14:schemeClr w14:val="tx1"/>
            </w14:solidFill>
          </w14:textFill>
        </w:rPr>
      </w:pPr>
      <w:bookmarkStart w:id="231" w:name="_Toc14021"/>
      <w:r>
        <w:rPr>
          <w:rFonts w:hint="eastAsia" w:ascii="宋体" w:hAnsi="宋体" w:cs="宋体"/>
          <w:color w:val="000000" w:themeColor="text1"/>
          <w:sz w:val="24"/>
          <w14:textFill>
            <w14:solidFill>
              <w14:schemeClr w14:val="tx1"/>
            </w14:solidFill>
          </w14:textFill>
        </w:rPr>
        <w:t>七</w:t>
      </w:r>
      <w:r>
        <w:rPr>
          <w:rFonts w:hint="eastAsia" w:ascii="宋体" w:hAnsi="宋体" w:cs="宋体"/>
          <w:color w:val="000000" w:themeColor="text1"/>
          <w:sz w:val="24"/>
          <w:szCs w:val="24"/>
          <w14:textFill>
            <w14:solidFill>
              <w14:schemeClr w14:val="tx1"/>
            </w14:solidFill>
          </w14:textFill>
        </w:rPr>
        <w:t>、技术参数响应及偏离表</w:t>
      </w:r>
      <w:bookmarkEnd w:id="231"/>
    </w:p>
    <w:p>
      <w:pPr>
        <w:ind w:firstLine="480" w:firstLineChars="200"/>
        <w:outlineLvl w:val="0"/>
        <w:rPr>
          <w:rFonts w:ascii="宋体" w:hAnsi="宋体" w:cs="宋体"/>
          <w:color w:val="000000" w:themeColor="text1"/>
          <w:sz w:val="24"/>
          <w14:textFill>
            <w14:solidFill>
              <w14:schemeClr w14:val="tx1"/>
            </w14:solidFill>
          </w14:textFill>
        </w:rPr>
      </w:pPr>
      <w:bookmarkStart w:id="232" w:name="_Toc7758"/>
      <w:r>
        <w:rPr>
          <w:rFonts w:hint="eastAsia" w:ascii="宋体" w:hAnsi="宋体" w:cs="宋体"/>
          <w:color w:val="000000" w:themeColor="text1"/>
          <w:sz w:val="24"/>
          <w14:textFill>
            <w14:solidFill>
              <w14:schemeClr w14:val="tx1"/>
            </w14:solidFill>
          </w14:textFill>
        </w:rPr>
        <w:t>八、商务条款响应及偏离表</w:t>
      </w:r>
      <w:bookmarkEnd w:id="232"/>
    </w:p>
    <w:p>
      <w:pPr>
        <w:ind w:firstLine="480" w:firstLineChars="200"/>
        <w:outlineLvl w:val="0"/>
        <w:rPr>
          <w:rFonts w:ascii="宋体" w:hAnsi="宋体" w:cs="宋体"/>
          <w:color w:val="000000" w:themeColor="text1"/>
          <w:sz w:val="24"/>
          <w14:textFill>
            <w14:solidFill>
              <w14:schemeClr w14:val="tx1"/>
            </w14:solidFill>
          </w14:textFill>
        </w:rPr>
      </w:pPr>
      <w:bookmarkStart w:id="233" w:name="_Toc10263"/>
      <w:r>
        <w:rPr>
          <w:rFonts w:hint="eastAsia" w:ascii="宋体" w:hAnsi="宋体" w:cs="宋体"/>
          <w:color w:val="000000" w:themeColor="text1"/>
          <w:sz w:val="24"/>
          <w14:textFill>
            <w14:solidFill>
              <w14:schemeClr w14:val="tx1"/>
            </w14:solidFill>
          </w14:textFill>
        </w:rPr>
        <w:t>九、技术方案、服务承诺、培训承诺等</w:t>
      </w:r>
      <w:bookmarkEnd w:id="233"/>
    </w:p>
    <w:p>
      <w:pPr>
        <w:ind w:firstLine="480" w:firstLineChars="200"/>
        <w:outlineLvl w:val="0"/>
        <w:rPr>
          <w:color w:val="000000" w:themeColor="text1"/>
          <w14:textFill>
            <w14:solidFill>
              <w14:schemeClr w14:val="tx1"/>
            </w14:solidFill>
          </w14:textFill>
        </w:rPr>
      </w:pPr>
      <w:bookmarkStart w:id="234" w:name="_Toc17542"/>
      <w:r>
        <w:rPr>
          <w:rFonts w:hint="eastAsia" w:ascii="宋体" w:hAnsi="宋体" w:cs="宋体"/>
          <w:color w:val="000000" w:themeColor="text1"/>
          <w:sz w:val="24"/>
          <w:szCs w:val="24"/>
          <w14:textFill>
            <w14:solidFill>
              <w14:schemeClr w14:val="tx1"/>
            </w14:solidFill>
          </w14:textFill>
        </w:rPr>
        <w:t>十、中小企业声明函</w:t>
      </w:r>
      <w:bookmarkEnd w:id="234"/>
    </w:p>
    <w:p>
      <w:pPr>
        <w:spacing w:line="440" w:lineRule="exact"/>
        <w:ind w:firstLine="480" w:firstLineChars="200"/>
        <w:outlineLvl w:val="0"/>
        <w:rPr>
          <w:rFonts w:ascii="宋体" w:hAnsi="宋体" w:cs="宋体"/>
          <w:color w:val="000000" w:themeColor="text1"/>
          <w:sz w:val="24"/>
          <w14:textFill>
            <w14:solidFill>
              <w14:schemeClr w14:val="tx1"/>
            </w14:solidFill>
          </w14:textFill>
        </w:rPr>
      </w:pPr>
      <w:bookmarkStart w:id="235" w:name="_Toc4362"/>
      <w:r>
        <w:rPr>
          <w:rFonts w:hint="eastAsia" w:ascii="宋体" w:hAnsi="宋体" w:cs="宋体"/>
          <w:color w:val="000000" w:themeColor="text1"/>
          <w:sz w:val="24"/>
          <w14:textFill>
            <w14:solidFill>
              <w14:schemeClr w14:val="tx1"/>
            </w14:solidFill>
          </w14:textFill>
        </w:rPr>
        <w:t>十一、盐城市政府采购事前信用承诺书</w:t>
      </w:r>
      <w:bookmarkEnd w:id="235"/>
    </w:p>
    <w:p>
      <w:pPr>
        <w:spacing w:line="440" w:lineRule="exact"/>
        <w:ind w:firstLine="480" w:firstLineChars="200"/>
        <w:rPr>
          <w:rFonts w:ascii="宋体" w:hAnsi="宋体" w:cs="宋体"/>
          <w:color w:val="000000" w:themeColor="text1"/>
          <w:sz w:val="24"/>
          <w14:textFill>
            <w14:solidFill>
              <w14:schemeClr w14:val="tx1"/>
            </w14:solidFill>
          </w14:textFill>
        </w:rPr>
      </w:pPr>
    </w:p>
    <w:p>
      <w:pPr>
        <w:spacing w:line="440" w:lineRule="exact"/>
        <w:ind w:firstLine="480" w:firstLineChars="200"/>
        <w:rPr>
          <w:rFonts w:ascii="宋体" w:hAnsi="宋体" w:cs="宋体"/>
          <w:color w:val="000000" w:themeColor="text1"/>
          <w:sz w:val="24"/>
          <w14:textFill>
            <w14:solidFill>
              <w14:schemeClr w14:val="tx1"/>
            </w14:solidFill>
          </w14:textFill>
        </w:rPr>
      </w:pPr>
    </w:p>
    <w:p>
      <w:pPr>
        <w:spacing w:line="440" w:lineRule="exact"/>
        <w:ind w:firstLine="480" w:firstLineChars="200"/>
        <w:rPr>
          <w:rFonts w:ascii="宋体" w:hAnsi="宋体" w:cs="宋体"/>
          <w:color w:val="000000" w:themeColor="text1"/>
          <w:sz w:val="24"/>
          <w14:textFill>
            <w14:solidFill>
              <w14:schemeClr w14:val="tx1"/>
            </w14:solidFill>
          </w14:textFill>
        </w:rPr>
      </w:pPr>
    </w:p>
    <w:p>
      <w:pPr>
        <w:spacing w:line="440" w:lineRule="exact"/>
        <w:ind w:firstLine="480" w:firstLineChars="200"/>
        <w:rPr>
          <w:rFonts w:ascii="宋体" w:hAnsi="宋体" w:cs="宋体"/>
          <w:color w:val="000000" w:themeColor="text1"/>
          <w:sz w:val="24"/>
          <w14:textFill>
            <w14:solidFill>
              <w14:schemeClr w14:val="tx1"/>
            </w14:solidFill>
          </w14:textFill>
        </w:rPr>
      </w:pPr>
    </w:p>
    <w:p>
      <w:pPr>
        <w:spacing w:line="440" w:lineRule="exact"/>
        <w:ind w:firstLine="480" w:firstLineChars="200"/>
        <w:rPr>
          <w:rFonts w:ascii="宋体" w:hAnsi="宋体" w:cs="宋体"/>
          <w:color w:val="000000" w:themeColor="text1"/>
          <w:sz w:val="24"/>
          <w14:textFill>
            <w14:solidFill>
              <w14:schemeClr w14:val="tx1"/>
            </w14:solidFill>
          </w14:textFill>
        </w:rPr>
      </w:pPr>
    </w:p>
    <w:p>
      <w:pPr>
        <w:spacing w:line="440" w:lineRule="exact"/>
        <w:ind w:firstLine="480" w:firstLineChars="200"/>
        <w:rPr>
          <w:rFonts w:ascii="宋体" w:hAnsi="宋体" w:cs="宋体"/>
          <w:color w:val="000000" w:themeColor="text1"/>
          <w:sz w:val="24"/>
          <w14:textFill>
            <w14:solidFill>
              <w14:schemeClr w14:val="tx1"/>
            </w14:solidFill>
          </w14:textFill>
        </w:rPr>
      </w:pPr>
    </w:p>
    <w:p>
      <w:pPr>
        <w:spacing w:line="440" w:lineRule="exact"/>
        <w:ind w:firstLine="480" w:firstLineChars="200"/>
        <w:rPr>
          <w:rFonts w:ascii="宋体" w:hAnsi="宋体" w:cs="宋体"/>
          <w:color w:val="000000" w:themeColor="text1"/>
          <w:sz w:val="24"/>
          <w14:textFill>
            <w14:solidFill>
              <w14:schemeClr w14:val="tx1"/>
            </w14:solidFill>
          </w14:textFill>
        </w:rPr>
      </w:pPr>
    </w:p>
    <w:p>
      <w:pPr>
        <w:spacing w:line="440" w:lineRule="exact"/>
        <w:ind w:firstLine="480" w:firstLineChars="200"/>
        <w:rPr>
          <w:rFonts w:ascii="宋体" w:hAnsi="宋体" w:cs="宋体"/>
          <w:color w:val="000000" w:themeColor="text1"/>
          <w:sz w:val="24"/>
          <w14:textFill>
            <w14:solidFill>
              <w14:schemeClr w14:val="tx1"/>
            </w14:solidFill>
          </w14:textFill>
        </w:rPr>
      </w:pPr>
    </w:p>
    <w:p>
      <w:pPr>
        <w:spacing w:line="440" w:lineRule="exact"/>
        <w:ind w:firstLine="480" w:firstLineChars="200"/>
        <w:rPr>
          <w:rFonts w:ascii="宋体" w:hAnsi="宋体" w:cs="宋体"/>
          <w:color w:val="000000" w:themeColor="text1"/>
          <w:sz w:val="24"/>
          <w14:textFill>
            <w14:solidFill>
              <w14:schemeClr w14:val="tx1"/>
            </w14:solidFill>
          </w14:textFill>
        </w:rPr>
      </w:pPr>
    </w:p>
    <w:p>
      <w:pPr>
        <w:spacing w:line="440" w:lineRule="exact"/>
        <w:ind w:firstLine="480" w:firstLineChars="200"/>
        <w:rPr>
          <w:rFonts w:ascii="宋体" w:hAnsi="宋体" w:cs="宋体"/>
          <w:color w:val="000000" w:themeColor="text1"/>
          <w:sz w:val="24"/>
          <w14:textFill>
            <w14:solidFill>
              <w14:schemeClr w14:val="tx1"/>
            </w14:solidFill>
          </w14:textFill>
        </w:rPr>
      </w:pPr>
    </w:p>
    <w:p>
      <w:pPr>
        <w:spacing w:line="440" w:lineRule="exact"/>
        <w:ind w:firstLine="480" w:firstLineChars="200"/>
        <w:rPr>
          <w:rFonts w:ascii="宋体" w:hAnsi="宋体" w:cs="宋体"/>
          <w:color w:val="000000" w:themeColor="text1"/>
          <w:sz w:val="24"/>
          <w14:textFill>
            <w14:solidFill>
              <w14:schemeClr w14:val="tx1"/>
            </w14:solidFill>
          </w14:textFill>
        </w:rPr>
      </w:pPr>
    </w:p>
    <w:p>
      <w:pPr>
        <w:spacing w:line="440" w:lineRule="exact"/>
        <w:ind w:firstLine="480" w:firstLineChars="200"/>
        <w:rPr>
          <w:rFonts w:ascii="宋体" w:hAnsi="宋体" w:cs="宋体"/>
          <w:color w:val="000000" w:themeColor="text1"/>
          <w:sz w:val="24"/>
          <w14:textFill>
            <w14:solidFill>
              <w14:schemeClr w14:val="tx1"/>
            </w14:solidFill>
          </w14:textFill>
        </w:rPr>
      </w:pPr>
    </w:p>
    <w:p>
      <w:pPr>
        <w:snapToGrid w:val="0"/>
        <w:spacing w:before="50" w:after="50"/>
        <w:jc w:val="center"/>
        <w:outlineLvl w:val="0"/>
        <w:rPr>
          <w:rFonts w:ascii="宋体" w:hAnsi="宋体" w:cs="宋体"/>
          <w:b/>
          <w:bCs/>
          <w:color w:val="000000" w:themeColor="text1"/>
          <w:sz w:val="32"/>
          <w:szCs w:val="32"/>
          <w14:textFill>
            <w14:solidFill>
              <w14:schemeClr w14:val="tx1"/>
            </w14:solidFill>
          </w14:textFill>
        </w:rPr>
      </w:pPr>
      <w:r>
        <w:rPr>
          <w:rFonts w:hint="eastAsia" w:ascii="宋体" w:hAnsi="宋体" w:cs="宋体"/>
          <w:color w:val="000000" w:themeColor="text1"/>
          <w:sz w:val="24"/>
          <w14:textFill>
            <w14:solidFill>
              <w14:schemeClr w14:val="tx1"/>
            </w14:solidFill>
          </w14:textFill>
        </w:rPr>
        <w:br w:type="page"/>
      </w:r>
      <w:bookmarkStart w:id="236" w:name="_Toc6264"/>
      <w:r>
        <w:rPr>
          <w:rFonts w:hint="eastAsia" w:ascii="宋体" w:hAnsi="宋体" w:cs="宋体"/>
          <w:color w:val="000000" w:themeColor="text1"/>
          <w:sz w:val="32"/>
          <w:szCs w:val="32"/>
          <w14:textFill>
            <w14:solidFill>
              <w14:schemeClr w14:val="tx1"/>
            </w14:solidFill>
          </w14:textFill>
        </w:rPr>
        <w:t>一、</w:t>
      </w:r>
      <w:r>
        <w:rPr>
          <w:rFonts w:hint="eastAsia" w:ascii="宋体" w:hAnsi="宋体" w:cs="宋体"/>
          <w:b/>
          <w:bCs/>
          <w:color w:val="000000" w:themeColor="text1"/>
          <w:sz w:val="32"/>
          <w:szCs w:val="32"/>
          <w14:textFill>
            <w14:solidFill>
              <w14:schemeClr w14:val="tx1"/>
            </w14:solidFill>
          </w14:textFill>
        </w:rPr>
        <w:t>资信证明文件要求</w:t>
      </w:r>
      <w:bookmarkEnd w:id="236"/>
    </w:p>
    <w:p>
      <w:pPr>
        <w:snapToGrid w:val="0"/>
        <w:spacing w:before="50" w:after="50"/>
        <w:rPr>
          <w:rFonts w:ascii="宋体" w:hAnsi="宋体" w:cs="宋体"/>
          <w:i/>
          <w:color w:val="000000" w:themeColor="text1"/>
          <w:szCs w:val="24"/>
          <w:u w:val="single"/>
          <w14:textFill>
            <w14:solidFill>
              <w14:schemeClr w14:val="tx1"/>
            </w14:solidFill>
          </w14:textFill>
        </w:rPr>
      </w:pPr>
    </w:p>
    <w:p>
      <w:pPr>
        <w:snapToGrid w:val="0"/>
        <w:spacing w:line="500" w:lineRule="exact"/>
        <w:ind w:firstLine="482" w:firstLineChars="200"/>
        <w:rPr>
          <w:rFonts w:ascii="宋体" w:hAnsi="宋体" w:cs="宋体"/>
          <w:color w:val="000000" w:themeColor="text1"/>
          <w:sz w:val="24"/>
          <w:szCs w:val="20"/>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1、实质性资格证明文件目录</w:t>
      </w:r>
    </w:p>
    <w:p>
      <w:pPr>
        <w:snapToGrid w:val="0"/>
        <w:spacing w:line="50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文件1 法人或者其他组织的营业执照等证明文件，自然人的身份证明（复印件）</w:t>
      </w:r>
    </w:p>
    <w:p>
      <w:pPr>
        <w:snapToGrid w:val="0"/>
        <w:spacing w:line="500" w:lineRule="exact"/>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文件2 上一年度财务状况报表（复印件，成立不满一年不需提供）</w:t>
      </w:r>
    </w:p>
    <w:p>
      <w:pPr>
        <w:snapToGrid w:val="0"/>
        <w:spacing w:line="50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文件3 依法缴纳税收和社会保障资金的相关材料（复印件）</w:t>
      </w:r>
    </w:p>
    <w:p>
      <w:pPr>
        <w:snapToGrid w:val="0"/>
        <w:spacing w:line="500" w:lineRule="exact"/>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文件4 具备履行合同所必需的设备和专业技术能力的书面声明</w:t>
      </w:r>
    </w:p>
    <w:p>
      <w:pPr>
        <w:snapToGrid w:val="0"/>
        <w:spacing w:line="50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文件5 参加政府采购活动前 3 年内在经营活动中没有重大违法记录的书面声明</w:t>
      </w:r>
    </w:p>
    <w:p>
      <w:pPr>
        <w:snapToGrid w:val="0"/>
        <w:spacing w:line="500" w:lineRule="exact"/>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文件6 法人授权书</w:t>
      </w:r>
    </w:p>
    <w:p>
      <w:pPr>
        <w:snapToGrid w:val="0"/>
        <w:spacing w:line="500" w:lineRule="exact"/>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文件7未被“信用中国”网站（www.creditchina.gov.cn）列入失信被执行人、重大税收违法案件当事人名单、政府采购严重失信行为记录名单的网上查询截图（查询日期为采购公告发布之日当天或以后任一时间）。</w:t>
      </w:r>
    </w:p>
    <w:p>
      <w:pPr>
        <w:snapToGrid w:val="0"/>
        <w:spacing w:line="500" w:lineRule="exact"/>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文件8 招标文件中规定要求提供的证明材料和投标人认为需要提供的其他材料（招标文件要求提供原件的必须单独封装并与投标文件一起递交，评标结束后原件退回；未要求提供原件的提供复印件，原件自带备查）</w:t>
      </w:r>
    </w:p>
    <w:p>
      <w:pPr>
        <w:snapToGrid w:val="0"/>
        <w:spacing w:line="500" w:lineRule="exact"/>
        <w:ind w:firstLine="482" w:firstLineChars="200"/>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2、非实质性资信证明文件目录</w:t>
      </w:r>
    </w:p>
    <w:p>
      <w:pPr>
        <w:snapToGrid w:val="0"/>
        <w:spacing w:line="500" w:lineRule="exact"/>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格式1 《企业申明函》</w:t>
      </w:r>
    </w:p>
    <w:p>
      <w:pPr>
        <w:pStyle w:val="3"/>
        <w:outlineLvl w:val="9"/>
        <w:rPr>
          <w:rFonts w:ascii="宋体" w:hAnsi="宋体" w:eastAsia="宋体" w:cs="宋体"/>
          <w:color w:val="000000" w:themeColor="text1"/>
          <w14:textFill>
            <w14:solidFill>
              <w14:schemeClr w14:val="tx1"/>
            </w14:solidFill>
          </w14:textFill>
        </w:rPr>
      </w:pPr>
    </w:p>
    <w:p>
      <w:pPr>
        <w:pStyle w:val="5"/>
        <w:spacing w:line="0" w:lineRule="atLeast"/>
        <w:rPr>
          <w:rFonts w:ascii="宋体" w:hAnsi="宋体" w:cs="宋体"/>
          <w:color w:val="000000" w:themeColor="text1"/>
          <w:sz w:val="24"/>
          <w:szCs w:val="24"/>
          <w14:textFill>
            <w14:solidFill>
              <w14:schemeClr w14:val="tx1"/>
            </w14:solidFill>
          </w14:textFill>
        </w:rPr>
      </w:pPr>
    </w:p>
    <w:p>
      <w:pPr>
        <w:pStyle w:val="5"/>
        <w:spacing w:line="0" w:lineRule="atLeast"/>
        <w:rPr>
          <w:rFonts w:ascii="宋体" w:hAnsi="宋体" w:cs="宋体"/>
          <w:color w:val="000000" w:themeColor="text1"/>
          <w:sz w:val="24"/>
          <w:szCs w:val="24"/>
          <w14:textFill>
            <w14:solidFill>
              <w14:schemeClr w14:val="tx1"/>
            </w14:solidFill>
          </w14:textFill>
        </w:rPr>
      </w:pPr>
    </w:p>
    <w:p>
      <w:pPr>
        <w:pStyle w:val="5"/>
        <w:spacing w:line="0" w:lineRule="atLeast"/>
        <w:rPr>
          <w:rFonts w:ascii="宋体" w:hAnsi="宋体" w:cs="宋体"/>
          <w:color w:val="000000" w:themeColor="text1"/>
          <w:sz w:val="24"/>
          <w:szCs w:val="24"/>
          <w14:textFill>
            <w14:solidFill>
              <w14:schemeClr w14:val="tx1"/>
            </w14:solidFill>
          </w14:textFill>
        </w:rPr>
      </w:pPr>
    </w:p>
    <w:p>
      <w:pPr>
        <w:pStyle w:val="5"/>
        <w:spacing w:line="0" w:lineRule="atLeast"/>
        <w:rPr>
          <w:rFonts w:ascii="宋体" w:hAnsi="宋体" w:cs="宋体"/>
          <w:color w:val="000000" w:themeColor="text1"/>
          <w:sz w:val="24"/>
          <w:szCs w:val="24"/>
          <w14:textFill>
            <w14:solidFill>
              <w14:schemeClr w14:val="tx1"/>
            </w14:solidFill>
          </w14:textFill>
        </w:rPr>
      </w:pPr>
    </w:p>
    <w:p>
      <w:pPr>
        <w:pStyle w:val="5"/>
        <w:spacing w:line="0" w:lineRule="atLeast"/>
        <w:rPr>
          <w:rFonts w:ascii="宋体" w:hAnsi="宋体" w:cs="宋体"/>
          <w:color w:val="000000" w:themeColor="text1"/>
          <w:sz w:val="24"/>
          <w:szCs w:val="24"/>
          <w14:textFill>
            <w14:solidFill>
              <w14:schemeClr w14:val="tx1"/>
            </w14:solidFill>
          </w14:textFill>
        </w:rPr>
      </w:pPr>
    </w:p>
    <w:p>
      <w:pPr>
        <w:pStyle w:val="5"/>
        <w:spacing w:line="0" w:lineRule="atLeast"/>
        <w:rPr>
          <w:rFonts w:ascii="宋体" w:hAnsi="宋体" w:cs="宋体"/>
          <w:color w:val="000000" w:themeColor="text1"/>
          <w:sz w:val="24"/>
          <w:szCs w:val="24"/>
          <w14:textFill>
            <w14:solidFill>
              <w14:schemeClr w14:val="tx1"/>
            </w14:solidFill>
          </w14:textFill>
        </w:rPr>
      </w:pPr>
    </w:p>
    <w:p>
      <w:pPr>
        <w:pStyle w:val="5"/>
        <w:spacing w:line="0" w:lineRule="atLeast"/>
        <w:rPr>
          <w:rFonts w:ascii="宋体" w:hAnsi="宋体" w:cs="宋体"/>
          <w:color w:val="000000" w:themeColor="text1"/>
          <w:sz w:val="24"/>
          <w:szCs w:val="24"/>
          <w14:textFill>
            <w14:solidFill>
              <w14:schemeClr w14:val="tx1"/>
            </w14:solidFill>
          </w14:textFill>
        </w:rPr>
      </w:pPr>
    </w:p>
    <w:p>
      <w:pPr>
        <w:pStyle w:val="5"/>
        <w:spacing w:line="0" w:lineRule="atLeast"/>
        <w:rPr>
          <w:rFonts w:ascii="宋体" w:hAnsi="宋体" w:cs="宋体"/>
          <w:color w:val="000000" w:themeColor="text1"/>
          <w:sz w:val="24"/>
          <w:szCs w:val="24"/>
          <w14:textFill>
            <w14:solidFill>
              <w14:schemeClr w14:val="tx1"/>
            </w14:solidFill>
          </w14:textFill>
        </w:rPr>
      </w:pPr>
    </w:p>
    <w:p>
      <w:pPr>
        <w:pStyle w:val="5"/>
        <w:spacing w:line="0" w:lineRule="atLeast"/>
        <w:rPr>
          <w:rFonts w:ascii="宋体" w:hAnsi="宋体" w:cs="宋体"/>
          <w:color w:val="000000" w:themeColor="text1"/>
          <w:sz w:val="24"/>
          <w:szCs w:val="24"/>
          <w14:textFill>
            <w14:solidFill>
              <w14:schemeClr w14:val="tx1"/>
            </w14:solidFill>
          </w14:textFill>
        </w:rPr>
      </w:pPr>
    </w:p>
    <w:p>
      <w:pPr>
        <w:pStyle w:val="5"/>
        <w:spacing w:line="0" w:lineRule="atLeast"/>
        <w:rPr>
          <w:rFonts w:ascii="宋体" w:hAnsi="宋体" w:cs="宋体"/>
          <w:color w:val="000000" w:themeColor="text1"/>
          <w:sz w:val="24"/>
          <w:szCs w:val="24"/>
          <w14:textFill>
            <w14:solidFill>
              <w14:schemeClr w14:val="tx1"/>
            </w14:solidFill>
          </w14:textFill>
        </w:rPr>
      </w:pPr>
    </w:p>
    <w:p>
      <w:pPr>
        <w:pStyle w:val="5"/>
        <w:spacing w:line="0" w:lineRule="atLeast"/>
        <w:rPr>
          <w:rFonts w:ascii="宋体" w:hAnsi="宋体" w:cs="宋体"/>
          <w:color w:val="000000" w:themeColor="text1"/>
          <w:sz w:val="24"/>
          <w:szCs w:val="24"/>
          <w14:textFill>
            <w14:solidFill>
              <w14:schemeClr w14:val="tx1"/>
            </w14:solidFill>
          </w14:textFill>
        </w:rPr>
      </w:pPr>
    </w:p>
    <w:p>
      <w:pPr>
        <w:pStyle w:val="5"/>
        <w:spacing w:line="0" w:lineRule="atLeast"/>
        <w:rPr>
          <w:rFonts w:ascii="宋体" w:hAnsi="宋体" w:cs="宋体"/>
          <w:color w:val="000000" w:themeColor="text1"/>
          <w:sz w:val="24"/>
          <w:szCs w:val="24"/>
          <w14:textFill>
            <w14:solidFill>
              <w14:schemeClr w14:val="tx1"/>
            </w14:solidFill>
          </w14:textFill>
        </w:rPr>
      </w:pPr>
    </w:p>
    <w:p>
      <w:pPr>
        <w:pStyle w:val="5"/>
        <w:spacing w:line="0" w:lineRule="atLeast"/>
        <w:rPr>
          <w:rFonts w:ascii="宋体" w:hAnsi="宋体" w:cs="宋体"/>
          <w:color w:val="000000" w:themeColor="text1"/>
          <w:sz w:val="24"/>
          <w:szCs w:val="24"/>
          <w14:textFill>
            <w14:solidFill>
              <w14:schemeClr w14:val="tx1"/>
            </w14:solidFill>
          </w14:textFill>
        </w:rPr>
      </w:pPr>
    </w:p>
    <w:p>
      <w:pPr>
        <w:pStyle w:val="5"/>
        <w:spacing w:line="0" w:lineRule="atLeast"/>
        <w:rPr>
          <w:rFonts w:ascii="宋体" w:hAnsi="宋体" w:cs="宋体"/>
          <w:color w:val="000000" w:themeColor="text1"/>
          <w:sz w:val="24"/>
          <w:szCs w:val="24"/>
          <w14:textFill>
            <w14:solidFill>
              <w14:schemeClr w14:val="tx1"/>
            </w14:solidFill>
          </w14:textFill>
        </w:rPr>
      </w:pPr>
    </w:p>
    <w:p>
      <w:pPr>
        <w:pStyle w:val="5"/>
        <w:spacing w:line="0" w:lineRule="atLeast"/>
        <w:rPr>
          <w:rFonts w:ascii="宋体" w:hAnsi="宋体" w:cs="宋体"/>
          <w:color w:val="000000" w:themeColor="text1"/>
          <w:sz w:val="24"/>
          <w:szCs w:val="24"/>
          <w14:textFill>
            <w14:solidFill>
              <w14:schemeClr w14:val="tx1"/>
            </w14:solidFill>
          </w14:textFill>
        </w:rPr>
      </w:pPr>
    </w:p>
    <w:p>
      <w:pPr>
        <w:pStyle w:val="5"/>
        <w:spacing w:line="0" w:lineRule="atLeast"/>
        <w:ind w:firstLine="0"/>
        <w:rPr>
          <w:rFonts w:ascii="宋体" w:hAnsi="宋体" w:cs="宋体"/>
          <w:color w:val="000000" w:themeColor="text1"/>
          <w:sz w:val="24"/>
          <w:szCs w:val="24"/>
          <w14:textFill>
            <w14:solidFill>
              <w14:schemeClr w14:val="tx1"/>
            </w14:solidFill>
          </w14:textFill>
        </w:rPr>
      </w:pPr>
    </w:p>
    <w:p>
      <w:pPr>
        <w:pStyle w:val="6"/>
        <w:jc w:val="center"/>
        <w:rPr>
          <w:rFonts w:ascii="宋体" w:hAnsi="宋体" w:cs="宋体"/>
          <w:b w:val="0"/>
          <w:bCs w:val="0"/>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具备履行合同所必需的设备和专业技术能力的书面声明</w:t>
      </w:r>
    </w:p>
    <w:p>
      <w:pPr>
        <w:spacing w:line="460" w:lineRule="exact"/>
        <w:ind w:firstLine="492"/>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我公司郑重声明：我公司具备履行本项采购合同所必需的设备和专业技术能力，为履行本项采购合同我公司具备如下主要设备和主要专业技术能力：</w:t>
      </w:r>
    </w:p>
    <w:p>
      <w:pPr>
        <w:spacing w:line="460" w:lineRule="exact"/>
        <w:ind w:firstLine="492"/>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主要设备有：。</w:t>
      </w:r>
    </w:p>
    <w:p>
      <w:pPr>
        <w:spacing w:line="460" w:lineRule="exact"/>
        <w:ind w:firstLine="492"/>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主要专业技术能力有：。</w:t>
      </w:r>
    </w:p>
    <w:p>
      <w:pPr>
        <w:spacing w:line="460" w:lineRule="exact"/>
        <w:ind w:firstLine="492"/>
        <w:rPr>
          <w:rFonts w:ascii="宋体" w:hAnsi="宋体" w:cs="宋体"/>
          <w:bCs/>
          <w:color w:val="000000" w:themeColor="text1"/>
          <w:sz w:val="24"/>
          <w:szCs w:val="24"/>
          <w14:textFill>
            <w14:solidFill>
              <w14:schemeClr w14:val="tx1"/>
            </w14:solidFill>
          </w14:textFill>
        </w:rPr>
      </w:pPr>
    </w:p>
    <w:p>
      <w:pPr>
        <w:spacing w:line="460" w:lineRule="exact"/>
        <w:ind w:firstLine="492"/>
        <w:rPr>
          <w:rFonts w:ascii="宋体" w:hAnsi="宋体" w:cs="宋体"/>
          <w:bCs/>
          <w:color w:val="000000" w:themeColor="text1"/>
          <w:sz w:val="24"/>
          <w:szCs w:val="24"/>
          <w14:textFill>
            <w14:solidFill>
              <w14:schemeClr w14:val="tx1"/>
            </w14:solidFill>
          </w14:textFill>
        </w:rPr>
      </w:pPr>
    </w:p>
    <w:p>
      <w:pPr>
        <w:spacing w:line="460" w:lineRule="exact"/>
        <w:ind w:firstLine="492"/>
        <w:rPr>
          <w:rFonts w:ascii="宋体" w:hAnsi="宋体" w:cs="宋体"/>
          <w:bCs/>
          <w:color w:val="000000" w:themeColor="text1"/>
          <w:sz w:val="24"/>
          <w:szCs w:val="24"/>
          <w14:textFill>
            <w14:solidFill>
              <w14:schemeClr w14:val="tx1"/>
            </w14:solidFill>
          </w14:textFill>
        </w:rPr>
      </w:pPr>
    </w:p>
    <w:p>
      <w:pPr>
        <w:spacing w:line="460" w:lineRule="exact"/>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 xml:space="preserve">                                       供应商名称（公章）：</w:t>
      </w:r>
    </w:p>
    <w:p>
      <w:pPr>
        <w:spacing w:line="460" w:lineRule="exact"/>
        <w:rPr>
          <w:rFonts w:ascii="宋体" w:hAnsi="宋体" w:cs="宋体"/>
          <w:bCs/>
          <w:color w:val="000000" w:themeColor="text1"/>
          <w:sz w:val="24"/>
          <w:szCs w:val="24"/>
          <w14:textFill>
            <w14:solidFill>
              <w14:schemeClr w14:val="tx1"/>
            </w14:solidFill>
          </w14:textFill>
        </w:rPr>
      </w:pPr>
    </w:p>
    <w:p>
      <w:pPr>
        <w:spacing w:line="460" w:lineRule="exact"/>
        <w:jc w:val="right"/>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日期：</w:t>
      </w:r>
      <w:r>
        <w:rPr>
          <w:rFonts w:hint="eastAsia" w:ascii="宋体" w:hAnsi="宋体" w:cs="宋体"/>
          <w:bCs/>
          <w:color w:val="000000" w:themeColor="text1"/>
          <w:sz w:val="24"/>
          <w:szCs w:val="24"/>
          <w:u w:val="single"/>
          <w14:textFill>
            <w14:solidFill>
              <w14:schemeClr w14:val="tx1"/>
            </w14:solidFill>
          </w14:textFill>
        </w:rPr>
        <w:t xml:space="preserve">    年    月    日</w:t>
      </w:r>
    </w:p>
    <w:p>
      <w:pPr>
        <w:pStyle w:val="6"/>
        <w:jc w:val="center"/>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br w:type="page"/>
      </w:r>
      <w:r>
        <w:rPr>
          <w:rFonts w:hint="eastAsia" w:ascii="宋体" w:hAnsi="宋体" w:cs="宋体"/>
          <w:color w:val="000000" w:themeColor="text1"/>
          <w:sz w:val="28"/>
          <w:szCs w:val="28"/>
          <w14:textFill>
            <w14:solidFill>
              <w14:schemeClr w14:val="tx1"/>
            </w14:solidFill>
          </w14:textFill>
        </w:rPr>
        <w:t>参加政府采购活动前 3 年内在经营活动中没有重大违法记录的书面声明</w:t>
      </w:r>
    </w:p>
    <w:p>
      <w:pPr>
        <w:spacing w:line="460" w:lineRule="exact"/>
        <w:rPr>
          <w:rFonts w:ascii="宋体" w:hAnsi="宋体" w:cs="宋体"/>
          <w:b/>
          <w:bCs/>
          <w:color w:val="000000" w:themeColor="text1"/>
          <w:sz w:val="28"/>
          <w:szCs w:val="28"/>
          <w14:textFill>
            <w14:solidFill>
              <w14:schemeClr w14:val="tx1"/>
            </w14:solidFill>
          </w14:textFill>
        </w:rPr>
      </w:pPr>
    </w:p>
    <w:p>
      <w:pPr>
        <w:jc w:val="center"/>
        <w:rPr>
          <w:rFonts w:ascii="宋体" w:hAnsi="宋体" w:cs="宋体"/>
          <w:b/>
          <w:bCs/>
          <w:color w:val="000000" w:themeColor="text1"/>
          <w:sz w:val="44"/>
          <w:szCs w:val="44"/>
          <w14:textFill>
            <w14:solidFill>
              <w14:schemeClr w14:val="tx1"/>
            </w14:solidFill>
          </w14:textFill>
        </w:rPr>
      </w:pPr>
      <w:r>
        <w:rPr>
          <w:rFonts w:hint="eastAsia" w:ascii="宋体" w:hAnsi="宋体" w:cs="宋体"/>
          <w:b/>
          <w:bCs/>
          <w:color w:val="000000" w:themeColor="text1"/>
          <w:sz w:val="44"/>
          <w:szCs w:val="44"/>
          <w14:textFill>
            <w14:solidFill>
              <w14:schemeClr w14:val="tx1"/>
            </w14:solidFill>
          </w14:textFill>
        </w:rPr>
        <w:t>声  明</w:t>
      </w:r>
    </w:p>
    <w:p>
      <w:pPr>
        <w:spacing w:line="460" w:lineRule="exact"/>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我公司郑重声明：参加本次政府采购活动前 3 年内，我公司在经营活动中没有因违法经营受到刑事处罚或者责令停产停业、吊销许可证或者执照、较大数额罚款等行政处罚。</w:t>
      </w:r>
    </w:p>
    <w:p>
      <w:pPr>
        <w:spacing w:line="460" w:lineRule="exact"/>
        <w:rPr>
          <w:rFonts w:ascii="宋体" w:hAnsi="宋体" w:cs="宋体"/>
          <w:bCs/>
          <w:color w:val="000000" w:themeColor="text1"/>
          <w:sz w:val="24"/>
          <w:szCs w:val="24"/>
          <w14:textFill>
            <w14:solidFill>
              <w14:schemeClr w14:val="tx1"/>
            </w14:solidFill>
          </w14:textFill>
        </w:rPr>
      </w:pPr>
    </w:p>
    <w:p>
      <w:pPr>
        <w:spacing w:line="460" w:lineRule="exact"/>
        <w:ind w:firstLine="3120" w:firstLineChars="13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供应商名称（公章）：</w:t>
      </w:r>
    </w:p>
    <w:p>
      <w:pPr>
        <w:spacing w:line="460" w:lineRule="exact"/>
        <w:ind w:firstLine="3120" w:firstLineChars="13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授权代表签字：</w:t>
      </w:r>
    </w:p>
    <w:p>
      <w:pPr>
        <w:spacing w:line="460" w:lineRule="exact"/>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 xml:space="preserve">                          日期：</w:t>
      </w:r>
      <w:r>
        <w:rPr>
          <w:rFonts w:hint="eastAsia" w:ascii="宋体" w:hAnsi="宋体" w:cs="宋体"/>
          <w:bCs/>
          <w:color w:val="000000" w:themeColor="text1"/>
          <w:sz w:val="24"/>
          <w:szCs w:val="24"/>
          <w:u w:val="single"/>
          <w14:textFill>
            <w14:solidFill>
              <w14:schemeClr w14:val="tx1"/>
            </w14:solidFill>
          </w14:textFill>
        </w:rPr>
        <w:t xml:space="preserve">           年    月    日</w:t>
      </w:r>
    </w:p>
    <w:p>
      <w:pPr>
        <w:spacing w:line="460" w:lineRule="exact"/>
        <w:rPr>
          <w:rFonts w:ascii="宋体" w:hAnsi="宋体" w:cs="宋体"/>
          <w:bCs/>
          <w:color w:val="000000" w:themeColor="text1"/>
          <w:sz w:val="28"/>
          <w:szCs w:val="28"/>
          <w14:textFill>
            <w14:solidFill>
              <w14:schemeClr w14:val="tx1"/>
            </w14:solidFill>
          </w14:textFill>
        </w:rPr>
      </w:pPr>
    </w:p>
    <w:p>
      <w:pPr>
        <w:spacing w:line="460" w:lineRule="exact"/>
        <w:rPr>
          <w:rFonts w:ascii="宋体" w:hAnsi="宋体" w:cs="宋体"/>
          <w:bCs/>
          <w:color w:val="000000" w:themeColor="text1"/>
          <w:sz w:val="28"/>
          <w:szCs w:val="28"/>
          <w14:textFill>
            <w14:solidFill>
              <w14:schemeClr w14:val="tx1"/>
            </w14:solidFill>
          </w14:textFill>
        </w:rPr>
      </w:pPr>
    </w:p>
    <w:p>
      <w:pPr>
        <w:spacing w:line="460" w:lineRule="exact"/>
        <w:rPr>
          <w:rFonts w:ascii="宋体" w:hAnsi="宋体" w:cs="宋体"/>
          <w:bCs/>
          <w:color w:val="000000" w:themeColor="text1"/>
          <w:sz w:val="28"/>
          <w:szCs w:val="28"/>
          <w14:textFill>
            <w14:solidFill>
              <w14:schemeClr w14:val="tx1"/>
            </w14:solidFill>
          </w14:textFill>
        </w:rPr>
      </w:pPr>
    </w:p>
    <w:p>
      <w:pPr>
        <w:spacing w:line="460" w:lineRule="exact"/>
        <w:rPr>
          <w:rFonts w:ascii="宋体" w:hAnsi="宋体" w:cs="宋体"/>
          <w:bCs/>
          <w:color w:val="000000" w:themeColor="text1"/>
          <w:sz w:val="28"/>
          <w:szCs w:val="28"/>
          <w14:textFill>
            <w14:solidFill>
              <w14:schemeClr w14:val="tx1"/>
            </w14:solidFill>
          </w14:textFill>
        </w:rPr>
      </w:pPr>
    </w:p>
    <w:p>
      <w:pPr>
        <w:spacing w:line="460" w:lineRule="exact"/>
        <w:rPr>
          <w:rFonts w:ascii="宋体" w:hAnsi="宋体" w:cs="宋体"/>
          <w:bCs/>
          <w:color w:val="000000" w:themeColor="text1"/>
          <w:sz w:val="28"/>
          <w:szCs w:val="28"/>
          <w14:textFill>
            <w14:solidFill>
              <w14:schemeClr w14:val="tx1"/>
            </w14:solidFill>
          </w14:textFill>
        </w:rPr>
      </w:pPr>
    </w:p>
    <w:p>
      <w:pPr>
        <w:spacing w:line="460" w:lineRule="exact"/>
        <w:rPr>
          <w:rFonts w:ascii="宋体" w:hAnsi="宋体" w:cs="宋体"/>
          <w:bCs/>
          <w:color w:val="000000" w:themeColor="text1"/>
          <w:sz w:val="28"/>
          <w:szCs w:val="28"/>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pStyle w:val="6"/>
        <w:jc w:val="center"/>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法人授权书</w:t>
      </w:r>
    </w:p>
    <w:p>
      <w:pPr>
        <w:pStyle w:val="88"/>
        <w:ind w:firstLine="48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本授权书声明：____________（供应商名称）授权________________（被授权人的姓名）为我方就</w:t>
      </w:r>
      <w:r>
        <w:rPr>
          <w:rFonts w:hint="eastAsia" w:ascii="宋体" w:hAnsi="宋体" w:cs="宋体"/>
          <w:color w:val="000000" w:themeColor="text1"/>
          <w:sz w:val="24"/>
          <w:szCs w:val="24"/>
          <w:u w:val="single"/>
          <w14:textFill>
            <w14:solidFill>
              <w14:schemeClr w14:val="tx1"/>
            </w14:solidFill>
          </w14:textFill>
        </w:rPr>
        <w:t>2020-0Q</w:t>
      </w:r>
      <w:r>
        <w:rPr>
          <w:rFonts w:hint="eastAsia" w:ascii="宋体" w:hAnsi="宋体" w:cs="宋体"/>
          <w:color w:val="000000" w:themeColor="text1"/>
          <w:sz w:val="24"/>
          <w:szCs w:val="24"/>
          <w14:textFill>
            <w14:solidFill>
              <w14:schemeClr w14:val="tx1"/>
            </w14:solidFill>
          </w14:textFill>
        </w:rPr>
        <w:t>号项目采购活动的合法代理人，以本公司名义全权处理一切与该项目采购有关的事务。</w:t>
      </w:r>
    </w:p>
    <w:p>
      <w:pPr>
        <w:pStyle w:val="88"/>
        <w:ind w:firstLine="48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本授权书于______年____月____日起生效，特此声明。</w:t>
      </w:r>
    </w:p>
    <w:p>
      <w:pPr>
        <w:pStyle w:val="88"/>
        <w:ind w:firstLine="0" w:firstLineChars="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代理人（被授权人）：_______________________</w:t>
      </w:r>
    </w:p>
    <w:p>
      <w:pPr>
        <w:pStyle w:val="88"/>
        <w:ind w:firstLine="0" w:firstLineChars="0"/>
        <w:rPr>
          <w:rFonts w:ascii="宋体" w:hAnsi="宋体" w:cs="宋体"/>
          <w:color w:val="000000" w:themeColor="text1"/>
          <w:sz w:val="24"/>
          <w:szCs w:val="24"/>
          <w14:textFill>
            <w14:solidFill>
              <w14:schemeClr w14:val="tx1"/>
            </w14:solidFill>
          </w14:textFill>
        </w:rPr>
      </w:pPr>
    </w:p>
    <w:p>
      <w:pPr>
        <w:pStyle w:val="88"/>
        <w:ind w:firstLine="0" w:firstLineChars="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单位名称：_____________________________________</w:t>
      </w:r>
    </w:p>
    <w:p>
      <w:pPr>
        <w:pStyle w:val="88"/>
        <w:ind w:firstLine="480"/>
        <w:rPr>
          <w:rFonts w:ascii="宋体" w:hAnsi="宋体" w:cs="宋体"/>
          <w:color w:val="000000" w:themeColor="text1"/>
          <w:sz w:val="24"/>
          <w:szCs w:val="24"/>
          <w14:textFill>
            <w14:solidFill>
              <w14:schemeClr w14:val="tx1"/>
            </w14:solidFill>
          </w14:textFill>
        </w:rPr>
      </w:pPr>
    </w:p>
    <w:p>
      <w:pPr>
        <w:pStyle w:val="88"/>
        <w:ind w:firstLine="0" w:firstLineChars="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授权单位盖章：_________________________________</w:t>
      </w:r>
    </w:p>
    <w:p>
      <w:pPr>
        <w:pStyle w:val="88"/>
        <w:ind w:firstLine="48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单位名称：_____________________________________</w:t>
      </w:r>
    </w:p>
    <w:p>
      <w:pPr>
        <w:pStyle w:val="88"/>
        <w:ind w:firstLine="480"/>
        <w:rPr>
          <w:rFonts w:ascii="宋体" w:hAnsi="宋体" w:cs="宋体"/>
          <w:color w:val="000000" w:themeColor="text1"/>
          <w:sz w:val="24"/>
          <w:szCs w:val="24"/>
          <w:u w:val="single"/>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地址：</w:t>
      </w:r>
    </w:p>
    <w:p>
      <w:pPr>
        <w:pStyle w:val="88"/>
        <w:ind w:firstLine="48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日期：                    </w:t>
      </w:r>
    </w:p>
    <w:p>
      <w:pPr>
        <w:pStyle w:val="6"/>
        <w:outlineLvl w:val="9"/>
        <w:rPr>
          <w:rFonts w:ascii="宋体" w:hAnsi="宋体" w:cs="宋体"/>
          <w:color w:val="000000" w:themeColor="text1"/>
          <w:sz w:val="24"/>
          <w:szCs w:val="24"/>
          <w14:textFill>
            <w14:solidFill>
              <w14:schemeClr w14:val="tx1"/>
            </w14:solidFill>
          </w14:textFill>
        </w:rPr>
      </w:pPr>
      <w:bookmarkStart w:id="237" w:name="_Hlt26955070"/>
      <w:bookmarkEnd w:id="237"/>
      <w:bookmarkStart w:id="238" w:name="_格式3__银行出具的资信证明"/>
      <w:bookmarkEnd w:id="238"/>
      <w:bookmarkStart w:id="239" w:name="_Hlt26671380"/>
      <w:bookmarkEnd w:id="239"/>
    </w:p>
    <w:p>
      <w:pPr>
        <w:pStyle w:val="5"/>
        <w:rPr>
          <w:rFonts w:ascii="宋体" w:hAnsi="宋体" w:cs="宋体"/>
          <w:color w:val="000000" w:themeColor="text1"/>
          <w14:textFill>
            <w14:solidFill>
              <w14:schemeClr w14:val="tx1"/>
            </w14:solidFill>
          </w14:textFill>
        </w:rPr>
      </w:pPr>
    </w:p>
    <w:p>
      <w:pPr>
        <w:pStyle w:val="5"/>
        <w:rPr>
          <w:rFonts w:ascii="宋体" w:hAnsi="宋体" w:cs="宋体"/>
          <w:color w:val="000000" w:themeColor="text1"/>
          <w14:textFill>
            <w14:solidFill>
              <w14:schemeClr w14:val="tx1"/>
            </w14:solidFill>
          </w14:textFill>
        </w:rPr>
      </w:pPr>
    </w:p>
    <w:p>
      <w:pPr>
        <w:pStyle w:val="5"/>
        <w:rPr>
          <w:rFonts w:ascii="宋体" w:hAnsi="宋体" w:cs="宋体"/>
          <w:color w:val="000000" w:themeColor="text1"/>
          <w14:textFill>
            <w14:solidFill>
              <w14:schemeClr w14:val="tx1"/>
            </w14:solidFill>
          </w14:textFill>
        </w:rPr>
      </w:pPr>
    </w:p>
    <w:p>
      <w:pPr>
        <w:pStyle w:val="5"/>
        <w:rPr>
          <w:rFonts w:ascii="宋体" w:hAnsi="宋体" w:cs="宋体"/>
          <w:color w:val="000000" w:themeColor="text1"/>
          <w14:textFill>
            <w14:solidFill>
              <w14:schemeClr w14:val="tx1"/>
            </w14:solidFill>
          </w14:textFill>
        </w:rPr>
      </w:pPr>
    </w:p>
    <w:p>
      <w:pPr>
        <w:pStyle w:val="5"/>
        <w:rPr>
          <w:rFonts w:ascii="宋体" w:hAnsi="宋体" w:cs="宋体"/>
          <w:color w:val="000000" w:themeColor="text1"/>
          <w14:textFill>
            <w14:solidFill>
              <w14:schemeClr w14:val="tx1"/>
            </w14:solidFill>
          </w14:textFill>
        </w:rPr>
      </w:pPr>
    </w:p>
    <w:p>
      <w:pPr>
        <w:pStyle w:val="5"/>
        <w:rPr>
          <w:rFonts w:ascii="宋体" w:hAnsi="宋体" w:cs="宋体"/>
          <w:color w:val="000000" w:themeColor="text1"/>
          <w14:textFill>
            <w14:solidFill>
              <w14:schemeClr w14:val="tx1"/>
            </w14:solidFill>
          </w14:textFill>
        </w:rPr>
      </w:pPr>
    </w:p>
    <w:p>
      <w:pPr>
        <w:pStyle w:val="5"/>
        <w:rPr>
          <w:rFonts w:ascii="宋体" w:hAnsi="宋体" w:cs="宋体"/>
          <w:color w:val="000000" w:themeColor="text1"/>
          <w14:textFill>
            <w14:solidFill>
              <w14:schemeClr w14:val="tx1"/>
            </w14:solidFill>
          </w14:textFill>
        </w:rPr>
      </w:pPr>
    </w:p>
    <w:p>
      <w:pPr>
        <w:pStyle w:val="5"/>
        <w:rPr>
          <w:rFonts w:ascii="宋体" w:hAnsi="宋体" w:cs="宋体"/>
          <w:color w:val="000000" w:themeColor="text1"/>
          <w14:textFill>
            <w14:solidFill>
              <w14:schemeClr w14:val="tx1"/>
            </w14:solidFill>
          </w14:textFill>
        </w:rPr>
      </w:pPr>
    </w:p>
    <w:p>
      <w:pPr>
        <w:pStyle w:val="5"/>
        <w:rPr>
          <w:rFonts w:ascii="宋体" w:hAnsi="宋体" w:cs="宋体"/>
          <w:color w:val="000000" w:themeColor="text1"/>
          <w14:textFill>
            <w14:solidFill>
              <w14:schemeClr w14:val="tx1"/>
            </w14:solidFill>
          </w14:textFill>
        </w:rPr>
      </w:pPr>
    </w:p>
    <w:p>
      <w:pPr>
        <w:pStyle w:val="5"/>
        <w:rPr>
          <w:rFonts w:ascii="宋体" w:hAnsi="宋体" w:cs="宋体"/>
          <w:color w:val="000000" w:themeColor="text1"/>
          <w14:textFill>
            <w14:solidFill>
              <w14:schemeClr w14:val="tx1"/>
            </w14:solidFill>
          </w14:textFill>
        </w:rPr>
      </w:pPr>
    </w:p>
    <w:p>
      <w:pPr>
        <w:pStyle w:val="5"/>
        <w:rPr>
          <w:rFonts w:ascii="宋体" w:hAnsi="宋体" w:cs="宋体"/>
          <w:color w:val="000000" w:themeColor="text1"/>
          <w14:textFill>
            <w14:solidFill>
              <w14:schemeClr w14:val="tx1"/>
            </w14:solidFill>
          </w14:textFill>
        </w:rPr>
      </w:pPr>
    </w:p>
    <w:p>
      <w:pPr>
        <w:pStyle w:val="5"/>
        <w:rPr>
          <w:rFonts w:ascii="宋体" w:hAnsi="宋体" w:cs="宋体"/>
          <w:color w:val="000000" w:themeColor="text1"/>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spacing w:line="560" w:lineRule="exact"/>
        <w:rPr>
          <w:rFonts w:ascii="宋体" w:hAnsi="宋体" w:cs="宋体"/>
          <w:bCs/>
          <w:color w:val="000000" w:themeColor="text1"/>
          <w:sz w:val="24"/>
          <w14:textFill>
            <w14:solidFill>
              <w14:schemeClr w14:val="tx1"/>
            </w14:solidFill>
          </w14:textFill>
        </w:rPr>
      </w:pPr>
    </w:p>
    <w:p>
      <w:pPr>
        <w:snapToGrid w:val="0"/>
        <w:spacing w:before="50" w:after="50"/>
        <w:jc w:val="center"/>
        <w:outlineLvl w:val="0"/>
        <w:rPr>
          <w:rFonts w:ascii="宋体" w:hAnsi="宋体" w:cs="宋体"/>
          <w:color w:val="000000" w:themeColor="text1"/>
          <w:sz w:val="32"/>
          <w:szCs w:val="32"/>
          <w14:textFill>
            <w14:solidFill>
              <w14:schemeClr w14:val="tx1"/>
            </w14:solidFill>
          </w14:textFill>
        </w:rPr>
      </w:pPr>
      <w:bookmarkStart w:id="240" w:name="_Toc1007"/>
      <w:r>
        <w:rPr>
          <w:rFonts w:hint="eastAsia" w:ascii="宋体" w:hAnsi="宋体" w:cs="宋体"/>
          <w:color w:val="000000" w:themeColor="text1"/>
          <w:sz w:val="32"/>
          <w:szCs w:val="32"/>
          <w14:textFill>
            <w14:solidFill>
              <w14:schemeClr w14:val="tx1"/>
            </w14:solidFill>
          </w14:textFill>
        </w:rPr>
        <w:t>二、资格性审查响应对照表（格式）</w:t>
      </w:r>
      <w:bookmarkEnd w:id="240"/>
    </w:p>
    <w:p>
      <w:pPr>
        <w:ind w:firstLine="309"/>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投标人全称（加盖公章）：</w:t>
      </w:r>
    </w:p>
    <w:tbl>
      <w:tblPr>
        <w:tblStyle w:val="45"/>
        <w:tblW w:w="95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5447"/>
        <w:gridCol w:w="1680"/>
        <w:gridCol w:w="1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noWrap/>
            <w:vAlign w:val="center"/>
          </w:tcPr>
          <w:p>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序号</w:t>
            </w:r>
          </w:p>
        </w:tc>
        <w:tc>
          <w:tcPr>
            <w:tcW w:w="5447" w:type="dxa"/>
            <w:noWrap/>
            <w:vAlign w:val="center"/>
          </w:tcPr>
          <w:p>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资格性审查响应内容</w:t>
            </w:r>
          </w:p>
        </w:tc>
        <w:tc>
          <w:tcPr>
            <w:tcW w:w="1680" w:type="dxa"/>
            <w:noWrap/>
            <w:vAlign w:val="center"/>
          </w:tcPr>
          <w:p>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是否响应</w:t>
            </w:r>
          </w:p>
          <w:p>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（填是或者否）</w:t>
            </w:r>
          </w:p>
        </w:tc>
        <w:tc>
          <w:tcPr>
            <w:tcW w:w="1785" w:type="dxa"/>
            <w:noWrap/>
            <w:vAlign w:val="center"/>
          </w:tcPr>
          <w:p>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投标文件中的</w:t>
            </w:r>
          </w:p>
          <w:p>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1</w:t>
            </w:r>
          </w:p>
        </w:tc>
        <w:tc>
          <w:tcPr>
            <w:tcW w:w="5447" w:type="dxa"/>
            <w:noWrap/>
            <w:vAlign w:val="center"/>
          </w:tcPr>
          <w:p>
            <w:pPr>
              <w:spacing w:line="480" w:lineRule="exact"/>
              <w:jc w:val="center"/>
              <w:rPr>
                <w:rFonts w:ascii="宋体" w:hAnsi="宋体" w:cs="宋体"/>
                <w:iCs/>
                <w:color w:val="000000" w:themeColor="text1"/>
                <w:sz w:val="24"/>
                <w:szCs w:val="24"/>
                <w14:textFill>
                  <w14:solidFill>
                    <w14:schemeClr w14:val="tx1"/>
                  </w14:solidFill>
                </w14:textFill>
              </w:rPr>
            </w:pPr>
          </w:p>
        </w:tc>
        <w:tc>
          <w:tcPr>
            <w:tcW w:w="1680" w:type="dxa"/>
            <w:noWrap/>
            <w:vAlign w:val="center"/>
          </w:tcPr>
          <w:p>
            <w:pPr>
              <w:jc w:val="center"/>
              <w:rPr>
                <w:rFonts w:ascii="宋体" w:hAnsi="宋体" w:cs="宋体"/>
                <w:b/>
                <w:color w:val="000000" w:themeColor="text1"/>
                <w14:textFill>
                  <w14:solidFill>
                    <w14:schemeClr w14:val="tx1"/>
                  </w14:solidFill>
                </w14:textFill>
              </w:rPr>
            </w:pPr>
          </w:p>
        </w:tc>
        <w:tc>
          <w:tcPr>
            <w:tcW w:w="1785" w:type="dxa"/>
            <w:noWrap/>
            <w:vAlign w:val="center"/>
          </w:tcPr>
          <w:p>
            <w:pPr>
              <w:jc w:val="center"/>
              <w:rPr>
                <w:rFonts w:ascii="宋体" w:hAnsi="宋体" w:cs="宋体"/>
                <w:b/>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w:t>
            </w:r>
          </w:p>
        </w:tc>
        <w:tc>
          <w:tcPr>
            <w:tcW w:w="5447" w:type="dxa"/>
            <w:noWrap/>
            <w:vAlign w:val="center"/>
          </w:tcPr>
          <w:p>
            <w:pPr>
              <w:spacing w:line="480" w:lineRule="exact"/>
              <w:jc w:val="center"/>
              <w:rPr>
                <w:rFonts w:ascii="宋体" w:hAnsi="宋体" w:cs="宋体"/>
                <w:iCs/>
                <w:color w:val="000000" w:themeColor="text1"/>
                <w:sz w:val="24"/>
                <w:szCs w:val="24"/>
                <w14:textFill>
                  <w14:solidFill>
                    <w14:schemeClr w14:val="tx1"/>
                  </w14:solidFill>
                </w14:textFill>
              </w:rPr>
            </w:pPr>
          </w:p>
        </w:tc>
        <w:tc>
          <w:tcPr>
            <w:tcW w:w="1680" w:type="dxa"/>
            <w:noWrap/>
            <w:vAlign w:val="center"/>
          </w:tcPr>
          <w:p>
            <w:pPr>
              <w:jc w:val="center"/>
              <w:rPr>
                <w:rFonts w:ascii="宋体" w:hAnsi="宋体" w:cs="宋体"/>
                <w:color w:val="000000" w:themeColor="text1"/>
                <w14:textFill>
                  <w14:solidFill>
                    <w14:schemeClr w14:val="tx1"/>
                  </w14:solidFill>
                </w14:textFill>
              </w:rPr>
            </w:pPr>
          </w:p>
        </w:tc>
        <w:tc>
          <w:tcPr>
            <w:tcW w:w="1785" w:type="dxa"/>
            <w:noWrap/>
            <w:vAlign w:val="center"/>
          </w:tcPr>
          <w:p>
            <w:pPr>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3</w:t>
            </w:r>
          </w:p>
        </w:tc>
        <w:tc>
          <w:tcPr>
            <w:tcW w:w="5447" w:type="dxa"/>
            <w:noWrap/>
            <w:vAlign w:val="center"/>
          </w:tcPr>
          <w:p>
            <w:pPr>
              <w:spacing w:line="480" w:lineRule="exact"/>
              <w:jc w:val="center"/>
              <w:rPr>
                <w:rFonts w:ascii="宋体" w:hAnsi="宋体" w:cs="宋体"/>
                <w:iCs/>
                <w:color w:val="000000" w:themeColor="text1"/>
                <w:sz w:val="24"/>
                <w:szCs w:val="24"/>
                <w14:textFill>
                  <w14:solidFill>
                    <w14:schemeClr w14:val="tx1"/>
                  </w14:solidFill>
                </w14:textFill>
              </w:rPr>
            </w:pPr>
          </w:p>
        </w:tc>
        <w:tc>
          <w:tcPr>
            <w:tcW w:w="1680" w:type="dxa"/>
            <w:noWrap/>
            <w:vAlign w:val="center"/>
          </w:tcPr>
          <w:p>
            <w:pPr>
              <w:jc w:val="center"/>
              <w:rPr>
                <w:rFonts w:ascii="宋体" w:hAnsi="宋体" w:cs="宋体"/>
                <w:color w:val="000000" w:themeColor="text1"/>
                <w14:textFill>
                  <w14:solidFill>
                    <w14:schemeClr w14:val="tx1"/>
                  </w14:solidFill>
                </w14:textFill>
              </w:rPr>
            </w:pPr>
          </w:p>
        </w:tc>
        <w:tc>
          <w:tcPr>
            <w:tcW w:w="1785" w:type="dxa"/>
            <w:noWrap/>
            <w:vAlign w:val="center"/>
          </w:tcPr>
          <w:p>
            <w:pPr>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4</w:t>
            </w:r>
          </w:p>
        </w:tc>
        <w:tc>
          <w:tcPr>
            <w:tcW w:w="5447" w:type="dxa"/>
            <w:noWrap/>
            <w:vAlign w:val="center"/>
          </w:tcPr>
          <w:p>
            <w:pPr>
              <w:spacing w:line="360" w:lineRule="auto"/>
              <w:jc w:val="center"/>
              <w:rPr>
                <w:rFonts w:ascii="宋体" w:hAnsi="宋体" w:cs="宋体"/>
                <w:iCs/>
                <w:color w:val="000000" w:themeColor="text1"/>
                <w:sz w:val="24"/>
                <w:szCs w:val="24"/>
                <w14:textFill>
                  <w14:solidFill>
                    <w14:schemeClr w14:val="tx1"/>
                  </w14:solidFill>
                </w14:textFill>
              </w:rPr>
            </w:pPr>
          </w:p>
        </w:tc>
        <w:tc>
          <w:tcPr>
            <w:tcW w:w="1680" w:type="dxa"/>
            <w:noWrap/>
            <w:vAlign w:val="center"/>
          </w:tcPr>
          <w:p>
            <w:pPr>
              <w:jc w:val="center"/>
              <w:rPr>
                <w:rFonts w:ascii="宋体" w:hAnsi="宋体" w:cs="宋体"/>
                <w:color w:val="000000" w:themeColor="text1"/>
                <w14:textFill>
                  <w14:solidFill>
                    <w14:schemeClr w14:val="tx1"/>
                  </w14:solidFill>
                </w14:textFill>
              </w:rPr>
            </w:pPr>
          </w:p>
        </w:tc>
        <w:tc>
          <w:tcPr>
            <w:tcW w:w="1785" w:type="dxa"/>
            <w:noWrap/>
            <w:vAlign w:val="center"/>
          </w:tcPr>
          <w:p>
            <w:pPr>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5</w:t>
            </w:r>
          </w:p>
        </w:tc>
        <w:tc>
          <w:tcPr>
            <w:tcW w:w="5447" w:type="dxa"/>
            <w:noWrap/>
            <w:vAlign w:val="center"/>
          </w:tcPr>
          <w:p>
            <w:pPr>
              <w:snapToGrid w:val="0"/>
              <w:spacing w:line="590" w:lineRule="atLeast"/>
              <w:jc w:val="center"/>
              <w:rPr>
                <w:rFonts w:ascii="宋体" w:hAnsi="宋体" w:cs="宋体"/>
                <w:iCs/>
                <w:color w:val="000000" w:themeColor="text1"/>
                <w:sz w:val="24"/>
                <w:szCs w:val="24"/>
                <w14:textFill>
                  <w14:solidFill>
                    <w14:schemeClr w14:val="tx1"/>
                  </w14:solidFill>
                </w14:textFill>
              </w:rPr>
            </w:pPr>
          </w:p>
        </w:tc>
        <w:tc>
          <w:tcPr>
            <w:tcW w:w="1680" w:type="dxa"/>
            <w:noWrap/>
            <w:vAlign w:val="center"/>
          </w:tcPr>
          <w:p>
            <w:pPr>
              <w:jc w:val="center"/>
              <w:rPr>
                <w:rFonts w:ascii="宋体" w:hAnsi="宋体" w:cs="宋体"/>
                <w:color w:val="000000" w:themeColor="text1"/>
                <w14:textFill>
                  <w14:solidFill>
                    <w14:schemeClr w14:val="tx1"/>
                  </w14:solidFill>
                </w14:textFill>
              </w:rPr>
            </w:pPr>
          </w:p>
        </w:tc>
        <w:tc>
          <w:tcPr>
            <w:tcW w:w="1785" w:type="dxa"/>
            <w:noWrap/>
            <w:vAlign w:val="center"/>
          </w:tcPr>
          <w:p>
            <w:pPr>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6</w:t>
            </w:r>
          </w:p>
        </w:tc>
        <w:tc>
          <w:tcPr>
            <w:tcW w:w="5447" w:type="dxa"/>
            <w:noWrap/>
            <w:vAlign w:val="center"/>
          </w:tcPr>
          <w:p>
            <w:pPr>
              <w:snapToGrid w:val="0"/>
              <w:spacing w:line="590" w:lineRule="atLeast"/>
              <w:jc w:val="center"/>
              <w:rPr>
                <w:rFonts w:ascii="宋体" w:hAnsi="宋体" w:cs="宋体"/>
                <w:iCs/>
                <w:color w:val="000000" w:themeColor="text1"/>
                <w:sz w:val="24"/>
                <w:szCs w:val="24"/>
                <w14:textFill>
                  <w14:solidFill>
                    <w14:schemeClr w14:val="tx1"/>
                  </w14:solidFill>
                </w14:textFill>
              </w:rPr>
            </w:pPr>
          </w:p>
        </w:tc>
        <w:tc>
          <w:tcPr>
            <w:tcW w:w="1680" w:type="dxa"/>
            <w:noWrap/>
            <w:vAlign w:val="center"/>
          </w:tcPr>
          <w:p>
            <w:pPr>
              <w:jc w:val="center"/>
              <w:rPr>
                <w:rFonts w:ascii="宋体" w:hAnsi="宋体" w:cs="宋体"/>
                <w:color w:val="000000" w:themeColor="text1"/>
                <w14:textFill>
                  <w14:solidFill>
                    <w14:schemeClr w14:val="tx1"/>
                  </w14:solidFill>
                </w14:textFill>
              </w:rPr>
            </w:pPr>
          </w:p>
        </w:tc>
        <w:tc>
          <w:tcPr>
            <w:tcW w:w="1785" w:type="dxa"/>
            <w:noWrap/>
            <w:vAlign w:val="center"/>
          </w:tcPr>
          <w:p>
            <w:pPr>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7</w:t>
            </w:r>
          </w:p>
        </w:tc>
        <w:tc>
          <w:tcPr>
            <w:tcW w:w="5447" w:type="dxa"/>
            <w:noWrap/>
            <w:vAlign w:val="center"/>
          </w:tcPr>
          <w:p>
            <w:pPr>
              <w:snapToGrid w:val="0"/>
              <w:spacing w:line="590" w:lineRule="atLeast"/>
              <w:jc w:val="center"/>
              <w:rPr>
                <w:rFonts w:ascii="宋体" w:hAnsi="宋体" w:cs="宋体"/>
                <w:iCs/>
                <w:color w:val="000000" w:themeColor="text1"/>
                <w:sz w:val="24"/>
                <w:szCs w:val="24"/>
                <w14:textFill>
                  <w14:solidFill>
                    <w14:schemeClr w14:val="tx1"/>
                  </w14:solidFill>
                </w14:textFill>
              </w:rPr>
            </w:pPr>
          </w:p>
        </w:tc>
        <w:tc>
          <w:tcPr>
            <w:tcW w:w="1680" w:type="dxa"/>
            <w:noWrap/>
            <w:vAlign w:val="center"/>
          </w:tcPr>
          <w:p>
            <w:pPr>
              <w:jc w:val="center"/>
              <w:rPr>
                <w:rFonts w:ascii="宋体" w:hAnsi="宋体" w:cs="宋体"/>
                <w:color w:val="000000" w:themeColor="text1"/>
                <w14:textFill>
                  <w14:solidFill>
                    <w14:schemeClr w14:val="tx1"/>
                  </w14:solidFill>
                </w14:textFill>
              </w:rPr>
            </w:pPr>
          </w:p>
        </w:tc>
        <w:tc>
          <w:tcPr>
            <w:tcW w:w="1785" w:type="dxa"/>
            <w:noWrap/>
            <w:vAlign w:val="center"/>
          </w:tcPr>
          <w:p>
            <w:pPr>
              <w:jc w:val="center"/>
              <w:rPr>
                <w:rFonts w:ascii="宋体" w:hAnsi="宋体" w:cs="宋体"/>
                <w:color w:val="000000" w:themeColor="text1"/>
                <w14:textFill>
                  <w14:solidFill>
                    <w14:schemeClr w14:val="tx1"/>
                  </w14:solidFill>
                </w14:textFill>
              </w:rPr>
            </w:pPr>
          </w:p>
        </w:tc>
      </w:tr>
    </w:tbl>
    <w:p>
      <w:pPr>
        <w:spacing w:line="440" w:lineRule="exact"/>
        <w:ind w:firstLine="480" w:firstLineChars="200"/>
        <w:rPr>
          <w:rFonts w:ascii="宋体" w:hAnsi="宋体" w:cs="宋体"/>
          <w:color w:val="000000" w:themeColor="text1"/>
          <w:sz w:val="24"/>
          <w14:textFill>
            <w14:solidFill>
              <w14:schemeClr w14:val="tx1"/>
            </w14:solidFill>
          </w14:textFill>
        </w:rPr>
      </w:pPr>
    </w:p>
    <w:bookmarkEnd w:id="215"/>
    <w:bookmarkEnd w:id="216"/>
    <w:bookmarkEnd w:id="217"/>
    <w:p>
      <w:pPr>
        <w:snapToGrid w:val="0"/>
        <w:spacing w:before="50" w:after="50"/>
        <w:rPr>
          <w:rFonts w:ascii="宋体" w:hAnsi="宋体" w:cs="宋体"/>
          <w:color w:val="000000" w:themeColor="text1"/>
          <w:sz w:val="44"/>
          <w14:textFill>
            <w14:solidFill>
              <w14:schemeClr w14:val="tx1"/>
            </w14:solidFill>
          </w14:textFill>
        </w:rPr>
      </w:pPr>
    </w:p>
    <w:p>
      <w:pPr>
        <w:snapToGrid w:val="0"/>
        <w:spacing w:before="50" w:after="50"/>
        <w:rPr>
          <w:rFonts w:ascii="宋体" w:hAnsi="宋体" w:cs="宋体"/>
          <w:color w:val="000000" w:themeColor="text1"/>
          <w:sz w:val="44"/>
          <w14:textFill>
            <w14:solidFill>
              <w14:schemeClr w14:val="tx1"/>
            </w14:solidFill>
          </w14:textFill>
        </w:rPr>
      </w:pPr>
    </w:p>
    <w:p>
      <w:pPr>
        <w:snapToGrid w:val="0"/>
        <w:spacing w:before="50" w:after="50"/>
        <w:rPr>
          <w:rFonts w:ascii="宋体" w:hAnsi="宋体" w:cs="宋体"/>
          <w:color w:val="000000" w:themeColor="text1"/>
          <w:sz w:val="44"/>
          <w14:textFill>
            <w14:solidFill>
              <w14:schemeClr w14:val="tx1"/>
            </w14:solidFill>
          </w14:textFill>
        </w:rPr>
      </w:pPr>
    </w:p>
    <w:p>
      <w:pPr>
        <w:snapToGrid w:val="0"/>
        <w:spacing w:before="50" w:after="50"/>
        <w:rPr>
          <w:rFonts w:ascii="宋体" w:hAnsi="宋体" w:cs="宋体"/>
          <w:color w:val="000000" w:themeColor="text1"/>
          <w:sz w:val="44"/>
          <w14:textFill>
            <w14:solidFill>
              <w14:schemeClr w14:val="tx1"/>
            </w14:solidFill>
          </w14:textFill>
        </w:rPr>
      </w:pPr>
    </w:p>
    <w:p>
      <w:pPr>
        <w:snapToGrid w:val="0"/>
        <w:spacing w:before="50" w:after="50"/>
        <w:rPr>
          <w:rFonts w:ascii="宋体" w:hAnsi="宋体" w:cs="宋体"/>
          <w:color w:val="000000" w:themeColor="text1"/>
          <w:sz w:val="44"/>
          <w14:textFill>
            <w14:solidFill>
              <w14:schemeClr w14:val="tx1"/>
            </w14:solidFill>
          </w14:textFill>
        </w:rPr>
      </w:pPr>
    </w:p>
    <w:p>
      <w:pPr>
        <w:snapToGrid w:val="0"/>
        <w:spacing w:before="50" w:after="50"/>
        <w:jc w:val="center"/>
        <w:rPr>
          <w:rFonts w:ascii="宋体" w:hAnsi="宋体" w:cs="宋体"/>
          <w:color w:val="000000" w:themeColor="text1"/>
          <w:sz w:val="32"/>
          <w:szCs w:val="32"/>
          <w14:textFill>
            <w14:solidFill>
              <w14:schemeClr w14:val="tx1"/>
            </w14:solidFill>
          </w14:textFill>
        </w:rPr>
      </w:pPr>
    </w:p>
    <w:p>
      <w:pPr>
        <w:snapToGrid w:val="0"/>
        <w:spacing w:before="50" w:after="50"/>
        <w:jc w:val="center"/>
        <w:rPr>
          <w:rFonts w:ascii="宋体" w:hAnsi="宋体" w:cs="宋体"/>
          <w:color w:val="000000" w:themeColor="text1"/>
          <w:sz w:val="32"/>
          <w:szCs w:val="32"/>
          <w14:textFill>
            <w14:solidFill>
              <w14:schemeClr w14:val="tx1"/>
            </w14:solidFill>
          </w14:textFill>
        </w:rPr>
      </w:pPr>
    </w:p>
    <w:p>
      <w:pPr>
        <w:snapToGrid w:val="0"/>
        <w:spacing w:before="50" w:after="50"/>
        <w:jc w:val="center"/>
        <w:outlineLvl w:val="0"/>
        <w:rPr>
          <w:rFonts w:ascii="宋体" w:hAnsi="宋体" w:cs="宋体"/>
          <w:color w:val="000000" w:themeColor="text1"/>
          <w:sz w:val="32"/>
          <w:szCs w:val="32"/>
          <w14:textFill>
            <w14:solidFill>
              <w14:schemeClr w14:val="tx1"/>
            </w14:solidFill>
          </w14:textFill>
        </w:rPr>
      </w:pPr>
      <w:bookmarkStart w:id="241" w:name="_Toc8758"/>
      <w:r>
        <w:rPr>
          <w:rFonts w:hint="eastAsia" w:ascii="宋体" w:hAnsi="宋体" w:cs="宋体"/>
          <w:color w:val="000000" w:themeColor="text1"/>
          <w:sz w:val="32"/>
          <w:szCs w:val="32"/>
          <w14:textFill>
            <w14:solidFill>
              <w14:schemeClr w14:val="tx1"/>
            </w14:solidFill>
          </w14:textFill>
        </w:rPr>
        <w:t>三、符合性检查响应对照表（格式）</w:t>
      </w:r>
      <w:bookmarkEnd w:id="241"/>
    </w:p>
    <w:p>
      <w:pPr>
        <w:ind w:firstLine="309"/>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投标人全称（加盖公章）：</w:t>
      </w:r>
    </w:p>
    <w:tbl>
      <w:tblPr>
        <w:tblStyle w:val="45"/>
        <w:tblW w:w="95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5447"/>
        <w:gridCol w:w="1680"/>
        <w:gridCol w:w="1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序号</w:t>
            </w:r>
          </w:p>
        </w:tc>
        <w:tc>
          <w:tcPr>
            <w:tcW w:w="5447" w:type="dxa"/>
            <w:noWrap/>
            <w:vAlign w:val="center"/>
          </w:tcPr>
          <w:p>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符合性检查响应内容</w:t>
            </w:r>
          </w:p>
        </w:tc>
        <w:tc>
          <w:tcPr>
            <w:tcW w:w="1680" w:type="dxa"/>
            <w:noWrap/>
            <w:vAlign w:val="center"/>
          </w:tcPr>
          <w:p>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是否响应</w:t>
            </w:r>
          </w:p>
          <w:p>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（填是或者否）</w:t>
            </w:r>
          </w:p>
        </w:tc>
        <w:tc>
          <w:tcPr>
            <w:tcW w:w="1785" w:type="dxa"/>
            <w:noWrap/>
            <w:vAlign w:val="center"/>
          </w:tcPr>
          <w:p>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投标文件中的</w:t>
            </w:r>
          </w:p>
          <w:p>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1</w:t>
            </w:r>
          </w:p>
        </w:tc>
        <w:tc>
          <w:tcPr>
            <w:tcW w:w="5447" w:type="dxa"/>
            <w:noWrap/>
            <w:vAlign w:val="center"/>
          </w:tcPr>
          <w:p>
            <w:pPr>
              <w:spacing w:line="480" w:lineRule="exact"/>
              <w:jc w:val="center"/>
              <w:rPr>
                <w:rFonts w:ascii="宋体" w:hAnsi="宋体" w:cs="宋体"/>
                <w:iCs/>
                <w:color w:val="000000" w:themeColor="text1"/>
                <w:sz w:val="24"/>
                <w:szCs w:val="24"/>
                <w14:textFill>
                  <w14:solidFill>
                    <w14:schemeClr w14:val="tx1"/>
                  </w14:solidFill>
                </w14:textFill>
              </w:rPr>
            </w:pPr>
          </w:p>
        </w:tc>
        <w:tc>
          <w:tcPr>
            <w:tcW w:w="1680" w:type="dxa"/>
            <w:noWrap/>
            <w:vAlign w:val="center"/>
          </w:tcPr>
          <w:p>
            <w:pPr>
              <w:jc w:val="center"/>
              <w:rPr>
                <w:rFonts w:ascii="宋体" w:hAnsi="宋体" w:cs="宋体"/>
                <w:b/>
                <w:color w:val="000000" w:themeColor="text1"/>
                <w14:textFill>
                  <w14:solidFill>
                    <w14:schemeClr w14:val="tx1"/>
                  </w14:solidFill>
                </w14:textFill>
              </w:rPr>
            </w:pPr>
          </w:p>
        </w:tc>
        <w:tc>
          <w:tcPr>
            <w:tcW w:w="1785" w:type="dxa"/>
            <w:noWrap/>
            <w:vAlign w:val="center"/>
          </w:tcPr>
          <w:p>
            <w:pPr>
              <w:jc w:val="center"/>
              <w:rPr>
                <w:rFonts w:ascii="宋体" w:hAnsi="宋体" w:cs="宋体"/>
                <w:b/>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w:t>
            </w:r>
          </w:p>
        </w:tc>
        <w:tc>
          <w:tcPr>
            <w:tcW w:w="5447" w:type="dxa"/>
            <w:noWrap/>
            <w:vAlign w:val="center"/>
          </w:tcPr>
          <w:p>
            <w:pPr>
              <w:spacing w:line="480" w:lineRule="exact"/>
              <w:jc w:val="center"/>
              <w:rPr>
                <w:rFonts w:ascii="宋体" w:hAnsi="宋体" w:cs="宋体"/>
                <w:iCs/>
                <w:color w:val="000000" w:themeColor="text1"/>
                <w:sz w:val="24"/>
                <w:szCs w:val="24"/>
                <w14:textFill>
                  <w14:solidFill>
                    <w14:schemeClr w14:val="tx1"/>
                  </w14:solidFill>
                </w14:textFill>
              </w:rPr>
            </w:pPr>
          </w:p>
        </w:tc>
        <w:tc>
          <w:tcPr>
            <w:tcW w:w="1680" w:type="dxa"/>
            <w:noWrap/>
            <w:vAlign w:val="center"/>
          </w:tcPr>
          <w:p>
            <w:pPr>
              <w:jc w:val="center"/>
              <w:rPr>
                <w:rFonts w:ascii="宋体" w:hAnsi="宋体" w:cs="宋体"/>
                <w:color w:val="000000" w:themeColor="text1"/>
                <w14:textFill>
                  <w14:solidFill>
                    <w14:schemeClr w14:val="tx1"/>
                  </w14:solidFill>
                </w14:textFill>
              </w:rPr>
            </w:pPr>
          </w:p>
        </w:tc>
        <w:tc>
          <w:tcPr>
            <w:tcW w:w="1785" w:type="dxa"/>
            <w:noWrap/>
            <w:vAlign w:val="center"/>
          </w:tcPr>
          <w:p>
            <w:pPr>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3</w:t>
            </w:r>
          </w:p>
        </w:tc>
        <w:tc>
          <w:tcPr>
            <w:tcW w:w="5447" w:type="dxa"/>
            <w:noWrap/>
            <w:vAlign w:val="center"/>
          </w:tcPr>
          <w:p>
            <w:pPr>
              <w:spacing w:line="480" w:lineRule="exact"/>
              <w:jc w:val="center"/>
              <w:rPr>
                <w:rFonts w:ascii="宋体" w:hAnsi="宋体" w:cs="宋体"/>
                <w:iCs/>
                <w:color w:val="000000" w:themeColor="text1"/>
                <w:sz w:val="24"/>
                <w:szCs w:val="24"/>
                <w14:textFill>
                  <w14:solidFill>
                    <w14:schemeClr w14:val="tx1"/>
                  </w14:solidFill>
                </w14:textFill>
              </w:rPr>
            </w:pPr>
          </w:p>
        </w:tc>
        <w:tc>
          <w:tcPr>
            <w:tcW w:w="1680" w:type="dxa"/>
            <w:noWrap/>
            <w:vAlign w:val="center"/>
          </w:tcPr>
          <w:p>
            <w:pPr>
              <w:jc w:val="center"/>
              <w:rPr>
                <w:rFonts w:ascii="宋体" w:hAnsi="宋体" w:cs="宋体"/>
                <w:color w:val="000000" w:themeColor="text1"/>
                <w14:textFill>
                  <w14:solidFill>
                    <w14:schemeClr w14:val="tx1"/>
                  </w14:solidFill>
                </w14:textFill>
              </w:rPr>
            </w:pPr>
          </w:p>
        </w:tc>
        <w:tc>
          <w:tcPr>
            <w:tcW w:w="1785" w:type="dxa"/>
            <w:noWrap/>
            <w:vAlign w:val="center"/>
          </w:tcPr>
          <w:p>
            <w:pPr>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4</w:t>
            </w:r>
          </w:p>
        </w:tc>
        <w:tc>
          <w:tcPr>
            <w:tcW w:w="5447" w:type="dxa"/>
            <w:noWrap/>
            <w:vAlign w:val="center"/>
          </w:tcPr>
          <w:p>
            <w:pPr>
              <w:spacing w:line="360" w:lineRule="auto"/>
              <w:jc w:val="center"/>
              <w:rPr>
                <w:rFonts w:ascii="宋体" w:hAnsi="宋体" w:cs="宋体"/>
                <w:iCs/>
                <w:color w:val="000000" w:themeColor="text1"/>
                <w:sz w:val="24"/>
                <w:szCs w:val="24"/>
                <w14:textFill>
                  <w14:solidFill>
                    <w14:schemeClr w14:val="tx1"/>
                  </w14:solidFill>
                </w14:textFill>
              </w:rPr>
            </w:pPr>
          </w:p>
        </w:tc>
        <w:tc>
          <w:tcPr>
            <w:tcW w:w="1680" w:type="dxa"/>
            <w:noWrap/>
            <w:vAlign w:val="center"/>
          </w:tcPr>
          <w:p>
            <w:pPr>
              <w:jc w:val="center"/>
              <w:rPr>
                <w:rFonts w:ascii="宋体" w:hAnsi="宋体" w:cs="宋体"/>
                <w:color w:val="000000" w:themeColor="text1"/>
                <w14:textFill>
                  <w14:solidFill>
                    <w14:schemeClr w14:val="tx1"/>
                  </w14:solidFill>
                </w14:textFill>
              </w:rPr>
            </w:pPr>
          </w:p>
        </w:tc>
        <w:tc>
          <w:tcPr>
            <w:tcW w:w="1785" w:type="dxa"/>
            <w:noWrap/>
            <w:vAlign w:val="center"/>
          </w:tcPr>
          <w:p>
            <w:pPr>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5</w:t>
            </w:r>
          </w:p>
        </w:tc>
        <w:tc>
          <w:tcPr>
            <w:tcW w:w="5447" w:type="dxa"/>
            <w:noWrap/>
            <w:vAlign w:val="center"/>
          </w:tcPr>
          <w:p>
            <w:pPr>
              <w:snapToGrid w:val="0"/>
              <w:spacing w:line="590" w:lineRule="atLeast"/>
              <w:jc w:val="center"/>
              <w:rPr>
                <w:rFonts w:ascii="宋体" w:hAnsi="宋体" w:cs="宋体"/>
                <w:iCs/>
                <w:color w:val="000000" w:themeColor="text1"/>
                <w:sz w:val="24"/>
                <w:szCs w:val="24"/>
                <w14:textFill>
                  <w14:solidFill>
                    <w14:schemeClr w14:val="tx1"/>
                  </w14:solidFill>
                </w14:textFill>
              </w:rPr>
            </w:pPr>
          </w:p>
        </w:tc>
        <w:tc>
          <w:tcPr>
            <w:tcW w:w="1680" w:type="dxa"/>
            <w:noWrap/>
            <w:vAlign w:val="center"/>
          </w:tcPr>
          <w:p>
            <w:pPr>
              <w:jc w:val="center"/>
              <w:rPr>
                <w:rFonts w:ascii="宋体" w:hAnsi="宋体" w:cs="宋体"/>
                <w:color w:val="000000" w:themeColor="text1"/>
                <w14:textFill>
                  <w14:solidFill>
                    <w14:schemeClr w14:val="tx1"/>
                  </w14:solidFill>
                </w14:textFill>
              </w:rPr>
            </w:pPr>
          </w:p>
        </w:tc>
        <w:tc>
          <w:tcPr>
            <w:tcW w:w="1785" w:type="dxa"/>
            <w:noWrap/>
            <w:vAlign w:val="center"/>
          </w:tcPr>
          <w:p>
            <w:pPr>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6</w:t>
            </w:r>
          </w:p>
        </w:tc>
        <w:tc>
          <w:tcPr>
            <w:tcW w:w="5447" w:type="dxa"/>
            <w:noWrap/>
            <w:vAlign w:val="center"/>
          </w:tcPr>
          <w:p>
            <w:pPr>
              <w:snapToGrid w:val="0"/>
              <w:spacing w:line="590" w:lineRule="atLeast"/>
              <w:jc w:val="center"/>
              <w:rPr>
                <w:rFonts w:ascii="宋体" w:hAnsi="宋体" w:cs="宋体"/>
                <w:iCs/>
                <w:color w:val="000000" w:themeColor="text1"/>
                <w:sz w:val="24"/>
                <w:szCs w:val="24"/>
                <w14:textFill>
                  <w14:solidFill>
                    <w14:schemeClr w14:val="tx1"/>
                  </w14:solidFill>
                </w14:textFill>
              </w:rPr>
            </w:pPr>
          </w:p>
        </w:tc>
        <w:tc>
          <w:tcPr>
            <w:tcW w:w="1680" w:type="dxa"/>
            <w:noWrap/>
            <w:vAlign w:val="center"/>
          </w:tcPr>
          <w:p>
            <w:pPr>
              <w:jc w:val="center"/>
              <w:rPr>
                <w:rFonts w:ascii="宋体" w:hAnsi="宋体" w:cs="宋体"/>
                <w:color w:val="000000" w:themeColor="text1"/>
                <w14:textFill>
                  <w14:solidFill>
                    <w14:schemeClr w14:val="tx1"/>
                  </w14:solidFill>
                </w14:textFill>
              </w:rPr>
            </w:pPr>
          </w:p>
        </w:tc>
        <w:tc>
          <w:tcPr>
            <w:tcW w:w="1785" w:type="dxa"/>
            <w:noWrap/>
            <w:vAlign w:val="center"/>
          </w:tcPr>
          <w:p>
            <w:pPr>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7</w:t>
            </w:r>
          </w:p>
        </w:tc>
        <w:tc>
          <w:tcPr>
            <w:tcW w:w="5447" w:type="dxa"/>
            <w:noWrap/>
            <w:vAlign w:val="center"/>
          </w:tcPr>
          <w:p>
            <w:pPr>
              <w:snapToGrid w:val="0"/>
              <w:spacing w:line="590" w:lineRule="atLeast"/>
              <w:jc w:val="center"/>
              <w:rPr>
                <w:rFonts w:ascii="宋体" w:hAnsi="宋体" w:cs="宋体"/>
                <w:iCs/>
                <w:color w:val="000000" w:themeColor="text1"/>
                <w:sz w:val="24"/>
                <w:szCs w:val="24"/>
                <w14:textFill>
                  <w14:solidFill>
                    <w14:schemeClr w14:val="tx1"/>
                  </w14:solidFill>
                </w14:textFill>
              </w:rPr>
            </w:pPr>
            <w:r>
              <w:rPr>
                <w:rFonts w:hint="eastAsia" w:ascii="宋体" w:hAnsi="宋体" w:cs="宋体"/>
                <w:iCs/>
                <w:color w:val="000000" w:themeColor="text1"/>
                <w:sz w:val="24"/>
                <w:szCs w:val="24"/>
                <w14:textFill>
                  <w14:solidFill>
                    <w14:schemeClr w14:val="tx1"/>
                  </w14:solidFill>
                </w14:textFill>
              </w:rPr>
              <w:t>招标文件中的其他实质性要求</w:t>
            </w:r>
          </w:p>
        </w:tc>
        <w:tc>
          <w:tcPr>
            <w:tcW w:w="1680" w:type="dxa"/>
            <w:noWrap/>
            <w:vAlign w:val="center"/>
          </w:tcPr>
          <w:p>
            <w:pPr>
              <w:jc w:val="center"/>
              <w:rPr>
                <w:rFonts w:ascii="宋体" w:hAnsi="宋体" w:cs="宋体"/>
                <w:color w:val="000000" w:themeColor="text1"/>
                <w14:textFill>
                  <w14:solidFill>
                    <w14:schemeClr w14:val="tx1"/>
                  </w14:solidFill>
                </w14:textFill>
              </w:rPr>
            </w:pPr>
          </w:p>
        </w:tc>
        <w:tc>
          <w:tcPr>
            <w:tcW w:w="1785" w:type="dxa"/>
            <w:noWrap/>
            <w:vAlign w:val="center"/>
          </w:tcPr>
          <w:p>
            <w:pPr>
              <w:jc w:val="center"/>
              <w:rPr>
                <w:rFonts w:ascii="宋体" w:hAnsi="宋体" w:cs="宋体"/>
                <w:color w:val="000000" w:themeColor="text1"/>
                <w14:textFill>
                  <w14:solidFill>
                    <w14:schemeClr w14:val="tx1"/>
                  </w14:solidFill>
                </w14:textFill>
              </w:rPr>
            </w:pPr>
          </w:p>
        </w:tc>
      </w:tr>
    </w:tbl>
    <w:p>
      <w:pPr>
        <w:snapToGrid w:val="0"/>
        <w:spacing w:before="50" w:after="50"/>
        <w:rPr>
          <w:rFonts w:ascii="宋体" w:hAnsi="宋体" w:cs="宋体"/>
          <w:color w:val="000000" w:themeColor="text1"/>
          <w:sz w:val="44"/>
          <w14:textFill>
            <w14:solidFill>
              <w14:schemeClr w14:val="tx1"/>
            </w14:solidFill>
          </w14:textFill>
        </w:rPr>
      </w:pPr>
    </w:p>
    <w:p>
      <w:pPr>
        <w:snapToGrid w:val="0"/>
        <w:spacing w:before="50" w:after="50"/>
        <w:rPr>
          <w:rFonts w:ascii="宋体" w:hAnsi="宋体" w:cs="宋体"/>
          <w:color w:val="000000" w:themeColor="text1"/>
          <w:sz w:val="44"/>
          <w14:textFill>
            <w14:solidFill>
              <w14:schemeClr w14:val="tx1"/>
            </w14:solidFill>
          </w14:textFill>
        </w:rPr>
      </w:pPr>
    </w:p>
    <w:p>
      <w:pPr>
        <w:snapToGrid w:val="0"/>
        <w:spacing w:before="50" w:after="50"/>
        <w:rPr>
          <w:rFonts w:ascii="宋体" w:hAnsi="宋体" w:cs="宋体"/>
          <w:color w:val="000000" w:themeColor="text1"/>
          <w:sz w:val="44"/>
          <w14:textFill>
            <w14:solidFill>
              <w14:schemeClr w14:val="tx1"/>
            </w14:solidFill>
          </w14:textFill>
        </w:rPr>
      </w:pPr>
    </w:p>
    <w:p>
      <w:pPr>
        <w:snapToGrid w:val="0"/>
        <w:spacing w:before="50" w:after="50"/>
        <w:rPr>
          <w:rFonts w:ascii="宋体" w:hAnsi="宋体" w:cs="宋体"/>
          <w:color w:val="000000" w:themeColor="text1"/>
          <w:sz w:val="44"/>
          <w14:textFill>
            <w14:solidFill>
              <w14:schemeClr w14:val="tx1"/>
            </w14:solidFill>
          </w14:textFill>
        </w:rPr>
      </w:pPr>
    </w:p>
    <w:p>
      <w:pPr>
        <w:snapToGrid w:val="0"/>
        <w:spacing w:before="50" w:after="50"/>
        <w:rPr>
          <w:rFonts w:ascii="宋体" w:hAnsi="宋体" w:cs="宋体"/>
          <w:color w:val="000000" w:themeColor="text1"/>
          <w:sz w:val="32"/>
          <w:szCs w:val="32"/>
          <w14:textFill>
            <w14:solidFill>
              <w14:schemeClr w14:val="tx1"/>
            </w14:solidFill>
          </w14:textFill>
        </w:rPr>
      </w:pPr>
      <w:bookmarkStart w:id="242" w:name="_Toc120614284"/>
    </w:p>
    <w:p>
      <w:pPr>
        <w:snapToGrid w:val="0"/>
        <w:spacing w:before="50" w:after="50"/>
        <w:rPr>
          <w:rFonts w:ascii="宋体" w:hAnsi="宋体" w:cs="宋体"/>
          <w:color w:val="000000" w:themeColor="text1"/>
          <w:sz w:val="24"/>
          <w:szCs w:val="24"/>
          <w14:textFill>
            <w14:solidFill>
              <w14:schemeClr w14:val="tx1"/>
            </w14:solidFill>
          </w14:textFill>
        </w:rPr>
      </w:pPr>
    </w:p>
    <w:p>
      <w:pPr>
        <w:snapToGrid w:val="0"/>
        <w:spacing w:before="50" w:after="50"/>
        <w:jc w:val="center"/>
        <w:rPr>
          <w:rFonts w:ascii="宋体" w:hAnsi="宋体" w:cs="宋体"/>
          <w:color w:val="000000" w:themeColor="text1"/>
          <w:sz w:val="32"/>
          <w:szCs w:val="32"/>
          <w14:textFill>
            <w14:solidFill>
              <w14:schemeClr w14:val="tx1"/>
            </w14:solidFill>
          </w14:textFill>
        </w:rPr>
      </w:pPr>
    </w:p>
    <w:p>
      <w:pPr>
        <w:snapToGrid w:val="0"/>
        <w:spacing w:before="50" w:after="50"/>
        <w:jc w:val="center"/>
        <w:outlineLvl w:val="0"/>
        <w:rPr>
          <w:rFonts w:ascii="宋体" w:hAnsi="宋体" w:cs="宋体"/>
          <w:color w:val="000000" w:themeColor="text1"/>
          <w:sz w:val="32"/>
          <w:szCs w:val="32"/>
          <w14:textFill>
            <w14:solidFill>
              <w14:schemeClr w14:val="tx1"/>
            </w14:solidFill>
          </w14:textFill>
        </w:rPr>
      </w:pPr>
      <w:bookmarkStart w:id="243" w:name="_Toc13194"/>
      <w:r>
        <w:rPr>
          <w:rFonts w:hint="eastAsia" w:ascii="宋体" w:hAnsi="宋体" w:cs="宋体"/>
          <w:color w:val="000000" w:themeColor="text1"/>
          <w:sz w:val="32"/>
          <w:szCs w:val="32"/>
          <w14:textFill>
            <w14:solidFill>
              <w14:schemeClr w14:val="tx1"/>
            </w14:solidFill>
          </w14:textFill>
        </w:rPr>
        <w:t>四、投标函（格式）</w:t>
      </w:r>
      <w:bookmarkEnd w:id="243"/>
    </w:p>
    <w:p>
      <w:pPr>
        <w:pStyle w:val="97"/>
        <w:spacing w:before="0" w:after="0" w:line="420" w:lineRule="exact"/>
        <w:ind w:firstLine="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致：</w:t>
      </w:r>
      <w:r>
        <w:rPr>
          <w:rFonts w:hint="eastAsia" w:ascii="宋体" w:hAnsi="宋体" w:cs="宋体"/>
          <w:color w:val="000000" w:themeColor="text1"/>
          <w:kern w:val="2"/>
          <w:u w:val="single"/>
          <w14:textFill>
            <w14:solidFill>
              <w14:schemeClr w14:val="tx1"/>
            </w14:solidFill>
          </w14:textFill>
        </w:rPr>
        <w:t>盐城工业职业技术学院</w:t>
      </w:r>
    </w:p>
    <w:p>
      <w:pPr>
        <w:pStyle w:val="97"/>
        <w:spacing w:before="0" w:after="0" w:line="420" w:lineRule="exact"/>
        <w:ind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根据贵方的</w:t>
      </w:r>
      <w:r>
        <w:rPr>
          <w:rFonts w:hint="eastAsia" w:ascii="宋体" w:hAnsi="宋体" w:cs="宋体"/>
          <w:color w:val="000000" w:themeColor="text1"/>
          <w:kern w:val="2"/>
          <w:u w:val="single"/>
          <w14:textFill>
            <w14:solidFill>
              <w14:schemeClr w14:val="tx1"/>
            </w14:solidFill>
          </w14:textFill>
        </w:rPr>
        <w:t>2021-</w:t>
      </w:r>
      <w:r>
        <w:rPr>
          <w:rFonts w:hint="eastAsia" w:ascii="宋体" w:hAnsi="宋体" w:cs="宋体"/>
          <w:color w:val="000000" w:themeColor="text1"/>
          <w:kern w:val="2"/>
          <w:u w:val="single"/>
          <w:lang w:val="en-US" w:eastAsia="zh-CN"/>
          <w14:textFill>
            <w14:solidFill>
              <w14:schemeClr w14:val="tx1"/>
            </w14:solidFill>
          </w14:textFill>
        </w:rPr>
        <w:t xml:space="preserve"> </w:t>
      </w:r>
      <w:r>
        <w:rPr>
          <w:rFonts w:hint="eastAsia" w:ascii="宋体" w:hAnsi="宋体" w:cs="宋体"/>
          <w:color w:val="000000" w:themeColor="text1"/>
          <w:kern w:val="2"/>
          <w:u w:val="single"/>
          <w14:textFill>
            <w14:solidFill>
              <w14:schemeClr w14:val="tx1"/>
            </w14:solidFill>
          </w14:textFill>
        </w:rPr>
        <w:t>号</w:t>
      </w:r>
      <w:r>
        <w:rPr>
          <w:rFonts w:hint="eastAsia" w:ascii="宋体" w:hAnsi="宋体" w:cs="宋体"/>
          <w:color w:val="000000" w:themeColor="text1"/>
          <w:kern w:val="2"/>
          <w14:textFill>
            <w14:solidFill>
              <w14:schemeClr w14:val="tx1"/>
            </w14:solidFill>
          </w14:textFill>
        </w:rPr>
        <w:t>招标文件，正式授权下述签字人_________________(姓名)代表我方______________（投标人的名称），全权处理本次项目投标的有关事宜。</w:t>
      </w:r>
    </w:p>
    <w:p>
      <w:pPr>
        <w:pStyle w:val="97"/>
        <w:spacing w:before="0" w:after="0" w:line="420" w:lineRule="exact"/>
        <w:ind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据此函，__________签字人兹宣布同意如下：</w:t>
      </w:r>
    </w:p>
    <w:p>
      <w:pPr>
        <w:pStyle w:val="97"/>
        <w:spacing w:before="0" w:after="0" w:line="420" w:lineRule="exact"/>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1.按招标文件规定的各项要求，向买方提供所需货物与服务。</w:t>
      </w:r>
    </w:p>
    <w:p>
      <w:pPr>
        <w:pStyle w:val="97"/>
        <w:spacing w:before="0" w:after="0" w:line="420" w:lineRule="exact"/>
        <w:ind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2.我们完全理解贵方不一定将合同授予最低报价的投标人。</w:t>
      </w:r>
    </w:p>
    <w:p>
      <w:pPr>
        <w:pStyle w:val="97"/>
        <w:spacing w:before="0" w:after="0" w:line="420" w:lineRule="exact"/>
        <w:ind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3.我们已详细审核全部招标文件及其有效补充文件，我们知道必须放弃提出含糊不清或误解问题的权利。</w:t>
      </w:r>
    </w:p>
    <w:p>
      <w:pPr>
        <w:pStyle w:val="97"/>
        <w:spacing w:before="0" w:after="0" w:line="420" w:lineRule="exact"/>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4.我们同意从规定的开标日期起遵循本投标文件，并在规定的投标有效期期满之前均具有约束力。</w:t>
      </w:r>
    </w:p>
    <w:p>
      <w:pPr>
        <w:pStyle w:val="97"/>
        <w:spacing w:before="0" w:after="0" w:line="420" w:lineRule="exact"/>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5.如果在开标后规定的投标有效期内撤回投标或中标后拒绝签订合同，</w:t>
      </w:r>
      <w:r>
        <w:rPr>
          <w:rFonts w:hint="eastAsia" w:ascii="宋体" w:hAnsi="宋体" w:cs="宋体"/>
          <w:color w:val="000000" w:themeColor="text1"/>
          <w14:textFill>
            <w14:solidFill>
              <w14:schemeClr w14:val="tx1"/>
            </w14:solidFill>
          </w14:textFill>
        </w:rPr>
        <w:t>则按照国家相关法律法规受到相应处罚</w:t>
      </w:r>
      <w:r>
        <w:rPr>
          <w:rFonts w:hint="eastAsia" w:ascii="宋体" w:hAnsi="宋体" w:cs="宋体"/>
          <w:color w:val="000000" w:themeColor="text1"/>
          <w:kern w:val="2"/>
          <w14:textFill>
            <w14:solidFill>
              <w14:schemeClr w14:val="tx1"/>
            </w14:solidFill>
          </w14:textFill>
        </w:rPr>
        <w:t>。</w:t>
      </w:r>
    </w:p>
    <w:p>
      <w:pPr>
        <w:pStyle w:val="97"/>
        <w:spacing w:before="0" w:after="0" w:line="420" w:lineRule="exact"/>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6.同意向贵方提供贵方可能另外要求的与投标有关的任何证据或资料，并保证我方已提供和将要提供的文件是真实的、准确的。</w:t>
      </w:r>
    </w:p>
    <w:p>
      <w:pPr>
        <w:pStyle w:val="97"/>
        <w:spacing w:before="0" w:after="0" w:line="420" w:lineRule="exact"/>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7.一旦我方中标,我方将根据招标文件的规定，严格履行合同的责任和义务,并保证在招标文件规定的时间完成项目，交付买方验收、使用。</w:t>
      </w:r>
    </w:p>
    <w:p>
      <w:pPr>
        <w:pStyle w:val="97"/>
        <w:spacing w:before="0" w:after="0" w:line="420" w:lineRule="exact"/>
        <w:ind w:left="425" w:firstLine="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8.与本投标有关的正式通讯地址为：</w:t>
      </w:r>
    </w:p>
    <w:p>
      <w:pPr>
        <w:pStyle w:val="97"/>
        <w:spacing w:before="0" w:after="0" w:line="420" w:lineRule="exact"/>
        <w:ind w:left="420" w:leftChars="200"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地          址：</w:t>
      </w:r>
    </w:p>
    <w:p>
      <w:pPr>
        <w:pStyle w:val="97"/>
        <w:spacing w:before="0" w:after="0" w:line="420" w:lineRule="exact"/>
        <w:ind w:left="420" w:leftChars="200"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邮          编：</w:t>
      </w:r>
    </w:p>
    <w:p>
      <w:pPr>
        <w:pStyle w:val="97"/>
        <w:spacing w:before="0" w:after="0" w:line="420" w:lineRule="exact"/>
        <w:ind w:left="420" w:leftChars="200"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电          话：</w:t>
      </w:r>
    </w:p>
    <w:p>
      <w:pPr>
        <w:pStyle w:val="97"/>
        <w:spacing w:before="0" w:after="0" w:line="420" w:lineRule="exact"/>
        <w:ind w:left="420" w:leftChars="200"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传          真：</w:t>
      </w:r>
    </w:p>
    <w:p>
      <w:pPr>
        <w:pStyle w:val="97"/>
        <w:spacing w:before="0" w:after="0" w:line="420" w:lineRule="exact"/>
        <w:ind w:left="420" w:leftChars="200"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投标人开户行：</w:t>
      </w:r>
    </w:p>
    <w:p>
      <w:pPr>
        <w:pStyle w:val="97"/>
        <w:spacing w:before="0" w:after="0" w:line="420" w:lineRule="exact"/>
        <w:ind w:left="420" w:leftChars="200"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 xml:space="preserve">账          户： </w:t>
      </w:r>
    </w:p>
    <w:p>
      <w:pPr>
        <w:pStyle w:val="97"/>
        <w:spacing w:before="0" w:after="0" w:line="420" w:lineRule="exact"/>
        <w:ind w:left="420" w:leftChars="200"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 xml:space="preserve">投标人授权代表姓名（签字）： </w:t>
      </w:r>
    </w:p>
    <w:p>
      <w:pPr>
        <w:pStyle w:val="97"/>
        <w:spacing w:before="0" w:after="0" w:line="420" w:lineRule="exact"/>
        <w:ind w:left="420" w:leftChars="200"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 xml:space="preserve">投标人名称（公章）： </w:t>
      </w:r>
    </w:p>
    <w:p>
      <w:pPr>
        <w:pStyle w:val="97"/>
        <w:spacing w:before="0" w:after="0" w:line="420" w:lineRule="exact"/>
        <w:ind w:left="420" w:leftChars="200"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日           期：________年____月____日</w:t>
      </w:r>
    </w:p>
    <w:p>
      <w:pPr>
        <w:snapToGrid w:val="0"/>
        <w:spacing w:before="50" w:after="145" w:afterLines="50"/>
        <w:jc w:val="left"/>
        <w:rPr>
          <w:rFonts w:ascii="宋体" w:hAnsi="宋体" w:cs="宋体"/>
          <w:color w:val="000000" w:themeColor="text1"/>
          <w:sz w:val="24"/>
          <w:szCs w:val="24"/>
          <w14:textFill>
            <w14:solidFill>
              <w14:schemeClr w14:val="tx1"/>
            </w14:solidFill>
          </w14:textFill>
        </w:rPr>
      </w:pPr>
    </w:p>
    <w:p>
      <w:pPr>
        <w:jc w:val="center"/>
        <w:rPr>
          <w:rFonts w:ascii="宋体" w:hAnsi="宋体" w:cs="宋体"/>
          <w:b/>
          <w:color w:val="000000" w:themeColor="text1"/>
          <w:sz w:val="32"/>
          <w:szCs w:val="32"/>
          <w14:textFill>
            <w14:solidFill>
              <w14:schemeClr w14:val="tx1"/>
            </w14:solidFill>
          </w14:textFill>
        </w:rPr>
      </w:pPr>
    </w:p>
    <w:p>
      <w:pPr>
        <w:jc w:val="center"/>
        <w:rPr>
          <w:rFonts w:ascii="宋体" w:hAnsi="宋体" w:cs="宋体"/>
          <w:b/>
          <w:color w:val="000000" w:themeColor="text1"/>
          <w:sz w:val="32"/>
          <w:szCs w:val="32"/>
          <w14:textFill>
            <w14:solidFill>
              <w14:schemeClr w14:val="tx1"/>
            </w14:solidFill>
          </w14:textFill>
        </w:rPr>
      </w:pPr>
    </w:p>
    <w:p>
      <w:pPr>
        <w:snapToGrid w:val="0"/>
        <w:spacing w:before="50" w:after="50"/>
        <w:jc w:val="center"/>
        <w:rPr>
          <w:rFonts w:ascii="宋体" w:hAnsi="宋体" w:cs="宋体"/>
          <w:color w:val="000000" w:themeColor="text1"/>
          <w:sz w:val="32"/>
          <w:szCs w:val="32"/>
          <w14:textFill>
            <w14:solidFill>
              <w14:schemeClr w14:val="tx1"/>
            </w14:solidFill>
          </w14:textFill>
        </w:rPr>
      </w:pPr>
    </w:p>
    <w:p>
      <w:pPr>
        <w:numPr>
          <w:ilvl w:val="0"/>
          <w:numId w:val="6"/>
        </w:numPr>
        <w:snapToGrid w:val="0"/>
        <w:spacing w:before="50" w:after="50"/>
        <w:jc w:val="center"/>
        <w:outlineLvl w:val="0"/>
        <w:rPr>
          <w:rFonts w:ascii="宋体" w:hAnsi="宋体" w:cs="宋体"/>
          <w:color w:val="000000" w:themeColor="text1"/>
          <w:sz w:val="32"/>
          <w:szCs w:val="32"/>
          <w14:textFill>
            <w14:solidFill>
              <w14:schemeClr w14:val="tx1"/>
            </w14:solidFill>
          </w14:textFill>
        </w:rPr>
      </w:pPr>
      <w:bookmarkStart w:id="244" w:name="_Toc20618"/>
      <w:r>
        <w:rPr>
          <w:rFonts w:hint="eastAsia" w:ascii="宋体" w:hAnsi="宋体" w:cs="宋体"/>
          <w:color w:val="000000" w:themeColor="text1"/>
          <w:sz w:val="32"/>
          <w:szCs w:val="32"/>
          <w14:textFill>
            <w14:solidFill>
              <w14:schemeClr w14:val="tx1"/>
            </w14:solidFill>
          </w14:textFill>
        </w:rPr>
        <w:t>开标一览表（格式）</w:t>
      </w:r>
      <w:bookmarkEnd w:id="244"/>
    </w:p>
    <w:p>
      <w:pPr>
        <w:pStyle w:val="3"/>
        <w:jc w:val="both"/>
        <w:outlineLvl w:val="9"/>
        <w:rPr>
          <w:rFonts w:ascii="宋体" w:hAnsi="宋体" w:eastAsia="宋体" w:cs="宋体"/>
          <w:color w:val="000000" w:themeColor="text1"/>
          <w14:textFill>
            <w14:solidFill>
              <w14:schemeClr w14:val="tx1"/>
            </w14:solidFill>
          </w14:textFill>
        </w:rPr>
      </w:pPr>
    </w:p>
    <w:tbl>
      <w:tblPr>
        <w:tblStyle w:val="45"/>
        <w:tblW w:w="10145" w:type="dxa"/>
        <w:tblInd w:w="-36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00"/>
        <w:gridCol w:w="744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89" w:hRule="atLeast"/>
        </w:trPr>
        <w:tc>
          <w:tcPr>
            <w:tcW w:w="2700" w:type="dxa"/>
            <w:tcBorders>
              <w:top w:val="single" w:color="000000" w:sz="4" w:space="0"/>
              <w:left w:val="single" w:color="000000" w:sz="4" w:space="0"/>
              <w:bottom w:val="single" w:color="000000" w:sz="4" w:space="0"/>
              <w:right w:val="single" w:color="000000" w:sz="4" w:space="0"/>
            </w:tcBorders>
            <w:vAlign w:val="center"/>
          </w:tcPr>
          <w:p>
            <w:pPr>
              <w:ind w:firstLine="480" w:firstLineChars="200"/>
              <w:rPr>
                <w:rStyle w:val="114"/>
                <w:rFonts w:ascii="宋体" w:hAnsi="宋体" w:cs="宋体"/>
                <w:color w:val="000000" w:themeColor="text1"/>
                <w:sz w:val="24"/>
                <w:szCs w:val="24"/>
                <w14:textFill>
                  <w14:solidFill>
                    <w14:schemeClr w14:val="tx1"/>
                  </w14:solidFill>
                </w14:textFill>
              </w:rPr>
            </w:pPr>
            <w:r>
              <w:rPr>
                <w:rStyle w:val="114"/>
                <w:rFonts w:hint="eastAsia" w:ascii="宋体" w:hAnsi="宋体" w:cs="宋体"/>
                <w:color w:val="000000" w:themeColor="text1"/>
                <w:sz w:val="24"/>
                <w:szCs w:val="24"/>
                <w14:textFill>
                  <w14:solidFill>
                    <w14:schemeClr w14:val="tx1"/>
                  </w14:solidFill>
                </w14:textFill>
              </w:rPr>
              <w:t>项目编号</w:t>
            </w:r>
          </w:p>
        </w:tc>
        <w:tc>
          <w:tcPr>
            <w:tcW w:w="7445" w:type="dxa"/>
            <w:tcBorders>
              <w:top w:val="single" w:color="000000" w:sz="4" w:space="0"/>
              <w:left w:val="single" w:color="000000" w:sz="4" w:space="0"/>
              <w:bottom w:val="single" w:color="000000" w:sz="4" w:space="0"/>
              <w:right w:val="single" w:color="000000" w:sz="4" w:space="0"/>
            </w:tcBorders>
            <w:vAlign w:val="center"/>
          </w:tcPr>
          <w:p>
            <w:pPr>
              <w:pStyle w:val="115"/>
              <w:jc w:val="both"/>
              <w:rPr>
                <w:rStyle w:val="114"/>
                <w:rFonts w:ascii="宋体" w:hAnsi="宋体" w:eastAsia="宋体" w:cs="宋体"/>
                <w:color w:val="000000" w:themeColor="text1"/>
                <w:sz w:val="24"/>
                <w:szCs w:val="24"/>
                <w:u w:val="singl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89" w:hRule="atLeast"/>
        </w:trPr>
        <w:tc>
          <w:tcPr>
            <w:tcW w:w="2700" w:type="dxa"/>
            <w:tcBorders>
              <w:top w:val="single" w:color="000000" w:sz="4" w:space="0"/>
              <w:left w:val="single" w:color="000000" w:sz="4" w:space="0"/>
              <w:bottom w:val="single" w:color="000000" w:sz="4" w:space="0"/>
              <w:right w:val="single" w:color="000000" w:sz="4" w:space="0"/>
            </w:tcBorders>
            <w:vAlign w:val="center"/>
          </w:tcPr>
          <w:p>
            <w:pPr>
              <w:ind w:firstLine="480" w:firstLineChars="200"/>
              <w:rPr>
                <w:rStyle w:val="114"/>
                <w:rFonts w:ascii="宋体" w:hAnsi="宋体" w:cs="宋体"/>
                <w:color w:val="000000" w:themeColor="text1"/>
                <w:sz w:val="24"/>
                <w:szCs w:val="24"/>
                <w14:textFill>
                  <w14:solidFill>
                    <w14:schemeClr w14:val="tx1"/>
                  </w14:solidFill>
                </w14:textFill>
              </w:rPr>
            </w:pPr>
            <w:r>
              <w:rPr>
                <w:rStyle w:val="114"/>
                <w:rFonts w:hint="eastAsia" w:ascii="宋体" w:hAnsi="宋体" w:cs="宋体"/>
                <w:color w:val="000000" w:themeColor="text1"/>
                <w:sz w:val="24"/>
                <w:szCs w:val="24"/>
                <w14:textFill>
                  <w14:solidFill>
                    <w14:schemeClr w14:val="tx1"/>
                  </w14:solidFill>
                </w14:textFill>
              </w:rPr>
              <w:t>项目名称</w:t>
            </w:r>
          </w:p>
        </w:tc>
        <w:tc>
          <w:tcPr>
            <w:tcW w:w="7445" w:type="dxa"/>
            <w:tcBorders>
              <w:top w:val="single" w:color="000000" w:sz="4" w:space="0"/>
              <w:left w:val="single" w:color="000000" w:sz="4" w:space="0"/>
              <w:bottom w:val="single" w:color="000000" w:sz="4" w:space="0"/>
              <w:right w:val="single" w:color="000000" w:sz="4" w:space="0"/>
            </w:tcBorders>
            <w:vAlign w:val="center"/>
          </w:tcPr>
          <w:p>
            <w:pPr>
              <w:pStyle w:val="115"/>
              <w:jc w:val="both"/>
              <w:rPr>
                <w:rStyle w:val="114"/>
                <w:rFonts w:ascii="宋体" w:hAnsi="宋体" w:eastAsia="宋体" w:cs="宋体"/>
                <w:color w:val="000000" w:themeColor="text1"/>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21" w:hRule="atLeast"/>
        </w:trPr>
        <w:tc>
          <w:tcPr>
            <w:tcW w:w="10145" w:type="dxa"/>
            <w:gridSpan w:val="2"/>
            <w:tcBorders>
              <w:top w:val="single" w:color="000000" w:sz="4" w:space="0"/>
              <w:left w:val="single" w:color="000000" w:sz="4" w:space="0"/>
              <w:bottom w:val="single" w:color="000000" w:sz="4" w:space="0"/>
              <w:right w:val="single" w:color="000000" w:sz="4" w:space="0"/>
            </w:tcBorders>
            <w:vAlign w:val="center"/>
          </w:tcPr>
          <w:p>
            <w:pPr>
              <w:rPr>
                <w:rStyle w:val="114"/>
                <w:rFonts w:ascii="宋体" w:hAnsi="宋体" w:cs="宋体"/>
                <w:color w:val="000000" w:themeColor="text1"/>
                <w:sz w:val="24"/>
                <w:szCs w:val="24"/>
                <w14:textFill>
                  <w14:solidFill>
                    <w14:schemeClr w14:val="tx1"/>
                  </w14:solidFill>
                </w14:textFill>
              </w:rPr>
            </w:pPr>
            <w:r>
              <w:rPr>
                <w:rStyle w:val="114"/>
                <w:rFonts w:hint="eastAsia" w:ascii="宋体" w:hAnsi="宋体" w:cs="宋体"/>
                <w:b/>
                <w:bCs/>
                <w:color w:val="000000" w:themeColor="text1"/>
                <w:sz w:val="24"/>
                <w:szCs w:val="24"/>
                <w14:textFill>
                  <w14:solidFill>
                    <w14:schemeClr w14:val="tx1"/>
                  </w14:solidFill>
                </w14:textFill>
              </w:rPr>
              <w:t>项目投标报价：（大写）</w:t>
            </w:r>
            <w:r>
              <w:rPr>
                <w:rStyle w:val="114"/>
                <w:rFonts w:hint="eastAsia" w:ascii="宋体" w:hAnsi="宋体" w:cs="宋体"/>
                <w:color w:val="000000" w:themeColor="text1"/>
                <w:sz w:val="24"/>
                <w:szCs w:val="24"/>
                <w14:textFill>
                  <w14:solidFill>
                    <w14:schemeClr w14:val="tx1"/>
                  </w14:solidFill>
                </w14:textFill>
              </w:rPr>
              <w:t xml:space="preserve">_____  </w:t>
            </w:r>
            <w:r>
              <w:rPr>
                <w:rStyle w:val="114"/>
                <w:rFonts w:hint="eastAsia" w:ascii="宋体" w:hAnsi="宋体" w:cs="宋体"/>
                <w:b/>
                <w:bCs/>
                <w:color w:val="000000" w:themeColor="text1"/>
                <w:sz w:val="24"/>
                <w:szCs w:val="24"/>
                <w14:textFill>
                  <w14:solidFill>
                    <w14:schemeClr w14:val="tx1"/>
                  </w14:solidFill>
                </w14:textFill>
              </w:rPr>
              <w:t>元，小写：_____元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21" w:hRule="atLeast"/>
        </w:trPr>
        <w:tc>
          <w:tcPr>
            <w:tcW w:w="10145" w:type="dxa"/>
            <w:gridSpan w:val="2"/>
            <w:tcBorders>
              <w:top w:val="single" w:color="000000" w:sz="4" w:space="0"/>
              <w:left w:val="single" w:color="000000" w:sz="4" w:space="0"/>
              <w:bottom w:val="single" w:color="000000" w:sz="4" w:space="0"/>
              <w:right w:val="single" w:color="000000" w:sz="4" w:space="0"/>
            </w:tcBorders>
            <w:vAlign w:val="center"/>
          </w:tcPr>
          <w:p>
            <w:pPr>
              <w:rPr>
                <w:rStyle w:val="114"/>
                <w:rFonts w:ascii="宋体" w:hAnsi="宋体" w:cs="宋体"/>
                <w:b/>
                <w:bCs/>
                <w:color w:val="000000" w:themeColor="text1"/>
                <w:sz w:val="24"/>
                <w:szCs w:val="24"/>
                <w14:textFill>
                  <w14:solidFill>
                    <w14:schemeClr w14:val="tx1"/>
                  </w14:solidFill>
                </w14:textFill>
              </w:rPr>
            </w:pPr>
            <w:r>
              <w:rPr>
                <w:rStyle w:val="114"/>
                <w:rFonts w:hint="eastAsia" w:ascii="宋体" w:hAnsi="宋体" w:cs="宋体"/>
                <w:b/>
                <w:bCs/>
                <w:color w:val="000000" w:themeColor="text1"/>
                <w:sz w:val="24"/>
                <w:szCs w:val="24"/>
                <w14:textFill>
                  <w14:solidFill>
                    <w14:schemeClr w14:val="tx1"/>
                  </w14:solidFill>
                </w14:textFill>
              </w:rPr>
              <w:t>项目负责人：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07" w:hRule="atLeast"/>
        </w:trPr>
        <w:tc>
          <w:tcPr>
            <w:tcW w:w="10145" w:type="dxa"/>
            <w:gridSpan w:val="2"/>
            <w:tcBorders>
              <w:top w:val="single" w:color="000000" w:sz="4" w:space="0"/>
              <w:left w:val="single" w:color="000000" w:sz="4" w:space="0"/>
              <w:bottom w:val="single" w:color="000000" w:sz="4" w:space="0"/>
              <w:right w:val="single" w:color="000000" w:sz="4" w:space="0"/>
            </w:tcBorders>
            <w:vAlign w:val="center"/>
          </w:tcPr>
          <w:p>
            <w:pPr>
              <w:rPr>
                <w:rStyle w:val="114"/>
                <w:rFonts w:ascii="宋体" w:hAnsi="宋体" w:cs="宋体"/>
                <w:b/>
                <w:bCs/>
                <w:color w:val="000000" w:themeColor="text1"/>
                <w:sz w:val="24"/>
                <w:szCs w:val="24"/>
                <w14:textFill>
                  <w14:solidFill>
                    <w14:schemeClr w14:val="tx1"/>
                  </w14:solidFill>
                </w14:textFill>
              </w:rPr>
            </w:pPr>
            <w:r>
              <w:rPr>
                <w:rStyle w:val="114"/>
                <w:rFonts w:hint="eastAsia" w:ascii="宋体" w:hAnsi="宋体" w:cs="宋体"/>
                <w:b/>
                <w:bCs/>
                <w:color w:val="000000" w:themeColor="text1"/>
                <w:sz w:val="24"/>
                <w:szCs w:val="24"/>
                <w14:textFill>
                  <w14:solidFill>
                    <w14:schemeClr w14:val="tx1"/>
                  </w14:solidFill>
                </w14:textFill>
              </w:rPr>
              <w:t>合同履行期限：</w:t>
            </w:r>
          </w:p>
        </w:tc>
      </w:tr>
    </w:tbl>
    <w:p>
      <w:pPr>
        <w:spacing w:line="180" w:lineRule="atLeast"/>
        <w:rPr>
          <w:rFonts w:hint="eastAsia" w:ascii="宋体" w:hAnsi="宋体" w:cs="宋体"/>
          <w:color w:val="000000" w:themeColor="text1"/>
          <w:szCs w:val="28"/>
          <w14:textFill>
            <w14:solidFill>
              <w14:schemeClr w14:val="tx1"/>
            </w14:solidFill>
          </w14:textFill>
        </w:rPr>
      </w:pPr>
    </w:p>
    <w:p>
      <w:pPr>
        <w:spacing w:line="180" w:lineRule="atLeast"/>
        <w:rPr>
          <w:rFonts w:ascii="宋体" w:hAnsi="宋体" w:cs="宋体"/>
          <w:color w:val="000000" w:themeColor="text1"/>
          <w:szCs w:val="28"/>
          <w14:textFill>
            <w14:solidFill>
              <w14:schemeClr w14:val="tx1"/>
            </w14:solidFill>
          </w14:textFill>
        </w:rPr>
      </w:pPr>
      <w:r>
        <w:rPr>
          <w:rFonts w:hint="eastAsia" w:ascii="宋体" w:hAnsi="宋体" w:cs="宋体"/>
          <w:color w:val="000000" w:themeColor="text1"/>
          <w:szCs w:val="28"/>
          <w14:textFill>
            <w14:solidFill>
              <w14:schemeClr w14:val="tx1"/>
            </w14:solidFill>
          </w14:textFill>
        </w:rPr>
        <w:t>填写说明：</w:t>
      </w:r>
    </w:p>
    <w:p>
      <w:pPr>
        <w:numPr>
          <w:ilvl w:val="0"/>
          <w:numId w:val="7"/>
        </w:numP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开标一览表不得填报选择性报价，否则将作为无效投标；</w:t>
      </w:r>
    </w:p>
    <w:p>
      <w:pPr>
        <w:numPr>
          <w:ilvl w:val="0"/>
          <w:numId w:val="7"/>
        </w:numP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开标一览表中报价与投标分项明细报价表中不符时时，以开标一览表为准；</w:t>
      </w:r>
    </w:p>
    <w:p>
      <w:pPr>
        <w:ind w:firstLine="2640" w:firstLineChars="600"/>
        <w:rPr>
          <w:rFonts w:ascii="宋体" w:hAnsi="宋体" w:cs="宋体"/>
          <w:color w:val="000000" w:themeColor="text1"/>
          <w:sz w:val="44"/>
          <w14:textFill>
            <w14:solidFill>
              <w14:schemeClr w14:val="tx1"/>
            </w14:solidFill>
          </w14:textFill>
        </w:rPr>
      </w:pPr>
    </w:p>
    <w:p>
      <w:pPr>
        <w:ind w:firstLine="480"/>
        <w:rPr>
          <w:rFonts w:ascii="宋体" w:hAnsi="宋体" w:cs="宋体"/>
          <w:color w:val="000000" w:themeColor="text1"/>
          <w:sz w:val="24"/>
          <w14:textFill>
            <w14:solidFill>
              <w14:schemeClr w14:val="tx1"/>
            </w14:solidFill>
          </w14:textFill>
        </w:rPr>
      </w:pPr>
    </w:p>
    <w:p>
      <w:pPr>
        <w:ind w:firstLine="480"/>
        <w:rPr>
          <w:rFonts w:ascii="宋体" w:hAnsi="宋体" w:cs="宋体"/>
          <w:color w:val="000000" w:themeColor="text1"/>
          <w:sz w:val="24"/>
          <w14:textFill>
            <w14:solidFill>
              <w14:schemeClr w14:val="tx1"/>
            </w14:solidFill>
          </w14:textFill>
        </w:rPr>
      </w:pPr>
    </w:p>
    <w:p>
      <w:pPr>
        <w:ind w:firstLine="480"/>
        <w:jc w:val="center"/>
        <w:rPr>
          <w:rFonts w:ascii="宋体" w:hAnsi="宋体" w:cs="宋体"/>
          <w:color w:val="000000" w:themeColor="text1"/>
          <w:sz w:val="24"/>
          <w14:textFill>
            <w14:solidFill>
              <w14:schemeClr w14:val="tx1"/>
            </w14:solidFill>
          </w14:textFill>
        </w:rPr>
      </w:pPr>
      <w:r>
        <w:rPr>
          <w:rFonts w:hint="eastAsia" w:ascii="宋体" w:hAnsi="宋体" w:cs="宋体"/>
          <w:bCs/>
          <w:color w:val="000000" w:themeColor="text1"/>
          <w:sz w:val="24"/>
          <w:lang w:val="en-US" w:eastAsia="zh-CN"/>
          <w14:textFill>
            <w14:solidFill>
              <w14:schemeClr w14:val="tx1"/>
            </w14:solidFill>
          </w14:textFill>
        </w:rPr>
        <w:t xml:space="preserve">                                   </w:t>
      </w:r>
      <w:r>
        <w:rPr>
          <w:rFonts w:hint="eastAsia" w:ascii="宋体" w:hAnsi="宋体" w:cs="宋体"/>
          <w:bCs/>
          <w:color w:val="000000" w:themeColor="text1"/>
          <w:sz w:val="24"/>
          <w14:textFill>
            <w14:solidFill>
              <w14:schemeClr w14:val="tx1"/>
            </w14:solidFill>
          </w14:textFill>
        </w:rPr>
        <w:t>供应商名称（公章）：</w:t>
      </w:r>
    </w:p>
    <w:p>
      <w:pPr>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日期：  年月日</w:t>
      </w:r>
    </w:p>
    <w:p>
      <w:pPr>
        <w:jc w:val="center"/>
        <w:rPr>
          <w:rFonts w:ascii="宋体" w:hAnsi="宋体" w:cs="宋体"/>
          <w:b/>
          <w:color w:val="000000" w:themeColor="text1"/>
          <w:sz w:val="32"/>
          <w:szCs w:val="32"/>
          <w14:textFill>
            <w14:solidFill>
              <w14:schemeClr w14:val="tx1"/>
            </w14:solidFill>
          </w14:textFill>
        </w:rPr>
      </w:pPr>
    </w:p>
    <w:p>
      <w:pPr>
        <w:snapToGrid w:val="0"/>
        <w:spacing w:before="50" w:after="50"/>
        <w:rPr>
          <w:rFonts w:ascii="宋体" w:hAnsi="宋体" w:cs="宋体"/>
          <w:color w:val="000000" w:themeColor="text1"/>
          <w:sz w:val="32"/>
          <w:szCs w:val="32"/>
          <w14:textFill>
            <w14:solidFill>
              <w14:schemeClr w14:val="tx1"/>
            </w14:solidFill>
          </w14:textFill>
        </w:rPr>
        <w:sectPr>
          <w:headerReference r:id="rId6" w:type="default"/>
          <w:footerReference r:id="rId7" w:type="default"/>
          <w:pgSz w:w="11906" w:h="16838"/>
          <w:pgMar w:top="1417" w:right="1588" w:bottom="1417" w:left="1365" w:header="851" w:footer="907" w:gutter="0"/>
          <w:pgNumType w:fmt="numberInDash"/>
          <w:cols w:space="720" w:num="1"/>
          <w:docGrid w:type="lines" w:linePitch="290" w:charSpace="0"/>
        </w:sectPr>
      </w:pPr>
    </w:p>
    <w:p>
      <w:pPr>
        <w:rPr>
          <w:rFonts w:ascii="宋体" w:hAnsi="宋体" w:cs="宋体"/>
          <w:color w:val="000000" w:themeColor="text1"/>
          <w14:textFill>
            <w14:solidFill>
              <w14:schemeClr w14:val="tx1"/>
            </w14:solidFill>
          </w14:textFill>
        </w:rPr>
      </w:pPr>
    </w:p>
    <w:p>
      <w:pPr>
        <w:snapToGrid w:val="0"/>
        <w:spacing w:before="50" w:after="50"/>
        <w:jc w:val="center"/>
        <w:outlineLvl w:val="0"/>
        <w:rPr>
          <w:rFonts w:ascii="宋体" w:hAnsi="宋体" w:cs="宋体"/>
          <w:color w:val="000000" w:themeColor="text1"/>
          <w:sz w:val="32"/>
          <w:szCs w:val="32"/>
          <w14:textFill>
            <w14:solidFill>
              <w14:schemeClr w14:val="tx1"/>
            </w14:solidFill>
          </w14:textFill>
        </w:rPr>
      </w:pPr>
      <w:bookmarkStart w:id="245" w:name="_Toc1604"/>
      <w:r>
        <w:rPr>
          <w:rFonts w:hint="eastAsia" w:ascii="宋体" w:hAnsi="宋体" w:cs="宋体"/>
          <w:color w:val="000000" w:themeColor="text1"/>
          <w:sz w:val="32"/>
          <w:szCs w:val="32"/>
          <w14:textFill>
            <w14:solidFill>
              <w14:schemeClr w14:val="tx1"/>
            </w14:solidFill>
          </w14:textFill>
        </w:rPr>
        <w:t>六、投标产品配置及分项报价表（格式）</w:t>
      </w:r>
      <w:bookmarkEnd w:id="245"/>
    </w:p>
    <w:p>
      <w:pPr>
        <w:snapToGrid w:val="0"/>
        <w:spacing w:before="50" w:after="50"/>
        <w:jc w:val="center"/>
        <w:rPr>
          <w:rFonts w:ascii="宋体" w:hAnsi="宋体" w:cs="宋体"/>
          <w:color w:val="000000" w:themeColor="text1"/>
          <w:sz w:val="32"/>
          <w:szCs w:val="32"/>
          <w14:textFill>
            <w14:solidFill>
              <w14:schemeClr w14:val="tx1"/>
            </w14:solidFill>
          </w14:textFill>
        </w:rPr>
      </w:pPr>
    </w:p>
    <w:p>
      <w:pP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投标人全称（加盖公章）：       </w:t>
      </w:r>
    </w:p>
    <w:tbl>
      <w:tblPr>
        <w:tblStyle w:val="45"/>
        <w:tblW w:w="91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9"/>
        <w:gridCol w:w="1681"/>
        <w:gridCol w:w="1439"/>
        <w:gridCol w:w="1065"/>
        <w:gridCol w:w="1074"/>
        <w:gridCol w:w="1421"/>
        <w:gridCol w:w="14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2" w:hRule="atLeast"/>
        </w:trPr>
        <w:tc>
          <w:tcPr>
            <w:tcW w:w="1059" w:type="dxa"/>
            <w:noWrap/>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w:t>
            </w:r>
          </w:p>
        </w:tc>
        <w:tc>
          <w:tcPr>
            <w:tcW w:w="1681" w:type="dxa"/>
            <w:noWrap/>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w:t>
            </w:r>
          </w:p>
        </w:tc>
        <w:tc>
          <w:tcPr>
            <w:tcW w:w="1439" w:type="dxa"/>
            <w:noWrap/>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w:t>
            </w:r>
          </w:p>
        </w:tc>
        <w:tc>
          <w:tcPr>
            <w:tcW w:w="1065" w:type="dxa"/>
            <w:noWrap/>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w:t>
            </w:r>
          </w:p>
        </w:tc>
        <w:tc>
          <w:tcPr>
            <w:tcW w:w="1074" w:type="dxa"/>
            <w:noWrap/>
            <w:vAlign w:val="center"/>
          </w:tcPr>
          <w:p>
            <w:pPr>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5</w:t>
            </w:r>
          </w:p>
        </w:tc>
        <w:tc>
          <w:tcPr>
            <w:tcW w:w="1421" w:type="dxa"/>
            <w:noWrap/>
            <w:vAlign w:val="center"/>
          </w:tcPr>
          <w:p>
            <w:pPr>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6</w:t>
            </w:r>
          </w:p>
        </w:tc>
        <w:tc>
          <w:tcPr>
            <w:tcW w:w="1421" w:type="dxa"/>
            <w:noWrap/>
            <w:vAlign w:val="center"/>
          </w:tcPr>
          <w:p>
            <w:pPr>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4" w:hRule="atLeast"/>
        </w:trPr>
        <w:tc>
          <w:tcPr>
            <w:tcW w:w="1059" w:type="dxa"/>
            <w:noWrap/>
            <w:vAlign w:val="center"/>
          </w:tcPr>
          <w:p>
            <w:pPr>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序号</w:t>
            </w:r>
          </w:p>
        </w:tc>
        <w:tc>
          <w:tcPr>
            <w:tcW w:w="1681" w:type="dxa"/>
            <w:noWrap/>
            <w:vAlign w:val="center"/>
          </w:tcPr>
          <w:p>
            <w:pPr>
              <w:jc w:val="center"/>
              <w:rPr>
                <w:rFonts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货物名称</w:t>
            </w:r>
          </w:p>
        </w:tc>
        <w:tc>
          <w:tcPr>
            <w:tcW w:w="1439" w:type="dxa"/>
            <w:noWrap/>
            <w:vAlign w:val="center"/>
          </w:tcPr>
          <w:p>
            <w:pPr>
              <w:jc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规格、型号</w:t>
            </w:r>
          </w:p>
        </w:tc>
        <w:tc>
          <w:tcPr>
            <w:tcW w:w="1065" w:type="dxa"/>
            <w:noWrap/>
            <w:vAlign w:val="center"/>
          </w:tcPr>
          <w:p>
            <w:pPr>
              <w:jc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单位</w:t>
            </w:r>
          </w:p>
        </w:tc>
        <w:tc>
          <w:tcPr>
            <w:tcW w:w="1074" w:type="dxa"/>
            <w:noWrap/>
            <w:vAlign w:val="center"/>
          </w:tcPr>
          <w:p>
            <w:pPr>
              <w:jc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数量</w:t>
            </w:r>
          </w:p>
        </w:tc>
        <w:tc>
          <w:tcPr>
            <w:tcW w:w="1421" w:type="dxa"/>
            <w:noWrap/>
            <w:vAlign w:val="center"/>
          </w:tcPr>
          <w:p>
            <w:pPr>
              <w:jc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单价</w:t>
            </w:r>
          </w:p>
        </w:tc>
        <w:tc>
          <w:tcPr>
            <w:tcW w:w="1421" w:type="dxa"/>
            <w:noWrap/>
            <w:vAlign w:val="center"/>
          </w:tcPr>
          <w:p>
            <w:pPr>
              <w:jc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4" w:hRule="atLeast"/>
        </w:trPr>
        <w:tc>
          <w:tcPr>
            <w:tcW w:w="1059" w:type="dxa"/>
            <w:noWrap/>
            <w:vAlign w:val="center"/>
          </w:tcPr>
          <w:p>
            <w:pPr>
              <w:rPr>
                <w:rFonts w:ascii="宋体" w:hAnsi="宋体" w:cs="宋体"/>
                <w:color w:val="000000" w:themeColor="text1"/>
                <w:sz w:val="24"/>
                <w:szCs w:val="24"/>
                <w14:textFill>
                  <w14:solidFill>
                    <w14:schemeClr w14:val="tx1"/>
                  </w14:solidFill>
                </w14:textFill>
              </w:rPr>
            </w:pPr>
          </w:p>
        </w:tc>
        <w:tc>
          <w:tcPr>
            <w:tcW w:w="1681" w:type="dxa"/>
            <w:noWrap/>
            <w:vAlign w:val="center"/>
          </w:tcPr>
          <w:p>
            <w:pPr>
              <w:rPr>
                <w:rFonts w:ascii="宋体" w:hAnsi="宋体" w:cs="宋体"/>
                <w:color w:val="000000" w:themeColor="text1"/>
                <w:sz w:val="24"/>
                <w:szCs w:val="24"/>
                <w14:textFill>
                  <w14:solidFill>
                    <w14:schemeClr w14:val="tx1"/>
                  </w14:solidFill>
                </w14:textFill>
              </w:rPr>
            </w:pPr>
          </w:p>
        </w:tc>
        <w:tc>
          <w:tcPr>
            <w:tcW w:w="1439" w:type="dxa"/>
            <w:noWrap/>
            <w:vAlign w:val="center"/>
          </w:tcPr>
          <w:p>
            <w:pPr>
              <w:rPr>
                <w:rFonts w:ascii="宋体" w:hAnsi="宋体" w:cs="宋体"/>
                <w:color w:val="000000" w:themeColor="text1"/>
                <w:sz w:val="24"/>
                <w:szCs w:val="24"/>
                <w14:textFill>
                  <w14:solidFill>
                    <w14:schemeClr w14:val="tx1"/>
                  </w14:solidFill>
                </w14:textFill>
              </w:rPr>
            </w:pPr>
          </w:p>
        </w:tc>
        <w:tc>
          <w:tcPr>
            <w:tcW w:w="1065" w:type="dxa"/>
            <w:noWrap/>
            <w:vAlign w:val="center"/>
          </w:tcPr>
          <w:p>
            <w:pPr>
              <w:rPr>
                <w:rFonts w:ascii="宋体" w:hAnsi="宋体" w:cs="宋体"/>
                <w:color w:val="000000" w:themeColor="text1"/>
                <w:sz w:val="24"/>
                <w:szCs w:val="24"/>
                <w14:textFill>
                  <w14:solidFill>
                    <w14:schemeClr w14:val="tx1"/>
                  </w14:solidFill>
                </w14:textFill>
              </w:rPr>
            </w:pPr>
          </w:p>
        </w:tc>
        <w:tc>
          <w:tcPr>
            <w:tcW w:w="1074" w:type="dxa"/>
            <w:noWrap/>
            <w:vAlign w:val="center"/>
          </w:tcPr>
          <w:p>
            <w:pPr>
              <w:rPr>
                <w:rFonts w:ascii="宋体" w:hAnsi="宋体" w:cs="宋体"/>
                <w:color w:val="000000" w:themeColor="text1"/>
                <w:sz w:val="24"/>
                <w:szCs w:val="24"/>
                <w14:textFill>
                  <w14:solidFill>
                    <w14:schemeClr w14:val="tx1"/>
                  </w14:solidFill>
                </w14:textFill>
              </w:rPr>
            </w:pPr>
          </w:p>
        </w:tc>
        <w:tc>
          <w:tcPr>
            <w:tcW w:w="1421" w:type="dxa"/>
            <w:noWrap/>
            <w:vAlign w:val="center"/>
          </w:tcPr>
          <w:p>
            <w:pPr>
              <w:rPr>
                <w:rFonts w:ascii="宋体" w:hAnsi="宋体" w:cs="宋体"/>
                <w:color w:val="000000" w:themeColor="text1"/>
                <w:sz w:val="24"/>
                <w:szCs w:val="24"/>
                <w14:textFill>
                  <w14:solidFill>
                    <w14:schemeClr w14:val="tx1"/>
                  </w14:solidFill>
                </w14:textFill>
              </w:rPr>
            </w:pPr>
          </w:p>
        </w:tc>
        <w:tc>
          <w:tcPr>
            <w:tcW w:w="1421" w:type="dxa"/>
            <w:noWrap/>
            <w:vAlign w:val="center"/>
          </w:tcPr>
          <w:p>
            <w:pPr>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4" w:hRule="atLeast"/>
        </w:trPr>
        <w:tc>
          <w:tcPr>
            <w:tcW w:w="1059" w:type="dxa"/>
            <w:noWrap/>
            <w:vAlign w:val="center"/>
          </w:tcPr>
          <w:p>
            <w:pPr>
              <w:rPr>
                <w:rFonts w:ascii="宋体" w:hAnsi="宋体" w:cs="宋体"/>
                <w:color w:val="000000" w:themeColor="text1"/>
                <w:sz w:val="24"/>
                <w:szCs w:val="24"/>
                <w14:textFill>
                  <w14:solidFill>
                    <w14:schemeClr w14:val="tx1"/>
                  </w14:solidFill>
                </w14:textFill>
              </w:rPr>
            </w:pPr>
          </w:p>
        </w:tc>
        <w:tc>
          <w:tcPr>
            <w:tcW w:w="1681" w:type="dxa"/>
            <w:noWrap/>
            <w:vAlign w:val="center"/>
          </w:tcPr>
          <w:p>
            <w:pPr>
              <w:rPr>
                <w:rFonts w:ascii="宋体" w:hAnsi="宋体" w:cs="宋体"/>
                <w:color w:val="000000" w:themeColor="text1"/>
                <w:sz w:val="24"/>
                <w:szCs w:val="24"/>
                <w14:textFill>
                  <w14:solidFill>
                    <w14:schemeClr w14:val="tx1"/>
                  </w14:solidFill>
                </w14:textFill>
              </w:rPr>
            </w:pPr>
          </w:p>
        </w:tc>
        <w:tc>
          <w:tcPr>
            <w:tcW w:w="1439" w:type="dxa"/>
            <w:noWrap/>
            <w:vAlign w:val="center"/>
          </w:tcPr>
          <w:p>
            <w:pPr>
              <w:rPr>
                <w:rFonts w:ascii="宋体" w:hAnsi="宋体" w:cs="宋体"/>
                <w:color w:val="000000" w:themeColor="text1"/>
                <w:sz w:val="24"/>
                <w:szCs w:val="24"/>
                <w14:textFill>
                  <w14:solidFill>
                    <w14:schemeClr w14:val="tx1"/>
                  </w14:solidFill>
                </w14:textFill>
              </w:rPr>
            </w:pPr>
          </w:p>
        </w:tc>
        <w:tc>
          <w:tcPr>
            <w:tcW w:w="1065" w:type="dxa"/>
            <w:noWrap/>
            <w:vAlign w:val="center"/>
          </w:tcPr>
          <w:p>
            <w:pPr>
              <w:rPr>
                <w:rFonts w:ascii="宋体" w:hAnsi="宋体" w:cs="宋体"/>
                <w:color w:val="000000" w:themeColor="text1"/>
                <w:sz w:val="24"/>
                <w:szCs w:val="24"/>
                <w14:textFill>
                  <w14:solidFill>
                    <w14:schemeClr w14:val="tx1"/>
                  </w14:solidFill>
                </w14:textFill>
              </w:rPr>
            </w:pPr>
          </w:p>
        </w:tc>
        <w:tc>
          <w:tcPr>
            <w:tcW w:w="1074" w:type="dxa"/>
            <w:noWrap/>
            <w:vAlign w:val="center"/>
          </w:tcPr>
          <w:p>
            <w:pPr>
              <w:rPr>
                <w:rFonts w:ascii="宋体" w:hAnsi="宋体" w:cs="宋体"/>
                <w:color w:val="000000" w:themeColor="text1"/>
                <w:sz w:val="24"/>
                <w:szCs w:val="24"/>
                <w14:textFill>
                  <w14:solidFill>
                    <w14:schemeClr w14:val="tx1"/>
                  </w14:solidFill>
                </w14:textFill>
              </w:rPr>
            </w:pPr>
          </w:p>
        </w:tc>
        <w:tc>
          <w:tcPr>
            <w:tcW w:w="1421" w:type="dxa"/>
            <w:noWrap/>
            <w:vAlign w:val="center"/>
          </w:tcPr>
          <w:p>
            <w:pPr>
              <w:rPr>
                <w:rFonts w:ascii="宋体" w:hAnsi="宋体" w:cs="宋体"/>
                <w:color w:val="000000" w:themeColor="text1"/>
                <w:sz w:val="24"/>
                <w:szCs w:val="24"/>
                <w14:textFill>
                  <w14:solidFill>
                    <w14:schemeClr w14:val="tx1"/>
                  </w14:solidFill>
                </w14:textFill>
              </w:rPr>
            </w:pPr>
          </w:p>
        </w:tc>
        <w:tc>
          <w:tcPr>
            <w:tcW w:w="1421" w:type="dxa"/>
            <w:noWrap/>
            <w:vAlign w:val="center"/>
          </w:tcPr>
          <w:p>
            <w:pPr>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4" w:hRule="atLeast"/>
        </w:trPr>
        <w:tc>
          <w:tcPr>
            <w:tcW w:w="1059" w:type="dxa"/>
            <w:noWrap/>
            <w:vAlign w:val="center"/>
          </w:tcPr>
          <w:p>
            <w:pPr>
              <w:rPr>
                <w:rFonts w:ascii="宋体" w:hAnsi="宋体" w:cs="宋体"/>
                <w:color w:val="000000" w:themeColor="text1"/>
                <w:sz w:val="24"/>
                <w:szCs w:val="24"/>
                <w14:textFill>
                  <w14:solidFill>
                    <w14:schemeClr w14:val="tx1"/>
                  </w14:solidFill>
                </w14:textFill>
              </w:rPr>
            </w:pPr>
          </w:p>
        </w:tc>
        <w:tc>
          <w:tcPr>
            <w:tcW w:w="1681" w:type="dxa"/>
            <w:noWrap/>
            <w:vAlign w:val="center"/>
          </w:tcPr>
          <w:p>
            <w:pPr>
              <w:rPr>
                <w:rFonts w:ascii="宋体" w:hAnsi="宋体" w:cs="宋体"/>
                <w:color w:val="000000" w:themeColor="text1"/>
                <w:sz w:val="24"/>
                <w:szCs w:val="24"/>
                <w14:textFill>
                  <w14:solidFill>
                    <w14:schemeClr w14:val="tx1"/>
                  </w14:solidFill>
                </w14:textFill>
              </w:rPr>
            </w:pPr>
          </w:p>
        </w:tc>
        <w:tc>
          <w:tcPr>
            <w:tcW w:w="1439" w:type="dxa"/>
            <w:noWrap/>
            <w:vAlign w:val="center"/>
          </w:tcPr>
          <w:p>
            <w:pPr>
              <w:rPr>
                <w:rFonts w:ascii="宋体" w:hAnsi="宋体" w:cs="宋体"/>
                <w:color w:val="000000" w:themeColor="text1"/>
                <w:sz w:val="24"/>
                <w:szCs w:val="24"/>
                <w14:textFill>
                  <w14:solidFill>
                    <w14:schemeClr w14:val="tx1"/>
                  </w14:solidFill>
                </w14:textFill>
              </w:rPr>
            </w:pPr>
          </w:p>
        </w:tc>
        <w:tc>
          <w:tcPr>
            <w:tcW w:w="1065" w:type="dxa"/>
            <w:noWrap/>
            <w:vAlign w:val="center"/>
          </w:tcPr>
          <w:p>
            <w:pPr>
              <w:rPr>
                <w:rFonts w:ascii="宋体" w:hAnsi="宋体" w:cs="宋体"/>
                <w:color w:val="000000" w:themeColor="text1"/>
                <w:sz w:val="24"/>
                <w:szCs w:val="24"/>
                <w14:textFill>
                  <w14:solidFill>
                    <w14:schemeClr w14:val="tx1"/>
                  </w14:solidFill>
                </w14:textFill>
              </w:rPr>
            </w:pPr>
          </w:p>
        </w:tc>
        <w:tc>
          <w:tcPr>
            <w:tcW w:w="1074" w:type="dxa"/>
            <w:noWrap/>
            <w:vAlign w:val="center"/>
          </w:tcPr>
          <w:p>
            <w:pPr>
              <w:rPr>
                <w:rFonts w:ascii="宋体" w:hAnsi="宋体" w:cs="宋体"/>
                <w:color w:val="000000" w:themeColor="text1"/>
                <w:sz w:val="24"/>
                <w:szCs w:val="24"/>
                <w14:textFill>
                  <w14:solidFill>
                    <w14:schemeClr w14:val="tx1"/>
                  </w14:solidFill>
                </w14:textFill>
              </w:rPr>
            </w:pPr>
          </w:p>
        </w:tc>
        <w:tc>
          <w:tcPr>
            <w:tcW w:w="1421" w:type="dxa"/>
            <w:noWrap/>
            <w:vAlign w:val="center"/>
          </w:tcPr>
          <w:p>
            <w:pPr>
              <w:rPr>
                <w:rFonts w:ascii="宋体" w:hAnsi="宋体" w:cs="宋体"/>
                <w:color w:val="000000" w:themeColor="text1"/>
                <w:sz w:val="24"/>
                <w:szCs w:val="24"/>
                <w14:textFill>
                  <w14:solidFill>
                    <w14:schemeClr w14:val="tx1"/>
                  </w14:solidFill>
                </w14:textFill>
              </w:rPr>
            </w:pPr>
          </w:p>
        </w:tc>
        <w:tc>
          <w:tcPr>
            <w:tcW w:w="1421" w:type="dxa"/>
            <w:noWrap/>
            <w:vAlign w:val="center"/>
          </w:tcPr>
          <w:p>
            <w:pPr>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7" w:hRule="atLeast"/>
        </w:trPr>
        <w:tc>
          <w:tcPr>
            <w:tcW w:w="1059" w:type="dxa"/>
            <w:noWrap/>
            <w:vAlign w:val="center"/>
          </w:tcPr>
          <w:p>
            <w:pPr>
              <w:rPr>
                <w:rFonts w:ascii="宋体" w:hAnsi="宋体" w:cs="宋体"/>
                <w:color w:val="000000" w:themeColor="text1"/>
                <w:sz w:val="24"/>
                <w:szCs w:val="24"/>
                <w14:textFill>
                  <w14:solidFill>
                    <w14:schemeClr w14:val="tx1"/>
                  </w14:solidFill>
                </w14:textFill>
              </w:rPr>
            </w:pPr>
          </w:p>
        </w:tc>
        <w:tc>
          <w:tcPr>
            <w:tcW w:w="1681" w:type="dxa"/>
            <w:noWrap/>
            <w:vAlign w:val="center"/>
          </w:tcPr>
          <w:p>
            <w:pPr>
              <w:rPr>
                <w:rFonts w:ascii="宋体" w:hAnsi="宋体" w:cs="宋体"/>
                <w:color w:val="000000" w:themeColor="text1"/>
                <w:sz w:val="24"/>
                <w:szCs w:val="24"/>
                <w14:textFill>
                  <w14:solidFill>
                    <w14:schemeClr w14:val="tx1"/>
                  </w14:solidFill>
                </w14:textFill>
              </w:rPr>
            </w:pPr>
          </w:p>
        </w:tc>
        <w:tc>
          <w:tcPr>
            <w:tcW w:w="1439" w:type="dxa"/>
            <w:noWrap/>
            <w:vAlign w:val="center"/>
          </w:tcPr>
          <w:p>
            <w:pPr>
              <w:rPr>
                <w:rFonts w:ascii="宋体" w:hAnsi="宋体" w:cs="宋体"/>
                <w:color w:val="000000" w:themeColor="text1"/>
                <w:sz w:val="24"/>
                <w:szCs w:val="24"/>
                <w14:textFill>
                  <w14:solidFill>
                    <w14:schemeClr w14:val="tx1"/>
                  </w14:solidFill>
                </w14:textFill>
              </w:rPr>
            </w:pPr>
          </w:p>
        </w:tc>
        <w:tc>
          <w:tcPr>
            <w:tcW w:w="1065" w:type="dxa"/>
            <w:noWrap/>
            <w:vAlign w:val="center"/>
          </w:tcPr>
          <w:p>
            <w:pPr>
              <w:rPr>
                <w:rFonts w:ascii="宋体" w:hAnsi="宋体" w:cs="宋体"/>
                <w:color w:val="000000" w:themeColor="text1"/>
                <w:sz w:val="24"/>
                <w:szCs w:val="24"/>
                <w14:textFill>
                  <w14:solidFill>
                    <w14:schemeClr w14:val="tx1"/>
                  </w14:solidFill>
                </w14:textFill>
              </w:rPr>
            </w:pPr>
          </w:p>
        </w:tc>
        <w:tc>
          <w:tcPr>
            <w:tcW w:w="1074" w:type="dxa"/>
            <w:noWrap/>
            <w:vAlign w:val="center"/>
          </w:tcPr>
          <w:p>
            <w:pPr>
              <w:rPr>
                <w:rFonts w:ascii="宋体" w:hAnsi="宋体" w:cs="宋体"/>
                <w:color w:val="000000" w:themeColor="text1"/>
                <w:sz w:val="24"/>
                <w:szCs w:val="24"/>
                <w14:textFill>
                  <w14:solidFill>
                    <w14:schemeClr w14:val="tx1"/>
                  </w14:solidFill>
                </w14:textFill>
              </w:rPr>
            </w:pPr>
          </w:p>
        </w:tc>
        <w:tc>
          <w:tcPr>
            <w:tcW w:w="1421" w:type="dxa"/>
            <w:noWrap/>
            <w:vAlign w:val="center"/>
          </w:tcPr>
          <w:p>
            <w:pPr>
              <w:rPr>
                <w:rFonts w:ascii="宋体" w:hAnsi="宋体" w:cs="宋体"/>
                <w:color w:val="000000" w:themeColor="text1"/>
                <w:sz w:val="24"/>
                <w:szCs w:val="24"/>
                <w14:textFill>
                  <w14:solidFill>
                    <w14:schemeClr w14:val="tx1"/>
                  </w14:solidFill>
                </w14:textFill>
              </w:rPr>
            </w:pPr>
          </w:p>
        </w:tc>
        <w:tc>
          <w:tcPr>
            <w:tcW w:w="1421" w:type="dxa"/>
            <w:noWrap/>
            <w:vAlign w:val="center"/>
          </w:tcPr>
          <w:p>
            <w:pPr>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7" w:hRule="atLeast"/>
        </w:trPr>
        <w:tc>
          <w:tcPr>
            <w:tcW w:w="1059" w:type="dxa"/>
            <w:noWrap/>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合计</w:t>
            </w:r>
          </w:p>
        </w:tc>
        <w:tc>
          <w:tcPr>
            <w:tcW w:w="8101" w:type="dxa"/>
            <w:gridSpan w:val="6"/>
            <w:noWrap/>
          </w:tcPr>
          <w:p>
            <w:pPr>
              <w:rPr>
                <w:rFonts w:ascii="宋体" w:hAnsi="宋体" w:cs="宋体"/>
                <w:color w:val="000000" w:themeColor="text1"/>
                <w:sz w:val="24"/>
                <w:szCs w:val="24"/>
                <w14:textFill>
                  <w14:solidFill>
                    <w14:schemeClr w14:val="tx1"/>
                  </w14:solidFill>
                </w14:textFill>
              </w:rPr>
            </w:pPr>
          </w:p>
        </w:tc>
      </w:tr>
    </w:tbl>
    <w:p>
      <w:pPr>
        <w:rPr>
          <w:color w:val="000000" w:themeColor="text1"/>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法定代表人或授权代表签字：</w:t>
      </w:r>
    </w:p>
    <w:p>
      <w:pP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注：1、按照基本技术要求详细填列。</w:t>
      </w:r>
    </w:p>
    <w:p>
      <w:pPr>
        <w:numPr>
          <w:ilvl w:val="0"/>
          <w:numId w:val="8"/>
        </w:numP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行数不够，可自行添加。</w:t>
      </w:r>
    </w:p>
    <w:p>
      <w:pPr>
        <w:spacing w:line="360" w:lineRule="auto"/>
        <w:ind w:firstLine="48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3、技术偏离表应针对项目需求逐条应答。</w:t>
      </w:r>
    </w:p>
    <w:p>
      <w:pPr>
        <w:rPr>
          <w:rFonts w:ascii="宋体" w:hAnsi="宋体" w:cs="宋体"/>
          <w:color w:val="000000" w:themeColor="text1"/>
          <w:sz w:val="24"/>
          <w:szCs w:val="24"/>
          <w14:textFill>
            <w14:solidFill>
              <w14:schemeClr w14:val="tx1"/>
            </w14:solidFill>
          </w14:textFill>
        </w:rPr>
      </w:pPr>
    </w:p>
    <w:p>
      <w:pPr>
        <w:jc w:val="center"/>
        <w:rPr>
          <w:rFonts w:ascii="宋体" w:hAnsi="宋体" w:cs="宋体"/>
          <w:b/>
          <w:color w:val="000000" w:themeColor="text1"/>
          <w:sz w:val="36"/>
          <w14:textFill>
            <w14:solidFill>
              <w14:schemeClr w14:val="tx1"/>
            </w14:solidFill>
          </w14:textFill>
        </w:rPr>
      </w:pPr>
    </w:p>
    <w:p>
      <w:pPr>
        <w:jc w:val="center"/>
        <w:rPr>
          <w:rFonts w:ascii="宋体" w:hAnsi="宋体" w:cs="宋体"/>
          <w:b/>
          <w:color w:val="000000" w:themeColor="text1"/>
          <w:sz w:val="36"/>
          <w14:textFill>
            <w14:solidFill>
              <w14:schemeClr w14:val="tx1"/>
            </w14:solidFill>
          </w14:textFill>
        </w:rPr>
      </w:pPr>
    </w:p>
    <w:p>
      <w:pPr>
        <w:jc w:val="center"/>
        <w:rPr>
          <w:rFonts w:ascii="宋体" w:hAnsi="宋体" w:cs="宋体"/>
          <w:b/>
          <w:color w:val="000000" w:themeColor="text1"/>
          <w:sz w:val="36"/>
          <w14:textFill>
            <w14:solidFill>
              <w14:schemeClr w14:val="tx1"/>
            </w14:solidFill>
          </w14:textFill>
        </w:rPr>
      </w:pPr>
    </w:p>
    <w:bookmarkEnd w:id="242"/>
    <w:p>
      <w:pPr>
        <w:snapToGrid w:val="0"/>
        <w:spacing w:before="50" w:after="50"/>
        <w:jc w:val="center"/>
        <w:rPr>
          <w:rFonts w:ascii="宋体" w:hAnsi="宋体" w:cs="宋体"/>
          <w:color w:val="000000" w:themeColor="text1"/>
          <w:sz w:val="32"/>
          <w:szCs w:val="32"/>
          <w14:textFill>
            <w14:solidFill>
              <w14:schemeClr w14:val="tx1"/>
            </w14:solidFill>
          </w14:textFill>
        </w:rPr>
      </w:pPr>
      <w:bookmarkStart w:id="246" w:name="_Hlt26955054"/>
      <w:bookmarkEnd w:id="246"/>
    </w:p>
    <w:p>
      <w:pPr>
        <w:snapToGrid w:val="0"/>
        <w:spacing w:before="50" w:after="50"/>
        <w:jc w:val="center"/>
        <w:rPr>
          <w:rFonts w:ascii="宋体" w:hAnsi="宋体" w:cs="宋体"/>
          <w:color w:val="000000" w:themeColor="text1"/>
          <w:sz w:val="32"/>
          <w:szCs w:val="32"/>
          <w14:textFill>
            <w14:solidFill>
              <w14:schemeClr w14:val="tx1"/>
            </w14:solidFill>
          </w14:textFill>
        </w:rPr>
      </w:pPr>
    </w:p>
    <w:p>
      <w:pPr>
        <w:snapToGrid w:val="0"/>
        <w:spacing w:before="50" w:after="50"/>
        <w:jc w:val="center"/>
        <w:rPr>
          <w:rFonts w:ascii="宋体" w:hAnsi="宋体" w:cs="宋体"/>
          <w:color w:val="000000" w:themeColor="text1"/>
          <w:sz w:val="32"/>
          <w:szCs w:val="32"/>
          <w14:textFill>
            <w14:solidFill>
              <w14:schemeClr w14:val="tx1"/>
            </w14:solidFill>
          </w14:textFill>
        </w:rPr>
      </w:pPr>
    </w:p>
    <w:p>
      <w:pPr>
        <w:snapToGrid w:val="0"/>
        <w:spacing w:before="50" w:after="50"/>
        <w:jc w:val="center"/>
        <w:rPr>
          <w:rFonts w:ascii="宋体" w:hAnsi="宋体" w:cs="宋体"/>
          <w:color w:val="000000" w:themeColor="text1"/>
          <w:sz w:val="32"/>
          <w:szCs w:val="32"/>
          <w14:textFill>
            <w14:solidFill>
              <w14:schemeClr w14:val="tx1"/>
            </w14:solidFill>
          </w14:textFill>
        </w:rPr>
      </w:pPr>
    </w:p>
    <w:p>
      <w:pPr>
        <w:snapToGrid w:val="0"/>
        <w:spacing w:before="50" w:after="50"/>
        <w:jc w:val="center"/>
        <w:outlineLvl w:val="0"/>
        <w:rPr>
          <w:rFonts w:ascii="宋体" w:hAnsi="宋体" w:cs="宋体"/>
          <w:color w:val="000000" w:themeColor="text1"/>
          <w:sz w:val="32"/>
          <w:szCs w:val="32"/>
          <w14:textFill>
            <w14:solidFill>
              <w14:schemeClr w14:val="tx1"/>
            </w14:solidFill>
          </w14:textFill>
        </w:rPr>
      </w:pPr>
      <w:bookmarkStart w:id="247" w:name="_Toc32725"/>
      <w:r>
        <w:rPr>
          <w:rFonts w:hint="eastAsia" w:ascii="宋体" w:hAnsi="宋体" w:cs="宋体"/>
          <w:color w:val="000000" w:themeColor="text1"/>
          <w:sz w:val="32"/>
          <w:szCs w:val="32"/>
          <w14:textFill>
            <w14:solidFill>
              <w14:schemeClr w14:val="tx1"/>
            </w14:solidFill>
          </w14:textFill>
        </w:rPr>
        <w:t>七、技术参数响应及偏离表（如有）</w:t>
      </w:r>
      <w:bookmarkEnd w:id="247"/>
    </w:p>
    <w:p>
      <w:pPr>
        <w:jc w:val="center"/>
        <w:rPr>
          <w:rFonts w:ascii="宋体" w:hAnsi="宋体" w:cs="宋体"/>
          <w:color w:val="000000" w:themeColor="text1"/>
          <w:sz w:val="24"/>
          <w:szCs w:val="24"/>
          <w14:textFill>
            <w14:solidFill>
              <w14:schemeClr w14:val="tx1"/>
            </w14:solidFill>
          </w14:textFill>
        </w:rPr>
      </w:pPr>
    </w:p>
    <w:p>
      <w:pP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投标人全称（加盖公章）：       </w:t>
      </w:r>
    </w:p>
    <w:tbl>
      <w:tblPr>
        <w:tblStyle w:val="45"/>
        <w:tblW w:w="91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4"/>
        <w:gridCol w:w="2852"/>
        <w:gridCol w:w="2852"/>
        <w:gridCol w:w="1308"/>
        <w:gridCol w:w="1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4" w:type="dxa"/>
            <w:noWrap/>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序号</w:t>
            </w:r>
          </w:p>
        </w:tc>
        <w:tc>
          <w:tcPr>
            <w:tcW w:w="2852" w:type="dxa"/>
            <w:noWrap/>
            <w:vAlign w:val="center"/>
          </w:tcPr>
          <w:p>
            <w:pP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招标要求</w:t>
            </w:r>
          </w:p>
        </w:tc>
        <w:tc>
          <w:tcPr>
            <w:tcW w:w="2852" w:type="dxa"/>
            <w:noWrap/>
            <w:vAlign w:val="center"/>
          </w:tcPr>
          <w:p>
            <w:pP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投标响应</w:t>
            </w:r>
          </w:p>
        </w:tc>
        <w:tc>
          <w:tcPr>
            <w:tcW w:w="1308" w:type="dxa"/>
            <w:noWrap/>
            <w:vAlign w:val="center"/>
          </w:tcPr>
          <w:p>
            <w:pP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超出、符合或偏离</w:t>
            </w:r>
          </w:p>
        </w:tc>
        <w:tc>
          <w:tcPr>
            <w:tcW w:w="1173" w:type="dxa"/>
            <w:noWrap/>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pPr>
              <w:jc w:val="center"/>
              <w:rPr>
                <w:rFonts w:ascii="宋体" w:hAnsi="宋体" w:cs="宋体"/>
                <w:color w:val="000000" w:themeColor="text1"/>
                <w:sz w:val="24"/>
                <w:szCs w:val="24"/>
                <w14:textFill>
                  <w14:solidFill>
                    <w14:schemeClr w14:val="tx1"/>
                  </w14:solidFill>
                </w14:textFill>
              </w:rPr>
            </w:pPr>
          </w:p>
        </w:tc>
        <w:tc>
          <w:tcPr>
            <w:tcW w:w="2852" w:type="dxa"/>
            <w:noWrap/>
          </w:tcPr>
          <w:p>
            <w:pPr>
              <w:jc w:val="center"/>
              <w:rPr>
                <w:rFonts w:ascii="宋体" w:hAnsi="宋体" w:cs="宋体"/>
                <w:color w:val="000000" w:themeColor="text1"/>
                <w:sz w:val="24"/>
                <w:szCs w:val="24"/>
                <w14:textFill>
                  <w14:solidFill>
                    <w14:schemeClr w14:val="tx1"/>
                  </w14:solidFill>
                </w14:textFill>
              </w:rPr>
            </w:pPr>
          </w:p>
        </w:tc>
        <w:tc>
          <w:tcPr>
            <w:tcW w:w="2852" w:type="dxa"/>
            <w:noWrap/>
          </w:tcPr>
          <w:p>
            <w:pPr>
              <w:jc w:val="center"/>
              <w:rPr>
                <w:rFonts w:ascii="宋体" w:hAnsi="宋体" w:cs="宋体"/>
                <w:color w:val="000000" w:themeColor="text1"/>
                <w:sz w:val="24"/>
                <w:szCs w:val="24"/>
                <w14:textFill>
                  <w14:solidFill>
                    <w14:schemeClr w14:val="tx1"/>
                  </w14:solidFill>
                </w14:textFill>
              </w:rPr>
            </w:pPr>
          </w:p>
        </w:tc>
        <w:tc>
          <w:tcPr>
            <w:tcW w:w="1308" w:type="dxa"/>
            <w:noWrap/>
          </w:tcPr>
          <w:p>
            <w:pPr>
              <w:jc w:val="center"/>
              <w:rPr>
                <w:rFonts w:ascii="宋体" w:hAnsi="宋体" w:cs="宋体"/>
                <w:color w:val="000000" w:themeColor="text1"/>
                <w:sz w:val="24"/>
                <w:szCs w:val="24"/>
                <w14:textFill>
                  <w14:solidFill>
                    <w14:schemeClr w14:val="tx1"/>
                  </w14:solidFill>
                </w14:textFill>
              </w:rPr>
            </w:pPr>
          </w:p>
        </w:tc>
        <w:tc>
          <w:tcPr>
            <w:tcW w:w="1173" w:type="dxa"/>
            <w:noWrap/>
          </w:tcPr>
          <w:p>
            <w:pPr>
              <w:jc w:val="center"/>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pPr>
              <w:jc w:val="center"/>
              <w:rPr>
                <w:rFonts w:ascii="宋体" w:hAnsi="宋体" w:cs="宋体"/>
                <w:color w:val="000000" w:themeColor="text1"/>
                <w:sz w:val="24"/>
                <w:szCs w:val="24"/>
                <w14:textFill>
                  <w14:solidFill>
                    <w14:schemeClr w14:val="tx1"/>
                  </w14:solidFill>
                </w14:textFill>
              </w:rPr>
            </w:pPr>
          </w:p>
        </w:tc>
        <w:tc>
          <w:tcPr>
            <w:tcW w:w="2852" w:type="dxa"/>
            <w:noWrap/>
          </w:tcPr>
          <w:p>
            <w:pPr>
              <w:jc w:val="center"/>
              <w:rPr>
                <w:rFonts w:ascii="宋体" w:hAnsi="宋体" w:cs="宋体"/>
                <w:color w:val="000000" w:themeColor="text1"/>
                <w:sz w:val="24"/>
                <w:szCs w:val="24"/>
                <w14:textFill>
                  <w14:solidFill>
                    <w14:schemeClr w14:val="tx1"/>
                  </w14:solidFill>
                </w14:textFill>
              </w:rPr>
            </w:pPr>
          </w:p>
        </w:tc>
        <w:tc>
          <w:tcPr>
            <w:tcW w:w="2852" w:type="dxa"/>
            <w:noWrap/>
          </w:tcPr>
          <w:p>
            <w:pPr>
              <w:jc w:val="center"/>
              <w:rPr>
                <w:rFonts w:ascii="宋体" w:hAnsi="宋体" w:cs="宋体"/>
                <w:color w:val="000000" w:themeColor="text1"/>
                <w:sz w:val="24"/>
                <w:szCs w:val="24"/>
                <w14:textFill>
                  <w14:solidFill>
                    <w14:schemeClr w14:val="tx1"/>
                  </w14:solidFill>
                </w14:textFill>
              </w:rPr>
            </w:pPr>
          </w:p>
        </w:tc>
        <w:tc>
          <w:tcPr>
            <w:tcW w:w="1308" w:type="dxa"/>
            <w:noWrap/>
          </w:tcPr>
          <w:p>
            <w:pPr>
              <w:jc w:val="center"/>
              <w:rPr>
                <w:rFonts w:ascii="宋体" w:hAnsi="宋体" w:cs="宋体"/>
                <w:color w:val="000000" w:themeColor="text1"/>
                <w:sz w:val="24"/>
                <w:szCs w:val="24"/>
                <w14:textFill>
                  <w14:solidFill>
                    <w14:schemeClr w14:val="tx1"/>
                  </w14:solidFill>
                </w14:textFill>
              </w:rPr>
            </w:pPr>
          </w:p>
        </w:tc>
        <w:tc>
          <w:tcPr>
            <w:tcW w:w="1173" w:type="dxa"/>
            <w:noWrap/>
          </w:tcPr>
          <w:p>
            <w:pPr>
              <w:jc w:val="center"/>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pPr>
              <w:jc w:val="center"/>
              <w:rPr>
                <w:rFonts w:ascii="宋体" w:hAnsi="宋体" w:cs="宋体"/>
                <w:color w:val="000000" w:themeColor="text1"/>
                <w:sz w:val="24"/>
                <w:szCs w:val="24"/>
                <w14:textFill>
                  <w14:solidFill>
                    <w14:schemeClr w14:val="tx1"/>
                  </w14:solidFill>
                </w14:textFill>
              </w:rPr>
            </w:pPr>
          </w:p>
        </w:tc>
        <w:tc>
          <w:tcPr>
            <w:tcW w:w="2852" w:type="dxa"/>
            <w:noWrap/>
          </w:tcPr>
          <w:p>
            <w:pPr>
              <w:jc w:val="center"/>
              <w:rPr>
                <w:rFonts w:ascii="宋体" w:hAnsi="宋体" w:cs="宋体"/>
                <w:color w:val="000000" w:themeColor="text1"/>
                <w:sz w:val="24"/>
                <w:szCs w:val="24"/>
                <w14:textFill>
                  <w14:solidFill>
                    <w14:schemeClr w14:val="tx1"/>
                  </w14:solidFill>
                </w14:textFill>
              </w:rPr>
            </w:pPr>
          </w:p>
        </w:tc>
        <w:tc>
          <w:tcPr>
            <w:tcW w:w="2852" w:type="dxa"/>
            <w:noWrap/>
          </w:tcPr>
          <w:p>
            <w:pPr>
              <w:jc w:val="center"/>
              <w:rPr>
                <w:rFonts w:ascii="宋体" w:hAnsi="宋体" w:cs="宋体"/>
                <w:color w:val="000000" w:themeColor="text1"/>
                <w:sz w:val="24"/>
                <w:szCs w:val="24"/>
                <w14:textFill>
                  <w14:solidFill>
                    <w14:schemeClr w14:val="tx1"/>
                  </w14:solidFill>
                </w14:textFill>
              </w:rPr>
            </w:pPr>
          </w:p>
        </w:tc>
        <w:tc>
          <w:tcPr>
            <w:tcW w:w="1308" w:type="dxa"/>
            <w:noWrap/>
          </w:tcPr>
          <w:p>
            <w:pPr>
              <w:jc w:val="center"/>
              <w:rPr>
                <w:rFonts w:ascii="宋体" w:hAnsi="宋体" w:cs="宋体"/>
                <w:color w:val="000000" w:themeColor="text1"/>
                <w:sz w:val="24"/>
                <w:szCs w:val="24"/>
                <w14:textFill>
                  <w14:solidFill>
                    <w14:schemeClr w14:val="tx1"/>
                  </w14:solidFill>
                </w14:textFill>
              </w:rPr>
            </w:pPr>
          </w:p>
        </w:tc>
        <w:tc>
          <w:tcPr>
            <w:tcW w:w="1173" w:type="dxa"/>
            <w:noWrap/>
          </w:tcPr>
          <w:p>
            <w:pPr>
              <w:jc w:val="center"/>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pPr>
              <w:jc w:val="center"/>
              <w:rPr>
                <w:rFonts w:ascii="宋体" w:hAnsi="宋体" w:cs="宋体"/>
                <w:color w:val="000000" w:themeColor="text1"/>
                <w:sz w:val="24"/>
                <w:szCs w:val="24"/>
                <w14:textFill>
                  <w14:solidFill>
                    <w14:schemeClr w14:val="tx1"/>
                  </w14:solidFill>
                </w14:textFill>
              </w:rPr>
            </w:pPr>
          </w:p>
        </w:tc>
        <w:tc>
          <w:tcPr>
            <w:tcW w:w="2852" w:type="dxa"/>
            <w:noWrap/>
          </w:tcPr>
          <w:p>
            <w:pPr>
              <w:jc w:val="center"/>
              <w:rPr>
                <w:rFonts w:ascii="宋体" w:hAnsi="宋体" w:cs="宋体"/>
                <w:color w:val="000000" w:themeColor="text1"/>
                <w:sz w:val="24"/>
                <w:szCs w:val="24"/>
                <w14:textFill>
                  <w14:solidFill>
                    <w14:schemeClr w14:val="tx1"/>
                  </w14:solidFill>
                </w14:textFill>
              </w:rPr>
            </w:pPr>
          </w:p>
        </w:tc>
        <w:tc>
          <w:tcPr>
            <w:tcW w:w="2852" w:type="dxa"/>
            <w:noWrap/>
          </w:tcPr>
          <w:p>
            <w:pPr>
              <w:jc w:val="center"/>
              <w:rPr>
                <w:rFonts w:ascii="宋体" w:hAnsi="宋体" w:cs="宋体"/>
                <w:color w:val="000000" w:themeColor="text1"/>
                <w:sz w:val="24"/>
                <w:szCs w:val="24"/>
                <w14:textFill>
                  <w14:solidFill>
                    <w14:schemeClr w14:val="tx1"/>
                  </w14:solidFill>
                </w14:textFill>
              </w:rPr>
            </w:pPr>
          </w:p>
        </w:tc>
        <w:tc>
          <w:tcPr>
            <w:tcW w:w="1308" w:type="dxa"/>
            <w:noWrap/>
          </w:tcPr>
          <w:p>
            <w:pPr>
              <w:jc w:val="center"/>
              <w:rPr>
                <w:rFonts w:ascii="宋体" w:hAnsi="宋体" w:cs="宋体"/>
                <w:color w:val="000000" w:themeColor="text1"/>
                <w:sz w:val="24"/>
                <w:szCs w:val="24"/>
                <w14:textFill>
                  <w14:solidFill>
                    <w14:schemeClr w14:val="tx1"/>
                  </w14:solidFill>
                </w14:textFill>
              </w:rPr>
            </w:pPr>
          </w:p>
        </w:tc>
        <w:tc>
          <w:tcPr>
            <w:tcW w:w="1173" w:type="dxa"/>
            <w:noWrap/>
          </w:tcPr>
          <w:p>
            <w:pPr>
              <w:jc w:val="center"/>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pPr>
              <w:jc w:val="center"/>
              <w:rPr>
                <w:rFonts w:ascii="宋体" w:hAnsi="宋体" w:cs="宋体"/>
                <w:color w:val="000000" w:themeColor="text1"/>
                <w:sz w:val="24"/>
                <w:szCs w:val="24"/>
                <w14:textFill>
                  <w14:solidFill>
                    <w14:schemeClr w14:val="tx1"/>
                  </w14:solidFill>
                </w14:textFill>
              </w:rPr>
            </w:pPr>
          </w:p>
        </w:tc>
        <w:tc>
          <w:tcPr>
            <w:tcW w:w="2852" w:type="dxa"/>
            <w:noWrap/>
          </w:tcPr>
          <w:p>
            <w:pPr>
              <w:jc w:val="center"/>
              <w:rPr>
                <w:rFonts w:ascii="宋体" w:hAnsi="宋体" w:cs="宋体"/>
                <w:color w:val="000000" w:themeColor="text1"/>
                <w:sz w:val="24"/>
                <w:szCs w:val="24"/>
                <w14:textFill>
                  <w14:solidFill>
                    <w14:schemeClr w14:val="tx1"/>
                  </w14:solidFill>
                </w14:textFill>
              </w:rPr>
            </w:pPr>
          </w:p>
        </w:tc>
        <w:tc>
          <w:tcPr>
            <w:tcW w:w="2852" w:type="dxa"/>
            <w:noWrap/>
          </w:tcPr>
          <w:p>
            <w:pPr>
              <w:jc w:val="center"/>
              <w:rPr>
                <w:rFonts w:ascii="宋体" w:hAnsi="宋体" w:cs="宋体"/>
                <w:color w:val="000000" w:themeColor="text1"/>
                <w:sz w:val="24"/>
                <w:szCs w:val="24"/>
                <w14:textFill>
                  <w14:solidFill>
                    <w14:schemeClr w14:val="tx1"/>
                  </w14:solidFill>
                </w14:textFill>
              </w:rPr>
            </w:pPr>
          </w:p>
        </w:tc>
        <w:tc>
          <w:tcPr>
            <w:tcW w:w="1308" w:type="dxa"/>
            <w:noWrap/>
          </w:tcPr>
          <w:p>
            <w:pPr>
              <w:jc w:val="center"/>
              <w:rPr>
                <w:rFonts w:ascii="宋体" w:hAnsi="宋体" w:cs="宋体"/>
                <w:color w:val="000000" w:themeColor="text1"/>
                <w:sz w:val="24"/>
                <w:szCs w:val="24"/>
                <w14:textFill>
                  <w14:solidFill>
                    <w14:schemeClr w14:val="tx1"/>
                  </w14:solidFill>
                </w14:textFill>
              </w:rPr>
            </w:pPr>
          </w:p>
        </w:tc>
        <w:tc>
          <w:tcPr>
            <w:tcW w:w="1173" w:type="dxa"/>
            <w:noWrap/>
          </w:tcPr>
          <w:p>
            <w:pPr>
              <w:jc w:val="center"/>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pPr>
              <w:jc w:val="center"/>
              <w:rPr>
                <w:rFonts w:ascii="宋体" w:hAnsi="宋体" w:cs="宋体"/>
                <w:color w:val="000000" w:themeColor="text1"/>
                <w:sz w:val="24"/>
                <w:szCs w:val="24"/>
                <w14:textFill>
                  <w14:solidFill>
                    <w14:schemeClr w14:val="tx1"/>
                  </w14:solidFill>
                </w14:textFill>
              </w:rPr>
            </w:pPr>
          </w:p>
        </w:tc>
        <w:tc>
          <w:tcPr>
            <w:tcW w:w="2852" w:type="dxa"/>
            <w:noWrap/>
          </w:tcPr>
          <w:p>
            <w:pPr>
              <w:jc w:val="center"/>
              <w:rPr>
                <w:rFonts w:ascii="宋体" w:hAnsi="宋体" w:cs="宋体"/>
                <w:color w:val="000000" w:themeColor="text1"/>
                <w:sz w:val="24"/>
                <w:szCs w:val="24"/>
                <w14:textFill>
                  <w14:solidFill>
                    <w14:schemeClr w14:val="tx1"/>
                  </w14:solidFill>
                </w14:textFill>
              </w:rPr>
            </w:pPr>
          </w:p>
        </w:tc>
        <w:tc>
          <w:tcPr>
            <w:tcW w:w="2852" w:type="dxa"/>
            <w:noWrap/>
          </w:tcPr>
          <w:p>
            <w:pPr>
              <w:jc w:val="center"/>
              <w:rPr>
                <w:rFonts w:ascii="宋体" w:hAnsi="宋体" w:cs="宋体"/>
                <w:color w:val="000000" w:themeColor="text1"/>
                <w:sz w:val="24"/>
                <w:szCs w:val="24"/>
                <w14:textFill>
                  <w14:solidFill>
                    <w14:schemeClr w14:val="tx1"/>
                  </w14:solidFill>
                </w14:textFill>
              </w:rPr>
            </w:pPr>
          </w:p>
        </w:tc>
        <w:tc>
          <w:tcPr>
            <w:tcW w:w="1308" w:type="dxa"/>
            <w:noWrap/>
          </w:tcPr>
          <w:p>
            <w:pPr>
              <w:jc w:val="center"/>
              <w:rPr>
                <w:rFonts w:ascii="宋体" w:hAnsi="宋体" w:cs="宋体"/>
                <w:color w:val="000000" w:themeColor="text1"/>
                <w:sz w:val="24"/>
                <w:szCs w:val="24"/>
                <w14:textFill>
                  <w14:solidFill>
                    <w14:schemeClr w14:val="tx1"/>
                  </w14:solidFill>
                </w14:textFill>
              </w:rPr>
            </w:pPr>
          </w:p>
        </w:tc>
        <w:tc>
          <w:tcPr>
            <w:tcW w:w="1173" w:type="dxa"/>
            <w:noWrap/>
          </w:tcPr>
          <w:p>
            <w:pPr>
              <w:jc w:val="center"/>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pPr>
              <w:jc w:val="center"/>
              <w:rPr>
                <w:rFonts w:ascii="宋体" w:hAnsi="宋体" w:cs="宋体"/>
                <w:color w:val="000000" w:themeColor="text1"/>
                <w:sz w:val="24"/>
                <w:szCs w:val="24"/>
                <w14:textFill>
                  <w14:solidFill>
                    <w14:schemeClr w14:val="tx1"/>
                  </w14:solidFill>
                </w14:textFill>
              </w:rPr>
            </w:pPr>
          </w:p>
        </w:tc>
        <w:tc>
          <w:tcPr>
            <w:tcW w:w="2852" w:type="dxa"/>
            <w:noWrap/>
          </w:tcPr>
          <w:p>
            <w:pPr>
              <w:jc w:val="center"/>
              <w:rPr>
                <w:rFonts w:ascii="宋体" w:hAnsi="宋体" w:cs="宋体"/>
                <w:color w:val="000000" w:themeColor="text1"/>
                <w:sz w:val="24"/>
                <w:szCs w:val="24"/>
                <w14:textFill>
                  <w14:solidFill>
                    <w14:schemeClr w14:val="tx1"/>
                  </w14:solidFill>
                </w14:textFill>
              </w:rPr>
            </w:pPr>
          </w:p>
        </w:tc>
        <w:tc>
          <w:tcPr>
            <w:tcW w:w="2852" w:type="dxa"/>
            <w:noWrap/>
          </w:tcPr>
          <w:p>
            <w:pPr>
              <w:jc w:val="center"/>
              <w:rPr>
                <w:rFonts w:ascii="宋体" w:hAnsi="宋体" w:cs="宋体"/>
                <w:color w:val="000000" w:themeColor="text1"/>
                <w:sz w:val="24"/>
                <w:szCs w:val="24"/>
                <w14:textFill>
                  <w14:solidFill>
                    <w14:schemeClr w14:val="tx1"/>
                  </w14:solidFill>
                </w14:textFill>
              </w:rPr>
            </w:pPr>
          </w:p>
        </w:tc>
        <w:tc>
          <w:tcPr>
            <w:tcW w:w="1308" w:type="dxa"/>
            <w:noWrap/>
          </w:tcPr>
          <w:p>
            <w:pPr>
              <w:jc w:val="center"/>
              <w:rPr>
                <w:rFonts w:ascii="宋体" w:hAnsi="宋体" w:cs="宋体"/>
                <w:color w:val="000000" w:themeColor="text1"/>
                <w:sz w:val="24"/>
                <w:szCs w:val="24"/>
                <w14:textFill>
                  <w14:solidFill>
                    <w14:schemeClr w14:val="tx1"/>
                  </w14:solidFill>
                </w14:textFill>
              </w:rPr>
            </w:pPr>
          </w:p>
        </w:tc>
        <w:tc>
          <w:tcPr>
            <w:tcW w:w="1173" w:type="dxa"/>
            <w:noWrap/>
          </w:tcPr>
          <w:p>
            <w:pPr>
              <w:jc w:val="center"/>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pPr>
              <w:jc w:val="center"/>
              <w:rPr>
                <w:rFonts w:ascii="宋体" w:hAnsi="宋体" w:cs="宋体"/>
                <w:color w:val="000000" w:themeColor="text1"/>
                <w:sz w:val="24"/>
                <w:szCs w:val="24"/>
                <w14:textFill>
                  <w14:solidFill>
                    <w14:schemeClr w14:val="tx1"/>
                  </w14:solidFill>
                </w14:textFill>
              </w:rPr>
            </w:pPr>
          </w:p>
        </w:tc>
        <w:tc>
          <w:tcPr>
            <w:tcW w:w="2852" w:type="dxa"/>
            <w:noWrap/>
          </w:tcPr>
          <w:p>
            <w:pPr>
              <w:jc w:val="center"/>
              <w:rPr>
                <w:rFonts w:ascii="宋体" w:hAnsi="宋体" w:cs="宋体"/>
                <w:color w:val="000000" w:themeColor="text1"/>
                <w:sz w:val="24"/>
                <w:szCs w:val="24"/>
                <w14:textFill>
                  <w14:solidFill>
                    <w14:schemeClr w14:val="tx1"/>
                  </w14:solidFill>
                </w14:textFill>
              </w:rPr>
            </w:pPr>
          </w:p>
        </w:tc>
        <w:tc>
          <w:tcPr>
            <w:tcW w:w="2852" w:type="dxa"/>
            <w:noWrap/>
          </w:tcPr>
          <w:p>
            <w:pPr>
              <w:jc w:val="center"/>
              <w:rPr>
                <w:rFonts w:ascii="宋体" w:hAnsi="宋体" w:cs="宋体"/>
                <w:color w:val="000000" w:themeColor="text1"/>
                <w:sz w:val="24"/>
                <w:szCs w:val="24"/>
                <w14:textFill>
                  <w14:solidFill>
                    <w14:schemeClr w14:val="tx1"/>
                  </w14:solidFill>
                </w14:textFill>
              </w:rPr>
            </w:pPr>
          </w:p>
        </w:tc>
        <w:tc>
          <w:tcPr>
            <w:tcW w:w="1308" w:type="dxa"/>
            <w:noWrap/>
          </w:tcPr>
          <w:p>
            <w:pPr>
              <w:jc w:val="center"/>
              <w:rPr>
                <w:rFonts w:ascii="宋体" w:hAnsi="宋体" w:cs="宋体"/>
                <w:color w:val="000000" w:themeColor="text1"/>
                <w:sz w:val="24"/>
                <w:szCs w:val="24"/>
                <w14:textFill>
                  <w14:solidFill>
                    <w14:schemeClr w14:val="tx1"/>
                  </w14:solidFill>
                </w14:textFill>
              </w:rPr>
            </w:pPr>
          </w:p>
        </w:tc>
        <w:tc>
          <w:tcPr>
            <w:tcW w:w="1173" w:type="dxa"/>
            <w:noWrap/>
          </w:tcPr>
          <w:p>
            <w:pPr>
              <w:jc w:val="center"/>
              <w:rPr>
                <w:rFonts w:ascii="宋体" w:hAnsi="宋体" w:cs="宋体"/>
                <w:color w:val="000000" w:themeColor="text1"/>
                <w:sz w:val="24"/>
                <w:szCs w:val="24"/>
                <w14:textFill>
                  <w14:solidFill>
                    <w14:schemeClr w14:val="tx1"/>
                  </w14:solidFill>
                </w14:textFill>
              </w:rPr>
            </w:pPr>
          </w:p>
        </w:tc>
      </w:tr>
    </w:tbl>
    <w:p>
      <w:pP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法定代表人或授权代表签字：</w:t>
      </w:r>
    </w:p>
    <w:p>
      <w:pPr>
        <w:rPr>
          <w:rFonts w:ascii="宋体" w:hAnsi="宋体" w:cs="宋体"/>
          <w:color w:val="000000" w:themeColor="text1"/>
          <w:sz w:val="24"/>
          <w:szCs w:val="24"/>
          <w14:textFill>
            <w14:solidFill>
              <w14:schemeClr w14:val="tx1"/>
            </w14:solidFill>
          </w14:textFill>
        </w:rPr>
      </w:pPr>
    </w:p>
    <w:p>
      <w:pPr>
        <w:rPr>
          <w:rFonts w:ascii="宋体" w:hAnsi="宋体" w:cs="宋体"/>
          <w:color w:val="000000" w:themeColor="text1"/>
          <w:sz w:val="24"/>
          <w:szCs w:val="24"/>
          <w14:textFill>
            <w14:solidFill>
              <w14:schemeClr w14:val="tx1"/>
            </w14:solidFill>
          </w14:textFill>
        </w:rPr>
      </w:pPr>
    </w:p>
    <w:p>
      <w:pP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注：1、按照基本技术要求详细填列。</w:t>
      </w:r>
    </w:p>
    <w:p>
      <w:pPr>
        <w:numPr>
          <w:ilvl w:val="0"/>
          <w:numId w:val="8"/>
        </w:numP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行数不够，可自行添加。</w:t>
      </w:r>
    </w:p>
    <w:p>
      <w:pPr>
        <w:spacing w:line="360" w:lineRule="auto"/>
        <w:ind w:firstLine="48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3、技术偏离表应针对项目需求逐条应答。</w:t>
      </w:r>
    </w:p>
    <w:p>
      <w:pPr>
        <w:rPr>
          <w:rFonts w:ascii="宋体" w:hAnsi="宋体" w:cs="宋体"/>
          <w:color w:val="000000" w:themeColor="text1"/>
          <w:sz w:val="24"/>
          <w:szCs w:val="24"/>
          <w14:textFill>
            <w14:solidFill>
              <w14:schemeClr w14:val="tx1"/>
            </w14:solidFill>
          </w14:textFill>
        </w:rPr>
      </w:pPr>
    </w:p>
    <w:p>
      <w:pPr>
        <w:jc w:val="center"/>
        <w:rPr>
          <w:rFonts w:ascii="宋体" w:hAnsi="宋体" w:cs="宋体"/>
          <w:b/>
          <w:color w:val="000000" w:themeColor="text1"/>
          <w:sz w:val="36"/>
          <w14:textFill>
            <w14:solidFill>
              <w14:schemeClr w14:val="tx1"/>
            </w14:solidFill>
          </w14:textFill>
        </w:rPr>
      </w:pPr>
    </w:p>
    <w:p>
      <w:pPr>
        <w:jc w:val="center"/>
        <w:rPr>
          <w:rFonts w:ascii="宋体" w:hAnsi="宋体" w:cs="宋体"/>
          <w:b/>
          <w:color w:val="000000" w:themeColor="text1"/>
          <w:sz w:val="36"/>
          <w14:textFill>
            <w14:solidFill>
              <w14:schemeClr w14:val="tx1"/>
            </w14:solidFill>
          </w14:textFill>
        </w:rPr>
      </w:pPr>
    </w:p>
    <w:p>
      <w:pPr>
        <w:jc w:val="center"/>
        <w:rPr>
          <w:rFonts w:ascii="宋体" w:hAnsi="宋体" w:cs="宋体"/>
          <w:b/>
          <w:color w:val="000000" w:themeColor="text1"/>
          <w:sz w:val="36"/>
          <w14:textFill>
            <w14:solidFill>
              <w14:schemeClr w14:val="tx1"/>
            </w14:solidFill>
          </w14:textFill>
        </w:rPr>
      </w:pPr>
    </w:p>
    <w:p>
      <w:pPr>
        <w:snapToGrid w:val="0"/>
        <w:spacing w:before="50" w:after="50"/>
        <w:jc w:val="center"/>
        <w:outlineLvl w:val="0"/>
        <w:rPr>
          <w:rFonts w:ascii="宋体" w:hAnsi="宋体" w:cs="宋体"/>
          <w:color w:val="000000" w:themeColor="text1"/>
          <w:sz w:val="32"/>
          <w:szCs w:val="32"/>
          <w14:textFill>
            <w14:solidFill>
              <w14:schemeClr w14:val="tx1"/>
            </w14:solidFill>
          </w14:textFill>
        </w:rPr>
      </w:pPr>
      <w:bookmarkStart w:id="248" w:name="_Toc16410"/>
      <w:r>
        <w:rPr>
          <w:rFonts w:hint="eastAsia" w:ascii="宋体" w:hAnsi="宋体" w:cs="宋体"/>
          <w:color w:val="000000" w:themeColor="text1"/>
          <w:sz w:val="32"/>
          <w:szCs w:val="32"/>
          <w14:textFill>
            <w14:solidFill>
              <w14:schemeClr w14:val="tx1"/>
            </w14:solidFill>
          </w14:textFill>
        </w:rPr>
        <w:t>八、商务条款响应及偏离表（如有）</w:t>
      </w:r>
      <w:bookmarkEnd w:id="248"/>
    </w:p>
    <w:p>
      <w:pPr>
        <w:jc w:val="center"/>
        <w:rPr>
          <w:rFonts w:ascii="宋体" w:hAnsi="宋体" w:cs="宋体"/>
          <w:color w:val="000000" w:themeColor="text1"/>
          <w:sz w:val="24"/>
          <w:szCs w:val="24"/>
          <w14:textFill>
            <w14:solidFill>
              <w14:schemeClr w14:val="tx1"/>
            </w14:solidFill>
          </w14:textFill>
        </w:rPr>
      </w:pPr>
    </w:p>
    <w:p>
      <w:pP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投标人全称（加盖公章）：        </w:t>
      </w:r>
    </w:p>
    <w:tbl>
      <w:tblPr>
        <w:tblStyle w:val="45"/>
        <w:tblW w:w="852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48"/>
        <w:gridCol w:w="2700"/>
        <w:gridCol w:w="1260"/>
        <w:gridCol w:w="302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548" w:type="dxa"/>
            <w:tcBorders>
              <w:top w:val="single" w:color="auto" w:sz="4" w:space="0"/>
              <w:left w:val="single" w:color="auto" w:sz="4" w:space="0"/>
              <w:bottom w:val="single" w:color="auto" w:sz="4" w:space="0"/>
              <w:right w:val="single" w:color="auto" w:sz="4" w:space="0"/>
            </w:tcBorders>
            <w:noWrap/>
          </w:tcPr>
          <w:p>
            <w:pPr>
              <w:snapToGrid w:val="0"/>
              <w:spacing w:before="145" w:beforeLines="5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14:textFill>
                  <w14:solidFill>
                    <w14:schemeClr w14:val="tx1"/>
                  </w14:solidFill>
                </w14:textFill>
              </w:rPr>
              <w:t>项目</w:t>
            </w:r>
          </w:p>
        </w:tc>
        <w:tc>
          <w:tcPr>
            <w:tcW w:w="2700" w:type="dxa"/>
            <w:tcBorders>
              <w:top w:val="single" w:color="auto" w:sz="4" w:space="0"/>
              <w:left w:val="single" w:color="auto" w:sz="4" w:space="0"/>
              <w:bottom w:val="single" w:color="auto" w:sz="4" w:space="0"/>
              <w:right w:val="single" w:color="auto" w:sz="4" w:space="0"/>
            </w:tcBorders>
            <w:noWrap/>
          </w:tcPr>
          <w:p>
            <w:pPr>
              <w:snapToGrid w:val="0"/>
              <w:spacing w:before="145" w:beforeLines="5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14:textFill>
                  <w14:solidFill>
                    <w14:schemeClr w14:val="tx1"/>
                  </w14:solidFill>
                </w14:textFill>
              </w:rPr>
              <w:t>招标文件要求</w:t>
            </w:r>
          </w:p>
        </w:tc>
        <w:tc>
          <w:tcPr>
            <w:tcW w:w="1260" w:type="dxa"/>
            <w:tcBorders>
              <w:top w:val="single" w:color="auto" w:sz="4" w:space="0"/>
              <w:left w:val="single" w:color="auto" w:sz="4" w:space="0"/>
              <w:bottom w:val="single" w:color="auto" w:sz="4" w:space="0"/>
              <w:right w:val="single" w:color="auto" w:sz="4" w:space="0"/>
            </w:tcBorders>
            <w:noWrap/>
          </w:tcPr>
          <w:p>
            <w:pPr>
              <w:snapToGrid w:val="0"/>
              <w:spacing w:before="145" w:beforeLines="5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14:textFill>
                  <w14:solidFill>
                    <w14:schemeClr w14:val="tx1"/>
                  </w14:solidFill>
                </w14:textFill>
              </w:rPr>
              <w:t>是否响应</w:t>
            </w:r>
          </w:p>
        </w:tc>
        <w:tc>
          <w:tcPr>
            <w:tcW w:w="3020" w:type="dxa"/>
            <w:tcBorders>
              <w:top w:val="single" w:color="auto" w:sz="4" w:space="0"/>
              <w:left w:val="single" w:color="auto" w:sz="4" w:space="0"/>
              <w:bottom w:val="single" w:color="auto" w:sz="4" w:space="0"/>
              <w:right w:val="single" w:color="auto" w:sz="4" w:space="0"/>
            </w:tcBorders>
            <w:noWrap/>
          </w:tcPr>
          <w:p>
            <w:pPr>
              <w:snapToGrid w:val="0"/>
              <w:spacing w:before="145" w:beforeLines="5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投标人的承诺或说明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1548" w:type="dxa"/>
            <w:tcBorders>
              <w:top w:val="single" w:color="auto" w:sz="4" w:space="0"/>
              <w:left w:val="single" w:color="auto" w:sz="4" w:space="0"/>
              <w:bottom w:val="single" w:color="auto" w:sz="4" w:space="0"/>
              <w:right w:val="single" w:color="auto" w:sz="4" w:space="0"/>
            </w:tcBorders>
            <w:noWrap/>
          </w:tcPr>
          <w:p>
            <w:pPr>
              <w:snapToGrid w:val="0"/>
              <w:spacing w:before="145" w:beforeLines="5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14:textFill>
                  <w14:solidFill>
                    <w14:schemeClr w14:val="tx1"/>
                  </w14:solidFill>
                </w14:textFill>
              </w:rPr>
              <w:t>质保期</w:t>
            </w:r>
          </w:p>
        </w:tc>
        <w:tc>
          <w:tcPr>
            <w:tcW w:w="2700" w:type="dxa"/>
            <w:tcBorders>
              <w:top w:val="single" w:color="auto" w:sz="4" w:space="0"/>
              <w:left w:val="single" w:color="auto" w:sz="4" w:space="0"/>
              <w:bottom w:val="single" w:color="auto" w:sz="4" w:space="0"/>
              <w:right w:val="single" w:color="auto" w:sz="4" w:space="0"/>
            </w:tcBorders>
            <w:noWrap/>
          </w:tcPr>
          <w:p>
            <w:pPr>
              <w:snapToGrid w:val="0"/>
              <w:spacing w:before="145" w:beforeLines="50"/>
              <w:rPr>
                <w:rFonts w:ascii="宋体" w:hAnsi="宋体" w:cs="宋体"/>
                <w:color w:val="000000" w:themeColor="text1"/>
                <w:sz w:val="24"/>
                <w:szCs w:val="20"/>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noWrap/>
          </w:tcPr>
          <w:p>
            <w:pPr>
              <w:snapToGrid w:val="0"/>
              <w:spacing w:before="145" w:beforeLines="50"/>
              <w:rPr>
                <w:rFonts w:ascii="宋体" w:hAnsi="宋体" w:cs="宋体"/>
                <w:color w:val="000000" w:themeColor="text1"/>
                <w:sz w:val="24"/>
                <w:szCs w:val="20"/>
                <w14:textFill>
                  <w14:solidFill>
                    <w14:schemeClr w14:val="tx1"/>
                  </w14:solidFill>
                </w14:textFill>
              </w:rPr>
            </w:pPr>
          </w:p>
        </w:tc>
        <w:tc>
          <w:tcPr>
            <w:tcW w:w="3020" w:type="dxa"/>
            <w:tcBorders>
              <w:top w:val="single" w:color="auto" w:sz="4" w:space="0"/>
              <w:left w:val="single" w:color="auto" w:sz="4" w:space="0"/>
              <w:bottom w:val="single" w:color="auto" w:sz="4" w:space="0"/>
              <w:right w:val="single" w:color="auto" w:sz="4" w:space="0"/>
            </w:tcBorders>
            <w:noWrap/>
          </w:tcPr>
          <w:p>
            <w:pPr>
              <w:snapToGrid w:val="0"/>
              <w:spacing w:before="145" w:beforeLines="50"/>
              <w:rPr>
                <w:rFonts w:ascii="宋体" w:hAnsi="宋体" w:cs="宋体"/>
                <w:color w:val="000000" w:themeColor="text1"/>
                <w:sz w:val="24"/>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1548" w:type="dxa"/>
            <w:tcBorders>
              <w:top w:val="single" w:color="auto" w:sz="4" w:space="0"/>
              <w:left w:val="single" w:color="auto" w:sz="4" w:space="0"/>
              <w:bottom w:val="single" w:color="auto" w:sz="4" w:space="0"/>
              <w:right w:val="single" w:color="auto" w:sz="4" w:space="0"/>
            </w:tcBorders>
            <w:noWrap/>
          </w:tcPr>
          <w:p>
            <w:pPr>
              <w:snapToGrid w:val="0"/>
              <w:spacing w:before="145" w:beforeLines="5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14:textFill>
                  <w14:solidFill>
                    <w14:schemeClr w14:val="tx1"/>
                  </w14:solidFill>
                </w14:textFill>
              </w:rPr>
              <w:t>售后技术服务要求</w:t>
            </w:r>
          </w:p>
        </w:tc>
        <w:tc>
          <w:tcPr>
            <w:tcW w:w="2700" w:type="dxa"/>
            <w:tcBorders>
              <w:top w:val="single" w:color="auto" w:sz="4" w:space="0"/>
              <w:left w:val="single" w:color="auto" w:sz="4" w:space="0"/>
              <w:bottom w:val="single" w:color="auto" w:sz="4" w:space="0"/>
              <w:right w:val="single" w:color="auto" w:sz="4" w:space="0"/>
            </w:tcBorders>
            <w:noWrap/>
          </w:tcPr>
          <w:p>
            <w:pPr>
              <w:snapToGrid w:val="0"/>
              <w:spacing w:before="145" w:beforeLines="50"/>
              <w:rPr>
                <w:rFonts w:ascii="宋体" w:hAnsi="宋体" w:cs="宋体"/>
                <w:color w:val="000000" w:themeColor="text1"/>
                <w:sz w:val="24"/>
                <w:szCs w:val="20"/>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noWrap/>
          </w:tcPr>
          <w:p>
            <w:pPr>
              <w:snapToGrid w:val="0"/>
              <w:spacing w:before="145" w:beforeLines="50"/>
              <w:rPr>
                <w:rFonts w:ascii="宋体" w:hAnsi="宋体" w:cs="宋体"/>
                <w:color w:val="000000" w:themeColor="text1"/>
                <w:sz w:val="24"/>
                <w:szCs w:val="20"/>
                <w14:textFill>
                  <w14:solidFill>
                    <w14:schemeClr w14:val="tx1"/>
                  </w14:solidFill>
                </w14:textFill>
              </w:rPr>
            </w:pPr>
          </w:p>
        </w:tc>
        <w:tc>
          <w:tcPr>
            <w:tcW w:w="3020" w:type="dxa"/>
            <w:tcBorders>
              <w:top w:val="single" w:color="auto" w:sz="4" w:space="0"/>
              <w:left w:val="single" w:color="auto" w:sz="4" w:space="0"/>
              <w:bottom w:val="single" w:color="auto" w:sz="4" w:space="0"/>
              <w:right w:val="single" w:color="auto" w:sz="4" w:space="0"/>
            </w:tcBorders>
            <w:noWrap/>
          </w:tcPr>
          <w:p>
            <w:pPr>
              <w:snapToGrid w:val="0"/>
              <w:spacing w:before="145" w:beforeLines="50"/>
              <w:rPr>
                <w:rFonts w:ascii="宋体" w:hAnsi="宋体" w:cs="宋体"/>
                <w:color w:val="000000" w:themeColor="text1"/>
                <w:sz w:val="24"/>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548" w:type="dxa"/>
            <w:tcBorders>
              <w:top w:val="single" w:color="auto" w:sz="4" w:space="0"/>
              <w:left w:val="single" w:color="auto" w:sz="4" w:space="0"/>
              <w:bottom w:val="single" w:color="auto" w:sz="4" w:space="0"/>
              <w:right w:val="single" w:color="auto" w:sz="4" w:space="0"/>
            </w:tcBorders>
            <w:noWrap/>
          </w:tcPr>
          <w:p>
            <w:pPr>
              <w:snapToGrid w:val="0"/>
              <w:spacing w:before="145" w:beforeLines="5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14:textFill>
                  <w14:solidFill>
                    <w14:schemeClr w14:val="tx1"/>
                  </w14:solidFill>
                </w14:textFill>
              </w:rPr>
              <w:t>交货时间</w:t>
            </w:r>
          </w:p>
        </w:tc>
        <w:tc>
          <w:tcPr>
            <w:tcW w:w="2700" w:type="dxa"/>
            <w:tcBorders>
              <w:top w:val="single" w:color="auto" w:sz="4" w:space="0"/>
              <w:left w:val="single" w:color="auto" w:sz="4" w:space="0"/>
              <w:bottom w:val="single" w:color="auto" w:sz="4" w:space="0"/>
              <w:right w:val="single" w:color="auto" w:sz="4" w:space="0"/>
            </w:tcBorders>
            <w:noWrap/>
          </w:tcPr>
          <w:p>
            <w:pPr>
              <w:snapToGrid w:val="0"/>
              <w:spacing w:before="145" w:beforeLines="5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14:textFill>
                  <w14:solidFill>
                    <w14:schemeClr w14:val="tx1"/>
                  </w14:solidFill>
                </w14:textFill>
              </w:rPr>
              <w:t>合同签订后天内</w:t>
            </w:r>
          </w:p>
        </w:tc>
        <w:tc>
          <w:tcPr>
            <w:tcW w:w="1260" w:type="dxa"/>
            <w:tcBorders>
              <w:top w:val="single" w:color="auto" w:sz="4" w:space="0"/>
              <w:left w:val="single" w:color="auto" w:sz="4" w:space="0"/>
              <w:bottom w:val="single" w:color="auto" w:sz="4" w:space="0"/>
              <w:right w:val="single" w:color="auto" w:sz="4" w:space="0"/>
            </w:tcBorders>
            <w:noWrap/>
          </w:tcPr>
          <w:p>
            <w:pPr>
              <w:snapToGrid w:val="0"/>
              <w:spacing w:before="145" w:beforeLines="50"/>
              <w:ind w:left="43"/>
              <w:rPr>
                <w:rFonts w:ascii="宋体" w:hAnsi="宋体" w:cs="宋体"/>
                <w:color w:val="000000" w:themeColor="text1"/>
                <w:sz w:val="24"/>
                <w:szCs w:val="20"/>
                <w14:textFill>
                  <w14:solidFill>
                    <w14:schemeClr w14:val="tx1"/>
                  </w14:solidFill>
                </w14:textFill>
              </w:rPr>
            </w:pPr>
          </w:p>
        </w:tc>
        <w:tc>
          <w:tcPr>
            <w:tcW w:w="3020" w:type="dxa"/>
            <w:tcBorders>
              <w:top w:val="single" w:color="auto" w:sz="4" w:space="0"/>
              <w:left w:val="single" w:color="auto" w:sz="4" w:space="0"/>
              <w:bottom w:val="single" w:color="auto" w:sz="4" w:space="0"/>
              <w:right w:val="single" w:color="auto" w:sz="4" w:space="0"/>
            </w:tcBorders>
            <w:noWrap/>
          </w:tcPr>
          <w:p>
            <w:pPr>
              <w:snapToGrid w:val="0"/>
              <w:spacing w:before="145" w:beforeLines="50"/>
              <w:ind w:left="43"/>
              <w:rPr>
                <w:rFonts w:ascii="宋体" w:hAnsi="宋体" w:cs="宋体"/>
                <w:color w:val="000000" w:themeColor="text1"/>
                <w:sz w:val="24"/>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548" w:type="dxa"/>
            <w:tcBorders>
              <w:top w:val="single" w:color="auto" w:sz="4" w:space="0"/>
              <w:left w:val="single" w:color="auto" w:sz="4" w:space="0"/>
              <w:bottom w:val="single" w:color="auto" w:sz="4" w:space="0"/>
              <w:right w:val="single" w:color="auto" w:sz="4" w:space="0"/>
            </w:tcBorders>
            <w:noWrap/>
          </w:tcPr>
          <w:p>
            <w:pPr>
              <w:snapToGrid w:val="0"/>
              <w:spacing w:before="145" w:beforeLines="5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交货方式</w:t>
            </w:r>
          </w:p>
        </w:tc>
        <w:tc>
          <w:tcPr>
            <w:tcW w:w="2700" w:type="dxa"/>
            <w:tcBorders>
              <w:top w:val="single" w:color="auto" w:sz="4" w:space="0"/>
              <w:left w:val="single" w:color="auto" w:sz="4" w:space="0"/>
              <w:bottom w:val="single" w:color="auto" w:sz="4" w:space="0"/>
              <w:right w:val="single" w:color="auto" w:sz="4" w:space="0"/>
            </w:tcBorders>
            <w:noWrap/>
          </w:tcPr>
          <w:p>
            <w:pPr>
              <w:snapToGrid w:val="0"/>
              <w:spacing w:before="145" w:beforeLines="50"/>
              <w:rPr>
                <w:rFonts w:ascii="宋体" w:hAnsi="宋体" w:cs="宋体"/>
                <w:color w:val="000000" w:themeColor="text1"/>
                <w:sz w:val="24"/>
                <w14:textFill>
                  <w14:solidFill>
                    <w14:schemeClr w14:val="tx1"/>
                  </w14:solidFill>
                </w14:textFill>
              </w:rPr>
            </w:pPr>
          </w:p>
          <w:p>
            <w:pPr>
              <w:snapToGrid w:val="0"/>
              <w:spacing w:before="145" w:beforeLines="50"/>
              <w:rPr>
                <w:rFonts w:ascii="宋体" w:hAnsi="宋体" w:cs="宋体"/>
                <w:color w:val="000000" w:themeColor="text1"/>
                <w:sz w:val="24"/>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noWrap/>
          </w:tcPr>
          <w:p>
            <w:pPr>
              <w:snapToGrid w:val="0"/>
              <w:spacing w:before="145" w:beforeLines="50"/>
              <w:ind w:left="43"/>
              <w:rPr>
                <w:rFonts w:ascii="宋体" w:hAnsi="宋体" w:cs="宋体"/>
                <w:color w:val="000000" w:themeColor="text1"/>
                <w:sz w:val="24"/>
                <w:szCs w:val="20"/>
                <w14:textFill>
                  <w14:solidFill>
                    <w14:schemeClr w14:val="tx1"/>
                  </w14:solidFill>
                </w14:textFill>
              </w:rPr>
            </w:pPr>
          </w:p>
        </w:tc>
        <w:tc>
          <w:tcPr>
            <w:tcW w:w="3020" w:type="dxa"/>
            <w:tcBorders>
              <w:top w:val="single" w:color="auto" w:sz="4" w:space="0"/>
              <w:left w:val="single" w:color="auto" w:sz="4" w:space="0"/>
              <w:bottom w:val="single" w:color="auto" w:sz="4" w:space="0"/>
              <w:right w:val="single" w:color="auto" w:sz="4" w:space="0"/>
            </w:tcBorders>
            <w:noWrap/>
          </w:tcPr>
          <w:p>
            <w:pPr>
              <w:snapToGrid w:val="0"/>
              <w:spacing w:before="145" w:beforeLines="50"/>
              <w:ind w:left="43"/>
              <w:rPr>
                <w:rFonts w:ascii="宋体" w:hAnsi="宋体" w:cs="宋体"/>
                <w:color w:val="000000" w:themeColor="text1"/>
                <w:sz w:val="24"/>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548" w:type="dxa"/>
            <w:tcBorders>
              <w:top w:val="single" w:color="auto" w:sz="4" w:space="0"/>
              <w:left w:val="single" w:color="auto" w:sz="4" w:space="0"/>
              <w:bottom w:val="single" w:color="auto" w:sz="4" w:space="0"/>
              <w:right w:val="single" w:color="auto" w:sz="4" w:space="0"/>
            </w:tcBorders>
            <w:noWrap/>
          </w:tcPr>
          <w:p>
            <w:pPr>
              <w:snapToGrid w:val="0"/>
              <w:spacing w:before="145" w:beforeLines="5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交货地点</w:t>
            </w:r>
          </w:p>
        </w:tc>
        <w:tc>
          <w:tcPr>
            <w:tcW w:w="2700" w:type="dxa"/>
            <w:tcBorders>
              <w:top w:val="single" w:color="auto" w:sz="4" w:space="0"/>
              <w:left w:val="single" w:color="auto" w:sz="4" w:space="0"/>
              <w:bottom w:val="single" w:color="auto" w:sz="4" w:space="0"/>
              <w:right w:val="single" w:color="auto" w:sz="4" w:space="0"/>
            </w:tcBorders>
            <w:noWrap/>
          </w:tcPr>
          <w:p>
            <w:pPr>
              <w:snapToGrid w:val="0"/>
              <w:spacing w:before="145" w:beforeLines="50"/>
              <w:rPr>
                <w:rFonts w:ascii="宋体" w:hAnsi="宋体" w:cs="宋体"/>
                <w:color w:val="000000" w:themeColor="text1"/>
                <w:sz w:val="24"/>
                <w14:textFill>
                  <w14:solidFill>
                    <w14:schemeClr w14:val="tx1"/>
                  </w14:solidFill>
                </w14:textFill>
              </w:rPr>
            </w:pPr>
          </w:p>
          <w:p>
            <w:pPr>
              <w:snapToGrid w:val="0"/>
              <w:spacing w:before="145" w:beforeLines="50"/>
              <w:rPr>
                <w:rFonts w:ascii="宋体" w:hAnsi="宋体" w:cs="宋体"/>
                <w:color w:val="000000" w:themeColor="text1"/>
                <w:sz w:val="24"/>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noWrap/>
          </w:tcPr>
          <w:p>
            <w:pPr>
              <w:snapToGrid w:val="0"/>
              <w:spacing w:before="145" w:beforeLines="50"/>
              <w:ind w:left="43"/>
              <w:rPr>
                <w:rFonts w:ascii="宋体" w:hAnsi="宋体" w:cs="宋体"/>
                <w:color w:val="000000" w:themeColor="text1"/>
                <w:sz w:val="24"/>
                <w:szCs w:val="20"/>
                <w14:textFill>
                  <w14:solidFill>
                    <w14:schemeClr w14:val="tx1"/>
                  </w14:solidFill>
                </w14:textFill>
              </w:rPr>
            </w:pPr>
          </w:p>
        </w:tc>
        <w:tc>
          <w:tcPr>
            <w:tcW w:w="3020" w:type="dxa"/>
            <w:tcBorders>
              <w:top w:val="single" w:color="auto" w:sz="4" w:space="0"/>
              <w:left w:val="single" w:color="auto" w:sz="4" w:space="0"/>
              <w:bottom w:val="single" w:color="auto" w:sz="4" w:space="0"/>
              <w:right w:val="single" w:color="auto" w:sz="4" w:space="0"/>
            </w:tcBorders>
            <w:noWrap/>
          </w:tcPr>
          <w:p>
            <w:pPr>
              <w:snapToGrid w:val="0"/>
              <w:spacing w:before="145" w:beforeLines="50"/>
              <w:ind w:left="43"/>
              <w:rPr>
                <w:rFonts w:ascii="宋体" w:hAnsi="宋体" w:cs="宋体"/>
                <w:color w:val="000000" w:themeColor="text1"/>
                <w:sz w:val="24"/>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1548" w:type="dxa"/>
            <w:tcBorders>
              <w:top w:val="single" w:color="auto" w:sz="4" w:space="0"/>
              <w:left w:val="single" w:color="auto" w:sz="4" w:space="0"/>
              <w:bottom w:val="single" w:color="auto" w:sz="4" w:space="0"/>
              <w:right w:val="single" w:color="auto" w:sz="4" w:space="0"/>
            </w:tcBorders>
            <w:noWrap/>
          </w:tcPr>
          <w:p>
            <w:pPr>
              <w:snapToGrid w:val="0"/>
              <w:spacing w:before="145" w:beforeLines="5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14:textFill>
                  <w14:solidFill>
                    <w14:schemeClr w14:val="tx1"/>
                  </w14:solidFill>
                </w14:textFill>
              </w:rPr>
              <w:t>付款方式</w:t>
            </w:r>
          </w:p>
        </w:tc>
        <w:tc>
          <w:tcPr>
            <w:tcW w:w="2700" w:type="dxa"/>
            <w:tcBorders>
              <w:top w:val="single" w:color="auto" w:sz="4" w:space="0"/>
              <w:left w:val="single" w:color="auto" w:sz="4" w:space="0"/>
              <w:bottom w:val="single" w:color="auto" w:sz="4" w:space="0"/>
              <w:right w:val="single" w:color="auto" w:sz="4" w:space="0"/>
            </w:tcBorders>
            <w:noWrap/>
          </w:tcPr>
          <w:p>
            <w:pPr>
              <w:snapToGrid w:val="0"/>
              <w:spacing w:before="145" w:beforeLines="50"/>
              <w:rPr>
                <w:rFonts w:ascii="宋体" w:hAnsi="宋体" w:cs="宋体"/>
                <w:color w:val="000000" w:themeColor="text1"/>
                <w:sz w:val="24"/>
                <w:szCs w:val="20"/>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noWrap/>
          </w:tcPr>
          <w:p>
            <w:pPr>
              <w:snapToGrid w:val="0"/>
              <w:spacing w:before="145" w:beforeLines="50"/>
              <w:rPr>
                <w:rFonts w:ascii="宋体" w:hAnsi="宋体" w:cs="宋体"/>
                <w:color w:val="000000" w:themeColor="text1"/>
                <w:sz w:val="24"/>
                <w:szCs w:val="20"/>
                <w14:textFill>
                  <w14:solidFill>
                    <w14:schemeClr w14:val="tx1"/>
                  </w14:solidFill>
                </w14:textFill>
              </w:rPr>
            </w:pPr>
          </w:p>
        </w:tc>
        <w:tc>
          <w:tcPr>
            <w:tcW w:w="3020" w:type="dxa"/>
            <w:tcBorders>
              <w:top w:val="single" w:color="auto" w:sz="4" w:space="0"/>
              <w:left w:val="single" w:color="auto" w:sz="4" w:space="0"/>
              <w:bottom w:val="single" w:color="auto" w:sz="4" w:space="0"/>
              <w:right w:val="single" w:color="auto" w:sz="4" w:space="0"/>
            </w:tcBorders>
            <w:noWrap/>
          </w:tcPr>
          <w:p>
            <w:pPr>
              <w:snapToGrid w:val="0"/>
              <w:spacing w:before="145" w:beforeLines="50"/>
              <w:rPr>
                <w:rFonts w:ascii="宋体" w:hAnsi="宋体" w:cs="宋体"/>
                <w:color w:val="000000" w:themeColor="text1"/>
                <w:sz w:val="24"/>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548" w:type="dxa"/>
            <w:tcBorders>
              <w:top w:val="single" w:color="auto" w:sz="4" w:space="0"/>
              <w:left w:val="single" w:color="auto" w:sz="4" w:space="0"/>
              <w:bottom w:val="single" w:color="auto" w:sz="4" w:space="0"/>
              <w:right w:val="single" w:color="auto" w:sz="4" w:space="0"/>
            </w:tcBorders>
            <w:noWrap/>
          </w:tcPr>
          <w:p>
            <w:pPr>
              <w:snapToGrid w:val="0"/>
              <w:spacing w:before="145" w:beforeLines="5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szCs w:val="20"/>
                <w14:textFill>
                  <w14:solidFill>
                    <w14:schemeClr w14:val="tx1"/>
                  </w14:solidFill>
                </w14:textFill>
              </w:rPr>
              <w:t>投标货币</w:t>
            </w:r>
          </w:p>
        </w:tc>
        <w:tc>
          <w:tcPr>
            <w:tcW w:w="2700" w:type="dxa"/>
            <w:tcBorders>
              <w:top w:val="single" w:color="auto" w:sz="4" w:space="0"/>
              <w:left w:val="single" w:color="auto" w:sz="4" w:space="0"/>
              <w:bottom w:val="single" w:color="auto" w:sz="4" w:space="0"/>
              <w:right w:val="single" w:color="auto" w:sz="4" w:space="0"/>
            </w:tcBorders>
            <w:noWrap/>
          </w:tcPr>
          <w:p>
            <w:pPr>
              <w:snapToGrid w:val="0"/>
              <w:spacing w:before="145" w:beforeLines="50"/>
              <w:rPr>
                <w:rFonts w:ascii="宋体" w:hAnsi="宋体" w:cs="宋体"/>
                <w:color w:val="000000" w:themeColor="text1"/>
                <w:sz w:val="24"/>
                <w:szCs w:val="20"/>
                <w14:textFill>
                  <w14:solidFill>
                    <w14:schemeClr w14:val="tx1"/>
                  </w14:solidFill>
                </w14:textFill>
              </w:rPr>
            </w:pPr>
          </w:p>
          <w:p>
            <w:pPr>
              <w:snapToGrid w:val="0"/>
              <w:spacing w:before="145" w:beforeLines="50"/>
              <w:rPr>
                <w:rFonts w:ascii="宋体" w:hAnsi="宋体" w:cs="宋体"/>
                <w:color w:val="000000" w:themeColor="text1"/>
                <w:sz w:val="24"/>
                <w:szCs w:val="20"/>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noWrap/>
          </w:tcPr>
          <w:p>
            <w:pPr>
              <w:snapToGrid w:val="0"/>
              <w:spacing w:before="145" w:beforeLines="50"/>
              <w:rPr>
                <w:rFonts w:ascii="宋体" w:hAnsi="宋体" w:cs="宋体"/>
                <w:color w:val="000000" w:themeColor="text1"/>
                <w:sz w:val="24"/>
                <w:szCs w:val="20"/>
                <w14:textFill>
                  <w14:solidFill>
                    <w14:schemeClr w14:val="tx1"/>
                  </w14:solidFill>
                </w14:textFill>
              </w:rPr>
            </w:pPr>
          </w:p>
        </w:tc>
        <w:tc>
          <w:tcPr>
            <w:tcW w:w="3020" w:type="dxa"/>
            <w:tcBorders>
              <w:top w:val="single" w:color="auto" w:sz="4" w:space="0"/>
              <w:left w:val="single" w:color="auto" w:sz="4" w:space="0"/>
              <w:bottom w:val="single" w:color="auto" w:sz="4" w:space="0"/>
              <w:right w:val="single" w:color="auto" w:sz="4" w:space="0"/>
            </w:tcBorders>
            <w:noWrap/>
          </w:tcPr>
          <w:p>
            <w:pPr>
              <w:snapToGrid w:val="0"/>
              <w:spacing w:before="145" w:beforeLines="50"/>
              <w:rPr>
                <w:rFonts w:ascii="宋体" w:hAnsi="宋体" w:cs="宋体"/>
                <w:color w:val="000000" w:themeColor="text1"/>
                <w:sz w:val="24"/>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548" w:type="dxa"/>
            <w:tcBorders>
              <w:top w:val="single" w:color="auto" w:sz="4" w:space="0"/>
              <w:left w:val="single" w:color="auto" w:sz="4" w:space="0"/>
              <w:bottom w:val="single" w:color="auto" w:sz="4" w:space="0"/>
              <w:right w:val="single" w:color="auto" w:sz="4" w:space="0"/>
            </w:tcBorders>
            <w:noWrap/>
          </w:tcPr>
          <w:p>
            <w:pPr>
              <w:snapToGrid w:val="0"/>
              <w:spacing w:before="145" w:beforeLines="5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备品备件及耗材等要求</w:t>
            </w:r>
          </w:p>
        </w:tc>
        <w:tc>
          <w:tcPr>
            <w:tcW w:w="2700" w:type="dxa"/>
            <w:tcBorders>
              <w:top w:val="single" w:color="auto" w:sz="4" w:space="0"/>
              <w:left w:val="single" w:color="auto" w:sz="4" w:space="0"/>
              <w:bottom w:val="single" w:color="auto" w:sz="4" w:space="0"/>
              <w:right w:val="single" w:color="auto" w:sz="4" w:space="0"/>
            </w:tcBorders>
            <w:noWrap/>
          </w:tcPr>
          <w:p>
            <w:pPr>
              <w:snapToGrid w:val="0"/>
              <w:spacing w:before="145" w:beforeLines="50"/>
              <w:rPr>
                <w:rFonts w:ascii="宋体" w:hAnsi="宋体" w:cs="宋体"/>
                <w:color w:val="000000" w:themeColor="text1"/>
                <w:sz w:val="24"/>
                <w:szCs w:val="20"/>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noWrap/>
          </w:tcPr>
          <w:p>
            <w:pPr>
              <w:snapToGrid w:val="0"/>
              <w:spacing w:before="145" w:beforeLines="50"/>
              <w:rPr>
                <w:rFonts w:ascii="宋体" w:hAnsi="宋体" w:cs="宋体"/>
                <w:color w:val="000000" w:themeColor="text1"/>
                <w:sz w:val="24"/>
                <w:szCs w:val="20"/>
                <w14:textFill>
                  <w14:solidFill>
                    <w14:schemeClr w14:val="tx1"/>
                  </w14:solidFill>
                </w14:textFill>
              </w:rPr>
            </w:pPr>
          </w:p>
        </w:tc>
        <w:tc>
          <w:tcPr>
            <w:tcW w:w="3020" w:type="dxa"/>
            <w:tcBorders>
              <w:top w:val="single" w:color="auto" w:sz="4" w:space="0"/>
              <w:left w:val="single" w:color="auto" w:sz="4" w:space="0"/>
              <w:bottom w:val="single" w:color="auto" w:sz="4" w:space="0"/>
              <w:right w:val="single" w:color="auto" w:sz="4" w:space="0"/>
            </w:tcBorders>
            <w:noWrap/>
          </w:tcPr>
          <w:p>
            <w:pPr>
              <w:snapToGrid w:val="0"/>
              <w:spacing w:before="145" w:beforeLines="50"/>
              <w:rPr>
                <w:rFonts w:ascii="宋体" w:hAnsi="宋体" w:cs="宋体"/>
                <w:color w:val="000000" w:themeColor="text1"/>
                <w:sz w:val="24"/>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548" w:type="dxa"/>
            <w:tcBorders>
              <w:top w:val="single" w:color="auto" w:sz="4" w:space="0"/>
              <w:left w:val="single" w:color="auto" w:sz="4" w:space="0"/>
              <w:bottom w:val="single" w:color="auto" w:sz="4" w:space="0"/>
              <w:right w:val="single" w:color="auto" w:sz="4" w:space="0"/>
            </w:tcBorders>
            <w:noWrap/>
          </w:tcPr>
          <w:p>
            <w:pPr>
              <w:snapToGrid w:val="0"/>
              <w:spacing w:before="145" w:beforeLines="5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14:textFill>
                  <w14:solidFill>
                    <w14:schemeClr w14:val="tx1"/>
                  </w14:solidFill>
                </w14:textFill>
              </w:rPr>
              <w:t>其他</w:t>
            </w:r>
          </w:p>
        </w:tc>
        <w:tc>
          <w:tcPr>
            <w:tcW w:w="2700" w:type="dxa"/>
            <w:tcBorders>
              <w:top w:val="single" w:color="auto" w:sz="4" w:space="0"/>
              <w:left w:val="single" w:color="auto" w:sz="4" w:space="0"/>
              <w:bottom w:val="single" w:color="auto" w:sz="4" w:space="0"/>
              <w:right w:val="single" w:color="auto" w:sz="4" w:space="0"/>
            </w:tcBorders>
            <w:noWrap/>
          </w:tcPr>
          <w:p>
            <w:pPr>
              <w:snapToGrid w:val="0"/>
              <w:spacing w:before="145" w:beforeLines="50"/>
              <w:rPr>
                <w:rFonts w:ascii="宋体" w:hAnsi="宋体" w:cs="宋体"/>
                <w:color w:val="000000" w:themeColor="text1"/>
                <w:sz w:val="24"/>
                <w:szCs w:val="20"/>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noWrap/>
          </w:tcPr>
          <w:p>
            <w:pPr>
              <w:snapToGrid w:val="0"/>
              <w:spacing w:before="145" w:beforeLines="50"/>
              <w:rPr>
                <w:rFonts w:ascii="宋体" w:hAnsi="宋体" w:cs="宋体"/>
                <w:color w:val="000000" w:themeColor="text1"/>
                <w:sz w:val="24"/>
                <w:szCs w:val="20"/>
                <w14:textFill>
                  <w14:solidFill>
                    <w14:schemeClr w14:val="tx1"/>
                  </w14:solidFill>
                </w14:textFill>
              </w:rPr>
            </w:pPr>
          </w:p>
        </w:tc>
        <w:tc>
          <w:tcPr>
            <w:tcW w:w="3020" w:type="dxa"/>
            <w:tcBorders>
              <w:top w:val="single" w:color="auto" w:sz="4" w:space="0"/>
              <w:left w:val="single" w:color="auto" w:sz="4" w:space="0"/>
              <w:bottom w:val="single" w:color="auto" w:sz="4" w:space="0"/>
              <w:right w:val="single" w:color="auto" w:sz="4" w:space="0"/>
            </w:tcBorders>
            <w:noWrap/>
          </w:tcPr>
          <w:p>
            <w:pPr>
              <w:snapToGrid w:val="0"/>
              <w:spacing w:before="145" w:beforeLines="50"/>
              <w:rPr>
                <w:rFonts w:ascii="宋体" w:hAnsi="宋体" w:cs="宋体"/>
                <w:color w:val="000000" w:themeColor="text1"/>
                <w:sz w:val="24"/>
                <w:szCs w:val="20"/>
                <w14:textFill>
                  <w14:solidFill>
                    <w14:schemeClr w14:val="tx1"/>
                  </w14:solidFill>
                </w14:textFill>
              </w:rPr>
            </w:pPr>
          </w:p>
        </w:tc>
      </w:tr>
    </w:tbl>
    <w:p>
      <w:pP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法定代表人或授权代表签字：</w:t>
      </w:r>
    </w:p>
    <w:p>
      <w:pPr>
        <w:pStyle w:val="5"/>
        <w:rPr>
          <w:rFonts w:ascii="宋体" w:hAnsi="宋体" w:cs="宋体"/>
          <w:color w:val="000000" w:themeColor="text1"/>
          <w14:textFill>
            <w14:solidFill>
              <w14:schemeClr w14:val="tx1"/>
            </w14:solidFill>
          </w14:textFill>
        </w:rPr>
      </w:pPr>
    </w:p>
    <w:p>
      <w:pPr>
        <w:pStyle w:val="5"/>
        <w:rPr>
          <w:rFonts w:ascii="宋体" w:hAnsi="宋体" w:cs="宋体"/>
          <w:color w:val="000000" w:themeColor="text1"/>
          <w14:textFill>
            <w14:solidFill>
              <w14:schemeClr w14:val="tx1"/>
            </w14:solidFill>
          </w14:textFill>
        </w:rPr>
      </w:pPr>
    </w:p>
    <w:p>
      <w:pPr>
        <w:pStyle w:val="5"/>
        <w:rPr>
          <w:rFonts w:ascii="宋体" w:hAnsi="宋体" w:cs="宋体"/>
          <w:color w:val="000000" w:themeColor="text1"/>
          <w14:textFill>
            <w14:solidFill>
              <w14:schemeClr w14:val="tx1"/>
            </w14:solidFill>
          </w14:textFill>
        </w:rPr>
      </w:pPr>
    </w:p>
    <w:p>
      <w:pPr>
        <w:spacing w:line="480" w:lineRule="auto"/>
        <w:rPr>
          <w:rFonts w:ascii="宋体" w:hAnsi="宋体" w:cs="宋体"/>
          <w:color w:val="000000" w:themeColor="text1"/>
          <w:sz w:val="30"/>
          <w14:textFill>
            <w14:solidFill>
              <w14:schemeClr w14:val="tx1"/>
            </w14:solidFill>
          </w14:textFill>
        </w:rPr>
      </w:pPr>
      <w:bookmarkStart w:id="249" w:name="_Hlt26955064"/>
      <w:bookmarkEnd w:id="249"/>
      <w:bookmarkStart w:id="250" w:name="_Hlt26671374"/>
      <w:bookmarkEnd w:id="250"/>
      <w:bookmarkStart w:id="251" w:name="_Hlt26955056"/>
      <w:bookmarkEnd w:id="251"/>
      <w:bookmarkStart w:id="252" w:name="_Hlt24879081"/>
      <w:bookmarkEnd w:id="252"/>
      <w:bookmarkStart w:id="253" w:name="_Hlt26782999"/>
      <w:bookmarkEnd w:id="253"/>
      <w:bookmarkStart w:id="254" w:name="_Hlt26671343"/>
      <w:bookmarkEnd w:id="254"/>
      <w:bookmarkStart w:id="255" w:name="_Hlt26609391"/>
      <w:bookmarkEnd w:id="255"/>
      <w:bookmarkStart w:id="256" w:name="_Hlt26580838"/>
      <w:bookmarkEnd w:id="256"/>
      <w:bookmarkStart w:id="257" w:name="_Hlt26955066"/>
      <w:bookmarkEnd w:id="257"/>
      <w:bookmarkStart w:id="258" w:name="_Hlt26609389"/>
      <w:bookmarkEnd w:id="258"/>
      <w:bookmarkStart w:id="259" w:name="_Hlt26671372"/>
      <w:bookmarkEnd w:id="259"/>
      <w:bookmarkStart w:id="260" w:name="_Toc462564146"/>
    </w:p>
    <w:p>
      <w:pPr>
        <w:pStyle w:val="5"/>
        <w:ind w:firstLine="0"/>
        <w:rPr>
          <w:rFonts w:ascii="宋体" w:hAnsi="宋体" w:cs="宋体"/>
          <w:color w:val="000000" w:themeColor="text1"/>
          <w:sz w:val="24"/>
          <w14:textFill>
            <w14:solidFill>
              <w14:schemeClr w14:val="tx1"/>
            </w14:solidFill>
          </w14:textFill>
        </w:rPr>
      </w:pPr>
    </w:p>
    <w:p>
      <w:pPr>
        <w:snapToGrid w:val="0"/>
        <w:spacing w:before="50" w:after="50"/>
        <w:ind w:left="2520"/>
        <w:outlineLvl w:val="0"/>
        <w:rPr>
          <w:rFonts w:ascii="宋体" w:hAnsi="宋体" w:cs="宋体"/>
          <w:color w:val="000000" w:themeColor="text1"/>
          <w:sz w:val="32"/>
          <w:szCs w:val="32"/>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br w:type="page"/>
      </w:r>
      <w:bookmarkStart w:id="261" w:name="_Toc16596"/>
      <w:r>
        <w:rPr>
          <w:rFonts w:hint="eastAsia" w:ascii="宋体" w:hAnsi="宋体" w:cs="宋体"/>
          <w:color w:val="000000" w:themeColor="text1"/>
          <w:sz w:val="32"/>
          <w:szCs w:val="32"/>
          <w14:textFill>
            <w14:solidFill>
              <w14:schemeClr w14:val="tx1"/>
            </w14:solidFill>
          </w14:textFill>
        </w:rPr>
        <w:t>九、技术方案、服务承诺等</w:t>
      </w:r>
      <w:bookmarkEnd w:id="206"/>
      <w:bookmarkEnd w:id="207"/>
      <w:bookmarkEnd w:id="260"/>
      <w:bookmarkEnd w:id="261"/>
      <w:bookmarkStart w:id="262" w:name="_格式2__法定代表人授权书"/>
      <w:bookmarkEnd w:id="262"/>
    </w:p>
    <w:p>
      <w:pPr>
        <w:pStyle w:val="18"/>
        <w:rPr>
          <w:rFonts w:ascii="宋体" w:hAnsi="宋体" w:eastAsia="宋体" w:cs="宋体"/>
          <w:color w:val="000000" w:themeColor="text1"/>
          <w14:textFill>
            <w14:solidFill>
              <w14:schemeClr w14:val="tx1"/>
            </w14:solidFill>
          </w14:textFill>
        </w:rPr>
      </w:pPr>
    </w:p>
    <w:p>
      <w:pPr>
        <w:pStyle w:val="18"/>
        <w:rPr>
          <w:rFonts w:ascii="宋体" w:hAnsi="宋体" w:eastAsia="宋体" w:cs="宋体"/>
          <w:color w:val="000000" w:themeColor="text1"/>
          <w14:textFill>
            <w14:solidFill>
              <w14:schemeClr w14:val="tx1"/>
            </w14:solidFill>
          </w14:textFill>
        </w:rPr>
      </w:pPr>
    </w:p>
    <w:p>
      <w:pPr>
        <w:pStyle w:val="18"/>
        <w:rPr>
          <w:rFonts w:ascii="宋体" w:hAnsi="宋体" w:eastAsia="宋体" w:cs="宋体"/>
          <w:color w:val="000000" w:themeColor="text1"/>
          <w14:textFill>
            <w14:solidFill>
              <w14:schemeClr w14:val="tx1"/>
            </w14:solidFill>
          </w14:textFill>
        </w:rPr>
      </w:pPr>
    </w:p>
    <w:p>
      <w:pPr>
        <w:pStyle w:val="18"/>
        <w:rPr>
          <w:rFonts w:ascii="宋体" w:hAnsi="宋体" w:eastAsia="宋体" w:cs="宋体"/>
          <w:color w:val="000000" w:themeColor="text1"/>
          <w14:textFill>
            <w14:solidFill>
              <w14:schemeClr w14:val="tx1"/>
            </w14:solidFill>
          </w14:textFill>
        </w:rPr>
      </w:pPr>
    </w:p>
    <w:p>
      <w:pPr>
        <w:pStyle w:val="18"/>
        <w:rPr>
          <w:rFonts w:ascii="宋体" w:hAnsi="宋体" w:eastAsia="宋体" w:cs="宋体"/>
          <w:color w:val="000000" w:themeColor="text1"/>
          <w14:textFill>
            <w14:solidFill>
              <w14:schemeClr w14:val="tx1"/>
            </w14:solidFill>
          </w14:textFill>
        </w:rPr>
      </w:pPr>
    </w:p>
    <w:p>
      <w:pPr>
        <w:pStyle w:val="18"/>
        <w:rPr>
          <w:rFonts w:ascii="宋体" w:hAnsi="宋体" w:eastAsia="宋体" w:cs="宋体"/>
          <w:color w:val="000000" w:themeColor="text1"/>
          <w14:textFill>
            <w14:solidFill>
              <w14:schemeClr w14:val="tx1"/>
            </w14:solidFill>
          </w14:textFill>
        </w:rPr>
      </w:pPr>
    </w:p>
    <w:p>
      <w:pPr>
        <w:pStyle w:val="18"/>
        <w:rPr>
          <w:rFonts w:ascii="宋体" w:hAnsi="宋体" w:eastAsia="宋体" w:cs="宋体"/>
          <w:color w:val="000000" w:themeColor="text1"/>
          <w14:textFill>
            <w14:solidFill>
              <w14:schemeClr w14:val="tx1"/>
            </w14:solidFill>
          </w14:textFill>
        </w:rPr>
      </w:pPr>
    </w:p>
    <w:p>
      <w:pPr>
        <w:pStyle w:val="18"/>
        <w:rPr>
          <w:rFonts w:ascii="宋体" w:hAnsi="宋体" w:eastAsia="宋体" w:cs="宋体"/>
          <w:color w:val="000000" w:themeColor="text1"/>
          <w14:textFill>
            <w14:solidFill>
              <w14:schemeClr w14:val="tx1"/>
            </w14:solidFill>
          </w14:textFill>
        </w:rPr>
      </w:pPr>
    </w:p>
    <w:p>
      <w:pPr>
        <w:pStyle w:val="18"/>
        <w:rPr>
          <w:rFonts w:ascii="宋体" w:hAnsi="宋体" w:eastAsia="宋体" w:cs="宋体"/>
          <w:color w:val="000000" w:themeColor="text1"/>
          <w14:textFill>
            <w14:solidFill>
              <w14:schemeClr w14:val="tx1"/>
            </w14:solidFill>
          </w14:textFill>
        </w:rPr>
      </w:pPr>
    </w:p>
    <w:p>
      <w:pPr>
        <w:pStyle w:val="18"/>
        <w:rPr>
          <w:rFonts w:ascii="宋体" w:hAnsi="宋体" w:eastAsia="宋体" w:cs="宋体"/>
          <w:color w:val="000000" w:themeColor="text1"/>
          <w14:textFill>
            <w14:solidFill>
              <w14:schemeClr w14:val="tx1"/>
            </w14:solidFill>
          </w14:textFill>
        </w:rPr>
      </w:pPr>
    </w:p>
    <w:p>
      <w:pPr>
        <w:pStyle w:val="18"/>
        <w:rPr>
          <w:rFonts w:ascii="宋体" w:hAnsi="宋体" w:eastAsia="宋体" w:cs="宋体"/>
          <w:color w:val="000000" w:themeColor="text1"/>
          <w14:textFill>
            <w14:solidFill>
              <w14:schemeClr w14:val="tx1"/>
            </w14:solidFill>
          </w14:textFill>
        </w:rPr>
      </w:pPr>
    </w:p>
    <w:p>
      <w:pPr>
        <w:pStyle w:val="18"/>
        <w:rPr>
          <w:rFonts w:ascii="宋体" w:hAnsi="宋体" w:eastAsia="宋体" w:cs="宋体"/>
          <w:color w:val="000000" w:themeColor="text1"/>
          <w14:textFill>
            <w14:solidFill>
              <w14:schemeClr w14:val="tx1"/>
            </w14:solidFill>
          </w14:textFill>
        </w:rPr>
      </w:pPr>
    </w:p>
    <w:p>
      <w:pPr>
        <w:pStyle w:val="18"/>
        <w:rPr>
          <w:rFonts w:ascii="宋体" w:hAnsi="宋体" w:eastAsia="宋体" w:cs="宋体"/>
          <w:color w:val="000000" w:themeColor="text1"/>
          <w14:textFill>
            <w14:solidFill>
              <w14:schemeClr w14:val="tx1"/>
            </w14:solidFill>
          </w14:textFill>
        </w:rPr>
      </w:pPr>
    </w:p>
    <w:p>
      <w:pPr>
        <w:pStyle w:val="18"/>
        <w:rPr>
          <w:rFonts w:ascii="宋体" w:hAnsi="宋体" w:eastAsia="宋体" w:cs="宋体"/>
          <w:color w:val="000000" w:themeColor="text1"/>
          <w14:textFill>
            <w14:solidFill>
              <w14:schemeClr w14:val="tx1"/>
            </w14:solidFill>
          </w14:textFill>
        </w:rPr>
      </w:pPr>
    </w:p>
    <w:p>
      <w:pPr>
        <w:pStyle w:val="18"/>
        <w:rPr>
          <w:rFonts w:ascii="宋体" w:hAnsi="宋体" w:eastAsia="宋体" w:cs="宋体"/>
          <w:color w:val="000000" w:themeColor="text1"/>
          <w14:textFill>
            <w14:solidFill>
              <w14:schemeClr w14:val="tx1"/>
            </w14:solidFill>
          </w14:textFill>
        </w:rPr>
      </w:pPr>
    </w:p>
    <w:p>
      <w:pPr>
        <w:pStyle w:val="18"/>
        <w:rPr>
          <w:rFonts w:ascii="宋体" w:hAnsi="宋体" w:eastAsia="宋体" w:cs="宋体"/>
          <w:color w:val="000000" w:themeColor="text1"/>
          <w14:textFill>
            <w14:solidFill>
              <w14:schemeClr w14:val="tx1"/>
            </w14:solidFill>
          </w14:textFill>
        </w:rPr>
      </w:pPr>
    </w:p>
    <w:p>
      <w:pPr>
        <w:pStyle w:val="18"/>
        <w:rPr>
          <w:rFonts w:ascii="宋体" w:hAnsi="宋体" w:eastAsia="宋体" w:cs="宋体"/>
          <w:color w:val="000000" w:themeColor="text1"/>
          <w14:textFill>
            <w14:solidFill>
              <w14:schemeClr w14:val="tx1"/>
            </w14:solidFill>
          </w14:textFill>
        </w:rPr>
      </w:pPr>
    </w:p>
    <w:p>
      <w:pPr>
        <w:pStyle w:val="18"/>
        <w:rPr>
          <w:rFonts w:ascii="宋体" w:hAnsi="宋体" w:eastAsia="宋体" w:cs="宋体"/>
          <w:color w:val="000000" w:themeColor="text1"/>
          <w14:textFill>
            <w14:solidFill>
              <w14:schemeClr w14:val="tx1"/>
            </w14:solidFill>
          </w14:textFill>
        </w:rPr>
      </w:pPr>
    </w:p>
    <w:p>
      <w:pPr>
        <w:pStyle w:val="18"/>
        <w:rPr>
          <w:rFonts w:ascii="宋体" w:hAnsi="宋体" w:eastAsia="宋体" w:cs="宋体"/>
          <w:color w:val="000000" w:themeColor="text1"/>
          <w14:textFill>
            <w14:solidFill>
              <w14:schemeClr w14:val="tx1"/>
            </w14:solidFill>
          </w14:textFill>
        </w:rPr>
      </w:pPr>
    </w:p>
    <w:p>
      <w:pPr>
        <w:pStyle w:val="18"/>
        <w:rPr>
          <w:rFonts w:ascii="宋体" w:hAnsi="宋体" w:eastAsia="宋体" w:cs="宋体"/>
          <w:color w:val="000000" w:themeColor="text1"/>
          <w14:textFill>
            <w14:solidFill>
              <w14:schemeClr w14:val="tx1"/>
            </w14:solidFill>
          </w14:textFill>
        </w:rPr>
      </w:pPr>
    </w:p>
    <w:p>
      <w:pPr>
        <w:pStyle w:val="18"/>
        <w:rPr>
          <w:rFonts w:ascii="宋体" w:hAnsi="宋体" w:eastAsia="宋体" w:cs="宋体"/>
          <w:color w:val="000000" w:themeColor="text1"/>
          <w14:textFill>
            <w14:solidFill>
              <w14:schemeClr w14:val="tx1"/>
            </w14:solidFill>
          </w14:textFill>
        </w:rPr>
      </w:pPr>
    </w:p>
    <w:p>
      <w:pPr>
        <w:pStyle w:val="18"/>
        <w:rPr>
          <w:rFonts w:ascii="宋体" w:hAnsi="宋体" w:eastAsia="宋体" w:cs="宋体"/>
          <w:color w:val="000000" w:themeColor="text1"/>
          <w14:textFill>
            <w14:solidFill>
              <w14:schemeClr w14:val="tx1"/>
            </w14:solidFill>
          </w14:textFill>
        </w:rPr>
      </w:pPr>
    </w:p>
    <w:p>
      <w:pPr>
        <w:pStyle w:val="18"/>
        <w:rPr>
          <w:rFonts w:ascii="宋体" w:hAnsi="宋体" w:eastAsia="宋体" w:cs="宋体"/>
          <w:color w:val="000000" w:themeColor="text1"/>
          <w14:textFill>
            <w14:solidFill>
              <w14:schemeClr w14:val="tx1"/>
            </w14:solidFill>
          </w14:textFill>
        </w:rPr>
      </w:pPr>
    </w:p>
    <w:p>
      <w:pPr>
        <w:snapToGrid w:val="0"/>
        <w:spacing w:before="50" w:after="50"/>
        <w:jc w:val="center"/>
        <w:outlineLvl w:val="0"/>
        <w:rPr>
          <w:rFonts w:ascii="宋体" w:hAnsi="宋体" w:cs="宋体"/>
          <w:color w:val="000000" w:themeColor="text1"/>
          <w:sz w:val="32"/>
          <w:szCs w:val="32"/>
          <w14:textFill>
            <w14:solidFill>
              <w14:schemeClr w14:val="tx1"/>
            </w14:solidFill>
          </w14:textFill>
        </w:rPr>
      </w:pPr>
      <w:bookmarkStart w:id="263" w:name="_Toc24759"/>
      <w:r>
        <w:rPr>
          <w:rFonts w:hint="eastAsia" w:ascii="宋体" w:hAnsi="宋体" w:cs="宋体"/>
          <w:color w:val="000000" w:themeColor="text1"/>
          <w:sz w:val="32"/>
          <w:szCs w:val="32"/>
          <w14:textFill>
            <w14:solidFill>
              <w14:schemeClr w14:val="tx1"/>
            </w14:solidFill>
          </w14:textFill>
        </w:rPr>
        <w:t>十、中小企业声明函</w:t>
      </w:r>
      <w:bookmarkEnd w:id="263"/>
    </w:p>
    <w:p>
      <w:pPr>
        <w:pStyle w:val="40"/>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r>
        <w:rPr>
          <w:rFonts w:hint="eastAsia"/>
          <w:b/>
          <w:color w:val="000000" w:themeColor="text1"/>
          <w:shd w:val="clear" w:color="auto" w:fill="FFFFFF"/>
          <w14:textFill>
            <w14:solidFill>
              <w14:schemeClr w14:val="tx1"/>
            </w14:solidFill>
          </w14:textFill>
        </w:rPr>
        <w:t>附1</w:t>
      </w:r>
    </w:p>
    <w:p>
      <w:pPr>
        <w:pStyle w:val="40"/>
        <w:shd w:val="clear" w:color="auto" w:fill="FFFFFF"/>
        <w:spacing w:before="0" w:beforeAutospacing="0" w:after="0" w:afterAutospacing="0" w:line="560" w:lineRule="atLeast"/>
        <w:jc w:val="center"/>
        <w:rPr>
          <w:rFonts w:ascii="Times New Roman" w:hAnsi="Times New Roman" w:cs="Times New Roman"/>
          <w:color w:val="000000" w:themeColor="text1"/>
          <w:sz w:val="21"/>
          <w:szCs w:val="21"/>
          <w14:textFill>
            <w14:solidFill>
              <w14:schemeClr w14:val="tx1"/>
            </w14:solidFill>
          </w14:textFill>
        </w:rPr>
      </w:pPr>
      <w:r>
        <w:rPr>
          <w:rFonts w:hint="eastAsia"/>
          <w:b/>
          <w:color w:val="000000" w:themeColor="text1"/>
          <w:shd w:val="clear" w:color="auto" w:fill="FFFFFF"/>
          <w14:textFill>
            <w14:solidFill>
              <w14:schemeClr w14:val="tx1"/>
            </w14:solidFill>
          </w14:textFill>
        </w:rPr>
        <w:t>中小企业声明函（货物）</w:t>
      </w:r>
    </w:p>
    <w:p>
      <w:pPr>
        <w:pStyle w:val="40"/>
        <w:shd w:val="clear" w:color="auto" w:fill="FFFFFF"/>
        <w:spacing w:before="0" w:beforeAutospacing="0" w:after="0" w:afterAutospacing="0" w:line="560" w:lineRule="atLeast"/>
        <w:jc w:val="center"/>
        <w:rPr>
          <w:rFonts w:ascii="Times New Roman" w:hAnsi="Times New Roman" w:cs="Times New Roman"/>
          <w:color w:val="000000" w:themeColor="text1"/>
          <w:sz w:val="21"/>
          <w:szCs w:val="21"/>
          <w14:textFill>
            <w14:solidFill>
              <w14:schemeClr w14:val="tx1"/>
            </w14:solidFill>
          </w14:textFill>
        </w:rPr>
      </w:pPr>
    </w:p>
    <w:p>
      <w:pPr>
        <w:pStyle w:val="40"/>
        <w:shd w:val="clear" w:color="auto" w:fill="FFFFFF"/>
        <w:adjustRightInd w:val="0"/>
        <w:snapToGrid w:val="0"/>
        <w:spacing w:before="0" w:beforeAutospacing="0" w:after="0" w:afterAutospacing="0" w:line="360" w:lineRule="auto"/>
        <w:ind w:firstLine="480"/>
        <w:rPr>
          <w:rFonts w:ascii="Times New Roman" w:hAnsi="Times New Roman" w:cs="Times New Roman"/>
          <w:color w:val="000000" w:themeColor="text1"/>
          <w14:textFill>
            <w14:solidFill>
              <w14:schemeClr w14:val="tx1"/>
            </w14:solidFill>
          </w14:textFill>
        </w:rPr>
      </w:pPr>
      <w:r>
        <w:rPr>
          <w:rFonts w:hint="eastAsia"/>
          <w:color w:val="000000" w:themeColor="text1"/>
          <w:shd w:val="clear" w:color="auto" w:fill="FFFFFF"/>
          <w14:textFill>
            <w14:solidFill>
              <w14:schemeClr w14:val="tx1"/>
            </w14:solidFill>
          </w14:textFill>
        </w:rPr>
        <w:t>本公司（联合体）郑重声明，根据《政府采购促进中小企业发展管理办法》（财库﹝2020﹞46 号）的规定，本公司（联合体）参加</w:t>
      </w:r>
      <w:r>
        <w:rPr>
          <w:rFonts w:hint="eastAsia"/>
          <w:color w:val="000000" w:themeColor="text1"/>
          <w:u w:val="single"/>
          <w:shd w:val="clear" w:color="auto" w:fill="FFFFFF"/>
          <w14:textFill>
            <w14:solidFill>
              <w14:schemeClr w14:val="tx1"/>
            </w14:solidFill>
          </w14:textFill>
        </w:rPr>
        <w:t>（单位名称）</w:t>
      </w:r>
      <w:r>
        <w:rPr>
          <w:rFonts w:hint="eastAsia"/>
          <w:color w:val="000000" w:themeColor="text1"/>
          <w:shd w:val="clear" w:color="auto" w:fill="FFFFFF"/>
          <w14:textFill>
            <w14:solidFill>
              <w14:schemeClr w14:val="tx1"/>
            </w14:solidFill>
          </w14:textFill>
        </w:rPr>
        <w:t>的</w:t>
      </w:r>
      <w:r>
        <w:rPr>
          <w:rFonts w:hint="eastAsia"/>
          <w:color w:val="000000" w:themeColor="text1"/>
          <w:u w:val="single"/>
          <w:shd w:val="clear" w:color="auto" w:fill="FFFFFF"/>
          <w14:textFill>
            <w14:solidFill>
              <w14:schemeClr w14:val="tx1"/>
            </w14:solidFill>
          </w14:textFill>
        </w:rPr>
        <w:t>（项目名称）</w:t>
      </w:r>
      <w:r>
        <w:rPr>
          <w:rFonts w:hint="eastAsia"/>
          <w:color w:val="000000" w:themeColor="text1"/>
          <w:shd w:val="clear" w:color="auto" w:fill="FFFFFF"/>
          <w14:textFill>
            <w14:solidFill>
              <w14:schemeClr w14:val="tx1"/>
            </w14:solidFill>
          </w14:textFill>
        </w:rPr>
        <w:t>采购活动，提供的货物全部由符合政策要求的中小企业制造。相关企业（含联合体中的中小企业、签订分包意向协议的中小企业）的具体情况如下：</w:t>
      </w:r>
    </w:p>
    <w:p>
      <w:pPr>
        <w:pStyle w:val="40"/>
        <w:shd w:val="clear" w:color="auto" w:fill="FFFFFF"/>
        <w:adjustRightInd w:val="0"/>
        <w:snapToGrid w:val="0"/>
        <w:spacing w:before="0" w:beforeAutospacing="0" w:after="0" w:afterAutospacing="0" w:line="360" w:lineRule="auto"/>
        <w:ind w:firstLine="480"/>
        <w:rPr>
          <w:rFonts w:ascii="Times New Roman" w:hAnsi="Times New Roman" w:cs="Times New Roman"/>
          <w:color w:val="000000" w:themeColor="text1"/>
          <w14:textFill>
            <w14:solidFill>
              <w14:schemeClr w14:val="tx1"/>
            </w14:solidFill>
          </w14:textFill>
        </w:rPr>
      </w:pPr>
      <w:r>
        <w:rPr>
          <w:rFonts w:hint="eastAsia"/>
          <w:color w:val="000000" w:themeColor="text1"/>
          <w:shd w:val="clear" w:color="auto" w:fill="FFFFFF"/>
          <w14:textFill>
            <w14:solidFill>
              <w14:schemeClr w14:val="tx1"/>
            </w14:solidFill>
          </w14:textFill>
        </w:rPr>
        <w:t>1.</w:t>
      </w:r>
      <w:r>
        <w:rPr>
          <w:rFonts w:hint="eastAsia"/>
          <w:color w:val="000000" w:themeColor="text1"/>
          <w:u w:val="single"/>
          <w:shd w:val="clear" w:color="auto" w:fill="FFFFFF"/>
          <w14:textFill>
            <w14:solidFill>
              <w14:schemeClr w14:val="tx1"/>
            </w14:solidFill>
          </w14:textFill>
        </w:rPr>
        <w:t xml:space="preserve">（标的名称） </w:t>
      </w:r>
      <w:r>
        <w:rPr>
          <w:rFonts w:hint="eastAsia"/>
          <w:color w:val="000000" w:themeColor="text1"/>
          <w:shd w:val="clear" w:color="auto" w:fill="FFFFFF"/>
          <w14:textFill>
            <w14:solidFill>
              <w14:schemeClr w14:val="tx1"/>
            </w14:solidFill>
          </w14:textFill>
        </w:rPr>
        <w:t>，属于</w:t>
      </w:r>
      <w:r>
        <w:rPr>
          <w:rFonts w:hint="eastAsia"/>
          <w:color w:val="000000" w:themeColor="text1"/>
          <w:u w:val="single"/>
          <w:shd w:val="clear" w:color="auto" w:fill="FFFFFF"/>
          <w14:textFill>
            <w14:solidFill>
              <w14:schemeClr w14:val="tx1"/>
            </w14:solidFill>
          </w14:textFill>
        </w:rPr>
        <w:t>（采购文件中明确的所属行业）</w:t>
      </w:r>
      <w:r>
        <w:rPr>
          <w:rFonts w:hint="eastAsia"/>
          <w:color w:val="000000" w:themeColor="text1"/>
          <w:shd w:val="clear" w:color="auto" w:fill="FFFFFF"/>
          <w14:textFill>
            <w14:solidFill>
              <w14:schemeClr w14:val="tx1"/>
            </w14:solidFill>
          </w14:textFill>
        </w:rPr>
        <w:t>行业；制造商为</w:t>
      </w:r>
      <w:r>
        <w:rPr>
          <w:rFonts w:hint="eastAsia"/>
          <w:color w:val="000000" w:themeColor="text1"/>
          <w:u w:val="single"/>
          <w:shd w:val="clear" w:color="auto" w:fill="FFFFFF"/>
          <w14:textFill>
            <w14:solidFill>
              <w14:schemeClr w14:val="tx1"/>
            </w14:solidFill>
          </w14:textFill>
        </w:rPr>
        <w:t>（企业名称）</w:t>
      </w:r>
      <w:r>
        <w:rPr>
          <w:rFonts w:hint="eastAsia"/>
          <w:color w:val="000000" w:themeColor="text1"/>
          <w:shd w:val="clear" w:color="auto" w:fill="FFFFFF"/>
          <w14:textFill>
            <w14:solidFill>
              <w14:schemeClr w14:val="tx1"/>
            </w14:solidFill>
          </w14:textFill>
        </w:rPr>
        <w:t>，从业人员人，营业收入为万元，资产总额为万元，属于</w:t>
      </w:r>
      <w:r>
        <w:rPr>
          <w:rFonts w:hint="eastAsia"/>
          <w:color w:val="000000" w:themeColor="text1"/>
          <w:u w:val="single"/>
          <w:shd w:val="clear" w:color="auto" w:fill="FFFFFF"/>
          <w14:textFill>
            <w14:solidFill>
              <w14:schemeClr w14:val="tx1"/>
            </w14:solidFill>
          </w14:textFill>
        </w:rPr>
        <w:t>（中型企业、小型企业、微型企业）</w:t>
      </w:r>
      <w:r>
        <w:rPr>
          <w:rFonts w:hint="eastAsia"/>
          <w:color w:val="000000" w:themeColor="text1"/>
          <w:shd w:val="clear" w:color="auto" w:fill="FFFFFF"/>
          <w14:textFill>
            <w14:solidFill>
              <w14:schemeClr w14:val="tx1"/>
            </w14:solidFill>
          </w14:textFill>
        </w:rPr>
        <w:t>；</w:t>
      </w:r>
    </w:p>
    <w:p>
      <w:pPr>
        <w:pStyle w:val="40"/>
        <w:shd w:val="clear" w:color="auto" w:fill="FFFFFF"/>
        <w:adjustRightInd w:val="0"/>
        <w:snapToGrid w:val="0"/>
        <w:spacing w:before="0" w:beforeAutospacing="0" w:after="0" w:afterAutospacing="0" w:line="360" w:lineRule="auto"/>
        <w:ind w:firstLine="840"/>
        <w:rPr>
          <w:rFonts w:ascii="Times New Roman" w:hAnsi="Times New Roman" w:cs="Times New Roman"/>
          <w:color w:val="000000" w:themeColor="text1"/>
          <w14:textFill>
            <w14:solidFill>
              <w14:schemeClr w14:val="tx1"/>
            </w14:solidFill>
          </w14:textFill>
        </w:rPr>
      </w:pPr>
      <w:r>
        <w:rPr>
          <w:rFonts w:hint="eastAsia"/>
          <w:color w:val="000000" w:themeColor="text1"/>
          <w:u w:val="single"/>
          <w:shd w:val="clear" w:color="auto" w:fill="FFFFFF"/>
          <w14:textFill>
            <w14:solidFill>
              <w14:schemeClr w14:val="tx1"/>
            </w14:solidFill>
          </w14:textFill>
        </w:rPr>
        <w:t xml:space="preserve">（标的名称） </w:t>
      </w:r>
      <w:r>
        <w:rPr>
          <w:rFonts w:hint="eastAsia"/>
          <w:color w:val="000000" w:themeColor="text1"/>
          <w:shd w:val="clear" w:color="auto" w:fill="FFFFFF"/>
          <w14:textFill>
            <w14:solidFill>
              <w14:schemeClr w14:val="tx1"/>
            </w14:solidFill>
          </w14:textFill>
        </w:rPr>
        <w:t>，属于</w:t>
      </w:r>
      <w:r>
        <w:rPr>
          <w:rFonts w:hint="eastAsia"/>
          <w:color w:val="000000" w:themeColor="text1"/>
          <w:u w:val="single"/>
          <w:shd w:val="clear" w:color="auto" w:fill="FFFFFF"/>
          <w14:textFill>
            <w14:solidFill>
              <w14:schemeClr w14:val="tx1"/>
            </w14:solidFill>
          </w14:textFill>
        </w:rPr>
        <w:t>（采购文件中明确的所属行业）</w:t>
      </w:r>
      <w:r>
        <w:rPr>
          <w:rFonts w:hint="eastAsia"/>
          <w:color w:val="000000" w:themeColor="text1"/>
          <w:shd w:val="clear" w:color="auto" w:fill="FFFFFF"/>
          <w14:textFill>
            <w14:solidFill>
              <w14:schemeClr w14:val="tx1"/>
            </w14:solidFill>
          </w14:textFill>
        </w:rPr>
        <w:t>行业；制造商为</w:t>
      </w:r>
      <w:r>
        <w:rPr>
          <w:rFonts w:hint="eastAsia"/>
          <w:color w:val="000000" w:themeColor="text1"/>
          <w:u w:val="single"/>
          <w:shd w:val="clear" w:color="auto" w:fill="FFFFFF"/>
          <w14:textFill>
            <w14:solidFill>
              <w14:schemeClr w14:val="tx1"/>
            </w14:solidFill>
          </w14:textFill>
        </w:rPr>
        <w:t>（企业名称）</w:t>
      </w:r>
      <w:r>
        <w:rPr>
          <w:rFonts w:hint="eastAsia"/>
          <w:color w:val="000000" w:themeColor="text1"/>
          <w:shd w:val="clear" w:color="auto" w:fill="FFFFFF"/>
          <w14:textFill>
            <w14:solidFill>
              <w14:schemeClr w14:val="tx1"/>
            </w14:solidFill>
          </w14:textFill>
        </w:rPr>
        <w:t>，从业人员人，营业收入为万元，资产总额为万元，属于</w:t>
      </w:r>
      <w:r>
        <w:rPr>
          <w:rFonts w:hint="eastAsia"/>
          <w:color w:val="000000" w:themeColor="text1"/>
          <w:u w:val="single"/>
          <w:shd w:val="clear" w:color="auto" w:fill="FFFFFF"/>
          <w14:textFill>
            <w14:solidFill>
              <w14:schemeClr w14:val="tx1"/>
            </w14:solidFill>
          </w14:textFill>
        </w:rPr>
        <w:t>（中型企业、小型企业、微型企业）</w:t>
      </w:r>
      <w:r>
        <w:rPr>
          <w:rFonts w:hint="eastAsia"/>
          <w:color w:val="000000" w:themeColor="text1"/>
          <w:shd w:val="clear" w:color="auto" w:fill="FFFFFF"/>
          <w14:textFill>
            <w14:solidFill>
              <w14:schemeClr w14:val="tx1"/>
            </w14:solidFill>
          </w14:textFill>
        </w:rPr>
        <w:t>；</w:t>
      </w:r>
    </w:p>
    <w:p>
      <w:pPr>
        <w:pStyle w:val="40"/>
        <w:shd w:val="clear" w:color="auto" w:fill="FFFFFF"/>
        <w:adjustRightInd w:val="0"/>
        <w:snapToGrid w:val="0"/>
        <w:spacing w:before="0" w:beforeAutospacing="0" w:after="0" w:afterAutospacing="0" w:line="360" w:lineRule="auto"/>
        <w:ind w:firstLine="480"/>
        <w:rPr>
          <w:rFonts w:ascii="Times New Roman" w:hAnsi="Times New Roman" w:cs="Times New Roman"/>
          <w:color w:val="000000" w:themeColor="text1"/>
          <w14:textFill>
            <w14:solidFill>
              <w14:schemeClr w14:val="tx1"/>
            </w14:solidFill>
          </w14:textFill>
        </w:rPr>
      </w:pPr>
      <w:r>
        <w:rPr>
          <w:rFonts w:hint="eastAsia"/>
          <w:color w:val="000000" w:themeColor="text1"/>
          <w:shd w:val="clear" w:color="auto" w:fill="FFFFFF"/>
          <w14:textFill>
            <w14:solidFill>
              <w14:schemeClr w14:val="tx1"/>
            </w14:solidFill>
          </w14:textFill>
        </w:rPr>
        <w:t>……</w:t>
      </w:r>
    </w:p>
    <w:p>
      <w:pPr>
        <w:pStyle w:val="40"/>
        <w:shd w:val="clear" w:color="auto" w:fill="FFFFFF"/>
        <w:adjustRightInd w:val="0"/>
        <w:snapToGrid w:val="0"/>
        <w:spacing w:before="0" w:beforeAutospacing="0" w:after="0" w:afterAutospacing="0" w:line="360" w:lineRule="auto"/>
        <w:ind w:firstLine="480"/>
        <w:rPr>
          <w:rFonts w:ascii="Times New Roman" w:hAnsi="Times New Roman" w:cs="Times New Roman"/>
          <w:color w:val="000000" w:themeColor="text1"/>
          <w14:textFill>
            <w14:solidFill>
              <w14:schemeClr w14:val="tx1"/>
            </w14:solidFill>
          </w14:textFill>
        </w:rPr>
      </w:pPr>
      <w:r>
        <w:rPr>
          <w:rFonts w:hint="eastAsia"/>
          <w:color w:val="000000" w:themeColor="text1"/>
          <w:shd w:val="clear" w:color="auto" w:fill="FFFFFF"/>
          <w14:textFill>
            <w14:solidFill>
              <w14:schemeClr w14:val="tx1"/>
            </w14:solidFill>
          </w14:textFill>
        </w:rPr>
        <w:t>以上企业，不属于大企业的分支机构，不存在控股股东为大企业的情形，也不存在与大企业的负责人为同一人的情形。</w:t>
      </w:r>
    </w:p>
    <w:p>
      <w:pPr>
        <w:pStyle w:val="40"/>
        <w:shd w:val="clear" w:color="auto" w:fill="FFFFFF"/>
        <w:adjustRightInd w:val="0"/>
        <w:snapToGrid w:val="0"/>
        <w:spacing w:before="0" w:beforeAutospacing="0" w:after="0" w:afterAutospacing="0" w:line="360" w:lineRule="auto"/>
        <w:ind w:firstLine="480"/>
        <w:rPr>
          <w:rFonts w:ascii="Times New Roman" w:hAnsi="Times New Roman" w:cs="Times New Roman"/>
          <w:color w:val="000000" w:themeColor="text1"/>
          <w14:textFill>
            <w14:solidFill>
              <w14:schemeClr w14:val="tx1"/>
            </w14:solidFill>
          </w14:textFill>
        </w:rPr>
      </w:pPr>
      <w:r>
        <w:rPr>
          <w:rFonts w:hint="eastAsia"/>
          <w:color w:val="000000" w:themeColor="text1"/>
          <w:shd w:val="clear" w:color="auto" w:fill="FFFFFF"/>
          <w14:textFill>
            <w14:solidFill>
              <w14:schemeClr w14:val="tx1"/>
            </w14:solidFill>
          </w14:textFill>
        </w:rPr>
        <w:t>本企业对上述声明内容的真实性负责。如有虚假，将依法承担相应责任。</w:t>
      </w:r>
    </w:p>
    <w:p>
      <w:pPr>
        <w:pStyle w:val="40"/>
        <w:shd w:val="clear" w:color="auto" w:fill="FFFFFF"/>
        <w:adjustRightInd w:val="0"/>
        <w:snapToGrid w:val="0"/>
        <w:spacing w:before="0" w:beforeAutospacing="0" w:after="0" w:afterAutospacing="0" w:line="360" w:lineRule="auto"/>
        <w:ind w:firstLine="4080"/>
        <w:rPr>
          <w:rFonts w:ascii="Times New Roman" w:hAnsi="Times New Roman" w:cs="Times New Roman"/>
          <w:color w:val="000000" w:themeColor="text1"/>
          <w14:textFill>
            <w14:solidFill>
              <w14:schemeClr w14:val="tx1"/>
            </w14:solidFill>
          </w14:textFill>
        </w:rPr>
      </w:pPr>
      <w:r>
        <w:rPr>
          <w:rFonts w:hint="eastAsia"/>
          <w:color w:val="000000" w:themeColor="text1"/>
          <w:shd w:val="clear" w:color="auto" w:fill="FFFFFF"/>
          <w14:textFill>
            <w14:solidFill>
              <w14:schemeClr w14:val="tx1"/>
            </w14:solidFill>
          </w14:textFill>
        </w:rPr>
        <w:t>企业名称（盖章）：</w:t>
      </w:r>
    </w:p>
    <w:p>
      <w:pPr>
        <w:pStyle w:val="40"/>
        <w:shd w:val="clear" w:color="auto" w:fill="FFFFFF"/>
        <w:adjustRightInd w:val="0"/>
        <w:snapToGrid w:val="0"/>
        <w:spacing w:before="0" w:beforeAutospacing="0" w:after="0" w:afterAutospacing="0" w:line="360" w:lineRule="auto"/>
        <w:ind w:firstLine="4080"/>
        <w:rPr>
          <w:rFonts w:ascii="Times New Roman" w:hAnsi="Times New Roman" w:cs="Times New Roman"/>
          <w:color w:val="000000" w:themeColor="text1"/>
          <w14:textFill>
            <w14:solidFill>
              <w14:schemeClr w14:val="tx1"/>
            </w14:solidFill>
          </w14:textFill>
        </w:rPr>
      </w:pPr>
      <w:r>
        <w:rPr>
          <w:rFonts w:hint="eastAsia"/>
          <w:color w:val="000000" w:themeColor="text1"/>
          <w:shd w:val="clear" w:color="auto" w:fill="FFFFFF"/>
          <w14:textFill>
            <w14:solidFill>
              <w14:schemeClr w14:val="tx1"/>
            </w14:solidFill>
          </w14:textFill>
        </w:rPr>
        <w:t>日期：</w:t>
      </w:r>
    </w:p>
    <w:p>
      <w:pPr>
        <w:pStyle w:val="40"/>
        <w:shd w:val="clear" w:color="auto" w:fill="FFFFFF"/>
        <w:adjustRightInd w:val="0"/>
        <w:snapToGrid w:val="0"/>
        <w:spacing w:before="0" w:beforeAutospacing="0" w:after="0" w:afterAutospacing="0" w:line="360" w:lineRule="auto"/>
        <w:rPr>
          <w:rFonts w:ascii="Times New Roman" w:hAnsi="Times New Roman" w:cs="Times New Roman"/>
          <w:color w:val="000000" w:themeColor="text1"/>
          <w14:textFill>
            <w14:solidFill>
              <w14:schemeClr w14:val="tx1"/>
            </w14:solidFill>
          </w14:textFill>
        </w:rPr>
      </w:pPr>
      <w:r>
        <w:rPr>
          <w:rFonts w:hint="eastAsia"/>
          <w:b/>
          <w:color w:val="000000" w:themeColor="text1"/>
          <w:shd w:val="clear" w:color="auto" w:fill="FFFFFF"/>
          <w14:textFill>
            <w14:solidFill>
              <w14:schemeClr w14:val="tx1"/>
            </w14:solidFill>
          </w14:textFill>
        </w:rPr>
        <w:t>从业人员、营业收入、资产总额填报上一年度数据，无上一年度数据的新成立企业可不填报。</w:t>
      </w:r>
    </w:p>
    <w:p>
      <w:pPr>
        <w:pStyle w:val="40"/>
        <w:shd w:val="clear" w:color="auto" w:fill="FFFFFF"/>
        <w:spacing w:before="0" w:beforeAutospacing="0" w:after="0" w:afterAutospacing="0" w:line="560" w:lineRule="atLeast"/>
        <w:jc w:val="center"/>
        <w:rPr>
          <w:rFonts w:ascii="Times New Roman" w:hAnsi="Times New Roman" w:cs="Times New Roman"/>
          <w:color w:val="000000" w:themeColor="text1"/>
          <w:sz w:val="21"/>
          <w:szCs w:val="21"/>
          <w14:textFill>
            <w14:solidFill>
              <w14:schemeClr w14:val="tx1"/>
            </w14:solidFill>
          </w14:textFill>
        </w:rPr>
      </w:pPr>
    </w:p>
    <w:p>
      <w:pPr>
        <w:pStyle w:val="40"/>
        <w:shd w:val="clear" w:color="auto" w:fill="FFFFFF"/>
        <w:spacing w:before="0" w:beforeAutospacing="0" w:after="0" w:afterAutospacing="0" w:line="560" w:lineRule="atLeast"/>
        <w:jc w:val="center"/>
        <w:rPr>
          <w:rFonts w:ascii="Times New Roman" w:hAnsi="Times New Roman" w:cs="Times New Roman"/>
          <w:color w:val="000000" w:themeColor="text1"/>
          <w:sz w:val="21"/>
          <w:szCs w:val="21"/>
          <w14:textFill>
            <w14:solidFill>
              <w14:schemeClr w14:val="tx1"/>
            </w14:solidFill>
          </w14:textFill>
        </w:rPr>
      </w:pPr>
    </w:p>
    <w:p>
      <w:pPr>
        <w:pStyle w:val="40"/>
        <w:shd w:val="clear" w:color="auto" w:fill="FFFFFF"/>
        <w:spacing w:before="0" w:beforeAutospacing="0" w:after="0" w:afterAutospacing="0" w:line="560" w:lineRule="atLeast"/>
        <w:jc w:val="center"/>
        <w:rPr>
          <w:rFonts w:ascii="Times New Roman" w:hAnsi="Times New Roman" w:cs="Times New Roman"/>
          <w:color w:val="000000" w:themeColor="text1"/>
          <w:sz w:val="21"/>
          <w:szCs w:val="21"/>
          <w14:textFill>
            <w14:solidFill>
              <w14:schemeClr w14:val="tx1"/>
            </w14:solidFill>
          </w14:textFill>
        </w:rPr>
      </w:pPr>
    </w:p>
    <w:p>
      <w:pPr>
        <w:pStyle w:val="40"/>
        <w:shd w:val="clear" w:color="auto" w:fill="FFFFFF"/>
        <w:spacing w:before="0" w:beforeAutospacing="0" w:after="0" w:afterAutospacing="0" w:line="560" w:lineRule="atLeast"/>
        <w:jc w:val="center"/>
        <w:rPr>
          <w:rFonts w:ascii="Times New Roman" w:hAnsi="Times New Roman" w:cs="Times New Roman"/>
          <w:color w:val="000000" w:themeColor="text1"/>
          <w:sz w:val="21"/>
          <w:szCs w:val="21"/>
          <w14:textFill>
            <w14:solidFill>
              <w14:schemeClr w14:val="tx1"/>
            </w14:solidFill>
          </w14:textFill>
        </w:rPr>
      </w:pPr>
    </w:p>
    <w:p>
      <w:pPr>
        <w:pStyle w:val="40"/>
        <w:shd w:val="clear" w:color="auto" w:fill="FFFFFF"/>
        <w:spacing w:before="0" w:beforeAutospacing="0" w:after="0" w:afterAutospacing="0" w:line="560" w:lineRule="atLeast"/>
        <w:jc w:val="center"/>
        <w:rPr>
          <w:rFonts w:ascii="Times New Roman" w:hAnsi="Times New Roman" w:cs="Times New Roman"/>
          <w:color w:val="000000" w:themeColor="text1"/>
          <w:sz w:val="21"/>
          <w:szCs w:val="21"/>
          <w14:textFill>
            <w14:solidFill>
              <w14:schemeClr w14:val="tx1"/>
            </w14:solidFill>
          </w14:textFill>
        </w:rPr>
      </w:pPr>
    </w:p>
    <w:p>
      <w:pPr>
        <w:pStyle w:val="40"/>
        <w:shd w:val="clear" w:color="auto" w:fill="FFFFFF"/>
        <w:spacing w:before="0" w:beforeAutospacing="0" w:after="0" w:afterAutospacing="0" w:line="560" w:lineRule="atLeast"/>
        <w:jc w:val="center"/>
        <w:rPr>
          <w:rFonts w:ascii="Times New Roman" w:hAnsi="Times New Roman" w:cs="Times New Roman"/>
          <w:color w:val="000000" w:themeColor="text1"/>
          <w:sz w:val="21"/>
          <w:szCs w:val="21"/>
          <w14:textFill>
            <w14:solidFill>
              <w14:schemeClr w14:val="tx1"/>
            </w14:solidFill>
          </w14:textFill>
        </w:rPr>
      </w:pPr>
    </w:p>
    <w:p>
      <w:pPr>
        <w:pStyle w:val="40"/>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40"/>
        <w:shd w:val="clear" w:color="auto" w:fill="FFFFFF"/>
        <w:spacing w:before="0" w:beforeAutospacing="0" w:after="0" w:afterAutospacing="0" w:line="560" w:lineRule="atLeast"/>
        <w:jc w:val="center"/>
        <w:rPr>
          <w:rFonts w:ascii="Times New Roman" w:hAnsi="Times New Roman" w:cs="Times New Roman"/>
          <w:color w:val="000000" w:themeColor="text1"/>
          <w:sz w:val="21"/>
          <w:szCs w:val="21"/>
          <w14:textFill>
            <w14:solidFill>
              <w14:schemeClr w14:val="tx1"/>
            </w14:solidFill>
          </w14:textFill>
        </w:rPr>
      </w:pPr>
      <w:r>
        <w:rPr>
          <w:rFonts w:hint="eastAsia"/>
          <w:b/>
          <w:color w:val="000000" w:themeColor="text1"/>
          <w:shd w:val="clear" w:color="auto" w:fill="FFFFFF"/>
          <w14:textFill>
            <w14:solidFill>
              <w14:schemeClr w14:val="tx1"/>
            </w14:solidFill>
          </w14:textFill>
        </w:rPr>
        <w:t>中小企业声明函（工程、服务）</w:t>
      </w:r>
    </w:p>
    <w:p>
      <w:pPr>
        <w:pStyle w:val="40"/>
        <w:shd w:val="clear" w:color="auto" w:fill="FFFFFF"/>
        <w:spacing w:before="0" w:beforeAutospacing="0" w:after="0" w:afterAutospacing="0" w:line="560" w:lineRule="atLeast"/>
        <w:jc w:val="both"/>
        <w:rPr>
          <w:rFonts w:ascii="Times New Roman" w:hAnsi="Times New Roman" w:cs="Times New Roman"/>
          <w:color w:val="000000" w:themeColor="text1"/>
          <w:sz w:val="21"/>
          <w:szCs w:val="21"/>
          <w14:textFill>
            <w14:solidFill>
              <w14:schemeClr w14:val="tx1"/>
            </w14:solidFill>
          </w14:textFill>
        </w:rPr>
      </w:pPr>
    </w:p>
    <w:p>
      <w:pPr>
        <w:pStyle w:val="40"/>
        <w:shd w:val="clear" w:color="auto" w:fill="FFFFFF"/>
        <w:adjustRightInd w:val="0"/>
        <w:snapToGrid w:val="0"/>
        <w:spacing w:before="0" w:beforeAutospacing="0" w:after="0" w:afterAutospacing="0" w:line="360" w:lineRule="auto"/>
        <w:ind w:firstLine="480"/>
        <w:rPr>
          <w:rFonts w:ascii="Times New Roman" w:hAnsi="Times New Roman" w:cs="Times New Roman"/>
          <w:color w:val="000000" w:themeColor="text1"/>
          <w14:textFill>
            <w14:solidFill>
              <w14:schemeClr w14:val="tx1"/>
            </w14:solidFill>
          </w14:textFill>
        </w:rPr>
      </w:pPr>
      <w:r>
        <w:rPr>
          <w:rFonts w:hint="eastAsia"/>
          <w:color w:val="000000" w:themeColor="text1"/>
          <w:shd w:val="clear" w:color="auto" w:fill="FFFFFF"/>
          <w14:textFill>
            <w14:solidFill>
              <w14:schemeClr w14:val="tx1"/>
            </w14:solidFill>
          </w14:textFill>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pPr>
        <w:pStyle w:val="40"/>
        <w:shd w:val="clear" w:color="auto" w:fill="FFFFFF"/>
        <w:adjustRightInd w:val="0"/>
        <w:snapToGrid w:val="0"/>
        <w:spacing w:before="0" w:beforeAutospacing="0" w:after="0" w:afterAutospacing="0" w:line="360" w:lineRule="auto"/>
        <w:ind w:firstLine="480"/>
        <w:rPr>
          <w:rFonts w:ascii="Times New Roman" w:hAnsi="Times New Roman" w:cs="Times New Roman"/>
          <w:color w:val="000000" w:themeColor="text1"/>
          <w14:textFill>
            <w14:solidFill>
              <w14:schemeClr w14:val="tx1"/>
            </w14:solidFill>
          </w14:textFill>
        </w:rPr>
      </w:pPr>
      <w:r>
        <w:rPr>
          <w:rFonts w:hint="eastAsia"/>
          <w:color w:val="000000" w:themeColor="text1"/>
          <w:shd w:val="clear" w:color="auto" w:fill="FFFFFF"/>
          <w14:textFill>
            <w14:solidFill>
              <w14:schemeClr w14:val="tx1"/>
            </w14:solidFill>
          </w14:textFill>
        </w:rPr>
        <w:t>1.</w:t>
      </w:r>
      <w:r>
        <w:rPr>
          <w:rFonts w:hint="eastAsia"/>
          <w:color w:val="000000" w:themeColor="text1"/>
          <w:u w:val="single"/>
          <w:shd w:val="clear" w:color="auto" w:fill="FFFFFF"/>
          <w14:textFill>
            <w14:solidFill>
              <w14:schemeClr w14:val="tx1"/>
            </w14:solidFill>
          </w14:textFill>
        </w:rPr>
        <w:t xml:space="preserve">（标的名称） </w:t>
      </w:r>
      <w:r>
        <w:rPr>
          <w:rFonts w:hint="eastAsia"/>
          <w:color w:val="000000" w:themeColor="text1"/>
          <w:shd w:val="clear" w:color="auto" w:fill="FFFFFF"/>
          <w14:textFill>
            <w14:solidFill>
              <w14:schemeClr w14:val="tx1"/>
            </w14:solidFill>
          </w14:textFill>
        </w:rPr>
        <w:t>，属于</w:t>
      </w:r>
      <w:r>
        <w:rPr>
          <w:rFonts w:hint="eastAsia"/>
          <w:color w:val="000000" w:themeColor="text1"/>
          <w:u w:val="single"/>
          <w:shd w:val="clear" w:color="auto" w:fill="FFFFFF"/>
          <w14:textFill>
            <w14:solidFill>
              <w14:schemeClr w14:val="tx1"/>
            </w14:solidFill>
          </w14:textFill>
        </w:rPr>
        <w:t>（采购文件中明确的所属行业）</w:t>
      </w:r>
      <w:r>
        <w:rPr>
          <w:rFonts w:hint="eastAsia"/>
          <w:color w:val="000000" w:themeColor="text1"/>
          <w:shd w:val="clear" w:color="auto" w:fill="FFFFFF"/>
          <w14:textFill>
            <w14:solidFill>
              <w14:schemeClr w14:val="tx1"/>
            </w14:solidFill>
          </w14:textFill>
        </w:rPr>
        <w:t>行业；制造商为</w:t>
      </w:r>
      <w:r>
        <w:rPr>
          <w:rFonts w:hint="eastAsia"/>
          <w:color w:val="000000" w:themeColor="text1"/>
          <w:u w:val="single"/>
          <w:shd w:val="clear" w:color="auto" w:fill="FFFFFF"/>
          <w14:textFill>
            <w14:solidFill>
              <w14:schemeClr w14:val="tx1"/>
            </w14:solidFill>
          </w14:textFill>
        </w:rPr>
        <w:t>（企业名称）</w:t>
      </w:r>
      <w:r>
        <w:rPr>
          <w:rFonts w:hint="eastAsia"/>
          <w:color w:val="000000" w:themeColor="text1"/>
          <w:shd w:val="clear" w:color="auto" w:fill="FFFFFF"/>
          <w14:textFill>
            <w14:solidFill>
              <w14:schemeClr w14:val="tx1"/>
            </w14:solidFill>
          </w14:textFill>
        </w:rPr>
        <w:t>，从业人员人，营业收入为万元，资产总额为万元，属于</w:t>
      </w:r>
      <w:r>
        <w:rPr>
          <w:rFonts w:hint="eastAsia"/>
          <w:color w:val="000000" w:themeColor="text1"/>
          <w:u w:val="single"/>
          <w:shd w:val="clear" w:color="auto" w:fill="FFFFFF"/>
          <w14:textFill>
            <w14:solidFill>
              <w14:schemeClr w14:val="tx1"/>
            </w14:solidFill>
          </w14:textFill>
        </w:rPr>
        <w:t>（中型企业、小型企业、微型企业）</w:t>
      </w:r>
      <w:r>
        <w:rPr>
          <w:rFonts w:hint="eastAsia"/>
          <w:color w:val="000000" w:themeColor="text1"/>
          <w:shd w:val="clear" w:color="auto" w:fill="FFFFFF"/>
          <w14:textFill>
            <w14:solidFill>
              <w14:schemeClr w14:val="tx1"/>
            </w14:solidFill>
          </w14:textFill>
        </w:rPr>
        <w:t>；</w:t>
      </w:r>
    </w:p>
    <w:p>
      <w:pPr>
        <w:pStyle w:val="40"/>
        <w:shd w:val="clear" w:color="auto" w:fill="FFFFFF"/>
        <w:adjustRightInd w:val="0"/>
        <w:snapToGrid w:val="0"/>
        <w:spacing w:before="0" w:beforeAutospacing="0" w:after="0" w:afterAutospacing="0" w:line="360" w:lineRule="auto"/>
        <w:ind w:firstLine="840"/>
        <w:rPr>
          <w:rFonts w:ascii="Times New Roman" w:hAnsi="Times New Roman" w:cs="Times New Roman"/>
          <w:color w:val="000000" w:themeColor="text1"/>
          <w14:textFill>
            <w14:solidFill>
              <w14:schemeClr w14:val="tx1"/>
            </w14:solidFill>
          </w14:textFill>
        </w:rPr>
      </w:pPr>
      <w:r>
        <w:rPr>
          <w:rFonts w:hint="eastAsia"/>
          <w:color w:val="000000" w:themeColor="text1"/>
          <w:u w:val="single"/>
          <w:shd w:val="clear" w:color="auto" w:fill="FFFFFF"/>
          <w14:textFill>
            <w14:solidFill>
              <w14:schemeClr w14:val="tx1"/>
            </w14:solidFill>
          </w14:textFill>
        </w:rPr>
        <w:t xml:space="preserve">（标的名称） </w:t>
      </w:r>
      <w:r>
        <w:rPr>
          <w:rFonts w:hint="eastAsia"/>
          <w:color w:val="000000" w:themeColor="text1"/>
          <w:shd w:val="clear" w:color="auto" w:fill="FFFFFF"/>
          <w14:textFill>
            <w14:solidFill>
              <w14:schemeClr w14:val="tx1"/>
            </w14:solidFill>
          </w14:textFill>
        </w:rPr>
        <w:t>，属于</w:t>
      </w:r>
      <w:r>
        <w:rPr>
          <w:rFonts w:hint="eastAsia"/>
          <w:color w:val="000000" w:themeColor="text1"/>
          <w:u w:val="single"/>
          <w:shd w:val="clear" w:color="auto" w:fill="FFFFFF"/>
          <w14:textFill>
            <w14:solidFill>
              <w14:schemeClr w14:val="tx1"/>
            </w14:solidFill>
          </w14:textFill>
        </w:rPr>
        <w:t>（采购文件中明确的所属行业）</w:t>
      </w:r>
      <w:r>
        <w:rPr>
          <w:rFonts w:hint="eastAsia"/>
          <w:color w:val="000000" w:themeColor="text1"/>
          <w:shd w:val="clear" w:color="auto" w:fill="FFFFFF"/>
          <w14:textFill>
            <w14:solidFill>
              <w14:schemeClr w14:val="tx1"/>
            </w14:solidFill>
          </w14:textFill>
        </w:rPr>
        <w:t>行业；制造商为</w:t>
      </w:r>
      <w:r>
        <w:rPr>
          <w:rFonts w:hint="eastAsia"/>
          <w:color w:val="000000" w:themeColor="text1"/>
          <w:u w:val="single"/>
          <w:shd w:val="clear" w:color="auto" w:fill="FFFFFF"/>
          <w14:textFill>
            <w14:solidFill>
              <w14:schemeClr w14:val="tx1"/>
            </w14:solidFill>
          </w14:textFill>
        </w:rPr>
        <w:t>（企业名称）</w:t>
      </w:r>
      <w:r>
        <w:rPr>
          <w:rFonts w:hint="eastAsia"/>
          <w:color w:val="000000" w:themeColor="text1"/>
          <w:shd w:val="clear" w:color="auto" w:fill="FFFFFF"/>
          <w14:textFill>
            <w14:solidFill>
              <w14:schemeClr w14:val="tx1"/>
            </w14:solidFill>
          </w14:textFill>
        </w:rPr>
        <w:t>，从业人员人，营业收入为万元，资产总额为万元，属于</w:t>
      </w:r>
      <w:r>
        <w:rPr>
          <w:rFonts w:hint="eastAsia"/>
          <w:color w:val="000000" w:themeColor="text1"/>
          <w:u w:val="single"/>
          <w:shd w:val="clear" w:color="auto" w:fill="FFFFFF"/>
          <w14:textFill>
            <w14:solidFill>
              <w14:schemeClr w14:val="tx1"/>
            </w14:solidFill>
          </w14:textFill>
        </w:rPr>
        <w:t>（中型企业、小型企业、微型企业）</w:t>
      </w:r>
      <w:r>
        <w:rPr>
          <w:rFonts w:hint="eastAsia"/>
          <w:color w:val="000000" w:themeColor="text1"/>
          <w:shd w:val="clear" w:color="auto" w:fill="FFFFFF"/>
          <w14:textFill>
            <w14:solidFill>
              <w14:schemeClr w14:val="tx1"/>
            </w14:solidFill>
          </w14:textFill>
        </w:rPr>
        <w:t>；</w:t>
      </w:r>
    </w:p>
    <w:p>
      <w:pPr>
        <w:pStyle w:val="40"/>
        <w:shd w:val="clear" w:color="auto" w:fill="FFFFFF"/>
        <w:adjustRightInd w:val="0"/>
        <w:snapToGrid w:val="0"/>
        <w:spacing w:before="0" w:beforeAutospacing="0" w:after="0" w:afterAutospacing="0" w:line="360" w:lineRule="auto"/>
        <w:ind w:firstLine="480"/>
        <w:rPr>
          <w:rFonts w:ascii="Times New Roman" w:hAnsi="Times New Roman" w:cs="Times New Roman"/>
          <w:color w:val="000000" w:themeColor="text1"/>
          <w14:textFill>
            <w14:solidFill>
              <w14:schemeClr w14:val="tx1"/>
            </w14:solidFill>
          </w14:textFill>
        </w:rPr>
      </w:pPr>
      <w:r>
        <w:rPr>
          <w:rFonts w:hint="eastAsia"/>
          <w:color w:val="000000" w:themeColor="text1"/>
          <w:shd w:val="clear" w:color="auto" w:fill="FFFFFF"/>
          <w14:textFill>
            <w14:solidFill>
              <w14:schemeClr w14:val="tx1"/>
            </w14:solidFill>
          </w14:textFill>
        </w:rPr>
        <w:t>……</w:t>
      </w:r>
    </w:p>
    <w:p>
      <w:pPr>
        <w:pStyle w:val="40"/>
        <w:shd w:val="clear" w:color="auto" w:fill="FFFFFF"/>
        <w:adjustRightInd w:val="0"/>
        <w:snapToGrid w:val="0"/>
        <w:spacing w:before="0" w:beforeAutospacing="0" w:after="0" w:afterAutospacing="0" w:line="360" w:lineRule="auto"/>
        <w:ind w:firstLine="480"/>
        <w:rPr>
          <w:rFonts w:ascii="Times New Roman" w:hAnsi="Times New Roman" w:cs="Times New Roman"/>
          <w:color w:val="000000" w:themeColor="text1"/>
          <w14:textFill>
            <w14:solidFill>
              <w14:schemeClr w14:val="tx1"/>
            </w14:solidFill>
          </w14:textFill>
        </w:rPr>
      </w:pPr>
      <w:r>
        <w:rPr>
          <w:rFonts w:hint="eastAsia"/>
          <w:color w:val="000000" w:themeColor="text1"/>
          <w:shd w:val="clear" w:color="auto" w:fill="FFFFFF"/>
          <w14:textFill>
            <w14:solidFill>
              <w14:schemeClr w14:val="tx1"/>
            </w14:solidFill>
          </w14:textFill>
        </w:rPr>
        <w:t>以上企业，不属于大企业的分支机构，不存在控股股东为大企业的情形，也不存在与大企业的负责人为同一人的情形。</w:t>
      </w:r>
    </w:p>
    <w:p>
      <w:pPr>
        <w:pStyle w:val="40"/>
        <w:shd w:val="clear" w:color="auto" w:fill="FFFFFF"/>
        <w:adjustRightInd w:val="0"/>
        <w:snapToGrid w:val="0"/>
        <w:spacing w:before="0" w:beforeAutospacing="0" w:after="0" w:afterAutospacing="0" w:line="360" w:lineRule="auto"/>
        <w:ind w:firstLine="480"/>
        <w:rPr>
          <w:rFonts w:ascii="Times New Roman" w:hAnsi="Times New Roman" w:cs="Times New Roman"/>
          <w:color w:val="000000" w:themeColor="text1"/>
          <w14:textFill>
            <w14:solidFill>
              <w14:schemeClr w14:val="tx1"/>
            </w14:solidFill>
          </w14:textFill>
        </w:rPr>
      </w:pPr>
      <w:r>
        <w:rPr>
          <w:rFonts w:hint="eastAsia"/>
          <w:color w:val="000000" w:themeColor="text1"/>
          <w:shd w:val="clear" w:color="auto" w:fill="FFFFFF"/>
          <w14:textFill>
            <w14:solidFill>
              <w14:schemeClr w14:val="tx1"/>
            </w14:solidFill>
          </w14:textFill>
        </w:rPr>
        <w:t>本企业对上述声明内容的真实性负责。如有虚假，将依法承担相应责任。</w:t>
      </w:r>
    </w:p>
    <w:p>
      <w:pPr>
        <w:pStyle w:val="62"/>
        <w:snapToGrid w:val="0"/>
        <w:spacing w:line="360" w:lineRule="auto"/>
        <w:rPr>
          <w:rFonts w:cs="宋体"/>
          <w:color w:val="000000" w:themeColor="text1"/>
          <w14:textFill>
            <w14:solidFill>
              <w14:schemeClr w14:val="tx1"/>
            </w14:solidFill>
          </w14:textFill>
        </w:rPr>
      </w:pPr>
    </w:p>
    <w:p>
      <w:pPr>
        <w:pStyle w:val="40"/>
        <w:shd w:val="clear" w:color="auto" w:fill="FFFFFF"/>
        <w:adjustRightInd w:val="0"/>
        <w:snapToGrid w:val="0"/>
        <w:spacing w:before="0" w:beforeAutospacing="0" w:after="0" w:afterAutospacing="0" w:line="360" w:lineRule="auto"/>
        <w:ind w:firstLine="4080"/>
        <w:rPr>
          <w:rFonts w:ascii="Times New Roman" w:hAnsi="Times New Roman" w:cs="Times New Roman"/>
          <w:color w:val="000000" w:themeColor="text1"/>
          <w14:textFill>
            <w14:solidFill>
              <w14:schemeClr w14:val="tx1"/>
            </w14:solidFill>
          </w14:textFill>
        </w:rPr>
      </w:pPr>
      <w:r>
        <w:rPr>
          <w:rFonts w:hint="eastAsia"/>
          <w:color w:val="000000" w:themeColor="text1"/>
          <w:shd w:val="clear" w:color="auto" w:fill="FFFFFF"/>
          <w14:textFill>
            <w14:solidFill>
              <w14:schemeClr w14:val="tx1"/>
            </w14:solidFill>
          </w14:textFill>
        </w:rPr>
        <w:t>企业名称（盖章）：</w:t>
      </w:r>
    </w:p>
    <w:p>
      <w:pPr>
        <w:pStyle w:val="40"/>
        <w:shd w:val="clear" w:color="auto" w:fill="FFFFFF"/>
        <w:adjustRightInd w:val="0"/>
        <w:snapToGrid w:val="0"/>
        <w:spacing w:before="0" w:beforeAutospacing="0" w:after="0" w:afterAutospacing="0" w:line="360" w:lineRule="auto"/>
        <w:ind w:firstLine="4080"/>
        <w:rPr>
          <w:rFonts w:ascii="Times New Roman" w:hAnsi="Times New Roman" w:cs="Times New Roman"/>
          <w:color w:val="000000" w:themeColor="text1"/>
          <w14:textFill>
            <w14:solidFill>
              <w14:schemeClr w14:val="tx1"/>
            </w14:solidFill>
          </w14:textFill>
        </w:rPr>
      </w:pPr>
      <w:r>
        <w:rPr>
          <w:rFonts w:hint="eastAsia"/>
          <w:color w:val="000000" w:themeColor="text1"/>
          <w:shd w:val="clear" w:color="auto" w:fill="FFFFFF"/>
          <w14:textFill>
            <w14:solidFill>
              <w14:schemeClr w14:val="tx1"/>
            </w14:solidFill>
          </w14:textFill>
        </w:rPr>
        <w:t>日期：</w:t>
      </w:r>
    </w:p>
    <w:p>
      <w:pPr>
        <w:pStyle w:val="40"/>
        <w:shd w:val="clear" w:color="auto" w:fill="FFFFFF"/>
        <w:adjustRightInd w:val="0"/>
        <w:snapToGrid w:val="0"/>
        <w:spacing w:before="0" w:beforeAutospacing="0" w:after="0" w:afterAutospacing="0" w:line="360" w:lineRule="auto"/>
        <w:rPr>
          <w:rFonts w:ascii="Times New Roman" w:hAnsi="Times New Roman" w:cs="Times New Roman"/>
          <w:color w:val="000000" w:themeColor="text1"/>
          <w14:textFill>
            <w14:solidFill>
              <w14:schemeClr w14:val="tx1"/>
            </w14:solidFill>
          </w14:textFill>
        </w:rPr>
      </w:pPr>
      <w:r>
        <w:rPr>
          <w:rFonts w:hint="eastAsia"/>
          <w:b/>
          <w:color w:val="000000" w:themeColor="text1"/>
          <w:shd w:val="clear" w:color="auto" w:fill="FFFFFF"/>
          <w14:textFill>
            <w14:solidFill>
              <w14:schemeClr w14:val="tx1"/>
            </w14:solidFill>
          </w14:textFill>
        </w:rPr>
        <w:t>从业人员、营业收入、资产总额填报上一年度数据，无上一年度数据的新成立企业可不填报。</w:t>
      </w:r>
    </w:p>
    <w:p>
      <w:pPr>
        <w:pStyle w:val="18"/>
        <w:rPr>
          <w:color w:val="000000" w:themeColor="text1"/>
          <w14:textFill>
            <w14:solidFill>
              <w14:schemeClr w14:val="tx1"/>
            </w14:solidFill>
          </w14:textFill>
        </w:rPr>
      </w:pPr>
    </w:p>
    <w:p>
      <w:pPr>
        <w:widowControl/>
        <w:spacing w:line="460" w:lineRule="exact"/>
        <w:ind w:firstLine="640" w:firstLineChars="200"/>
        <w:jc w:val="center"/>
        <w:rPr>
          <w:rFonts w:ascii="宋体" w:hAnsi="宋体" w:cs="宋体"/>
          <w:color w:val="000000" w:themeColor="text1"/>
          <w:sz w:val="32"/>
          <w14:textFill>
            <w14:solidFill>
              <w14:schemeClr w14:val="tx1"/>
            </w14:solidFill>
          </w14:textFill>
        </w:rPr>
      </w:pPr>
    </w:p>
    <w:p>
      <w:pPr>
        <w:widowControl/>
        <w:spacing w:line="460" w:lineRule="exact"/>
        <w:ind w:firstLine="640" w:firstLineChars="200"/>
        <w:jc w:val="center"/>
        <w:rPr>
          <w:rFonts w:ascii="宋体" w:hAnsi="宋体" w:cs="宋体"/>
          <w:color w:val="000000" w:themeColor="text1"/>
          <w:sz w:val="32"/>
          <w14:textFill>
            <w14:solidFill>
              <w14:schemeClr w14:val="tx1"/>
            </w14:solidFill>
          </w14:textFill>
        </w:rPr>
      </w:pPr>
    </w:p>
    <w:p>
      <w:pPr>
        <w:widowControl/>
        <w:spacing w:line="460" w:lineRule="exact"/>
        <w:ind w:firstLine="640" w:firstLineChars="200"/>
        <w:jc w:val="center"/>
        <w:rPr>
          <w:rFonts w:ascii="宋体" w:hAnsi="宋体" w:cs="宋体"/>
          <w:color w:val="000000" w:themeColor="text1"/>
          <w:sz w:val="32"/>
          <w14:textFill>
            <w14:solidFill>
              <w14:schemeClr w14:val="tx1"/>
            </w14:solidFill>
          </w14:textFill>
        </w:rPr>
      </w:pPr>
    </w:p>
    <w:p>
      <w:pPr>
        <w:widowControl/>
        <w:spacing w:line="460" w:lineRule="exact"/>
        <w:ind w:firstLine="640" w:firstLineChars="200"/>
        <w:jc w:val="center"/>
        <w:rPr>
          <w:rFonts w:ascii="宋体" w:hAnsi="宋体" w:cs="宋体"/>
          <w:color w:val="000000" w:themeColor="text1"/>
          <w:sz w:val="32"/>
          <w14:textFill>
            <w14:solidFill>
              <w14:schemeClr w14:val="tx1"/>
            </w14:solidFill>
          </w14:textFill>
        </w:rPr>
      </w:pPr>
    </w:p>
    <w:p>
      <w:pPr>
        <w:widowControl/>
        <w:spacing w:line="460" w:lineRule="exact"/>
        <w:ind w:firstLine="640" w:firstLineChars="200"/>
        <w:jc w:val="center"/>
        <w:rPr>
          <w:rFonts w:ascii="宋体" w:hAnsi="宋体" w:cs="宋体"/>
          <w:color w:val="000000" w:themeColor="text1"/>
          <w:sz w:val="32"/>
          <w14:textFill>
            <w14:solidFill>
              <w14:schemeClr w14:val="tx1"/>
            </w14:solidFill>
          </w14:textFill>
        </w:rPr>
      </w:pPr>
    </w:p>
    <w:p>
      <w:pPr>
        <w:widowControl/>
        <w:spacing w:line="460" w:lineRule="exact"/>
        <w:ind w:firstLine="640" w:firstLineChars="200"/>
        <w:jc w:val="center"/>
        <w:outlineLvl w:val="0"/>
        <w:rPr>
          <w:rFonts w:ascii="宋体" w:hAnsi="宋体" w:cs="宋体"/>
          <w:color w:val="000000" w:themeColor="text1"/>
          <w:sz w:val="32"/>
          <w14:textFill>
            <w14:solidFill>
              <w14:schemeClr w14:val="tx1"/>
            </w14:solidFill>
          </w14:textFill>
        </w:rPr>
      </w:pPr>
      <w:bookmarkStart w:id="264" w:name="_Toc9928"/>
      <w:r>
        <w:rPr>
          <w:rFonts w:hint="eastAsia" w:ascii="宋体" w:hAnsi="宋体" w:cs="宋体"/>
          <w:color w:val="000000" w:themeColor="text1"/>
          <w:sz w:val="32"/>
          <w14:textFill>
            <w14:solidFill>
              <w14:schemeClr w14:val="tx1"/>
            </w14:solidFill>
          </w14:textFill>
        </w:rPr>
        <w:t>十一、盐城市政府采购事前信用承诺书</w:t>
      </w:r>
      <w:bookmarkEnd w:id="264"/>
    </w:p>
    <w:p>
      <w:pPr>
        <w:widowControl/>
        <w:spacing w:line="460" w:lineRule="exact"/>
        <w:ind w:firstLine="640" w:firstLineChars="200"/>
        <w:jc w:val="left"/>
        <w:rPr>
          <w:rFonts w:ascii="宋体" w:hAnsi="宋体" w:cs="宋体"/>
          <w:color w:val="000000" w:themeColor="text1"/>
          <w:sz w:val="32"/>
          <w14:textFill>
            <w14:solidFill>
              <w14:schemeClr w14:val="tx1"/>
            </w14:solidFill>
          </w14:textFill>
        </w:rPr>
      </w:pPr>
    </w:p>
    <w:p>
      <w:pPr>
        <w:widowControl/>
        <w:adjustRightInd w:val="0"/>
        <w:snapToGrid w:val="0"/>
        <w:spacing w:line="360" w:lineRule="auto"/>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为营造我市公开、公平、公正、诚实守信的政府采购交易环境，树立诚信守法的投标人形象，本人代表本单位作出以下承诺：</w:t>
      </w:r>
    </w:p>
    <w:p>
      <w:pPr>
        <w:widowControl/>
        <w:adjustRightInd w:val="0"/>
        <w:snapToGrid w:val="0"/>
        <w:spacing w:line="360" w:lineRule="auto"/>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一）本单位对所提交的企（事）业单位基本信息、企（事）业负责人、项目负责人、技术负责人、从业资质和资格、业绩、财务状况、信誉等所有资料，均合法、真实、准确、有效，无任何伪造、修改、虚假成份，并对所提供资料的真实性负责；</w:t>
      </w:r>
    </w:p>
    <w:p>
      <w:pPr>
        <w:widowControl/>
        <w:adjustRightInd w:val="0"/>
        <w:snapToGrid w:val="0"/>
        <w:spacing w:line="360" w:lineRule="auto"/>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（二）本单位无涉及政府采购活动的违法、违规不良记录，我公司及相关负责人无因存在重大隐患整改不力、发生有重大社会影响生产安全事故或其他严重违法违规行为而被列入失信联合惩戒的不良记录；</w:t>
      </w:r>
    </w:p>
    <w:p>
      <w:pPr>
        <w:widowControl/>
        <w:adjustRightInd w:val="0"/>
        <w:snapToGrid w:val="0"/>
        <w:spacing w:line="360" w:lineRule="auto"/>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（三）严格依照国家和省、市关于政府采购的法律、法规、规章、规范性文件，参加政府采购投标活动；积极履行社会责任，促进廉政建设；</w:t>
      </w:r>
    </w:p>
    <w:p>
      <w:pPr>
        <w:widowControl/>
        <w:adjustRightInd w:val="0"/>
        <w:snapToGrid w:val="0"/>
        <w:spacing w:line="360" w:lineRule="auto"/>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（四）严格遵守即时信息公示规定，及时维护和更新维护和更新盐城市政府采购网中与本单位相关的信息；</w:t>
      </w:r>
    </w:p>
    <w:p>
      <w:pPr>
        <w:widowControl/>
        <w:adjustRightInd w:val="0"/>
        <w:snapToGrid w:val="0"/>
        <w:spacing w:line="360" w:lineRule="auto"/>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五）自我约束、自我管理，守合同、重信用，自觉维护政府采购交易的良好秩序，与参与本次政府采购活动的其他供应商不存在直接控股或管理关系，不参与围标串标、弄虚作假、骗取中标、干扰评标、违约毁约等行为；</w:t>
      </w:r>
    </w:p>
    <w:p>
      <w:pPr>
        <w:widowControl/>
        <w:adjustRightInd w:val="0"/>
        <w:snapToGrid w:val="0"/>
        <w:spacing w:line="360" w:lineRule="auto"/>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（六）自觉接受政府、行业组织、社会公众、新闻舆论的监督；</w:t>
      </w:r>
    </w:p>
    <w:p>
      <w:pPr>
        <w:widowControl/>
        <w:adjustRightInd w:val="0"/>
        <w:snapToGrid w:val="0"/>
        <w:spacing w:line="360" w:lineRule="auto"/>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七）本单位自愿接受政府采购监督管理机构和有关行政监督部门的依法检查。如发生违法违规或不良失信行为，自愿接受政府采购监督管理机构和有关行政监督部门依法给予的行政处罚（处理），并依法承担相应责任；</w:t>
      </w:r>
    </w:p>
    <w:p>
      <w:pPr>
        <w:widowControl/>
        <w:adjustRightInd w:val="0"/>
        <w:snapToGrid w:val="0"/>
        <w:spacing w:line="360" w:lineRule="auto"/>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（八）本人已认真阅读了上述承诺，并向本单位员工作了宣传教育。</w:t>
      </w:r>
    </w:p>
    <w:p>
      <w:pPr>
        <w:widowControl/>
        <w:adjustRightInd w:val="0"/>
        <w:snapToGrid w:val="0"/>
        <w:spacing w:line="360" w:lineRule="auto"/>
        <w:ind w:firstLine="480" w:firstLineChars="200"/>
        <w:jc w:val="left"/>
        <w:rPr>
          <w:rFonts w:ascii="宋体" w:hAnsi="宋体" w:cs="宋体"/>
          <w:color w:val="000000" w:themeColor="text1"/>
          <w:sz w:val="24"/>
          <w:szCs w:val="24"/>
          <w14:textFill>
            <w14:solidFill>
              <w14:schemeClr w14:val="tx1"/>
            </w14:solidFill>
          </w14:textFill>
        </w:rPr>
      </w:pPr>
    </w:p>
    <w:p>
      <w:pPr>
        <w:widowControl/>
        <w:adjustRightInd w:val="0"/>
        <w:snapToGrid w:val="0"/>
        <w:spacing w:line="360" w:lineRule="auto"/>
        <w:ind w:firstLine="480" w:firstLineChars="200"/>
        <w:jc w:val="center"/>
        <w:outlineLvl w:val="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w:t>
      </w:r>
      <w:bookmarkStart w:id="265" w:name="_Toc32664"/>
      <w:r>
        <w:rPr>
          <w:rFonts w:hint="eastAsia" w:ascii="宋体" w:hAnsi="宋体" w:cs="宋体"/>
          <w:color w:val="000000" w:themeColor="text1"/>
          <w:sz w:val="24"/>
          <w:szCs w:val="24"/>
          <w14:textFill>
            <w14:solidFill>
              <w14:schemeClr w14:val="tx1"/>
            </w14:solidFill>
          </w14:textFill>
        </w:rPr>
        <w:t>法定代表人签名：</w:t>
      </w:r>
      <w:bookmarkEnd w:id="265"/>
    </w:p>
    <w:p>
      <w:pPr>
        <w:widowControl/>
        <w:adjustRightInd w:val="0"/>
        <w:snapToGrid w:val="0"/>
        <w:spacing w:line="360" w:lineRule="auto"/>
        <w:ind w:firstLine="480" w:firstLineChars="200"/>
        <w:jc w:val="center"/>
        <w:outlineLvl w:val="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w:t>
      </w:r>
      <w:bookmarkStart w:id="266" w:name="_Toc24460"/>
      <w:r>
        <w:rPr>
          <w:rFonts w:hint="eastAsia" w:ascii="宋体" w:hAnsi="宋体" w:cs="宋体"/>
          <w:color w:val="000000" w:themeColor="text1"/>
          <w:sz w:val="24"/>
          <w:szCs w:val="24"/>
          <w14:textFill>
            <w14:solidFill>
              <w14:schemeClr w14:val="tx1"/>
            </w14:solidFill>
          </w14:textFill>
        </w:rPr>
        <w:t>单位名称（盖章）：</w:t>
      </w:r>
      <w:bookmarkEnd w:id="266"/>
    </w:p>
    <w:p>
      <w:pPr>
        <w:widowControl/>
        <w:adjustRightInd w:val="0"/>
        <w:snapToGrid w:val="0"/>
        <w:spacing w:line="360" w:lineRule="auto"/>
        <w:ind w:firstLine="480" w:firstLineChars="200"/>
        <w:jc w:val="center"/>
        <w:outlineLvl w:val="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w:t>
      </w:r>
      <w:bookmarkStart w:id="267" w:name="_Toc32310"/>
      <w:r>
        <w:rPr>
          <w:rFonts w:hint="eastAsia" w:ascii="宋体" w:hAnsi="宋体" w:cs="宋体"/>
          <w:color w:val="000000" w:themeColor="text1"/>
          <w:sz w:val="24"/>
          <w:szCs w:val="24"/>
          <w14:textFill>
            <w14:solidFill>
              <w14:schemeClr w14:val="tx1"/>
            </w14:solidFill>
          </w14:textFill>
        </w:rPr>
        <w:t>年    月    日</w:t>
      </w:r>
      <w:bookmarkEnd w:id="267"/>
    </w:p>
    <w:p>
      <w:pPr>
        <w:pStyle w:val="18"/>
        <w:rPr>
          <w:rFonts w:ascii="宋体" w:hAnsi="宋体" w:eastAsia="宋体" w:cs="宋体"/>
          <w:color w:val="000000" w:themeColor="text1"/>
          <w14:textFill>
            <w14:solidFill>
              <w14:schemeClr w14:val="tx1"/>
            </w14:solidFill>
          </w14:textFill>
        </w:rPr>
      </w:pPr>
    </w:p>
    <w:sectPr>
      <w:pgSz w:w="11906" w:h="16838"/>
      <w:pgMar w:top="1417" w:right="1588" w:bottom="1417" w:left="1365" w:header="851" w:footer="907" w:gutter="0"/>
      <w:pgNumType w:fmt="numberInDash"/>
      <w:cols w:space="720" w:num="1"/>
      <w:docGrid w:type="lines" w:linePitch="29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script"/>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幼圆">
    <w:panose1 w:val="0201050906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Malgun Gothic">
    <w:panose1 w:val="020B0503020000020004"/>
    <w:charset w:val="81"/>
    <w:family w:val="swiss"/>
    <w:pitch w:val="default"/>
    <w:sig w:usb0="9000002F" w:usb1="29D77CFB" w:usb2="00000012" w:usb3="00000000" w:csb0="0008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黑体_GBK">
    <w:altName w:val="微软雅黑"/>
    <w:panose1 w:val="03000509000000000000"/>
    <w:charset w:val="86"/>
    <w:family w:val="script"/>
    <w:pitch w:val="default"/>
    <w:sig w:usb0="00000000" w:usb1="00000000" w:usb2="00000000" w:usb3="00000000" w:csb0="00040000" w:csb1="00000000"/>
  </w:font>
  <w:font w:name="Arial Unicode MS">
    <w:panose1 w:val="020B0604020202020204"/>
    <w:charset w:val="86"/>
    <w:family w:val="roman"/>
    <w:pitch w:val="default"/>
    <w:sig w:usb0="FFFFFFFF" w:usb1="E9FFFFFF" w:usb2="0000003F" w:usb3="00000000" w:csb0="603F01FF" w:csb1="FFFF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rPr>
        <w:b/>
        <w:i/>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29"/>
                            <w:rPr>
                              <w:rStyle w:val="49"/>
                              <w:rFonts w:ascii="宋体" w:hAnsi="宋体"/>
                            </w:rPr>
                          </w:pPr>
                          <w:r>
                            <w:rPr>
                              <w:rFonts w:ascii="宋体" w:hAnsi="宋体"/>
                            </w:rPr>
                            <w:fldChar w:fldCharType="begin"/>
                          </w:r>
                          <w:r>
                            <w:rPr>
                              <w:rStyle w:val="49"/>
                              <w:rFonts w:ascii="宋体" w:hAnsi="宋体"/>
                            </w:rPr>
                            <w:instrText xml:space="preserve">PAGE  </w:instrText>
                          </w:r>
                          <w:r>
                            <w:rPr>
                              <w:rFonts w:ascii="宋体" w:hAnsi="宋体"/>
                            </w:rPr>
                            <w:fldChar w:fldCharType="separate"/>
                          </w:r>
                          <w:r>
                            <w:rPr>
                              <w:rStyle w:val="49"/>
                              <w:rFonts w:ascii="宋体" w:hAnsi="宋体"/>
                            </w:rPr>
                            <w:t>- 24 -</w:t>
                          </w:r>
                          <w:r>
                            <w:rPr>
                              <w:rFonts w:ascii="宋体" w:hAnsi="宋体"/>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0mU5cwBAACnAwAADgAAAGRycy9lMm9Eb2MueG1srVPNjtMwEL4j8Q6W&#10;7zRpD6iKmq4WVYuQECAtPIDrTBpL/pPHbdIXgDfgxIU7z9XnYOwk3WW57GEvzvz5m/k+TzY3g9Hs&#10;BAGVszVfLkrOwErXKHuo+bevd2/WnGEUthHaWaj5GZDfbF+/2vS+gpXrnG4gMAKxWPW+5l2MvioK&#10;lB0YgQvnwVKydcGISG44FE0QPaEbXazK8m3Ru9D44CQgUnQ3JvmEGJ4D6NpWSdg5eTRg44gaQItI&#10;lLBTHvk2T9u2IOPntkWITNecmMZ8UhOy9+ksthtRHYLwnZLTCOI5IzzhZISy1PQKtRNRsGNQ/0EZ&#10;JYND18aFdKYYiWRFiMWyfKLNfSc8ZC4kNfqr6PhysPLT6UtgqqFN4MwKQw9++fnj8uvP5fd3tkzy&#10;9B4rqrr3VBeHd25IpVMcKZhYD20w6Ut8GOVJ3PNVXBgik+nSerVel5SSlJsdwikervuA8T04w5JR&#10;80Cvl0UVp48Yx9K5JHWz7k5pTXFRaftPgDDHCOQVmG4nJuPEyYrDfpho7F1zJnY9rUHNLW09Z/qD&#10;JZXTxsxGmI39bBx9UIcur1Tqjv72GGmkPGnqMMISw+TQ+2Wu066lBXns56qH/2v7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XSZTlzAEAAKcDAAAOAAAAAAAAAAEAIAAAAB4BAABkcnMvZTJv&#10;RG9jLnhtbFBLBQYAAAAABgAGAFkBAABcBQAAAAA=&#10;">
              <v:fill on="f" focussize="0,0"/>
              <v:stroke on="f"/>
              <v:imagedata o:title=""/>
              <o:lock v:ext="edit" aspectratio="f"/>
              <v:textbox inset="0mm,0mm,0mm,0mm" style="mso-fit-shape-to-text:t;">
                <w:txbxContent>
                  <w:p>
                    <w:pPr>
                      <w:pStyle w:val="29"/>
                      <w:rPr>
                        <w:rStyle w:val="49"/>
                        <w:rFonts w:ascii="宋体" w:hAnsi="宋体"/>
                      </w:rPr>
                    </w:pPr>
                    <w:r>
                      <w:rPr>
                        <w:rFonts w:ascii="宋体" w:hAnsi="宋体"/>
                      </w:rPr>
                      <w:fldChar w:fldCharType="begin"/>
                    </w:r>
                    <w:r>
                      <w:rPr>
                        <w:rStyle w:val="49"/>
                        <w:rFonts w:ascii="宋体" w:hAnsi="宋体"/>
                      </w:rPr>
                      <w:instrText xml:space="preserve">PAGE  </w:instrText>
                    </w:r>
                    <w:r>
                      <w:rPr>
                        <w:rFonts w:ascii="宋体" w:hAnsi="宋体"/>
                      </w:rPr>
                      <w:fldChar w:fldCharType="separate"/>
                    </w:r>
                    <w:r>
                      <w:rPr>
                        <w:rStyle w:val="49"/>
                        <w:rFonts w:ascii="宋体" w:hAnsi="宋体"/>
                      </w:rPr>
                      <w:t>- 24 -</w:t>
                    </w:r>
                    <w:r>
                      <w:rPr>
                        <w:rFonts w:ascii="宋体" w:hAnsi="宋体"/>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framePr w:wrap="around" w:vAnchor="text" w:hAnchor="margin" w:xAlign="center" w:y="1"/>
      <w:rPr>
        <w:rStyle w:val="49"/>
      </w:rPr>
    </w:pPr>
    <w:r>
      <w:fldChar w:fldCharType="begin"/>
    </w:r>
    <w:r>
      <w:rPr>
        <w:rStyle w:val="49"/>
      </w:rPr>
      <w:instrText xml:space="preserve">PAGE  </w:instrText>
    </w:r>
    <w:r>
      <w:fldChar w:fldCharType="separate"/>
    </w:r>
    <w:r>
      <w:rPr>
        <w:rStyle w:val="49"/>
      </w:rPr>
      <w:t>1</w:t>
    </w:r>
    <w:r>
      <w:fldChar w:fldCharType="end"/>
    </w:r>
  </w:p>
  <w:p>
    <w:pPr>
      <w:pStyle w:val="2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fldChar w:fldCharType="begin"/>
    </w:r>
    <w:r>
      <w:instrText xml:space="preserve">PAGE   \* MERGEFORMAT</w:instrText>
    </w:r>
    <w:r>
      <w:fldChar w:fldCharType="separate"/>
    </w:r>
    <w:r>
      <w:rPr>
        <w:lang w:val="zh-CN"/>
      </w:rPr>
      <w:t>-</w:t>
    </w:r>
    <w:r>
      <w:t xml:space="preserve"> 36 -</w:t>
    </w:r>
    <w:r>
      <w:rPr>
        <w:lang w:val="zh-CN"/>
      </w:rPr>
      <w:fldChar w:fldCharType="end"/>
    </w:r>
  </w:p>
  <w:p>
    <w:pPr>
      <w:pStyle w:val="2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widowControl w:val="0"/>
      <w:pBdr>
        <w:bottom w:val="single" w:color="auto" w:sz="6" w:space="1"/>
      </w:pBdr>
      <w:tabs>
        <w:tab w:val="center" w:pos="4153"/>
        <w:tab w:val="right" w:pos="8306"/>
      </w:tabs>
      <w:snapToGrid w:val="0"/>
      <w:spacing w:before="0" w:beforeAutospacing="0" w:after="0" w:afterAutospacing="0"/>
      <w:jc w:val="center"/>
      <w:rPr>
        <w:rFonts w:eastAsia="隶书"/>
        <w:color w:val="FF0000"/>
        <w:spacing w:val="40"/>
        <w:sz w:val="21"/>
        <w:szCs w:val="21"/>
      </w:rPr>
    </w:pPr>
    <w:r>
      <w:rPr>
        <w:rFonts w:hint="eastAsia" w:ascii="Times New Roman" w:hAnsi="Times New Roman" w:eastAsia="隶书" w:cs="Times New Roman"/>
        <w:color w:val="FF0000"/>
        <w:spacing w:val="40"/>
        <w:kern w:val="2"/>
        <w:sz w:val="21"/>
        <w:szCs w:val="21"/>
      </w:rPr>
      <w:t>2021-0</w:t>
    </w:r>
    <w:r>
      <w:rPr>
        <w:rFonts w:hint="eastAsia" w:ascii="Times New Roman" w:hAnsi="Times New Roman" w:eastAsia="隶书" w:cs="Times New Roman"/>
        <w:color w:val="FF0000"/>
        <w:spacing w:val="40"/>
        <w:kern w:val="2"/>
        <w:sz w:val="21"/>
        <w:szCs w:val="21"/>
        <w:lang w:val="en-US" w:eastAsia="zh-CN"/>
      </w:rPr>
      <w:t>32</w:t>
    </w:r>
    <w:r>
      <w:rPr>
        <w:rFonts w:hint="eastAsia" w:ascii="Times New Roman" w:hAnsi="Times New Roman" w:eastAsia="隶书" w:cs="Times New Roman"/>
        <w:color w:val="FF0000"/>
        <w:spacing w:val="40"/>
        <w:kern w:val="2"/>
        <w:sz w:val="21"/>
        <w:szCs w:val="21"/>
      </w:rPr>
      <w:t>Q</w:t>
    </w:r>
    <w:r>
      <w:rPr>
        <w:rFonts w:hint="eastAsia" w:ascii="Times New Roman" w:hAnsi="隶书" w:eastAsia="隶书" w:cs="隶书"/>
        <w:color w:val="000000"/>
        <w:spacing w:val="40"/>
        <w:kern w:val="2"/>
        <w:sz w:val="21"/>
        <w:szCs w:val="21"/>
      </w:rPr>
      <w:t>招标文件</w:t>
    </w:r>
  </w:p>
  <w:p>
    <w:pPr>
      <w:pStyle w:val="3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widowControl w:val="0"/>
      <w:pBdr>
        <w:bottom w:val="single" w:color="auto" w:sz="6" w:space="1"/>
      </w:pBdr>
      <w:tabs>
        <w:tab w:val="center" w:pos="4153"/>
        <w:tab w:val="right" w:pos="8306"/>
      </w:tabs>
      <w:snapToGrid w:val="0"/>
      <w:spacing w:before="0" w:beforeAutospacing="0" w:after="0" w:afterAutospacing="0"/>
      <w:jc w:val="center"/>
      <w:rPr>
        <w:rFonts w:eastAsia="隶书"/>
        <w:color w:val="FF0000"/>
        <w:spacing w:val="40"/>
        <w:sz w:val="21"/>
        <w:szCs w:val="21"/>
      </w:rPr>
    </w:pPr>
    <w:r>
      <w:rPr>
        <w:rFonts w:hint="eastAsia" w:ascii="Times New Roman" w:hAnsi="Times New Roman" w:eastAsia="隶书" w:cs="Times New Roman"/>
        <w:color w:val="FF0000"/>
        <w:spacing w:val="40"/>
        <w:kern w:val="2"/>
        <w:sz w:val="21"/>
        <w:szCs w:val="21"/>
      </w:rPr>
      <w:t>2021</w:t>
    </w:r>
    <w:r>
      <w:rPr>
        <w:rFonts w:hint="eastAsia" w:ascii="Times New Roman" w:hAnsi="Times New Roman" w:eastAsia="隶书" w:cs="Times New Roman"/>
        <w:color w:val="FF0000"/>
        <w:spacing w:val="40"/>
        <w:kern w:val="2"/>
        <w:sz w:val="21"/>
        <w:szCs w:val="21"/>
        <w:lang w:val="en-US" w:eastAsia="zh-CN"/>
      </w:rPr>
      <w:t>-032Q</w:t>
    </w:r>
    <w:r>
      <w:rPr>
        <w:rFonts w:hint="eastAsia" w:ascii="Times New Roman" w:hAnsi="隶书" w:eastAsia="隶书" w:cs="隶书"/>
        <w:color w:val="000000"/>
        <w:spacing w:val="40"/>
        <w:kern w:val="2"/>
        <w:sz w:val="21"/>
        <w:szCs w:val="21"/>
      </w:rPr>
      <w:t>招标文件</w:t>
    </w:r>
  </w:p>
  <w:p>
    <w:pPr>
      <w:pStyle w:val="3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784D56"/>
    <w:multiLevelType w:val="singleLevel"/>
    <w:tmpl w:val="06784D56"/>
    <w:lvl w:ilvl="0" w:tentative="0">
      <w:start w:val="1"/>
      <w:numFmt w:val="upperLetter"/>
      <w:pStyle w:val="91"/>
      <w:lvlText w:val="附录%1."/>
      <w:lvlJc w:val="left"/>
      <w:pPr>
        <w:tabs>
          <w:tab w:val="left" w:pos="907"/>
        </w:tabs>
        <w:ind w:left="907" w:hanging="907"/>
      </w:pPr>
      <w:rPr>
        <w:rFonts w:hint="eastAsia"/>
      </w:rPr>
    </w:lvl>
  </w:abstractNum>
  <w:abstractNum w:abstractNumId="1">
    <w:nsid w:val="08AB285A"/>
    <w:multiLevelType w:val="multilevel"/>
    <w:tmpl w:val="08AB285A"/>
    <w:lvl w:ilvl="0" w:tentative="0">
      <w:start w:val="2"/>
      <w:numFmt w:val="decimal"/>
      <w:lvlText w:val="%1、"/>
      <w:lvlJc w:val="left"/>
      <w:pPr>
        <w:tabs>
          <w:tab w:val="left" w:pos="840"/>
        </w:tabs>
        <w:ind w:left="840" w:hanging="36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2">
    <w:nsid w:val="1644F86A"/>
    <w:multiLevelType w:val="singleLevel"/>
    <w:tmpl w:val="1644F86A"/>
    <w:lvl w:ilvl="0" w:tentative="0">
      <w:start w:val="4"/>
      <w:numFmt w:val="chineseCounting"/>
      <w:suff w:val="space"/>
      <w:lvlText w:val="第%1章"/>
      <w:lvlJc w:val="left"/>
      <w:rPr>
        <w:rFonts w:hint="eastAsia"/>
      </w:rPr>
    </w:lvl>
  </w:abstractNum>
  <w:abstractNum w:abstractNumId="3">
    <w:nsid w:val="23CA3DFE"/>
    <w:multiLevelType w:val="singleLevel"/>
    <w:tmpl w:val="23CA3DFE"/>
    <w:lvl w:ilvl="0" w:tentative="0">
      <w:start w:val="1"/>
      <w:numFmt w:val="decimal"/>
      <w:lvlText w:val="%1、"/>
      <w:lvlJc w:val="left"/>
      <w:pPr>
        <w:tabs>
          <w:tab w:val="left" w:pos="480"/>
        </w:tabs>
        <w:ind w:left="480" w:hanging="480"/>
      </w:pPr>
    </w:lvl>
  </w:abstractNum>
  <w:abstractNum w:abstractNumId="4">
    <w:nsid w:val="34620FCE"/>
    <w:multiLevelType w:val="singleLevel"/>
    <w:tmpl w:val="34620FCE"/>
    <w:lvl w:ilvl="0" w:tentative="0">
      <w:start w:val="5"/>
      <w:numFmt w:val="chineseCounting"/>
      <w:suff w:val="nothing"/>
      <w:lvlText w:val="%1、"/>
      <w:lvlJc w:val="left"/>
      <w:rPr>
        <w:rFonts w:hint="eastAsia"/>
      </w:rPr>
    </w:lvl>
  </w:abstractNum>
  <w:abstractNum w:abstractNumId="5">
    <w:nsid w:val="420C153B"/>
    <w:multiLevelType w:val="multilevel"/>
    <w:tmpl w:val="420C153B"/>
    <w:lvl w:ilvl="0" w:tentative="0">
      <w:start w:val="1"/>
      <w:numFmt w:val="decimal"/>
      <w:pStyle w:val="109"/>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6">
    <w:nsid w:val="5C7E0EE5"/>
    <w:multiLevelType w:val="multilevel"/>
    <w:tmpl w:val="5C7E0EE5"/>
    <w:lvl w:ilvl="0" w:tentative="0">
      <w:start w:val="1"/>
      <w:numFmt w:val="chineseCountingThousand"/>
      <w:suff w:val="nothing"/>
      <w:lvlText w:val="第%1章 "/>
      <w:lvlJc w:val="left"/>
      <w:pPr>
        <w:ind w:left="0" w:firstLine="0"/>
      </w:pPr>
      <w:rPr>
        <w:rFonts w:hint="eastAsia"/>
      </w:rPr>
    </w:lvl>
    <w:lvl w:ilvl="1" w:tentative="0">
      <w:start w:val="1"/>
      <w:numFmt w:val="decimal"/>
      <w:suff w:val="nothing"/>
      <w:lvlText w:val="%2、"/>
      <w:lvlJc w:val="left"/>
      <w:pPr>
        <w:ind w:left="0" w:firstLine="0"/>
      </w:pPr>
      <w:rPr>
        <w:rFonts w:hint="eastAsia"/>
      </w:rPr>
    </w:lvl>
    <w:lvl w:ilvl="2" w:tentative="0">
      <w:start w:val="1"/>
      <w:numFmt w:val="decimal"/>
      <w:suff w:val="nothing"/>
      <w:lvlText w:val="%2.%3 "/>
      <w:lvlJc w:val="left"/>
      <w:pPr>
        <w:ind w:left="0" w:firstLine="0"/>
      </w:pPr>
      <w:rPr>
        <w:rFonts w:hint="eastAsia"/>
      </w:rPr>
    </w:lvl>
    <w:lvl w:ilvl="3" w:tentative="0">
      <w:start w:val="1"/>
      <w:numFmt w:val="decimal"/>
      <w:suff w:val="nothing"/>
      <w:lvlText w:val="%2.%3.%4 "/>
      <w:lvlJc w:val="left"/>
      <w:pPr>
        <w:ind w:left="0" w:firstLine="0"/>
      </w:pPr>
      <w:rPr>
        <w:rFonts w:hint="eastAsia"/>
      </w:rPr>
    </w:lvl>
    <w:lvl w:ilvl="4" w:tentative="0">
      <w:start w:val="1"/>
      <w:numFmt w:val="decimal"/>
      <w:suff w:val="nothing"/>
      <w:lvlText w:val="%2.%3.%4.%5 "/>
      <w:lvlJc w:val="left"/>
      <w:pPr>
        <w:ind w:left="0" w:firstLine="0"/>
      </w:pPr>
      <w:rPr>
        <w:rFonts w:hint="eastAsia"/>
      </w:rPr>
    </w:lvl>
    <w:lvl w:ilvl="5" w:tentative="0">
      <w:start w:val="1"/>
      <w:numFmt w:val="none"/>
      <w:pStyle w:val="9"/>
      <w:suff w:val="nothing"/>
      <w:lvlText w:val=""/>
      <w:lvlJc w:val="left"/>
      <w:pPr>
        <w:ind w:left="0" w:firstLine="0"/>
      </w:pPr>
      <w:rPr>
        <w:rFonts w:hint="eastAsia"/>
      </w:rPr>
    </w:lvl>
    <w:lvl w:ilvl="6" w:tentative="0">
      <w:start w:val="1"/>
      <w:numFmt w:val="none"/>
      <w:pStyle w:val="10"/>
      <w:suff w:val="nothing"/>
      <w:lvlText w:val=""/>
      <w:lvlJc w:val="left"/>
      <w:pPr>
        <w:ind w:left="0" w:firstLine="0"/>
      </w:pPr>
      <w:rPr>
        <w:rFonts w:hint="eastAsia"/>
      </w:rPr>
    </w:lvl>
    <w:lvl w:ilvl="7" w:tentative="0">
      <w:start w:val="1"/>
      <w:numFmt w:val="none"/>
      <w:pStyle w:val="11"/>
      <w:suff w:val="nothing"/>
      <w:lvlText w:val=""/>
      <w:lvlJc w:val="left"/>
      <w:pPr>
        <w:ind w:left="0" w:firstLine="0"/>
      </w:pPr>
      <w:rPr>
        <w:rFonts w:hint="eastAsia"/>
      </w:rPr>
    </w:lvl>
    <w:lvl w:ilvl="8" w:tentative="0">
      <w:start w:val="1"/>
      <w:numFmt w:val="none"/>
      <w:pStyle w:val="12"/>
      <w:suff w:val="nothing"/>
      <w:lvlText w:val=""/>
      <w:lvlJc w:val="left"/>
      <w:pPr>
        <w:ind w:left="0" w:firstLine="0"/>
      </w:pPr>
      <w:rPr>
        <w:rFonts w:hint="eastAsia"/>
      </w:rPr>
    </w:lvl>
  </w:abstractNum>
  <w:abstractNum w:abstractNumId="7">
    <w:nsid w:val="6626CC40"/>
    <w:multiLevelType w:val="singleLevel"/>
    <w:tmpl w:val="6626CC40"/>
    <w:lvl w:ilvl="0" w:tentative="0">
      <w:start w:val="1"/>
      <w:numFmt w:val="chineseCounting"/>
      <w:suff w:val="nothing"/>
      <w:lvlText w:val="%1、"/>
      <w:lvlJc w:val="left"/>
      <w:pPr>
        <w:ind w:left="150"/>
      </w:pPr>
      <w:rPr>
        <w:rFonts w:hint="eastAsia"/>
      </w:rPr>
    </w:lvl>
  </w:abstractNum>
  <w:num w:numId="1">
    <w:abstractNumId w:val="6"/>
  </w:num>
  <w:num w:numId="2">
    <w:abstractNumId w:val="0"/>
  </w:num>
  <w:num w:numId="3">
    <w:abstractNumId w:val="5"/>
  </w:num>
  <w:num w:numId="4">
    <w:abstractNumId w:val="2"/>
  </w:num>
  <w:num w:numId="5">
    <w:abstractNumId w:val="7"/>
  </w:num>
  <w:num w:numId="6">
    <w:abstractNumId w:val="4"/>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attachedTemplate r:id="rId1"/>
  <w:documentProtection w:enforcement="0"/>
  <w:defaultTabStop w:val="425"/>
  <w:drawingGridHorizontalSpacing w:val="105"/>
  <w:drawingGridVerticalSpacing w:val="149"/>
  <w:noPunctuationKerning w:val="1"/>
  <w:characterSpacingControl w:val="compressPunctuation"/>
  <w:hdrShapeDefaults>
    <o:shapelayout v:ext="edit">
      <o:idmap v:ext="edit" data="1,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2AF1"/>
    <w:rsid w:val="000021F1"/>
    <w:rsid w:val="00003DC7"/>
    <w:rsid w:val="00005139"/>
    <w:rsid w:val="000060F7"/>
    <w:rsid w:val="000065F6"/>
    <w:rsid w:val="00006B61"/>
    <w:rsid w:val="00006BCB"/>
    <w:rsid w:val="000114A6"/>
    <w:rsid w:val="00012B1C"/>
    <w:rsid w:val="00014F7E"/>
    <w:rsid w:val="0001609A"/>
    <w:rsid w:val="00016776"/>
    <w:rsid w:val="000177E7"/>
    <w:rsid w:val="00017ECF"/>
    <w:rsid w:val="00020C65"/>
    <w:rsid w:val="00021067"/>
    <w:rsid w:val="00021BC0"/>
    <w:rsid w:val="00023FC6"/>
    <w:rsid w:val="000242A5"/>
    <w:rsid w:val="00024E29"/>
    <w:rsid w:val="00025F21"/>
    <w:rsid w:val="00026BBB"/>
    <w:rsid w:val="000270C3"/>
    <w:rsid w:val="000276E8"/>
    <w:rsid w:val="00027F43"/>
    <w:rsid w:val="00031E43"/>
    <w:rsid w:val="000333D7"/>
    <w:rsid w:val="00033D8D"/>
    <w:rsid w:val="00034AA1"/>
    <w:rsid w:val="00036863"/>
    <w:rsid w:val="000440A4"/>
    <w:rsid w:val="00045D22"/>
    <w:rsid w:val="00046B9E"/>
    <w:rsid w:val="0005153E"/>
    <w:rsid w:val="000544A7"/>
    <w:rsid w:val="0005513D"/>
    <w:rsid w:val="00055BC4"/>
    <w:rsid w:val="00056AE9"/>
    <w:rsid w:val="00057ADA"/>
    <w:rsid w:val="000605BB"/>
    <w:rsid w:val="0006121F"/>
    <w:rsid w:val="00062851"/>
    <w:rsid w:val="00062C51"/>
    <w:rsid w:val="0006579C"/>
    <w:rsid w:val="0006657E"/>
    <w:rsid w:val="00066E0B"/>
    <w:rsid w:val="000704C0"/>
    <w:rsid w:val="00071631"/>
    <w:rsid w:val="00072A72"/>
    <w:rsid w:val="00073884"/>
    <w:rsid w:val="00073CD4"/>
    <w:rsid w:val="000742E4"/>
    <w:rsid w:val="00076A17"/>
    <w:rsid w:val="000824BA"/>
    <w:rsid w:val="00082C5C"/>
    <w:rsid w:val="00082F11"/>
    <w:rsid w:val="0008366C"/>
    <w:rsid w:val="000837A2"/>
    <w:rsid w:val="00084B83"/>
    <w:rsid w:val="00085AAC"/>
    <w:rsid w:val="00090BB5"/>
    <w:rsid w:val="0009388C"/>
    <w:rsid w:val="000939A7"/>
    <w:rsid w:val="00094CD5"/>
    <w:rsid w:val="000956B3"/>
    <w:rsid w:val="00096A17"/>
    <w:rsid w:val="00096BDF"/>
    <w:rsid w:val="0009760F"/>
    <w:rsid w:val="000A2FC6"/>
    <w:rsid w:val="000A41F7"/>
    <w:rsid w:val="000A535D"/>
    <w:rsid w:val="000A5684"/>
    <w:rsid w:val="000B1517"/>
    <w:rsid w:val="000B7486"/>
    <w:rsid w:val="000B7669"/>
    <w:rsid w:val="000C0376"/>
    <w:rsid w:val="000C0CA5"/>
    <w:rsid w:val="000C1440"/>
    <w:rsid w:val="000C3447"/>
    <w:rsid w:val="000C3B7F"/>
    <w:rsid w:val="000C4A8C"/>
    <w:rsid w:val="000C6DBE"/>
    <w:rsid w:val="000C7D2E"/>
    <w:rsid w:val="000D004D"/>
    <w:rsid w:val="000D12F6"/>
    <w:rsid w:val="000D24A9"/>
    <w:rsid w:val="000D5CD6"/>
    <w:rsid w:val="000D640F"/>
    <w:rsid w:val="000E0296"/>
    <w:rsid w:val="000E1348"/>
    <w:rsid w:val="000E4679"/>
    <w:rsid w:val="000E6362"/>
    <w:rsid w:val="000F17DF"/>
    <w:rsid w:val="000F1C96"/>
    <w:rsid w:val="000F299B"/>
    <w:rsid w:val="000F2FA5"/>
    <w:rsid w:val="000F3196"/>
    <w:rsid w:val="000F3822"/>
    <w:rsid w:val="000F3C65"/>
    <w:rsid w:val="000F4765"/>
    <w:rsid w:val="000F5749"/>
    <w:rsid w:val="000F7AE6"/>
    <w:rsid w:val="00101213"/>
    <w:rsid w:val="0010432D"/>
    <w:rsid w:val="00105C21"/>
    <w:rsid w:val="001062AB"/>
    <w:rsid w:val="001065A0"/>
    <w:rsid w:val="00106600"/>
    <w:rsid w:val="00106A54"/>
    <w:rsid w:val="00110803"/>
    <w:rsid w:val="00113C44"/>
    <w:rsid w:val="00115161"/>
    <w:rsid w:val="00115439"/>
    <w:rsid w:val="00116CC8"/>
    <w:rsid w:val="00116DBE"/>
    <w:rsid w:val="001209A8"/>
    <w:rsid w:val="00120B27"/>
    <w:rsid w:val="001216F8"/>
    <w:rsid w:val="0012335D"/>
    <w:rsid w:val="00126079"/>
    <w:rsid w:val="00127354"/>
    <w:rsid w:val="00127CC7"/>
    <w:rsid w:val="00130A9A"/>
    <w:rsid w:val="001319A2"/>
    <w:rsid w:val="001320A5"/>
    <w:rsid w:val="00132552"/>
    <w:rsid w:val="001331C3"/>
    <w:rsid w:val="00133CFB"/>
    <w:rsid w:val="00134C5A"/>
    <w:rsid w:val="00135483"/>
    <w:rsid w:val="00136201"/>
    <w:rsid w:val="00137CF4"/>
    <w:rsid w:val="0014305A"/>
    <w:rsid w:val="00143AE7"/>
    <w:rsid w:val="0014483C"/>
    <w:rsid w:val="00144EDF"/>
    <w:rsid w:val="001462D7"/>
    <w:rsid w:val="00146BB1"/>
    <w:rsid w:val="001471B3"/>
    <w:rsid w:val="001474D5"/>
    <w:rsid w:val="00147B72"/>
    <w:rsid w:val="001501E4"/>
    <w:rsid w:val="001503E1"/>
    <w:rsid w:val="00151950"/>
    <w:rsid w:val="00151BCA"/>
    <w:rsid w:val="0015339B"/>
    <w:rsid w:val="0015366A"/>
    <w:rsid w:val="001539B3"/>
    <w:rsid w:val="001542EE"/>
    <w:rsid w:val="00154675"/>
    <w:rsid w:val="00155193"/>
    <w:rsid w:val="001553EC"/>
    <w:rsid w:val="00155CB8"/>
    <w:rsid w:val="001569DC"/>
    <w:rsid w:val="00157965"/>
    <w:rsid w:val="00161885"/>
    <w:rsid w:val="00162263"/>
    <w:rsid w:val="001639BC"/>
    <w:rsid w:val="00163DB6"/>
    <w:rsid w:val="00163ED5"/>
    <w:rsid w:val="00164ABA"/>
    <w:rsid w:val="0016506B"/>
    <w:rsid w:val="00167B47"/>
    <w:rsid w:val="001705EF"/>
    <w:rsid w:val="0017062E"/>
    <w:rsid w:val="00170855"/>
    <w:rsid w:val="00173EEF"/>
    <w:rsid w:val="001752DD"/>
    <w:rsid w:val="00176DDF"/>
    <w:rsid w:val="00180009"/>
    <w:rsid w:val="0018080C"/>
    <w:rsid w:val="00181408"/>
    <w:rsid w:val="00181970"/>
    <w:rsid w:val="00185B7D"/>
    <w:rsid w:val="001860E5"/>
    <w:rsid w:val="0018667B"/>
    <w:rsid w:val="001909F8"/>
    <w:rsid w:val="001916EA"/>
    <w:rsid w:val="0019175E"/>
    <w:rsid w:val="00192491"/>
    <w:rsid w:val="0019270C"/>
    <w:rsid w:val="001943E8"/>
    <w:rsid w:val="00197156"/>
    <w:rsid w:val="001972B4"/>
    <w:rsid w:val="00197325"/>
    <w:rsid w:val="00197B96"/>
    <w:rsid w:val="001A0F57"/>
    <w:rsid w:val="001A121B"/>
    <w:rsid w:val="001A16F7"/>
    <w:rsid w:val="001A2217"/>
    <w:rsid w:val="001A2797"/>
    <w:rsid w:val="001A5BDF"/>
    <w:rsid w:val="001A6895"/>
    <w:rsid w:val="001B2DEF"/>
    <w:rsid w:val="001B5050"/>
    <w:rsid w:val="001B73A0"/>
    <w:rsid w:val="001B7E61"/>
    <w:rsid w:val="001C14B1"/>
    <w:rsid w:val="001C373D"/>
    <w:rsid w:val="001C5C56"/>
    <w:rsid w:val="001C5F27"/>
    <w:rsid w:val="001D01DB"/>
    <w:rsid w:val="001D1657"/>
    <w:rsid w:val="001D4A32"/>
    <w:rsid w:val="001D6773"/>
    <w:rsid w:val="001D6B89"/>
    <w:rsid w:val="001D6E74"/>
    <w:rsid w:val="001D702A"/>
    <w:rsid w:val="001E13DE"/>
    <w:rsid w:val="001E1981"/>
    <w:rsid w:val="001E2637"/>
    <w:rsid w:val="001E61A6"/>
    <w:rsid w:val="001E7A14"/>
    <w:rsid w:val="001F110F"/>
    <w:rsid w:val="001F15A6"/>
    <w:rsid w:val="001F1B38"/>
    <w:rsid w:val="001F2972"/>
    <w:rsid w:val="001F3E1F"/>
    <w:rsid w:val="001F5085"/>
    <w:rsid w:val="001F7971"/>
    <w:rsid w:val="002015B0"/>
    <w:rsid w:val="00201E97"/>
    <w:rsid w:val="00203A07"/>
    <w:rsid w:val="00210ECA"/>
    <w:rsid w:val="00211A2F"/>
    <w:rsid w:val="00213857"/>
    <w:rsid w:val="00213E9A"/>
    <w:rsid w:val="002142E2"/>
    <w:rsid w:val="00215C57"/>
    <w:rsid w:val="002173E8"/>
    <w:rsid w:val="00217582"/>
    <w:rsid w:val="002178D7"/>
    <w:rsid w:val="00217A24"/>
    <w:rsid w:val="00220546"/>
    <w:rsid w:val="002206A2"/>
    <w:rsid w:val="00223B19"/>
    <w:rsid w:val="00224864"/>
    <w:rsid w:val="002248B3"/>
    <w:rsid w:val="00225AFD"/>
    <w:rsid w:val="00230D01"/>
    <w:rsid w:val="00231963"/>
    <w:rsid w:val="00233012"/>
    <w:rsid w:val="002330E9"/>
    <w:rsid w:val="00234032"/>
    <w:rsid w:val="00236135"/>
    <w:rsid w:val="00243056"/>
    <w:rsid w:val="0024324A"/>
    <w:rsid w:val="002440FD"/>
    <w:rsid w:val="00244357"/>
    <w:rsid w:val="00244C9A"/>
    <w:rsid w:val="00244FFE"/>
    <w:rsid w:val="00247653"/>
    <w:rsid w:val="00250A8C"/>
    <w:rsid w:val="00254FD3"/>
    <w:rsid w:val="002561D3"/>
    <w:rsid w:val="00256269"/>
    <w:rsid w:val="00260723"/>
    <w:rsid w:val="002607A3"/>
    <w:rsid w:val="00260BB7"/>
    <w:rsid w:val="00262FF0"/>
    <w:rsid w:val="002636B3"/>
    <w:rsid w:val="002664E2"/>
    <w:rsid w:val="0027038C"/>
    <w:rsid w:val="002716FB"/>
    <w:rsid w:val="0027505D"/>
    <w:rsid w:val="002751D4"/>
    <w:rsid w:val="00280A99"/>
    <w:rsid w:val="00281581"/>
    <w:rsid w:val="00281895"/>
    <w:rsid w:val="00287E9A"/>
    <w:rsid w:val="002910ED"/>
    <w:rsid w:val="00291D3C"/>
    <w:rsid w:val="0029219F"/>
    <w:rsid w:val="00293E8A"/>
    <w:rsid w:val="00293F75"/>
    <w:rsid w:val="00294281"/>
    <w:rsid w:val="00296F36"/>
    <w:rsid w:val="00297496"/>
    <w:rsid w:val="002975F4"/>
    <w:rsid w:val="002976E3"/>
    <w:rsid w:val="002A1D98"/>
    <w:rsid w:val="002A257F"/>
    <w:rsid w:val="002A2FE1"/>
    <w:rsid w:val="002A31C4"/>
    <w:rsid w:val="002A5EB4"/>
    <w:rsid w:val="002B340B"/>
    <w:rsid w:val="002B3493"/>
    <w:rsid w:val="002B3A14"/>
    <w:rsid w:val="002B3F6A"/>
    <w:rsid w:val="002B49AD"/>
    <w:rsid w:val="002B5887"/>
    <w:rsid w:val="002B758B"/>
    <w:rsid w:val="002B7C5D"/>
    <w:rsid w:val="002C14F9"/>
    <w:rsid w:val="002C57E1"/>
    <w:rsid w:val="002C5A53"/>
    <w:rsid w:val="002C5DC3"/>
    <w:rsid w:val="002C639D"/>
    <w:rsid w:val="002D0440"/>
    <w:rsid w:val="002D2BA8"/>
    <w:rsid w:val="002D2D7E"/>
    <w:rsid w:val="002D2EC2"/>
    <w:rsid w:val="002D337A"/>
    <w:rsid w:val="002D337E"/>
    <w:rsid w:val="002D49D4"/>
    <w:rsid w:val="002D5A0E"/>
    <w:rsid w:val="002D6427"/>
    <w:rsid w:val="002D7C63"/>
    <w:rsid w:val="002E0D36"/>
    <w:rsid w:val="002E1BAA"/>
    <w:rsid w:val="002E206A"/>
    <w:rsid w:val="002E32E7"/>
    <w:rsid w:val="002E4F80"/>
    <w:rsid w:val="002E7D17"/>
    <w:rsid w:val="002F0DD3"/>
    <w:rsid w:val="002F160B"/>
    <w:rsid w:val="002F39C9"/>
    <w:rsid w:val="002F5991"/>
    <w:rsid w:val="002F6543"/>
    <w:rsid w:val="002F7432"/>
    <w:rsid w:val="0030004D"/>
    <w:rsid w:val="003007AD"/>
    <w:rsid w:val="0030300C"/>
    <w:rsid w:val="00303B22"/>
    <w:rsid w:val="00305902"/>
    <w:rsid w:val="0030792E"/>
    <w:rsid w:val="00307D8B"/>
    <w:rsid w:val="003100C5"/>
    <w:rsid w:val="003102E4"/>
    <w:rsid w:val="00311404"/>
    <w:rsid w:val="00311F7A"/>
    <w:rsid w:val="00314A50"/>
    <w:rsid w:val="00314CE0"/>
    <w:rsid w:val="003161E0"/>
    <w:rsid w:val="0031718B"/>
    <w:rsid w:val="00320AF9"/>
    <w:rsid w:val="0032284B"/>
    <w:rsid w:val="00322C31"/>
    <w:rsid w:val="0032383B"/>
    <w:rsid w:val="00324629"/>
    <w:rsid w:val="00324942"/>
    <w:rsid w:val="00325F10"/>
    <w:rsid w:val="00327962"/>
    <w:rsid w:val="0033180A"/>
    <w:rsid w:val="00332BD1"/>
    <w:rsid w:val="00340404"/>
    <w:rsid w:val="00341B1F"/>
    <w:rsid w:val="00342232"/>
    <w:rsid w:val="00342F58"/>
    <w:rsid w:val="003442CD"/>
    <w:rsid w:val="00344A42"/>
    <w:rsid w:val="00345172"/>
    <w:rsid w:val="00345847"/>
    <w:rsid w:val="00345904"/>
    <w:rsid w:val="00346DB2"/>
    <w:rsid w:val="00351E99"/>
    <w:rsid w:val="00352805"/>
    <w:rsid w:val="00352E10"/>
    <w:rsid w:val="00361414"/>
    <w:rsid w:val="0036323C"/>
    <w:rsid w:val="003637A9"/>
    <w:rsid w:val="00364C10"/>
    <w:rsid w:val="00364D92"/>
    <w:rsid w:val="003651A8"/>
    <w:rsid w:val="0036697F"/>
    <w:rsid w:val="00366A7D"/>
    <w:rsid w:val="00370538"/>
    <w:rsid w:val="00370EE3"/>
    <w:rsid w:val="00371669"/>
    <w:rsid w:val="003723DE"/>
    <w:rsid w:val="0037409D"/>
    <w:rsid w:val="00374A1A"/>
    <w:rsid w:val="0037542D"/>
    <w:rsid w:val="003757DC"/>
    <w:rsid w:val="003757FE"/>
    <w:rsid w:val="0037639C"/>
    <w:rsid w:val="00376BFC"/>
    <w:rsid w:val="00380344"/>
    <w:rsid w:val="003805A7"/>
    <w:rsid w:val="003813A4"/>
    <w:rsid w:val="00381970"/>
    <w:rsid w:val="0038206F"/>
    <w:rsid w:val="00382C6A"/>
    <w:rsid w:val="00382E67"/>
    <w:rsid w:val="003837A1"/>
    <w:rsid w:val="003837C7"/>
    <w:rsid w:val="00383877"/>
    <w:rsid w:val="00384669"/>
    <w:rsid w:val="00384843"/>
    <w:rsid w:val="00384B1E"/>
    <w:rsid w:val="00386BE7"/>
    <w:rsid w:val="00386DF4"/>
    <w:rsid w:val="00387E7E"/>
    <w:rsid w:val="00391A1F"/>
    <w:rsid w:val="00391F59"/>
    <w:rsid w:val="003942C1"/>
    <w:rsid w:val="003955A2"/>
    <w:rsid w:val="00397211"/>
    <w:rsid w:val="003A09F4"/>
    <w:rsid w:val="003A10B4"/>
    <w:rsid w:val="003A10F5"/>
    <w:rsid w:val="003A1A6E"/>
    <w:rsid w:val="003A454B"/>
    <w:rsid w:val="003A4E67"/>
    <w:rsid w:val="003A5ED9"/>
    <w:rsid w:val="003A72E5"/>
    <w:rsid w:val="003B367D"/>
    <w:rsid w:val="003B3E7D"/>
    <w:rsid w:val="003B559E"/>
    <w:rsid w:val="003B59D9"/>
    <w:rsid w:val="003B5D45"/>
    <w:rsid w:val="003B62CF"/>
    <w:rsid w:val="003B6952"/>
    <w:rsid w:val="003B6DB5"/>
    <w:rsid w:val="003C10DD"/>
    <w:rsid w:val="003C1190"/>
    <w:rsid w:val="003C1289"/>
    <w:rsid w:val="003C3300"/>
    <w:rsid w:val="003C3481"/>
    <w:rsid w:val="003C3791"/>
    <w:rsid w:val="003C422D"/>
    <w:rsid w:val="003C5ABF"/>
    <w:rsid w:val="003C69D7"/>
    <w:rsid w:val="003C7AE5"/>
    <w:rsid w:val="003D10D2"/>
    <w:rsid w:val="003D137A"/>
    <w:rsid w:val="003D1E45"/>
    <w:rsid w:val="003D2006"/>
    <w:rsid w:val="003D2D05"/>
    <w:rsid w:val="003D300E"/>
    <w:rsid w:val="003D430B"/>
    <w:rsid w:val="003D647D"/>
    <w:rsid w:val="003D7B1B"/>
    <w:rsid w:val="003E01CB"/>
    <w:rsid w:val="003E01D7"/>
    <w:rsid w:val="003E11C1"/>
    <w:rsid w:val="003E15AA"/>
    <w:rsid w:val="003E19BE"/>
    <w:rsid w:val="003E2BFA"/>
    <w:rsid w:val="003E3C34"/>
    <w:rsid w:val="003E46E0"/>
    <w:rsid w:val="003E5F8D"/>
    <w:rsid w:val="003E744E"/>
    <w:rsid w:val="003E7467"/>
    <w:rsid w:val="003F0E5A"/>
    <w:rsid w:val="003F2F87"/>
    <w:rsid w:val="003F3D20"/>
    <w:rsid w:val="003F3D3D"/>
    <w:rsid w:val="003F4477"/>
    <w:rsid w:val="003F4A55"/>
    <w:rsid w:val="003F4F24"/>
    <w:rsid w:val="003F4FAB"/>
    <w:rsid w:val="003F5A9B"/>
    <w:rsid w:val="003F5CA7"/>
    <w:rsid w:val="004007DB"/>
    <w:rsid w:val="00400C8B"/>
    <w:rsid w:val="004024F1"/>
    <w:rsid w:val="00403EE9"/>
    <w:rsid w:val="004043A2"/>
    <w:rsid w:val="00405121"/>
    <w:rsid w:val="0041079B"/>
    <w:rsid w:val="00410D40"/>
    <w:rsid w:val="00411141"/>
    <w:rsid w:val="00412922"/>
    <w:rsid w:val="00412A51"/>
    <w:rsid w:val="00414707"/>
    <w:rsid w:val="00414E62"/>
    <w:rsid w:val="00416102"/>
    <w:rsid w:val="0041786D"/>
    <w:rsid w:val="0042033E"/>
    <w:rsid w:val="004207BA"/>
    <w:rsid w:val="00420952"/>
    <w:rsid w:val="00420ECB"/>
    <w:rsid w:val="0042200D"/>
    <w:rsid w:val="00422355"/>
    <w:rsid w:val="00423691"/>
    <w:rsid w:val="004248EB"/>
    <w:rsid w:val="00426DC2"/>
    <w:rsid w:val="00427452"/>
    <w:rsid w:val="004278D2"/>
    <w:rsid w:val="00427D01"/>
    <w:rsid w:val="00431297"/>
    <w:rsid w:val="00433227"/>
    <w:rsid w:val="00434521"/>
    <w:rsid w:val="00435338"/>
    <w:rsid w:val="00435C59"/>
    <w:rsid w:val="0043640B"/>
    <w:rsid w:val="00436A23"/>
    <w:rsid w:val="00437A7F"/>
    <w:rsid w:val="00440C79"/>
    <w:rsid w:val="00441801"/>
    <w:rsid w:val="00441A24"/>
    <w:rsid w:val="00442C53"/>
    <w:rsid w:val="0044338F"/>
    <w:rsid w:val="00443946"/>
    <w:rsid w:val="00444AAB"/>
    <w:rsid w:val="00445268"/>
    <w:rsid w:val="00445A89"/>
    <w:rsid w:val="00446354"/>
    <w:rsid w:val="004467D3"/>
    <w:rsid w:val="004541C8"/>
    <w:rsid w:val="0045494F"/>
    <w:rsid w:val="00455782"/>
    <w:rsid w:val="0046208D"/>
    <w:rsid w:val="00462769"/>
    <w:rsid w:val="004635F0"/>
    <w:rsid w:val="0047140D"/>
    <w:rsid w:val="004717D9"/>
    <w:rsid w:val="00472192"/>
    <w:rsid w:val="00472FDE"/>
    <w:rsid w:val="00474521"/>
    <w:rsid w:val="00474B80"/>
    <w:rsid w:val="00475C95"/>
    <w:rsid w:val="004765B6"/>
    <w:rsid w:val="00477688"/>
    <w:rsid w:val="00481BCD"/>
    <w:rsid w:val="0048224C"/>
    <w:rsid w:val="00482715"/>
    <w:rsid w:val="004837DF"/>
    <w:rsid w:val="00484CB3"/>
    <w:rsid w:val="004874B1"/>
    <w:rsid w:val="0049146C"/>
    <w:rsid w:val="00491A79"/>
    <w:rsid w:val="0049301E"/>
    <w:rsid w:val="004939DA"/>
    <w:rsid w:val="00494B59"/>
    <w:rsid w:val="00494C4F"/>
    <w:rsid w:val="004957EF"/>
    <w:rsid w:val="004A099A"/>
    <w:rsid w:val="004A4374"/>
    <w:rsid w:val="004A4795"/>
    <w:rsid w:val="004A4C5B"/>
    <w:rsid w:val="004A5947"/>
    <w:rsid w:val="004A5A84"/>
    <w:rsid w:val="004A5B1A"/>
    <w:rsid w:val="004A7991"/>
    <w:rsid w:val="004A7C68"/>
    <w:rsid w:val="004B0612"/>
    <w:rsid w:val="004B0715"/>
    <w:rsid w:val="004B23E3"/>
    <w:rsid w:val="004B2C74"/>
    <w:rsid w:val="004B4BBB"/>
    <w:rsid w:val="004B4EFA"/>
    <w:rsid w:val="004B57E2"/>
    <w:rsid w:val="004B5E0A"/>
    <w:rsid w:val="004B642D"/>
    <w:rsid w:val="004B6BE7"/>
    <w:rsid w:val="004C1A8F"/>
    <w:rsid w:val="004C37E9"/>
    <w:rsid w:val="004C4882"/>
    <w:rsid w:val="004C51B3"/>
    <w:rsid w:val="004C598D"/>
    <w:rsid w:val="004C6730"/>
    <w:rsid w:val="004C6B95"/>
    <w:rsid w:val="004D139B"/>
    <w:rsid w:val="004D13A1"/>
    <w:rsid w:val="004D1559"/>
    <w:rsid w:val="004D21EC"/>
    <w:rsid w:val="004D2366"/>
    <w:rsid w:val="004D36A3"/>
    <w:rsid w:val="004D510B"/>
    <w:rsid w:val="004D6107"/>
    <w:rsid w:val="004D6335"/>
    <w:rsid w:val="004E0ECA"/>
    <w:rsid w:val="004E4130"/>
    <w:rsid w:val="004E6338"/>
    <w:rsid w:val="004E6D99"/>
    <w:rsid w:val="004E6F8D"/>
    <w:rsid w:val="004F05B3"/>
    <w:rsid w:val="004F0D38"/>
    <w:rsid w:val="004F2C95"/>
    <w:rsid w:val="004F34A8"/>
    <w:rsid w:val="004F4AE0"/>
    <w:rsid w:val="004F526C"/>
    <w:rsid w:val="004F54BA"/>
    <w:rsid w:val="005000FE"/>
    <w:rsid w:val="00500D41"/>
    <w:rsid w:val="00502660"/>
    <w:rsid w:val="00503685"/>
    <w:rsid w:val="00504FB2"/>
    <w:rsid w:val="00505733"/>
    <w:rsid w:val="00506B42"/>
    <w:rsid w:val="005118AB"/>
    <w:rsid w:val="00512034"/>
    <w:rsid w:val="005142D5"/>
    <w:rsid w:val="00514D3A"/>
    <w:rsid w:val="00514F73"/>
    <w:rsid w:val="0052793F"/>
    <w:rsid w:val="00527C3A"/>
    <w:rsid w:val="00532ED5"/>
    <w:rsid w:val="00533AE1"/>
    <w:rsid w:val="00533FB8"/>
    <w:rsid w:val="005340AF"/>
    <w:rsid w:val="00535FA1"/>
    <w:rsid w:val="005361E9"/>
    <w:rsid w:val="0054082E"/>
    <w:rsid w:val="0054132B"/>
    <w:rsid w:val="00541D5A"/>
    <w:rsid w:val="00542A4C"/>
    <w:rsid w:val="005448F9"/>
    <w:rsid w:val="00545C97"/>
    <w:rsid w:val="00546111"/>
    <w:rsid w:val="0054631A"/>
    <w:rsid w:val="005474A7"/>
    <w:rsid w:val="00547F1A"/>
    <w:rsid w:val="00551078"/>
    <w:rsid w:val="005528D7"/>
    <w:rsid w:val="0055319A"/>
    <w:rsid w:val="00553209"/>
    <w:rsid w:val="00553A93"/>
    <w:rsid w:val="00553E41"/>
    <w:rsid w:val="00556ACF"/>
    <w:rsid w:val="00557A2E"/>
    <w:rsid w:val="005619A4"/>
    <w:rsid w:val="00563148"/>
    <w:rsid w:val="00564925"/>
    <w:rsid w:val="00565404"/>
    <w:rsid w:val="005662B1"/>
    <w:rsid w:val="005700F5"/>
    <w:rsid w:val="005704A3"/>
    <w:rsid w:val="00570DA0"/>
    <w:rsid w:val="00572AAC"/>
    <w:rsid w:val="00576136"/>
    <w:rsid w:val="005764D5"/>
    <w:rsid w:val="005765A1"/>
    <w:rsid w:val="00576A34"/>
    <w:rsid w:val="0058049C"/>
    <w:rsid w:val="00580792"/>
    <w:rsid w:val="0058113B"/>
    <w:rsid w:val="00581334"/>
    <w:rsid w:val="00581514"/>
    <w:rsid w:val="00582386"/>
    <w:rsid w:val="00582A77"/>
    <w:rsid w:val="00582F7C"/>
    <w:rsid w:val="00583B02"/>
    <w:rsid w:val="00585B72"/>
    <w:rsid w:val="00585E2F"/>
    <w:rsid w:val="00592963"/>
    <w:rsid w:val="005930B9"/>
    <w:rsid w:val="00595052"/>
    <w:rsid w:val="005966F6"/>
    <w:rsid w:val="00597A56"/>
    <w:rsid w:val="00597AD8"/>
    <w:rsid w:val="005A0E90"/>
    <w:rsid w:val="005A1B17"/>
    <w:rsid w:val="005A26D5"/>
    <w:rsid w:val="005A5060"/>
    <w:rsid w:val="005A71B8"/>
    <w:rsid w:val="005B0841"/>
    <w:rsid w:val="005B220B"/>
    <w:rsid w:val="005B296B"/>
    <w:rsid w:val="005B2A20"/>
    <w:rsid w:val="005B317C"/>
    <w:rsid w:val="005B5728"/>
    <w:rsid w:val="005B6660"/>
    <w:rsid w:val="005B666F"/>
    <w:rsid w:val="005B6B13"/>
    <w:rsid w:val="005B713F"/>
    <w:rsid w:val="005C1AC2"/>
    <w:rsid w:val="005C226F"/>
    <w:rsid w:val="005C31A5"/>
    <w:rsid w:val="005C54A5"/>
    <w:rsid w:val="005C5E1B"/>
    <w:rsid w:val="005C7F76"/>
    <w:rsid w:val="005D0E31"/>
    <w:rsid w:val="005D0FF6"/>
    <w:rsid w:val="005D1814"/>
    <w:rsid w:val="005D2582"/>
    <w:rsid w:val="005D2F4F"/>
    <w:rsid w:val="005D45E2"/>
    <w:rsid w:val="005D4F77"/>
    <w:rsid w:val="005D50E5"/>
    <w:rsid w:val="005D622B"/>
    <w:rsid w:val="005D6EAC"/>
    <w:rsid w:val="005D7231"/>
    <w:rsid w:val="005D74B4"/>
    <w:rsid w:val="005E041E"/>
    <w:rsid w:val="005E066A"/>
    <w:rsid w:val="005E08F0"/>
    <w:rsid w:val="005E0D27"/>
    <w:rsid w:val="005E209B"/>
    <w:rsid w:val="005E2853"/>
    <w:rsid w:val="005E3525"/>
    <w:rsid w:val="005E6190"/>
    <w:rsid w:val="005E6D04"/>
    <w:rsid w:val="005E711C"/>
    <w:rsid w:val="005E74E2"/>
    <w:rsid w:val="005E78FF"/>
    <w:rsid w:val="005E797D"/>
    <w:rsid w:val="005F1F14"/>
    <w:rsid w:val="005F2D59"/>
    <w:rsid w:val="005F37C7"/>
    <w:rsid w:val="005F4260"/>
    <w:rsid w:val="005F4702"/>
    <w:rsid w:val="005F5F5F"/>
    <w:rsid w:val="005F6011"/>
    <w:rsid w:val="005F688B"/>
    <w:rsid w:val="00600EF7"/>
    <w:rsid w:val="006013D6"/>
    <w:rsid w:val="0060313A"/>
    <w:rsid w:val="00605458"/>
    <w:rsid w:val="0060612E"/>
    <w:rsid w:val="00606422"/>
    <w:rsid w:val="00610966"/>
    <w:rsid w:val="00611087"/>
    <w:rsid w:val="00611A6B"/>
    <w:rsid w:val="00611B75"/>
    <w:rsid w:val="00612785"/>
    <w:rsid w:val="00615124"/>
    <w:rsid w:val="00617A49"/>
    <w:rsid w:val="00617E8B"/>
    <w:rsid w:val="006233EB"/>
    <w:rsid w:val="00624406"/>
    <w:rsid w:val="0062494A"/>
    <w:rsid w:val="006253F1"/>
    <w:rsid w:val="006264B1"/>
    <w:rsid w:val="00630DAC"/>
    <w:rsid w:val="00630E1C"/>
    <w:rsid w:val="006319BA"/>
    <w:rsid w:val="00635980"/>
    <w:rsid w:val="00635F47"/>
    <w:rsid w:val="006377D7"/>
    <w:rsid w:val="00640359"/>
    <w:rsid w:val="0064259B"/>
    <w:rsid w:val="00643300"/>
    <w:rsid w:val="006435C5"/>
    <w:rsid w:val="006439B3"/>
    <w:rsid w:val="00643CB6"/>
    <w:rsid w:val="0064411E"/>
    <w:rsid w:val="00644909"/>
    <w:rsid w:val="00646034"/>
    <w:rsid w:val="006502FA"/>
    <w:rsid w:val="00650C43"/>
    <w:rsid w:val="00651685"/>
    <w:rsid w:val="00651A7D"/>
    <w:rsid w:val="00651B78"/>
    <w:rsid w:val="00651D3F"/>
    <w:rsid w:val="00651EDB"/>
    <w:rsid w:val="0065276D"/>
    <w:rsid w:val="00653120"/>
    <w:rsid w:val="00653342"/>
    <w:rsid w:val="00653D99"/>
    <w:rsid w:val="00654444"/>
    <w:rsid w:val="00654E03"/>
    <w:rsid w:val="00655FB0"/>
    <w:rsid w:val="006605C3"/>
    <w:rsid w:val="00663932"/>
    <w:rsid w:val="006646FE"/>
    <w:rsid w:val="006653B1"/>
    <w:rsid w:val="0066550E"/>
    <w:rsid w:val="006655F4"/>
    <w:rsid w:val="00667DF2"/>
    <w:rsid w:val="00671016"/>
    <w:rsid w:val="00671C9E"/>
    <w:rsid w:val="006721A6"/>
    <w:rsid w:val="00672F92"/>
    <w:rsid w:val="006730DF"/>
    <w:rsid w:val="00673969"/>
    <w:rsid w:val="00674DA6"/>
    <w:rsid w:val="00674E96"/>
    <w:rsid w:val="00675047"/>
    <w:rsid w:val="006757A0"/>
    <w:rsid w:val="00677195"/>
    <w:rsid w:val="006772C8"/>
    <w:rsid w:val="00677933"/>
    <w:rsid w:val="0068010E"/>
    <w:rsid w:val="006809A1"/>
    <w:rsid w:val="00681716"/>
    <w:rsid w:val="00681E38"/>
    <w:rsid w:val="00682057"/>
    <w:rsid w:val="00682B2A"/>
    <w:rsid w:val="00684434"/>
    <w:rsid w:val="006852A3"/>
    <w:rsid w:val="006861EC"/>
    <w:rsid w:val="00686340"/>
    <w:rsid w:val="0068645D"/>
    <w:rsid w:val="006865A6"/>
    <w:rsid w:val="006926C2"/>
    <w:rsid w:val="0069416E"/>
    <w:rsid w:val="00694BB8"/>
    <w:rsid w:val="006958E0"/>
    <w:rsid w:val="00697A44"/>
    <w:rsid w:val="006A0347"/>
    <w:rsid w:val="006A0505"/>
    <w:rsid w:val="006A40D6"/>
    <w:rsid w:val="006A46FB"/>
    <w:rsid w:val="006A6A8C"/>
    <w:rsid w:val="006B0BFF"/>
    <w:rsid w:val="006B1F13"/>
    <w:rsid w:val="006B21C1"/>
    <w:rsid w:val="006B31B9"/>
    <w:rsid w:val="006B60FB"/>
    <w:rsid w:val="006C2552"/>
    <w:rsid w:val="006C3AAD"/>
    <w:rsid w:val="006C4BEC"/>
    <w:rsid w:val="006C6A72"/>
    <w:rsid w:val="006D253D"/>
    <w:rsid w:val="006D3461"/>
    <w:rsid w:val="006D3599"/>
    <w:rsid w:val="006D4BF1"/>
    <w:rsid w:val="006E04C0"/>
    <w:rsid w:val="006E1F31"/>
    <w:rsid w:val="006E288A"/>
    <w:rsid w:val="006E4B96"/>
    <w:rsid w:val="006E4D62"/>
    <w:rsid w:val="006E7129"/>
    <w:rsid w:val="006F11BC"/>
    <w:rsid w:val="006F2513"/>
    <w:rsid w:val="006F2C72"/>
    <w:rsid w:val="006F39A6"/>
    <w:rsid w:val="006F3A2A"/>
    <w:rsid w:val="006F3F3A"/>
    <w:rsid w:val="006F531B"/>
    <w:rsid w:val="006F603C"/>
    <w:rsid w:val="006F693C"/>
    <w:rsid w:val="006F7164"/>
    <w:rsid w:val="007003F6"/>
    <w:rsid w:val="00700977"/>
    <w:rsid w:val="00700AB7"/>
    <w:rsid w:val="007018A5"/>
    <w:rsid w:val="007019DA"/>
    <w:rsid w:val="007027BB"/>
    <w:rsid w:val="00702825"/>
    <w:rsid w:val="00703613"/>
    <w:rsid w:val="00703B69"/>
    <w:rsid w:val="0070457E"/>
    <w:rsid w:val="00705F12"/>
    <w:rsid w:val="00707F7E"/>
    <w:rsid w:val="0071001E"/>
    <w:rsid w:val="00711682"/>
    <w:rsid w:val="00713650"/>
    <w:rsid w:val="007150B2"/>
    <w:rsid w:val="00717537"/>
    <w:rsid w:val="00720AAE"/>
    <w:rsid w:val="00723AD7"/>
    <w:rsid w:val="00724BA4"/>
    <w:rsid w:val="00730623"/>
    <w:rsid w:val="00731ABA"/>
    <w:rsid w:val="00734AAC"/>
    <w:rsid w:val="0073782C"/>
    <w:rsid w:val="00737840"/>
    <w:rsid w:val="00740D6F"/>
    <w:rsid w:val="00740F5D"/>
    <w:rsid w:val="00741C57"/>
    <w:rsid w:val="007420D8"/>
    <w:rsid w:val="0074243F"/>
    <w:rsid w:val="00742A78"/>
    <w:rsid w:val="00744352"/>
    <w:rsid w:val="0074612B"/>
    <w:rsid w:val="00747EEB"/>
    <w:rsid w:val="007526D9"/>
    <w:rsid w:val="007544E5"/>
    <w:rsid w:val="0075607C"/>
    <w:rsid w:val="007565CD"/>
    <w:rsid w:val="00756DD4"/>
    <w:rsid w:val="00761192"/>
    <w:rsid w:val="00761B03"/>
    <w:rsid w:val="00762D54"/>
    <w:rsid w:val="00762E7D"/>
    <w:rsid w:val="007656B3"/>
    <w:rsid w:val="00766122"/>
    <w:rsid w:val="00766753"/>
    <w:rsid w:val="00766F33"/>
    <w:rsid w:val="0077182E"/>
    <w:rsid w:val="007729B6"/>
    <w:rsid w:val="00772AF3"/>
    <w:rsid w:val="0077516D"/>
    <w:rsid w:val="00775AB0"/>
    <w:rsid w:val="0077632D"/>
    <w:rsid w:val="0078081B"/>
    <w:rsid w:val="00783A8D"/>
    <w:rsid w:val="00784C9B"/>
    <w:rsid w:val="007854A7"/>
    <w:rsid w:val="00785824"/>
    <w:rsid w:val="00785C62"/>
    <w:rsid w:val="00785CA4"/>
    <w:rsid w:val="00785E00"/>
    <w:rsid w:val="0078681D"/>
    <w:rsid w:val="00786A14"/>
    <w:rsid w:val="00790456"/>
    <w:rsid w:val="00791200"/>
    <w:rsid w:val="00792334"/>
    <w:rsid w:val="007926F2"/>
    <w:rsid w:val="0079372E"/>
    <w:rsid w:val="00795BCB"/>
    <w:rsid w:val="00796140"/>
    <w:rsid w:val="007970B0"/>
    <w:rsid w:val="007A0C69"/>
    <w:rsid w:val="007A6074"/>
    <w:rsid w:val="007A66DE"/>
    <w:rsid w:val="007A6C95"/>
    <w:rsid w:val="007A724A"/>
    <w:rsid w:val="007B0EFF"/>
    <w:rsid w:val="007B139D"/>
    <w:rsid w:val="007B24F5"/>
    <w:rsid w:val="007B2D3C"/>
    <w:rsid w:val="007B330A"/>
    <w:rsid w:val="007B3392"/>
    <w:rsid w:val="007B5192"/>
    <w:rsid w:val="007B5CFB"/>
    <w:rsid w:val="007B613E"/>
    <w:rsid w:val="007B7166"/>
    <w:rsid w:val="007B792E"/>
    <w:rsid w:val="007C1147"/>
    <w:rsid w:val="007C2B22"/>
    <w:rsid w:val="007C2FF3"/>
    <w:rsid w:val="007C375B"/>
    <w:rsid w:val="007C4E1A"/>
    <w:rsid w:val="007C6419"/>
    <w:rsid w:val="007D0549"/>
    <w:rsid w:val="007D1019"/>
    <w:rsid w:val="007D2B49"/>
    <w:rsid w:val="007D57D4"/>
    <w:rsid w:val="007D7B4A"/>
    <w:rsid w:val="007D7F35"/>
    <w:rsid w:val="007E086A"/>
    <w:rsid w:val="007E0DC0"/>
    <w:rsid w:val="007E13A4"/>
    <w:rsid w:val="007E15B4"/>
    <w:rsid w:val="007E4057"/>
    <w:rsid w:val="007E4FD4"/>
    <w:rsid w:val="007E5F65"/>
    <w:rsid w:val="007F015D"/>
    <w:rsid w:val="007F0A0A"/>
    <w:rsid w:val="007F0EF3"/>
    <w:rsid w:val="007F2F27"/>
    <w:rsid w:val="007F3CBF"/>
    <w:rsid w:val="007F3FF3"/>
    <w:rsid w:val="007F5B3A"/>
    <w:rsid w:val="007F5CE5"/>
    <w:rsid w:val="007F5E90"/>
    <w:rsid w:val="007F61D0"/>
    <w:rsid w:val="007F7178"/>
    <w:rsid w:val="007F762F"/>
    <w:rsid w:val="008006D8"/>
    <w:rsid w:val="00801A93"/>
    <w:rsid w:val="00804038"/>
    <w:rsid w:val="00804FD1"/>
    <w:rsid w:val="00805308"/>
    <w:rsid w:val="00805348"/>
    <w:rsid w:val="00805771"/>
    <w:rsid w:val="00806934"/>
    <w:rsid w:val="00806E4E"/>
    <w:rsid w:val="00807832"/>
    <w:rsid w:val="008100F5"/>
    <w:rsid w:val="008106A3"/>
    <w:rsid w:val="00810A8D"/>
    <w:rsid w:val="00810F19"/>
    <w:rsid w:val="008140CE"/>
    <w:rsid w:val="00817230"/>
    <w:rsid w:val="008179F9"/>
    <w:rsid w:val="00817EC4"/>
    <w:rsid w:val="00821B77"/>
    <w:rsid w:val="008220F7"/>
    <w:rsid w:val="00822AF1"/>
    <w:rsid w:val="008249BE"/>
    <w:rsid w:val="00824A0D"/>
    <w:rsid w:val="00824BC4"/>
    <w:rsid w:val="00824F16"/>
    <w:rsid w:val="00825E64"/>
    <w:rsid w:val="00826376"/>
    <w:rsid w:val="008306E7"/>
    <w:rsid w:val="00830B78"/>
    <w:rsid w:val="00831C73"/>
    <w:rsid w:val="00831ED5"/>
    <w:rsid w:val="00832628"/>
    <w:rsid w:val="0083559D"/>
    <w:rsid w:val="00836173"/>
    <w:rsid w:val="00836F4D"/>
    <w:rsid w:val="00837842"/>
    <w:rsid w:val="00841AB6"/>
    <w:rsid w:val="008441DE"/>
    <w:rsid w:val="00844726"/>
    <w:rsid w:val="00844D3B"/>
    <w:rsid w:val="008473C8"/>
    <w:rsid w:val="00852DCA"/>
    <w:rsid w:val="00856B7C"/>
    <w:rsid w:val="008571C5"/>
    <w:rsid w:val="00860414"/>
    <w:rsid w:val="008618CB"/>
    <w:rsid w:val="00864C4D"/>
    <w:rsid w:val="00866542"/>
    <w:rsid w:val="00867C09"/>
    <w:rsid w:val="00871945"/>
    <w:rsid w:val="00871A21"/>
    <w:rsid w:val="00871E98"/>
    <w:rsid w:val="00873C3E"/>
    <w:rsid w:val="008746B5"/>
    <w:rsid w:val="008753E1"/>
    <w:rsid w:val="00881711"/>
    <w:rsid w:val="008832F8"/>
    <w:rsid w:val="008858D1"/>
    <w:rsid w:val="00885EA5"/>
    <w:rsid w:val="0088773B"/>
    <w:rsid w:val="00887A46"/>
    <w:rsid w:val="008925CC"/>
    <w:rsid w:val="00892845"/>
    <w:rsid w:val="00892AFD"/>
    <w:rsid w:val="008931CC"/>
    <w:rsid w:val="0089490E"/>
    <w:rsid w:val="00897744"/>
    <w:rsid w:val="008A26E2"/>
    <w:rsid w:val="008A397D"/>
    <w:rsid w:val="008A51F4"/>
    <w:rsid w:val="008A63E4"/>
    <w:rsid w:val="008A65F1"/>
    <w:rsid w:val="008B1D69"/>
    <w:rsid w:val="008B3D5C"/>
    <w:rsid w:val="008B5535"/>
    <w:rsid w:val="008B7BC9"/>
    <w:rsid w:val="008C1804"/>
    <w:rsid w:val="008C207B"/>
    <w:rsid w:val="008C25C6"/>
    <w:rsid w:val="008C3DE4"/>
    <w:rsid w:val="008C4D0D"/>
    <w:rsid w:val="008C6625"/>
    <w:rsid w:val="008C7B2D"/>
    <w:rsid w:val="008D1585"/>
    <w:rsid w:val="008D2978"/>
    <w:rsid w:val="008D3D31"/>
    <w:rsid w:val="008D789D"/>
    <w:rsid w:val="008D7EF0"/>
    <w:rsid w:val="008E0215"/>
    <w:rsid w:val="008E0A1C"/>
    <w:rsid w:val="008E0E05"/>
    <w:rsid w:val="008E1AC0"/>
    <w:rsid w:val="008E1D72"/>
    <w:rsid w:val="008E32DB"/>
    <w:rsid w:val="008E369E"/>
    <w:rsid w:val="008E4C10"/>
    <w:rsid w:val="008E4CA2"/>
    <w:rsid w:val="008E5AF8"/>
    <w:rsid w:val="008E6062"/>
    <w:rsid w:val="008E74FF"/>
    <w:rsid w:val="008E7CEA"/>
    <w:rsid w:val="008E7E66"/>
    <w:rsid w:val="008F0698"/>
    <w:rsid w:val="008F10B8"/>
    <w:rsid w:val="008F2A5D"/>
    <w:rsid w:val="008F593E"/>
    <w:rsid w:val="008F682E"/>
    <w:rsid w:val="008F6BD2"/>
    <w:rsid w:val="008F7B07"/>
    <w:rsid w:val="008F7B43"/>
    <w:rsid w:val="008F7FEB"/>
    <w:rsid w:val="00900246"/>
    <w:rsid w:val="00901081"/>
    <w:rsid w:val="00901C9E"/>
    <w:rsid w:val="00902060"/>
    <w:rsid w:val="00902773"/>
    <w:rsid w:val="00902A5B"/>
    <w:rsid w:val="00902D64"/>
    <w:rsid w:val="00904BE6"/>
    <w:rsid w:val="009076A7"/>
    <w:rsid w:val="0091369E"/>
    <w:rsid w:val="00914E35"/>
    <w:rsid w:val="009170C0"/>
    <w:rsid w:val="00917CFF"/>
    <w:rsid w:val="009205DA"/>
    <w:rsid w:val="00921367"/>
    <w:rsid w:val="00922D59"/>
    <w:rsid w:val="009231B3"/>
    <w:rsid w:val="0092395E"/>
    <w:rsid w:val="00924023"/>
    <w:rsid w:val="00926B02"/>
    <w:rsid w:val="009307C6"/>
    <w:rsid w:val="00931D77"/>
    <w:rsid w:val="0093330F"/>
    <w:rsid w:val="009336C7"/>
    <w:rsid w:val="009336D5"/>
    <w:rsid w:val="009357E0"/>
    <w:rsid w:val="0094153D"/>
    <w:rsid w:val="00942200"/>
    <w:rsid w:val="00943F3F"/>
    <w:rsid w:val="009450F7"/>
    <w:rsid w:val="009476B7"/>
    <w:rsid w:val="00950791"/>
    <w:rsid w:val="00950F1C"/>
    <w:rsid w:val="00952F16"/>
    <w:rsid w:val="0095318A"/>
    <w:rsid w:val="00953603"/>
    <w:rsid w:val="00953D4F"/>
    <w:rsid w:val="00953D99"/>
    <w:rsid w:val="009540B3"/>
    <w:rsid w:val="009611DC"/>
    <w:rsid w:val="009614B9"/>
    <w:rsid w:val="00961B5B"/>
    <w:rsid w:val="00961C6D"/>
    <w:rsid w:val="009625BD"/>
    <w:rsid w:val="0096536B"/>
    <w:rsid w:val="009657AC"/>
    <w:rsid w:val="00965AB4"/>
    <w:rsid w:val="00967E3C"/>
    <w:rsid w:val="00970D68"/>
    <w:rsid w:val="00970DDE"/>
    <w:rsid w:val="00972B53"/>
    <w:rsid w:val="00972BBD"/>
    <w:rsid w:val="00973CD7"/>
    <w:rsid w:val="009759EB"/>
    <w:rsid w:val="00976444"/>
    <w:rsid w:val="00977021"/>
    <w:rsid w:val="009802B4"/>
    <w:rsid w:val="00985049"/>
    <w:rsid w:val="00985097"/>
    <w:rsid w:val="0098525D"/>
    <w:rsid w:val="00990942"/>
    <w:rsid w:val="009911AA"/>
    <w:rsid w:val="00991B92"/>
    <w:rsid w:val="009922DE"/>
    <w:rsid w:val="00992537"/>
    <w:rsid w:val="00994401"/>
    <w:rsid w:val="00994BD6"/>
    <w:rsid w:val="0099727E"/>
    <w:rsid w:val="009A12C4"/>
    <w:rsid w:val="009A36A4"/>
    <w:rsid w:val="009A4019"/>
    <w:rsid w:val="009A4BB3"/>
    <w:rsid w:val="009A530D"/>
    <w:rsid w:val="009A6363"/>
    <w:rsid w:val="009B04BD"/>
    <w:rsid w:val="009B0B41"/>
    <w:rsid w:val="009B1E73"/>
    <w:rsid w:val="009B2DCD"/>
    <w:rsid w:val="009B7A54"/>
    <w:rsid w:val="009C0036"/>
    <w:rsid w:val="009C0E3E"/>
    <w:rsid w:val="009C1580"/>
    <w:rsid w:val="009C2EB5"/>
    <w:rsid w:val="009C383E"/>
    <w:rsid w:val="009C4A2D"/>
    <w:rsid w:val="009C5274"/>
    <w:rsid w:val="009C6772"/>
    <w:rsid w:val="009C79C1"/>
    <w:rsid w:val="009D2762"/>
    <w:rsid w:val="009D75AF"/>
    <w:rsid w:val="009E040B"/>
    <w:rsid w:val="009E108F"/>
    <w:rsid w:val="009E12F9"/>
    <w:rsid w:val="009E181A"/>
    <w:rsid w:val="009E25FD"/>
    <w:rsid w:val="009E459D"/>
    <w:rsid w:val="009E5265"/>
    <w:rsid w:val="009E60CC"/>
    <w:rsid w:val="009E61D7"/>
    <w:rsid w:val="009E719F"/>
    <w:rsid w:val="009E7215"/>
    <w:rsid w:val="009F143B"/>
    <w:rsid w:val="009F1664"/>
    <w:rsid w:val="009F2F70"/>
    <w:rsid w:val="009F42A9"/>
    <w:rsid w:val="009F530F"/>
    <w:rsid w:val="009F78F7"/>
    <w:rsid w:val="00A004E1"/>
    <w:rsid w:val="00A023E9"/>
    <w:rsid w:val="00A0267C"/>
    <w:rsid w:val="00A02D07"/>
    <w:rsid w:val="00A05139"/>
    <w:rsid w:val="00A052A2"/>
    <w:rsid w:val="00A05A8F"/>
    <w:rsid w:val="00A069F9"/>
    <w:rsid w:val="00A0798A"/>
    <w:rsid w:val="00A07AE0"/>
    <w:rsid w:val="00A116C5"/>
    <w:rsid w:val="00A13395"/>
    <w:rsid w:val="00A13AED"/>
    <w:rsid w:val="00A13D69"/>
    <w:rsid w:val="00A169B5"/>
    <w:rsid w:val="00A16F24"/>
    <w:rsid w:val="00A174FC"/>
    <w:rsid w:val="00A17718"/>
    <w:rsid w:val="00A177AD"/>
    <w:rsid w:val="00A17B4F"/>
    <w:rsid w:val="00A218CC"/>
    <w:rsid w:val="00A21B14"/>
    <w:rsid w:val="00A22030"/>
    <w:rsid w:val="00A2253E"/>
    <w:rsid w:val="00A22644"/>
    <w:rsid w:val="00A22A94"/>
    <w:rsid w:val="00A23EB4"/>
    <w:rsid w:val="00A254CF"/>
    <w:rsid w:val="00A25B0A"/>
    <w:rsid w:val="00A317F5"/>
    <w:rsid w:val="00A326E4"/>
    <w:rsid w:val="00A32D44"/>
    <w:rsid w:val="00A32E33"/>
    <w:rsid w:val="00A33040"/>
    <w:rsid w:val="00A33C12"/>
    <w:rsid w:val="00A340AC"/>
    <w:rsid w:val="00A35638"/>
    <w:rsid w:val="00A37614"/>
    <w:rsid w:val="00A42456"/>
    <w:rsid w:val="00A436CC"/>
    <w:rsid w:val="00A438FE"/>
    <w:rsid w:val="00A4415C"/>
    <w:rsid w:val="00A46EE5"/>
    <w:rsid w:val="00A515A5"/>
    <w:rsid w:val="00A51940"/>
    <w:rsid w:val="00A5420C"/>
    <w:rsid w:val="00A545B6"/>
    <w:rsid w:val="00A55DAE"/>
    <w:rsid w:val="00A5773C"/>
    <w:rsid w:val="00A57A14"/>
    <w:rsid w:val="00A60B81"/>
    <w:rsid w:val="00A630D8"/>
    <w:rsid w:val="00A63510"/>
    <w:rsid w:val="00A64979"/>
    <w:rsid w:val="00A65037"/>
    <w:rsid w:val="00A672C9"/>
    <w:rsid w:val="00A6780D"/>
    <w:rsid w:val="00A70254"/>
    <w:rsid w:val="00A719CB"/>
    <w:rsid w:val="00A71D22"/>
    <w:rsid w:val="00A73159"/>
    <w:rsid w:val="00A74FAB"/>
    <w:rsid w:val="00A751FA"/>
    <w:rsid w:val="00A76E43"/>
    <w:rsid w:val="00A802C0"/>
    <w:rsid w:val="00A80887"/>
    <w:rsid w:val="00A8123C"/>
    <w:rsid w:val="00A813A5"/>
    <w:rsid w:val="00A81744"/>
    <w:rsid w:val="00A8483F"/>
    <w:rsid w:val="00A85BFF"/>
    <w:rsid w:val="00A90378"/>
    <w:rsid w:val="00A911C5"/>
    <w:rsid w:val="00A92DAF"/>
    <w:rsid w:val="00A932DB"/>
    <w:rsid w:val="00A97664"/>
    <w:rsid w:val="00AA1E45"/>
    <w:rsid w:val="00AA4443"/>
    <w:rsid w:val="00AA5269"/>
    <w:rsid w:val="00AA7EA9"/>
    <w:rsid w:val="00AB0801"/>
    <w:rsid w:val="00AB274F"/>
    <w:rsid w:val="00AB4886"/>
    <w:rsid w:val="00AB4E74"/>
    <w:rsid w:val="00AB4F39"/>
    <w:rsid w:val="00AB5204"/>
    <w:rsid w:val="00AB5F26"/>
    <w:rsid w:val="00AB6270"/>
    <w:rsid w:val="00AB71D2"/>
    <w:rsid w:val="00AC198A"/>
    <w:rsid w:val="00AC39FB"/>
    <w:rsid w:val="00AC6AA0"/>
    <w:rsid w:val="00AC6F7A"/>
    <w:rsid w:val="00AC6FC4"/>
    <w:rsid w:val="00AC779B"/>
    <w:rsid w:val="00AD0C62"/>
    <w:rsid w:val="00AD1A04"/>
    <w:rsid w:val="00AD4439"/>
    <w:rsid w:val="00AD5379"/>
    <w:rsid w:val="00AD5B78"/>
    <w:rsid w:val="00AD6BBC"/>
    <w:rsid w:val="00AD7E7D"/>
    <w:rsid w:val="00AE1523"/>
    <w:rsid w:val="00AE17D6"/>
    <w:rsid w:val="00AE2971"/>
    <w:rsid w:val="00AE2AF0"/>
    <w:rsid w:val="00AE3657"/>
    <w:rsid w:val="00AE3DE8"/>
    <w:rsid w:val="00AE5977"/>
    <w:rsid w:val="00AE5C2B"/>
    <w:rsid w:val="00AE6164"/>
    <w:rsid w:val="00AE6616"/>
    <w:rsid w:val="00AE6F19"/>
    <w:rsid w:val="00AE7655"/>
    <w:rsid w:val="00AF399B"/>
    <w:rsid w:val="00AF3C23"/>
    <w:rsid w:val="00AF5109"/>
    <w:rsid w:val="00AF68BD"/>
    <w:rsid w:val="00B01B10"/>
    <w:rsid w:val="00B04E8A"/>
    <w:rsid w:val="00B103F0"/>
    <w:rsid w:val="00B10B2B"/>
    <w:rsid w:val="00B13BD8"/>
    <w:rsid w:val="00B14934"/>
    <w:rsid w:val="00B16832"/>
    <w:rsid w:val="00B17262"/>
    <w:rsid w:val="00B177E7"/>
    <w:rsid w:val="00B22DE7"/>
    <w:rsid w:val="00B245AB"/>
    <w:rsid w:val="00B2583C"/>
    <w:rsid w:val="00B25AA0"/>
    <w:rsid w:val="00B25BAB"/>
    <w:rsid w:val="00B260BA"/>
    <w:rsid w:val="00B26136"/>
    <w:rsid w:val="00B26BE5"/>
    <w:rsid w:val="00B275CC"/>
    <w:rsid w:val="00B2769E"/>
    <w:rsid w:val="00B301A6"/>
    <w:rsid w:val="00B31CB8"/>
    <w:rsid w:val="00B31F85"/>
    <w:rsid w:val="00B321B6"/>
    <w:rsid w:val="00B3408E"/>
    <w:rsid w:val="00B34EB2"/>
    <w:rsid w:val="00B35352"/>
    <w:rsid w:val="00B35DF2"/>
    <w:rsid w:val="00B35EE6"/>
    <w:rsid w:val="00B36FE3"/>
    <w:rsid w:val="00B37C3B"/>
    <w:rsid w:val="00B423E7"/>
    <w:rsid w:val="00B42595"/>
    <w:rsid w:val="00B4386D"/>
    <w:rsid w:val="00B43B1C"/>
    <w:rsid w:val="00B446F3"/>
    <w:rsid w:val="00B44A65"/>
    <w:rsid w:val="00B52F51"/>
    <w:rsid w:val="00B53B58"/>
    <w:rsid w:val="00B54AF8"/>
    <w:rsid w:val="00B552BB"/>
    <w:rsid w:val="00B55C65"/>
    <w:rsid w:val="00B57615"/>
    <w:rsid w:val="00B62C7E"/>
    <w:rsid w:val="00B6330B"/>
    <w:rsid w:val="00B63F50"/>
    <w:rsid w:val="00B65159"/>
    <w:rsid w:val="00B6582C"/>
    <w:rsid w:val="00B66178"/>
    <w:rsid w:val="00B66B46"/>
    <w:rsid w:val="00B66D0E"/>
    <w:rsid w:val="00B67007"/>
    <w:rsid w:val="00B701C5"/>
    <w:rsid w:val="00B7127A"/>
    <w:rsid w:val="00B718AC"/>
    <w:rsid w:val="00B71DD3"/>
    <w:rsid w:val="00B75925"/>
    <w:rsid w:val="00B76482"/>
    <w:rsid w:val="00B8030E"/>
    <w:rsid w:val="00B80FF2"/>
    <w:rsid w:val="00B82ED6"/>
    <w:rsid w:val="00B83205"/>
    <w:rsid w:val="00B849FF"/>
    <w:rsid w:val="00B86B36"/>
    <w:rsid w:val="00B90992"/>
    <w:rsid w:val="00B9156A"/>
    <w:rsid w:val="00B92207"/>
    <w:rsid w:val="00B928F9"/>
    <w:rsid w:val="00B937C3"/>
    <w:rsid w:val="00B938DC"/>
    <w:rsid w:val="00B93F55"/>
    <w:rsid w:val="00B95B1F"/>
    <w:rsid w:val="00B968AA"/>
    <w:rsid w:val="00BA23A6"/>
    <w:rsid w:val="00BA23E5"/>
    <w:rsid w:val="00BA27E1"/>
    <w:rsid w:val="00BA2857"/>
    <w:rsid w:val="00BA3A6A"/>
    <w:rsid w:val="00BA3CBD"/>
    <w:rsid w:val="00BA4130"/>
    <w:rsid w:val="00BA42CD"/>
    <w:rsid w:val="00BA6FB5"/>
    <w:rsid w:val="00BB0693"/>
    <w:rsid w:val="00BB0753"/>
    <w:rsid w:val="00BB18F2"/>
    <w:rsid w:val="00BB2C25"/>
    <w:rsid w:val="00BB3CAB"/>
    <w:rsid w:val="00BB3DBA"/>
    <w:rsid w:val="00BB43C6"/>
    <w:rsid w:val="00BB7602"/>
    <w:rsid w:val="00BC2661"/>
    <w:rsid w:val="00BC3ACB"/>
    <w:rsid w:val="00BC4133"/>
    <w:rsid w:val="00BC576C"/>
    <w:rsid w:val="00BD2CDD"/>
    <w:rsid w:val="00BD4B00"/>
    <w:rsid w:val="00BD6526"/>
    <w:rsid w:val="00BD7047"/>
    <w:rsid w:val="00BD7587"/>
    <w:rsid w:val="00BD79DD"/>
    <w:rsid w:val="00BD7F3E"/>
    <w:rsid w:val="00BE343C"/>
    <w:rsid w:val="00BE4440"/>
    <w:rsid w:val="00BE459E"/>
    <w:rsid w:val="00BE6114"/>
    <w:rsid w:val="00BE721E"/>
    <w:rsid w:val="00BF0152"/>
    <w:rsid w:val="00BF03A6"/>
    <w:rsid w:val="00BF13F1"/>
    <w:rsid w:val="00BF27A8"/>
    <w:rsid w:val="00BF30A9"/>
    <w:rsid w:val="00BF3B89"/>
    <w:rsid w:val="00BF3CF9"/>
    <w:rsid w:val="00BF3FCB"/>
    <w:rsid w:val="00BF6622"/>
    <w:rsid w:val="00BF7806"/>
    <w:rsid w:val="00BF7F23"/>
    <w:rsid w:val="00C0056A"/>
    <w:rsid w:val="00C00A71"/>
    <w:rsid w:val="00C0164B"/>
    <w:rsid w:val="00C038A6"/>
    <w:rsid w:val="00C06DEB"/>
    <w:rsid w:val="00C07E2C"/>
    <w:rsid w:val="00C10207"/>
    <w:rsid w:val="00C102E5"/>
    <w:rsid w:val="00C107C5"/>
    <w:rsid w:val="00C110AA"/>
    <w:rsid w:val="00C116E6"/>
    <w:rsid w:val="00C11B62"/>
    <w:rsid w:val="00C13432"/>
    <w:rsid w:val="00C1372B"/>
    <w:rsid w:val="00C13B01"/>
    <w:rsid w:val="00C14773"/>
    <w:rsid w:val="00C163C2"/>
    <w:rsid w:val="00C170B7"/>
    <w:rsid w:val="00C17500"/>
    <w:rsid w:val="00C209FA"/>
    <w:rsid w:val="00C21933"/>
    <w:rsid w:val="00C2244B"/>
    <w:rsid w:val="00C22760"/>
    <w:rsid w:val="00C22796"/>
    <w:rsid w:val="00C22CFD"/>
    <w:rsid w:val="00C233A4"/>
    <w:rsid w:val="00C24537"/>
    <w:rsid w:val="00C26D1F"/>
    <w:rsid w:val="00C302D0"/>
    <w:rsid w:val="00C30F62"/>
    <w:rsid w:val="00C319A5"/>
    <w:rsid w:val="00C34AAA"/>
    <w:rsid w:val="00C42A82"/>
    <w:rsid w:val="00C42B1B"/>
    <w:rsid w:val="00C439B6"/>
    <w:rsid w:val="00C46772"/>
    <w:rsid w:val="00C47053"/>
    <w:rsid w:val="00C47119"/>
    <w:rsid w:val="00C5319A"/>
    <w:rsid w:val="00C53413"/>
    <w:rsid w:val="00C539E6"/>
    <w:rsid w:val="00C57D5C"/>
    <w:rsid w:val="00C57DB4"/>
    <w:rsid w:val="00C60B35"/>
    <w:rsid w:val="00C60ECA"/>
    <w:rsid w:val="00C6304B"/>
    <w:rsid w:val="00C65365"/>
    <w:rsid w:val="00C65D18"/>
    <w:rsid w:val="00C722C8"/>
    <w:rsid w:val="00C73A3A"/>
    <w:rsid w:val="00C74005"/>
    <w:rsid w:val="00C74501"/>
    <w:rsid w:val="00C7629C"/>
    <w:rsid w:val="00C777BF"/>
    <w:rsid w:val="00C8169D"/>
    <w:rsid w:val="00C83570"/>
    <w:rsid w:val="00C86775"/>
    <w:rsid w:val="00C86C62"/>
    <w:rsid w:val="00C877E8"/>
    <w:rsid w:val="00C90398"/>
    <w:rsid w:val="00C9051A"/>
    <w:rsid w:val="00C9055C"/>
    <w:rsid w:val="00C92D92"/>
    <w:rsid w:val="00C93017"/>
    <w:rsid w:val="00C9394D"/>
    <w:rsid w:val="00C95A0B"/>
    <w:rsid w:val="00C97BF9"/>
    <w:rsid w:val="00C97D58"/>
    <w:rsid w:val="00CA0DCF"/>
    <w:rsid w:val="00CA1014"/>
    <w:rsid w:val="00CA1138"/>
    <w:rsid w:val="00CA1878"/>
    <w:rsid w:val="00CA365B"/>
    <w:rsid w:val="00CA46F9"/>
    <w:rsid w:val="00CA5F9D"/>
    <w:rsid w:val="00CA6819"/>
    <w:rsid w:val="00CA6FCC"/>
    <w:rsid w:val="00CA7540"/>
    <w:rsid w:val="00CB0854"/>
    <w:rsid w:val="00CB2283"/>
    <w:rsid w:val="00CB295A"/>
    <w:rsid w:val="00CB341F"/>
    <w:rsid w:val="00CB39AB"/>
    <w:rsid w:val="00CB52BA"/>
    <w:rsid w:val="00CB5813"/>
    <w:rsid w:val="00CC0A9A"/>
    <w:rsid w:val="00CC38D7"/>
    <w:rsid w:val="00CC4110"/>
    <w:rsid w:val="00CC4E32"/>
    <w:rsid w:val="00CC5C60"/>
    <w:rsid w:val="00CC7768"/>
    <w:rsid w:val="00CC7A4E"/>
    <w:rsid w:val="00CD03F6"/>
    <w:rsid w:val="00CD0808"/>
    <w:rsid w:val="00CD0B4A"/>
    <w:rsid w:val="00CD0BAF"/>
    <w:rsid w:val="00CD10EC"/>
    <w:rsid w:val="00CD3A22"/>
    <w:rsid w:val="00CD4DF5"/>
    <w:rsid w:val="00CE0001"/>
    <w:rsid w:val="00CE036D"/>
    <w:rsid w:val="00CE22B8"/>
    <w:rsid w:val="00CE2F45"/>
    <w:rsid w:val="00CE3068"/>
    <w:rsid w:val="00CE3A72"/>
    <w:rsid w:val="00CE54C2"/>
    <w:rsid w:val="00CE6435"/>
    <w:rsid w:val="00CF21D5"/>
    <w:rsid w:val="00CF2417"/>
    <w:rsid w:val="00CF2829"/>
    <w:rsid w:val="00CF3162"/>
    <w:rsid w:val="00CF3D91"/>
    <w:rsid w:val="00CF6AD4"/>
    <w:rsid w:val="00D006A5"/>
    <w:rsid w:val="00D00AF5"/>
    <w:rsid w:val="00D0129A"/>
    <w:rsid w:val="00D021FC"/>
    <w:rsid w:val="00D05012"/>
    <w:rsid w:val="00D05A5E"/>
    <w:rsid w:val="00D0629A"/>
    <w:rsid w:val="00D07080"/>
    <w:rsid w:val="00D07106"/>
    <w:rsid w:val="00D07F84"/>
    <w:rsid w:val="00D17568"/>
    <w:rsid w:val="00D20E60"/>
    <w:rsid w:val="00D2100A"/>
    <w:rsid w:val="00D23157"/>
    <w:rsid w:val="00D23991"/>
    <w:rsid w:val="00D23ADD"/>
    <w:rsid w:val="00D24774"/>
    <w:rsid w:val="00D25267"/>
    <w:rsid w:val="00D25334"/>
    <w:rsid w:val="00D26601"/>
    <w:rsid w:val="00D27B74"/>
    <w:rsid w:val="00D31598"/>
    <w:rsid w:val="00D32C72"/>
    <w:rsid w:val="00D33264"/>
    <w:rsid w:val="00D33B81"/>
    <w:rsid w:val="00D360E8"/>
    <w:rsid w:val="00D3742E"/>
    <w:rsid w:val="00D40ED6"/>
    <w:rsid w:val="00D42716"/>
    <w:rsid w:val="00D44E89"/>
    <w:rsid w:val="00D45970"/>
    <w:rsid w:val="00D45B4E"/>
    <w:rsid w:val="00D45E1D"/>
    <w:rsid w:val="00D46EA2"/>
    <w:rsid w:val="00D4716D"/>
    <w:rsid w:val="00D5292D"/>
    <w:rsid w:val="00D529F8"/>
    <w:rsid w:val="00D5436F"/>
    <w:rsid w:val="00D54745"/>
    <w:rsid w:val="00D555A5"/>
    <w:rsid w:val="00D5567B"/>
    <w:rsid w:val="00D55B3E"/>
    <w:rsid w:val="00D5645B"/>
    <w:rsid w:val="00D61D9A"/>
    <w:rsid w:val="00D66E21"/>
    <w:rsid w:val="00D679B9"/>
    <w:rsid w:val="00D679E6"/>
    <w:rsid w:val="00D67C8B"/>
    <w:rsid w:val="00D724E9"/>
    <w:rsid w:val="00D74CC2"/>
    <w:rsid w:val="00D7540F"/>
    <w:rsid w:val="00D76F78"/>
    <w:rsid w:val="00D77F56"/>
    <w:rsid w:val="00D804A6"/>
    <w:rsid w:val="00D816E0"/>
    <w:rsid w:val="00D81A5D"/>
    <w:rsid w:val="00D83E03"/>
    <w:rsid w:val="00D8437D"/>
    <w:rsid w:val="00D853EA"/>
    <w:rsid w:val="00D8631C"/>
    <w:rsid w:val="00D86C36"/>
    <w:rsid w:val="00D86F2D"/>
    <w:rsid w:val="00D878E1"/>
    <w:rsid w:val="00D92B15"/>
    <w:rsid w:val="00D932F2"/>
    <w:rsid w:val="00D94997"/>
    <w:rsid w:val="00D96127"/>
    <w:rsid w:val="00D969FC"/>
    <w:rsid w:val="00DA217B"/>
    <w:rsid w:val="00DA30DA"/>
    <w:rsid w:val="00DA3414"/>
    <w:rsid w:val="00DA4484"/>
    <w:rsid w:val="00DA4861"/>
    <w:rsid w:val="00DA6158"/>
    <w:rsid w:val="00DA6A64"/>
    <w:rsid w:val="00DB1505"/>
    <w:rsid w:val="00DB2D21"/>
    <w:rsid w:val="00DB34C7"/>
    <w:rsid w:val="00DB708C"/>
    <w:rsid w:val="00DC0D67"/>
    <w:rsid w:val="00DC1868"/>
    <w:rsid w:val="00DC3032"/>
    <w:rsid w:val="00DC387B"/>
    <w:rsid w:val="00DC5456"/>
    <w:rsid w:val="00DC62C5"/>
    <w:rsid w:val="00DD02EC"/>
    <w:rsid w:val="00DD0AD0"/>
    <w:rsid w:val="00DD13F8"/>
    <w:rsid w:val="00DD2841"/>
    <w:rsid w:val="00DD2F31"/>
    <w:rsid w:val="00DD3208"/>
    <w:rsid w:val="00DD3248"/>
    <w:rsid w:val="00DD38BA"/>
    <w:rsid w:val="00DD5363"/>
    <w:rsid w:val="00DD5B0C"/>
    <w:rsid w:val="00DD6776"/>
    <w:rsid w:val="00DE0372"/>
    <w:rsid w:val="00DE152E"/>
    <w:rsid w:val="00DE187C"/>
    <w:rsid w:val="00DE1B47"/>
    <w:rsid w:val="00DE1CA0"/>
    <w:rsid w:val="00DE1D38"/>
    <w:rsid w:val="00DE2652"/>
    <w:rsid w:val="00DE4E0E"/>
    <w:rsid w:val="00DE53A7"/>
    <w:rsid w:val="00DE56E4"/>
    <w:rsid w:val="00DE626E"/>
    <w:rsid w:val="00DE62F8"/>
    <w:rsid w:val="00DF1AF8"/>
    <w:rsid w:val="00DF1F97"/>
    <w:rsid w:val="00DF208C"/>
    <w:rsid w:val="00DF237D"/>
    <w:rsid w:val="00DF260A"/>
    <w:rsid w:val="00DF2D03"/>
    <w:rsid w:val="00DF2DED"/>
    <w:rsid w:val="00DF3A76"/>
    <w:rsid w:val="00DF62FA"/>
    <w:rsid w:val="00DF76C7"/>
    <w:rsid w:val="00E00769"/>
    <w:rsid w:val="00E012D5"/>
    <w:rsid w:val="00E016D7"/>
    <w:rsid w:val="00E01E85"/>
    <w:rsid w:val="00E03A36"/>
    <w:rsid w:val="00E04178"/>
    <w:rsid w:val="00E045E8"/>
    <w:rsid w:val="00E046E7"/>
    <w:rsid w:val="00E0586F"/>
    <w:rsid w:val="00E05C4C"/>
    <w:rsid w:val="00E06CA9"/>
    <w:rsid w:val="00E06F34"/>
    <w:rsid w:val="00E07FCD"/>
    <w:rsid w:val="00E10EC6"/>
    <w:rsid w:val="00E12F79"/>
    <w:rsid w:val="00E15484"/>
    <w:rsid w:val="00E1552E"/>
    <w:rsid w:val="00E1579A"/>
    <w:rsid w:val="00E167C1"/>
    <w:rsid w:val="00E1753D"/>
    <w:rsid w:val="00E20F22"/>
    <w:rsid w:val="00E216DE"/>
    <w:rsid w:val="00E22142"/>
    <w:rsid w:val="00E227A3"/>
    <w:rsid w:val="00E22A22"/>
    <w:rsid w:val="00E23180"/>
    <w:rsid w:val="00E241AF"/>
    <w:rsid w:val="00E25CEE"/>
    <w:rsid w:val="00E2632E"/>
    <w:rsid w:val="00E26579"/>
    <w:rsid w:val="00E30739"/>
    <w:rsid w:val="00E32A02"/>
    <w:rsid w:val="00E32A85"/>
    <w:rsid w:val="00E32EBE"/>
    <w:rsid w:val="00E3491B"/>
    <w:rsid w:val="00E36DBF"/>
    <w:rsid w:val="00E37549"/>
    <w:rsid w:val="00E40AEB"/>
    <w:rsid w:val="00E42F35"/>
    <w:rsid w:val="00E4480C"/>
    <w:rsid w:val="00E4542F"/>
    <w:rsid w:val="00E45622"/>
    <w:rsid w:val="00E51BC3"/>
    <w:rsid w:val="00E55D96"/>
    <w:rsid w:val="00E56672"/>
    <w:rsid w:val="00E568F2"/>
    <w:rsid w:val="00E608D4"/>
    <w:rsid w:val="00E616DC"/>
    <w:rsid w:val="00E61ECC"/>
    <w:rsid w:val="00E6218F"/>
    <w:rsid w:val="00E644DA"/>
    <w:rsid w:val="00E64F4B"/>
    <w:rsid w:val="00E6792B"/>
    <w:rsid w:val="00E71425"/>
    <w:rsid w:val="00E71D5B"/>
    <w:rsid w:val="00E71F88"/>
    <w:rsid w:val="00E729DC"/>
    <w:rsid w:val="00E75FA0"/>
    <w:rsid w:val="00E772E6"/>
    <w:rsid w:val="00E802EC"/>
    <w:rsid w:val="00E81490"/>
    <w:rsid w:val="00E816BF"/>
    <w:rsid w:val="00E82551"/>
    <w:rsid w:val="00E847CA"/>
    <w:rsid w:val="00E84A4E"/>
    <w:rsid w:val="00E8533E"/>
    <w:rsid w:val="00E87E93"/>
    <w:rsid w:val="00E87F9C"/>
    <w:rsid w:val="00E911A8"/>
    <w:rsid w:val="00E91295"/>
    <w:rsid w:val="00E91AD5"/>
    <w:rsid w:val="00E93252"/>
    <w:rsid w:val="00E95320"/>
    <w:rsid w:val="00E9538C"/>
    <w:rsid w:val="00EA08D7"/>
    <w:rsid w:val="00EA2217"/>
    <w:rsid w:val="00EA233D"/>
    <w:rsid w:val="00EA2767"/>
    <w:rsid w:val="00EA4DFA"/>
    <w:rsid w:val="00EA56B7"/>
    <w:rsid w:val="00EA5D39"/>
    <w:rsid w:val="00EA768F"/>
    <w:rsid w:val="00EB1143"/>
    <w:rsid w:val="00EB4180"/>
    <w:rsid w:val="00EB52B6"/>
    <w:rsid w:val="00EB721A"/>
    <w:rsid w:val="00EC1B66"/>
    <w:rsid w:val="00EC563C"/>
    <w:rsid w:val="00EC5930"/>
    <w:rsid w:val="00EC6508"/>
    <w:rsid w:val="00EC689A"/>
    <w:rsid w:val="00EC77F3"/>
    <w:rsid w:val="00ED0855"/>
    <w:rsid w:val="00ED10BC"/>
    <w:rsid w:val="00ED1115"/>
    <w:rsid w:val="00ED1166"/>
    <w:rsid w:val="00ED1EA3"/>
    <w:rsid w:val="00ED2B34"/>
    <w:rsid w:val="00ED45F2"/>
    <w:rsid w:val="00ED5F16"/>
    <w:rsid w:val="00ED64F6"/>
    <w:rsid w:val="00EE2A56"/>
    <w:rsid w:val="00EE2F55"/>
    <w:rsid w:val="00EE37A5"/>
    <w:rsid w:val="00EE533C"/>
    <w:rsid w:val="00EE61AB"/>
    <w:rsid w:val="00EF1390"/>
    <w:rsid w:val="00EF205B"/>
    <w:rsid w:val="00EF2926"/>
    <w:rsid w:val="00EF3F43"/>
    <w:rsid w:val="00EF5CEE"/>
    <w:rsid w:val="00F004BE"/>
    <w:rsid w:val="00F00797"/>
    <w:rsid w:val="00F020C5"/>
    <w:rsid w:val="00F02D71"/>
    <w:rsid w:val="00F02DA0"/>
    <w:rsid w:val="00F037A1"/>
    <w:rsid w:val="00F03D0B"/>
    <w:rsid w:val="00F04417"/>
    <w:rsid w:val="00F053AC"/>
    <w:rsid w:val="00F07DBB"/>
    <w:rsid w:val="00F110C3"/>
    <w:rsid w:val="00F12C7A"/>
    <w:rsid w:val="00F12F80"/>
    <w:rsid w:val="00F12FCD"/>
    <w:rsid w:val="00F1323F"/>
    <w:rsid w:val="00F14500"/>
    <w:rsid w:val="00F14FC9"/>
    <w:rsid w:val="00F161E6"/>
    <w:rsid w:val="00F167F2"/>
    <w:rsid w:val="00F17771"/>
    <w:rsid w:val="00F20956"/>
    <w:rsid w:val="00F20D5E"/>
    <w:rsid w:val="00F23819"/>
    <w:rsid w:val="00F23A7D"/>
    <w:rsid w:val="00F24B7E"/>
    <w:rsid w:val="00F259E4"/>
    <w:rsid w:val="00F260D1"/>
    <w:rsid w:val="00F31145"/>
    <w:rsid w:val="00F319D9"/>
    <w:rsid w:val="00F31A21"/>
    <w:rsid w:val="00F32044"/>
    <w:rsid w:val="00F3303E"/>
    <w:rsid w:val="00F33253"/>
    <w:rsid w:val="00F35327"/>
    <w:rsid w:val="00F36186"/>
    <w:rsid w:val="00F367E9"/>
    <w:rsid w:val="00F3734B"/>
    <w:rsid w:val="00F41B26"/>
    <w:rsid w:val="00F42EEA"/>
    <w:rsid w:val="00F451DA"/>
    <w:rsid w:val="00F46660"/>
    <w:rsid w:val="00F50636"/>
    <w:rsid w:val="00F52024"/>
    <w:rsid w:val="00F545FC"/>
    <w:rsid w:val="00F54AB2"/>
    <w:rsid w:val="00F55753"/>
    <w:rsid w:val="00F55A0C"/>
    <w:rsid w:val="00F562E1"/>
    <w:rsid w:val="00F56DF8"/>
    <w:rsid w:val="00F57D77"/>
    <w:rsid w:val="00F602A2"/>
    <w:rsid w:val="00F60482"/>
    <w:rsid w:val="00F624D8"/>
    <w:rsid w:val="00F64E04"/>
    <w:rsid w:val="00F67483"/>
    <w:rsid w:val="00F7258A"/>
    <w:rsid w:val="00F72D18"/>
    <w:rsid w:val="00F73F6F"/>
    <w:rsid w:val="00F7451A"/>
    <w:rsid w:val="00F74655"/>
    <w:rsid w:val="00F75623"/>
    <w:rsid w:val="00F75ABD"/>
    <w:rsid w:val="00F76C25"/>
    <w:rsid w:val="00F810CE"/>
    <w:rsid w:val="00F82B31"/>
    <w:rsid w:val="00F84762"/>
    <w:rsid w:val="00F85996"/>
    <w:rsid w:val="00F85C3B"/>
    <w:rsid w:val="00F8692A"/>
    <w:rsid w:val="00F86BE7"/>
    <w:rsid w:val="00F87BF8"/>
    <w:rsid w:val="00F87FF1"/>
    <w:rsid w:val="00F909D7"/>
    <w:rsid w:val="00F90AC9"/>
    <w:rsid w:val="00F91684"/>
    <w:rsid w:val="00F92B92"/>
    <w:rsid w:val="00F941DB"/>
    <w:rsid w:val="00F959A1"/>
    <w:rsid w:val="00F95A88"/>
    <w:rsid w:val="00F95EA9"/>
    <w:rsid w:val="00F96A51"/>
    <w:rsid w:val="00F97BC7"/>
    <w:rsid w:val="00F97BD9"/>
    <w:rsid w:val="00FA07C2"/>
    <w:rsid w:val="00FA0BB6"/>
    <w:rsid w:val="00FA0C7A"/>
    <w:rsid w:val="00FA2A37"/>
    <w:rsid w:val="00FA34F4"/>
    <w:rsid w:val="00FA3F40"/>
    <w:rsid w:val="00FA4460"/>
    <w:rsid w:val="00FA4EB4"/>
    <w:rsid w:val="00FA6239"/>
    <w:rsid w:val="00FA6763"/>
    <w:rsid w:val="00FA6A26"/>
    <w:rsid w:val="00FA7DEC"/>
    <w:rsid w:val="00FB0532"/>
    <w:rsid w:val="00FB1BFB"/>
    <w:rsid w:val="00FB3D8D"/>
    <w:rsid w:val="00FB41A1"/>
    <w:rsid w:val="00FB5C3D"/>
    <w:rsid w:val="00FB606A"/>
    <w:rsid w:val="00FB682E"/>
    <w:rsid w:val="00FC05DB"/>
    <w:rsid w:val="00FC20E0"/>
    <w:rsid w:val="00FC2BE0"/>
    <w:rsid w:val="00FC3B65"/>
    <w:rsid w:val="00FC3FC5"/>
    <w:rsid w:val="00FC4755"/>
    <w:rsid w:val="00FC5F64"/>
    <w:rsid w:val="00FC77CD"/>
    <w:rsid w:val="00FD23FC"/>
    <w:rsid w:val="00FD4524"/>
    <w:rsid w:val="00FD5B41"/>
    <w:rsid w:val="00FD5F29"/>
    <w:rsid w:val="00FD6025"/>
    <w:rsid w:val="00FD6A38"/>
    <w:rsid w:val="00FD70E7"/>
    <w:rsid w:val="00FD79C4"/>
    <w:rsid w:val="00FE15C7"/>
    <w:rsid w:val="00FE2596"/>
    <w:rsid w:val="00FE363F"/>
    <w:rsid w:val="00FE4CD7"/>
    <w:rsid w:val="00FE4E51"/>
    <w:rsid w:val="00FE543B"/>
    <w:rsid w:val="00FF15C6"/>
    <w:rsid w:val="00FF2264"/>
    <w:rsid w:val="00FF2980"/>
    <w:rsid w:val="00FF5306"/>
    <w:rsid w:val="00FF6EF0"/>
    <w:rsid w:val="01A43589"/>
    <w:rsid w:val="028E0FBA"/>
    <w:rsid w:val="036C5B85"/>
    <w:rsid w:val="03CD2A40"/>
    <w:rsid w:val="04620257"/>
    <w:rsid w:val="061A3A5E"/>
    <w:rsid w:val="06DA0035"/>
    <w:rsid w:val="06DD2A3E"/>
    <w:rsid w:val="06FC0BD1"/>
    <w:rsid w:val="07537D8D"/>
    <w:rsid w:val="099005DD"/>
    <w:rsid w:val="099E54B7"/>
    <w:rsid w:val="0AB14695"/>
    <w:rsid w:val="0AB438A8"/>
    <w:rsid w:val="0B7404F1"/>
    <w:rsid w:val="0B750BFE"/>
    <w:rsid w:val="0B9A58EE"/>
    <w:rsid w:val="0BD06502"/>
    <w:rsid w:val="0C285B16"/>
    <w:rsid w:val="0CAC0D20"/>
    <w:rsid w:val="0CB0770E"/>
    <w:rsid w:val="0D902489"/>
    <w:rsid w:val="0DC77FD1"/>
    <w:rsid w:val="0FE720EF"/>
    <w:rsid w:val="101B66E2"/>
    <w:rsid w:val="107873A8"/>
    <w:rsid w:val="11A95D80"/>
    <w:rsid w:val="12322E94"/>
    <w:rsid w:val="12563822"/>
    <w:rsid w:val="12D90647"/>
    <w:rsid w:val="13917AF6"/>
    <w:rsid w:val="13C00ACC"/>
    <w:rsid w:val="13F02D50"/>
    <w:rsid w:val="16120435"/>
    <w:rsid w:val="16512FFB"/>
    <w:rsid w:val="16562BE9"/>
    <w:rsid w:val="16855166"/>
    <w:rsid w:val="16872148"/>
    <w:rsid w:val="18184CED"/>
    <w:rsid w:val="19E2542C"/>
    <w:rsid w:val="1C0C1537"/>
    <w:rsid w:val="1CB47594"/>
    <w:rsid w:val="1D8D1823"/>
    <w:rsid w:val="1DBD7429"/>
    <w:rsid w:val="1E245C22"/>
    <w:rsid w:val="1FE854B8"/>
    <w:rsid w:val="1FED3B02"/>
    <w:rsid w:val="202F5142"/>
    <w:rsid w:val="20377E69"/>
    <w:rsid w:val="20823E91"/>
    <w:rsid w:val="220B0320"/>
    <w:rsid w:val="23B25BC1"/>
    <w:rsid w:val="24684E55"/>
    <w:rsid w:val="246F00C4"/>
    <w:rsid w:val="248E7DC8"/>
    <w:rsid w:val="24FD3BFF"/>
    <w:rsid w:val="27233DA8"/>
    <w:rsid w:val="275978C1"/>
    <w:rsid w:val="275F3615"/>
    <w:rsid w:val="28A8690F"/>
    <w:rsid w:val="29395EDB"/>
    <w:rsid w:val="295A6C21"/>
    <w:rsid w:val="296E77CC"/>
    <w:rsid w:val="29D578F1"/>
    <w:rsid w:val="2A186894"/>
    <w:rsid w:val="2B556D8B"/>
    <w:rsid w:val="2BAC4606"/>
    <w:rsid w:val="2BF94B05"/>
    <w:rsid w:val="2C4A2609"/>
    <w:rsid w:val="2D025BA4"/>
    <w:rsid w:val="2D1D6F93"/>
    <w:rsid w:val="2D255B2E"/>
    <w:rsid w:val="2D9E4D2B"/>
    <w:rsid w:val="2DCF5882"/>
    <w:rsid w:val="2E656801"/>
    <w:rsid w:val="2E8A07BD"/>
    <w:rsid w:val="2EC152C1"/>
    <w:rsid w:val="2F2213F4"/>
    <w:rsid w:val="306D6FBD"/>
    <w:rsid w:val="308F4CF9"/>
    <w:rsid w:val="30D763BF"/>
    <w:rsid w:val="32093A30"/>
    <w:rsid w:val="321310F1"/>
    <w:rsid w:val="347A7879"/>
    <w:rsid w:val="35577B35"/>
    <w:rsid w:val="37105028"/>
    <w:rsid w:val="398F69F5"/>
    <w:rsid w:val="39957D5B"/>
    <w:rsid w:val="3A323F12"/>
    <w:rsid w:val="3AF93623"/>
    <w:rsid w:val="3C5D2E55"/>
    <w:rsid w:val="3C7025C7"/>
    <w:rsid w:val="3C8B7266"/>
    <w:rsid w:val="3D8457B7"/>
    <w:rsid w:val="3D9703B1"/>
    <w:rsid w:val="3DA45504"/>
    <w:rsid w:val="3F1B3A07"/>
    <w:rsid w:val="40195DA0"/>
    <w:rsid w:val="40965737"/>
    <w:rsid w:val="4132380B"/>
    <w:rsid w:val="420B6D31"/>
    <w:rsid w:val="42431CC8"/>
    <w:rsid w:val="42BD1230"/>
    <w:rsid w:val="43CC2D11"/>
    <w:rsid w:val="43E63BD7"/>
    <w:rsid w:val="442C5578"/>
    <w:rsid w:val="445E613C"/>
    <w:rsid w:val="455948CC"/>
    <w:rsid w:val="45994BC6"/>
    <w:rsid w:val="46552398"/>
    <w:rsid w:val="46D90278"/>
    <w:rsid w:val="473C17B8"/>
    <w:rsid w:val="48094A78"/>
    <w:rsid w:val="48306EE4"/>
    <w:rsid w:val="48B44438"/>
    <w:rsid w:val="493B5BD0"/>
    <w:rsid w:val="49BF2877"/>
    <w:rsid w:val="4A0601AC"/>
    <w:rsid w:val="4AC93AEC"/>
    <w:rsid w:val="4AF02B05"/>
    <w:rsid w:val="4AFF7111"/>
    <w:rsid w:val="4B494A5A"/>
    <w:rsid w:val="4DB13004"/>
    <w:rsid w:val="4DF70AF7"/>
    <w:rsid w:val="4E30322A"/>
    <w:rsid w:val="4E4E42A3"/>
    <w:rsid w:val="50440F93"/>
    <w:rsid w:val="50623A14"/>
    <w:rsid w:val="513D15FA"/>
    <w:rsid w:val="515F22AF"/>
    <w:rsid w:val="51877C0C"/>
    <w:rsid w:val="51B97CC5"/>
    <w:rsid w:val="51D100F5"/>
    <w:rsid w:val="534A15B2"/>
    <w:rsid w:val="535A22F5"/>
    <w:rsid w:val="53715A8B"/>
    <w:rsid w:val="5408165A"/>
    <w:rsid w:val="549D746D"/>
    <w:rsid w:val="55280D7F"/>
    <w:rsid w:val="55926BA1"/>
    <w:rsid w:val="561E09E9"/>
    <w:rsid w:val="5697129D"/>
    <w:rsid w:val="589C3B71"/>
    <w:rsid w:val="58C26E9B"/>
    <w:rsid w:val="59C564D6"/>
    <w:rsid w:val="5A127462"/>
    <w:rsid w:val="5AB31D37"/>
    <w:rsid w:val="5AD12546"/>
    <w:rsid w:val="5CA05437"/>
    <w:rsid w:val="5D2D3F61"/>
    <w:rsid w:val="5DCD0713"/>
    <w:rsid w:val="5E347ADF"/>
    <w:rsid w:val="5E4467FA"/>
    <w:rsid w:val="5E91745A"/>
    <w:rsid w:val="5EA23BE9"/>
    <w:rsid w:val="5FC23A99"/>
    <w:rsid w:val="5FC30FE5"/>
    <w:rsid w:val="60C2301D"/>
    <w:rsid w:val="60F954CA"/>
    <w:rsid w:val="615A7538"/>
    <w:rsid w:val="61B24459"/>
    <w:rsid w:val="62FA104D"/>
    <w:rsid w:val="639413D1"/>
    <w:rsid w:val="63CE1FF0"/>
    <w:rsid w:val="64283A5F"/>
    <w:rsid w:val="64740760"/>
    <w:rsid w:val="649E033F"/>
    <w:rsid w:val="65625852"/>
    <w:rsid w:val="65846229"/>
    <w:rsid w:val="66A56E0D"/>
    <w:rsid w:val="67CB0233"/>
    <w:rsid w:val="68485D83"/>
    <w:rsid w:val="69026EF3"/>
    <w:rsid w:val="69131F4D"/>
    <w:rsid w:val="69D8078F"/>
    <w:rsid w:val="6A41228D"/>
    <w:rsid w:val="6B047A4E"/>
    <w:rsid w:val="6B0A6015"/>
    <w:rsid w:val="6BEA0B22"/>
    <w:rsid w:val="6BF5735C"/>
    <w:rsid w:val="6C480AB5"/>
    <w:rsid w:val="6D69131E"/>
    <w:rsid w:val="6D754FE7"/>
    <w:rsid w:val="6D8132A7"/>
    <w:rsid w:val="6DFB7772"/>
    <w:rsid w:val="6E826BC5"/>
    <w:rsid w:val="6EC77533"/>
    <w:rsid w:val="6EE1672F"/>
    <w:rsid w:val="6F1D4630"/>
    <w:rsid w:val="705B7179"/>
    <w:rsid w:val="715E40B2"/>
    <w:rsid w:val="71EC79AC"/>
    <w:rsid w:val="72B536B2"/>
    <w:rsid w:val="72C03C99"/>
    <w:rsid w:val="73273E54"/>
    <w:rsid w:val="7338289F"/>
    <w:rsid w:val="73F12F09"/>
    <w:rsid w:val="7459405D"/>
    <w:rsid w:val="754C46B4"/>
    <w:rsid w:val="75906F6B"/>
    <w:rsid w:val="75B5488B"/>
    <w:rsid w:val="75CE2848"/>
    <w:rsid w:val="779B3589"/>
    <w:rsid w:val="77BD39B5"/>
    <w:rsid w:val="78830CAE"/>
    <w:rsid w:val="789C09C7"/>
    <w:rsid w:val="78AD72C7"/>
    <w:rsid w:val="78D6061E"/>
    <w:rsid w:val="795534C5"/>
    <w:rsid w:val="7A743D1D"/>
    <w:rsid w:val="7BBB6F0C"/>
    <w:rsid w:val="7CE231D6"/>
    <w:rsid w:val="7EBB11CE"/>
    <w:rsid w:val="7EDC0238"/>
    <w:rsid w:val="7F037E93"/>
    <w:rsid w:val="7F5E50D4"/>
    <w:rsid w:val="7FBB0E3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qFormat/>
    <w:uiPriority w:val="0"/>
    <w:pPr>
      <w:keepNext/>
      <w:jc w:val="center"/>
      <w:outlineLvl w:val="0"/>
    </w:pPr>
    <w:rPr>
      <w:rFonts w:ascii="楷体_GB2312" w:eastAsia="楷体_GB2312"/>
      <w:sz w:val="28"/>
      <w:szCs w:val="28"/>
    </w:rPr>
  </w:style>
  <w:style w:type="paragraph" w:styleId="4">
    <w:name w:val="heading 2"/>
    <w:basedOn w:val="1"/>
    <w:next w:val="5"/>
    <w:qFormat/>
    <w:uiPriority w:val="0"/>
    <w:pPr>
      <w:keepNext/>
      <w:keepLines/>
      <w:spacing w:before="260" w:after="260" w:line="416" w:lineRule="auto"/>
      <w:jc w:val="center"/>
      <w:outlineLvl w:val="1"/>
    </w:pPr>
    <w:rPr>
      <w:rFonts w:ascii="Arial" w:hAnsi="Arial" w:eastAsia="幼圆" w:cs="Arial"/>
      <w:b/>
      <w:bCs/>
      <w:sz w:val="44"/>
      <w:szCs w:val="44"/>
    </w:rPr>
  </w:style>
  <w:style w:type="paragraph" w:styleId="6">
    <w:name w:val="heading 3"/>
    <w:basedOn w:val="1"/>
    <w:next w:val="5"/>
    <w:link w:val="64"/>
    <w:qFormat/>
    <w:uiPriority w:val="0"/>
    <w:pPr>
      <w:keepNext/>
      <w:keepLines/>
      <w:spacing w:before="260" w:after="260" w:line="416" w:lineRule="auto"/>
      <w:outlineLvl w:val="2"/>
    </w:pPr>
    <w:rPr>
      <w:b/>
      <w:bCs/>
      <w:sz w:val="32"/>
      <w:szCs w:val="32"/>
    </w:rPr>
  </w:style>
  <w:style w:type="paragraph" w:styleId="7">
    <w:name w:val="heading 4"/>
    <w:basedOn w:val="1"/>
    <w:next w:val="1"/>
    <w:link w:val="65"/>
    <w:qFormat/>
    <w:uiPriority w:val="0"/>
    <w:pPr>
      <w:keepNext/>
      <w:keepLines/>
      <w:spacing w:before="280" w:after="290" w:line="376" w:lineRule="auto"/>
      <w:outlineLvl w:val="3"/>
    </w:pPr>
    <w:rPr>
      <w:rFonts w:ascii="Cambria" w:hAnsi="Cambria"/>
      <w:b/>
      <w:sz w:val="28"/>
      <w:szCs w:val="28"/>
    </w:rPr>
  </w:style>
  <w:style w:type="paragraph" w:styleId="8">
    <w:name w:val="heading 5"/>
    <w:basedOn w:val="1"/>
    <w:next w:val="5"/>
    <w:qFormat/>
    <w:uiPriority w:val="0"/>
    <w:pPr>
      <w:keepNext/>
      <w:autoSpaceDE w:val="0"/>
      <w:autoSpaceDN w:val="0"/>
      <w:adjustRightInd w:val="0"/>
      <w:outlineLvl w:val="4"/>
    </w:pPr>
    <w:rPr>
      <w:rFonts w:ascii="宋体"/>
      <w:color w:val="000000"/>
      <w:kern w:val="0"/>
      <w:sz w:val="28"/>
      <w:szCs w:val="28"/>
    </w:rPr>
  </w:style>
  <w:style w:type="paragraph" w:styleId="9">
    <w:name w:val="heading 6"/>
    <w:basedOn w:val="1"/>
    <w:next w:val="1"/>
    <w:qFormat/>
    <w:uiPriority w:val="0"/>
    <w:pPr>
      <w:keepNext/>
      <w:keepLines/>
      <w:numPr>
        <w:ilvl w:val="5"/>
        <w:numId w:val="1"/>
      </w:numPr>
      <w:spacing w:before="240" w:after="64" w:line="320" w:lineRule="auto"/>
      <w:outlineLvl w:val="5"/>
    </w:pPr>
    <w:rPr>
      <w:rFonts w:ascii="Arial" w:hAnsi="Arial" w:eastAsia="黑体"/>
      <w:b/>
      <w:bCs/>
      <w:sz w:val="24"/>
      <w:szCs w:val="24"/>
    </w:rPr>
  </w:style>
  <w:style w:type="paragraph" w:styleId="10">
    <w:name w:val="heading 7"/>
    <w:basedOn w:val="1"/>
    <w:next w:val="1"/>
    <w:qFormat/>
    <w:uiPriority w:val="0"/>
    <w:pPr>
      <w:keepNext/>
      <w:keepLines/>
      <w:numPr>
        <w:ilvl w:val="6"/>
        <w:numId w:val="1"/>
      </w:numPr>
      <w:spacing w:before="240" w:after="64" w:line="320" w:lineRule="auto"/>
      <w:outlineLvl w:val="6"/>
    </w:pPr>
    <w:rPr>
      <w:b/>
      <w:bCs/>
      <w:sz w:val="24"/>
      <w:szCs w:val="24"/>
    </w:rPr>
  </w:style>
  <w:style w:type="paragraph" w:styleId="11">
    <w:name w:val="heading 8"/>
    <w:basedOn w:val="1"/>
    <w:next w:val="1"/>
    <w:qFormat/>
    <w:uiPriority w:val="0"/>
    <w:pPr>
      <w:keepNext/>
      <w:keepLines/>
      <w:numPr>
        <w:ilvl w:val="7"/>
        <w:numId w:val="1"/>
      </w:numPr>
      <w:spacing w:before="240" w:after="64" w:line="320" w:lineRule="auto"/>
      <w:outlineLvl w:val="7"/>
    </w:pPr>
    <w:rPr>
      <w:rFonts w:ascii="Arial" w:hAnsi="Arial" w:eastAsia="黑体"/>
      <w:sz w:val="24"/>
      <w:szCs w:val="24"/>
    </w:rPr>
  </w:style>
  <w:style w:type="paragraph" w:styleId="12">
    <w:name w:val="heading 9"/>
    <w:basedOn w:val="1"/>
    <w:next w:val="1"/>
    <w:qFormat/>
    <w:uiPriority w:val="0"/>
    <w:pPr>
      <w:keepNext/>
      <w:keepLines/>
      <w:numPr>
        <w:ilvl w:val="8"/>
        <w:numId w:val="1"/>
      </w:numPr>
      <w:spacing w:before="240" w:after="64" w:line="320" w:lineRule="auto"/>
      <w:outlineLvl w:val="8"/>
    </w:pPr>
    <w:rPr>
      <w:rFonts w:ascii="Arial" w:hAnsi="Arial" w:eastAsia="黑体"/>
    </w:rPr>
  </w:style>
  <w:style w:type="character" w:default="1" w:styleId="47">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2">
    <w:name w:val="Block Text"/>
    <w:basedOn w:val="1"/>
    <w:qFormat/>
    <w:uiPriority w:val="99"/>
    <w:pPr>
      <w:spacing w:after="120"/>
      <w:ind w:left="1440" w:leftChars="700" w:right="1440" w:rightChars="700"/>
    </w:pPr>
  </w:style>
  <w:style w:type="paragraph" w:styleId="5">
    <w:name w:val="Normal Indent"/>
    <w:basedOn w:val="1"/>
    <w:link w:val="63"/>
    <w:qFormat/>
    <w:uiPriority w:val="0"/>
    <w:pPr>
      <w:ind w:firstLine="420"/>
    </w:pPr>
  </w:style>
  <w:style w:type="paragraph" w:styleId="13">
    <w:name w:val="List 3"/>
    <w:basedOn w:val="1"/>
    <w:qFormat/>
    <w:uiPriority w:val="0"/>
    <w:pPr>
      <w:ind w:left="100" w:leftChars="400" w:hanging="200" w:hangingChars="200"/>
    </w:pPr>
  </w:style>
  <w:style w:type="paragraph" w:styleId="14">
    <w:name w:val="toc 7"/>
    <w:basedOn w:val="1"/>
    <w:next w:val="1"/>
    <w:semiHidden/>
    <w:qFormat/>
    <w:uiPriority w:val="0"/>
    <w:pPr>
      <w:ind w:left="1260"/>
      <w:jc w:val="left"/>
    </w:pPr>
  </w:style>
  <w:style w:type="paragraph" w:styleId="15">
    <w:name w:val="Document Map"/>
    <w:basedOn w:val="1"/>
    <w:link w:val="66"/>
    <w:semiHidden/>
    <w:qFormat/>
    <w:uiPriority w:val="0"/>
    <w:pPr>
      <w:shd w:val="clear" w:color="auto" w:fill="000080"/>
    </w:pPr>
  </w:style>
  <w:style w:type="paragraph" w:styleId="16">
    <w:name w:val="annotation text"/>
    <w:basedOn w:val="1"/>
    <w:semiHidden/>
    <w:qFormat/>
    <w:uiPriority w:val="0"/>
    <w:pPr>
      <w:jc w:val="left"/>
    </w:pPr>
  </w:style>
  <w:style w:type="paragraph" w:styleId="17">
    <w:name w:val="Body Text 3"/>
    <w:basedOn w:val="1"/>
    <w:qFormat/>
    <w:uiPriority w:val="0"/>
    <w:rPr>
      <w:rFonts w:ascii="仿宋_GB2312" w:hAnsi="Arial" w:eastAsia="仿宋_GB2312"/>
      <w:sz w:val="32"/>
      <w:szCs w:val="32"/>
    </w:rPr>
  </w:style>
  <w:style w:type="paragraph" w:styleId="18">
    <w:name w:val="Body Text"/>
    <w:basedOn w:val="1"/>
    <w:next w:val="1"/>
    <w:qFormat/>
    <w:uiPriority w:val="0"/>
    <w:rPr>
      <w:rFonts w:ascii="楷体_GB2312" w:hAnsi="Arial" w:eastAsia="楷体_GB2312"/>
      <w:sz w:val="28"/>
      <w:szCs w:val="28"/>
    </w:rPr>
  </w:style>
  <w:style w:type="paragraph" w:styleId="19">
    <w:name w:val="Body Text Indent"/>
    <w:basedOn w:val="1"/>
    <w:next w:val="20"/>
    <w:qFormat/>
    <w:uiPriority w:val="0"/>
    <w:pPr>
      <w:ind w:firstLine="645"/>
    </w:pPr>
    <w:rPr>
      <w:rFonts w:ascii="楷体_GB2312" w:eastAsia="楷体_GB2312"/>
      <w:sz w:val="32"/>
      <w:szCs w:val="32"/>
    </w:rPr>
  </w:style>
  <w:style w:type="paragraph" w:styleId="20">
    <w:name w:val="envelope return"/>
    <w:basedOn w:val="1"/>
    <w:qFormat/>
    <w:uiPriority w:val="0"/>
    <w:pPr>
      <w:snapToGrid w:val="0"/>
    </w:pPr>
    <w:rPr>
      <w:rFonts w:ascii="Arial" w:hAnsi="Arial"/>
    </w:rPr>
  </w:style>
  <w:style w:type="paragraph" w:styleId="21">
    <w:name w:val="List 2"/>
    <w:basedOn w:val="1"/>
    <w:qFormat/>
    <w:uiPriority w:val="0"/>
    <w:pPr>
      <w:ind w:left="100" w:leftChars="200" w:hanging="200" w:hangingChars="200"/>
    </w:pPr>
  </w:style>
  <w:style w:type="paragraph" w:styleId="22">
    <w:name w:val="toc 5"/>
    <w:basedOn w:val="1"/>
    <w:next w:val="1"/>
    <w:semiHidden/>
    <w:qFormat/>
    <w:uiPriority w:val="0"/>
    <w:pPr>
      <w:ind w:left="840"/>
      <w:jc w:val="left"/>
    </w:pPr>
  </w:style>
  <w:style w:type="paragraph" w:styleId="23">
    <w:name w:val="toc 3"/>
    <w:basedOn w:val="1"/>
    <w:next w:val="1"/>
    <w:semiHidden/>
    <w:qFormat/>
    <w:uiPriority w:val="0"/>
    <w:pPr>
      <w:ind w:left="420"/>
      <w:jc w:val="left"/>
    </w:pPr>
    <w:rPr>
      <w:i/>
      <w:iCs/>
      <w:szCs w:val="24"/>
    </w:rPr>
  </w:style>
  <w:style w:type="paragraph" w:styleId="24">
    <w:name w:val="Plain Text"/>
    <w:basedOn w:val="1"/>
    <w:link w:val="67"/>
    <w:qFormat/>
    <w:uiPriority w:val="0"/>
    <w:rPr>
      <w:rFonts w:ascii="宋体" w:hAnsi="Courier New"/>
    </w:rPr>
  </w:style>
  <w:style w:type="paragraph" w:styleId="25">
    <w:name w:val="toc 8"/>
    <w:basedOn w:val="1"/>
    <w:next w:val="1"/>
    <w:semiHidden/>
    <w:qFormat/>
    <w:uiPriority w:val="0"/>
    <w:pPr>
      <w:ind w:left="1470"/>
      <w:jc w:val="left"/>
    </w:pPr>
  </w:style>
  <w:style w:type="paragraph" w:styleId="26">
    <w:name w:val="Date"/>
    <w:basedOn w:val="1"/>
    <w:next w:val="1"/>
    <w:qFormat/>
    <w:uiPriority w:val="0"/>
    <w:rPr>
      <w:sz w:val="24"/>
      <w:szCs w:val="24"/>
    </w:rPr>
  </w:style>
  <w:style w:type="paragraph" w:styleId="27">
    <w:name w:val="Body Text Indent 2"/>
    <w:basedOn w:val="1"/>
    <w:qFormat/>
    <w:uiPriority w:val="0"/>
    <w:pPr>
      <w:ind w:left="630" w:firstLine="645"/>
    </w:pPr>
    <w:rPr>
      <w:rFonts w:ascii="Arial" w:hAnsi="Arial" w:eastAsia="仿宋_GB2312" w:cs="Arial"/>
      <w:sz w:val="32"/>
      <w:szCs w:val="32"/>
    </w:rPr>
  </w:style>
  <w:style w:type="paragraph" w:styleId="28">
    <w:name w:val="Balloon Text"/>
    <w:basedOn w:val="1"/>
    <w:semiHidden/>
    <w:qFormat/>
    <w:uiPriority w:val="0"/>
    <w:rPr>
      <w:sz w:val="18"/>
      <w:szCs w:val="18"/>
    </w:rPr>
  </w:style>
  <w:style w:type="paragraph" w:styleId="29">
    <w:name w:val="footer"/>
    <w:basedOn w:val="1"/>
    <w:link w:val="68"/>
    <w:qFormat/>
    <w:uiPriority w:val="0"/>
    <w:pPr>
      <w:tabs>
        <w:tab w:val="center" w:pos="4153"/>
        <w:tab w:val="right" w:pos="8306"/>
      </w:tabs>
      <w:snapToGrid w:val="0"/>
      <w:jc w:val="left"/>
    </w:pPr>
    <w:rPr>
      <w:sz w:val="18"/>
      <w:szCs w:val="18"/>
    </w:rPr>
  </w:style>
  <w:style w:type="paragraph" w:styleId="30">
    <w:name w:val="header"/>
    <w:basedOn w:val="1"/>
    <w:link w:val="69"/>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1"/>
    <w:next w:val="1"/>
    <w:semiHidden/>
    <w:qFormat/>
    <w:uiPriority w:val="0"/>
    <w:pPr>
      <w:tabs>
        <w:tab w:val="right" w:leader="dot" w:pos="8720"/>
      </w:tabs>
      <w:spacing w:before="120" w:after="120" w:line="400" w:lineRule="exact"/>
      <w:jc w:val="left"/>
    </w:pPr>
    <w:rPr>
      <w:rFonts w:ascii="宋体" w:hAnsi="宋体"/>
      <w:caps/>
      <w:sz w:val="24"/>
      <w:szCs w:val="24"/>
    </w:rPr>
  </w:style>
  <w:style w:type="paragraph" w:styleId="32">
    <w:name w:val="toc 4"/>
    <w:basedOn w:val="1"/>
    <w:next w:val="1"/>
    <w:semiHidden/>
    <w:qFormat/>
    <w:uiPriority w:val="0"/>
    <w:pPr>
      <w:ind w:left="630"/>
      <w:jc w:val="left"/>
    </w:pPr>
  </w:style>
  <w:style w:type="paragraph" w:styleId="33">
    <w:name w:val="List"/>
    <w:basedOn w:val="1"/>
    <w:qFormat/>
    <w:uiPriority w:val="0"/>
    <w:pPr>
      <w:ind w:left="200" w:hanging="200" w:hangingChars="200"/>
    </w:pPr>
  </w:style>
  <w:style w:type="paragraph" w:styleId="34">
    <w:name w:val="toc 6"/>
    <w:basedOn w:val="1"/>
    <w:next w:val="1"/>
    <w:semiHidden/>
    <w:qFormat/>
    <w:uiPriority w:val="0"/>
    <w:pPr>
      <w:ind w:left="1050"/>
      <w:jc w:val="left"/>
    </w:pPr>
  </w:style>
  <w:style w:type="paragraph" w:styleId="35">
    <w:name w:val="Body Text Indent 3"/>
    <w:basedOn w:val="1"/>
    <w:qFormat/>
    <w:uiPriority w:val="0"/>
    <w:pPr>
      <w:ind w:left="645" w:firstLine="645"/>
    </w:pPr>
    <w:rPr>
      <w:rFonts w:ascii="Arial" w:hAnsi="Arial" w:eastAsia="仿宋_GB2312" w:cs="Arial"/>
      <w:color w:val="FFFF00"/>
      <w:sz w:val="32"/>
      <w:szCs w:val="32"/>
    </w:rPr>
  </w:style>
  <w:style w:type="paragraph" w:styleId="36">
    <w:name w:val="table of figures"/>
    <w:basedOn w:val="1"/>
    <w:next w:val="1"/>
    <w:semiHidden/>
    <w:qFormat/>
    <w:uiPriority w:val="0"/>
    <w:pPr>
      <w:ind w:left="840" w:hanging="420"/>
    </w:pPr>
  </w:style>
  <w:style w:type="paragraph" w:styleId="37">
    <w:name w:val="toc 2"/>
    <w:basedOn w:val="1"/>
    <w:next w:val="1"/>
    <w:semiHidden/>
    <w:qFormat/>
    <w:uiPriority w:val="0"/>
    <w:pPr>
      <w:ind w:left="210"/>
      <w:jc w:val="left"/>
    </w:pPr>
    <w:rPr>
      <w:smallCaps/>
      <w:szCs w:val="24"/>
    </w:rPr>
  </w:style>
  <w:style w:type="paragraph" w:styleId="38">
    <w:name w:val="toc 9"/>
    <w:basedOn w:val="1"/>
    <w:next w:val="1"/>
    <w:semiHidden/>
    <w:qFormat/>
    <w:uiPriority w:val="0"/>
    <w:pPr>
      <w:ind w:left="1680"/>
      <w:jc w:val="left"/>
    </w:pPr>
  </w:style>
  <w:style w:type="paragraph" w:styleId="39">
    <w:name w:val="Body Text 2"/>
    <w:basedOn w:val="1"/>
    <w:qFormat/>
    <w:uiPriority w:val="0"/>
    <w:pPr>
      <w:widowControl/>
      <w:jc w:val="center"/>
    </w:pPr>
    <w:rPr>
      <w:rFonts w:ascii="楷体_GB2312" w:eastAsia="楷体_GB2312"/>
      <w:sz w:val="28"/>
      <w:szCs w:val="28"/>
    </w:rPr>
  </w:style>
  <w:style w:type="paragraph" w:styleId="40">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41">
    <w:name w:val="index 1"/>
    <w:basedOn w:val="1"/>
    <w:next w:val="1"/>
    <w:semiHidden/>
    <w:qFormat/>
    <w:uiPriority w:val="0"/>
    <w:pPr>
      <w:spacing w:line="240" w:lineRule="atLeast"/>
    </w:pPr>
    <w:rPr>
      <w:b/>
      <w:bCs/>
    </w:rPr>
  </w:style>
  <w:style w:type="paragraph" w:styleId="42">
    <w:name w:val="annotation subject"/>
    <w:basedOn w:val="16"/>
    <w:next w:val="16"/>
    <w:semiHidden/>
    <w:qFormat/>
    <w:uiPriority w:val="0"/>
    <w:rPr>
      <w:b/>
      <w:bCs/>
    </w:rPr>
  </w:style>
  <w:style w:type="paragraph" w:styleId="43">
    <w:name w:val="Body Text First Indent"/>
    <w:basedOn w:val="18"/>
    <w:next w:val="1"/>
    <w:qFormat/>
    <w:uiPriority w:val="0"/>
    <w:pPr>
      <w:spacing w:line="360" w:lineRule="auto"/>
      <w:ind w:firstLine="200" w:firstLineChars="200"/>
    </w:pPr>
    <w:rPr>
      <w:rFonts w:ascii="仿宋_GB2312" w:eastAsia="仿宋_GB2312"/>
      <w:sz w:val="30"/>
      <w:szCs w:val="30"/>
    </w:rPr>
  </w:style>
  <w:style w:type="paragraph" w:styleId="44">
    <w:name w:val="Body Text First Indent 2"/>
    <w:basedOn w:val="19"/>
    <w:qFormat/>
    <w:uiPriority w:val="0"/>
    <w:pPr>
      <w:spacing w:line="360" w:lineRule="auto"/>
      <w:ind w:firstLine="420" w:firstLineChars="200"/>
    </w:pPr>
    <w:rPr>
      <w:rFonts w:ascii="宋体" w:hAnsi="宋体" w:eastAsia="宋体"/>
      <w:sz w:val="21"/>
      <w:szCs w:val="20"/>
    </w:rPr>
  </w:style>
  <w:style w:type="table" w:styleId="46">
    <w:name w:val="Table Grid"/>
    <w:basedOn w:val="4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8">
    <w:name w:val="Strong"/>
    <w:qFormat/>
    <w:uiPriority w:val="0"/>
    <w:rPr>
      <w:b/>
      <w:bCs/>
    </w:rPr>
  </w:style>
  <w:style w:type="character" w:styleId="49">
    <w:name w:val="page number"/>
    <w:qFormat/>
    <w:uiPriority w:val="0"/>
  </w:style>
  <w:style w:type="character" w:styleId="50">
    <w:name w:val="FollowedHyperlink"/>
    <w:qFormat/>
    <w:uiPriority w:val="0"/>
    <w:rPr>
      <w:color w:val="800080"/>
      <w:u w:val="none"/>
    </w:rPr>
  </w:style>
  <w:style w:type="character" w:styleId="51">
    <w:name w:val="Emphasis"/>
    <w:qFormat/>
    <w:uiPriority w:val="0"/>
  </w:style>
  <w:style w:type="character" w:styleId="52">
    <w:name w:val="HTML Definition"/>
    <w:qFormat/>
    <w:uiPriority w:val="0"/>
  </w:style>
  <w:style w:type="character" w:styleId="53">
    <w:name w:val="HTML Typewriter"/>
    <w:qFormat/>
    <w:uiPriority w:val="0"/>
    <w:rPr>
      <w:rFonts w:hint="default" w:ascii="monospace" w:hAnsi="monospace" w:eastAsia="monospace" w:cs="monospace"/>
      <w:sz w:val="20"/>
    </w:rPr>
  </w:style>
  <w:style w:type="character" w:styleId="54">
    <w:name w:val="HTML Acronym"/>
    <w:qFormat/>
    <w:uiPriority w:val="0"/>
  </w:style>
  <w:style w:type="character" w:styleId="55">
    <w:name w:val="HTML Variable"/>
    <w:qFormat/>
    <w:uiPriority w:val="0"/>
  </w:style>
  <w:style w:type="character" w:styleId="56">
    <w:name w:val="Hyperlink"/>
    <w:qFormat/>
    <w:uiPriority w:val="0"/>
    <w:rPr>
      <w:color w:val="0000FF"/>
      <w:u w:val="none"/>
    </w:rPr>
  </w:style>
  <w:style w:type="character" w:styleId="57">
    <w:name w:val="HTML Code"/>
    <w:qFormat/>
    <w:uiPriority w:val="0"/>
    <w:rPr>
      <w:rFonts w:ascii="monospace" w:hAnsi="monospace" w:eastAsia="monospace" w:cs="monospace"/>
      <w:sz w:val="20"/>
    </w:rPr>
  </w:style>
  <w:style w:type="character" w:styleId="58">
    <w:name w:val="annotation reference"/>
    <w:semiHidden/>
    <w:qFormat/>
    <w:uiPriority w:val="0"/>
    <w:rPr>
      <w:sz w:val="21"/>
      <w:szCs w:val="21"/>
    </w:rPr>
  </w:style>
  <w:style w:type="character" w:styleId="59">
    <w:name w:val="HTML Cite"/>
    <w:qFormat/>
    <w:uiPriority w:val="0"/>
  </w:style>
  <w:style w:type="character" w:styleId="60">
    <w:name w:val="HTML Keyboard"/>
    <w:qFormat/>
    <w:uiPriority w:val="0"/>
    <w:rPr>
      <w:rFonts w:hint="default" w:ascii="monospace" w:hAnsi="monospace" w:eastAsia="monospace" w:cs="monospace"/>
      <w:sz w:val="20"/>
    </w:rPr>
  </w:style>
  <w:style w:type="character" w:styleId="61">
    <w:name w:val="HTML Sample"/>
    <w:qFormat/>
    <w:uiPriority w:val="0"/>
    <w:rPr>
      <w:rFonts w:hint="default" w:ascii="monospace" w:hAnsi="monospace" w:eastAsia="monospace" w:cs="monospace"/>
    </w:rPr>
  </w:style>
  <w:style w:type="paragraph" w:customStyle="1" w:styleId="62">
    <w:name w:val="Default"/>
    <w:qFormat/>
    <w:uiPriority w:val="0"/>
    <w:pPr>
      <w:widowControl w:val="0"/>
      <w:autoSpaceDE w:val="0"/>
      <w:autoSpaceDN w:val="0"/>
      <w:ind w:left="5120" w:firstLine="4608"/>
    </w:pPr>
    <w:rPr>
      <w:rFonts w:ascii="宋体" w:hAnsi="宋体" w:eastAsia="Malgun Gothic" w:cs="Times New Roman"/>
      <w:lang w:val="en-US" w:eastAsia="zh-CN" w:bidi="ar-SA"/>
    </w:rPr>
  </w:style>
  <w:style w:type="character" w:customStyle="1" w:styleId="63">
    <w:name w:val="正文缩进 字符"/>
    <w:link w:val="5"/>
    <w:qFormat/>
    <w:uiPriority w:val="0"/>
    <w:rPr>
      <w:kern w:val="2"/>
      <w:sz w:val="21"/>
      <w:szCs w:val="21"/>
    </w:rPr>
  </w:style>
  <w:style w:type="character" w:customStyle="1" w:styleId="64">
    <w:name w:val="标题 3 字符"/>
    <w:link w:val="6"/>
    <w:qFormat/>
    <w:uiPriority w:val="0"/>
    <w:rPr>
      <w:rFonts w:eastAsia="宋体"/>
      <w:b/>
      <w:bCs/>
      <w:kern w:val="2"/>
      <w:sz w:val="32"/>
      <w:szCs w:val="32"/>
      <w:lang w:val="en-US" w:eastAsia="zh-CN" w:bidi="ar-SA"/>
    </w:rPr>
  </w:style>
  <w:style w:type="character" w:customStyle="1" w:styleId="65">
    <w:name w:val="标题 4 字符"/>
    <w:link w:val="7"/>
    <w:qFormat/>
    <w:uiPriority w:val="0"/>
    <w:rPr>
      <w:rFonts w:ascii="Cambria" w:hAnsi="Cambria" w:eastAsia="宋体" w:cs="Times New Roman"/>
      <w:b/>
      <w:kern w:val="2"/>
      <w:sz w:val="28"/>
      <w:szCs w:val="28"/>
    </w:rPr>
  </w:style>
  <w:style w:type="character" w:customStyle="1" w:styleId="66">
    <w:name w:val="文档结构图 字符"/>
    <w:link w:val="15"/>
    <w:qFormat/>
    <w:uiPriority w:val="0"/>
    <w:rPr>
      <w:rFonts w:eastAsia="宋体"/>
      <w:kern w:val="2"/>
      <w:sz w:val="21"/>
      <w:szCs w:val="21"/>
      <w:lang w:val="en-US" w:eastAsia="zh-CN" w:bidi="ar-SA"/>
    </w:rPr>
  </w:style>
  <w:style w:type="character" w:customStyle="1" w:styleId="67">
    <w:name w:val="纯文本 字符"/>
    <w:link w:val="24"/>
    <w:qFormat/>
    <w:uiPriority w:val="0"/>
    <w:rPr>
      <w:rFonts w:ascii="宋体" w:hAnsi="Courier New" w:cs="Courier New"/>
      <w:kern w:val="2"/>
      <w:sz w:val="21"/>
      <w:szCs w:val="21"/>
    </w:rPr>
  </w:style>
  <w:style w:type="character" w:customStyle="1" w:styleId="68">
    <w:name w:val="页脚 字符"/>
    <w:link w:val="29"/>
    <w:qFormat/>
    <w:uiPriority w:val="0"/>
    <w:rPr>
      <w:kern w:val="2"/>
      <w:sz w:val="18"/>
      <w:szCs w:val="18"/>
    </w:rPr>
  </w:style>
  <w:style w:type="character" w:customStyle="1" w:styleId="69">
    <w:name w:val="页眉 字符"/>
    <w:link w:val="30"/>
    <w:qFormat/>
    <w:uiPriority w:val="0"/>
    <w:rPr>
      <w:kern w:val="2"/>
      <w:sz w:val="18"/>
      <w:szCs w:val="18"/>
    </w:rPr>
  </w:style>
  <w:style w:type="character" w:customStyle="1" w:styleId="70">
    <w:name w:val="hover"/>
    <w:qFormat/>
    <w:uiPriority w:val="0"/>
    <w:rPr>
      <w:shd w:val="clear" w:color="auto" w:fill="EEEEEE"/>
    </w:rPr>
  </w:style>
  <w:style w:type="character" w:customStyle="1" w:styleId="71">
    <w:name w:val="old"/>
    <w:qFormat/>
    <w:uiPriority w:val="0"/>
    <w:rPr>
      <w:color w:val="999999"/>
    </w:rPr>
  </w:style>
  <w:style w:type="character" w:customStyle="1" w:styleId="72">
    <w:name w:val="列出段落 Char"/>
    <w:link w:val="73"/>
    <w:qFormat/>
    <w:locked/>
    <w:uiPriority w:val="0"/>
    <w:rPr>
      <w:rFonts w:ascii="Calibri" w:hAnsi="Calibri"/>
      <w:sz w:val="24"/>
      <w:szCs w:val="24"/>
      <w:lang w:eastAsia="en-US" w:bidi="en-US"/>
    </w:rPr>
  </w:style>
  <w:style w:type="paragraph" w:customStyle="1" w:styleId="73">
    <w:name w:val="列出段落1"/>
    <w:basedOn w:val="1"/>
    <w:link w:val="72"/>
    <w:qFormat/>
    <w:uiPriority w:val="0"/>
    <w:pPr>
      <w:widowControl/>
      <w:ind w:left="720"/>
      <w:contextualSpacing/>
      <w:jc w:val="left"/>
    </w:pPr>
    <w:rPr>
      <w:rFonts w:ascii="Calibri" w:hAnsi="Calibri"/>
      <w:kern w:val="0"/>
      <w:sz w:val="24"/>
      <w:szCs w:val="24"/>
      <w:lang w:eastAsia="en-US" w:bidi="en-US"/>
    </w:rPr>
  </w:style>
  <w:style w:type="character" w:customStyle="1" w:styleId="74">
    <w:name w:val="二级目录 Char"/>
    <w:link w:val="75"/>
    <w:qFormat/>
    <w:uiPriority w:val="0"/>
    <w:rPr>
      <w:b/>
      <w:kern w:val="2"/>
      <w:sz w:val="30"/>
      <w:szCs w:val="28"/>
    </w:rPr>
  </w:style>
  <w:style w:type="paragraph" w:customStyle="1" w:styleId="75">
    <w:name w:val="二级目录"/>
    <w:next w:val="1"/>
    <w:link w:val="74"/>
    <w:qFormat/>
    <w:uiPriority w:val="0"/>
    <w:pPr>
      <w:tabs>
        <w:tab w:val="left" w:pos="907"/>
        <w:tab w:val="left" w:pos="1145"/>
      </w:tabs>
      <w:ind w:left="907" w:hanging="907"/>
      <w:outlineLvl w:val="1"/>
    </w:pPr>
    <w:rPr>
      <w:rFonts w:ascii="Times New Roman" w:hAnsi="Times New Roman" w:eastAsia="宋体" w:cs="Times New Roman"/>
      <w:b/>
      <w:kern w:val="2"/>
      <w:sz w:val="30"/>
      <w:szCs w:val="28"/>
      <w:lang w:val="en-US" w:eastAsia="zh-CN" w:bidi="ar-SA"/>
    </w:rPr>
  </w:style>
  <w:style w:type="character" w:customStyle="1" w:styleId="76">
    <w:name w:val="hour_am"/>
    <w:qFormat/>
    <w:uiPriority w:val="0"/>
  </w:style>
  <w:style w:type="character" w:customStyle="1" w:styleId="77">
    <w:name w:val="glyphicon"/>
    <w:qFormat/>
    <w:uiPriority w:val="0"/>
  </w:style>
  <w:style w:type="character" w:customStyle="1" w:styleId="78">
    <w:name w:val="font5 Char"/>
    <w:qFormat/>
    <w:uiPriority w:val="0"/>
    <w:rPr>
      <w:rFonts w:ascii="宋体" w:hAnsi="宋体" w:eastAsia="宋体"/>
      <w:sz w:val="28"/>
      <w:szCs w:val="28"/>
      <w:lang w:val="en-US" w:eastAsia="zh-CN" w:bidi="ar-SA"/>
    </w:rPr>
  </w:style>
  <w:style w:type="character" w:customStyle="1" w:styleId="79">
    <w:name w:val="hour_pm"/>
    <w:qFormat/>
    <w:uiPriority w:val="0"/>
  </w:style>
  <w:style w:type="character" w:customStyle="1" w:styleId="80">
    <w:name w:val="Char Char Char Char Char"/>
    <w:link w:val="81"/>
    <w:qFormat/>
    <w:uiPriority w:val="0"/>
    <w:rPr>
      <w:rFonts w:ascii="Tahoma" w:hAnsi="Tahoma" w:eastAsia="宋体"/>
      <w:kern w:val="2"/>
      <w:sz w:val="24"/>
      <w:szCs w:val="24"/>
      <w:lang w:val="en-US" w:eastAsia="zh-CN" w:bidi="ar-SA"/>
    </w:rPr>
  </w:style>
  <w:style w:type="paragraph" w:customStyle="1" w:styleId="81">
    <w:name w:val="Char Char Char Char"/>
    <w:basedOn w:val="15"/>
    <w:link w:val="80"/>
    <w:qFormat/>
    <w:uiPriority w:val="0"/>
    <w:pPr>
      <w:adjustRightInd w:val="0"/>
      <w:snapToGrid w:val="0"/>
      <w:spacing w:line="360" w:lineRule="auto"/>
    </w:pPr>
    <w:rPr>
      <w:rFonts w:ascii="Tahoma" w:hAnsi="Tahoma"/>
      <w:sz w:val="24"/>
      <w:szCs w:val="24"/>
    </w:rPr>
  </w:style>
  <w:style w:type="paragraph" w:customStyle="1" w:styleId="82">
    <w:name w:val="xl2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szCs w:val="24"/>
    </w:rPr>
  </w:style>
  <w:style w:type="paragraph" w:customStyle="1" w:styleId="83">
    <w:name w:val="xl30"/>
    <w:basedOn w:val="1"/>
    <w:qFormat/>
    <w:uiPriority w:val="0"/>
    <w:pPr>
      <w:widowControl/>
      <w:spacing w:before="100" w:beforeAutospacing="1" w:after="100" w:afterAutospacing="1"/>
      <w:jc w:val="center"/>
    </w:pPr>
    <w:rPr>
      <w:rFonts w:ascii="宋体" w:hAnsi="宋体"/>
      <w:b/>
      <w:bCs/>
      <w:kern w:val="0"/>
      <w:sz w:val="36"/>
      <w:szCs w:val="36"/>
    </w:rPr>
  </w:style>
  <w:style w:type="paragraph" w:customStyle="1" w:styleId="84">
    <w:name w:val="普通 (Web)"/>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85">
    <w:name w:val="table_1stline"/>
    <w:basedOn w:val="1"/>
    <w:qFormat/>
    <w:uiPriority w:val="0"/>
    <w:pPr>
      <w:widowControl/>
      <w:spacing w:before="120"/>
      <w:jc w:val="left"/>
    </w:pPr>
    <w:rPr>
      <w:bCs/>
      <w:kern w:val="0"/>
      <w:sz w:val="20"/>
      <w:szCs w:val="20"/>
      <w:lang w:val="de-DE" w:eastAsia="de-DE"/>
    </w:rPr>
  </w:style>
  <w:style w:type="paragraph" w:customStyle="1" w:styleId="86">
    <w:name w:val="font6"/>
    <w:basedOn w:val="1"/>
    <w:qFormat/>
    <w:uiPriority w:val="0"/>
    <w:pPr>
      <w:widowControl/>
      <w:spacing w:before="100" w:beforeAutospacing="1" w:after="100" w:afterAutospacing="1"/>
      <w:jc w:val="left"/>
    </w:pPr>
    <w:rPr>
      <w:rFonts w:hint="eastAsia" w:ascii="宋体" w:hAnsi="宋体"/>
      <w:kern w:val="0"/>
      <w:sz w:val="28"/>
      <w:szCs w:val="28"/>
      <w:u w:val="single"/>
    </w:rPr>
  </w:style>
  <w:style w:type="paragraph" w:customStyle="1" w:styleId="87">
    <w:name w:val="table_lines"/>
    <w:basedOn w:val="1"/>
    <w:qFormat/>
    <w:uiPriority w:val="0"/>
    <w:pPr>
      <w:widowControl/>
      <w:jc w:val="left"/>
    </w:pPr>
    <w:rPr>
      <w:kern w:val="0"/>
      <w:sz w:val="20"/>
      <w:szCs w:val="20"/>
      <w:lang w:val="de-DE" w:eastAsia="de-DE"/>
    </w:rPr>
  </w:style>
  <w:style w:type="paragraph" w:customStyle="1" w:styleId="88">
    <w:name w:val="Char"/>
    <w:basedOn w:val="1"/>
    <w:qFormat/>
    <w:uiPriority w:val="0"/>
    <w:pPr>
      <w:tabs>
        <w:tab w:val="left" w:pos="360"/>
      </w:tabs>
      <w:ind w:firstLine="200" w:firstLineChars="200"/>
    </w:pPr>
    <w:rPr>
      <w:sz w:val="28"/>
      <w:szCs w:val="30"/>
    </w:rPr>
  </w:style>
  <w:style w:type="paragraph" w:customStyle="1" w:styleId="89">
    <w:name w:val="Index4"/>
    <w:basedOn w:val="1"/>
    <w:next w:val="1"/>
    <w:qFormat/>
    <w:uiPriority w:val="99"/>
    <w:pPr>
      <w:ind w:left="600" w:leftChars="600"/>
    </w:pPr>
    <w:rPr>
      <w:rFonts w:ascii="Verdana" w:hAnsi="Verdana"/>
      <w:szCs w:val="20"/>
    </w:rPr>
  </w:style>
  <w:style w:type="paragraph" w:customStyle="1" w:styleId="90">
    <w:name w:val="xl28"/>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kern w:val="0"/>
      <w:sz w:val="24"/>
      <w:szCs w:val="24"/>
    </w:rPr>
  </w:style>
  <w:style w:type="paragraph" w:customStyle="1" w:styleId="91">
    <w:name w:val="附录1"/>
    <w:qFormat/>
    <w:uiPriority w:val="0"/>
    <w:pPr>
      <w:numPr>
        <w:ilvl w:val="0"/>
        <w:numId w:val="2"/>
      </w:numPr>
      <w:snapToGrid w:val="0"/>
      <w:spacing w:before="240" w:line="600" w:lineRule="atLeast"/>
    </w:pPr>
    <w:rPr>
      <w:rFonts w:ascii="Times New Roman" w:hAnsi="Times New Roman" w:eastAsia="宋体" w:cs="Times New Roman"/>
      <w:b/>
      <w:i/>
      <w:sz w:val="28"/>
      <w:lang w:val="en-US" w:eastAsia="zh-CN" w:bidi="ar-SA"/>
    </w:rPr>
  </w:style>
  <w:style w:type="paragraph" w:customStyle="1" w:styleId="92">
    <w:name w:val="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93">
    <w:name w:val="标题1"/>
    <w:basedOn w:val="1"/>
    <w:next w:val="1"/>
    <w:qFormat/>
    <w:uiPriority w:val="0"/>
    <w:pPr>
      <w:tabs>
        <w:tab w:val="left" w:pos="9193"/>
        <w:tab w:val="left" w:pos="9827"/>
      </w:tabs>
      <w:autoSpaceDE w:val="0"/>
      <w:autoSpaceDN w:val="0"/>
      <w:snapToGrid w:val="0"/>
      <w:spacing w:line="700" w:lineRule="atLeast"/>
      <w:jc w:val="center"/>
    </w:pPr>
    <w:rPr>
      <w:rFonts w:ascii="方正小标宋_GBK" w:eastAsia="方正小标宋_GBK"/>
      <w:snapToGrid w:val="0"/>
      <w:kern w:val="0"/>
      <w:sz w:val="44"/>
      <w:szCs w:val="20"/>
    </w:rPr>
  </w:style>
  <w:style w:type="paragraph" w:customStyle="1" w:styleId="94">
    <w:name w:val="font7"/>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95">
    <w:name w:val="标题3"/>
    <w:basedOn w:val="1"/>
    <w:next w:val="1"/>
    <w:qFormat/>
    <w:uiPriority w:val="0"/>
    <w:pPr>
      <w:autoSpaceDE w:val="0"/>
      <w:autoSpaceDN w:val="0"/>
      <w:snapToGrid w:val="0"/>
      <w:spacing w:line="590" w:lineRule="atLeast"/>
      <w:ind w:firstLine="624"/>
    </w:pPr>
    <w:rPr>
      <w:rFonts w:ascii="方正黑体_GBK" w:eastAsia="方正黑体_GBK"/>
      <w:snapToGrid w:val="0"/>
      <w:kern w:val="0"/>
      <w:sz w:val="32"/>
      <w:szCs w:val="32"/>
    </w:rPr>
  </w:style>
  <w:style w:type="paragraph" w:customStyle="1" w:styleId="96">
    <w:name w:val="无间隔1"/>
    <w:qFormat/>
    <w:uiPriority w:val="5"/>
    <w:rPr>
      <w:rFonts w:ascii="Calibri" w:hAnsi="Calibri" w:eastAsia="Calibri" w:cs="Times New Roman"/>
      <w:sz w:val="22"/>
      <w:szCs w:val="22"/>
      <w:lang w:val="en-US" w:eastAsia="zh-CN" w:bidi="ar-SA"/>
    </w:rPr>
  </w:style>
  <w:style w:type="paragraph" w:customStyle="1" w:styleId="97">
    <w:name w:val="普通正文"/>
    <w:basedOn w:val="1"/>
    <w:qFormat/>
    <w:uiPriority w:val="0"/>
    <w:pPr>
      <w:adjustRightInd w:val="0"/>
      <w:spacing w:before="120" w:after="120" w:line="360" w:lineRule="auto"/>
      <w:ind w:firstLine="480"/>
      <w:jc w:val="left"/>
      <w:textAlignment w:val="baseline"/>
    </w:pPr>
    <w:rPr>
      <w:rFonts w:ascii="Arial" w:hAnsi="Arial"/>
      <w:kern w:val="0"/>
      <w:sz w:val="24"/>
      <w:szCs w:val="24"/>
    </w:rPr>
  </w:style>
  <w:style w:type="paragraph" w:customStyle="1" w:styleId="98">
    <w:name w:val="Char Char Char Char Char Char Char Char Char Char"/>
    <w:basedOn w:val="1"/>
    <w:qFormat/>
    <w:uiPriority w:val="0"/>
    <w:pPr>
      <w:adjustRightInd w:val="0"/>
      <w:spacing w:line="360" w:lineRule="auto"/>
    </w:pPr>
    <w:rPr>
      <w:kern w:val="0"/>
      <w:sz w:val="24"/>
      <w:szCs w:val="20"/>
    </w:rPr>
  </w:style>
  <w:style w:type="paragraph" w:customStyle="1" w:styleId="99">
    <w:name w:val="Char Char Char Char1"/>
    <w:basedOn w:val="15"/>
    <w:qFormat/>
    <w:uiPriority w:val="0"/>
    <w:pPr>
      <w:adjustRightInd w:val="0"/>
      <w:snapToGrid w:val="0"/>
      <w:spacing w:line="360" w:lineRule="auto"/>
    </w:pPr>
    <w:rPr>
      <w:rFonts w:ascii="Tahoma" w:hAnsi="Tahoma"/>
      <w:sz w:val="24"/>
      <w:szCs w:val="24"/>
    </w:rPr>
  </w:style>
  <w:style w:type="paragraph" w:customStyle="1" w:styleId="100">
    <w:name w:val="xl24"/>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kern w:val="0"/>
      <w:sz w:val="24"/>
      <w:szCs w:val="24"/>
    </w:rPr>
  </w:style>
  <w:style w:type="paragraph" w:customStyle="1" w:styleId="101">
    <w:name w:val="Body Text(ch)"/>
    <w:basedOn w:val="1"/>
    <w:next w:val="18"/>
    <w:qFormat/>
    <w:uiPriority w:val="0"/>
    <w:pPr>
      <w:spacing w:after="120"/>
    </w:pPr>
    <w:rPr>
      <w:rFonts w:ascii="宋体" w:hAnsi="Arial"/>
      <w:bCs/>
      <w:iCs/>
      <w:szCs w:val="24"/>
    </w:rPr>
  </w:style>
  <w:style w:type="paragraph" w:customStyle="1" w:styleId="102">
    <w:name w:val="Char1"/>
    <w:basedOn w:val="15"/>
    <w:qFormat/>
    <w:uiPriority w:val="0"/>
    <w:rPr>
      <w:rFonts w:ascii="Tahoma" w:hAnsi="Tahoma"/>
      <w:sz w:val="24"/>
      <w:szCs w:val="24"/>
    </w:rPr>
  </w:style>
  <w:style w:type="paragraph" w:customStyle="1" w:styleId="103">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szCs w:val="24"/>
    </w:rPr>
  </w:style>
  <w:style w:type="paragraph" w:customStyle="1" w:styleId="104">
    <w:name w:val="xl29"/>
    <w:basedOn w:val="1"/>
    <w:qFormat/>
    <w:uiPriority w:val="0"/>
    <w:pPr>
      <w:widowControl/>
      <w:pBdr>
        <w:left w:val="single" w:color="auto" w:sz="4" w:space="0"/>
        <w:bottom w:val="single" w:color="auto" w:sz="4" w:space="0"/>
      </w:pBdr>
      <w:spacing w:before="100" w:beforeAutospacing="1" w:after="100" w:afterAutospacing="1"/>
      <w:jc w:val="left"/>
    </w:pPr>
    <w:rPr>
      <w:rFonts w:ascii="宋体" w:hAnsi="宋体"/>
      <w:kern w:val="0"/>
      <w:sz w:val="24"/>
      <w:szCs w:val="24"/>
    </w:rPr>
  </w:style>
  <w:style w:type="paragraph" w:styleId="105">
    <w:name w:val="List Paragraph"/>
    <w:basedOn w:val="1"/>
    <w:qFormat/>
    <w:uiPriority w:val="34"/>
    <w:pPr>
      <w:widowControl/>
      <w:ind w:left="720"/>
      <w:contextualSpacing/>
      <w:jc w:val="left"/>
    </w:pPr>
    <w:rPr>
      <w:rFonts w:ascii="Calibri" w:hAnsi="Calibri"/>
      <w:kern w:val="0"/>
      <w:sz w:val="24"/>
      <w:szCs w:val="24"/>
      <w:lang w:eastAsia="en-US" w:bidi="en-US"/>
    </w:rPr>
  </w:style>
  <w:style w:type="paragraph" w:customStyle="1" w:styleId="106">
    <w:name w:val="Normal_19"/>
    <w:next w:val="107"/>
    <w:qFormat/>
    <w:uiPriority w:val="0"/>
    <w:pPr>
      <w:widowControl w:val="0"/>
      <w:jc w:val="both"/>
    </w:pPr>
    <w:rPr>
      <w:rFonts w:ascii="Calibri" w:hAnsi="Calibri" w:eastAsia="Times New Roman" w:cs="Times New Roman"/>
      <w:kern w:val="2"/>
      <w:sz w:val="21"/>
      <w:szCs w:val="22"/>
      <w:lang w:val="en-US" w:eastAsia="zh-CN" w:bidi="ar-SA"/>
    </w:rPr>
  </w:style>
  <w:style w:type="paragraph" w:customStyle="1" w:styleId="107">
    <w:name w:val="段_0"/>
    <w:next w:val="106"/>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08">
    <w:name w:val="xl25"/>
    <w:basedOn w:val="1"/>
    <w:qFormat/>
    <w:uiPriority w:val="0"/>
    <w:pPr>
      <w:widowControl/>
      <w:spacing w:before="100" w:beforeAutospacing="1" w:after="100" w:afterAutospacing="1"/>
      <w:jc w:val="center"/>
      <w:textAlignment w:val="center"/>
    </w:pPr>
    <w:rPr>
      <w:rFonts w:ascii="Arial Unicode MS" w:hAnsi="Arial Unicode MS" w:eastAsia="Arial Unicode MS" w:cs="Arial Unicode MS"/>
      <w:kern w:val="0"/>
      <w:sz w:val="24"/>
      <w:szCs w:val="24"/>
    </w:rPr>
  </w:style>
  <w:style w:type="paragraph" w:customStyle="1" w:styleId="109">
    <w:name w:val="样式1"/>
    <w:basedOn w:val="1"/>
    <w:qFormat/>
    <w:uiPriority w:val="0"/>
    <w:pPr>
      <w:numPr>
        <w:ilvl w:val="0"/>
        <w:numId w:val="3"/>
      </w:numPr>
      <w:adjustRightInd w:val="0"/>
      <w:textAlignment w:val="baseline"/>
    </w:pPr>
    <w:rPr>
      <w:rFonts w:ascii="宋体" w:hAnsi="宋体"/>
      <w:kern w:val="0"/>
    </w:rPr>
  </w:style>
  <w:style w:type="paragraph" w:customStyle="1" w:styleId="110">
    <w:name w:val="图标"/>
    <w:basedOn w:val="1"/>
    <w:next w:val="1"/>
    <w:qFormat/>
    <w:uiPriority w:val="0"/>
    <w:pPr>
      <w:tabs>
        <w:tab w:val="left" w:pos="567"/>
        <w:tab w:val="left" w:pos="840"/>
      </w:tabs>
      <w:autoSpaceDE w:val="0"/>
      <w:autoSpaceDN w:val="0"/>
      <w:adjustRightInd w:val="0"/>
      <w:snapToGrid w:val="0"/>
      <w:spacing w:before="120" w:after="120" w:line="320" w:lineRule="atLeast"/>
      <w:ind w:left="840" w:hanging="420"/>
      <w:jc w:val="center"/>
      <w:textAlignment w:val="baseline"/>
    </w:pPr>
    <w:rPr>
      <w:rFonts w:eastAsia="仿宋_GB2312"/>
      <w:kern w:val="0"/>
      <w:sz w:val="24"/>
      <w:szCs w:val="20"/>
    </w:rPr>
  </w:style>
  <w:style w:type="paragraph" w:customStyle="1" w:styleId="111">
    <w:name w:val="4"/>
    <w:basedOn w:val="1"/>
    <w:next w:val="35"/>
    <w:qFormat/>
    <w:uiPriority w:val="0"/>
    <w:pPr>
      <w:spacing w:line="360" w:lineRule="auto"/>
      <w:ind w:firstLine="420"/>
    </w:pPr>
    <w:rPr>
      <w:color w:val="FF0000"/>
      <w:sz w:val="24"/>
      <w:szCs w:val="24"/>
    </w:rPr>
  </w:style>
  <w:style w:type="paragraph" w:customStyle="1" w:styleId="112">
    <w:name w:val="Char Char Char Char Char 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113">
    <w:name w:val="font5"/>
    <w:basedOn w:val="1"/>
    <w:qFormat/>
    <w:uiPriority w:val="0"/>
    <w:pPr>
      <w:widowControl/>
      <w:spacing w:before="100" w:beforeAutospacing="1" w:after="100" w:afterAutospacing="1"/>
      <w:jc w:val="left"/>
    </w:pPr>
    <w:rPr>
      <w:rFonts w:hint="eastAsia" w:ascii="宋体" w:hAnsi="宋体"/>
      <w:kern w:val="0"/>
      <w:sz w:val="28"/>
      <w:szCs w:val="28"/>
    </w:rPr>
  </w:style>
  <w:style w:type="character" w:customStyle="1" w:styleId="114">
    <w:name w:val="NormalCharacter"/>
    <w:semiHidden/>
    <w:qFormat/>
    <w:uiPriority w:val="0"/>
  </w:style>
  <w:style w:type="paragraph" w:customStyle="1" w:styleId="115">
    <w:name w:val="Heading2"/>
    <w:basedOn w:val="1"/>
    <w:next w:val="116"/>
    <w:qFormat/>
    <w:uiPriority w:val="0"/>
    <w:pPr>
      <w:keepNext/>
      <w:keepLines/>
      <w:spacing w:before="260" w:after="260" w:line="416" w:lineRule="auto"/>
      <w:jc w:val="center"/>
    </w:pPr>
    <w:rPr>
      <w:rFonts w:ascii="Arial" w:hAnsi="Arial" w:eastAsia="幼圆" w:cs="Arial"/>
      <w:b/>
      <w:bCs/>
      <w:sz w:val="44"/>
      <w:szCs w:val="44"/>
    </w:rPr>
  </w:style>
  <w:style w:type="paragraph" w:customStyle="1" w:styleId="116">
    <w:name w:val="NormalIndent"/>
    <w:basedOn w:val="1"/>
    <w:qFormat/>
    <w:uiPriority w:val="0"/>
    <w:pPr>
      <w:ind w:firstLine="420"/>
    </w:pPr>
  </w:style>
  <w:style w:type="paragraph" w:customStyle="1" w:styleId="117">
    <w:name w:val="Heading1"/>
    <w:basedOn w:val="1"/>
    <w:next w:val="1"/>
    <w:qFormat/>
    <w:uiPriority w:val="0"/>
    <w:pPr>
      <w:keepNext/>
      <w:jc w:val="center"/>
    </w:pPr>
    <w:rPr>
      <w:rFonts w:ascii="楷体_GB2312" w:eastAsia="楷体_GB2312"/>
      <w:sz w:val="28"/>
      <w:szCs w:val="28"/>
    </w:rPr>
  </w:style>
  <w:style w:type="paragraph" w:customStyle="1" w:styleId="118">
    <w:name w:val="WPSOffice手动目录 1"/>
    <w:uiPriority w:val="0"/>
    <w:pPr>
      <w:ind w:leftChars="0"/>
    </w:pPr>
    <w:rPr>
      <w:rFonts w:ascii="Calibri" w:hAnsi="Calibri"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Desktop\&#32834;\&#36130;&#25919;&#21381;&#23616;&#22495;&#32593;&#26631;&#20070;.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财政厅局域网标书.dot</Template>
  <Pages>49</Pages>
  <Words>4397</Words>
  <Characters>25064</Characters>
  <Lines>208</Lines>
  <Paragraphs>58</Paragraphs>
  <TotalTime>8</TotalTime>
  <ScaleCrop>false</ScaleCrop>
  <LinksUpToDate>false</LinksUpToDate>
  <CharactersWithSpaces>29403</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2021-10-22T01:05:00Z</dcterms:created>
  <dc:creator>政府采购中心</dc:creator>
  <cp:lastModifiedBy>赵萌</cp:lastModifiedBy>
  <cp:lastPrinted>2021-10-22T01:16:00Z</cp:lastPrinted>
  <dcterms:modified xsi:type="dcterms:W3CDTF">2021-12-13T08:16:10Z</dcterms:modified>
  <dc:title>江苏卫生信息系统业务软件</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52225F32052B45C0A182EA061D3972B8</vt:lpwstr>
  </property>
</Properties>
</file>