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300" w:lineRule="auto"/>
        <w:rPr>
          <w:b/>
          <w:color w:val="000000" w:themeColor="text1"/>
          <w:sz w:val="84"/>
          <w:szCs w:val="21"/>
          <w14:textFill>
            <w14:solidFill>
              <w14:schemeClr w14:val="tx1"/>
            </w14:solidFill>
          </w14:textFill>
        </w:rPr>
      </w:pPr>
    </w:p>
    <w:p>
      <w:pPr>
        <w:spacing w:before="120" w:after="120" w:line="300" w:lineRule="auto"/>
        <w:jc w:val="center"/>
        <w:rPr>
          <w:b/>
          <w:color w:val="000000" w:themeColor="text1"/>
          <w:sz w:val="84"/>
          <w:szCs w:val="21"/>
          <w14:textFill>
            <w14:solidFill>
              <w14:schemeClr w14:val="tx1"/>
            </w14:solidFill>
          </w14:textFill>
        </w:rPr>
      </w:pPr>
      <w:r>
        <w:rPr>
          <w:rFonts w:hint="eastAsia" w:ascii="方正小标宋_GBK" w:hAnsi="方正小标宋_GBK" w:eastAsia="方正小标宋_GBK" w:cs="方正小标宋_GBK"/>
          <w:color w:val="000000" w:themeColor="text1"/>
          <w:sz w:val="84"/>
          <w14:textFill>
            <w14:solidFill>
              <w14:schemeClr w14:val="tx1"/>
            </w14:solidFill>
          </w14:textFill>
        </w:rPr>
        <w:t>询 价 文 件</w:t>
      </w:r>
    </w:p>
    <w:p>
      <w:pPr>
        <w:spacing w:line="300" w:lineRule="auto"/>
        <w:rPr>
          <w:b/>
          <w:bCs/>
          <w:color w:val="000000" w:themeColor="text1"/>
          <w:sz w:val="28"/>
          <w14:textFill>
            <w14:solidFill>
              <w14:schemeClr w14:val="tx1"/>
            </w14:solidFill>
          </w14:textFill>
        </w:rPr>
      </w:pPr>
    </w:p>
    <w:p>
      <w:pPr>
        <w:spacing w:line="300" w:lineRule="auto"/>
        <w:jc w:val="center"/>
        <w:rPr>
          <w:b/>
          <w:bCs/>
          <w:color w:val="000000" w:themeColor="text1"/>
          <w:sz w:val="28"/>
          <w14:textFill>
            <w14:solidFill>
              <w14:schemeClr w14:val="tx1"/>
            </w14:solidFill>
          </w14:textFill>
        </w:rPr>
      </w:pPr>
    </w:p>
    <w:p>
      <w:pPr>
        <w:spacing w:line="300" w:lineRule="auto"/>
        <w:jc w:val="center"/>
        <w:rPr>
          <w:b/>
          <w:bCs/>
          <w:color w:val="000000" w:themeColor="text1"/>
          <w:sz w:val="28"/>
          <w14:textFill>
            <w14:solidFill>
              <w14:schemeClr w14:val="tx1"/>
            </w14:solidFill>
          </w14:textFill>
        </w:rPr>
      </w:pPr>
    </w:p>
    <w:p>
      <w:pPr>
        <w:spacing w:line="300" w:lineRule="auto"/>
        <w:jc w:val="center"/>
        <w:rPr>
          <w:b/>
          <w:bCs/>
          <w:color w:val="000000" w:themeColor="text1"/>
          <w:sz w:val="28"/>
          <w14:textFill>
            <w14:solidFill>
              <w14:schemeClr w14:val="tx1"/>
            </w14:solidFill>
          </w14:textFill>
        </w:rPr>
      </w:pPr>
    </w:p>
    <w:p>
      <w:pPr>
        <w:ind w:left="2884" w:leftChars="513" w:hanging="1807" w:hangingChars="500"/>
        <w:rPr>
          <w:rFonts w:hint="eastAsia" w:ascii="宋体" w:eastAsia="宋体"/>
          <w:b/>
          <w:color w:val="000000" w:themeColor="text1"/>
          <w:sz w:val="36"/>
          <w:lang w:eastAsia="zh-CN"/>
          <w14:textFill>
            <w14:solidFill>
              <w14:schemeClr w14:val="tx1"/>
            </w14:solidFill>
          </w14:textFill>
        </w:rPr>
      </w:pPr>
      <w:r>
        <w:rPr>
          <w:rFonts w:hint="eastAsia" w:ascii="宋体"/>
          <w:b/>
          <w:color w:val="000000" w:themeColor="text1"/>
          <w:sz w:val="36"/>
          <w14:textFill>
            <w14:solidFill>
              <w14:schemeClr w14:val="tx1"/>
            </w14:solidFill>
          </w14:textFill>
        </w:rPr>
        <w:t>项目名称：</w:t>
      </w:r>
      <w:r>
        <w:rPr>
          <w:rFonts w:hint="eastAsia" w:ascii="宋体"/>
          <w:b/>
          <w:color w:val="000000" w:themeColor="text1"/>
          <w:sz w:val="36"/>
          <w:lang w:eastAsia="zh-CN"/>
          <w14:textFill>
            <w14:solidFill>
              <w14:schemeClr w14:val="tx1"/>
            </w14:solidFill>
          </w14:textFill>
        </w:rPr>
        <w:t>盐城工业职业技术学院人行通道及汽车通道改造</w:t>
      </w:r>
    </w:p>
    <w:p>
      <w:pPr>
        <w:ind w:firstLine="964" w:firstLineChars="300"/>
        <w:jc w:val="center"/>
        <w:rPr>
          <w:rFonts w:eastAsia="黑体"/>
          <w:b/>
          <w:color w:val="000000" w:themeColor="text1"/>
          <w:sz w:val="32"/>
          <w14:textFill>
            <w14:solidFill>
              <w14:schemeClr w14:val="tx1"/>
            </w14:solidFill>
          </w14:textFill>
        </w:rPr>
      </w:pPr>
    </w:p>
    <w:p>
      <w:pPr>
        <w:ind w:firstLine="964" w:firstLineChars="300"/>
        <w:jc w:val="center"/>
        <w:rPr>
          <w:rFonts w:eastAsia="黑体"/>
          <w:b/>
          <w:color w:val="000000" w:themeColor="text1"/>
          <w:sz w:val="32"/>
          <w14:textFill>
            <w14:solidFill>
              <w14:schemeClr w14:val="tx1"/>
            </w14:solidFill>
          </w14:textFill>
        </w:rPr>
      </w:pPr>
    </w:p>
    <w:p>
      <w:pPr>
        <w:ind w:firstLine="1084" w:firstLineChars="300"/>
        <w:rPr>
          <w:rFonts w:ascii="宋体"/>
          <w:b/>
          <w:color w:val="000000" w:themeColor="text1"/>
          <w:sz w:val="30"/>
          <w:szCs w:val="30"/>
          <w14:textFill>
            <w14:solidFill>
              <w14:schemeClr w14:val="tx1"/>
            </w14:solidFill>
          </w14:textFill>
        </w:rPr>
      </w:pPr>
      <w:r>
        <w:rPr>
          <w:rFonts w:hint="eastAsia" w:ascii="宋体"/>
          <w:b/>
          <w:color w:val="000000" w:themeColor="text1"/>
          <w:sz w:val="36"/>
          <w:szCs w:val="36"/>
          <w14:textFill>
            <w14:solidFill>
              <w14:schemeClr w14:val="tx1"/>
            </w14:solidFill>
          </w14:textFill>
        </w:rPr>
        <w:t>项</w:t>
      </w:r>
      <w:r>
        <w:rPr>
          <w:rFonts w:hint="eastAsia" w:ascii="宋体" w:hAnsi="宋体" w:cs="宋体"/>
          <w:b/>
          <w:color w:val="000000" w:themeColor="text1"/>
          <w:sz w:val="36"/>
          <w:szCs w:val="36"/>
          <w14:textFill>
            <w14:solidFill>
              <w14:schemeClr w14:val="tx1"/>
            </w14:solidFill>
          </w14:textFill>
        </w:rPr>
        <w:t>目编号：</w:t>
      </w:r>
      <w:r>
        <w:rPr>
          <w:rFonts w:hint="eastAsia" w:ascii="宋体" w:hAnsi="宋体" w:cs="宋体"/>
          <w:b/>
          <w:color w:val="000000" w:themeColor="text1"/>
          <w:sz w:val="36"/>
          <w:szCs w:val="36"/>
          <w:lang w:eastAsia="zh-CN"/>
          <w14:textFill>
            <w14:solidFill>
              <w14:schemeClr w14:val="tx1"/>
            </w14:solidFill>
          </w14:textFill>
        </w:rPr>
        <w:t>2025F-024</w:t>
      </w:r>
      <w:r>
        <w:rPr>
          <w:rFonts w:hint="eastAsia" w:ascii="宋体" w:hAnsi="宋体" w:cs="宋体"/>
          <w:b/>
          <w:color w:val="000000" w:themeColor="text1"/>
          <w:sz w:val="36"/>
          <w:szCs w:val="36"/>
          <w14:textFill>
            <w14:solidFill>
              <w14:schemeClr w14:val="tx1"/>
            </w14:solidFill>
          </w14:textFill>
        </w:rPr>
        <w:t xml:space="preserve">              </w:t>
      </w:r>
    </w:p>
    <w:p>
      <w:pPr>
        <w:rPr>
          <w:rFonts w:ascii="宋体"/>
          <w:b/>
          <w:color w:val="000000" w:themeColor="text1"/>
          <w:sz w:val="32"/>
          <w14:textFill>
            <w14:solidFill>
              <w14:schemeClr w14:val="tx1"/>
            </w14:solidFill>
          </w14:textFill>
        </w:rPr>
      </w:pPr>
    </w:p>
    <w:p>
      <w:pPr>
        <w:rPr>
          <w:rFonts w:ascii="宋体"/>
          <w:b/>
          <w:color w:val="000000" w:themeColor="text1"/>
          <w:sz w:val="32"/>
          <w14:textFill>
            <w14:solidFill>
              <w14:schemeClr w14:val="tx1"/>
            </w14:solidFill>
          </w14:textFill>
        </w:rPr>
      </w:pPr>
    </w:p>
    <w:p>
      <w:pPr>
        <w:rPr>
          <w:rFonts w:ascii="宋体"/>
          <w:b/>
          <w:color w:val="000000" w:themeColor="text1"/>
          <w:sz w:val="32"/>
          <w14:textFill>
            <w14:solidFill>
              <w14:schemeClr w14:val="tx1"/>
            </w14:solidFill>
          </w14:textFill>
        </w:rPr>
      </w:pPr>
    </w:p>
    <w:p>
      <w:pPr>
        <w:pStyle w:val="194"/>
        <w:rPr>
          <w:color w:val="000000" w:themeColor="text1"/>
          <w14:textFill>
            <w14:solidFill>
              <w14:schemeClr w14:val="tx1"/>
            </w14:solidFill>
          </w14:textFill>
        </w:rPr>
      </w:pPr>
    </w:p>
    <w:p>
      <w:pPr>
        <w:pStyle w:val="194"/>
        <w:rPr>
          <w:color w:val="000000" w:themeColor="text1"/>
          <w14:textFill>
            <w14:solidFill>
              <w14:schemeClr w14:val="tx1"/>
            </w14:solidFill>
          </w14:textFill>
        </w:rPr>
      </w:pPr>
    </w:p>
    <w:p>
      <w:pPr>
        <w:rPr>
          <w:rFonts w:ascii="宋体"/>
          <w:b/>
          <w:color w:val="000000" w:themeColor="text1"/>
          <w:sz w:val="32"/>
          <w14:textFill>
            <w14:solidFill>
              <w14:schemeClr w14:val="tx1"/>
            </w14:solidFill>
          </w14:textFill>
        </w:rPr>
      </w:pPr>
    </w:p>
    <w:p>
      <w:pPr>
        <w:rPr>
          <w:rFonts w:ascii="宋体"/>
          <w:b/>
          <w:color w:val="000000" w:themeColor="text1"/>
          <w:sz w:val="32"/>
          <w14:textFill>
            <w14:solidFill>
              <w14:schemeClr w14:val="tx1"/>
            </w14:solidFill>
          </w14:textFill>
        </w:rPr>
      </w:pPr>
    </w:p>
    <w:p>
      <w:pPr>
        <w:spacing w:after="240" w:afterLines="100" w:line="360" w:lineRule="auto"/>
        <w:jc w:val="center"/>
        <w:rPr>
          <w:rStyle w:val="239"/>
          <w:rFonts w:ascii="宋体" w:hAnsi="宋体" w:cs="宋体"/>
          <w:bCs/>
          <w:color w:val="000000" w:themeColor="text1"/>
          <w:sz w:val="30"/>
          <w:szCs w:val="30"/>
          <w14:textFill>
            <w14:solidFill>
              <w14:schemeClr w14:val="tx1"/>
            </w14:solidFill>
          </w14:textFill>
        </w:rPr>
      </w:pPr>
      <w:r>
        <w:rPr>
          <w:rStyle w:val="239"/>
          <w:rFonts w:hint="eastAsia" w:ascii="宋体" w:hAnsi="宋体" w:cs="宋体"/>
          <w:bCs/>
          <w:color w:val="000000" w:themeColor="text1"/>
          <w:sz w:val="30"/>
          <w:szCs w:val="30"/>
          <w14:textFill>
            <w14:solidFill>
              <w14:schemeClr w14:val="tx1"/>
            </w14:solidFill>
          </w14:textFill>
        </w:rPr>
        <w:t>采购人：盐城工业职业技术学院</w:t>
      </w:r>
    </w:p>
    <w:p>
      <w:pPr>
        <w:pStyle w:val="216"/>
        <w:widowControl w:val="0"/>
        <w:spacing w:before="120" w:beforeAutospacing="0" w:after="120" w:afterAutospacing="0" w:line="500" w:lineRule="exact"/>
        <w:jc w:val="center"/>
        <w:rPr>
          <w:rFonts w:ascii="黑体" w:hAnsi="黑体" w:eastAsia="黑体" w:cs="黑体"/>
          <w:bCs/>
          <w:color w:val="000000" w:themeColor="text1"/>
          <w:spacing w:val="15"/>
          <w:sz w:val="36"/>
          <w:szCs w:val="36"/>
          <w14:textFill>
            <w14:solidFill>
              <w14:schemeClr w14:val="tx1"/>
            </w14:solidFill>
          </w14:textFill>
        </w:rPr>
      </w:pPr>
    </w:p>
    <w:p>
      <w:pPr>
        <w:pStyle w:val="216"/>
        <w:widowControl w:val="0"/>
        <w:spacing w:before="120" w:beforeAutospacing="0" w:after="120" w:afterAutospacing="0" w:line="500" w:lineRule="exact"/>
        <w:jc w:val="center"/>
        <w:rPr>
          <w:bCs/>
          <w:color w:val="000000" w:themeColor="text1"/>
          <w:spacing w:val="15"/>
          <w:sz w:val="30"/>
          <w:szCs w:val="30"/>
          <w14:textFill>
            <w14:solidFill>
              <w14:schemeClr w14:val="tx1"/>
            </w14:solidFill>
          </w14:textFill>
        </w:rPr>
      </w:pPr>
      <w:r>
        <w:rPr>
          <w:rFonts w:hint="eastAsia"/>
          <w:bCs/>
          <w:color w:val="000000" w:themeColor="text1"/>
          <w:spacing w:val="15"/>
          <w:sz w:val="30"/>
          <w:szCs w:val="30"/>
          <w14:textFill>
            <w14:solidFill>
              <w14:schemeClr w14:val="tx1"/>
            </w14:solidFill>
          </w14:textFill>
        </w:rPr>
        <w:t>202</w:t>
      </w:r>
      <w:r>
        <w:rPr>
          <w:rFonts w:hint="eastAsia"/>
          <w:bCs/>
          <w:color w:val="000000" w:themeColor="text1"/>
          <w:spacing w:val="15"/>
          <w:sz w:val="30"/>
          <w:szCs w:val="30"/>
          <w:lang w:val="en-US" w:eastAsia="zh-CN"/>
          <w14:textFill>
            <w14:solidFill>
              <w14:schemeClr w14:val="tx1"/>
            </w14:solidFill>
          </w14:textFill>
        </w:rPr>
        <w:t>5</w:t>
      </w:r>
      <w:r>
        <w:rPr>
          <w:rFonts w:hint="eastAsia"/>
          <w:bCs/>
          <w:color w:val="000000" w:themeColor="text1"/>
          <w:spacing w:val="15"/>
          <w:sz w:val="30"/>
          <w:szCs w:val="30"/>
          <w14:textFill>
            <w14:solidFill>
              <w14:schemeClr w14:val="tx1"/>
            </w14:solidFill>
          </w14:textFill>
        </w:rPr>
        <w:t>年</w:t>
      </w:r>
      <w:r>
        <w:rPr>
          <w:rFonts w:hint="eastAsia"/>
          <w:bCs/>
          <w:color w:val="000000" w:themeColor="text1"/>
          <w:spacing w:val="15"/>
          <w:sz w:val="30"/>
          <w:szCs w:val="30"/>
          <w:lang w:val="en-US" w:eastAsia="zh-CN"/>
          <w14:textFill>
            <w14:solidFill>
              <w14:schemeClr w14:val="tx1"/>
            </w14:solidFill>
          </w14:textFill>
        </w:rPr>
        <w:t>10</w:t>
      </w:r>
      <w:r>
        <w:rPr>
          <w:rFonts w:hint="eastAsia"/>
          <w:bCs/>
          <w:color w:val="000000" w:themeColor="text1"/>
          <w:spacing w:val="15"/>
          <w:sz w:val="30"/>
          <w:szCs w:val="30"/>
          <w14:textFill>
            <w14:solidFill>
              <w14:schemeClr w14:val="tx1"/>
            </w14:solidFill>
          </w14:textFill>
        </w:rPr>
        <w:t>月</w:t>
      </w:r>
      <w:r>
        <w:rPr>
          <w:rFonts w:hint="eastAsia"/>
          <w:bCs/>
          <w:color w:val="000000" w:themeColor="text1"/>
          <w:spacing w:val="15"/>
          <w:sz w:val="30"/>
          <w:szCs w:val="30"/>
          <w:lang w:val="en-US" w:eastAsia="zh-CN"/>
          <w14:textFill>
            <w14:solidFill>
              <w14:schemeClr w14:val="tx1"/>
            </w14:solidFill>
          </w14:textFill>
        </w:rPr>
        <w:t>27</w:t>
      </w:r>
      <w:r>
        <w:rPr>
          <w:rFonts w:hint="eastAsia"/>
          <w:bCs/>
          <w:color w:val="000000" w:themeColor="text1"/>
          <w:spacing w:val="15"/>
          <w:sz w:val="30"/>
          <w:szCs w:val="30"/>
          <w14:textFill>
            <w14:solidFill>
              <w14:schemeClr w14:val="tx1"/>
            </w14:solidFill>
          </w14:textFill>
        </w:rPr>
        <w:t>日</w:t>
      </w:r>
    </w:p>
    <w:p>
      <w:pPr>
        <w:spacing w:before="120" w:after="120" w:line="460" w:lineRule="exact"/>
        <w:ind w:firstLine="3780"/>
        <w:rPr>
          <w:rFonts w:eastAsia="黑体"/>
          <w:color w:val="000000" w:themeColor="text1"/>
          <w:sz w:val="36"/>
          <w:szCs w:val="36"/>
          <w14:textFill>
            <w14:solidFill>
              <w14:schemeClr w14:val="tx1"/>
            </w14:solidFill>
          </w14:textFill>
        </w:rPr>
      </w:pPr>
    </w:p>
    <w:p>
      <w:pPr>
        <w:spacing w:before="120" w:after="120" w:line="460" w:lineRule="exact"/>
        <w:ind w:firstLine="3780"/>
        <w:rPr>
          <w:rFonts w:eastAsia="黑体"/>
          <w:color w:val="000000" w:themeColor="text1"/>
          <w:sz w:val="36"/>
          <w:szCs w:val="36"/>
          <w14:textFill>
            <w14:solidFill>
              <w14:schemeClr w14:val="tx1"/>
            </w14:solidFill>
          </w14:textFill>
        </w:rPr>
      </w:pPr>
    </w:p>
    <w:p>
      <w:pPr>
        <w:pStyle w:val="216"/>
        <w:widowControl w:val="0"/>
        <w:spacing w:before="0" w:beforeAutospacing="0" w:after="0" w:afterAutospacing="0" w:line="48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 </w:t>
      </w:r>
      <w:bookmarkStart w:id="0" w:name="_Toc513029200"/>
      <w:bookmarkStart w:id="1" w:name="_Toc120614210"/>
      <w:bookmarkStart w:id="2" w:name="_Toc16938516"/>
      <w:bookmarkStart w:id="3" w:name="_Toc523127445"/>
      <w:bookmarkStart w:id="4" w:name="_Toc20823272"/>
      <w:bookmarkStart w:id="5" w:name="_Toc479757206"/>
    </w:p>
    <w:p>
      <w:pPr>
        <w:pStyle w:val="216"/>
        <w:widowControl w:val="0"/>
        <w:spacing w:before="0" w:beforeAutospacing="0" w:after="0" w:afterAutospacing="0" w:line="480" w:lineRule="auto"/>
        <w:jc w:val="center"/>
        <w:rPr>
          <w:color w:val="000000" w:themeColor="text1"/>
          <w:sz w:val="32"/>
          <w:szCs w:val="32"/>
          <w14:textFill>
            <w14:solidFill>
              <w14:schemeClr w14:val="tx1"/>
            </w14:solidFill>
          </w14:textFill>
        </w:rPr>
      </w:pPr>
      <w:r>
        <w:rPr>
          <w:rFonts w:hint="eastAsia"/>
          <w:b/>
          <w:bCs/>
          <w:color w:val="000000" w:themeColor="text1"/>
          <w:sz w:val="44"/>
          <w:szCs w:val="44"/>
          <w14:textFill>
            <w14:solidFill>
              <w14:schemeClr w14:val="tx1"/>
            </w14:solidFill>
          </w14:textFill>
        </w:rPr>
        <w:t>总 目 录</w:t>
      </w:r>
      <w:bookmarkEnd w:id="0"/>
      <w:bookmarkEnd w:id="1"/>
      <w:bookmarkEnd w:id="2"/>
      <w:bookmarkEnd w:id="3"/>
      <w:bookmarkEnd w:id="4"/>
      <w:bookmarkEnd w:id="5"/>
    </w:p>
    <w:p>
      <w:pPr>
        <w:pStyle w:val="216"/>
        <w:widowControl w:val="0"/>
        <w:tabs>
          <w:tab w:val="left" w:pos="1441"/>
        </w:tabs>
        <w:spacing w:before="0" w:beforeAutospacing="0" w:after="0" w:afterAutospacing="0" w:line="480" w:lineRule="auto"/>
        <w:ind w:left="2160" w:hanging="1440"/>
        <w:jc w:val="both"/>
        <w:rPr>
          <w:rFonts w:ascii="黑体" w:eastAsia="黑体" w:cs="黑体"/>
          <w:color w:val="000000" w:themeColor="text1"/>
          <w:sz w:val="36"/>
          <w:szCs w:val="36"/>
          <w14:textFill>
            <w14:solidFill>
              <w14:schemeClr w14:val="tx1"/>
            </w14:solidFill>
          </w14:textFill>
        </w:rPr>
      </w:pPr>
      <w:r>
        <w:rPr>
          <w:color w:val="000000" w:themeColor="text1"/>
          <w14:textFill>
            <w14:solidFill>
              <w14:schemeClr w14:val="tx1"/>
            </w14:solidFill>
          </w14:textFill>
        </w:rPr>
        <w:t> </w:t>
      </w:r>
    </w:p>
    <w:p>
      <w:pPr>
        <w:pStyle w:val="216"/>
        <w:widowControl w:val="0"/>
        <w:tabs>
          <w:tab w:val="left" w:pos="1441"/>
        </w:tabs>
        <w:spacing w:before="0" w:beforeAutospacing="0" w:after="0" w:afterAutospacing="0" w:line="480" w:lineRule="auto"/>
        <w:ind w:left="2160" w:hanging="1440"/>
        <w:jc w:val="both"/>
        <w:rPr>
          <w:color w:val="000000" w:themeColor="text1"/>
          <w:sz w:val="22"/>
          <w:szCs w:val="22"/>
          <w14:textFill>
            <w14:solidFill>
              <w14:schemeClr w14:val="tx1"/>
            </w14:solidFill>
          </w14:textFill>
        </w:rPr>
      </w:pPr>
      <w:r>
        <w:rPr>
          <w:rFonts w:hint="eastAsia"/>
          <w:color w:val="000000" w:themeColor="text1"/>
          <w:sz w:val="32"/>
          <w:szCs w:val="32"/>
          <w14:textFill>
            <w14:solidFill>
              <w14:schemeClr w14:val="tx1"/>
            </w14:solidFill>
          </w14:textFill>
        </w:rPr>
        <w:t xml:space="preserve">第一章 询价公告………………………………………3 </w:t>
      </w:r>
    </w:p>
    <w:p>
      <w:pPr>
        <w:pStyle w:val="216"/>
        <w:widowControl w:val="0"/>
        <w:tabs>
          <w:tab w:val="left" w:pos="1441"/>
        </w:tabs>
        <w:spacing w:before="0" w:beforeAutospacing="0" w:after="0" w:afterAutospacing="0" w:line="480" w:lineRule="auto"/>
        <w:ind w:left="2160" w:hanging="1440"/>
        <w:jc w:val="both"/>
        <w:rPr>
          <w:color w:val="000000" w:themeColor="text1"/>
          <w:sz w:val="22"/>
          <w:szCs w:val="22"/>
          <w14:textFill>
            <w14:solidFill>
              <w14:schemeClr w14:val="tx1"/>
            </w14:solidFill>
          </w14:textFill>
        </w:rPr>
      </w:pPr>
      <w:r>
        <w:rPr>
          <w:rFonts w:hint="eastAsia"/>
          <w:color w:val="000000" w:themeColor="text1"/>
          <w:sz w:val="32"/>
          <w:szCs w:val="32"/>
          <w14:textFill>
            <w14:solidFill>
              <w14:schemeClr w14:val="tx1"/>
            </w14:solidFill>
          </w14:textFill>
        </w:rPr>
        <w:t xml:space="preserve">第二章 供应商须知……………………………………6  </w:t>
      </w:r>
    </w:p>
    <w:p>
      <w:pPr>
        <w:pStyle w:val="216"/>
        <w:widowControl w:val="0"/>
        <w:tabs>
          <w:tab w:val="left" w:pos="1441"/>
        </w:tabs>
        <w:spacing w:before="0" w:beforeAutospacing="0" w:after="0" w:afterAutospacing="0" w:line="480" w:lineRule="auto"/>
        <w:ind w:left="2160" w:hanging="1440"/>
        <w:jc w:val="both"/>
        <w:rPr>
          <w:color w:val="000000" w:themeColor="text1"/>
          <w:sz w:val="22"/>
          <w:szCs w:val="22"/>
          <w14:textFill>
            <w14:solidFill>
              <w14:schemeClr w14:val="tx1"/>
            </w14:solidFill>
          </w14:textFill>
        </w:rPr>
      </w:pPr>
      <w:r>
        <w:rPr>
          <w:rFonts w:hint="eastAsia"/>
          <w:color w:val="000000" w:themeColor="text1"/>
          <w:sz w:val="32"/>
          <w:szCs w:val="32"/>
          <w14:textFill>
            <w14:solidFill>
              <w14:schemeClr w14:val="tx1"/>
            </w14:solidFill>
          </w14:textFill>
        </w:rPr>
        <w:t>第三章 采购需求………………………………………18</w:t>
      </w:r>
    </w:p>
    <w:p>
      <w:pPr>
        <w:pStyle w:val="216"/>
        <w:widowControl w:val="0"/>
        <w:tabs>
          <w:tab w:val="left" w:pos="1441"/>
        </w:tabs>
        <w:spacing w:before="0" w:beforeAutospacing="0" w:after="0" w:afterAutospacing="0" w:line="480" w:lineRule="auto"/>
        <w:ind w:left="2160" w:hanging="1440"/>
        <w:jc w:val="both"/>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32"/>
          <w:szCs w:val="32"/>
          <w14:textFill>
            <w14:solidFill>
              <w14:schemeClr w14:val="tx1"/>
            </w14:solidFill>
          </w14:textFill>
        </w:rPr>
        <w:t>第四章 响应文件格式…………………………………</w:t>
      </w:r>
      <w:r>
        <w:rPr>
          <w:rFonts w:hint="eastAsia"/>
          <w:color w:val="000000" w:themeColor="text1"/>
          <w:sz w:val="32"/>
          <w:szCs w:val="32"/>
          <w:lang w:val="en-US" w:eastAsia="zh-CN"/>
          <w14:textFill>
            <w14:solidFill>
              <w14:schemeClr w14:val="tx1"/>
            </w14:solidFill>
          </w14:textFill>
        </w:rPr>
        <w:t>19</w:t>
      </w:r>
      <w:bookmarkStart w:id="147" w:name="_GoBack"/>
      <w:bookmarkEnd w:id="147"/>
    </w:p>
    <w:p>
      <w:pPr>
        <w:pStyle w:val="216"/>
        <w:widowControl w:val="0"/>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spacing w:before="120" w:after="120" w:line="44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eastAsia="黑体"/>
          <w:color w:val="000000" w:themeColor="text1"/>
          <w:sz w:val="36"/>
          <w:szCs w:val="36"/>
          <w14:textFill>
            <w14:solidFill>
              <w14:schemeClr w14:val="tx1"/>
            </w14:solidFill>
          </w14:textFill>
        </w:rPr>
        <w:br w:type="page" w:clear="all"/>
      </w:r>
      <w:r>
        <w:rPr>
          <w:rFonts w:hint="eastAsia" w:ascii="方正小标宋_GBK" w:hAnsi="方正小标宋_GBK" w:eastAsia="方正小标宋_GBK" w:cs="方正小标宋_GBK"/>
          <w:color w:val="000000" w:themeColor="text1"/>
          <w:sz w:val="44"/>
          <w:szCs w:val="44"/>
          <w14:textFill>
            <w14:solidFill>
              <w14:schemeClr w14:val="tx1"/>
            </w14:solidFill>
          </w14:textFill>
        </w:rPr>
        <w:t>第一章  询价公告</w:t>
      </w:r>
    </w:p>
    <w:p>
      <w:pPr>
        <w:pStyle w:val="215"/>
        <w:rPr>
          <w:color w:val="000000" w:themeColor="text1"/>
          <w14:textFill>
            <w14:solidFill>
              <w14:schemeClr w14:val="tx1"/>
            </w14:solidFill>
          </w14:textFill>
        </w:rPr>
      </w:pPr>
    </w:p>
    <w:p>
      <w:pPr>
        <w:pBdr>
          <w:top w:val="single" w:color="000000" w:sz="4" w:space="0"/>
          <w:left w:val="single" w:color="000000" w:sz="4" w:space="0"/>
          <w:bottom w:val="single" w:color="000000" w:sz="4" w:space="0"/>
          <w:right w:val="single" w:color="000000" w:sz="4" w:space="0"/>
        </w:pBdr>
        <w:spacing w:line="500" w:lineRule="exact"/>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项目概况</w:t>
      </w:r>
    </w:p>
    <w:p>
      <w:pPr>
        <w:pBdr>
          <w:top w:val="single" w:color="000000" w:sz="4" w:space="0"/>
          <w:left w:val="single" w:color="000000" w:sz="4" w:space="0"/>
          <w:bottom w:val="single" w:color="000000" w:sz="4" w:space="0"/>
          <w:right w:val="single" w:color="000000" w:sz="4" w:space="0"/>
        </w:pBd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盐城工业职业技术学院人行通道及汽车通道改造</w:t>
      </w:r>
      <w:r>
        <w:rPr>
          <w:rFonts w:hint="eastAsia" w:ascii="宋体" w:hAnsi="宋体" w:cs="宋体"/>
          <w:color w:val="000000" w:themeColor="text1"/>
          <w:sz w:val="24"/>
          <w14:textFill>
            <w14:solidFill>
              <w14:schemeClr w14:val="tx1"/>
            </w14:solidFill>
          </w14:textFill>
        </w:rPr>
        <w:t>招标项目的潜在投标人应在</w:t>
      </w:r>
      <w:r>
        <w:rPr>
          <w:rFonts w:hint="eastAsia" w:ascii="宋体" w:hAnsi="宋体" w:cs="宋体"/>
          <w:color w:val="000000" w:themeColor="text1"/>
          <w:sz w:val="24"/>
          <w:u w:val="single"/>
          <w14:textFill>
            <w14:solidFill>
              <w14:schemeClr w14:val="tx1"/>
            </w14:solidFill>
          </w14:textFill>
        </w:rPr>
        <w:t>盐城工业职业技术学院招标采购网站</w:t>
      </w:r>
      <w:r>
        <w:rPr>
          <w:rFonts w:hint="eastAsia" w:ascii="宋体" w:hAnsi="宋体" w:cs="宋体"/>
          <w:color w:val="000000" w:themeColor="text1"/>
          <w:sz w:val="24"/>
          <w14:textFill>
            <w14:solidFill>
              <w14:schemeClr w14:val="tx1"/>
            </w14:solidFill>
          </w14:textFill>
        </w:rPr>
        <w:t>获取招标文件，并于</w:t>
      </w:r>
      <w:r>
        <w:rPr>
          <w:rFonts w:hint="eastAsia"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bCs/>
          <w:color w:val="000000" w:themeColor="text1"/>
          <w:sz w:val="24"/>
          <w:u w:val="single"/>
          <w14:textFill>
            <w14:solidFill>
              <w14:schemeClr w14:val="tx1"/>
            </w14:solidFill>
          </w14:textFill>
        </w:rPr>
        <w:t>年</w:t>
      </w:r>
      <w:r>
        <w:rPr>
          <w:rFonts w:hint="eastAsia" w:ascii="宋体" w:hAnsi="宋体" w:cs="宋体"/>
          <w:bCs/>
          <w:color w:val="000000" w:themeColor="text1"/>
          <w:sz w:val="24"/>
          <w:u w:val="single"/>
          <w:lang w:val="en-US" w:eastAsia="zh-CN"/>
          <w14:textFill>
            <w14:solidFill>
              <w14:schemeClr w14:val="tx1"/>
            </w14:solidFill>
          </w14:textFill>
        </w:rPr>
        <w:t>10</w:t>
      </w:r>
      <w:r>
        <w:rPr>
          <w:rFonts w:hint="eastAsia" w:ascii="宋体" w:hAnsi="宋体" w:cs="宋体"/>
          <w:bCs/>
          <w:color w:val="000000" w:themeColor="text1"/>
          <w:sz w:val="24"/>
          <w:u w:val="single"/>
          <w14:textFill>
            <w14:solidFill>
              <w14:schemeClr w14:val="tx1"/>
            </w14:solidFill>
          </w14:textFill>
        </w:rPr>
        <w:t>月</w:t>
      </w:r>
      <w:r>
        <w:rPr>
          <w:rFonts w:hint="eastAsia" w:ascii="宋体" w:hAnsi="宋体" w:cs="宋体"/>
          <w:bCs/>
          <w:color w:val="000000" w:themeColor="text1"/>
          <w:sz w:val="24"/>
          <w:u w:val="single"/>
          <w:lang w:val="en-US" w:eastAsia="zh-CN"/>
          <w14:textFill>
            <w14:solidFill>
              <w14:schemeClr w14:val="tx1"/>
            </w14:solidFill>
          </w14:textFill>
        </w:rPr>
        <w:t>31</w:t>
      </w:r>
      <w:r>
        <w:rPr>
          <w:rFonts w:hint="eastAsia" w:ascii="宋体" w:hAnsi="宋体" w:cs="宋体"/>
          <w:bCs/>
          <w:color w:val="000000" w:themeColor="text1"/>
          <w:sz w:val="24"/>
          <w:u w:val="single"/>
          <w14:textFill>
            <w14:solidFill>
              <w14:schemeClr w14:val="tx1"/>
            </w14:solidFill>
          </w14:textFill>
        </w:rPr>
        <w:t>日</w:t>
      </w:r>
      <w:r>
        <w:rPr>
          <w:rFonts w:hint="eastAsia" w:ascii="宋体" w:hAnsi="宋体" w:cs="宋体"/>
          <w:bCs/>
          <w:color w:val="000000" w:themeColor="text1"/>
          <w:sz w:val="24"/>
          <w:u w:val="single"/>
          <w:lang w:val="en-US" w:eastAsia="zh-CN"/>
          <w14:textFill>
            <w14:solidFill>
              <w14:schemeClr w14:val="tx1"/>
            </w14:solidFill>
          </w14:textFill>
        </w:rPr>
        <w:t>9</w:t>
      </w:r>
      <w:r>
        <w:rPr>
          <w:rFonts w:hint="eastAsia" w:ascii="宋体" w:hAnsi="宋体" w:cs="宋体"/>
          <w:bCs/>
          <w:color w:val="000000" w:themeColor="text1"/>
          <w:sz w:val="24"/>
          <w:u w:val="single"/>
          <w14:textFill>
            <w14:solidFill>
              <w14:schemeClr w14:val="tx1"/>
            </w14:solidFill>
          </w14:textFill>
        </w:rPr>
        <w:t>点（</w:t>
      </w:r>
      <w:r>
        <w:rPr>
          <w:rFonts w:hint="eastAsia" w:ascii="宋体" w:hAnsi="宋体" w:cs="宋体"/>
          <w:bCs/>
          <w:color w:val="000000" w:themeColor="text1"/>
          <w:sz w:val="24"/>
          <w14:textFill>
            <w14:solidFill>
              <w14:schemeClr w14:val="tx1"/>
            </w14:solidFill>
          </w14:textFill>
        </w:rPr>
        <w:t>北京时间）前递交投标文件</w:t>
      </w:r>
      <w:r>
        <w:rPr>
          <w:rFonts w:hint="eastAsia" w:ascii="宋体" w:hAnsi="宋体" w:cs="宋体"/>
          <w:color w:val="000000" w:themeColor="text1"/>
          <w:sz w:val="24"/>
          <w14:textFill>
            <w14:solidFill>
              <w14:schemeClr w14:val="tx1"/>
            </w14:solidFill>
          </w14:textFill>
        </w:rPr>
        <w:t>。</w:t>
      </w:r>
    </w:p>
    <w:p>
      <w:pPr>
        <w:spacing w:line="500" w:lineRule="exact"/>
        <w:ind w:firstLine="482"/>
        <w:rPr>
          <w:rFonts w:ascii="宋体" w:hAnsi="宋体" w:cs="宋体"/>
          <w:b/>
          <w:bCs/>
          <w:color w:val="000000" w:themeColor="text1"/>
          <w:sz w:val="24"/>
          <w14:textFill>
            <w14:solidFill>
              <w14:schemeClr w14:val="tx1"/>
            </w14:solidFill>
          </w14:textFill>
        </w:rPr>
      </w:pPr>
      <w:bookmarkStart w:id="6" w:name="_Toc35393629"/>
      <w:bookmarkStart w:id="7" w:name="_Toc35393798"/>
      <w:bookmarkStart w:id="8" w:name="_Toc28359012"/>
      <w:bookmarkStart w:id="9" w:name="_Toc28359089"/>
      <w:r>
        <w:rPr>
          <w:rFonts w:hint="eastAsia" w:ascii="宋体" w:hAnsi="宋体" w:cs="宋体"/>
          <w:b/>
          <w:bCs/>
          <w:color w:val="000000" w:themeColor="text1"/>
          <w:sz w:val="24"/>
          <w14:textFill>
            <w14:solidFill>
              <w14:schemeClr w14:val="tx1"/>
            </w14:solidFill>
          </w14:textFill>
        </w:rPr>
        <w:t>一、项目基本情况</w:t>
      </w:r>
      <w:bookmarkEnd w:id="6"/>
      <w:bookmarkEnd w:id="7"/>
      <w:bookmarkEnd w:id="8"/>
      <w:bookmarkEnd w:id="9"/>
    </w:p>
    <w:p>
      <w:pPr>
        <w:spacing w:line="500" w:lineRule="exact"/>
        <w:ind w:firstLine="480"/>
        <w:rPr>
          <w:rFonts w:ascii="宋体" w:hAnsi="宋体" w:cs="宋体"/>
          <w:color w:val="000000" w:themeColor="text1"/>
          <w:sz w:val="24"/>
          <w14:textFill>
            <w14:solidFill>
              <w14:schemeClr w14:val="tx1"/>
            </w14:solidFill>
          </w14:textFill>
        </w:rPr>
      </w:pPr>
      <w:bookmarkStart w:id="10" w:name="_Toc35393630"/>
      <w:bookmarkStart w:id="11" w:name="_Toc35393799"/>
      <w:bookmarkStart w:id="12" w:name="_Toc28359090"/>
      <w:bookmarkStart w:id="13" w:name="_Toc28359013"/>
      <w:r>
        <w:rPr>
          <w:rFonts w:hint="eastAsia" w:ascii="宋体" w:hAnsi="宋体" w:cs="宋体"/>
          <w:color w:val="000000" w:themeColor="text1"/>
          <w:sz w:val="24"/>
          <w14:textFill>
            <w14:solidFill>
              <w14:schemeClr w14:val="tx1"/>
            </w14:solidFill>
          </w14:textFill>
        </w:rPr>
        <w:t>1.项目编号：</w:t>
      </w:r>
      <w:r>
        <w:rPr>
          <w:rFonts w:hint="eastAsia" w:ascii="宋体" w:hAnsi="宋体" w:cs="宋体"/>
          <w:color w:val="000000" w:themeColor="text1"/>
          <w:sz w:val="24"/>
          <w:lang w:eastAsia="zh-CN"/>
          <w14:textFill>
            <w14:solidFill>
              <w14:schemeClr w14:val="tx1"/>
            </w14:solidFill>
          </w14:textFill>
        </w:rPr>
        <w:t>2025F-024</w:t>
      </w:r>
      <w:r>
        <w:rPr>
          <w:rFonts w:hint="eastAsia" w:ascii="宋体" w:hAnsi="宋体" w:cs="宋体"/>
          <w:color w:val="000000" w:themeColor="text1"/>
          <w:sz w:val="24"/>
          <w14:textFill>
            <w14:solidFill>
              <w14:schemeClr w14:val="tx1"/>
            </w14:solidFill>
          </w14:textFill>
        </w:rPr>
        <w:t xml:space="preserve">              </w:t>
      </w:r>
    </w:p>
    <w:p>
      <w:pPr>
        <w:spacing w:line="500" w:lineRule="exact"/>
        <w:ind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2.项目名称：</w:t>
      </w:r>
      <w:r>
        <w:rPr>
          <w:rFonts w:hint="eastAsia" w:ascii="宋体" w:hAnsi="宋体" w:cs="宋体"/>
          <w:color w:val="000000" w:themeColor="text1"/>
          <w:sz w:val="24"/>
          <w:u w:val="single"/>
          <w:lang w:eastAsia="zh-CN"/>
          <w14:textFill>
            <w14:solidFill>
              <w14:schemeClr w14:val="tx1"/>
            </w14:solidFill>
          </w14:textFill>
        </w:rPr>
        <w:t>盐城工业职业技术学院人行通道及汽车通道改造</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3.最高限价：</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万元</w:t>
      </w:r>
    </w:p>
    <w:p>
      <w:pPr>
        <w:spacing w:line="500" w:lineRule="exact"/>
        <w:ind w:firstLine="480"/>
        <w:rPr>
          <w:rStyle w:val="237"/>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4.采购方式：询价（在质量和服务均能满足采购文件实质性响应要求的条件下，低价中标）</w:t>
      </w:r>
    </w:p>
    <w:p>
      <w:pPr>
        <w:spacing w:line="50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5.采购需求：</w:t>
      </w:r>
      <w:r>
        <w:rPr>
          <w:rFonts w:hint="eastAsia" w:ascii="宋体" w:hAnsi="宋体" w:cs="宋体"/>
          <w:color w:val="000000" w:themeColor="text1"/>
          <w:sz w:val="24"/>
          <w:lang w:eastAsia="zh-CN"/>
          <w14:textFill>
            <w14:solidFill>
              <w14:schemeClr w14:val="tx1"/>
            </w14:solidFill>
          </w14:textFill>
        </w:rPr>
        <w:t>盐城工业职业技术学院人行通道及汽车通道改造</w:t>
      </w:r>
      <w:r>
        <w:rPr>
          <w:rFonts w:hint="eastAsia" w:ascii="宋体" w:hAnsi="宋体" w:cs="宋体"/>
          <w:color w:val="000000" w:themeColor="text1"/>
          <w:sz w:val="24"/>
          <w14:textFill>
            <w14:solidFill>
              <w14:schemeClr w14:val="tx1"/>
            </w14:solidFill>
          </w14:textFill>
        </w:rPr>
        <w:t>的采购、供应、运输、安装及就位、调试、维保、售前、售后等相关伴随服务，</w:t>
      </w:r>
      <w:r>
        <w:rPr>
          <w:rFonts w:hint="eastAsia" w:ascii="宋体" w:hAnsi="宋体" w:cs="宋体"/>
          <w:color w:val="000000" w:themeColor="text1"/>
          <w:sz w:val="24"/>
          <w:szCs w:val="24"/>
          <w:lang w:val="en-US" w:eastAsia="zh-CN"/>
          <w14:textFill>
            <w14:solidFill>
              <w14:schemeClr w14:val="tx1"/>
            </w14:solidFill>
          </w14:textFill>
        </w:rPr>
        <w:t>具体采购参数要求见附件，采购人保留对上述采购范围及内容进行适当调整的权利。</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6.合同履行期限：</w:t>
      </w:r>
      <w:r>
        <w:rPr>
          <w:rFonts w:hint="eastAsia" w:ascii="宋体" w:hAnsi="宋体" w:cs="宋体"/>
          <w:color w:val="000000" w:themeColor="text1"/>
          <w:sz w:val="24"/>
          <w:lang w:val="en-US" w:eastAsia="zh-CN"/>
          <w14:textFill>
            <w14:solidFill>
              <w14:schemeClr w14:val="tx1"/>
            </w14:solidFill>
          </w14:textFill>
        </w:rPr>
        <w:t>合同签订后十</w:t>
      </w:r>
      <w:r>
        <w:rPr>
          <w:rFonts w:hint="eastAsia" w:ascii="宋体" w:hAnsi="宋体" w:cs="宋体"/>
          <w:color w:val="000000" w:themeColor="text1"/>
          <w:sz w:val="24"/>
          <w14:textFill>
            <w14:solidFill>
              <w14:schemeClr w14:val="tx1"/>
            </w14:solidFill>
          </w14:textFill>
        </w:rPr>
        <w:t>个日历天完成。</w:t>
      </w:r>
    </w:p>
    <w:p>
      <w:pPr>
        <w:spacing w:line="500" w:lineRule="exact"/>
        <w:ind w:firstLine="48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7.本项目不接受联合体投标，不接受近期（一年内）无正当理由放弃我校采购项目中标资格的单位投标</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不接受近三年内在我校招标采购活动中围标串标的单位投标</w:t>
      </w:r>
      <w:r>
        <w:rPr>
          <w:rFonts w:hint="eastAsia" w:ascii="宋体" w:hAnsi="宋体" w:cs="宋体"/>
          <w:color w:val="000000" w:themeColor="text1"/>
          <w:sz w:val="24"/>
          <w14:textFill>
            <w14:solidFill>
              <w14:schemeClr w14:val="tx1"/>
            </w14:solidFill>
          </w14:textFill>
        </w:rPr>
        <w:t>。</w:t>
      </w:r>
    </w:p>
    <w:p>
      <w:pPr>
        <w:spacing w:line="500" w:lineRule="exact"/>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二、申请人的资格要求：</w:t>
      </w:r>
      <w:bookmarkEnd w:id="10"/>
      <w:bookmarkEnd w:id="11"/>
      <w:bookmarkEnd w:id="12"/>
      <w:bookmarkEnd w:id="13"/>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1.满足《中华人民共和国政府采购法》第二十二条规定，并提供下列材料；</w:t>
      </w:r>
    </w:p>
    <w:p>
      <w:pPr>
        <w:spacing w:line="500" w:lineRule="exact"/>
        <w:ind w:firstLine="482"/>
        <w:rPr>
          <w:rFonts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（1）法人或者其他组织的营业执照等证明文件，自然人的身份证明；</w:t>
      </w:r>
    </w:p>
    <w:p>
      <w:pPr>
        <w:spacing w:line="500" w:lineRule="exact"/>
        <w:ind w:firstLine="482"/>
        <w:rPr>
          <w:rFonts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（2）上一年度（2024年）的财务状况报表（至少提供资产负债表、利润表、现金流量表，投标人成立不满一年无需提供）；</w:t>
      </w:r>
    </w:p>
    <w:p>
      <w:pPr>
        <w:spacing w:line="500" w:lineRule="exact"/>
        <w:ind w:firstLine="482"/>
        <w:rPr>
          <w:rFonts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（3）依法缴纳税收和社会保障资金的相关材料，依法免税或不需要缴纳社会保障资金的，应提供相应文件证明材料；</w:t>
      </w:r>
    </w:p>
    <w:p>
      <w:pPr>
        <w:spacing w:line="500" w:lineRule="exact"/>
        <w:ind w:firstLine="482"/>
        <w:rPr>
          <w:rFonts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（4）具备履行合同所必需的设备、专业技术能力的书面声明；</w:t>
      </w:r>
    </w:p>
    <w:p>
      <w:pPr>
        <w:spacing w:line="500" w:lineRule="exact"/>
        <w:ind w:firstLine="482"/>
        <w:rPr>
          <w:rFonts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（5）参加政府采购活动前3年内在经营活动中没有重大违法记录的书面声明；</w:t>
      </w:r>
    </w:p>
    <w:p>
      <w:pPr>
        <w:spacing w:line="500" w:lineRule="exact"/>
        <w:ind w:firstLine="482"/>
        <w:rPr>
          <w:rFonts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（6）法律、行政法规规定的其他条件。</w:t>
      </w:r>
    </w:p>
    <w:p>
      <w:pPr>
        <w:spacing w:line="500" w:lineRule="exact"/>
        <w:ind w:firstLine="482"/>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2.落实政府采购政策需满足的资格要求：/。</w:t>
      </w:r>
    </w:p>
    <w:p>
      <w:pPr>
        <w:spacing w:line="500" w:lineRule="exact"/>
        <w:ind w:firstLine="482"/>
        <w:rPr>
          <w:rFonts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3.本项目的特定资格要求：</w:t>
      </w:r>
    </w:p>
    <w:p>
      <w:pPr>
        <w:spacing w:line="500" w:lineRule="exact"/>
        <w:ind w:firstLine="482"/>
        <w:rPr>
          <w:rFonts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pPr>
        <w:spacing w:line="500" w:lineRule="exact"/>
        <w:ind w:firstLine="482"/>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（2）单位负责人为同一人或者存在直接控股、管理关系的不同供应商，不得参加同一合同项下的政府采购活动。</w:t>
      </w:r>
    </w:p>
    <w:p>
      <w:pPr>
        <w:spacing w:line="500" w:lineRule="exact"/>
        <w:ind w:firstLine="482"/>
        <w:rPr>
          <w:rFonts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（3）项目负责人和授权委托人必须为本单位正式员工，投标时需提供近半年任意一个月在本单位缴纳养老保险缴费记录证明（项目负责人与授权委托人可为同一人）。（退休人员提供在本单位相关证明材料）</w:t>
      </w:r>
    </w:p>
    <w:p>
      <w:pPr>
        <w:spacing w:line="500" w:lineRule="exact"/>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三、获取</w:t>
      </w:r>
      <w:r>
        <w:rPr>
          <w:rFonts w:hint="eastAsia" w:ascii="宋体" w:hAnsi="宋体" w:cs="宋体"/>
          <w:b/>
          <w:bCs/>
          <w:color w:val="000000" w:themeColor="text1"/>
          <w:sz w:val="24"/>
          <w14:textFill>
            <w14:solidFill>
              <w14:schemeClr w14:val="tx1"/>
            </w14:solidFill>
          </w14:textFill>
        </w:rPr>
        <w:t>询价</w:t>
      </w:r>
      <w:r>
        <w:rPr>
          <w:rFonts w:ascii="宋体" w:hAnsi="宋体" w:cs="宋体"/>
          <w:b/>
          <w:bCs/>
          <w:color w:val="000000" w:themeColor="text1"/>
          <w:sz w:val="24"/>
          <w14:textFill>
            <w14:solidFill>
              <w14:schemeClr w14:val="tx1"/>
            </w14:solidFill>
          </w14:textFill>
        </w:rPr>
        <w:t>文件</w:t>
      </w:r>
    </w:p>
    <w:p>
      <w:pPr>
        <w:spacing w:line="500" w:lineRule="exact"/>
        <w:ind w:firstLine="480"/>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时间：自公告之日起至投标截止时间前1日</w:t>
      </w:r>
    </w:p>
    <w:p>
      <w:pPr>
        <w:spacing w:line="500" w:lineRule="exact"/>
        <w:ind w:firstLine="480"/>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地点：盐城工业职业技术学院招标采购网</w:t>
      </w:r>
    </w:p>
    <w:p>
      <w:pPr>
        <w:spacing w:line="500" w:lineRule="exact"/>
        <w:ind w:firstLine="480"/>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方式：符合资格要求的投标人可自行下载采购文件，采购文件见盐城工业职业技术学院招标采购网公告附件。</w:t>
      </w:r>
    </w:p>
    <w:p>
      <w:pPr>
        <w:spacing w:line="500" w:lineRule="exact"/>
        <w:ind w:firstLine="480"/>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售价：免费</w:t>
      </w:r>
    </w:p>
    <w:p>
      <w:pPr>
        <w:spacing w:line="500" w:lineRule="exact"/>
        <w:ind w:firstLine="480"/>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四、提交响应文件截止时间</w:t>
      </w:r>
    </w:p>
    <w:p>
      <w:pPr>
        <w:spacing w:line="50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提交时间：202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31</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8点30分-9点</w:t>
      </w:r>
      <w:r>
        <w:rPr>
          <w:rFonts w:hint="eastAsia" w:ascii="宋体" w:hAnsi="宋体" w:cs="宋体"/>
          <w:color w:val="000000" w:themeColor="text1"/>
          <w:sz w:val="24"/>
          <w14:textFill>
            <w14:solidFill>
              <w14:schemeClr w14:val="tx1"/>
            </w14:solidFill>
          </w14:textFill>
        </w:rPr>
        <w:t>（北京时间）</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地点：盐城工业职业技术学院解放南路285号南食堂</w:t>
      </w:r>
      <w:r>
        <w:rPr>
          <w:rFonts w:hint="eastAsia" w:ascii="宋体" w:hAnsi="宋体" w:cs="宋体"/>
          <w:color w:val="000000" w:themeColor="text1"/>
          <w:sz w:val="24"/>
          <w:lang w:val="en-US" w:eastAsia="zh-CN"/>
          <w14:textFill>
            <w14:solidFill>
              <w14:schemeClr w14:val="tx1"/>
            </w14:solidFill>
          </w14:textFill>
        </w:rPr>
        <w:t>四楼406办公室</w:t>
      </w:r>
      <w:r>
        <w:rPr>
          <w:rFonts w:hint="eastAsia" w:ascii="宋体" w:hAnsi="宋体" w:cs="宋体"/>
          <w:color w:val="000000" w:themeColor="text1"/>
          <w:sz w:val="24"/>
          <w14:textFill>
            <w14:solidFill>
              <w14:schemeClr w14:val="tx1"/>
            </w14:solidFill>
          </w14:textFill>
        </w:rPr>
        <w:t> </w:t>
      </w:r>
    </w:p>
    <w:p>
      <w:pPr>
        <w:spacing w:line="500" w:lineRule="exact"/>
        <w:ind w:firstLine="482"/>
        <w:rPr>
          <w:rFonts w:ascii="宋体" w:hAnsi="宋体" w:cs="宋体"/>
          <w:b/>
          <w:bCs/>
          <w:color w:val="000000" w:themeColor="text1"/>
          <w:sz w:val="24"/>
          <w14:textFill>
            <w14:solidFill>
              <w14:schemeClr w14:val="tx1"/>
            </w14:solidFill>
          </w14:textFill>
        </w:rPr>
      </w:pPr>
      <w:bookmarkStart w:id="14" w:name="_Toc35393794"/>
      <w:bookmarkStart w:id="15" w:name="_Toc28359007"/>
      <w:bookmarkStart w:id="16" w:name="_Toc38985267"/>
      <w:bookmarkStart w:id="17" w:name="_Toc28359084"/>
      <w:bookmarkStart w:id="18" w:name="_Toc35393625"/>
      <w:r>
        <w:rPr>
          <w:rFonts w:ascii="宋体" w:hAnsi="宋体" w:cs="宋体"/>
          <w:b/>
          <w:bCs/>
          <w:color w:val="000000" w:themeColor="text1"/>
          <w:sz w:val="24"/>
          <w14:textFill>
            <w14:solidFill>
              <w14:schemeClr w14:val="tx1"/>
            </w14:solidFill>
          </w14:textFill>
        </w:rPr>
        <w:t>五、公告期限</w:t>
      </w:r>
      <w:bookmarkEnd w:id="14"/>
      <w:bookmarkEnd w:id="15"/>
      <w:bookmarkEnd w:id="16"/>
      <w:bookmarkEnd w:id="17"/>
      <w:bookmarkEnd w:id="18"/>
    </w:p>
    <w:p>
      <w:pPr>
        <w:spacing w:line="500" w:lineRule="exact"/>
        <w:ind w:firstLine="480" w:firstLineChars="200"/>
        <w:rPr>
          <w:rFonts w:ascii="宋体" w:hAnsi="宋体" w:cs="宋体"/>
          <w:color w:val="000000" w:themeColor="text1"/>
          <w:sz w:val="24"/>
          <w14:textFill>
            <w14:solidFill>
              <w14:schemeClr w14:val="tx1"/>
            </w14:solidFill>
          </w14:textFill>
        </w:rPr>
      </w:pPr>
      <w:bookmarkStart w:id="19" w:name="_Toc38985268"/>
      <w:bookmarkStart w:id="20" w:name="_Toc35393626"/>
      <w:bookmarkStart w:id="21" w:name="_Toc35393795"/>
      <w:r>
        <w:rPr>
          <w:rFonts w:hint="eastAsia" w:ascii="宋体" w:hAnsi="宋体" w:cs="宋体"/>
          <w:color w:val="000000" w:themeColor="text1"/>
          <w:sz w:val="24"/>
          <w14:textFill>
            <w14:solidFill>
              <w14:schemeClr w14:val="tx1"/>
            </w14:solidFill>
          </w14:textFill>
        </w:rPr>
        <w:t>询价公告及询价文件公告期限自本公告发布之日起3个工作日。</w:t>
      </w:r>
      <w:bookmarkEnd w:id="19"/>
      <w:bookmarkEnd w:id="20"/>
      <w:bookmarkEnd w:id="21"/>
    </w:p>
    <w:p>
      <w:pPr>
        <w:spacing w:line="500" w:lineRule="exact"/>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六、其他补充事宜</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pPr>
        <w:spacing w:line="50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2.本次询价不收取询价保证金。</w:t>
      </w:r>
      <w:r>
        <w:rPr>
          <w:rFonts w:hint="eastAsia" w:ascii="宋体" w:hAnsi="宋体" w:cs="宋体"/>
          <w:color w:val="000000" w:themeColor="text1"/>
          <w:sz w:val="24"/>
          <w:lang w:val="en-US" w:eastAsia="zh-CN"/>
          <w14:textFill>
            <w14:solidFill>
              <w14:schemeClr w14:val="tx1"/>
            </w14:solidFill>
          </w14:textFill>
        </w:rPr>
        <w:t>中标后，中标单位无正当理由弃标，一年内不接受其参与学校的任何采购活动。</w:t>
      </w:r>
    </w:p>
    <w:p>
      <w:pPr>
        <w:spacing w:line="500" w:lineRule="exact"/>
        <w:ind w:firstLine="480"/>
        <w:rPr>
          <w:rFonts w:hint="default"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3.投标人应自行进行现场考察，中标后不再增加任何费用。不进行现场察看的视为对现场情况已经准确了解，后果自行承担。考察联系人：戴老师 联系电话：13961933372</w:t>
      </w:r>
    </w:p>
    <w:p>
      <w:pPr>
        <w:spacing w:line="500" w:lineRule="exact"/>
        <w:ind w:firstLine="482"/>
        <w:rPr>
          <w:rFonts w:ascii="宋体" w:hAnsi="宋体" w:cs="宋体"/>
          <w:b/>
          <w:bCs/>
          <w:color w:val="000000" w:themeColor="text1"/>
          <w:sz w:val="24"/>
          <w14:textFill>
            <w14:solidFill>
              <w14:schemeClr w14:val="tx1"/>
            </w14:solidFill>
          </w14:textFill>
        </w:rPr>
      </w:pPr>
      <w:bookmarkStart w:id="22" w:name="_Toc28359085"/>
      <w:bookmarkStart w:id="23" w:name="_Toc28359008"/>
      <w:bookmarkStart w:id="24" w:name="_Toc35393796"/>
      <w:bookmarkStart w:id="25" w:name="_Toc35393627"/>
      <w:bookmarkStart w:id="26" w:name="_Toc38985269"/>
      <w:r>
        <w:rPr>
          <w:rFonts w:ascii="宋体" w:hAnsi="宋体" w:cs="宋体"/>
          <w:b/>
          <w:bCs/>
          <w:color w:val="000000" w:themeColor="text1"/>
          <w:sz w:val="24"/>
          <w14:textFill>
            <w14:solidFill>
              <w14:schemeClr w14:val="tx1"/>
            </w14:solidFill>
          </w14:textFill>
        </w:rPr>
        <w:t>七、本次</w:t>
      </w:r>
      <w:r>
        <w:rPr>
          <w:rFonts w:hint="eastAsia" w:ascii="宋体" w:hAnsi="宋体" w:cs="宋体"/>
          <w:b/>
          <w:bCs/>
          <w:color w:val="000000" w:themeColor="text1"/>
          <w:sz w:val="24"/>
          <w14:textFill>
            <w14:solidFill>
              <w14:schemeClr w14:val="tx1"/>
            </w14:solidFill>
          </w14:textFill>
        </w:rPr>
        <w:t>询价</w:t>
      </w:r>
      <w:r>
        <w:rPr>
          <w:rFonts w:ascii="宋体" w:hAnsi="宋体" w:cs="宋体"/>
          <w:b/>
          <w:bCs/>
          <w:color w:val="000000" w:themeColor="text1"/>
          <w:sz w:val="24"/>
          <w14:textFill>
            <w14:solidFill>
              <w14:schemeClr w14:val="tx1"/>
            </w14:solidFill>
          </w14:textFill>
        </w:rPr>
        <w:t>联系方式</w:t>
      </w:r>
      <w:bookmarkEnd w:id="22"/>
      <w:bookmarkEnd w:id="23"/>
      <w:bookmarkEnd w:id="24"/>
      <w:bookmarkEnd w:id="25"/>
      <w:bookmarkEnd w:id="26"/>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bookmarkStart w:id="27" w:name="_Toc28359087"/>
      <w:bookmarkStart w:id="28" w:name="_Toc28359010"/>
      <w:r>
        <w:rPr>
          <w:rStyle w:val="239"/>
          <w:rFonts w:hint="eastAsia" w:ascii="宋体" w:hAnsi="宋体" w:cs="宋体"/>
          <w:color w:val="000000" w:themeColor="text1"/>
          <w:sz w:val="24"/>
          <w14:textFill>
            <w14:solidFill>
              <w14:schemeClr w14:val="tx1"/>
            </w14:solidFill>
          </w14:textFill>
        </w:rPr>
        <w:t>1.采购人信息</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名称：盐城工业职业技术学院</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地址：盐城市解放南路285号</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 xml:space="preserve">联系人：赵老师             </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联系电话：0515-88588707</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lang w:val="en-US" w:eastAsia="zh-CN"/>
          <w14:textFill>
            <w14:solidFill>
              <w14:schemeClr w14:val="tx1"/>
            </w14:solidFill>
          </w14:textFill>
        </w:rPr>
        <w:t>2</w:t>
      </w:r>
      <w:r>
        <w:rPr>
          <w:rStyle w:val="239"/>
          <w:rFonts w:hint="eastAsia" w:ascii="宋体" w:hAnsi="宋体" w:cs="宋体"/>
          <w:color w:val="000000" w:themeColor="text1"/>
          <w:sz w:val="24"/>
          <w14:textFill>
            <w14:solidFill>
              <w14:schemeClr w14:val="tx1"/>
            </w14:solidFill>
          </w14:textFill>
        </w:rPr>
        <w:t>.项目联系方式</w:t>
      </w:r>
    </w:p>
    <w:p>
      <w:pPr>
        <w:snapToGrid w:val="0"/>
        <w:spacing w:line="360" w:lineRule="auto"/>
        <w:ind w:firstLine="480" w:firstLineChars="200"/>
        <w:rPr>
          <w:rStyle w:val="239"/>
          <w:rFonts w:hint="default" w:ascii="宋体" w:hAnsi="宋体" w:cs="宋体"/>
          <w:color w:val="000000" w:themeColor="text1"/>
          <w:sz w:val="24"/>
          <w:lang w:val="en-US" w:eastAsia="zh-CN"/>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项目联系人：</w:t>
      </w:r>
      <w:r>
        <w:rPr>
          <w:rStyle w:val="239"/>
          <w:rFonts w:hint="eastAsia" w:ascii="宋体" w:hAnsi="宋体" w:cs="宋体"/>
          <w:color w:val="000000" w:themeColor="text1"/>
          <w:sz w:val="24"/>
          <w:lang w:val="en-US" w:eastAsia="zh-CN"/>
          <w14:textFill>
            <w14:solidFill>
              <w14:schemeClr w14:val="tx1"/>
            </w14:solidFill>
          </w14:textFill>
        </w:rPr>
        <w:t>高老师、戴老师</w:t>
      </w:r>
    </w:p>
    <w:p>
      <w:pPr>
        <w:snapToGrid w:val="0"/>
        <w:spacing w:line="360" w:lineRule="auto"/>
        <w:ind w:firstLine="480" w:firstLineChars="200"/>
        <w:rPr>
          <w:rStyle w:val="239"/>
          <w:rFonts w:hint="default" w:ascii="宋体" w:hAnsi="宋体" w:eastAsia="宋体" w:cs="宋体"/>
          <w:color w:val="000000" w:themeColor="text1"/>
          <w:sz w:val="24"/>
          <w:lang w:val="en-US" w:eastAsia="zh-CN"/>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 xml:space="preserve">联系电话： </w:t>
      </w:r>
      <w:r>
        <w:rPr>
          <w:rStyle w:val="239"/>
          <w:rFonts w:hint="eastAsia" w:ascii="宋体" w:hAnsi="宋体" w:cs="宋体"/>
          <w:color w:val="000000" w:themeColor="text1"/>
          <w:sz w:val="24"/>
          <w:lang w:val="en-US" w:eastAsia="zh-CN"/>
          <w14:textFill>
            <w14:solidFill>
              <w14:schemeClr w14:val="tx1"/>
            </w14:solidFill>
          </w14:textFill>
        </w:rPr>
        <w:t>18262393599、13961933372</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 xml:space="preserve">（对项目需求部分的询问、质疑请向使用部门提出，询问、质疑由使用部门负责答复。）    </w:t>
      </w:r>
      <w:bookmarkEnd w:id="27"/>
      <w:bookmarkEnd w:id="28"/>
    </w:p>
    <w:p>
      <w:pPr>
        <w:spacing w:before="120" w:after="120" w:line="500" w:lineRule="exact"/>
        <w:ind w:firstLine="480"/>
        <w:jc w:val="center"/>
        <w:rPr>
          <w:rFonts w:ascii="宋体" w:hAnsi="宋体" w:cs="宋体"/>
          <w:color w:val="000000" w:themeColor="text1"/>
          <w:sz w:val="24"/>
          <w14:textFill>
            <w14:solidFill>
              <w14:schemeClr w14:val="tx1"/>
            </w14:solidFill>
          </w14:textFill>
        </w:rPr>
      </w:pPr>
      <w:bookmarkStart w:id="29" w:name="_Toc120614211"/>
    </w:p>
    <w:p>
      <w:pP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br w:type="page"/>
      </w:r>
    </w:p>
    <w:p>
      <w:pPr>
        <w:spacing w:before="120" w:after="120" w:line="500" w:lineRule="exact"/>
        <w:ind w:firstLine="880"/>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 xml:space="preserve">第二章  </w:t>
      </w:r>
      <w:bookmarkEnd w:id="29"/>
      <w:r>
        <w:rPr>
          <w:rFonts w:hint="eastAsia" w:ascii="方正小标宋_GBK" w:hAnsi="方正小标宋_GBK" w:eastAsia="方正小标宋_GBK" w:cs="方正小标宋_GBK"/>
          <w:color w:val="000000" w:themeColor="text1"/>
          <w:sz w:val="44"/>
          <w:szCs w:val="44"/>
          <w14:textFill>
            <w14:solidFill>
              <w14:schemeClr w14:val="tx1"/>
            </w14:solidFill>
          </w14:textFill>
        </w:rPr>
        <w:t>供应商须知</w:t>
      </w:r>
    </w:p>
    <w:p>
      <w:pPr>
        <w:spacing w:line="480" w:lineRule="exact"/>
        <w:ind w:firstLine="482"/>
        <w:rPr>
          <w:rFonts w:ascii="宋体" w:hAnsi="宋体" w:cs="宋体"/>
          <w:b/>
          <w:bCs/>
          <w:color w:val="000000" w:themeColor="text1"/>
          <w:sz w:val="24"/>
          <w14:textFill>
            <w14:solidFill>
              <w14:schemeClr w14:val="tx1"/>
            </w14:solidFill>
          </w14:textFill>
        </w:rPr>
      </w:pPr>
      <w:bookmarkStart w:id="30" w:name="_Toc513029203"/>
      <w:bookmarkStart w:id="31" w:name="_Toc120614214"/>
      <w:bookmarkStart w:id="32" w:name="_Toc16938519"/>
      <w:bookmarkStart w:id="33" w:name="_Toc20823275"/>
      <w:r>
        <w:rPr>
          <w:rFonts w:ascii="宋体" w:hAnsi="宋体" w:cs="宋体"/>
          <w:b/>
          <w:bCs/>
          <w:color w:val="000000" w:themeColor="text1"/>
          <w:sz w:val="24"/>
          <w14:textFill>
            <w14:solidFill>
              <w14:schemeClr w14:val="tx1"/>
            </w14:solidFill>
          </w14:textFill>
        </w:rPr>
        <w:t>一、总则</w:t>
      </w:r>
      <w:bookmarkEnd w:id="30"/>
      <w:bookmarkEnd w:id="31"/>
      <w:bookmarkEnd w:id="32"/>
      <w:bookmarkEnd w:id="33"/>
    </w:p>
    <w:p>
      <w:pPr>
        <w:spacing w:line="480" w:lineRule="exact"/>
        <w:ind w:firstLine="480"/>
        <w:rPr>
          <w:rFonts w:ascii="宋体" w:hAnsi="宋体" w:cs="宋体"/>
          <w:color w:val="000000" w:themeColor="text1"/>
          <w:sz w:val="24"/>
          <w14:textFill>
            <w14:solidFill>
              <w14:schemeClr w14:val="tx1"/>
            </w14:solidFill>
          </w14:textFill>
        </w:rPr>
      </w:pPr>
      <w:bookmarkStart w:id="34" w:name="_Toc20823276"/>
      <w:bookmarkStart w:id="35" w:name="_Toc16938520"/>
      <w:bookmarkStart w:id="36" w:name="_Toc458694821"/>
      <w:bookmarkStart w:id="37" w:name="_Toc513029204"/>
      <w:r>
        <w:rPr>
          <w:rFonts w:ascii="宋体" w:hAnsi="宋体" w:cs="宋体"/>
          <w:color w:val="000000" w:themeColor="text1"/>
          <w:sz w:val="24"/>
          <w14:textFill>
            <w14:solidFill>
              <w14:schemeClr w14:val="tx1"/>
            </w14:solidFill>
          </w14:textFill>
        </w:rPr>
        <w:t>1</w:t>
      </w:r>
      <w:bookmarkEnd w:id="34"/>
      <w:r>
        <w:rPr>
          <w:rFonts w:ascii="宋体" w:hAnsi="宋体" w:cs="宋体"/>
          <w:color w:val="000000" w:themeColor="text1"/>
          <w:sz w:val="24"/>
          <w14:textFill>
            <w14:solidFill>
              <w14:schemeClr w14:val="tx1"/>
            </w14:solidFill>
          </w14:textFill>
        </w:rPr>
        <w:t>、采购方式</w:t>
      </w:r>
      <w:bookmarkEnd w:id="35"/>
      <w:bookmarkEnd w:id="36"/>
      <w:bookmarkEnd w:id="37"/>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本次政府采购活动采取询价(以下简称询价)方式，本询价文件仅适用于询价公告中所述项目。</w:t>
      </w:r>
    </w:p>
    <w:p>
      <w:pPr>
        <w:spacing w:line="480" w:lineRule="exact"/>
        <w:ind w:firstLine="480"/>
        <w:rPr>
          <w:rFonts w:ascii="宋体" w:hAnsi="宋体" w:cs="宋体"/>
          <w:color w:val="000000" w:themeColor="text1"/>
          <w:sz w:val="24"/>
          <w14:textFill>
            <w14:solidFill>
              <w14:schemeClr w14:val="tx1"/>
            </w14:solidFill>
          </w14:textFill>
        </w:rPr>
      </w:pPr>
      <w:bookmarkStart w:id="38" w:name="_Toc16938521"/>
      <w:bookmarkStart w:id="39" w:name="_Toc20823277"/>
      <w:bookmarkStart w:id="40" w:name="_Toc513029205"/>
      <w:r>
        <w:rPr>
          <w:rFonts w:ascii="宋体" w:hAnsi="宋体" w:cs="宋体"/>
          <w:color w:val="000000" w:themeColor="text1"/>
          <w:sz w:val="24"/>
          <w14:textFill>
            <w14:solidFill>
              <w14:schemeClr w14:val="tx1"/>
            </w14:solidFill>
          </w14:textFill>
        </w:rPr>
        <w:t>2、合格的</w:t>
      </w:r>
      <w:bookmarkEnd w:id="38"/>
      <w:bookmarkEnd w:id="39"/>
      <w:bookmarkEnd w:id="40"/>
      <w:r>
        <w:rPr>
          <w:rFonts w:ascii="宋体" w:hAnsi="宋体" w:cs="宋体"/>
          <w:color w:val="000000" w:themeColor="text1"/>
          <w:sz w:val="24"/>
          <w14:textFill>
            <w14:solidFill>
              <w14:schemeClr w14:val="tx1"/>
            </w14:solidFill>
          </w14:textFill>
        </w:rPr>
        <w:t>供应商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2.1满足询价公告中供应商资格要求的规定。</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满足本询价文件实质性要求和条件的规定。</w:t>
      </w:r>
    </w:p>
    <w:p>
      <w:pPr>
        <w:spacing w:line="480" w:lineRule="exact"/>
        <w:ind w:firstLine="480"/>
        <w:rPr>
          <w:rFonts w:ascii="宋体" w:hAnsi="宋体" w:cs="宋体"/>
          <w:color w:val="000000" w:themeColor="text1"/>
          <w:sz w:val="24"/>
          <w14:textFill>
            <w14:solidFill>
              <w14:schemeClr w14:val="tx1"/>
            </w14:solidFill>
          </w14:textFill>
        </w:rPr>
      </w:pPr>
      <w:bookmarkStart w:id="41" w:name="_Toc513029206"/>
      <w:bookmarkStart w:id="42" w:name="_Toc16938522"/>
      <w:bookmarkStart w:id="43" w:name="_Toc20823278"/>
      <w:r>
        <w:rPr>
          <w:rFonts w:ascii="宋体" w:hAnsi="宋体" w:cs="宋体"/>
          <w:color w:val="000000" w:themeColor="text1"/>
          <w:sz w:val="24"/>
          <w14:textFill>
            <w14:solidFill>
              <w14:schemeClr w14:val="tx1"/>
            </w14:solidFill>
          </w14:textFill>
        </w:rPr>
        <w:t>3、适用法律</w:t>
      </w:r>
      <w:bookmarkEnd w:id="41"/>
      <w:bookmarkEnd w:id="42"/>
      <w:bookmarkEnd w:id="43"/>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本次询价及由此产生的合同受中华人民共和国有关的法律法规制约和保护。</w:t>
      </w:r>
    </w:p>
    <w:p>
      <w:pPr>
        <w:spacing w:line="480" w:lineRule="exact"/>
        <w:ind w:firstLine="480"/>
        <w:rPr>
          <w:rFonts w:ascii="宋体" w:hAnsi="宋体" w:cs="宋体"/>
          <w:color w:val="000000" w:themeColor="text1"/>
          <w:sz w:val="24"/>
          <w14:textFill>
            <w14:solidFill>
              <w14:schemeClr w14:val="tx1"/>
            </w14:solidFill>
          </w14:textFill>
        </w:rPr>
      </w:pPr>
      <w:bookmarkStart w:id="44" w:name="_Toc16938523"/>
      <w:bookmarkStart w:id="45" w:name="_Toc513029207"/>
      <w:bookmarkStart w:id="46" w:name="_Toc462564067"/>
      <w:bookmarkStart w:id="47" w:name="_Toc20823279"/>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费用</w:t>
      </w:r>
      <w:bookmarkEnd w:id="44"/>
      <w:bookmarkEnd w:id="45"/>
      <w:bookmarkEnd w:id="46"/>
      <w:bookmarkEnd w:id="47"/>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4.1供应商应自行承担所有与参加本次询价有关的费用，无论询价过程中的做法和结果如何，</w:t>
      </w:r>
      <w:r>
        <w:rPr>
          <w:rStyle w:val="239"/>
          <w:rFonts w:hint="eastAsia" w:ascii="宋体" w:hAnsi="宋体" w:cs="宋体"/>
          <w:color w:val="000000" w:themeColor="text1"/>
          <w:sz w:val="24"/>
          <w14:textFill>
            <w14:solidFill>
              <w14:schemeClr w14:val="tx1"/>
            </w14:solidFill>
          </w14:textFill>
        </w:rPr>
        <w:t>采购人及采购代理机构在任何情况下均无义务和责任承担这些费用</w:t>
      </w:r>
      <w:r>
        <w:rPr>
          <w:rFonts w:hint="eastAsia" w:ascii="宋体" w:hAnsi="宋体" w:cs="宋体"/>
          <w:color w:val="000000" w:themeColor="text1"/>
          <w:sz w:val="24"/>
          <w14:textFill>
            <w14:solidFill>
              <w14:schemeClr w14:val="tx1"/>
            </w14:solidFill>
          </w14:textFill>
        </w:rPr>
        <w:t>。</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5、询价文件的约束力</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5.1供应商一旦参加本项目采购活动，即被认为接受了本询价文件的规定和约束。</w:t>
      </w:r>
    </w:p>
    <w:p>
      <w:pPr>
        <w:spacing w:line="480" w:lineRule="exact"/>
        <w:ind w:firstLine="482"/>
        <w:rPr>
          <w:rFonts w:ascii="宋体" w:hAnsi="宋体" w:cs="宋体"/>
          <w:b/>
          <w:bCs/>
          <w:color w:val="000000" w:themeColor="text1"/>
          <w:sz w:val="24"/>
          <w14:textFill>
            <w14:solidFill>
              <w14:schemeClr w14:val="tx1"/>
            </w14:solidFill>
          </w14:textFill>
        </w:rPr>
      </w:pPr>
      <w:bookmarkStart w:id="48" w:name="_Toc20823281"/>
      <w:bookmarkStart w:id="49" w:name="_Toc16938525"/>
      <w:bookmarkStart w:id="50" w:name="_Toc513029209"/>
      <w:bookmarkStart w:id="51" w:name="_Toc120614215"/>
      <w:r>
        <w:rPr>
          <w:rFonts w:ascii="宋体" w:hAnsi="宋体" w:cs="宋体"/>
          <w:b/>
          <w:bCs/>
          <w:color w:val="000000" w:themeColor="text1"/>
          <w:sz w:val="24"/>
          <w14:textFill>
            <w14:solidFill>
              <w14:schemeClr w14:val="tx1"/>
            </w14:solidFill>
          </w14:textFill>
        </w:rPr>
        <w:t>二、</w:t>
      </w:r>
      <w:bookmarkEnd w:id="48"/>
      <w:bookmarkEnd w:id="49"/>
      <w:bookmarkEnd w:id="50"/>
      <w:bookmarkEnd w:id="51"/>
      <w:r>
        <w:rPr>
          <w:rFonts w:hint="eastAsia" w:ascii="宋体" w:hAnsi="宋体" w:cs="宋体"/>
          <w:b/>
          <w:bCs/>
          <w:color w:val="000000" w:themeColor="text1"/>
          <w:sz w:val="24"/>
          <w14:textFill>
            <w14:solidFill>
              <w14:schemeClr w14:val="tx1"/>
            </w14:solidFill>
          </w14:textFill>
        </w:rPr>
        <w:t>询价</w:t>
      </w:r>
      <w:r>
        <w:rPr>
          <w:rFonts w:ascii="宋体" w:hAnsi="宋体" w:cs="宋体"/>
          <w:b/>
          <w:bCs/>
          <w:color w:val="000000" w:themeColor="text1"/>
          <w:sz w:val="24"/>
          <w14:textFill>
            <w14:solidFill>
              <w14:schemeClr w14:val="tx1"/>
            </w14:solidFill>
          </w14:textFill>
        </w:rPr>
        <w:t>文件</w:t>
      </w:r>
    </w:p>
    <w:p>
      <w:pPr>
        <w:spacing w:line="480" w:lineRule="exact"/>
        <w:ind w:firstLine="480"/>
        <w:rPr>
          <w:rFonts w:ascii="宋体" w:hAnsi="宋体" w:cs="宋体"/>
          <w:color w:val="000000" w:themeColor="text1"/>
          <w:sz w:val="24"/>
          <w14:textFill>
            <w14:solidFill>
              <w14:schemeClr w14:val="tx1"/>
            </w14:solidFill>
          </w14:textFill>
        </w:rPr>
      </w:pPr>
      <w:bookmarkStart w:id="52" w:name="_Toc20823282"/>
      <w:bookmarkStart w:id="53" w:name="_Toc513029210"/>
      <w:bookmarkStart w:id="54" w:name="_Toc16938526"/>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文件构成</w:t>
      </w:r>
      <w:bookmarkEnd w:id="52"/>
      <w:bookmarkEnd w:id="53"/>
      <w:bookmarkEnd w:id="54"/>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6.1询价文件由以下部分组成：</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（1）询价公告</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（2）供应商须知</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（3）采购需求</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（4）响应文件格式</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请仔细检查询价文件是否齐全，如有缺漏请立即与采购人</w:t>
      </w:r>
      <w:r>
        <w:rPr>
          <w:rStyle w:val="239"/>
          <w:rFonts w:hint="eastAsia" w:ascii="宋体" w:hAnsi="宋体" w:cs="宋体"/>
          <w:color w:val="000000" w:themeColor="text1"/>
          <w:sz w:val="24"/>
          <w14:textFill>
            <w14:solidFill>
              <w14:schemeClr w14:val="tx1"/>
            </w14:solidFill>
          </w14:textFill>
        </w:rPr>
        <w:t>或采购代理机构</w:t>
      </w:r>
      <w:r>
        <w:rPr>
          <w:rFonts w:hint="eastAsia" w:ascii="宋体" w:hAnsi="宋体" w:cs="宋体"/>
          <w:color w:val="000000" w:themeColor="text1"/>
          <w:sz w:val="24"/>
          <w14:textFill>
            <w14:solidFill>
              <w14:schemeClr w14:val="tx1"/>
            </w14:solidFill>
          </w14:textFill>
        </w:rPr>
        <w:t>联系解决。</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供应商应认真阅读询价文件中所有的事项、格式、条款和规范等要求。按询价文件要求和规定编制响应文件，并保证所提供的全部资料的真实性，以使其响应文件对询价文件作出实质性响应，否则其风险由供应商自行承担。</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 本询价文件由采购人或采购代理机构负责解释。</w:t>
      </w:r>
    </w:p>
    <w:p>
      <w:pPr>
        <w:spacing w:line="480" w:lineRule="exact"/>
        <w:ind w:firstLine="480"/>
        <w:rPr>
          <w:rFonts w:ascii="宋体" w:hAnsi="宋体" w:cs="宋体"/>
          <w:color w:val="000000" w:themeColor="text1"/>
          <w:sz w:val="24"/>
          <w14:textFill>
            <w14:solidFill>
              <w14:schemeClr w14:val="tx1"/>
            </w14:solidFill>
          </w14:textFill>
        </w:rPr>
      </w:pPr>
      <w:bookmarkStart w:id="55" w:name="_Toc513029211"/>
      <w:bookmarkStart w:id="56" w:name="_Toc20823283"/>
      <w:bookmarkStart w:id="57" w:name="_Toc16938527"/>
      <w:bookmarkStart w:id="58" w:name="_Toc462564070"/>
      <w:r>
        <w:rPr>
          <w:rFonts w:hint="eastAsia" w:ascii="宋体" w:hAnsi="宋体" w:cs="宋体"/>
          <w:color w:val="000000" w:themeColor="text1"/>
          <w:sz w:val="24"/>
          <w14:textFill>
            <w14:solidFill>
              <w14:schemeClr w14:val="tx1"/>
            </w14:solidFill>
          </w14:textFill>
        </w:rPr>
        <w:t>7、询价文件的澄清</w:t>
      </w:r>
      <w:bookmarkEnd w:id="55"/>
      <w:bookmarkEnd w:id="56"/>
      <w:bookmarkEnd w:id="57"/>
      <w:bookmarkEnd w:id="58"/>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 任何要求对询价文件进行澄清的供应商，应在询价截止期3日前按招标公告中的通讯地址，向采购人或采购代理机构提出。</w:t>
      </w:r>
    </w:p>
    <w:p>
      <w:pPr>
        <w:spacing w:line="480" w:lineRule="exact"/>
        <w:ind w:firstLine="480"/>
        <w:rPr>
          <w:rFonts w:ascii="宋体" w:hAnsi="宋体" w:cs="宋体"/>
          <w:color w:val="000000" w:themeColor="text1"/>
          <w:sz w:val="24"/>
          <w14:textFill>
            <w14:solidFill>
              <w14:schemeClr w14:val="tx1"/>
            </w14:solidFill>
          </w14:textFill>
        </w:rPr>
      </w:pPr>
      <w:bookmarkStart w:id="59" w:name="_Toc16938528"/>
      <w:bookmarkStart w:id="60" w:name="_Toc513029212"/>
      <w:bookmarkStart w:id="61" w:name="_Toc20823284"/>
      <w:bookmarkStart w:id="62" w:name="_Toc462564071"/>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文件的澄清和修改</w:t>
      </w:r>
      <w:bookmarkEnd w:id="59"/>
      <w:bookmarkEnd w:id="60"/>
      <w:bookmarkEnd w:id="61"/>
      <w:bookmarkEnd w:id="62"/>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 在响应文件提交截止时间</w:t>
      </w:r>
      <w:r>
        <w:rPr>
          <w:rFonts w:ascii="宋体" w:hAnsi="宋体" w:cs="宋体"/>
          <w:color w:val="000000" w:themeColor="text1"/>
          <w:sz w:val="24"/>
          <w14:textFill>
            <w14:solidFill>
              <w14:schemeClr w14:val="tx1"/>
            </w14:solidFill>
          </w14:textFill>
        </w:rPr>
        <w:t>前</w:t>
      </w:r>
      <w:r>
        <w:rPr>
          <w:rFonts w:hint="eastAsia" w:ascii="宋体" w:hAnsi="宋体" w:cs="宋体"/>
          <w:color w:val="000000" w:themeColor="text1"/>
          <w:sz w:val="24"/>
          <w14:textFill>
            <w14:solidFill>
              <w14:schemeClr w14:val="tx1"/>
            </w14:solidFill>
          </w14:textFill>
        </w:rPr>
        <w:t>，</w:t>
      </w:r>
      <w:r>
        <w:rPr>
          <w:rStyle w:val="239"/>
          <w:rFonts w:hint="eastAsia" w:ascii="宋体" w:hAnsi="宋体" w:cs="宋体"/>
          <w:color w:val="000000" w:themeColor="text1"/>
          <w:sz w:val="24"/>
          <w14:textFill>
            <w14:solidFill>
              <w14:schemeClr w14:val="tx1"/>
            </w14:solidFill>
          </w14:textFill>
        </w:rPr>
        <w:t>采购人或采购代理机构可以对招标文件进行修改。</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w:t>
      </w:r>
      <w:r>
        <w:rPr>
          <w:rStyle w:val="239"/>
          <w:rFonts w:hint="eastAsia" w:ascii="宋体" w:hAnsi="宋体" w:cs="宋体"/>
          <w:color w:val="000000" w:themeColor="text1"/>
          <w:sz w:val="24"/>
          <w14:textFill>
            <w14:solidFill>
              <w14:schemeClr w14:val="tx1"/>
            </w14:solidFill>
          </w14:textFill>
        </w:rPr>
        <w:t>采购人或采购代理机构有权依法推迟投标截止日期和开标日期。</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8.3</w:t>
      </w:r>
      <w:r>
        <w:rPr>
          <w:rStyle w:val="239"/>
          <w:rFonts w:hint="eastAsia" w:ascii="宋体" w:hAnsi="宋体" w:cs="宋体"/>
          <w:color w:val="000000" w:themeColor="text1"/>
          <w:sz w:val="24"/>
          <w14:textFill>
            <w14:solidFill>
              <w14:schemeClr w14:val="tx1"/>
            </w14:solidFill>
          </w14:textFill>
        </w:rPr>
        <w:t>询价文件的修改将在“盐城工业职业技术学院招标采购网”公布，补充文件将作为招标文件的组成部分，并对投标人具有约束力。</w:t>
      </w:r>
    </w:p>
    <w:p>
      <w:pPr>
        <w:spacing w:line="480" w:lineRule="exact"/>
        <w:ind w:firstLine="482"/>
        <w:rPr>
          <w:rFonts w:ascii="宋体" w:hAnsi="宋体" w:cs="宋体"/>
          <w:b/>
          <w:bCs/>
          <w:color w:val="000000" w:themeColor="text1"/>
          <w:sz w:val="24"/>
          <w14:textFill>
            <w14:solidFill>
              <w14:schemeClr w14:val="tx1"/>
            </w14:solidFill>
          </w14:textFill>
        </w:rPr>
      </w:pPr>
      <w:bookmarkStart w:id="63" w:name="_Toc120614216"/>
      <w:bookmarkStart w:id="64" w:name="_Toc513029213"/>
      <w:bookmarkStart w:id="65" w:name="_Toc20823285"/>
      <w:bookmarkStart w:id="66" w:name="_Toc462564072"/>
      <w:bookmarkStart w:id="67" w:name="_Toc16938529"/>
      <w:r>
        <w:rPr>
          <w:rFonts w:ascii="宋体" w:hAnsi="宋体" w:cs="宋体"/>
          <w:b/>
          <w:bCs/>
          <w:color w:val="000000" w:themeColor="text1"/>
          <w:sz w:val="24"/>
          <w14:textFill>
            <w14:solidFill>
              <w14:schemeClr w14:val="tx1"/>
            </w14:solidFill>
          </w14:textFill>
        </w:rPr>
        <w:t>三、响应文件的编制</w:t>
      </w:r>
      <w:bookmarkEnd w:id="63"/>
      <w:bookmarkEnd w:id="64"/>
      <w:bookmarkEnd w:id="65"/>
      <w:bookmarkEnd w:id="66"/>
      <w:bookmarkEnd w:id="67"/>
    </w:p>
    <w:p>
      <w:pPr>
        <w:spacing w:line="480" w:lineRule="exact"/>
        <w:ind w:firstLine="480"/>
        <w:rPr>
          <w:rFonts w:ascii="宋体" w:hAnsi="宋体" w:cs="宋体"/>
          <w:color w:val="000000" w:themeColor="text1"/>
          <w:sz w:val="24"/>
          <w14:textFill>
            <w14:solidFill>
              <w14:schemeClr w14:val="tx1"/>
            </w14:solidFill>
          </w14:textFill>
        </w:rPr>
      </w:pPr>
      <w:bookmarkStart w:id="68" w:name="_Toc16938530"/>
      <w:bookmarkStart w:id="69" w:name="_Toc20823286"/>
      <w:bookmarkStart w:id="70" w:name="_Toc462564073"/>
      <w:bookmarkStart w:id="71" w:name="_Toc513029214"/>
      <w:r>
        <w:rPr>
          <w:rFonts w:ascii="宋体" w:hAnsi="宋体" w:cs="宋体"/>
          <w:color w:val="000000" w:themeColor="text1"/>
          <w:sz w:val="24"/>
          <w14:textFill>
            <w14:solidFill>
              <w14:schemeClr w14:val="tx1"/>
            </w14:solidFill>
          </w14:textFill>
        </w:rPr>
        <w:t>9、响应文件的语言及度量衡单位</w:t>
      </w:r>
      <w:bookmarkEnd w:id="68"/>
      <w:bookmarkEnd w:id="69"/>
      <w:bookmarkEnd w:id="70"/>
      <w:bookmarkEnd w:id="71"/>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9.1供应商提交的响应文件以及供应商与采购人就有关询价的所有来往通知、函件和文件均应使用</w:t>
      </w:r>
      <w:r>
        <w:rPr>
          <w:rFonts w:hint="eastAsia" w:ascii="宋体" w:hAnsi="宋体" w:cs="宋体"/>
          <w:b/>
          <w:bCs/>
          <w:color w:val="000000" w:themeColor="text1"/>
          <w:sz w:val="24"/>
          <w14:textFill>
            <w14:solidFill>
              <w14:schemeClr w14:val="tx1"/>
            </w14:solidFill>
          </w14:textFill>
        </w:rPr>
        <w:t>简体中文</w:t>
      </w:r>
      <w:r>
        <w:rPr>
          <w:rFonts w:hint="eastAsia" w:ascii="宋体" w:hAnsi="宋体" w:cs="宋体"/>
          <w:color w:val="000000" w:themeColor="text1"/>
          <w:sz w:val="24"/>
          <w14:textFill>
            <w14:solidFill>
              <w14:schemeClr w14:val="tx1"/>
            </w14:solidFill>
          </w14:textFill>
        </w:rPr>
        <w:t>。</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 除技术性能另有规定外，响应文件所使用的度量衡单位，均须采用国家法定计量单位。</w:t>
      </w:r>
    </w:p>
    <w:p>
      <w:pPr>
        <w:spacing w:line="480" w:lineRule="exact"/>
        <w:ind w:firstLine="480"/>
        <w:rPr>
          <w:rFonts w:ascii="宋体" w:hAnsi="宋体" w:cs="宋体"/>
          <w:color w:val="000000" w:themeColor="text1"/>
          <w:sz w:val="24"/>
          <w14:textFill>
            <w14:solidFill>
              <w14:schemeClr w14:val="tx1"/>
            </w14:solidFill>
          </w14:textFill>
        </w:rPr>
      </w:pPr>
      <w:bookmarkStart w:id="72" w:name="_Toc16938531"/>
      <w:bookmarkStart w:id="73" w:name="_Toc513029215"/>
      <w:bookmarkStart w:id="74" w:name="_Toc462564074"/>
      <w:bookmarkStart w:id="75" w:name="_Toc20823287"/>
      <w:r>
        <w:rPr>
          <w:rFonts w:ascii="宋体" w:hAnsi="宋体" w:cs="宋体"/>
          <w:color w:val="000000" w:themeColor="text1"/>
          <w:sz w:val="24"/>
          <w14:textFill>
            <w14:solidFill>
              <w14:schemeClr w14:val="tx1"/>
            </w14:solidFill>
          </w14:textFill>
        </w:rPr>
        <w:t>10、响应文件构成</w:t>
      </w:r>
      <w:bookmarkEnd w:id="72"/>
      <w:bookmarkEnd w:id="73"/>
      <w:bookmarkEnd w:id="74"/>
      <w:bookmarkEnd w:id="75"/>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10.1供应商编写的响应文件应包括资格证明文件、符合性证明文件、分项报价表、商务要求响应及偏离表、其他证明文件、开标一览表、询价响应函等部分。</w:t>
      </w:r>
    </w:p>
    <w:p>
      <w:pPr>
        <w:spacing w:line="480" w:lineRule="exact"/>
        <w:ind w:firstLine="480"/>
        <w:rPr>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10.2投标人应将响应文件按顺序装订成册，并编制响应文件资料目录。</w:t>
      </w:r>
    </w:p>
    <w:p>
      <w:pPr>
        <w:spacing w:line="480" w:lineRule="exact"/>
        <w:ind w:firstLine="480"/>
        <w:rPr>
          <w:rFonts w:ascii="宋体" w:hAnsi="宋体" w:cs="宋体"/>
          <w:color w:val="000000" w:themeColor="text1"/>
          <w:sz w:val="24"/>
          <w14:textFill>
            <w14:solidFill>
              <w14:schemeClr w14:val="tx1"/>
            </w14:solidFill>
          </w14:textFill>
        </w:rPr>
      </w:pPr>
      <w:bookmarkStart w:id="76" w:name="_Toc513029216"/>
      <w:bookmarkStart w:id="77" w:name="_Toc14577357"/>
      <w:bookmarkStart w:id="78" w:name="_Toc49090509"/>
      <w:bookmarkStart w:id="79" w:name="_Toc49090507"/>
      <w:bookmarkStart w:id="80" w:name="_Toc14577355"/>
      <w:bookmarkStart w:id="81" w:name="_Toc14577354"/>
      <w:bookmarkStart w:id="82" w:name="_Toc513029219"/>
      <w:bookmarkStart w:id="83" w:name="_Toc49090508"/>
      <w:r>
        <w:rPr>
          <w:rFonts w:ascii="宋体" w:hAnsi="宋体" w:cs="宋体"/>
          <w:color w:val="000000" w:themeColor="text1"/>
          <w:sz w:val="24"/>
          <w14:textFill>
            <w14:solidFill>
              <w14:schemeClr w14:val="tx1"/>
            </w14:solidFill>
          </w14:textFill>
        </w:rPr>
        <w:t>11、证明</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响应标的符合</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文件规定的文件</w:t>
      </w:r>
      <w:bookmarkEnd w:id="76"/>
      <w:bookmarkEnd w:id="77"/>
      <w:bookmarkEnd w:id="78"/>
      <w:bookmarkEnd w:id="79"/>
      <w:bookmarkEnd w:id="80"/>
      <w:bookmarkEnd w:id="81"/>
      <w:bookmarkEnd w:id="82"/>
      <w:bookmarkEnd w:id="83"/>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11.1供应商应按照询价文件要求提交证明文件，证明其及询价响应标的符合询价文件规定。</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11.2询价文件对证明文件无明确形式要求的，证明文件可以以文字资料、图纸和数据等形式提交。</w:t>
      </w:r>
    </w:p>
    <w:p>
      <w:pPr>
        <w:spacing w:line="48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12、分项报价表</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12.1供应商应按照询价文件规定格式填报分项报价表。</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12.2询价货币。响应文件中的单价和总价无特殊规定的采用人民币报价，以元为单位标注。询价文件中另有规定的按规定执行。</w:t>
      </w:r>
    </w:p>
    <w:p>
      <w:pPr>
        <w:spacing w:line="48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13、技术要求响应及偏离表、商务要求响应及偏离表</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13.1供应商需对询价文件中的技术要求与商务要求逐项作出响应或偏离，并说明原因。</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13.2供应商可在响应文件中提供认为需要的其他技术文件或说明。</w:t>
      </w:r>
    </w:p>
    <w:p>
      <w:pPr>
        <w:spacing w:line="480" w:lineRule="exact"/>
        <w:ind w:firstLine="48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r>
        <w:rPr>
          <w:rFonts w:hint="eastAsia" w:ascii="宋体" w:hAnsi="宋体" w:cs="宋体"/>
          <w:color w:val="000000" w:themeColor="text1"/>
          <w:sz w:val="24"/>
          <w:lang w:val="zh-CN"/>
          <w14:textFill>
            <w14:solidFill>
              <w14:schemeClr w14:val="tx1"/>
            </w14:solidFill>
          </w14:textFill>
        </w:rPr>
        <w:t>服务承诺及售后服务机构、人员的情况介绍</w:t>
      </w:r>
    </w:p>
    <w:p>
      <w:pPr>
        <w:spacing w:line="480" w:lineRule="exact"/>
        <w:ind w:firstLine="48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14.1投标人的服务承诺应按不低于招标文件中商务要求的标准。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14.2提供投标人有关售后服务的管理制度、售后服务机构的分布情况、售后服务人员的数量、素质、技术水平及售后服务的反应能力。</w:t>
      </w:r>
    </w:p>
    <w:p>
      <w:pPr>
        <w:numPr>
          <w:ilvl w:val="0"/>
          <w:numId w:val="1"/>
        </w:num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响应文件的份数与签署</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供应商应按照询价文件中提供的格式完整、正确填写开标一览表、询价响应函。开标一览表中的价格应与投标文件中投标配置与分项报价表中的价格一致，如不一致，不作为无效投标处理，但评标时按开标一览表中价格为准。响应文件要求</w:t>
      </w:r>
      <w:r>
        <w:rPr>
          <w:rFonts w:hint="eastAsia" w:ascii="宋体" w:hAnsi="宋体"/>
          <w:b/>
          <w:color w:val="000000" w:themeColor="text1"/>
          <w:sz w:val="24"/>
          <w14:textFill>
            <w14:solidFill>
              <w14:schemeClr w14:val="tx1"/>
            </w14:solidFill>
          </w14:textFill>
        </w:rPr>
        <w:t>正本一份，副本两份</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asci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投标人应严格按照询价文件要求的份数准备响应文件，每份响应文件须清楚地标明“正本”或“副本”字样。一旦正本和副本不符，以正本为准。</w:t>
      </w:r>
    </w:p>
    <w:p>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询价文件要求提供的原件可直接放入响应文件封袋内或单独密封在一个封袋内，如果原件单独密封的须在封袋上标明项目名称、投标人名称并在封口处密封并加盖投标人公章，与响应文件一起递交。响应文件正本中，询价文件要求必须提供原件的按照要求提供，文字材料需打印或用不褪色墨水书写。响应文件的正本须经法定代表人或授权委托人（被授权人）签署和加盖投标人公章。本采购文件所表述（指定）的公章是指法定名称章，不包括合同专用章、业务专用章等印章。（询价文件中要求提供原件的须在响应文件中提供复印件）。</w:t>
      </w:r>
    </w:p>
    <w:p>
      <w:pPr>
        <w:spacing w:line="500" w:lineRule="exact"/>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.4</w:t>
      </w:r>
      <w:r>
        <w:rPr>
          <w:rFonts w:hint="eastAsia" w:ascii="宋体" w:hAnsi="宋体"/>
          <w:bCs/>
          <w:color w:val="000000" w:themeColor="text1"/>
          <w:sz w:val="24"/>
          <w14:textFill>
            <w14:solidFill>
              <w14:schemeClr w14:val="tx1"/>
            </w14:solidFill>
          </w14:textFill>
        </w:rPr>
        <w:t>除投标人对错处做必要修改外，响应文件不得行间插字、涂改或增删。如有修改错漏处，必须由响应文件签署人签字或盖章</w:t>
      </w:r>
      <w:r>
        <w:rPr>
          <w:rFonts w:hint="eastAsia" w:ascii="宋体" w:hAnsi="宋体"/>
          <w:color w:val="000000" w:themeColor="text1"/>
          <w:sz w:val="24"/>
          <w14:textFill>
            <w14:solidFill>
              <w14:schemeClr w14:val="tx1"/>
            </w14:solidFill>
          </w14:textFill>
        </w:rPr>
        <w:t>。</w:t>
      </w:r>
    </w:p>
    <w:p>
      <w:pPr>
        <w:spacing w:line="480" w:lineRule="exact"/>
        <w:ind w:firstLine="480"/>
        <w:rPr>
          <w:rFonts w:ascii="宋体" w:hAnsi="宋体" w:cs="宋体"/>
          <w:color w:val="000000" w:themeColor="text1"/>
          <w:sz w:val="24"/>
          <w14:textFill>
            <w14:solidFill>
              <w14:schemeClr w14:val="tx1"/>
            </w14:solidFill>
          </w14:textFill>
        </w:rPr>
      </w:pPr>
      <w:bookmarkStart w:id="84" w:name="_Toc49090511"/>
      <w:bookmarkStart w:id="85" w:name="_Toc14577360"/>
      <w:r>
        <w:rPr>
          <w:rFonts w:ascii="宋体" w:hAnsi="宋体" w:cs="宋体"/>
          <w:color w:val="000000" w:themeColor="text1"/>
          <w:sz w:val="24"/>
          <w14:textFill>
            <w14:solidFill>
              <w14:schemeClr w14:val="tx1"/>
            </w14:solidFill>
          </w14:textFill>
        </w:rPr>
        <w:t>16、</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有效期</w:t>
      </w:r>
      <w:bookmarkEnd w:id="84"/>
      <w:bookmarkEnd w:id="85"/>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16.1询价有效期为</w:t>
      </w:r>
      <w:r>
        <w:rPr>
          <w:rStyle w:val="239"/>
          <w:rFonts w:hint="eastAsia" w:ascii="宋体" w:hAnsi="宋体" w:cs="宋体"/>
          <w:bCs/>
          <w:color w:val="000000" w:themeColor="text1"/>
          <w:sz w:val="24"/>
          <w14:textFill>
            <w14:solidFill>
              <w14:schemeClr w14:val="tx1"/>
            </w14:solidFill>
          </w14:textFill>
        </w:rPr>
        <w:t>采购人或采购代理机构</w:t>
      </w:r>
      <w:r>
        <w:rPr>
          <w:rFonts w:hint="eastAsia" w:ascii="宋体" w:hAnsi="宋体" w:cs="宋体"/>
          <w:color w:val="000000" w:themeColor="text1"/>
          <w:sz w:val="24"/>
          <w14:textFill>
            <w14:solidFill>
              <w14:schemeClr w14:val="tx1"/>
            </w14:solidFill>
          </w14:textFill>
        </w:rPr>
        <w:t>规定的提交响应文件截止之日后</w:t>
      </w:r>
      <w:r>
        <w:rPr>
          <w:rFonts w:ascii="宋体" w:hAnsi="宋体" w:cs="宋体"/>
          <w:b/>
          <w:bCs/>
          <w:color w:val="000000" w:themeColor="text1"/>
          <w:sz w:val="24"/>
          <w:u w:val="single"/>
          <w14:textFill>
            <w14:solidFill>
              <w14:schemeClr w14:val="tx1"/>
            </w14:solidFill>
          </w14:textFill>
        </w:rPr>
        <w:t>六十（60）</w:t>
      </w:r>
      <w:r>
        <w:rPr>
          <w:rFonts w:ascii="宋体" w:hAnsi="宋体" w:cs="宋体"/>
          <w:color w:val="000000" w:themeColor="text1"/>
          <w:sz w:val="24"/>
          <w14:textFill>
            <w14:solidFill>
              <w14:schemeClr w14:val="tx1"/>
            </w14:solidFill>
          </w14:textFill>
        </w:rPr>
        <w:t>天</w:t>
      </w:r>
      <w:r>
        <w:rPr>
          <w:rFonts w:hint="eastAsia" w:ascii="宋体" w:hAnsi="宋体" w:cs="宋体"/>
          <w:color w:val="000000" w:themeColor="text1"/>
          <w:sz w:val="24"/>
          <w14:textFill>
            <w14:solidFill>
              <w14:schemeClr w14:val="tx1"/>
            </w14:solidFill>
          </w14:textFill>
        </w:rPr>
        <w:t>。询价有效期比规定短的将被视为非实质性响应询价文件而予以拒绝。</w:t>
      </w:r>
    </w:p>
    <w:p>
      <w:pPr>
        <w:spacing w:line="48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有效期的延长</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17.1在特殊情况下，</w:t>
      </w:r>
      <w:r>
        <w:rPr>
          <w:rStyle w:val="239"/>
          <w:rFonts w:hint="eastAsia" w:ascii="宋体" w:hAnsi="宋体" w:cs="宋体"/>
          <w:bCs/>
          <w:color w:val="000000" w:themeColor="text1"/>
          <w:sz w:val="24"/>
          <w14:textFill>
            <w14:solidFill>
              <w14:schemeClr w14:val="tx1"/>
            </w14:solidFill>
          </w14:textFill>
        </w:rPr>
        <w:t>采购人或采购代理机构</w:t>
      </w:r>
      <w:r>
        <w:rPr>
          <w:rFonts w:hint="eastAsia" w:ascii="宋体" w:hAnsi="宋体" w:cs="宋体"/>
          <w:color w:val="000000" w:themeColor="text1"/>
          <w:sz w:val="24"/>
          <w14:textFill>
            <w14:solidFill>
              <w14:schemeClr w14:val="tx1"/>
            </w14:solidFill>
          </w14:textFill>
        </w:rPr>
        <w:t>于原询价有效期满之前，可向供应商提出延长询价有效期的要求。这种要求与答复均应采用书面形式。供应商可以拒绝采购人的这一要求而放弃询价，同意延长询价有效期的供应商既不能要求也不允许修改其响应文件。受询价有效期约束的所有权利与义务均延长至新的有效期。</w:t>
      </w:r>
    </w:p>
    <w:p>
      <w:pPr>
        <w:spacing w:line="480" w:lineRule="exact"/>
        <w:ind w:firstLine="482"/>
        <w:rPr>
          <w:rFonts w:ascii="宋体" w:hAnsi="宋体" w:cs="宋体"/>
          <w:b/>
          <w:bCs/>
          <w:color w:val="000000" w:themeColor="text1"/>
          <w:sz w:val="24"/>
          <w14:textFill>
            <w14:solidFill>
              <w14:schemeClr w14:val="tx1"/>
            </w14:solidFill>
          </w14:textFill>
        </w:rPr>
      </w:pPr>
      <w:bookmarkStart w:id="86" w:name="_Toc20823296"/>
      <w:bookmarkStart w:id="87" w:name="_Toc16938540"/>
      <w:bookmarkStart w:id="88" w:name="_Toc513029224"/>
      <w:bookmarkStart w:id="89" w:name="_Toc120614217"/>
      <w:r>
        <w:rPr>
          <w:rFonts w:ascii="宋体" w:hAnsi="宋体" w:cs="宋体"/>
          <w:b/>
          <w:bCs/>
          <w:color w:val="000000" w:themeColor="text1"/>
          <w:sz w:val="24"/>
          <w14:textFill>
            <w14:solidFill>
              <w14:schemeClr w14:val="tx1"/>
            </w14:solidFill>
          </w14:textFill>
        </w:rPr>
        <w:t>四、响应文件的递交</w:t>
      </w:r>
      <w:bookmarkEnd w:id="86"/>
      <w:bookmarkEnd w:id="87"/>
      <w:bookmarkEnd w:id="88"/>
      <w:bookmarkEnd w:id="89"/>
    </w:p>
    <w:p>
      <w:pPr>
        <w:spacing w:line="480" w:lineRule="exact"/>
        <w:ind w:firstLine="480"/>
        <w:rPr>
          <w:rFonts w:ascii="宋体" w:hAnsi="宋体" w:cs="宋体"/>
          <w:color w:val="000000" w:themeColor="text1"/>
          <w:sz w:val="24"/>
          <w14:textFill>
            <w14:solidFill>
              <w14:schemeClr w14:val="tx1"/>
            </w14:solidFill>
          </w14:textFill>
        </w:rPr>
      </w:pPr>
      <w:bookmarkStart w:id="90" w:name="_Toc513029225"/>
      <w:bookmarkStart w:id="91" w:name="_Toc20823297"/>
      <w:bookmarkStart w:id="92" w:name="_Toc462564084"/>
      <w:bookmarkStart w:id="93" w:name="_Toc16938541"/>
      <w:bookmarkStart w:id="94" w:name="_Toc20823301"/>
      <w:bookmarkStart w:id="95" w:name="_Toc120614218"/>
      <w:bookmarkStart w:id="96" w:name="_Toc513029229"/>
      <w:bookmarkStart w:id="97" w:name="_Toc16938545"/>
      <w:r>
        <w:rPr>
          <w:rFonts w:hint="eastAsia" w:ascii="宋体" w:hAnsi="宋体" w:cs="宋体"/>
          <w:color w:val="000000" w:themeColor="text1"/>
          <w:sz w:val="24"/>
          <w14:textFill>
            <w14:solidFill>
              <w14:schemeClr w14:val="tx1"/>
            </w14:solidFill>
          </w14:textFill>
        </w:rPr>
        <w:t>18、响应文件的密封和标记</w:t>
      </w:r>
      <w:bookmarkEnd w:id="90"/>
      <w:bookmarkEnd w:id="91"/>
      <w:bookmarkEnd w:id="92"/>
      <w:bookmarkEnd w:id="93"/>
    </w:p>
    <w:p>
      <w:pPr>
        <w:spacing w:line="500" w:lineRule="exact"/>
        <w:ind w:firstLine="480" w:firstLineChars="200"/>
        <w:rPr>
          <w:rFonts w:asci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r>
        <w:rPr>
          <w:rFonts w:ascii="宋体" w:hAnsi="宋体"/>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投标人应将响应文件正本和所有副本密封，不论投标人中标与否，响应文件均不退回。</w:t>
      </w:r>
    </w:p>
    <w:p>
      <w:pPr>
        <w:spacing w:line="500" w:lineRule="exact"/>
        <w:ind w:firstLine="482" w:firstLineChars="200"/>
        <w:rPr>
          <w:rFonts w:asci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18</w:t>
      </w:r>
      <w:r>
        <w:rPr>
          <w:rFonts w:ascii="宋体" w:hAnsi="宋体"/>
          <w:b/>
          <w:color w:val="000000" w:themeColor="text1"/>
          <w:sz w:val="24"/>
          <w14:textFill>
            <w14:solidFill>
              <w14:schemeClr w14:val="tx1"/>
            </w14:solidFill>
          </w14:textFill>
        </w:rPr>
        <w:t>.2</w:t>
      </w:r>
      <w:r>
        <w:rPr>
          <w:rFonts w:hint="eastAsia" w:ascii="宋体" w:hAnsi="宋体"/>
          <w:b/>
          <w:bCs/>
          <w:color w:val="000000" w:themeColor="text1"/>
          <w:sz w:val="24"/>
          <w14:textFill>
            <w14:solidFill>
              <w14:schemeClr w14:val="tx1"/>
            </w14:solidFill>
          </w14:textFill>
        </w:rPr>
        <w:t>密封的响应文件应：</w:t>
      </w:r>
    </w:p>
    <w:p>
      <w:pPr>
        <w:spacing w:line="500" w:lineRule="exact"/>
        <w:ind w:firstLine="480" w:firstLineChars="200"/>
        <w:rPr>
          <w:rFonts w:ascii="宋体" w:hAnsi="宋体"/>
          <w:bCs/>
          <w:color w:val="000000" w:themeColor="text1"/>
          <w:sz w:val="24"/>
          <w14:textFill>
            <w14:solidFill>
              <w14:schemeClr w14:val="tx1"/>
            </w14:solidFill>
          </w14:textFill>
        </w:rPr>
      </w:pPr>
      <w:bookmarkStart w:id="98" w:name="_Toc16938542"/>
      <w:bookmarkStart w:id="99" w:name="_Toc20823298"/>
      <w:bookmarkStart w:id="100" w:name="_Toc513029226"/>
      <w:r>
        <w:rPr>
          <w:rFonts w:hint="eastAsia" w:ascii="宋体" w:hAnsi="宋体"/>
          <w:bCs/>
          <w:color w:val="000000" w:themeColor="text1"/>
          <w:sz w:val="24"/>
          <w14:textFill>
            <w14:solidFill>
              <w14:schemeClr w14:val="tx1"/>
            </w14:solidFill>
          </w14:textFill>
        </w:rPr>
        <w:t>18.2.1响应文件按询价文件的格式、样式要求装订、签署和盖章后装入封袋，封袋大小根据需要自行制作，在封袋上正确标明项目名称、投标人名称。</w:t>
      </w:r>
    </w:p>
    <w:p>
      <w:pPr>
        <w:spacing w:line="5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18.2.2所有响应文件装入封袋后都必须在封口处密封并加盖投标人公章。</w:t>
      </w:r>
    </w:p>
    <w:p>
      <w:pPr>
        <w:spacing w:line="5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r>
        <w:rPr>
          <w:rFonts w:ascii="宋体" w:hAnsi="宋体"/>
          <w:color w:val="000000" w:themeColor="text1"/>
          <w:sz w:val="24"/>
          <w14:textFill>
            <w14:solidFill>
              <w14:schemeClr w14:val="tx1"/>
            </w14:solidFill>
          </w14:textFill>
        </w:rPr>
        <w:t>.2.3</w:t>
      </w:r>
      <w:r>
        <w:rPr>
          <w:rFonts w:hint="eastAsia" w:ascii="宋体" w:hAnsi="宋体"/>
          <w:bCs/>
          <w:color w:val="000000" w:themeColor="text1"/>
          <w:sz w:val="24"/>
          <w14:textFill>
            <w14:solidFill>
              <w14:schemeClr w14:val="tx1"/>
            </w14:solidFill>
          </w14:textFill>
        </w:rPr>
        <w:t>未按要求密封和加写标记的响应文件，采购人将予以拒收。</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19、递交响应文件截止日期</w:t>
      </w:r>
      <w:bookmarkEnd w:id="98"/>
      <w:bookmarkEnd w:id="99"/>
      <w:bookmarkEnd w:id="100"/>
    </w:p>
    <w:p>
      <w:pPr>
        <w:spacing w:line="500" w:lineRule="exact"/>
        <w:ind w:firstLine="480" w:firstLineChars="200"/>
        <w:rPr>
          <w:rFonts w:asci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w:t>
      </w:r>
      <w:r>
        <w:rPr>
          <w:rFonts w:ascii="宋体" w:hAnsi="宋体"/>
          <w:color w:val="000000" w:themeColor="text1"/>
          <w:sz w:val="24"/>
          <w14:textFill>
            <w14:solidFill>
              <w14:schemeClr w14:val="tx1"/>
            </w14:solidFill>
          </w14:textFill>
        </w:rPr>
        <w:t>.1</w:t>
      </w:r>
      <w:r>
        <w:rPr>
          <w:rStyle w:val="239"/>
          <w:rFonts w:hint="eastAsia" w:ascii="宋体" w:hAnsi="宋体" w:cs="宋体"/>
          <w:bCs/>
          <w:color w:val="000000" w:themeColor="text1"/>
          <w:sz w:val="24"/>
          <w14:textFill>
            <w14:solidFill>
              <w14:schemeClr w14:val="tx1"/>
            </w14:solidFill>
          </w14:textFill>
        </w:rPr>
        <w:t>采购人和采购代理机构</w:t>
      </w:r>
      <w:r>
        <w:rPr>
          <w:rFonts w:hint="eastAsia" w:ascii="宋体" w:hAnsi="宋体"/>
          <w:bCs/>
          <w:color w:val="000000" w:themeColor="text1"/>
          <w:sz w:val="24"/>
          <w14:textFill>
            <w14:solidFill>
              <w14:schemeClr w14:val="tx1"/>
            </w14:solidFill>
          </w14:textFill>
        </w:rPr>
        <w:t>收到响应文件的时间不得迟于询价文件中规定的递交响应文件截止时间。</w:t>
      </w:r>
    </w:p>
    <w:p>
      <w:pPr>
        <w:spacing w:line="500" w:lineRule="exact"/>
        <w:ind w:firstLine="480" w:firstLineChars="200"/>
        <w:rPr>
          <w:rFonts w:asci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w:t>
      </w:r>
      <w:r>
        <w:rPr>
          <w:rFonts w:ascii="宋体" w:hAnsi="宋体"/>
          <w:color w:val="000000" w:themeColor="text1"/>
          <w:sz w:val="24"/>
          <w14:textFill>
            <w14:solidFill>
              <w14:schemeClr w14:val="tx1"/>
            </w14:solidFill>
          </w14:textFill>
        </w:rPr>
        <w:t>.2</w:t>
      </w:r>
      <w:r>
        <w:rPr>
          <w:rStyle w:val="239"/>
          <w:rFonts w:hint="eastAsia" w:ascii="宋体" w:hAnsi="宋体" w:cs="宋体"/>
          <w:bCs/>
          <w:color w:val="000000" w:themeColor="text1"/>
          <w:sz w:val="24"/>
          <w14:textFill>
            <w14:solidFill>
              <w14:schemeClr w14:val="tx1"/>
            </w14:solidFill>
          </w14:textFill>
        </w:rPr>
        <w:t>采购人和采购代理机构</w:t>
      </w:r>
      <w:r>
        <w:rPr>
          <w:rFonts w:hint="eastAsia" w:ascii="宋体" w:hAnsi="宋体"/>
          <w:bCs/>
          <w:color w:val="000000" w:themeColor="text1"/>
          <w:sz w:val="24"/>
          <w14:textFill>
            <w14:solidFill>
              <w14:schemeClr w14:val="tx1"/>
            </w14:solidFill>
          </w14:textFill>
        </w:rPr>
        <w:t>有权通过修改询价文件酌情延长递交响应文件截止日期，在此情况下，投标人的所有权利和义务以及投标人受制的截止日期均应以延长后新的截止日期为准。</w:t>
      </w:r>
    </w:p>
    <w:p>
      <w:pPr>
        <w:spacing w:line="480" w:lineRule="exact"/>
        <w:ind w:firstLine="480"/>
        <w:rPr>
          <w:rFonts w:ascii="宋体" w:hAnsi="宋体" w:cs="宋体"/>
          <w:color w:val="000000" w:themeColor="text1"/>
          <w:sz w:val="24"/>
          <w14:textFill>
            <w14:solidFill>
              <w14:schemeClr w14:val="tx1"/>
            </w14:solidFill>
          </w14:textFill>
        </w:rPr>
      </w:pPr>
      <w:bookmarkStart w:id="101" w:name="_Toc20823299"/>
      <w:bookmarkStart w:id="102" w:name="_Toc513029227"/>
      <w:bookmarkStart w:id="103" w:name="_Toc16938543"/>
      <w:r>
        <w:rPr>
          <w:rFonts w:hint="eastAsia" w:ascii="宋体" w:hAnsi="宋体" w:cs="宋体"/>
          <w:color w:val="000000" w:themeColor="text1"/>
          <w:sz w:val="24"/>
          <w14:textFill>
            <w14:solidFill>
              <w14:schemeClr w14:val="tx1"/>
            </w14:solidFill>
          </w14:textFill>
        </w:rPr>
        <w:t>20、</w:t>
      </w:r>
      <w:bookmarkEnd w:id="101"/>
      <w:bookmarkEnd w:id="102"/>
      <w:bookmarkEnd w:id="103"/>
      <w:r>
        <w:rPr>
          <w:rFonts w:hint="eastAsia" w:ascii="宋体" w:hAnsi="宋体" w:cs="宋体"/>
          <w:color w:val="000000" w:themeColor="text1"/>
          <w:sz w:val="24"/>
          <w14:textFill>
            <w14:solidFill>
              <w14:schemeClr w14:val="tx1"/>
            </w14:solidFill>
          </w14:textFill>
        </w:rPr>
        <w:t>逾期送达的响应文件</w:t>
      </w:r>
    </w:p>
    <w:p>
      <w:pPr>
        <w:spacing w:line="500" w:lineRule="exact"/>
        <w:ind w:firstLine="480" w:firstLineChars="200"/>
        <w:rPr>
          <w:rFonts w:asci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w:t>
      </w:r>
      <w:r>
        <w:rPr>
          <w:rFonts w:ascii="宋体" w:hAnsi="宋体"/>
          <w:color w:val="000000" w:themeColor="text1"/>
          <w:sz w:val="24"/>
          <w14:textFill>
            <w14:solidFill>
              <w14:schemeClr w14:val="tx1"/>
            </w14:solidFill>
          </w14:textFill>
        </w:rPr>
        <w:t>.1</w:t>
      </w:r>
      <w:r>
        <w:rPr>
          <w:rStyle w:val="239"/>
          <w:rFonts w:hint="eastAsia" w:ascii="宋体" w:hAnsi="宋体" w:cs="宋体"/>
          <w:bCs/>
          <w:color w:val="000000" w:themeColor="text1"/>
          <w:sz w:val="24"/>
          <w14:textFill>
            <w14:solidFill>
              <w14:schemeClr w14:val="tx1"/>
            </w14:solidFill>
          </w14:textFill>
        </w:rPr>
        <w:t>采购人和采购代理机构</w:t>
      </w:r>
      <w:r>
        <w:rPr>
          <w:rFonts w:hint="eastAsia" w:ascii="宋体" w:hAnsi="宋体"/>
          <w:bCs/>
          <w:color w:val="000000" w:themeColor="text1"/>
          <w:sz w:val="24"/>
          <w14:textFill>
            <w14:solidFill>
              <w14:schemeClr w14:val="tx1"/>
            </w14:solidFill>
          </w14:textFill>
        </w:rPr>
        <w:t>拒绝接收在其规定的递交响应文件截止时间后递交的任何响应文件。</w:t>
      </w:r>
    </w:p>
    <w:p>
      <w:pPr>
        <w:spacing w:line="480" w:lineRule="exact"/>
        <w:ind w:firstLine="480"/>
        <w:rPr>
          <w:rFonts w:ascii="宋体" w:hAnsi="宋体" w:cs="宋体"/>
          <w:color w:val="000000" w:themeColor="text1"/>
          <w:sz w:val="24"/>
          <w14:textFill>
            <w14:solidFill>
              <w14:schemeClr w14:val="tx1"/>
            </w14:solidFill>
          </w14:textFill>
        </w:rPr>
      </w:pPr>
      <w:bookmarkStart w:id="104" w:name="_Toc16938544"/>
      <w:bookmarkStart w:id="105" w:name="_Toc513029228"/>
      <w:bookmarkStart w:id="106" w:name="_Toc20823300"/>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1、响应文件的修改和撤回</w:t>
      </w:r>
      <w:bookmarkEnd w:id="104"/>
      <w:bookmarkEnd w:id="105"/>
      <w:bookmarkEnd w:id="106"/>
    </w:p>
    <w:p>
      <w:pPr>
        <w:spacing w:line="500" w:lineRule="exact"/>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投标人在递交响应文件截止时间前，可以对所递交的响应文件进行补充、修改或者撤回，并书面通知</w:t>
      </w:r>
      <w:r>
        <w:rPr>
          <w:rStyle w:val="239"/>
          <w:rFonts w:hint="eastAsia" w:ascii="宋体" w:hAnsi="宋体" w:cs="宋体"/>
          <w:bCs/>
          <w:color w:val="000000" w:themeColor="text1"/>
          <w:sz w:val="24"/>
          <w14:textFill>
            <w14:solidFill>
              <w14:schemeClr w14:val="tx1"/>
            </w14:solidFill>
          </w14:textFill>
        </w:rPr>
        <w:t>采购人和采购代理机构</w:t>
      </w:r>
      <w:r>
        <w:rPr>
          <w:rFonts w:hint="eastAsia" w:ascii="宋体" w:hAnsi="宋体"/>
          <w:bCs/>
          <w:color w:val="000000" w:themeColor="text1"/>
          <w:sz w:val="24"/>
          <w14:textFill>
            <w14:solidFill>
              <w14:schemeClr w14:val="tx1"/>
            </w14:solidFill>
          </w14:textFill>
        </w:rPr>
        <w:t>。</w:t>
      </w:r>
    </w:p>
    <w:p>
      <w:pPr>
        <w:spacing w:line="500" w:lineRule="exact"/>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投标人补充、修改的内容应当按照询价文件要求签署、盖章、密封后，作为响应文件的组成部分。并应在封套上加注“修改”或“撤回”字样。</w:t>
      </w:r>
      <w:r>
        <w:rPr>
          <w:rFonts w:hint="eastAsia" w:ascii="宋体" w:hAnsi="宋体"/>
          <w:color w:val="000000" w:themeColor="text1"/>
          <w:sz w:val="24"/>
          <w14:textFill>
            <w14:solidFill>
              <w14:schemeClr w14:val="tx1"/>
            </w14:solidFill>
          </w14:textFill>
        </w:rPr>
        <w:t>上述补充或修改若涉及投标报价，必须注明“最后唯一报价”字样，否则将视为有选择的报价。补充、修改的文件必须在递交响应文件截止时间前送达</w:t>
      </w:r>
      <w:r>
        <w:rPr>
          <w:rStyle w:val="239"/>
          <w:rFonts w:hint="eastAsia" w:ascii="宋体" w:hAnsi="宋体" w:cs="宋体"/>
          <w:color w:val="000000" w:themeColor="text1"/>
          <w:sz w:val="24"/>
          <w14:textFill>
            <w14:solidFill>
              <w14:schemeClr w14:val="tx1"/>
            </w14:solidFill>
          </w14:textFill>
        </w:rPr>
        <w:t>采购人或采购代理机构</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ascii="宋体" w:hAns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在递交响应文件截止时间之后，投标人不得对其响应文件作任何补充、修改。</w:t>
      </w:r>
    </w:p>
    <w:p>
      <w:pPr>
        <w:spacing w:line="500" w:lineRule="exact"/>
        <w:ind w:firstLine="480" w:firstLineChars="200"/>
        <w:rPr>
          <w:rFonts w:ascii="宋体" w:hAnsi="宋体"/>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21.4</w:t>
      </w:r>
      <w:r>
        <w:rPr>
          <w:rStyle w:val="239"/>
          <w:rFonts w:hint="eastAsia" w:ascii="宋体" w:hAnsi="宋体" w:cs="宋体"/>
          <w:bCs/>
          <w:color w:val="000000" w:themeColor="text1"/>
          <w:sz w:val="24"/>
          <w14:textFill>
            <w14:solidFill>
              <w14:schemeClr w14:val="tx1"/>
            </w14:solidFill>
          </w14:textFill>
        </w:rPr>
        <w:t xml:space="preserve"> 在</w:t>
      </w:r>
      <w:r>
        <w:rPr>
          <w:rFonts w:hint="eastAsia" w:ascii="宋体" w:hAnsi="宋体"/>
          <w:bCs/>
          <w:color w:val="000000" w:themeColor="text1"/>
          <w:sz w:val="24"/>
          <w14:textFill>
            <w14:solidFill>
              <w14:schemeClr w14:val="tx1"/>
            </w14:solidFill>
          </w14:textFill>
        </w:rPr>
        <w:t>递交响应文件截止时间</w:t>
      </w:r>
      <w:r>
        <w:rPr>
          <w:rStyle w:val="239"/>
          <w:rFonts w:hint="eastAsia" w:ascii="宋体" w:hAnsi="宋体" w:cs="宋体"/>
          <w:bCs/>
          <w:color w:val="000000" w:themeColor="text1"/>
          <w:sz w:val="24"/>
          <w14:textFill>
            <w14:solidFill>
              <w14:schemeClr w14:val="tx1"/>
            </w14:solidFill>
          </w14:textFill>
        </w:rPr>
        <w:t>至招标文件中规定的投标有效期满之间的这段时间内，投标人不得撤回其投标，否则按照国家相关法律法规受到相应处罚。</w:t>
      </w:r>
    </w:p>
    <w:p>
      <w:pPr>
        <w:spacing w:line="480" w:lineRule="exact"/>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开标与</w:t>
      </w:r>
      <w:r>
        <w:rPr>
          <w:rFonts w:ascii="宋体" w:hAnsi="宋体" w:cs="宋体"/>
          <w:b/>
          <w:bCs/>
          <w:color w:val="000000" w:themeColor="text1"/>
          <w:sz w:val="24"/>
          <w14:textFill>
            <w14:solidFill>
              <w14:schemeClr w14:val="tx1"/>
            </w14:solidFill>
          </w14:textFill>
        </w:rPr>
        <w:t>响应文件的评审</w:t>
      </w:r>
      <w:bookmarkEnd w:id="94"/>
      <w:bookmarkEnd w:id="95"/>
      <w:bookmarkEnd w:id="96"/>
      <w:bookmarkEnd w:id="97"/>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22、开标</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 采购人和采购代理机构将在询价公告中规定的时间和地点组织公开开标。投标人应委派携带有效身份证件的代表准时参加，参加开标的代表需签名以证明其出席。</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22.2开标仪式由采购人或采购代理机构组织，采购人代表、公证员（必要时）、监管代表、投标人代表等参加。</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22.3按照规定同意撤回的投标将不予开封。</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 采购人或采购代理机构将指定专人负责开标记录并存档备查，各投标人需仔细核对开标记录相关内容并签字确认。</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22.6 投标人在报价时不允许采用选择性报价，否则将被视为无效投标。</w:t>
      </w:r>
    </w:p>
    <w:p>
      <w:pPr>
        <w:spacing w:line="480" w:lineRule="exact"/>
        <w:ind w:firstLine="480"/>
        <w:rPr>
          <w:rFonts w:ascii="宋体" w:hAnsi="宋体" w:cs="宋体"/>
          <w:color w:val="000000" w:themeColor="text1"/>
          <w:sz w:val="24"/>
          <w14:textFill>
            <w14:solidFill>
              <w14:schemeClr w14:val="tx1"/>
            </w14:solidFill>
          </w14:textFill>
        </w:rPr>
      </w:pPr>
      <w:bookmarkStart w:id="107" w:name="_Toc20823303"/>
      <w:bookmarkStart w:id="108" w:name="_Toc16938547"/>
      <w:bookmarkStart w:id="109" w:name="_Toc513029231"/>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小组</w:t>
      </w:r>
      <w:bookmarkEnd w:id="107"/>
      <w:bookmarkEnd w:id="108"/>
      <w:bookmarkEnd w:id="109"/>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w:t>
      </w:r>
      <w:r>
        <w:rPr>
          <w:rStyle w:val="239"/>
          <w:rFonts w:hint="eastAsia" w:ascii="宋体" w:hAnsi="宋体" w:cs="宋体"/>
          <w:color w:val="000000" w:themeColor="text1"/>
          <w:sz w:val="24"/>
          <w14:textFill>
            <w14:solidFill>
              <w14:schemeClr w14:val="tx1"/>
            </w14:solidFill>
          </w14:textFill>
        </w:rPr>
        <w:t>资格审查通过后，</w:t>
      </w:r>
      <w:r>
        <w:rPr>
          <w:rFonts w:hint="eastAsia" w:ascii="宋体" w:hAnsi="宋体" w:cs="宋体"/>
          <w:color w:val="000000" w:themeColor="text1"/>
          <w:sz w:val="24"/>
          <w14:textFill>
            <w14:solidFill>
              <w14:schemeClr w14:val="tx1"/>
            </w14:solidFill>
          </w14:textFill>
        </w:rPr>
        <w:t>采购人将组织询价小组对响应文件进行评审。</w:t>
      </w:r>
    </w:p>
    <w:p>
      <w:pPr>
        <w:spacing w:line="480" w:lineRule="exact"/>
        <w:ind w:firstLine="480"/>
        <w:rPr>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23.2 询价小组由采购人代表和有关技术、经济等方面的专家组成，且人员构成符合政府采购有关规定。</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23.2询价小组独立工作，负责评审所有响应文件并确定成交侯选人。</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24、评审过程的保密与公正</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24.1询价小组、采购人和采购代理机构工作人员、相关监督人员等与评审工作有关的人员，对评审情况以及在评审过程中获悉的国家秘密、商业秘密负有保密责任。</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24.2在评审过程中，供应商不得以任何行为影响询价评审过程，否则其响应文件将被作为无效响应文件。</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24.3在项目评审期间，采购人或采购代理机构将设专门人员与供应商联系。</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24.4 采购人、采购代理机构和询价小组不向未成交的供应商解释未成交原因，也不公布评审过程中的相关细节。</w:t>
      </w:r>
    </w:p>
    <w:p>
      <w:pPr>
        <w:spacing w:line="480" w:lineRule="exact"/>
        <w:ind w:firstLine="480"/>
        <w:rPr>
          <w:rFonts w:ascii="宋体" w:hAnsi="宋体" w:cs="宋体"/>
          <w:color w:val="000000" w:themeColor="text1"/>
          <w:sz w:val="24"/>
          <w14:textFill>
            <w14:solidFill>
              <w14:schemeClr w14:val="tx1"/>
            </w14:solidFill>
          </w14:textFill>
        </w:rPr>
      </w:pPr>
      <w:bookmarkStart w:id="110" w:name="_Toc16938548"/>
      <w:bookmarkStart w:id="111" w:name="_Toc513029232"/>
      <w:bookmarkStart w:id="112" w:name="_Toc20823304"/>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、评审过程中的的澄清</w:t>
      </w:r>
      <w:bookmarkEnd w:id="110"/>
      <w:bookmarkEnd w:id="111"/>
      <w:bookmarkEnd w:id="112"/>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项目评审期间，询价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询价小组并非对每个供应商都作澄清要求。</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25.2需要供应商进行澄清、说明和更正的，询价小组将向供应商发出澄清要求，接到澄清要求的供应商应当按照要求进行澄清。澄清、说明和更正的内容作为响应文件的补充部分。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25.3 接到询价小组澄清、说明和更正要求的供应商如未按规定做出澄清、说明和更正，其风险由供应商自行承担。</w:t>
      </w:r>
    </w:p>
    <w:p>
      <w:pPr>
        <w:spacing w:line="480" w:lineRule="exact"/>
        <w:ind w:firstLine="480"/>
        <w:rPr>
          <w:rFonts w:ascii="宋体" w:hAnsi="宋体" w:cs="宋体"/>
          <w:color w:val="000000" w:themeColor="text1"/>
          <w:sz w:val="24"/>
          <w14:textFill>
            <w14:solidFill>
              <w14:schemeClr w14:val="tx1"/>
            </w14:solidFill>
          </w14:textFill>
        </w:rPr>
      </w:pPr>
      <w:bookmarkStart w:id="113" w:name="_Toc513029233"/>
      <w:bookmarkStart w:id="114" w:name="_Toc16938549"/>
      <w:bookmarkStart w:id="115" w:name="_Toc20823305"/>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6</w:t>
      </w:r>
      <w:r>
        <w:rPr>
          <w:rFonts w:ascii="宋体" w:hAnsi="宋体" w:cs="宋体"/>
          <w:color w:val="000000" w:themeColor="text1"/>
          <w:sz w:val="24"/>
          <w14:textFill>
            <w14:solidFill>
              <w14:schemeClr w14:val="tx1"/>
            </w14:solidFill>
          </w14:textFill>
        </w:rPr>
        <w:t>、对响应文件的审</w:t>
      </w:r>
      <w:bookmarkEnd w:id="113"/>
      <w:bookmarkEnd w:id="114"/>
      <w:bookmarkEnd w:id="115"/>
      <w:r>
        <w:rPr>
          <w:rFonts w:ascii="宋体" w:hAnsi="宋体" w:cs="宋体"/>
          <w:color w:val="000000" w:themeColor="text1"/>
          <w:sz w:val="24"/>
          <w14:textFill>
            <w14:solidFill>
              <w14:schemeClr w14:val="tx1"/>
            </w14:solidFill>
          </w14:textFill>
        </w:rPr>
        <w:t>查</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26.1响应文件审查分为资格审查和符合性审查。</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26.1.1 资格审查：由询价小组依据法律法规和询价文件的规定，对响应文件中的资格证明文件进行审查，以确定供应商是否具备参加询价的资格。</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接受联合体的项目，两个以上的自然人、法人或者其他组织组成一个联合体，以一个供应商的身份共同参加政府采购活动的,联合体成员中任何一方存在不良信用记录的，视同联合体存在不良应用记录。</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26.1.2 符合性审查：依据询价文件的规定，由询价小组从响应文件的有效性、完整性和对询价文件的响应程度进行审查，以确定是否对询价文件的实质性要求作出响应。</w:t>
      </w:r>
    </w:p>
    <w:p>
      <w:pPr>
        <w:spacing w:line="480" w:lineRule="exact"/>
        <w:ind w:firstLine="48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根据《关于推动解决政府采购异常低价问题相关工作的通知》（苏财购〔2025〕62号）文件要求：</w:t>
      </w:r>
    </w:p>
    <w:p>
      <w:pPr>
        <w:spacing w:line="480" w:lineRule="exact"/>
        <w:ind w:firstLine="48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(一)评审过程中出现下列情形之一的，评审委员会应当启动异常低价投标审查程序:</w:t>
      </w:r>
    </w:p>
    <w:p>
      <w:pPr>
        <w:spacing w:line="480" w:lineRule="exact"/>
        <w:ind w:firstLine="48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1.投标报价低于采购项目预算价（最高限价） </w:t>
      </w:r>
      <w:r>
        <w:rPr>
          <w:rFonts w:hint="eastAsia" w:ascii="宋体" w:hAnsi="宋体" w:cs="宋体"/>
          <w:b/>
          <w:bCs/>
          <w:color w:val="000000" w:themeColor="text1"/>
          <w:sz w:val="24"/>
          <w:lang w:val="en-US" w:eastAsia="zh-CN"/>
          <w14:textFill>
            <w14:solidFill>
              <w14:schemeClr w14:val="tx1"/>
            </w14:solidFill>
          </w14:textFill>
        </w:rPr>
        <w:t>50</w:t>
      </w:r>
      <w:r>
        <w:rPr>
          <w:rFonts w:hint="eastAsia" w:ascii="宋体" w:hAnsi="宋体" w:cs="宋体"/>
          <w:b/>
          <w:bCs/>
          <w:color w:val="000000" w:themeColor="text1"/>
          <w:sz w:val="24"/>
          <w14:textFill>
            <w14:solidFill>
              <w14:schemeClr w14:val="tx1"/>
            </w14:solidFill>
          </w14:textFill>
        </w:rPr>
        <w:t>%的，即投标报价&lt;采购项目预算（最高限价）x</w:t>
      </w:r>
      <w:r>
        <w:rPr>
          <w:rFonts w:hint="eastAsia" w:ascii="宋体" w:hAnsi="宋体" w:cs="宋体"/>
          <w:b/>
          <w:bCs/>
          <w:color w:val="000000" w:themeColor="text1"/>
          <w:sz w:val="24"/>
          <w:lang w:val="en-US" w:eastAsia="zh-CN"/>
          <w14:textFill>
            <w14:solidFill>
              <w14:schemeClr w14:val="tx1"/>
            </w14:solidFill>
          </w14:textFill>
        </w:rPr>
        <w:t>50</w:t>
      </w:r>
      <w:r>
        <w:rPr>
          <w:rFonts w:hint="eastAsia" w:ascii="宋体" w:hAnsi="宋体" w:cs="宋体"/>
          <w:b/>
          <w:bCs/>
          <w:color w:val="000000" w:themeColor="text1"/>
          <w:sz w:val="24"/>
          <w14:textFill>
            <w14:solidFill>
              <w14:schemeClr w14:val="tx1"/>
            </w14:solidFill>
          </w14:textFill>
        </w:rPr>
        <w:t>%；</w:t>
      </w:r>
    </w:p>
    <w:p>
      <w:pPr>
        <w:spacing w:line="480" w:lineRule="exact"/>
        <w:ind w:firstLine="48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2.评审委员会认定的供应商报价过低、有可能影响产品质量或者不能诚信履约的其他情形。</w:t>
      </w:r>
    </w:p>
    <w:p>
      <w:pPr>
        <w:spacing w:line="480" w:lineRule="exact"/>
        <w:ind w:firstLine="48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启动异常低价投标审查后，评审委员会应当要求相关供应商在评标现场合理的时间内，提供项目具体成本测算等与报价合理性相关的书面说明及相关证明材料，对投标价格作出解释，由评审委员会结合同类产品在主要电商平台的价格、该行业当地薪资水平等情况，依据专业经验对供应商报价合理性进行判断。投标供应商不提供书面说明、证明材料,或者提供的书面说明、证明材料不能证明其报价合理性的,评审委员会应当将其作为无效投标处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26.2在详细评审之前，询价小组将首先审查每份响应文件是否实质性响应了询价文件的要求。实质性响应的响应文件应该是与询价文件要求的条款、条件和规格相符，没有重大偏离或保留。</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谓重大偏离或保留是指与询价文件规定的实质性要求存在负偏离，或者在实质上与询价文件不一致，而且限制了合同中买方和采购人的权利或供应商的义务，纠正这些偏离或保留将会对其他实质性响应要求的供应商的竞争地位产生不公正的影响。重大偏离由询价小组按照少数服从多数的原则认定。询价小组决定响应文件的响应性只根据响应文件本身的内容，而不寻求外部的证据。</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26.3</w:t>
      </w:r>
      <w:r>
        <w:rPr>
          <w:rStyle w:val="239"/>
          <w:rFonts w:hint="eastAsia" w:ascii="宋体" w:hAnsi="宋体" w:cs="宋体"/>
          <w:bCs/>
          <w:color w:val="000000" w:themeColor="text1"/>
          <w:sz w:val="24"/>
          <w14:textFill>
            <w14:solidFill>
              <w14:schemeClr w14:val="tx1"/>
            </w14:solidFill>
          </w14:textFill>
        </w:rPr>
        <w:t>如果响应文件实质上没有响应询价文件的要求，</w:t>
      </w:r>
      <w:r>
        <w:rPr>
          <w:rFonts w:hint="eastAsia" w:ascii="宋体" w:hAnsi="宋体" w:cs="宋体"/>
          <w:color w:val="000000" w:themeColor="text1"/>
          <w:sz w:val="24"/>
          <w14:textFill>
            <w14:solidFill>
              <w14:schemeClr w14:val="tx1"/>
            </w14:solidFill>
          </w14:textFill>
        </w:rPr>
        <w:t>询价小组将予以拒绝，供应商不得通过修改或撤销不合要求的偏离或保留而使其成为实质性响应的文件。</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26.4</w:t>
      </w:r>
      <w:r>
        <w:rPr>
          <w:rStyle w:val="239"/>
          <w:rFonts w:hint="eastAsia" w:ascii="宋体" w:hAnsi="宋体" w:cs="宋体"/>
          <w:bCs/>
          <w:color w:val="000000" w:themeColor="text1"/>
          <w:sz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（1）响应文件中开标一览表内容与响应文件中相应内容不一致的，以开标一览表为准。</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（2）大写金额和小写金额不一致的，以大写金额为准。</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同时出现两种以上错误的，按照前款规定的顺序修正。</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26.5</w:t>
      </w:r>
      <w:r>
        <w:rPr>
          <w:rStyle w:val="239"/>
          <w:rFonts w:hint="eastAsia" w:ascii="宋体" w:hAnsi="宋体" w:cs="宋体"/>
          <w:bCs/>
          <w:color w:val="000000" w:themeColor="text1"/>
          <w:sz w:val="24"/>
          <w14:textFill>
            <w14:solidFill>
              <w14:schemeClr w14:val="tx1"/>
            </w14:solidFill>
          </w14:textFill>
        </w:rPr>
        <w:t>评委会将按上述修正错误的方法调整响应文件中的投标报价，调整后的价格应对投标人具有约束力。如果投标人不接受修正后的价格，则其响应文件将被拒绝，则按照国家相关法律法规受到相应处罚。</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26.6</w:t>
      </w:r>
      <w:r>
        <w:rPr>
          <w:rStyle w:val="239"/>
          <w:rFonts w:hint="eastAsia" w:ascii="宋体" w:hAnsi="宋体" w:cs="宋体"/>
          <w:bCs/>
          <w:color w:val="000000" w:themeColor="text1"/>
          <w:sz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26.7未实质性响应询价文件的情形</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26.7.1供应商</w:t>
      </w:r>
      <w:r>
        <w:rPr>
          <w:rStyle w:val="239"/>
          <w:rFonts w:hint="eastAsia" w:ascii="宋体" w:hAnsi="宋体" w:cs="宋体"/>
          <w:bCs/>
          <w:color w:val="000000" w:themeColor="text1"/>
          <w:sz w:val="24"/>
          <w14:textFill>
            <w14:solidFill>
              <w14:schemeClr w14:val="tx1"/>
            </w14:solidFill>
          </w14:textFill>
        </w:rPr>
        <w:t>未按照询价文件规定要求密封、签署、盖章的</w:t>
      </w:r>
      <w:r>
        <w:rPr>
          <w:rFonts w:hint="eastAsia" w:ascii="宋体" w:hAnsi="宋体" w:cs="宋体"/>
          <w:color w:val="000000" w:themeColor="text1"/>
          <w:sz w:val="24"/>
          <w14:textFill>
            <w14:solidFill>
              <w14:schemeClr w14:val="tx1"/>
            </w14:solidFill>
          </w14:textFill>
        </w:rPr>
        <w:t>。</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26.7.2供应商未按照询价文件要求递交响应文件的。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26.7.3同一供应商提交两个（含两个）以上不同的响应文件或者报价的。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26.7.4供应商不具备询价文件中规定资格要求的。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26.7.5供应商的报价超过了采购预算。</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26.7.6不符合</w:t>
      </w:r>
      <w:r>
        <w:rPr>
          <w:rFonts w:hint="eastAsia" w:cs="宋体"/>
          <w:color w:val="000000" w:themeColor="text1"/>
          <w:sz w:val="24"/>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文件中规定的实质性要求和条件的。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26.7.8 响应文件含有采购人不能接受的附加条件的。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26.8未实质性响应询价文件的响应文件按无效响应处理。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26.9</w:t>
      </w:r>
      <w:bookmarkStart w:id="116" w:name="_Toc513029234"/>
      <w:bookmarkStart w:id="117" w:name="_Toc16938550"/>
      <w:bookmarkStart w:id="118" w:name="_Toc20823306"/>
      <w:r>
        <w:rPr>
          <w:rFonts w:hint="eastAsia" w:ascii="宋体" w:hAnsi="宋体" w:cs="宋体"/>
          <w:color w:val="000000" w:themeColor="text1"/>
          <w:sz w:val="24"/>
          <w14:textFill>
            <w14:solidFill>
              <w14:schemeClr w14:val="tx1"/>
            </w14:solidFill>
          </w14:textFill>
        </w:rPr>
        <w:t>供应商在项目评审全过程中应保持通讯畅通，并安排专人与采购人或采购代理机构及询价小组联系。</w:t>
      </w:r>
      <w:bookmarkEnd w:id="116"/>
      <w:bookmarkEnd w:id="117"/>
      <w:bookmarkEnd w:id="118"/>
    </w:p>
    <w:p>
      <w:pPr>
        <w:spacing w:line="480" w:lineRule="exact"/>
        <w:ind w:firstLine="48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六、定标</w:t>
      </w:r>
    </w:p>
    <w:p>
      <w:pPr>
        <w:spacing w:line="48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7</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程序及成交原则</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27.1询价程序</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27.1.1询价小组将对供应商的响应文件进行资格审查和符合性审查。询价小组在询价过程中，不得改变询价文件中所确定的技术和服务等要求、评审程序、评定成交的标准和合同主要条款等事项。参加询价采购活动的供应商，应当按照询价文件中的规定一次报出不得更改的价格。</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 成交原则</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27.2.1询价小组将从质量和服务均能满足采购文件实质性响应要求的供应商中，按照报价由低到高顺序推荐1名成交候选供应商，并编写评审报告。</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27.2.4 采购人将在“盐城工业职业技术学院招标采购网”发布中标公告，公告期限为1个工作日。</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27.4采购活动终止的情况</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出现下列情形之一的，本次询价采购活动将被终止：</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27.4.1因情况变化，不再符合规定的询价采购方式适用情形的。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27.4.2出现影响采购公正的违法、违规行为的。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27.4.3在采购过程中符合要求的供应商或者报价未超过采购预算的供应商不足3家的。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27.4.5递交响应文件的供应商不足3家的。</w:t>
      </w:r>
    </w:p>
    <w:p>
      <w:pPr>
        <w:spacing w:line="48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、成交供应商被取消成交资格情形</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若有充分证据证明，成交供应商出现下列情况之一的，一经查实，将被取消成交资格：</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28.1提供虚假材料谋取成交的。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28.2与评审专家、采购人或采购代理机构、其他供应商或者采购人工作人员恶意串通的。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28.3向评审专家、采购人或采购代理机构工作人员行贿或者提供其他不正当利益的。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28.4恶意竞争，报价明显低于其自身合理成本且又无法提供证明的。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28.5不满足本询价文件规定的实质性要求，但在评审过程中又未被询价小组发现的。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28.6成交后无正当理由拒不与采购人签订合同或者未按照询价文件确定的事项签订合同的。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28.7将项目合同转包的。</w:t>
      </w:r>
    </w:p>
    <w:p>
      <w:pPr>
        <w:spacing w:line="480" w:lineRule="exact"/>
        <w:ind w:firstLine="480"/>
        <w:rPr>
          <w:rFonts w:ascii="宋体" w:hAnsi="宋体" w:cs="宋体"/>
          <w:color w:val="000000" w:themeColor="text1"/>
          <w:sz w:val="24"/>
          <w14:textFill>
            <w14:solidFill>
              <w14:schemeClr w14:val="tx1"/>
            </w14:solidFill>
          </w14:textFill>
        </w:rPr>
      </w:pPr>
      <w:bookmarkStart w:id="119" w:name="_Toc200451960"/>
      <w:r>
        <w:rPr>
          <w:rFonts w:hint="eastAsia" w:ascii="宋体" w:hAnsi="宋体" w:cs="宋体"/>
          <w:color w:val="000000" w:themeColor="text1"/>
          <w:sz w:val="24"/>
          <w14:textFill>
            <w14:solidFill>
              <w14:schemeClr w14:val="tx1"/>
            </w14:solidFill>
          </w14:textFill>
        </w:rPr>
        <w:t>29、质疑处理</w:t>
      </w:r>
      <w:bookmarkEnd w:id="119"/>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29.1 提出质疑的供应商应当是参与所质疑项目采购活动的供应商。潜在供应商依法获取其可质疑的采购文件的，可以对采购文件提出质疑。</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29.2供应商认为采购文件、采购过程和采购结果使自己的权益受到损害的，可以在知道或应知其权益受到损害之日起七个工作日内，以书面形式根据下述29.4条款的规定向采购人或采购代理机构提出质疑。上述应知其权益受到损害之日，是指：</w:t>
      </w:r>
    </w:p>
    <w:p>
      <w:pPr>
        <w:spacing w:line="480" w:lineRule="exact"/>
        <w:ind w:firstLine="482"/>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29.2.1对可以质疑的采购文件提出质疑的，为收到采购文件之日或者采购文件公告期限届满之日。</w:t>
      </w:r>
    </w:p>
    <w:p>
      <w:pPr>
        <w:spacing w:line="480" w:lineRule="exact"/>
        <w:ind w:firstLine="482"/>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29.2.2对采购过程提出质疑的，为各采购程序环节结束之日。</w:t>
      </w:r>
    </w:p>
    <w:p>
      <w:pPr>
        <w:spacing w:line="480" w:lineRule="exact"/>
        <w:ind w:firstLine="482"/>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29.2.3对成交结果提出质疑的，为成交结果公告期限届满之日。</w:t>
      </w:r>
    </w:p>
    <w:p>
      <w:pPr>
        <w:spacing w:line="480" w:lineRule="exact"/>
        <w:ind w:firstLine="480"/>
        <w:rPr>
          <w:rFonts w:ascii="宋体" w:hAnsi="宋体" w:cs="宋体"/>
          <w:b/>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质疑必须按《政府采购法》、《政府采购法实施条例》及《江苏省政府采购供应商监督管理暂行办法》的相关规定提交，未按上述要求提交的质疑函（含传真、电子邮件等）采购人</w:t>
      </w:r>
      <w:r>
        <w:rPr>
          <w:rFonts w:hint="eastAsia" w:ascii="宋体" w:hAnsi="宋体" w:cs="宋体"/>
          <w:color w:val="000000" w:themeColor="text1"/>
          <w:sz w:val="24"/>
          <w14:textFill>
            <w14:solidFill>
              <w14:schemeClr w14:val="tx1"/>
            </w14:solidFill>
          </w14:textFill>
        </w:rPr>
        <w:t>或采购代理机构</w:t>
      </w:r>
      <w:r>
        <w:rPr>
          <w:rStyle w:val="239"/>
          <w:rFonts w:hint="eastAsia" w:ascii="宋体" w:hAnsi="宋体" w:cs="宋体"/>
          <w:color w:val="000000" w:themeColor="text1"/>
          <w:sz w:val="24"/>
          <w14:textFill>
            <w14:solidFill>
              <w14:schemeClr w14:val="tx1"/>
            </w14:solidFill>
          </w14:textFill>
        </w:rPr>
        <w:t>有权不予受理。</w:t>
      </w:r>
      <w:r>
        <w:rPr>
          <w:rStyle w:val="239"/>
          <w:rFonts w:hint="eastAsia" w:ascii="宋体" w:hAnsi="宋体" w:cs="宋体"/>
          <w:b/>
          <w:bCs/>
          <w:color w:val="000000" w:themeColor="text1"/>
          <w:sz w:val="24"/>
          <w14:textFill>
            <w14:solidFill>
              <w14:schemeClr w14:val="tx1"/>
            </w14:solidFill>
          </w14:textFill>
        </w:rPr>
        <w:t>供应商应当在法定质疑期内一次性提出针对同一采</w:t>
      </w:r>
      <w:r>
        <w:rPr>
          <w:rFonts w:hint="eastAsia" w:ascii="宋体" w:hAnsi="宋体" w:cs="宋体"/>
          <w:b/>
          <w:bCs/>
          <w:color w:val="000000" w:themeColor="text1"/>
          <w:sz w:val="24"/>
          <w14:textFill>
            <w14:solidFill>
              <w14:schemeClr w14:val="tx1"/>
            </w14:solidFill>
          </w14:textFill>
        </w:rPr>
        <w:t>购程序环节的质疑。供应商如在法定期限内对同一采购程序环节提出多次质疑的，采购人或采购代理机构将只对供应商第一次质疑作出答复。</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29.3未参加投标活动的供应商或在投标活动中自身权益未受到损害的供应商所提出的质疑不予受理。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29.4质疑函应当包括下列内容：</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29.4.1质疑投标人的名称、地址、邮编、联系人、联系电话；</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29.4.2具体的质疑事项及明确的请求；</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29.4.3认为自己合法权益受到损害或可能受到损害的相关证据材料；</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29.4.4提起质疑的日期；</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或采购代理机构将不予受理。)质疑人委托代理质疑的，应当向采购人或采购代理机构提交授权委托书，并载明委托代理的具体权限和事项。</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29.5采购人或采购代理机构收到质疑函后，将对质疑的形式和内容进行审查，如质疑函内容、格式不符合规定，采购人将告知质疑人进行补正。</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29.6质疑人应当在法定质疑期限内进行补正并重新提交质疑函，拒不补正或者在法定期限内未重新提交质疑函的，为无效质疑，采购人将不予受理。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29.7对于内容、格式符合规定的质疑函，采购人或采购代理机构应当在收到投标供应商的书面质疑后七个工作日内作出答复，并以书面形式通知质疑供应商和其他有关供应商，但答复的内容不得涉及商业秘密。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30、中标通知书</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30.l中标结果确定后，采购人将向中标供应商发出中标通知书。</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30.2中标通知书将是合同的一个组成部分。对采购人和中标供应商均具有法律效力。中标通知书发出后，采购人改变中标结果的，或者中标供应商放弃中标项目的，应当依法承担法律责任。</w:t>
      </w:r>
    </w:p>
    <w:p>
      <w:pPr>
        <w:spacing w:line="480" w:lineRule="exact"/>
        <w:ind w:firstLine="482"/>
        <w:rPr>
          <w:rFonts w:ascii="宋体" w:hAnsi="宋体" w:cs="宋体"/>
          <w:b/>
          <w:bCs/>
          <w:color w:val="000000" w:themeColor="text1"/>
          <w:sz w:val="24"/>
          <w14:textFill>
            <w14:solidFill>
              <w14:schemeClr w14:val="tx1"/>
            </w14:solidFill>
          </w14:textFill>
        </w:rPr>
      </w:pPr>
      <w:bookmarkStart w:id="120" w:name="_Toc120614220"/>
      <w:bookmarkStart w:id="121" w:name="_Toc513029236"/>
      <w:bookmarkStart w:id="122" w:name="_Toc16938552"/>
      <w:bookmarkStart w:id="123" w:name="_Toc20823308"/>
      <w:r>
        <w:rPr>
          <w:rFonts w:ascii="宋体" w:hAnsi="宋体" w:cs="宋体"/>
          <w:b/>
          <w:bCs/>
          <w:color w:val="000000" w:themeColor="text1"/>
          <w:sz w:val="24"/>
          <w14:textFill>
            <w14:solidFill>
              <w14:schemeClr w14:val="tx1"/>
            </w14:solidFill>
          </w14:textFill>
        </w:rPr>
        <w:t>七、授予合同</w:t>
      </w:r>
      <w:bookmarkEnd w:id="120"/>
      <w:bookmarkEnd w:id="121"/>
      <w:bookmarkEnd w:id="122"/>
      <w:bookmarkEnd w:id="123"/>
    </w:p>
    <w:p>
      <w:pPr>
        <w:spacing w:line="480" w:lineRule="exact"/>
        <w:ind w:firstLine="480"/>
        <w:rPr>
          <w:rFonts w:ascii="宋体" w:hAnsi="宋体" w:cs="宋体"/>
          <w:color w:val="000000" w:themeColor="text1"/>
          <w:sz w:val="24"/>
          <w14:textFill>
            <w14:solidFill>
              <w14:schemeClr w14:val="tx1"/>
            </w14:solidFill>
          </w14:textFill>
        </w:rPr>
      </w:pPr>
      <w:bookmarkStart w:id="124" w:name="_Toc513029237"/>
      <w:bookmarkStart w:id="125" w:name="_Toc20823309"/>
      <w:bookmarkStart w:id="126" w:name="_Toc16938553"/>
      <w:r>
        <w:rPr>
          <w:rFonts w:hint="eastAsia" w:ascii="宋体" w:hAnsi="宋体" w:cs="宋体"/>
          <w:color w:val="000000" w:themeColor="text1"/>
          <w:sz w:val="24"/>
          <w14:textFill>
            <w14:solidFill>
              <w14:schemeClr w14:val="tx1"/>
            </w14:solidFill>
          </w14:textFill>
        </w:rPr>
        <w:t>31. 签订合同</w:t>
      </w:r>
      <w:bookmarkEnd w:id="124"/>
      <w:bookmarkEnd w:id="125"/>
      <w:bookmarkEnd w:id="126"/>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31.l成交供应商应当在成交通知书发出之日起三十日内，按照询价文件确定的事项与采购人签订政府采购合同。</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31.2询价文件、成交供应商的响应文件及询价过程中有关澄清、承诺文件均应作为合同附件。</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31.3 签订合同后，成交供应商不得将合同标的进行转包。未经采购人同意，成交供应商也不得采用分包形式履行合同,否则采购人有权终止合同。转包或分包造成采购人损失的，成交供应商应承担相应赔偿责任。</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32、标的物的追加</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p>
    <w:p>
      <w:pPr>
        <w:snapToGrid w:val="0"/>
        <w:spacing w:line="360" w:lineRule="auto"/>
        <w:ind w:firstLine="480" w:firstLineChars="200"/>
        <w:rPr>
          <w:rStyle w:val="239"/>
          <w:rFonts w:ascii="宋体" w:hAnsi="宋体" w:cs="宋体"/>
          <w:b/>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32.2采购结束后，采购人若由于各种客观原因，必须对采购项目所牵涉的货物和服务进行适当的减少时，在双方协商一致的前提下，可以按照招标采购时的价格水平做相应的调减，并据此签订补充合同。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33、履约保证金</w:t>
      </w:r>
    </w:p>
    <w:p>
      <w:pPr>
        <w:tabs>
          <w:tab w:val="left" w:pos="900"/>
        </w:tabs>
        <w:snapToGrid w:val="0"/>
        <w:spacing w:line="360" w:lineRule="auto"/>
        <w:ind w:firstLine="480" w:firstLineChars="200"/>
        <w:rPr>
          <w:rStyle w:val="239"/>
          <w:rFonts w:ascii="宋体" w:hAnsi="宋体" w:cs="宋体"/>
          <w:b/>
          <w:color w:val="000000" w:themeColor="text1"/>
          <w:sz w:val="4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在签订合同时，须向采购人交纳</w:t>
      </w:r>
      <w:r>
        <w:rPr>
          <w:rFonts w:hint="eastAsia" w:ascii="宋体" w:hAnsi="宋体" w:cs="宋体"/>
          <w:color w:val="000000" w:themeColor="text1"/>
          <w:sz w:val="24"/>
          <w14:textFill>
            <w14:solidFill>
              <w14:schemeClr w14:val="tx1"/>
            </w14:solidFill>
          </w14:textFill>
        </w:rPr>
        <w:t>合同总价5%的</w:t>
      </w:r>
      <w:r>
        <w:rPr>
          <w:rStyle w:val="239"/>
          <w:rFonts w:hint="eastAsia" w:ascii="宋体" w:hAnsi="宋体" w:cs="宋体"/>
          <w:color w:val="000000" w:themeColor="text1"/>
          <w:sz w:val="24"/>
          <w14:textFill>
            <w14:solidFill>
              <w14:schemeClr w14:val="tx1"/>
            </w14:solidFill>
          </w14:textFill>
        </w:rPr>
        <w:t>履约保证金，于合同履行后退还。履约保证金用以约束成交供应商在合同履行中的行为，弥补合同执行中由于自身行为可能给采购人带来的各种损失。</w:t>
      </w:r>
    </w:p>
    <w:p>
      <w:pPr>
        <w:spacing w:line="480" w:lineRule="exact"/>
        <w:ind w:firstLine="480"/>
        <w:rPr>
          <w:rFonts w:ascii="宋体" w:hAnsi="宋体" w:cs="宋体"/>
          <w:color w:val="000000" w:themeColor="text1"/>
          <w:sz w:val="24"/>
          <w14:textFill>
            <w14:solidFill>
              <w14:schemeClr w14:val="tx1"/>
            </w14:solidFill>
          </w14:textFill>
        </w:rPr>
      </w:pPr>
    </w:p>
    <w:p>
      <w:pPr>
        <w:pStyle w:val="216"/>
        <w:widowControl w:val="0"/>
        <w:spacing w:before="120" w:beforeAutospacing="0" w:after="120" w:afterAutospacing="0" w:line="0" w:lineRule="atLeast"/>
        <w:jc w:val="center"/>
        <w:rPr>
          <w:color w:val="000000" w:themeColor="text1"/>
          <w14:textFill>
            <w14:solidFill>
              <w14:schemeClr w14:val="tx1"/>
            </w14:solidFill>
          </w14:textFill>
        </w:rPr>
      </w:pPr>
      <w:r>
        <w:rPr>
          <w:rFonts w:hint="eastAsia" w:eastAsia="黑体"/>
          <w:color w:val="000000" w:themeColor="text1"/>
          <w:sz w:val="36"/>
          <w:szCs w:val="36"/>
          <w14:textFill>
            <w14:solidFill>
              <w14:schemeClr w14:val="tx1"/>
            </w14:solidFill>
          </w14:textFill>
        </w:rPr>
        <w:br w:type="page" w:clear="all"/>
      </w:r>
      <w:r>
        <w:rPr>
          <w:rFonts w:hint="eastAsia" w:ascii="方正小标宋_GBK" w:hAnsi="方正小标宋_GBK" w:eastAsia="方正小标宋_GBK" w:cs="方正小标宋_GBK"/>
          <w:color w:val="000000" w:themeColor="text1"/>
          <w:sz w:val="44"/>
          <w:szCs w:val="44"/>
          <w14:textFill>
            <w14:solidFill>
              <w14:schemeClr w14:val="tx1"/>
            </w14:solidFill>
          </w14:textFill>
        </w:rPr>
        <w:t xml:space="preserve">第三章  </w:t>
      </w:r>
      <w:bookmarkStart w:id="127" w:name="_Toc462564139"/>
      <w:bookmarkStart w:id="128" w:name="_Toc16938590"/>
      <w:bookmarkStart w:id="129" w:name="_Toc20823346"/>
      <w:bookmarkStart w:id="130" w:name="_Toc120614244"/>
      <w:r>
        <w:rPr>
          <w:rFonts w:hint="eastAsia" w:ascii="方正小标宋_GBK" w:hAnsi="方正小标宋_GBK" w:eastAsia="方正小标宋_GBK" w:cs="方正小标宋_GBK"/>
          <w:color w:val="000000" w:themeColor="text1"/>
          <w:sz w:val="44"/>
          <w:szCs w:val="44"/>
          <w14:textFill>
            <w14:solidFill>
              <w14:schemeClr w14:val="tx1"/>
            </w14:solidFill>
          </w14:textFill>
        </w:rPr>
        <w:t>采购需求</w:t>
      </w:r>
      <w:bookmarkEnd w:id="127"/>
      <w:bookmarkEnd w:id="128"/>
      <w:bookmarkEnd w:id="129"/>
      <w:bookmarkEnd w:id="130"/>
      <w:bookmarkStart w:id="131" w:name="_Toc26554093"/>
      <w:bookmarkEnd w:id="131"/>
      <w:bookmarkStart w:id="132" w:name="_Toc49090575"/>
      <w:bookmarkEnd w:id="132"/>
    </w:p>
    <w:p>
      <w:pPr>
        <w:widowControl/>
        <w:numPr>
          <w:ilvl w:val="0"/>
          <w:numId w:val="2"/>
        </w:numPr>
        <w:spacing w:line="560" w:lineRule="exact"/>
        <w:ind w:firstLine="48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采购内容</w:t>
      </w:r>
    </w:p>
    <w:p>
      <w:pPr>
        <w:pStyle w:val="6"/>
        <w:keepNext/>
        <w:keepLines/>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具体采购清单及技术参数见附件</w:t>
      </w:r>
    </w:p>
    <w:p>
      <w:pPr>
        <w:pStyle w:val="216"/>
        <w:widowControl w:val="0"/>
        <w:spacing w:before="0" w:beforeAutospacing="0" w:after="0" w:afterAutospacing="0" w:line="500" w:lineRule="exact"/>
        <w:ind w:firstLine="482" w:firstLineChars="200"/>
        <w:jc w:val="both"/>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二</w:t>
      </w:r>
      <w:r>
        <w:rPr>
          <w:rFonts w:hint="eastAsia"/>
          <w:b/>
          <w:bCs/>
          <w:color w:val="000000" w:themeColor="text1"/>
          <w14:textFill>
            <w14:solidFill>
              <w14:schemeClr w14:val="tx1"/>
            </w14:solidFill>
          </w14:textFill>
        </w:rPr>
        <w:t>、商务条款</w:t>
      </w:r>
      <w:r>
        <w:rPr>
          <w:b/>
          <w:bCs/>
          <w:color w:val="000000" w:themeColor="text1"/>
          <w14:textFill>
            <w14:solidFill>
              <w14:schemeClr w14:val="tx1"/>
            </w14:solidFill>
          </w14:textFill>
        </w:rPr>
        <w:t> </w:t>
      </w:r>
    </w:p>
    <w:p>
      <w:pPr>
        <w:pStyle w:val="218"/>
        <w:spacing w:line="500" w:lineRule="exact"/>
        <w:ind w:firstLine="482"/>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1.质保期</w:t>
      </w:r>
    </w:p>
    <w:p>
      <w:pPr>
        <w:pStyle w:val="218"/>
        <w:spacing w:line="50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须提供</w:t>
      </w:r>
      <w:r>
        <w:rPr>
          <w:rFonts w:hint="eastAsia" w:ascii="宋体" w:hAnsi="宋体" w:cs="宋体"/>
          <w:color w:val="000000" w:themeColor="text1"/>
          <w:sz w:val="24"/>
          <w:szCs w:val="24"/>
          <w:lang w:val="en-US" w:eastAsia="zh-CN"/>
          <w14:textFill>
            <w14:solidFill>
              <w14:schemeClr w14:val="tx1"/>
            </w14:solidFill>
          </w14:textFill>
        </w:rPr>
        <w:t>五</w:t>
      </w:r>
      <w:r>
        <w:rPr>
          <w:rFonts w:hint="eastAsia" w:ascii="宋体" w:hAnsi="宋体" w:cs="宋体"/>
          <w:color w:val="000000" w:themeColor="text1"/>
          <w:sz w:val="24"/>
          <w:szCs w:val="24"/>
          <w14:textFill>
            <w14:solidFill>
              <w14:schemeClr w14:val="tx1"/>
            </w14:solidFill>
          </w14:textFill>
        </w:rPr>
        <w:t>年的免费质保服务。（自交货验收合格之日起计）</w:t>
      </w:r>
    </w:p>
    <w:p>
      <w:pPr>
        <w:pStyle w:val="218"/>
        <w:numPr>
          <w:ilvl w:val="0"/>
          <w:numId w:val="3"/>
        </w:numPr>
        <w:spacing w:line="500" w:lineRule="exact"/>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售后技术服务要求</w:t>
      </w:r>
    </w:p>
    <w:p>
      <w:pPr>
        <w:pStyle w:val="218"/>
        <w:spacing w:line="500" w:lineRule="exact"/>
        <w:ind w:firstLine="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2.1在质量保修期内，如有问题，卖方应免费维修并且保证2小时内响应买方电话通知，立即委派专业维修人员在24小时内到达现场，48小时内修复至正常运行；若无法修复至正常运行，须标明赔偿标准或补救措施。</w:t>
      </w:r>
    </w:p>
    <w:p>
      <w:pPr>
        <w:pStyle w:val="218"/>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2.2免费维护期间，买方遇到重大问题，且以上技术不能解决，中标人应派技术工程师到现场排除故障，保证买方正常使用。</w:t>
      </w:r>
    </w:p>
    <w:p>
      <w:pPr>
        <w:spacing w:line="50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3.付款方式</w:t>
      </w:r>
    </w:p>
    <w:p>
      <w:pPr>
        <w:pStyle w:val="218"/>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付款方式:招标范围内容全部完成并经安装调试</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确保正常使用</w:t>
      </w:r>
      <w:r>
        <w:rPr>
          <w:rFonts w:hint="eastAsia" w:ascii="宋体" w:hAnsi="宋体" w:cs="宋体"/>
          <w:bCs/>
          <w:color w:val="000000" w:themeColor="text1"/>
          <w:sz w:val="24"/>
          <w14:textFill>
            <w14:solidFill>
              <w14:schemeClr w14:val="tx1"/>
            </w14:solidFill>
          </w14:textFill>
        </w:rPr>
        <w:t>，经验收合格后付总价的90%；验收合格满</w:t>
      </w:r>
      <w:r>
        <w:rPr>
          <w:rFonts w:hint="eastAsia" w:ascii="宋体" w:hAnsi="宋体" w:cs="宋体"/>
          <w:bCs/>
          <w:color w:val="000000" w:themeColor="text1"/>
          <w:sz w:val="24"/>
          <w:lang w:val="en-US" w:eastAsia="zh-CN"/>
          <w14:textFill>
            <w14:solidFill>
              <w14:schemeClr w14:val="tx1"/>
            </w14:solidFill>
          </w14:textFill>
        </w:rPr>
        <w:t>三</w:t>
      </w:r>
      <w:r>
        <w:rPr>
          <w:rFonts w:hint="eastAsia" w:ascii="宋体" w:hAnsi="宋体" w:cs="宋体"/>
          <w:bCs/>
          <w:color w:val="000000" w:themeColor="text1"/>
          <w:sz w:val="24"/>
          <w14:textFill>
            <w14:solidFill>
              <w14:schemeClr w14:val="tx1"/>
            </w14:solidFill>
          </w14:textFill>
        </w:rPr>
        <w:t>年后根据售后服务情况付总价的</w:t>
      </w:r>
      <w:r>
        <w:rPr>
          <w:rFonts w:hint="eastAsia" w:ascii="宋体" w:hAnsi="宋体" w:cs="宋体"/>
          <w:bCs/>
          <w:color w:val="000000" w:themeColor="text1"/>
          <w:sz w:val="24"/>
          <w:lang w:val="en-US" w:eastAsia="zh-CN"/>
          <w14:textFill>
            <w14:solidFill>
              <w14:schemeClr w14:val="tx1"/>
            </w14:solidFill>
          </w14:textFill>
        </w:rPr>
        <w:t>10</w:t>
      </w:r>
      <w:r>
        <w:rPr>
          <w:rFonts w:hint="eastAsia" w:ascii="宋体" w:hAnsi="宋体" w:cs="宋体"/>
          <w:bCs/>
          <w:color w:val="000000" w:themeColor="text1"/>
          <w:sz w:val="24"/>
          <w14:textFill>
            <w14:solidFill>
              <w14:schemeClr w14:val="tx1"/>
            </w14:solidFill>
          </w14:textFill>
        </w:rPr>
        <w:t>%； 供应商须出具与其营业执照名称相一致的增值税专用发票。</w:t>
      </w:r>
    </w:p>
    <w:p>
      <w:pPr>
        <w:pStyle w:val="218"/>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w:t>
      </w:r>
    </w:p>
    <w:p>
      <w:pPr>
        <w:spacing w:line="360" w:lineRule="auto"/>
        <w:rPr>
          <w:rFonts w:ascii="宋体"/>
          <w:color w:val="000000" w:themeColor="text1"/>
          <w:position w:val="2"/>
          <w:sz w:val="28"/>
          <w14:textFill>
            <w14:solidFill>
              <w14:schemeClr w14:val="tx1"/>
            </w14:solidFill>
          </w14:textFill>
        </w:rPr>
      </w:pPr>
    </w:p>
    <w:p>
      <w:pPr>
        <w:spacing w:line="360" w:lineRule="auto"/>
        <w:rPr>
          <w:rFonts w:ascii="宋体"/>
          <w:color w:val="000000" w:themeColor="text1"/>
          <w:position w:val="2"/>
          <w:sz w:val="28"/>
          <w14:textFill>
            <w14:solidFill>
              <w14:schemeClr w14:val="tx1"/>
            </w14:solidFill>
          </w14:textFill>
        </w:rPr>
      </w:pPr>
      <w:r>
        <w:rPr>
          <w:rFonts w:ascii="宋体"/>
          <w:color w:val="000000" w:themeColor="text1"/>
          <w:position w:val="2"/>
          <w:sz w:val="28"/>
          <w14:textFill>
            <w14:solidFill>
              <w14:schemeClr w14:val="tx1"/>
            </w14:solidFill>
          </w14:textFill>
        </w:rPr>
        <w:br w:type="page" w:clear="all"/>
      </w:r>
    </w:p>
    <w:p>
      <w:pPr>
        <w:pStyle w:val="216"/>
        <w:keepNext/>
        <w:widowControl w:val="0"/>
        <w:spacing w:before="0" w:beforeAutospacing="0" w:after="0" w:afterAutospacing="0"/>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 xml:space="preserve">第四章  响应文件格式 </w:t>
      </w:r>
    </w:p>
    <w:p>
      <w:pPr>
        <w:pStyle w:val="216"/>
        <w:widowControl w:val="0"/>
        <w:spacing w:before="0" w:beforeAutospacing="0" w:after="0" w:afterAutospacing="0"/>
        <w:jc w:val="center"/>
        <w:rPr>
          <w:b/>
          <w:color w:val="000000" w:themeColor="text1"/>
          <w:sz w:val="72"/>
          <w:szCs w:val="72"/>
          <w14:textFill>
            <w14:solidFill>
              <w14:schemeClr w14:val="tx1"/>
            </w14:solidFill>
          </w14:textFill>
        </w:rPr>
      </w:pPr>
      <w:bookmarkStart w:id="133" w:name="_Toc49090576"/>
      <w:bookmarkEnd w:id="133"/>
      <w:bookmarkStart w:id="134" w:name="_Toc120614282"/>
      <w:bookmarkEnd w:id="134"/>
      <w:bookmarkStart w:id="135" w:name="_Hlt26671244"/>
      <w:bookmarkStart w:id="136" w:name="_Toc26554094"/>
      <w:bookmarkStart w:id="137" w:name="_Hlt26955039"/>
    </w:p>
    <w:p>
      <w:pPr>
        <w:pStyle w:val="216"/>
        <w:widowControl w:val="0"/>
        <w:spacing w:before="0" w:beforeAutospacing="0" w:after="0" w:afterAutospacing="0"/>
        <w:jc w:val="center"/>
        <w:rPr>
          <w:rFonts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14:textFill>
            <w14:solidFill>
              <w14:schemeClr w14:val="tx1"/>
            </w14:solidFill>
          </w14:textFill>
        </w:rPr>
        <w:t>响  应  文  件</w:t>
      </w:r>
    </w:p>
    <w:p>
      <w:pPr>
        <w:pStyle w:val="216"/>
        <w:widowControl w:val="0"/>
        <w:spacing w:before="0" w:beforeAutospacing="0" w:after="0" w:afterAutospacing="0"/>
        <w:jc w:val="center"/>
        <w:rPr>
          <w:color w:val="000000" w:themeColor="text1"/>
          <w14:textFill>
            <w14:solidFill>
              <w14:schemeClr w14:val="tx1"/>
            </w14:solidFill>
          </w14:textFill>
        </w:rPr>
      </w:pPr>
      <w:r>
        <w:rPr>
          <w:color w:val="000000" w:themeColor="text1"/>
          <w14:textFill>
            <w14:solidFill>
              <w14:schemeClr w14:val="tx1"/>
            </w14:solidFill>
          </w14:textFill>
        </w:rPr>
        <w:t> </w:t>
      </w:r>
    </w:p>
    <w:p>
      <w:pPr>
        <w:jc w:val="center"/>
        <w:outlineLvl w:val="0"/>
        <w:rPr>
          <w:rStyle w:val="239"/>
          <w:rFonts w:ascii="宋体" w:hAnsi="宋体" w:cs="宋体"/>
          <w:b/>
          <w:color w:val="000000" w:themeColor="text1"/>
          <w:sz w:val="72"/>
          <w14:textFill>
            <w14:solidFill>
              <w14:schemeClr w14:val="tx1"/>
            </w14:solidFill>
          </w14:textFill>
        </w:rPr>
      </w:pPr>
      <w:bookmarkStart w:id="138" w:name="_Toc17655"/>
      <w:r>
        <w:rPr>
          <w:rStyle w:val="239"/>
          <w:rFonts w:hint="eastAsia" w:ascii="宋体" w:hAnsi="宋体" w:cs="宋体"/>
          <w:b/>
          <w:color w:val="000000" w:themeColor="text1"/>
          <w:sz w:val="36"/>
          <w14:textFill>
            <w14:solidFill>
              <w14:schemeClr w14:val="tx1"/>
            </w14:solidFill>
          </w14:textFill>
        </w:rPr>
        <w:t>（正或副本）</w:t>
      </w:r>
      <w:bookmarkEnd w:id="138"/>
    </w:p>
    <w:p>
      <w:pPr>
        <w:jc w:val="center"/>
        <w:rPr>
          <w:rStyle w:val="239"/>
          <w:rFonts w:ascii="宋体" w:hAnsi="宋体" w:cs="宋体"/>
          <w:b/>
          <w:color w:val="000000" w:themeColor="text1"/>
          <w:sz w:val="72"/>
          <w14:textFill>
            <w14:solidFill>
              <w14:schemeClr w14:val="tx1"/>
            </w14:solidFill>
          </w14:textFill>
        </w:rPr>
      </w:pPr>
    </w:p>
    <w:p>
      <w:pPr>
        <w:jc w:val="center"/>
        <w:rPr>
          <w:rStyle w:val="239"/>
          <w:rFonts w:ascii="宋体" w:hAnsi="宋体" w:cs="宋体"/>
          <w:b/>
          <w:color w:val="000000" w:themeColor="text1"/>
          <w:sz w:val="36"/>
          <w14:textFill>
            <w14:solidFill>
              <w14:schemeClr w14:val="tx1"/>
            </w14:solidFill>
          </w14:textFill>
        </w:rPr>
      </w:pPr>
    </w:p>
    <w:p>
      <w:pPr>
        <w:jc w:val="center"/>
        <w:rPr>
          <w:rStyle w:val="239"/>
          <w:rFonts w:ascii="宋体" w:hAnsi="宋体" w:cs="宋体"/>
          <w:b/>
          <w:color w:val="000000" w:themeColor="text1"/>
          <w:sz w:val="36"/>
          <w14:textFill>
            <w14:solidFill>
              <w14:schemeClr w14:val="tx1"/>
            </w14:solidFill>
          </w14:textFill>
        </w:rPr>
      </w:pPr>
    </w:p>
    <w:p>
      <w:pPr>
        <w:jc w:val="center"/>
        <w:rPr>
          <w:rStyle w:val="239"/>
          <w:rFonts w:ascii="宋体" w:hAnsi="宋体" w:cs="宋体"/>
          <w:b/>
          <w:color w:val="000000" w:themeColor="text1"/>
          <w:sz w:val="36"/>
          <w14:textFill>
            <w14:solidFill>
              <w14:schemeClr w14:val="tx1"/>
            </w14:solidFill>
          </w14:textFill>
        </w:rPr>
      </w:pPr>
    </w:p>
    <w:p>
      <w:pPr>
        <w:jc w:val="center"/>
        <w:rPr>
          <w:rStyle w:val="239"/>
          <w:rFonts w:ascii="宋体" w:hAnsi="宋体" w:cs="宋体"/>
          <w:b/>
          <w:color w:val="000000" w:themeColor="text1"/>
          <w:sz w:val="36"/>
          <w14:textFill>
            <w14:solidFill>
              <w14:schemeClr w14:val="tx1"/>
            </w14:solidFill>
          </w14:textFill>
        </w:rPr>
      </w:pPr>
    </w:p>
    <w:p>
      <w:pPr>
        <w:jc w:val="center"/>
        <w:rPr>
          <w:rStyle w:val="239"/>
          <w:rFonts w:ascii="宋体" w:hAnsi="宋体" w:cs="宋体"/>
          <w:b/>
          <w:color w:val="000000" w:themeColor="text1"/>
          <w:sz w:val="36"/>
          <w14:textFill>
            <w14:solidFill>
              <w14:schemeClr w14:val="tx1"/>
            </w14:solidFill>
          </w14:textFill>
        </w:rPr>
      </w:pPr>
    </w:p>
    <w:p>
      <w:pPr>
        <w:ind w:firstLine="1084" w:firstLineChars="300"/>
        <w:outlineLvl w:val="0"/>
        <w:rPr>
          <w:rStyle w:val="239"/>
          <w:rFonts w:ascii="宋体" w:hAnsi="宋体" w:cs="宋体"/>
          <w:b/>
          <w:color w:val="000000" w:themeColor="text1"/>
          <w:sz w:val="36"/>
          <w14:textFill>
            <w14:solidFill>
              <w14:schemeClr w14:val="tx1"/>
            </w14:solidFill>
          </w14:textFill>
        </w:rPr>
      </w:pPr>
      <w:bookmarkStart w:id="139" w:name="_Toc8567"/>
      <w:r>
        <w:rPr>
          <w:rStyle w:val="239"/>
          <w:rFonts w:hint="eastAsia" w:ascii="宋体" w:hAnsi="宋体" w:cs="宋体"/>
          <w:b/>
          <w:color w:val="000000" w:themeColor="text1"/>
          <w:sz w:val="36"/>
          <w14:textFill>
            <w14:solidFill>
              <w14:schemeClr w14:val="tx1"/>
            </w14:solidFill>
          </w14:textFill>
        </w:rPr>
        <w:t>项 目 名 称：</w:t>
      </w:r>
      <w:bookmarkEnd w:id="139"/>
    </w:p>
    <w:p>
      <w:pPr>
        <w:ind w:firstLine="1084" w:firstLineChars="300"/>
        <w:outlineLvl w:val="0"/>
        <w:rPr>
          <w:rStyle w:val="239"/>
          <w:rFonts w:ascii="宋体" w:hAnsi="宋体" w:cs="宋体"/>
          <w:b/>
          <w:color w:val="000000" w:themeColor="text1"/>
          <w:sz w:val="36"/>
          <w:u w:val="single" w:color="000000"/>
          <w14:textFill>
            <w14:solidFill>
              <w14:schemeClr w14:val="tx1"/>
            </w14:solidFill>
          </w14:textFill>
        </w:rPr>
      </w:pPr>
      <w:bookmarkStart w:id="140" w:name="_Toc20815"/>
      <w:r>
        <w:rPr>
          <w:rStyle w:val="239"/>
          <w:rFonts w:hint="eastAsia" w:ascii="宋体" w:hAnsi="宋体" w:cs="宋体"/>
          <w:b/>
          <w:color w:val="000000" w:themeColor="text1"/>
          <w:sz w:val="36"/>
          <w14:textFill>
            <w14:solidFill>
              <w14:schemeClr w14:val="tx1"/>
            </w14:solidFill>
          </w14:textFill>
        </w:rPr>
        <w:t>招 标 编 号：</w:t>
      </w:r>
      <w:bookmarkEnd w:id="140"/>
    </w:p>
    <w:p>
      <w:pPr>
        <w:ind w:firstLine="1084" w:firstLineChars="300"/>
        <w:outlineLvl w:val="0"/>
        <w:rPr>
          <w:rStyle w:val="239"/>
          <w:rFonts w:ascii="宋体" w:hAnsi="宋体" w:cs="宋体"/>
          <w:b/>
          <w:color w:val="000000" w:themeColor="text1"/>
          <w:sz w:val="36"/>
          <w:u w:val="single" w:color="000000"/>
          <w14:textFill>
            <w14:solidFill>
              <w14:schemeClr w14:val="tx1"/>
            </w14:solidFill>
          </w14:textFill>
        </w:rPr>
      </w:pPr>
      <w:bookmarkStart w:id="141" w:name="_Toc15597"/>
      <w:r>
        <w:rPr>
          <w:rStyle w:val="239"/>
          <w:rFonts w:hint="eastAsia" w:ascii="宋体" w:hAnsi="宋体" w:cs="宋体"/>
          <w:b/>
          <w:color w:val="000000" w:themeColor="text1"/>
          <w:sz w:val="36"/>
          <w14:textFill>
            <w14:solidFill>
              <w14:schemeClr w14:val="tx1"/>
            </w14:solidFill>
          </w14:textFill>
        </w:rPr>
        <w:t>投标人名称 ：</w:t>
      </w:r>
      <w:bookmarkEnd w:id="141"/>
    </w:p>
    <w:p>
      <w:pPr>
        <w:ind w:firstLine="1084" w:firstLineChars="300"/>
        <w:outlineLvl w:val="0"/>
        <w:rPr>
          <w:rStyle w:val="239"/>
          <w:rFonts w:ascii="宋体" w:hAnsi="宋体" w:cs="宋体"/>
          <w:b/>
          <w:color w:val="000000" w:themeColor="text1"/>
          <w:sz w:val="36"/>
          <w14:textFill>
            <w14:solidFill>
              <w14:schemeClr w14:val="tx1"/>
            </w14:solidFill>
          </w14:textFill>
        </w:rPr>
      </w:pPr>
      <w:bookmarkStart w:id="142" w:name="_Toc26387"/>
      <w:r>
        <w:rPr>
          <w:rStyle w:val="239"/>
          <w:rFonts w:hint="eastAsia" w:ascii="宋体" w:hAnsi="宋体" w:cs="宋体"/>
          <w:b/>
          <w:color w:val="000000" w:themeColor="text1"/>
          <w:sz w:val="36"/>
          <w14:textFill>
            <w14:solidFill>
              <w14:schemeClr w14:val="tx1"/>
            </w14:solidFill>
          </w14:textFill>
        </w:rPr>
        <w:t>日      期 ：</w:t>
      </w:r>
      <w:bookmarkEnd w:id="142"/>
    </w:p>
    <w:p>
      <w:pPr>
        <w:pStyle w:val="216"/>
        <w:widowControl w:val="0"/>
        <w:spacing w:before="0" w:beforeAutospacing="0" w:after="0" w:afterAutospacing="0" w:line="0" w:lineRule="atLeast"/>
        <w:jc w:val="center"/>
        <w:rPr>
          <w:rFonts w:hint="eastAsia"/>
          <w:b/>
          <w:color w:val="000000" w:themeColor="text1"/>
          <w:sz w:val="36"/>
          <w:szCs w:val="36"/>
          <w:u w:val="single"/>
          <w14:textFill>
            <w14:solidFill>
              <w14:schemeClr w14:val="tx1"/>
            </w14:solidFill>
          </w14:textFill>
        </w:rPr>
      </w:pPr>
    </w:p>
    <w:p>
      <w:pPr>
        <w:pStyle w:val="216"/>
        <w:widowControl w:val="0"/>
        <w:spacing w:before="0" w:beforeAutospacing="0" w:after="0" w:afterAutospacing="0" w:line="0" w:lineRule="atLeast"/>
        <w:jc w:val="center"/>
        <w:rPr>
          <w:rFonts w:hint="eastAsia"/>
          <w:b/>
          <w:color w:val="000000" w:themeColor="text1"/>
          <w:sz w:val="36"/>
          <w:szCs w:val="36"/>
          <w:u w:val="single"/>
          <w14:textFill>
            <w14:solidFill>
              <w14:schemeClr w14:val="tx1"/>
            </w14:solidFill>
          </w14:textFill>
        </w:rPr>
      </w:pPr>
    </w:p>
    <w:p>
      <w:pPr>
        <w:pStyle w:val="216"/>
        <w:widowControl w:val="0"/>
        <w:spacing w:before="0" w:beforeAutospacing="0" w:after="0" w:afterAutospacing="0" w:line="0" w:lineRule="atLeast"/>
        <w:jc w:val="center"/>
        <w:rPr>
          <w:rFonts w:hint="eastAsia"/>
          <w:b/>
          <w:color w:val="000000" w:themeColor="text1"/>
          <w:sz w:val="36"/>
          <w:szCs w:val="36"/>
          <w:u w:val="single"/>
          <w14:textFill>
            <w14:solidFill>
              <w14:schemeClr w14:val="tx1"/>
            </w14:solidFill>
          </w14:textFill>
        </w:rPr>
      </w:pPr>
    </w:p>
    <w:p>
      <w:pPr>
        <w:pStyle w:val="216"/>
        <w:widowControl w:val="0"/>
        <w:spacing w:before="0" w:beforeAutospacing="0" w:after="0" w:afterAutospacing="0" w:line="0" w:lineRule="atLeast"/>
        <w:jc w:val="center"/>
        <w:rPr>
          <w:rFonts w:hint="eastAsia"/>
          <w:b/>
          <w:color w:val="000000" w:themeColor="text1"/>
          <w:sz w:val="36"/>
          <w:szCs w:val="36"/>
          <w:u w:val="single"/>
          <w14:textFill>
            <w14:solidFill>
              <w14:schemeClr w14:val="tx1"/>
            </w14:solidFill>
          </w14:textFill>
        </w:rPr>
      </w:pPr>
    </w:p>
    <w:p>
      <w:pPr>
        <w:pStyle w:val="216"/>
        <w:widowControl w:val="0"/>
        <w:spacing w:before="0" w:beforeAutospacing="0" w:after="0" w:afterAutospacing="0" w:line="0" w:lineRule="atLeast"/>
        <w:jc w:val="center"/>
        <w:rPr>
          <w:rFonts w:hint="eastAsia"/>
          <w:b/>
          <w:color w:val="000000" w:themeColor="text1"/>
          <w:sz w:val="36"/>
          <w:szCs w:val="36"/>
          <w:u w:val="single"/>
          <w14:textFill>
            <w14:solidFill>
              <w14:schemeClr w14:val="tx1"/>
            </w14:solidFill>
          </w14:textFill>
        </w:rPr>
      </w:pPr>
    </w:p>
    <w:p>
      <w:pPr>
        <w:pStyle w:val="216"/>
        <w:widowControl w:val="0"/>
        <w:spacing w:before="0" w:beforeAutospacing="0" w:after="0" w:afterAutospacing="0" w:line="0" w:lineRule="atLeast"/>
        <w:jc w:val="center"/>
        <w:rPr>
          <w:rFonts w:hint="eastAsia"/>
          <w:b/>
          <w:color w:val="000000" w:themeColor="text1"/>
          <w:sz w:val="36"/>
          <w:szCs w:val="36"/>
          <w:u w:val="single"/>
          <w14:textFill>
            <w14:solidFill>
              <w14:schemeClr w14:val="tx1"/>
            </w14:solidFill>
          </w14:textFill>
        </w:rPr>
      </w:pPr>
    </w:p>
    <w:p>
      <w:pPr>
        <w:pStyle w:val="216"/>
        <w:widowControl w:val="0"/>
        <w:spacing w:before="0" w:beforeAutospacing="0" w:after="0" w:afterAutospacing="0" w:line="0" w:lineRule="atLeast"/>
        <w:jc w:val="center"/>
        <w:rPr>
          <w:rFonts w:hint="eastAsia"/>
          <w:b/>
          <w:color w:val="000000" w:themeColor="text1"/>
          <w:sz w:val="36"/>
          <w:szCs w:val="36"/>
          <w:u w:val="single"/>
          <w14:textFill>
            <w14:solidFill>
              <w14:schemeClr w14:val="tx1"/>
            </w14:solidFill>
          </w14:textFill>
        </w:rPr>
      </w:pPr>
    </w:p>
    <w:p>
      <w:pPr>
        <w:pStyle w:val="216"/>
        <w:widowControl w:val="0"/>
        <w:spacing w:before="0" w:beforeAutospacing="0" w:after="0" w:afterAutospacing="0" w:line="0" w:lineRule="atLeast"/>
        <w:jc w:val="center"/>
        <w:rPr>
          <w:rFonts w:hint="eastAsia"/>
          <w:b/>
          <w:color w:val="000000" w:themeColor="text1"/>
          <w:sz w:val="36"/>
          <w:szCs w:val="36"/>
          <w:u w:val="single"/>
          <w14:textFill>
            <w14:solidFill>
              <w14:schemeClr w14:val="tx1"/>
            </w14:solidFill>
          </w14:textFill>
        </w:rPr>
      </w:pPr>
    </w:p>
    <w:p>
      <w:pPr>
        <w:pStyle w:val="216"/>
        <w:widowControl w:val="0"/>
        <w:spacing w:before="0" w:beforeAutospacing="0" w:after="0" w:afterAutospacing="0" w:line="0" w:lineRule="atLeast"/>
        <w:jc w:val="center"/>
        <w:rPr>
          <w:rFonts w:hint="eastAsia"/>
          <w:b/>
          <w:color w:val="000000" w:themeColor="text1"/>
          <w:sz w:val="36"/>
          <w:szCs w:val="36"/>
          <w:u w:val="single"/>
          <w14:textFill>
            <w14:solidFill>
              <w14:schemeClr w14:val="tx1"/>
            </w14:solidFill>
          </w14:textFill>
        </w:rPr>
      </w:pPr>
    </w:p>
    <w:p>
      <w:pPr>
        <w:pStyle w:val="216"/>
        <w:widowControl w:val="0"/>
        <w:spacing w:before="0" w:beforeAutospacing="0" w:after="0" w:afterAutospacing="0" w:line="0" w:lineRule="atLeast"/>
        <w:jc w:val="center"/>
        <w:rPr>
          <w:rFonts w:hint="eastAsia"/>
          <w:b/>
          <w:color w:val="000000" w:themeColor="text1"/>
          <w:sz w:val="36"/>
          <w:szCs w:val="36"/>
          <w:u w:val="single"/>
          <w14:textFill>
            <w14:solidFill>
              <w14:schemeClr w14:val="tx1"/>
            </w14:solidFill>
          </w14:textFill>
        </w:rPr>
      </w:pPr>
    </w:p>
    <w:p>
      <w:pPr>
        <w:pStyle w:val="216"/>
        <w:widowControl w:val="0"/>
        <w:spacing w:before="0" w:beforeAutospacing="0" w:after="0" w:afterAutospacing="0" w:line="0" w:lineRule="atLeast"/>
        <w:jc w:val="center"/>
        <w:rPr>
          <w:rFonts w:hint="eastAsia"/>
          <w:b/>
          <w:color w:val="000000" w:themeColor="text1"/>
          <w:sz w:val="36"/>
          <w:szCs w:val="36"/>
          <w:u w:val="single"/>
          <w14:textFill>
            <w14:solidFill>
              <w14:schemeClr w14:val="tx1"/>
            </w14:solidFill>
          </w14:textFill>
        </w:rPr>
      </w:pPr>
    </w:p>
    <w:p>
      <w:pPr>
        <w:spacing w:line="440" w:lineRule="exact"/>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评分索引表</w:t>
      </w:r>
    </w:p>
    <w:p>
      <w:pPr>
        <w:spacing w:line="440" w:lineRule="exact"/>
        <w:jc w:val="center"/>
        <w:rPr>
          <w:rFonts w:ascii="宋体" w:hAnsi="宋体" w:cs="宋体"/>
          <w:b/>
          <w:color w:val="000000" w:themeColor="text1"/>
          <w:sz w:val="30"/>
          <w:szCs w:val="30"/>
          <w:highlight w:val="none"/>
          <w14:textFill>
            <w14:solidFill>
              <w14:schemeClr w14:val="tx1"/>
            </w14:solidFill>
          </w14:textFill>
        </w:rPr>
      </w:pPr>
    </w:p>
    <w:tbl>
      <w:tblPr>
        <w:tblStyle w:val="33"/>
        <w:tblW w:w="924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242"/>
              <w:shd w:val="clear" w:color="auto" w:fill="FFFFFF"/>
              <w:spacing w:line="265" w:lineRule="atLeast"/>
              <w:ind w:left="420"/>
              <w:jc w:val="center"/>
              <w:rPr>
                <w:rFonts w:ascii="宋体" w:hAnsi="宋体" w:cs="宋体"/>
                <w:b/>
                <w:bCs/>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评分项目</w:t>
            </w:r>
          </w:p>
        </w:tc>
        <w:tc>
          <w:tcPr>
            <w:tcW w:w="3570" w:type="dxa"/>
            <w:noWrap w:val="0"/>
            <w:vAlign w:val="top"/>
          </w:tcPr>
          <w:p>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val="0"/>
            <w:vAlign w:val="top"/>
          </w:tcPr>
          <w:p>
            <w:pPr>
              <w:pStyle w:val="242"/>
              <w:shd w:val="clear" w:color="auto" w:fill="FFFFFF"/>
              <w:spacing w:line="265" w:lineRule="atLeast"/>
              <w:ind w:left="420"/>
              <w:jc w:val="both"/>
              <w:rPr>
                <w:rFonts w:ascii="宋体" w:hAnsi="宋体" w:cs="宋体"/>
                <w:b/>
                <w:color w:val="000000" w:themeColor="text1"/>
                <w:highlight w:val="none"/>
                <w:lang w:eastAsia="zh-CN"/>
                <w14:textFill>
                  <w14:solidFill>
                    <w14:schemeClr w14:val="tx1"/>
                  </w14:solidFill>
                </w14:textFill>
              </w:rPr>
            </w:pPr>
          </w:p>
        </w:tc>
        <w:tc>
          <w:tcPr>
            <w:tcW w:w="3570" w:type="dxa"/>
            <w:noWrap w:val="0"/>
            <w:vAlign w:val="top"/>
          </w:tcPr>
          <w:p>
            <w:pPr>
              <w:rPr>
                <w:rFonts w:ascii="宋体" w:hAnsi="宋体" w:cs="宋体"/>
                <w:b/>
                <w:color w:val="000000" w:themeColor="text1"/>
                <w:kern w:val="0"/>
                <w:sz w:val="24"/>
                <w:highlight w:val="none"/>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pPr>
              <w:pStyle w:val="242"/>
              <w:shd w:val="clear" w:color="auto" w:fill="FFFFFF"/>
              <w:spacing w:line="265" w:lineRule="atLeast"/>
              <w:ind w:left="420"/>
              <w:jc w:val="both"/>
              <w:rPr>
                <w:rFonts w:ascii="宋体" w:hAnsi="宋体" w:cs="宋体"/>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24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val="0"/>
            <w:vAlign w:val="to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24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val="0"/>
            <w:vAlign w:val="to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24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val="0"/>
            <w:vAlign w:val="to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24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val="0"/>
            <w:vAlign w:val="to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24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val="0"/>
            <w:vAlign w:val="to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pPr>
              <w:pStyle w:val="242"/>
              <w:shd w:val="clear" w:color="auto" w:fill="FFFFFF"/>
              <w:spacing w:line="265" w:lineRule="atLeast"/>
              <w:ind w:left="420"/>
              <w:jc w:val="both"/>
              <w:rPr>
                <w:rFonts w:ascii="宋体" w:hAnsi="宋体" w:cs="宋体"/>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val="0"/>
            <w:vAlign w:val="top"/>
          </w:tcPr>
          <w:p>
            <w:pPr>
              <w:pStyle w:val="24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val="0"/>
            <w:vAlign w:val="to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val="0"/>
            <w:vAlign w:val="top"/>
          </w:tcPr>
          <w:p>
            <w:pPr>
              <w:pStyle w:val="24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val="0"/>
            <w:vAlign w:val="to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val="0"/>
            <w:vAlign w:val="top"/>
          </w:tcPr>
          <w:p>
            <w:pPr>
              <w:pStyle w:val="24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val="0"/>
            <w:vAlign w:val="to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val="0"/>
            <w:vAlign w:val="top"/>
          </w:tcPr>
          <w:p>
            <w:pPr>
              <w:pStyle w:val="24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val="0"/>
            <w:vAlign w:val="to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val="0"/>
            <w:vAlign w:val="top"/>
          </w:tcPr>
          <w:p>
            <w:pPr>
              <w:pStyle w:val="24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val="0"/>
            <w:vAlign w:val="to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pPr>
              <w:pStyle w:val="242"/>
              <w:shd w:val="clear" w:color="auto" w:fill="FFFFFF"/>
              <w:spacing w:line="265" w:lineRule="atLeast"/>
              <w:ind w:left="420"/>
              <w:jc w:val="both"/>
              <w:rPr>
                <w:rFonts w:ascii="宋体" w:hAnsi="宋体" w:cs="宋体"/>
                <w:b/>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242"/>
              <w:shd w:val="clear" w:color="auto" w:fill="FFFFFF"/>
              <w:spacing w:line="265" w:lineRule="atLeast"/>
              <w:ind w:left="420"/>
              <w:rPr>
                <w:rFonts w:ascii="宋体" w:hAnsi="宋体" w:cs="宋体"/>
                <w:b/>
                <w:bCs/>
                <w:color w:val="000000" w:themeColor="text1"/>
                <w:highlight w:val="none"/>
                <w:lang w:eastAsia="zh-CN"/>
                <w14:textFill>
                  <w14:solidFill>
                    <w14:schemeClr w14:val="tx1"/>
                  </w14:solidFill>
                </w14:textFill>
              </w:rPr>
            </w:pPr>
          </w:p>
        </w:tc>
        <w:tc>
          <w:tcPr>
            <w:tcW w:w="3570" w:type="dxa"/>
            <w:noWrap w:val="0"/>
            <w:vAlign w:val="to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242"/>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val="0"/>
            <w:vAlign w:val="to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242"/>
              <w:shd w:val="clear" w:color="auto" w:fill="FFFFFF"/>
              <w:spacing w:line="265" w:lineRule="atLeast"/>
              <w:ind w:left="420"/>
              <w:rPr>
                <w:rFonts w:ascii="宋体" w:hAnsi="宋体" w:cs="宋体"/>
                <w:b/>
                <w:bCs/>
                <w:color w:val="000000" w:themeColor="text1"/>
                <w:highlight w:val="none"/>
                <w:lang w:eastAsia="zh-CN"/>
                <w14:textFill>
                  <w14:solidFill>
                    <w14:schemeClr w14:val="tx1"/>
                  </w14:solidFill>
                </w14:textFill>
              </w:rPr>
            </w:pPr>
          </w:p>
        </w:tc>
        <w:tc>
          <w:tcPr>
            <w:tcW w:w="3570" w:type="dxa"/>
            <w:noWrap w:val="0"/>
            <w:vAlign w:val="to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val="0"/>
            <w:vAlign w:val="top"/>
          </w:tcPr>
          <w:p>
            <w:pPr>
              <w:pStyle w:val="242"/>
              <w:shd w:val="clear" w:color="auto" w:fill="FFFFFF"/>
              <w:spacing w:line="265" w:lineRule="atLeast"/>
              <w:ind w:left="420"/>
              <w:jc w:val="both"/>
              <w:rPr>
                <w:rFonts w:ascii="宋体" w:hAnsi="宋体" w:cs="宋体"/>
                <w:b/>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val="0"/>
            <w:vAlign w:val="top"/>
          </w:tcPr>
          <w:p>
            <w:pPr>
              <w:pStyle w:val="242"/>
              <w:shd w:val="clear" w:color="auto" w:fill="FFFFFF"/>
              <w:spacing w:line="265" w:lineRule="atLeast"/>
              <w:ind w:left="0" w:firstLine="480" w:firstLineChars="200"/>
              <w:rPr>
                <w:rFonts w:ascii="宋体" w:hAnsi="宋体" w:cs="宋体"/>
                <w:color w:val="000000" w:themeColor="text1"/>
                <w:szCs w:val="21"/>
                <w:highlight w:val="none"/>
                <w:lang w:eastAsia="zh-CN"/>
                <w14:textFill>
                  <w14:solidFill>
                    <w14:schemeClr w14:val="tx1"/>
                  </w14:solidFill>
                </w14:textFill>
              </w:rPr>
            </w:pPr>
          </w:p>
        </w:tc>
        <w:tc>
          <w:tcPr>
            <w:tcW w:w="3570" w:type="dxa"/>
            <w:noWrap w:val="0"/>
            <w:vAlign w:val="to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val="0"/>
            <w:vAlign w:val="top"/>
          </w:tcPr>
          <w:p>
            <w:pPr>
              <w:pStyle w:val="242"/>
              <w:shd w:val="clear" w:color="auto" w:fill="FFFFFF"/>
              <w:spacing w:line="265" w:lineRule="atLeast"/>
              <w:ind w:left="0" w:firstLine="480" w:firstLineChars="200"/>
              <w:rPr>
                <w:rFonts w:ascii="宋体" w:hAnsi="宋体" w:cs="宋体"/>
                <w:color w:val="000000" w:themeColor="text1"/>
                <w:highlight w:val="none"/>
                <w:lang w:eastAsia="zh-CN"/>
                <w14:textFill>
                  <w14:solidFill>
                    <w14:schemeClr w14:val="tx1"/>
                  </w14:solidFill>
                </w14:textFill>
              </w:rPr>
            </w:pPr>
          </w:p>
        </w:tc>
        <w:tc>
          <w:tcPr>
            <w:tcW w:w="3570" w:type="dxa"/>
            <w:tcBorders>
              <w:bottom w:val="single" w:color="auto" w:sz="4" w:space="0"/>
            </w:tcBorders>
            <w:noWrap w:val="0"/>
            <w:vAlign w:val="top"/>
          </w:tcPr>
          <w:p>
            <w:pPr>
              <w:rPr>
                <w:rFonts w:ascii="宋体" w:hAnsi="宋体" w:cs="宋体"/>
                <w:color w:val="000000" w:themeColor="text1"/>
                <w:highlight w:val="none"/>
                <w14:textFill>
                  <w14:solidFill>
                    <w14:schemeClr w14:val="tx1"/>
                  </w14:solidFill>
                </w14:textFill>
              </w:rPr>
            </w:pPr>
          </w:p>
        </w:tc>
      </w:tr>
    </w:tbl>
    <w:p>
      <w:pPr>
        <w:pStyle w:val="216"/>
        <w:widowControl w:val="0"/>
        <w:spacing w:before="0" w:beforeAutospacing="0" w:after="0" w:afterAutospacing="0" w:line="0" w:lineRule="atLeast"/>
        <w:jc w:val="center"/>
        <w:rPr>
          <w:b/>
          <w:color w:val="000000" w:themeColor="text1"/>
          <w:sz w:val="36"/>
          <w:szCs w:val="36"/>
          <w14:textFill>
            <w14:solidFill>
              <w14:schemeClr w14:val="tx1"/>
            </w14:solidFill>
          </w14:textFill>
        </w:rPr>
      </w:pPr>
      <w:r>
        <w:rPr>
          <w:rFonts w:hint="eastAsia"/>
          <w:b/>
          <w:color w:val="000000" w:themeColor="text1"/>
          <w:sz w:val="36"/>
          <w:szCs w:val="36"/>
          <w:u w:val="single"/>
          <w14:textFill>
            <w14:solidFill>
              <w14:schemeClr w14:val="tx1"/>
            </w14:solidFill>
          </w14:textFill>
        </w:rPr>
        <w:br w:type="page" w:clear="all"/>
      </w:r>
      <w:r>
        <w:rPr>
          <w:rFonts w:hint="eastAsia"/>
          <w:b/>
          <w:color w:val="000000" w:themeColor="text1"/>
          <w:sz w:val="36"/>
          <w:szCs w:val="36"/>
          <w14:textFill>
            <w14:solidFill>
              <w14:schemeClr w14:val="tx1"/>
            </w14:solidFill>
          </w14:textFill>
        </w:rPr>
        <w:t xml:space="preserve">   </w:t>
      </w:r>
      <w:r>
        <w:rPr>
          <w:rFonts w:hint="eastAsia"/>
          <w:b/>
          <w:color w:val="000000" w:themeColor="text1"/>
          <w:sz w:val="32"/>
          <w:szCs w:val="32"/>
          <w14:textFill>
            <w14:solidFill>
              <w14:schemeClr w14:val="tx1"/>
            </w14:solidFill>
          </w14:textFill>
        </w:rPr>
        <w:t>响应文件目录</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一、法人或者其他组织的营业执照等证明文件，自然人的身份证明（复印件加盖投标人公章）</w:t>
      </w:r>
    </w:p>
    <w:p>
      <w:pPr>
        <w:spacing w:line="520" w:lineRule="exact"/>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二、上一年度财务状况报表（复印件，至少提供资产负债表、利润表、现金流量表，成立不满一年无需提供）</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三、依法缴纳税收和社会保障资金的相关材料（复印件加盖投标人公章）</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四、具备履行合同所必需的设备和专业技术能力的书面声明</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五、参加政府采购活动前 3 年内在经营活动中没有重大违法记录的书面声明</w:t>
      </w:r>
    </w:p>
    <w:p>
      <w:pPr>
        <w:snapToGrid w:val="0"/>
        <w:spacing w:line="500" w:lineRule="exact"/>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未被“信用中国”网站（www.creditchina.gov.cn）列入失信被执行人、重大税收违法案件当事人名单、政府采购严重失信行为记录名单的网上查询截图（查询日期为询价公告发布之日当天或以后任一时间）。</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七、法人授权书以及项目负责人和授权委托人近半年任意一个月在本单位缴纳养老保险缴费记录证明（项目负责人与授权委托人可为同一人）。（退休人员提供在本单位相关证明材料）</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八、询价响应函</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九、开标一览表</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十、报价表</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十一、技术参数响应及偏离表</w:t>
      </w:r>
    </w:p>
    <w:p>
      <w:pPr>
        <w:spacing w:line="520" w:lineRule="exact"/>
        <w:ind w:firstLine="480"/>
        <w:jc w:val="left"/>
        <w:rPr>
          <w:rFonts w:ascii="宋体" w:hAnsi="宋体" w:cs="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pStyle w:val="233"/>
        <w:spacing w:beforeAutospacing="0" w:afterAutospacing="0" w:line="500" w:lineRule="exact"/>
        <w:ind w:firstLine="641"/>
        <w:jc w:val="center"/>
        <w:rPr>
          <w:color w:val="000000" w:themeColor="text1"/>
          <w:sz w:val="28"/>
          <w:szCs w:val="28"/>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一、法人或者其他组织的营业执照等证明文件，自然人的身份证明</w:t>
      </w:r>
    </w:p>
    <w:p>
      <w:pPr>
        <w:pStyle w:val="233"/>
        <w:spacing w:beforeAutospacing="0" w:afterAutospacing="0" w:line="0" w:lineRule="atLeas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34"/>
        <w:spacing w:line="360" w:lineRule="auto"/>
        <w:rPr>
          <w:rFonts w:ascii="宋体" w:hAnsi="宋体"/>
          <w:color w:val="000000" w:themeColor="text1"/>
          <w:sz w:val="24"/>
          <w14:textFill>
            <w14:solidFill>
              <w14:schemeClr w14:val="tx1"/>
            </w14:solidFill>
          </w14:textFill>
        </w:rPr>
      </w:pPr>
    </w:p>
    <w:p>
      <w:pPr>
        <w:jc w:val="center"/>
        <w:rPr>
          <w:rFonts w:ascii="黑体" w:hAnsi="黑体" w:eastAsia="黑体" w:cs="黑体"/>
          <w:i/>
          <w:color w:val="000000" w:themeColor="text1"/>
          <w:sz w:val="32"/>
          <w:szCs w:val="32"/>
          <w:u w:val="single"/>
          <w14:textFill>
            <w14:solidFill>
              <w14:schemeClr w14:val="tx1"/>
            </w14:solidFill>
          </w14:textFill>
        </w:rPr>
      </w:pPr>
      <w:r>
        <w:rPr>
          <w:rFonts w:hint="eastAsia" w:ascii="宋体" w:hAnsi="宋体" w:cs="黑体"/>
          <w:i/>
          <w:color w:val="000000" w:themeColor="text1"/>
          <w:sz w:val="32"/>
          <w:szCs w:val="32"/>
          <w:u w:val="single"/>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二、上一年度的财务状况报表</w:t>
      </w:r>
    </w:p>
    <w:p>
      <w:pPr>
        <w:pStyle w:val="233"/>
        <w:spacing w:beforeAutospacing="0" w:afterAutospacing="0" w:line="380" w:lineRule="exact"/>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（投标人成立不满一年不需提供）</w:t>
      </w:r>
    </w:p>
    <w:p>
      <w:pPr>
        <w:pStyle w:val="233"/>
        <w:spacing w:beforeAutospacing="0" w:afterAutospacing="0" w:line="380" w:lineRule="exac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33"/>
        <w:spacing w:beforeAutospacing="0" w:afterAutospacing="0" w:line="440" w:lineRule="exact"/>
        <w:ind w:firstLine="640"/>
        <w:jc w:val="center"/>
        <w:rPr>
          <w:color w:val="000000" w:themeColor="text1"/>
          <w14:textFill>
            <w14:solidFill>
              <w14:schemeClr w14:val="tx1"/>
            </w14:solidFill>
          </w14:textFill>
        </w:rPr>
      </w:pPr>
      <w:r>
        <w:rPr>
          <w:rFonts w:cs="黑体"/>
          <w:i/>
          <w:color w:val="000000" w:themeColor="text1"/>
          <w:sz w:val="32"/>
          <w:szCs w:val="32"/>
          <w:u w:val="single"/>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三、依法缴纳税收和社会保障资金的相关材料</w:t>
      </w:r>
    </w:p>
    <w:p>
      <w:pPr>
        <w:pStyle w:val="216"/>
        <w:widowControl w:val="0"/>
        <w:spacing w:before="0" w:beforeAutospacing="0" w:after="0" w:afterAutospacing="0" w:line="360" w:lineRule="auto"/>
        <w:ind w:firstLine="480"/>
        <w:jc w:val="both"/>
        <w:rPr>
          <w:color w:val="000000" w:themeColor="text1"/>
          <w14:textFill>
            <w14:solidFill>
              <w14:schemeClr w14:val="tx1"/>
            </w14:solidFill>
          </w14:textFill>
        </w:rPr>
      </w:pPr>
    </w:p>
    <w:p>
      <w:pPr>
        <w:pStyle w:val="233"/>
        <w:spacing w:beforeAutospacing="0" w:afterAutospacing="0" w:line="500" w:lineRule="exact"/>
        <w:jc w:val="center"/>
        <w:rPr>
          <w:color w:val="000000" w:themeColor="text1"/>
          <w14:textFill>
            <w14:solidFill>
              <w14:schemeClr w14:val="tx1"/>
            </w14:solidFill>
          </w14:textFill>
        </w:rPr>
      </w:pPr>
      <w:r>
        <w:rPr>
          <w:rFonts w:cs="黑体"/>
          <w:i/>
          <w:color w:val="000000" w:themeColor="text1"/>
          <w:sz w:val="32"/>
          <w:szCs w:val="32"/>
          <w:u w:val="single"/>
          <w14:textFill>
            <w14:solidFill>
              <w14:schemeClr w14:val="tx1"/>
            </w14:solidFill>
          </w14:textFill>
        </w:rPr>
        <w:br w:type="page" w:clear="all"/>
      </w:r>
      <w:r>
        <w:rPr>
          <w:rFonts w:hint="eastAsia" w:ascii="黑体" w:hAnsi="黑体" w:eastAsia="黑体" w:cs="黑体"/>
          <w:bCs/>
          <w:i/>
          <w:iCs/>
          <w:color w:val="000000" w:themeColor="text1"/>
          <w:sz w:val="32"/>
          <w:szCs w:val="32"/>
          <w:u w:val="single"/>
          <w14:textFill>
            <w14:solidFill>
              <w14:schemeClr w14:val="tx1"/>
            </w14:solidFill>
          </w14:textFill>
        </w:rPr>
        <w:t>四、具备履行合同所必需的设备和专业技术能力的书面声明</w:t>
      </w:r>
    </w:p>
    <w:p>
      <w:pPr>
        <w:pStyle w:val="233"/>
        <w:spacing w:beforeAutospacing="0" w:afterAutospacing="0" w:line="500" w:lineRule="exact"/>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我单位郑重声明：我单位具备履行本项采购合同所必需的设备和专业技术能力，为履行本项采购合同我公司具备如下主要设备和主要专业技术能力：</w:t>
      </w:r>
    </w:p>
    <w:p>
      <w:pPr>
        <w:pStyle w:val="233"/>
        <w:spacing w:beforeAutospacing="0" w:afterAutospacing="0" w:line="500" w:lineRule="exact"/>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主要设备有：</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pStyle w:val="233"/>
        <w:spacing w:beforeAutospacing="0" w:afterAutospacing="0" w:line="500" w:lineRule="exact"/>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主要专业技术能力有：</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pStyle w:val="233"/>
        <w:spacing w:beforeAutospacing="0" w:afterAutospacing="0" w:line="0" w:lineRule="atLeast"/>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pStyle w:val="233"/>
        <w:spacing w:beforeAutospacing="0" w:afterAutospacing="0"/>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spacing w:line="460" w:lineRule="exact"/>
        <w:ind w:firstLine="3600" w:firstLineChars="1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spacing w:line="460" w:lineRule="exact"/>
        <w:rPr>
          <w:rFonts w:ascii="宋体" w:hAnsi="宋体" w:cs="宋体"/>
          <w:bCs/>
          <w:color w:val="000000" w:themeColor="text1"/>
          <w:sz w:val="24"/>
          <w14:textFill>
            <w14:solidFill>
              <w14:schemeClr w14:val="tx1"/>
            </w14:solidFill>
          </w14:textFill>
        </w:rPr>
      </w:pPr>
    </w:p>
    <w:p>
      <w:pPr>
        <w:spacing w:line="460" w:lineRule="exact"/>
        <w:jc w:val="righ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日期：</w:t>
      </w:r>
      <w:r>
        <w:rPr>
          <w:rFonts w:hint="eastAsia" w:ascii="宋体" w:hAnsi="宋体" w:cs="宋体"/>
          <w:bCs/>
          <w:color w:val="000000" w:themeColor="text1"/>
          <w:sz w:val="24"/>
          <w:u w:val="single"/>
          <w14:textFill>
            <w14:solidFill>
              <w14:schemeClr w14:val="tx1"/>
            </w14:solidFill>
          </w14:textFill>
        </w:rPr>
        <w:t xml:space="preserve">    年    月    日</w:t>
      </w:r>
    </w:p>
    <w:p>
      <w:pPr>
        <w:pStyle w:val="233"/>
        <w:spacing w:beforeAutospacing="0" w:afterAutospacing="0" w:line="500" w:lineRule="exact"/>
        <w:ind w:firstLine="640"/>
        <w:jc w:val="center"/>
        <w:rPr>
          <w:color w:val="000000" w:themeColor="text1"/>
          <w14:textFill>
            <w14:solidFill>
              <w14:schemeClr w14:val="tx1"/>
            </w14:solidFill>
          </w14:textFill>
        </w:rPr>
      </w:pPr>
      <w:r>
        <w:rPr>
          <w:rFonts w:cs="黑体"/>
          <w:i/>
          <w:color w:val="000000" w:themeColor="text1"/>
          <w:sz w:val="32"/>
          <w:szCs w:val="32"/>
          <w:u w:val="single"/>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五、参加政府采购活动前 3 年内在经营活动中没有重大违法记录的书面声明</w:t>
      </w:r>
    </w:p>
    <w:p>
      <w:pPr>
        <w:pStyle w:val="233"/>
        <w:spacing w:beforeAutospacing="0" w:afterAutospacing="0" w:line="500" w:lineRule="exact"/>
        <w:jc w:val="center"/>
        <w:rPr>
          <w:color w:val="000000" w:themeColor="text1"/>
          <w14:textFill>
            <w14:solidFill>
              <w14:schemeClr w14:val="tx1"/>
            </w14:solidFill>
          </w14:textFill>
        </w:rPr>
      </w:pPr>
      <w:r>
        <w:rPr>
          <w:rFonts w:hint="eastAsia"/>
          <w:b/>
          <w:color w:val="000000" w:themeColor="text1"/>
          <w:sz w:val="44"/>
          <w:szCs w:val="44"/>
          <w14:textFill>
            <w14:solidFill>
              <w14:schemeClr w14:val="tx1"/>
            </w14:solidFill>
          </w14:textFill>
        </w:rPr>
        <w:t>声  明</w:t>
      </w:r>
    </w:p>
    <w:p>
      <w:pPr>
        <w:pStyle w:val="233"/>
        <w:spacing w:beforeAutospacing="0" w:afterAutospacing="0" w:line="500" w:lineRule="exact"/>
        <w:ind w:firstLine="482"/>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我单位郑重声明：参加本次政府采购活动前 3 年内，我单位在经营活动中没有因违法经营受到刑事处罚或者责令停产停业、吊销许可证或者执照、较大数额罚款等行政处罚。</w:t>
      </w:r>
    </w:p>
    <w:p>
      <w:pPr>
        <w:pStyle w:val="233"/>
        <w:spacing w:beforeAutospacing="0" w:afterAutospacing="0" w:line="500" w:lineRule="exac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spacing w:line="460" w:lineRule="exact"/>
        <w:ind w:firstLine="3120" w:firstLineChars="13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授权代表签字：</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日期：</w:t>
      </w:r>
      <w:r>
        <w:rPr>
          <w:rFonts w:hint="eastAsia" w:ascii="宋体" w:hAnsi="宋体" w:cs="宋体"/>
          <w:bCs/>
          <w:color w:val="000000" w:themeColor="text1"/>
          <w:sz w:val="24"/>
          <w:u w:val="single"/>
          <w14:textFill>
            <w14:solidFill>
              <w14:schemeClr w14:val="tx1"/>
            </w14:solidFill>
          </w14:textFill>
        </w:rPr>
        <w:t xml:space="preserve">           年    月    日</w:t>
      </w:r>
    </w:p>
    <w:p>
      <w:pPr>
        <w:snapToGrid w:val="0"/>
        <w:spacing w:line="500" w:lineRule="exact"/>
        <w:ind w:firstLine="640" w:firstLineChars="200"/>
        <w:jc w:val="left"/>
        <w:rPr>
          <w:rFonts w:ascii="黑体" w:hAnsi="黑体" w:eastAsia="黑体" w:cs="黑体"/>
          <w:i/>
          <w:color w:val="000000" w:themeColor="text1"/>
          <w:sz w:val="32"/>
          <w:szCs w:val="32"/>
          <w:u w:val="single"/>
          <w14:textFill>
            <w14:solidFill>
              <w14:schemeClr w14:val="tx1"/>
            </w14:solidFill>
          </w14:textFill>
        </w:rPr>
      </w:pPr>
      <w:r>
        <w:rPr>
          <w:rFonts w:cs="黑体"/>
          <w:i/>
          <w:color w:val="000000" w:themeColor="text1"/>
          <w:sz w:val="32"/>
          <w:szCs w:val="32"/>
          <w:u w:val="single"/>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六、未被“信用中国”网站（www.creditchina.gov.cn）列入失信被执行人、重大税收违法案件当事人名单、政府采购严重失信行为记录名单的网上查询截图（查询日期为询价公告发布之日当天或以后任一时间）。</w:t>
      </w:r>
    </w:p>
    <w:p>
      <w:pPr>
        <w:rPr>
          <w:rFonts w:cs="黑体"/>
          <w:i/>
          <w:color w:val="000000" w:themeColor="text1"/>
          <w:sz w:val="32"/>
          <w:szCs w:val="32"/>
          <w:u w:val="single"/>
          <w14:textFill>
            <w14:solidFill>
              <w14:schemeClr w14:val="tx1"/>
            </w14:solidFill>
          </w14:textFill>
        </w:rPr>
      </w:pPr>
    </w:p>
    <w:p>
      <w:pPr>
        <w:rPr>
          <w:rFonts w:ascii="黑体" w:hAnsi="黑体" w:eastAsia="黑体" w:cs="黑体"/>
          <w:i/>
          <w:color w:val="000000" w:themeColor="text1"/>
          <w:sz w:val="32"/>
          <w:szCs w:val="32"/>
          <w:u w:val="single"/>
          <w14:textFill>
            <w14:solidFill>
              <w14:schemeClr w14:val="tx1"/>
            </w14:solidFill>
          </w14:textFill>
        </w:rPr>
      </w:pPr>
      <w:r>
        <w:rPr>
          <w:rFonts w:hint="eastAsia" w:ascii="黑体" w:hAnsi="黑体" w:eastAsia="黑体" w:cs="黑体"/>
          <w:i/>
          <w:color w:val="000000" w:themeColor="text1"/>
          <w:sz w:val="32"/>
          <w:szCs w:val="32"/>
          <w:u w:val="single"/>
          <w14:textFill>
            <w14:solidFill>
              <w14:schemeClr w14:val="tx1"/>
            </w14:solidFill>
          </w14:textFill>
        </w:rPr>
        <w:br w:type="page"/>
      </w:r>
    </w:p>
    <w:p>
      <w:pPr>
        <w:pStyle w:val="233"/>
        <w:spacing w:beforeAutospacing="0" w:afterAutospacing="0" w:line="500" w:lineRule="exact"/>
        <w:ind w:firstLine="640"/>
        <w:jc w:val="center"/>
        <w:rPr>
          <w:color w:val="000000" w:themeColor="text1"/>
          <w14:textFill>
            <w14:solidFill>
              <w14:schemeClr w14:val="tx1"/>
            </w14:solidFill>
          </w14:textFill>
        </w:rPr>
      </w:pPr>
      <w:r>
        <w:rPr>
          <w:rFonts w:hint="eastAsia" w:ascii="黑体" w:hAnsi="黑体" w:eastAsia="黑体" w:cs="黑体"/>
          <w:i/>
          <w:color w:val="000000" w:themeColor="text1"/>
          <w:sz w:val="32"/>
          <w:szCs w:val="32"/>
          <w:u w:val="single"/>
          <w14:textFill>
            <w14:solidFill>
              <w14:schemeClr w14:val="tx1"/>
            </w14:solidFill>
          </w14:textFill>
        </w:rPr>
        <w:t>七、法人授权书</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本授权书声明：____________（投标人名称）授权________________（被授权人的姓名）为我方就</w:t>
      </w:r>
      <w:r>
        <w:rPr>
          <w:rFonts w:hint="eastAsia"/>
          <w:color w:val="000000" w:themeColor="text1"/>
          <w:u w:val="single"/>
          <w14:textFill>
            <w14:solidFill>
              <w14:schemeClr w14:val="tx1"/>
            </w14:solidFill>
          </w14:textFill>
        </w:rPr>
        <w:t xml:space="preserve">                </w:t>
      </w:r>
      <w:r>
        <w:rPr>
          <w:color w:val="000000" w:themeColor="text1"/>
          <w14:textFill>
            <w14:solidFill>
              <w14:schemeClr w14:val="tx1"/>
            </w14:solidFill>
          </w14:textFill>
        </w:rPr>
        <w:t>号</w:t>
      </w:r>
      <w:r>
        <w:rPr>
          <w:rFonts w:hint="eastAsia"/>
          <w:color w:val="000000" w:themeColor="text1"/>
          <w:u w:val="single"/>
          <w14:textFill>
            <w14:solidFill>
              <w14:schemeClr w14:val="tx1"/>
            </w14:solidFill>
          </w14:textFill>
        </w:rPr>
        <w:t xml:space="preserve">           项目</w:t>
      </w:r>
      <w:r>
        <w:rPr>
          <w:color w:val="000000" w:themeColor="text1"/>
          <w14:textFill>
            <w14:solidFill>
              <w14:schemeClr w14:val="tx1"/>
            </w14:solidFill>
          </w14:textFill>
        </w:rPr>
        <w:t>采购活动的合法代理人，以本单位名义全权处理一切与该项目采购有关的事务。</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本授权书于______年____月____日起生效，特此声明。</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被授权人身份证号码：</w:t>
      </w:r>
      <w:r>
        <w:rPr>
          <w:color w:val="000000" w:themeColor="text1"/>
          <w:u w:val="single"/>
          <w14:textFill>
            <w14:solidFill>
              <w14:schemeClr w14:val="tx1"/>
            </w14:solidFill>
          </w14:textFill>
        </w:rPr>
        <w:t>              </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被授权人联系电话：（手机）</w:t>
      </w:r>
      <w:r>
        <w:rPr>
          <w:color w:val="000000" w:themeColor="text1"/>
          <w:u w:val="single"/>
          <w14:textFill>
            <w14:solidFill>
              <w14:schemeClr w14:val="tx1"/>
            </w14:solidFill>
          </w14:textFill>
        </w:rPr>
        <w:t>           </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授权单位</w:t>
      </w:r>
      <w:r>
        <w:rPr>
          <w:rFonts w:hint="eastAsia"/>
          <w:color w:val="000000" w:themeColor="text1"/>
          <w14:textFill>
            <w14:solidFill>
              <w14:schemeClr w14:val="tx1"/>
            </w14:solidFill>
          </w14:textFill>
        </w:rPr>
        <w:t>盖章</w:t>
      </w:r>
      <w:r>
        <w:rPr>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单位地址：</w:t>
      </w:r>
      <w:r>
        <w:rPr>
          <w:color w:val="000000" w:themeColor="text1"/>
          <w:u w:val="single"/>
          <w14:textFill>
            <w14:solidFill>
              <w14:schemeClr w14:val="tx1"/>
            </w14:solidFill>
          </w14:textFill>
        </w:rPr>
        <w:t>                   </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p>
    <w:p>
      <w:pPr>
        <w:pStyle w:val="233"/>
        <w:spacing w:beforeAutospacing="0" w:afterAutospacing="0" w:line="500" w:lineRule="exac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33"/>
        <w:spacing w:beforeAutospacing="0" w:afterAutospacing="0" w:line="500" w:lineRule="exac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33"/>
        <w:spacing w:beforeAutospacing="0" w:afterAutospacing="0" w:line="500" w:lineRule="exac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16"/>
        <w:keepNext/>
        <w:keepLines/>
        <w:widowControl w:val="0"/>
        <w:spacing w:before="260" w:beforeAutospacing="0" w:after="260" w:afterAutospacing="0" w:line="415" w:lineRule="auto"/>
        <w:jc w:val="center"/>
        <w:rPr>
          <w:rFonts w:ascii="黑体" w:hAnsi="黑体" w:eastAsia="黑体" w:cs="黑体"/>
          <w:i/>
          <w:color w:val="000000" w:themeColor="text1"/>
          <w:sz w:val="32"/>
          <w:szCs w:val="32"/>
          <w:u w:val="single"/>
          <w14:textFill>
            <w14:solidFill>
              <w14:schemeClr w14:val="tx1"/>
            </w14:solidFill>
          </w14:textFill>
        </w:rPr>
      </w:pPr>
      <w:r>
        <w:rPr>
          <w:rFonts w:hint="eastAsia" w:ascii="黑体" w:hAnsi="黑体" w:eastAsia="黑体" w:cs="黑体"/>
          <w:i/>
          <w:color w:val="000000" w:themeColor="text1"/>
          <w:sz w:val="32"/>
          <w:szCs w:val="32"/>
          <w:u w:val="single"/>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八、询价响应函</w:t>
      </w:r>
    </w:p>
    <w:p>
      <w:pPr>
        <w:pStyle w:val="216"/>
        <w:widowControl w:val="0"/>
        <w:spacing w:before="0" w:beforeAutospacing="0" w:after="0" w:afterAutospacing="0" w:line="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致：采购人</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号询价文件，正式授权下述签字人______(姓名)代表我方______________（供应商的名称），全权处理本次项目询价的有关事宜。</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据此函，__________签字人兹宣布同意如下：</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1.按询价文件规定的各项要求，向买方提供所需货物、服务（包含与货物相关的服务及与服务相关的货物）。</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2.我们已详细审核全部询价文件及其有效补充文件，我们知道必须放弃提出含糊不清或误解问题的权利。</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3.我们同意从规定的开标日期起遵循本响应文件，并在规定的询价有效期期满之前均具有约束力。</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4.同意向贵方提供贵方可能另外要求的与询价有关的任何证据或资料，并保证我方已提供和将要提供的文件是真实的、准确的。</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5.一旦我方成交,我方将根据询价文件的规定，严格履行合同的责任和义务,并保证在询价文件规定的时间完成项目，交付买方验收、使用。</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6.我方与本询价有关的正式通讯地址为：</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pStyle w:val="216"/>
        <w:widowControl w:val="0"/>
        <w:spacing w:before="0" w:beforeAutospacing="0" w:after="0" w:afterAutospacing="0" w:line="0" w:lineRule="atLeast"/>
        <w:ind w:firstLine="240"/>
        <w:jc w:val="center"/>
        <w:rPr>
          <w:color w:val="000000" w:themeColor="text1"/>
          <w14:textFill>
            <w14:solidFill>
              <w14:schemeClr w14:val="tx1"/>
            </w14:solidFill>
          </w14:textFill>
        </w:rPr>
      </w:pPr>
      <w:r>
        <w:rPr>
          <w:color w:val="000000" w:themeColor="text1"/>
          <w14:textFill>
            <w14:solidFill>
              <w14:schemeClr w14:val="tx1"/>
            </w14:solidFill>
          </w14:textFill>
        </w:rPr>
        <w:t> </w:t>
      </w:r>
    </w:p>
    <w:p>
      <w:pPr>
        <w:pStyle w:val="233"/>
        <w:spacing w:beforeAutospacing="0" w:afterAutospacing="0" w:line="0" w:lineRule="atLeast"/>
        <w:ind w:firstLine="600"/>
        <w:jc w:val="center"/>
        <w:rPr>
          <w:rFonts w:ascii="黑体" w:hAnsi="黑体" w:eastAsia="黑体" w:cs="黑体"/>
          <w:i/>
          <w:color w:val="000000" w:themeColor="text1"/>
          <w:sz w:val="32"/>
          <w:szCs w:val="32"/>
          <w:u w:val="single"/>
          <w14:textFill>
            <w14:solidFill>
              <w14:schemeClr w14:val="tx1"/>
            </w14:solidFill>
          </w14:textFill>
        </w:rPr>
      </w:pPr>
    </w:p>
    <w:p>
      <w:pPr>
        <w:snapToGrid w:val="0"/>
        <w:spacing w:before="50" w:after="50"/>
        <w:jc w:val="center"/>
        <w:outlineLvl w:val="0"/>
        <w:rPr>
          <w:rFonts w:ascii="黑体" w:hAnsi="黑体" w:eastAsia="黑体" w:cs="黑体"/>
          <w:i/>
          <w:color w:val="000000" w:themeColor="text1"/>
          <w:sz w:val="32"/>
          <w:szCs w:val="32"/>
          <w:u w:val="single"/>
          <w14:textFill>
            <w14:solidFill>
              <w14:schemeClr w14:val="tx1"/>
            </w14:solidFill>
          </w14:textFill>
        </w:rPr>
      </w:pPr>
      <w:bookmarkStart w:id="143" w:name="_格式3__银行出具的资信证明"/>
      <w:bookmarkStart w:id="144" w:name="_Toc120614284"/>
      <w:bookmarkStart w:id="145" w:name="_Hlt26955070"/>
      <w:bookmarkStart w:id="146" w:name="_Hlt26671380"/>
      <w:r>
        <w:rPr>
          <w:rFonts w:hint="eastAsia" w:ascii="黑体" w:hAnsi="黑体" w:eastAsia="黑体" w:cs="黑体"/>
          <w:i/>
          <w:color w:val="000000" w:themeColor="text1"/>
          <w:sz w:val="32"/>
          <w:szCs w:val="32"/>
          <w:u w:val="single"/>
          <w14:textFill>
            <w14:solidFill>
              <w14:schemeClr w14:val="tx1"/>
            </w14:solidFill>
          </w14:textFill>
        </w:rPr>
        <w:t>九、开标一览表（格式）</w:t>
      </w:r>
    </w:p>
    <w:p>
      <w:pPr>
        <w:snapToGrid w:val="0"/>
        <w:spacing w:before="50" w:after="50"/>
        <w:jc w:val="center"/>
        <w:rPr>
          <w:rStyle w:val="239"/>
          <w:rFonts w:ascii="宋体" w:hAnsi="宋体" w:cs="宋体"/>
          <w:color w:val="000000" w:themeColor="text1"/>
          <w:sz w:val="32"/>
          <w:szCs w:val="32"/>
          <w14:textFill>
            <w14:solidFill>
              <w14:schemeClr w14:val="tx1"/>
            </w14:solidFill>
          </w14:textFill>
        </w:rPr>
      </w:pPr>
    </w:p>
    <w:tbl>
      <w:tblPr>
        <w:tblStyle w:val="33"/>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r>
              <w:rPr>
                <w:rStyle w:val="239"/>
                <w:rFonts w:hint="eastAsia" w:ascii="宋体" w:hAnsi="宋体" w:cs="宋体"/>
                <w:b/>
                <w:bCs/>
                <w:color w:val="000000" w:themeColor="text1"/>
                <w:szCs w:val="28"/>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r>
              <w:rPr>
                <w:rStyle w:val="239"/>
                <w:rFonts w:hint="eastAsia" w:ascii="宋体" w:hAnsi="宋体" w:cs="宋体"/>
                <w:b/>
                <w:bCs/>
                <w:color w:val="000000" w:themeColor="text1"/>
                <w:szCs w:val="28"/>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szCs w:val="28"/>
                <w14:textFill>
                  <w14:solidFill>
                    <w14:schemeClr w14:val="tx1"/>
                  </w14:solidFill>
                </w14:textFill>
              </w:rPr>
            </w:pPr>
            <w:r>
              <w:rPr>
                <w:rStyle w:val="239"/>
                <w:rFonts w:hint="eastAsia" w:ascii="宋体" w:hAnsi="宋体" w:cs="宋体"/>
                <w:b/>
                <w:bCs/>
                <w:color w:val="000000" w:themeColor="text1"/>
                <w:szCs w:val="28"/>
                <w14:textFill>
                  <w14:solidFill>
                    <w14:schemeClr w14:val="tx1"/>
                  </w14:solidFill>
                </w14:textFill>
              </w:rPr>
              <w:t>项目投标报价：（大写）</w:t>
            </w:r>
            <w:r>
              <w:rPr>
                <w:rStyle w:val="239"/>
                <w:rFonts w:hint="eastAsia" w:ascii="宋体" w:hAnsi="宋体" w:cs="宋体"/>
                <w:b/>
                <w:bCs/>
                <w:color w:val="000000" w:themeColor="text1"/>
                <w:szCs w:val="28"/>
                <w:u w:val="single"/>
                <w14:textFill>
                  <w14:solidFill>
                    <w14:schemeClr w14:val="tx1"/>
                  </w14:solidFill>
                </w14:textFill>
              </w:rPr>
              <w:t xml:space="preserve">                      </w:t>
            </w:r>
            <w:r>
              <w:rPr>
                <w:rStyle w:val="239"/>
                <w:rFonts w:hint="eastAsia" w:ascii="宋体" w:hAnsi="宋体" w:cs="宋体"/>
                <w:b/>
                <w:bCs/>
                <w:color w:val="000000" w:themeColor="text1"/>
                <w:szCs w:val="28"/>
                <w14:textFill>
                  <w14:solidFill>
                    <w14:schemeClr w14:val="tx1"/>
                  </w14:solidFill>
                </w14:textFill>
              </w:rPr>
              <w:t>，小写：</w:t>
            </w:r>
            <w:r>
              <w:rPr>
                <w:rStyle w:val="239"/>
                <w:rFonts w:hint="eastAsia" w:ascii="宋体" w:hAnsi="宋体" w:cs="宋体"/>
                <w:b/>
                <w:bCs/>
                <w:color w:val="000000" w:themeColor="text1"/>
                <w:szCs w:val="28"/>
                <w:u w:val="single"/>
                <w14:textFill>
                  <w14:solidFill>
                    <w14:schemeClr w14:val="tx1"/>
                  </w14:solidFill>
                </w14:textFill>
              </w:rPr>
              <w:t xml:space="preserve">                       </w:t>
            </w:r>
            <w:r>
              <w:rPr>
                <w:rStyle w:val="239"/>
                <w:rFonts w:hint="eastAsia" w:ascii="宋体" w:hAnsi="宋体" w:cs="宋体"/>
                <w:b/>
                <w:bCs/>
                <w:color w:val="000000" w:themeColor="text1"/>
                <w:szCs w:val="28"/>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r>
              <w:rPr>
                <w:rStyle w:val="239"/>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r>
              <w:rPr>
                <w:rStyle w:val="239"/>
                <w:rFonts w:hint="eastAsia" w:ascii="宋体" w:hAnsi="宋体" w:cs="宋体"/>
                <w:b/>
                <w:bCs/>
                <w:color w:val="000000" w:themeColor="text1"/>
                <w:szCs w:val="28"/>
                <w14:textFill>
                  <w14:solidFill>
                    <w14:schemeClr w14:val="tx1"/>
                  </w14:solidFill>
                </w14:textFill>
              </w:rPr>
              <w:t>合同履行期限：</w:t>
            </w:r>
            <w:r>
              <w:rPr>
                <w:rFonts w:hint="eastAsia" w:ascii="宋体" w:hAnsi="宋体" w:cs="宋体"/>
                <w:color w:val="000000" w:themeColor="text1"/>
                <w:sz w:val="24"/>
                <w:lang w:val="en-US" w:eastAsia="zh-CN"/>
                <w14:textFill>
                  <w14:solidFill>
                    <w14:schemeClr w14:val="tx1"/>
                  </w14:solidFill>
                </w14:textFill>
              </w:rPr>
              <w:t>合同签订后十</w:t>
            </w:r>
            <w:r>
              <w:rPr>
                <w:rFonts w:hint="eastAsia" w:ascii="宋体" w:hAnsi="宋体" w:cs="宋体"/>
                <w:color w:val="000000" w:themeColor="text1"/>
                <w:sz w:val="24"/>
                <w14:textFill>
                  <w14:solidFill>
                    <w14:schemeClr w14:val="tx1"/>
                  </w14:solidFill>
                </w14:textFill>
              </w:rPr>
              <w:t>个日历天完成。</w:t>
            </w:r>
          </w:p>
        </w:tc>
      </w:tr>
    </w:tbl>
    <w:p>
      <w:pPr>
        <w:spacing w:line="240" w:lineRule="atLeast"/>
        <w:rPr>
          <w:rStyle w:val="239"/>
          <w:rFonts w:ascii="宋体" w:hAnsi="宋体" w:cs="宋体"/>
          <w:color w:val="000000" w:themeColor="text1"/>
          <w:szCs w:val="28"/>
          <w14:textFill>
            <w14:solidFill>
              <w14:schemeClr w14:val="tx1"/>
            </w14:solidFill>
          </w14:textFill>
        </w:rPr>
      </w:pPr>
    </w:p>
    <w:p>
      <w:pPr>
        <w:spacing w:line="240" w:lineRule="atLeast"/>
        <w:rPr>
          <w:rStyle w:val="239"/>
          <w:rFonts w:ascii="宋体" w:hAnsi="宋体" w:cs="宋体"/>
          <w:color w:val="000000" w:themeColor="text1"/>
          <w:szCs w:val="28"/>
          <w14:textFill>
            <w14:solidFill>
              <w14:schemeClr w14:val="tx1"/>
            </w14:solidFill>
          </w14:textFill>
        </w:rPr>
      </w:pPr>
      <w:r>
        <w:rPr>
          <w:rStyle w:val="239"/>
          <w:rFonts w:hint="eastAsia" w:ascii="宋体" w:hAnsi="宋体" w:cs="宋体"/>
          <w:color w:val="000000" w:themeColor="text1"/>
          <w:szCs w:val="28"/>
          <w14:textFill>
            <w14:solidFill>
              <w14:schemeClr w14:val="tx1"/>
            </w14:solidFill>
          </w14:textFill>
        </w:rPr>
        <w:t>填写说明：</w:t>
      </w:r>
    </w:p>
    <w:p>
      <w:pPr>
        <w:numPr>
          <w:ilvl w:val="0"/>
          <w:numId w:val="4"/>
        </w:numPr>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4"/>
        </w:numPr>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Style w:val="239"/>
          <w:rFonts w:ascii="宋体" w:hAnsi="宋体" w:cs="宋体"/>
          <w:color w:val="000000" w:themeColor="text1"/>
          <w:sz w:val="44"/>
          <w14:textFill>
            <w14:solidFill>
              <w14:schemeClr w14:val="tx1"/>
            </w14:solidFill>
          </w14:textFill>
        </w:rPr>
      </w:pPr>
    </w:p>
    <w:p>
      <w:pPr>
        <w:ind w:firstLine="480"/>
        <w:rPr>
          <w:rStyle w:val="239"/>
          <w:rFonts w:ascii="宋体" w:hAnsi="宋体" w:cs="宋体"/>
          <w:color w:val="000000" w:themeColor="text1"/>
          <w:sz w:val="24"/>
          <w14:textFill>
            <w14:solidFill>
              <w14:schemeClr w14:val="tx1"/>
            </w14:solidFill>
          </w14:textFill>
        </w:rPr>
      </w:pPr>
    </w:p>
    <w:p>
      <w:pPr>
        <w:ind w:firstLine="480"/>
        <w:rPr>
          <w:rStyle w:val="239"/>
          <w:rFonts w:ascii="宋体" w:hAnsi="宋体" w:cs="宋体"/>
          <w:color w:val="000000" w:themeColor="text1"/>
          <w:sz w:val="24"/>
          <w14:textFill>
            <w14:solidFill>
              <w14:schemeClr w14:val="tx1"/>
            </w14:solidFill>
          </w14:textFill>
        </w:rPr>
      </w:pPr>
    </w:p>
    <w:p>
      <w:pPr>
        <w:ind w:firstLine="480"/>
        <w:jc w:val="center"/>
        <w:rPr>
          <w:rStyle w:val="239"/>
          <w:rFonts w:ascii="宋体" w:hAnsi="宋体" w:cs="宋体"/>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 xml:space="preserve">                                              日期：   年   月   日</w:t>
      </w:r>
    </w:p>
    <w:p>
      <w:pPr>
        <w:pStyle w:val="32"/>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黑体" w:hAnsi="黑体" w:eastAsia="黑体" w:cs="黑体"/>
          <w:i/>
          <w:color w:val="000000" w:themeColor="text1"/>
          <w:sz w:val="32"/>
          <w:szCs w:val="32"/>
          <w:u w:val="single"/>
          <w14:textFill>
            <w14:solidFill>
              <w14:schemeClr w14:val="tx1"/>
            </w14:solidFill>
          </w14:textFill>
        </w:rPr>
      </w:pPr>
      <w:r>
        <w:rPr>
          <w:rFonts w:hint="eastAsia" w:ascii="黑体" w:hAnsi="黑体" w:eastAsia="黑体" w:cs="黑体"/>
          <w:i/>
          <w:color w:val="000000" w:themeColor="text1"/>
          <w:sz w:val="32"/>
          <w:szCs w:val="32"/>
          <w:u w:val="single"/>
          <w14:textFill>
            <w14:solidFill>
              <w14:schemeClr w14:val="tx1"/>
            </w14:solidFill>
          </w14:textFill>
        </w:rPr>
        <w:br w:type="page"/>
      </w:r>
    </w:p>
    <w:p>
      <w:pPr>
        <w:pStyle w:val="216"/>
        <w:widowControl w:val="0"/>
        <w:spacing w:before="0" w:beforeAutospacing="0" w:after="0" w:afterAutospacing="0"/>
        <w:jc w:val="center"/>
        <w:rPr>
          <w:rFonts w:ascii="黑体" w:hAnsi="黑体" w:eastAsia="黑体" w:cs="黑体"/>
          <w:i/>
          <w:color w:val="000000" w:themeColor="text1"/>
          <w:sz w:val="32"/>
          <w:szCs w:val="32"/>
          <w:u w:val="single"/>
          <w14:textFill>
            <w14:solidFill>
              <w14:schemeClr w14:val="tx1"/>
            </w14:solidFill>
          </w14:textFill>
        </w:rPr>
      </w:pPr>
      <w:r>
        <w:rPr>
          <w:rFonts w:hint="eastAsia" w:ascii="黑体" w:hAnsi="黑体" w:eastAsia="黑体" w:cs="黑体"/>
          <w:i/>
          <w:color w:val="000000" w:themeColor="text1"/>
          <w:sz w:val="32"/>
          <w:szCs w:val="32"/>
          <w:u w:val="single"/>
          <w14:textFill>
            <w14:solidFill>
              <w14:schemeClr w14:val="tx1"/>
            </w14:solidFill>
          </w14:textFill>
        </w:rPr>
        <w:t>十、</w:t>
      </w:r>
      <w:r>
        <w:rPr>
          <w:rFonts w:hint="eastAsia" w:ascii="黑体" w:hAnsi="黑体" w:eastAsia="黑体" w:cs="黑体"/>
          <w:i/>
          <w:color w:val="000000" w:themeColor="text1"/>
          <w:sz w:val="32"/>
          <w:szCs w:val="32"/>
          <w:u w:val="single"/>
          <w:lang w:eastAsia="zh-CN"/>
          <w14:textFill>
            <w14:solidFill>
              <w14:schemeClr w14:val="tx1"/>
            </w14:solidFill>
          </w14:textFill>
        </w:rPr>
        <w:t>盐城工业职业技术学院人行通道及汽车通道改造</w:t>
      </w:r>
      <w:r>
        <w:rPr>
          <w:rFonts w:hint="eastAsia" w:ascii="黑体" w:hAnsi="黑体" w:eastAsia="黑体" w:cs="黑体"/>
          <w:i/>
          <w:color w:val="000000" w:themeColor="text1"/>
          <w:sz w:val="32"/>
          <w:szCs w:val="32"/>
          <w:u w:val="single"/>
          <w14:textFill>
            <w14:solidFill>
              <w14:schemeClr w14:val="tx1"/>
            </w14:solidFill>
          </w14:textFill>
        </w:rPr>
        <w:t>报价表</w:t>
      </w:r>
    </w:p>
    <w:p>
      <w:pPr>
        <w:pStyle w:val="216"/>
        <w:widowControl w:val="0"/>
        <w:spacing w:before="0" w:beforeAutospacing="0" w:after="0" w:afterAutospacing="0"/>
        <w:jc w:val="both"/>
        <w:rPr>
          <w:color w:val="000000" w:themeColor="text1"/>
          <w14:textFill>
            <w14:solidFill>
              <w14:schemeClr w14:val="tx1"/>
            </w14:solidFill>
          </w14:textFill>
        </w:rPr>
      </w:pPr>
    </w:p>
    <w:p>
      <w:pPr>
        <w:pStyle w:val="216"/>
        <w:widowControl w:val="0"/>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16"/>
        <w:widowControl w:val="0"/>
        <w:spacing w:before="0" w:beforeAutospacing="0" w:after="0" w:afterAutospacing="0"/>
        <w:jc w:val="both"/>
        <w:rPr>
          <w:color w:val="000000" w:themeColor="text1"/>
          <w14:textFill>
            <w14:solidFill>
              <w14:schemeClr w14:val="tx1"/>
            </w14:solidFill>
          </w14:textFill>
        </w:rPr>
      </w:pPr>
    </w:p>
    <w:p>
      <w:pPr>
        <w:pStyle w:val="216"/>
        <w:widowControl w:val="0"/>
        <w:spacing w:before="0" w:beforeAutospacing="0" w:after="0" w:afterAutospacing="0"/>
        <w:jc w:val="both"/>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见附件</w:t>
      </w:r>
    </w:p>
    <w:p>
      <w:pPr>
        <w:pStyle w:val="216"/>
        <w:widowControl w:val="0"/>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16"/>
        <w:widowControl w:val="0"/>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16"/>
        <w:widowControl w:val="0"/>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snapToGrid w:val="0"/>
        <w:spacing w:before="50" w:after="50"/>
        <w:jc w:val="center"/>
        <w:outlineLvl w:val="0"/>
        <w:rPr>
          <w:rFonts w:ascii="宋体" w:hAnsi="宋体" w:cs="宋体"/>
          <w:color w:val="000000" w:themeColor="text1"/>
          <w:sz w:val="24"/>
          <w:szCs w:val="24"/>
          <w:highlight w:val="none"/>
          <w14:textFill>
            <w14:solidFill>
              <w14:schemeClr w14:val="tx1"/>
            </w14:solidFill>
          </w14:textFill>
        </w:rPr>
      </w:pPr>
      <w:r>
        <w:rPr>
          <w:rFonts w:hint="eastAsia" w:ascii="黑体" w:eastAsia="黑体" w:cs="黑体"/>
          <w:b/>
          <w:color w:val="000000" w:themeColor="text1"/>
          <w:sz w:val="32"/>
          <w:szCs w:val="32"/>
          <w14:textFill>
            <w14:solidFill>
              <w14:schemeClr w14:val="tx1"/>
            </w14:solidFill>
          </w14:textFill>
        </w:rPr>
        <w:br w:type="page" w:clear="all"/>
      </w:r>
      <w:r>
        <w:rPr>
          <w:rFonts w:hint="eastAsia" w:ascii="黑体" w:eastAsia="黑体" w:cs="黑体"/>
          <w:bCs/>
          <w:i/>
          <w:iCs/>
          <w:color w:val="000000" w:themeColor="text1"/>
          <w:sz w:val="32"/>
          <w:szCs w:val="32"/>
          <w:u w:val="single"/>
          <w14:textFill>
            <w14:solidFill>
              <w14:schemeClr w14:val="tx1"/>
            </w14:solidFill>
          </w14:textFill>
        </w:rPr>
        <w:t>十一、</w:t>
      </w:r>
      <w:bookmarkEnd w:id="135"/>
      <w:bookmarkEnd w:id="136"/>
      <w:bookmarkEnd w:id="137"/>
      <w:bookmarkEnd w:id="143"/>
      <w:bookmarkEnd w:id="144"/>
      <w:bookmarkEnd w:id="145"/>
      <w:bookmarkEnd w:id="146"/>
      <w:r>
        <w:rPr>
          <w:rFonts w:hint="eastAsia" w:ascii="宋体" w:hAnsi="宋体" w:cs="宋体"/>
          <w:color w:val="000000" w:themeColor="text1"/>
          <w:sz w:val="32"/>
          <w:szCs w:val="32"/>
          <w:highlight w:val="none"/>
          <w14:textFill>
            <w14:solidFill>
              <w14:schemeClr w14:val="tx1"/>
            </w14:solidFill>
          </w14:textFill>
        </w:rPr>
        <w:t>技术参数响应及偏离表（如有）</w:t>
      </w: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投标人全称（加盖公章）：       </w:t>
      </w:r>
    </w:p>
    <w:tbl>
      <w:tblPr>
        <w:tblStyle w:val="33"/>
        <w:tblW w:w="916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2852" w:type="dxa"/>
            <w:noWrap w:val="0"/>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招标要求</w:t>
            </w:r>
          </w:p>
        </w:tc>
        <w:tc>
          <w:tcPr>
            <w:tcW w:w="2852" w:type="dxa"/>
            <w:noWrap w:val="0"/>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投标响应</w:t>
            </w:r>
          </w:p>
        </w:tc>
        <w:tc>
          <w:tcPr>
            <w:tcW w:w="1308" w:type="dxa"/>
            <w:noWrap w:val="0"/>
            <w:vAlign w:val="center"/>
          </w:tcPr>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超出、符合或偏离</w:t>
            </w:r>
          </w:p>
        </w:tc>
        <w:tc>
          <w:tcPr>
            <w:tcW w:w="1173" w:type="dxa"/>
            <w:noWrap w:val="0"/>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2852"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308"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c>
          <w:tcPr>
            <w:tcW w:w="1173" w:type="dxa"/>
            <w:noWrap w:val="0"/>
            <w:vAlign w:val="top"/>
          </w:tcPr>
          <w:p>
            <w:pPr>
              <w:jc w:val="center"/>
              <w:rPr>
                <w:rFonts w:ascii="宋体" w:hAnsi="宋体" w:cs="宋体"/>
                <w:color w:val="000000" w:themeColor="text1"/>
                <w:sz w:val="24"/>
                <w:szCs w:val="24"/>
                <w:highlight w:val="none"/>
                <w14:textFill>
                  <w14:solidFill>
                    <w14:schemeClr w14:val="tx1"/>
                  </w14:solidFill>
                </w14:textFill>
              </w:rPr>
            </w:pPr>
          </w:p>
        </w:tc>
      </w:tr>
    </w:tbl>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法定代表人或授权代表签字：</w:t>
      </w:r>
    </w:p>
    <w:p>
      <w:pPr>
        <w:rPr>
          <w:rFonts w:ascii="宋体" w:hAnsi="宋体" w:cs="宋体"/>
          <w:color w:val="000000" w:themeColor="text1"/>
          <w:sz w:val="24"/>
          <w:szCs w:val="24"/>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p>
    <w:p>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行数不够，可自行添加。</w:t>
      </w:r>
    </w:p>
    <w:p>
      <w:pPr>
        <w:spacing w:line="360" w:lineRule="auto"/>
        <w:ind w:firstLine="48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3、技术偏离表应针对项目需求逐条应答。</w:t>
      </w:r>
    </w:p>
    <w:p>
      <w:pPr>
        <w:widowControl/>
        <w:spacing w:line="360" w:lineRule="auto"/>
        <w:ind w:firstLine="480"/>
        <w:jc w:val="left"/>
        <w:rPr>
          <w:rFonts w:ascii="宋体" w:hAnsi="宋体"/>
          <w:color w:val="000000" w:themeColor="text1"/>
          <w:sz w:val="24"/>
          <w14:textFill>
            <w14:solidFill>
              <w14:schemeClr w14:val="tx1"/>
            </w14:solidFill>
          </w14:textFill>
        </w:rPr>
      </w:pPr>
    </w:p>
    <w:sectPr>
      <w:headerReference r:id="rId3" w:type="default"/>
      <w:footerReference r:id="rId4" w:type="default"/>
      <w:pgSz w:w="11907" w:h="16840"/>
      <w:pgMar w:top="1587" w:right="1587" w:bottom="1587" w:left="1587" w:header="1304"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1"/>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3175" t="2540" r="0" b="0"/>
              <wp:wrapNone/>
              <wp:docPr id="1722369555" name="Text Box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Er1kUMBAgAACQQAAA4AAABkcnMvZTJvRG9jLnhtbK1Ty27bMBC8F+g/&#10;ELzX8gN2WsFykMZwUSB9AEk/gKYoiajIJZa0Jffru6QkN00vOfQirJa7szPD5fa2Ny07K/QabMEX&#10;szlnykoota0L/uPp8O49Zz4IW4oWrCr4RXl+u3v7Ztu5XC2hgbZUyAjE+rxzBW9CcHmWedkoI/wM&#10;nLJ0WAEaEegX66xE0RG6abPlfL7JOsDSIUjlPWX3wyEfEfE1gFBVWqo9yJNRNgyoqFoRSJJvtPN8&#10;l9hWlZLhW1V5FVhbcFIa0peGUHyM32y3FXmNwjVajhTEayi80GSEtjT0CrUXQbAT6n+gjJYIHqow&#10;k2CyQUhyhFQs5i+8eWyEU0kLWe3d1XT//2Dl1/N3ZLqkTbhZLlebD+v1mjMrDN38k+oD+wg9W0ab&#10;Oudzqn50VB96SlNLkuzdA8ifnlm4b4St1R0idI0SJdFcxM7sWeuA4yPIsfsCJY0RpwAJqK/QRA/J&#10;FUbodEWX6xVFKpKSm5vVgg4knSzWq/lqnQaIfOp16MMnBYbFoOBIC5CwxfnBh8hF5FNJHGXhoNs2&#10;LUFr/0pQYcwk7pHuQDz0x3704gjlhVQgDDtFL4qCBvAXZx3tU8EtPR/O2s+WfIirNwU4BccpEFZS&#10;Y8EDZ0N4H4YVPTnUdUO4k9N35NVBJyHR1IHDyJI2JOkbtzmu4PP/VPXnBe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erNUXQAAAAAwEAAA8AAAAAAAAAAQAgAAAAIgAAAGRycy9kb3ducmV2Lnht&#10;bFBLAQIUABQAAAAIAIdO4kBK9ZFDAQIAAAkEAAAOAAAAAAAAAAEAIAAAAB8BAABkcnMvZTJvRG9j&#10;LnhtbFBLBQYAAAAABgAGAFkBAACS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3"/>
      <w:tabs>
        <w:tab w:val="left" w:pos="3565"/>
      </w:tabs>
      <w:rPr>
        <w:rFonts w:ascii="宋体" w:hAnsi="宋体"/>
        <w:color w:val="000000"/>
      </w:rPr>
    </w:pPr>
    <w:r>
      <w:rPr>
        <w:rFonts w:hint="eastAsia" w:ascii="宋体" w:hAnsi="宋体"/>
        <w:color w:val="000000"/>
      </w:rPr>
      <w:t>盐城工业职业技术学院询价文件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93CBA"/>
    <w:multiLevelType w:val="singleLevel"/>
    <w:tmpl w:val="A5E93CBA"/>
    <w:lvl w:ilvl="0" w:tentative="0">
      <w:start w:val="15"/>
      <w:numFmt w:val="decimal"/>
      <w:suff w:val="nothing"/>
      <w:lvlText w:val="%1、"/>
      <w:lvlJc w:val="left"/>
    </w:lvl>
  </w:abstractNum>
  <w:abstractNum w:abstractNumId="1">
    <w:nsid w:val="B4D59DF2"/>
    <w:multiLevelType w:val="singleLevel"/>
    <w:tmpl w:val="B4D59DF2"/>
    <w:lvl w:ilvl="0" w:tentative="0">
      <w:start w:val="1"/>
      <w:numFmt w:val="chineseCounting"/>
      <w:suff w:val="nothing"/>
      <w:lvlText w:val="%1、"/>
      <w:lvlJc w:val="left"/>
      <w:rPr>
        <w:rFonts w:hint="eastAsia"/>
      </w:r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4">
    <w:nsid w:val="65620519"/>
    <w:multiLevelType w:val="singleLevel"/>
    <w:tmpl w:val="65620519"/>
    <w:lvl w:ilvl="0" w:tentative="0">
      <w:start w:val="2"/>
      <w:numFmt w:val="decimal"/>
      <w:lvlText w:val="%1."/>
      <w:lvlJc w:val="left"/>
      <w:pPr>
        <w:tabs>
          <w:tab w:val="left" w:pos="312"/>
        </w:tabs>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wNjlhNDUwYmY4Yzk5NTExM2UwMzQ4MzAyNTdmZDYifQ=="/>
  </w:docVars>
  <w:rsids>
    <w:rsidRoot w:val="00FA24EF"/>
    <w:rsid w:val="00073718"/>
    <w:rsid w:val="000A6ECD"/>
    <w:rsid w:val="000E6DB5"/>
    <w:rsid w:val="0021012A"/>
    <w:rsid w:val="002A057C"/>
    <w:rsid w:val="00391DC4"/>
    <w:rsid w:val="004D3F35"/>
    <w:rsid w:val="00543D99"/>
    <w:rsid w:val="00593FC6"/>
    <w:rsid w:val="005D0FDD"/>
    <w:rsid w:val="005D381C"/>
    <w:rsid w:val="0066198A"/>
    <w:rsid w:val="00751B94"/>
    <w:rsid w:val="0080073E"/>
    <w:rsid w:val="00814921"/>
    <w:rsid w:val="009C5A8F"/>
    <w:rsid w:val="00A81BEE"/>
    <w:rsid w:val="00AD48C5"/>
    <w:rsid w:val="00E17A60"/>
    <w:rsid w:val="00E21E67"/>
    <w:rsid w:val="00F15E46"/>
    <w:rsid w:val="00FA24EF"/>
    <w:rsid w:val="01323CE1"/>
    <w:rsid w:val="01A017BA"/>
    <w:rsid w:val="07D433FC"/>
    <w:rsid w:val="081E6D6D"/>
    <w:rsid w:val="0E8F62CF"/>
    <w:rsid w:val="0EE30C60"/>
    <w:rsid w:val="100F586D"/>
    <w:rsid w:val="108875CA"/>
    <w:rsid w:val="12392007"/>
    <w:rsid w:val="138228A6"/>
    <w:rsid w:val="1C2F48B2"/>
    <w:rsid w:val="1C626DD1"/>
    <w:rsid w:val="1C6C1223"/>
    <w:rsid w:val="1FDD61BD"/>
    <w:rsid w:val="21BD7BEC"/>
    <w:rsid w:val="22F753E3"/>
    <w:rsid w:val="23F0493D"/>
    <w:rsid w:val="2C5A69AA"/>
    <w:rsid w:val="2F5E410A"/>
    <w:rsid w:val="2FB92D54"/>
    <w:rsid w:val="32392AD9"/>
    <w:rsid w:val="349652AA"/>
    <w:rsid w:val="35232223"/>
    <w:rsid w:val="3D383C56"/>
    <w:rsid w:val="4034676D"/>
    <w:rsid w:val="43E5293D"/>
    <w:rsid w:val="44D83825"/>
    <w:rsid w:val="44F3065E"/>
    <w:rsid w:val="44F7014F"/>
    <w:rsid w:val="4514027A"/>
    <w:rsid w:val="457C4AF8"/>
    <w:rsid w:val="492359B6"/>
    <w:rsid w:val="4F4A3571"/>
    <w:rsid w:val="51A45D92"/>
    <w:rsid w:val="51A67184"/>
    <w:rsid w:val="52A540FE"/>
    <w:rsid w:val="54382082"/>
    <w:rsid w:val="54971006"/>
    <w:rsid w:val="58CD4FF7"/>
    <w:rsid w:val="59C02DAD"/>
    <w:rsid w:val="5D5E1938"/>
    <w:rsid w:val="5D795A58"/>
    <w:rsid w:val="5E2D6537"/>
    <w:rsid w:val="5EDF0CF5"/>
    <w:rsid w:val="609E57FC"/>
    <w:rsid w:val="64215892"/>
    <w:rsid w:val="66BC633A"/>
    <w:rsid w:val="670965A9"/>
    <w:rsid w:val="672665F2"/>
    <w:rsid w:val="69270021"/>
    <w:rsid w:val="6A9F18DB"/>
    <w:rsid w:val="76073247"/>
    <w:rsid w:val="76B7505B"/>
    <w:rsid w:val="7BCF0001"/>
    <w:rsid w:val="7D1B4337"/>
    <w:rsid w:val="7D5666A8"/>
    <w:rsid w:val="7D8A07F3"/>
    <w:rsid w:val="7DD06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39"/>
    <w:autoRedefine/>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0"/>
    <w:autoRedefine/>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5"/>
    <w:link w:val="41"/>
    <w:autoRedefine/>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2"/>
    <w:autoRedefine/>
    <w:unhideWhenUsed/>
    <w:qFormat/>
    <w:uiPriority w:val="9"/>
    <w:pPr>
      <w:keepNext/>
      <w:keepLines/>
      <w:spacing w:before="320" w:after="200"/>
      <w:jc w:val="center"/>
      <w:outlineLvl w:val="3"/>
    </w:pPr>
    <w:rPr>
      <w:szCs w:val="21"/>
    </w:rPr>
  </w:style>
  <w:style w:type="paragraph" w:styleId="7">
    <w:name w:val="heading 5"/>
    <w:basedOn w:val="1"/>
    <w:next w:val="1"/>
    <w:link w:val="43"/>
    <w:autoRedefine/>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44"/>
    <w:autoRedefine/>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5"/>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6"/>
    <w:autoRedefine/>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7"/>
    <w:autoRedefine/>
    <w:unhideWhenUsed/>
    <w:qFormat/>
    <w:uiPriority w:val="9"/>
    <w:pPr>
      <w:keepNext/>
      <w:keepLines/>
      <w:spacing w:before="320" w:after="200"/>
      <w:outlineLvl w:val="8"/>
    </w:pPr>
    <w:rPr>
      <w:rFonts w:ascii="Arial" w:hAnsi="Arial" w:eastAsia="Arial" w:cs="Arial"/>
      <w:i/>
      <w:iCs/>
      <w:szCs w:val="21"/>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rPr>
      <w:szCs w:val="20"/>
    </w:rPr>
  </w:style>
  <w:style w:type="paragraph" w:styleId="12">
    <w:name w:val="toc 7"/>
    <w:basedOn w:val="1"/>
    <w:next w:val="1"/>
    <w:autoRedefine/>
    <w:unhideWhenUsed/>
    <w:qFormat/>
    <w:uiPriority w:val="39"/>
    <w:pPr>
      <w:spacing w:after="57"/>
      <w:ind w:left="1701"/>
    </w:pPr>
  </w:style>
  <w:style w:type="paragraph" w:styleId="13">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Indent"/>
    <w:basedOn w:val="1"/>
    <w:autoRedefine/>
    <w:qFormat/>
    <w:uiPriority w:val="99"/>
    <w:pPr>
      <w:ind w:firstLine="645"/>
    </w:pPr>
    <w:rPr>
      <w:rFonts w:ascii="楷体_GB2312" w:eastAsia="楷体_GB2312"/>
      <w:sz w:val="32"/>
      <w:szCs w:val="32"/>
    </w:rPr>
  </w:style>
  <w:style w:type="paragraph" w:styleId="15">
    <w:name w:val="Block Text"/>
    <w:basedOn w:val="1"/>
    <w:autoRedefine/>
    <w:qFormat/>
    <w:uiPriority w:val="99"/>
    <w:pPr>
      <w:spacing w:after="120"/>
      <w:ind w:left="1440" w:leftChars="700" w:right="1440" w:rightChars="700"/>
    </w:pPr>
  </w:style>
  <w:style w:type="paragraph" w:styleId="16">
    <w:name w:val="toc 5"/>
    <w:basedOn w:val="1"/>
    <w:next w:val="1"/>
    <w:autoRedefine/>
    <w:unhideWhenUsed/>
    <w:qFormat/>
    <w:uiPriority w:val="39"/>
    <w:pPr>
      <w:spacing w:after="57"/>
      <w:ind w:left="1134"/>
    </w:pPr>
  </w:style>
  <w:style w:type="paragraph" w:styleId="17">
    <w:name w:val="toc 3"/>
    <w:basedOn w:val="1"/>
    <w:next w:val="1"/>
    <w:autoRedefine/>
    <w:unhideWhenUsed/>
    <w:qFormat/>
    <w:uiPriority w:val="39"/>
    <w:pPr>
      <w:spacing w:after="57"/>
      <w:ind w:left="567"/>
    </w:pPr>
  </w:style>
  <w:style w:type="paragraph" w:styleId="18">
    <w:name w:val="toc 8"/>
    <w:basedOn w:val="1"/>
    <w:next w:val="1"/>
    <w:autoRedefine/>
    <w:unhideWhenUsed/>
    <w:qFormat/>
    <w:uiPriority w:val="39"/>
    <w:pPr>
      <w:spacing w:after="57"/>
      <w:ind w:left="1984"/>
    </w:pPr>
  </w:style>
  <w:style w:type="paragraph" w:styleId="19">
    <w:name w:val="endnote text"/>
    <w:basedOn w:val="1"/>
    <w:link w:val="185"/>
    <w:autoRedefine/>
    <w:semiHidden/>
    <w:unhideWhenUsed/>
    <w:qFormat/>
    <w:uiPriority w:val="99"/>
    <w:rPr>
      <w:sz w:val="20"/>
    </w:rPr>
  </w:style>
  <w:style w:type="paragraph" w:styleId="20">
    <w:name w:val="footer"/>
    <w:basedOn w:val="1"/>
    <w:link w:val="58"/>
    <w:autoRedefine/>
    <w:unhideWhenUsed/>
    <w:qFormat/>
    <w:uiPriority w:val="99"/>
    <w:pPr>
      <w:tabs>
        <w:tab w:val="center" w:pos="7143"/>
        <w:tab w:val="right" w:pos="14287"/>
      </w:tabs>
    </w:pPr>
  </w:style>
  <w:style w:type="paragraph" w:styleId="21">
    <w:name w:val="envelope return"/>
    <w:basedOn w:val="1"/>
    <w:autoRedefine/>
    <w:qFormat/>
    <w:uiPriority w:val="0"/>
    <w:pPr>
      <w:snapToGrid w:val="0"/>
    </w:pPr>
    <w:rPr>
      <w:rFonts w:ascii="Arial" w:hAnsi="Arial"/>
    </w:rPr>
  </w:style>
  <w:style w:type="paragraph" w:styleId="22">
    <w:name w:val="header"/>
    <w:basedOn w:val="1"/>
    <w:link w:val="56"/>
    <w:autoRedefine/>
    <w:unhideWhenUsed/>
    <w:qFormat/>
    <w:uiPriority w:val="99"/>
    <w:pPr>
      <w:tabs>
        <w:tab w:val="center" w:pos="7143"/>
        <w:tab w:val="right" w:pos="14287"/>
      </w:tabs>
    </w:pPr>
  </w:style>
  <w:style w:type="paragraph" w:styleId="23">
    <w:name w:val="toc 1"/>
    <w:basedOn w:val="1"/>
    <w:next w:val="1"/>
    <w:autoRedefine/>
    <w:unhideWhenUsed/>
    <w:qFormat/>
    <w:uiPriority w:val="39"/>
    <w:pPr>
      <w:spacing w:after="57"/>
    </w:pPr>
  </w:style>
  <w:style w:type="paragraph" w:styleId="24">
    <w:name w:val="toc 4"/>
    <w:basedOn w:val="1"/>
    <w:next w:val="1"/>
    <w:autoRedefine/>
    <w:unhideWhenUsed/>
    <w:qFormat/>
    <w:uiPriority w:val="39"/>
    <w:pPr>
      <w:spacing w:after="57"/>
      <w:ind w:left="850"/>
    </w:pPr>
  </w:style>
  <w:style w:type="paragraph" w:styleId="25">
    <w:name w:val="Subtitle"/>
    <w:basedOn w:val="1"/>
    <w:next w:val="1"/>
    <w:link w:val="51"/>
    <w:autoRedefine/>
    <w:qFormat/>
    <w:uiPriority w:val="11"/>
    <w:pPr>
      <w:spacing w:before="200" w:after="200"/>
    </w:pPr>
    <w:rPr>
      <w:sz w:val="24"/>
    </w:rPr>
  </w:style>
  <w:style w:type="paragraph" w:styleId="26">
    <w:name w:val="footnote text"/>
    <w:basedOn w:val="1"/>
    <w:link w:val="184"/>
    <w:autoRedefine/>
    <w:semiHidden/>
    <w:unhideWhenUsed/>
    <w:qFormat/>
    <w:uiPriority w:val="99"/>
    <w:pPr>
      <w:spacing w:after="40"/>
    </w:pPr>
    <w:rPr>
      <w:sz w:val="18"/>
    </w:rPr>
  </w:style>
  <w:style w:type="paragraph" w:styleId="27">
    <w:name w:val="toc 6"/>
    <w:basedOn w:val="1"/>
    <w:next w:val="1"/>
    <w:autoRedefine/>
    <w:unhideWhenUsed/>
    <w:qFormat/>
    <w:uiPriority w:val="39"/>
    <w:pPr>
      <w:spacing w:after="57"/>
      <w:ind w:left="1417"/>
    </w:pPr>
  </w:style>
  <w:style w:type="paragraph" w:styleId="28">
    <w:name w:val="table of figures"/>
    <w:basedOn w:val="1"/>
    <w:next w:val="1"/>
    <w:autoRedefine/>
    <w:unhideWhenUsed/>
    <w:qFormat/>
    <w:uiPriority w:val="99"/>
  </w:style>
  <w:style w:type="paragraph" w:styleId="29">
    <w:name w:val="toc 2"/>
    <w:basedOn w:val="1"/>
    <w:next w:val="1"/>
    <w:autoRedefine/>
    <w:unhideWhenUsed/>
    <w:qFormat/>
    <w:uiPriority w:val="39"/>
    <w:pPr>
      <w:spacing w:after="57"/>
      <w:ind w:left="283"/>
    </w:pPr>
  </w:style>
  <w:style w:type="paragraph" w:styleId="30">
    <w:name w:val="toc 9"/>
    <w:basedOn w:val="1"/>
    <w:next w:val="1"/>
    <w:autoRedefine/>
    <w:unhideWhenUsed/>
    <w:qFormat/>
    <w:uiPriority w:val="39"/>
    <w:pPr>
      <w:spacing w:after="57"/>
      <w:ind w:left="2268"/>
    </w:pPr>
  </w:style>
  <w:style w:type="paragraph" w:styleId="31">
    <w:name w:val="Title"/>
    <w:basedOn w:val="1"/>
    <w:next w:val="1"/>
    <w:link w:val="50"/>
    <w:autoRedefine/>
    <w:qFormat/>
    <w:uiPriority w:val="10"/>
    <w:pPr>
      <w:spacing w:before="300" w:after="200"/>
      <w:contextualSpacing/>
    </w:pPr>
    <w:rPr>
      <w:sz w:val="48"/>
      <w:szCs w:val="48"/>
    </w:rPr>
  </w:style>
  <w:style w:type="paragraph" w:styleId="32">
    <w:name w:val="Body Text First Indent 2"/>
    <w:basedOn w:val="14"/>
    <w:autoRedefine/>
    <w:qFormat/>
    <w:uiPriority w:val="99"/>
    <w:pPr>
      <w:spacing w:line="360" w:lineRule="auto"/>
      <w:ind w:firstLine="420" w:firstLineChars="200"/>
    </w:pPr>
    <w:rPr>
      <w:rFonts w:ascii="宋体" w:hAnsi="宋体" w:eastAsia="宋体"/>
      <w:sz w:val="21"/>
      <w:szCs w:val="20"/>
    </w:rPr>
  </w:style>
  <w:style w:type="table" w:styleId="34">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endnote reference"/>
    <w:autoRedefine/>
    <w:semiHidden/>
    <w:unhideWhenUsed/>
    <w:qFormat/>
    <w:uiPriority w:val="99"/>
    <w:rPr>
      <w:vertAlign w:val="superscript"/>
    </w:rPr>
  </w:style>
  <w:style w:type="character" w:styleId="37">
    <w:name w:val="Hyperlink"/>
    <w:autoRedefine/>
    <w:unhideWhenUsed/>
    <w:qFormat/>
    <w:uiPriority w:val="99"/>
    <w:rPr>
      <w:color w:val="0000FF" w:themeColor="hyperlink"/>
      <w:u w:val="single"/>
      <w14:textFill>
        <w14:solidFill>
          <w14:schemeClr w14:val="hlink"/>
        </w14:solidFill>
      </w14:textFill>
    </w:rPr>
  </w:style>
  <w:style w:type="character" w:styleId="38">
    <w:name w:val="footnote reference"/>
    <w:autoRedefine/>
    <w:unhideWhenUsed/>
    <w:qFormat/>
    <w:uiPriority w:val="99"/>
    <w:rPr>
      <w:vertAlign w:val="superscript"/>
    </w:rPr>
  </w:style>
  <w:style w:type="character" w:customStyle="1" w:styleId="39">
    <w:name w:val="标题 1 字符"/>
    <w:link w:val="2"/>
    <w:autoRedefine/>
    <w:qFormat/>
    <w:uiPriority w:val="9"/>
    <w:rPr>
      <w:rFonts w:ascii="Arial" w:hAnsi="Arial" w:eastAsia="Arial" w:cs="Arial"/>
      <w:sz w:val="40"/>
      <w:szCs w:val="40"/>
    </w:rPr>
  </w:style>
  <w:style w:type="character" w:customStyle="1" w:styleId="40">
    <w:name w:val="标题 2 字符"/>
    <w:link w:val="3"/>
    <w:autoRedefine/>
    <w:qFormat/>
    <w:uiPriority w:val="9"/>
    <w:rPr>
      <w:rFonts w:ascii="Arial" w:hAnsi="Arial" w:eastAsia="Arial" w:cs="Arial"/>
      <w:sz w:val="34"/>
    </w:rPr>
  </w:style>
  <w:style w:type="character" w:customStyle="1" w:styleId="41">
    <w:name w:val="标题 3 字符"/>
    <w:link w:val="4"/>
    <w:autoRedefine/>
    <w:qFormat/>
    <w:uiPriority w:val="9"/>
    <w:rPr>
      <w:rFonts w:ascii="Arial" w:hAnsi="Arial" w:eastAsia="Arial" w:cs="Arial"/>
      <w:sz w:val="30"/>
      <w:szCs w:val="30"/>
    </w:rPr>
  </w:style>
  <w:style w:type="character" w:customStyle="1" w:styleId="42">
    <w:name w:val="标题 4 字符"/>
    <w:link w:val="6"/>
    <w:autoRedefine/>
    <w:qFormat/>
    <w:uiPriority w:val="9"/>
    <w:rPr>
      <w:sz w:val="21"/>
      <w:szCs w:val="21"/>
    </w:rPr>
  </w:style>
  <w:style w:type="character" w:customStyle="1" w:styleId="43">
    <w:name w:val="标题 5 字符"/>
    <w:link w:val="7"/>
    <w:autoRedefine/>
    <w:qFormat/>
    <w:uiPriority w:val="9"/>
    <w:rPr>
      <w:rFonts w:ascii="Arial" w:hAnsi="Arial" w:eastAsia="Arial" w:cs="Arial"/>
      <w:b/>
      <w:bCs/>
      <w:sz w:val="24"/>
      <w:szCs w:val="24"/>
    </w:rPr>
  </w:style>
  <w:style w:type="character" w:customStyle="1" w:styleId="44">
    <w:name w:val="标题 6 字符"/>
    <w:link w:val="8"/>
    <w:autoRedefine/>
    <w:qFormat/>
    <w:uiPriority w:val="9"/>
    <w:rPr>
      <w:rFonts w:ascii="Arial" w:hAnsi="Arial" w:eastAsia="Arial" w:cs="Arial"/>
      <w:b/>
      <w:bCs/>
      <w:sz w:val="22"/>
      <w:szCs w:val="22"/>
    </w:rPr>
  </w:style>
  <w:style w:type="character" w:customStyle="1" w:styleId="45">
    <w:name w:val="标题 7 字符"/>
    <w:link w:val="9"/>
    <w:autoRedefine/>
    <w:qFormat/>
    <w:uiPriority w:val="9"/>
    <w:rPr>
      <w:rFonts w:ascii="Arial" w:hAnsi="Arial" w:eastAsia="Arial" w:cs="Arial"/>
      <w:b/>
      <w:bCs/>
      <w:i/>
      <w:iCs/>
      <w:sz w:val="22"/>
      <w:szCs w:val="22"/>
    </w:rPr>
  </w:style>
  <w:style w:type="character" w:customStyle="1" w:styleId="46">
    <w:name w:val="标题 8 字符"/>
    <w:link w:val="10"/>
    <w:autoRedefine/>
    <w:qFormat/>
    <w:uiPriority w:val="9"/>
    <w:rPr>
      <w:rFonts w:ascii="Arial" w:hAnsi="Arial" w:eastAsia="Arial" w:cs="Arial"/>
      <w:i/>
      <w:iCs/>
      <w:sz w:val="22"/>
      <w:szCs w:val="22"/>
    </w:rPr>
  </w:style>
  <w:style w:type="character" w:customStyle="1" w:styleId="47">
    <w:name w:val="标题 9 字符"/>
    <w:link w:val="11"/>
    <w:autoRedefine/>
    <w:qFormat/>
    <w:uiPriority w:val="9"/>
    <w:rPr>
      <w:rFonts w:ascii="Arial" w:hAnsi="Arial" w:eastAsia="Arial" w:cs="Arial"/>
      <w:i/>
      <w:iCs/>
      <w:sz w:val="21"/>
      <w:szCs w:val="21"/>
    </w:rPr>
  </w:style>
  <w:style w:type="paragraph" w:styleId="48">
    <w:name w:val="List Paragraph"/>
    <w:basedOn w:val="1"/>
    <w:autoRedefine/>
    <w:qFormat/>
    <w:uiPriority w:val="34"/>
    <w:pPr>
      <w:ind w:left="720"/>
      <w:contextualSpacing/>
    </w:pPr>
  </w:style>
  <w:style w:type="paragraph" w:styleId="49">
    <w:name w:val="No Spacing"/>
    <w:autoRedefine/>
    <w:qFormat/>
    <w:uiPriority w:val="1"/>
    <w:rPr>
      <w:rFonts w:ascii="Times New Roman" w:hAnsi="Times New Roman" w:eastAsia="宋体" w:cs="Times New Roman"/>
      <w:lang w:val="en-US" w:eastAsia="zh-CN" w:bidi="ar-SA"/>
    </w:rPr>
  </w:style>
  <w:style w:type="character" w:customStyle="1" w:styleId="50">
    <w:name w:val="标题 字符"/>
    <w:link w:val="31"/>
    <w:autoRedefine/>
    <w:qFormat/>
    <w:uiPriority w:val="10"/>
    <w:rPr>
      <w:sz w:val="48"/>
      <w:szCs w:val="48"/>
    </w:rPr>
  </w:style>
  <w:style w:type="character" w:customStyle="1" w:styleId="51">
    <w:name w:val="副标题 字符"/>
    <w:link w:val="25"/>
    <w:autoRedefine/>
    <w:qFormat/>
    <w:uiPriority w:val="11"/>
    <w:rPr>
      <w:sz w:val="24"/>
      <w:szCs w:val="24"/>
    </w:rPr>
  </w:style>
  <w:style w:type="paragraph" w:styleId="52">
    <w:name w:val="Quote"/>
    <w:basedOn w:val="1"/>
    <w:next w:val="1"/>
    <w:link w:val="53"/>
    <w:autoRedefine/>
    <w:qFormat/>
    <w:uiPriority w:val="29"/>
    <w:pPr>
      <w:ind w:left="720" w:right="720"/>
    </w:pPr>
    <w:rPr>
      <w:i/>
    </w:rPr>
  </w:style>
  <w:style w:type="character" w:customStyle="1" w:styleId="53">
    <w:name w:val="引用 字符"/>
    <w:link w:val="52"/>
    <w:autoRedefine/>
    <w:qFormat/>
    <w:uiPriority w:val="29"/>
    <w:rPr>
      <w:i/>
    </w:rPr>
  </w:style>
  <w:style w:type="paragraph" w:styleId="54">
    <w:name w:val="Intense Quote"/>
    <w:basedOn w:val="1"/>
    <w:next w:val="1"/>
    <w:link w:val="55"/>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字符"/>
    <w:link w:val="54"/>
    <w:autoRedefine/>
    <w:qFormat/>
    <w:uiPriority w:val="30"/>
    <w:rPr>
      <w:i/>
    </w:rPr>
  </w:style>
  <w:style w:type="character" w:customStyle="1" w:styleId="56">
    <w:name w:val="页眉 字符"/>
    <w:link w:val="22"/>
    <w:autoRedefine/>
    <w:qFormat/>
    <w:uiPriority w:val="99"/>
  </w:style>
  <w:style w:type="character" w:customStyle="1" w:styleId="57">
    <w:name w:val="Footer Char"/>
    <w:autoRedefine/>
    <w:qFormat/>
    <w:uiPriority w:val="99"/>
  </w:style>
  <w:style w:type="character" w:customStyle="1" w:styleId="58">
    <w:name w:val="页脚 字符"/>
    <w:link w:val="20"/>
    <w:autoRedefine/>
    <w:qFormat/>
    <w:uiPriority w:val="99"/>
  </w:style>
  <w:style w:type="table" w:customStyle="1" w:styleId="59">
    <w:name w:val="Table Grid Light"/>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无格式表格 11"/>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无格式表格 21"/>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无格式表格 31"/>
    <w:autoRedefine/>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无格式表格 41"/>
    <w:autoRedefine/>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无格式表格 51"/>
    <w:autoRedefine/>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网格表 1 浅色1"/>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网格表 2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网格表 3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网格表 41"/>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autoRedefine/>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autoRedefine/>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autoRedefine/>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autoRedefine/>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autoRedefine/>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autoRedefine/>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网格表 5 深色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网格表 6 彩色1"/>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autoRedefine/>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4">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autoRedefine/>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网格表 7 彩色1"/>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autoRedefine/>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autoRedefine/>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autoRedefine/>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1">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autoRedefine/>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autoRedefine/>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autoRedefine/>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autoRedefine/>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autoRedefine/>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autoRedefine/>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autoRedefine/>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autoRedefine/>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清单表 5 深色1"/>
    <w:autoRedefine/>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autoRedefine/>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autoRedefine/>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autoRedefine/>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autoRedefine/>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autoRedefine/>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清单表 6 彩色1"/>
    <w:autoRedefine/>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autoRedefine/>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autoRedefine/>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autoRedefine/>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autoRedefine/>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autoRedefine/>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清单表 7 彩色1"/>
    <w:autoRedefine/>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autoRedefine/>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autoRedefine/>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autoRedefine/>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autoRedefine/>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autoRedefine/>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autoRedefine/>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autoRedefine/>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autoRedefine/>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脚注文本 字符"/>
    <w:link w:val="26"/>
    <w:qFormat/>
    <w:uiPriority w:val="99"/>
    <w:rPr>
      <w:sz w:val="18"/>
    </w:rPr>
  </w:style>
  <w:style w:type="character" w:customStyle="1" w:styleId="185">
    <w:name w:val="尾注文本 字符"/>
    <w:link w:val="19"/>
    <w:qFormat/>
    <w:uiPriority w:val="99"/>
    <w:rPr>
      <w:sz w:val="20"/>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标题 11"/>
    <w:basedOn w:val="1"/>
    <w:next w:val="1"/>
    <w:link w:val="195"/>
    <w:qFormat/>
    <w:uiPriority w:val="0"/>
    <w:pPr>
      <w:keepNext/>
      <w:keepLines/>
      <w:spacing w:before="340" w:after="330" w:line="578" w:lineRule="auto"/>
      <w:outlineLvl w:val="0"/>
    </w:pPr>
    <w:rPr>
      <w:rFonts w:eastAsia="黑体"/>
      <w:b/>
      <w:bCs/>
      <w:sz w:val="36"/>
      <w:szCs w:val="44"/>
    </w:rPr>
  </w:style>
  <w:style w:type="paragraph" w:customStyle="1" w:styleId="188">
    <w:name w:val="标题 21"/>
    <w:basedOn w:val="1"/>
    <w:next w:val="1"/>
    <w:link w:val="196"/>
    <w:qFormat/>
    <w:uiPriority w:val="0"/>
    <w:pPr>
      <w:keepNext/>
      <w:keepLines/>
      <w:spacing w:before="260" w:after="260" w:line="416" w:lineRule="auto"/>
      <w:outlineLvl w:val="1"/>
    </w:pPr>
    <w:rPr>
      <w:rFonts w:ascii="Cambria" w:hAnsi="Cambria"/>
      <w:b/>
      <w:bCs/>
      <w:sz w:val="32"/>
      <w:szCs w:val="32"/>
    </w:rPr>
  </w:style>
  <w:style w:type="paragraph" w:customStyle="1" w:styleId="189">
    <w:name w:val="标题 31"/>
    <w:basedOn w:val="1"/>
    <w:next w:val="190"/>
    <w:link w:val="197"/>
    <w:qFormat/>
    <w:uiPriority w:val="0"/>
    <w:pPr>
      <w:keepNext/>
      <w:keepLines/>
      <w:spacing w:before="260" w:after="260" w:line="416" w:lineRule="auto"/>
      <w:outlineLvl w:val="2"/>
    </w:pPr>
    <w:rPr>
      <w:b/>
      <w:bCs/>
      <w:sz w:val="32"/>
      <w:szCs w:val="32"/>
    </w:rPr>
  </w:style>
  <w:style w:type="paragraph" w:customStyle="1" w:styleId="190">
    <w:name w:val="正文缩进11"/>
    <w:basedOn w:val="1"/>
    <w:link w:val="198"/>
    <w:qFormat/>
    <w:uiPriority w:val="0"/>
    <w:pPr>
      <w:ind w:firstLine="420"/>
    </w:pPr>
    <w:rPr>
      <w:szCs w:val="21"/>
    </w:rPr>
  </w:style>
  <w:style w:type="paragraph" w:customStyle="1" w:styleId="191">
    <w:name w:val="标题 41"/>
    <w:basedOn w:val="1"/>
    <w:next w:val="1"/>
    <w:link w:val="199"/>
    <w:qFormat/>
    <w:uiPriority w:val="0"/>
    <w:pPr>
      <w:keepNext/>
      <w:keepLines/>
      <w:spacing w:before="280" w:after="290" w:line="376" w:lineRule="auto"/>
      <w:outlineLvl w:val="3"/>
    </w:pPr>
    <w:rPr>
      <w:rFonts w:ascii="Cambria" w:hAnsi="Cambria"/>
      <w:b/>
      <w:bCs/>
      <w:sz w:val="28"/>
      <w:szCs w:val="28"/>
    </w:rPr>
  </w:style>
  <w:style w:type="character" w:customStyle="1" w:styleId="192">
    <w:name w:val="默认段落字体11"/>
    <w:semiHidden/>
    <w:qFormat/>
    <w:uiPriority w:val="0"/>
  </w:style>
  <w:style w:type="table" w:customStyle="1" w:styleId="193">
    <w:name w:val="普通表格1"/>
    <w:semiHidden/>
    <w:qFormat/>
    <w:uiPriority w:val="0"/>
    <w:tblPr>
      <w:tblCellMar>
        <w:top w:w="0" w:type="dxa"/>
        <w:left w:w="0" w:type="dxa"/>
        <w:bottom w:w="0" w:type="dxa"/>
        <w:right w:w="0" w:type="dxa"/>
      </w:tblCellMar>
    </w:tblPr>
  </w:style>
  <w:style w:type="paragraph" w:customStyle="1" w:styleId="194">
    <w:name w:val="[Normal]"/>
    <w:autoRedefine/>
    <w:qFormat/>
    <w:uiPriority w:val="0"/>
    <w:rPr>
      <w:rFonts w:ascii="方正仿宋简体" w:hAnsi="方正仿宋简体" w:eastAsia="方正仿宋简体" w:cs="Courier New"/>
      <w:sz w:val="24"/>
      <w:szCs w:val="22"/>
      <w:lang w:val="zh-CN" w:eastAsia="zh-CN" w:bidi="ar-SA"/>
    </w:rPr>
  </w:style>
  <w:style w:type="character" w:customStyle="1" w:styleId="195">
    <w:name w:val="标题 1 Char"/>
    <w:link w:val="187"/>
    <w:qFormat/>
    <w:uiPriority w:val="0"/>
    <w:rPr>
      <w:rFonts w:eastAsia="黑体"/>
      <w:b/>
      <w:bCs/>
      <w:sz w:val="36"/>
      <w:szCs w:val="44"/>
      <w:lang w:val="en-US" w:eastAsia="zh-CN" w:bidi="ar-SA"/>
    </w:rPr>
  </w:style>
  <w:style w:type="character" w:customStyle="1" w:styleId="196">
    <w:name w:val="标题 2 Char"/>
    <w:link w:val="188"/>
    <w:semiHidden/>
    <w:qFormat/>
    <w:uiPriority w:val="0"/>
    <w:rPr>
      <w:rFonts w:ascii="Cambria" w:hAnsi="Cambria" w:eastAsia="宋体" w:cs="Times New Roman"/>
      <w:b/>
      <w:bCs/>
      <w:sz w:val="32"/>
      <w:szCs w:val="32"/>
    </w:rPr>
  </w:style>
  <w:style w:type="character" w:customStyle="1" w:styleId="197">
    <w:name w:val="标题 3 Char"/>
    <w:link w:val="189"/>
    <w:qFormat/>
    <w:uiPriority w:val="0"/>
    <w:rPr>
      <w:b/>
      <w:bCs/>
      <w:sz w:val="32"/>
      <w:szCs w:val="32"/>
    </w:rPr>
  </w:style>
  <w:style w:type="character" w:customStyle="1" w:styleId="198">
    <w:name w:val="正文缩进 Char"/>
    <w:link w:val="190"/>
    <w:qFormat/>
    <w:uiPriority w:val="0"/>
    <w:rPr>
      <w:sz w:val="21"/>
      <w:szCs w:val="21"/>
    </w:rPr>
  </w:style>
  <w:style w:type="character" w:customStyle="1" w:styleId="199">
    <w:name w:val="标题 4 Char"/>
    <w:link w:val="191"/>
    <w:qFormat/>
    <w:uiPriority w:val="0"/>
    <w:rPr>
      <w:rFonts w:ascii="Cambria" w:hAnsi="Cambria" w:eastAsia="宋体" w:cs="Times New Roman"/>
      <w:b/>
      <w:bCs/>
      <w:sz w:val="28"/>
      <w:szCs w:val="28"/>
    </w:rPr>
  </w:style>
  <w:style w:type="paragraph" w:customStyle="1" w:styleId="200">
    <w:name w:val="正文文本1"/>
    <w:basedOn w:val="1"/>
    <w:next w:val="201"/>
    <w:qFormat/>
    <w:uiPriority w:val="0"/>
    <w:rPr>
      <w:rFonts w:ascii="楷体_GB2312" w:hAnsi="Arial" w:eastAsia="楷体_GB2312"/>
      <w:sz w:val="28"/>
      <w:szCs w:val="20"/>
    </w:rPr>
  </w:style>
  <w:style w:type="paragraph" w:customStyle="1" w:styleId="201">
    <w:name w:val="一级条标题"/>
    <w:basedOn w:val="202"/>
    <w:next w:val="203"/>
    <w:qFormat/>
    <w:uiPriority w:val="0"/>
    <w:pPr>
      <w:spacing w:before="0" w:after="0"/>
      <w:ind w:left="907" w:hanging="907"/>
      <w:outlineLvl w:val="2"/>
    </w:pPr>
    <w:rPr>
      <w:rFonts w:hAnsi="宋体"/>
      <w:sz w:val="20"/>
      <w:szCs w:val="20"/>
    </w:rPr>
  </w:style>
  <w:style w:type="paragraph" w:customStyle="1" w:styleId="202">
    <w:name w:val="章标题"/>
    <w:next w:val="1"/>
    <w:qFormat/>
    <w:uiPriority w:val="0"/>
    <w:pPr>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203">
    <w:name w:val="段"/>
    <w:next w:val="204"/>
    <w:qFormat/>
    <w:uiPriority w:val="0"/>
    <w:pPr>
      <w:ind w:firstLine="420"/>
      <w:jc w:val="both"/>
    </w:pPr>
    <w:rPr>
      <w:rFonts w:ascii="宋体" w:hAnsi="Times New Roman" w:eastAsia="宋体" w:cs="Times New Roman"/>
      <w:sz w:val="21"/>
      <w:lang w:val="en-US" w:eastAsia="zh-CN" w:bidi="ar-SA"/>
    </w:rPr>
  </w:style>
  <w:style w:type="paragraph" w:customStyle="1" w:styleId="204">
    <w:name w:val="正文 A"/>
    <w:next w:val="203"/>
    <w:qFormat/>
    <w:uiPriority w:val="0"/>
    <w:pPr>
      <w:widowControl w:val="0"/>
      <w:jc w:val="both"/>
    </w:pPr>
    <w:rPr>
      <w:rFonts w:ascii="Times New Roman" w:hAnsi="Times New Roman" w:eastAsia="Calibri" w:cs="Calibri"/>
      <w:color w:val="000000"/>
      <w:sz w:val="21"/>
      <w:szCs w:val="21"/>
      <w:lang w:val="en-US" w:eastAsia="zh-CN" w:bidi="ar-SA"/>
    </w:rPr>
  </w:style>
  <w:style w:type="paragraph" w:customStyle="1" w:styleId="205">
    <w:name w:val="正文文本缩进1"/>
    <w:basedOn w:val="1"/>
    <w:next w:val="206"/>
    <w:qFormat/>
    <w:uiPriority w:val="0"/>
    <w:pPr>
      <w:ind w:firstLine="645"/>
    </w:pPr>
    <w:rPr>
      <w:rFonts w:ascii="楷体_GB2312" w:eastAsia="楷体_GB2312"/>
      <w:sz w:val="32"/>
      <w:szCs w:val="20"/>
    </w:rPr>
  </w:style>
  <w:style w:type="paragraph" w:customStyle="1" w:styleId="206">
    <w:name w:val="寄信人地址1"/>
    <w:basedOn w:val="1"/>
    <w:qFormat/>
    <w:uiPriority w:val="0"/>
    <w:rPr>
      <w:rFonts w:ascii="Arial" w:hAnsi="Arial" w:cs="Arial"/>
    </w:rPr>
  </w:style>
  <w:style w:type="paragraph" w:customStyle="1" w:styleId="207">
    <w:name w:val="纯文本1"/>
    <w:basedOn w:val="1"/>
    <w:link w:val="208"/>
    <w:qFormat/>
    <w:uiPriority w:val="0"/>
    <w:rPr>
      <w:rFonts w:ascii="宋体" w:hAnsi="Courier New"/>
      <w:szCs w:val="20"/>
    </w:rPr>
  </w:style>
  <w:style w:type="character" w:customStyle="1" w:styleId="208">
    <w:name w:val="纯文本 Char"/>
    <w:link w:val="207"/>
    <w:qFormat/>
    <w:uiPriority w:val="0"/>
    <w:rPr>
      <w:rFonts w:ascii="宋体" w:hAnsi="Courier New" w:eastAsia="宋体"/>
      <w:sz w:val="21"/>
      <w:lang w:val="en-US" w:eastAsia="zh-CN" w:bidi="ar-SA"/>
    </w:rPr>
  </w:style>
  <w:style w:type="paragraph" w:customStyle="1" w:styleId="209">
    <w:name w:val="日期1"/>
    <w:basedOn w:val="1"/>
    <w:next w:val="1"/>
    <w:qFormat/>
    <w:uiPriority w:val="0"/>
    <w:rPr>
      <w:rFonts w:ascii="宋体" w:eastAsia="黑体"/>
      <w:spacing w:val="10"/>
      <w:position w:val="2"/>
      <w:sz w:val="30"/>
    </w:rPr>
  </w:style>
  <w:style w:type="paragraph" w:customStyle="1" w:styleId="210">
    <w:name w:val="批注框文本1"/>
    <w:basedOn w:val="1"/>
    <w:semiHidden/>
    <w:qFormat/>
    <w:uiPriority w:val="0"/>
    <w:rPr>
      <w:sz w:val="18"/>
      <w:szCs w:val="18"/>
    </w:rPr>
  </w:style>
  <w:style w:type="paragraph" w:customStyle="1" w:styleId="211">
    <w:name w:val="页脚11"/>
    <w:basedOn w:val="1"/>
    <w:link w:val="212"/>
    <w:qFormat/>
    <w:uiPriority w:val="99"/>
    <w:pPr>
      <w:tabs>
        <w:tab w:val="center" w:pos="4153"/>
        <w:tab w:val="right" w:pos="8306"/>
      </w:tabs>
      <w:jc w:val="left"/>
    </w:pPr>
    <w:rPr>
      <w:sz w:val="18"/>
      <w:szCs w:val="20"/>
    </w:rPr>
  </w:style>
  <w:style w:type="character" w:customStyle="1" w:styleId="212">
    <w:name w:val="页脚 Char"/>
    <w:link w:val="211"/>
    <w:qFormat/>
    <w:uiPriority w:val="99"/>
    <w:rPr>
      <w:sz w:val="18"/>
    </w:rPr>
  </w:style>
  <w:style w:type="paragraph" w:customStyle="1" w:styleId="213">
    <w:name w:val="页眉11"/>
    <w:basedOn w:val="1"/>
    <w:link w:val="214"/>
    <w:qFormat/>
    <w:uiPriority w:val="0"/>
    <w:pPr>
      <w:pBdr>
        <w:bottom w:val="single" w:color="000000" w:sz="6" w:space="1"/>
      </w:pBdr>
      <w:tabs>
        <w:tab w:val="center" w:pos="4153"/>
        <w:tab w:val="right" w:pos="8306"/>
      </w:tabs>
      <w:jc w:val="center"/>
    </w:pPr>
    <w:rPr>
      <w:sz w:val="18"/>
      <w:szCs w:val="18"/>
    </w:rPr>
  </w:style>
  <w:style w:type="character" w:customStyle="1" w:styleId="214">
    <w:name w:val="页眉 Char"/>
    <w:link w:val="213"/>
    <w:qFormat/>
    <w:uiPriority w:val="0"/>
    <w:rPr>
      <w:sz w:val="18"/>
      <w:szCs w:val="18"/>
    </w:rPr>
  </w:style>
  <w:style w:type="paragraph" w:customStyle="1" w:styleId="215">
    <w:name w:val="目录 11"/>
    <w:basedOn w:val="1"/>
    <w:next w:val="1"/>
    <w:unhideWhenUsed/>
    <w:qFormat/>
    <w:uiPriority w:val="39"/>
    <w:pPr>
      <w:spacing w:after="57"/>
    </w:pPr>
  </w:style>
  <w:style w:type="paragraph" w:customStyle="1" w:styleId="216">
    <w:name w:val="普通(网站)11"/>
    <w:basedOn w:val="1"/>
    <w:qFormat/>
    <w:uiPriority w:val="0"/>
    <w:pPr>
      <w:widowControl/>
      <w:spacing w:before="100" w:beforeAutospacing="1" w:after="100" w:afterAutospacing="1"/>
      <w:jc w:val="left"/>
    </w:pPr>
    <w:rPr>
      <w:rFonts w:ascii="宋体" w:hAnsi="宋体" w:cs="宋体"/>
      <w:sz w:val="24"/>
    </w:rPr>
  </w:style>
  <w:style w:type="paragraph" w:customStyle="1" w:styleId="217">
    <w:name w:val="正文首行缩进1"/>
    <w:basedOn w:val="1"/>
    <w:next w:val="1"/>
    <w:qFormat/>
    <w:uiPriority w:val="0"/>
    <w:pPr>
      <w:spacing w:line="360" w:lineRule="auto"/>
      <w:ind w:firstLine="200"/>
    </w:pPr>
    <w:rPr>
      <w:rFonts w:ascii="仿宋_GB2312" w:eastAsia="仿宋_GB2312"/>
      <w:sz w:val="30"/>
      <w:szCs w:val="30"/>
    </w:rPr>
  </w:style>
  <w:style w:type="paragraph" w:customStyle="1" w:styleId="218">
    <w:name w:val="正文首行缩进 21"/>
    <w:basedOn w:val="205"/>
    <w:qFormat/>
    <w:uiPriority w:val="0"/>
    <w:pPr>
      <w:spacing w:line="360" w:lineRule="auto"/>
      <w:ind w:firstLine="420"/>
    </w:pPr>
    <w:rPr>
      <w:rFonts w:ascii="Calibri" w:hAnsi="Calibri" w:eastAsia="宋体"/>
      <w:sz w:val="21"/>
    </w:rPr>
  </w:style>
  <w:style w:type="table" w:customStyle="1" w:styleId="219">
    <w:name w:val="网格型1"/>
    <w:basedOn w:val="193"/>
    <w:qFormat/>
    <w:uiPriority w:val="0"/>
    <w:pPr>
      <w:widowControl w:val="0"/>
      <w:jc w:val="both"/>
    </w:pPr>
  </w:style>
  <w:style w:type="character" w:customStyle="1" w:styleId="220">
    <w:name w:val="要点1"/>
    <w:qFormat/>
    <w:uiPriority w:val="0"/>
    <w:rPr>
      <w:b/>
      <w:bCs/>
    </w:rPr>
  </w:style>
  <w:style w:type="character" w:customStyle="1" w:styleId="221">
    <w:name w:val="页码11"/>
    <w:qFormat/>
    <w:uiPriority w:val="0"/>
  </w:style>
  <w:style w:type="character" w:customStyle="1" w:styleId="222">
    <w:name w:val="超链接1"/>
    <w:qFormat/>
    <w:uiPriority w:val="0"/>
    <w:rPr>
      <w:color w:val="0000FF"/>
      <w:u w:val="single"/>
    </w:rPr>
  </w:style>
  <w:style w:type="character" w:customStyle="1" w:styleId="223">
    <w:name w:val="默认段落字体1"/>
    <w:semiHidden/>
    <w:qFormat/>
    <w:uiPriority w:val="0"/>
  </w:style>
  <w:style w:type="paragraph" w:customStyle="1" w:styleId="224">
    <w:name w:val="p0"/>
    <w:basedOn w:val="1"/>
    <w:qFormat/>
    <w:uiPriority w:val="0"/>
    <w:pPr>
      <w:widowControl/>
      <w:spacing w:before="100" w:beforeAutospacing="1" w:after="100" w:afterAutospacing="1"/>
      <w:jc w:val="left"/>
    </w:pPr>
    <w:rPr>
      <w:rFonts w:ascii="宋体" w:hAnsi="宋体" w:cs="宋体"/>
      <w:sz w:val="24"/>
    </w:rPr>
  </w:style>
  <w:style w:type="paragraph" w:customStyle="1" w:styleId="225">
    <w:name w:val="普通正文"/>
    <w:basedOn w:val="1"/>
    <w:qFormat/>
    <w:uiPriority w:val="0"/>
    <w:pPr>
      <w:spacing w:before="120" w:after="120" w:line="360" w:lineRule="auto"/>
      <w:ind w:firstLine="480"/>
      <w:jc w:val="left"/>
    </w:pPr>
    <w:rPr>
      <w:rFonts w:ascii="Arial" w:hAnsi="Arial"/>
      <w:sz w:val="24"/>
    </w:rPr>
  </w:style>
  <w:style w:type="paragraph" w:customStyle="1" w:styleId="226">
    <w:name w:val="Char"/>
    <w:basedOn w:val="1"/>
    <w:qFormat/>
    <w:uiPriority w:val="0"/>
    <w:pPr>
      <w:tabs>
        <w:tab w:val="left" w:pos="360"/>
      </w:tabs>
      <w:ind w:firstLine="200"/>
    </w:pPr>
    <w:rPr>
      <w:sz w:val="28"/>
      <w:szCs w:val="30"/>
    </w:rPr>
  </w:style>
  <w:style w:type="paragraph" w:customStyle="1" w:styleId="227">
    <w:name w:val="Char Char Char Char Char Char Char Char Char Char"/>
    <w:basedOn w:val="1"/>
    <w:autoRedefine/>
    <w:qFormat/>
    <w:uiPriority w:val="0"/>
    <w:pPr>
      <w:widowControl/>
      <w:spacing w:after="160" w:line="240" w:lineRule="exact"/>
      <w:jc w:val="left"/>
    </w:pPr>
    <w:rPr>
      <w:rFonts w:ascii="Verdana" w:hAnsi="Verdana" w:eastAsia="仿宋_GB2312"/>
      <w:sz w:val="24"/>
      <w:szCs w:val="20"/>
      <w:lang w:eastAsia="en-US"/>
    </w:rPr>
  </w:style>
  <w:style w:type="paragraph" w:customStyle="1" w:styleId="228">
    <w:name w:val="正文（首行缩进2字符）"/>
    <w:basedOn w:val="1"/>
    <w:autoRedefine/>
    <w:qFormat/>
    <w:uiPriority w:val="0"/>
    <w:pPr>
      <w:spacing w:line="360" w:lineRule="auto"/>
      <w:ind w:firstLine="560"/>
      <w:jc w:val="left"/>
    </w:pPr>
    <w:rPr>
      <w:rFonts w:eastAsia="仿宋_GB2312"/>
      <w:sz w:val="28"/>
      <w:szCs w:val="28"/>
    </w:rPr>
  </w:style>
  <w:style w:type="paragraph" w:customStyle="1" w:styleId="229">
    <w:name w:val="!正文"/>
    <w:basedOn w:val="1"/>
    <w:autoRedefine/>
    <w:qFormat/>
    <w:uiPriority w:val="0"/>
    <w:pPr>
      <w:spacing w:line="360" w:lineRule="auto"/>
      <w:ind w:firstLine="200"/>
      <w:jc w:val="left"/>
    </w:pPr>
    <w:rPr>
      <w:sz w:val="28"/>
      <w:szCs w:val="21"/>
      <w:lang w:val="zh-CN"/>
    </w:rPr>
  </w:style>
  <w:style w:type="paragraph" w:customStyle="1" w:styleId="230">
    <w:name w:val="列表段落1"/>
    <w:basedOn w:val="1"/>
    <w:autoRedefine/>
    <w:qFormat/>
    <w:uiPriority w:val="34"/>
    <w:pPr>
      <w:ind w:firstLine="420"/>
    </w:pPr>
  </w:style>
  <w:style w:type="paragraph" w:customStyle="1" w:styleId="231">
    <w:name w:val="列表段落2"/>
    <w:basedOn w:val="1"/>
    <w:qFormat/>
    <w:uiPriority w:val="99"/>
    <w:pPr>
      <w:ind w:firstLine="420"/>
    </w:pPr>
  </w:style>
  <w:style w:type="paragraph" w:customStyle="1" w:styleId="232">
    <w:name w:val="列出段落"/>
    <w:basedOn w:val="1"/>
    <w:autoRedefine/>
    <w:qFormat/>
    <w:uiPriority w:val="34"/>
    <w:pPr>
      <w:ind w:firstLine="420"/>
    </w:pPr>
    <w:rPr>
      <w:rFonts w:hAnsi="Calibri"/>
    </w:rPr>
  </w:style>
  <w:style w:type="paragraph" w:customStyle="1" w:styleId="233">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234">
    <w:name w:val="正文缩进1"/>
    <w:basedOn w:val="1"/>
    <w:qFormat/>
    <w:uiPriority w:val="0"/>
    <w:pPr>
      <w:ind w:firstLine="420"/>
    </w:pPr>
  </w:style>
  <w:style w:type="paragraph" w:customStyle="1" w:styleId="235">
    <w:name w:val="页眉1"/>
    <w:basedOn w:val="1"/>
    <w:autoRedefine/>
    <w:qFormat/>
    <w:uiPriority w:val="0"/>
    <w:pPr>
      <w:pBdr>
        <w:bottom w:val="single" w:color="000000" w:sz="6" w:space="1"/>
      </w:pBdr>
      <w:tabs>
        <w:tab w:val="center" w:pos="4153"/>
        <w:tab w:val="right" w:pos="8306"/>
      </w:tabs>
      <w:jc w:val="center"/>
    </w:pPr>
    <w:rPr>
      <w:sz w:val="18"/>
      <w:szCs w:val="18"/>
    </w:rPr>
  </w:style>
  <w:style w:type="paragraph" w:customStyle="1" w:styleId="236">
    <w:name w:val="页脚1"/>
    <w:basedOn w:val="1"/>
    <w:qFormat/>
    <w:uiPriority w:val="0"/>
    <w:pPr>
      <w:tabs>
        <w:tab w:val="center" w:pos="4153"/>
        <w:tab w:val="right" w:pos="8306"/>
      </w:tabs>
      <w:jc w:val="left"/>
    </w:pPr>
    <w:rPr>
      <w:sz w:val="18"/>
      <w:szCs w:val="18"/>
    </w:rPr>
  </w:style>
  <w:style w:type="character" w:customStyle="1" w:styleId="237">
    <w:name w:val="页码1"/>
    <w:qFormat/>
    <w:uiPriority w:val="0"/>
    <w:rPr>
      <w:sz w:val="21"/>
      <w:szCs w:val="24"/>
      <w:lang w:val="en-US" w:eastAsia="zh-CN" w:bidi="ar-SA"/>
    </w:rPr>
  </w:style>
  <w:style w:type="character" w:customStyle="1" w:styleId="238">
    <w:name w:val="grame"/>
    <w:qFormat/>
    <w:uiPriority w:val="0"/>
  </w:style>
  <w:style w:type="character" w:customStyle="1" w:styleId="239">
    <w:name w:val="NormalCharacter"/>
    <w:semiHidden/>
    <w:qFormat/>
    <w:uiPriority w:val="0"/>
  </w:style>
  <w:style w:type="paragraph" w:customStyle="1" w:styleId="240">
    <w:name w:val="Heading4"/>
    <w:basedOn w:val="1"/>
    <w:next w:val="241"/>
    <w:autoRedefine/>
    <w:qFormat/>
    <w:uiPriority w:val="0"/>
    <w:pPr>
      <w:keepNext/>
      <w:keepLines/>
      <w:spacing w:before="280" w:after="290" w:line="376" w:lineRule="auto"/>
    </w:pPr>
    <w:rPr>
      <w:rFonts w:ascii="Cambria" w:hAnsi="Cambria"/>
      <w:b/>
      <w:sz w:val="28"/>
      <w:szCs w:val="28"/>
    </w:rPr>
  </w:style>
  <w:style w:type="paragraph" w:customStyle="1" w:styleId="241">
    <w:name w:val="NormalIndent"/>
    <w:basedOn w:val="1"/>
    <w:qFormat/>
    <w:uiPriority w:val="0"/>
    <w:pPr>
      <w:ind w:firstLine="420"/>
    </w:pPr>
  </w:style>
  <w:style w:type="paragraph" w:customStyle="1" w:styleId="242">
    <w:name w:val="列出段落1"/>
    <w:basedOn w:val="1"/>
    <w:qFormat/>
    <w:uiPriority w:val="0"/>
    <w:pPr>
      <w:ind w:left="720"/>
      <w:contextualSpacing/>
      <w:jc w:val="left"/>
    </w:pPr>
    <w:rPr>
      <w:rFonts w:ascii="Calibri" w:hAnsi="Calibri"/>
      <w:kern w:val="0"/>
      <w:sz w:val="24"/>
      <w:szCs w:val="24"/>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11013</Words>
  <Characters>11711</Characters>
  <Lines>108</Lines>
  <Paragraphs>30</Paragraphs>
  <TotalTime>2</TotalTime>
  <ScaleCrop>false</ScaleCrop>
  <LinksUpToDate>false</LinksUpToDate>
  <CharactersWithSpaces>12326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2023-12-15T08:01:00Z</dcterms:created>
  <dc:creator>dell</dc:creator>
  <cp:lastModifiedBy>Samsung</cp:lastModifiedBy>
  <dcterms:modified xsi:type="dcterms:W3CDTF">2025-10-27T11:21:21Z</dcterms:modified>
  <dc:title>询 价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5C31C1B36D234C90AA882891B0D9D0AD_13</vt:lpwstr>
  </property>
  <property fmtid="{D5CDD505-2E9C-101B-9397-08002B2CF9AE}" pid="4" name="KSOTemplateDocerSaveRecord">
    <vt:lpwstr>eyJoZGlkIjoiMTllMzBiZTYyYTQ5ODVmZWE4MzI5ZDNkOGMwYTkzMDIiLCJ1c2VySWQiOiI2MTgwODI0MjQifQ==</vt:lpwstr>
  </property>
</Properties>
</file>