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项目编号：2023-010W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项目名称：盐城工业职业技术学院纺纱智能制造中心项目</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7</w:t>
      </w:r>
      <w:r>
        <w:rPr>
          <w:rStyle w:val="47"/>
          <w:rFonts w:hint="eastAsia" w:ascii="宋体" w:hAnsi="宋体" w:cs="宋体"/>
          <w:sz w:val="36"/>
          <w:szCs w:val="36"/>
        </w:rPr>
        <w:t>月</w:t>
      </w:r>
      <w:r>
        <w:rPr>
          <w:rStyle w:val="47"/>
          <w:rFonts w:hint="eastAsia" w:ascii="宋体" w:hAnsi="宋体" w:cs="宋体"/>
          <w:sz w:val="36"/>
          <w:szCs w:val="36"/>
          <w:lang w:val="en-US" w:eastAsia="zh-CN"/>
        </w:rPr>
        <w:t>3</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2"/>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lang w:val="en-US" w:eastAsia="zh-CN"/>
            </w:rPr>
            <w:t>7</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1</w:t>
          </w:r>
        </w:p>
        <w:p>
          <w:pPr>
            <w:pStyle w:val="162"/>
            <w:tabs>
              <w:tab w:val="right" w:leader="dot" w:pos="8953"/>
            </w:tabs>
            <w:rPr>
              <w:rFonts w:hint="eastAsia" w:ascii="宋体" w:hAnsi="宋体" w:eastAsia="宋体" w:cs="宋体"/>
              <w:sz w:val="36"/>
              <w:szCs w:val="36"/>
              <w:lang w:val="en-US"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lang w:val="en-US" w:eastAsia="zh-CN"/>
            </w:rPr>
            <w:t>2</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rPr>
              <w:rFonts w:hint="eastAsia" w:eastAsia="宋体"/>
              <w:lang w:val="en-US"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lang w:val="en-US" w:eastAsia="zh-CN"/>
            </w:rPr>
            <w:t>2</w:t>
          </w:r>
          <w:r>
            <w:rPr>
              <w:rFonts w:hint="eastAsia" w:ascii="宋体" w:hAnsi="宋体" w:cs="宋体"/>
              <w:sz w:val="36"/>
              <w:szCs w:val="36"/>
            </w:rPr>
            <w:fldChar w:fldCharType="end"/>
          </w:r>
          <w:r>
            <w:rPr>
              <w:rFonts w:hint="eastAsia" w:ascii="宋体" w:hAnsi="宋体" w:cs="宋体"/>
              <w:sz w:val="36"/>
              <w:szCs w:val="36"/>
              <w:lang w:val="en-US" w:eastAsia="zh-CN"/>
            </w:rPr>
            <w:t>9</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盐城工业职业技术学院纺纱智能制造中心招标公告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盐城工业职业技术学院纺纱智能制造中心</w:t>
      </w:r>
      <w:r>
        <w:rPr>
          <w:rStyle w:val="47"/>
          <w:rFonts w:hint="eastAsia" w:ascii="宋体" w:hAnsi="宋体" w:cs="宋体"/>
          <w:bCs/>
          <w:sz w:val="24"/>
          <w:szCs w:val="24"/>
        </w:rPr>
        <w:t>招标项目的潜在投标人应在“</w:t>
      </w:r>
      <w:r>
        <w:rPr>
          <w:rStyle w:val="47"/>
          <w:rFonts w:hint="eastAsia" w:ascii="宋体" w:hAnsi="宋体"/>
          <w:bCs/>
          <w:color w:val="auto"/>
          <w:sz w:val="24"/>
          <w:szCs w:val="24"/>
          <w:u w:val="single"/>
        </w:rPr>
        <w:t>江苏省政府采购网或盐城市政府采购网或盐城工业职业技术学院招标采购网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7</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25</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2023-010W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盐城工业职业技术学院纺纱智能制造中心</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50万元。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盐城工业职业技术学院纺纱智能制造中心的</w:t>
      </w:r>
      <w:r>
        <w:rPr>
          <w:rStyle w:val="47"/>
          <w:rFonts w:hint="eastAsia" w:ascii="宋体" w:hAnsi="宋体" w:cs="宋体"/>
          <w:color w:val="000000" w:themeColor="text1"/>
          <w:sz w:val="24"/>
          <w:szCs w:val="24"/>
          <w:u w:val="single"/>
          <w14:textFill>
            <w14:solidFill>
              <w14:schemeClr w14:val="tx1"/>
            </w14:solidFill>
          </w14:textFill>
        </w:rPr>
        <w:t>采购、供应、运输、安装及就位、调试、维保、售前、售后等相关伴随服务，具体产品名称、数量、规格及技术参数等以招标文件为准，采购人保留对上述采购规模进行调整的权利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ascii="宋体" w:hAnsi="宋体" w:cs="宋体"/>
          <w:sz w:val="24"/>
          <w:szCs w:val="24"/>
          <w:u w:val="single"/>
        </w:rPr>
        <w:t>30</w:t>
      </w:r>
      <w:r>
        <w:rPr>
          <w:rStyle w:val="47"/>
          <w:rFonts w:hint="eastAsia" w:ascii="宋体" w:hAnsi="宋体" w:cs="宋体"/>
          <w:sz w:val="24"/>
          <w:szCs w:val="24"/>
          <w:u w:val="single"/>
        </w:rPr>
        <w:t>个日历天内完成全部内容的服务工作。</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3</w:t>
      </w:r>
      <w:r>
        <w:rPr>
          <w:rFonts w:hint="eastAsia" w:ascii="宋体" w:hAnsi="宋体" w:cs="宋体"/>
          <w:bCs/>
          <w:sz w:val="24"/>
          <w:szCs w:val="24"/>
        </w:rPr>
        <w:t>日至2023年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14</w:t>
      </w:r>
      <w:r>
        <w:rPr>
          <w:rFonts w:hint="eastAsia" w:ascii="宋体" w:hAnsi="宋体" w:cs="宋体"/>
          <w:bCs/>
          <w:sz w:val="24"/>
          <w:szCs w:val="24"/>
        </w:rPr>
        <w:t>日委派本单位正式人员携带单位介绍信或授权委托书扫描件至我单位或添加微信（微信号:</w:t>
      </w:r>
      <w:r>
        <w:rPr>
          <w:rFonts w:hint="eastAsia" w:ascii="宋体" w:hAnsi="宋体" w:cs="宋体"/>
          <w:bCs/>
          <w:sz w:val="24"/>
          <w:szCs w:val="24"/>
          <w:lang w:val="en-US" w:eastAsia="zh-CN"/>
        </w:rPr>
        <w:t>13305104722</w:t>
      </w:r>
      <w:r>
        <w:rPr>
          <w:rFonts w:hint="eastAsia" w:ascii="宋体" w:hAnsi="宋体" w:cs="宋体"/>
          <w:bCs/>
          <w:sz w:val="24"/>
          <w:szCs w:val="24"/>
        </w:rPr>
        <w:t>）购买招标文件，逾期的不予接收。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w:t>
      </w:r>
      <w:r>
        <w:rPr>
          <w:rStyle w:val="47"/>
          <w:rFonts w:hint="eastAsia" w:ascii="宋体" w:hAnsi="宋体" w:cs="宋体"/>
          <w:bCs/>
          <w:sz w:val="24"/>
          <w:szCs w:val="24"/>
          <w:lang w:val="en-US" w:eastAsia="zh-CN"/>
        </w:rPr>
        <w:t>7</w:t>
      </w:r>
      <w:r>
        <w:rPr>
          <w:rStyle w:val="47"/>
          <w:rFonts w:hint="eastAsia" w:ascii="宋体" w:hAnsi="宋体" w:cs="宋体"/>
          <w:bCs/>
          <w:sz w:val="24"/>
          <w:szCs w:val="24"/>
        </w:rPr>
        <w:t>月</w:t>
      </w:r>
      <w:r>
        <w:rPr>
          <w:rStyle w:val="47"/>
          <w:rFonts w:hint="eastAsia" w:ascii="宋体" w:hAnsi="宋体" w:cs="宋体"/>
          <w:bCs/>
          <w:sz w:val="24"/>
          <w:szCs w:val="24"/>
          <w:lang w:val="en-US" w:eastAsia="zh-CN"/>
        </w:rPr>
        <w:t>25</w:t>
      </w:r>
      <w:r>
        <w:rPr>
          <w:rStyle w:val="47"/>
          <w:rFonts w:hint="eastAsia" w:ascii="宋体" w:hAnsi="宋体" w:cs="宋体"/>
          <w:bCs/>
          <w:sz w:val="24"/>
          <w:szCs w:val="24"/>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地址：盐城市华邦国际东厦16楼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联系人：</w:t>
      </w:r>
      <w:r>
        <w:rPr>
          <w:rStyle w:val="47"/>
          <w:rFonts w:hint="eastAsia" w:ascii="宋体" w:hAnsi="宋体" w:cs="宋体"/>
          <w:sz w:val="24"/>
          <w:szCs w:val="24"/>
          <w:lang w:val="en-US" w:eastAsia="zh-CN"/>
        </w:rPr>
        <w:t>陈</w:t>
      </w:r>
      <w:r>
        <w:rPr>
          <w:rStyle w:val="47"/>
          <w:rFonts w:hint="eastAsia" w:ascii="宋体" w:hAnsi="宋体" w:cs="宋体"/>
          <w:sz w:val="24"/>
          <w:szCs w:val="24"/>
        </w:rPr>
        <w:t xml:space="preserve">先生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Fonts w:hint="eastAsia" w:ascii="宋体" w:hAnsi="宋体" w:cs="宋体"/>
          <w:bCs/>
          <w:sz w:val="24"/>
          <w:lang w:val="en-US" w:eastAsia="zh-CN"/>
        </w:rPr>
        <w:t>13305104722</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hint="eastAsia" w:ascii="宋体" w:hAnsi="宋体" w:eastAsia="宋体" w:cs="宋体"/>
          <w:sz w:val="24"/>
          <w:szCs w:val="24"/>
          <w:lang w:val="en-US" w:eastAsia="zh-CN"/>
        </w:rPr>
      </w:pPr>
      <w:r>
        <w:rPr>
          <w:rStyle w:val="47"/>
          <w:rFonts w:hint="eastAsia" w:ascii="宋体" w:hAnsi="宋体" w:cs="宋体"/>
          <w:sz w:val="24"/>
          <w:szCs w:val="24"/>
        </w:rPr>
        <w:t>项目联系人：武</w:t>
      </w:r>
      <w:r>
        <w:rPr>
          <w:rStyle w:val="47"/>
          <w:rFonts w:hint="eastAsia" w:ascii="宋体" w:hAnsi="宋体" w:cs="宋体"/>
          <w:sz w:val="24"/>
          <w:szCs w:val="24"/>
          <w:lang w:val="en-US" w:eastAsia="zh-CN"/>
        </w:rPr>
        <w:t>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联系电话：15995185547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bookmarkStart w:id="62" w:name="_GoBack"/>
      <w:bookmarkEnd w:id="62"/>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8"/>
        <w:spacing w:before="0" w:after="0" w:line="240" w:lineRule="auto"/>
        <w:jc w:val="both"/>
        <w:outlineLvl w:val="0"/>
        <w:rPr>
          <w:rStyle w:val="47"/>
          <w:rFonts w:ascii="宋体" w:hAnsi="宋体" w:eastAsia="宋体" w:cs="宋体"/>
        </w:rPr>
      </w:pPr>
      <w:bookmarkStart w:id="1" w:name="_Toc21663"/>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rPr>
          <w:rStyle w:val="47"/>
          <w:rFonts w:ascii="宋体" w:hAnsi="宋体" w:cs="宋体"/>
          <w:b/>
          <w:sz w:val="44"/>
        </w:rPr>
      </w:pPr>
    </w:p>
    <w:p>
      <w:pPr>
        <w:rPr>
          <w:rStyle w:val="47"/>
          <w:rFonts w:ascii="宋体" w:hAnsi="宋体" w:cs="宋体"/>
          <w:b/>
          <w:sz w:val="44"/>
        </w:rPr>
      </w:pPr>
    </w:p>
    <w:p>
      <w:pPr>
        <w:pStyle w:val="2"/>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盐城工业职业技术学院纺纱智能制造中心</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r>
        <w:rPr>
          <w:rStyle w:val="47"/>
          <w:rFonts w:hint="eastAsia" w:hAnsi="宋体"/>
          <w:sz w:val="24"/>
          <w:szCs w:val="24"/>
          <w:u w:val="single"/>
        </w:rPr>
        <w:t>2023-010W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盐城工业职业技术学院纺纱智能制造中心</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  年免费质保及免费升级（具体以投标时承诺为准）。（自交货验收合格之日起计）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8.3、中标人须设有维修服务电话，负责解答用户在设备使用中遇到的问题，及时提出解决问题的建议和操作方法。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  个日历天内完成全部内容的服务工作。</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10.1付款方式:招标范围内容全部完成并经安装调试、培训结束，验收合格后付总价的90%；余款一年后根据售后服务情况付总价的5%；验收合格满三年根据售后服务情况付总价的5%。</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32259"/>
    </w:p>
    <w:p>
      <w:pPr>
        <w:pStyle w:val="19"/>
        <w:spacing w:before="0" w:beforeAutospacing="0" w:after="0" w:afterAutospacing="0"/>
        <w:rPr>
          <w:b/>
          <w:bCs/>
          <w:sz w:val="28"/>
          <w:szCs w:val="28"/>
        </w:rPr>
      </w:pPr>
      <w:r>
        <w:rPr>
          <w:rFonts w:hint="eastAsia"/>
          <w:b/>
          <w:bCs/>
          <w:sz w:val="28"/>
          <w:szCs w:val="28"/>
        </w:rPr>
        <w:t>一、项目用途、预期效果或要求</w:t>
      </w:r>
    </w:p>
    <w:p>
      <w:pPr>
        <w:pStyle w:val="19"/>
        <w:spacing w:before="0" w:beforeAutospacing="0" w:after="0" w:afterAutospacing="0"/>
        <w:ind w:firstLine="480" w:firstLineChars="200"/>
        <w:rPr>
          <w:bCs/>
          <w:color w:val="000000"/>
          <w:szCs w:val="28"/>
        </w:rPr>
      </w:pPr>
      <w:r>
        <w:rPr>
          <w:rFonts w:hint="eastAsia"/>
          <w:bCs/>
          <w:color w:val="000000"/>
          <w:szCs w:val="28"/>
        </w:rPr>
        <w:t>纺纱智能制造中心可实现全流程、全工序设备的虚拟运行，并将具备联网条件的纺纱设备纳入系统进行管理，实现设备的虚拟运行和设备状态虚拟展示，满足教学上企业顶岗实习及专业认知的需要。</w:t>
      </w:r>
    </w:p>
    <w:p>
      <w:pPr>
        <w:pStyle w:val="19"/>
        <w:spacing w:before="0" w:beforeAutospacing="0" w:after="0" w:afterAutospacing="0"/>
        <w:ind w:firstLine="480" w:firstLineChars="200"/>
        <w:rPr>
          <w:bCs/>
          <w:color w:val="000000"/>
          <w:szCs w:val="28"/>
        </w:rPr>
      </w:pPr>
      <w:r>
        <w:rPr>
          <w:rFonts w:hint="eastAsia"/>
          <w:bCs/>
          <w:color w:val="000000"/>
          <w:szCs w:val="28"/>
        </w:rPr>
        <w:t>纺纱智能制造中心主要包括以下五大模块。</w:t>
      </w:r>
    </w:p>
    <w:p>
      <w:pPr>
        <w:pStyle w:val="19"/>
        <w:spacing w:before="0" w:beforeAutospacing="0" w:after="0" w:afterAutospacing="0"/>
        <w:ind w:firstLine="480" w:firstLineChars="200"/>
        <w:rPr>
          <w:bCs/>
          <w:color w:val="000000"/>
          <w:szCs w:val="28"/>
        </w:rPr>
      </w:pPr>
      <w:r>
        <w:rPr>
          <w:rFonts w:hint="eastAsia"/>
          <w:bCs/>
          <w:color w:val="000000"/>
          <w:szCs w:val="28"/>
        </w:rPr>
        <w:t>1、纺纱实训中心现有设备改造与联网/新购设备；</w:t>
      </w:r>
    </w:p>
    <w:p>
      <w:pPr>
        <w:pStyle w:val="19"/>
        <w:spacing w:before="0" w:beforeAutospacing="0" w:after="0" w:afterAutospacing="0"/>
        <w:ind w:firstLine="480" w:firstLineChars="200"/>
        <w:rPr>
          <w:bCs/>
          <w:color w:val="000000"/>
          <w:szCs w:val="28"/>
        </w:rPr>
      </w:pPr>
      <w:r>
        <w:rPr>
          <w:rFonts w:hint="eastAsia"/>
          <w:bCs/>
          <w:color w:val="000000"/>
          <w:szCs w:val="28"/>
        </w:rPr>
        <w:t>2、虚拟制造中心构建及模拟运行；</w:t>
      </w:r>
    </w:p>
    <w:p>
      <w:pPr>
        <w:pStyle w:val="19"/>
        <w:spacing w:before="0" w:beforeAutospacing="0" w:after="0" w:afterAutospacing="0"/>
        <w:ind w:firstLine="480" w:firstLineChars="200"/>
        <w:rPr>
          <w:bCs/>
          <w:color w:val="000000"/>
          <w:szCs w:val="28"/>
        </w:rPr>
      </w:pPr>
      <w:r>
        <w:rPr>
          <w:rFonts w:hint="eastAsia"/>
          <w:bCs/>
          <w:color w:val="000000"/>
          <w:szCs w:val="28"/>
        </w:rPr>
        <w:t>3、设备在线监控模拟系统；</w:t>
      </w:r>
    </w:p>
    <w:p>
      <w:pPr>
        <w:pStyle w:val="19"/>
        <w:spacing w:before="0" w:beforeAutospacing="0" w:after="0" w:afterAutospacing="0"/>
        <w:ind w:firstLine="480" w:firstLineChars="200"/>
        <w:rPr>
          <w:bCs/>
          <w:color w:val="000000"/>
          <w:szCs w:val="28"/>
        </w:rPr>
      </w:pPr>
      <w:r>
        <w:rPr>
          <w:rFonts w:hint="eastAsia"/>
          <w:bCs/>
          <w:color w:val="000000"/>
          <w:szCs w:val="28"/>
        </w:rPr>
        <w:t>4、车间看板系统；</w:t>
      </w:r>
    </w:p>
    <w:p>
      <w:pPr>
        <w:pStyle w:val="19"/>
        <w:spacing w:before="0" w:beforeAutospacing="0" w:after="0" w:afterAutospacing="0"/>
        <w:ind w:firstLine="480" w:firstLineChars="200"/>
        <w:rPr>
          <w:sz w:val="28"/>
          <w:szCs w:val="28"/>
        </w:rPr>
      </w:pPr>
      <w:r>
        <w:rPr>
          <w:rFonts w:hint="eastAsia"/>
          <w:bCs/>
          <w:color w:val="000000"/>
          <w:szCs w:val="28"/>
        </w:rPr>
        <w:t>5、智能驾驶舱系统。</w:t>
      </w:r>
    </w:p>
    <w:p>
      <w:pPr>
        <w:pStyle w:val="19"/>
        <w:spacing w:before="0" w:beforeAutospacing="0" w:after="0" w:afterAutospacing="0"/>
        <w:rPr>
          <w:b/>
          <w:bCs/>
          <w:sz w:val="28"/>
          <w:szCs w:val="28"/>
        </w:rPr>
      </w:pPr>
      <w:r>
        <w:rPr>
          <w:rFonts w:hint="eastAsia"/>
          <w:b/>
          <w:bCs/>
          <w:sz w:val="28"/>
          <w:szCs w:val="28"/>
        </w:rPr>
        <w:t>二、项目内容</w:t>
      </w:r>
    </w:p>
    <w:p>
      <w:pPr>
        <w:spacing w:line="276" w:lineRule="auto"/>
        <w:rPr>
          <w:rFonts w:ascii="宋体" w:hAnsi="宋体" w:cs="宋体"/>
          <w:bCs/>
          <w:color w:val="000000"/>
          <w:kern w:val="0"/>
          <w:sz w:val="24"/>
          <w:szCs w:val="28"/>
        </w:rPr>
      </w:pPr>
      <w:r>
        <w:rPr>
          <w:rFonts w:hint="eastAsia" w:ascii="宋体" w:hAnsi="宋体" w:cs="宋体"/>
          <w:bCs/>
          <w:color w:val="000000"/>
          <w:kern w:val="0"/>
          <w:sz w:val="24"/>
          <w:szCs w:val="28"/>
        </w:rPr>
        <w:t>（一）纺纱实训中心现有设备技术改造与联网/新购设备</w:t>
      </w:r>
    </w:p>
    <w:p>
      <w:pPr>
        <w:spacing w:line="276" w:lineRule="auto"/>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将现有纺纱实训中心具备联网条件的设备进行技术改造，实现数据联网，实现数据的在线监测。需要技术改造实现联网的设备如表1所示。</w:t>
      </w:r>
    </w:p>
    <w:p>
      <w:pPr>
        <w:spacing w:line="276" w:lineRule="auto"/>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注明：为更好实现已有设备联网及信息获取，需要对部分设备开展硬件及程序升级。设备升级改造及联网配合的费用包含在本项目本次招标中，由投标方负责完成设备升级改造相关工作。</w:t>
      </w:r>
    </w:p>
    <w:p>
      <w:pPr>
        <w:spacing w:line="276"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表1 拟联网的设备及数量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719"/>
        <w:gridCol w:w="2939"/>
        <w:gridCol w:w="1546"/>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工序</w:t>
            </w:r>
          </w:p>
        </w:tc>
        <w:tc>
          <w:tcPr>
            <w:tcW w:w="1719" w:type="dxa"/>
          </w:tcPr>
          <w:p>
            <w:pPr>
              <w:widowControl w:val="0"/>
              <w:ind w:firstLine="420"/>
              <w:jc w:val="center"/>
              <w:rPr>
                <w:rFonts w:ascii="宋体" w:hAnsi="宋体" w:cs="宋体"/>
                <w:kern w:val="0"/>
                <w:sz w:val="20"/>
              </w:rPr>
            </w:pPr>
            <w:r>
              <w:rPr>
                <w:rFonts w:hint="eastAsia" w:ascii="宋体" w:hAnsi="宋体" w:cs="宋体"/>
                <w:kern w:val="0"/>
                <w:sz w:val="20"/>
              </w:rPr>
              <w:t>设备名称</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生产厂家</w:t>
            </w:r>
          </w:p>
        </w:tc>
        <w:tc>
          <w:tcPr>
            <w:tcW w:w="1546" w:type="dxa"/>
          </w:tcPr>
          <w:p>
            <w:pPr>
              <w:widowControl w:val="0"/>
              <w:jc w:val="left"/>
              <w:rPr>
                <w:rFonts w:ascii="宋体" w:hAnsi="宋体" w:cs="宋体"/>
                <w:kern w:val="0"/>
                <w:sz w:val="20"/>
              </w:rPr>
            </w:pPr>
            <w:r>
              <w:rPr>
                <w:rFonts w:hint="eastAsia" w:ascii="宋体" w:hAnsi="宋体" w:cs="宋体"/>
                <w:kern w:val="0"/>
                <w:sz w:val="20"/>
              </w:rPr>
              <w:t>型号规格</w:t>
            </w:r>
          </w:p>
        </w:tc>
        <w:tc>
          <w:tcPr>
            <w:tcW w:w="1114" w:type="dxa"/>
          </w:tcPr>
          <w:p>
            <w:pPr>
              <w:widowControl w:val="0"/>
              <w:rPr>
                <w:rFonts w:ascii="宋体" w:hAnsi="宋体" w:cs="宋体"/>
                <w:kern w:val="0"/>
                <w:sz w:val="20"/>
              </w:rPr>
            </w:pPr>
            <w:r>
              <w:rPr>
                <w:rFonts w:hint="eastAsia" w:ascii="宋体" w:hAnsi="宋体" w:cs="宋体"/>
                <w:kern w:val="0"/>
                <w:sz w:val="20"/>
              </w:rPr>
              <w:t>机台数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梳棉</w:t>
            </w:r>
          </w:p>
        </w:tc>
        <w:tc>
          <w:tcPr>
            <w:tcW w:w="1719" w:type="dxa"/>
            <w:vAlign w:val="center"/>
          </w:tcPr>
          <w:p>
            <w:pPr>
              <w:widowControl w:val="0"/>
              <w:ind w:firstLine="420"/>
              <w:jc w:val="center"/>
              <w:rPr>
                <w:rFonts w:ascii="宋体" w:hAnsi="宋体" w:cs="宋体"/>
                <w:kern w:val="0"/>
                <w:sz w:val="20"/>
              </w:rPr>
            </w:pPr>
            <w:r>
              <w:rPr>
                <w:rFonts w:hint="eastAsia" w:ascii="宋体" w:hAnsi="宋体" w:cs="宋体"/>
                <w:kern w:val="0"/>
                <w:sz w:val="20"/>
              </w:rPr>
              <w:t>梳棉机</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经纬纺机</w:t>
            </w:r>
          </w:p>
        </w:tc>
        <w:tc>
          <w:tcPr>
            <w:tcW w:w="1546" w:type="dxa"/>
          </w:tcPr>
          <w:p>
            <w:pPr>
              <w:widowControl w:val="0"/>
              <w:ind w:firstLine="420"/>
              <w:jc w:val="center"/>
              <w:rPr>
                <w:rFonts w:ascii="宋体" w:hAnsi="宋体" w:cs="宋体"/>
                <w:kern w:val="0"/>
                <w:sz w:val="20"/>
              </w:rPr>
            </w:pPr>
            <w:r>
              <w:rPr>
                <w:rFonts w:hint="eastAsia" w:ascii="宋体" w:hAnsi="宋体" w:cs="宋体"/>
                <w:kern w:val="0"/>
                <w:sz w:val="20"/>
              </w:rPr>
              <w:t>FA201B</w:t>
            </w:r>
          </w:p>
        </w:tc>
        <w:tc>
          <w:tcPr>
            <w:tcW w:w="1114" w:type="dxa"/>
          </w:tcPr>
          <w:p>
            <w:pPr>
              <w:widowControl w:val="0"/>
              <w:ind w:firstLine="420"/>
              <w:rPr>
                <w:rFonts w:ascii="宋体" w:hAnsi="宋体" w:cs="宋体"/>
                <w:kern w:val="0"/>
                <w:sz w:val="20"/>
              </w:rPr>
            </w:pPr>
            <w:r>
              <w:rPr>
                <w:rFonts w:ascii="宋体" w:hAnsi="宋体" w:cs="宋体"/>
                <w:kern w:val="0"/>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并条</w:t>
            </w:r>
          </w:p>
        </w:tc>
        <w:tc>
          <w:tcPr>
            <w:tcW w:w="1719" w:type="dxa"/>
            <w:vAlign w:val="center"/>
          </w:tcPr>
          <w:p>
            <w:pPr>
              <w:widowControl w:val="0"/>
              <w:ind w:firstLine="420"/>
              <w:jc w:val="center"/>
              <w:rPr>
                <w:rFonts w:ascii="宋体" w:hAnsi="宋体" w:cs="宋体"/>
                <w:kern w:val="0"/>
                <w:sz w:val="20"/>
              </w:rPr>
            </w:pPr>
            <w:r>
              <w:rPr>
                <w:rFonts w:hint="eastAsia" w:ascii="宋体" w:hAnsi="宋体" w:cs="宋体"/>
                <w:kern w:val="0"/>
                <w:sz w:val="20"/>
              </w:rPr>
              <w:t>并条机</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经纬纺机</w:t>
            </w:r>
          </w:p>
        </w:tc>
        <w:tc>
          <w:tcPr>
            <w:tcW w:w="1546" w:type="dxa"/>
          </w:tcPr>
          <w:p>
            <w:pPr>
              <w:widowControl w:val="0"/>
              <w:ind w:firstLine="420"/>
              <w:jc w:val="center"/>
              <w:rPr>
                <w:rFonts w:ascii="宋体" w:hAnsi="宋体" w:cs="宋体"/>
                <w:kern w:val="0"/>
                <w:sz w:val="20"/>
              </w:rPr>
            </w:pPr>
            <w:r>
              <w:rPr>
                <w:rFonts w:hint="eastAsia" w:ascii="宋体" w:hAnsi="宋体" w:cs="宋体"/>
                <w:kern w:val="0"/>
                <w:sz w:val="20"/>
              </w:rPr>
              <w:t>FA306</w:t>
            </w:r>
          </w:p>
        </w:tc>
        <w:tc>
          <w:tcPr>
            <w:tcW w:w="1114" w:type="dxa"/>
          </w:tcPr>
          <w:p>
            <w:pPr>
              <w:widowControl w:val="0"/>
              <w:ind w:firstLine="420"/>
              <w:rPr>
                <w:rFonts w:ascii="宋体" w:hAnsi="宋体" w:cs="宋体"/>
                <w:kern w:val="0"/>
                <w:sz w:val="20"/>
              </w:rPr>
            </w:pPr>
            <w:r>
              <w:rPr>
                <w:rFonts w:hint="eastAsia" w:ascii="宋体" w:hAnsi="宋体" w:cs="宋体"/>
                <w:kern w:val="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粗纱</w:t>
            </w:r>
          </w:p>
        </w:tc>
        <w:tc>
          <w:tcPr>
            <w:tcW w:w="1719" w:type="dxa"/>
            <w:vAlign w:val="center"/>
          </w:tcPr>
          <w:p>
            <w:pPr>
              <w:widowControl w:val="0"/>
              <w:ind w:firstLine="420"/>
              <w:jc w:val="center"/>
              <w:rPr>
                <w:rFonts w:ascii="宋体" w:hAnsi="宋体" w:cs="宋体"/>
                <w:kern w:val="0"/>
                <w:sz w:val="20"/>
              </w:rPr>
            </w:pPr>
            <w:r>
              <w:rPr>
                <w:rFonts w:hint="eastAsia" w:ascii="宋体" w:hAnsi="宋体" w:cs="宋体"/>
                <w:kern w:val="0"/>
                <w:sz w:val="20"/>
              </w:rPr>
              <w:t>粗纱机</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天津宏大纺机</w:t>
            </w:r>
          </w:p>
        </w:tc>
        <w:tc>
          <w:tcPr>
            <w:tcW w:w="1546" w:type="dxa"/>
          </w:tcPr>
          <w:p>
            <w:pPr>
              <w:widowControl w:val="0"/>
              <w:ind w:firstLine="420"/>
              <w:jc w:val="center"/>
              <w:rPr>
                <w:rFonts w:ascii="宋体" w:hAnsi="宋体" w:cs="宋体"/>
                <w:kern w:val="0"/>
                <w:sz w:val="20"/>
              </w:rPr>
            </w:pPr>
            <w:r>
              <w:rPr>
                <w:rFonts w:hint="eastAsia" w:ascii="宋体" w:hAnsi="宋体" w:cs="宋体"/>
                <w:kern w:val="0"/>
                <w:sz w:val="20"/>
              </w:rPr>
              <w:t>FA458A</w:t>
            </w:r>
          </w:p>
        </w:tc>
        <w:tc>
          <w:tcPr>
            <w:tcW w:w="1114" w:type="dxa"/>
          </w:tcPr>
          <w:p>
            <w:pPr>
              <w:widowControl w:val="0"/>
              <w:ind w:firstLine="420"/>
              <w:rPr>
                <w:rFonts w:ascii="宋体" w:hAnsi="宋体" w:cs="宋体"/>
                <w:kern w:val="0"/>
                <w:sz w:val="20"/>
              </w:rPr>
            </w:pPr>
            <w:r>
              <w:rPr>
                <w:rFonts w:hint="eastAsia" w:ascii="宋体" w:hAnsi="宋体" w:cs="宋体"/>
                <w:kern w:val="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widowControl w:val="0"/>
              <w:ind w:firstLine="420"/>
              <w:jc w:val="center"/>
              <w:rPr>
                <w:rFonts w:ascii="宋体" w:hAnsi="宋体" w:cs="宋体"/>
                <w:kern w:val="0"/>
                <w:sz w:val="20"/>
              </w:rPr>
            </w:pPr>
            <w:r>
              <w:rPr>
                <w:rFonts w:hint="eastAsia" w:ascii="宋体" w:hAnsi="宋体" w:cs="宋体"/>
                <w:kern w:val="0"/>
                <w:sz w:val="20"/>
              </w:rPr>
              <w:t>细纱</w:t>
            </w:r>
          </w:p>
        </w:tc>
        <w:tc>
          <w:tcPr>
            <w:tcW w:w="1719" w:type="dxa"/>
            <w:vAlign w:val="center"/>
          </w:tcPr>
          <w:p>
            <w:pPr>
              <w:widowControl w:val="0"/>
              <w:ind w:firstLine="420"/>
              <w:jc w:val="center"/>
              <w:rPr>
                <w:rFonts w:ascii="宋体" w:hAnsi="宋体" w:cs="宋体"/>
                <w:kern w:val="0"/>
                <w:sz w:val="20"/>
              </w:rPr>
            </w:pPr>
            <w:r>
              <w:rPr>
                <w:rFonts w:hint="eastAsia" w:ascii="宋体" w:hAnsi="宋体" w:cs="宋体"/>
                <w:kern w:val="0"/>
                <w:sz w:val="20"/>
              </w:rPr>
              <w:t>细纱机</w:t>
            </w:r>
          </w:p>
        </w:tc>
        <w:tc>
          <w:tcPr>
            <w:tcW w:w="2939" w:type="dxa"/>
          </w:tcPr>
          <w:p>
            <w:pPr>
              <w:widowControl w:val="0"/>
              <w:ind w:firstLine="420"/>
              <w:jc w:val="center"/>
              <w:rPr>
                <w:rFonts w:ascii="宋体" w:hAnsi="宋体" w:cs="宋体"/>
                <w:kern w:val="0"/>
                <w:sz w:val="20"/>
              </w:rPr>
            </w:pPr>
            <w:r>
              <w:rPr>
                <w:rFonts w:hint="eastAsia" w:ascii="宋体" w:hAnsi="宋体" w:cs="宋体"/>
                <w:kern w:val="0"/>
                <w:sz w:val="20"/>
              </w:rPr>
              <w:t>马佐里（东台）纺机</w:t>
            </w:r>
          </w:p>
        </w:tc>
        <w:tc>
          <w:tcPr>
            <w:tcW w:w="1546" w:type="dxa"/>
          </w:tcPr>
          <w:p>
            <w:pPr>
              <w:widowControl w:val="0"/>
              <w:ind w:firstLine="420"/>
              <w:jc w:val="center"/>
              <w:rPr>
                <w:rFonts w:ascii="宋体" w:hAnsi="宋体" w:cs="宋体"/>
                <w:kern w:val="0"/>
                <w:sz w:val="20"/>
              </w:rPr>
            </w:pPr>
            <w:r>
              <w:rPr>
                <w:rFonts w:hint="eastAsia" w:ascii="宋体" w:hAnsi="宋体" w:cs="宋体"/>
                <w:kern w:val="0"/>
                <w:sz w:val="20"/>
              </w:rPr>
              <w:t>FA207B</w:t>
            </w:r>
          </w:p>
        </w:tc>
        <w:tc>
          <w:tcPr>
            <w:tcW w:w="1114" w:type="dxa"/>
          </w:tcPr>
          <w:p>
            <w:pPr>
              <w:widowControl w:val="0"/>
              <w:ind w:firstLine="420"/>
              <w:rPr>
                <w:rFonts w:ascii="宋体" w:hAnsi="宋体" w:cs="宋体"/>
                <w:kern w:val="0"/>
                <w:sz w:val="20"/>
              </w:rPr>
            </w:pPr>
            <w:r>
              <w:rPr>
                <w:rFonts w:ascii="宋体" w:hAnsi="宋体" w:cs="宋体"/>
                <w:kern w:val="0"/>
                <w:sz w:val="20"/>
              </w:rPr>
              <w:t>3</w:t>
            </w:r>
          </w:p>
        </w:tc>
      </w:tr>
    </w:tbl>
    <w:p>
      <w:pPr>
        <w:ind w:firstLine="42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为实现智能制造中心的相关功能，需增配相关的硬件设备，智能制造中心建设拟增加设备如表2所示。</w:t>
      </w:r>
    </w:p>
    <w:p>
      <w:pPr>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注明：智能制造中心本系统设备联网所需通信线缆（以太网网络线缆、专用的联网线材）均由投标方采购。</w:t>
      </w:r>
    </w:p>
    <w:p>
      <w:pPr>
        <w:ind w:left="432"/>
        <w:jc w:val="center"/>
        <w:rPr>
          <w:rFonts w:ascii="宋体" w:hAnsi="宋体" w:cs="宋体"/>
          <w:sz w:val="24"/>
          <w:szCs w:val="24"/>
        </w:rPr>
      </w:pPr>
      <w:r>
        <w:rPr>
          <w:rFonts w:hint="eastAsia" w:ascii="宋体" w:hAnsi="宋体" w:cs="宋体"/>
          <w:sz w:val="24"/>
          <w:szCs w:val="24"/>
        </w:rPr>
        <w:t>表2 智能制造中心建设拟增加硬件清单</w:t>
      </w:r>
    </w:p>
    <w:tbl>
      <w:tblPr>
        <w:tblStyle w:val="22"/>
        <w:tblW w:w="5147" w:type="pct"/>
        <w:tblInd w:w="0" w:type="dxa"/>
        <w:tblLayout w:type="fixed"/>
        <w:tblCellMar>
          <w:top w:w="0" w:type="dxa"/>
          <w:left w:w="108" w:type="dxa"/>
          <w:bottom w:w="0" w:type="dxa"/>
          <w:right w:w="108" w:type="dxa"/>
        </w:tblCellMar>
      </w:tblPr>
      <w:tblGrid>
        <w:gridCol w:w="572"/>
        <w:gridCol w:w="1506"/>
        <w:gridCol w:w="4697"/>
        <w:gridCol w:w="1232"/>
        <w:gridCol w:w="655"/>
        <w:gridCol w:w="776"/>
      </w:tblGrid>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NO.</w:t>
            </w:r>
          </w:p>
        </w:tc>
        <w:tc>
          <w:tcPr>
            <w:tcW w:w="798"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型号</w:t>
            </w:r>
          </w:p>
        </w:tc>
        <w:tc>
          <w:tcPr>
            <w:tcW w:w="2488"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配置参数</w:t>
            </w:r>
          </w:p>
        </w:tc>
        <w:tc>
          <w:tcPr>
            <w:tcW w:w="653"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品牌</w:t>
            </w:r>
          </w:p>
        </w:tc>
        <w:tc>
          <w:tcPr>
            <w:tcW w:w="347"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单位</w:t>
            </w:r>
          </w:p>
        </w:tc>
        <w:tc>
          <w:tcPr>
            <w:tcW w:w="411" w:type="pct"/>
            <w:tcBorders>
              <w:top w:val="nil"/>
              <w:left w:val="nil"/>
              <w:bottom w:val="single" w:color="auto" w:sz="4" w:space="0"/>
              <w:right w:val="single" w:color="auto" w:sz="4" w:space="0"/>
            </w:tcBorders>
            <w:shd w:val="clear" w:color="000000" w:fill="FFFFFF" w:themeFill="background1"/>
            <w:vAlign w:val="center"/>
          </w:tcPr>
          <w:p>
            <w:pPr>
              <w:jc w:val="center"/>
              <w:rPr>
                <w:rFonts w:ascii="宋体" w:hAnsi="宋体" w:cs="宋体"/>
                <w:b/>
                <w:bCs/>
                <w:color w:val="000000"/>
                <w:kern w:val="0"/>
              </w:rPr>
            </w:pPr>
            <w:r>
              <w:rPr>
                <w:rFonts w:hint="eastAsia" w:ascii="宋体" w:hAnsi="宋体" w:cs="宋体"/>
                <w:b/>
                <w:bCs/>
                <w:color w:val="000000"/>
                <w:kern w:val="0"/>
              </w:rPr>
              <w:t>数量</w:t>
            </w:r>
          </w:p>
        </w:tc>
      </w:tr>
      <w:tr>
        <w:tblPrEx>
          <w:tblCellMar>
            <w:top w:w="0" w:type="dxa"/>
            <w:left w:w="108" w:type="dxa"/>
            <w:bottom w:w="0" w:type="dxa"/>
            <w:right w:w="108" w:type="dxa"/>
          </w:tblCellMar>
        </w:tblPrEx>
        <w:trPr>
          <w:trHeight w:val="10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核心交换机</w:t>
            </w:r>
            <w:r>
              <w:rPr>
                <w:rFonts w:hint="eastAsia" w:ascii="宋体" w:hAnsi="宋体" w:cs="宋体"/>
                <w:color w:val="000000"/>
                <w:kern w:val="0"/>
              </w:rPr>
              <w:br w:type="textWrapping"/>
            </w:r>
            <w:r>
              <w:rPr>
                <w:rFonts w:hint="eastAsia" w:ascii="宋体" w:hAnsi="宋体" w:cs="宋体"/>
                <w:color w:val="000000"/>
                <w:kern w:val="0"/>
              </w:rPr>
              <w:t>MS4320S-28P</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交换容量：336Gbps</w:t>
            </w:r>
            <w:r>
              <w:rPr>
                <w:rFonts w:hint="eastAsia" w:ascii="宋体" w:hAnsi="宋体" w:cs="宋体"/>
                <w:color w:val="000000"/>
                <w:kern w:val="0"/>
              </w:rPr>
              <w:br w:type="textWrapping"/>
            </w:r>
            <w:r>
              <w:rPr>
                <w:rFonts w:hint="eastAsia" w:ascii="宋体" w:hAnsi="宋体" w:cs="宋体"/>
                <w:color w:val="000000"/>
                <w:kern w:val="0"/>
              </w:rPr>
              <w:t>包转发率：144Mpps</w:t>
            </w:r>
            <w:r>
              <w:rPr>
                <w:rFonts w:hint="eastAsia" w:ascii="宋体" w:hAnsi="宋体" w:cs="宋体"/>
                <w:color w:val="000000"/>
                <w:kern w:val="0"/>
              </w:rPr>
              <w:br w:type="textWrapping"/>
            </w:r>
            <w:r>
              <w:rPr>
                <w:rFonts w:hint="eastAsia" w:ascii="宋体" w:hAnsi="宋体" w:cs="宋体"/>
                <w:color w:val="000000"/>
                <w:kern w:val="0"/>
              </w:rPr>
              <w:t>24个100/1000BASE-X</w:t>
            </w:r>
            <w:r>
              <w:rPr>
                <w:rFonts w:ascii="宋体" w:hAnsi="宋体" w:cs="宋体"/>
                <w:color w:val="000000"/>
                <w:kern w:val="0"/>
              </w:rPr>
              <w:t xml:space="preserve"> </w:t>
            </w:r>
            <w:r>
              <w:rPr>
                <w:rFonts w:hint="eastAsia" w:ascii="宋体" w:hAnsi="宋体" w:cs="宋体"/>
                <w:color w:val="000000"/>
                <w:kern w:val="0"/>
              </w:rPr>
              <w:t>端口，8个10/100/1000BASE-T Combo 口，4个1000 BASE-X SFP端口，含电源；</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H3C或知名品牌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323"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2</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AP</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.4</w:t>
            </w:r>
            <w:r>
              <w:rPr>
                <w:rFonts w:hint="eastAsia" w:ascii="宋体" w:hAnsi="宋体" w:cs="宋体"/>
                <w:color w:val="000000"/>
                <w:kern w:val="0"/>
              </w:rPr>
              <w:t>G</w:t>
            </w:r>
            <w:r>
              <w:rPr>
                <w:rFonts w:ascii="宋体" w:hAnsi="宋体" w:cs="宋体"/>
                <w:color w:val="000000"/>
                <w:kern w:val="0"/>
              </w:rPr>
              <w:t>/5G</w:t>
            </w:r>
            <w:r>
              <w:rPr>
                <w:rFonts w:hint="eastAsia" w:ascii="宋体" w:hAnsi="宋体" w:cs="宋体"/>
                <w:color w:val="000000"/>
                <w:kern w:val="0"/>
              </w:rPr>
              <w:t>双频，3</w:t>
            </w:r>
            <w:r>
              <w:rPr>
                <w:rFonts w:ascii="宋体" w:hAnsi="宋体" w:cs="宋体"/>
                <w:color w:val="000000"/>
                <w:kern w:val="0"/>
              </w:rPr>
              <w:t>2</w:t>
            </w:r>
            <w:r>
              <w:rPr>
                <w:rFonts w:hint="eastAsia" w:ascii="宋体" w:hAnsi="宋体" w:cs="宋体"/>
                <w:color w:val="000000"/>
                <w:kern w:val="0"/>
              </w:rPr>
              <w:t>个端，8</w:t>
            </w:r>
            <w:r>
              <w:rPr>
                <w:rFonts w:ascii="宋体" w:hAnsi="宋体" w:cs="宋体"/>
                <w:color w:val="000000"/>
                <w:kern w:val="0"/>
              </w:rPr>
              <w:t>02.11</w:t>
            </w:r>
            <w:r>
              <w:rPr>
                <w:rFonts w:hint="eastAsia" w:ascii="宋体" w:hAnsi="宋体" w:cs="宋体"/>
                <w:color w:val="000000"/>
                <w:kern w:val="0"/>
              </w:rPr>
              <w:t>a/b</w:t>
            </w:r>
            <w:r>
              <w:rPr>
                <w:rFonts w:ascii="宋体" w:hAnsi="宋体" w:cs="宋体"/>
                <w:color w:val="000000"/>
                <w:kern w:val="0"/>
              </w:rPr>
              <w:t>/</w:t>
            </w:r>
            <w:r>
              <w:rPr>
                <w:rFonts w:hint="eastAsia" w:ascii="宋体" w:hAnsi="宋体" w:cs="宋体"/>
                <w:color w:val="000000"/>
                <w:kern w:val="0"/>
              </w:rPr>
              <w:t>g</w:t>
            </w:r>
            <w:r>
              <w:rPr>
                <w:rFonts w:ascii="宋体" w:hAnsi="宋体" w:cs="宋体"/>
                <w:color w:val="000000"/>
                <w:kern w:val="0"/>
              </w:rPr>
              <w:t>/</w:t>
            </w:r>
            <w:r>
              <w:rPr>
                <w:rFonts w:hint="eastAsia" w:ascii="宋体" w:hAnsi="宋体" w:cs="宋体"/>
                <w:color w:val="000000"/>
                <w:kern w:val="0"/>
              </w:rPr>
              <w:t>n</w:t>
            </w:r>
            <w:r>
              <w:rPr>
                <w:rFonts w:ascii="宋体" w:hAnsi="宋体" w:cs="宋体"/>
                <w:color w:val="000000"/>
                <w:kern w:val="0"/>
              </w:rPr>
              <w:t>/</w:t>
            </w:r>
            <w:r>
              <w:rPr>
                <w:rFonts w:hint="eastAsia" w:ascii="宋体" w:hAnsi="宋体" w:cs="宋体"/>
                <w:color w:val="000000"/>
                <w:kern w:val="0"/>
              </w:rPr>
              <w:t>ac</w:t>
            </w:r>
            <w:r>
              <w:rPr>
                <w:rFonts w:ascii="宋体" w:hAnsi="宋体" w:cs="宋体"/>
                <w:color w:val="000000"/>
                <w:kern w:val="0"/>
              </w:rPr>
              <w:t>/</w:t>
            </w:r>
            <w:r>
              <w:rPr>
                <w:rFonts w:hint="eastAsia" w:ascii="宋体" w:hAnsi="宋体" w:cs="宋体"/>
                <w:color w:val="000000"/>
                <w:kern w:val="0"/>
              </w:rPr>
              <w:t>ax</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锐捷或知名品牌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ascii="宋体" w:hAnsi="宋体" w:cs="宋体"/>
                <w:kern w:val="0"/>
              </w:rPr>
              <w:t>3</w:t>
            </w:r>
          </w:p>
        </w:tc>
      </w:tr>
      <w:tr>
        <w:tblPrEx>
          <w:tblCellMar>
            <w:top w:w="0" w:type="dxa"/>
            <w:left w:w="108" w:type="dxa"/>
            <w:bottom w:w="0" w:type="dxa"/>
            <w:right w:w="108" w:type="dxa"/>
          </w:tblCellMar>
        </w:tblPrEx>
        <w:trPr>
          <w:trHeight w:val="365"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3</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无线接入点</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RS</w:t>
            </w:r>
            <w:r>
              <w:rPr>
                <w:rFonts w:ascii="宋体" w:hAnsi="宋体" w:cs="宋体"/>
                <w:color w:val="000000"/>
                <w:kern w:val="0"/>
              </w:rPr>
              <w:t>232/</w:t>
            </w:r>
            <w:r>
              <w:rPr>
                <w:rFonts w:hint="eastAsia" w:ascii="宋体" w:hAnsi="宋体" w:cs="宋体"/>
                <w:color w:val="000000"/>
                <w:kern w:val="0"/>
              </w:rPr>
              <w:t>485转单网口WIFI转换器</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ascii="宋体" w:hAnsi="宋体" w:cs="宋体"/>
                <w:kern w:val="0"/>
              </w:rPr>
              <w:t>10</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4</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电子看板</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kern w:val="0"/>
              </w:rPr>
            </w:pPr>
            <w:r>
              <w:rPr>
                <w:rFonts w:hint="eastAsia" w:ascii="宋体" w:hAnsi="宋体" w:cs="宋体"/>
                <w:kern w:val="0"/>
              </w:rPr>
              <w:t>80寸LCD显示器</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海信或知名品牌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5</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看板解码器</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kern w:val="0"/>
              </w:rPr>
            </w:pPr>
            <w:r>
              <w:rPr>
                <w:rFonts w:hint="eastAsia" w:ascii="宋体" w:hAnsi="宋体" w:cs="宋体"/>
                <w:kern w:val="0"/>
              </w:rPr>
              <w:t>UNO-2271G 4核CPU，4G，32GSSD，HDMI</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研华或知名品牌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6</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触摸式一体机</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4核CPU,4G,64G,21.5寸，工业无风扇全密闭一体式</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国产名牌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7</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边缘计算器</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I5，8G，1T工业计算机</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个</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1</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8</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温湿度传感器</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SOC2-TH-210</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伟拓或知名品牌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2</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9</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智能电表AMC16</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kern w:val="0"/>
              </w:rPr>
            </w:pPr>
            <w:r>
              <w:rPr>
                <w:rFonts w:hint="eastAsia" w:ascii="宋体" w:hAnsi="宋体" w:cs="宋体"/>
                <w:kern w:val="0"/>
              </w:rPr>
              <w:t>智能三相12路电表</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安科瑞或知名品牌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ascii="宋体" w:hAnsi="宋体" w:cs="宋体"/>
                <w:kern w:val="0"/>
              </w:rPr>
              <w:t>3</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10</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电流互感器</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kern w:val="0"/>
              </w:rPr>
            </w:pPr>
            <w:r>
              <w:rPr>
                <w:rFonts w:hint="eastAsia" w:ascii="宋体" w:hAnsi="宋体" w:cs="宋体"/>
                <w:kern w:val="0"/>
              </w:rPr>
              <w:t>AKH-0.66-W-20 100/20mA</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安科瑞或知名品牌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个</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hint="eastAsia" w:ascii="宋体" w:hAnsi="宋体" w:cs="宋体"/>
                <w:kern w:val="0"/>
              </w:rPr>
              <w:t>30</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kern w:val="0"/>
              </w:rPr>
              <w:t>1</w:t>
            </w:r>
            <w:r>
              <w:rPr>
                <w:rFonts w:ascii="宋体" w:hAnsi="宋体" w:cs="宋体"/>
                <w:kern w:val="0"/>
              </w:rPr>
              <w:t>1</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采集网关</w:t>
            </w:r>
          </w:p>
        </w:tc>
        <w:tc>
          <w:tcPr>
            <w:tcW w:w="2488" w:type="pct"/>
            <w:tcBorders>
              <w:top w:val="nil"/>
              <w:left w:val="nil"/>
              <w:bottom w:val="single" w:color="auto" w:sz="4" w:space="0"/>
              <w:right w:val="single" w:color="auto" w:sz="4" w:space="0"/>
            </w:tcBorders>
            <w:shd w:val="clear" w:color="auto" w:fill="auto"/>
            <w:vAlign w:val="center"/>
          </w:tcPr>
          <w:p>
            <w:pPr>
              <w:jc w:val="left"/>
              <w:rPr>
                <w:rFonts w:ascii="宋体" w:hAnsi="宋体" w:cs="宋体"/>
                <w:color w:val="000000"/>
                <w:kern w:val="0"/>
              </w:rPr>
            </w:pPr>
            <w:r>
              <w:rPr>
                <w:rFonts w:hint="eastAsia" w:ascii="宋体" w:hAnsi="宋体" w:cs="宋体"/>
                <w:color w:val="000000"/>
                <w:kern w:val="0"/>
              </w:rPr>
              <w:t>协议转发装置TIS-GA</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国产品牌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台</w:t>
            </w:r>
          </w:p>
        </w:tc>
        <w:tc>
          <w:tcPr>
            <w:tcW w:w="411" w:type="pct"/>
            <w:tcBorders>
              <w:top w:val="nil"/>
              <w:left w:val="nil"/>
              <w:bottom w:val="single" w:color="auto" w:sz="4" w:space="0"/>
              <w:right w:val="single" w:color="auto" w:sz="4" w:space="0"/>
            </w:tcBorders>
            <w:shd w:val="clear" w:color="000000" w:fill="FFFFFF"/>
            <w:vAlign w:val="center"/>
          </w:tcPr>
          <w:p>
            <w:pPr>
              <w:jc w:val="center"/>
              <w:rPr>
                <w:rFonts w:ascii="宋体" w:hAnsi="宋体" w:cs="宋体"/>
                <w:kern w:val="0"/>
              </w:rPr>
            </w:pPr>
            <w:r>
              <w:rPr>
                <w:rFonts w:ascii="宋体" w:hAnsi="宋体" w:cs="宋体"/>
                <w:kern w:val="0"/>
              </w:rPr>
              <w:t>4</w:t>
            </w:r>
          </w:p>
        </w:tc>
      </w:tr>
      <w:tr>
        <w:tblPrEx>
          <w:tblCellMar>
            <w:top w:w="0" w:type="dxa"/>
            <w:left w:w="108" w:type="dxa"/>
            <w:bottom w:w="0" w:type="dxa"/>
            <w:right w:w="108" w:type="dxa"/>
          </w:tblCellMar>
        </w:tblPrEx>
        <w:trPr>
          <w:trHeight w:val="280" w:hRule="atLeast"/>
        </w:trPr>
        <w:tc>
          <w:tcPr>
            <w:tcW w:w="303"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2</w:t>
            </w:r>
          </w:p>
        </w:tc>
        <w:tc>
          <w:tcPr>
            <w:tcW w:w="798" w:type="pct"/>
            <w:tcBorders>
              <w:top w:val="nil"/>
              <w:left w:val="nil"/>
              <w:bottom w:val="single" w:color="auto" w:sz="4" w:space="0"/>
              <w:right w:val="single" w:color="auto" w:sz="4" w:space="0"/>
            </w:tcBorders>
            <w:shd w:val="clear" w:color="auto" w:fill="auto"/>
            <w:vAlign w:val="center"/>
          </w:tcPr>
          <w:p>
            <w:pPr>
              <w:jc w:val="center"/>
              <w:rPr>
                <w:rFonts w:ascii="宋体" w:hAnsi="宋体" w:cs="宋体"/>
                <w:kern w:val="0"/>
              </w:rPr>
            </w:pPr>
            <w:r>
              <w:rPr>
                <w:rFonts w:hint="eastAsia" w:ascii="宋体" w:hAnsi="宋体" w:cs="宋体"/>
                <w:kern w:val="0"/>
              </w:rPr>
              <w:t>辅材</w:t>
            </w:r>
          </w:p>
        </w:tc>
        <w:tc>
          <w:tcPr>
            <w:tcW w:w="2488"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rPr>
            </w:pPr>
            <w:r>
              <w:rPr>
                <w:rFonts w:hint="eastAsia" w:ascii="宋体" w:hAnsi="宋体" w:cs="宋体"/>
                <w:color w:val="000000"/>
                <w:kern w:val="0"/>
              </w:rPr>
              <w:t>CAT6、线缆、辅材等线缆辅材</w:t>
            </w:r>
          </w:p>
        </w:tc>
        <w:tc>
          <w:tcPr>
            <w:tcW w:w="653"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国产品牌</w:t>
            </w:r>
          </w:p>
        </w:tc>
        <w:tc>
          <w:tcPr>
            <w:tcW w:w="34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批</w:t>
            </w:r>
          </w:p>
        </w:tc>
        <w:tc>
          <w:tcPr>
            <w:tcW w:w="411"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rPr>
            </w:pPr>
            <w:r>
              <w:rPr>
                <w:rFonts w:hint="eastAsia" w:ascii="宋体" w:hAnsi="宋体" w:cs="宋体"/>
                <w:color w:val="000000"/>
                <w:kern w:val="0"/>
              </w:rPr>
              <w:t>1</w:t>
            </w:r>
          </w:p>
        </w:tc>
      </w:tr>
    </w:tbl>
    <w:p>
      <w:pPr>
        <w:pStyle w:val="3"/>
        <w:tabs>
          <w:tab w:val="left" w:pos="432"/>
        </w:tabs>
        <w:spacing w:line="360" w:lineRule="auto"/>
        <w:jc w:val="both"/>
        <w:rPr>
          <w:rFonts w:hint="default" w:cs="宋体"/>
          <w:color w:val="000000" w:themeColor="text1"/>
          <w:sz w:val="24"/>
          <w:szCs w:val="24"/>
          <w14:textFill>
            <w14:solidFill>
              <w14:schemeClr w14:val="tx1"/>
            </w14:solidFill>
          </w14:textFill>
        </w:rPr>
      </w:pPr>
      <w:r>
        <w:rPr>
          <w:rFonts w:cs="宋体"/>
          <w:b w:val="0"/>
          <w:color w:val="000000"/>
          <w:kern w:val="0"/>
          <w:sz w:val="24"/>
          <w:szCs w:val="28"/>
        </w:rPr>
        <w:t>(二)虚拟制造中心构建及模拟运行</w:t>
      </w:r>
    </w:p>
    <w:p>
      <w:pPr>
        <w:spacing w:line="360" w:lineRule="auto"/>
        <w:ind w:firstLine="42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系统中搭建数据模拟系统，结合已经实现数据联网的实验中心设备，构建纺纱虚拟制造中心。结合现场的设备数量情况与教学需求，在各个生产工序模拟不同数量的生产设备，并结合实际生产状况，开发运行参数模拟运行功能，实现数据的自动模拟及设备的虚拟运行，为模拟生产教学提供支持。</w:t>
      </w:r>
    </w:p>
    <w:p>
      <w:pPr>
        <w:spacing w:line="360" w:lineRule="auto"/>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构建</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个纯棉纱纺纱工厂，实现设备的虚拟运行和管理，主要用于纺织企业认知、纺织生产管理以及工艺管理。</w:t>
      </w:r>
    </w:p>
    <w:p>
      <w:pPr>
        <w:spacing w:line="360" w:lineRule="auto"/>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纯棉纱纺纱工厂设备虚拟配置如下：</w:t>
      </w:r>
      <w:bookmarkStart w:id="7" w:name="_Hlk50215599"/>
      <w:r>
        <w:rPr>
          <w:rFonts w:hint="eastAsia" w:ascii="宋体" w:hAnsi="宋体" w:cs="宋体"/>
          <w:color w:val="000000" w:themeColor="text1"/>
          <w:sz w:val="24"/>
          <w:szCs w:val="24"/>
          <w14:textFill>
            <w14:solidFill>
              <w14:schemeClr w14:val="tx1"/>
            </w14:solidFill>
          </w14:textFill>
        </w:rPr>
        <w:t>清梳联2套（每套配10台梳棉机）、精梳1套（配1台预并条机、1台条并卷机、5台精梳机）、并条12台（6套）、粗纱机6台，细络联30台（细纱机1200锭，络筒机24锭）</w:t>
      </w:r>
      <w:bookmarkEnd w:id="7"/>
      <w:r>
        <w:rPr>
          <w:rFonts w:hint="eastAsia" w:ascii="宋体" w:hAnsi="宋体" w:cs="宋体"/>
          <w:color w:val="000000" w:themeColor="text1"/>
          <w:sz w:val="24"/>
          <w:szCs w:val="24"/>
          <w14:textFill>
            <w14:solidFill>
              <w14:schemeClr w14:val="tx1"/>
            </w14:solidFill>
          </w14:textFill>
        </w:rPr>
        <w:t>。在工厂创设中，可以根据学校已有的设备，立足这些设备进行扩充和设计，形成一个纺纱工厂。</w:t>
      </w:r>
    </w:p>
    <w:p>
      <w:pPr>
        <w:pStyle w:val="3"/>
        <w:tabs>
          <w:tab w:val="left" w:pos="432"/>
        </w:tabs>
        <w:spacing w:line="360" w:lineRule="auto"/>
        <w:jc w:val="both"/>
        <w:rPr>
          <w:rFonts w:hint="default" w:cs="宋体"/>
          <w:b w:val="0"/>
          <w:color w:val="000000"/>
          <w:kern w:val="0"/>
          <w:sz w:val="24"/>
          <w:szCs w:val="28"/>
        </w:rPr>
      </w:pPr>
      <w:r>
        <w:rPr>
          <w:rFonts w:cs="宋体"/>
          <w:b w:val="0"/>
          <w:color w:val="000000"/>
          <w:kern w:val="0"/>
          <w:sz w:val="24"/>
          <w:szCs w:val="28"/>
        </w:rPr>
        <w:t>（三）设备在线监控模拟系统</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实现对虚拟工厂设备的实时在线监测，包括实验中心的联网设备，实时读取设备运行参数，实现园区、车间的3D展示，设备数据的实时展示，从而实现生产状态的在线监控。通过浏览工业园模型，不仅可以了解纺织工业园的厂区建设、车间内的设备配比等，还可以在了解设备相关的运行参数、工艺数据等，在此基础上实现数据的预警和报警功能。</w:t>
      </w:r>
    </w:p>
    <w:p>
      <w:pPr>
        <w:ind w:left="43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具体功能要求如表3。</w:t>
      </w:r>
    </w:p>
    <w:p>
      <w:pPr>
        <w:ind w:left="432"/>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表</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在线监测模拟系统功能列表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288"/>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b/>
                <w:color w:val="000000"/>
                <w:kern w:val="0"/>
              </w:rPr>
            </w:pPr>
            <w:r>
              <w:rPr>
                <w:rFonts w:hint="eastAsia" w:ascii="宋体" w:hAnsi="宋体" w:cs="宋体"/>
                <w:b/>
                <w:color w:val="000000"/>
                <w:kern w:val="0"/>
              </w:rPr>
              <w:t>序号</w:t>
            </w:r>
          </w:p>
        </w:tc>
        <w:tc>
          <w:tcPr>
            <w:tcW w:w="1248" w:type="pct"/>
            <w:noWrap/>
            <w:vAlign w:val="center"/>
          </w:tcPr>
          <w:p>
            <w:pPr>
              <w:spacing w:line="360" w:lineRule="auto"/>
              <w:jc w:val="center"/>
              <w:rPr>
                <w:rFonts w:ascii="宋体" w:hAnsi="宋体" w:cs="宋体"/>
                <w:b/>
                <w:color w:val="000000"/>
                <w:kern w:val="0"/>
              </w:rPr>
            </w:pPr>
            <w:r>
              <w:rPr>
                <w:rFonts w:hint="eastAsia" w:ascii="宋体" w:hAnsi="宋体" w:cs="宋体"/>
                <w:b/>
                <w:color w:val="000000"/>
                <w:kern w:val="0"/>
              </w:rPr>
              <w:t>模块</w:t>
            </w:r>
          </w:p>
        </w:tc>
        <w:tc>
          <w:tcPr>
            <w:tcW w:w="3131" w:type="pct"/>
            <w:vAlign w:val="center"/>
          </w:tcPr>
          <w:p>
            <w:pPr>
              <w:spacing w:line="360" w:lineRule="auto"/>
              <w:jc w:val="center"/>
              <w:rPr>
                <w:rFonts w:ascii="宋体" w:hAnsi="宋体" w:cs="宋体"/>
                <w:b/>
                <w:color w:val="000000"/>
                <w:kern w:val="0"/>
              </w:rPr>
            </w:pPr>
            <w:r>
              <w:rPr>
                <w:rFonts w:hint="eastAsia" w:ascii="宋体" w:hAnsi="宋体" w:cs="宋体"/>
                <w:b/>
                <w:color w:val="000000"/>
                <w:kern w:val="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kern w:val="0"/>
              </w:rPr>
            </w:pPr>
            <w:r>
              <w:rPr>
                <w:rFonts w:hint="eastAsia" w:ascii="宋体" w:hAnsi="宋体" w:cs="宋体"/>
                <w:color w:val="000000"/>
                <w:kern w:val="0"/>
              </w:rPr>
              <w:t>1</w:t>
            </w:r>
          </w:p>
        </w:tc>
        <w:tc>
          <w:tcPr>
            <w:tcW w:w="1248" w:type="pct"/>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实时状态</w:t>
            </w:r>
          </w:p>
        </w:tc>
        <w:tc>
          <w:tcPr>
            <w:tcW w:w="3131" w:type="pct"/>
            <w:vAlign w:val="center"/>
          </w:tcPr>
          <w:p>
            <w:pPr>
              <w:spacing w:line="360" w:lineRule="auto"/>
              <w:jc w:val="left"/>
              <w:rPr>
                <w:rFonts w:ascii="宋体" w:hAnsi="宋体" w:cs="宋体"/>
                <w:color w:val="000000"/>
                <w:kern w:val="0"/>
              </w:rPr>
            </w:pPr>
            <w:r>
              <w:rPr>
                <w:rFonts w:hint="eastAsia" w:ascii="宋体" w:hAnsi="宋体" w:cs="宋体"/>
                <w:color w:val="000000"/>
                <w:kern w:val="0"/>
              </w:rPr>
              <w:t>从电脑端即可查看设备运行状态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kern w:val="0"/>
              </w:rPr>
            </w:pPr>
            <w:r>
              <w:rPr>
                <w:rFonts w:hint="eastAsia" w:ascii="宋体" w:hAnsi="宋体" w:cs="宋体"/>
                <w:color w:val="000000"/>
                <w:kern w:val="0"/>
              </w:rPr>
              <w:t>2</w:t>
            </w:r>
          </w:p>
        </w:tc>
        <w:tc>
          <w:tcPr>
            <w:tcW w:w="1248" w:type="pct"/>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实时开台</w:t>
            </w:r>
          </w:p>
        </w:tc>
        <w:tc>
          <w:tcPr>
            <w:tcW w:w="3131" w:type="pct"/>
            <w:vAlign w:val="center"/>
          </w:tcPr>
          <w:p>
            <w:pPr>
              <w:spacing w:line="360" w:lineRule="auto"/>
              <w:jc w:val="left"/>
              <w:rPr>
                <w:rFonts w:ascii="宋体" w:hAnsi="宋体" w:cs="宋体"/>
                <w:color w:val="000000"/>
                <w:kern w:val="0"/>
              </w:rPr>
            </w:pPr>
            <w:r>
              <w:rPr>
                <w:rFonts w:hint="eastAsia" w:ascii="宋体" w:hAnsi="宋体" w:cs="宋体"/>
                <w:color w:val="000000"/>
                <w:kern w:val="0"/>
              </w:rPr>
              <w:t>各工序设备当班的开台数量、开台率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kern w:val="0"/>
              </w:rPr>
            </w:pPr>
            <w:r>
              <w:rPr>
                <w:rFonts w:hint="eastAsia" w:ascii="宋体" w:hAnsi="宋体" w:cs="宋体"/>
                <w:color w:val="000000"/>
                <w:kern w:val="0"/>
              </w:rPr>
              <w:t>3</w:t>
            </w:r>
          </w:p>
        </w:tc>
        <w:tc>
          <w:tcPr>
            <w:tcW w:w="1248" w:type="pct"/>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实时数据</w:t>
            </w:r>
          </w:p>
        </w:tc>
        <w:tc>
          <w:tcPr>
            <w:tcW w:w="3131" w:type="pct"/>
            <w:vAlign w:val="center"/>
          </w:tcPr>
          <w:p>
            <w:pPr>
              <w:spacing w:line="360" w:lineRule="auto"/>
              <w:jc w:val="left"/>
              <w:rPr>
                <w:rFonts w:ascii="宋体" w:hAnsi="宋体" w:cs="宋体"/>
                <w:color w:val="000000"/>
                <w:kern w:val="0"/>
              </w:rPr>
            </w:pPr>
            <w:r>
              <w:rPr>
                <w:rFonts w:hint="eastAsia" w:ascii="宋体" w:hAnsi="宋体" w:cs="宋体"/>
                <w:color w:val="000000"/>
                <w:kern w:val="0"/>
              </w:rPr>
              <w:t>设备当前的运行数据如速度、效率、产量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Pr>
          <w:p>
            <w:pPr>
              <w:spacing w:line="360" w:lineRule="auto"/>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 xml:space="preserve"> </w:t>
            </w:r>
          </w:p>
        </w:tc>
        <w:tc>
          <w:tcPr>
            <w:tcW w:w="1248" w:type="pct"/>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实时趋势图</w:t>
            </w:r>
          </w:p>
        </w:tc>
        <w:tc>
          <w:tcPr>
            <w:tcW w:w="3131" w:type="pct"/>
            <w:vAlign w:val="center"/>
          </w:tcPr>
          <w:p>
            <w:pPr>
              <w:spacing w:line="360" w:lineRule="auto"/>
              <w:jc w:val="left"/>
              <w:rPr>
                <w:rFonts w:ascii="宋体" w:hAnsi="宋体" w:cs="宋体"/>
                <w:color w:val="000000"/>
                <w:kern w:val="0"/>
              </w:rPr>
            </w:pPr>
            <w:r>
              <w:rPr>
                <w:rFonts w:hint="eastAsia" w:ascii="宋体" w:hAnsi="宋体" w:cs="宋体"/>
                <w:color w:val="000000"/>
                <w:kern w:val="0"/>
              </w:rPr>
              <w:t>设备数据的变化曲线图，便于问题的追溯管理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5</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能源实时数据</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关键电表的实时数据展示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6</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温湿度实时数据</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温湿度实时数据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7</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温湿度曲线</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温湿度历史曲线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8</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设备故障报警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对设备的故障进行报警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9</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低效机台报警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对低效机台进行报警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0</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环境异常报警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环境超出正常范围报警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21"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1</w:t>
            </w:r>
          </w:p>
        </w:tc>
        <w:tc>
          <w:tcPr>
            <w:tcW w:w="1248"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kern w:val="0"/>
              </w:rPr>
            </w:pPr>
            <w:r>
              <w:rPr>
                <w:rFonts w:hint="eastAsia" w:ascii="宋体" w:hAnsi="宋体" w:cs="宋体"/>
                <w:color w:val="000000"/>
                <w:kern w:val="0"/>
              </w:rPr>
              <w:t>能源异常报警</w:t>
            </w:r>
          </w:p>
        </w:tc>
        <w:tc>
          <w:tcPr>
            <w:tcW w:w="313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rPr>
            </w:pPr>
            <w:r>
              <w:rPr>
                <w:rFonts w:hint="eastAsia" w:ascii="宋体" w:hAnsi="宋体" w:cs="宋体"/>
                <w:color w:val="000000"/>
                <w:kern w:val="0"/>
              </w:rPr>
              <w:t>能源超出机台正常范围报警</w:t>
            </w:r>
          </w:p>
        </w:tc>
      </w:tr>
    </w:tbl>
    <w:p>
      <w:pPr>
        <w:pStyle w:val="3"/>
        <w:tabs>
          <w:tab w:val="left" w:pos="432"/>
        </w:tabs>
        <w:spacing w:line="360" w:lineRule="auto"/>
        <w:jc w:val="both"/>
        <w:rPr>
          <w:rFonts w:hint="default" w:cs="宋体"/>
          <w:b w:val="0"/>
          <w:color w:val="000000"/>
          <w:kern w:val="0"/>
          <w:sz w:val="24"/>
          <w:szCs w:val="28"/>
        </w:rPr>
      </w:pPr>
      <w:r>
        <w:rPr>
          <w:rFonts w:cs="宋体"/>
          <w:b w:val="0"/>
          <w:color w:val="000000"/>
          <w:kern w:val="0"/>
          <w:sz w:val="24"/>
          <w:szCs w:val="28"/>
        </w:rPr>
        <w:t>（四）车间看板展示系统</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纺纱智能制造中心配置车间看板，车间看板实时展示推送相关生产指令及生产实况数据，模拟现代智能化生产车间管理模式。通过电子看板可直观的观看到各轮班累计产量和效率、当班各小组的产量效率信息、分析最近每天的细纱产能效率趋势。看板内容包括：车间通知公告，各工序单台产量、效率，车间低效机台，车间温湿度能源消耗等。</w:t>
      </w:r>
    </w:p>
    <w:p>
      <w:pPr>
        <w:pStyle w:val="3"/>
        <w:tabs>
          <w:tab w:val="left" w:pos="432"/>
        </w:tabs>
        <w:spacing w:line="360" w:lineRule="auto"/>
        <w:jc w:val="both"/>
        <w:rPr>
          <w:rFonts w:hint="default" w:cs="宋体"/>
          <w:b w:val="0"/>
          <w:color w:val="000000"/>
          <w:kern w:val="0"/>
          <w:sz w:val="24"/>
          <w:szCs w:val="28"/>
        </w:rPr>
      </w:pPr>
      <w:r>
        <w:rPr>
          <w:rFonts w:cs="宋体"/>
          <w:b w:val="0"/>
          <w:color w:val="000000"/>
          <w:kern w:val="0"/>
          <w:sz w:val="24"/>
          <w:szCs w:val="28"/>
        </w:rPr>
        <w:t>（五）智能驾驶舱系统</w:t>
      </w:r>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应用智能制造中心已有的大屏系统，将生产相关数据进行汇集，将多维度数据多形式展示在智能驾驶舱中，为生产管理控制提供操作中心。</w:t>
      </w:r>
    </w:p>
    <w:p>
      <w:pPr>
        <w:pStyle w:val="19"/>
        <w:spacing w:before="0" w:beforeAutospacing="0" w:after="0" w:afterAutospacing="0"/>
        <w:rPr>
          <w:b/>
          <w:bCs/>
          <w:sz w:val="28"/>
          <w:szCs w:val="28"/>
        </w:rPr>
      </w:pPr>
    </w:p>
    <w:p>
      <w:pPr>
        <w:pStyle w:val="19"/>
        <w:spacing w:before="0" w:beforeAutospacing="0" w:after="0" w:afterAutospacing="0"/>
        <w:rPr>
          <w:b/>
          <w:bCs/>
          <w:sz w:val="28"/>
          <w:szCs w:val="28"/>
        </w:rPr>
      </w:pPr>
      <w:r>
        <w:rPr>
          <w:rFonts w:hint="eastAsia"/>
          <w:b/>
          <w:bCs/>
          <w:sz w:val="28"/>
          <w:szCs w:val="28"/>
        </w:rPr>
        <w:t>三、交货、验收条件</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（一）、交货及安装调试</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1.交货时间为签订合同之日起  天内安装调试结束。</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2.所有标的货物须按合同指定地点、时间前安装调试合格并交付使用。</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3.供应商须负责进行设备安装调试服务并承担因此发生的一切费用。</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（二）、验收要求</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1.验收标准：供应商提供的货物必须符合我国最新颁布的与之相关的技术规范与标准，同时必须满足招标文件中所列规格、具体配置、技术条件及功能要求和供应商承诺的其它指标。</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2.货物到达采购方指定现场后，由采购方会同有关单位和人员根据供应商提供的项目设备清单，进行现场验收货。</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3.如现场不能维修解决的故障问题，须提供故障不能排除时的解决方案。</w:t>
      </w:r>
    </w:p>
    <w:p>
      <w:pPr>
        <w:ind w:right="210"/>
        <w:jc w:val="left"/>
        <w:rPr>
          <w:rFonts w:ascii="宋体" w:hAnsi="宋体" w:cs="宋体"/>
          <w:b/>
          <w:bCs/>
          <w:kern w:val="0"/>
          <w:sz w:val="28"/>
          <w:szCs w:val="28"/>
        </w:rPr>
      </w:pPr>
      <w:r>
        <w:rPr>
          <w:rFonts w:hint="eastAsia" w:ascii="宋体" w:hAnsi="宋体" w:cs="宋体"/>
          <w:b/>
          <w:bCs/>
          <w:kern w:val="0"/>
          <w:sz w:val="28"/>
          <w:szCs w:val="28"/>
        </w:rPr>
        <w:t>三、售后服务及质保要求</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产品安装验收合格后，供应商免费为学院专业老师进行培训，提供“7*24小时”专门电话技术支持服务，在工作时间1小时内响应，在2小时内对使用单位所提出的维修要求做出实质性反应，并提供应急策略。如因软硬件故障而导致产品不能正常运行，且通过远程技术支持不能解决的，乙方应承诺48小时内上门解决或提供远程替代服务。</w:t>
      </w:r>
    </w:p>
    <w:p>
      <w:pPr>
        <w:ind w:firstLine="480" w:firstLineChars="200"/>
        <w:rPr>
          <w:rFonts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kern w:val="0"/>
          <w:sz w:val="24"/>
          <w:szCs w:val="28"/>
        </w:rPr>
        <w:t>免费质保期自验收合格之日起计算，本项目提供五年的免费质保及免费升级。</w:t>
      </w:r>
    </w:p>
    <w:p>
      <w:pPr>
        <w:ind w:right="210"/>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sz w:val="28"/>
          <w:szCs w:val="28"/>
        </w:rPr>
        <w:t>四、项目具体要求</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1、投标费用包括乙方安装、调试、培训、质保期服务、各项税费、交通费、管理费及合同实施过程中不可预见费用等。</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2、货物名称内容必须与投标文件中货物名称内容一致。</w:t>
      </w:r>
    </w:p>
    <w:p>
      <w:pPr>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3、本项目需开具增值税专用发票。</w:t>
      </w:r>
    </w:p>
    <w:p>
      <w:pPr>
        <w:pStyle w:val="90"/>
        <w:spacing w:before="290" w:after="290"/>
        <w:jc w:val="both"/>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本采购标的的所属行业为工业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序号</w:t>
            </w:r>
          </w:p>
        </w:tc>
        <w:tc>
          <w:tcPr>
            <w:tcW w:w="1124"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评分</w:t>
            </w:r>
          </w:p>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因素</w:t>
            </w:r>
          </w:p>
        </w:tc>
        <w:tc>
          <w:tcPr>
            <w:tcW w:w="894"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分值</w:t>
            </w:r>
          </w:p>
        </w:tc>
        <w:tc>
          <w:tcPr>
            <w:tcW w:w="6410"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71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124" w:type="dxa"/>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p>
            <w:pPr>
              <w:pStyle w:val="2"/>
            </w:pP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50</w:t>
            </w:r>
            <w:r>
              <w:rPr>
                <w:rFonts w:hint="eastAsia" w:ascii="宋体" w:hAnsi="宋体" w:cs="宋体"/>
                <w:color w:val="000000" w:themeColor="text1"/>
                <w:sz w:val="21"/>
                <w:szCs w:val="21"/>
                <w14:textFill>
                  <w14:solidFill>
                    <w14:schemeClr w14:val="tx1"/>
                  </w14:solidFill>
                </w14:textFill>
              </w:rPr>
              <w:t>分）</w:t>
            </w: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所有有效投标报价中满足招标文件要求，价格最低的投标报价为评标基准价，其价格分为50分，其他投标人的价格分按照下列公式计算（计算结果四舍五入保留两位小数）。</w:t>
            </w:r>
          </w:p>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12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技术部分</w:t>
            </w:r>
          </w:p>
          <w:p>
            <w:pPr>
              <w:pStyle w:val="2"/>
            </w:pP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35</w:t>
            </w:r>
            <w:r>
              <w:rPr>
                <w:rFonts w:hint="eastAsia" w:ascii="宋体" w:hAnsi="宋体" w:cs="宋体"/>
                <w:color w:val="000000" w:themeColor="text1"/>
                <w:sz w:val="21"/>
                <w:szCs w:val="21"/>
                <w14:textFill>
                  <w14:solidFill>
                    <w14:schemeClr w14:val="tx1"/>
                  </w14:solidFill>
                </w14:textFill>
              </w:rPr>
              <w:t>分）</w:t>
            </w: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30</w:t>
            </w:r>
            <w:r>
              <w:rPr>
                <w:rFonts w:hint="eastAsia" w:ascii="宋体" w:hAnsi="宋体" w:cs="宋体"/>
                <w:color w:val="000000" w:themeColor="text1"/>
                <w14:textFill>
                  <w14:solidFill>
                    <w14:schemeClr w14:val="tx1"/>
                  </w14:solidFill>
                </w14:textFill>
              </w:rPr>
              <w:t>分</w:t>
            </w:r>
          </w:p>
        </w:tc>
        <w:tc>
          <w:tcPr>
            <w:tcW w:w="6410" w:type="dxa"/>
            <w:vAlign w:val="center"/>
          </w:tcPr>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根据整个方案的可行性、展示度、满足教学要求及适用性进行打分</w:t>
            </w:r>
            <w:r>
              <w:rPr>
                <w:rFonts w:hint="eastAsia"/>
                <w:color w:val="000000" w:themeColor="text1"/>
                <w14:textFill>
                  <w14:solidFill>
                    <w14:schemeClr w14:val="tx1"/>
                  </w14:solidFill>
                </w14:textFill>
              </w:rPr>
              <w:t>，基本分为21分：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.整体方案可行，充分体现纺织生产过程信息化、纺织工艺虚拟化设计、适合教学用生产过程业务执行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得</w:t>
            </w:r>
            <w:r>
              <w:rPr>
                <w:rFonts w:hint="eastAsia"/>
                <w:color w:val="000000" w:themeColor="text1"/>
                <w14:textFill>
                  <w14:solidFill>
                    <w14:schemeClr w14:val="tx1"/>
                  </w14:solidFill>
                </w14:textFill>
              </w:rPr>
              <w:t>27（不含）</w:t>
            </w:r>
            <w:r>
              <w:rPr>
                <w:color w:val="000000" w:themeColor="text1"/>
                <w14:textFill>
                  <w14:solidFill>
                    <w14:schemeClr w14:val="tx1"/>
                  </w14:solidFill>
                </w14:textFill>
              </w:rPr>
              <w:t>-30分</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.整体方案较完善，能体现纺织生产过程信息化、纺织工艺虚拟化设计、可用于教学用生产过程业务执行，得</w:t>
            </w:r>
            <w:r>
              <w:rPr>
                <w:rFonts w:hint="eastAsia"/>
                <w:color w:val="000000" w:themeColor="text1"/>
                <w14:textFill>
                  <w14:solidFill>
                    <w14:schemeClr w14:val="tx1"/>
                  </w14:solidFill>
                </w14:textFill>
              </w:rPr>
              <w:t>24（不含）</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w:t>
            </w:r>
          </w:p>
          <w:p>
            <w:pPr>
              <w:spacing w:line="3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.整体方案有欠缺，未能体现纺织生产过程信息化、纺织工艺虚拟化设计、用于教学用生产过程业务执行有一定差距，得</w:t>
            </w:r>
            <w:r>
              <w:rPr>
                <w:rFonts w:hint="eastAsia"/>
                <w:color w:val="000000" w:themeColor="text1"/>
                <w14:textFill>
                  <w14:solidFill>
                    <w14:schemeClr w14:val="tx1"/>
                  </w14:solidFill>
                </w14:textFill>
              </w:rPr>
              <w:t>21（不含）</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24</w:t>
            </w:r>
            <w:r>
              <w:rPr>
                <w:color w:val="000000" w:themeColor="text1"/>
                <w14:textFill>
                  <w14:solidFill>
                    <w14:schemeClr w14:val="tx1"/>
                  </w14:solidFill>
                </w14:textFill>
              </w:rPr>
              <w:t>分。</w:t>
            </w:r>
          </w:p>
          <w:p>
            <w:pPr>
              <w:pStyle w:val="2"/>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4.整体方案严重欠缺或未提供不得分。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提供项目实施进度计划、组织机构、项目实施过程描述，专家根据项目实施内容酌情打分，</w:t>
            </w:r>
            <w:r>
              <w:rPr>
                <w:rFonts w:hint="eastAsia"/>
                <w:color w:val="000000" w:themeColor="text1"/>
                <w14:textFill>
                  <w14:solidFill>
                    <w14:schemeClr w14:val="tx1"/>
                  </w14:solidFill>
                </w14:textFill>
              </w:rPr>
              <w:t>优得4（不含）</w:t>
            </w:r>
            <w:r>
              <w:rPr>
                <w:color w:val="000000" w:themeColor="text1"/>
                <w14:textFill>
                  <w14:solidFill>
                    <w14:schemeClr w14:val="tx1"/>
                  </w14:solidFill>
                </w14:textFill>
              </w:rPr>
              <w:t>-5分</w:t>
            </w:r>
            <w:r>
              <w:rPr>
                <w:rFonts w:hint="eastAsia"/>
                <w:color w:val="000000" w:themeColor="text1"/>
                <w14:textFill>
                  <w14:solidFill>
                    <w14:schemeClr w14:val="tx1"/>
                  </w14:solidFill>
                </w14:textFill>
              </w:rPr>
              <w:t>，良得2（不含）-4分，一般得0-2分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1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12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商务部分（</w:t>
            </w:r>
            <w:r>
              <w:rPr>
                <w:rFonts w:ascii="宋体" w:hAnsi="宋体" w:cs="宋体"/>
                <w:color w:val="000000" w:themeColor="text1"/>
                <w14:textFill>
                  <w14:solidFill>
                    <w14:schemeClr w14:val="tx1"/>
                  </w14:solidFill>
                </w14:textFill>
              </w:rPr>
              <w:t>9</w:t>
            </w:r>
            <w:r>
              <w:rPr>
                <w:rFonts w:hint="eastAsia" w:ascii="宋体" w:hAnsi="宋体" w:cs="宋体"/>
                <w:color w:val="000000" w:themeColor="text1"/>
                <w14:textFill>
                  <w14:solidFill>
                    <w14:schemeClr w14:val="tx1"/>
                  </w14:solidFill>
                </w14:textFill>
              </w:rPr>
              <w:t>分）</w:t>
            </w: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被服务企业因投标人类似业绩合同获省级科技进步奖，</w:t>
            </w:r>
            <w:r>
              <w:rPr>
                <w:color w:val="000000" w:themeColor="text1"/>
                <w14:textFill>
                  <w14:solidFill>
                    <w14:schemeClr w14:val="tx1"/>
                  </w14:solidFill>
                </w14:textFill>
              </w:rPr>
              <w:t>每</w:t>
            </w:r>
            <w:r>
              <w:rPr>
                <w:rFonts w:hint="eastAsia"/>
                <w:color w:val="000000" w:themeColor="text1"/>
                <w14:textFill>
                  <w14:solidFill>
                    <w14:schemeClr w14:val="tx1"/>
                  </w14:solidFill>
                </w14:textFill>
              </w:rPr>
              <w:t>提供一份得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分，最多得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（提供合同及相关证明，未提供不得分）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与所投产品类似软件著作权或软件检测报告或发明专利证书的，投标文件中每提供一个有效证书复印件得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分，最多</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分</w:t>
            </w:r>
          </w:p>
        </w:tc>
        <w:tc>
          <w:tcPr>
            <w:tcW w:w="6410" w:type="dxa"/>
            <w:vAlign w:val="center"/>
          </w:tcPr>
          <w:p>
            <w:pPr>
              <w:spacing w:line="32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olor w:val="000000" w:themeColor="text1"/>
                <w:kern w:val="0"/>
                <w14:textFill>
                  <w14:solidFill>
                    <w14:schemeClr w14:val="tx1"/>
                  </w14:solidFill>
                </w14:textFill>
              </w:rPr>
              <w:t>类似业绩：投标人自2019年1月1日（以合同签字时间为准）以来具有承接过类似产品业绩的，每提供1份合同得</w:t>
            </w:r>
            <w:r>
              <w:rPr>
                <w:rFonts w:ascii="宋体" w:hAnsi="宋体"/>
                <w:color w:val="000000" w:themeColor="text1"/>
                <w:kern w:val="0"/>
                <w14:textFill>
                  <w14:solidFill>
                    <w14:schemeClr w14:val="tx1"/>
                  </w14:solidFill>
                </w14:textFill>
              </w:rPr>
              <w:t>1</w:t>
            </w:r>
            <w:r>
              <w:rPr>
                <w:rFonts w:hint="eastAsia" w:ascii="宋体" w:hAnsi="宋体"/>
                <w:color w:val="000000" w:themeColor="text1"/>
                <w:kern w:val="0"/>
                <w14:textFill>
                  <w14:solidFill>
                    <w14:schemeClr w14:val="tx1"/>
                  </w14:solidFill>
                </w14:textFill>
              </w:rPr>
              <w:t>分，最高得</w:t>
            </w:r>
            <w:r>
              <w:rPr>
                <w:rFonts w:ascii="宋体" w:hAnsi="宋体"/>
                <w:color w:val="000000" w:themeColor="text1"/>
                <w:kern w:val="0"/>
                <w14:textFill>
                  <w14:solidFill>
                    <w14:schemeClr w14:val="tx1"/>
                  </w14:solidFill>
                </w14:textFill>
              </w:rPr>
              <w:t>3</w:t>
            </w:r>
            <w:r>
              <w:rPr>
                <w:rFonts w:hint="eastAsia" w:ascii="宋体" w:hAnsi="宋体"/>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124" w:type="dxa"/>
            <w:vMerge w:val="restart"/>
            <w:vAlign w:val="center"/>
          </w:tcPr>
          <w:p>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售后服务（</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分）</w:t>
            </w: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2分</w:t>
            </w:r>
          </w:p>
        </w:tc>
        <w:tc>
          <w:tcPr>
            <w:tcW w:w="6410"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五年免费质保，未达到此要求的不得作为中标候选人；满五年免费质保后，每延长一年得1分，最高得2分；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3分</w:t>
            </w:r>
          </w:p>
        </w:tc>
        <w:tc>
          <w:tcPr>
            <w:tcW w:w="6410" w:type="dxa"/>
            <w:vAlign w:val="center"/>
          </w:tcPr>
          <w:p>
            <w:pPr>
              <w:spacing w:line="320" w:lineRule="exact"/>
              <w:rPr>
                <w:rFonts w:ascii="宋体" w:hAnsi="宋体" w:cs="宋体"/>
                <w:bCs/>
                <w:color w:val="000000" w:themeColor="text1"/>
                <w:kern w:val="0"/>
                <w14:textFill>
                  <w14:solidFill>
                    <w14:schemeClr w14:val="tx1"/>
                  </w14:solidFill>
                </w14:textFill>
              </w:rPr>
            </w:pPr>
            <w:r>
              <w:rPr>
                <w:rFonts w:hint="eastAsia"/>
                <w:color w:val="000000"/>
              </w:rPr>
              <w:t>投标单位自供货三年内，能提供每学期一次免费上门设备检查维护；每提供1次得1分，最高得3分；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71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1124" w:type="dxa"/>
            <w:vMerge w:val="continue"/>
            <w:vAlign w:val="center"/>
          </w:tcPr>
          <w:p>
            <w:pPr>
              <w:spacing w:line="320" w:lineRule="exact"/>
              <w:rPr>
                <w:rFonts w:ascii="宋体" w:hAnsi="宋体" w:cs="宋体"/>
                <w:color w:val="000000" w:themeColor="text1"/>
                <w14:textFill>
                  <w14:solidFill>
                    <w14:schemeClr w14:val="tx1"/>
                  </w14:solidFill>
                </w14:textFill>
              </w:rPr>
            </w:pPr>
          </w:p>
        </w:tc>
        <w:tc>
          <w:tcPr>
            <w:tcW w:w="894"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分</w:t>
            </w:r>
          </w:p>
        </w:tc>
        <w:tc>
          <w:tcPr>
            <w:tcW w:w="6410" w:type="dxa"/>
            <w:vAlign w:val="center"/>
          </w:tcPr>
          <w:p>
            <w:pPr>
              <w:rPr>
                <w:rFonts w:ascii="宋体" w:hAnsi="宋体" w:cs="宋体"/>
                <w:bCs/>
                <w:strike/>
                <w:color w:val="000000" w:themeColor="text1"/>
                <w:kern w:val="0"/>
                <w14:textFill>
                  <w14:solidFill>
                    <w14:schemeClr w14:val="tx1"/>
                  </w14:solidFill>
                </w14:textFill>
              </w:rPr>
            </w:pPr>
            <w:r>
              <w:rPr>
                <w:rFonts w:hint="eastAsia" w:ascii="宋体" w:hAnsi="宋体" w:cs="宋体"/>
                <w:color w:val="000000"/>
                <w:kern w:val="0"/>
              </w:rPr>
              <w:t>投标单位自供货安装结束后7个工作日内，能提供不少于10课时设备培训，得1分。</w:t>
            </w:r>
          </w:p>
        </w:tc>
      </w:tr>
    </w:tbl>
    <w:p>
      <w:pPr>
        <w:rPr>
          <w:rStyle w:val="47"/>
          <w:rFonts w:ascii="宋体" w:hAnsi="宋体" w:cs="宋体"/>
        </w:rPr>
      </w:pPr>
    </w:p>
    <w:p>
      <w:pPr>
        <w:pStyle w:val="2"/>
        <w:rPr>
          <w:rStyle w:val="47"/>
          <w:rFonts w:ascii="宋体" w:hAnsi="宋体" w:cs="宋体"/>
        </w:rPr>
      </w:pPr>
    </w:p>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8" w:name="_Toc20541"/>
      <w:r>
        <w:rPr>
          <w:rStyle w:val="47"/>
          <w:rFonts w:hint="eastAsia" w:ascii="宋体" w:hAnsi="宋体" w:eastAsia="宋体" w:cs="宋体"/>
          <w:b/>
          <w:sz w:val="44"/>
        </w:rPr>
        <w:t>第六章  投标文件格式</w:t>
      </w:r>
      <w:bookmarkEnd w:id="8"/>
    </w:p>
    <w:p>
      <w:pPr>
        <w:jc w:val="center"/>
        <w:rPr>
          <w:rStyle w:val="47"/>
          <w:rFonts w:ascii="宋体" w:hAnsi="宋体" w:cs="宋体"/>
          <w:b/>
          <w:sz w:val="72"/>
        </w:rPr>
      </w:pPr>
    </w:p>
    <w:p>
      <w:pPr>
        <w:jc w:val="center"/>
        <w:outlineLvl w:val="0"/>
        <w:rPr>
          <w:rStyle w:val="47"/>
          <w:rFonts w:ascii="宋体" w:hAnsi="宋体" w:cs="宋体"/>
          <w:b/>
          <w:sz w:val="72"/>
        </w:rPr>
      </w:pPr>
      <w:bookmarkStart w:id="9" w:name="_Toc26413"/>
      <w:r>
        <w:rPr>
          <w:rStyle w:val="47"/>
          <w:rFonts w:hint="eastAsia" w:ascii="宋体" w:hAnsi="宋体" w:cs="宋体"/>
          <w:b/>
          <w:sz w:val="72"/>
        </w:rPr>
        <w:t>投  标  文  件</w:t>
      </w:r>
      <w:bookmarkEnd w:id="9"/>
    </w:p>
    <w:p>
      <w:pPr>
        <w:jc w:val="center"/>
        <w:outlineLvl w:val="0"/>
        <w:rPr>
          <w:rStyle w:val="47"/>
          <w:rFonts w:ascii="宋体" w:hAnsi="宋体" w:cs="宋体"/>
          <w:b/>
          <w:sz w:val="72"/>
        </w:rPr>
      </w:pPr>
      <w:bookmarkStart w:id="10" w:name="_Toc17655"/>
      <w:r>
        <w:rPr>
          <w:rStyle w:val="47"/>
          <w:rFonts w:hint="eastAsia" w:ascii="宋体" w:hAnsi="宋体" w:cs="宋体"/>
          <w:b/>
          <w:sz w:val="36"/>
        </w:rPr>
        <w:t>（正或副本）</w:t>
      </w:r>
      <w:bookmarkEnd w:id="10"/>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1" w:name="_Toc8567"/>
      <w:r>
        <w:rPr>
          <w:rStyle w:val="47"/>
          <w:rFonts w:hint="eastAsia" w:ascii="宋体" w:hAnsi="宋体" w:cs="宋体"/>
          <w:b/>
          <w:sz w:val="36"/>
        </w:rPr>
        <w:t>项 目 名 称：</w:t>
      </w:r>
      <w:bookmarkEnd w:id="11"/>
    </w:p>
    <w:p>
      <w:pPr>
        <w:ind w:firstLine="1084" w:firstLineChars="300"/>
        <w:outlineLvl w:val="0"/>
        <w:rPr>
          <w:rStyle w:val="47"/>
          <w:rFonts w:ascii="宋体" w:hAnsi="宋体" w:cs="宋体"/>
          <w:b/>
          <w:sz w:val="36"/>
          <w:u w:val="single" w:color="000000"/>
        </w:rPr>
      </w:pPr>
      <w:bookmarkStart w:id="12" w:name="_Toc20815"/>
      <w:r>
        <w:rPr>
          <w:rStyle w:val="47"/>
          <w:rFonts w:hint="eastAsia" w:ascii="宋体" w:hAnsi="宋体" w:cs="宋体"/>
          <w:b/>
          <w:sz w:val="36"/>
        </w:rPr>
        <w:t>招 标 编 号：</w:t>
      </w:r>
      <w:bookmarkEnd w:id="12"/>
    </w:p>
    <w:p>
      <w:pPr>
        <w:ind w:firstLine="1084" w:firstLineChars="300"/>
        <w:outlineLvl w:val="0"/>
        <w:rPr>
          <w:rStyle w:val="47"/>
          <w:rFonts w:ascii="宋体" w:hAnsi="宋体" w:cs="宋体"/>
          <w:b/>
          <w:sz w:val="36"/>
          <w:u w:val="single" w:color="000000"/>
        </w:rPr>
      </w:pPr>
      <w:bookmarkStart w:id="13" w:name="_Toc15597"/>
      <w:r>
        <w:rPr>
          <w:rStyle w:val="47"/>
          <w:rFonts w:hint="eastAsia" w:ascii="宋体" w:hAnsi="宋体" w:cs="宋体"/>
          <w:b/>
          <w:sz w:val="36"/>
        </w:rPr>
        <w:t>投标人名称 ：</w:t>
      </w:r>
      <w:bookmarkEnd w:id="13"/>
    </w:p>
    <w:p>
      <w:pPr>
        <w:ind w:firstLine="1084" w:firstLineChars="300"/>
        <w:outlineLvl w:val="0"/>
        <w:rPr>
          <w:rStyle w:val="47"/>
          <w:rFonts w:ascii="宋体" w:hAnsi="宋体" w:cs="宋体"/>
          <w:b/>
          <w:sz w:val="36"/>
        </w:rPr>
      </w:pPr>
      <w:bookmarkStart w:id="14" w:name="_Toc26387"/>
      <w:r>
        <w:rPr>
          <w:rStyle w:val="47"/>
          <w:rFonts w:hint="eastAsia" w:ascii="宋体" w:hAnsi="宋体" w:cs="宋体"/>
          <w:b/>
          <w:sz w:val="36"/>
        </w:rPr>
        <w:t>日      期 ：</w:t>
      </w:r>
      <w:bookmarkEnd w:id="14"/>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5"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6"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6"/>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7"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7"/>
    </w:p>
    <w:p>
      <w:pPr>
        <w:ind w:firstLine="482" w:firstLineChars="200"/>
        <w:outlineLvl w:val="0"/>
        <w:rPr>
          <w:rFonts w:ascii="宋体" w:hAnsi="宋体" w:cs="宋体"/>
          <w:color w:val="000000" w:themeColor="text1"/>
          <w:sz w:val="24"/>
          <w14:textFill>
            <w14:solidFill>
              <w14:schemeClr w14:val="tx1"/>
            </w14:solidFill>
          </w14:textFill>
        </w:rPr>
      </w:pPr>
      <w:bookmarkStart w:id="18"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8"/>
    </w:p>
    <w:p>
      <w:pPr>
        <w:ind w:firstLine="480" w:firstLineChars="200"/>
        <w:outlineLvl w:val="0"/>
        <w:rPr>
          <w:rFonts w:ascii="宋体" w:hAnsi="宋体" w:cs="宋体"/>
          <w:bCs/>
          <w:color w:val="000000" w:themeColor="text1"/>
          <w:sz w:val="24"/>
          <w14:textFill>
            <w14:solidFill>
              <w14:schemeClr w14:val="tx1"/>
            </w14:solidFill>
          </w14:textFill>
        </w:rPr>
      </w:pPr>
      <w:bookmarkStart w:id="19" w:name="_Toc17993"/>
      <w:r>
        <w:rPr>
          <w:rFonts w:hint="eastAsia" w:ascii="宋体" w:hAnsi="宋体" w:cs="宋体"/>
          <w:color w:val="000000" w:themeColor="text1"/>
          <w:sz w:val="24"/>
          <w14:textFill>
            <w14:solidFill>
              <w14:schemeClr w14:val="tx1"/>
            </w14:solidFill>
          </w14:textFill>
        </w:rPr>
        <w:t>三、符合性检查响应对照表</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4466"/>
      <w:r>
        <w:rPr>
          <w:rFonts w:hint="eastAsia" w:ascii="宋体" w:hAnsi="宋体" w:cs="宋体"/>
          <w:color w:val="000000" w:themeColor="text1"/>
          <w:sz w:val="24"/>
          <w14:textFill>
            <w14:solidFill>
              <w14:schemeClr w14:val="tx1"/>
            </w14:solidFill>
          </w14:textFill>
        </w:rPr>
        <w:t>四、投标函</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256"/>
      <w:r>
        <w:rPr>
          <w:rFonts w:hint="eastAsia" w:ascii="宋体" w:hAnsi="宋体" w:cs="宋体"/>
          <w:color w:val="000000" w:themeColor="text1"/>
          <w:sz w:val="24"/>
          <w14:textFill>
            <w14:solidFill>
              <w14:schemeClr w14:val="tx1"/>
            </w14:solidFill>
          </w14:textFill>
        </w:rPr>
        <w:t>六、投标配置与分项报价表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3614"/>
      <w:r>
        <w:rPr>
          <w:rFonts w:hint="eastAsia" w:ascii="宋体" w:hAnsi="宋体" w:cs="宋体"/>
          <w:color w:val="000000" w:themeColor="text1"/>
          <w:sz w:val="24"/>
          <w14:textFill>
            <w14:solidFill>
              <w14:schemeClr w14:val="tx1"/>
            </w14:solidFill>
          </w14:textFill>
        </w:rPr>
        <w:t>八、商务条款响应及偏离表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25377"/>
      <w:r>
        <w:rPr>
          <w:rFonts w:hint="eastAsia" w:ascii="宋体" w:hAnsi="宋体" w:cs="宋体"/>
          <w:color w:val="000000" w:themeColor="text1"/>
          <w:sz w:val="24"/>
          <w14:textFill>
            <w14:solidFill>
              <w14:schemeClr w14:val="tx1"/>
            </w14:solidFill>
          </w14:textFill>
        </w:rPr>
        <w:t>九、技术方案、服务承诺、培训承诺等</w:t>
      </w:r>
      <w:bookmarkEnd w:id="25"/>
    </w:p>
    <w:p>
      <w:pPr>
        <w:ind w:firstLine="480" w:firstLineChars="200"/>
        <w:outlineLvl w:val="0"/>
        <w:rPr>
          <w:rFonts w:ascii="宋体" w:hAnsi="宋体" w:cs="宋体"/>
          <w:color w:val="000000" w:themeColor="text1"/>
          <w14:textFill>
            <w14:solidFill>
              <w14:schemeClr w14:val="tx1"/>
            </w14:solidFill>
          </w14:textFill>
        </w:rPr>
      </w:pPr>
      <w:bookmarkStart w:id="26" w:name="_Toc28209"/>
      <w:r>
        <w:rPr>
          <w:rFonts w:hint="eastAsia" w:ascii="宋体" w:hAnsi="宋体" w:cs="宋体"/>
          <w:color w:val="000000" w:themeColor="text1"/>
          <w:sz w:val="24"/>
          <w:szCs w:val="24"/>
          <w14:textFill>
            <w14:solidFill>
              <w14:schemeClr w14:val="tx1"/>
            </w14:solidFill>
          </w14:textFill>
        </w:rPr>
        <w:t>十、中小企业声明函</w:t>
      </w:r>
      <w:bookmarkEnd w:id="26"/>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7" w:name="_Toc13879"/>
      <w:r>
        <w:rPr>
          <w:rFonts w:hint="eastAsia" w:ascii="宋体" w:hAnsi="宋体" w:cs="宋体"/>
          <w:color w:val="000000" w:themeColor="text1"/>
          <w:sz w:val="24"/>
          <w14:textFill>
            <w14:solidFill>
              <w14:schemeClr w14:val="tx1"/>
            </w14:solidFill>
          </w14:textFill>
        </w:rPr>
        <w:t>十一、盐城市政府采购事前信用承诺书</w:t>
      </w:r>
      <w:bookmarkEnd w:id="27"/>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5"/>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8"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9" w:name="_Hlt26671380"/>
      <w:bookmarkEnd w:id="29"/>
      <w:bookmarkStart w:id="30" w:name="_格式3__银行出具的资信证明"/>
      <w:bookmarkEnd w:id="30"/>
      <w:bookmarkStart w:id="31" w:name="_Hlt26955070"/>
      <w:bookmarkEnd w:id="31"/>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2"/>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13422"/>
      <w:r>
        <w:rPr>
          <w:rFonts w:hint="eastAsia" w:ascii="宋体" w:hAnsi="宋体" w:cs="宋体"/>
          <w:color w:val="000000" w:themeColor="text1"/>
          <w:sz w:val="32"/>
          <w:szCs w:val="32"/>
          <w14:textFill>
            <w14:solidFill>
              <w14:schemeClr w14:val="tx1"/>
            </w14:solidFill>
          </w14:textFill>
        </w:rPr>
        <w:t>四、投标函（格式）</w:t>
      </w:r>
      <w:bookmarkEnd w:id="34"/>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5"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5"/>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6" w:name="_Toc11803"/>
      <w:bookmarkStart w:id="37" w:name="_Toc10977"/>
      <w:bookmarkStart w:id="38" w:name="_Toc13776"/>
      <w:bookmarkStart w:id="39" w:name="_Toc515647824"/>
    </w:p>
    <w:bookmarkEnd w:id="36"/>
    <w:bookmarkEnd w:id="37"/>
    <w:bookmarkEnd w:id="38"/>
    <w:bookmarkEnd w:id="39"/>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b/>
          <w:szCs w:val="24"/>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0"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40"/>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2421"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107"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kern w:val="0"/>
                <w:sz w:val="24"/>
                <w:szCs w:val="28"/>
              </w:rPr>
              <w:t>纺纱实训中心现有设备技术改造及联网/新购设备</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纺纱实训中心现有设备改造及联网</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梳棉机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经纬纺机【FA201B】</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并条机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经纬纺机【FA306】</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粗纱机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天津宏大纺机【FA458A】</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细纱机</w:t>
            </w:r>
          </w:p>
        </w:tc>
        <w:tc>
          <w:tcPr>
            <w:tcW w:w="2421"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马佐里（东台）纺机【FA207B】</w:t>
            </w:r>
          </w:p>
        </w:tc>
        <w:tc>
          <w:tcPr>
            <w:tcW w:w="850"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1902" w:type="dxa"/>
            <w:noWrap/>
            <w:vAlign w:val="center"/>
          </w:tcPr>
          <w:p>
            <w:pPr>
              <w:adjustRightInd w:val="0"/>
              <w:snapToGrid w:val="0"/>
              <w:spacing w:line="360" w:lineRule="auto"/>
              <w:jc w:val="center"/>
              <w:rPr>
                <w:rFonts w:ascii="宋体" w:hAnsi="宋体" w:cs="宋体"/>
                <w:color w:val="000000"/>
                <w:kern w:val="0"/>
              </w:rPr>
            </w:pPr>
            <w:r>
              <w:rPr>
                <w:rFonts w:hint="eastAsia" w:ascii="宋体" w:hAnsi="宋体" w:cs="宋体"/>
                <w:sz w:val="24"/>
                <w:szCs w:val="24"/>
              </w:rPr>
              <w:t>新购设备</w:t>
            </w:r>
          </w:p>
        </w:tc>
        <w:tc>
          <w:tcPr>
            <w:tcW w:w="2421" w:type="dxa"/>
            <w:noWrap/>
            <w:vAlign w:val="center"/>
          </w:tcPr>
          <w:p>
            <w:pPr>
              <w:adjustRightInd w:val="0"/>
              <w:snapToGrid w:val="0"/>
              <w:spacing w:line="360" w:lineRule="auto"/>
              <w:jc w:val="left"/>
              <w:rPr>
                <w:rFonts w:ascii="宋体" w:hAnsi="宋体" w:cs="宋体"/>
                <w:color w:val="000000"/>
                <w:kern w:val="0"/>
              </w:rPr>
            </w:pPr>
          </w:p>
        </w:tc>
        <w:tc>
          <w:tcPr>
            <w:tcW w:w="850" w:type="dxa"/>
            <w:noWrap/>
            <w:vAlign w:val="center"/>
          </w:tcPr>
          <w:p>
            <w:pPr>
              <w:adjustRightInd w:val="0"/>
              <w:snapToGrid w:val="0"/>
              <w:spacing w:line="360" w:lineRule="auto"/>
              <w:jc w:val="center"/>
              <w:rPr>
                <w:rFonts w:ascii="宋体" w:hAnsi="宋体" w:cs="宋体"/>
                <w:color w:val="000000"/>
                <w:kern w:val="0"/>
              </w:rPr>
            </w:pPr>
          </w:p>
        </w:tc>
        <w:tc>
          <w:tcPr>
            <w:tcW w:w="736" w:type="dxa"/>
            <w:noWrap/>
            <w:vAlign w:val="center"/>
          </w:tcPr>
          <w:p>
            <w:pPr>
              <w:adjustRightInd w:val="0"/>
              <w:snapToGrid w:val="0"/>
              <w:spacing w:line="360" w:lineRule="auto"/>
              <w:jc w:val="center"/>
              <w:rPr>
                <w:rFonts w:ascii="宋体" w:hAnsi="宋体" w:cs="宋体"/>
                <w:kern w:val="0"/>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核心交换机</w:t>
            </w:r>
            <w:r>
              <w:rPr>
                <w:rFonts w:hint="eastAsia" w:ascii="宋体" w:hAnsi="宋体" w:cs="宋体"/>
                <w:color w:val="000000"/>
                <w:kern w:val="0"/>
              </w:rPr>
              <w:br w:type="textWrapping"/>
            </w:r>
            <w:r>
              <w:rPr>
                <w:rFonts w:hint="eastAsia" w:ascii="宋体" w:hAnsi="宋体" w:cs="宋体"/>
                <w:color w:val="000000"/>
                <w:kern w:val="0"/>
              </w:rPr>
              <w:t>MS4320S-28P</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交换容量：336Gbps</w:t>
            </w:r>
            <w:r>
              <w:rPr>
                <w:rFonts w:hint="eastAsia" w:ascii="宋体" w:hAnsi="宋体" w:cs="宋体"/>
                <w:color w:val="000000"/>
                <w:kern w:val="0"/>
              </w:rPr>
              <w:br w:type="textWrapping"/>
            </w:r>
            <w:r>
              <w:rPr>
                <w:rFonts w:hint="eastAsia" w:ascii="宋体" w:hAnsi="宋体" w:cs="宋体"/>
                <w:color w:val="000000"/>
                <w:kern w:val="0"/>
              </w:rPr>
              <w:t>包转发率：144Mpps</w:t>
            </w:r>
            <w:r>
              <w:rPr>
                <w:rFonts w:hint="eastAsia" w:ascii="宋体" w:hAnsi="宋体" w:cs="宋体"/>
                <w:color w:val="000000"/>
                <w:kern w:val="0"/>
              </w:rPr>
              <w:br w:type="textWrapping"/>
            </w:r>
            <w:r>
              <w:rPr>
                <w:rFonts w:hint="eastAsia" w:ascii="宋体" w:hAnsi="宋体" w:cs="宋体"/>
                <w:color w:val="000000"/>
                <w:kern w:val="0"/>
              </w:rPr>
              <w:t>24个100/1000BASE-X</w:t>
            </w:r>
            <w:r>
              <w:rPr>
                <w:rFonts w:ascii="宋体" w:hAnsi="宋体" w:cs="宋体"/>
                <w:color w:val="000000"/>
                <w:kern w:val="0"/>
              </w:rPr>
              <w:t xml:space="preserve"> </w:t>
            </w:r>
            <w:r>
              <w:rPr>
                <w:rFonts w:hint="eastAsia" w:ascii="宋体" w:hAnsi="宋体" w:cs="宋体"/>
                <w:color w:val="000000"/>
                <w:kern w:val="0"/>
              </w:rPr>
              <w:t>端口，8个10/100/1000BASE-T Combo 口，4个1000 BASE-X SFP端口，含电源；</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AP</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2</w:t>
            </w:r>
            <w:r>
              <w:rPr>
                <w:rFonts w:ascii="宋体" w:hAnsi="宋体" w:cs="宋体"/>
                <w:color w:val="000000"/>
                <w:kern w:val="0"/>
              </w:rPr>
              <w:t>.4</w:t>
            </w:r>
            <w:r>
              <w:rPr>
                <w:rFonts w:hint="eastAsia" w:ascii="宋体" w:hAnsi="宋体" w:cs="宋体"/>
                <w:color w:val="000000"/>
                <w:kern w:val="0"/>
              </w:rPr>
              <w:t>G</w:t>
            </w:r>
            <w:r>
              <w:rPr>
                <w:rFonts w:ascii="宋体" w:hAnsi="宋体" w:cs="宋体"/>
                <w:color w:val="000000"/>
                <w:kern w:val="0"/>
              </w:rPr>
              <w:t>/5G</w:t>
            </w:r>
            <w:r>
              <w:rPr>
                <w:rFonts w:hint="eastAsia" w:ascii="宋体" w:hAnsi="宋体" w:cs="宋体"/>
                <w:color w:val="000000"/>
                <w:kern w:val="0"/>
              </w:rPr>
              <w:t>双频，3</w:t>
            </w:r>
            <w:r>
              <w:rPr>
                <w:rFonts w:ascii="宋体" w:hAnsi="宋体" w:cs="宋体"/>
                <w:color w:val="000000"/>
                <w:kern w:val="0"/>
              </w:rPr>
              <w:t>2</w:t>
            </w:r>
            <w:r>
              <w:rPr>
                <w:rFonts w:hint="eastAsia" w:ascii="宋体" w:hAnsi="宋体" w:cs="宋体"/>
                <w:color w:val="000000"/>
                <w:kern w:val="0"/>
              </w:rPr>
              <w:t>个端，8</w:t>
            </w:r>
            <w:r>
              <w:rPr>
                <w:rFonts w:ascii="宋体" w:hAnsi="宋体" w:cs="宋体"/>
                <w:color w:val="000000"/>
                <w:kern w:val="0"/>
              </w:rPr>
              <w:t>02.11</w:t>
            </w:r>
            <w:r>
              <w:rPr>
                <w:rFonts w:hint="eastAsia" w:ascii="宋体" w:hAnsi="宋体" w:cs="宋体"/>
                <w:color w:val="000000"/>
                <w:kern w:val="0"/>
              </w:rPr>
              <w:t>a/b</w:t>
            </w:r>
            <w:r>
              <w:rPr>
                <w:rFonts w:ascii="宋体" w:hAnsi="宋体" w:cs="宋体"/>
                <w:color w:val="000000"/>
                <w:kern w:val="0"/>
              </w:rPr>
              <w:t>/</w:t>
            </w:r>
            <w:r>
              <w:rPr>
                <w:rFonts w:hint="eastAsia" w:ascii="宋体" w:hAnsi="宋体" w:cs="宋体"/>
                <w:color w:val="000000"/>
                <w:kern w:val="0"/>
              </w:rPr>
              <w:t>g</w:t>
            </w:r>
            <w:r>
              <w:rPr>
                <w:rFonts w:ascii="宋体" w:hAnsi="宋体" w:cs="宋体"/>
                <w:color w:val="000000"/>
                <w:kern w:val="0"/>
              </w:rPr>
              <w:t>/</w:t>
            </w:r>
            <w:r>
              <w:rPr>
                <w:rFonts w:hint="eastAsia" w:ascii="宋体" w:hAnsi="宋体" w:cs="宋体"/>
                <w:color w:val="000000"/>
                <w:kern w:val="0"/>
              </w:rPr>
              <w:t>n</w:t>
            </w:r>
            <w:r>
              <w:rPr>
                <w:rFonts w:ascii="宋体" w:hAnsi="宋体" w:cs="宋体"/>
                <w:color w:val="000000"/>
                <w:kern w:val="0"/>
              </w:rPr>
              <w:t>/</w:t>
            </w:r>
            <w:r>
              <w:rPr>
                <w:rFonts w:hint="eastAsia" w:ascii="宋体" w:hAnsi="宋体" w:cs="宋体"/>
                <w:color w:val="000000"/>
                <w:kern w:val="0"/>
              </w:rPr>
              <w:t>ac</w:t>
            </w:r>
            <w:r>
              <w:rPr>
                <w:rFonts w:ascii="宋体" w:hAnsi="宋体" w:cs="宋体"/>
                <w:color w:val="000000"/>
                <w:kern w:val="0"/>
              </w:rPr>
              <w:t>/</w:t>
            </w:r>
            <w:r>
              <w:rPr>
                <w:rFonts w:hint="eastAsia" w:ascii="宋体" w:hAnsi="宋体" w:cs="宋体"/>
                <w:color w:val="000000"/>
                <w:kern w:val="0"/>
              </w:rPr>
              <w:t>ax</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kern w:val="0"/>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无线接入点</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RS</w:t>
            </w:r>
            <w:r>
              <w:rPr>
                <w:rFonts w:ascii="宋体" w:hAnsi="宋体" w:cs="宋体"/>
                <w:color w:val="000000"/>
                <w:kern w:val="0"/>
              </w:rPr>
              <w:t>232/</w:t>
            </w:r>
            <w:r>
              <w:rPr>
                <w:rFonts w:hint="eastAsia" w:ascii="宋体" w:hAnsi="宋体" w:cs="宋体"/>
                <w:color w:val="000000"/>
                <w:kern w:val="0"/>
              </w:rPr>
              <w:t>485转单网口WIFI转换器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kern w:val="0"/>
              </w:rPr>
              <w:t>10</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电子看板</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kern w:val="0"/>
              </w:rPr>
              <w:t>80寸LCD显示器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看板解码器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kern w:val="0"/>
              </w:rPr>
              <w:t>UNO-2271G 4核CPU，4G，32GSSD，HDMI</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触摸式一体机</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4核CPU,4G,64G,21.5寸，工业无风扇全密闭一体式</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边缘计算器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I5，8G，1T工业计算机</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个</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温湿度传感器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SOC2-TH-210</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2</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智能电表AMC16</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kern w:val="0"/>
              </w:rPr>
              <w:t>智能三相12路电表</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kern w:val="0"/>
              </w:rPr>
              <w:t>3</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电流互感器</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kern w:val="0"/>
              </w:rPr>
              <w:t>AKH-0.66-W-20 100/20mA</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个</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30</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采集网关</w:t>
            </w:r>
          </w:p>
        </w:tc>
        <w:tc>
          <w:tcPr>
            <w:tcW w:w="2421" w:type="dxa"/>
            <w:noWrap/>
            <w:vAlign w:val="center"/>
          </w:tcPr>
          <w:p>
            <w:pPr>
              <w:adjustRightInd w:val="0"/>
              <w:snapToGrid w:val="0"/>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协议转发装置TIS-GA</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台</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ascii="宋体" w:hAnsi="宋体" w:cs="宋体"/>
                <w:kern w:val="0"/>
              </w:rPr>
              <w:t>4</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kern w:val="0"/>
              </w:rPr>
              <w:t>辅材</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CAT6、线缆、辅材等线缆辅材</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批</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kern w:val="0"/>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虚拟制造中心构建及模拟运行</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设备在线监控模拟系统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车间看板系统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智能驾驶舱系统</w:t>
            </w: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模块</w:t>
            </w: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rFonts w:ascii="宋体" w:hAnsi="宋体" w:cs="宋体"/>
          <w:color w:val="000000" w:themeColor="text1"/>
          <w:sz w:val="32"/>
          <w:szCs w:val="32"/>
          <w14:textFill>
            <w14:solidFill>
              <w14:schemeClr w14:val="tx1"/>
            </w14:solidFill>
          </w14:textFill>
        </w:rPr>
      </w:pPr>
      <w:bookmarkStart w:id="41" w:name="_Hlt26955054"/>
      <w:bookmarkEnd w:id="41"/>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2"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2"/>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3"/>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4" w:name="_Hlt26671374"/>
      <w:bookmarkEnd w:id="44"/>
      <w:bookmarkStart w:id="45" w:name="_Hlt26955056"/>
      <w:bookmarkEnd w:id="45"/>
      <w:bookmarkStart w:id="46" w:name="_Hlt24879081"/>
      <w:bookmarkEnd w:id="46"/>
      <w:bookmarkStart w:id="47" w:name="_Hlt26671372"/>
      <w:bookmarkEnd w:id="47"/>
      <w:bookmarkStart w:id="48" w:name="_Hlt26782999"/>
      <w:bookmarkEnd w:id="48"/>
      <w:bookmarkStart w:id="49" w:name="_Hlt26609389"/>
      <w:bookmarkEnd w:id="49"/>
      <w:bookmarkStart w:id="50" w:name="_Hlt26580838"/>
      <w:bookmarkEnd w:id="50"/>
      <w:bookmarkStart w:id="51" w:name="_Hlt26955066"/>
      <w:bookmarkEnd w:id="51"/>
      <w:bookmarkStart w:id="52" w:name="_Hlt26671343"/>
      <w:bookmarkEnd w:id="52"/>
      <w:bookmarkStart w:id="53" w:name="_Hlt26955064"/>
      <w:bookmarkEnd w:id="53"/>
      <w:bookmarkStart w:id="54" w:name="_Hlt26609391"/>
      <w:bookmarkEnd w:id="54"/>
      <w:bookmarkStart w:id="55"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6" w:name="_Toc8363"/>
      <w:r>
        <w:rPr>
          <w:rFonts w:hint="eastAsia" w:ascii="宋体" w:hAnsi="宋体" w:cs="宋体"/>
          <w:color w:val="000000" w:themeColor="text1"/>
          <w:sz w:val="32"/>
          <w:szCs w:val="32"/>
          <w14:textFill>
            <w14:solidFill>
              <w14:schemeClr w14:val="tx1"/>
            </w14:solidFill>
          </w14:textFill>
        </w:rPr>
        <w:t>九、技术方案、服务承诺等</w:t>
      </w:r>
      <w:bookmarkEnd w:id="55"/>
      <w:bookmarkEnd w:id="56"/>
      <w:bookmarkStart w:id="57" w:name="_格式2__法定代表人授权书"/>
      <w:bookmarkEnd w:id="57"/>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numPr>
          <w:ilvl w:val="0"/>
          <w:numId w:val="6"/>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8"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8"/>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1790"/>
      <w:r>
        <w:rPr>
          <w:rFonts w:hint="eastAsia" w:ascii="宋体" w:hAnsi="宋体" w:cs="宋体"/>
          <w:color w:val="000000" w:themeColor="text1"/>
          <w:sz w:val="24"/>
          <w:szCs w:val="24"/>
          <w14:textFill>
            <w14:solidFill>
              <w14:schemeClr w14:val="tx1"/>
            </w14:solidFill>
          </w14:textFill>
        </w:rPr>
        <w:t>法定代表人签名：</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27882"/>
      <w:r>
        <w:rPr>
          <w:rFonts w:hint="eastAsia" w:ascii="宋体" w:hAnsi="宋体" w:cs="宋体"/>
          <w:color w:val="000000" w:themeColor="text1"/>
          <w:sz w:val="24"/>
          <w:szCs w:val="24"/>
          <w14:textFill>
            <w14:solidFill>
              <w14:schemeClr w14:val="tx1"/>
            </w14:solidFill>
          </w14:textFill>
        </w:rPr>
        <w:t>单位名称（盖章）：</w:t>
      </w:r>
      <w:bookmarkEnd w:id="6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1" w:name="_Toc385"/>
      <w:r>
        <w:rPr>
          <w:rFonts w:hint="eastAsia" w:ascii="宋体" w:hAnsi="宋体" w:cs="宋体"/>
          <w:color w:val="000000" w:themeColor="text1"/>
          <w:sz w:val="24"/>
          <w:szCs w:val="24"/>
          <w14:textFill>
            <w14:solidFill>
              <w14:schemeClr w14:val="tx1"/>
            </w14:solidFill>
          </w14:textFill>
        </w:rPr>
        <w:t>年    月    日</w:t>
      </w:r>
      <w:bookmarkEnd w:id="61"/>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yemj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WZFYYa/qTGwD7ByPLlah0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J6aP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2023-010W招标文件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2023-010W招标文件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2023-0</w:t>
    </w:r>
    <w:r>
      <w:rPr>
        <w:rFonts w:hint="eastAsia" w:ascii="Times New Roman" w:hAnsi="Times New Roman" w:eastAsia="隶书" w:cs="Times New Roman"/>
        <w:spacing w:val="40"/>
        <w:kern w:val="2"/>
        <w:sz w:val="21"/>
        <w:lang w:val="en-US" w:eastAsia="zh-CN"/>
      </w:rPr>
      <w:t>10</w:t>
    </w:r>
    <w:r>
      <w:rPr>
        <w:rFonts w:hint="eastAsia" w:ascii="Times New Roman" w:hAnsi="Times New Roman" w:eastAsia="隶书" w:cs="Times New Roman"/>
        <w:spacing w:val="40"/>
        <w:kern w:val="2"/>
        <w:sz w:val="21"/>
      </w:rPr>
      <w:t>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2022-000W招标文件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5521"/>
    <w:rsid w:val="002800DE"/>
    <w:rsid w:val="002A07A1"/>
    <w:rsid w:val="002C41D3"/>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72F8"/>
    <w:rsid w:val="004A24CE"/>
    <w:rsid w:val="004C48B9"/>
    <w:rsid w:val="004D0D5A"/>
    <w:rsid w:val="004D2539"/>
    <w:rsid w:val="004D2FC9"/>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945B7"/>
    <w:rsid w:val="00CB1BB5"/>
    <w:rsid w:val="00CC6812"/>
    <w:rsid w:val="00CC72B1"/>
    <w:rsid w:val="00D358BD"/>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FC324B"/>
    <w:rsid w:val="0AE41970"/>
    <w:rsid w:val="0BA17C72"/>
    <w:rsid w:val="0D7B4325"/>
    <w:rsid w:val="0E261538"/>
    <w:rsid w:val="0F5541A7"/>
    <w:rsid w:val="10837167"/>
    <w:rsid w:val="11195798"/>
    <w:rsid w:val="11C53F90"/>
    <w:rsid w:val="11F94916"/>
    <w:rsid w:val="12082FD7"/>
    <w:rsid w:val="13165211"/>
    <w:rsid w:val="134F427F"/>
    <w:rsid w:val="1394626A"/>
    <w:rsid w:val="15376E13"/>
    <w:rsid w:val="15EB1115"/>
    <w:rsid w:val="18041C24"/>
    <w:rsid w:val="190453A1"/>
    <w:rsid w:val="19B05279"/>
    <w:rsid w:val="19D21F7E"/>
    <w:rsid w:val="1B2A6182"/>
    <w:rsid w:val="1B336F50"/>
    <w:rsid w:val="1B7B3068"/>
    <w:rsid w:val="1BC2228E"/>
    <w:rsid w:val="1BCB2C50"/>
    <w:rsid w:val="1C4A5552"/>
    <w:rsid w:val="1C9B22E3"/>
    <w:rsid w:val="1DA73FC9"/>
    <w:rsid w:val="1DEF65CF"/>
    <w:rsid w:val="1E9675D8"/>
    <w:rsid w:val="1EBA0E38"/>
    <w:rsid w:val="1F2B6305"/>
    <w:rsid w:val="20D6799C"/>
    <w:rsid w:val="21F8049E"/>
    <w:rsid w:val="230A6FF9"/>
    <w:rsid w:val="23B833C4"/>
    <w:rsid w:val="24313F27"/>
    <w:rsid w:val="24B6415E"/>
    <w:rsid w:val="25593628"/>
    <w:rsid w:val="2580449D"/>
    <w:rsid w:val="25963607"/>
    <w:rsid w:val="27845BBD"/>
    <w:rsid w:val="27C52CB5"/>
    <w:rsid w:val="27F35805"/>
    <w:rsid w:val="2805529A"/>
    <w:rsid w:val="284E1359"/>
    <w:rsid w:val="28DC1054"/>
    <w:rsid w:val="2C8D1691"/>
    <w:rsid w:val="2D65606C"/>
    <w:rsid w:val="2EB102D0"/>
    <w:rsid w:val="2ED17DCD"/>
    <w:rsid w:val="2EFB2475"/>
    <w:rsid w:val="2F1F4980"/>
    <w:rsid w:val="3076600E"/>
    <w:rsid w:val="307F7677"/>
    <w:rsid w:val="31176B77"/>
    <w:rsid w:val="35877A81"/>
    <w:rsid w:val="3744261E"/>
    <w:rsid w:val="3872122D"/>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61012F9"/>
    <w:rsid w:val="468F36CE"/>
    <w:rsid w:val="472C4FB8"/>
    <w:rsid w:val="477544A9"/>
    <w:rsid w:val="488F2B38"/>
    <w:rsid w:val="4ABE6E0A"/>
    <w:rsid w:val="4CDF4FD7"/>
    <w:rsid w:val="4D2F7C0C"/>
    <w:rsid w:val="4D8959A6"/>
    <w:rsid w:val="4E703810"/>
    <w:rsid w:val="4FEA69E5"/>
    <w:rsid w:val="534665F2"/>
    <w:rsid w:val="53582700"/>
    <w:rsid w:val="53D00760"/>
    <w:rsid w:val="53DB1BAB"/>
    <w:rsid w:val="54C806C5"/>
    <w:rsid w:val="5B570B4A"/>
    <w:rsid w:val="5C01420A"/>
    <w:rsid w:val="5C172F4C"/>
    <w:rsid w:val="5C2B17E4"/>
    <w:rsid w:val="5C2B35EA"/>
    <w:rsid w:val="5CAB212A"/>
    <w:rsid w:val="5D51151E"/>
    <w:rsid w:val="5E284F41"/>
    <w:rsid w:val="5FE20012"/>
    <w:rsid w:val="60FB0A31"/>
    <w:rsid w:val="620339A9"/>
    <w:rsid w:val="620E4996"/>
    <w:rsid w:val="622D342E"/>
    <w:rsid w:val="623936FD"/>
    <w:rsid w:val="6303194F"/>
    <w:rsid w:val="63483C8F"/>
    <w:rsid w:val="63E27DDC"/>
    <w:rsid w:val="650125BE"/>
    <w:rsid w:val="67E64767"/>
    <w:rsid w:val="681206DC"/>
    <w:rsid w:val="687674CE"/>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B2D3BB7"/>
    <w:rsid w:val="7B4231CA"/>
    <w:rsid w:val="7B545202"/>
    <w:rsid w:val="7C14555E"/>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6">
    <w:name w:val="Normal Indent"/>
    <w:basedOn w:val="1"/>
    <w:qFormat/>
    <w:uiPriority w:val="0"/>
    <w:pPr>
      <w:ind w:firstLine="420"/>
    </w:p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8"/>
    <w:next w:val="2"/>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50</Pages>
  <Words>20119</Words>
  <Characters>21676</Characters>
  <Lines>183</Lines>
  <Paragraphs>51</Paragraphs>
  <TotalTime>2</TotalTime>
  <ScaleCrop>false</ScaleCrop>
  <LinksUpToDate>false</LinksUpToDate>
  <CharactersWithSpaces>23838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2023-04-20T03:06:00Z</dcterms:created>
  <dc:creator>Administrator</dc:creator>
  <cp:lastModifiedBy>城市里的追梦人</cp:lastModifiedBy>
  <cp:lastPrinted>2022-11-29T08:36:00Z</cp:lastPrinted>
  <dcterms:modified xsi:type="dcterms:W3CDTF">2023-07-03T06:27:11Z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B9874D12A6404BA5B0BB5A2134BECC32_13</vt:lpwstr>
  </property>
</Properties>
</file>