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line="300" w:lineRule="auto"/>
        <w:rPr>
          <w:b/>
          <w:color w:val="000000" w:themeColor="text1"/>
          <w:sz w:val="84"/>
          <w:szCs w:val="21"/>
          <w14:textFill>
            <w14:solidFill>
              <w14:schemeClr w14:val="tx1"/>
            </w14:solidFill>
          </w14:textFill>
        </w:rPr>
      </w:pPr>
    </w:p>
    <w:p>
      <w:pPr>
        <w:spacing w:before="120" w:after="120" w:line="300" w:lineRule="auto"/>
        <w:jc w:val="center"/>
        <w:rPr>
          <w:b/>
          <w:color w:val="000000" w:themeColor="text1"/>
          <w:sz w:val="84"/>
          <w:szCs w:val="21"/>
          <w14:textFill>
            <w14:solidFill>
              <w14:schemeClr w14:val="tx1"/>
            </w14:solidFill>
          </w14:textFill>
        </w:rPr>
      </w:pPr>
      <w:r>
        <w:rPr>
          <w:rFonts w:hint="eastAsia" w:ascii="方正小标宋_GBK" w:hAnsi="方正小标宋_GBK" w:eastAsia="方正小标宋_GBK" w:cs="方正小标宋_GBK"/>
          <w:color w:val="000000" w:themeColor="text1"/>
          <w:sz w:val="84"/>
          <w14:textFill>
            <w14:solidFill>
              <w14:schemeClr w14:val="tx1"/>
            </w14:solidFill>
          </w14:textFill>
        </w:rPr>
        <w:t>询 价 文 件</w:t>
      </w:r>
    </w:p>
    <w:p>
      <w:pPr>
        <w:spacing w:line="300" w:lineRule="auto"/>
        <w:rPr>
          <w:b/>
          <w:bCs/>
          <w:color w:val="000000" w:themeColor="text1"/>
          <w:sz w:val="28"/>
          <w14:textFill>
            <w14:solidFill>
              <w14:schemeClr w14:val="tx1"/>
            </w14:solidFill>
          </w14:textFill>
        </w:rPr>
      </w:pPr>
    </w:p>
    <w:p>
      <w:pPr>
        <w:spacing w:line="300" w:lineRule="auto"/>
        <w:jc w:val="center"/>
        <w:rPr>
          <w:b/>
          <w:bCs/>
          <w:color w:val="000000" w:themeColor="text1"/>
          <w:sz w:val="28"/>
          <w14:textFill>
            <w14:solidFill>
              <w14:schemeClr w14:val="tx1"/>
            </w14:solidFill>
          </w14:textFill>
        </w:rPr>
      </w:pPr>
    </w:p>
    <w:p>
      <w:pPr>
        <w:spacing w:line="300" w:lineRule="auto"/>
        <w:jc w:val="center"/>
        <w:rPr>
          <w:b/>
          <w:bCs/>
          <w:color w:val="000000" w:themeColor="text1"/>
          <w:sz w:val="28"/>
          <w14:textFill>
            <w14:solidFill>
              <w14:schemeClr w14:val="tx1"/>
            </w14:solidFill>
          </w14:textFill>
        </w:rPr>
      </w:pPr>
    </w:p>
    <w:p>
      <w:pPr>
        <w:spacing w:line="300" w:lineRule="auto"/>
        <w:jc w:val="center"/>
        <w:rPr>
          <w:b/>
          <w:bCs/>
          <w:color w:val="000000" w:themeColor="text1"/>
          <w:sz w:val="28"/>
          <w14:textFill>
            <w14:solidFill>
              <w14:schemeClr w14:val="tx1"/>
            </w14:solidFill>
          </w14:textFill>
        </w:rPr>
      </w:pPr>
    </w:p>
    <w:p>
      <w:pPr>
        <w:ind w:left="2884" w:leftChars="513" w:hanging="1807" w:hangingChars="500"/>
        <w:rPr>
          <w:rFonts w:ascii="宋体"/>
          <w:b/>
          <w:color w:val="000000" w:themeColor="text1"/>
          <w:sz w:val="36"/>
          <w14:textFill>
            <w14:solidFill>
              <w14:schemeClr w14:val="tx1"/>
            </w14:solidFill>
          </w14:textFill>
        </w:rPr>
      </w:pPr>
      <w:r>
        <w:rPr>
          <w:rFonts w:hint="eastAsia" w:ascii="宋体"/>
          <w:b/>
          <w:color w:val="000000" w:themeColor="text1"/>
          <w:sz w:val="36"/>
          <w14:textFill>
            <w14:solidFill>
              <w14:schemeClr w14:val="tx1"/>
            </w14:solidFill>
          </w14:textFill>
        </w:rPr>
        <w:t>项目名称：盐城工业职业技术学院建筑工程学院技能大赛电脑显卡、电源、固态硬盘升级设备</w:t>
      </w:r>
    </w:p>
    <w:p>
      <w:pPr>
        <w:ind w:firstLine="964" w:firstLineChars="300"/>
        <w:jc w:val="center"/>
        <w:rPr>
          <w:rFonts w:eastAsia="黑体"/>
          <w:b/>
          <w:color w:val="000000" w:themeColor="text1"/>
          <w:sz w:val="32"/>
          <w14:textFill>
            <w14:solidFill>
              <w14:schemeClr w14:val="tx1"/>
            </w14:solidFill>
          </w14:textFill>
        </w:rPr>
      </w:pPr>
    </w:p>
    <w:p>
      <w:pPr>
        <w:ind w:firstLine="964" w:firstLineChars="300"/>
        <w:jc w:val="center"/>
        <w:rPr>
          <w:rFonts w:eastAsia="黑体"/>
          <w:b/>
          <w:color w:val="000000" w:themeColor="text1"/>
          <w:sz w:val="32"/>
          <w14:textFill>
            <w14:solidFill>
              <w14:schemeClr w14:val="tx1"/>
            </w14:solidFill>
          </w14:textFill>
        </w:rPr>
      </w:pPr>
    </w:p>
    <w:p>
      <w:pPr>
        <w:ind w:firstLine="1084" w:firstLineChars="300"/>
        <w:rPr>
          <w:rFonts w:ascii="宋体"/>
          <w:b/>
          <w:color w:val="000000" w:themeColor="text1"/>
          <w:sz w:val="30"/>
          <w:szCs w:val="30"/>
          <w14:textFill>
            <w14:solidFill>
              <w14:schemeClr w14:val="tx1"/>
            </w14:solidFill>
          </w14:textFill>
        </w:rPr>
      </w:pPr>
      <w:r>
        <w:rPr>
          <w:rFonts w:hint="eastAsia" w:ascii="宋体"/>
          <w:b/>
          <w:color w:val="000000" w:themeColor="text1"/>
          <w:sz w:val="36"/>
          <w:szCs w:val="36"/>
          <w14:textFill>
            <w14:solidFill>
              <w14:schemeClr w14:val="tx1"/>
            </w14:solidFill>
          </w14:textFill>
        </w:rPr>
        <w:t>项</w:t>
      </w:r>
      <w:r>
        <w:rPr>
          <w:rFonts w:hint="eastAsia" w:ascii="宋体" w:hAnsi="宋体" w:cs="宋体"/>
          <w:b/>
          <w:color w:val="000000" w:themeColor="text1"/>
          <w:sz w:val="36"/>
          <w:szCs w:val="36"/>
          <w14:textFill>
            <w14:solidFill>
              <w14:schemeClr w14:val="tx1"/>
            </w14:solidFill>
          </w14:textFill>
        </w:rPr>
        <w:t>目编号：2023F-04</w:t>
      </w:r>
      <w:r>
        <w:rPr>
          <w:rFonts w:hint="eastAsia" w:ascii="宋体" w:hAnsi="宋体" w:cs="宋体"/>
          <w:b/>
          <w:color w:val="000000" w:themeColor="text1"/>
          <w:sz w:val="36"/>
          <w:szCs w:val="36"/>
          <w:lang w:val="en-US" w:eastAsia="zh-CN"/>
          <w14:textFill>
            <w14:solidFill>
              <w14:schemeClr w14:val="tx1"/>
            </w14:solidFill>
          </w14:textFill>
        </w:rPr>
        <w:t>4</w:t>
      </w:r>
      <w:r>
        <w:rPr>
          <w:rFonts w:hint="eastAsia" w:ascii="宋体" w:hAnsi="宋体" w:cs="宋体"/>
          <w:b/>
          <w:color w:val="000000" w:themeColor="text1"/>
          <w:sz w:val="36"/>
          <w:szCs w:val="36"/>
          <w14:textFill>
            <w14:solidFill>
              <w14:schemeClr w14:val="tx1"/>
            </w14:solidFill>
          </w14:textFill>
        </w:rPr>
        <w:t xml:space="preserve">              </w:t>
      </w:r>
    </w:p>
    <w:p>
      <w:pPr>
        <w:rPr>
          <w:rFonts w:ascii="宋体"/>
          <w:b/>
          <w:color w:val="000000" w:themeColor="text1"/>
          <w:sz w:val="32"/>
          <w14:textFill>
            <w14:solidFill>
              <w14:schemeClr w14:val="tx1"/>
            </w14:solidFill>
          </w14:textFill>
        </w:rPr>
      </w:pPr>
    </w:p>
    <w:p>
      <w:pPr>
        <w:rPr>
          <w:rFonts w:ascii="宋体"/>
          <w:b/>
          <w:color w:val="000000" w:themeColor="text1"/>
          <w:sz w:val="32"/>
          <w14:textFill>
            <w14:solidFill>
              <w14:schemeClr w14:val="tx1"/>
            </w14:solidFill>
          </w14:textFill>
        </w:rPr>
      </w:pPr>
    </w:p>
    <w:p>
      <w:pPr>
        <w:rPr>
          <w:rFonts w:ascii="宋体"/>
          <w:b/>
          <w:color w:val="000000" w:themeColor="text1"/>
          <w:sz w:val="32"/>
          <w14:textFill>
            <w14:solidFill>
              <w14:schemeClr w14:val="tx1"/>
            </w14:solidFill>
          </w14:textFill>
        </w:rPr>
      </w:pPr>
    </w:p>
    <w:p>
      <w:pPr>
        <w:pStyle w:val="194"/>
        <w:rPr>
          <w:color w:val="000000" w:themeColor="text1"/>
          <w14:textFill>
            <w14:solidFill>
              <w14:schemeClr w14:val="tx1"/>
            </w14:solidFill>
          </w14:textFill>
        </w:rPr>
      </w:pPr>
    </w:p>
    <w:p>
      <w:pPr>
        <w:pStyle w:val="194"/>
        <w:rPr>
          <w:color w:val="000000" w:themeColor="text1"/>
          <w14:textFill>
            <w14:solidFill>
              <w14:schemeClr w14:val="tx1"/>
            </w14:solidFill>
          </w14:textFill>
        </w:rPr>
      </w:pPr>
    </w:p>
    <w:p>
      <w:pPr>
        <w:rPr>
          <w:rFonts w:ascii="宋体"/>
          <w:b/>
          <w:color w:val="000000" w:themeColor="text1"/>
          <w:sz w:val="32"/>
          <w14:textFill>
            <w14:solidFill>
              <w14:schemeClr w14:val="tx1"/>
            </w14:solidFill>
          </w14:textFill>
        </w:rPr>
      </w:pPr>
    </w:p>
    <w:p>
      <w:pPr>
        <w:rPr>
          <w:rFonts w:ascii="宋体"/>
          <w:b/>
          <w:color w:val="000000" w:themeColor="text1"/>
          <w:sz w:val="32"/>
          <w14:textFill>
            <w14:solidFill>
              <w14:schemeClr w14:val="tx1"/>
            </w14:solidFill>
          </w14:textFill>
        </w:rPr>
      </w:pPr>
    </w:p>
    <w:p>
      <w:pPr>
        <w:spacing w:after="240" w:afterLines="100" w:line="360" w:lineRule="auto"/>
        <w:jc w:val="center"/>
        <w:rPr>
          <w:rStyle w:val="239"/>
          <w:rFonts w:ascii="宋体" w:hAnsi="宋体" w:cs="宋体"/>
          <w:bCs/>
          <w:color w:val="000000" w:themeColor="text1"/>
          <w:sz w:val="30"/>
          <w:szCs w:val="30"/>
          <w14:textFill>
            <w14:solidFill>
              <w14:schemeClr w14:val="tx1"/>
            </w14:solidFill>
          </w14:textFill>
        </w:rPr>
      </w:pPr>
      <w:r>
        <w:rPr>
          <w:rStyle w:val="239"/>
          <w:rFonts w:hint="eastAsia" w:ascii="宋体" w:hAnsi="宋体" w:cs="宋体"/>
          <w:bCs/>
          <w:color w:val="000000" w:themeColor="text1"/>
          <w:sz w:val="30"/>
          <w:szCs w:val="30"/>
          <w14:textFill>
            <w14:solidFill>
              <w14:schemeClr w14:val="tx1"/>
            </w14:solidFill>
          </w14:textFill>
        </w:rPr>
        <w:t>采购人：盐城工业职业技术学院</w:t>
      </w:r>
    </w:p>
    <w:p>
      <w:pPr>
        <w:pStyle w:val="15"/>
        <w:spacing w:line="360" w:lineRule="auto"/>
        <w:ind w:left="0" w:leftChars="0" w:right="0" w:rightChars="0"/>
        <w:jc w:val="center"/>
        <w:rPr>
          <w:rStyle w:val="239"/>
          <w:rFonts w:ascii="宋体" w:hAnsi="宋体" w:cs="宋体"/>
          <w:bCs/>
          <w:color w:val="000000" w:themeColor="text1"/>
          <w:sz w:val="30"/>
          <w:szCs w:val="30"/>
          <w14:textFill>
            <w14:solidFill>
              <w14:schemeClr w14:val="tx1"/>
            </w14:solidFill>
          </w14:textFill>
        </w:rPr>
      </w:pPr>
      <w:r>
        <w:rPr>
          <w:rStyle w:val="239"/>
          <w:rFonts w:hint="eastAsia" w:ascii="宋体" w:hAnsi="宋体" w:cs="宋体"/>
          <w:bCs/>
          <w:color w:val="000000" w:themeColor="text1"/>
          <w:sz w:val="30"/>
          <w:szCs w:val="30"/>
          <w14:textFill>
            <w14:solidFill>
              <w14:schemeClr w14:val="tx1"/>
            </w14:solidFill>
          </w14:textFill>
        </w:rPr>
        <w:t>代理人：江苏建博工程管理咨询有限公司</w:t>
      </w:r>
    </w:p>
    <w:p>
      <w:pPr>
        <w:pStyle w:val="216"/>
        <w:widowControl w:val="0"/>
        <w:spacing w:before="120" w:beforeAutospacing="0" w:after="120" w:afterAutospacing="0" w:line="500" w:lineRule="exact"/>
        <w:jc w:val="center"/>
        <w:rPr>
          <w:rFonts w:ascii="黑体" w:hAnsi="黑体" w:eastAsia="黑体" w:cs="黑体"/>
          <w:bCs/>
          <w:color w:val="000000" w:themeColor="text1"/>
          <w:spacing w:val="15"/>
          <w:sz w:val="36"/>
          <w:szCs w:val="36"/>
          <w14:textFill>
            <w14:solidFill>
              <w14:schemeClr w14:val="tx1"/>
            </w14:solidFill>
          </w14:textFill>
        </w:rPr>
      </w:pPr>
    </w:p>
    <w:p>
      <w:pPr>
        <w:pStyle w:val="216"/>
        <w:widowControl w:val="0"/>
        <w:spacing w:before="120" w:beforeAutospacing="0" w:after="120" w:afterAutospacing="0" w:line="500" w:lineRule="exact"/>
        <w:jc w:val="center"/>
        <w:rPr>
          <w:bCs/>
          <w:color w:val="000000" w:themeColor="text1"/>
          <w:spacing w:val="15"/>
          <w:sz w:val="30"/>
          <w:szCs w:val="30"/>
          <w14:textFill>
            <w14:solidFill>
              <w14:schemeClr w14:val="tx1"/>
            </w14:solidFill>
          </w14:textFill>
        </w:rPr>
      </w:pPr>
      <w:r>
        <w:rPr>
          <w:rFonts w:hint="eastAsia"/>
          <w:bCs/>
          <w:color w:val="000000" w:themeColor="text1"/>
          <w:spacing w:val="15"/>
          <w:sz w:val="30"/>
          <w:szCs w:val="30"/>
          <w14:textFill>
            <w14:solidFill>
              <w14:schemeClr w14:val="tx1"/>
            </w14:solidFill>
          </w14:textFill>
        </w:rPr>
        <w:t>2023年12月</w:t>
      </w:r>
      <w:r>
        <w:rPr>
          <w:rFonts w:hint="eastAsia"/>
          <w:bCs/>
          <w:color w:val="000000" w:themeColor="text1"/>
          <w:spacing w:val="15"/>
          <w:sz w:val="30"/>
          <w:szCs w:val="30"/>
          <w:lang w:val="en-US" w:eastAsia="zh-CN"/>
          <w14:textFill>
            <w14:solidFill>
              <w14:schemeClr w14:val="tx1"/>
            </w14:solidFill>
          </w14:textFill>
        </w:rPr>
        <w:t>15</w:t>
      </w:r>
      <w:r>
        <w:rPr>
          <w:rFonts w:hint="eastAsia"/>
          <w:bCs/>
          <w:color w:val="000000" w:themeColor="text1"/>
          <w:spacing w:val="15"/>
          <w:sz w:val="30"/>
          <w:szCs w:val="30"/>
          <w14:textFill>
            <w14:solidFill>
              <w14:schemeClr w14:val="tx1"/>
            </w14:solidFill>
          </w14:textFill>
        </w:rPr>
        <w:t>日</w:t>
      </w:r>
    </w:p>
    <w:p>
      <w:pPr>
        <w:spacing w:before="120" w:after="120" w:line="460" w:lineRule="exact"/>
        <w:ind w:firstLine="3780"/>
        <w:rPr>
          <w:rFonts w:eastAsia="黑体"/>
          <w:color w:val="000000" w:themeColor="text1"/>
          <w:sz w:val="36"/>
          <w:szCs w:val="36"/>
          <w14:textFill>
            <w14:solidFill>
              <w14:schemeClr w14:val="tx1"/>
            </w14:solidFill>
          </w14:textFill>
        </w:rPr>
      </w:pPr>
    </w:p>
    <w:p>
      <w:pPr>
        <w:spacing w:before="120" w:after="120" w:line="460" w:lineRule="exact"/>
        <w:ind w:firstLine="3780"/>
        <w:rPr>
          <w:rFonts w:eastAsia="黑体"/>
          <w:color w:val="000000" w:themeColor="text1"/>
          <w:sz w:val="36"/>
          <w:szCs w:val="36"/>
          <w14:textFill>
            <w14:solidFill>
              <w14:schemeClr w14:val="tx1"/>
            </w14:solidFill>
          </w14:textFill>
        </w:rPr>
      </w:pPr>
    </w:p>
    <w:p>
      <w:pPr>
        <w:pStyle w:val="216"/>
        <w:widowControl w:val="0"/>
        <w:spacing w:before="0" w:beforeAutospacing="0" w:after="0" w:afterAutospacing="0" w:line="480" w:lineRule="auto"/>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 </w:t>
      </w:r>
      <w:bookmarkStart w:id="0" w:name="_Toc479757206"/>
      <w:bookmarkStart w:id="1" w:name="_Toc120614210"/>
      <w:bookmarkStart w:id="2" w:name="_Toc20823272"/>
      <w:bookmarkStart w:id="3" w:name="_Toc523127445"/>
      <w:bookmarkStart w:id="4" w:name="_Toc513029200"/>
      <w:bookmarkStart w:id="5" w:name="_Toc16938516"/>
    </w:p>
    <w:p>
      <w:pPr>
        <w:pStyle w:val="216"/>
        <w:widowControl w:val="0"/>
        <w:spacing w:before="0" w:beforeAutospacing="0" w:after="0" w:afterAutospacing="0" w:line="480" w:lineRule="auto"/>
        <w:jc w:val="center"/>
        <w:rPr>
          <w:color w:val="000000" w:themeColor="text1"/>
          <w:sz w:val="32"/>
          <w:szCs w:val="32"/>
          <w14:textFill>
            <w14:solidFill>
              <w14:schemeClr w14:val="tx1"/>
            </w14:solidFill>
          </w14:textFill>
        </w:rPr>
      </w:pPr>
      <w:r>
        <w:rPr>
          <w:rFonts w:hint="eastAsia"/>
          <w:b/>
          <w:bCs/>
          <w:color w:val="000000" w:themeColor="text1"/>
          <w:sz w:val="44"/>
          <w:szCs w:val="44"/>
          <w14:textFill>
            <w14:solidFill>
              <w14:schemeClr w14:val="tx1"/>
            </w14:solidFill>
          </w14:textFill>
        </w:rPr>
        <w:t>总 目 录</w:t>
      </w:r>
      <w:bookmarkEnd w:id="0"/>
      <w:bookmarkEnd w:id="1"/>
      <w:bookmarkEnd w:id="2"/>
      <w:bookmarkEnd w:id="3"/>
      <w:bookmarkEnd w:id="4"/>
      <w:bookmarkEnd w:id="5"/>
    </w:p>
    <w:p>
      <w:pPr>
        <w:pStyle w:val="216"/>
        <w:widowControl w:val="0"/>
        <w:tabs>
          <w:tab w:val="left" w:pos="1441"/>
        </w:tabs>
        <w:spacing w:before="0" w:beforeAutospacing="0" w:after="0" w:afterAutospacing="0" w:line="480" w:lineRule="auto"/>
        <w:ind w:left="2160" w:hanging="1440"/>
        <w:jc w:val="both"/>
        <w:rPr>
          <w:rFonts w:ascii="黑体" w:eastAsia="黑体" w:cs="黑体"/>
          <w:color w:val="000000" w:themeColor="text1"/>
          <w:sz w:val="36"/>
          <w:szCs w:val="36"/>
          <w14:textFill>
            <w14:solidFill>
              <w14:schemeClr w14:val="tx1"/>
            </w14:solidFill>
          </w14:textFill>
        </w:rPr>
      </w:pPr>
      <w:r>
        <w:rPr>
          <w:color w:val="000000" w:themeColor="text1"/>
          <w14:textFill>
            <w14:solidFill>
              <w14:schemeClr w14:val="tx1"/>
            </w14:solidFill>
          </w14:textFill>
        </w:rPr>
        <w:t> </w:t>
      </w:r>
    </w:p>
    <w:p>
      <w:pPr>
        <w:pStyle w:val="216"/>
        <w:widowControl w:val="0"/>
        <w:tabs>
          <w:tab w:val="left" w:pos="1441"/>
        </w:tabs>
        <w:spacing w:before="0" w:beforeAutospacing="0" w:after="0" w:afterAutospacing="0" w:line="480" w:lineRule="auto"/>
        <w:ind w:left="2160" w:hanging="1440"/>
        <w:jc w:val="both"/>
        <w:rPr>
          <w:color w:val="000000" w:themeColor="text1"/>
          <w:sz w:val="22"/>
          <w:szCs w:val="22"/>
          <w14:textFill>
            <w14:solidFill>
              <w14:schemeClr w14:val="tx1"/>
            </w14:solidFill>
          </w14:textFill>
        </w:rPr>
      </w:pPr>
      <w:r>
        <w:rPr>
          <w:rFonts w:hint="eastAsia"/>
          <w:color w:val="000000" w:themeColor="text1"/>
          <w:sz w:val="32"/>
          <w:szCs w:val="32"/>
          <w14:textFill>
            <w14:solidFill>
              <w14:schemeClr w14:val="tx1"/>
            </w14:solidFill>
          </w14:textFill>
        </w:rPr>
        <w:t xml:space="preserve">第一章 询价公告………………………………………3 </w:t>
      </w:r>
    </w:p>
    <w:p>
      <w:pPr>
        <w:pStyle w:val="216"/>
        <w:widowControl w:val="0"/>
        <w:tabs>
          <w:tab w:val="left" w:pos="1441"/>
        </w:tabs>
        <w:spacing w:before="0" w:beforeAutospacing="0" w:after="0" w:afterAutospacing="0" w:line="480" w:lineRule="auto"/>
        <w:ind w:left="2160" w:hanging="1440"/>
        <w:jc w:val="both"/>
        <w:rPr>
          <w:color w:val="000000" w:themeColor="text1"/>
          <w:sz w:val="22"/>
          <w:szCs w:val="22"/>
          <w14:textFill>
            <w14:solidFill>
              <w14:schemeClr w14:val="tx1"/>
            </w14:solidFill>
          </w14:textFill>
        </w:rPr>
      </w:pPr>
      <w:r>
        <w:rPr>
          <w:rFonts w:hint="eastAsia"/>
          <w:color w:val="000000" w:themeColor="text1"/>
          <w:sz w:val="32"/>
          <w:szCs w:val="32"/>
          <w14:textFill>
            <w14:solidFill>
              <w14:schemeClr w14:val="tx1"/>
            </w14:solidFill>
          </w14:textFill>
        </w:rPr>
        <w:t xml:space="preserve">第二章 供应商须知……………………………………6  </w:t>
      </w:r>
    </w:p>
    <w:p>
      <w:pPr>
        <w:pStyle w:val="216"/>
        <w:widowControl w:val="0"/>
        <w:tabs>
          <w:tab w:val="left" w:pos="1441"/>
        </w:tabs>
        <w:spacing w:before="0" w:beforeAutospacing="0" w:after="0" w:afterAutospacing="0" w:line="480" w:lineRule="auto"/>
        <w:ind w:left="2160" w:hanging="1440"/>
        <w:jc w:val="both"/>
        <w:rPr>
          <w:color w:val="000000" w:themeColor="text1"/>
          <w:sz w:val="22"/>
          <w:szCs w:val="22"/>
          <w14:textFill>
            <w14:solidFill>
              <w14:schemeClr w14:val="tx1"/>
            </w14:solidFill>
          </w14:textFill>
        </w:rPr>
      </w:pPr>
      <w:r>
        <w:rPr>
          <w:rFonts w:hint="eastAsia"/>
          <w:color w:val="000000" w:themeColor="text1"/>
          <w:sz w:val="32"/>
          <w:szCs w:val="32"/>
          <w14:textFill>
            <w14:solidFill>
              <w14:schemeClr w14:val="tx1"/>
            </w14:solidFill>
          </w14:textFill>
        </w:rPr>
        <w:t>第三章 采购需求………………………………………18</w:t>
      </w:r>
    </w:p>
    <w:p>
      <w:pPr>
        <w:pStyle w:val="216"/>
        <w:widowControl w:val="0"/>
        <w:tabs>
          <w:tab w:val="left" w:pos="1441"/>
        </w:tabs>
        <w:spacing w:before="0" w:beforeAutospacing="0" w:after="0" w:afterAutospacing="0" w:line="480" w:lineRule="auto"/>
        <w:ind w:left="2160" w:hanging="1440"/>
        <w:jc w:val="both"/>
        <w:rPr>
          <w:color w:val="000000" w:themeColor="text1"/>
          <w:sz w:val="22"/>
          <w:szCs w:val="22"/>
          <w14:textFill>
            <w14:solidFill>
              <w14:schemeClr w14:val="tx1"/>
            </w14:solidFill>
          </w14:textFill>
        </w:rPr>
      </w:pPr>
      <w:r>
        <w:rPr>
          <w:rFonts w:hint="eastAsia"/>
          <w:color w:val="000000" w:themeColor="text1"/>
          <w:sz w:val="32"/>
          <w:szCs w:val="32"/>
          <w14:textFill>
            <w14:solidFill>
              <w14:schemeClr w14:val="tx1"/>
            </w14:solidFill>
          </w14:textFill>
        </w:rPr>
        <w:t>第四章 响应文件格式…………………………………21</w:t>
      </w:r>
    </w:p>
    <w:p>
      <w:pPr>
        <w:pStyle w:val="216"/>
        <w:widowControl w:val="0"/>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spacing w:before="120" w:after="120" w:line="440"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eastAsia="黑体"/>
          <w:color w:val="000000" w:themeColor="text1"/>
          <w:sz w:val="36"/>
          <w:szCs w:val="36"/>
          <w14:textFill>
            <w14:solidFill>
              <w14:schemeClr w14:val="tx1"/>
            </w14:solidFill>
          </w14:textFill>
        </w:rPr>
        <w:br w:type="page" w:clear="all"/>
      </w:r>
      <w:r>
        <w:rPr>
          <w:rFonts w:hint="eastAsia" w:ascii="方正小标宋_GBK" w:hAnsi="方正小标宋_GBK" w:eastAsia="方正小标宋_GBK" w:cs="方正小标宋_GBK"/>
          <w:color w:val="000000" w:themeColor="text1"/>
          <w:sz w:val="44"/>
          <w:szCs w:val="44"/>
          <w14:textFill>
            <w14:solidFill>
              <w14:schemeClr w14:val="tx1"/>
            </w14:solidFill>
          </w14:textFill>
        </w:rPr>
        <w:t>第一章  询价公告</w:t>
      </w:r>
    </w:p>
    <w:p>
      <w:pPr>
        <w:pStyle w:val="215"/>
        <w:rPr>
          <w:color w:val="000000" w:themeColor="text1"/>
          <w14:textFill>
            <w14:solidFill>
              <w14:schemeClr w14:val="tx1"/>
            </w14:solidFill>
          </w14:textFill>
        </w:rPr>
      </w:pPr>
    </w:p>
    <w:p>
      <w:pPr>
        <w:pBdr>
          <w:top w:val="single" w:color="000000" w:sz="4" w:space="0"/>
          <w:left w:val="single" w:color="000000" w:sz="4" w:space="0"/>
          <w:bottom w:val="single" w:color="000000" w:sz="4" w:space="0"/>
          <w:right w:val="single" w:color="000000" w:sz="4" w:space="0"/>
        </w:pBdr>
        <w:spacing w:line="500" w:lineRule="exact"/>
        <w:ind w:firstLine="48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项目概况</w:t>
      </w:r>
    </w:p>
    <w:p>
      <w:pPr>
        <w:pBdr>
          <w:top w:val="single" w:color="000000" w:sz="4" w:space="0"/>
          <w:left w:val="single" w:color="000000" w:sz="4" w:space="0"/>
          <w:bottom w:val="single" w:color="000000" w:sz="4" w:space="0"/>
          <w:right w:val="single" w:color="000000" w:sz="4" w:space="0"/>
        </w:pBd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盐城工业职业技术学院建筑工程学院技能大赛电脑显卡、电源、固态硬盘升级设备</w:t>
      </w:r>
      <w:r>
        <w:rPr>
          <w:rFonts w:hint="eastAsia" w:ascii="宋体" w:hAnsi="宋体" w:cs="宋体"/>
          <w:color w:val="000000" w:themeColor="text1"/>
          <w:sz w:val="24"/>
          <w14:textFill>
            <w14:solidFill>
              <w14:schemeClr w14:val="tx1"/>
            </w14:solidFill>
          </w14:textFill>
        </w:rPr>
        <w:t>招标项目的潜在投标人应在</w:t>
      </w:r>
      <w:r>
        <w:rPr>
          <w:rFonts w:hint="eastAsia" w:ascii="宋体" w:hAnsi="宋体" w:cs="宋体"/>
          <w:color w:val="000000" w:themeColor="text1"/>
          <w:sz w:val="24"/>
          <w:u w:val="single"/>
          <w14:textFill>
            <w14:solidFill>
              <w14:schemeClr w14:val="tx1"/>
            </w14:solidFill>
          </w14:textFill>
        </w:rPr>
        <w:t>盐城工业职业技术学院招标采购网站</w:t>
      </w:r>
      <w:r>
        <w:rPr>
          <w:rFonts w:hint="eastAsia" w:ascii="宋体" w:hAnsi="宋体" w:cs="宋体"/>
          <w:color w:val="000000" w:themeColor="text1"/>
          <w:sz w:val="24"/>
          <w14:textFill>
            <w14:solidFill>
              <w14:schemeClr w14:val="tx1"/>
            </w14:solidFill>
          </w14:textFill>
        </w:rPr>
        <w:t>获取招标文件，并于</w:t>
      </w:r>
      <w:r>
        <w:rPr>
          <w:rFonts w:hint="eastAsia" w:ascii="宋体" w:hAnsi="宋体" w:cs="宋体"/>
          <w:color w:val="000000" w:themeColor="text1"/>
          <w:sz w:val="24"/>
          <w:u w:val="single"/>
          <w14:textFill>
            <w14:solidFill>
              <w14:schemeClr w14:val="tx1"/>
            </w14:solidFill>
          </w14:textFill>
        </w:rPr>
        <w:t>2023</w:t>
      </w:r>
      <w:r>
        <w:rPr>
          <w:rFonts w:hint="eastAsia" w:ascii="宋体" w:hAnsi="宋体" w:cs="宋体"/>
          <w:bCs/>
          <w:color w:val="000000" w:themeColor="text1"/>
          <w:sz w:val="24"/>
          <w:u w:val="single"/>
          <w14:textFill>
            <w14:solidFill>
              <w14:schemeClr w14:val="tx1"/>
            </w14:solidFill>
          </w14:textFill>
        </w:rPr>
        <w:t>年</w:t>
      </w:r>
      <w:r>
        <w:rPr>
          <w:rFonts w:hint="eastAsia" w:ascii="宋体" w:hAnsi="宋体" w:cs="宋体"/>
          <w:bCs/>
          <w:color w:val="000000" w:themeColor="text1"/>
          <w:sz w:val="24"/>
          <w:u w:val="single"/>
          <w:lang w:val="en-US" w:eastAsia="zh-CN"/>
          <w14:textFill>
            <w14:solidFill>
              <w14:schemeClr w14:val="tx1"/>
            </w14:solidFill>
          </w14:textFill>
        </w:rPr>
        <w:t>12</w:t>
      </w:r>
      <w:r>
        <w:rPr>
          <w:rFonts w:hint="eastAsia" w:ascii="宋体" w:hAnsi="宋体" w:cs="宋体"/>
          <w:bCs/>
          <w:color w:val="000000" w:themeColor="text1"/>
          <w:sz w:val="24"/>
          <w:u w:val="single"/>
          <w14:textFill>
            <w14:solidFill>
              <w14:schemeClr w14:val="tx1"/>
            </w14:solidFill>
          </w14:textFill>
        </w:rPr>
        <w:t>月</w:t>
      </w:r>
      <w:r>
        <w:rPr>
          <w:rFonts w:hint="eastAsia" w:ascii="宋体" w:hAnsi="宋体" w:cs="宋体"/>
          <w:bCs/>
          <w:color w:val="000000" w:themeColor="text1"/>
          <w:sz w:val="24"/>
          <w:u w:val="single"/>
          <w:lang w:val="en-US" w:eastAsia="zh-CN"/>
          <w14:textFill>
            <w14:solidFill>
              <w14:schemeClr w14:val="tx1"/>
            </w14:solidFill>
          </w14:textFill>
        </w:rPr>
        <w:t>22</w:t>
      </w:r>
      <w:r>
        <w:rPr>
          <w:rFonts w:hint="eastAsia" w:ascii="宋体" w:hAnsi="宋体" w:cs="宋体"/>
          <w:bCs/>
          <w:color w:val="000000" w:themeColor="text1"/>
          <w:sz w:val="24"/>
          <w:u w:val="single"/>
          <w14:textFill>
            <w14:solidFill>
              <w14:schemeClr w14:val="tx1"/>
            </w14:solidFill>
          </w14:textFill>
        </w:rPr>
        <w:t>日</w:t>
      </w:r>
      <w:r>
        <w:rPr>
          <w:rFonts w:hint="eastAsia" w:ascii="宋体" w:hAnsi="宋体" w:cs="宋体"/>
          <w:bCs/>
          <w:color w:val="000000" w:themeColor="text1"/>
          <w:sz w:val="24"/>
          <w:u w:val="single"/>
          <w:lang w:val="en-US" w:eastAsia="zh-CN"/>
          <w14:textFill>
            <w14:solidFill>
              <w14:schemeClr w14:val="tx1"/>
            </w14:solidFill>
          </w14:textFill>
        </w:rPr>
        <w:t>15</w:t>
      </w:r>
      <w:r>
        <w:rPr>
          <w:rFonts w:hint="eastAsia" w:ascii="宋体" w:hAnsi="宋体" w:cs="宋体"/>
          <w:bCs/>
          <w:color w:val="000000" w:themeColor="text1"/>
          <w:sz w:val="24"/>
          <w:u w:val="single"/>
          <w14:textFill>
            <w14:solidFill>
              <w14:schemeClr w14:val="tx1"/>
            </w14:solidFill>
          </w14:textFill>
        </w:rPr>
        <w:t>点（</w:t>
      </w:r>
      <w:r>
        <w:rPr>
          <w:rFonts w:hint="eastAsia" w:ascii="宋体" w:hAnsi="宋体" w:cs="宋体"/>
          <w:bCs/>
          <w:color w:val="000000" w:themeColor="text1"/>
          <w:sz w:val="24"/>
          <w14:textFill>
            <w14:solidFill>
              <w14:schemeClr w14:val="tx1"/>
            </w14:solidFill>
          </w14:textFill>
        </w:rPr>
        <w:t>北京时间）前递交投标文件</w:t>
      </w:r>
      <w:r>
        <w:rPr>
          <w:rFonts w:hint="eastAsia" w:ascii="宋体" w:hAnsi="宋体" w:cs="宋体"/>
          <w:color w:val="000000" w:themeColor="text1"/>
          <w:sz w:val="24"/>
          <w14:textFill>
            <w14:solidFill>
              <w14:schemeClr w14:val="tx1"/>
            </w14:solidFill>
          </w14:textFill>
        </w:rPr>
        <w:t>。</w:t>
      </w:r>
    </w:p>
    <w:p>
      <w:pPr>
        <w:spacing w:line="500" w:lineRule="exact"/>
        <w:ind w:firstLine="482"/>
        <w:rPr>
          <w:rFonts w:ascii="宋体" w:hAnsi="宋体" w:cs="宋体"/>
          <w:b/>
          <w:bCs/>
          <w:color w:val="000000" w:themeColor="text1"/>
          <w:sz w:val="24"/>
          <w14:textFill>
            <w14:solidFill>
              <w14:schemeClr w14:val="tx1"/>
            </w14:solidFill>
          </w14:textFill>
        </w:rPr>
      </w:pPr>
      <w:bookmarkStart w:id="6" w:name="_Toc35393629"/>
      <w:bookmarkStart w:id="7" w:name="_Toc28359012"/>
      <w:bookmarkStart w:id="8" w:name="_Toc35393798"/>
      <w:bookmarkStart w:id="9" w:name="_Toc28359089"/>
      <w:r>
        <w:rPr>
          <w:rFonts w:hint="eastAsia" w:ascii="宋体" w:hAnsi="宋体" w:cs="宋体"/>
          <w:b/>
          <w:bCs/>
          <w:color w:val="000000" w:themeColor="text1"/>
          <w:sz w:val="24"/>
          <w14:textFill>
            <w14:solidFill>
              <w14:schemeClr w14:val="tx1"/>
            </w14:solidFill>
          </w14:textFill>
        </w:rPr>
        <w:t>一、项目基本情况</w:t>
      </w:r>
      <w:bookmarkEnd w:id="6"/>
      <w:bookmarkEnd w:id="7"/>
      <w:bookmarkEnd w:id="8"/>
      <w:bookmarkEnd w:id="9"/>
    </w:p>
    <w:p>
      <w:pPr>
        <w:spacing w:line="500" w:lineRule="exact"/>
        <w:ind w:firstLine="480"/>
        <w:rPr>
          <w:rFonts w:ascii="宋体" w:hAnsi="宋体" w:cs="宋体"/>
          <w:color w:val="000000" w:themeColor="text1"/>
          <w:sz w:val="24"/>
          <w14:textFill>
            <w14:solidFill>
              <w14:schemeClr w14:val="tx1"/>
            </w14:solidFill>
          </w14:textFill>
        </w:rPr>
      </w:pPr>
      <w:bookmarkStart w:id="10" w:name="_Toc35393799"/>
      <w:bookmarkStart w:id="11" w:name="_Toc28359013"/>
      <w:bookmarkStart w:id="12" w:name="_Toc35393630"/>
      <w:bookmarkStart w:id="13" w:name="_Toc28359090"/>
      <w:r>
        <w:rPr>
          <w:rFonts w:hint="eastAsia" w:ascii="宋体" w:hAnsi="宋体" w:cs="宋体"/>
          <w:color w:val="000000" w:themeColor="text1"/>
          <w:sz w:val="24"/>
          <w14:textFill>
            <w14:solidFill>
              <w14:schemeClr w14:val="tx1"/>
            </w14:solidFill>
          </w14:textFill>
        </w:rPr>
        <w:t>1.项目编号：2023F-04</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 xml:space="preserve">              </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2.项目名称：</w:t>
      </w:r>
      <w:r>
        <w:rPr>
          <w:rFonts w:hint="eastAsia" w:ascii="宋体" w:hAnsi="宋体" w:cs="宋体"/>
          <w:color w:val="000000" w:themeColor="text1"/>
          <w:sz w:val="24"/>
          <w:u w:val="single"/>
          <w14:textFill>
            <w14:solidFill>
              <w14:schemeClr w14:val="tx1"/>
            </w14:solidFill>
          </w14:textFill>
        </w:rPr>
        <w:t>盐城工业职业技术学院建筑工程学院技能大赛电脑显卡、电源、固态硬盘升级设备</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3.最高限价： 18.94万元</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4.采购方式：询价（在质量和服务均能满足采购文件实质性响应要求的条件下，低价中标）</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购需求：盐城工业职业技术学院建筑工程学院技能大赛电脑显卡、电源、固态硬盘升级设备的采购、供应、运输、安装及就位、调试、维保、售前、售后等相关伴随服务，货物安装至电脑，电脑主机和显示器清灰、系统重新安装、电脑双屏连接及调试，大赛期间的电脑维护，确保电脑能够正常运行建筑工程识图赛项相关软件（软件及电脑配置见采购需求）。具体产品名称、数量、规格及技术参数等以招标文件为准，采购人保留对上述采购规模进行调整的权力。大赛期间，需派专人在现场维护，确保大赛正常进行。详细内容见本询价文件第三章。</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6.合同履行期限：中标后五个日历天完成设备的采购、供应、运输、安装及就位、调试交付采购人使用。</w:t>
      </w:r>
    </w:p>
    <w:p>
      <w:pPr>
        <w:spacing w:line="500" w:lineRule="exact"/>
        <w:ind w:firstLine="48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7.本项目</w:t>
      </w:r>
      <w:r>
        <w:rPr>
          <w:rFonts w:hint="eastAsia" w:ascii="宋体" w:hAnsi="宋体" w:cs="宋体"/>
          <w:color w:val="000000" w:themeColor="text1"/>
          <w:sz w:val="24"/>
          <w:u w:val="single"/>
          <w14:textFill>
            <w14:solidFill>
              <w14:schemeClr w14:val="tx1"/>
            </w14:solidFill>
          </w14:textFill>
        </w:rPr>
        <w:t>不接受</w:t>
      </w:r>
      <w:r>
        <w:rPr>
          <w:rFonts w:hint="eastAsia" w:ascii="宋体" w:hAnsi="宋体" w:cs="宋体"/>
          <w:color w:val="000000" w:themeColor="text1"/>
          <w:sz w:val="24"/>
          <w14:textFill>
            <w14:solidFill>
              <w14:schemeClr w14:val="tx1"/>
            </w14:solidFill>
          </w14:textFill>
        </w:rPr>
        <w:t>联合体参与询价。</w:t>
      </w:r>
    </w:p>
    <w:p>
      <w:pPr>
        <w:spacing w:line="500" w:lineRule="exact"/>
        <w:ind w:firstLine="482"/>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二、申请人的资格要求：</w:t>
      </w:r>
      <w:bookmarkEnd w:id="10"/>
      <w:bookmarkEnd w:id="11"/>
      <w:bookmarkEnd w:id="12"/>
      <w:bookmarkEnd w:id="13"/>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1.满足《中华人民共和国政府采购法》第二十二条规定，并提供下列材料；</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(1)法人或者其他组织的营业执照等证明文件，自然人的身份证明；</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(2)上一年度（2022年）的财务报表（成立不满一年不需提供）；</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(3)依法缴纳税收和社会保障资金的相关材料，依法免税或不需要缴纳社会保障资金的，应提供相应文件证明材料；</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(4)具备履行合同所必需的设备和专业技术能力的书面声明；</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(5)参加政府采购活动前3年内在经营活动中没有重大违法记录的书面声明；</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2.本项目的特定资格要求：</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（1）未被“信用中国”网站（www.creditchina.gov.cn）列入失信被执行人、重大税收违法案件当事人名单、政府采购严重失信行为记录名单。</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（2）单位负责人为同一人或者存在直接控股、管理关系的不同供应商，不得参加同一合同项下的政府采购活动。</w:t>
      </w:r>
    </w:p>
    <w:p>
      <w:pPr>
        <w:spacing w:line="500" w:lineRule="exact"/>
        <w:ind w:firstLine="48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三、获取</w:t>
      </w:r>
      <w:r>
        <w:rPr>
          <w:rFonts w:hint="eastAsia" w:ascii="宋体" w:hAnsi="宋体" w:cs="宋体"/>
          <w:b/>
          <w:bCs/>
          <w:color w:val="000000" w:themeColor="text1"/>
          <w:sz w:val="24"/>
          <w14:textFill>
            <w14:solidFill>
              <w14:schemeClr w14:val="tx1"/>
            </w14:solidFill>
          </w14:textFill>
        </w:rPr>
        <w:t>询价</w:t>
      </w:r>
      <w:r>
        <w:rPr>
          <w:rFonts w:ascii="宋体" w:hAnsi="宋体" w:cs="宋体"/>
          <w:b/>
          <w:bCs/>
          <w:color w:val="000000" w:themeColor="text1"/>
          <w:sz w:val="24"/>
          <w14:textFill>
            <w14:solidFill>
              <w14:schemeClr w14:val="tx1"/>
            </w14:solidFill>
          </w14:textFill>
        </w:rPr>
        <w:t>文件</w:t>
      </w:r>
    </w:p>
    <w:p>
      <w:pPr>
        <w:spacing w:line="500" w:lineRule="exact"/>
        <w:ind w:firstLine="480"/>
        <w:rPr>
          <w:rFonts w:ascii="宋体" w:hAnsi="宋体" w:cs="宋体"/>
          <w:color w:val="000000" w:themeColor="text1"/>
          <w:sz w:val="24"/>
          <w14:textFill>
            <w14:solidFill>
              <w14:schemeClr w14:val="tx1"/>
            </w14:solidFill>
          </w14:textFill>
        </w:rPr>
      </w:pPr>
      <w:bookmarkStart w:id="14" w:name="_Toc28359005"/>
      <w:bookmarkStart w:id="15" w:name="_Toc28359082"/>
      <w:bookmarkStart w:id="16" w:name="_Toc35393624"/>
      <w:bookmarkStart w:id="17" w:name="_Toc35393793"/>
      <w:bookmarkStart w:id="18" w:name="_Toc38985266"/>
      <w:r>
        <w:rPr>
          <w:rFonts w:hint="eastAsia" w:ascii="宋体" w:hAnsi="宋体" w:cs="宋体"/>
          <w:color w:val="000000" w:themeColor="text1"/>
          <w:sz w:val="24"/>
          <w14:textFill>
            <w14:solidFill>
              <w14:schemeClr w14:val="tx1"/>
            </w14:solidFill>
          </w14:textFill>
        </w:rPr>
        <w:t>1.时间：自询价文件公告发布之日起至提交响应文件截止之日前1日止。</w:t>
      </w:r>
      <w:bookmarkEnd w:id="14"/>
      <w:bookmarkEnd w:id="15"/>
      <w:bookmarkEnd w:id="16"/>
      <w:bookmarkEnd w:id="17"/>
      <w:bookmarkEnd w:id="18"/>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2.地点：盐城工业职业技术学院招标采购网</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3.方式：符合资格要求的投标人可自行下载采购文件，采购文件见盐城工业职业技术学院招标采购网公告附件。</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4.报名时间及地点：本公告发布后凡具备上述资格条件，并自愿参加本项目投标的投标人应于2023年12月</w:t>
      </w:r>
      <w:r>
        <w:rPr>
          <w:rFonts w:hint="eastAsia" w:ascii="宋体" w:hAnsi="宋体" w:cs="宋体"/>
          <w:color w:val="000000" w:themeColor="text1"/>
          <w:sz w:val="24"/>
          <w:lang w:val="en-US" w:eastAsia="zh-CN"/>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日至2023年12月</w:t>
      </w:r>
      <w:r>
        <w:rPr>
          <w:rFonts w:hint="eastAsia" w:ascii="宋体" w:hAnsi="宋体" w:cs="宋体"/>
          <w:color w:val="000000" w:themeColor="text1"/>
          <w:sz w:val="24"/>
          <w:lang w:val="en-US" w:eastAsia="zh-CN"/>
          <w14:textFill>
            <w14:solidFill>
              <w14:schemeClr w14:val="tx1"/>
            </w14:solidFill>
          </w14:textFill>
        </w:rPr>
        <w:t>20</w:t>
      </w:r>
      <w:r>
        <w:rPr>
          <w:rFonts w:hint="eastAsia" w:ascii="宋体" w:hAnsi="宋体" w:cs="宋体"/>
          <w:color w:val="000000" w:themeColor="text1"/>
          <w:sz w:val="24"/>
          <w14:textFill>
            <w14:solidFill>
              <w14:schemeClr w14:val="tx1"/>
            </w14:solidFill>
          </w14:textFill>
        </w:rPr>
        <w:t>日委派本单位正式人员携带单位介绍信或授权委托书至江苏建博工程管理咨询有限公司（地址：盐城市世纪大道619号金太阳装饰城B座六楼）购买询价文件，逾期的不予接收。</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售价：人民币300元，售后不退。</w:t>
      </w:r>
    </w:p>
    <w:p>
      <w:pPr>
        <w:spacing w:line="500" w:lineRule="exact"/>
        <w:ind w:firstLine="480"/>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四、提交响应文件截止时间</w:t>
      </w:r>
    </w:p>
    <w:p>
      <w:pPr>
        <w:spacing w:line="500" w:lineRule="exact"/>
        <w:ind w:firstLine="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提交时间：</w:t>
      </w:r>
      <w:r>
        <w:rPr>
          <w:rFonts w:hint="eastAsia" w:ascii="宋体" w:hAnsi="宋体" w:cs="宋体"/>
          <w:color w:val="000000" w:themeColor="text1"/>
          <w:sz w:val="24"/>
          <w:highlight w:val="none"/>
          <w:u w:val="single"/>
          <w14:textFill>
            <w14:solidFill>
              <w14:schemeClr w14:val="tx1"/>
            </w14:solidFill>
          </w14:textFill>
        </w:rPr>
        <w:t>2023年</w:t>
      </w:r>
      <w:r>
        <w:rPr>
          <w:rFonts w:hint="eastAsia" w:ascii="宋体" w:hAnsi="宋体" w:cs="宋体"/>
          <w:color w:val="000000" w:themeColor="text1"/>
          <w:sz w:val="24"/>
          <w:highlight w:val="none"/>
          <w:u w:val="single"/>
          <w:lang w:val="en-US" w:eastAsia="zh-CN"/>
          <w14:textFill>
            <w14:solidFill>
              <w14:schemeClr w14:val="tx1"/>
            </w14:solidFill>
          </w14:textFill>
        </w:rPr>
        <w:t>12</w:t>
      </w:r>
      <w:r>
        <w:rPr>
          <w:rFonts w:hint="eastAsia" w:ascii="宋体" w:hAnsi="宋体" w:cs="宋体"/>
          <w:color w:val="000000" w:themeColor="text1"/>
          <w:sz w:val="24"/>
          <w:highlight w:val="none"/>
          <w:u w:val="single"/>
          <w14:textFill>
            <w14:solidFill>
              <w14:schemeClr w14:val="tx1"/>
            </w14:solidFill>
          </w14:textFill>
        </w:rPr>
        <w:t>月</w:t>
      </w:r>
      <w:r>
        <w:rPr>
          <w:rFonts w:hint="eastAsia" w:ascii="宋体" w:hAnsi="宋体" w:cs="宋体"/>
          <w:color w:val="000000" w:themeColor="text1"/>
          <w:sz w:val="24"/>
          <w:highlight w:val="none"/>
          <w:u w:val="single"/>
          <w:lang w:val="en-US" w:eastAsia="zh-CN"/>
          <w14:textFill>
            <w14:solidFill>
              <w14:schemeClr w14:val="tx1"/>
            </w14:solidFill>
          </w14:textFill>
        </w:rPr>
        <w:t>22</w:t>
      </w:r>
      <w:r>
        <w:rPr>
          <w:rFonts w:hint="eastAsia" w:ascii="宋体" w:hAnsi="宋体" w:cs="宋体"/>
          <w:color w:val="000000" w:themeColor="text1"/>
          <w:sz w:val="24"/>
          <w:highlight w:val="none"/>
          <w:u w:val="single"/>
          <w14:textFill>
            <w14:solidFill>
              <w14:schemeClr w14:val="tx1"/>
            </w14:solidFill>
          </w14:textFill>
        </w:rPr>
        <w:t>日</w:t>
      </w:r>
      <w:r>
        <w:rPr>
          <w:rFonts w:hint="eastAsia" w:ascii="宋体" w:hAnsi="宋体" w:cs="宋体"/>
          <w:color w:val="000000" w:themeColor="text1"/>
          <w:sz w:val="24"/>
          <w:highlight w:val="none"/>
          <w:u w:val="single"/>
          <w:lang w:val="en-US" w:eastAsia="zh-CN"/>
          <w14:textFill>
            <w14:solidFill>
              <w14:schemeClr w14:val="tx1"/>
            </w14:solidFill>
          </w14:textFill>
        </w:rPr>
        <w:t>15</w:t>
      </w:r>
      <w:r>
        <w:rPr>
          <w:rFonts w:hint="eastAsia" w:ascii="宋体" w:hAnsi="宋体" w:cs="宋体"/>
          <w:color w:val="000000" w:themeColor="text1"/>
          <w:sz w:val="24"/>
          <w:highlight w:val="none"/>
          <w:u w:val="single"/>
          <w14:textFill>
            <w14:solidFill>
              <w14:schemeClr w14:val="tx1"/>
            </w14:solidFill>
          </w14:textFill>
        </w:rPr>
        <w:t>点</w:t>
      </w:r>
      <w:r>
        <w:rPr>
          <w:rFonts w:hint="eastAsia" w:ascii="宋体" w:hAnsi="宋体" w:cs="宋体"/>
          <w:color w:val="000000" w:themeColor="text1"/>
          <w:sz w:val="24"/>
          <w:highlight w:val="none"/>
          <w14:textFill>
            <w14:solidFill>
              <w14:schemeClr w14:val="tx1"/>
            </w14:solidFill>
          </w14:textFill>
        </w:rPr>
        <w:t>前（北京时间）</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地点：盐城工业职业技术学院解放南路285号南食堂四楼402开标室 </w:t>
      </w:r>
    </w:p>
    <w:p>
      <w:pPr>
        <w:spacing w:line="500" w:lineRule="exact"/>
        <w:ind w:firstLine="482"/>
        <w:rPr>
          <w:rFonts w:ascii="宋体" w:hAnsi="宋体" w:cs="宋体"/>
          <w:b/>
          <w:bCs/>
          <w:color w:val="000000" w:themeColor="text1"/>
          <w:sz w:val="24"/>
          <w14:textFill>
            <w14:solidFill>
              <w14:schemeClr w14:val="tx1"/>
            </w14:solidFill>
          </w14:textFill>
        </w:rPr>
      </w:pPr>
      <w:bookmarkStart w:id="19" w:name="_Toc28359007"/>
      <w:bookmarkStart w:id="20" w:name="_Toc35393625"/>
      <w:bookmarkStart w:id="21" w:name="_Toc38985267"/>
      <w:bookmarkStart w:id="22" w:name="_Toc28359084"/>
      <w:bookmarkStart w:id="23" w:name="_Toc35393794"/>
      <w:r>
        <w:rPr>
          <w:rFonts w:ascii="宋体" w:hAnsi="宋体" w:cs="宋体"/>
          <w:b/>
          <w:bCs/>
          <w:color w:val="000000" w:themeColor="text1"/>
          <w:sz w:val="24"/>
          <w14:textFill>
            <w14:solidFill>
              <w14:schemeClr w14:val="tx1"/>
            </w14:solidFill>
          </w14:textFill>
        </w:rPr>
        <w:t>五、公告期限</w:t>
      </w:r>
      <w:bookmarkEnd w:id="19"/>
      <w:bookmarkEnd w:id="20"/>
      <w:bookmarkEnd w:id="21"/>
      <w:bookmarkEnd w:id="22"/>
      <w:bookmarkEnd w:id="23"/>
    </w:p>
    <w:p>
      <w:pPr>
        <w:spacing w:line="500" w:lineRule="exact"/>
        <w:ind w:firstLine="480"/>
        <w:rPr>
          <w:rFonts w:ascii="宋体" w:hAnsi="宋体" w:cs="宋体"/>
          <w:color w:val="000000" w:themeColor="text1"/>
          <w:sz w:val="24"/>
          <w14:textFill>
            <w14:solidFill>
              <w14:schemeClr w14:val="tx1"/>
            </w14:solidFill>
          </w14:textFill>
        </w:rPr>
      </w:pPr>
      <w:bookmarkStart w:id="24" w:name="_Toc35393626"/>
      <w:bookmarkStart w:id="25" w:name="_Toc35393795"/>
      <w:bookmarkStart w:id="26" w:name="_Toc38985268"/>
      <w:r>
        <w:rPr>
          <w:rFonts w:hint="eastAsia" w:ascii="宋体" w:hAnsi="宋体" w:cs="宋体"/>
          <w:color w:val="000000" w:themeColor="text1"/>
          <w:sz w:val="24"/>
          <w14:textFill>
            <w14:solidFill>
              <w14:schemeClr w14:val="tx1"/>
            </w14:solidFill>
          </w14:textFill>
        </w:rPr>
        <w:t>询价公告及询价文件公告期限为自本公告发布之日起3个工作日。</w:t>
      </w:r>
      <w:bookmarkEnd w:id="24"/>
      <w:bookmarkEnd w:id="25"/>
      <w:bookmarkEnd w:id="26"/>
    </w:p>
    <w:p>
      <w:pPr>
        <w:spacing w:line="500" w:lineRule="exact"/>
        <w:ind w:firstLine="48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六、其他补充事宜</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pPr>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2.本次询价不收取询价保证金。</w:t>
      </w:r>
    </w:p>
    <w:p>
      <w:pPr>
        <w:spacing w:line="500" w:lineRule="exact"/>
        <w:ind w:firstLine="482"/>
        <w:rPr>
          <w:rFonts w:ascii="宋体" w:hAnsi="宋体" w:cs="宋体"/>
          <w:b/>
          <w:bCs/>
          <w:color w:val="000000" w:themeColor="text1"/>
          <w:sz w:val="24"/>
          <w14:textFill>
            <w14:solidFill>
              <w14:schemeClr w14:val="tx1"/>
            </w14:solidFill>
          </w14:textFill>
        </w:rPr>
      </w:pPr>
      <w:bookmarkStart w:id="27" w:name="_Toc28359085"/>
      <w:bookmarkStart w:id="28" w:name="_Toc28359008"/>
      <w:bookmarkStart w:id="29" w:name="_Toc35393627"/>
      <w:bookmarkStart w:id="30" w:name="_Toc35393796"/>
      <w:bookmarkStart w:id="31" w:name="_Toc38985269"/>
      <w:r>
        <w:rPr>
          <w:rFonts w:ascii="宋体" w:hAnsi="宋体" w:cs="宋体"/>
          <w:b/>
          <w:bCs/>
          <w:color w:val="000000" w:themeColor="text1"/>
          <w:sz w:val="24"/>
          <w14:textFill>
            <w14:solidFill>
              <w14:schemeClr w14:val="tx1"/>
            </w14:solidFill>
          </w14:textFill>
        </w:rPr>
        <w:t>七、本次</w:t>
      </w:r>
      <w:r>
        <w:rPr>
          <w:rFonts w:hint="eastAsia" w:ascii="宋体" w:hAnsi="宋体" w:cs="宋体"/>
          <w:b/>
          <w:bCs/>
          <w:color w:val="000000" w:themeColor="text1"/>
          <w:sz w:val="24"/>
          <w14:textFill>
            <w14:solidFill>
              <w14:schemeClr w14:val="tx1"/>
            </w14:solidFill>
          </w14:textFill>
        </w:rPr>
        <w:t>询价</w:t>
      </w:r>
      <w:r>
        <w:rPr>
          <w:rFonts w:ascii="宋体" w:hAnsi="宋体" w:cs="宋体"/>
          <w:b/>
          <w:bCs/>
          <w:color w:val="000000" w:themeColor="text1"/>
          <w:sz w:val="24"/>
          <w14:textFill>
            <w14:solidFill>
              <w14:schemeClr w14:val="tx1"/>
            </w14:solidFill>
          </w14:textFill>
        </w:rPr>
        <w:t>联系方式</w:t>
      </w:r>
      <w:bookmarkEnd w:id="27"/>
      <w:bookmarkEnd w:id="28"/>
      <w:bookmarkEnd w:id="29"/>
      <w:bookmarkEnd w:id="30"/>
      <w:bookmarkEnd w:id="31"/>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bookmarkStart w:id="32" w:name="_Toc28359087"/>
      <w:bookmarkStart w:id="33" w:name="_Toc28359010"/>
      <w:r>
        <w:rPr>
          <w:rStyle w:val="239"/>
          <w:rFonts w:hint="eastAsia" w:ascii="宋体" w:hAnsi="宋体" w:cs="宋体"/>
          <w:color w:val="000000" w:themeColor="text1"/>
          <w:sz w:val="24"/>
          <w14:textFill>
            <w14:solidFill>
              <w14:schemeClr w14:val="tx1"/>
            </w14:solidFill>
          </w14:textFill>
        </w:rPr>
        <w:t>1.采购人信息</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名称：盐城工业职业技术学院</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地址：盐城市解放南路285号</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 xml:space="preserve">联系人：赵老师             </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联系电话：0515-88588707</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2.采购代理机构信息</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名称：江苏建博工程管理咨询有限公司</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地址：盐城市世纪大道619号金太阳装饰城B座六楼</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 xml:space="preserve">联系人：孙女士              </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联系电话：15605108891</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3.项目联系方式</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项目联系人：夏老师</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 xml:space="preserve">联系电话： 15005236359 </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 xml:space="preserve">（对项目需求部分的询问、质疑请向使用部门提出，询问、质疑由使用部门负责答复。）    </w:t>
      </w:r>
      <w:bookmarkEnd w:id="32"/>
      <w:bookmarkEnd w:id="33"/>
    </w:p>
    <w:p>
      <w:pPr>
        <w:spacing w:before="120" w:after="120" w:line="500" w:lineRule="exact"/>
        <w:ind w:firstLine="480"/>
        <w:jc w:val="center"/>
        <w:rPr>
          <w:rFonts w:ascii="宋体" w:hAnsi="宋体" w:cs="宋体"/>
          <w:color w:val="000000" w:themeColor="text1"/>
          <w:sz w:val="24"/>
          <w14:textFill>
            <w14:solidFill>
              <w14:schemeClr w14:val="tx1"/>
            </w14:solidFill>
          </w14:textFill>
        </w:rPr>
      </w:pPr>
      <w:bookmarkStart w:id="34" w:name="_Toc120614211"/>
    </w:p>
    <w:p>
      <w:pP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br w:type="page"/>
      </w:r>
    </w:p>
    <w:p>
      <w:pPr>
        <w:spacing w:before="120" w:after="120" w:line="500" w:lineRule="exact"/>
        <w:ind w:firstLine="880"/>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 xml:space="preserve">第二章  </w:t>
      </w:r>
      <w:bookmarkEnd w:id="34"/>
      <w:r>
        <w:rPr>
          <w:rFonts w:hint="eastAsia" w:ascii="方正小标宋_GBK" w:hAnsi="方正小标宋_GBK" w:eastAsia="方正小标宋_GBK" w:cs="方正小标宋_GBK"/>
          <w:color w:val="000000" w:themeColor="text1"/>
          <w:sz w:val="44"/>
          <w:szCs w:val="44"/>
          <w14:textFill>
            <w14:solidFill>
              <w14:schemeClr w14:val="tx1"/>
            </w14:solidFill>
          </w14:textFill>
        </w:rPr>
        <w:t>供应商须知</w:t>
      </w:r>
    </w:p>
    <w:p>
      <w:pPr>
        <w:spacing w:line="480" w:lineRule="exact"/>
        <w:ind w:firstLine="482"/>
        <w:rPr>
          <w:rFonts w:ascii="宋体" w:hAnsi="宋体" w:cs="宋体"/>
          <w:b/>
          <w:bCs/>
          <w:color w:val="000000" w:themeColor="text1"/>
          <w:sz w:val="24"/>
          <w14:textFill>
            <w14:solidFill>
              <w14:schemeClr w14:val="tx1"/>
            </w14:solidFill>
          </w14:textFill>
        </w:rPr>
      </w:pPr>
      <w:bookmarkStart w:id="35" w:name="_Toc120614214"/>
      <w:bookmarkStart w:id="36" w:name="_Toc513029203"/>
      <w:bookmarkStart w:id="37" w:name="_Toc20823275"/>
      <w:bookmarkStart w:id="38" w:name="_Toc16938519"/>
      <w:r>
        <w:rPr>
          <w:rFonts w:ascii="宋体" w:hAnsi="宋体" w:cs="宋体"/>
          <w:b/>
          <w:bCs/>
          <w:color w:val="000000" w:themeColor="text1"/>
          <w:sz w:val="24"/>
          <w14:textFill>
            <w14:solidFill>
              <w14:schemeClr w14:val="tx1"/>
            </w14:solidFill>
          </w14:textFill>
        </w:rPr>
        <w:t>一、总则</w:t>
      </w:r>
      <w:bookmarkEnd w:id="35"/>
      <w:bookmarkEnd w:id="36"/>
      <w:bookmarkEnd w:id="37"/>
      <w:bookmarkEnd w:id="38"/>
    </w:p>
    <w:p>
      <w:pPr>
        <w:spacing w:line="480" w:lineRule="exact"/>
        <w:ind w:firstLine="480"/>
        <w:rPr>
          <w:rFonts w:ascii="宋体" w:hAnsi="宋体" w:cs="宋体"/>
          <w:color w:val="000000" w:themeColor="text1"/>
          <w:sz w:val="24"/>
          <w14:textFill>
            <w14:solidFill>
              <w14:schemeClr w14:val="tx1"/>
            </w14:solidFill>
          </w14:textFill>
        </w:rPr>
      </w:pPr>
      <w:bookmarkStart w:id="39" w:name="_Toc20823276"/>
      <w:bookmarkStart w:id="40" w:name="_Toc16938520"/>
      <w:bookmarkStart w:id="41" w:name="_Toc458694821"/>
      <w:bookmarkStart w:id="42" w:name="_Toc513029204"/>
      <w:r>
        <w:rPr>
          <w:rFonts w:ascii="宋体" w:hAnsi="宋体" w:cs="宋体"/>
          <w:color w:val="000000" w:themeColor="text1"/>
          <w:sz w:val="24"/>
          <w14:textFill>
            <w14:solidFill>
              <w14:schemeClr w14:val="tx1"/>
            </w14:solidFill>
          </w14:textFill>
        </w:rPr>
        <w:t>1</w:t>
      </w:r>
      <w:bookmarkEnd w:id="39"/>
      <w:r>
        <w:rPr>
          <w:rFonts w:ascii="宋体" w:hAnsi="宋体" w:cs="宋体"/>
          <w:color w:val="000000" w:themeColor="text1"/>
          <w:sz w:val="24"/>
          <w14:textFill>
            <w14:solidFill>
              <w14:schemeClr w14:val="tx1"/>
            </w14:solidFill>
          </w14:textFill>
        </w:rPr>
        <w:t>、采购方式</w:t>
      </w:r>
      <w:bookmarkEnd w:id="40"/>
      <w:bookmarkEnd w:id="41"/>
      <w:bookmarkEnd w:id="42"/>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 本次政府采购活动采取询价(以下简称询价)方式，本询价文件仅适用于询价公告中所述项目。</w:t>
      </w:r>
    </w:p>
    <w:p>
      <w:pPr>
        <w:spacing w:line="480" w:lineRule="exact"/>
        <w:ind w:firstLine="480"/>
        <w:rPr>
          <w:rFonts w:ascii="宋体" w:hAnsi="宋体" w:cs="宋体"/>
          <w:color w:val="000000" w:themeColor="text1"/>
          <w:sz w:val="24"/>
          <w14:textFill>
            <w14:solidFill>
              <w14:schemeClr w14:val="tx1"/>
            </w14:solidFill>
          </w14:textFill>
        </w:rPr>
      </w:pPr>
      <w:bookmarkStart w:id="43" w:name="_Toc16938521"/>
      <w:bookmarkStart w:id="44" w:name="_Toc513029205"/>
      <w:bookmarkStart w:id="45" w:name="_Toc20823277"/>
      <w:r>
        <w:rPr>
          <w:rFonts w:ascii="宋体" w:hAnsi="宋体" w:cs="宋体"/>
          <w:color w:val="000000" w:themeColor="text1"/>
          <w:sz w:val="24"/>
          <w14:textFill>
            <w14:solidFill>
              <w14:schemeClr w14:val="tx1"/>
            </w14:solidFill>
          </w14:textFill>
        </w:rPr>
        <w:t>2、合格的</w:t>
      </w:r>
      <w:bookmarkEnd w:id="43"/>
      <w:bookmarkEnd w:id="44"/>
      <w:bookmarkEnd w:id="45"/>
      <w:r>
        <w:rPr>
          <w:rFonts w:ascii="宋体" w:hAnsi="宋体" w:cs="宋体"/>
          <w:color w:val="000000" w:themeColor="text1"/>
          <w:sz w:val="24"/>
          <w14:textFill>
            <w14:solidFill>
              <w14:schemeClr w14:val="tx1"/>
            </w14:solidFill>
          </w14:textFill>
        </w:rPr>
        <w:t>供应商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2.1满足询价公告中供应商资格要求的规定。</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 满足本询价文件实质性要求和条件的规定。</w:t>
      </w:r>
    </w:p>
    <w:p>
      <w:pPr>
        <w:spacing w:line="480" w:lineRule="exact"/>
        <w:ind w:firstLine="480"/>
        <w:rPr>
          <w:rFonts w:ascii="宋体" w:hAnsi="宋体" w:cs="宋体"/>
          <w:color w:val="000000" w:themeColor="text1"/>
          <w:sz w:val="24"/>
          <w14:textFill>
            <w14:solidFill>
              <w14:schemeClr w14:val="tx1"/>
            </w14:solidFill>
          </w14:textFill>
        </w:rPr>
      </w:pPr>
      <w:bookmarkStart w:id="46" w:name="_Toc513029206"/>
      <w:bookmarkStart w:id="47" w:name="_Toc20823278"/>
      <w:bookmarkStart w:id="48" w:name="_Toc16938522"/>
      <w:r>
        <w:rPr>
          <w:rFonts w:ascii="宋体" w:hAnsi="宋体" w:cs="宋体"/>
          <w:color w:val="000000" w:themeColor="text1"/>
          <w:sz w:val="24"/>
          <w14:textFill>
            <w14:solidFill>
              <w14:schemeClr w14:val="tx1"/>
            </w14:solidFill>
          </w14:textFill>
        </w:rPr>
        <w:t>3、适用法律</w:t>
      </w:r>
      <w:bookmarkEnd w:id="46"/>
      <w:bookmarkEnd w:id="47"/>
      <w:bookmarkEnd w:id="48"/>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 本次询价及由此产生的合同受中华人民共和国有关的法律法规制约和保护。</w:t>
      </w:r>
    </w:p>
    <w:p>
      <w:pPr>
        <w:spacing w:line="480" w:lineRule="exact"/>
        <w:ind w:firstLine="480"/>
        <w:rPr>
          <w:rFonts w:ascii="宋体" w:hAnsi="宋体" w:cs="宋体"/>
          <w:color w:val="000000" w:themeColor="text1"/>
          <w:sz w:val="24"/>
          <w14:textFill>
            <w14:solidFill>
              <w14:schemeClr w14:val="tx1"/>
            </w14:solidFill>
          </w14:textFill>
        </w:rPr>
      </w:pPr>
      <w:bookmarkStart w:id="49" w:name="_Toc20823279"/>
      <w:bookmarkStart w:id="50" w:name="_Toc513029207"/>
      <w:bookmarkStart w:id="51" w:name="_Toc16938523"/>
      <w:bookmarkStart w:id="52" w:name="_Toc462564067"/>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费用</w:t>
      </w:r>
      <w:bookmarkEnd w:id="49"/>
      <w:bookmarkEnd w:id="50"/>
      <w:bookmarkEnd w:id="51"/>
      <w:bookmarkEnd w:id="52"/>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4.1供应商应自行承担所有与参加本次询价有关的费用，无论询价过程中的做法和结果如何，</w:t>
      </w:r>
      <w:r>
        <w:rPr>
          <w:rStyle w:val="239"/>
          <w:rFonts w:hint="eastAsia" w:ascii="宋体" w:hAnsi="宋体" w:cs="宋体"/>
          <w:color w:val="000000" w:themeColor="text1"/>
          <w:sz w:val="24"/>
          <w14:textFill>
            <w14:solidFill>
              <w14:schemeClr w14:val="tx1"/>
            </w14:solidFill>
          </w14:textFill>
        </w:rPr>
        <w:t>采购人及采购代理机构在任何情况下均无义务和责任承担这些费用</w:t>
      </w:r>
      <w:r>
        <w:rPr>
          <w:rFonts w:hint="eastAsia" w:ascii="宋体" w:hAnsi="宋体" w:cs="宋体"/>
          <w:color w:val="000000" w:themeColor="text1"/>
          <w:sz w:val="24"/>
          <w14:textFill>
            <w14:solidFill>
              <w14:schemeClr w14:val="tx1"/>
            </w14:solidFill>
          </w14:textFill>
        </w:rPr>
        <w:t>。</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w:t>
      </w:r>
      <w:r>
        <w:rPr>
          <w:rStyle w:val="239"/>
          <w:rFonts w:hint="eastAsia" w:ascii="宋体" w:hAnsi="宋体" w:cs="宋体"/>
          <w:color w:val="000000" w:themeColor="text1"/>
          <w:sz w:val="24"/>
          <w14:textFill>
            <w14:solidFill>
              <w14:schemeClr w14:val="tx1"/>
            </w14:solidFill>
          </w14:textFill>
        </w:rPr>
        <w:t>本项目中标人与采购人签订合同前领取中标通知书时须向采购代理机构支付招标代理服务费，本项目收费2000元；上述费用由各投标人在投标时自行综合考虑分摊含进投标报价中，且不得单列，采购人不再承担上述费用。</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5、询价文件的约束力</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5.1供应商一旦参加本项目采购活动，即被认为接受了本询价文件的规定和约束。</w:t>
      </w:r>
    </w:p>
    <w:p>
      <w:pPr>
        <w:spacing w:line="480" w:lineRule="exact"/>
        <w:ind w:firstLine="482"/>
        <w:rPr>
          <w:rFonts w:ascii="宋体" w:hAnsi="宋体" w:cs="宋体"/>
          <w:b/>
          <w:bCs/>
          <w:color w:val="000000" w:themeColor="text1"/>
          <w:sz w:val="24"/>
          <w14:textFill>
            <w14:solidFill>
              <w14:schemeClr w14:val="tx1"/>
            </w14:solidFill>
          </w14:textFill>
        </w:rPr>
      </w:pPr>
      <w:bookmarkStart w:id="53" w:name="_Toc513029209"/>
      <w:bookmarkStart w:id="54" w:name="_Toc120614215"/>
      <w:bookmarkStart w:id="55" w:name="_Toc16938525"/>
      <w:bookmarkStart w:id="56" w:name="_Toc20823281"/>
      <w:r>
        <w:rPr>
          <w:rFonts w:ascii="宋体" w:hAnsi="宋体" w:cs="宋体"/>
          <w:b/>
          <w:bCs/>
          <w:color w:val="000000" w:themeColor="text1"/>
          <w:sz w:val="24"/>
          <w14:textFill>
            <w14:solidFill>
              <w14:schemeClr w14:val="tx1"/>
            </w14:solidFill>
          </w14:textFill>
        </w:rPr>
        <w:t>二、</w:t>
      </w:r>
      <w:bookmarkEnd w:id="53"/>
      <w:bookmarkEnd w:id="54"/>
      <w:bookmarkEnd w:id="55"/>
      <w:bookmarkEnd w:id="56"/>
      <w:r>
        <w:rPr>
          <w:rFonts w:hint="eastAsia" w:ascii="宋体" w:hAnsi="宋体" w:cs="宋体"/>
          <w:b/>
          <w:bCs/>
          <w:color w:val="000000" w:themeColor="text1"/>
          <w:sz w:val="24"/>
          <w14:textFill>
            <w14:solidFill>
              <w14:schemeClr w14:val="tx1"/>
            </w14:solidFill>
          </w14:textFill>
        </w:rPr>
        <w:t>询价</w:t>
      </w:r>
      <w:r>
        <w:rPr>
          <w:rFonts w:ascii="宋体" w:hAnsi="宋体" w:cs="宋体"/>
          <w:b/>
          <w:bCs/>
          <w:color w:val="000000" w:themeColor="text1"/>
          <w:sz w:val="24"/>
          <w14:textFill>
            <w14:solidFill>
              <w14:schemeClr w14:val="tx1"/>
            </w14:solidFill>
          </w14:textFill>
        </w:rPr>
        <w:t>文件</w:t>
      </w:r>
    </w:p>
    <w:p>
      <w:pPr>
        <w:spacing w:line="480" w:lineRule="exact"/>
        <w:ind w:firstLine="480"/>
        <w:rPr>
          <w:rFonts w:ascii="宋体" w:hAnsi="宋体" w:cs="宋体"/>
          <w:color w:val="000000" w:themeColor="text1"/>
          <w:sz w:val="24"/>
          <w14:textFill>
            <w14:solidFill>
              <w14:schemeClr w14:val="tx1"/>
            </w14:solidFill>
          </w14:textFill>
        </w:rPr>
      </w:pPr>
      <w:bookmarkStart w:id="57" w:name="_Toc20823282"/>
      <w:bookmarkStart w:id="58" w:name="_Toc513029210"/>
      <w:bookmarkStart w:id="59" w:name="_Toc16938526"/>
      <w:r>
        <w:rPr>
          <w:rFonts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文件构成</w:t>
      </w:r>
      <w:bookmarkEnd w:id="57"/>
      <w:bookmarkEnd w:id="58"/>
      <w:bookmarkEnd w:id="59"/>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6.1询价文件由以下部分组成：</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（1）询价公告</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（2）供应商须知</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（3）采购需求</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（4）响应文件格式</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请仔细检查询价文件是否齐全，如有缺漏请立即与采购人</w:t>
      </w:r>
      <w:r>
        <w:rPr>
          <w:rStyle w:val="239"/>
          <w:rFonts w:hint="eastAsia" w:ascii="宋体" w:hAnsi="宋体" w:cs="宋体"/>
          <w:color w:val="000000" w:themeColor="text1"/>
          <w:sz w:val="24"/>
          <w14:textFill>
            <w14:solidFill>
              <w14:schemeClr w14:val="tx1"/>
            </w14:solidFill>
          </w14:textFill>
        </w:rPr>
        <w:t>或采购代理机构</w:t>
      </w:r>
      <w:r>
        <w:rPr>
          <w:rFonts w:hint="eastAsia" w:ascii="宋体" w:hAnsi="宋体" w:cs="宋体"/>
          <w:color w:val="000000" w:themeColor="text1"/>
          <w:sz w:val="24"/>
          <w14:textFill>
            <w14:solidFill>
              <w14:schemeClr w14:val="tx1"/>
            </w14:solidFill>
          </w14:textFill>
        </w:rPr>
        <w:t>联系解决。</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6.2供应商应认真阅读询价文件中所有的事项、格式、条款和规范等要求。按询价文件要求和规定编制响应文件，并保证所提供的全部资料的真实性，以使其响应文件对询价文件作出实质性响应，否则其风险由供应商自行承担。</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 本询价文件由采购人或采购代理机构负责解释。</w:t>
      </w:r>
    </w:p>
    <w:p>
      <w:pPr>
        <w:spacing w:line="480" w:lineRule="exact"/>
        <w:ind w:firstLine="480"/>
        <w:rPr>
          <w:rFonts w:ascii="宋体" w:hAnsi="宋体" w:cs="宋体"/>
          <w:color w:val="000000" w:themeColor="text1"/>
          <w:sz w:val="24"/>
          <w14:textFill>
            <w14:solidFill>
              <w14:schemeClr w14:val="tx1"/>
            </w14:solidFill>
          </w14:textFill>
        </w:rPr>
      </w:pPr>
      <w:bookmarkStart w:id="60" w:name="_Toc462564070"/>
      <w:bookmarkStart w:id="61" w:name="_Toc16938527"/>
      <w:bookmarkStart w:id="62" w:name="_Toc20823283"/>
      <w:bookmarkStart w:id="63" w:name="_Toc513029211"/>
      <w:r>
        <w:rPr>
          <w:rFonts w:hint="eastAsia" w:ascii="宋体" w:hAnsi="宋体" w:cs="宋体"/>
          <w:color w:val="000000" w:themeColor="text1"/>
          <w:sz w:val="24"/>
          <w14:textFill>
            <w14:solidFill>
              <w14:schemeClr w14:val="tx1"/>
            </w14:solidFill>
          </w14:textFill>
        </w:rPr>
        <w:t>7、询价文件的澄清</w:t>
      </w:r>
      <w:bookmarkEnd w:id="60"/>
      <w:bookmarkEnd w:id="61"/>
      <w:bookmarkEnd w:id="62"/>
      <w:bookmarkEnd w:id="63"/>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 任何要求对询价文件进行澄清的供应商，应在询价截止期3日前按招标公告中的通讯地址，向采购人或采购代理机构提出。</w:t>
      </w:r>
    </w:p>
    <w:p>
      <w:pPr>
        <w:spacing w:line="480" w:lineRule="exact"/>
        <w:ind w:firstLine="480"/>
        <w:rPr>
          <w:rFonts w:ascii="宋体" w:hAnsi="宋体" w:cs="宋体"/>
          <w:color w:val="000000" w:themeColor="text1"/>
          <w:sz w:val="24"/>
          <w14:textFill>
            <w14:solidFill>
              <w14:schemeClr w14:val="tx1"/>
            </w14:solidFill>
          </w14:textFill>
        </w:rPr>
      </w:pPr>
      <w:bookmarkStart w:id="64" w:name="_Toc462564071"/>
      <w:bookmarkStart w:id="65" w:name="_Toc16938528"/>
      <w:bookmarkStart w:id="66" w:name="_Toc513029212"/>
      <w:bookmarkStart w:id="67" w:name="_Toc20823284"/>
      <w:r>
        <w:rPr>
          <w:rFonts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文件的澄清和修改</w:t>
      </w:r>
      <w:bookmarkEnd w:id="64"/>
      <w:bookmarkEnd w:id="65"/>
      <w:bookmarkEnd w:id="66"/>
      <w:bookmarkEnd w:id="67"/>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8.1 在响应文件提交截止时间</w:t>
      </w:r>
      <w:r>
        <w:rPr>
          <w:rFonts w:ascii="宋体" w:hAnsi="宋体" w:cs="宋体"/>
          <w:color w:val="000000" w:themeColor="text1"/>
          <w:sz w:val="24"/>
          <w14:textFill>
            <w14:solidFill>
              <w14:schemeClr w14:val="tx1"/>
            </w14:solidFill>
          </w14:textFill>
        </w:rPr>
        <w:t>前</w:t>
      </w:r>
      <w:r>
        <w:rPr>
          <w:rFonts w:hint="eastAsia" w:ascii="宋体" w:hAnsi="宋体" w:cs="宋体"/>
          <w:color w:val="000000" w:themeColor="text1"/>
          <w:sz w:val="24"/>
          <w14:textFill>
            <w14:solidFill>
              <w14:schemeClr w14:val="tx1"/>
            </w14:solidFill>
          </w14:textFill>
        </w:rPr>
        <w:t>，</w:t>
      </w:r>
      <w:r>
        <w:rPr>
          <w:rStyle w:val="239"/>
          <w:rFonts w:hint="eastAsia" w:ascii="宋体" w:hAnsi="宋体" w:cs="宋体"/>
          <w:color w:val="000000" w:themeColor="text1"/>
          <w:sz w:val="24"/>
          <w14:textFill>
            <w14:solidFill>
              <w14:schemeClr w14:val="tx1"/>
            </w14:solidFill>
          </w14:textFill>
        </w:rPr>
        <w:t>采购人或采购代理机构可以对招标文件进行修改。</w:t>
      </w:r>
    </w:p>
    <w:p>
      <w:pPr>
        <w:snapToGrid w:val="0"/>
        <w:spacing w:line="360" w:lineRule="auto"/>
        <w:ind w:firstLine="480" w:firstLineChars="200"/>
        <w:rPr>
          <w:rStyle w:val="239"/>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8.2</w:t>
      </w:r>
      <w:r>
        <w:rPr>
          <w:rStyle w:val="239"/>
          <w:rFonts w:hint="eastAsia" w:ascii="宋体" w:hAnsi="宋体" w:cs="宋体"/>
          <w:color w:val="000000" w:themeColor="text1"/>
          <w:sz w:val="24"/>
          <w14:textFill>
            <w14:solidFill>
              <w14:schemeClr w14:val="tx1"/>
            </w14:solidFill>
          </w14:textFill>
        </w:rPr>
        <w:t>采购人或采购代理机构有权依法推迟投标截止日期和开标日期。</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8.3</w:t>
      </w:r>
      <w:r>
        <w:rPr>
          <w:rStyle w:val="239"/>
          <w:rFonts w:hint="eastAsia" w:ascii="宋体" w:hAnsi="宋体" w:cs="宋体"/>
          <w:color w:val="000000" w:themeColor="text1"/>
          <w:sz w:val="24"/>
          <w14:textFill>
            <w14:solidFill>
              <w14:schemeClr w14:val="tx1"/>
            </w14:solidFill>
          </w14:textFill>
        </w:rPr>
        <w:t>询价文件的修改将在“盐城工业职业技术学院招标采购网”公布，补充文件将作为招标文件的组成部分，并对投标人具有约束力。</w:t>
      </w:r>
    </w:p>
    <w:p>
      <w:pPr>
        <w:spacing w:line="480" w:lineRule="exact"/>
        <w:ind w:firstLine="482"/>
        <w:rPr>
          <w:rFonts w:ascii="宋体" w:hAnsi="宋体" w:cs="宋体"/>
          <w:b/>
          <w:bCs/>
          <w:color w:val="000000" w:themeColor="text1"/>
          <w:sz w:val="24"/>
          <w14:textFill>
            <w14:solidFill>
              <w14:schemeClr w14:val="tx1"/>
            </w14:solidFill>
          </w14:textFill>
        </w:rPr>
      </w:pPr>
      <w:bookmarkStart w:id="68" w:name="_Toc120614216"/>
      <w:bookmarkStart w:id="69" w:name="_Toc16938529"/>
      <w:bookmarkStart w:id="70" w:name="_Toc462564072"/>
      <w:bookmarkStart w:id="71" w:name="_Toc513029213"/>
      <w:bookmarkStart w:id="72" w:name="_Toc20823285"/>
      <w:r>
        <w:rPr>
          <w:rFonts w:ascii="宋体" w:hAnsi="宋体" w:cs="宋体"/>
          <w:b/>
          <w:bCs/>
          <w:color w:val="000000" w:themeColor="text1"/>
          <w:sz w:val="24"/>
          <w14:textFill>
            <w14:solidFill>
              <w14:schemeClr w14:val="tx1"/>
            </w14:solidFill>
          </w14:textFill>
        </w:rPr>
        <w:t>三、响应文件的编制</w:t>
      </w:r>
      <w:bookmarkEnd w:id="68"/>
      <w:bookmarkEnd w:id="69"/>
      <w:bookmarkEnd w:id="70"/>
      <w:bookmarkEnd w:id="71"/>
      <w:bookmarkEnd w:id="72"/>
    </w:p>
    <w:p>
      <w:pPr>
        <w:spacing w:line="480" w:lineRule="exact"/>
        <w:ind w:firstLine="480"/>
        <w:rPr>
          <w:rFonts w:ascii="宋体" w:hAnsi="宋体" w:cs="宋体"/>
          <w:color w:val="000000" w:themeColor="text1"/>
          <w:sz w:val="24"/>
          <w14:textFill>
            <w14:solidFill>
              <w14:schemeClr w14:val="tx1"/>
            </w14:solidFill>
          </w14:textFill>
        </w:rPr>
      </w:pPr>
      <w:bookmarkStart w:id="73" w:name="_Toc513029214"/>
      <w:bookmarkStart w:id="74" w:name="_Toc20823286"/>
      <w:bookmarkStart w:id="75" w:name="_Toc16938530"/>
      <w:bookmarkStart w:id="76" w:name="_Toc462564073"/>
      <w:r>
        <w:rPr>
          <w:rFonts w:ascii="宋体" w:hAnsi="宋体" w:cs="宋体"/>
          <w:color w:val="000000" w:themeColor="text1"/>
          <w:sz w:val="24"/>
          <w14:textFill>
            <w14:solidFill>
              <w14:schemeClr w14:val="tx1"/>
            </w14:solidFill>
          </w14:textFill>
        </w:rPr>
        <w:t>9、响应文件的语言及度量衡单位</w:t>
      </w:r>
      <w:bookmarkEnd w:id="73"/>
      <w:bookmarkEnd w:id="74"/>
      <w:bookmarkEnd w:id="75"/>
      <w:bookmarkEnd w:id="76"/>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9.1供应商提交的响应文件以及供应商与采购人就有关询价的所有来往通知、函件和文件均应使用</w:t>
      </w:r>
      <w:r>
        <w:rPr>
          <w:rFonts w:hint="eastAsia" w:ascii="宋体" w:hAnsi="宋体" w:cs="宋体"/>
          <w:b/>
          <w:bCs/>
          <w:color w:val="000000" w:themeColor="text1"/>
          <w:sz w:val="24"/>
          <w14:textFill>
            <w14:solidFill>
              <w14:schemeClr w14:val="tx1"/>
            </w14:solidFill>
          </w14:textFill>
        </w:rPr>
        <w:t>简体中文</w:t>
      </w:r>
      <w:r>
        <w:rPr>
          <w:rFonts w:hint="eastAsia" w:ascii="宋体" w:hAnsi="宋体" w:cs="宋体"/>
          <w:color w:val="000000" w:themeColor="text1"/>
          <w:sz w:val="24"/>
          <w14:textFill>
            <w14:solidFill>
              <w14:schemeClr w14:val="tx1"/>
            </w14:solidFill>
          </w14:textFill>
        </w:rPr>
        <w:t>。</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9.2 除技术性能另有规定外，响应文件所使用的度量衡单位，均须采用国家法定计量单位。</w:t>
      </w:r>
    </w:p>
    <w:p>
      <w:pPr>
        <w:spacing w:line="480" w:lineRule="exact"/>
        <w:ind w:firstLine="480"/>
        <w:rPr>
          <w:rFonts w:ascii="宋体" w:hAnsi="宋体" w:cs="宋体"/>
          <w:color w:val="000000" w:themeColor="text1"/>
          <w:sz w:val="24"/>
          <w14:textFill>
            <w14:solidFill>
              <w14:schemeClr w14:val="tx1"/>
            </w14:solidFill>
          </w14:textFill>
        </w:rPr>
      </w:pPr>
      <w:bookmarkStart w:id="77" w:name="_Toc513029215"/>
      <w:bookmarkStart w:id="78" w:name="_Toc16938531"/>
      <w:bookmarkStart w:id="79" w:name="_Toc462564074"/>
      <w:bookmarkStart w:id="80" w:name="_Toc20823287"/>
      <w:r>
        <w:rPr>
          <w:rFonts w:ascii="宋体" w:hAnsi="宋体" w:cs="宋体"/>
          <w:color w:val="000000" w:themeColor="text1"/>
          <w:sz w:val="24"/>
          <w14:textFill>
            <w14:solidFill>
              <w14:schemeClr w14:val="tx1"/>
            </w14:solidFill>
          </w14:textFill>
        </w:rPr>
        <w:t>10、响应文件构成</w:t>
      </w:r>
      <w:bookmarkEnd w:id="77"/>
      <w:bookmarkEnd w:id="78"/>
      <w:bookmarkEnd w:id="79"/>
      <w:bookmarkEnd w:id="80"/>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10.1供应商编写的响应文件应包括资格证明文件、符合性证明文件、分项报价表、商务要求响应及偏离表、其他证明文件、开标一览表、询价响应函等部分。</w:t>
      </w:r>
    </w:p>
    <w:p>
      <w:pPr>
        <w:spacing w:line="480" w:lineRule="exact"/>
        <w:ind w:firstLine="480"/>
        <w:rPr>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10.2投标人应将响应文件按顺序装订成册，并编制响应文件资料目录。</w:t>
      </w:r>
    </w:p>
    <w:p>
      <w:pPr>
        <w:spacing w:line="480" w:lineRule="exact"/>
        <w:ind w:firstLine="480"/>
        <w:rPr>
          <w:rFonts w:ascii="宋体" w:hAnsi="宋体" w:cs="宋体"/>
          <w:color w:val="000000" w:themeColor="text1"/>
          <w:sz w:val="24"/>
          <w14:textFill>
            <w14:solidFill>
              <w14:schemeClr w14:val="tx1"/>
            </w14:solidFill>
          </w14:textFill>
        </w:rPr>
      </w:pPr>
      <w:bookmarkStart w:id="81" w:name="_Toc14577355"/>
      <w:bookmarkStart w:id="82" w:name="_Toc14577354"/>
      <w:bookmarkStart w:id="83" w:name="_Toc49090509"/>
      <w:bookmarkStart w:id="84" w:name="_Toc513029216"/>
      <w:bookmarkStart w:id="85" w:name="_Toc49090508"/>
      <w:bookmarkStart w:id="86" w:name="_Toc14577357"/>
      <w:bookmarkStart w:id="87" w:name="_Toc49090507"/>
      <w:bookmarkStart w:id="88" w:name="_Toc513029219"/>
      <w:r>
        <w:rPr>
          <w:rFonts w:ascii="宋体" w:hAnsi="宋体" w:cs="宋体"/>
          <w:color w:val="000000" w:themeColor="text1"/>
          <w:sz w:val="24"/>
          <w14:textFill>
            <w14:solidFill>
              <w14:schemeClr w14:val="tx1"/>
            </w14:solidFill>
          </w14:textFill>
        </w:rPr>
        <w:t>11、证明</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响应标的符合</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文件规定的文件</w:t>
      </w:r>
      <w:bookmarkEnd w:id="81"/>
      <w:bookmarkEnd w:id="82"/>
      <w:bookmarkEnd w:id="83"/>
      <w:bookmarkEnd w:id="84"/>
      <w:bookmarkEnd w:id="85"/>
      <w:bookmarkEnd w:id="86"/>
      <w:bookmarkEnd w:id="87"/>
      <w:bookmarkEnd w:id="88"/>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11.1供应商应按照询价文件要求提交证明文件，证明其及询价响应标的符合询价文件规定。</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11.2询价文件对证明文件无明确形式要求的，证明文件可以以文字资料、图纸和数据等形式提交。</w:t>
      </w:r>
    </w:p>
    <w:p>
      <w:pPr>
        <w:spacing w:line="48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12、分项报价表</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12.1供应商应按照询价文件规定格式填报分项报价表。</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12.2询价货币。响应文件中的单价和总价无特殊规定的采用人民币报价，以元为单位标注。询价文件中另有规定的按规定执行。</w:t>
      </w:r>
    </w:p>
    <w:p>
      <w:pPr>
        <w:spacing w:line="48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13、技术要求响应及偏离表、商务要求响应及偏离表</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13.1供应商需对询价文件中的技术要求与商务要求逐项作出响应或偏离，并说明原因。</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13.2供应商可在响应文件中提供认为需要的其他技术文件或说明。</w:t>
      </w:r>
    </w:p>
    <w:p>
      <w:pPr>
        <w:spacing w:line="480" w:lineRule="exact"/>
        <w:ind w:firstLine="48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r>
        <w:rPr>
          <w:rFonts w:hint="eastAsia" w:ascii="宋体" w:hAnsi="宋体" w:cs="宋体"/>
          <w:color w:val="000000" w:themeColor="text1"/>
          <w:sz w:val="24"/>
          <w:lang w:val="zh-CN"/>
          <w14:textFill>
            <w14:solidFill>
              <w14:schemeClr w14:val="tx1"/>
            </w14:solidFill>
          </w14:textFill>
        </w:rPr>
        <w:t>服务承诺及售后服务机构、人员的情况介绍</w:t>
      </w:r>
    </w:p>
    <w:p>
      <w:pPr>
        <w:spacing w:line="480" w:lineRule="exact"/>
        <w:ind w:firstLine="480"/>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14.1投标人的服务承诺应按不低于招标文件中商务要求的标准。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14.2提供投标人有关售后服务的管理制度、售后服务机构的分布情况、售后服务人员的数量、素质、技术水平及售后服务的反应能力。</w:t>
      </w:r>
    </w:p>
    <w:p>
      <w:pPr>
        <w:numPr>
          <w:ilvl w:val="0"/>
          <w:numId w:val="1"/>
        </w:num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响应文件的份数与签署</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供应商应按照询价文件中提供的格式完整、正确填写开标一览表、询价响应函。开标一览表中的价格应与投标文件中投标配置与分项报价表中的价格一致，如不一致，不作为无效投标处理，但评标时按开标一览表中价格为准。响应文件要求</w:t>
      </w:r>
      <w:r>
        <w:rPr>
          <w:rFonts w:hint="eastAsia" w:ascii="宋体" w:hAnsi="宋体"/>
          <w:b/>
          <w:color w:val="000000" w:themeColor="text1"/>
          <w:sz w:val="24"/>
          <w14:textFill>
            <w14:solidFill>
              <w14:schemeClr w14:val="tx1"/>
            </w14:solidFill>
          </w14:textFill>
        </w:rPr>
        <w:t>正本一份，副本两份</w:t>
      </w:r>
      <w:r>
        <w:rPr>
          <w:rFonts w:hint="eastAsia" w:ascii="宋体" w:hAnsi="宋体"/>
          <w:color w:val="000000" w:themeColor="text1"/>
          <w:sz w:val="24"/>
          <w14:textFill>
            <w14:solidFill>
              <w14:schemeClr w14:val="tx1"/>
            </w14:solidFill>
          </w14:textFill>
        </w:rPr>
        <w:t>。</w:t>
      </w:r>
    </w:p>
    <w:p>
      <w:pPr>
        <w:spacing w:line="500" w:lineRule="exact"/>
        <w:ind w:firstLine="480" w:firstLineChars="200"/>
        <w:rPr>
          <w:rFonts w:ascii="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投标人应严格按照询价文件要求的份数准备响应文件，每份响应文件须清楚地标明“正本”或“副本”字样。一旦正本和副本不符，以正本为准。</w:t>
      </w:r>
    </w:p>
    <w:p>
      <w:pPr>
        <w:spacing w:line="5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询价文件要求提供的原件可直接放入响应文件封袋内或单独密封在一个封袋内，如果原件单独密封的须在封袋上标明项目名称、投标人名称并在封口处密封并加盖投标人公章，与响应文件一起递交。响应文件正本中，询价文件要求必须提供原件的按照要求提供，文字材料需打印或用不褪色墨水书写。响应文件的正本须经法定代表人或授权委托人（被授权人）签署和加盖投标人公章。本采购文件所表述（指定）的公章是指法定名称章，不包括合同专用章、业务专用章等印章。（询价文件中要求提供原件的须在响应文件中提供复印件）。</w:t>
      </w:r>
    </w:p>
    <w:p>
      <w:pPr>
        <w:spacing w:line="500" w:lineRule="exact"/>
        <w:ind w:firstLine="480" w:firstLineChars="200"/>
        <w:rPr>
          <w:rFonts w:asciiTheme="minorEastAsia" w:hAnsiTheme="minorEastAsia" w:eastAsiaTheme="minorEastAsia"/>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.4</w:t>
      </w:r>
      <w:r>
        <w:rPr>
          <w:rFonts w:hint="eastAsia" w:ascii="宋体" w:hAnsi="宋体"/>
          <w:bCs/>
          <w:color w:val="000000" w:themeColor="text1"/>
          <w:sz w:val="24"/>
          <w14:textFill>
            <w14:solidFill>
              <w14:schemeClr w14:val="tx1"/>
            </w14:solidFill>
          </w14:textFill>
        </w:rPr>
        <w:t>除投标人对错处做必要修改外，响应文件不得行间插字、涂改或增删。如有修改错漏处，必须由响应文件签署人签字或盖章</w:t>
      </w:r>
      <w:r>
        <w:rPr>
          <w:rFonts w:hint="eastAsia" w:ascii="宋体" w:hAnsi="宋体"/>
          <w:color w:val="000000" w:themeColor="text1"/>
          <w:sz w:val="24"/>
          <w14:textFill>
            <w14:solidFill>
              <w14:schemeClr w14:val="tx1"/>
            </w14:solidFill>
          </w14:textFill>
        </w:rPr>
        <w:t>。</w:t>
      </w:r>
    </w:p>
    <w:p>
      <w:pPr>
        <w:spacing w:line="480" w:lineRule="exact"/>
        <w:ind w:firstLine="480"/>
        <w:rPr>
          <w:rFonts w:ascii="宋体" w:hAnsi="宋体" w:cs="宋体"/>
          <w:color w:val="000000" w:themeColor="text1"/>
          <w:sz w:val="24"/>
          <w14:textFill>
            <w14:solidFill>
              <w14:schemeClr w14:val="tx1"/>
            </w14:solidFill>
          </w14:textFill>
        </w:rPr>
      </w:pPr>
      <w:bookmarkStart w:id="89" w:name="_Toc49090511"/>
      <w:bookmarkStart w:id="90" w:name="_Toc14577360"/>
      <w:r>
        <w:rPr>
          <w:rFonts w:ascii="宋体" w:hAnsi="宋体" w:cs="宋体"/>
          <w:color w:val="000000" w:themeColor="text1"/>
          <w:sz w:val="24"/>
          <w14:textFill>
            <w14:solidFill>
              <w14:schemeClr w14:val="tx1"/>
            </w14:solidFill>
          </w14:textFill>
        </w:rPr>
        <w:t>16、</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有效期</w:t>
      </w:r>
      <w:bookmarkEnd w:id="89"/>
      <w:bookmarkEnd w:id="90"/>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16.1询价有效期为</w:t>
      </w:r>
      <w:r>
        <w:rPr>
          <w:rStyle w:val="239"/>
          <w:rFonts w:hint="eastAsia" w:ascii="宋体" w:hAnsi="宋体" w:cs="宋体"/>
          <w:bCs/>
          <w:color w:val="000000" w:themeColor="text1"/>
          <w:sz w:val="24"/>
          <w14:textFill>
            <w14:solidFill>
              <w14:schemeClr w14:val="tx1"/>
            </w14:solidFill>
          </w14:textFill>
        </w:rPr>
        <w:t>采购人或采购代理机构</w:t>
      </w:r>
      <w:r>
        <w:rPr>
          <w:rFonts w:hint="eastAsia" w:ascii="宋体" w:hAnsi="宋体" w:cs="宋体"/>
          <w:color w:val="000000" w:themeColor="text1"/>
          <w:sz w:val="24"/>
          <w14:textFill>
            <w14:solidFill>
              <w14:schemeClr w14:val="tx1"/>
            </w14:solidFill>
          </w14:textFill>
        </w:rPr>
        <w:t>规定的提交响应文件截止之日后</w:t>
      </w:r>
      <w:r>
        <w:rPr>
          <w:rFonts w:ascii="宋体" w:hAnsi="宋体" w:cs="宋体"/>
          <w:b/>
          <w:bCs/>
          <w:color w:val="000000" w:themeColor="text1"/>
          <w:sz w:val="24"/>
          <w:u w:val="single"/>
          <w14:textFill>
            <w14:solidFill>
              <w14:schemeClr w14:val="tx1"/>
            </w14:solidFill>
          </w14:textFill>
        </w:rPr>
        <w:t>六十（60）</w:t>
      </w:r>
      <w:r>
        <w:rPr>
          <w:rFonts w:ascii="宋体" w:hAnsi="宋体" w:cs="宋体"/>
          <w:color w:val="000000" w:themeColor="text1"/>
          <w:sz w:val="24"/>
          <w14:textFill>
            <w14:solidFill>
              <w14:schemeClr w14:val="tx1"/>
            </w14:solidFill>
          </w14:textFill>
        </w:rPr>
        <w:t>天</w:t>
      </w:r>
      <w:r>
        <w:rPr>
          <w:rFonts w:hint="eastAsia" w:ascii="宋体" w:hAnsi="宋体" w:cs="宋体"/>
          <w:color w:val="000000" w:themeColor="text1"/>
          <w:sz w:val="24"/>
          <w14:textFill>
            <w14:solidFill>
              <w14:schemeClr w14:val="tx1"/>
            </w14:solidFill>
          </w14:textFill>
        </w:rPr>
        <w:t>。询价有效期比规定短的将被视为非实质性响应询价文件而予以拒绝。</w:t>
      </w:r>
    </w:p>
    <w:p>
      <w:pPr>
        <w:spacing w:line="48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有效期的延长</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17.1在特殊情况下，</w:t>
      </w:r>
      <w:r>
        <w:rPr>
          <w:rStyle w:val="239"/>
          <w:rFonts w:hint="eastAsia" w:ascii="宋体" w:hAnsi="宋体" w:cs="宋体"/>
          <w:bCs/>
          <w:color w:val="000000" w:themeColor="text1"/>
          <w:sz w:val="24"/>
          <w14:textFill>
            <w14:solidFill>
              <w14:schemeClr w14:val="tx1"/>
            </w14:solidFill>
          </w14:textFill>
        </w:rPr>
        <w:t>采购人或采购代理机构</w:t>
      </w:r>
      <w:r>
        <w:rPr>
          <w:rFonts w:hint="eastAsia" w:ascii="宋体" w:hAnsi="宋体" w:cs="宋体"/>
          <w:color w:val="000000" w:themeColor="text1"/>
          <w:sz w:val="24"/>
          <w14:textFill>
            <w14:solidFill>
              <w14:schemeClr w14:val="tx1"/>
            </w14:solidFill>
          </w14:textFill>
        </w:rPr>
        <w:t>于原询价有效期满之前，可向供应商提出延长询价有效期的要求。这种要求与答复均应采用书面形式。供应商可以拒绝采购人的这一要求而放弃询价，同意延长询价有效期的供应商既不能要求也不允许修改其响应文件。受询价有效期约束的所有权利与义务均延长至新的有效期。</w:t>
      </w:r>
    </w:p>
    <w:p>
      <w:pPr>
        <w:spacing w:line="480" w:lineRule="exact"/>
        <w:ind w:firstLine="482"/>
        <w:rPr>
          <w:rFonts w:ascii="宋体" w:hAnsi="宋体" w:cs="宋体"/>
          <w:b/>
          <w:bCs/>
          <w:color w:val="000000" w:themeColor="text1"/>
          <w:sz w:val="24"/>
          <w14:textFill>
            <w14:solidFill>
              <w14:schemeClr w14:val="tx1"/>
            </w14:solidFill>
          </w14:textFill>
        </w:rPr>
      </w:pPr>
      <w:bookmarkStart w:id="91" w:name="_Toc20823296"/>
      <w:bookmarkStart w:id="92" w:name="_Toc120614217"/>
      <w:bookmarkStart w:id="93" w:name="_Toc16938540"/>
      <w:bookmarkStart w:id="94" w:name="_Toc513029224"/>
      <w:r>
        <w:rPr>
          <w:rFonts w:ascii="宋体" w:hAnsi="宋体" w:cs="宋体"/>
          <w:b/>
          <w:bCs/>
          <w:color w:val="000000" w:themeColor="text1"/>
          <w:sz w:val="24"/>
          <w14:textFill>
            <w14:solidFill>
              <w14:schemeClr w14:val="tx1"/>
            </w14:solidFill>
          </w14:textFill>
        </w:rPr>
        <w:t>四、响应文件的递交</w:t>
      </w:r>
      <w:bookmarkEnd w:id="91"/>
      <w:bookmarkEnd w:id="92"/>
      <w:bookmarkEnd w:id="93"/>
      <w:bookmarkEnd w:id="94"/>
    </w:p>
    <w:p>
      <w:pPr>
        <w:spacing w:line="480" w:lineRule="exact"/>
        <w:ind w:firstLine="480"/>
        <w:rPr>
          <w:rFonts w:ascii="宋体" w:hAnsi="宋体" w:cs="宋体"/>
          <w:color w:val="000000" w:themeColor="text1"/>
          <w:sz w:val="24"/>
          <w14:textFill>
            <w14:solidFill>
              <w14:schemeClr w14:val="tx1"/>
            </w14:solidFill>
          </w14:textFill>
        </w:rPr>
      </w:pPr>
      <w:bookmarkStart w:id="95" w:name="_Toc16938541"/>
      <w:bookmarkStart w:id="96" w:name="_Toc513029225"/>
      <w:bookmarkStart w:id="97" w:name="_Toc462564084"/>
      <w:bookmarkStart w:id="98" w:name="_Toc20823297"/>
      <w:bookmarkStart w:id="99" w:name="_Toc513029229"/>
      <w:bookmarkStart w:id="100" w:name="_Toc120614218"/>
      <w:bookmarkStart w:id="101" w:name="_Toc16938545"/>
      <w:bookmarkStart w:id="102" w:name="_Toc20823301"/>
      <w:r>
        <w:rPr>
          <w:rFonts w:hint="eastAsia" w:ascii="宋体" w:hAnsi="宋体" w:cs="宋体"/>
          <w:color w:val="000000" w:themeColor="text1"/>
          <w:sz w:val="24"/>
          <w14:textFill>
            <w14:solidFill>
              <w14:schemeClr w14:val="tx1"/>
            </w14:solidFill>
          </w14:textFill>
        </w:rPr>
        <w:t>18、响应文件的密封和标记</w:t>
      </w:r>
      <w:bookmarkEnd w:id="95"/>
      <w:bookmarkEnd w:id="96"/>
      <w:bookmarkEnd w:id="97"/>
      <w:bookmarkEnd w:id="98"/>
    </w:p>
    <w:p>
      <w:pPr>
        <w:spacing w:line="500" w:lineRule="exact"/>
        <w:ind w:firstLine="480" w:firstLineChars="200"/>
        <w:rPr>
          <w:rFonts w:asci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w:t>
      </w:r>
      <w:r>
        <w:rPr>
          <w:rFonts w:ascii="宋体" w:hAnsi="宋体"/>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投标人应将响应文件正本和所有副本密封，不论投标人中标与否，响应文件均不退回。</w:t>
      </w:r>
    </w:p>
    <w:p>
      <w:pPr>
        <w:spacing w:line="500" w:lineRule="exact"/>
        <w:ind w:firstLine="482" w:firstLineChars="200"/>
        <w:rPr>
          <w:rFonts w:asci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18</w:t>
      </w:r>
      <w:r>
        <w:rPr>
          <w:rFonts w:ascii="宋体" w:hAnsi="宋体"/>
          <w:b/>
          <w:color w:val="000000" w:themeColor="text1"/>
          <w:sz w:val="24"/>
          <w14:textFill>
            <w14:solidFill>
              <w14:schemeClr w14:val="tx1"/>
            </w14:solidFill>
          </w14:textFill>
        </w:rPr>
        <w:t>.2</w:t>
      </w:r>
      <w:r>
        <w:rPr>
          <w:rFonts w:hint="eastAsia" w:ascii="宋体" w:hAnsi="宋体"/>
          <w:b/>
          <w:bCs/>
          <w:color w:val="000000" w:themeColor="text1"/>
          <w:sz w:val="24"/>
          <w14:textFill>
            <w14:solidFill>
              <w14:schemeClr w14:val="tx1"/>
            </w14:solidFill>
          </w14:textFill>
        </w:rPr>
        <w:t>密封的响应文件应：</w:t>
      </w:r>
    </w:p>
    <w:p>
      <w:pPr>
        <w:spacing w:line="500" w:lineRule="exact"/>
        <w:ind w:firstLine="480" w:firstLineChars="200"/>
        <w:rPr>
          <w:rFonts w:ascii="宋体" w:hAnsi="宋体"/>
          <w:bCs/>
          <w:color w:val="000000" w:themeColor="text1"/>
          <w:sz w:val="24"/>
          <w14:textFill>
            <w14:solidFill>
              <w14:schemeClr w14:val="tx1"/>
            </w14:solidFill>
          </w14:textFill>
        </w:rPr>
      </w:pPr>
      <w:bookmarkStart w:id="103" w:name="_Toc20823298"/>
      <w:bookmarkStart w:id="104" w:name="_Toc513029226"/>
      <w:bookmarkStart w:id="105" w:name="_Toc16938542"/>
      <w:r>
        <w:rPr>
          <w:rFonts w:hint="eastAsia" w:ascii="宋体" w:hAnsi="宋体"/>
          <w:bCs/>
          <w:color w:val="000000" w:themeColor="text1"/>
          <w:sz w:val="24"/>
          <w14:textFill>
            <w14:solidFill>
              <w14:schemeClr w14:val="tx1"/>
            </w14:solidFill>
          </w14:textFill>
        </w:rPr>
        <w:t>18.2.1响应文件按询价文件的格式、样式要求装订、签署和盖章后装入封袋，封袋大小根据需要自行制作，在封袋上正确标明项目名称、投标人名称。</w:t>
      </w:r>
    </w:p>
    <w:p>
      <w:pPr>
        <w:spacing w:line="5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18.2.2所有响应文件装入封袋后都必须在封口处密封并加盖投标人公章。</w:t>
      </w:r>
    </w:p>
    <w:p>
      <w:pPr>
        <w:spacing w:line="5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18</w:t>
      </w:r>
      <w:r>
        <w:rPr>
          <w:rFonts w:ascii="宋体" w:hAnsi="宋体"/>
          <w:color w:val="000000" w:themeColor="text1"/>
          <w:sz w:val="24"/>
          <w14:textFill>
            <w14:solidFill>
              <w14:schemeClr w14:val="tx1"/>
            </w14:solidFill>
          </w14:textFill>
        </w:rPr>
        <w:t>.2.3</w:t>
      </w:r>
      <w:r>
        <w:rPr>
          <w:rFonts w:hint="eastAsia" w:ascii="宋体" w:hAnsi="宋体"/>
          <w:bCs/>
          <w:color w:val="000000" w:themeColor="text1"/>
          <w:sz w:val="24"/>
          <w14:textFill>
            <w14:solidFill>
              <w14:schemeClr w14:val="tx1"/>
            </w14:solidFill>
          </w14:textFill>
        </w:rPr>
        <w:t>未按要求密封和加写标记的响应文件，采购人将予以拒收。</w:t>
      </w:r>
    </w:p>
    <w:p>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19、递交响应文件截止日期</w:t>
      </w:r>
      <w:bookmarkEnd w:id="103"/>
      <w:bookmarkEnd w:id="104"/>
      <w:bookmarkEnd w:id="105"/>
    </w:p>
    <w:p>
      <w:pPr>
        <w:spacing w:line="500" w:lineRule="exact"/>
        <w:ind w:firstLine="480" w:firstLineChars="200"/>
        <w:rPr>
          <w:rFonts w:asci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w:t>
      </w:r>
      <w:r>
        <w:rPr>
          <w:rFonts w:ascii="宋体" w:hAnsi="宋体"/>
          <w:color w:val="000000" w:themeColor="text1"/>
          <w:sz w:val="24"/>
          <w14:textFill>
            <w14:solidFill>
              <w14:schemeClr w14:val="tx1"/>
            </w14:solidFill>
          </w14:textFill>
        </w:rPr>
        <w:t>.1</w:t>
      </w:r>
      <w:r>
        <w:rPr>
          <w:rStyle w:val="239"/>
          <w:rFonts w:hint="eastAsia" w:ascii="宋体" w:hAnsi="宋体" w:cs="宋体"/>
          <w:bCs/>
          <w:color w:val="000000" w:themeColor="text1"/>
          <w:sz w:val="24"/>
          <w14:textFill>
            <w14:solidFill>
              <w14:schemeClr w14:val="tx1"/>
            </w14:solidFill>
          </w14:textFill>
        </w:rPr>
        <w:t>采购人和采购代理机构</w:t>
      </w:r>
      <w:r>
        <w:rPr>
          <w:rFonts w:hint="eastAsia" w:ascii="宋体" w:hAnsi="宋体"/>
          <w:bCs/>
          <w:color w:val="000000" w:themeColor="text1"/>
          <w:sz w:val="24"/>
          <w14:textFill>
            <w14:solidFill>
              <w14:schemeClr w14:val="tx1"/>
            </w14:solidFill>
          </w14:textFill>
        </w:rPr>
        <w:t>收到响应文件的时间不得迟于询价文件中规定的递交响应文件截止时间。</w:t>
      </w:r>
    </w:p>
    <w:p>
      <w:pPr>
        <w:spacing w:line="500" w:lineRule="exact"/>
        <w:ind w:firstLine="480" w:firstLineChars="200"/>
        <w:rPr>
          <w:rFonts w:asci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19</w:t>
      </w:r>
      <w:r>
        <w:rPr>
          <w:rFonts w:ascii="宋体" w:hAnsi="宋体"/>
          <w:color w:val="000000" w:themeColor="text1"/>
          <w:sz w:val="24"/>
          <w14:textFill>
            <w14:solidFill>
              <w14:schemeClr w14:val="tx1"/>
            </w14:solidFill>
          </w14:textFill>
        </w:rPr>
        <w:t>.2</w:t>
      </w:r>
      <w:r>
        <w:rPr>
          <w:rStyle w:val="239"/>
          <w:rFonts w:hint="eastAsia" w:ascii="宋体" w:hAnsi="宋体" w:cs="宋体"/>
          <w:bCs/>
          <w:color w:val="000000" w:themeColor="text1"/>
          <w:sz w:val="24"/>
          <w14:textFill>
            <w14:solidFill>
              <w14:schemeClr w14:val="tx1"/>
            </w14:solidFill>
          </w14:textFill>
        </w:rPr>
        <w:t>采购人和采购代理机构</w:t>
      </w:r>
      <w:r>
        <w:rPr>
          <w:rFonts w:hint="eastAsia" w:ascii="宋体" w:hAnsi="宋体"/>
          <w:bCs/>
          <w:color w:val="000000" w:themeColor="text1"/>
          <w:sz w:val="24"/>
          <w14:textFill>
            <w14:solidFill>
              <w14:schemeClr w14:val="tx1"/>
            </w14:solidFill>
          </w14:textFill>
        </w:rPr>
        <w:t>有权通过修改询价文件酌情延长递交响应文件截止日期，在此情况下，投标人的所有权利和义务以及投标人受制的截止日期均应以延长后新的截止日期为准。</w:t>
      </w:r>
    </w:p>
    <w:p>
      <w:pPr>
        <w:spacing w:line="480" w:lineRule="exact"/>
        <w:ind w:firstLine="480"/>
        <w:rPr>
          <w:rFonts w:ascii="宋体" w:hAnsi="宋体" w:cs="宋体"/>
          <w:color w:val="000000" w:themeColor="text1"/>
          <w:sz w:val="24"/>
          <w14:textFill>
            <w14:solidFill>
              <w14:schemeClr w14:val="tx1"/>
            </w14:solidFill>
          </w14:textFill>
        </w:rPr>
      </w:pPr>
      <w:bookmarkStart w:id="106" w:name="_Toc20823299"/>
      <w:bookmarkStart w:id="107" w:name="_Toc16938543"/>
      <w:bookmarkStart w:id="108" w:name="_Toc513029227"/>
      <w:r>
        <w:rPr>
          <w:rFonts w:hint="eastAsia" w:ascii="宋体" w:hAnsi="宋体" w:cs="宋体"/>
          <w:color w:val="000000" w:themeColor="text1"/>
          <w:sz w:val="24"/>
          <w14:textFill>
            <w14:solidFill>
              <w14:schemeClr w14:val="tx1"/>
            </w14:solidFill>
          </w14:textFill>
        </w:rPr>
        <w:t>20、</w:t>
      </w:r>
      <w:bookmarkEnd w:id="106"/>
      <w:bookmarkEnd w:id="107"/>
      <w:bookmarkEnd w:id="108"/>
      <w:r>
        <w:rPr>
          <w:rFonts w:hint="eastAsia" w:ascii="宋体" w:hAnsi="宋体" w:cs="宋体"/>
          <w:color w:val="000000" w:themeColor="text1"/>
          <w:sz w:val="24"/>
          <w14:textFill>
            <w14:solidFill>
              <w14:schemeClr w14:val="tx1"/>
            </w14:solidFill>
          </w14:textFill>
        </w:rPr>
        <w:t>逾期送达的响应文件</w:t>
      </w:r>
    </w:p>
    <w:p>
      <w:pPr>
        <w:spacing w:line="500" w:lineRule="exact"/>
        <w:ind w:firstLine="480" w:firstLineChars="200"/>
        <w:rPr>
          <w:rFonts w:asci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20</w:t>
      </w:r>
      <w:r>
        <w:rPr>
          <w:rFonts w:ascii="宋体" w:hAnsi="宋体"/>
          <w:color w:val="000000" w:themeColor="text1"/>
          <w:sz w:val="24"/>
          <w14:textFill>
            <w14:solidFill>
              <w14:schemeClr w14:val="tx1"/>
            </w14:solidFill>
          </w14:textFill>
        </w:rPr>
        <w:t>.1</w:t>
      </w:r>
      <w:r>
        <w:rPr>
          <w:rStyle w:val="239"/>
          <w:rFonts w:hint="eastAsia" w:ascii="宋体" w:hAnsi="宋体" w:cs="宋体"/>
          <w:bCs/>
          <w:color w:val="000000" w:themeColor="text1"/>
          <w:sz w:val="24"/>
          <w14:textFill>
            <w14:solidFill>
              <w14:schemeClr w14:val="tx1"/>
            </w14:solidFill>
          </w14:textFill>
        </w:rPr>
        <w:t>采购人和采购代理机构</w:t>
      </w:r>
      <w:r>
        <w:rPr>
          <w:rFonts w:hint="eastAsia" w:ascii="宋体" w:hAnsi="宋体"/>
          <w:bCs/>
          <w:color w:val="000000" w:themeColor="text1"/>
          <w:sz w:val="24"/>
          <w14:textFill>
            <w14:solidFill>
              <w14:schemeClr w14:val="tx1"/>
            </w14:solidFill>
          </w14:textFill>
        </w:rPr>
        <w:t>拒绝接收在其规定的递交响应文件截止时间后递交的任何响应文件。</w:t>
      </w:r>
    </w:p>
    <w:p>
      <w:pPr>
        <w:spacing w:line="480" w:lineRule="exact"/>
        <w:ind w:firstLine="480"/>
        <w:rPr>
          <w:rFonts w:ascii="宋体" w:hAnsi="宋体" w:cs="宋体"/>
          <w:color w:val="000000" w:themeColor="text1"/>
          <w:sz w:val="24"/>
          <w14:textFill>
            <w14:solidFill>
              <w14:schemeClr w14:val="tx1"/>
            </w14:solidFill>
          </w14:textFill>
        </w:rPr>
      </w:pPr>
      <w:bookmarkStart w:id="109" w:name="_Toc16938544"/>
      <w:bookmarkStart w:id="110" w:name="_Toc20823300"/>
      <w:bookmarkStart w:id="111" w:name="_Toc513029228"/>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1、响应文件的修改和撤回</w:t>
      </w:r>
      <w:bookmarkEnd w:id="109"/>
      <w:bookmarkEnd w:id="110"/>
      <w:bookmarkEnd w:id="111"/>
    </w:p>
    <w:p>
      <w:pPr>
        <w:spacing w:line="500" w:lineRule="exact"/>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.1</w:t>
      </w:r>
      <w:r>
        <w:rPr>
          <w:rFonts w:hint="eastAsia" w:ascii="宋体" w:hAnsi="宋体"/>
          <w:bCs/>
          <w:color w:val="000000" w:themeColor="text1"/>
          <w:sz w:val="24"/>
          <w14:textFill>
            <w14:solidFill>
              <w14:schemeClr w14:val="tx1"/>
            </w14:solidFill>
          </w14:textFill>
        </w:rPr>
        <w:t>投标人在递交响应文件截止时间前，可以对所递交的响应文件进行补充、修改或者撤回，并书面通知</w:t>
      </w:r>
      <w:r>
        <w:rPr>
          <w:rStyle w:val="239"/>
          <w:rFonts w:hint="eastAsia" w:ascii="宋体" w:hAnsi="宋体" w:cs="宋体"/>
          <w:bCs/>
          <w:color w:val="000000" w:themeColor="text1"/>
          <w:sz w:val="24"/>
          <w14:textFill>
            <w14:solidFill>
              <w14:schemeClr w14:val="tx1"/>
            </w14:solidFill>
          </w14:textFill>
        </w:rPr>
        <w:t>采购人和采购代理机构</w:t>
      </w:r>
      <w:r>
        <w:rPr>
          <w:rFonts w:hint="eastAsia" w:ascii="宋体" w:hAnsi="宋体"/>
          <w:bCs/>
          <w:color w:val="000000" w:themeColor="text1"/>
          <w:sz w:val="24"/>
          <w14:textFill>
            <w14:solidFill>
              <w14:schemeClr w14:val="tx1"/>
            </w14:solidFill>
          </w14:textFill>
        </w:rPr>
        <w:t>。</w:t>
      </w:r>
    </w:p>
    <w:p>
      <w:pPr>
        <w:spacing w:line="500" w:lineRule="exact"/>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.2</w:t>
      </w:r>
      <w:r>
        <w:rPr>
          <w:rFonts w:hint="eastAsia" w:ascii="宋体" w:hAnsi="宋体"/>
          <w:bCs/>
          <w:color w:val="000000" w:themeColor="text1"/>
          <w:sz w:val="24"/>
          <w14:textFill>
            <w14:solidFill>
              <w14:schemeClr w14:val="tx1"/>
            </w14:solidFill>
          </w14:textFill>
        </w:rPr>
        <w:t>投标人补充、修改的内容应当按照询价文件要求签署、盖章、密封后，作为响应文件的组成部分。并应在封套上加注“修改”或“撤回”字样。</w:t>
      </w:r>
      <w:r>
        <w:rPr>
          <w:rFonts w:hint="eastAsia" w:ascii="宋体" w:hAnsi="宋体"/>
          <w:color w:val="000000" w:themeColor="text1"/>
          <w:sz w:val="24"/>
          <w14:textFill>
            <w14:solidFill>
              <w14:schemeClr w14:val="tx1"/>
            </w14:solidFill>
          </w14:textFill>
        </w:rPr>
        <w:t>上述补充或修改若涉及投标报价，必须注明“最后唯一报价”字样，否则将视为有选择的报价。补充、修改的文件必须在递交响应文件截止时间前送达</w:t>
      </w:r>
      <w:r>
        <w:rPr>
          <w:rStyle w:val="239"/>
          <w:rFonts w:hint="eastAsia" w:ascii="宋体" w:hAnsi="宋体" w:cs="宋体"/>
          <w:color w:val="000000" w:themeColor="text1"/>
          <w:sz w:val="24"/>
          <w14:textFill>
            <w14:solidFill>
              <w14:schemeClr w14:val="tx1"/>
            </w14:solidFill>
          </w14:textFill>
        </w:rPr>
        <w:t>采购人或采购代理机构</w:t>
      </w:r>
      <w:r>
        <w:rPr>
          <w:rFonts w:hint="eastAsia" w:ascii="宋体" w:hAnsi="宋体"/>
          <w:color w:val="000000" w:themeColor="text1"/>
          <w:sz w:val="24"/>
          <w14:textFill>
            <w14:solidFill>
              <w14:schemeClr w14:val="tx1"/>
            </w14:solidFill>
          </w14:textFill>
        </w:rPr>
        <w:t>。</w:t>
      </w:r>
    </w:p>
    <w:p>
      <w:pPr>
        <w:spacing w:line="500" w:lineRule="exact"/>
        <w:ind w:firstLine="480" w:firstLineChars="200"/>
        <w:rPr>
          <w:rFonts w:ascii="宋体" w:hAnsi="宋体"/>
          <w:bCs/>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在递交响应文件截止时间之后，投标人不得对其响应文件作任何补充、修改。</w:t>
      </w:r>
    </w:p>
    <w:p>
      <w:pPr>
        <w:spacing w:line="500" w:lineRule="exact"/>
        <w:ind w:firstLine="480" w:firstLineChars="200"/>
        <w:rPr>
          <w:rFonts w:ascii="宋体" w:hAnsi="宋体"/>
          <w:bCs/>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21.4</w:t>
      </w:r>
      <w:r>
        <w:rPr>
          <w:rStyle w:val="239"/>
          <w:rFonts w:hint="eastAsia" w:ascii="宋体" w:hAnsi="宋体" w:cs="宋体"/>
          <w:bCs/>
          <w:color w:val="000000" w:themeColor="text1"/>
          <w:sz w:val="24"/>
          <w14:textFill>
            <w14:solidFill>
              <w14:schemeClr w14:val="tx1"/>
            </w14:solidFill>
          </w14:textFill>
        </w:rPr>
        <w:t xml:space="preserve"> 在</w:t>
      </w:r>
      <w:r>
        <w:rPr>
          <w:rFonts w:hint="eastAsia" w:ascii="宋体" w:hAnsi="宋体"/>
          <w:bCs/>
          <w:color w:val="000000" w:themeColor="text1"/>
          <w:sz w:val="24"/>
          <w14:textFill>
            <w14:solidFill>
              <w14:schemeClr w14:val="tx1"/>
            </w14:solidFill>
          </w14:textFill>
        </w:rPr>
        <w:t>递交响应文件截止时间</w:t>
      </w:r>
      <w:r>
        <w:rPr>
          <w:rStyle w:val="239"/>
          <w:rFonts w:hint="eastAsia" w:ascii="宋体" w:hAnsi="宋体" w:cs="宋体"/>
          <w:bCs/>
          <w:color w:val="000000" w:themeColor="text1"/>
          <w:sz w:val="24"/>
          <w14:textFill>
            <w14:solidFill>
              <w14:schemeClr w14:val="tx1"/>
            </w14:solidFill>
          </w14:textFill>
        </w:rPr>
        <w:t>至招标文件中规定的投标有效期满之间的这段时间内，投标人不得撤回其投标，否则按照国家相关法律法规受到相应处罚。</w:t>
      </w:r>
    </w:p>
    <w:p>
      <w:pPr>
        <w:spacing w:line="480" w:lineRule="exact"/>
        <w:ind w:firstLine="482"/>
        <w:rPr>
          <w:rFonts w:ascii="宋体" w:hAnsi="宋体" w:cs="宋体"/>
          <w:b/>
          <w:bCs/>
          <w:color w:val="000000" w:themeColor="text1"/>
          <w:sz w:val="24"/>
          <w14:textFill>
            <w14:solidFill>
              <w14:schemeClr w14:val="tx1"/>
            </w14:solidFill>
          </w14:textFill>
        </w:rPr>
      </w:pPr>
      <w:r>
        <w:rPr>
          <w:rFonts w:ascii="宋体" w:hAnsi="宋体" w:cs="宋体"/>
          <w:b/>
          <w:bCs/>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开标与</w:t>
      </w:r>
      <w:r>
        <w:rPr>
          <w:rFonts w:ascii="宋体" w:hAnsi="宋体" w:cs="宋体"/>
          <w:b/>
          <w:bCs/>
          <w:color w:val="000000" w:themeColor="text1"/>
          <w:sz w:val="24"/>
          <w14:textFill>
            <w14:solidFill>
              <w14:schemeClr w14:val="tx1"/>
            </w14:solidFill>
          </w14:textFill>
        </w:rPr>
        <w:t>响应文件的评审</w:t>
      </w:r>
      <w:bookmarkEnd w:id="99"/>
      <w:bookmarkEnd w:id="100"/>
      <w:bookmarkEnd w:id="101"/>
      <w:bookmarkEnd w:id="102"/>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22、开标</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22.1 采购人和采购代理机构将在询价公告中规定的时间和地点组织公开开标。投标人应委派携带有效身份证件的代表准时参加，参加开标的代表需签名以证明其出席。</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22.2开标仪式由采购人或采购代理机构组织，采购人代表、公证员（必要时）、监管代表、投标人代表等参加。</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22.3按照规定同意撤回的投标将不予开封。</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22.5 采购人或采购代理机构将指定专人负责开标记录并存档备查，各投标人需仔细核对开标记录相关内容并签字确认。</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22.6 投标人在报价时不允许采用选择性报价，否则将被视为无效投标。</w:t>
      </w:r>
    </w:p>
    <w:p>
      <w:pPr>
        <w:spacing w:line="480" w:lineRule="exact"/>
        <w:ind w:firstLine="480"/>
        <w:rPr>
          <w:rFonts w:ascii="宋体" w:hAnsi="宋体" w:cs="宋体"/>
          <w:color w:val="000000" w:themeColor="text1"/>
          <w:sz w:val="24"/>
          <w14:textFill>
            <w14:solidFill>
              <w14:schemeClr w14:val="tx1"/>
            </w14:solidFill>
          </w14:textFill>
        </w:rPr>
      </w:pPr>
      <w:bookmarkStart w:id="112" w:name="_Toc20823303"/>
      <w:bookmarkStart w:id="113" w:name="_Toc513029231"/>
      <w:bookmarkStart w:id="114" w:name="_Toc16938547"/>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3</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小组</w:t>
      </w:r>
      <w:bookmarkEnd w:id="112"/>
      <w:bookmarkEnd w:id="113"/>
      <w:bookmarkEnd w:id="114"/>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23.1</w:t>
      </w:r>
      <w:r>
        <w:rPr>
          <w:rStyle w:val="239"/>
          <w:rFonts w:hint="eastAsia" w:ascii="宋体" w:hAnsi="宋体" w:cs="宋体"/>
          <w:color w:val="000000" w:themeColor="text1"/>
          <w:sz w:val="24"/>
          <w14:textFill>
            <w14:solidFill>
              <w14:schemeClr w14:val="tx1"/>
            </w14:solidFill>
          </w14:textFill>
        </w:rPr>
        <w:t>资格审查通过后，</w:t>
      </w:r>
      <w:r>
        <w:rPr>
          <w:rFonts w:hint="eastAsia" w:ascii="宋体" w:hAnsi="宋体" w:cs="宋体"/>
          <w:color w:val="000000" w:themeColor="text1"/>
          <w:sz w:val="24"/>
          <w14:textFill>
            <w14:solidFill>
              <w14:schemeClr w14:val="tx1"/>
            </w14:solidFill>
          </w14:textFill>
        </w:rPr>
        <w:t>采购人将组织询价小组对响应文件进行评审。</w:t>
      </w:r>
    </w:p>
    <w:p>
      <w:pPr>
        <w:spacing w:line="480" w:lineRule="exact"/>
        <w:ind w:firstLine="480"/>
        <w:rPr>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23.2 询价小组由采购人代表和有关技术、经济等方面的专家组成，且人员构成符合政府采购有关规定。</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23.2询价小组独立工作，负责评审所有响应文件并确定成交侯选人。</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24、评审过程的保密与公正</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24.1询价小组、采购人和采购代理机构工作人员、相关监督人员等与评审工作有关的人员，对评审情况以及在评审过程中获悉的国家秘密、商业秘密负有保密责任。</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24.2在评审过程中，供应商不得以任何行为影响询价评审过程，否则其响应文件将被作为无效响应文件。</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24.3在项目评审期间，采购人或采购代理机构将设专门人员与供应商联系。</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24.4 采购人、采购代理机构和询价小组不向未成交的供应商解释未成交原因，也不公布评审过程中的相关细节。</w:t>
      </w:r>
    </w:p>
    <w:p>
      <w:pPr>
        <w:spacing w:line="480" w:lineRule="exact"/>
        <w:ind w:firstLine="480"/>
        <w:rPr>
          <w:rFonts w:ascii="宋体" w:hAnsi="宋体" w:cs="宋体"/>
          <w:color w:val="000000" w:themeColor="text1"/>
          <w:sz w:val="24"/>
          <w14:textFill>
            <w14:solidFill>
              <w14:schemeClr w14:val="tx1"/>
            </w14:solidFill>
          </w14:textFill>
        </w:rPr>
      </w:pPr>
      <w:bookmarkStart w:id="115" w:name="_Toc513029232"/>
      <w:bookmarkStart w:id="116" w:name="_Toc20823304"/>
      <w:bookmarkStart w:id="117" w:name="_Toc16938548"/>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5</w:t>
      </w:r>
      <w:r>
        <w:rPr>
          <w:rFonts w:ascii="宋体" w:hAnsi="宋体" w:cs="宋体"/>
          <w:color w:val="000000" w:themeColor="text1"/>
          <w:sz w:val="24"/>
          <w14:textFill>
            <w14:solidFill>
              <w14:schemeClr w14:val="tx1"/>
            </w14:solidFill>
          </w14:textFill>
        </w:rPr>
        <w:t>、评审过程中的的澄清</w:t>
      </w:r>
      <w:bookmarkEnd w:id="115"/>
      <w:bookmarkEnd w:id="116"/>
      <w:bookmarkEnd w:id="117"/>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25.1项目评审期间，询价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8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询价小组并非对每个供应商都作澄清要求。</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25.2需要供应商进行澄清、说明和更正的，询价小组将向供应商发出澄清要求，接到澄清要求的供应商应当按照要求进行澄清。澄清、说明和更正的内容作为响应文件的补充部分。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25.3 接到询价小组澄清、说明和更正要求的供应商如未按规定做出澄清、说明和更正，其风险由供应商自行承担。</w:t>
      </w:r>
    </w:p>
    <w:p>
      <w:pPr>
        <w:spacing w:line="480" w:lineRule="exact"/>
        <w:ind w:firstLine="480"/>
        <w:rPr>
          <w:rFonts w:ascii="宋体" w:hAnsi="宋体" w:cs="宋体"/>
          <w:color w:val="000000" w:themeColor="text1"/>
          <w:sz w:val="24"/>
          <w14:textFill>
            <w14:solidFill>
              <w14:schemeClr w14:val="tx1"/>
            </w14:solidFill>
          </w14:textFill>
        </w:rPr>
      </w:pPr>
      <w:bookmarkStart w:id="118" w:name="_Toc16938549"/>
      <w:bookmarkStart w:id="119" w:name="_Toc20823305"/>
      <w:bookmarkStart w:id="120" w:name="_Toc513029233"/>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6</w:t>
      </w:r>
      <w:r>
        <w:rPr>
          <w:rFonts w:ascii="宋体" w:hAnsi="宋体" w:cs="宋体"/>
          <w:color w:val="000000" w:themeColor="text1"/>
          <w:sz w:val="24"/>
          <w14:textFill>
            <w14:solidFill>
              <w14:schemeClr w14:val="tx1"/>
            </w14:solidFill>
          </w14:textFill>
        </w:rPr>
        <w:t>、对响应文件的审</w:t>
      </w:r>
      <w:bookmarkEnd w:id="118"/>
      <w:bookmarkEnd w:id="119"/>
      <w:bookmarkEnd w:id="120"/>
      <w:r>
        <w:rPr>
          <w:rFonts w:ascii="宋体" w:hAnsi="宋体" w:cs="宋体"/>
          <w:color w:val="000000" w:themeColor="text1"/>
          <w:sz w:val="24"/>
          <w14:textFill>
            <w14:solidFill>
              <w14:schemeClr w14:val="tx1"/>
            </w14:solidFill>
          </w14:textFill>
        </w:rPr>
        <w:t>查</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26.1响应文件审查分为资格审查和符合性审查。</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26.1.1 资格审查：由询价小组依据法律法规和询价文件的规定，对响应文件中的资格证明文件进行审查，以确定供应商是否具备参加询价的资格。</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接受联合体的项目，两个以上的自然人、法人或者其他组织组成一个联合体，以一个供应商的身份共同参加政府采购活动的,联合体成员中任何一方存在不良信用记录的，视同联合体存在不良应用记录。</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26.1.2 符合性审查：依据询价文件的规定，由询价小组从响应文件的有效性、完整性和对询价文件的响应程度进行审查，以确定是否对询价文件的实质性要求作出响应。</w:t>
      </w:r>
    </w:p>
    <w:p>
      <w:pPr>
        <w:spacing w:line="480" w:lineRule="exact"/>
        <w:ind w:firstLine="48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标委员会认为投标人的报价明显低于其他通过符合性审查投标人的报价或低于成本，有可能影响产品质量或者不能诚信履约的，可以要求其作出合理解释并提供书面说明，必要时提交相关证明材料；投标人不能证明其报价合理性的或理由不充分的，评标委员会可将其作为无效投标处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26.2在详细评审之前，询价小组将首先审查每份响应文件是否实质性响应了询价文件的要求。实质性响应的响应文件应该是与询价文件要求的条款、条件和规格相符，没有重大偏离或保留。</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所谓重大偏离或保留是指与询价文件规定的实质性要求存在负偏离，或者在实质上与询价文件不一致，而且限制了合同中买方和采购人的权利或供应商的义务，纠正这些偏离或保留将会对其他实质性响应要求的供应商的竞争地位产生不公正的影响。重大偏离由询价小组按照少数服从多数的原则认定。询价小组决定响应文件的响应性只根据响应文件本身的内容，而不寻求外部的证据。</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26.3</w:t>
      </w:r>
      <w:r>
        <w:rPr>
          <w:rStyle w:val="239"/>
          <w:rFonts w:hint="eastAsia" w:ascii="宋体" w:hAnsi="宋体" w:cs="宋体"/>
          <w:bCs/>
          <w:color w:val="000000" w:themeColor="text1"/>
          <w:sz w:val="24"/>
          <w14:textFill>
            <w14:solidFill>
              <w14:schemeClr w14:val="tx1"/>
            </w14:solidFill>
          </w14:textFill>
        </w:rPr>
        <w:t>如果响应文件实质上没有响应询价文件的要求，</w:t>
      </w:r>
      <w:r>
        <w:rPr>
          <w:rFonts w:hint="eastAsia" w:ascii="宋体" w:hAnsi="宋体" w:cs="宋体"/>
          <w:color w:val="000000" w:themeColor="text1"/>
          <w:sz w:val="24"/>
          <w14:textFill>
            <w14:solidFill>
              <w14:schemeClr w14:val="tx1"/>
            </w14:solidFill>
          </w14:textFill>
        </w:rPr>
        <w:t>询价小组将予以拒绝，供应商不得通过修改或撤销不合要求的偏离或保留而使其成为实质性响应的文件。</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26.4</w:t>
      </w:r>
      <w:r>
        <w:rPr>
          <w:rStyle w:val="239"/>
          <w:rFonts w:hint="eastAsia" w:ascii="宋体" w:hAnsi="宋体" w:cs="宋体"/>
          <w:bCs/>
          <w:color w:val="000000" w:themeColor="text1"/>
          <w:sz w:val="24"/>
          <w14:textFill>
            <w14:solidFill>
              <w14:schemeClr w14:val="tx1"/>
            </w14:solidFill>
          </w14:textFill>
        </w:rPr>
        <w:t>评委会将对确定为实质性响应的投标进行进一步审核，看其是否有计算上或累加上的算术错误，修正错误的原则如下：</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（1）响应文件中开标一览表内容与响应文件中相应内容不一致的，以开标一览表为准。</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（2）大写金额和小写金额不一致的，以大写金额为准。</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（3）单价金额小数点或者百分比有明显错位的，以开标一览表的总价为准，并修改单价。</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（4）总价金额与按单价汇总金额不一致的，以单价金额计算结果为准。</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同时出现两种以上错误的，按照前款规定的顺序修正。</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26.5</w:t>
      </w:r>
      <w:r>
        <w:rPr>
          <w:rStyle w:val="239"/>
          <w:rFonts w:hint="eastAsia" w:ascii="宋体" w:hAnsi="宋体" w:cs="宋体"/>
          <w:bCs/>
          <w:color w:val="000000" w:themeColor="text1"/>
          <w:sz w:val="24"/>
          <w14:textFill>
            <w14:solidFill>
              <w14:schemeClr w14:val="tx1"/>
            </w14:solidFill>
          </w14:textFill>
        </w:rPr>
        <w:t>评委会将按上述修正错误的方法调整响应文件中的投标报价，调整后的价格应对投标人具有约束力。如果投标人不接受修正后的价格，则其响应文件将被拒绝，则按照国家相关法律法规受到相应处罚。</w:t>
      </w:r>
    </w:p>
    <w:p>
      <w:pPr>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26.6</w:t>
      </w:r>
      <w:r>
        <w:rPr>
          <w:rStyle w:val="239"/>
          <w:rFonts w:hint="eastAsia" w:ascii="宋体" w:hAnsi="宋体" w:cs="宋体"/>
          <w:bCs/>
          <w:color w:val="000000" w:themeColor="text1"/>
          <w:sz w:val="24"/>
          <w14:textFill>
            <w14:solidFill>
              <w14:schemeClr w14:val="tx1"/>
            </w14:solidFill>
          </w14:textFill>
        </w:rPr>
        <w:t>评委会将允许修正投标文件中不构成重大偏离的、微小的、非正规的、不一致的或不规则的地方，但这些修改不能影响任何投标人相应的名次排列。</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26.7未实质性响应询价文件的情形</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26.7.1供应商</w:t>
      </w:r>
      <w:r>
        <w:rPr>
          <w:rStyle w:val="239"/>
          <w:rFonts w:hint="eastAsia" w:ascii="宋体" w:hAnsi="宋体" w:cs="宋体"/>
          <w:bCs/>
          <w:color w:val="000000" w:themeColor="text1"/>
          <w:sz w:val="24"/>
          <w14:textFill>
            <w14:solidFill>
              <w14:schemeClr w14:val="tx1"/>
            </w14:solidFill>
          </w14:textFill>
        </w:rPr>
        <w:t>未按照询价文件规定要求密封、签署、盖章的</w:t>
      </w:r>
      <w:r>
        <w:rPr>
          <w:rFonts w:hint="eastAsia" w:ascii="宋体" w:hAnsi="宋体" w:cs="宋体"/>
          <w:color w:val="000000" w:themeColor="text1"/>
          <w:sz w:val="24"/>
          <w14:textFill>
            <w14:solidFill>
              <w14:schemeClr w14:val="tx1"/>
            </w14:solidFill>
          </w14:textFill>
        </w:rPr>
        <w:t>。</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26.7.2供应商未按照询价文件要求递交响应文件的。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26.7.3同一供应商提交两个（含两个）以上不同的响应文件或者报价的。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26.7.4供应商不具备询价文件中规定资格要求的。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26.7.5供应商的报价超过了采购预算。</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26.7.6不符合</w:t>
      </w:r>
      <w:r>
        <w:rPr>
          <w:rFonts w:hint="eastAsia" w:cs="宋体"/>
          <w:color w:val="000000" w:themeColor="text1"/>
          <w:sz w:val="24"/>
          <w14:textFill>
            <w14:solidFill>
              <w14:schemeClr w14:val="tx1"/>
            </w14:solidFill>
          </w14:textFill>
        </w:rPr>
        <w:t>询价</w:t>
      </w:r>
      <w:r>
        <w:rPr>
          <w:rFonts w:hint="eastAsia" w:ascii="宋体" w:hAnsi="宋体" w:cs="宋体"/>
          <w:color w:val="000000" w:themeColor="text1"/>
          <w:sz w:val="24"/>
          <w14:textFill>
            <w14:solidFill>
              <w14:schemeClr w14:val="tx1"/>
            </w14:solidFill>
          </w14:textFill>
        </w:rPr>
        <w:t>文件中规定的实质性要求和条件的。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26.7.8 响应文件含有采购人不能接受的附加条件的。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26.8未实质性响应询价文件的响应文件按无效响应处理。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26.9</w:t>
      </w:r>
      <w:bookmarkStart w:id="121" w:name="_Toc20823306"/>
      <w:bookmarkStart w:id="122" w:name="_Toc513029234"/>
      <w:bookmarkStart w:id="123" w:name="_Toc16938550"/>
      <w:r>
        <w:rPr>
          <w:rFonts w:hint="eastAsia" w:ascii="宋体" w:hAnsi="宋体" w:cs="宋体"/>
          <w:color w:val="000000" w:themeColor="text1"/>
          <w:sz w:val="24"/>
          <w14:textFill>
            <w14:solidFill>
              <w14:schemeClr w14:val="tx1"/>
            </w14:solidFill>
          </w14:textFill>
        </w:rPr>
        <w:t>供应商在项目评审全过程中应保持通讯畅通，并安排专人与采购人或采购代理机构及询价小组联系。</w:t>
      </w:r>
      <w:bookmarkEnd w:id="121"/>
      <w:bookmarkEnd w:id="122"/>
      <w:bookmarkEnd w:id="123"/>
    </w:p>
    <w:p>
      <w:pPr>
        <w:spacing w:line="480" w:lineRule="exact"/>
        <w:ind w:firstLine="48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六、定标</w:t>
      </w:r>
    </w:p>
    <w:p>
      <w:pPr>
        <w:spacing w:line="48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7</w:t>
      </w:r>
      <w:r>
        <w:rPr>
          <w:rFonts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询价</w:t>
      </w:r>
      <w:r>
        <w:rPr>
          <w:rFonts w:ascii="宋体" w:hAnsi="宋体" w:cs="宋体"/>
          <w:color w:val="000000" w:themeColor="text1"/>
          <w:sz w:val="24"/>
          <w14:textFill>
            <w14:solidFill>
              <w14:schemeClr w14:val="tx1"/>
            </w14:solidFill>
          </w14:textFill>
        </w:rPr>
        <w:t>程序及成交原则</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27.1询价程序</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27.1.1询价小组将对供应商的响应文件进行资格审查和符合性审查。询价小组在询价过程中，不得改变询价文件中所确定的技术和服务等要求、评审程序、评定成交的标准和合同主要条款等事项。参加询价采购活动的供应商，应当按照询价文件中的规定一次报出不得更改的价格。</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 成交原则</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27.2.1询价小组将从质量和服务均能满足采购文件实质性响应要求的供应商中，按照报价由低到高顺序推荐1名成交候选供应商，并编写评审报告。</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27.2.4 采购人将在“盐城工业职业技术学院招标采购网”发布中标公告，公告期限为1个工作日。</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27.4采购活动终止的情况</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出现下列情形之一的，本次询价采购活动将被终止：</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27.4.1因情况变化，不再符合规定的询价采购方式适用情形的。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27.4.2出现影响采购公正的违法、违规行为的。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27.4.3在采购过程中符合要求的供应商或者报价未超过采购预算的供应商不足3家的。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27.4.5递交响应文件的供应商不足3家的。</w:t>
      </w:r>
    </w:p>
    <w:p>
      <w:pPr>
        <w:spacing w:line="480" w:lineRule="exact"/>
        <w:ind w:firstLine="48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8</w:t>
      </w:r>
      <w:r>
        <w:rPr>
          <w:rFonts w:ascii="宋体" w:hAnsi="宋体" w:cs="宋体"/>
          <w:color w:val="000000" w:themeColor="text1"/>
          <w:sz w:val="24"/>
          <w14:textFill>
            <w14:solidFill>
              <w14:schemeClr w14:val="tx1"/>
            </w14:solidFill>
          </w14:textFill>
        </w:rPr>
        <w:t>、成交供应商被取消成交资格情形</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若有充分证据证明，成交供应商出现下列情况之一的，一经查实，将被取消成交资格：</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28.1提供虚假材料谋取成交的。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28.2与评审专家、采购人或采购代理机构、其他供应商或者采购人工作人员恶意串通的。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28.3向评审专家、采购人或采购代理机构工作人员行贿或者提供其他不正当利益的。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28.4恶意竞争，报价明显低于其自身合理成本且又无法提供证明的。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28.5不满足本询价文件规定的实质性要求，但在评审过程中又未被询价小组发现的。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28.6成交后无正当理由拒不与采购人签订合同或者未按照询价文件确定的事项签订合同的。</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28.7将项目合同转包的。</w:t>
      </w:r>
    </w:p>
    <w:p>
      <w:pPr>
        <w:spacing w:line="480" w:lineRule="exact"/>
        <w:ind w:firstLine="480"/>
        <w:rPr>
          <w:rFonts w:ascii="宋体" w:hAnsi="宋体" w:cs="宋体"/>
          <w:color w:val="000000" w:themeColor="text1"/>
          <w:sz w:val="24"/>
          <w14:textFill>
            <w14:solidFill>
              <w14:schemeClr w14:val="tx1"/>
            </w14:solidFill>
          </w14:textFill>
        </w:rPr>
      </w:pPr>
      <w:bookmarkStart w:id="124" w:name="_Toc200451960"/>
      <w:r>
        <w:rPr>
          <w:rFonts w:hint="eastAsia" w:ascii="宋体" w:hAnsi="宋体" w:cs="宋体"/>
          <w:color w:val="000000" w:themeColor="text1"/>
          <w:sz w:val="24"/>
          <w14:textFill>
            <w14:solidFill>
              <w14:schemeClr w14:val="tx1"/>
            </w14:solidFill>
          </w14:textFill>
        </w:rPr>
        <w:t>29、质疑处理</w:t>
      </w:r>
      <w:bookmarkEnd w:id="124"/>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29.1 提出质疑的供应商应当是参与所质疑项目采购活动的供应商。潜在供应商依法获取其可质疑的采购文件的，可以对采购文件提出质疑。</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29.2供应商认为采购文件、采购过程和采购结果使自己的权益受到损害的，可以在知道或应知其权益受到损害之日起七个工作日内，以书面形式根据下述29.4条款的规定向采购人或采购代理机构提出质疑。上述应知其权益受到损害之日，是指：</w:t>
      </w:r>
    </w:p>
    <w:p>
      <w:pPr>
        <w:spacing w:line="480" w:lineRule="exact"/>
        <w:ind w:firstLine="482"/>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29.2.1对可以质疑的采购文件提出质疑的，为收到采购文件之日或者采购文件公告期限届满之日。</w:t>
      </w:r>
    </w:p>
    <w:p>
      <w:pPr>
        <w:spacing w:line="480" w:lineRule="exact"/>
        <w:ind w:firstLine="482"/>
        <w:jc w:val="left"/>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29.2.2对采购过程提出质疑的，为各采购程序环节结束之日。</w:t>
      </w:r>
    </w:p>
    <w:p>
      <w:pPr>
        <w:spacing w:line="480" w:lineRule="exact"/>
        <w:ind w:firstLine="482"/>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29.2.3对成交结果提出质疑的，为成交结果公告期限届满之日。</w:t>
      </w:r>
    </w:p>
    <w:p>
      <w:pPr>
        <w:spacing w:line="480" w:lineRule="exact"/>
        <w:ind w:firstLine="480"/>
        <w:rPr>
          <w:rFonts w:ascii="宋体" w:hAnsi="宋体" w:cs="宋体"/>
          <w:b/>
          <w:bCs/>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质疑必须按《政府采购法》、《政府采购法实施条例》及《江苏省政府采购供应商监督管理暂行办法》的相关规定提交，未按上述要求提交的质疑函（含传真、电子邮件等）采购人</w:t>
      </w:r>
      <w:r>
        <w:rPr>
          <w:rFonts w:hint="eastAsia" w:ascii="宋体" w:hAnsi="宋体" w:cs="宋体"/>
          <w:color w:val="000000" w:themeColor="text1"/>
          <w:sz w:val="24"/>
          <w14:textFill>
            <w14:solidFill>
              <w14:schemeClr w14:val="tx1"/>
            </w14:solidFill>
          </w14:textFill>
        </w:rPr>
        <w:t>或采购代理机构</w:t>
      </w:r>
      <w:r>
        <w:rPr>
          <w:rStyle w:val="239"/>
          <w:rFonts w:hint="eastAsia" w:ascii="宋体" w:hAnsi="宋体" w:cs="宋体"/>
          <w:color w:val="000000" w:themeColor="text1"/>
          <w:sz w:val="24"/>
          <w14:textFill>
            <w14:solidFill>
              <w14:schemeClr w14:val="tx1"/>
            </w14:solidFill>
          </w14:textFill>
        </w:rPr>
        <w:t>有权不予受理。</w:t>
      </w:r>
      <w:r>
        <w:rPr>
          <w:rStyle w:val="239"/>
          <w:rFonts w:hint="eastAsia" w:ascii="宋体" w:hAnsi="宋体" w:cs="宋体"/>
          <w:b/>
          <w:bCs/>
          <w:color w:val="000000" w:themeColor="text1"/>
          <w:sz w:val="24"/>
          <w14:textFill>
            <w14:solidFill>
              <w14:schemeClr w14:val="tx1"/>
            </w14:solidFill>
          </w14:textFill>
        </w:rPr>
        <w:t>供应商应当在法定质疑期内一次性提出针对同一采</w:t>
      </w:r>
      <w:r>
        <w:rPr>
          <w:rFonts w:hint="eastAsia" w:ascii="宋体" w:hAnsi="宋体" w:cs="宋体"/>
          <w:b/>
          <w:bCs/>
          <w:color w:val="000000" w:themeColor="text1"/>
          <w:sz w:val="24"/>
          <w14:textFill>
            <w14:solidFill>
              <w14:schemeClr w14:val="tx1"/>
            </w14:solidFill>
          </w14:textFill>
        </w:rPr>
        <w:t>购程序环节的质疑。供应商如在法定期限内对同一采购程序环节提出多次质疑的，采购人或采购代理机构将只对供应商第一次质疑作出答复。</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29.3未参加投标活动的供应商或在投标活动中自身权益未受到损害的供应商所提出的质疑不予受理。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29.4质疑函应当包括下列内容：</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29.4.1质疑投标人的名称、地址、邮编、联系人、联系电话；</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29.4.2具体的质疑事项及明确的请求；</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29.4.3认为自己合法权益受到损害或可能受到损害的相关证据材料；</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29.4.4提起质疑的日期；</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或采购代理机构将不予受理。)质疑人委托代理质疑的，应当向采购人或采购代理机构提交授权委托书，并载明委托代理的具体权限和事项。</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29.5采购人或采购代理机构收到质疑函后，将对质疑的形式和内容进行审查，如质疑函内容、格式不符合规定，采购人将告知质疑人进行补正。</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29.6质疑人应当在法定质疑期限内进行补正并重新提交质疑函，拒不补正或者在法定期限内未重新提交质疑函的，为无效质疑，采购人将不予受理。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29.7对于内容、格式符合规定的质疑函，采购人或采购代理机构应当在收到投标供应商的书面质疑后七个工作日内作出答复，并以书面形式通知质疑供应商和其他有关供应商，但答复的内容不得涉及商业秘密。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29.8投标人提出书面质疑必须有理、有据，不得恶意质疑或提交虚假质疑。否则，一经查实，采购人或采购代理机构有权依据政府采购的有关规定，报请政府采购监管部门对该投标人进行相应的行政处罚，并扣减其诚信记录分。</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30、中标通知书</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30.l中标结果确定后，采购人将向中标供应商发出中标通知书。</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30.2中标通知书将是合同的一个组成部分。对采购人和中标供应商均具有法律效力。中标通知书发出后，采购人改变中标结果的，或者中标供应商放弃中标项目的，应当依法承担法律责任。</w:t>
      </w:r>
    </w:p>
    <w:p>
      <w:pPr>
        <w:spacing w:line="480" w:lineRule="exact"/>
        <w:ind w:firstLine="482"/>
        <w:rPr>
          <w:rFonts w:ascii="宋体" w:hAnsi="宋体" w:cs="宋体"/>
          <w:b/>
          <w:bCs/>
          <w:color w:val="000000" w:themeColor="text1"/>
          <w:sz w:val="24"/>
          <w14:textFill>
            <w14:solidFill>
              <w14:schemeClr w14:val="tx1"/>
            </w14:solidFill>
          </w14:textFill>
        </w:rPr>
      </w:pPr>
      <w:bookmarkStart w:id="125" w:name="_Toc20823308"/>
      <w:bookmarkStart w:id="126" w:name="_Toc16938552"/>
      <w:bookmarkStart w:id="127" w:name="_Toc513029236"/>
      <w:bookmarkStart w:id="128" w:name="_Toc120614220"/>
      <w:r>
        <w:rPr>
          <w:rFonts w:ascii="宋体" w:hAnsi="宋体" w:cs="宋体"/>
          <w:b/>
          <w:bCs/>
          <w:color w:val="000000" w:themeColor="text1"/>
          <w:sz w:val="24"/>
          <w14:textFill>
            <w14:solidFill>
              <w14:schemeClr w14:val="tx1"/>
            </w14:solidFill>
          </w14:textFill>
        </w:rPr>
        <w:t>七、授予合同</w:t>
      </w:r>
      <w:bookmarkEnd w:id="125"/>
      <w:bookmarkEnd w:id="126"/>
      <w:bookmarkEnd w:id="127"/>
      <w:bookmarkEnd w:id="128"/>
    </w:p>
    <w:p>
      <w:pPr>
        <w:spacing w:line="480" w:lineRule="exact"/>
        <w:ind w:firstLine="480"/>
        <w:rPr>
          <w:rFonts w:ascii="宋体" w:hAnsi="宋体" w:cs="宋体"/>
          <w:color w:val="000000" w:themeColor="text1"/>
          <w:sz w:val="24"/>
          <w14:textFill>
            <w14:solidFill>
              <w14:schemeClr w14:val="tx1"/>
            </w14:solidFill>
          </w14:textFill>
        </w:rPr>
      </w:pPr>
      <w:bookmarkStart w:id="129" w:name="_Toc513029237"/>
      <w:bookmarkStart w:id="130" w:name="_Toc16938553"/>
      <w:bookmarkStart w:id="131" w:name="_Toc20823309"/>
      <w:r>
        <w:rPr>
          <w:rFonts w:hint="eastAsia" w:ascii="宋体" w:hAnsi="宋体" w:cs="宋体"/>
          <w:color w:val="000000" w:themeColor="text1"/>
          <w:sz w:val="24"/>
          <w14:textFill>
            <w14:solidFill>
              <w14:schemeClr w14:val="tx1"/>
            </w14:solidFill>
          </w14:textFill>
        </w:rPr>
        <w:t>31. 签订合同</w:t>
      </w:r>
      <w:bookmarkEnd w:id="129"/>
      <w:bookmarkEnd w:id="130"/>
      <w:bookmarkEnd w:id="131"/>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31.l成交供应商应当在成交通知书发出之日起三十日内，按照询价文件确定的事项与采购人签订政府采购合同。</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31.2询价文件、成交供应商的响应文件及询价过程中有关澄清、承诺文件均应作为合同附件。</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31.3 签订合同后，成交供应商不得将合同标的进行转包。未经采购人同意，成交供应商也不得采用分包形式履行合同,否则采购人有权终止合同。转包或分包造成采购人损失的，成交供应商应承担相应赔偿责任。</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32、标的物的追加</w:t>
      </w:r>
    </w:p>
    <w:p>
      <w:pPr>
        <w:spacing w:line="48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32.1政府采购合同履行中，采购人需追加与合同标的相同的货物、服务（包含与货物相关的服务及与服务相关的货物）的，在不改变合同其他条款的前提下，可以与成交供应商协商签订补充合同，但所有补充合同的采购金额不超过原合同金额10%。</w:t>
      </w:r>
    </w:p>
    <w:p>
      <w:pPr>
        <w:snapToGrid w:val="0"/>
        <w:spacing w:line="360" w:lineRule="auto"/>
        <w:ind w:firstLine="480" w:firstLineChars="200"/>
        <w:rPr>
          <w:rStyle w:val="239"/>
          <w:rFonts w:ascii="宋体" w:hAnsi="宋体" w:cs="宋体"/>
          <w:b/>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32.2采购结束后，采购人若由于各种客观原因，必须对采购项目所牵涉的货物和服务进行适当的减少时，在双方协商一致的前提下，可以按照招标采购时的价格水平做相应的调减，并据此签订补充合同。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239"/>
          <w:rFonts w:ascii="宋体" w:hAnsi="宋体" w:cs="宋体"/>
          <w:bCs/>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33、履约保证金</w:t>
      </w:r>
    </w:p>
    <w:p>
      <w:pPr>
        <w:tabs>
          <w:tab w:val="left" w:pos="900"/>
        </w:tabs>
        <w:snapToGrid w:val="0"/>
        <w:spacing w:line="360" w:lineRule="auto"/>
        <w:ind w:firstLine="480" w:firstLineChars="200"/>
        <w:rPr>
          <w:rStyle w:val="239"/>
          <w:rFonts w:ascii="宋体" w:hAnsi="宋体" w:cs="宋体"/>
          <w:b/>
          <w:color w:val="000000" w:themeColor="text1"/>
          <w:sz w:val="4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在签订合同时，须向采购人交纳</w:t>
      </w:r>
      <w:r>
        <w:rPr>
          <w:rFonts w:hint="eastAsia" w:ascii="宋体" w:hAnsi="宋体" w:cs="宋体"/>
          <w:color w:val="000000" w:themeColor="text1"/>
          <w:sz w:val="24"/>
          <w14:textFill>
            <w14:solidFill>
              <w14:schemeClr w14:val="tx1"/>
            </w14:solidFill>
          </w14:textFill>
        </w:rPr>
        <w:t>合同总价5%的</w:t>
      </w:r>
      <w:r>
        <w:rPr>
          <w:rStyle w:val="239"/>
          <w:rFonts w:hint="eastAsia" w:ascii="宋体" w:hAnsi="宋体" w:cs="宋体"/>
          <w:color w:val="000000" w:themeColor="text1"/>
          <w:sz w:val="24"/>
          <w14:textFill>
            <w14:solidFill>
              <w14:schemeClr w14:val="tx1"/>
            </w14:solidFill>
          </w14:textFill>
        </w:rPr>
        <w:t>履约保证金，于合同履行后退还。履约保证金用以约束成交供应商在合同履行中的行为，弥补合同执行中由于自身行为可能给采购人带来的各种损失。</w:t>
      </w:r>
    </w:p>
    <w:p>
      <w:pPr>
        <w:spacing w:line="480" w:lineRule="exact"/>
        <w:ind w:firstLine="480"/>
        <w:rPr>
          <w:rFonts w:ascii="宋体" w:hAnsi="宋体" w:cs="宋体"/>
          <w:color w:val="000000" w:themeColor="text1"/>
          <w:sz w:val="24"/>
          <w14:textFill>
            <w14:solidFill>
              <w14:schemeClr w14:val="tx1"/>
            </w14:solidFill>
          </w14:textFill>
        </w:rPr>
      </w:pPr>
    </w:p>
    <w:p>
      <w:pPr>
        <w:pStyle w:val="216"/>
        <w:widowControl w:val="0"/>
        <w:spacing w:before="120" w:beforeAutospacing="0" w:after="120" w:afterAutospacing="0" w:line="0" w:lineRule="atLeast"/>
        <w:jc w:val="center"/>
        <w:rPr>
          <w:color w:val="000000" w:themeColor="text1"/>
          <w14:textFill>
            <w14:solidFill>
              <w14:schemeClr w14:val="tx1"/>
            </w14:solidFill>
          </w14:textFill>
        </w:rPr>
      </w:pPr>
      <w:r>
        <w:rPr>
          <w:rFonts w:hint="eastAsia" w:eastAsia="黑体"/>
          <w:color w:val="000000" w:themeColor="text1"/>
          <w:sz w:val="36"/>
          <w:szCs w:val="36"/>
          <w14:textFill>
            <w14:solidFill>
              <w14:schemeClr w14:val="tx1"/>
            </w14:solidFill>
          </w14:textFill>
        </w:rPr>
        <w:br w:type="page" w:clear="all"/>
      </w:r>
      <w:r>
        <w:rPr>
          <w:rFonts w:hint="eastAsia" w:ascii="方正小标宋_GBK" w:hAnsi="方正小标宋_GBK" w:eastAsia="方正小标宋_GBK" w:cs="方正小标宋_GBK"/>
          <w:color w:val="000000" w:themeColor="text1"/>
          <w:sz w:val="44"/>
          <w:szCs w:val="44"/>
          <w14:textFill>
            <w14:solidFill>
              <w14:schemeClr w14:val="tx1"/>
            </w14:solidFill>
          </w14:textFill>
        </w:rPr>
        <w:t xml:space="preserve">第三章  </w:t>
      </w:r>
      <w:bookmarkStart w:id="132" w:name="_Toc462564139"/>
      <w:bookmarkStart w:id="133" w:name="_Toc120614244"/>
      <w:bookmarkStart w:id="134" w:name="_Toc20823346"/>
      <w:bookmarkStart w:id="135" w:name="_Toc16938590"/>
      <w:r>
        <w:rPr>
          <w:rFonts w:hint="eastAsia" w:ascii="方正小标宋_GBK" w:hAnsi="方正小标宋_GBK" w:eastAsia="方正小标宋_GBK" w:cs="方正小标宋_GBK"/>
          <w:color w:val="000000" w:themeColor="text1"/>
          <w:sz w:val="44"/>
          <w:szCs w:val="44"/>
          <w14:textFill>
            <w14:solidFill>
              <w14:schemeClr w14:val="tx1"/>
            </w14:solidFill>
          </w14:textFill>
        </w:rPr>
        <w:t>采购需求</w:t>
      </w:r>
      <w:bookmarkEnd w:id="132"/>
      <w:bookmarkEnd w:id="133"/>
      <w:bookmarkEnd w:id="134"/>
      <w:bookmarkEnd w:id="135"/>
      <w:bookmarkStart w:id="136" w:name="_Toc26554093"/>
      <w:bookmarkEnd w:id="136"/>
      <w:bookmarkStart w:id="137" w:name="_Toc49090575"/>
      <w:bookmarkEnd w:id="137"/>
    </w:p>
    <w:p>
      <w:pPr>
        <w:widowControl/>
        <w:spacing w:line="560" w:lineRule="exact"/>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一、项目用途</w:t>
      </w:r>
    </w:p>
    <w:p>
      <w:pPr>
        <w:widowControl/>
        <w:spacing w:line="560" w:lineRule="exact"/>
        <w:ind w:firstLine="480"/>
        <w:jc w:val="left"/>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建筑工程学院技能大赛</w:t>
      </w:r>
    </w:p>
    <w:p>
      <w:pPr>
        <w:widowControl/>
        <w:spacing w:line="560" w:lineRule="exact"/>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二、采购内容</w:t>
      </w:r>
    </w:p>
    <w:p>
      <w:pPr>
        <w:widowControl/>
        <w:spacing w:line="560" w:lineRule="exact"/>
        <w:ind w:firstLine="480"/>
        <w:jc w:val="left"/>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盐城工业职业技术学院建筑工程学院技能大赛电脑显卡、电源、固态硬盘升级设备的采购、供应、运输、安装及就位、调试、维保、售前、售后等相关伴随服务，货物安装至电脑，电脑</w:t>
      </w:r>
      <w:r>
        <w:rPr>
          <w:rFonts w:hint="eastAsia" w:ascii="宋体" w:hAnsi="宋体" w:cs="宋体"/>
          <w:color w:val="000000" w:themeColor="text1"/>
          <w:sz w:val="24"/>
          <w14:textFill>
            <w14:solidFill>
              <w14:schemeClr w14:val="tx1"/>
            </w14:solidFill>
          </w14:textFill>
        </w:rPr>
        <w:t>主机和显示器清灰、</w:t>
      </w:r>
      <w:r>
        <w:rPr>
          <w:rFonts w:hint="eastAsia" w:ascii="宋体" w:hAnsi="宋体" w:cs="宋体"/>
          <w:color w:val="000000" w:themeColor="text1"/>
          <w:sz w:val="24"/>
          <w:lang w:val="zh-CN"/>
          <w14:textFill>
            <w14:solidFill>
              <w14:schemeClr w14:val="tx1"/>
            </w14:solidFill>
          </w14:textFill>
        </w:rPr>
        <w:t>系统重新安装</w:t>
      </w:r>
      <w:r>
        <w:rPr>
          <w:rFonts w:hint="eastAsia" w:ascii="宋体" w:hAnsi="宋体" w:cs="宋体"/>
          <w:color w:val="000000" w:themeColor="text1"/>
          <w:sz w:val="24"/>
          <w14:textFill>
            <w14:solidFill>
              <w14:schemeClr w14:val="tx1"/>
            </w14:solidFill>
          </w14:textFill>
        </w:rPr>
        <w:t>、双屏连接及调试，大赛期间的电脑维护（大赛期间，需派专人在现场维护，确保大赛正常进行），确保电脑能够正常运行建筑工程识图赛项相关软件，软件及电脑配置如下</w:t>
      </w:r>
      <w:r>
        <w:rPr>
          <w:rFonts w:hint="eastAsia" w:ascii="宋体" w:hAnsi="宋体" w:cs="宋体"/>
          <w:color w:val="000000" w:themeColor="text1"/>
          <w:sz w:val="24"/>
          <w:lang w:val="zh-CN"/>
          <w14:textFill>
            <w14:solidFill>
              <w14:schemeClr w14:val="tx1"/>
            </w14:solidFill>
          </w14:textFill>
        </w:rPr>
        <w:t>：</w:t>
      </w:r>
    </w:p>
    <w:p>
      <w:pPr>
        <w:widowControl/>
        <w:spacing w:line="5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1、中望CAD 2023下载链接：</w:t>
      </w:r>
    </w:p>
    <w:p>
      <w:pPr>
        <w:widowControl/>
        <w:spacing w:line="560" w:lineRule="exact"/>
        <w:ind w:firstLine="480"/>
        <w:jc w:val="left"/>
        <w:rPr>
          <w:rFonts w:ascii="宋体" w:hAnsi="宋体" w:cs="宋体"/>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"https://www.zwsoft.cn/product/history-2d"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https://www.zwsoft.cn/product/history-2d</w:t>
      </w:r>
      <w:r>
        <w:rPr>
          <w:rFonts w:hint="eastAsia" w:ascii="宋体" w:hAnsi="宋体" w:cs="宋体"/>
          <w:color w:val="000000" w:themeColor="text1"/>
          <w:sz w:val="24"/>
          <w14:textFill>
            <w14:solidFill>
              <w14:schemeClr w14:val="tx1"/>
            </w14:solidFill>
          </w14:textFill>
        </w:rPr>
        <w:fldChar w:fldCharType="end"/>
      </w:r>
    </w:p>
    <w:p>
      <w:pPr>
        <w:widowControl/>
        <w:spacing w:line="5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2、3D One Plus下载链接：</w:t>
      </w:r>
    </w:p>
    <w:p>
      <w:pPr>
        <w:widowControl/>
        <w:spacing w:line="560" w:lineRule="exact"/>
        <w:ind w:firstLine="480"/>
        <w:jc w:val="left"/>
        <w:rPr>
          <w:rFonts w:ascii="宋体" w:hAnsi="宋体" w:cs="宋体"/>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"https://www.i3done.com/zh-cn/product/3done_plus.html" </w:instrText>
      </w:r>
      <w:r>
        <w:rPr>
          <w:color w:val="000000" w:themeColor="text1"/>
          <w14:textFill>
            <w14:solidFill>
              <w14:schemeClr w14:val="tx1"/>
            </w14:solidFill>
          </w14:textFill>
        </w:rPr>
        <w:fldChar w:fldCharType="separate"/>
      </w:r>
      <w:r>
        <w:rPr>
          <w:rFonts w:hint="eastAsia" w:ascii="宋体" w:hAnsi="宋体" w:cs="宋体"/>
          <w:color w:val="000000" w:themeColor="text1"/>
          <w:sz w:val="24"/>
          <w14:textFill>
            <w14:solidFill>
              <w14:schemeClr w14:val="tx1"/>
            </w14:solidFill>
          </w14:textFill>
        </w:rPr>
        <w:t>https://www.i3done.com/zh-cn/product/3done_plus.html</w:t>
      </w:r>
      <w:r>
        <w:rPr>
          <w:rFonts w:hint="eastAsia" w:ascii="宋体" w:hAnsi="宋体" w:cs="宋体"/>
          <w:color w:val="000000" w:themeColor="text1"/>
          <w:sz w:val="24"/>
          <w14:textFill>
            <w14:solidFill>
              <w14:schemeClr w14:val="tx1"/>
            </w14:solidFill>
          </w14:textFill>
        </w:rPr>
        <w:fldChar w:fldCharType="end"/>
      </w:r>
    </w:p>
    <w:p>
      <w:pPr>
        <w:widowControl/>
        <w:spacing w:line="560" w:lineRule="exact"/>
        <w:ind w:firstLine="480"/>
        <w:jc w:val="left"/>
        <w:rPr>
          <w:rFonts w:ascii="宋体" w:hAnsi="宋体" w:cs="宋体"/>
          <w:color w:val="000000" w:themeColor="text1"/>
          <w:sz w:val="24"/>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3175</wp:posOffset>
            </wp:positionH>
            <wp:positionV relativeFrom="paragraph">
              <wp:posOffset>503555</wp:posOffset>
            </wp:positionV>
            <wp:extent cx="5117465" cy="3627120"/>
            <wp:effectExtent l="0" t="0" r="0" b="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117465" cy="3627120"/>
                    </a:xfrm>
                    <a:prstGeom prst="rect">
                      <a:avLst/>
                    </a:prstGeom>
                    <a:noFill/>
                    <a:ln>
                      <a:noFill/>
                    </a:ln>
                  </pic:spPr>
                </pic:pic>
              </a:graphicData>
            </a:graphic>
          </wp:anchor>
        </w:drawing>
      </w:r>
      <w:r>
        <w:rPr>
          <w:rFonts w:hint="eastAsia" w:ascii="宋体" w:hAnsi="宋体" w:cs="宋体"/>
          <w:color w:val="000000" w:themeColor="text1"/>
          <w:sz w:val="24"/>
          <w14:textFill>
            <w14:solidFill>
              <w14:schemeClr w14:val="tx1"/>
            </w14:solidFill>
          </w14:textFill>
        </w:rPr>
        <w:t>3、现有电脑配置：</w:t>
      </w:r>
    </w:p>
    <w:p>
      <w:pPr>
        <w:widowControl/>
        <w:spacing w:line="560" w:lineRule="exact"/>
        <w:ind w:firstLine="480"/>
        <w:jc w:val="left"/>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、显示器类型及连接方式：</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90"/>
        <w:gridCol w:w="41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361" w:type="dxa"/>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drawing>
                <wp:inline distT="0" distB="0" distL="0" distR="0">
                  <wp:extent cx="2870200" cy="1060450"/>
                  <wp:effectExtent l="0" t="0" r="6350" b="6350"/>
                  <wp:docPr id="159419719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97196"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21915" cy="1079366"/>
                          </a:xfrm>
                          <a:prstGeom prst="rect">
                            <a:avLst/>
                          </a:prstGeom>
                        </pic:spPr>
                      </pic:pic>
                    </a:graphicData>
                  </a:graphic>
                </wp:inline>
              </w:drawing>
            </w:r>
          </w:p>
        </w:tc>
        <w:tc>
          <w:tcPr>
            <w:tcW w:w="4362" w:type="dxa"/>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drawing>
                <wp:inline distT="0" distB="0" distL="0" distR="0">
                  <wp:extent cx="2347595" cy="1081405"/>
                  <wp:effectExtent l="0" t="0" r="0" b="4445"/>
                  <wp:docPr id="204254279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542795"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flipV="1">
                            <a:off x="0" y="0"/>
                            <a:ext cx="2391148" cy="1101248"/>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3" w:type="dxa"/>
            <w:gridSpan w:val="2"/>
          </w:tcPr>
          <w:p>
            <w:pPr>
              <w:pStyle w:val="2"/>
              <w:rPr>
                <w:color w:val="000000" w:themeColor="text1"/>
                <w14:textFill>
                  <w14:solidFill>
                    <w14:schemeClr w14:val="tx1"/>
                  </w14:solidFill>
                </w14:textFill>
              </w:rPr>
            </w:pPr>
            <w:r>
              <w:rPr>
                <w:color w:val="000000" w:themeColor="text1"/>
                <w14:textFill>
                  <w14:solidFill>
                    <w14:schemeClr w14:val="tx1"/>
                  </w14:solidFill>
                </w14:textFill>
              </w:rPr>
              <w:t>图1 HP N223V显示器型号及连接方式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1" w:type="dxa"/>
          </w:tcPr>
          <w:p>
            <w:pPr>
              <w:pStyle w:val="2"/>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2904490" cy="1290955"/>
                  <wp:effectExtent l="0" t="0" r="0" b="4445"/>
                  <wp:docPr id="81200727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007277" name="图片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5409" cy="1304515"/>
                          </a:xfrm>
                          <a:prstGeom prst="rect">
                            <a:avLst/>
                          </a:prstGeom>
                        </pic:spPr>
                      </pic:pic>
                    </a:graphicData>
                  </a:graphic>
                </wp:inline>
              </w:drawing>
            </w:r>
          </w:p>
        </w:tc>
        <w:tc>
          <w:tcPr>
            <w:tcW w:w="4362" w:type="dxa"/>
          </w:tcPr>
          <w:p>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drawing>
                <wp:inline distT="0" distB="0" distL="0" distR="0">
                  <wp:extent cx="2319655" cy="1304290"/>
                  <wp:effectExtent l="0" t="0" r="4445" b="0"/>
                  <wp:docPr id="76346739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67392" name="图片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8319" cy="1326471"/>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723" w:type="dxa"/>
            <w:gridSpan w:val="2"/>
          </w:tcPr>
          <w:p>
            <w:pPr>
              <w:pStyle w:val="2"/>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图2</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H</w:t>
            </w:r>
            <w:r>
              <w:rPr>
                <w:color w:val="000000" w:themeColor="text1"/>
                <w14:textFill>
                  <w14:solidFill>
                    <w14:schemeClr w14:val="tx1"/>
                  </w14:solidFill>
                </w14:textFill>
              </w:rPr>
              <w:t>P N224 G4</w:t>
            </w:r>
            <w:r>
              <w:rPr>
                <w:rFonts w:hint="eastAsia"/>
                <w:color w:val="000000" w:themeColor="text1"/>
                <w14:textFill>
                  <w14:solidFill>
                    <w14:schemeClr w14:val="tx1"/>
                  </w14:solidFill>
                </w14:textFill>
              </w:rPr>
              <w:t>显示器型号及连接方式</w:t>
            </w:r>
          </w:p>
        </w:tc>
      </w:tr>
    </w:tbl>
    <w:p>
      <w:pPr>
        <w:pStyle w:val="2"/>
        <w:ind w:firstLine="482" w:firstLineChars="200"/>
        <w:jc w:val="both"/>
        <w:rPr>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三、现场勘察要求</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投标人应自行进行现场考察，了解项目具体情况。中标后不再增加任何费用。不进行现场察看的视为对现场情况已经准确了解，后果自行承担。联系人夏老师：15005236359 。</w:t>
      </w:r>
    </w:p>
    <w:p>
      <w:pPr>
        <w:widowControl/>
        <w:spacing w:line="560" w:lineRule="exact"/>
        <w:ind w:firstLine="482" w:firstLineChars="200"/>
        <w:jc w:val="left"/>
        <w:rPr>
          <w:rFonts w:ascii="宋体" w:hAnsi="宋体" w:cs="宋体"/>
          <w:b/>
          <w:bCs/>
          <w:color w:val="000000" w:themeColor="text1"/>
          <w:sz w:val="24"/>
          <w:lang w:val="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color w:val="000000" w:themeColor="text1"/>
          <w:sz w:val="24"/>
          <w:lang w:val="zh-CN"/>
          <w14:textFill>
            <w14:solidFill>
              <w14:schemeClr w14:val="tx1"/>
            </w14:solidFill>
          </w14:textFill>
        </w:rPr>
        <w:t>合同履行时间</w:t>
      </w:r>
    </w:p>
    <w:p>
      <w:pPr>
        <w:widowControl/>
        <w:spacing w:line="560" w:lineRule="exact"/>
        <w:ind w:firstLine="480" w:firstLineChars="200"/>
        <w:jc w:val="left"/>
        <w:rPr>
          <w:rFonts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中标后</w:t>
      </w:r>
      <w:r>
        <w:rPr>
          <w:rFonts w:hint="eastAsia" w:ascii="宋体" w:hAnsi="宋体" w:cs="宋体"/>
          <w:color w:val="000000" w:themeColor="text1"/>
          <w:sz w:val="24"/>
          <w14:textFill>
            <w14:solidFill>
              <w14:schemeClr w14:val="tx1"/>
            </w14:solidFill>
          </w14:textFill>
        </w:rPr>
        <w:t>五个</w:t>
      </w:r>
      <w:r>
        <w:rPr>
          <w:rFonts w:hint="eastAsia" w:ascii="宋体" w:hAnsi="宋体" w:cs="宋体"/>
          <w:color w:val="000000" w:themeColor="text1"/>
          <w:sz w:val="24"/>
          <w:lang w:val="zh-CN"/>
          <w14:textFill>
            <w14:solidFill>
              <w14:schemeClr w14:val="tx1"/>
            </w14:solidFill>
          </w14:textFill>
        </w:rPr>
        <w:t>日历天完成设备的采购、供应、运输、安装及就位、调试</w:t>
      </w:r>
      <w:r>
        <w:rPr>
          <w:rFonts w:hint="eastAsia" w:ascii="宋体" w:hAnsi="宋体" w:cs="宋体"/>
          <w:color w:val="000000" w:themeColor="text1"/>
          <w:sz w:val="24"/>
          <w14:textFill>
            <w14:solidFill>
              <w14:schemeClr w14:val="tx1"/>
            </w14:solidFill>
          </w14:textFill>
        </w:rPr>
        <w:t>交付采购人使用</w:t>
      </w:r>
      <w:r>
        <w:rPr>
          <w:rFonts w:hint="eastAsia" w:ascii="宋体" w:hAnsi="宋体" w:cs="宋体"/>
          <w:color w:val="000000" w:themeColor="text1"/>
          <w:sz w:val="24"/>
          <w:lang w:val="zh-CN"/>
          <w14:textFill>
            <w14:solidFill>
              <w14:schemeClr w14:val="tx1"/>
            </w14:solidFill>
          </w14:textFill>
        </w:rPr>
        <w:t>。</w:t>
      </w:r>
    </w:p>
    <w:p>
      <w:pPr>
        <w:widowControl/>
        <w:spacing w:line="560" w:lineRule="exact"/>
        <w:ind w:firstLine="482" w:firstLineChars="200"/>
        <w:jc w:val="left"/>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五、招标参数</w:t>
      </w:r>
    </w:p>
    <w:tbl>
      <w:tblPr>
        <w:tblStyle w:val="33"/>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60"/>
        <w:gridCol w:w="4012"/>
        <w:gridCol w:w="705"/>
        <w:gridCol w:w="720"/>
        <w:gridCol w:w="1710"/>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060"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配件名称</w:t>
            </w:r>
          </w:p>
        </w:tc>
        <w:tc>
          <w:tcPr>
            <w:tcW w:w="4012"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型号/规格</w:t>
            </w:r>
          </w:p>
        </w:tc>
        <w:tc>
          <w:tcPr>
            <w:tcW w:w="705"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w:t>
            </w:r>
          </w:p>
        </w:tc>
        <w:tc>
          <w:tcPr>
            <w:tcW w:w="720"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数量</w:t>
            </w:r>
          </w:p>
        </w:tc>
        <w:tc>
          <w:tcPr>
            <w:tcW w:w="1710"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推荐品牌</w:t>
            </w:r>
          </w:p>
        </w:tc>
        <w:tc>
          <w:tcPr>
            <w:tcW w:w="735"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显卡</w:t>
            </w:r>
          </w:p>
        </w:tc>
        <w:tc>
          <w:tcPr>
            <w:tcW w:w="4012" w:type="dxa"/>
            <w:vAlign w:val="center"/>
          </w:tcPr>
          <w:p>
            <w:pPr>
              <w:widowControl/>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显卡高度不大于130mm，</w:t>
            </w:r>
            <w:r>
              <w:rPr>
                <w:color w:val="000000" w:themeColor="text1"/>
                <w14:textFill>
                  <w14:solidFill>
                    <w14:schemeClr w14:val="tx1"/>
                  </w14:solidFill>
                </w14:textFill>
              </w:rPr>
              <w:t>核心频率≥1</w:t>
            </w:r>
            <w:r>
              <w:rPr>
                <w:rFonts w:hint="eastAsia"/>
                <w:color w:val="000000" w:themeColor="text1"/>
                <w:lang w:val="en-US" w:eastAsia="zh-CN"/>
                <w14:textFill>
                  <w14:solidFill>
                    <w14:schemeClr w14:val="tx1"/>
                  </w14:solidFill>
                </w14:textFill>
              </w:rPr>
              <w:t>590</w:t>
            </w:r>
            <w:r>
              <w:rPr>
                <w:color w:val="000000" w:themeColor="text1"/>
                <w14:textFill>
                  <w14:solidFill>
                    <w14:schemeClr w14:val="tx1"/>
                  </w14:solidFill>
                </w14:textFill>
              </w:rPr>
              <w:t>MHz，显存频率≥8000MHz，显存容量≥4GB，显存位宽≥128bit，CUDA核心数不低于896个，显存类型不低于GDDR5，I/O接口数不低于3个，电源接口数不低于6pin，产品尺寸长度≤220mm，散热风扇数不少于2个。</w:t>
            </w:r>
            <w:r>
              <w:rPr>
                <w:rFonts w:hint="eastAsia"/>
                <w:b/>
                <w:bCs/>
                <w:color w:val="000000" w:themeColor="text1"/>
                <w14:textFill>
                  <w14:solidFill>
                    <w14:schemeClr w14:val="tx1"/>
                  </w14:solidFill>
                </w14:textFill>
              </w:rPr>
              <w:t>保证能装入机箱</w:t>
            </w:r>
            <w:r>
              <w:rPr>
                <w:rFonts w:hint="eastAsia"/>
                <w:b/>
                <w:bCs/>
                <w:color w:val="000000" w:themeColor="text1"/>
                <w:lang w:val="en-US" w:eastAsia="zh-CN"/>
                <w14:textFill>
                  <w14:solidFill>
                    <w14:schemeClr w14:val="tx1"/>
                  </w14:solidFill>
                </w14:textFill>
              </w:rPr>
              <w:t>并完好封闭</w:t>
            </w:r>
            <w:r>
              <w:rPr>
                <w:rFonts w:hint="eastAsia"/>
                <w:b/>
                <w:bCs/>
                <w:color w:val="000000" w:themeColor="text1"/>
                <w14:textFill>
                  <w14:solidFill>
                    <w14:schemeClr w14:val="tx1"/>
                  </w14:solidFill>
                </w14:textFill>
              </w:rPr>
              <w:t>。</w:t>
            </w:r>
            <w:r>
              <w:rPr>
                <w:rFonts w:hint="eastAsia"/>
                <w:b/>
                <w:bCs/>
                <w:color w:val="000000" w:themeColor="text1"/>
                <w:lang w:eastAsia="zh-CN"/>
                <w14:textFill>
                  <w14:solidFill>
                    <w14:schemeClr w14:val="tx1"/>
                  </w14:solidFill>
                </w14:textFill>
              </w:rPr>
              <w:t>（</w:t>
            </w:r>
            <w:r>
              <w:rPr>
                <w:rFonts w:hint="eastAsia"/>
                <w:b/>
                <w:bCs/>
                <w:color w:val="000000" w:themeColor="text1"/>
                <w:lang w:val="en-US" w:eastAsia="zh-CN"/>
                <w14:textFill>
                  <w14:solidFill>
                    <w14:schemeClr w14:val="tx1"/>
                  </w14:solidFill>
                </w14:textFill>
              </w:rPr>
              <w:t>建议尾部供电横插</w:t>
            </w:r>
            <w:r>
              <w:rPr>
                <w:rFonts w:hint="eastAsia"/>
                <w:b/>
                <w:bCs/>
                <w:color w:val="000000" w:themeColor="text1"/>
                <w:lang w:eastAsia="zh-CN"/>
                <w14:textFill>
                  <w14:solidFill>
                    <w14:schemeClr w14:val="tx1"/>
                  </w14:solidFill>
                </w14:textFill>
              </w:rPr>
              <w:t>）</w:t>
            </w:r>
          </w:p>
        </w:tc>
        <w:tc>
          <w:tcPr>
            <w:tcW w:w="705"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72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20</w:t>
            </w:r>
          </w:p>
        </w:tc>
        <w:tc>
          <w:tcPr>
            <w:tcW w:w="1710"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影驰、华硕、七彩虹</w:t>
            </w:r>
          </w:p>
        </w:tc>
        <w:tc>
          <w:tcPr>
            <w:tcW w:w="735" w:type="dxa"/>
            <w:noWrap/>
            <w:vAlign w:val="center"/>
          </w:tcPr>
          <w:p>
            <w:pPr>
              <w:widowControl/>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电源</w:t>
            </w:r>
          </w:p>
        </w:tc>
        <w:tc>
          <w:tcPr>
            <w:tcW w:w="4012" w:type="dxa"/>
            <w:vAlign w:val="center"/>
          </w:tcPr>
          <w:p>
            <w:pPr>
              <w:widowControl/>
              <w:rPr>
                <w:color w:val="000000" w:themeColor="text1"/>
                <w14:textFill>
                  <w14:solidFill>
                    <w14:schemeClr w14:val="tx1"/>
                  </w14:solidFill>
                </w14:textFill>
              </w:rPr>
            </w:pPr>
            <w:r>
              <w:rPr>
                <w:color w:val="000000" w:themeColor="text1"/>
                <w14:textFill>
                  <w14:solidFill>
                    <w14:schemeClr w14:val="tx1"/>
                  </w14:solidFill>
                </w14:textFill>
              </w:rPr>
              <w:t>额定功率≥400w，80plus认证，尺寸不大于165×100×75mm，显卡供电接口数≥6+2p</w:t>
            </w:r>
          </w:p>
        </w:tc>
        <w:tc>
          <w:tcPr>
            <w:tcW w:w="705"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720" w:type="dxa"/>
            <w:vAlign w:val="center"/>
          </w:tcPr>
          <w:p>
            <w:pPr>
              <w:widowControl/>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120</w:t>
            </w:r>
          </w:p>
        </w:tc>
        <w:tc>
          <w:tcPr>
            <w:tcW w:w="1710" w:type="dxa"/>
            <w:noWrap/>
            <w:vAlign w:val="center"/>
          </w:tcPr>
          <w:p>
            <w:pPr>
              <w:widowControl/>
              <w:jc w:val="center"/>
              <w:rPr>
                <w:rFonts w:ascii="宋体" w:hAnsi="宋体" w:cs="宋体"/>
                <w:color w:val="000000" w:themeColor="text1"/>
                <w14:textFill>
                  <w14:solidFill>
                    <w14:schemeClr w14:val="tx1"/>
                  </w14:solidFill>
                </w14:textFill>
              </w:rPr>
            </w:pPr>
          </w:p>
        </w:tc>
        <w:tc>
          <w:tcPr>
            <w:tcW w:w="735" w:type="dxa"/>
            <w:noWrap/>
            <w:vAlign w:val="center"/>
          </w:tcPr>
          <w:p>
            <w:pPr>
              <w:widowControl/>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DVI数据线</w:t>
            </w:r>
          </w:p>
        </w:tc>
        <w:tc>
          <w:tcPr>
            <w:tcW w:w="4012" w:type="dxa"/>
            <w:vAlign w:val="center"/>
          </w:tcPr>
          <w:p>
            <w:pPr>
              <w:widowControl/>
              <w:jc w:val="cente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1.5m</w:t>
            </w:r>
          </w:p>
        </w:tc>
        <w:tc>
          <w:tcPr>
            <w:tcW w:w="705"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72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98</w:t>
            </w:r>
          </w:p>
        </w:tc>
        <w:tc>
          <w:tcPr>
            <w:tcW w:w="1710"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绿联、山泽、倍思</w:t>
            </w:r>
          </w:p>
        </w:tc>
        <w:tc>
          <w:tcPr>
            <w:tcW w:w="735" w:type="dxa"/>
            <w:noWrap/>
            <w:vAlign w:val="center"/>
          </w:tcPr>
          <w:p>
            <w:pPr>
              <w:widowControl/>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HDMI数据线</w:t>
            </w:r>
          </w:p>
        </w:tc>
        <w:tc>
          <w:tcPr>
            <w:tcW w:w="4012" w:type="dxa"/>
            <w:vAlign w:val="center"/>
          </w:tcPr>
          <w:p>
            <w:pPr>
              <w:widowControl/>
              <w:jc w:val="cente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1.5m</w:t>
            </w:r>
          </w:p>
        </w:tc>
        <w:tc>
          <w:tcPr>
            <w:tcW w:w="705"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72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84</w:t>
            </w:r>
          </w:p>
        </w:tc>
        <w:tc>
          <w:tcPr>
            <w:tcW w:w="1710"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绿联、山泽、倍思</w:t>
            </w:r>
          </w:p>
        </w:tc>
        <w:tc>
          <w:tcPr>
            <w:tcW w:w="735" w:type="dxa"/>
            <w:noWrap/>
            <w:vAlign w:val="center"/>
          </w:tcPr>
          <w:p>
            <w:pPr>
              <w:widowControl/>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台式电脑固态硬盘</w:t>
            </w:r>
          </w:p>
        </w:tc>
        <w:tc>
          <w:tcPr>
            <w:tcW w:w="4012"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联想Thinkplus固态硬盘ST600系列SATA3-480G</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存储容量：480G；</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接口类型：SATA3；</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闪存架构：TLC三层单元；</w:t>
            </w:r>
          </w:p>
          <w:p>
            <w:pPr>
              <w:widowControl/>
              <w:tabs>
                <w:tab w:val="left" w:pos="312"/>
              </w:tabs>
              <w:rPr>
                <w:color w:val="000000" w:themeColor="text1"/>
                <w14:textFill>
                  <w14:solidFill>
                    <w14:schemeClr w14:val="tx1"/>
                  </w14:solidFill>
                </w14:textFill>
              </w:rPr>
            </w:pPr>
            <w:r>
              <w:rPr>
                <w:rFonts w:hint="eastAsia"/>
                <w:color w:val="000000" w:themeColor="text1"/>
                <w14:textFill>
                  <w14:solidFill>
                    <w14:schemeClr w14:val="tx1"/>
                  </w14:solidFill>
                </w14:textFill>
              </w:rPr>
              <w:t>含所有安装配件；</w:t>
            </w:r>
          </w:p>
          <w:p>
            <w:pPr>
              <w:widowControl/>
              <w:tabs>
                <w:tab w:val="left" w:pos="312"/>
              </w:tabs>
              <w:rPr>
                <w:color w:val="000000" w:themeColor="text1"/>
                <w14:textFill>
                  <w14:solidFill>
                    <w14:schemeClr w14:val="tx1"/>
                  </w14:solidFill>
                </w14:textFill>
              </w:rPr>
            </w:pPr>
            <w:r>
              <w:rPr>
                <w:rFonts w:hint="eastAsia"/>
                <w:color w:val="000000" w:themeColor="text1"/>
                <w14:textFill>
                  <w14:solidFill>
                    <w14:schemeClr w14:val="tx1"/>
                  </w14:solidFill>
                </w14:textFill>
              </w:rPr>
              <w:t>（必须与原固态硬盘一致）</w:t>
            </w:r>
          </w:p>
        </w:tc>
        <w:tc>
          <w:tcPr>
            <w:tcW w:w="705"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72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0</w:t>
            </w:r>
          </w:p>
        </w:tc>
        <w:tc>
          <w:tcPr>
            <w:tcW w:w="1710" w:type="dxa"/>
            <w:noWrap/>
            <w:vAlign w:val="center"/>
          </w:tcPr>
          <w:p>
            <w:pPr>
              <w:widowControl/>
              <w:jc w:val="center"/>
              <w:rPr>
                <w:rFonts w:ascii="宋体" w:hAnsi="宋体" w:cs="宋体"/>
                <w:color w:val="000000" w:themeColor="text1"/>
                <w14:textFill>
                  <w14:solidFill>
                    <w14:schemeClr w14:val="tx1"/>
                  </w14:solidFill>
                </w14:textFill>
              </w:rPr>
            </w:pPr>
          </w:p>
        </w:tc>
        <w:tc>
          <w:tcPr>
            <w:tcW w:w="735" w:type="dxa"/>
            <w:noWrap/>
            <w:vAlign w:val="center"/>
          </w:tcPr>
          <w:p>
            <w:pPr>
              <w:widowControl/>
              <w:jc w:val="center"/>
              <w:rPr>
                <w:rFonts w:ascii="宋体" w:hAnsi="宋体" w:cs="宋体"/>
                <w:color w:val="000000" w:themeColor="text1"/>
                <w14:textFill>
                  <w14:solidFill>
                    <w14:schemeClr w14:val="tx1"/>
                  </w14:solidFill>
                </w14:textFill>
              </w:rPr>
            </w:pPr>
          </w:p>
        </w:tc>
      </w:tr>
    </w:tbl>
    <w:p>
      <w:pPr>
        <w:adjustRightInd w:val="0"/>
        <w:snapToGrid w:val="0"/>
        <w:spacing w:line="360" w:lineRule="auto"/>
        <w:rPr>
          <w:rFonts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t> </w:t>
      </w:r>
      <w:r>
        <w:rPr>
          <w:rFonts w:hint="eastAsia" w:ascii="宋体" w:hAnsi="宋体" w:cs="宋体"/>
          <w:color w:val="000000" w:themeColor="text1"/>
          <w:szCs w:val="21"/>
          <w14:textFill>
            <w14:solidFill>
              <w14:schemeClr w14:val="tx1"/>
            </w14:solidFill>
          </w14:textFill>
        </w:rPr>
        <w:t>注：1、投标品牌必须从推荐品牌中选定，否则作为无效投标。投标产品必须全部响应技术参数，否则为无效投标。</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2、需将原设备的显卡等配件拆除，安装调试所有设备，确保设备正常运行使用。大赛期间需派专人至现场进行维护，确保大赛正常进行。</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14:textFill>
            <w14:solidFill>
              <w14:schemeClr w14:val="tx1"/>
            </w14:solidFill>
          </w14:textFill>
        </w:rPr>
        <w:t>综合单价是指含设备费、人工费、材料费、运输费、安装调试费、税金等一切费用。为完成本项目而必须发生的、但清单中未列明的相关费用也由各投标人自行综合考虑分摊含进投标报价中，结算时不再另增任何费用。</w:t>
      </w:r>
    </w:p>
    <w:p>
      <w:pPr>
        <w:adjustRightInd w:val="0"/>
        <w:snapToGrid w:val="0"/>
        <w:spacing w:line="36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4、投标产品</w:t>
      </w:r>
      <w:r>
        <w:rPr>
          <w:bCs/>
          <w:color w:val="000000" w:themeColor="text1"/>
          <w:sz w:val="22"/>
          <w14:textFill>
            <w14:solidFill>
              <w14:schemeClr w14:val="tx1"/>
            </w14:solidFill>
          </w14:textFill>
        </w:rPr>
        <w:t>必须全新正品，包含合格证。</w:t>
      </w:r>
      <w:r>
        <w:rPr>
          <w:rFonts w:hint="eastAsia"/>
          <w:bCs/>
          <w:color w:val="000000" w:themeColor="text1"/>
          <w:sz w:val="22"/>
          <w14:textFill>
            <w14:solidFill>
              <w14:schemeClr w14:val="tx1"/>
            </w14:solidFill>
          </w14:textFill>
        </w:rPr>
        <w:t>中标人须提供三年的免费质保服务。</w:t>
      </w:r>
    </w:p>
    <w:p>
      <w:pPr>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本项目中标人须确保产品安装至电脑，电脑主机和显示器清灰、系统重新安装、双屏连接及调试，2024年和2025年江苏省职业院校技能大赛建筑工程识图省赛和国赛遴选赛期间的电脑维护，确保电脑能够正常运行建筑工程识图赛项相关软件（软件及电脑配置见采购需求）。</w:t>
      </w:r>
    </w:p>
    <w:p>
      <w:pPr>
        <w:pStyle w:val="216"/>
        <w:widowControl w:val="0"/>
        <w:spacing w:before="0" w:beforeAutospacing="0" w:after="0" w:afterAutospacing="0" w:line="500" w:lineRule="exact"/>
        <w:ind w:firstLine="482" w:firstLineChars="200"/>
        <w:jc w:val="both"/>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六、商务条款</w:t>
      </w:r>
      <w:r>
        <w:rPr>
          <w:b/>
          <w:bCs/>
          <w:color w:val="000000" w:themeColor="text1"/>
          <w14:textFill>
            <w14:solidFill>
              <w14:schemeClr w14:val="tx1"/>
            </w14:solidFill>
          </w14:textFill>
        </w:rPr>
        <w:t> </w:t>
      </w:r>
    </w:p>
    <w:p>
      <w:pPr>
        <w:pStyle w:val="218"/>
        <w:spacing w:line="500" w:lineRule="exact"/>
        <w:ind w:firstLine="482"/>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1.质保期</w:t>
      </w:r>
    </w:p>
    <w:p>
      <w:pPr>
        <w:pStyle w:val="218"/>
        <w:spacing w:line="50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须提供三年的免费质保服务。（自交货验收合格之日起计）</w:t>
      </w:r>
    </w:p>
    <w:p>
      <w:pPr>
        <w:pStyle w:val="218"/>
        <w:numPr>
          <w:ilvl w:val="0"/>
          <w:numId w:val="2"/>
        </w:numPr>
        <w:spacing w:line="500" w:lineRule="exact"/>
        <w:ind w:firstLine="482"/>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售后技术服务要求</w:t>
      </w:r>
    </w:p>
    <w:p>
      <w:pPr>
        <w:pStyle w:val="218"/>
        <w:spacing w:line="500" w:lineRule="exact"/>
        <w:ind w:firstLine="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2.1在质量保修期内，如有问题，卖方应免费维修并且保证2小时内响应买方电话通知，立即委派专业维修人员在24小时内到达现场，48小时内修复至正常运行；若无法修复至正常运行，须标明赔偿标准或补救措施。</w:t>
      </w:r>
    </w:p>
    <w:p>
      <w:pPr>
        <w:pStyle w:val="218"/>
        <w:spacing w:line="50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2.2免费维护期间，买方遇到重大问题，且以上技术不能解决，中标人应派技术工程师到现场排除故障，保证买方正常使用。</w:t>
      </w:r>
    </w:p>
    <w:p>
      <w:pPr>
        <w:spacing w:line="50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3.付款方式</w:t>
      </w:r>
    </w:p>
    <w:p>
      <w:pPr>
        <w:pStyle w:val="218"/>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付款方式:招标范围内容全部完成并经安装调试、大赛期间现场维护结束，经验收合格后付总价的90%；验收合格满一年后根据售后服务情况付总价的5%；验收合格满三年根据售后服务情况付总价的5%。</w:t>
      </w:r>
    </w:p>
    <w:p>
      <w:pPr>
        <w:pStyle w:val="218"/>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供应商须出具与其营业执照名称相一致的增值税专用发票。</w:t>
      </w:r>
    </w:p>
    <w:p>
      <w:pPr>
        <w:pStyle w:val="218"/>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w:t>
      </w:r>
    </w:p>
    <w:p>
      <w:pPr>
        <w:spacing w:line="360" w:lineRule="auto"/>
        <w:rPr>
          <w:rFonts w:ascii="宋体"/>
          <w:color w:val="000000" w:themeColor="text1"/>
          <w:position w:val="2"/>
          <w:sz w:val="28"/>
          <w14:textFill>
            <w14:solidFill>
              <w14:schemeClr w14:val="tx1"/>
            </w14:solidFill>
          </w14:textFill>
        </w:rPr>
      </w:pPr>
    </w:p>
    <w:p>
      <w:pPr>
        <w:spacing w:line="360" w:lineRule="auto"/>
        <w:rPr>
          <w:rFonts w:ascii="宋体"/>
          <w:color w:val="000000" w:themeColor="text1"/>
          <w:position w:val="2"/>
          <w:sz w:val="28"/>
          <w14:textFill>
            <w14:solidFill>
              <w14:schemeClr w14:val="tx1"/>
            </w14:solidFill>
          </w14:textFill>
        </w:rPr>
      </w:pPr>
      <w:r>
        <w:rPr>
          <w:rFonts w:ascii="宋体"/>
          <w:color w:val="000000" w:themeColor="text1"/>
          <w:position w:val="2"/>
          <w:sz w:val="28"/>
          <w14:textFill>
            <w14:solidFill>
              <w14:schemeClr w14:val="tx1"/>
            </w14:solidFill>
          </w14:textFill>
        </w:rPr>
        <w:br w:type="page" w:clear="all"/>
      </w:r>
    </w:p>
    <w:p>
      <w:pPr>
        <w:pStyle w:val="216"/>
        <w:keepNext/>
        <w:widowControl w:val="0"/>
        <w:spacing w:before="0" w:beforeAutospacing="0" w:after="0" w:afterAutospacing="0"/>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 xml:space="preserve">第四章  响应文件格式 </w:t>
      </w:r>
    </w:p>
    <w:p>
      <w:pPr>
        <w:pStyle w:val="216"/>
        <w:widowControl w:val="0"/>
        <w:spacing w:before="0" w:beforeAutospacing="0" w:after="0" w:afterAutospacing="0"/>
        <w:jc w:val="center"/>
        <w:rPr>
          <w:b/>
          <w:color w:val="000000" w:themeColor="text1"/>
          <w:sz w:val="72"/>
          <w:szCs w:val="72"/>
          <w14:textFill>
            <w14:solidFill>
              <w14:schemeClr w14:val="tx1"/>
            </w14:solidFill>
          </w14:textFill>
        </w:rPr>
      </w:pPr>
      <w:bookmarkStart w:id="138" w:name="_Toc120614282"/>
      <w:bookmarkEnd w:id="138"/>
      <w:bookmarkStart w:id="139" w:name="_Toc49090576"/>
      <w:bookmarkEnd w:id="139"/>
      <w:bookmarkStart w:id="140" w:name="_Toc26554094"/>
      <w:bookmarkStart w:id="141" w:name="_Hlt26671244"/>
      <w:bookmarkStart w:id="142" w:name="_Hlt26955039"/>
    </w:p>
    <w:p>
      <w:pPr>
        <w:pStyle w:val="216"/>
        <w:widowControl w:val="0"/>
        <w:spacing w:before="0" w:beforeAutospacing="0" w:after="0" w:afterAutospacing="0"/>
        <w:jc w:val="center"/>
        <w:rPr>
          <w:rFonts w:ascii="方正小标宋_GBK" w:hAnsi="方正小标宋_GBK" w:eastAsia="方正小标宋_GBK" w:cs="方正小标宋_GBK"/>
          <w:color w:val="000000" w:themeColor="text1"/>
          <w:sz w:val="72"/>
          <w:szCs w:val="72"/>
          <w14:textFill>
            <w14:solidFill>
              <w14:schemeClr w14:val="tx1"/>
            </w14:solidFill>
          </w14:textFill>
        </w:rPr>
      </w:pPr>
      <w:r>
        <w:rPr>
          <w:rFonts w:hint="eastAsia" w:ascii="方正小标宋_GBK" w:hAnsi="方正小标宋_GBK" w:eastAsia="方正小标宋_GBK" w:cs="方正小标宋_GBK"/>
          <w:color w:val="000000" w:themeColor="text1"/>
          <w:sz w:val="72"/>
          <w:szCs w:val="72"/>
          <w14:textFill>
            <w14:solidFill>
              <w14:schemeClr w14:val="tx1"/>
            </w14:solidFill>
          </w14:textFill>
        </w:rPr>
        <w:t>响  应  文  件</w:t>
      </w:r>
    </w:p>
    <w:p>
      <w:pPr>
        <w:pStyle w:val="216"/>
        <w:widowControl w:val="0"/>
        <w:spacing w:before="0" w:beforeAutospacing="0" w:after="0" w:afterAutospacing="0"/>
        <w:jc w:val="center"/>
        <w:rPr>
          <w:color w:val="000000" w:themeColor="text1"/>
          <w14:textFill>
            <w14:solidFill>
              <w14:schemeClr w14:val="tx1"/>
            </w14:solidFill>
          </w14:textFill>
        </w:rPr>
      </w:pPr>
      <w:r>
        <w:rPr>
          <w:color w:val="000000" w:themeColor="text1"/>
          <w14:textFill>
            <w14:solidFill>
              <w14:schemeClr w14:val="tx1"/>
            </w14:solidFill>
          </w14:textFill>
        </w:rPr>
        <w:t> </w:t>
      </w:r>
    </w:p>
    <w:p>
      <w:pPr>
        <w:jc w:val="center"/>
        <w:outlineLvl w:val="0"/>
        <w:rPr>
          <w:rStyle w:val="239"/>
          <w:rFonts w:ascii="宋体" w:hAnsi="宋体" w:cs="宋体"/>
          <w:b/>
          <w:color w:val="000000" w:themeColor="text1"/>
          <w:sz w:val="72"/>
          <w14:textFill>
            <w14:solidFill>
              <w14:schemeClr w14:val="tx1"/>
            </w14:solidFill>
          </w14:textFill>
        </w:rPr>
      </w:pPr>
      <w:bookmarkStart w:id="143" w:name="_Toc17655"/>
      <w:r>
        <w:rPr>
          <w:rStyle w:val="239"/>
          <w:rFonts w:hint="eastAsia" w:ascii="宋体" w:hAnsi="宋体" w:cs="宋体"/>
          <w:b/>
          <w:color w:val="000000" w:themeColor="text1"/>
          <w:sz w:val="36"/>
          <w14:textFill>
            <w14:solidFill>
              <w14:schemeClr w14:val="tx1"/>
            </w14:solidFill>
          </w14:textFill>
        </w:rPr>
        <w:t>（正或副本）</w:t>
      </w:r>
      <w:bookmarkEnd w:id="143"/>
    </w:p>
    <w:p>
      <w:pPr>
        <w:jc w:val="center"/>
        <w:rPr>
          <w:rStyle w:val="239"/>
          <w:rFonts w:ascii="宋体" w:hAnsi="宋体" w:cs="宋体"/>
          <w:b/>
          <w:color w:val="000000" w:themeColor="text1"/>
          <w:sz w:val="72"/>
          <w14:textFill>
            <w14:solidFill>
              <w14:schemeClr w14:val="tx1"/>
            </w14:solidFill>
          </w14:textFill>
        </w:rPr>
      </w:pPr>
    </w:p>
    <w:p>
      <w:pPr>
        <w:jc w:val="center"/>
        <w:rPr>
          <w:rStyle w:val="239"/>
          <w:rFonts w:ascii="宋体" w:hAnsi="宋体" w:cs="宋体"/>
          <w:b/>
          <w:color w:val="000000" w:themeColor="text1"/>
          <w:sz w:val="36"/>
          <w14:textFill>
            <w14:solidFill>
              <w14:schemeClr w14:val="tx1"/>
            </w14:solidFill>
          </w14:textFill>
        </w:rPr>
      </w:pPr>
    </w:p>
    <w:p>
      <w:pPr>
        <w:jc w:val="center"/>
        <w:rPr>
          <w:rStyle w:val="239"/>
          <w:rFonts w:ascii="宋体" w:hAnsi="宋体" w:cs="宋体"/>
          <w:b/>
          <w:color w:val="000000" w:themeColor="text1"/>
          <w:sz w:val="36"/>
          <w14:textFill>
            <w14:solidFill>
              <w14:schemeClr w14:val="tx1"/>
            </w14:solidFill>
          </w14:textFill>
        </w:rPr>
      </w:pPr>
    </w:p>
    <w:p>
      <w:pPr>
        <w:jc w:val="center"/>
        <w:rPr>
          <w:rStyle w:val="239"/>
          <w:rFonts w:ascii="宋体" w:hAnsi="宋体" w:cs="宋体"/>
          <w:b/>
          <w:color w:val="000000" w:themeColor="text1"/>
          <w:sz w:val="36"/>
          <w14:textFill>
            <w14:solidFill>
              <w14:schemeClr w14:val="tx1"/>
            </w14:solidFill>
          </w14:textFill>
        </w:rPr>
      </w:pPr>
    </w:p>
    <w:p>
      <w:pPr>
        <w:jc w:val="center"/>
        <w:rPr>
          <w:rStyle w:val="239"/>
          <w:rFonts w:ascii="宋体" w:hAnsi="宋体" w:cs="宋体"/>
          <w:b/>
          <w:color w:val="000000" w:themeColor="text1"/>
          <w:sz w:val="36"/>
          <w14:textFill>
            <w14:solidFill>
              <w14:schemeClr w14:val="tx1"/>
            </w14:solidFill>
          </w14:textFill>
        </w:rPr>
      </w:pPr>
    </w:p>
    <w:p>
      <w:pPr>
        <w:jc w:val="center"/>
        <w:rPr>
          <w:rStyle w:val="239"/>
          <w:rFonts w:ascii="宋体" w:hAnsi="宋体" w:cs="宋体"/>
          <w:b/>
          <w:color w:val="000000" w:themeColor="text1"/>
          <w:sz w:val="36"/>
          <w14:textFill>
            <w14:solidFill>
              <w14:schemeClr w14:val="tx1"/>
            </w14:solidFill>
          </w14:textFill>
        </w:rPr>
      </w:pPr>
    </w:p>
    <w:p>
      <w:pPr>
        <w:ind w:firstLine="1084" w:firstLineChars="300"/>
        <w:outlineLvl w:val="0"/>
        <w:rPr>
          <w:rStyle w:val="239"/>
          <w:rFonts w:ascii="宋体" w:hAnsi="宋体" w:cs="宋体"/>
          <w:b/>
          <w:color w:val="000000" w:themeColor="text1"/>
          <w:sz w:val="36"/>
          <w14:textFill>
            <w14:solidFill>
              <w14:schemeClr w14:val="tx1"/>
            </w14:solidFill>
          </w14:textFill>
        </w:rPr>
      </w:pPr>
      <w:bookmarkStart w:id="144" w:name="_Toc8567"/>
      <w:r>
        <w:rPr>
          <w:rStyle w:val="239"/>
          <w:rFonts w:hint="eastAsia" w:ascii="宋体" w:hAnsi="宋体" w:cs="宋体"/>
          <w:b/>
          <w:color w:val="000000" w:themeColor="text1"/>
          <w:sz w:val="36"/>
          <w14:textFill>
            <w14:solidFill>
              <w14:schemeClr w14:val="tx1"/>
            </w14:solidFill>
          </w14:textFill>
        </w:rPr>
        <w:t>项 目 名 称：</w:t>
      </w:r>
      <w:bookmarkEnd w:id="144"/>
    </w:p>
    <w:p>
      <w:pPr>
        <w:ind w:firstLine="1084" w:firstLineChars="300"/>
        <w:outlineLvl w:val="0"/>
        <w:rPr>
          <w:rStyle w:val="239"/>
          <w:rFonts w:ascii="宋体" w:hAnsi="宋体" w:cs="宋体"/>
          <w:b/>
          <w:color w:val="000000" w:themeColor="text1"/>
          <w:sz w:val="36"/>
          <w:u w:val="single" w:color="000000"/>
          <w14:textFill>
            <w14:solidFill>
              <w14:schemeClr w14:val="tx1"/>
            </w14:solidFill>
          </w14:textFill>
        </w:rPr>
      </w:pPr>
      <w:bookmarkStart w:id="145" w:name="_Toc20815"/>
      <w:r>
        <w:rPr>
          <w:rStyle w:val="239"/>
          <w:rFonts w:hint="eastAsia" w:ascii="宋体" w:hAnsi="宋体" w:cs="宋体"/>
          <w:b/>
          <w:color w:val="000000" w:themeColor="text1"/>
          <w:sz w:val="36"/>
          <w14:textFill>
            <w14:solidFill>
              <w14:schemeClr w14:val="tx1"/>
            </w14:solidFill>
          </w14:textFill>
        </w:rPr>
        <w:t>招 标 编 号：</w:t>
      </w:r>
      <w:bookmarkEnd w:id="145"/>
    </w:p>
    <w:p>
      <w:pPr>
        <w:ind w:firstLine="1084" w:firstLineChars="300"/>
        <w:outlineLvl w:val="0"/>
        <w:rPr>
          <w:rStyle w:val="239"/>
          <w:rFonts w:ascii="宋体" w:hAnsi="宋体" w:cs="宋体"/>
          <w:b/>
          <w:color w:val="000000" w:themeColor="text1"/>
          <w:sz w:val="36"/>
          <w:u w:val="single" w:color="000000"/>
          <w14:textFill>
            <w14:solidFill>
              <w14:schemeClr w14:val="tx1"/>
            </w14:solidFill>
          </w14:textFill>
        </w:rPr>
      </w:pPr>
      <w:bookmarkStart w:id="146" w:name="_Toc15597"/>
      <w:r>
        <w:rPr>
          <w:rStyle w:val="239"/>
          <w:rFonts w:hint="eastAsia" w:ascii="宋体" w:hAnsi="宋体" w:cs="宋体"/>
          <w:b/>
          <w:color w:val="000000" w:themeColor="text1"/>
          <w:sz w:val="36"/>
          <w14:textFill>
            <w14:solidFill>
              <w14:schemeClr w14:val="tx1"/>
            </w14:solidFill>
          </w14:textFill>
        </w:rPr>
        <w:t>投标人名称 ：</w:t>
      </w:r>
      <w:bookmarkEnd w:id="146"/>
    </w:p>
    <w:p>
      <w:pPr>
        <w:ind w:firstLine="1084" w:firstLineChars="300"/>
        <w:outlineLvl w:val="0"/>
        <w:rPr>
          <w:rStyle w:val="239"/>
          <w:rFonts w:ascii="宋体" w:hAnsi="宋体" w:cs="宋体"/>
          <w:b/>
          <w:color w:val="000000" w:themeColor="text1"/>
          <w:sz w:val="36"/>
          <w14:textFill>
            <w14:solidFill>
              <w14:schemeClr w14:val="tx1"/>
            </w14:solidFill>
          </w14:textFill>
        </w:rPr>
      </w:pPr>
      <w:bookmarkStart w:id="147" w:name="_Toc26387"/>
      <w:r>
        <w:rPr>
          <w:rStyle w:val="239"/>
          <w:rFonts w:hint="eastAsia" w:ascii="宋体" w:hAnsi="宋体" w:cs="宋体"/>
          <w:b/>
          <w:color w:val="000000" w:themeColor="text1"/>
          <w:sz w:val="36"/>
          <w14:textFill>
            <w14:solidFill>
              <w14:schemeClr w14:val="tx1"/>
            </w14:solidFill>
          </w14:textFill>
        </w:rPr>
        <w:t>日      期 ：</w:t>
      </w:r>
      <w:bookmarkEnd w:id="147"/>
    </w:p>
    <w:p>
      <w:pPr>
        <w:pStyle w:val="216"/>
        <w:widowControl w:val="0"/>
        <w:spacing w:before="0" w:beforeAutospacing="0" w:after="0" w:afterAutospacing="0" w:line="0" w:lineRule="atLeast"/>
        <w:jc w:val="center"/>
        <w:rPr>
          <w:b/>
          <w:color w:val="000000" w:themeColor="text1"/>
          <w:sz w:val="36"/>
          <w:szCs w:val="36"/>
          <w14:textFill>
            <w14:solidFill>
              <w14:schemeClr w14:val="tx1"/>
            </w14:solidFill>
          </w14:textFill>
        </w:rPr>
      </w:pPr>
      <w:r>
        <w:rPr>
          <w:rFonts w:hint="eastAsia"/>
          <w:b/>
          <w:color w:val="000000" w:themeColor="text1"/>
          <w:sz w:val="36"/>
          <w:szCs w:val="36"/>
          <w:u w:val="single"/>
          <w14:textFill>
            <w14:solidFill>
              <w14:schemeClr w14:val="tx1"/>
            </w14:solidFill>
          </w14:textFill>
        </w:rPr>
        <w:br w:type="page" w:clear="all"/>
      </w:r>
      <w:r>
        <w:rPr>
          <w:rFonts w:hint="eastAsia"/>
          <w:b/>
          <w:color w:val="000000" w:themeColor="text1"/>
          <w:sz w:val="36"/>
          <w:szCs w:val="36"/>
          <w14:textFill>
            <w14:solidFill>
              <w14:schemeClr w14:val="tx1"/>
            </w14:solidFill>
          </w14:textFill>
        </w:rPr>
        <w:t xml:space="preserve">   </w:t>
      </w:r>
      <w:r>
        <w:rPr>
          <w:rFonts w:hint="eastAsia"/>
          <w:b/>
          <w:color w:val="000000" w:themeColor="text1"/>
          <w:sz w:val="32"/>
          <w:szCs w:val="32"/>
          <w14:textFill>
            <w14:solidFill>
              <w14:schemeClr w14:val="tx1"/>
            </w14:solidFill>
          </w14:textFill>
        </w:rPr>
        <w:t>响应文件目录</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一、法人或者其他组织的营业执照等证明文件，自然人的身份证明（复印件加盖投标人公章）</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二、上一年度的财务状况报表（复印件加盖投标人公章，投标人成立不满一年无需提供）</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三、依法缴纳税收和社会保障资金的相关材料（复印件加盖投标人公章）</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四、具备履行合同所必需的设备和专业技术能力的书面声明</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五、参加政府采购活动前 3 年内在经营活动中没有重大违法记录的书面声明</w:t>
      </w:r>
    </w:p>
    <w:p>
      <w:pPr>
        <w:snapToGrid w:val="0"/>
        <w:spacing w:line="500" w:lineRule="exact"/>
        <w:ind w:firstLine="480"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未被“信用中国”网站（www.creditchina.gov.cn）列入失信被执行人、重大税收违法案件当事人名单、政府采购严重失信行为记录名单的网上查询截图（查询日期为询价公告发布之日当天或以后任一时间）。</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七、法人授权书</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八、询价响应函</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九、开标一览表</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十、报价表</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十一、商务要求响应及偏离表</w:t>
      </w:r>
    </w:p>
    <w:p>
      <w:pPr>
        <w:spacing w:line="520" w:lineRule="exact"/>
        <w:ind w:firstLine="480"/>
        <w:jc w:val="left"/>
        <w:rPr>
          <w:rFonts w:ascii="宋体" w:hAnsi="宋体" w:cs="宋体"/>
          <w:color w:val="000000" w:themeColor="text1"/>
          <w:sz w:val="24"/>
          <w14:textFill>
            <w14:solidFill>
              <w14:schemeClr w14:val="tx1"/>
            </w14:solidFill>
          </w14:textFill>
        </w:rPr>
      </w:pPr>
    </w:p>
    <w:p>
      <w:pPr>
        <w:spacing w:line="360" w:lineRule="auto"/>
        <w:ind w:firstLine="480"/>
        <w:rPr>
          <w:rFonts w:ascii="宋体" w:hAnsi="宋体"/>
          <w:color w:val="000000" w:themeColor="text1"/>
          <w:sz w:val="24"/>
          <w14:textFill>
            <w14:solidFill>
              <w14:schemeClr w14:val="tx1"/>
            </w14:solidFill>
          </w14:textFill>
        </w:rPr>
      </w:pPr>
    </w:p>
    <w:p>
      <w:pPr>
        <w:spacing w:line="360" w:lineRule="auto"/>
        <w:ind w:firstLine="480"/>
        <w:rPr>
          <w:rFonts w:ascii="宋体" w:hAnsi="宋体"/>
          <w:color w:val="000000" w:themeColor="text1"/>
          <w:sz w:val="24"/>
          <w14:textFill>
            <w14:solidFill>
              <w14:schemeClr w14:val="tx1"/>
            </w14:solidFill>
          </w14:textFill>
        </w:rPr>
      </w:pPr>
    </w:p>
    <w:p>
      <w:pPr>
        <w:spacing w:line="360" w:lineRule="auto"/>
        <w:ind w:firstLine="480"/>
        <w:rPr>
          <w:rFonts w:ascii="宋体" w:hAnsi="宋体"/>
          <w:color w:val="000000" w:themeColor="text1"/>
          <w:sz w:val="24"/>
          <w14:textFill>
            <w14:solidFill>
              <w14:schemeClr w14:val="tx1"/>
            </w14:solidFill>
          </w14:textFill>
        </w:rPr>
      </w:pPr>
    </w:p>
    <w:p>
      <w:pPr>
        <w:spacing w:line="360" w:lineRule="auto"/>
        <w:ind w:firstLine="480"/>
        <w:rPr>
          <w:rFonts w:ascii="宋体" w:hAnsi="宋体"/>
          <w:color w:val="000000" w:themeColor="text1"/>
          <w:sz w:val="24"/>
          <w14:textFill>
            <w14:solidFill>
              <w14:schemeClr w14:val="tx1"/>
            </w14:solidFill>
          </w14:textFill>
        </w:rPr>
      </w:pPr>
    </w:p>
    <w:p>
      <w:pPr>
        <w:spacing w:line="360" w:lineRule="auto"/>
        <w:ind w:firstLine="480"/>
        <w:rPr>
          <w:rFonts w:ascii="宋体" w:hAnsi="宋体"/>
          <w:color w:val="000000" w:themeColor="text1"/>
          <w:sz w:val="24"/>
          <w14:textFill>
            <w14:solidFill>
              <w14:schemeClr w14:val="tx1"/>
            </w14:solidFill>
          </w14:textFill>
        </w:rPr>
      </w:pPr>
    </w:p>
    <w:p>
      <w:pPr>
        <w:spacing w:line="360" w:lineRule="auto"/>
        <w:ind w:firstLine="480"/>
        <w:rPr>
          <w:rFonts w:ascii="宋体" w:hAnsi="宋体"/>
          <w:color w:val="000000" w:themeColor="text1"/>
          <w:sz w:val="24"/>
          <w14:textFill>
            <w14:solidFill>
              <w14:schemeClr w14:val="tx1"/>
            </w14:solidFill>
          </w14:textFill>
        </w:rPr>
      </w:pPr>
    </w:p>
    <w:p>
      <w:pPr>
        <w:pStyle w:val="233"/>
        <w:spacing w:beforeAutospacing="0" w:afterAutospacing="0" w:line="500" w:lineRule="exact"/>
        <w:ind w:firstLine="641"/>
        <w:jc w:val="center"/>
        <w:rPr>
          <w:color w:val="000000" w:themeColor="text1"/>
          <w:sz w:val="28"/>
          <w:szCs w:val="28"/>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clear="all"/>
      </w:r>
      <w:r>
        <w:rPr>
          <w:rFonts w:hint="eastAsia" w:ascii="黑体" w:hAnsi="黑体" w:eastAsia="黑体" w:cs="黑体"/>
          <w:i/>
          <w:color w:val="000000" w:themeColor="text1"/>
          <w:sz w:val="32"/>
          <w:szCs w:val="32"/>
          <w:u w:val="single"/>
          <w14:textFill>
            <w14:solidFill>
              <w14:schemeClr w14:val="tx1"/>
            </w14:solidFill>
          </w14:textFill>
        </w:rPr>
        <w:t>一、法人或者其他组织的营业执照等证明文件，自然人的身份证明</w:t>
      </w:r>
    </w:p>
    <w:p>
      <w:pPr>
        <w:pStyle w:val="233"/>
        <w:spacing w:beforeAutospacing="0" w:afterAutospacing="0" w:line="0" w:lineRule="atLeast"/>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34"/>
        <w:spacing w:line="360" w:lineRule="auto"/>
        <w:rPr>
          <w:rFonts w:ascii="宋体" w:hAnsi="宋体"/>
          <w:color w:val="000000" w:themeColor="text1"/>
          <w:sz w:val="24"/>
          <w14:textFill>
            <w14:solidFill>
              <w14:schemeClr w14:val="tx1"/>
            </w14:solidFill>
          </w14:textFill>
        </w:rPr>
      </w:pPr>
    </w:p>
    <w:p>
      <w:pPr>
        <w:jc w:val="center"/>
        <w:rPr>
          <w:rFonts w:ascii="黑体" w:hAnsi="黑体" w:eastAsia="黑体" w:cs="黑体"/>
          <w:i/>
          <w:color w:val="000000" w:themeColor="text1"/>
          <w:sz w:val="32"/>
          <w:szCs w:val="32"/>
          <w:u w:val="single"/>
          <w14:textFill>
            <w14:solidFill>
              <w14:schemeClr w14:val="tx1"/>
            </w14:solidFill>
          </w14:textFill>
        </w:rPr>
      </w:pPr>
      <w:r>
        <w:rPr>
          <w:rFonts w:hint="eastAsia" w:ascii="宋体" w:hAnsi="宋体" w:cs="黑体"/>
          <w:i/>
          <w:color w:val="000000" w:themeColor="text1"/>
          <w:sz w:val="32"/>
          <w:szCs w:val="32"/>
          <w:u w:val="single"/>
          <w14:textFill>
            <w14:solidFill>
              <w14:schemeClr w14:val="tx1"/>
            </w14:solidFill>
          </w14:textFill>
        </w:rPr>
        <w:br w:type="page" w:clear="all"/>
      </w:r>
      <w:r>
        <w:rPr>
          <w:rFonts w:hint="eastAsia" w:ascii="黑体" w:hAnsi="黑体" w:eastAsia="黑体" w:cs="黑体"/>
          <w:i/>
          <w:color w:val="000000" w:themeColor="text1"/>
          <w:sz w:val="32"/>
          <w:szCs w:val="32"/>
          <w:u w:val="single"/>
          <w14:textFill>
            <w14:solidFill>
              <w14:schemeClr w14:val="tx1"/>
            </w14:solidFill>
          </w14:textFill>
        </w:rPr>
        <w:t>二、上一年度的财务状况报表</w:t>
      </w:r>
    </w:p>
    <w:p>
      <w:pPr>
        <w:pStyle w:val="233"/>
        <w:spacing w:beforeAutospacing="0" w:afterAutospacing="0" w:line="380" w:lineRule="exact"/>
        <w:ind w:firstLine="48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（投标人成立不满一年不需提供）</w:t>
      </w:r>
    </w:p>
    <w:p>
      <w:pPr>
        <w:pStyle w:val="233"/>
        <w:spacing w:beforeAutospacing="0" w:afterAutospacing="0" w:line="380" w:lineRule="exact"/>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33"/>
        <w:spacing w:beforeAutospacing="0" w:afterAutospacing="0" w:line="440" w:lineRule="exact"/>
        <w:ind w:firstLine="640"/>
        <w:jc w:val="center"/>
        <w:rPr>
          <w:color w:val="000000" w:themeColor="text1"/>
          <w14:textFill>
            <w14:solidFill>
              <w14:schemeClr w14:val="tx1"/>
            </w14:solidFill>
          </w14:textFill>
        </w:rPr>
      </w:pPr>
      <w:r>
        <w:rPr>
          <w:rFonts w:cs="黑体"/>
          <w:i/>
          <w:color w:val="000000" w:themeColor="text1"/>
          <w:sz w:val="32"/>
          <w:szCs w:val="32"/>
          <w:u w:val="single"/>
          <w14:textFill>
            <w14:solidFill>
              <w14:schemeClr w14:val="tx1"/>
            </w14:solidFill>
          </w14:textFill>
        </w:rPr>
        <w:br w:type="page" w:clear="all"/>
      </w:r>
      <w:r>
        <w:rPr>
          <w:rFonts w:hint="eastAsia" w:ascii="黑体" w:hAnsi="黑体" w:eastAsia="黑体" w:cs="黑体"/>
          <w:i/>
          <w:color w:val="000000" w:themeColor="text1"/>
          <w:sz w:val="32"/>
          <w:szCs w:val="32"/>
          <w:u w:val="single"/>
          <w14:textFill>
            <w14:solidFill>
              <w14:schemeClr w14:val="tx1"/>
            </w14:solidFill>
          </w14:textFill>
        </w:rPr>
        <w:t>三、依法缴纳税收和社会保障资金的相关材料</w:t>
      </w:r>
    </w:p>
    <w:p>
      <w:pPr>
        <w:pStyle w:val="216"/>
        <w:widowControl w:val="0"/>
        <w:spacing w:before="0" w:beforeAutospacing="0" w:after="0" w:afterAutospacing="0" w:line="360" w:lineRule="auto"/>
        <w:ind w:firstLine="480"/>
        <w:jc w:val="both"/>
        <w:rPr>
          <w:color w:val="000000" w:themeColor="text1"/>
          <w14:textFill>
            <w14:solidFill>
              <w14:schemeClr w14:val="tx1"/>
            </w14:solidFill>
          </w14:textFill>
        </w:rPr>
      </w:pPr>
    </w:p>
    <w:p>
      <w:pPr>
        <w:pStyle w:val="233"/>
        <w:spacing w:beforeAutospacing="0" w:afterAutospacing="0" w:line="500" w:lineRule="exact"/>
        <w:jc w:val="center"/>
        <w:rPr>
          <w:color w:val="000000" w:themeColor="text1"/>
          <w14:textFill>
            <w14:solidFill>
              <w14:schemeClr w14:val="tx1"/>
            </w14:solidFill>
          </w14:textFill>
        </w:rPr>
      </w:pPr>
      <w:r>
        <w:rPr>
          <w:rFonts w:cs="黑体"/>
          <w:i/>
          <w:color w:val="000000" w:themeColor="text1"/>
          <w:sz w:val="32"/>
          <w:szCs w:val="32"/>
          <w:u w:val="single"/>
          <w14:textFill>
            <w14:solidFill>
              <w14:schemeClr w14:val="tx1"/>
            </w14:solidFill>
          </w14:textFill>
        </w:rPr>
        <w:br w:type="page" w:clear="all"/>
      </w:r>
      <w:r>
        <w:rPr>
          <w:rFonts w:hint="eastAsia" w:ascii="黑体" w:hAnsi="黑体" w:eastAsia="黑体" w:cs="黑体"/>
          <w:bCs/>
          <w:i/>
          <w:iCs/>
          <w:color w:val="000000" w:themeColor="text1"/>
          <w:sz w:val="32"/>
          <w:szCs w:val="32"/>
          <w:u w:val="single"/>
          <w14:textFill>
            <w14:solidFill>
              <w14:schemeClr w14:val="tx1"/>
            </w14:solidFill>
          </w14:textFill>
        </w:rPr>
        <w:t>四、具备履行合同所必需的设备和专业技术能力的书面声明</w:t>
      </w:r>
    </w:p>
    <w:p>
      <w:pPr>
        <w:pStyle w:val="233"/>
        <w:spacing w:beforeAutospacing="0" w:afterAutospacing="0" w:line="500" w:lineRule="exact"/>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我单位郑重声明：我单位具备履行本项采购合同所必需的设备和专业技术能力，为履行本项采购合同我公司具备如下主要设备和主要专业技术能力：</w:t>
      </w:r>
    </w:p>
    <w:p>
      <w:pPr>
        <w:pStyle w:val="233"/>
        <w:spacing w:beforeAutospacing="0" w:afterAutospacing="0" w:line="500" w:lineRule="exact"/>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主要设备有：</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pPr>
        <w:pStyle w:val="233"/>
        <w:spacing w:beforeAutospacing="0" w:afterAutospacing="0" w:line="500" w:lineRule="exact"/>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主要专业技术能力有：</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w:t>
      </w:r>
    </w:p>
    <w:p>
      <w:pPr>
        <w:pStyle w:val="233"/>
        <w:spacing w:beforeAutospacing="0" w:afterAutospacing="0" w:line="0" w:lineRule="atLeast"/>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pPr>
        <w:pStyle w:val="233"/>
        <w:spacing w:beforeAutospacing="0" w:afterAutospacing="0"/>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spacing w:line="460" w:lineRule="exact"/>
        <w:ind w:firstLine="3600" w:firstLineChars="15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供应商名称（公章）：</w:t>
      </w:r>
    </w:p>
    <w:p>
      <w:pPr>
        <w:spacing w:line="460" w:lineRule="exact"/>
        <w:rPr>
          <w:rFonts w:ascii="宋体" w:hAnsi="宋体" w:cs="宋体"/>
          <w:bCs/>
          <w:color w:val="000000" w:themeColor="text1"/>
          <w:sz w:val="24"/>
          <w14:textFill>
            <w14:solidFill>
              <w14:schemeClr w14:val="tx1"/>
            </w14:solidFill>
          </w14:textFill>
        </w:rPr>
      </w:pPr>
    </w:p>
    <w:p>
      <w:pPr>
        <w:spacing w:line="460" w:lineRule="exact"/>
        <w:jc w:val="righ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日期：</w:t>
      </w:r>
      <w:r>
        <w:rPr>
          <w:rFonts w:hint="eastAsia" w:ascii="宋体" w:hAnsi="宋体" w:cs="宋体"/>
          <w:bCs/>
          <w:color w:val="000000" w:themeColor="text1"/>
          <w:sz w:val="24"/>
          <w:u w:val="single"/>
          <w14:textFill>
            <w14:solidFill>
              <w14:schemeClr w14:val="tx1"/>
            </w14:solidFill>
          </w14:textFill>
        </w:rPr>
        <w:t xml:space="preserve">    年    月    日</w:t>
      </w:r>
    </w:p>
    <w:p>
      <w:pPr>
        <w:pStyle w:val="233"/>
        <w:spacing w:beforeAutospacing="0" w:afterAutospacing="0" w:line="500" w:lineRule="exact"/>
        <w:ind w:firstLine="640"/>
        <w:jc w:val="center"/>
        <w:rPr>
          <w:color w:val="000000" w:themeColor="text1"/>
          <w14:textFill>
            <w14:solidFill>
              <w14:schemeClr w14:val="tx1"/>
            </w14:solidFill>
          </w14:textFill>
        </w:rPr>
      </w:pPr>
      <w:r>
        <w:rPr>
          <w:rFonts w:cs="黑体"/>
          <w:i/>
          <w:color w:val="000000" w:themeColor="text1"/>
          <w:sz w:val="32"/>
          <w:szCs w:val="32"/>
          <w:u w:val="single"/>
          <w14:textFill>
            <w14:solidFill>
              <w14:schemeClr w14:val="tx1"/>
            </w14:solidFill>
          </w14:textFill>
        </w:rPr>
        <w:br w:type="page" w:clear="all"/>
      </w:r>
      <w:r>
        <w:rPr>
          <w:rFonts w:hint="eastAsia" w:ascii="黑体" w:hAnsi="黑体" w:eastAsia="黑体" w:cs="黑体"/>
          <w:i/>
          <w:color w:val="000000" w:themeColor="text1"/>
          <w:sz w:val="32"/>
          <w:szCs w:val="32"/>
          <w:u w:val="single"/>
          <w14:textFill>
            <w14:solidFill>
              <w14:schemeClr w14:val="tx1"/>
            </w14:solidFill>
          </w14:textFill>
        </w:rPr>
        <w:t>五、参加政府采购活动前 3 年内在经营活动中没有重大违法记录的书面声明</w:t>
      </w:r>
    </w:p>
    <w:p>
      <w:pPr>
        <w:pStyle w:val="233"/>
        <w:spacing w:beforeAutospacing="0" w:afterAutospacing="0" w:line="500" w:lineRule="exact"/>
        <w:ind w:firstLine="883"/>
        <w:jc w:val="both"/>
        <w:rPr>
          <w:color w:val="000000" w:themeColor="text1"/>
          <w14:textFill>
            <w14:solidFill>
              <w14:schemeClr w14:val="tx1"/>
            </w14:solidFill>
          </w14:textFill>
        </w:rPr>
      </w:pPr>
      <w:r>
        <w:rPr>
          <w:rFonts w:hint="eastAsia"/>
          <w:b/>
          <w:color w:val="000000" w:themeColor="text1"/>
          <w:sz w:val="44"/>
          <w:szCs w:val="44"/>
          <w14:textFill>
            <w14:solidFill>
              <w14:schemeClr w14:val="tx1"/>
            </w14:solidFill>
          </w14:textFill>
        </w:rPr>
        <w:t>             声  明</w:t>
      </w:r>
    </w:p>
    <w:p>
      <w:pPr>
        <w:pStyle w:val="233"/>
        <w:spacing w:beforeAutospacing="0" w:afterAutospacing="0" w:line="500" w:lineRule="exact"/>
        <w:ind w:firstLine="482"/>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我单位郑重声明：参加本次政府采购活动前 3 年内，我单位在经营活动中没有因违法经营受到刑事处罚或者责令停产停业、吊销许可证或者执照、较大数额罚款等行政处罚。</w:t>
      </w:r>
    </w:p>
    <w:p>
      <w:pPr>
        <w:pStyle w:val="233"/>
        <w:spacing w:beforeAutospacing="0" w:afterAutospacing="0" w:line="500" w:lineRule="exact"/>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spacing w:line="460" w:lineRule="exact"/>
        <w:ind w:firstLine="3120" w:firstLineChars="13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授权代表签字：</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日期：</w:t>
      </w:r>
      <w:r>
        <w:rPr>
          <w:rFonts w:hint="eastAsia" w:ascii="宋体" w:hAnsi="宋体" w:cs="宋体"/>
          <w:bCs/>
          <w:color w:val="000000" w:themeColor="text1"/>
          <w:sz w:val="24"/>
          <w:u w:val="single"/>
          <w14:textFill>
            <w14:solidFill>
              <w14:schemeClr w14:val="tx1"/>
            </w14:solidFill>
          </w14:textFill>
        </w:rPr>
        <w:t xml:space="preserve">           年    月    日</w:t>
      </w:r>
    </w:p>
    <w:p>
      <w:pPr>
        <w:snapToGrid w:val="0"/>
        <w:spacing w:line="500" w:lineRule="exact"/>
        <w:ind w:firstLine="640" w:firstLineChars="200"/>
        <w:jc w:val="left"/>
        <w:rPr>
          <w:rFonts w:ascii="黑体" w:hAnsi="黑体" w:eastAsia="黑体" w:cs="黑体"/>
          <w:i/>
          <w:color w:val="000000" w:themeColor="text1"/>
          <w:sz w:val="32"/>
          <w:szCs w:val="32"/>
          <w:u w:val="single"/>
          <w14:textFill>
            <w14:solidFill>
              <w14:schemeClr w14:val="tx1"/>
            </w14:solidFill>
          </w14:textFill>
        </w:rPr>
      </w:pPr>
      <w:r>
        <w:rPr>
          <w:rFonts w:cs="黑体"/>
          <w:i/>
          <w:color w:val="000000" w:themeColor="text1"/>
          <w:sz w:val="32"/>
          <w:szCs w:val="32"/>
          <w:u w:val="single"/>
          <w14:textFill>
            <w14:solidFill>
              <w14:schemeClr w14:val="tx1"/>
            </w14:solidFill>
          </w14:textFill>
        </w:rPr>
        <w:br w:type="page" w:clear="all"/>
      </w:r>
      <w:r>
        <w:rPr>
          <w:rFonts w:hint="eastAsia" w:ascii="黑体" w:hAnsi="黑体" w:eastAsia="黑体" w:cs="黑体"/>
          <w:i/>
          <w:color w:val="000000" w:themeColor="text1"/>
          <w:sz w:val="32"/>
          <w:szCs w:val="32"/>
          <w:u w:val="single"/>
          <w14:textFill>
            <w14:solidFill>
              <w14:schemeClr w14:val="tx1"/>
            </w14:solidFill>
          </w14:textFill>
        </w:rPr>
        <w:t>六、未被“信用中国”网站（www.creditchina.gov.cn）列入失信被执行人、重大税收违法案件当事人名单、政府采购严重失信行为记录名单的网上查询截图（查询日期为询价公告发布之日当天或以后任一时间）。</w:t>
      </w:r>
    </w:p>
    <w:p>
      <w:pPr>
        <w:rPr>
          <w:rFonts w:cs="黑体"/>
          <w:i/>
          <w:color w:val="000000" w:themeColor="text1"/>
          <w:sz w:val="32"/>
          <w:szCs w:val="32"/>
          <w:u w:val="single"/>
          <w14:textFill>
            <w14:solidFill>
              <w14:schemeClr w14:val="tx1"/>
            </w14:solidFill>
          </w14:textFill>
        </w:rPr>
      </w:pPr>
    </w:p>
    <w:p>
      <w:pPr>
        <w:rPr>
          <w:rFonts w:ascii="黑体" w:hAnsi="黑体" w:eastAsia="黑体" w:cs="黑体"/>
          <w:i/>
          <w:color w:val="000000" w:themeColor="text1"/>
          <w:sz w:val="32"/>
          <w:szCs w:val="32"/>
          <w:u w:val="single"/>
          <w14:textFill>
            <w14:solidFill>
              <w14:schemeClr w14:val="tx1"/>
            </w14:solidFill>
          </w14:textFill>
        </w:rPr>
      </w:pPr>
      <w:r>
        <w:rPr>
          <w:rFonts w:hint="eastAsia" w:ascii="黑体" w:hAnsi="黑体" w:eastAsia="黑体" w:cs="黑体"/>
          <w:i/>
          <w:color w:val="000000" w:themeColor="text1"/>
          <w:sz w:val="32"/>
          <w:szCs w:val="32"/>
          <w:u w:val="single"/>
          <w14:textFill>
            <w14:solidFill>
              <w14:schemeClr w14:val="tx1"/>
            </w14:solidFill>
          </w14:textFill>
        </w:rPr>
        <w:br w:type="page"/>
      </w:r>
    </w:p>
    <w:p>
      <w:pPr>
        <w:pStyle w:val="233"/>
        <w:spacing w:beforeAutospacing="0" w:afterAutospacing="0" w:line="500" w:lineRule="exact"/>
        <w:ind w:firstLine="640"/>
        <w:jc w:val="center"/>
        <w:rPr>
          <w:color w:val="000000" w:themeColor="text1"/>
          <w14:textFill>
            <w14:solidFill>
              <w14:schemeClr w14:val="tx1"/>
            </w14:solidFill>
          </w14:textFill>
        </w:rPr>
      </w:pPr>
      <w:r>
        <w:rPr>
          <w:rFonts w:hint="eastAsia" w:ascii="黑体" w:hAnsi="黑体" w:eastAsia="黑体" w:cs="黑体"/>
          <w:i/>
          <w:color w:val="000000" w:themeColor="text1"/>
          <w:sz w:val="32"/>
          <w:szCs w:val="32"/>
          <w:u w:val="single"/>
          <w14:textFill>
            <w14:solidFill>
              <w14:schemeClr w14:val="tx1"/>
            </w14:solidFill>
          </w14:textFill>
        </w:rPr>
        <w:t>七、法人授权书</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本授权书声明：____________（投标人名称）授权________________（被授权人的姓名）为我方就</w:t>
      </w:r>
      <w:r>
        <w:rPr>
          <w:rFonts w:hint="eastAsia"/>
          <w:color w:val="000000" w:themeColor="text1"/>
          <w:u w:val="single"/>
          <w14:textFill>
            <w14:solidFill>
              <w14:schemeClr w14:val="tx1"/>
            </w14:solidFill>
          </w14:textFill>
        </w:rPr>
        <w:t xml:space="preserve">2023F-                </w:t>
      </w:r>
      <w:r>
        <w:rPr>
          <w:color w:val="000000" w:themeColor="text1"/>
          <w14:textFill>
            <w14:solidFill>
              <w14:schemeClr w14:val="tx1"/>
            </w14:solidFill>
          </w14:textFill>
        </w:rPr>
        <w:t>号</w:t>
      </w:r>
      <w:r>
        <w:rPr>
          <w:rFonts w:hint="eastAsia"/>
          <w:color w:val="000000" w:themeColor="text1"/>
          <w:u w:val="single"/>
          <w14:textFill>
            <w14:solidFill>
              <w14:schemeClr w14:val="tx1"/>
            </w14:solidFill>
          </w14:textFill>
        </w:rPr>
        <w:t xml:space="preserve">           项目</w:t>
      </w:r>
      <w:r>
        <w:rPr>
          <w:color w:val="000000" w:themeColor="text1"/>
          <w14:textFill>
            <w14:solidFill>
              <w14:schemeClr w14:val="tx1"/>
            </w14:solidFill>
          </w14:textFill>
        </w:rPr>
        <w:t>采购活动的合法代理人，以本单位名义全权处理一切与该项目采购有关的事务。</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本授权书于______年____月____日起生效，特此声明。</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被授权人身份证号码：</w:t>
      </w:r>
      <w:r>
        <w:rPr>
          <w:color w:val="000000" w:themeColor="text1"/>
          <w:u w:val="single"/>
          <w14:textFill>
            <w14:solidFill>
              <w14:schemeClr w14:val="tx1"/>
            </w14:solidFill>
          </w14:textFill>
        </w:rPr>
        <w:t>              </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被授权人联系电话：（手机）</w:t>
      </w:r>
      <w:r>
        <w:rPr>
          <w:color w:val="000000" w:themeColor="text1"/>
          <w:u w:val="single"/>
          <w14:textFill>
            <w14:solidFill>
              <w14:schemeClr w14:val="tx1"/>
            </w14:solidFill>
          </w14:textFill>
        </w:rPr>
        <w:t>           </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授权单位</w:t>
      </w:r>
      <w:r>
        <w:rPr>
          <w:rFonts w:hint="eastAsia"/>
          <w:color w:val="000000" w:themeColor="text1"/>
          <w14:textFill>
            <w14:solidFill>
              <w14:schemeClr w14:val="tx1"/>
            </w14:solidFill>
          </w14:textFill>
        </w:rPr>
        <w:t>盖章</w:t>
      </w:r>
      <w:r>
        <w:rPr>
          <w:color w:val="000000" w:themeColor="text1"/>
          <w14:textFill>
            <w14:solidFill>
              <w14:schemeClr w14:val="tx1"/>
            </w14:solidFill>
          </w14:textFill>
        </w:rPr>
        <w:t>：</w:t>
      </w:r>
      <w:r>
        <w:rPr>
          <w:rFonts w:hint="eastAsia"/>
          <w:color w:val="000000" w:themeColor="text1"/>
          <w:u w:val="single"/>
          <w14:textFill>
            <w14:solidFill>
              <w14:schemeClr w14:val="tx1"/>
            </w14:solidFill>
          </w14:textFill>
        </w:rPr>
        <w:t xml:space="preserve">                            </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单位地址：</w:t>
      </w:r>
      <w:r>
        <w:rPr>
          <w:color w:val="000000" w:themeColor="text1"/>
          <w:u w:val="single"/>
          <w14:textFill>
            <w14:solidFill>
              <w14:schemeClr w14:val="tx1"/>
            </w14:solidFill>
          </w14:textFill>
        </w:rPr>
        <w:t>                   </w:t>
      </w:r>
    </w:p>
    <w:p>
      <w:pPr>
        <w:pStyle w:val="233"/>
        <w:tabs>
          <w:tab w:val="left" w:pos="360"/>
        </w:tabs>
        <w:spacing w:beforeAutospacing="0" w:afterAutospacing="0" w:line="500" w:lineRule="exact"/>
        <w:ind w:firstLine="480"/>
        <w:jc w:val="both"/>
        <w:rPr>
          <w:color w:val="000000" w:themeColor="text1"/>
          <w14:textFill>
            <w14:solidFill>
              <w14:schemeClr w14:val="tx1"/>
            </w14:solidFill>
          </w14:textFill>
        </w:rPr>
      </w:pPr>
      <w:r>
        <w:rPr>
          <w:color w:val="000000" w:themeColor="text1"/>
          <w14:textFill>
            <w14:solidFill>
              <w14:schemeClr w14:val="tx1"/>
            </w14:solidFill>
          </w14:textFill>
        </w:rPr>
        <w:t>日期：</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 xml:space="preserve"> </w:t>
      </w:r>
    </w:p>
    <w:p>
      <w:pPr>
        <w:pStyle w:val="233"/>
        <w:spacing w:beforeAutospacing="0" w:afterAutospacing="0" w:line="500" w:lineRule="exact"/>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33"/>
        <w:spacing w:beforeAutospacing="0" w:afterAutospacing="0" w:line="500" w:lineRule="exact"/>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33"/>
        <w:spacing w:beforeAutospacing="0" w:afterAutospacing="0" w:line="500" w:lineRule="exact"/>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16"/>
        <w:keepNext/>
        <w:keepLines/>
        <w:widowControl w:val="0"/>
        <w:spacing w:before="260" w:beforeAutospacing="0" w:after="260" w:afterAutospacing="0" w:line="415" w:lineRule="auto"/>
        <w:jc w:val="center"/>
        <w:rPr>
          <w:rFonts w:ascii="黑体" w:hAnsi="黑体" w:eastAsia="黑体" w:cs="黑体"/>
          <w:i/>
          <w:color w:val="000000" w:themeColor="text1"/>
          <w:sz w:val="32"/>
          <w:szCs w:val="32"/>
          <w:u w:val="single"/>
          <w14:textFill>
            <w14:solidFill>
              <w14:schemeClr w14:val="tx1"/>
            </w14:solidFill>
          </w14:textFill>
        </w:rPr>
      </w:pPr>
      <w:r>
        <w:rPr>
          <w:rFonts w:hint="eastAsia" w:ascii="黑体" w:hAnsi="黑体" w:eastAsia="黑体" w:cs="黑体"/>
          <w:i/>
          <w:color w:val="000000" w:themeColor="text1"/>
          <w:sz w:val="32"/>
          <w:szCs w:val="32"/>
          <w:u w:val="single"/>
          <w14:textFill>
            <w14:solidFill>
              <w14:schemeClr w14:val="tx1"/>
            </w14:solidFill>
          </w14:textFill>
        </w:rPr>
        <w:br w:type="page" w:clear="all"/>
      </w:r>
      <w:r>
        <w:rPr>
          <w:rFonts w:hint="eastAsia" w:ascii="黑体" w:hAnsi="黑体" w:eastAsia="黑体" w:cs="黑体"/>
          <w:i/>
          <w:color w:val="000000" w:themeColor="text1"/>
          <w:sz w:val="32"/>
          <w:szCs w:val="32"/>
          <w:u w:val="single"/>
          <w14:textFill>
            <w14:solidFill>
              <w14:schemeClr w14:val="tx1"/>
            </w14:solidFill>
          </w14:textFill>
        </w:rPr>
        <w:t>八、询价响应函</w:t>
      </w:r>
    </w:p>
    <w:p>
      <w:pPr>
        <w:pStyle w:val="216"/>
        <w:widowControl w:val="0"/>
        <w:spacing w:before="0" w:beforeAutospacing="0" w:after="0" w:afterAutospacing="0" w:line="0" w:lineRule="atLeast"/>
        <w:rPr>
          <w:color w:val="000000" w:themeColor="text1"/>
          <w14:textFill>
            <w14:solidFill>
              <w14:schemeClr w14:val="tx1"/>
            </w14:solidFill>
          </w14:textFill>
        </w:rPr>
      </w:pPr>
      <w:r>
        <w:rPr>
          <w:rFonts w:hint="eastAsia"/>
          <w:color w:val="000000" w:themeColor="text1"/>
          <w14:textFill>
            <w14:solidFill>
              <w14:schemeClr w14:val="tx1"/>
            </w14:solidFill>
          </w14:textFill>
        </w:rPr>
        <w:t>致：采购人</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根据贵方的</w:t>
      </w:r>
      <w:r>
        <w:rPr>
          <w:rFonts w:hint="eastAsia" w:ascii="宋体" w:hAnsi="宋体" w:cs="宋体"/>
          <w:color w:val="000000" w:themeColor="text1"/>
          <w:sz w:val="24"/>
          <w:u w:val="single"/>
          <w14:textFill>
            <w14:solidFill>
              <w14:schemeClr w14:val="tx1"/>
            </w14:solidFill>
          </w14:textFill>
        </w:rPr>
        <w:t xml:space="preserve">2023F-                </w:t>
      </w:r>
      <w:r>
        <w:rPr>
          <w:rFonts w:hint="eastAsia" w:ascii="宋体" w:hAnsi="宋体" w:cs="宋体"/>
          <w:color w:val="000000" w:themeColor="text1"/>
          <w:sz w:val="24"/>
          <w14:textFill>
            <w14:solidFill>
              <w14:schemeClr w14:val="tx1"/>
            </w14:solidFill>
          </w14:textFill>
        </w:rPr>
        <w:t>号询价文件，正式授权下述签字人______(姓名)代表我方______________（供应商的名称），全权处理本次项目询价的有关事宜。</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据此函，__________签字人兹宣布同意如下：</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1.按询价文件规定的各项要求，向买方提供所需货物、服务（包含与货物相关的服务及与服务相关的货物）。</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2.我们已详细审核全部询价文件及其有效补充文件，我们知道必须放弃提出含糊不清或误解问题的权利。</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3.我们同意从规定的开标日期起遵循本响应文件，并在规定的询价有效期期满之前均具有约束力。</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4.同意向贵方提供贵方可能另外要求的与询价有关的任何证据或资料，并保证我方已提供和将要提供的文件是真实的、准确的。</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5.一旦我方成交,我方将根据询价文件的规定，严格履行合同的责任和义务,并保证在询价文件规定的时间完成项目，交付买方验收、使用。</w:t>
      </w:r>
    </w:p>
    <w:p>
      <w:pPr>
        <w:spacing w:line="52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6.我方与本询价有关的正式通讯地址为：</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225"/>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pStyle w:val="216"/>
        <w:widowControl w:val="0"/>
        <w:spacing w:before="0" w:beforeAutospacing="0" w:after="0" w:afterAutospacing="0" w:line="0" w:lineRule="atLeast"/>
        <w:ind w:firstLine="240"/>
        <w:jc w:val="center"/>
        <w:rPr>
          <w:color w:val="000000" w:themeColor="text1"/>
          <w14:textFill>
            <w14:solidFill>
              <w14:schemeClr w14:val="tx1"/>
            </w14:solidFill>
          </w14:textFill>
        </w:rPr>
      </w:pPr>
      <w:r>
        <w:rPr>
          <w:color w:val="000000" w:themeColor="text1"/>
          <w14:textFill>
            <w14:solidFill>
              <w14:schemeClr w14:val="tx1"/>
            </w14:solidFill>
          </w14:textFill>
        </w:rPr>
        <w:t> </w:t>
      </w:r>
    </w:p>
    <w:p>
      <w:pPr>
        <w:pStyle w:val="233"/>
        <w:spacing w:beforeAutospacing="0" w:afterAutospacing="0" w:line="0" w:lineRule="atLeast"/>
        <w:ind w:firstLine="600"/>
        <w:jc w:val="center"/>
        <w:rPr>
          <w:rFonts w:ascii="黑体" w:hAnsi="黑体" w:eastAsia="黑体" w:cs="黑体"/>
          <w:i/>
          <w:color w:val="000000" w:themeColor="text1"/>
          <w:sz w:val="32"/>
          <w:szCs w:val="32"/>
          <w:u w:val="single"/>
          <w14:textFill>
            <w14:solidFill>
              <w14:schemeClr w14:val="tx1"/>
            </w14:solidFill>
          </w14:textFill>
        </w:rPr>
      </w:pPr>
    </w:p>
    <w:p>
      <w:pPr>
        <w:snapToGrid w:val="0"/>
        <w:spacing w:before="50" w:after="50"/>
        <w:jc w:val="center"/>
        <w:outlineLvl w:val="0"/>
        <w:rPr>
          <w:rFonts w:ascii="黑体" w:hAnsi="黑体" w:eastAsia="黑体" w:cs="黑体"/>
          <w:i/>
          <w:color w:val="000000" w:themeColor="text1"/>
          <w:sz w:val="32"/>
          <w:szCs w:val="32"/>
          <w:u w:val="single"/>
          <w14:textFill>
            <w14:solidFill>
              <w14:schemeClr w14:val="tx1"/>
            </w14:solidFill>
          </w14:textFill>
        </w:rPr>
      </w:pPr>
      <w:bookmarkStart w:id="148" w:name="_格式3__银行出具的资信证明"/>
      <w:bookmarkStart w:id="149" w:name="_Hlt26671380"/>
      <w:bookmarkStart w:id="150" w:name="_Toc120614284"/>
      <w:bookmarkStart w:id="151" w:name="_Hlt26955070"/>
      <w:r>
        <w:rPr>
          <w:rFonts w:hint="eastAsia" w:ascii="黑体" w:hAnsi="黑体" w:eastAsia="黑体" w:cs="黑体"/>
          <w:i/>
          <w:color w:val="000000" w:themeColor="text1"/>
          <w:sz w:val="32"/>
          <w:szCs w:val="32"/>
          <w:u w:val="single"/>
          <w14:textFill>
            <w14:solidFill>
              <w14:schemeClr w14:val="tx1"/>
            </w14:solidFill>
          </w14:textFill>
        </w:rPr>
        <w:t>九、开标一览表（格式）</w:t>
      </w:r>
    </w:p>
    <w:p>
      <w:pPr>
        <w:snapToGrid w:val="0"/>
        <w:spacing w:before="50" w:after="50"/>
        <w:jc w:val="center"/>
        <w:rPr>
          <w:rStyle w:val="239"/>
          <w:rFonts w:ascii="宋体" w:hAnsi="宋体" w:cs="宋体"/>
          <w:color w:val="000000" w:themeColor="text1"/>
          <w:sz w:val="32"/>
          <w:szCs w:val="32"/>
          <w14:textFill>
            <w14:solidFill>
              <w14:schemeClr w14:val="tx1"/>
            </w14:solidFill>
          </w14:textFill>
        </w:rPr>
      </w:pPr>
    </w:p>
    <w:tbl>
      <w:tblPr>
        <w:tblStyle w:val="33"/>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239"/>
                <w:rFonts w:ascii="宋体" w:hAnsi="宋体" w:cs="宋体"/>
                <w:b/>
                <w:bCs/>
                <w:color w:val="000000" w:themeColor="text1"/>
                <w:szCs w:val="28"/>
                <w14:textFill>
                  <w14:solidFill>
                    <w14:schemeClr w14:val="tx1"/>
                  </w14:solidFill>
                </w14:textFill>
              </w:rPr>
            </w:pPr>
            <w:r>
              <w:rPr>
                <w:rStyle w:val="239"/>
                <w:rFonts w:hint="eastAsia" w:ascii="宋体" w:hAnsi="宋体" w:cs="宋体"/>
                <w:b/>
                <w:bCs/>
                <w:color w:val="000000" w:themeColor="text1"/>
                <w:szCs w:val="28"/>
                <w14:textFill>
                  <w14:solidFill>
                    <w14:schemeClr w14:val="tx1"/>
                  </w14:solidFill>
                </w14:textFill>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239"/>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239"/>
                <w:rFonts w:ascii="宋体" w:hAnsi="宋体" w:cs="宋体"/>
                <w:b/>
                <w:bCs/>
                <w:color w:val="000000" w:themeColor="text1"/>
                <w:szCs w:val="28"/>
                <w14:textFill>
                  <w14:solidFill>
                    <w14:schemeClr w14:val="tx1"/>
                  </w14:solidFill>
                </w14:textFill>
              </w:rPr>
            </w:pPr>
            <w:r>
              <w:rPr>
                <w:rStyle w:val="239"/>
                <w:rFonts w:hint="eastAsia" w:ascii="宋体" w:hAnsi="宋体" w:cs="宋体"/>
                <w:b/>
                <w:bCs/>
                <w:color w:val="000000" w:themeColor="text1"/>
                <w:szCs w:val="28"/>
                <w14:textFill>
                  <w14:solidFill>
                    <w14:schemeClr w14:val="tx1"/>
                  </w14:solidFill>
                </w14:textFill>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239"/>
                <w:rFonts w:ascii="宋体" w:hAnsi="宋体" w:cs="宋体"/>
                <w:b/>
                <w:bCs/>
                <w:color w:val="000000" w:themeColor="text1"/>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szCs w:val="28"/>
                <w14:textFill>
                  <w14:solidFill>
                    <w14:schemeClr w14:val="tx1"/>
                  </w14:solidFill>
                </w14:textFill>
              </w:rPr>
            </w:pPr>
            <w:r>
              <w:rPr>
                <w:rStyle w:val="239"/>
                <w:rFonts w:hint="eastAsia" w:ascii="宋体" w:hAnsi="宋体" w:cs="宋体"/>
                <w:b/>
                <w:bCs/>
                <w:color w:val="000000" w:themeColor="text1"/>
                <w:szCs w:val="28"/>
                <w14:textFill>
                  <w14:solidFill>
                    <w14:schemeClr w14:val="tx1"/>
                  </w14:solidFill>
                </w14:textFill>
              </w:rPr>
              <w:t>项目投标报价：（大写）</w:t>
            </w:r>
            <w:r>
              <w:rPr>
                <w:rStyle w:val="239"/>
                <w:rFonts w:hint="eastAsia" w:ascii="宋体" w:hAnsi="宋体" w:cs="宋体"/>
                <w:b/>
                <w:bCs/>
                <w:color w:val="000000" w:themeColor="text1"/>
                <w:szCs w:val="28"/>
                <w:u w:val="single"/>
                <w14:textFill>
                  <w14:solidFill>
                    <w14:schemeClr w14:val="tx1"/>
                  </w14:solidFill>
                </w14:textFill>
              </w:rPr>
              <w:t xml:space="preserve">                      </w:t>
            </w:r>
            <w:r>
              <w:rPr>
                <w:rStyle w:val="239"/>
                <w:rFonts w:hint="eastAsia" w:ascii="宋体" w:hAnsi="宋体" w:cs="宋体"/>
                <w:b/>
                <w:bCs/>
                <w:color w:val="000000" w:themeColor="text1"/>
                <w:szCs w:val="28"/>
                <w14:textFill>
                  <w14:solidFill>
                    <w14:schemeClr w14:val="tx1"/>
                  </w14:solidFill>
                </w14:textFill>
              </w:rPr>
              <w:t>，小写：</w:t>
            </w:r>
            <w:r>
              <w:rPr>
                <w:rStyle w:val="239"/>
                <w:rFonts w:hint="eastAsia" w:ascii="宋体" w:hAnsi="宋体" w:cs="宋体"/>
                <w:b/>
                <w:bCs/>
                <w:color w:val="000000" w:themeColor="text1"/>
                <w:szCs w:val="28"/>
                <w:u w:val="single"/>
                <w14:textFill>
                  <w14:solidFill>
                    <w14:schemeClr w14:val="tx1"/>
                  </w14:solidFill>
                </w14:textFill>
              </w:rPr>
              <w:t xml:space="preserve">                       </w:t>
            </w:r>
            <w:r>
              <w:rPr>
                <w:rStyle w:val="239"/>
                <w:rFonts w:hint="eastAsia" w:ascii="宋体" w:hAnsi="宋体" w:cs="宋体"/>
                <w:b/>
                <w:bCs/>
                <w:color w:val="000000" w:themeColor="text1"/>
                <w:szCs w:val="28"/>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239"/>
                <w:rFonts w:ascii="宋体" w:hAnsi="宋体" w:cs="宋体"/>
                <w:b/>
                <w:bCs/>
                <w:color w:val="000000" w:themeColor="text1"/>
                <w:szCs w:val="28"/>
                <w14:textFill>
                  <w14:solidFill>
                    <w14:schemeClr w14:val="tx1"/>
                  </w14:solidFill>
                </w14:textFill>
              </w:rPr>
            </w:pPr>
            <w:r>
              <w:rPr>
                <w:rStyle w:val="239"/>
                <w:rFonts w:hint="eastAsia" w:ascii="宋体" w:hAnsi="宋体" w:cs="宋体"/>
                <w:b/>
                <w:bCs/>
                <w:color w:val="000000" w:themeColor="text1"/>
                <w:szCs w:val="28"/>
                <w14:textFill>
                  <w14:solidFill>
                    <w14:schemeClr w14:val="tx1"/>
                  </w14:solidFill>
                </w14:textFill>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239"/>
                <w:rFonts w:ascii="宋体" w:hAnsi="宋体" w:cs="宋体"/>
                <w:b/>
                <w:bCs/>
                <w:color w:val="000000" w:themeColor="text1"/>
                <w:szCs w:val="28"/>
                <w14:textFill>
                  <w14:solidFill>
                    <w14:schemeClr w14:val="tx1"/>
                  </w14:solidFill>
                </w14:textFill>
              </w:rPr>
            </w:pPr>
            <w:r>
              <w:rPr>
                <w:rStyle w:val="239"/>
                <w:rFonts w:hint="eastAsia" w:ascii="宋体" w:hAnsi="宋体" w:cs="宋体"/>
                <w:b/>
                <w:bCs/>
                <w:color w:val="000000" w:themeColor="text1"/>
                <w:szCs w:val="28"/>
                <w14:textFill>
                  <w14:solidFill>
                    <w14:schemeClr w14:val="tx1"/>
                  </w14:solidFill>
                </w14:textFill>
              </w:rPr>
              <w:t>合同履行期限：</w:t>
            </w:r>
          </w:p>
        </w:tc>
      </w:tr>
    </w:tbl>
    <w:p>
      <w:pPr>
        <w:spacing w:line="240" w:lineRule="atLeast"/>
        <w:rPr>
          <w:rStyle w:val="239"/>
          <w:rFonts w:ascii="宋体" w:hAnsi="宋体" w:cs="宋体"/>
          <w:color w:val="000000" w:themeColor="text1"/>
          <w:szCs w:val="28"/>
          <w14:textFill>
            <w14:solidFill>
              <w14:schemeClr w14:val="tx1"/>
            </w14:solidFill>
          </w14:textFill>
        </w:rPr>
      </w:pPr>
    </w:p>
    <w:p>
      <w:pPr>
        <w:spacing w:line="240" w:lineRule="atLeast"/>
        <w:rPr>
          <w:rStyle w:val="239"/>
          <w:rFonts w:ascii="宋体" w:hAnsi="宋体" w:cs="宋体"/>
          <w:color w:val="000000" w:themeColor="text1"/>
          <w:szCs w:val="28"/>
          <w14:textFill>
            <w14:solidFill>
              <w14:schemeClr w14:val="tx1"/>
            </w14:solidFill>
          </w14:textFill>
        </w:rPr>
      </w:pPr>
      <w:r>
        <w:rPr>
          <w:rStyle w:val="239"/>
          <w:rFonts w:hint="eastAsia" w:ascii="宋体" w:hAnsi="宋体" w:cs="宋体"/>
          <w:color w:val="000000" w:themeColor="text1"/>
          <w:szCs w:val="28"/>
          <w14:textFill>
            <w14:solidFill>
              <w14:schemeClr w14:val="tx1"/>
            </w14:solidFill>
          </w14:textFill>
        </w:rPr>
        <w:t>填写说明：</w:t>
      </w:r>
    </w:p>
    <w:p>
      <w:pPr>
        <w:numPr>
          <w:ilvl w:val="0"/>
          <w:numId w:val="3"/>
        </w:numPr>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开标一览表不得填报选择性报价，否则将作为无效投标；</w:t>
      </w:r>
    </w:p>
    <w:p>
      <w:pPr>
        <w:numPr>
          <w:ilvl w:val="0"/>
          <w:numId w:val="3"/>
        </w:numPr>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开标一览表中报价与投标分项明细报价表中不符时时，以开标一览表为准；</w:t>
      </w:r>
    </w:p>
    <w:p>
      <w:pPr>
        <w:ind w:firstLine="2640" w:firstLineChars="600"/>
        <w:rPr>
          <w:rStyle w:val="239"/>
          <w:rFonts w:ascii="宋体" w:hAnsi="宋体" w:cs="宋体"/>
          <w:color w:val="000000" w:themeColor="text1"/>
          <w:sz w:val="44"/>
          <w14:textFill>
            <w14:solidFill>
              <w14:schemeClr w14:val="tx1"/>
            </w14:solidFill>
          </w14:textFill>
        </w:rPr>
      </w:pPr>
    </w:p>
    <w:p>
      <w:pPr>
        <w:ind w:firstLine="480"/>
        <w:rPr>
          <w:rStyle w:val="239"/>
          <w:rFonts w:ascii="宋体" w:hAnsi="宋体" w:cs="宋体"/>
          <w:color w:val="000000" w:themeColor="text1"/>
          <w:sz w:val="24"/>
          <w14:textFill>
            <w14:solidFill>
              <w14:schemeClr w14:val="tx1"/>
            </w14:solidFill>
          </w14:textFill>
        </w:rPr>
      </w:pPr>
    </w:p>
    <w:p>
      <w:pPr>
        <w:ind w:firstLine="480"/>
        <w:rPr>
          <w:rStyle w:val="239"/>
          <w:rFonts w:ascii="宋体" w:hAnsi="宋体" w:cs="宋体"/>
          <w:color w:val="000000" w:themeColor="text1"/>
          <w:sz w:val="24"/>
          <w14:textFill>
            <w14:solidFill>
              <w14:schemeClr w14:val="tx1"/>
            </w14:solidFill>
          </w14:textFill>
        </w:rPr>
      </w:pPr>
    </w:p>
    <w:p>
      <w:pPr>
        <w:ind w:firstLine="480"/>
        <w:jc w:val="center"/>
        <w:rPr>
          <w:rStyle w:val="239"/>
          <w:rFonts w:ascii="宋体" w:hAnsi="宋体" w:cs="宋体"/>
          <w:color w:val="000000" w:themeColor="text1"/>
          <w:sz w:val="24"/>
          <w14:textFill>
            <w14:solidFill>
              <w14:schemeClr w14:val="tx1"/>
            </w14:solidFill>
          </w14:textFill>
        </w:rPr>
      </w:pPr>
      <w:r>
        <w:rPr>
          <w:rStyle w:val="239"/>
          <w:rFonts w:hint="eastAsia" w:ascii="宋体" w:hAnsi="宋体" w:cs="宋体"/>
          <w:bCs/>
          <w:color w:val="000000" w:themeColor="text1"/>
          <w:sz w:val="24"/>
          <w14:textFill>
            <w14:solidFill>
              <w14:schemeClr w14:val="tx1"/>
            </w14:solidFill>
          </w14:textFill>
        </w:rPr>
        <w:t xml:space="preserve">                                        供应商名称（公章）：</w:t>
      </w:r>
    </w:p>
    <w:p>
      <w:pPr>
        <w:ind w:firstLine="480"/>
        <w:rPr>
          <w:rStyle w:val="239"/>
          <w:rFonts w:ascii="宋体" w:hAnsi="宋体" w:cs="宋体"/>
          <w:color w:val="000000" w:themeColor="text1"/>
          <w:sz w:val="24"/>
          <w14:textFill>
            <w14:solidFill>
              <w14:schemeClr w14:val="tx1"/>
            </w14:solidFill>
          </w14:textFill>
        </w:rPr>
      </w:pPr>
      <w:r>
        <w:rPr>
          <w:rStyle w:val="239"/>
          <w:rFonts w:hint="eastAsia" w:ascii="宋体" w:hAnsi="宋体" w:cs="宋体"/>
          <w:color w:val="000000" w:themeColor="text1"/>
          <w:sz w:val="24"/>
          <w14:textFill>
            <w14:solidFill>
              <w14:schemeClr w14:val="tx1"/>
            </w14:solidFill>
          </w14:textFill>
        </w:rPr>
        <w:t xml:space="preserve">                                              日期：   年   月   日</w:t>
      </w:r>
    </w:p>
    <w:p>
      <w:pPr>
        <w:pStyle w:val="32"/>
        <w:rPr>
          <w:color w:val="000000" w:themeColor="text1"/>
          <w14:textFill>
            <w14:solidFill>
              <w14:schemeClr w14:val="tx1"/>
            </w14:solidFill>
          </w14:textFill>
        </w:rPr>
      </w:pPr>
    </w:p>
    <w:p>
      <w:pPr>
        <w:rPr>
          <w:color w:val="000000" w:themeColor="text1"/>
          <w14:textFill>
            <w14:solidFill>
              <w14:schemeClr w14:val="tx1"/>
            </w14:solidFill>
          </w14:textFill>
        </w:rPr>
      </w:pPr>
    </w:p>
    <w:p>
      <w:pPr>
        <w:rPr>
          <w:rFonts w:ascii="黑体" w:hAnsi="黑体" w:eastAsia="黑体" w:cs="黑体"/>
          <w:i/>
          <w:color w:val="000000" w:themeColor="text1"/>
          <w:sz w:val="32"/>
          <w:szCs w:val="32"/>
          <w:u w:val="single"/>
          <w14:textFill>
            <w14:solidFill>
              <w14:schemeClr w14:val="tx1"/>
            </w14:solidFill>
          </w14:textFill>
        </w:rPr>
      </w:pPr>
      <w:r>
        <w:rPr>
          <w:rFonts w:hint="eastAsia" w:ascii="黑体" w:hAnsi="黑体" w:eastAsia="黑体" w:cs="黑体"/>
          <w:i/>
          <w:color w:val="000000" w:themeColor="text1"/>
          <w:sz w:val="32"/>
          <w:szCs w:val="32"/>
          <w:u w:val="single"/>
          <w14:textFill>
            <w14:solidFill>
              <w14:schemeClr w14:val="tx1"/>
            </w14:solidFill>
          </w14:textFill>
        </w:rPr>
        <w:br w:type="page"/>
      </w:r>
    </w:p>
    <w:p>
      <w:pPr>
        <w:pStyle w:val="216"/>
        <w:widowControl w:val="0"/>
        <w:spacing w:before="0" w:beforeAutospacing="0" w:after="0" w:afterAutospacing="0"/>
        <w:jc w:val="center"/>
        <w:rPr>
          <w:rFonts w:ascii="黑体" w:hAnsi="黑体" w:eastAsia="黑体" w:cs="黑体"/>
          <w:i/>
          <w:color w:val="000000" w:themeColor="text1"/>
          <w:sz w:val="32"/>
          <w:szCs w:val="32"/>
          <w:u w:val="single"/>
          <w14:textFill>
            <w14:solidFill>
              <w14:schemeClr w14:val="tx1"/>
            </w14:solidFill>
          </w14:textFill>
        </w:rPr>
      </w:pPr>
      <w:r>
        <w:rPr>
          <w:rFonts w:hint="eastAsia" w:ascii="黑体" w:hAnsi="黑体" w:eastAsia="黑体" w:cs="黑体"/>
          <w:i/>
          <w:color w:val="000000" w:themeColor="text1"/>
          <w:sz w:val="32"/>
          <w:szCs w:val="32"/>
          <w:u w:val="single"/>
          <w14:textFill>
            <w14:solidFill>
              <w14:schemeClr w14:val="tx1"/>
            </w14:solidFill>
          </w14:textFill>
        </w:rPr>
        <w:t>十、盐城工业职业技术学院建筑工程学院技能大赛电脑显卡、电源、固态硬盘升级设备报价表</w:t>
      </w:r>
    </w:p>
    <w:p>
      <w:pPr>
        <w:pStyle w:val="216"/>
        <w:widowControl w:val="0"/>
        <w:spacing w:before="0" w:beforeAutospacing="0" w:after="0" w:afterAutospacing="0"/>
        <w:jc w:val="both"/>
        <w:rPr>
          <w:color w:val="000000" w:themeColor="text1"/>
          <w14:textFill>
            <w14:solidFill>
              <w14:schemeClr w14:val="tx1"/>
            </w14:solidFill>
          </w14:textFill>
        </w:rPr>
      </w:pPr>
    </w:p>
    <w:p>
      <w:pPr>
        <w:pStyle w:val="216"/>
        <w:widowControl w:val="0"/>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w:t>
      </w:r>
    </w:p>
    <w:tbl>
      <w:tblPr>
        <w:tblStyle w:val="33"/>
        <w:tblW w:w="10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1060"/>
        <w:gridCol w:w="3118"/>
        <w:gridCol w:w="992"/>
        <w:gridCol w:w="843"/>
        <w:gridCol w:w="825"/>
        <w:gridCol w:w="893"/>
        <w:gridCol w:w="113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序号</w:t>
            </w:r>
          </w:p>
        </w:tc>
        <w:tc>
          <w:tcPr>
            <w:tcW w:w="1060"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配件名称</w:t>
            </w:r>
          </w:p>
        </w:tc>
        <w:tc>
          <w:tcPr>
            <w:tcW w:w="3118"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型号/规格</w:t>
            </w:r>
          </w:p>
        </w:tc>
        <w:tc>
          <w:tcPr>
            <w:tcW w:w="992"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w:t>
            </w:r>
          </w:p>
        </w:tc>
        <w:tc>
          <w:tcPr>
            <w:tcW w:w="8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数量</w:t>
            </w:r>
          </w:p>
        </w:tc>
        <w:tc>
          <w:tcPr>
            <w:tcW w:w="825"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单价(元）</w:t>
            </w:r>
          </w:p>
        </w:tc>
        <w:tc>
          <w:tcPr>
            <w:tcW w:w="89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合价（元）</w:t>
            </w:r>
          </w:p>
        </w:tc>
        <w:tc>
          <w:tcPr>
            <w:tcW w:w="1135"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推荐品牌</w:t>
            </w:r>
          </w:p>
        </w:tc>
        <w:tc>
          <w:tcPr>
            <w:tcW w:w="1135"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显卡</w:t>
            </w:r>
          </w:p>
        </w:tc>
        <w:tc>
          <w:tcPr>
            <w:tcW w:w="3118" w:type="dxa"/>
            <w:vAlign w:val="center"/>
          </w:tcPr>
          <w:p>
            <w:pPr>
              <w:widowControl/>
              <w:rPr>
                <w:color w:val="000000" w:themeColor="text1"/>
                <w14:textFill>
                  <w14:solidFill>
                    <w14:schemeClr w14:val="tx1"/>
                  </w14:solidFill>
                </w14:textFill>
              </w:rPr>
            </w:pPr>
            <w:r>
              <w:rPr>
                <w:rFonts w:hint="eastAsia"/>
                <w:color w:val="000000" w:themeColor="text1"/>
                <w14:textFill>
                  <w14:solidFill>
                    <w14:schemeClr w14:val="tx1"/>
                  </w14:solidFill>
                </w14:textFill>
              </w:rPr>
              <w:t>显卡高度不大于130mm，</w:t>
            </w:r>
            <w:r>
              <w:rPr>
                <w:color w:val="000000" w:themeColor="text1"/>
                <w14:textFill>
                  <w14:solidFill>
                    <w14:schemeClr w14:val="tx1"/>
                  </w14:solidFill>
                </w14:textFill>
              </w:rPr>
              <w:t>核心频率≥1</w:t>
            </w:r>
            <w:r>
              <w:rPr>
                <w:rFonts w:hint="eastAsia"/>
                <w:color w:val="000000" w:themeColor="text1"/>
                <w:lang w:val="en-US" w:eastAsia="zh-CN"/>
                <w14:textFill>
                  <w14:solidFill>
                    <w14:schemeClr w14:val="tx1"/>
                  </w14:solidFill>
                </w14:textFill>
              </w:rPr>
              <w:t>590</w:t>
            </w:r>
            <w:r>
              <w:rPr>
                <w:color w:val="000000" w:themeColor="text1"/>
                <w14:textFill>
                  <w14:solidFill>
                    <w14:schemeClr w14:val="tx1"/>
                  </w14:solidFill>
                </w14:textFill>
              </w:rPr>
              <w:t>MHz，显存频率≥8000MHz，显存容量≥4GB，显存位宽≥128bit，CUDA核心数不低于896个，显存类型不低于GDDR5，I/O接口数不低于3个，电源接口数不低于6pin，产品尺寸长度≤220mm，散热风扇数不少于2个。</w:t>
            </w:r>
            <w:bookmarkStart w:id="166" w:name="_GoBack"/>
            <w:r>
              <w:rPr>
                <w:rFonts w:hint="eastAsia"/>
                <w:b/>
                <w:bCs/>
                <w:color w:val="000000" w:themeColor="text1"/>
                <w14:textFill>
                  <w14:solidFill>
                    <w14:schemeClr w14:val="tx1"/>
                  </w14:solidFill>
                </w14:textFill>
              </w:rPr>
              <w:t>保证能装入机箱</w:t>
            </w:r>
            <w:r>
              <w:rPr>
                <w:rFonts w:hint="eastAsia"/>
                <w:b/>
                <w:bCs/>
                <w:color w:val="000000" w:themeColor="text1"/>
                <w:lang w:val="en-US" w:eastAsia="zh-CN"/>
                <w14:textFill>
                  <w14:solidFill>
                    <w14:schemeClr w14:val="tx1"/>
                  </w14:solidFill>
                </w14:textFill>
              </w:rPr>
              <w:t>并完好封闭</w:t>
            </w:r>
            <w:r>
              <w:rPr>
                <w:rFonts w:hint="eastAsia"/>
                <w:b/>
                <w:bCs/>
                <w:color w:val="000000" w:themeColor="text1"/>
                <w14:textFill>
                  <w14:solidFill>
                    <w14:schemeClr w14:val="tx1"/>
                  </w14:solidFill>
                </w14:textFill>
              </w:rPr>
              <w:t>。</w:t>
            </w:r>
            <w:r>
              <w:rPr>
                <w:rFonts w:hint="eastAsia"/>
                <w:b/>
                <w:bCs/>
                <w:color w:val="000000" w:themeColor="text1"/>
                <w:lang w:eastAsia="zh-CN"/>
                <w14:textFill>
                  <w14:solidFill>
                    <w14:schemeClr w14:val="tx1"/>
                  </w14:solidFill>
                </w14:textFill>
              </w:rPr>
              <w:t>（</w:t>
            </w:r>
            <w:r>
              <w:rPr>
                <w:rFonts w:hint="eastAsia"/>
                <w:b/>
                <w:bCs/>
                <w:color w:val="000000" w:themeColor="text1"/>
                <w:lang w:val="en-US" w:eastAsia="zh-CN"/>
                <w14:textFill>
                  <w14:solidFill>
                    <w14:schemeClr w14:val="tx1"/>
                  </w14:solidFill>
                </w14:textFill>
              </w:rPr>
              <w:t>建议尾部供电横插</w:t>
            </w:r>
            <w:r>
              <w:rPr>
                <w:rFonts w:hint="eastAsia"/>
                <w:b/>
                <w:bCs/>
                <w:color w:val="000000" w:themeColor="text1"/>
                <w:lang w:eastAsia="zh-CN"/>
                <w14:textFill>
                  <w14:solidFill>
                    <w14:schemeClr w14:val="tx1"/>
                  </w14:solidFill>
                </w14:textFill>
              </w:rPr>
              <w:t>）</w:t>
            </w:r>
            <w:bookmarkEnd w:id="166"/>
          </w:p>
        </w:tc>
        <w:tc>
          <w:tcPr>
            <w:tcW w:w="992"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843"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20</w:t>
            </w:r>
          </w:p>
        </w:tc>
        <w:tc>
          <w:tcPr>
            <w:tcW w:w="825" w:type="dxa"/>
            <w:vAlign w:val="center"/>
          </w:tcPr>
          <w:p>
            <w:pPr>
              <w:widowControl/>
              <w:jc w:val="center"/>
              <w:rPr>
                <w:rFonts w:ascii="宋体" w:hAnsi="宋体" w:cs="宋体"/>
                <w:color w:val="000000" w:themeColor="text1"/>
                <w14:textFill>
                  <w14:solidFill>
                    <w14:schemeClr w14:val="tx1"/>
                  </w14:solidFill>
                </w14:textFill>
              </w:rPr>
            </w:pPr>
          </w:p>
        </w:tc>
        <w:tc>
          <w:tcPr>
            <w:tcW w:w="893" w:type="dxa"/>
            <w:vAlign w:val="center"/>
          </w:tcPr>
          <w:p>
            <w:pPr>
              <w:widowControl/>
              <w:jc w:val="center"/>
              <w:rPr>
                <w:rFonts w:ascii="宋体" w:hAnsi="宋体" w:cs="宋体"/>
                <w:color w:val="000000" w:themeColor="text1"/>
                <w14:textFill>
                  <w14:solidFill>
                    <w14:schemeClr w14:val="tx1"/>
                  </w14:solidFill>
                </w14:textFill>
              </w:rPr>
            </w:pPr>
          </w:p>
        </w:tc>
        <w:tc>
          <w:tcPr>
            <w:tcW w:w="1135"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影驰、华硕、七彩虹</w:t>
            </w:r>
          </w:p>
        </w:tc>
        <w:tc>
          <w:tcPr>
            <w:tcW w:w="1135" w:type="dxa"/>
            <w:noWrap/>
            <w:vAlign w:val="center"/>
          </w:tcPr>
          <w:p>
            <w:pPr>
              <w:widowControl/>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电源</w:t>
            </w:r>
          </w:p>
        </w:tc>
        <w:tc>
          <w:tcPr>
            <w:tcW w:w="3118" w:type="dxa"/>
            <w:vAlign w:val="center"/>
          </w:tcPr>
          <w:p>
            <w:pPr>
              <w:widowControl/>
              <w:rPr>
                <w:color w:val="000000" w:themeColor="text1"/>
                <w14:textFill>
                  <w14:solidFill>
                    <w14:schemeClr w14:val="tx1"/>
                  </w14:solidFill>
                </w14:textFill>
              </w:rPr>
            </w:pPr>
            <w:r>
              <w:rPr>
                <w:color w:val="000000" w:themeColor="text1"/>
                <w14:textFill>
                  <w14:solidFill>
                    <w14:schemeClr w14:val="tx1"/>
                  </w14:solidFill>
                </w14:textFill>
              </w:rPr>
              <w:t>额定功率≥400w，80plus认证，尺寸不大于165×100×75mm，显卡供电接口数≥6+2p</w:t>
            </w:r>
          </w:p>
        </w:tc>
        <w:tc>
          <w:tcPr>
            <w:tcW w:w="992"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843" w:type="dxa"/>
            <w:vAlign w:val="center"/>
          </w:tcPr>
          <w:p>
            <w:pPr>
              <w:widowControl/>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120</w:t>
            </w:r>
          </w:p>
        </w:tc>
        <w:tc>
          <w:tcPr>
            <w:tcW w:w="825" w:type="dxa"/>
            <w:vAlign w:val="center"/>
          </w:tcPr>
          <w:p>
            <w:pPr>
              <w:widowControl/>
              <w:jc w:val="center"/>
              <w:rPr>
                <w:rFonts w:ascii="宋体" w:hAnsi="宋体" w:cs="宋体"/>
                <w:color w:val="000000" w:themeColor="text1"/>
                <w14:textFill>
                  <w14:solidFill>
                    <w14:schemeClr w14:val="tx1"/>
                  </w14:solidFill>
                </w14:textFill>
              </w:rPr>
            </w:pPr>
          </w:p>
        </w:tc>
        <w:tc>
          <w:tcPr>
            <w:tcW w:w="893" w:type="dxa"/>
            <w:vAlign w:val="center"/>
          </w:tcPr>
          <w:p>
            <w:pPr>
              <w:widowControl/>
              <w:jc w:val="center"/>
              <w:rPr>
                <w:rFonts w:ascii="宋体" w:hAnsi="宋体" w:cs="宋体"/>
                <w:color w:val="000000" w:themeColor="text1"/>
                <w14:textFill>
                  <w14:solidFill>
                    <w14:schemeClr w14:val="tx1"/>
                  </w14:solidFill>
                </w14:textFill>
              </w:rPr>
            </w:pPr>
          </w:p>
        </w:tc>
        <w:tc>
          <w:tcPr>
            <w:tcW w:w="1135" w:type="dxa"/>
            <w:noWrap/>
            <w:vAlign w:val="center"/>
          </w:tcPr>
          <w:p>
            <w:pPr>
              <w:widowControl/>
              <w:jc w:val="center"/>
              <w:rPr>
                <w:rFonts w:ascii="宋体" w:hAnsi="宋体" w:cs="宋体"/>
                <w:color w:val="000000" w:themeColor="text1"/>
                <w14:textFill>
                  <w14:solidFill>
                    <w14:schemeClr w14:val="tx1"/>
                  </w14:solidFill>
                </w14:textFill>
              </w:rPr>
            </w:pPr>
          </w:p>
        </w:tc>
        <w:tc>
          <w:tcPr>
            <w:tcW w:w="1135" w:type="dxa"/>
            <w:noWrap/>
            <w:vAlign w:val="center"/>
          </w:tcPr>
          <w:p>
            <w:pPr>
              <w:widowControl/>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DVI数据线</w:t>
            </w:r>
          </w:p>
        </w:tc>
        <w:tc>
          <w:tcPr>
            <w:tcW w:w="3118" w:type="dxa"/>
            <w:vAlign w:val="center"/>
          </w:tcPr>
          <w:p>
            <w:pPr>
              <w:widowControl/>
              <w:jc w:val="cente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1.5m</w:t>
            </w:r>
          </w:p>
        </w:tc>
        <w:tc>
          <w:tcPr>
            <w:tcW w:w="992"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843"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98</w:t>
            </w:r>
          </w:p>
        </w:tc>
        <w:tc>
          <w:tcPr>
            <w:tcW w:w="825" w:type="dxa"/>
            <w:vAlign w:val="center"/>
          </w:tcPr>
          <w:p>
            <w:pPr>
              <w:widowControl/>
              <w:jc w:val="center"/>
              <w:rPr>
                <w:rFonts w:ascii="宋体" w:hAnsi="宋体" w:cs="宋体"/>
                <w:color w:val="000000" w:themeColor="text1"/>
                <w14:textFill>
                  <w14:solidFill>
                    <w14:schemeClr w14:val="tx1"/>
                  </w14:solidFill>
                </w14:textFill>
              </w:rPr>
            </w:pPr>
          </w:p>
        </w:tc>
        <w:tc>
          <w:tcPr>
            <w:tcW w:w="893" w:type="dxa"/>
            <w:vAlign w:val="center"/>
          </w:tcPr>
          <w:p>
            <w:pPr>
              <w:widowControl/>
              <w:jc w:val="center"/>
              <w:rPr>
                <w:rFonts w:ascii="宋体" w:hAnsi="宋体" w:cs="宋体"/>
                <w:color w:val="000000" w:themeColor="text1"/>
                <w14:textFill>
                  <w14:solidFill>
                    <w14:schemeClr w14:val="tx1"/>
                  </w14:solidFill>
                </w14:textFill>
              </w:rPr>
            </w:pPr>
          </w:p>
        </w:tc>
        <w:tc>
          <w:tcPr>
            <w:tcW w:w="1135"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绿联、山泽、倍思</w:t>
            </w:r>
          </w:p>
        </w:tc>
        <w:tc>
          <w:tcPr>
            <w:tcW w:w="1135" w:type="dxa"/>
            <w:noWrap/>
            <w:vAlign w:val="center"/>
          </w:tcPr>
          <w:p>
            <w:pPr>
              <w:widowControl/>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HDMI数据线</w:t>
            </w:r>
          </w:p>
        </w:tc>
        <w:tc>
          <w:tcPr>
            <w:tcW w:w="3118" w:type="dxa"/>
            <w:vAlign w:val="center"/>
          </w:tcPr>
          <w:p>
            <w:pPr>
              <w:widowControl/>
              <w:jc w:val="center"/>
              <w:rPr>
                <w:color w:val="000000" w:themeColor="text1"/>
                <w14:textFill>
                  <w14:solidFill>
                    <w14:schemeClr w14:val="tx1"/>
                  </w14:solidFill>
                </w14:textFill>
              </w:rPr>
            </w:pPr>
            <w:r>
              <w:rPr>
                <w:color w:val="000000" w:themeColor="text1"/>
                <w14:textFill>
                  <w14:solidFill>
                    <w14:schemeClr w14:val="tx1"/>
                  </w14:solidFill>
                </w14:textFill>
              </w:rPr>
              <w:t>≥</w:t>
            </w:r>
            <w:r>
              <w:rPr>
                <w:rFonts w:hint="eastAsia"/>
                <w:color w:val="000000" w:themeColor="text1"/>
                <w14:textFill>
                  <w14:solidFill>
                    <w14:schemeClr w14:val="tx1"/>
                  </w14:solidFill>
                </w14:textFill>
              </w:rPr>
              <w:t>1.5m</w:t>
            </w:r>
          </w:p>
        </w:tc>
        <w:tc>
          <w:tcPr>
            <w:tcW w:w="992"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w:t>
            </w:r>
          </w:p>
        </w:tc>
        <w:tc>
          <w:tcPr>
            <w:tcW w:w="843"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84</w:t>
            </w:r>
          </w:p>
        </w:tc>
        <w:tc>
          <w:tcPr>
            <w:tcW w:w="825" w:type="dxa"/>
            <w:vAlign w:val="center"/>
          </w:tcPr>
          <w:p>
            <w:pPr>
              <w:widowControl/>
              <w:jc w:val="center"/>
              <w:rPr>
                <w:rFonts w:ascii="宋体" w:hAnsi="宋体" w:cs="宋体"/>
                <w:color w:val="000000" w:themeColor="text1"/>
                <w14:textFill>
                  <w14:solidFill>
                    <w14:schemeClr w14:val="tx1"/>
                  </w14:solidFill>
                </w14:textFill>
              </w:rPr>
            </w:pPr>
          </w:p>
        </w:tc>
        <w:tc>
          <w:tcPr>
            <w:tcW w:w="893" w:type="dxa"/>
            <w:vAlign w:val="center"/>
          </w:tcPr>
          <w:p>
            <w:pPr>
              <w:widowControl/>
              <w:jc w:val="center"/>
              <w:rPr>
                <w:rFonts w:ascii="宋体" w:hAnsi="宋体" w:cs="宋体"/>
                <w:color w:val="000000" w:themeColor="text1"/>
                <w14:textFill>
                  <w14:solidFill>
                    <w14:schemeClr w14:val="tx1"/>
                  </w14:solidFill>
                </w14:textFill>
              </w:rPr>
            </w:pPr>
          </w:p>
        </w:tc>
        <w:tc>
          <w:tcPr>
            <w:tcW w:w="1135"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绿联、山泽、倍思</w:t>
            </w:r>
          </w:p>
        </w:tc>
        <w:tc>
          <w:tcPr>
            <w:tcW w:w="1135" w:type="dxa"/>
            <w:noWrap/>
            <w:vAlign w:val="center"/>
          </w:tcPr>
          <w:p>
            <w:pPr>
              <w:widowControl/>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1060"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台式电脑固态硬盘</w:t>
            </w:r>
          </w:p>
        </w:tc>
        <w:tc>
          <w:tcPr>
            <w:tcW w:w="3118" w:type="dxa"/>
            <w:vAlign w:val="center"/>
          </w:tcPr>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联想Thinkplus固态硬盘ST600系列SATA3-480G</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存储容量：480G；</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接口类型：SATA3；</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闪存架构：TLC三层单元；</w:t>
            </w:r>
          </w:p>
          <w:p>
            <w:pPr>
              <w:widowControl/>
              <w:tabs>
                <w:tab w:val="left" w:pos="312"/>
              </w:tabs>
              <w:rPr>
                <w:color w:val="000000" w:themeColor="text1"/>
                <w14:textFill>
                  <w14:solidFill>
                    <w14:schemeClr w14:val="tx1"/>
                  </w14:solidFill>
                </w14:textFill>
              </w:rPr>
            </w:pPr>
            <w:r>
              <w:rPr>
                <w:rFonts w:hint="eastAsia"/>
                <w:color w:val="000000" w:themeColor="text1"/>
                <w14:textFill>
                  <w14:solidFill>
                    <w14:schemeClr w14:val="tx1"/>
                  </w14:solidFill>
                </w14:textFill>
              </w:rPr>
              <w:t>含所有安装配件；</w:t>
            </w:r>
          </w:p>
          <w:p>
            <w:pPr>
              <w:widowControl/>
              <w:tabs>
                <w:tab w:val="left" w:pos="312"/>
              </w:tabs>
              <w:rPr>
                <w:color w:val="000000" w:themeColor="text1"/>
                <w14:textFill>
                  <w14:solidFill>
                    <w14:schemeClr w14:val="tx1"/>
                  </w14:solidFill>
                </w14:textFill>
              </w:rPr>
            </w:pPr>
            <w:r>
              <w:rPr>
                <w:rFonts w:hint="eastAsia"/>
                <w:color w:val="000000" w:themeColor="text1"/>
                <w14:textFill>
                  <w14:solidFill>
                    <w14:schemeClr w14:val="tx1"/>
                  </w14:solidFill>
                </w14:textFill>
              </w:rPr>
              <w:t>（必须与原固态硬盘一致）</w:t>
            </w:r>
          </w:p>
        </w:tc>
        <w:tc>
          <w:tcPr>
            <w:tcW w:w="992"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个</w:t>
            </w:r>
          </w:p>
        </w:tc>
        <w:tc>
          <w:tcPr>
            <w:tcW w:w="843" w:type="dxa"/>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0</w:t>
            </w:r>
          </w:p>
        </w:tc>
        <w:tc>
          <w:tcPr>
            <w:tcW w:w="825" w:type="dxa"/>
            <w:vAlign w:val="center"/>
          </w:tcPr>
          <w:p>
            <w:pPr>
              <w:widowControl/>
              <w:jc w:val="center"/>
              <w:rPr>
                <w:rFonts w:ascii="宋体" w:hAnsi="宋体" w:cs="宋体"/>
                <w:color w:val="000000" w:themeColor="text1"/>
                <w14:textFill>
                  <w14:solidFill>
                    <w14:schemeClr w14:val="tx1"/>
                  </w14:solidFill>
                </w14:textFill>
              </w:rPr>
            </w:pPr>
          </w:p>
        </w:tc>
        <w:tc>
          <w:tcPr>
            <w:tcW w:w="893" w:type="dxa"/>
            <w:vAlign w:val="center"/>
          </w:tcPr>
          <w:p>
            <w:pPr>
              <w:widowControl/>
              <w:jc w:val="center"/>
              <w:rPr>
                <w:rFonts w:ascii="宋体" w:hAnsi="宋体" w:cs="宋体"/>
                <w:color w:val="000000" w:themeColor="text1"/>
                <w14:textFill>
                  <w14:solidFill>
                    <w14:schemeClr w14:val="tx1"/>
                  </w14:solidFill>
                </w14:textFill>
              </w:rPr>
            </w:pPr>
          </w:p>
        </w:tc>
        <w:tc>
          <w:tcPr>
            <w:tcW w:w="1135" w:type="dxa"/>
            <w:noWrap/>
            <w:vAlign w:val="center"/>
          </w:tcPr>
          <w:p>
            <w:pPr>
              <w:widowControl/>
              <w:jc w:val="center"/>
              <w:rPr>
                <w:rFonts w:ascii="宋体" w:hAnsi="宋体" w:cs="宋体"/>
                <w:color w:val="000000" w:themeColor="text1"/>
                <w14:textFill>
                  <w14:solidFill>
                    <w14:schemeClr w14:val="tx1"/>
                  </w14:solidFill>
                </w14:textFill>
              </w:rPr>
            </w:pPr>
          </w:p>
        </w:tc>
        <w:tc>
          <w:tcPr>
            <w:tcW w:w="1135" w:type="dxa"/>
            <w:noWrap/>
            <w:vAlign w:val="center"/>
          </w:tcPr>
          <w:p>
            <w:pPr>
              <w:widowControl/>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3" w:type="dxa"/>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4178" w:type="dxa"/>
            <w:gridSpan w:val="2"/>
            <w:noWrap/>
            <w:vAlign w:val="center"/>
          </w:tcPr>
          <w:p>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合计总价</w:t>
            </w:r>
          </w:p>
        </w:tc>
        <w:tc>
          <w:tcPr>
            <w:tcW w:w="5823" w:type="dxa"/>
            <w:gridSpan w:val="6"/>
            <w:noWrap/>
            <w:vAlign w:val="center"/>
          </w:tcPr>
          <w:p>
            <w:pPr>
              <w:widowControl/>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大写：           </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 xml:space="preserve">  小写：</w:t>
            </w:r>
          </w:p>
        </w:tc>
      </w:tr>
    </w:tbl>
    <w:p>
      <w:pPr>
        <w:pStyle w:val="216"/>
        <w:widowControl w:val="0"/>
        <w:spacing w:before="0" w:beforeAutospacing="0" w:after="0" w:afterAutospacing="0"/>
        <w:jc w:val="both"/>
        <w:rPr>
          <w:color w:val="000000" w:themeColor="text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color w:val="000000" w:themeColor="text1"/>
          <w14:textFill>
            <w14:solidFill>
              <w14:schemeClr w14:val="tx1"/>
            </w14:solidFill>
          </w14:textFill>
        </w:rPr>
        <w:t> </w:t>
      </w:r>
      <w:r>
        <w:rPr>
          <w:rFonts w:hint="eastAsia" w:ascii="宋体" w:hAnsi="宋体" w:cs="宋体"/>
          <w:color w:val="000000" w:themeColor="text1"/>
          <w:szCs w:val="21"/>
          <w14:textFill>
            <w14:solidFill>
              <w14:schemeClr w14:val="tx1"/>
            </w14:solidFill>
          </w14:textFill>
        </w:rPr>
        <w:t>注：1、投标品牌必须从推荐品牌中选定，否则作为无效投标。投标产品必须全部响应技术参数，否则为无效投标。</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2、需将原设备的显卡等配件拆除，安装调试所有设备，确保设备正常运行使用。大赛期间需派专人至现场进行维护，确保大赛正常进行。</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14:textFill>
            <w14:solidFill>
              <w14:schemeClr w14:val="tx1"/>
            </w14:solidFill>
          </w14:textFill>
        </w:rPr>
        <w:t>综合单价是指含设备费、人工费、材料费、运输费、安装调试费、税金等一切费用。为完成本项目而必须发生的、但清单中未列明的相关费用也由各投标人自行综合考虑分摊含进投标报价中，结算时不再另增任何费用。</w:t>
      </w:r>
    </w:p>
    <w:p>
      <w:pPr>
        <w:adjustRightInd w:val="0"/>
        <w:snapToGrid w:val="0"/>
        <w:spacing w:line="360" w:lineRule="auto"/>
        <w:rPr>
          <w:bCs/>
          <w:color w:val="000000" w:themeColor="text1"/>
          <w:sz w:val="22"/>
          <w14:textFill>
            <w14:solidFill>
              <w14:schemeClr w14:val="tx1"/>
            </w14:solidFill>
          </w14:textFill>
        </w:rPr>
      </w:pPr>
      <w:r>
        <w:rPr>
          <w:rFonts w:hint="eastAsia"/>
          <w:bCs/>
          <w:color w:val="000000" w:themeColor="text1"/>
          <w:sz w:val="22"/>
          <w14:textFill>
            <w14:solidFill>
              <w14:schemeClr w14:val="tx1"/>
            </w14:solidFill>
          </w14:textFill>
        </w:rPr>
        <w:t>4、投标产品</w:t>
      </w:r>
      <w:r>
        <w:rPr>
          <w:bCs/>
          <w:color w:val="000000" w:themeColor="text1"/>
          <w:sz w:val="22"/>
          <w14:textFill>
            <w14:solidFill>
              <w14:schemeClr w14:val="tx1"/>
            </w14:solidFill>
          </w14:textFill>
        </w:rPr>
        <w:t>必须全新正品，包含合格证。</w:t>
      </w:r>
      <w:r>
        <w:rPr>
          <w:rFonts w:hint="eastAsia"/>
          <w:bCs/>
          <w:color w:val="000000" w:themeColor="text1"/>
          <w:sz w:val="22"/>
          <w14:textFill>
            <w14:solidFill>
              <w14:schemeClr w14:val="tx1"/>
            </w14:solidFill>
          </w14:textFill>
        </w:rPr>
        <w:t>中标人须提供三年的免费质保服务。</w:t>
      </w:r>
    </w:p>
    <w:p>
      <w:pPr>
        <w:adjustRightInd w:val="0"/>
        <w:snapToGrid w:val="0"/>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本项目中标人须确保产品安装至电脑，电脑主机和显示器清灰、系统重新安装、双屏连接及调试，2024年和2025年江苏省职业院校技能大赛建筑工程识图省赛和国赛遴选赛期间的电脑维护，确保电脑能够正常运行建筑工程识图赛项相关软件（软件及电脑配置见采购需求）。</w:t>
      </w:r>
    </w:p>
    <w:p>
      <w:pPr>
        <w:spacing w:before="120" w:beforeLines="50"/>
        <w:rPr>
          <w:rFonts w:ascii="宋体" w:hAnsi="宋体" w:cs="宋体"/>
          <w:b/>
          <w:bCs/>
          <w:color w:val="000000" w:themeColor="text1"/>
          <w14:textFill>
            <w14:solidFill>
              <w14:schemeClr w14:val="tx1"/>
            </w14:solidFill>
          </w14:textFill>
        </w:rPr>
      </w:pPr>
    </w:p>
    <w:p>
      <w:pPr>
        <w:jc w:val="left"/>
        <w:rPr>
          <w:rFonts w:ascii="宋体" w:hAnsi="宋体" w:cs="宋体"/>
          <w:b/>
          <w:bCs/>
          <w:color w:val="000000" w:themeColor="text1"/>
          <w:sz w:val="24"/>
          <w14:textFill>
            <w14:solidFill>
              <w14:schemeClr w14:val="tx1"/>
            </w14:solidFill>
          </w14:textFill>
        </w:rPr>
      </w:pPr>
    </w:p>
    <w:p>
      <w:pPr>
        <w:jc w:val="left"/>
        <w:rPr>
          <w:rFonts w:ascii="宋体" w:hAnsi="宋体" w:cs="宋体"/>
          <w:color w:val="000000" w:themeColor="text1"/>
          <w:sz w:val="24"/>
          <w14:textFill>
            <w14:solidFill>
              <w14:schemeClr w14:val="tx1"/>
            </w14:solidFill>
          </w14:textFill>
        </w:rPr>
      </w:pPr>
    </w:p>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投标人全称（加盖公章）：               </w:t>
      </w:r>
    </w:p>
    <w:p>
      <w:pPr>
        <w:jc w:val="left"/>
        <w:rPr>
          <w:rFonts w:ascii="宋体" w:hAnsi="宋体" w:cs="宋体"/>
          <w:color w:val="000000" w:themeColor="text1"/>
          <w:sz w:val="24"/>
          <w14:textFill>
            <w14:solidFill>
              <w14:schemeClr w14:val="tx1"/>
            </w14:solidFill>
          </w14:textFill>
        </w:rPr>
      </w:pPr>
    </w:p>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法定代表人或授权代表（签字）：            </w:t>
      </w:r>
    </w:p>
    <w:p>
      <w:pPr>
        <w:jc w:val="left"/>
        <w:rPr>
          <w:rFonts w:ascii="宋体" w:hAnsi="宋体" w:cs="宋体"/>
          <w:color w:val="000000" w:themeColor="text1"/>
          <w:sz w:val="24"/>
          <w14:textFill>
            <w14:solidFill>
              <w14:schemeClr w14:val="tx1"/>
            </w14:solidFill>
          </w14:textFill>
        </w:rPr>
      </w:pPr>
    </w:p>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                              </w:t>
      </w:r>
    </w:p>
    <w:p>
      <w:pPr>
        <w:jc w:val="left"/>
        <w:rPr>
          <w:rFonts w:ascii="宋体" w:hAnsi="宋体" w:cs="宋体"/>
          <w:color w:val="000000" w:themeColor="text1"/>
          <w:sz w:val="24"/>
          <w14:textFill>
            <w14:solidFill>
              <w14:schemeClr w14:val="tx1"/>
            </w14:solidFill>
          </w14:textFill>
        </w:rPr>
      </w:pPr>
    </w:p>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2023年 月 日</w:t>
      </w:r>
    </w:p>
    <w:p>
      <w:pPr>
        <w:pStyle w:val="216"/>
        <w:widowControl w:val="0"/>
        <w:spacing w:before="0" w:beforeAutospacing="0" w:after="0" w:afterAutospacing="0"/>
        <w:jc w:val="both"/>
        <w:rPr>
          <w:color w:val="000000" w:themeColor="text1"/>
          <w14:textFill>
            <w14:solidFill>
              <w14:schemeClr w14:val="tx1"/>
            </w14:solidFill>
          </w14:textFill>
        </w:rPr>
      </w:pPr>
    </w:p>
    <w:p>
      <w:pPr>
        <w:pStyle w:val="216"/>
        <w:widowControl w:val="0"/>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16"/>
        <w:widowControl w:val="0"/>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16"/>
        <w:widowControl w:val="0"/>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pStyle w:val="233"/>
        <w:spacing w:beforeAutospacing="0" w:afterAutospacing="0"/>
        <w:jc w:val="center"/>
        <w:rPr>
          <w:rFonts w:ascii="黑体" w:eastAsia="黑体" w:cs="黑体"/>
          <w:bCs/>
          <w:i/>
          <w:color w:val="000000" w:themeColor="text1"/>
          <w:sz w:val="32"/>
          <w:szCs w:val="32"/>
          <w:u w:val="single"/>
          <w14:textFill>
            <w14:solidFill>
              <w14:schemeClr w14:val="tx1"/>
            </w14:solidFill>
          </w14:textFill>
        </w:rPr>
      </w:pPr>
      <w:r>
        <w:rPr>
          <w:rFonts w:hint="eastAsia" w:ascii="黑体" w:eastAsia="黑体" w:cs="黑体"/>
          <w:b/>
          <w:color w:val="000000" w:themeColor="text1"/>
          <w:sz w:val="32"/>
          <w:szCs w:val="32"/>
          <w14:textFill>
            <w14:solidFill>
              <w14:schemeClr w14:val="tx1"/>
            </w14:solidFill>
          </w14:textFill>
        </w:rPr>
        <w:br w:type="page" w:clear="all"/>
      </w:r>
      <w:r>
        <w:rPr>
          <w:rFonts w:hint="eastAsia" w:ascii="黑体" w:eastAsia="黑体" w:cs="黑体"/>
          <w:bCs/>
          <w:i/>
          <w:iCs/>
          <w:color w:val="000000" w:themeColor="text1"/>
          <w:sz w:val="32"/>
          <w:szCs w:val="32"/>
          <w:u w:val="single"/>
          <w14:textFill>
            <w14:solidFill>
              <w14:schemeClr w14:val="tx1"/>
            </w14:solidFill>
          </w14:textFill>
        </w:rPr>
        <w:t>十一、</w:t>
      </w:r>
      <w:bookmarkStart w:id="152" w:name="_Hlt26609389"/>
      <w:bookmarkStart w:id="153" w:name="_Hlt26955054"/>
      <w:bookmarkStart w:id="154" w:name="_Hlt26671374"/>
      <w:bookmarkStart w:id="155" w:name="_格式2__法定代表人授权书"/>
      <w:bookmarkStart w:id="156" w:name="_Hlt26955066"/>
      <w:bookmarkStart w:id="157" w:name="_Toc462564146"/>
      <w:r>
        <w:rPr>
          <w:rFonts w:hint="eastAsia" w:ascii="黑体" w:eastAsia="黑体" w:cs="黑体"/>
          <w:bCs/>
          <w:i/>
          <w:color w:val="000000" w:themeColor="text1"/>
          <w:sz w:val="32"/>
          <w:szCs w:val="32"/>
          <w:u w:val="single"/>
          <w14:textFill>
            <w14:solidFill>
              <w14:schemeClr w14:val="tx1"/>
            </w14:solidFill>
          </w14:textFill>
        </w:rPr>
        <w:t>商务要求响应及偏离表</w:t>
      </w:r>
    </w:p>
    <w:p>
      <w:pPr>
        <w:pStyle w:val="233"/>
        <w:spacing w:beforeAutospacing="0" w:afterAutospacing="0"/>
        <w:jc w:val="both"/>
        <w:rPr>
          <w:rFonts w:ascii="黑体" w:eastAsia="黑体" w:cs="黑体"/>
          <w:bCs/>
          <w:i/>
          <w:color w:val="000000" w:themeColor="text1"/>
          <w:sz w:val="13"/>
          <w:szCs w:val="13"/>
          <w:u w:val="single"/>
          <w14:textFill>
            <w14:solidFill>
              <w14:schemeClr w14:val="tx1"/>
            </w14:solidFill>
          </w14:textFill>
        </w:rPr>
      </w:pPr>
    </w:p>
    <w:tbl>
      <w:tblPr>
        <w:tblStyle w:val="33"/>
        <w:tblW w:w="9239" w:type="dxa"/>
        <w:tblCellSpacing w:w="0" w:type="dxa"/>
        <w:tblInd w:w="-108" w:type="dxa"/>
        <w:tblLayout w:type="fixed"/>
        <w:tblCellMar>
          <w:top w:w="0" w:type="dxa"/>
          <w:left w:w="108" w:type="dxa"/>
          <w:bottom w:w="0" w:type="dxa"/>
          <w:right w:w="108" w:type="dxa"/>
        </w:tblCellMar>
      </w:tblPr>
      <w:tblGrid>
        <w:gridCol w:w="716"/>
        <w:gridCol w:w="2678"/>
        <w:gridCol w:w="2869"/>
        <w:gridCol w:w="1349"/>
        <w:gridCol w:w="1627"/>
      </w:tblGrid>
      <w:tr>
        <w:tblPrEx>
          <w:tblCellMar>
            <w:top w:w="0" w:type="dxa"/>
            <w:left w:w="108" w:type="dxa"/>
            <w:bottom w:w="0" w:type="dxa"/>
            <w:right w:w="108" w:type="dxa"/>
          </w:tblCellMar>
        </w:tblPrEx>
        <w:trPr>
          <w:trHeight w:val="90" w:hRule="atLeast"/>
          <w:tblCellSpacing w:w="0" w:type="dxa"/>
        </w:trPr>
        <w:tc>
          <w:tcPr>
            <w:tcW w:w="716"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jc w:val="center"/>
              <w:rPr>
                <w:color w:val="000000" w:themeColor="text1"/>
                <w14:textFill>
                  <w14:solidFill>
                    <w14:schemeClr w14:val="tx1"/>
                  </w14:solidFill>
                </w14:textFill>
              </w:rPr>
            </w:pPr>
            <w:bookmarkStart w:id="158" w:name="_Hlt26782999"/>
            <w:bookmarkStart w:id="159" w:name="_Hlt26955064"/>
            <w:bookmarkStart w:id="160" w:name="_Hlt26955056"/>
            <w:bookmarkStart w:id="161" w:name="_Hlt26609391"/>
            <w:bookmarkStart w:id="162" w:name="_Hlt26671343"/>
            <w:bookmarkStart w:id="163" w:name="_Hlt24879081"/>
            <w:bookmarkStart w:id="164" w:name="_Hlt26671372"/>
            <w:bookmarkStart w:id="165" w:name="_Hlt26580838"/>
            <w:r>
              <w:rPr>
                <w:rFonts w:hint="eastAsia"/>
                <w:color w:val="000000" w:themeColor="text1"/>
                <w14:textFill>
                  <w14:solidFill>
                    <w14:schemeClr w14:val="tx1"/>
                  </w14:solidFill>
                </w14:textFill>
              </w:rPr>
              <w:t>序号</w:t>
            </w:r>
          </w:p>
          <w:bookmarkEnd w:id="158"/>
          <w:bookmarkEnd w:id="159"/>
          <w:bookmarkEnd w:id="160"/>
          <w:bookmarkEnd w:id="161"/>
          <w:bookmarkEnd w:id="162"/>
          <w:bookmarkEnd w:id="163"/>
          <w:bookmarkEnd w:id="164"/>
          <w:bookmarkEnd w:id="165"/>
        </w:tc>
        <w:tc>
          <w:tcPr>
            <w:tcW w:w="2678"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询价文件要求</w:t>
            </w:r>
          </w:p>
        </w:tc>
        <w:tc>
          <w:tcPr>
            <w:tcW w:w="286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投标响应情况</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超出、符合或偏离</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证明</w:t>
            </w:r>
          </w:p>
          <w:p>
            <w:pPr>
              <w:pStyle w:val="233"/>
              <w:spacing w:beforeAutospacing="0" w:afterAutospacing="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材料</w:t>
            </w:r>
          </w:p>
        </w:tc>
      </w:tr>
      <w:tr>
        <w:tblPrEx>
          <w:tblCellMar>
            <w:top w:w="0" w:type="dxa"/>
            <w:left w:w="108" w:type="dxa"/>
            <w:bottom w:w="0" w:type="dxa"/>
            <w:right w:w="108" w:type="dxa"/>
          </w:tblCellMar>
        </w:tblPrEx>
        <w:trPr>
          <w:trHeight w:val="749" w:hRule="atLeast"/>
          <w:tblCellSpacing w:w="0" w:type="dxa"/>
        </w:trPr>
        <w:tc>
          <w:tcPr>
            <w:tcW w:w="716"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678"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86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r>
      <w:tr>
        <w:tblPrEx>
          <w:tblCellMar>
            <w:top w:w="0" w:type="dxa"/>
            <w:left w:w="108" w:type="dxa"/>
            <w:bottom w:w="0" w:type="dxa"/>
            <w:right w:w="108" w:type="dxa"/>
          </w:tblCellMar>
        </w:tblPrEx>
        <w:trPr>
          <w:trHeight w:val="749" w:hRule="atLeast"/>
          <w:tblCellSpacing w:w="0" w:type="dxa"/>
        </w:trPr>
        <w:tc>
          <w:tcPr>
            <w:tcW w:w="716"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678"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86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r>
      <w:tr>
        <w:tblPrEx>
          <w:tblCellMar>
            <w:top w:w="0" w:type="dxa"/>
            <w:left w:w="108" w:type="dxa"/>
            <w:bottom w:w="0" w:type="dxa"/>
            <w:right w:w="108" w:type="dxa"/>
          </w:tblCellMar>
        </w:tblPrEx>
        <w:trPr>
          <w:trHeight w:val="749" w:hRule="atLeast"/>
          <w:tblCellSpacing w:w="0" w:type="dxa"/>
        </w:trPr>
        <w:tc>
          <w:tcPr>
            <w:tcW w:w="716"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678"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86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r>
      <w:tr>
        <w:tblPrEx>
          <w:tblCellMar>
            <w:top w:w="0" w:type="dxa"/>
            <w:left w:w="108" w:type="dxa"/>
            <w:bottom w:w="0" w:type="dxa"/>
            <w:right w:w="108" w:type="dxa"/>
          </w:tblCellMar>
        </w:tblPrEx>
        <w:trPr>
          <w:trHeight w:val="749" w:hRule="atLeast"/>
          <w:tblCellSpacing w:w="0" w:type="dxa"/>
        </w:trPr>
        <w:tc>
          <w:tcPr>
            <w:tcW w:w="716"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678"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86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r>
      <w:tr>
        <w:tblPrEx>
          <w:tblCellMar>
            <w:top w:w="0" w:type="dxa"/>
            <w:left w:w="108" w:type="dxa"/>
            <w:bottom w:w="0" w:type="dxa"/>
            <w:right w:w="108" w:type="dxa"/>
          </w:tblCellMar>
        </w:tblPrEx>
        <w:trPr>
          <w:trHeight w:val="749" w:hRule="atLeast"/>
          <w:tblCellSpacing w:w="0" w:type="dxa"/>
        </w:trPr>
        <w:tc>
          <w:tcPr>
            <w:tcW w:w="716"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678"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86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r>
      <w:tr>
        <w:tblPrEx>
          <w:tblCellMar>
            <w:top w:w="0" w:type="dxa"/>
            <w:left w:w="108" w:type="dxa"/>
            <w:bottom w:w="0" w:type="dxa"/>
            <w:right w:w="108" w:type="dxa"/>
          </w:tblCellMar>
        </w:tblPrEx>
        <w:trPr>
          <w:trHeight w:val="749" w:hRule="atLeast"/>
          <w:tblCellSpacing w:w="0" w:type="dxa"/>
        </w:trPr>
        <w:tc>
          <w:tcPr>
            <w:tcW w:w="716"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678"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86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r>
      <w:tr>
        <w:tblPrEx>
          <w:tblCellMar>
            <w:top w:w="0" w:type="dxa"/>
            <w:left w:w="108" w:type="dxa"/>
            <w:bottom w:w="0" w:type="dxa"/>
            <w:right w:w="108" w:type="dxa"/>
          </w:tblCellMar>
        </w:tblPrEx>
        <w:trPr>
          <w:trHeight w:val="749" w:hRule="atLeast"/>
          <w:tblCellSpacing w:w="0" w:type="dxa"/>
        </w:trPr>
        <w:tc>
          <w:tcPr>
            <w:tcW w:w="716"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678"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86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r>
      <w:tr>
        <w:tblPrEx>
          <w:tblCellMar>
            <w:top w:w="0" w:type="dxa"/>
            <w:left w:w="108" w:type="dxa"/>
            <w:bottom w:w="0" w:type="dxa"/>
            <w:right w:w="108" w:type="dxa"/>
          </w:tblCellMar>
        </w:tblPrEx>
        <w:trPr>
          <w:trHeight w:val="749" w:hRule="atLeast"/>
          <w:tblCellSpacing w:w="0" w:type="dxa"/>
        </w:trPr>
        <w:tc>
          <w:tcPr>
            <w:tcW w:w="716"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678"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286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349"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c>
          <w:tcPr>
            <w:tcW w:w="1627" w:type="dxa"/>
            <w:tcBorders>
              <w:top w:val="single" w:color="000000" w:sz="4" w:space="0"/>
              <w:left w:val="single" w:color="000000" w:sz="4" w:space="0"/>
              <w:bottom w:val="single" w:color="000000" w:sz="4" w:space="0"/>
              <w:right w:val="single" w:color="000000" w:sz="4" w:space="0"/>
            </w:tcBorders>
            <w:vAlign w:val="center"/>
          </w:tcPr>
          <w:p>
            <w:pPr>
              <w:pStyle w:val="233"/>
              <w:spacing w:beforeAutospacing="0" w:afterAutospacing="0"/>
              <w:ind w:firstLine="600"/>
              <w:jc w:val="center"/>
              <w:rPr>
                <w:color w:val="000000" w:themeColor="text1"/>
                <w14:textFill>
                  <w14:solidFill>
                    <w14:schemeClr w14:val="tx1"/>
                  </w14:solidFill>
                </w14:textFill>
              </w:rPr>
            </w:pPr>
            <w:r>
              <w:rPr>
                <w:color w:val="000000" w:themeColor="text1"/>
                <w14:textFill>
                  <w14:solidFill>
                    <w14:schemeClr w14:val="tx1"/>
                  </w14:solidFill>
                </w14:textFill>
              </w:rPr>
              <w:t> </w:t>
            </w:r>
          </w:p>
        </w:tc>
      </w:tr>
    </w:tbl>
    <w:p>
      <w:pPr>
        <w:pStyle w:val="233"/>
        <w:spacing w:beforeAutospacing="0" w:afterAutospacing="0"/>
        <w:ind w:firstLine="48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注： 行数不够，可自行添加。</w:t>
      </w:r>
    </w:p>
    <w:p>
      <w:pPr>
        <w:pStyle w:val="233"/>
        <w:spacing w:beforeAutospacing="0" w:afterAutospacing="0" w:line="480" w:lineRule="auto"/>
        <w:ind w:firstLine="600"/>
        <w:jc w:val="both"/>
        <w:rPr>
          <w:color w:val="000000" w:themeColor="text1"/>
          <w14:textFill>
            <w14:solidFill>
              <w14:schemeClr w14:val="tx1"/>
            </w14:solidFill>
          </w14:textFill>
        </w:rPr>
      </w:pPr>
      <w:r>
        <w:rPr>
          <w:color w:val="000000" w:themeColor="text1"/>
          <w14:textFill>
            <w14:solidFill>
              <w14:schemeClr w14:val="tx1"/>
            </w14:solidFill>
          </w14:textFill>
        </w:rPr>
        <w:t> </w:t>
      </w:r>
    </w:p>
    <w:p>
      <w:pPr>
        <w:spacing w:line="460" w:lineRule="exact"/>
        <w:ind w:firstLine="2730" w:firstLineChars="1300"/>
        <w:rPr>
          <w:rFonts w:ascii="宋体" w:hAnsi="宋体" w:cs="宋体"/>
          <w:bCs/>
          <w:color w:val="000000" w:themeColor="text1"/>
          <w:sz w:val="24"/>
          <w14:textFill>
            <w14:solidFill>
              <w14:schemeClr w14:val="tx1"/>
            </w14:solidFill>
          </w14:textFill>
        </w:rPr>
      </w:pPr>
      <w:r>
        <w:rPr>
          <w:color w:val="000000" w:themeColor="text1"/>
          <w14:textFill>
            <w14:solidFill>
              <w14:schemeClr w14:val="tx1"/>
            </w14:solidFill>
          </w14:textFill>
        </w:rPr>
        <w:t> </w:t>
      </w:r>
      <w:r>
        <w:rPr>
          <w:rFonts w:hint="eastAsia"/>
          <w:color w:val="000000" w:themeColor="text1"/>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授权代表签字：</w:t>
      </w:r>
    </w:p>
    <w:p>
      <w:pPr>
        <w:spacing w:line="460" w:lineRule="exac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日期：</w:t>
      </w:r>
      <w:r>
        <w:rPr>
          <w:rFonts w:hint="eastAsia" w:ascii="宋体" w:hAnsi="宋体" w:cs="宋体"/>
          <w:bCs/>
          <w:color w:val="000000" w:themeColor="text1"/>
          <w:sz w:val="24"/>
          <w:u w:val="single"/>
          <w14:textFill>
            <w14:solidFill>
              <w14:schemeClr w14:val="tx1"/>
            </w14:solidFill>
          </w14:textFill>
        </w:rPr>
        <w:t xml:space="preserve">           年    月    日</w:t>
      </w:r>
    </w:p>
    <w:p>
      <w:pPr>
        <w:pStyle w:val="233"/>
        <w:spacing w:beforeAutospacing="0" w:afterAutospacing="0" w:line="480" w:lineRule="auto"/>
        <w:ind w:firstLine="600"/>
        <w:jc w:val="both"/>
        <w:rPr>
          <w:color w:val="000000" w:themeColor="text1"/>
          <w14:textFill>
            <w14:solidFill>
              <w14:schemeClr w14:val="tx1"/>
            </w14:solidFill>
          </w14:textFill>
        </w:rPr>
      </w:pPr>
    </w:p>
    <w:bookmarkEnd w:id="140"/>
    <w:bookmarkEnd w:id="141"/>
    <w:bookmarkEnd w:id="142"/>
    <w:bookmarkEnd w:id="148"/>
    <w:bookmarkEnd w:id="149"/>
    <w:bookmarkEnd w:id="150"/>
    <w:bookmarkEnd w:id="151"/>
    <w:bookmarkEnd w:id="152"/>
    <w:bookmarkEnd w:id="153"/>
    <w:bookmarkEnd w:id="154"/>
    <w:bookmarkEnd w:id="155"/>
    <w:bookmarkEnd w:id="156"/>
    <w:bookmarkEnd w:id="157"/>
    <w:p>
      <w:pPr>
        <w:widowControl/>
        <w:spacing w:line="360" w:lineRule="auto"/>
        <w:ind w:firstLine="480"/>
        <w:jc w:val="left"/>
        <w:rPr>
          <w:rFonts w:ascii="宋体" w:hAnsi="宋体"/>
          <w:color w:val="000000" w:themeColor="text1"/>
          <w:sz w:val="24"/>
          <w14:textFill>
            <w14:solidFill>
              <w14:schemeClr w14:val="tx1"/>
            </w14:solidFill>
          </w14:textFill>
        </w:rPr>
      </w:pPr>
    </w:p>
    <w:sectPr>
      <w:headerReference r:id="rId3" w:type="default"/>
      <w:footerReference r:id="rId4" w:type="default"/>
      <w:pgSz w:w="11907" w:h="16840"/>
      <w:pgMar w:top="1587" w:right="1587" w:bottom="1587" w:left="1587" w:header="1304"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1"/>
      <w:rPr>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3175" t="2540" r="0" b="0"/>
              <wp:wrapNone/>
              <wp:docPr id="1722369555" name="Text Box 2"/>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erNUXQAAAAAwEAAA8AAAAAAAAAAQAgAAAAIgAAAGRycy9kb3ducmV2Lnht&#10;bFBLAQIUABQAAAAIAIdO4kBK9ZFDAQIAAAkEAAAOAAAAAAAAAAEAIAAAAB8BAABkcnMvZTJvRG9j&#10;LnhtbFBLBQYAAAAABgAGAFkBAACSBQ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3"/>
      <w:tabs>
        <w:tab w:val="left" w:pos="3565"/>
      </w:tabs>
      <w:rPr>
        <w:rFonts w:ascii="宋体" w:hAnsi="宋体"/>
        <w:color w:val="000000"/>
      </w:rPr>
    </w:pPr>
    <w:r>
      <w:rPr>
        <w:rFonts w:hint="eastAsia" w:ascii="宋体" w:hAnsi="宋体"/>
        <w:color w:val="000000"/>
      </w:rPr>
      <w:t>盐城工业职业技术学院询价文件（项目编号：2023F-0</w:t>
    </w:r>
    <w:r>
      <w:rPr>
        <w:rFonts w:hint="eastAsia" w:ascii="宋体" w:hAnsi="宋体"/>
        <w:color w:val="000000"/>
        <w:lang w:val="en-US" w:eastAsia="zh-CN"/>
      </w:rPr>
      <w:t>44</w:t>
    </w:r>
    <w:r>
      <w:rPr>
        <w:rFonts w:hint="eastAsia" w:ascii="宋体" w:hAnsi="宋体"/>
        <w:color w:val="00000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93CBA"/>
    <w:multiLevelType w:val="singleLevel"/>
    <w:tmpl w:val="A5E93CBA"/>
    <w:lvl w:ilvl="0" w:tentative="0">
      <w:start w:val="15"/>
      <w:numFmt w:val="decimal"/>
      <w:suff w:val="nothing"/>
      <w:lvlText w:val="%1、"/>
      <w:lvlJc w:val="left"/>
    </w:lvl>
  </w:abstractNum>
  <w:abstractNum w:abstractNumId="1">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2">
    <w:nsid w:val="65620519"/>
    <w:multiLevelType w:val="singleLevel"/>
    <w:tmpl w:val="65620519"/>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llMzBiZTYyYTQ5ODVmZWE4MzI5ZDNkOGMwYTkzMDIifQ=="/>
  </w:docVars>
  <w:rsids>
    <w:rsidRoot w:val="00FA24EF"/>
    <w:rsid w:val="00073718"/>
    <w:rsid w:val="000A6ECD"/>
    <w:rsid w:val="000E6DB5"/>
    <w:rsid w:val="0021012A"/>
    <w:rsid w:val="002A057C"/>
    <w:rsid w:val="00391DC4"/>
    <w:rsid w:val="004D3F35"/>
    <w:rsid w:val="00543D99"/>
    <w:rsid w:val="00593FC6"/>
    <w:rsid w:val="005D0FDD"/>
    <w:rsid w:val="005D381C"/>
    <w:rsid w:val="0066198A"/>
    <w:rsid w:val="00751B94"/>
    <w:rsid w:val="0080073E"/>
    <w:rsid w:val="00814921"/>
    <w:rsid w:val="009C5A8F"/>
    <w:rsid w:val="00A81BEE"/>
    <w:rsid w:val="00AD48C5"/>
    <w:rsid w:val="00E17A60"/>
    <w:rsid w:val="00E21E67"/>
    <w:rsid w:val="00F15E46"/>
    <w:rsid w:val="00FA24EF"/>
    <w:rsid w:val="01323CE1"/>
    <w:rsid w:val="07D433FC"/>
    <w:rsid w:val="081E6D6D"/>
    <w:rsid w:val="0E8F62CF"/>
    <w:rsid w:val="0EE30C60"/>
    <w:rsid w:val="100F586D"/>
    <w:rsid w:val="108875CA"/>
    <w:rsid w:val="12392007"/>
    <w:rsid w:val="138228A6"/>
    <w:rsid w:val="1C2F48B2"/>
    <w:rsid w:val="1C626DD1"/>
    <w:rsid w:val="1C6C1223"/>
    <w:rsid w:val="1FDD61BD"/>
    <w:rsid w:val="21BD7BEC"/>
    <w:rsid w:val="22F753E3"/>
    <w:rsid w:val="2C5A69AA"/>
    <w:rsid w:val="2F5E410A"/>
    <w:rsid w:val="2FB92D54"/>
    <w:rsid w:val="32392AD9"/>
    <w:rsid w:val="349652AA"/>
    <w:rsid w:val="35232223"/>
    <w:rsid w:val="3D383C56"/>
    <w:rsid w:val="4034676D"/>
    <w:rsid w:val="43E5293D"/>
    <w:rsid w:val="44D83825"/>
    <w:rsid w:val="44F3065E"/>
    <w:rsid w:val="44F7014F"/>
    <w:rsid w:val="4514027A"/>
    <w:rsid w:val="457C4AF8"/>
    <w:rsid w:val="492359B6"/>
    <w:rsid w:val="4F4A3571"/>
    <w:rsid w:val="51A67184"/>
    <w:rsid w:val="52A540FE"/>
    <w:rsid w:val="54971006"/>
    <w:rsid w:val="58CD4FF7"/>
    <w:rsid w:val="59C02DAD"/>
    <w:rsid w:val="5D795A58"/>
    <w:rsid w:val="5E2D6537"/>
    <w:rsid w:val="5EDF0CF5"/>
    <w:rsid w:val="609E57FC"/>
    <w:rsid w:val="64215892"/>
    <w:rsid w:val="672665F2"/>
    <w:rsid w:val="69270021"/>
    <w:rsid w:val="6A9F18DB"/>
    <w:rsid w:val="76073247"/>
    <w:rsid w:val="76B7505B"/>
    <w:rsid w:val="7BCF0001"/>
    <w:rsid w:val="7D1B4337"/>
    <w:rsid w:val="7D5666A8"/>
    <w:rsid w:val="7D8A07F3"/>
    <w:rsid w:val="7DD06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 w:val="21"/>
      <w:szCs w:val="24"/>
      <w:lang w:val="en-US" w:eastAsia="zh-CN" w:bidi="ar-SA"/>
    </w:rPr>
  </w:style>
  <w:style w:type="paragraph" w:styleId="3">
    <w:name w:val="heading 1"/>
    <w:basedOn w:val="1"/>
    <w:next w:val="1"/>
    <w:link w:val="39"/>
    <w:autoRedefine/>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40"/>
    <w:autoRedefine/>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6"/>
    <w:link w:val="41"/>
    <w:autoRedefine/>
    <w:unhideWhenUsed/>
    <w:qFormat/>
    <w:uiPriority w:val="9"/>
    <w:pPr>
      <w:keepNext/>
      <w:keepLines/>
      <w:spacing w:before="320" w:after="200"/>
      <w:outlineLvl w:val="2"/>
    </w:pPr>
    <w:rPr>
      <w:rFonts w:ascii="Arial" w:hAnsi="Arial" w:eastAsia="Arial" w:cs="Arial"/>
      <w:sz w:val="30"/>
      <w:szCs w:val="30"/>
    </w:rPr>
  </w:style>
  <w:style w:type="paragraph" w:styleId="2">
    <w:name w:val="heading 4"/>
    <w:basedOn w:val="1"/>
    <w:next w:val="1"/>
    <w:link w:val="42"/>
    <w:autoRedefine/>
    <w:unhideWhenUsed/>
    <w:qFormat/>
    <w:uiPriority w:val="9"/>
    <w:pPr>
      <w:keepNext/>
      <w:keepLines/>
      <w:spacing w:before="320" w:after="200"/>
      <w:jc w:val="center"/>
      <w:outlineLvl w:val="3"/>
    </w:pPr>
    <w:rPr>
      <w:szCs w:val="21"/>
    </w:rPr>
  </w:style>
  <w:style w:type="paragraph" w:styleId="7">
    <w:name w:val="heading 5"/>
    <w:basedOn w:val="1"/>
    <w:next w:val="1"/>
    <w:link w:val="43"/>
    <w:autoRedefine/>
    <w:unhideWhenUsed/>
    <w:qFormat/>
    <w:uiPriority w:val="9"/>
    <w:pPr>
      <w:keepNext/>
      <w:keepLines/>
      <w:spacing w:before="320" w:after="200"/>
      <w:outlineLvl w:val="4"/>
    </w:pPr>
    <w:rPr>
      <w:rFonts w:ascii="Arial" w:hAnsi="Arial" w:eastAsia="Arial" w:cs="Arial"/>
      <w:b/>
      <w:bCs/>
      <w:sz w:val="24"/>
    </w:rPr>
  </w:style>
  <w:style w:type="paragraph" w:styleId="8">
    <w:name w:val="heading 6"/>
    <w:basedOn w:val="1"/>
    <w:next w:val="1"/>
    <w:link w:val="44"/>
    <w:autoRedefine/>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5"/>
    <w:autoRedefine/>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6"/>
    <w:autoRedefine/>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7"/>
    <w:autoRedefine/>
    <w:unhideWhenUsed/>
    <w:qFormat/>
    <w:uiPriority w:val="9"/>
    <w:pPr>
      <w:keepNext/>
      <w:keepLines/>
      <w:spacing w:before="320" w:after="200"/>
      <w:outlineLvl w:val="8"/>
    </w:pPr>
    <w:rPr>
      <w:rFonts w:ascii="Arial" w:hAnsi="Arial" w:eastAsia="Arial" w:cs="Arial"/>
      <w:i/>
      <w:iCs/>
      <w:szCs w:val="21"/>
    </w:rPr>
  </w:style>
  <w:style w:type="character" w:default="1" w:styleId="35">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6">
    <w:name w:val="Normal Indent"/>
    <w:basedOn w:val="1"/>
    <w:autoRedefine/>
    <w:qFormat/>
    <w:uiPriority w:val="99"/>
    <w:pPr>
      <w:ind w:firstLine="420"/>
    </w:pPr>
    <w:rPr>
      <w:szCs w:val="20"/>
    </w:rPr>
  </w:style>
  <w:style w:type="paragraph" w:styleId="12">
    <w:name w:val="toc 7"/>
    <w:basedOn w:val="1"/>
    <w:next w:val="1"/>
    <w:autoRedefine/>
    <w:unhideWhenUsed/>
    <w:qFormat/>
    <w:uiPriority w:val="39"/>
    <w:pPr>
      <w:spacing w:after="57"/>
      <w:ind w:left="1701"/>
    </w:pPr>
  </w:style>
  <w:style w:type="paragraph" w:styleId="13">
    <w:name w:val="caption"/>
    <w:basedOn w:val="1"/>
    <w:next w:val="1"/>
    <w:autoRedefine/>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Body Text Indent"/>
    <w:basedOn w:val="1"/>
    <w:autoRedefine/>
    <w:qFormat/>
    <w:uiPriority w:val="99"/>
    <w:pPr>
      <w:ind w:firstLine="645"/>
    </w:pPr>
    <w:rPr>
      <w:rFonts w:ascii="楷体_GB2312" w:eastAsia="楷体_GB2312"/>
      <w:sz w:val="32"/>
      <w:szCs w:val="32"/>
    </w:rPr>
  </w:style>
  <w:style w:type="paragraph" w:styleId="15">
    <w:name w:val="Block Text"/>
    <w:basedOn w:val="1"/>
    <w:autoRedefine/>
    <w:qFormat/>
    <w:uiPriority w:val="99"/>
    <w:pPr>
      <w:spacing w:after="120"/>
      <w:ind w:left="1440" w:leftChars="700" w:right="1440" w:rightChars="700"/>
    </w:pPr>
  </w:style>
  <w:style w:type="paragraph" w:styleId="16">
    <w:name w:val="toc 5"/>
    <w:basedOn w:val="1"/>
    <w:next w:val="1"/>
    <w:autoRedefine/>
    <w:unhideWhenUsed/>
    <w:qFormat/>
    <w:uiPriority w:val="39"/>
    <w:pPr>
      <w:spacing w:after="57"/>
      <w:ind w:left="1134"/>
    </w:pPr>
  </w:style>
  <w:style w:type="paragraph" w:styleId="17">
    <w:name w:val="toc 3"/>
    <w:basedOn w:val="1"/>
    <w:next w:val="1"/>
    <w:autoRedefine/>
    <w:unhideWhenUsed/>
    <w:qFormat/>
    <w:uiPriority w:val="39"/>
    <w:pPr>
      <w:spacing w:after="57"/>
      <w:ind w:left="567"/>
    </w:pPr>
  </w:style>
  <w:style w:type="paragraph" w:styleId="18">
    <w:name w:val="toc 8"/>
    <w:basedOn w:val="1"/>
    <w:next w:val="1"/>
    <w:autoRedefine/>
    <w:unhideWhenUsed/>
    <w:qFormat/>
    <w:uiPriority w:val="39"/>
    <w:pPr>
      <w:spacing w:after="57"/>
      <w:ind w:left="1984"/>
    </w:pPr>
  </w:style>
  <w:style w:type="paragraph" w:styleId="19">
    <w:name w:val="endnote text"/>
    <w:basedOn w:val="1"/>
    <w:link w:val="185"/>
    <w:autoRedefine/>
    <w:semiHidden/>
    <w:unhideWhenUsed/>
    <w:qFormat/>
    <w:uiPriority w:val="99"/>
    <w:rPr>
      <w:sz w:val="20"/>
    </w:rPr>
  </w:style>
  <w:style w:type="paragraph" w:styleId="20">
    <w:name w:val="footer"/>
    <w:basedOn w:val="1"/>
    <w:link w:val="58"/>
    <w:autoRedefine/>
    <w:unhideWhenUsed/>
    <w:qFormat/>
    <w:uiPriority w:val="99"/>
    <w:pPr>
      <w:tabs>
        <w:tab w:val="center" w:pos="7143"/>
        <w:tab w:val="right" w:pos="14287"/>
      </w:tabs>
    </w:pPr>
  </w:style>
  <w:style w:type="paragraph" w:styleId="21">
    <w:name w:val="envelope return"/>
    <w:basedOn w:val="1"/>
    <w:autoRedefine/>
    <w:qFormat/>
    <w:uiPriority w:val="0"/>
    <w:pPr>
      <w:snapToGrid w:val="0"/>
    </w:pPr>
    <w:rPr>
      <w:rFonts w:ascii="Arial" w:hAnsi="Arial"/>
    </w:rPr>
  </w:style>
  <w:style w:type="paragraph" w:styleId="22">
    <w:name w:val="header"/>
    <w:basedOn w:val="1"/>
    <w:link w:val="56"/>
    <w:autoRedefine/>
    <w:unhideWhenUsed/>
    <w:qFormat/>
    <w:uiPriority w:val="99"/>
    <w:pPr>
      <w:tabs>
        <w:tab w:val="center" w:pos="7143"/>
        <w:tab w:val="right" w:pos="14287"/>
      </w:tabs>
    </w:pPr>
  </w:style>
  <w:style w:type="paragraph" w:styleId="23">
    <w:name w:val="toc 1"/>
    <w:basedOn w:val="1"/>
    <w:next w:val="1"/>
    <w:autoRedefine/>
    <w:unhideWhenUsed/>
    <w:qFormat/>
    <w:uiPriority w:val="39"/>
    <w:pPr>
      <w:spacing w:after="57"/>
    </w:pPr>
  </w:style>
  <w:style w:type="paragraph" w:styleId="24">
    <w:name w:val="toc 4"/>
    <w:basedOn w:val="1"/>
    <w:next w:val="1"/>
    <w:autoRedefine/>
    <w:unhideWhenUsed/>
    <w:qFormat/>
    <w:uiPriority w:val="39"/>
    <w:pPr>
      <w:spacing w:after="57"/>
      <w:ind w:left="850"/>
    </w:pPr>
  </w:style>
  <w:style w:type="paragraph" w:styleId="25">
    <w:name w:val="Subtitle"/>
    <w:basedOn w:val="1"/>
    <w:next w:val="1"/>
    <w:link w:val="51"/>
    <w:autoRedefine/>
    <w:qFormat/>
    <w:uiPriority w:val="11"/>
    <w:pPr>
      <w:spacing w:before="200" w:after="200"/>
    </w:pPr>
    <w:rPr>
      <w:sz w:val="24"/>
    </w:rPr>
  </w:style>
  <w:style w:type="paragraph" w:styleId="26">
    <w:name w:val="footnote text"/>
    <w:basedOn w:val="1"/>
    <w:link w:val="184"/>
    <w:autoRedefine/>
    <w:semiHidden/>
    <w:unhideWhenUsed/>
    <w:qFormat/>
    <w:uiPriority w:val="99"/>
    <w:pPr>
      <w:spacing w:after="40"/>
    </w:pPr>
    <w:rPr>
      <w:sz w:val="18"/>
    </w:rPr>
  </w:style>
  <w:style w:type="paragraph" w:styleId="27">
    <w:name w:val="toc 6"/>
    <w:basedOn w:val="1"/>
    <w:next w:val="1"/>
    <w:autoRedefine/>
    <w:unhideWhenUsed/>
    <w:qFormat/>
    <w:uiPriority w:val="39"/>
    <w:pPr>
      <w:spacing w:after="57"/>
      <w:ind w:left="1417"/>
    </w:pPr>
  </w:style>
  <w:style w:type="paragraph" w:styleId="28">
    <w:name w:val="table of figures"/>
    <w:basedOn w:val="1"/>
    <w:next w:val="1"/>
    <w:autoRedefine/>
    <w:unhideWhenUsed/>
    <w:qFormat/>
    <w:uiPriority w:val="99"/>
  </w:style>
  <w:style w:type="paragraph" w:styleId="29">
    <w:name w:val="toc 2"/>
    <w:basedOn w:val="1"/>
    <w:next w:val="1"/>
    <w:autoRedefine/>
    <w:unhideWhenUsed/>
    <w:qFormat/>
    <w:uiPriority w:val="39"/>
    <w:pPr>
      <w:spacing w:after="57"/>
      <w:ind w:left="283"/>
    </w:pPr>
  </w:style>
  <w:style w:type="paragraph" w:styleId="30">
    <w:name w:val="toc 9"/>
    <w:basedOn w:val="1"/>
    <w:next w:val="1"/>
    <w:autoRedefine/>
    <w:unhideWhenUsed/>
    <w:qFormat/>
    <w:uiPriority w:val="39"/>
    <w:pPr>
      <w:spacing w:after="57"/>
      <w:ind w:left="2268"/>
    </w:pPr>
  </w:style>
  <w:style w:type="paragraph" w:styleId="31">
    <w:name w:val="Title"/>
    <w:basedOn w:val="1"/>
    <w:next w:val="1"/>
    <w:link w:val="50"/>
    <w:autoRedefine/>
    <w:qFormat/>
    <w:uiPriority w:val="10"/>
    <w:pPr>
      <w:spacing w:before="300" w:after="200"/>
      <w:contextualSpacing/>
    </w:pPr>
    <w:rPr>
      <w:sz w:val="48"/>
      <w:szCs w:val="48"/>
    </w:rPr>
  </w:style>
  <w:style w:type="paragraph" w:styleId="32">
    <w:name w:val="Body Text First Indent 2"/>
    <w:basedOn w:val="14"/>
    <w:autoRedefine/>
    <w:qFormat/>
    <w:uiPriority w:val="99"/>
    <w:pPr>
      <w:spacing w:line="360" w:lineRule="auto"/>
      <w:ind w:firstLine="420" w:firstLineChars="200"/>
    </w:pPr>
    <w:rPr>
      <w:rFonts w:ascii="宋体" w:hAnsi="宋体" w:eastAsia="宋体"/>
      <w:sz w:val="21"/>
      <w:szCs w:val="20"/>
    </w:rPr>
  </w:style>
  <w:style w:type="table" w:styleId="34">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endnote reference"/>
    <w:autoRedefine/>
    <w:semiHidden/>
    <w:unhideWhenUsed/>
    <w:qFormat/>
    <w:uiPriority w:val="99"/>
    <w:rPr>
      <w:vertAlign w:val="superscript"/>
    </w:rPr>
  </w:style>
  <w:style w:type="character" w:styleId="37">
    <w:name w:val="Hyperlink"/>
    <w:autoRedefine/>
    <w:unhideWhenUsed/>
    <w:qFormat/>
    <w:uiPriority w:val="99"/>
    <w:rPr>
      <w:color w:val="0000FF" w:themeColor="hyperlink"/>
      <w:u w:val="single"/>
      <w14:textFill>
        <w14:solidFill>
          <w14:schemeClr w14:val="hlink"/>
        </w14:solidFill>
      </w14:textFill>
    </w:rPr>
  </w:style>
  <w:style w:type="character" w:styleId="38">
    <w:name w:val="footnote reference"/>
    <w:autoRedefine/>
    <w:unhideWhenUsed/>
    <w:qFormat/>
    <w:uiPriority w:val="99"/>
    <w:rPr>
      <w:vertAlign w:val="superscript"/>
    </w:rPr>
  </w:style>
  <w:style w:type="character" w:customStyle="1" w:styleId="39">
    <w:name w:val="标题 1 字符"/>
    <w:link w:val="3"/>
    <w:autoRedefine/>
    <w:qFormat/>
    <w:uiPriority w:val="9"/>
    <w:rPr>
      <w:rFonts w:ascii="Arial" w:hAnsi="Arial" w:eastAsia="Arial" w:cs="Arial"/>
      <w:sz w:val="40"/>
      <w:szCs w:val="40"/>
    </w:rPr>
  </w:style>
  <w:style w:type="character" w:customStyle="1" w:styleId="40">
    <w:name w:val="标题 2 字符"/>
    <w:link w:val="4"/>
    <w:autoRedefine/>
    <w:qFormat/>
    <w:uiPriority w:val="9"/>
    <w:rPr>
      <w:rFonts w:ascii="Arial" w:hAnsi="Arial" w:eastAsia="Arial" w:cs="Arial"/>
      <w:sz w:val="34"/>
    </w:rPr>
  </w:style>
  <w:style w:type="character" w:customStyle="1" w:styleId="41">
    <w:name w:val="标题 3 字符"/>
    <w:link w:val="5"/>
    <w:autoRedefine/>
    <w:qFormat/>
    <w:uiPriority w:val="9"/>
    <w:rPr>
      <w:rFonts w:ascii="Arial" w:hAnsi="Arial" w:eastAsia="Arial" w:cs="Arial"/>
      <w:sz w:val="30"/>
      <w:szCs w:val="30"/>
    </w:rPr>
  </w:style>
  <w:style w:type="character" w:customStyle="1" w:styleId="42">
    <w:name w:val="标题 4 字符"/>
    <w:link w:val="2"/>
    <w:autoRedefine/>
    <w:qFormat/>
    <w:uiPriority w:val="9"/>
    <w:rPr>
      <w:sz w:val="21"/>
      <w:szCs w:val="21"/>
    </w:rPr>
  </w:style>
  <w:style w:type="character" w:customStyle="1" w:styleId="43">
    <w:name w:val="标题 5 字符"/>
    <w:link w:val="7"/>
    <w:autoRedefine/>
    <w:qFormat/>
    <w:uiPriority w:val="9"/>
    <w:rPr>
      <w:rFonts w:ascii="Arial" w:hAnsi="Arial" w:eastAsia="Arial" w:cs="Arial"/>
      <w:b/>
      <w:bCs/>
      <w:sz w:val="24"/>
      <w:szCs w:val="24"/>
    </w:rPr>
  </w:style>
  <w:style w:type="character" w:customStyle="1" w:styleId="44">
    <w:name w:val="标题 6 字符"/>
    <w:link w:val="8"/>
    <w:autoRedefine/>
    <w:qFormat/>
    <w:uiPriority w:val="9"/>
    <w:rPr>
      <w:rFonts w:ascii="Arial" w:hAnsi="Arial" w:eastAsia="Arial" w:cs="Arial"/>
      <w:b/>
      <w:bCs/>
      <w:sz w:val="22"/>
      <w:szCs w:val="22"/>
    </w:rPr>
  </w:style>
  <w:style w:type="character" w:customStyle="1" w:styleId="45">
    <w:name w:val="标题 7 字符"/>
    <w:link w:val="9"/>
    <w:autoRedefine/>
    <w:qFormat/>
    <w:uiPriority w:val="9"/>
    <w:rPr>
      <w:rFonts w:ascii="Arial" w:hAnsi="Arial" w:eastAsia="Arial" w:cs="Arial"/>
      <w:b/>
      <w:bCs/>
      <w:i/>
      <w:iCs/>
      <w:sz w:val="22"/>
      <w:szCs w:val="22"/>
    </w:rPr>
  </w:style>
  <w:style w:type="character" w:customStyle="1" w:styleId="46">
    <w:name w:val="标题 8 字符"/>
    <w:link w:val="10"/>
    <w:autoRedefine/>
    <w:qFormat/>
    <w:uiPriority w:val="9"/>
    <w:rPr>
      <w:rFonts w:ascii="Arial" w:hAnsi="Arial" w:eastAsia="Arial" w:cs="Arial"/>
      <w:i/>
      <w:iCs/>
      <w:sz w:val="22"/>
      <w:szCs w:val="22"/>
    </w:rPr>
  </w:style>
  <w:style w:type="character" w:customStyle="1" w:styleId="47">
    <w:name w:val="标题 9 字符"/>
    <w:link w:val="11"/>
    <w:autoRedefine/>
    <w:qFormat/>
    <w:uiPriority w:val="9"/>
    <w:rPr>
      <w:rFonts w:ascii="Arial" w:hAnsi="Arial" w:eastAsia="Arial" w:cs="Arial"/>
      <w:i/>
      <w:iCs/>
      <w:sz w:val="21"/>
      <w:szCs w:val="21"/>
    </w:rPr>
  </w:style>
  <w:style w:type="paragraph" w:styleId="48">
    <w:name w:val="List Paragraph"/>
    <w:basedOn w:val="1"/>
    <w:autoRedefine/>
    <w:qFormat/>
    <w:uiPriority w:val="34"/>
    <w:pPr>
      <w:ind w:left="720"/>
      <w:contextualSpacing/>
    </w:pPr>
  </w:style>
  <w:style w:type="paragraph" w:styleId="49">
    <w:name w:val="No Spacing"/>
    <w:autoRedefine/>
    <w:qFormat/>
    <w:uiPriority w:val="1"/>
    <w:rPr>
      <w:rFonts w:ascii="Times New Roman" w:hAnsi="Times New Roman" w:eastAsia="宋体" w:cs="Times New Roman"/>
      <w:lang w:val="en-US" w:eastAsia="zh-CN" w:bidi="ar-SA"/>
    </w:rPr>
  </w:style>
  <w:style w:type="character" w:customStyle="1" w:styleId="50">
    <w:name w:val="标题 字符"/>
    <w:link w:val="31"/>
    <w:autoRedefine/>
    <w:qFormat/>
    <w:uiPriority w:val="10"/>
    <w:rPr>
      <w:sz w:val="48"/>
      <w:szCs w:val="48"/>
    </w:rPr>
  </w:style>
  <w:style w:type="character" w:customStyle="1" w:styleId="51">
    <w:name w:val="副标题 字符"/>
    <w:link w:val="25"/>
    <w:autoRedefine/>
    <w:qFormat/>
    <w:uiPriority w:val="11"/>
    <w:rPr>
      <w:sz w:val="24"/>
      <w:szCs w:val="24"/>
    </w:rPr>
  </w:style>
  <w:style w:type="paragraph" w:styleId="52">
    <w:name w:val="Quote"/>
    <w:basedOn w:val="1"/>
    <w:next w:val="1"/>
    <w:link w:val="53"/>
    <w:autoRedefine/>
    <w:qFormat/>
    <w:uiPriority w:val="29"/>
    <w:pPr>
      <w:ind w:left="720" w:right="720"/>
    </w:pPr>
    <w:rPr>
      <w:i/>
    </w:rPr>
  </w:style>
  <w:style w:type="character" w:customStyle="1" w:styleId="53">
    <w:name w:val="引用 字符"/>
    <w:link w:val="52"/>
    <w:autoRedefine/>
    <w:qFormat/>
    <w:uiPriority w:val="29"/>
    <w:rPr>
      <w:i/>
    </w:rPr>
  </w:style>
  <w:style w:type="paragraph" w:styleId="54">
    <w:name w:val="Intense Quote"/>
    <w:basedOn w:val="1"/>
    <w:next w:val="1"/>
    <w:link w:val="55"/>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明显引用 字符"/>
    <w:link w:val="54"/>
    <w:autoRedefine/>
    <w:qFormat/>
    <w:uiPriority w:val="30"/>
    <w:rPr>
      <w:i/>
    </w:rPr>
  </w:style>
  <w:style w:type="character" w:customStyle="1" w:styleId="56">
    <w:name w:val="页眉 字符"/>
    <w:link w:val="22"/>
    <w:autoRedefine/>
    <w:qFormat/>
    <w:uiPriority w:val="99"/>
  </w:style>
  <w:style w:type="character" w:customStyle="1" w:styleId="57">
    <w:name w:val="Footer Char"/>
    <w:autoRedefine/>
    <w:qFormat/>
    <w:uiPriority w:val="99"/>
  </w:style>
  <w:style w:type="character" w:customStyle="1" w:styleId="58">
    <w:name w:val="页脚 字符"/>
    <w:link w:val="20"/>
    <w:autoRedefine/>
    <w:qFormat/>
    <w:uiPriority w:val="99"/>
  </w:style>
  <w:style w:type="table" w:customStyle="1" w:styleId="59">
    <w:name w:val="Table Grid Light"/>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无格式表格 11"/>
    <w:autoRedefine/>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无格式表格 21"/>
    <w:autoRedefine/>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无格式表格 31"/>
    <w:autoRedefine/>
    <w:qFormat/>
    <w:uiPriority w:val="99"/>
    <w:tblPr>
      <w:tblCellMar>
        <w:top w:w="0" w:type="dxa"/>
        <w:left w:w="0" w:type="dxa"/>
        <w:bottom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无格式表格 41"/>
    <w:autoRedefine/>
    <w:qFormat/>
    <w:uiPriority w:val="99"/>
    <w:tblPr>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无格式表格 51"/>
    <w:autoRedefine/>
    <w:qFormat/>
    <w:uiPriority w:val="99"/>
    <w:tblPr>
      <w:tblCellMar>
        <w:top w:w="0" w:type="dxa"/>
        <w:left w:w="0" w:type="dxa"/>
        <w:bottom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网格表 1 浅色1"/>
    <w:autoRedefine/>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0" w:type="dxa"/>
        <w:bottom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autoRedefine/>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7">
    <w:name w:val="Grid Table 1 Light - Accent 2"/>
    <w:autoRedefine/>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8">
    <w:name w:val="Grid Table 1 Light - Accent 3"/>
    <w:autoRedefine/>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9">
    <w:name w:val="Grid Table 1 Light - Accent 4"/>
    <w:autoRedefine/>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0">
    <w:name w:val="Grid Table 1 Light - Accent 5"/>
    <w:autoRedefine/>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1">
    <w:name w:val="Grid Table 1 Light - Accent 6"/>
    <w:autoRedefine/>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2">
    <w:name w:val="网格表 2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4">
    <w:name w:val="Grid Table 2 - Accent 2"/>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5">
    <w:name w:val="Grid Table 2 - Accent 3"/>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6">
    <w:name w:val="Grid Table 2 - Accent 4"/>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7">
    <w:name w:val="Grid Table 2 - Accent 5"/>
    <w:autoRedefine/>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8">
    <w:name w:val="Grid Table 2 - Accent 6"/>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9">
    <w:name w:val="网格表 31"/>
    <w:autoRedefine/>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autoRedefine/>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3 - Accent 2"/>
    <w:autoRedefine/>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3 - Accent 3"/>
    <w:autoRedefine/>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3 - Accent 4"/>
    <w:autoRedefine/>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3 - Accent 5"/>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3 - Accent 6"/>
    <w:autoRedefine/>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网格表 41"/>
    <w:autoRedefine/>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autoRedefine/>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8">
    <w:name w:val="Grid Table 4 - Accent 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4 - Accent 3"/>
    <w:autoRedefine/>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4 - Accent 4"/>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4 - Accent 5"/>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4 - Accent 6"/>
    <w:autoRedefine/>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网格表 5 深色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5">
    <w:name w:val="Grid Table 5 Dark - Accent 2"/>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6">
    <w:name w:val="Grid Table 5 Dark - Accent 3"/>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7">
    <w:name w:val="Grid Table 5 Dark- Accent 4"/>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8">
    <w:name w:val="Grid Table 5 Dark - Accent 5"/>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9">
    <w:name w:val="Grid Table 5 Dark - Accent 6"/>
    <w:autoRedefine/>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0">
    <w:name w:val="网格表 6 彩色1"/>
    <w:autoRedefine/>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autoRedefine/>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autoRedefine/>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4">
    <w:name w:val="Grid Table 6 Colorful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0" w:type="dxa"/>
        <w:bottom w:w="0" w:type="dxa"/>
        <w:right w:w="0"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6">
    <w:name w:val="Grid Table 6 Colorful - Accent 6"/>
    <w:autoRedefine/>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0" w:type="dxa"/>
        <w:bottom w:w="0" w:type="dxa"/>
        <w:right w:w="0"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7">
    <w:name w:val="网格表 7 彩色1"/>
    <w:autoRedefine/>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0" w:type="dxa"/>
        <w:bottom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0" w:type="dxa"/>
        <w:bottom w:w="0" w:type="dxa"/>
        <w:right w:w="0"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autoRedefine/>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0" w:type="dxa"/>
        <w:bottom w:w="0" w:type="dxa"/>
        <w:right w:w="0"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autoRedefine/>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0" w:type="dxa"/>
        <w:bottom w:w="0" w:type="dxa"/>
        <w:right w:w="0"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1">
    <w:name w:val="Grid Table 7 Colorful - Accent 4"/>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0" w:type="dxa"/>
        <w:bottom w:w="0" w:type="dxa"/>
        <w:right w:w="0"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autoRedefine/>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0" w:type="dxa"/>
        <w:bottom w:w="0" w:type="dxa"/>
        <w:right w:w="0"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3">
    <w:name w:val="Grid Table 7 Colorful - Accent 6"/>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0" w:type="dxa"/>
        <w:bottom w:w="0" w:type="dxa"/>
        <w:right w:w="0"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4">
    <w:name w:val="清单表 1 浅色1"/>
    <w:qFormat/>
    <w:uiPriority w:val="99"/>
    <w:tblPr>
      <w:tblCellMar>
        <w:top w:w="0" w:type="dxa"/>
        <w:left w:w="0" w:type="dxa"/>
        <w:bottom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qFormat/>
    <w:uiPriority w:val="99"/>
    <w:tblPr>
      <w:tblCellMar>
        <w:top w:w="0" w:type="dxa"/>
        <w:left w:w="0" w:type="dxa"/>
        <w:bottom w:w="0" w:type="dxa"/>
        <w:right w:w="0"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6">
    <w:name w:val="List Table 1 Light - Accent 2"/>
    <w:qFormat/>
    <w:uiPriority w:val="99"/>
    <w:tblPr>
      <w:tblCellMar>
        <w:top w:w="0" w:type="dxa"/>
        <w:left w:w="0" w:type="dxa"/>
        <w:bottom w:w="0" w:type="dxa"/>
        <w:right w:w="0"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7">
    <w:name w:val="List Table 1 Light - Accent 3"/>
    <w:qFormat/>
    <w:uiPriority w:val="99"/>
    <w:tblPr>
      <w:tblCellMar>
        <w:top w:w="0" w:type="dxa"/>
        <w:left w:w="0" w:type="dxa"/>
        <w:bottom w:w="0" w:type="dxa"/>
        <w:right w:w="0"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8">
    <w:name w:val="List Table 1 Light - Accent 4"/>
    <w:qFormat/>
    <w:uiPriority w:val="99"/>
    <w:tblPr>
      <w:tblCellMar>
        <w:top w:w="0" w:type="dxa"/>
        <w:left w:w="0" w:type="dxa"/>
        <w:bottom w:w="0" w:type="dxa"/>
        <w:right w:w="0"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9">
    <w:name w:val="List Table 1 Light - Accent 5"/>
    <w:qFormat/>
    <w:uiPriority w:val="99"/>
    <w:tblPr>
      <w:tblCellMar>
        <w:top w:w="0" w:type="dxa"/>
        <w:left w:w="0" w:type="dxa"/>
        <w:bottom w:w="0" w:type="dxa"/>
        <w:right w:w="0"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0">
    <w:name w:val="List Table 1 Light - Accent 6"/>
    <w:qFormat/>
    <w:uiPriority w:val="99"/>
    <w:tblPr>
      <w:tblCellMar>
        <w:top w:w="0" w:type="dxa"/>
        <w:left w:w="0" w:type="dxa"/>
        <w:bottom w:w="0" w:type="dxa"/>
        <w:right w:w="0"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1">
    <w:name w:val="清单表 21"/>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3">
    <w:name w:val="List Table 2 - Accent 2"/>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4">
    <w:name w:val="List Table 2 - Accent 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5">
    <w:name w:val="List Table 2 - Accent 4"/>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6">
    <w:name w:val="List Table 2 - Accent 5"/>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7">
    <w:name w:val="List Table 2 - Accent 6"/>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8">
    <w:name w:val="清单表 3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0">
    <w:name w:val="List Table 3 - Accent 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0" w:type="dxa"/>
        <w:bottom w:w="0" w:type="dxa"/>
        <w:right w:w="0"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1">
    <w:name w:val="List Table 3 - Accent 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0" w:type="dxa"/>
        <w:bottom w:w="0" w:type="dxa"/>
        <w:right w:w="0"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2">
    <w:name w:val="List Table 3 - Accent 4"/>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0" w:type="dxa"/>
        <w:bottom w:w="0" w:type="dxa"/>
        <w:right w:w="0"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3">
    <w:name w:val="List Table 3 - Accent 5"/>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0" w:type="dxa"/>
        <w:bottom w:w="0" w:type="dxa"/>
        <w:right w:w="0"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4">
    <w:name w:val="List Table 3 - Accent 6"/>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0" w:type="dxa"/>
        <w:bottom w:w="0" w:type="dxa"/>
        <w:right w:w="0"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5">
    <w:name w:val="清单表 41"/>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0" w:type="dxa"/>
        <w:bottom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0" w:type="dxa"/>
        <w:bottom w:w="0" w:type="dxa"/>
        <w:right w:w="0"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4 - Accent 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0" w:type="dxa"/>
        <w:bottom w:w="0" w:type="dxa"/>
        <w:right w:w="0"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4 - Accent 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0" w:type="dxa"/>
        <w:bottom w:w="0" w:type="dxa"/>
        <w:right w:w="0"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4 - Accent 4"/>
    <w:autoRedefine/>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0" w:type="dxa"/>
        <w:bottom w:w="0" w:type="dxa"/>
        <w:right w:w="0"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4 - Accent 5"/>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0" w:type="dxa"/>
        <w:bottom w:w="0" w:type="dxa"/>
        <w:right w:w="0"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4 - Accent 6"/>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0" w:type="dxa"/>
        <w:bottom w:w="0" w:type="dxa"/>
        <w:right w:w="0"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清单表 5 深色1"/>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4">
    <w:name w:val="List Table 5 Dark - Accent 2"/>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5">
    <w:name w:val="List Table 5 Dark - Accent 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6">
    <w:name w:val="List Table 5 Dark - Accent 4"/>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7">
    <w:name w:val="List Table 5 Dark - Accent 5"/>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8">
    <w:name w:val="List Table 5 Dark - Accent 6"/>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0" w:type="dxa"/>
        <w:bottom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9">
    <w:name w:val="清单表 6 彩色1"/>
    <w:qFormat/>
    <w:uiPriority w:val="99"/>
    <w:tblPr>
      <w:tblBorders>
        <w:top w:val="single" w:color="7E7E7E" w:themeColor="text1" w:themeTint="80" w:sz="4" w:space="0"/>
        <w:bottom w:val="single" w:color="7E7E7E" w:themeColor="text1" w:themeTint="80" w:sz="4" w:space="0"/>
      </w:tblBorders>
      <w:tblCellMar>
        <w:top w:w="0" w:type="dxa"/>
        <w:left w:w="0" w:type="dxa"/>
        <w:bottom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qFormat/>
    <w:uiPriority w:val="99"/>
    <w:tblPr>
      <w:tblBorders>
        <w:top w:val="single" w:color="4F81BD" w:themeColor="accent1" w:sz="4" w:space="0"/>
        <w:bottom w:val="single" w:color="4F81BD" w:themeColor="accent1" w:sz="4" w:space="0"/>
      </w:tblBorders>
      <w:tblCellMar>
        <w:top w:w="0" w:type="dxa"/>
        <w:left w:w="0" w:type="dxa"/>
        <w:bottom w:w="0" w:type="dxa"/>
        <w:right w:w="0"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1">
    <w:name w:val="List Table 6 Colorful - Accent 2"/>
    <w:qFormat/>
    <w:uiPriority w:val="99"/>
    <w:tblPr>
      <w:tblBorders>
        <w:top w:val="single" w:color="D99795" w:themeColor="accent2" w:themeTint="97" w:sz="4" w:space="0"/>
        <w:bottom w:val="single" w:color="D99795" w:themeColor="accent2" w:themeTint="97" w:sz="4" w:space="0"/>
      </w:tblBorders>
      <w:tblCellMar>
        <w:top w:w="0" w:type="dxa"/>
        <w:left w:w="0" w:type="dxa"/>
        <w:bottom w:w="0" w:type="dxa"/>
        <w:right w:w="0"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qFormat/>
    <w:uiPriority w:val="99"/>
    <w:tblPr>
      <w:tblBorders>
        <w:top w:val="single" w:color="C3D69C" w:themeColor="accent3" w:themeTint="98" w:sz="4" w:space="0"/>
        <w:bottom w:val="single" w:color="C3D69C" w:themeColor="accent3" w:themeTint="98" w:sz="4" w:space="0"/>
      </w:tblBorders>
      <w:tblCellMar>
        <w:top w:w="0" w:type="dxa"/>
        <w:left w:w="0" w:type="dxa"/>
        <w:bottom w:w="0" w:type="dxa"/>
        <w:right w:w="0"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qFormat/>
    <w:uiPriority w:val="99"/>
    <w:tblPr>
      <w:tblBorders>
        <w:top w:val="single" w:color="B2A1C6" w:themeColor="accent4" w:themeTint="9A" w:sz="4" w:space="0"/>
        <w:bottom w:val="single" w:color="B2A1C6" w:themeColor="accent4" w:themeTint="9A" w:sz="4" w:space="0"/>
      </w:tblBorders>
      <w:tblCellMar>
        <w:top w:w="0" w:type="dxa"/>
        <w:left w:w="0" w:type="dxa"/>
        <w:bottom w:w="0" w:type="dxa"/>
        <w:right w:w="0"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qFormat/>
    <w:uiPriority w:val="99"/>
    <w:tblPr>
      <w:tblBorders>
        <w:top w:val="single" w:color="92CCDC" w:themeColor="accent5" w:themeTint="9A" w:sz="4" w:space="0"/>
        <w:bottom w:val="single" w:color="92CCDC" w:themeColor="accent5" w:themeTint="9A" w:sz="4" w:space="0"/>
      </w:tblBorders>
      <w:tblCellMar>
        <w:top w:w="0" w:type="dxa"/>
        <w:left w:w="0" w:type="dxa"/>
        <w:bottom w:w="0" w:type="dxa"/>
        <w:right w:w="0"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autoRedefine/>
    <w:qFormat/>
    <w:uiPriority w:val="99"/>
    <w:tblPr>
      <w:tblBorders>
        <w:top w:val="single" w:color="FAC090" w:themeColor="accent6" w:themeTint="98" w:sz="4" w:space="0"/>
        <w:bottom w:val="single" w:color="FAC090" w:themeColor="accent6" w:themeTint="98" w:sz="4" w:space="0"/>
      </w:tblBorders>
      <w:tblCellMar>
        <w:top w:w="0" w:type="dxa"/>
        <w:left w:w="0" w:type="dxa"/>
        <w:bottom w:w="0" w:type="dxa"/>
        <w:right w:w="0"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6">
    <w:name w:val="清单表 7 彩色1"/>
    <w:qFormat/>
    <w:uiPriority w:val="99"/>
    <w:tblPr>
      <w:tblBorders>
        <w:right w:val="single" w:color="7E7E7E" w:themeColor="text1" w:themeTint="80" w:sz="4" w:space="0"/>
      </w:tblBorders>
      <w:tblCellMar>
        <w:top w:w="0" w:type="dxa"/>
        <w:left w:w="0" w:type="dxa"/>
        <w:bottom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qFormat/>
    <w:uiPriority w:val="99"/>
    <w:tblPr>
      <w:tblBorders>
        <w:right w:val="single" w:color="4F81BD" w:themeColor="accent1" w:sz="4" w:space="0"/>
      </w:tblBorders>
      <w:tblCellMar>
        <w:top w:w="0" w:type="dxa"/>
        <w:left w:w="0" w:type="dxa"/>
        <w:bottom w:w="0" w:type="dxa"/>
        <w:right w:w="0"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8">
    <w:name w:val="List Table 7 Colorful - Accent 2"/>
    <w:autoRedefine/>
    <w:qFormat/>
    <w:uiPriority w:val="99"/>
    <w:tblPr>
      <w:tblBorders>
        <w:right w:val="single" w:color="D99795" w:themeColor="accent2" w:themeTint="97" w:sz="4" w:space="0"/>
      </w:tblBorders>
      <w:tblCellMar>
        <w:top w:w="0" w:type="dxa"/>
        <w:left w:w="0" w:type="dxa"/>
        <w:bottom w:w="0" w:type="dxa"/>
        <w:right w:w="0"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autoRedefine/>
    <w:qFormat/>
    <w:uiPriority w:val="99"/>
    <w:tblPr>
      <w:tblBorders>
        <w:right w:val="single" w:color="C3D69C" w:themeColor="accent3" w:themeTint="98" w:sz="4" w:space="0"/>
      </w:tblBorders>
      <w:tblCellMar>
        <w:top w:w="0" w:type="dxa"/>
        <w:left w:w="0" w:type="dxa"/>
        <w:bottom w:w="0" w:type="dxa"/>
        <w:right w:w="0"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qFormat/>
    <w:uiPriority w:val="99"/>
    <w:tblPr>
      <w:tblBorders>
        <w:right w:val="single" w:color="B2A1C6" w:themeColor="accent4" w:themeTint="9A" w:sz="4" w:space="0"/>
      </w:tblBorders>
      <w:tblCellMar>
        <w:top w:w="0" w:type="dxa"/>
        <w:left w:w="0" w:type="dxa"/>
        <w:bottom w:w="0" w:type="dxa"/>
        <w:right w:w="0"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qFormat/>
    <w:uiPriority w:val="99"/>
    <w:tblPr>
      <w:tblBorders>
        <w:right w:val="single" w:color="92CCDC" w:themeColor="accent5" w:themeTint="9A" w:sz="4" w:space="0"/>
      </w:tblBorders>
      <w:tblCellMar>
        <w:top w:w="0" w:type="dxa"/>
        <w:left w:w="0" w:type="dxa"/>
        <w:bottom w:w="0" w:type="dxa"/>
        <w:right w:w="0"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qFormat/>
    <w:uiPriority w:val="99"/>
    <w:tblPr>
      <w:tblBorders>
        <w:right w:val="single" w:color="FAC090" w:themeColor="accent6" w:themeTint="98" w:sz="4" w:space="0"/>
      </w:tblBorders>
      <w:tblCellMar>
        <w:top w:w="0" w:type="dxa"/>
        <w:left w:w="0" w:type="dxa"/>
        <w:bottom w:w="0" w:type="dxa"/>
        <w:right w:w="0"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3">
    <w:name w:val="Lined - Accent"/>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5">
    <w:name w:val="Lined - Accent 2"/>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6">
    <w:name w:val="Lined - Accent 3"/>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7">
    <w:name w:val="Lined - Accent 4"/>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8">
    <w:name w:val="Lined - Accent 5"/>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9">
    <w:name w:val="Lined - Accent 6"/>
    <w:autoRedefine/>
    <w:qFormat/>
    <w:uiPriority w:val="99"/>
    <w:rPr>
      <w:color w:val="404040"/>
    </w:rPr>
    <w:tblPr>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0">
    <w:name w:val="Bordered &amp; Lined - Accent"/>
    <w:autoRedefine/>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0" w:type="dxa"/>
        <w:bottom w:w="0" w:type="dxa"/>
        <w:right w:w="0"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0" w:type="dxa"/>
        <w:bottom w:w="0" w:type="dxa"/>
        <w:right w:w="0"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Bordered &amp; Lined - Accent 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0" w:type="dxa"/>
        <w:bottom w:w="0" w:type="dxa"/>
        <w:right w:w="0"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Bordered &amp; Lined - Accent 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0" w:type="dxa"/>
        <w:bottom w:w="0" w:type="dxa"/>
        <w:right w:w="0"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Bordered &amp; Lined - Accent 4"/>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0" w:type="dxa"/>
        <w:bottom w:w="0" w:type="dxa"/>
        <w:right w:w="0"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Bordered &amp; Lined - Accent 5"/>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0" w:type="dxa"/>
        <w:bottom w:w="0" w:type="dxa"/>
        <w:right w:w="0"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Bordered &amp; Lined - Accent 6"/>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0" w:type="dxa"/>
        <w:bottom w:w="0" w:type="dxa"/>
        <w:right w:w="0"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0" w:type="dxa"/>
        <w:bottom w:w="0" w:type="dxa"/>
        <w:right w:w="0"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9">
    <w:name w:val="Bordered - Accent 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0">
    <w:name w:val="Bordered - Accent 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1">
    <w:name w:val="Bordered - Accent 4"/>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2">
    <w:name w:val="Bordered - Accent 5"/>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3">
    <w:name w:val="Bordered - Accent 6"/>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0" w:type="dxa"/>
        <w:bottom w:w="0" w:type="dxa"/>
        <w:right w:w="0"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4">
    <w:name w:val="脚注文本 字符"/>
    <w:link w:val="26"/>
    <w:qFormat/>
    <w:uiPriority w:val="99"/>
    <w:rPr>
      <w:sz w:val="18"/>
    </w:rPr>
  </w:style>
  <w:style w:type="character" w:customStyle="1" w:styleId="185">
    <w:name w:val="尾注文本 字符"/>
    <w:link w:val="19"/>
    <w:qFormat/>
    <w:uiPriority w:val="99"/>
    <w:rPr>
      <w:sz w:val="20"/>
    </w:rPr>
  </w:style>
  <w:style w:type="paragraph" w:customStyle="1" w:styleId="186">
    <w:name w:val="TOC 标题1"/>
    <w:unhideWhenUsed/>
    <w:qFormat/>
    <w:uiPriority w:val="39"/>
    <w:rPr>
      <w:rFonts w:ascii="Times New Roman" w:hAnsi="Times New Roman" w:eastAsia="宋体" w:cs="Times New Roman"/>
      <w:lang w:val="en-US" w:eastAsia="zh-CN" w:bidi="ar-SA"/>
    </w:rPr>
  </w:style>
  <w:style w:type="paragraph" w:customStyle="1" w:styleId="187">
    <w:name w:val="标题 11"/>
    <w:basedOn w:val="1"/>
    <w:next w:val="1"/>
    <w:link w:val="195"/>
    <w:qFormat/>
    <w:uiPriority w:val="0"/>
    <w:pPr>
      <w:keepNext/>
      <w:keepLines/>
      <w:spacing w:before="340" w:after="330" w:line="578" w:lineRule="auto"/>
      <w:outlineLvl w:val="0"/>
    </w:pPr>
    <w:rPr>
      <w:rFonts w:eastAsia="黑体"/>
      <w:b/>
      <w:bCs/>
      <w:sz w:val="36"/>
      <w:szCs w:val="44"/>
    </w:rPr>
  </w:style>
  <w:style w:type="paragraph" w:customStyle="1" w:styleId="188">
    <w:name w:val="标题 21"/>
    <w:basedOn w:val="1"/>
    <w:next w:val="1"/>
    <w:link w:val="196"/>
    <w:qFormat/>
    <w:uiPriority w:val="0"/>
    <w:pPr>
      <w:keepNext/>
      <w:keepLines/>
      <w:spacing w:before="260" w:after="260" w:line="416" w:lineRule="auto"/>
      <w:outlineLvl w:val="1"/>
    </w:pPr>
    <w:rPr>
      <w:rFonts w:ascii="Cambria" w:hAnsi="Cambria"/>
      <w:b/>
      <w:bCs/>
      <w:sz w:val="32"/>
      <w:szCs w:val="32"/>
    </w:rPr>
  </w:style>
  <w:style w:type="paragraph" w:customStyle="1" w:styleId="189">
    <w:name w:val="标题 31"/>
    <w:basedOn w:val="1"/>
    <w:next w:val="190"/>
    <w:link w:val="197"/>
    <w:qFormat/>
    <w:uiPriority w:val="0"/>
    <w:pPr>
      <w:keepNext/>
      <w:keepLines/>
      <w:spacing w:before="260" w:after="260" w:line="416" w:lineRule="auto"/>
      <w:outlineLvl w:val="2"/>
    </w:pPr>
    <w:rPr>
      <w:b/>
      <w:bCs/>
      <w:sz w:val="32"/>
      <w:szCs w:val="32"/>
    </w:rPr>
  </w:style>
  <w:style w:type="paragraph" w:customStyle="1" w:styleId="190">
    <w:name w:val="正文缩进11"/>
    <w:basedOn w:val="1"/>
    <w:link w:val="198"/>
    <w:qFormat/>
    <w:uiPriority w:val="0"/>
    <w:pPr>
      <w:ind w:firstLine="420"/>
    </w:pPr>
    <w:rPr>
      <w:szCs w:val="21"/>
    </w:rPr>
  </w:style>
  <w:style w:type="paragraph" w:customStyle="1" w:styleId="191">
    <w:name w:val="标题 41"/>
    <w:basedOn w:val="1"/>
    <w:next w:val="1"/>
    <w:link w:val="199"/>
    <w:qFormat/>
    <w:uiPriority w:val="0"/>
    <w:pPr>
      <w:keepNext/>
      <w:keepLines/>
      <w:spacing w:before="280" w:after="290" w:line="376" w:lineRule="auto"/>
      <w:outlineLvl w:val="3"/>
    </w:pPr>
    <w:rPr>
      <w:rFonts w:ascii="Cambria" w:hAnsi="Cambria"/>
      <w:b/>
      <w:bCs/>
      <w:sz w:val="28"/>
      <w:szCs w:val="28"/>
    </w:rPr>
  </w:style>
  <w:style w:type="character" w:customStyle="1" w:styleId="192">
    <w:name w:val="默认段落字体11"/>
    <w:semiHidden/>
    <w:qFormat/>
    <w:uiPriority w:val="0"/>
  </w:style>
  <w:style w:type="table" w:customStyle="1" w:styleId="193">
    <w:name w:val="普通表格1"/>
    <w:semiHidden/>
    <w:qFormat/>
    <w:uiPriority w:val="0"/>
    <w:tblPr>
      <w:tblCellMar>
        <w:top w:w="0" w:type="dxa"/>
        <w:left w:w="0" w:type="dxa"/>
        <w:bottom w:w="0" w:type="dxa"/>
        <w:right w:w="0" w:type="dxa"/>
      </w:tblCellMar>
    </w:tblPr>
  </w:style>
  <w:style w:type="paragraph" w:customStyle="1" w:styleId="194">
    <w:name w:val="[Normal]"/>
    <w:autoRedefine/>
    <w:qFormat/>
    <w:uiPriority w:val="0"/>
    <w:rPr>
      <w:rFonts w:ascii="方正仿宋简体" w:hAnsi="方正仿宋简体" w:eastAsia="方正仿宋简体" w:cs="Courier New"/>
      <w:sz w:val="24"/>
      <w:szCs w:val="22"/>
      <w:lang w:val="zh-CN" w:eastAsia="zh-CN" w:bidi="ar-SA"/>
    </w:rPr>
  </w:style>
  <w:style w:type="character" w:customStyle="1" w:styleId="195">
    <w:name w:val="标题 1 Char"/>
    <w:link w:val="187"/>
    <w:qFormat/>
    <w:uiPriority w:val="0"/>
    <w:rPr>
      <w:rFonts w:eastAsia="黑体"/>
      <w:b/>
      <w:bCs/>
      <w:sz w:val="36"/>
      <w:szCs w:val="44"/>
      <w:lang w:val="en-US" w:eastAsia="zh-CN" w:bidi="ar-SA"/>
    </w:rPr>
  </w:style>
  <w:style w:type="character" w:customStyle="1" w:styleId="196">
    <w:name w:val="标题 2 Char"/>
    <w:link w:val="188"/>
    <w:semiHidden/>
    <w:qFormat/>
    <w:uiPriority w:val="0"/>
    <w:rPr>
      <w:rFonts w:ascii="Cambria" w:hAnsi="Cambria" w:eastAsia="宋体" w:cs="Times New Roman"/>
      <w:b/>
      <w:bCs/>
      <w:sz w:val="32"/>
      <w:szCs w:val="32"/>
    </w:rPr>
  </w:style>
  <w:style w:type="character" w:customStyle="1" w:styleId="197">
    <w:name w:val="标题 3 Char"/>
    <w:link w:val="189"/>
    <w:qFormat/>
    <w:uiPriority w:val="0"/>
    <w:rPr>
      <w:b/>
      <w:bCs/>
      <w:sz w:val="32"/>
      <w:szCs w:val="32"/>
    </w:rPr>
  </w:style>
  <w:style w:type="character" w:customStyle="1" w:styleId="198">
    <w:name w:val="正文缩进 Char"/>
    <w:link w:val="190"/>
    <w:qFormat/>
    <w:uiPriority w:val="0"/>
    <w:rPr>
      <w:sz w:val="21"/>
      <w:szCs w:val="21"/>
    </w:rPr>
  </w:style>
  <w:style w:type="character" w:customStyle="1" w:styleId="199">
    <w:name w:val="标题 4 Char"/>
    <w:link w:val="191"/>
    <w:qFormat/>
    <w:uiPriority w:val="0"/>
    <w:rPr>
      <w:rFonts w:ascii="Cambria" w:hAnsi="Cambria" w:eastAsia="宋体" w:cs="Times New Roman"/>
      <w:b/>
      <w:bCs/>
      <w:sz w:val="28"/>
      <w:szCs w:val="28"/>
    </w:rPr>
  </w:style>
  <w:style w:type="paragraph" w:customStyle="1" w:styleId="200">
    <w:name w:val="正文文本1"/>
    <w:basedOn w:val="1"/>
    <w:next w:val="201"/>
    <w:qFormat/>
    <w:uiPriority w:val="0"/>
    <w:rPr>
      <w:rFonts w:ascii="楷体_GB2312" w:hAnsi="Arial" w:eastAsia="楷体_GB2312"/>
      <w:sz w:val="28"/>
      <w:szCs w:val="20"/>
    </w:rPr>
  </w:style>
  <w:style w:type="paragraph" w:customStyle="1" w:styleId="201">
    <w:name w:val="一级条标题"/>
    <w:basedOn w:val="202"/>
    <w:next w:val="203"/>
    <w:qFormat/>
    <w:uiPriority w:val="0"/>
    <w:pPr>
      <w:spacing w:before="0" w:after="0"/>
      <w:ind w:left="907" w:hanging="907"/>
      <w:outlineLvl w:val="2"/>
    </w:pPr>
    <w:rPr>
      <w:rFonts w:hAnsi="宋体"/>
      <w:sz w:val="20"/>
      <w:szCs w:val="20"/>
    </w:rPr>
  </w:style>
  <w:style w:type="paragraph" w:customStyle="1" w:styleId="202">
    <w:name w:val="章标题"/>
    <w:next w:val="1"/>
    <w:qFormat/>
    <w:uiPriority w:val="0"/>
    <w:pPr>
      <w:spacing w:before="50" w:after="50"/>
      <w:ind w:left="810" w:hanging="810"/>
      <w:jc w:val="both"/>
      <w:outlineLvl w:val="1"/>
    </w:pPr>
    <w:rPr>
      <w:rFonts w:ascii="黑体" w:hAnsi="Times New Roman" w:eastAsia="黑体" w:cs="Times New Roman"/>
      <w:sz w:val="21"/>
      <w:szCs w:val="22"/>
      <w:lang w:val="en-US" w:eastAsia="zh-CN" w:bidi="ar-SA"/>
    </w:rPr>
  </w:style>
  <w:style w:type="paragraph" w:customStyle="1" w:styleId="203">
    <w:name w:val="段"/>
    <w:next w:val="204"/>
    <w:qFormat/>
    <w:uiPriority w:val="0"/>
    <w:pPr>
      <w:ind w:firstLine="420"/>
      <w:jc w:val="both"/>
    </w:pPr>
    <w:rPr>
      <w:rFonts w:ascii="宋体" w:hAnsi="Times New Roman" w:eastAsia="宋体" w:cs="Times New Roman"/>
      <w:sz w:val="21"/>
      <w:lang w:val="en-US" w:eastAsia="zh-CN" w:bidi="ar-SA"/>
    </w:rPr>
  </w:style>
  <w:style w:type="paragraph" w:customStyle="1" w:styleId="204">
    <w:name w:val="正文 A"/>
    <w:next w:val="203"/>
    <w:qFormat/>
    <w:uiPriority w:val="0"/>
    <w:pPr>
      <w:widowControl w:val="0"/>
      <w:jc w:val="both"/>
    </w:pPr>
    <w:rPr>
      <w:rFonts w:ascii="Times New Roman" w:hAnsi="Times New Roman" w:eastAsia="Calibri" w:cs="Calibri"/>
      <w:color w:val="000000"/>
      <w:sz w:val="21"/>
      <w:szCs w:val="21"/>
      <w:lang w:val="en-US" w:eastAsia="zh-CN" w:bidi="ar-SA"/>
    </w:rPr>
  </w:style>
  <w:style w:type="paragraph" w:customStyle="1" w:styleId="205">
    <w:name w:val="正文文本缩进1"/>
    <w:basedOn w:val="1"/>
    <w:next w:val="206"/>
    <w:qFormat/>
    <w:uiPriority w:val="0"/>
    <w:pPr>
      <w:ind w:firstLine="645"/>
    </w:pPr>
    <w:rPr>
      <w:rFonts w:ascii="楷体_GB2312" w:eastAsia="楷体_GB2312"/>
      <w:sz w:val="32"/>
      <w:szCs w:val="20"/>
    </w:rPr>
  </w:style>
  <w:style w:type="paragraph" w:customStyle="1" w:styleId="206">
    <w:name w:val="寄信人地址1"/>
    <w:basedOn w:val="1"/>
    <w:qFormat/>
    <w:uiPriority w:val="0"/>
    <w:rPr>
      <w:rFonts w:ascii="Arial" w:hAnsi="Arial" w:cs="Arial"/>
    </w:rPr>
  </w:style>
  <w:style w:type="paragraph" w:customStyle="1" w:styleId="207">
    <w:name w:val="纯文本1"/>
    <w:basedOn w:val="1"/>
    <w:link w:val="208"/>
    <w:qFormat/>
    <w:uiPriority w:val="0"/>
    <w:rPr>
      <w:rFonts w:ascii="宋体" w:hAnsi="Courier New"/>
      <w:szCs w:val="20"/>
    </w:rPr>
  </w:style>
  <w:style w:type="character" w:customStyle="1" w:styleId="208">
    <w:name w:val="纯文本 Char"/>
    <w:link w:val="207"/>
    <w:qFormat/>
    <w:uiPriority w:val="0"/>
    <w:rPr>
      <w:rFonts w:ascii="宋体" w:hAnsi="Courier New" w:eastAsia="宋体"/>
      <w:sz w:val="21"/>
      <w:lang w:val="en-US" w:eastAsia="zh-CN" w:bidi="ar-SA"/>
    </w:rPr>
  </w:style>
  <w:style w:type="paragraph" w:customStyle="1" w:styleId="209">
    <w:name w:val="日期1"/>
    <w:basedOn w:val="1"/>
    <w:next w:val="1"/>
    <w:qFormat/>
    <w:uiPriority w:val="0"/>
    <w:rPr>
      <w:rFonts w:ascii="宋体" w:eastAsia="黑体"/>
      <w:spacing w:val="10"/>
      <w:position w:val="2"/>
      <w:sz w:val="30"/>
    </w:rPr>
  </w:style>
  <w:style w:type="paragraph" w:customStyle="1" w:styleId="210">
    <w:name w:val="批注框文本1"/>
    <w:basedOn w:val="1"/>
    <w:semiHidden/>
    <w:qFormat/>
    <w:uiPriority w:val="0"/>
    <w:rPr>
      <w:sz w:val="18"/>
      <w:szCs w:val="18"/>
    </w:rPr>
  </w:style>
  <w:style w:type="paragraph" w:customStyle="1" w:styleId="211">
    <w:name w:val="页脚11"/>
    <w:basedOn w:val="1"/>
    <w:link w:val="212"/>
    <w:qFormat/>
    <w:uiPriority w:val="99"/>
    <w:pPr>
      <w:tabs>
        <w:tab w:val="center" w:pos="4153"/>
        <w:tab w:val="right" w:pos="8306"/>
      </w:tabs>
      <w:jc w:val="left"/>
    </w:pPr>
    <w:rPr>
      <w:sz w:val="18"/>
      <w:szCs w:val="20"/>
    </w:rPr>
  </w:style>
  <w:style w:type="character" w:customStyle="1" w:styleId="212">
    <w:name w:val="页脚 Char"/>
    <w:link w:val="211"/>
    <w:qFormat/>
    <w:uiPriority w:val="99"/>
    <w:rPr>
      <w:sz w:val="18"/>
    </w:rPr>
  </w:style>
  <w:style w:type="paragraph" w:customStyle="1" w:styleId="213">
    <w:name w:val="页眉11"/>
    <w:basedOn w:val="1"/>
    <w:link w:val="214"/>
    <w:qFormat/>
    <w:uiPriority w:val="0"/>
    <w:pPr>
      <w:pBdr>
        <w:bottom w:val="single" w:color="000000" w:sz="6" w:space="1"/>
      </w:pBdr>
      <w:tabs>
        <w:tab w:val="center" w:pos="4153"/>
        <w:tab w:val="right" w:pos="8306"/>
      </w:tabs>
      <w:jc w:val="center"/>
    </w:pPr>
    <w:rPr>
      <w:sz w:val="18"/>
      <w:szCs w:val="18"/>
    </w:rPr>
  </w:style>
  <w:style w:type="character" w:customStyle="1" w:styleId="214">
    <w:name w:val="页眉 Char"/>
    <w:link w:val="213"/>
    <w:qFormat/>
    <w:uiPriority w:val="0"/>
    <w:rPr>
      <w:sz w:val="18"/>
      <w:szCs w:val="18"/>
    </w:rPr>
  </w:style>
  <w:style w:type="paragraph" w:customStyle="1" w:styleId="215">
    <w:name w:val="目录 11"/>
    <w:basedOn w:val="1"/>
    <w:next w:val="1"/>
    <w:unhideWhenUsed/>
    <w:qFormat/>
    <w:uiPriority w:val="39"/>
    <w:pPr>
      <w:spacing w:after="57"/>
    </w:pPr>
  </w:style>
  <w:style w:type="paragraph" w:customStyle="1" w:styleId="216">
    <w:name w:val="普通(网站)11"/>
    <w:basedOn w:val="1"/>
    <w:qFormat/>
    <w:uiPriority w:val="0"/>
    <w:pPr>
      <w:widowControl/>
      <w:spacing w:before="100" w:beforeAutospacing="1" w:after="100" w:afterAutospacing="1"/>
      <w:jc w:val="left"/>
    </w:pPr>
    <w:rPr>
      <w:rFonts w:ascii="宋体" w:hAnsi="宋体" w:cs="宋体"/>
      <w:sz w:val="24"/>
    </w:rPr>
  </w:style>
  <w:style w:type="paragraph" w:customStyle="1" w:styleId="217">
    <w:name w:val="正文首行缩进1"/>
    <w:basedOn w:val="1"/>
    <w:next w:val="1"/>
    <w:qFormat/>
    <w:uiPriority w:val="0"/>
    <w:pPr>
      <w:spacing w:line="360" w:lineRule="auto"/>
      <w:ind w:firstLine="200"/>
    </w:pPr>
    <w:rPr>
      <w:rFonts w:ascii="仿宋_GB2312" w:eastAsia="仿宋_GB2312"/>
      <w:sz w:val="30"/>
      <w:szCs w:val="30"/>
    </w:rPr>
  </w:style>
  <w:style w:type="paragraph" w:customStyle="1" w:styleId="218">
    <w:name w:val="正文首行缩进 21"/>
    <w:basedOn w:val="205"/>
    <w:qFormat/>
    <w:uiPriority w:val="0"/>
    <w:pPr>
      <w:spacing w:line="360" w:lineRule="auto"/>
      <w:ind w:firstLine="420"/>
    </w:pPr>
    <w:rPr>
      <w:rFonts w:ascii="Calibri" w:hAnsi="Calibri" w:eastAsia="宋体"/>
      <w:sz w:val="21"/>
    </w:rPr>
  </w:style>
  <w:style w:type="table" w:customStyle="1" w:styleId="219">
    <w:name w:val="网格型1"/>
    <w:basedOn w:val="193"/>
    <w:qFormat/>
    <w:uiPriority w:val="0"/>
    <w:pPr>
      <w:widowControl w:val="0"/>
      <w:jc w:val="both"/>
    </w:pPr>
  </w:style>
  <w:style w:type="character" w:customStyle="1" w:styleId="220">
    <w:name w:val="要点1"/>
    <w:qFormat/>
    <w:uiPriority w:val="0"/>
    <w:rPr>
      <w:b/>
      <w:bCs/>
    </w:rPr>
  </w:style>
  <w:style w:type="character" w:customStyle="1" w:styleId="221">
    <w:name w:val="页码11"/>
    <w:qFormat/>
    <w:uiPriority w:val="0"/>
  </w:style>
  <w:style w:type="character" w:customStyle="1" w:styleId="222">
    <w:name w:val="超链接1"/>
    <w:qFormat/>
    <w:uiPriority w:val="0"/>
    <w:rPr>
      <w:color w:val="0000FF"/>
      <w:u w:val="single"/>
    </w:rPr>
  </w:style>
  <w:style w:type="character" w:customStyle="1" w:styleId="223">
    <w:name w:val="默认段落字体1"/>
    <w:semiHidden/>
    <w:qFormat/>
    <w:uiPriority w:val="0"/>
  </w:style>
  <w:style w:type="paragraph" w:customStyle="1" w:styleId="224">
    <w:name w:val="p0"/>
    <w:basedOn w:val="1"/>
    <w:qFormat/>
    <w:uiPriority w:val="0"/>
    <w:pPr>
      <w:widowControl/>
      <w:spacing w:before="100" w:beforeAutospacing="1" w:after="100" w:afterAutospacing="1"/>
      <w:jc w:val="left"/>
    </w:pPr>
    <w:rPr>
      <w:rFonts w:ascii="宋体" w:hAnsi="宋体" w:cs="宋体"/>
      <w:sz w:val="24"/>
    </w:rPr>
  </w:style>
  <w:style w:type="paragraph" w:customStyle="1" w:styleId="225">
    <w:name w:val="普通正文"/>
    <w:basedOn w:val="1"/>
    <w:qFormat/>
    <w:uiPriority w:val="0"/>
    <w:pPr>
      <w:spacing w:before="120" w:after="120" w:line="360" w:lineRule="auto"/>
      <w:ind w:firstLine="480"/>
      <w:jc w:val="left"/>
    </w:pPr>
    <w:rPr>
      <w:rFonts w:ascii="Arial" w:hAnsi="Arial"/>
      <w:sz w:val="24"/>
    </w:rPr>
  </w:style>
  <w:style w:type="paragraph" w:customStyle="1" w:styleId="226">
    <w:name w:val="Char"/>
    <w:basedOn w:val="1"/>
    <w:qFormat/>
    <w:uiPriority w:val="0"/>
    <w:pPr>
      <w:tabs>
        <w:tab w:val="left" w:pos="360"/>
      </w:tabs>
      <w:ind w:firstLine="200"/>
    </w:pPr>
    <w:rPr>
      <w:sz w:val="28"/>
      <w:szCs w:val="30"/>
    </w:rPr>
  </w:style>
  <w:style w:type="paragraph" w:customStyle="1" w:styleId="227">
    <w:name w:val="Char Char Char Char Char Char Char Char Char Char"/>
    <w:basedOn w:val="1"/>
    <w:autoRedefine/>
    <w:qFormat/>
    <w:uiPriority w:val="0"/>
    <w:pPr>
      <w:widowControl/>
      <w:spacing w:after="160" w:line="240" w:lineRule="exact"/>
      <w:jc w:val="left"/>
    </w:pPr>
    <w:rPr>
      <w:rFonts w:ascii="Verdana" w:hAnsi="Verdana" w:eastAsia="仿宋_GB2312"/>
      <w:sz w:val="24"/>
      <w:szCs w:val="20"/>
      <w:lang w:eastAsia="en-US"/>
    </w:rPr>
  </w:style>
  <w:style w:type="paragraph" w:customStyle="1" w:styleId="228">
    <w:name w:val="正文（首行缩进2字符）"/>
    <w:basedOn w:val="1"/>
    <w:autoRedefine/>
    <w:qFormat/>
    <w:uiPriority w:val="0"/>
    <w:pPr>
      <w:spacing w:line="360" w:lineRule="auto"/>
      <w:ind w:firstLine="560"/>
      <w:jc w:val="left"/>
    </w:pPr>
    <w:rPr>
      <w:rFonts w:eastAsia="仿宋_GB2312"/>
      <w:sz w:val="28"/>
      <w:szCs w:val="28"/>
    </w:rPr>
  </w:style>
  <w:style w:type="paragraph" w:customStyle="1" w:styleId="229">
    <w:name w:val="!正文"/>
    <w:basedOn w:val="1"/>
    <w:autoRedefine/>
    <w:qFormat/>
    <w:uiPriority w:val="0"/>
    <w:pPr>
      <w:spacing w:line="360" w:lineRule="auto"/>
      <w:ind w:firstLine="200"/>
      <w:jc w:val="left"/>
    </w:pPr>
    <w:rPr>
      <w:sz w:val="28"/>
      <w:szCs w:val="21"/>
      <w:lang w:val="zh-CN"/>
    </w:rPr>
  </w:style>
  <w:style w:type="paragraph" w:customStyle="1" w:styleId="230">
    <w:name w:val="列表段落1"/>
    <w:basedOn w:val="1"/>
    <w:autoRedefine/>
    <w:qFormat/>
    <w:uiPriority w:val="34"/>
    <w:pPr>
      <w:ind w:firstLine="420"/>
    </w:pPr>
  </w:style>
  <w:style w:type="paragraph" w:customStyle="1" w:styleId="231">
    <w:name w:val="列表段落2"/>
    <w:basedOn w:val="1"/>
    <w:qFormat/>
    <w:uiPriority w:val="99"/>
    <w:pPr>
      <w:ind w:firstLine="420"/>
    </w:pPr>
  </w:style>
  <w:style w:type="paragraph" w:customStyle="1" w:styleId="232">
    <w:name w:val="列出段落"/>
    <w:basedOn w:val="1"/>
    <w:autoRedefine/>
    <w:qFormat/>
    <w:uiPriority w:val="34"/>
    <w:pPr>
      <w:ind w:firstLine="420"/>
    </w:pPr>
    <w:rPr>
      <w:rFonts w:hAnsi="Calibri"/>
    </w:rPr>
  </w:style>
  <w:style w:type="paragraph" w:customStyle="1" w:styleId="233">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234">
    <w:name w:val="正文缩进1"/>
    <w:basedOn w:val="1"/>
    <w:qFormat/>
    <w:uiPriority w:val="0"/>
    <w:pPr>
      <w:ind w:firstLine="420"/>
    </w:pPr>
  </w:style>
  <w:style w:type="paragraph" w:customStyle="1" w:styleId="235">
    <w:name w:val="页眉1"/>
    <w:basedOn w:val="1"/>
    <w:autoRedefine/>
    <w:qFormat/>
    <w:uiPriority w:val="0"/>
    <w:pPr>
      <w:pBdr>
        <w:bottom w:val="single" w:color="000000" w:sz="6" w:space="1"/>
      </w:pBdr>
      <w:tabs>
        <w:tab w:val="center" w:pos="4153"/>
        <w:tab w:val="right" w:pos="8306"/>
      </w:tabs>
      <w:jc w:val="center"/>
    </w:pPr>
    <w:rPr>
      <w:sz w:val="18"/>
      <w:szCs w:val="18"/>
    </w:rPr>
  </w:style>
  <w:style w:type="paragraph" w:customStyle="1" w:styleId="236">
    <w:name w:val="页脚1"/>
    <w:basedOn w:val="1"/>
    <w:qFormat/>
    <w:uiPriority w:val="0"/>
    <w:pPr>
      <w:tabs>
        <w:tab w:val="center" w:pos="4153"/>
        <w:tab w:val="right" w:pos="8306"/>
      </w:tabs>
      <w:jc w:val="left"/>
    </w:pPr>
    <w:rPr>
      <w:sz w:val="18"/>
      <w:szCs w:val="18"/>
    </w:rPr>
  </w:style>
  <w:style w:type="character" w:customStyle="1" w:styleId="237">
    <w:name w:val="页码1"/>
    <w:qFormat/>
    <w:uiPriority w:val="0"/>
    <w:rPr>
      <w:sz w:val="21"/>
      <w:szCs w:val="24"/>
      <w:lang w:val="en-US" w:eastAsia="zh-CN" w:bidi="ar-SA"/>
    </w:rPr>
  </w:style>
  <w:style w:type="character" w:customStyle="1" w:styleId="238">
    <w:name w:val="grame"/>
    <w:qFormat/>
    <w:uiPriority w:val="0"/>
  </w:style>
  <w:style w:type="character" w:customStyle="1" w:styleId="239">
    <w:name w:val="NormalCharacter"/>
    <w:semiHidden/>
    <w:qFormat/>
    <w:uiPriority w:val="0"/>
  </w:style>
  <w:style w:type="paragraph" w:customStyle="1" w:styleId="240">
    <w:name w:val="Heading4"/>
    <w:basedOn w:val="1"/>
    <w:next w:val="241"/>
    <w:autoRedefine/>
    <w:qFormat/>
    <w:uiPriority w:val="0"/>
    <w:pPr>
      <w:keepNext/>
      <w:keepLines/>
      <w:spacing w:before="280" w:after="290" w:line="376" w:lineRule="auto"/>
    </w:pPr>
    <w:rPr>
      <w:rFonts w:ascii="Cambria" w:hAnsi="Cambria"/>
      <w:b/>
      <w:sz w:val="28"/>
      <w:szCs w:val="28"/>
    </w:rPr>
  </w:style>
  <w:style w:type="paragraph" w:customStyle="1" w:styleId="241">
    <w:name w:val="NormalIndent"/>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2292</Words>
  <Characters>13067</Characters>
  <Lines>108</Lines>
  <Paragraphs>30</Paragraphs>
  <TotalTime>0</TotalTime>
  <ScaleCrop>false</ScaleCrop>
  <LinksUpToDate>false</LinksUpToDate>
  <CharactersWithSpaces>15329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2023-12-15T08:01:00Z</dcterms:created>
  <dc:creator>dell</dc:creator>
  <cp:lastModifiedBy>赵萌</cp:lastModifiedBy>
  <dcterms:modified xsi:type="dcterms:W3CDTF">2023-12-20T10:25:46Z</dcterms:modified>
  <dc:title>询 价 文 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5C31C1B36D234C90AA882891B0D9D0AD_13</vt:lpwstr>
  </property>
</Properties>
</file>