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盐城工业职业技术学院经贸学院物流实训室装潢工程</w:t>
      </w:r>
    </w:p>
    <w:p>
      <w:pPr>
        <w:tabs>
          <w:tab w:val="left" w:pos="900"/>
        </w:tabs>
        <w:spacing w:line="440" w:lineRule="exact"/>
        <w:jc w:val="center"/>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rPr>
        <w:t>招标公告</w:t>
      </w:r>
      <w:r>
        <w:rPr>
          <w:rFonts w:hint="eastAsia" w:ascii="楷体" w:hAnsi="楷体" w:eastAsia="楷体" w:cs="楷体"/>
          <w:b/>
          <w:bCs/>
          <w:color w:val="auto"/>
          <w:sz w:val="32"/>
          <w:szCs w:val="32"/>
          <w:highlight w:val="none"/>
          <w:lang w:eastAsia="zh-CN"/>
        </w:rPr>
        <w:t>（二次）</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根据</w:t>
      </w:r>
      <w:r>
        <w:rPr>
          <w:rFonts w:hint="eastAsia" w:ascii="楷体" w:hAnsi="楷体" w:eastAsia="楷体" w:cs="楷体"/>
          <w:color w:val="auto"/>
          <w:sz w:val="24"/>
          <w:highlight w:val="none"/>
          <w:lang w:eastAsia="zh-CN"/>
        </w:rPr>
        <w:t>盐城工业职业技术学院招标</w:t>
      </w:r>
      <w:r>
        <w:rPr>
          <w:rFonts w:hint="eastAsia" w:ascii="楷体" w:hAnsi="楷体" w:eastAsia="楷体" w:cs="楷体"/>
          <w:color w:val="auto"/>
          <w:sz w:val="24"/>
          <w:highlight w:val="none"/>
        </w:rPr>
        <w:t>采购计划，江苏双清工程造价咨询有限公司受</w:t>
      </w:r>
      <w:r>
        <w:rPr>
          <w:rFonts w:hint="eastAsia" w:ascii="楷体" w:hAnsi="楷体" w:eastAsia="楷体" w:cs="楷体"/>
          <w:color w:val="auto"/>
          <w:sz w:val="24"/>
          <w:highlight w:val="none"/>
          <w:lang w:eastAsia="zh-CN"/>
        </w:rPr>
        <w:t>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lang w:eastAsia="zh-CN"/>
        </w:rPr>
        <w:t>经贸学院物流实训室装潢工程</w:t>
      </w:r>
      <w:r>
        <w:rPr>
          <w:rFonts w:hint="eastAsia" w:ascii="楷体" w:hAnsi="楷体" w:eastAsia="楷体" w:cs="楷体"/>
          <w:color w:val="auto"/>
          <w:kern w:val="0"/>
          <w:sz w:val="24"/>
          <w:highlight w:val="none"/>
          <w:u w:val="single"/>
          <w:shd w:val="clear" w:color="auto" w:fill="FFFFFF"/>
        </w:rPr>
        <w:t>项目</w:t>
      </w:r>
      <w:r>
        <w:rPr>
          <w:rFonts w:hint="eastAsia" w:ascii="楷体" w:hAnsi="楷体" w:eastAsia="楷体" w:cs="楷体"/>
          <w:color w:val="auto"/>
          <w:sz w:val="24"/>
          <w:highlight w:val="none"/>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lang w:eastAsia="zh-CN"/>
        </w:rPr>
        <w:t>工程</w:t>
      </w:r>
      <w:r>
        <w:rPr>
          <w:rFonts w:hint="eastAsia" w:ascii="楷体" w:hAnsi="楷体" w:eastAsia="楷体" w:cs="楷体"/>
          <w:color w:val="auto"/>
          <w:sz w:val="24"/>
          <w:highlight w:val="none"/>
        </w:rPr>
        <w:t>名称：</w:t>
      </w:r>
      <w:r>
        <w:rPr>
          <w:rFonts w:hint="eastAsia" w:ascii="楷体" w:hAnsi="楷体" w:eastAsia="楷体" w:cs="楷体"/>
          <w:color w:val="auto"/>
          <w:sz w:val="24"/>
          <w:highlight w:val="none"/>
          <w:lang w:eastAsia="zh-CN"/>
        </w:rPr>
        <w:t>盐城工业职业技术学院经贸学院物流实训室装潢工程</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标书编号：</w:t>
      </w:r>
      <w:r>
        <w:rPr>
          <w:rFonts w:hint="eastAsia" w:ascii="楷体" w:hAnsi="楷体" w:eastAsia="楷体" w:cs="楷体"/>
          <w:color w:val="auto"/>
          <w:sz w:val="24"/>
          <w:highlight w:val="none"/>
          <w:lang w:eastAsia="zh-CN"/>
        </w:rPr>
        <w:t>2020-040S-2</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1、工程地点：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2、工期要求：</w:t>
      </w:r>
      <w:r>
        <w:rPr>
          <w:rFonts w:hint="eastAsia" w:ascii="楷体" w:hAnsi="楷体" w:eastAsia="楷体" w:cs="楷体"/>
          <w:color w:val="auto"/>
          <w:sz w:val="24"/>
          <w:highlight w:val="none"/>
          <w:lang w:eastAsia="zh-CN"/>
        </w:rPr>
        <w:t>自甲方通知开工之日起20日历天内全部通过竣工验收合格并交付使用。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3、质量要求：</w:t>
      </w:r>
      <w:r>
        <w:rPr>
          <w:rFonts w:hint="eastAsia" w:ascii="楷体" w:hAnsi="楷体" w:eastAsia="楷体" w:cs="楷体"/>
          <w:color w:val="auto"/>
          <w:sz w:val="24"/>
          <w:highlight w:val="none"/>
          <w:lang w:eastAsia="zh-CN"/>
        </w:rPr>
        <w:t>国家合格标准</w:t>
      </w:r>
      <w:r>
        <w:rPr>
          <w:rFonts w:hint="eastAsia" w:ascii="楷体" w:hAnsi="楷体" w:eastAsia="楷体" w:cs="楷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5、招标范围及标段划分：</w:t>
      </w:r>
      <w:r>
        <w:rPr>
          <w:rFonts w:hint="eastAsia" w:ascii="楷体" w:hAnsi="楷体" w:eastAsia="楷体" w:cs="楷体"/>
          <w:color w:val="auto"/>
          <w:sz w:val="24"/>
          <w:highlight w:val="none"/>
          <w:lang w:eastAsia="zh-CN"/>
        </w:rPr>
        <w:t>本</w:t>
      </w:r>
      <w:r>
        <w:rPr>
          <w:rFonts w:hint="eastAsia" w:ascii="楷体" w:hAnsi="楷体" w:eastAsia="楷体" w:cs="楷体"/>
          <w:color w:val="auto"/>
          <w:sz w:val="24"/>
          <w:highlight w:val="none"/>
        </w:rPr>
        <w:t>次招标共为</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个标段，盐城工业职业技术学院</w:t>
      </w:r>
      <w:r>
        <w:rPr>
          <w:rFonts w:hint="eastAsia" w:ascii="楷体" w:hAnsi="楷体" w:eastAsia="楷体" w:cs="楷体"/>
          <w:color w:val="auto"/>
          <w:sz w:val="24"/>
          <w:highlight w:val="none"/>
          <w:lang w:eastAsia="zh-CN"/>
        </w:rPr>
        <w:t>经贸学院物流实训室装潢工程</w:t>
      </w:r>
      <w:r>
        <w:rPr>
          <w:rFonts w:hint="eastAsia" w:ascii="楷体" w:hAnsi="楷体" w:eastAsia="楷体" w:cs="楷体"/>
          <w:color w:val="auto"/>
          <w:sz w:val="24"/>
          <w:highlight w:val="none"/>
        </w:rPr>
        <w:t>的施工，具体内容详按设计图纸、工程量清单及招标人要求执行，招标人保留进行调整的权利。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6、工程规模：工程造价约32万元。</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3、信誉要求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项目负责人投标截止时不得同时在其他建设工程项目中担任现场管理人员、不在本项目兼任本项目的其它岗位。</w:t>
      </w:r>
      <w:r>
        <w:rPr>
          <w:rFonts w:hint="eastAsia" w:ascii="楷体" w:hAnsi="楷体" w:eastAsia="楷体" w:cs="楷体"/>
          <w:bCs/>
          <w:color w:val="auto"/>
          <w:sz w:val="24"/>
          <w:highlight w:val="none"/>
        </w:rPr>
        <w:br w:type="textWrapping"/>
      </w:r>
      <w:r>
        <w:rPr>
          <w:rFonts w:hint="eastAsia" w:ascii="楷体" w:hAnsi="楷体" w:eastAsia="楷体" w:cs="楷体"/>
          <w:bCs/>
          <w:color w:val="auto"/>
          <w:sz w:val="24"/>
          <w:highlight w:val="none"/>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w:t>
      </w:r>
      <w:r>
        <w:rPr>
          <w:rFonts w:hint="eastAsia" w:ascii="楷体" w:hAnsi="楷体" w:eastAsia="楷体" w:cs="楷体"/>
          <w:bCs/>
          <w:color w:val="auto"/>
          <w:sz w:val="24"/>
          <w:highlight w:val="none"/>
          <w:lang w:eastAsia="zh-CN"/>
        </w:rPr>
        <w:t>2019年11月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9、本招标工程不接受联合体投标。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rPr>
        <w:t>盐城ABCD合成法</w:t>
      </w:r>
      <w:r>
        <w:rPr>
          <w:rFonts w:hint="eastAsia" w:ascii="楷体" w:hAnsi="楷体" w:eastAsia="楷体" w:cs="楷体"/>
          <w:color w:val="auto"/>
          <w:sz w:val="24"/>
          <w:highlight w:val="none"/>
        </w:rPr>
        <w:t>，具体详见招标文件正文。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招标公告发布媒体：“</w:t>
      </w:r>
      <w:r>
        <w:rPr>
          <w:rFonts w:hint="eastAsia" w:ascii="楷体" w:hAnsi="楷体" w:eastAsia="楷体" w:cs="楷体"/>
          <w:bCs/>
          <w:color w:val="auto"/>
          <w:sz w:val="24"/>
          <w:highlight w:val="none"/>
          <w:lang w:eastAsia="zh-CN"/>
        </w:rPr>
        <w:t>盐城市政府采购网</w:t>
      </w:r>
      <w:r>
        <w:rPr>
          <w:rFonts w:hint="eastAsia" w:ascii="楷体" w:hAnsi="楷体" w:eastAsia="楷体" w:cs="楷体"/>
          <w:bCs/>
          <w:color w:val="auto"/>
          <w:sz w:val="24"/>
          <w:highlight w:val="none"/>
        </w:rPr>
        <w:t>”和“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楷体" w:hAnsi="楷体" w:eastAsia="楷体" w:cs="楷体"/>
          <w:bCs/>
          <w:color w:val="auto"/>
          <w:sz w:val="24"/>
          <w:highlight w:val="none"/>
          <w:lang w:val="en-US" w:eastAsia="zh-CN"/>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w:t>
      </w:r>
      <w:r>
        <w:rPr>
          <w:rFonts w:hint="eastAsia" w:ascii="楷体" w:hAnsi="楷体" w:eastAsia="楷体" w:cs="楷体"/>
          <w:bCs/>
          <w:color w:val="auto"/>
          <w:sz w:val="24"/>
          <w:highlight w:val="none"/>
          <w:u w:val="single"/>
          <w:lang w:val="en-US" w:eastAsia="zh-CN"/>
        </w:rPr>
        <w:t>9</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8</w:t>
      </w:r>
      <w:r>
        <w:rPr>
          <w:rFonts w:hint="eastAsia" w:ascii="楷体" w:hAnsi="楷体" w:eastAsia="楷体" w:cs="楷体"/>
          <w:bCs/>
          <w:color w:val="auto"/>
          <w:sz w:val="24"/>
          <w:highlight w:val="none"/>
          <w:u w:val="single"/>
        </w:rPr>
        <w:t>日至2020年</w:t>
      </w:r>
      <w:r>
        <w:rPr>
          <w:rFonts w:hint="eastAsia" w:ascii="楷体" w:hAnsi="楷体" w:eastAsia="楷体" w:cs="楷体"/>
          <w:bCs/>
          <w:color w:val="auto"/>
          <w:sz w:val="24"/>
          <w:highlight w:val="none"/>
          <w:u w:val="single"/>
          <w:lang w:val="en-US" w:eastAsia="zh-CN"/>
        </w:rPr>
        <w:t>9</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14</w:t>
      </w:r>
      <w:r>
        <w:rPr>
          <w:rFonts w:hint="eastAsia" w:ascii="楷体" w:hAnsi="楷体" w:eastAsia="楷体" w:cs="楷体"/>
          <w:bCs/>
          <w:color w:val="auto"/>
          <w:sz w:val="24"/>
          <w:highlight w:val="none"/>
          <w:u w:val="single"/>
        </w:rPr>
        <w:t>日18：00时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楼）财务部报名并购买招标文件后方可参加投标。逾期报名或未购买招标文件参加投标的，招标人将予以拒绝。</w:t>
      </w:r>
      <w:r>
        <w:rPr>
          <w:rFonts w:hint="eastAsia" w:ascii="楷体" w:hAnsi="楷体" w:eastAsia="楷体" w:cs="楷体"/>
          <w:bCs/>
          <w:color w:val="auto"/>
          <w:sz w:val="24"/>
          <w:highlight w:val="none"/>
          <w:lang w:eastAsia="zh-CN"/>
        </w:rPr>
        <w:t>招标文件工本费人民币</w:t>
      </w:r>
      <w:r>
        <w:rPr>
          <w:rFonts w:hint="eastAsia" w:ascii="楷体" w:hAnsi="楷体" w:eastAsia="楷体" w:cs="楷体"/>
          <w:bCs/>
          <w:color w:val="auto"/>
          <w:sz w:val="24"/>
          <w:highlight w:val="none"/>
          <w:lang w:val="en-US" w:eastAsia="zh-CN"/>
        </w:rPr>
        <w:t>500元，售后不退。</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”发布的信息更正公告。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val="0"/>
          <w:color w:val="auto"/>
          <w:kern w:val="2"/>
          <w:sz w:val="24"/>
          <w:szCs w:val="24"/>
          <w:highlight w:val="none"/>
          <w:lang w:val="en-US" w:eastAsia="zh-CN" w:bidi="ar-SA"/>
        </w:rPr>
        <w:t>七</w:t>
      </w:r>
      <w:r>
        <w:rPr>
          <w:rFonts w:hint="eastAsia" w:ascii="楷体" w:hAnsi="楷体" w:eastAsia="楷体" w:cs="楷体"/>
          <w:b/>
          <w:bCs w:val="0"/>
          <w:color w:val="auto"/>
          <w:sz w:val="24"/>
          <w:highlight w:val="none"/>
        </w:rPr>
        <w:t>、</w:t>
      </w:r>
      <w:r>
        <w:rPr>
          <w:rFonts w:hint="eastAsia" w:ascii="楷体" w:hAnsi="楷体" w:eastAsia="楷体" w:cs="楷体"/>
          <w:b/>
          <w:bCs/>
          <w:color w:val="auto"/>
          <w:sz w:val="24"/>
          <w:highlight w:val="none"/>
        </w:rPr>
        <w:t>投标文件接收信息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18</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18</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八</w:t>
      </w:r>
      <w:r>
        <w:rPr>
          <w:rFonts w:hint="eastAsia" w:ascii="楷体" w:hAnsi="楷体" w:eastAsia="楷体" w:cs="楷体"/>
          <w:b/>
          <w:bCs/>
          <w:color w:val="auto"/>
          <w:sz w:val="24"/>
          <w:highlight w:val="none"/>
        </w:rPr>
        <w:t>、开标有关信息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18</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九</w:t>
      </w:r>
      <w:r>
        <w:rPr>
          <w:rFonts w:hint="eastAsia" w:ascii="楷体" w:hAnsi="楷体" w:eastAsia="楷体" w:cs="楷体"/>
          <w:b/>
          <w:bCs/>
          <w:color w:val="auto"/>
          <w:sz w:val="24"/>
          <w:highlight w:val="none"/>
        </w:rPr>
        <w:t>、本次招标联系事项</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（一）采购人项目联系人</w:t>
      </w:r>
      <w:r>
        <w:rPr>
          <w:rFonts w:hint="eastAsia" w:ascii="楷体" w:hAnsi="楷体" w:eastAsia="楷体" w:cs="楷体"/>
          <w:color w:val="auto"/>
          <w:sz w:val="24"/>
          <w:highlight w:val="none"/>
          <w:lang w:eastAsia="zh-CN"/>
        </w:rPr>
        <w:t>：高大伟、</w:t>
      </w:r>
      <w:r>
        <w:rPr>
          <w:rFonts w:hint="eastAsia" w:ascii="楷体" w:hAnsi="楷体" w:eastAsia="楷体" w:cs="楷体"/>
          <w:color w:val="auto"/>
          <w:sz w:val="24"/>
          <w:highlight w:val="none"/>
          <w:lang w:val="en-US" w:eastAsia="zh-CN"/>
        </w:rPr>
        <w:t>周家忠</w:t>
      </w:r>
      <w:r>
        <w:rPr>
          <w:rFonts w:hint="eastAsia" w:ascii="楷体" w:hAnsi="楷体" w:eastAsia="楷体" w:cs="楷体"/>
          <w:color w:val="auto"/>
          <w:sz w:val="24"/>
          <w:highlight w:val="none"/>
          <w:lang w:eastAsia="zh-CN"/>
        </w:rPr>
        <w:t>，联系电话：</w:t>
      </w:r>
      <w:r>
        <w:rPr>
          <w:rFonts w:hint="eastAsia" w:ascii="楷体" w:hAnsi="楷体" w:eastAsia="楷体" w:cs="楷体"/>
          <w:color w:val="auto"/>
          <w:sz w:val="24"/>
          <w:highlight w:val="none"/>
          <w:lang w:val="en-US" w:eastAsia="zh-CN"/>
        </w:rPr>
        <w:t>0515-88583917、18262393599、13485246528</w:t>
      </w:r>
      <w:r>
        <w:rPr>
          <w:rFonts w:hint="eastAsia" w:ascii="楷体" w:hAnsi="楷体" w:eastAsia="楷体" w:cs="楷体"/>
          <w:color w:val="auto"/>
          <w:sz w:val="24"/>
          <w:highlight w:val="none"/>
          <w:lang w:eastAsia="zh-CN"/>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w:t>
      </w:r>
      <w:r>
        <w:rPr>
          <w:rFonts w:hint="eastAsia" w:ascii="楷体" w:hAnsi="楷体" w:eastAsia="楷体" w:cs="楷体"/>
          <w:color w:val="auto"/>
          <w:sz w:val="24"/>
          <w:highlight w:val="none"/>
          <w:lang w:val="en-US" w:eastAsia="zh-CN"/>
        </w:rPr>
        <w:t>0515-88588707、13056182223；</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w:t>
      </w:r>
      <w:r>
        <w:rPr>
          <w:rFonts w:hint="eastAsia" w:ascii="楷体" w:hAnsi="楷体" w:eastAsia="楷体" w:cs="楷体"/>
          <w:color w:val="auto"/>
          <w:sz w:val="24"/>
          <w:highlight w:val="none"/>
          <w:lang w:eastAsia="zh-CN"/>
        </w:rPr>
        <w:t>张旭良</w:t>
      </w:r>
      <w:r>
        <w:rPr>
          <w:rFonts w:hint="eastAsia" w:ascii="楷体" w:hAnsi="楷体" w:eastAsia="楷体" w:cs="楷体"/>
          <w:color w:val="auto"/>
          <w:sz w:val="24"/>
          <w:highlight w:val="none"/>
        </w:rPr>
        <w:t>， 联系电话：0515-88200316</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13515130964</w:t>
      </w:r>
      <w:r>
        <w:rPr>
          <w:rFonts w:hint="eastAsia" w:ascii="楷体" w:hAnsi="楷体" w:eastAsia="楷体" w:cs="楷体"/>
          <w:color w:val="auto"/>
          <w:sz w:val="24"/>
          <w:highlight w:val="none"/>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招标代理机构联系地址：盐城市紫薇广场C区</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 xml:space="preserve">楼。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份。</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一</w:t>
      </w:r>
      <w:r>
        <w:rPr>
          <w:rFonts w:hint="eastAsia" w:ascii="楷体" w:hAnsi="楷体" w:eastAsia="楷体" w:cs="楷体"/>
          <w:b/>
          <w:bCs/>
          <w:color w:val="auto"/>
          <w:sz w:val="24"/>
          <w:highlight w:val="none"/>
        </w:rPr>
        <w:t>、本次招标投标保证金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陆仟元整</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w:t>
      </w:r>
      <w:r>
        <w:rPr>
          <w:rFonts w:hint="eastAsia" w:ascii="楷体" w:hAnsi="楷体" w:eastAsia="楷体" w:cs="楷体"/>
          <w:color w:val="auto"/>
          <w:sz w:val="24"/>
          <w:highlight w:val="none"/>
          <w:lang w:eastAsia="zh-CN"/>
        </w:rPr>
        <w:t>行盐城分行营业部</w:t>
      </w:r>
      <w:r>
        <w:rPr>
          <w:rFonts w:hint="eastAsia" w:ascii="楷体" w:hAnsi="楷体" w:eastAsia="楷体" w:cs="楷体"/>
          <w:color w:val="auto"/>
          <w:sz w:val="24"/>
          <w:highlight w:val="none"/>
        </w:rPr>
        <w:t>，账号：5131582080</w:t>
      </w:r>
      <w:r>
        <w:rPr>
          <w:rFonts w:hint="eastAsia" w:ascii="楷体" w:hAnsi="楷体" w:eastAsia="楷体" w:cs="楷体"/>
          <w:color w:val="auto"/>
          <w:sz w:val="24"/>
          <w:highlight w:val="none"/>
          <w:lang w:val="en-US" w:eastAsia="zh-CN"/>
        </w:rPr>
        <w:t>0</w:t>
      </w:r>
      <w:r>
        <w:rPr>
          <w:rFonts w:hint="eastAsia" w:ascii="楷体" w:hAnsi="楷体" w:eastAsia="楷体" w:cs="楷体"/>
          <w:color w:val="auto"/>
          <w:sz w:val="24"/>
          <w:highlight w:val="none"/>
        </w:rPr>
        <w:t>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lang w:eastAsia="zh-CN"/>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二</w:t>
      </w:r>
      <w:r>
        <w:rPr>
          <w:rFonts w:hint="eastAsia" w:ascii="楷体" w:hAnsi="楷体" w:eastAsia="楷体" w:cs="楷体"/>
          <w:b/>
          <w:bCs/>
          <w:color w:val="auto"/>
          <w:sz w:val="24"/>
          <w:highlight w:val="none"/>
        </w:rPr>
        <w:t>、疫情防控期间投标人注意事项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盐城工业职业技术学院</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2020年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lang w:eastAsia="zh-CN"/>
        </w:rPr>
        <w:t>2020-040S-2</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lang w:eastAsia="zh-CN"/>
        </w:rPr>
        <w:t>盐城工业职业技术学院经贸学院物流实训室装潢工程</w:t>
      </w:r>
      <w:r>
        <w:rPr>
          <w:rFonts w:hint="eastAsia" w:ascii="楷体" w:hAnsi="楷体" w:eastAsia="楷体" w:cs="楷体"/>
          <w:color w:val="auto"/>
          <w:sz w:val="32"/>
          <w:szCs w:val="32"/>
          <w:highlight w:val="none"/>
          <w:u w:val="single"/>
        </w:rPr>
        <w:t>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pStyle w:val="2"/>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28"/>
          <w:szCs w:val="28"/>
          <w:highlight w:val="none"/>
        </w:rPr>
      </w:pPr>
    </w:p>
    <w:p>
      <w:pPr>
        <w:pStyle w:val="2"/>
        <w:rPr>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lang w:eastAsia="zh-CN"/>
        </w:rPr>
        <w:t>盐城工业职业技术学院经贸学院物流实训室装潢工程</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hint="eastAsia" w:ascii="楷体" w:hAnsi="楷体" w:eastAsia="楷体" w:cs="楷体"/>
          <w:b/>
          <w:color w:val="auto"/>
          <w:sz w:val="30"/>
          <w:szCs w:val="30"/>
          <w:highlight w:val="none"/>
          <w:lang w:eastAsia="zh-CN"/>
        </w:rPr>
      </w:pPr>
      <w:r>
        <w:rPr>
          <w:rFonts w:hint="eastAsia" w:ascii="楷体" w:hAnsi="楷体" w:eastAsia="楷体" w:cs="楷体"/>
          <w:b/>
          <w:color w:val="auto"/>
          <w:sz w:val="30"/>
          <w:szCs w:val="30"/>
          <w:highlight w:val="none"/>
        </w:rPr>
        <w:t>项目编号：</w:t>
      </w:r>
      <w:r>
        <w:rPr>
          <w:rFonts w:hint="eastAsia" w:ascii="楷体" w:hAnsi="楷体" w:eastAsia="楷体" w:cs="楷体"/>
          <w:b/>
          <w:color w:val="auto"/>
          <w:sz w:val="30"/>
          <w:szCs w:val="30"/>
          <w:highlight w:val="none"/>
          <w:lang w:eastAsia="zh-CN"/>
        </w:rPr>
        <w:t>2020-040S-2</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hint="eastAsia" w:ascii="楷体" w:hAnsi="楷体" w:eastAsia="楷体" w:cs="楷体"/>
          <w:bCs/>
          <w:color w:val="auto"/>
          <w:sz w:val="36"/>
          <w:szCs w:val="36"/>
          <w:highlight w:val="none"/>
          <w:lang w:eastAsia="zh-CN"/>
        </w:rPr>
      </w:pPr>
      <w:r>
        <w:rPr>
          <w:rFonts w:hint="eastAsia" w:ascii="楷体" w:hAnsi="楷体" w:eastAsia="楷体" w:cs="楷体"/>
          <w:bCs/>
          <w:color w:val="auto"/>
          <w:sz w:val="36"/>
          <w:szCs w:val="36"/>
          <w:highlight w:val="none"/>
          <w:lang w:eastAsia="zh-CN"/>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w:t>
      </w:r>
      <w:r>
        <w:rPr>
          <w:rFonts w:hint="eastAsia" w:ascii="楷体" w:hAnsi="楷体" w:eastAsia="楷体" w:cs="楷体"/>
          <w:color w:val="auto"/>
          <w:sz w:val="36"/>
          <w:szCs w:val="36"/>
          <w:highlight w:val="none"/>
          <w:lang w:val="en-US" w:eastAsia="zh-CN"/>
        </w:rPr>
        <w:t>9</w:t>
      </w:r>
      <w:r>
        <w:rPr>
          <w:rFonts w:hint="eastAsia" w:ascii="楷体" w:hAnsi="楷体" w:eastAsia="楷体" w:cs="楷体"/>
          <w:color w:val="auto"/>
          <w:sz w:val="36"/>
          <w:szCs w:val="36"/>
          <w:highlight w:val="none"/>
        </w:rPr>
        <w:t>月</w:t>
      </w:r>
      <w:r>
        <w:rPr>
          <w:rFonts w:hint="eastAsia" w:ascii="楷体" w:hAnsi="楷体" w:eastAsia="楷体" w:cs="楷体"/>
          <w:color w:val="auto"/>
          <w:sz w:val="36"/>
          <w:szCs w:val="36"/>
          <w:highlight w:val="none"/>
          <w:lang w:val="en-US" w:eastAsia="zh-CN"/>
        </w:rPr>
        <w:t>8</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工程</w:t>
            </w:r>
            <w:r>
              <w:rPr>
                <w:rFonts w:hint="eastAsia" w:ascii="楷体" w:hAnsi="楷体" w:eastAsia="楷体" w:cs="楷体"/>
                <w:color w:val="auto"/>
                <w:kern w:val="2"/>
                <w:sz w:val="24"/>
                <w:highlight w:val="none"/>
              </w:rPr>
              <w:t>名称：</w:t>
            </w:r>
            <w:r>
              <w:rPr>
                <w:rFonts w:hint="eastAsia" w:ascii="楷体" w:hAnsi="楷体" w:eastAsia="楷体" w:cs="楷体"/>
                <w:color w:val="auto"/>
                <w:kern w:val="2"/>
                <w:sz w:val="24"/>
                <w:highlight w:val="none"/>
                <w:lang w:eastAsia="zh-CN"/>
              </w:rPr>
              <w:t>盐城工业职业技术学院经贸学院物流实训室装潢工程</w:t>
            </w:r>
            <w:r>
              <w:rPr>
                <w:rFonts w:hint="eastAsia" w:ascii="楷体" w:hAnsi="楷体" w:eastAsia="楷体" w:cs="楷体"/>
                <w:color w:val="auto"/>
                <w:kern w:val="2"/>
                <w:sz w:val="24"/>
                <w:highlight w:val="none"/>
              </w:rPr>
              <w:t>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rPr>
              <w:t>招标人名称：</w:t>
            </w:r>
            <w:r>
              <w:rPr>
                <w:rFonts w:hint="eastAsia" w:ascii="楷体" w:hAnsi="楷体" w:eastAsia="楷体" w:cs="楷体"/>
                <w:color w:val="auto"/>
                <w:kern w:val="2"/>
                <w:sz w:val="24"/>
                <w:highlight w:val="none"/>
                <w:lang w:eastAsia="zh-CN"/>
              </w:rPr>
              <w:t>盐城工业职业技术学院</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rPr>
            </w:pPr>
            <w:r>
              <w:rPr>
                <w:rFonts w:hint="eastAsia" w:ascii="楷体" w:hAnsi="楷体" w:eastAsia="楷体" w:cs="楷体"/>
                <w:color w:val="auto"/>
                <w:kern w:val="2"/>
                <w:sz w:val="24"/>
                <w:highlight w:val="none"/>
              </w:rPr>
              <w:t>招标范围及标段划分：</w:t>
            </w:r>
            <w:r>
              <w:rPr>
                <w:rFonts w:hint="eastAsia" w:ascii="楷体" w:hAnsi="楷体" w:eastAsia="楷体" w:cs="楷体"/>
                <w:color w:val="auto"/>
                <w:kern w:val="2"/>
                <w:sz w:val="24"/>
                <w:highlight w:val="none"/>
                <w:lang w:eastAsia="zh-CN"/>
              </w:rPr>
              <w:t>本</w:t>
            </w:r>
            <w:r>
              <w:rPr>
                <w:rFonts w:hint="eastAsia" w:ascii="楷体" w:hAnsi="楷体" w:eastAsia="楷体" w:cs="楷体"/>
                <w:color w:val="auto"/>
                <w:kern w:val="2"/>
                <w:sz w:val="24"/>
                <w:highlight w:val="none"/>
              </w:rPr>
              <w:t>次招标共为</w:t>
            </w:r>
            <w:r>
              <w:rPr>
                <w:rFonts w:hint="eastAsia" w:ascii="楷体" w:hAnsi="楷体" w:eastAsia="楷体" w:cs="楷体"/>
                <w:color w:val="auto"/>
                <w:kern w:val="2"/>
                <w:sz w:val="24"/>
                <w:highlight w:val="none"/>
                <w:lang w:val="en-US" w:eastAsia="zh-CN"/>
              </w:rPr>
              <w:t>1</w:t>
            </w:r>
            <w:r>
              <w:rPr>
                <w:rFonts w:hint="eastAsia" w:ascii="楷体" w:hAnsi="楷体" w:eastAsia="楷体" w:cs="楷体"/>
                <w:color w:val="auto"/>
                <w:kern w:val="2"/>
                <w:sz w:val="24"/>
                <w:highlight w:val="none"/>
              </w:rPr>
              <w:t>个标段，盐城工业职业技术学院</w:t>
            </w:r>
            <w:r>
              <w:rPr>
                <w:rFonts w:hint="eastAsia" w:ascii="楷体" w:hAnsi="楷体" w:eastAsia="楷体" w:cs="楷体"/>
                <w:color w:val="auto"/>
                <w:kern w:val="2"/>
                <w:sz w:val="24"/>
                <w:highlight w:val="none"/>
                <w:lang w:eastAsia="zh-CN"/>
              </w:rPr>
              <w:t>经贸学院物流实训室装潢工程</w:t>
            </w:r>
            <w:r>
              <w:rPr>
                <w:rFonts w:hint="eastAsia" w:ascii="楷体" w:hAnsi="楷体" w:eastAsia="楷体" w:cs="楷体"/>
                <w:color w:val="auto"/>
                <w:kern w:val="2"/>
                <w:sz w:val="24"/>
                <w:highlight w:val="none"/>
              </w:rPr>
              <w:t>的施工，具体内容详按设计图纸、工程量清单及招标人要求执行，招标人保留进行调整的权利。</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rPr>
              <w:t>质量标准：</w:t>
            </w:r>
            <w:r>
              <w:rPr>
                <w:rFonts w:hint="eastAsia" w:ascii="楷体" w:hAnsi="楷体" w:eastAsia="楷体" w:cs="楷体"/>
                <w:color w:val="auto"/>
                <w:kern w:val="2"/>
                <w:sz w:val="24"/>
                <w:highlight w:val="none"/>
                <w:lang w:eastAsia="zh-CN"/>
              </w:rPr>
              <w:t>国家合格标准</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工期要求：</w:t>
            </w:r>
            <w:r>
              <w:rPr>
                <w:rFonts w:hint="eastAsia" w:ascii="楷体" w:hAnsi="楷体" w:eastAsia="楷体" w:cs="楷体"/>
                <w:color w:val="auto"/>
                <w:kern w:val="2"/>
                <w:sz w:val="24"/>
                <w:highlight w:val="none"/>
                <w:lang w:eastAsia="zh-CN"/>
              </w:rPr>
              <w:t>自甲方通知开工之日起20日历天内全部通过竣工验收合格并交付使用。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陆仟元整</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spacing w:line="300" w:lineRule="exact"/>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rPr>
              <w:t>投标保证金退还方式：</w:t>
            </w:r>
            <w:r>
              <w:rPr>
                <w:rFonts w:hint="eastAsia" w:ascii="楷体" w:hAnsi="楷体" w:eastAsia="楷体" w:cs="楷体"/>
                <w:color w:val="auto"/>
                <w:sz w:val="24"/>
                <w:highlight w:val="none"/>
                <w:lang w:eastAsia="zh-CN"/>
              </w:rPr>
              <w:t>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递交疑问时间：投标文件接收截止时间3日前；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18</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18</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spacing w:line="500" w:lineRule="exact"/>
        <w:ind w:firstLine="480" w:firstLineChars="200"/>
        <w:rPr>
          <w:color w:val="auto"/>
          <w:highlight w:val="none"/>
        </w:rPr>
      </w:pPr>
      <w:r>
        <w:rPr>
          <w:rFonts w:hint="eastAsia" w:ascii="楷体" w:hAnsi="楷体" w:eastAsia="楷体" w:cs="楷体"/>
          <w:b/>
          <w:bCs/>
          <w:color w:val="auto"/>
          <w:sz w:val="24"/>
          <w:highlight w:val="none"/>
        </w:rPr>
        <w:t>1.1</w:t>
      </w:r>
      <w:r>
        <w:rPr>
          <w:rFonts w:hint="eastAsia" w:ascii="楷体" w:hAnsi="楷体" w:eastAsia="楷体" w:cs="楷体"/>
          <w:b/>
          <w:color w:val="auto"/>
          <w:sz w:val="24"/>
          <w:highlight w:val="none"/>
        </w:rPr>
        <w:t>招标范围及标段划分：</w:t>
      </w:r>
      <w:r>
        <w:rPr>
          <w:rFonts w:hint="eastAsia" w:ascii="楷体" w:hAnsi="楷体" w:eastAsia="楷体" w:cs="楷体"/>
          <w:color w:val="auto"/>
          <w:sz w:val="24"/>
          <w:highlight w:val="none"/>
          <w:lang w:eastAsia="zh-CN"/>
        </w:rPr>
        <w:t>本</w:t>
      </w:r>
      <w:r>
        <w:rPr>
          <w:rFonts w:hint="eastAsia" w:ascii="楷体" w:hAnsi="楷体" w:eastAsia="楷体" w:cs="楷体"/>
          <w:color w:val="auto"/>
          <w:sz w:val="24"/>
          <w:highlight w:val="none"/>
        </w:rPr>
        <w:t>次招标共为</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个标段，盐城工业职业技术学院</w:t>
      </w:r>
      <w:r>
        <w:rPr>
          <w:rFonts w:hint="eastAsia" w:ascii="楷体" w:hAnsi="楷体" w:eastAsia="楷体" w:cs="楷体"/>
          <w:color w:val="auto"/>
          <w:sz w:val="24"/>
          <w:highlight w:val="none"/>
          <w:lang w:eastAsia="zh-CN"/>
        </w:rPr>
        <w:t>经贸学院物流实训室装潢工程</w:t>
      </w:r>
      <w:r>
        <w:rPr>
          <w:rFonts w:hint="eastAsia" w:ascii="楷体" w:hAnsi="楷体" w:eastAsia="楷体" w:cs="楷体"/>
          <w:color w:val="auto"/>
          <w:sz w:val="24"/>
          <w:highlight w:val="none"/>
        </w:rPr>
        <w:t>的施工，具体内容详按设计图纸、工程量清单及招标人要求执行，招标人保留进行调整的权利。</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pacing w:line="440" w:lineRule="exact"/>
        <w:ind w:firstLine="480" w:firstLineChars="200"/>
        <w:jc w:val="left"/>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3.1投标人资格要求：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3.3信誉要求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项目负责人投标截止时不得同时在其他建设工程项目中担任现场管理人员、不在本项目兼任本项目的其它岗位。</w:t>
      </w:r>
      <w:r>
        <w:rPr>
          <w:rFonts w:hint="eastAsia" w:ascii="楷体" w:hAnsi="楷体" w:eastAsia="楷体" w:cs="楷体"/>
          <w:bCs/>
          <w:color w:val="auto"/>
          <w:sz w:val="24"/>
          <w:highlight w:val="none"/>
        </w:rPr>
        <w:br w:type="textWrapping"/>
      </w:r>
      <w:r>
        <w:rPr>
          <w:rFonts w:hint="eastAsia" w:ascii="楷体" w:hAnsi="楷体" w:eastAsia="楷体" w:cs="楷体"/>
          <w:bCs/>
          <w:color w:val="auto"/>
          <w:sz w:val="24"/>
          <w:highlight w:val="none"/>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w:t>
      </w:r>
      <w:r>
        <w:rPr>
          <w:rFonts w:hint="eastAsia" w:ascii="楷体" w:hAnsi="楷体" w:eastAsia="楷体" w:cs="楷体"/>
          <w:bCs/>
          <w:color w:val="auto"/>
          <w:sz w:val="24"/>
          <w:highlight w:val="none"/>
          <w:lang w:eastAsia="zh-CN"/>
        </w:rPr>
        <w:t>2019年11月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3.9本招标工程不接受联合体投标。</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3.10.5.单位负责人为同一人或者存在控股、管理关系的不同单位。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3.11不符合法律、法规规定的其他条件。</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6.2.6投标人的</w:t>
      </w:r>
      <w:r>
        <w:rPr>
          <w:rFonts w:hint="eastAsia" w:ascii="楷体" w:hAnsi="楷体" w:eastAsia="楷体" w:cs="楷体"/>
          <w:color w:val="auto"/>
          <w:sz w:val="24"/>
          <w:highlight w:val="none"/>
          <w:shd w:val="clear" w:color="auto" w:fill="FFFFFF"/>
        </w:rPr>
        <w:t>项目负责人</w:t>
      </w:r>
      <w:r>
        <w:rPr>
          <w:rFonts w:hint="eastAsia" w:ascii="楷体" w:hAnsi="楷体" w:eastAsia="楷体" w:cs="楷体"/>
          <w:color w:val="auto"/>
          <w:sz w:val="24"/>
          <w:highlight w:val="none"/>
        </w:rPr>
        <w:t>被反映或投诉有在建工程，并经查属实的。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6.2.7 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spacing w:line="500" w:lineRule="exact"/>
        <w:jc w:val="center"/>
        <w:rPr>
          <w:rFonts w:ascii="楷体" w:hAnsi="楷体" w:eastAsia="楷体" w:cs="楷体"/>
          <w:b/>
          <w:color w:val="auto"/>
          <w:sz w:val="44"/>
          <w:szCs w:val="44"/>
          <w:highlight w:val="none"/>
        </w:rPr>
      </w:pP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2.1固定单价合同。本项目建设工程合同采用“固定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3.2投标报价的方式：固定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单价报价。以体现风险共担的原则。由招标人提供工程量清单，投标人以工程量清单及图纸为基础填报相应的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若无相关设计变更，除本招标文件及施工合同约定允许调整外中标的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3.3投标报价的计价方法：本工程投标报价采用“工程量清单计价”法。投标人应根据招标人提供的工程量清单和施工图纸计算工程项目的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单价和合价。工程量清单中每一个子目的单项均需计算并填写</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0" w:name="_Toc247513970"/>
      <w:bookmarkEnd w:id="0"/>
      <w:bookmarkStart w:id="1" w:name="_Toc247527571"/>
      <w:bookmarkEnd w:id="1"/>
      <w:bookmarkStart w:id="2" w:name="_Toc144974514"/>
      <w:bookmarkEnd w:id="2"/>
      <w:bookmarkStart w:id="3" w:name="_Toc152045546"/>
      <w:bookmarkEnd w:id="3"/>
      <w:bookmarkStart w:id="4" w:name="_Toc152042322"/>
      <w:bookmarkEnd w:id="4"/>
      <w:bookmarkStart w:id="5" w:name="_Toc300834967"/>
      <w:bookmarkEnd w:id="5"/>
      <w:r>
        <w:rPr>
          <w:rFonts w:hint="eastAsia" w:ascii="楷体" w:hAnsi="楷体" w:eastAsia="楷体" w:cs="楷体"/>
          <w:b/>
          <w:bCs/>
          <w:color w:val="auto"/>
          <w:sz w:val="24"/>
          <w:highlight w:val="none"/>
          <w:lang w:eastAsia="zh-CN"/>
        </w:rPr>
        <w:t>招标控制</w:t>
      </w:r>
      <w:r>
        <w:rPr>
          <w:rFonts w:hint="eastAsia" w:ascii="楷体" w:hAnsi="楷体" w:eastAsia="楷体" w:cs="楷体"/>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b/>
          <w:color w:val="auto"/>
          <w:sz w:val="24"/>
          <w:highlight w:val="none"/>
        </w:rPr>
        <w:t>4.1本工程</w:t>
      </w:r>
      <w:r>
        <w:rPr>
          <w:rFonts w:hint="eastAsia" w:ascii="楷体" w:hAnsi="楷体" w:eastAsia="楷体" w:cs="楷体"/>
          <w:b/>
          <w:color w:val="auto"/>
          <w:sz w:val="24"/>
          <w:highlight w:val="none"/>
          <w:lang w:eastAsia="zh-CN"/>
        </w:rPr>
        <w:t>招标控制</w:t>
      </w:r>
      <w:r>
        <w:rPr>
          <w:rFonts w:hint="eastAsia" w:ascii="楷体" w:hAnsi="楷体" w:eastAsia="楷体" w:cs="楷体"/>
          <w:b/>
          <w:color w:val="auto"/>
          <w:sz w:val="24"/>
          <w:highlight w:val="none"/>
        </w:rPr>
        <w:t>价为人民币</w:t>
      </w:r>
      <w:r>
        <w:rPr>
          <w:rFonts w:hint="eastAsia" w:ascii="楷体" w:hAnsi="楷体" w:eastAsia="楷体" w:cs="楷体"/>
          <w:b/>
          <w:bCs/>
          <w:color w:val="auto"/>
          <w:sz w:val="24"/>
          <w:highlight w:val="none"/>
          <w:u w:val="single"/>
          <w:lang w:val="en-US" w:eastAsia="zh-CN"/>
        </w:rPr>
        <w:t>32万元</w:t>
      </w:r>
      <w:r>
        <w:rPr>
          <w:rFonts w:hint="eastAsia" w:ascii="楷体" w:hAnsi="楷体" w:eastAsia="楷体" w:cs="楷体"/>
          <w:color w:val="auto"/>
          <w:sz w:val="24"/>
          <w:highlight w:val="none"/>
        </w:rPr>
        <w:t>。投标人的投标报价不得超过</w:t>
      </w:r>
      <w:r>
        <w:rPr>
          <w:rFonts w:hint="eastAsia" w:ascii="楷体" w:hAnsi="楷体" w:eastAsia="楷体" w:cs="楷体"/>
          <w:color w:val="auto"/>
          <w:sz w:val="24"/>
          <w:highlight w:val="none"/>
          <w:lang w:eastAsia="zh-CN"/>
        </w:rPr>
        <w:t>招标控制价价</w:t>
      </w:r>
      <w:r>
        <w:rPr>
          <w:rFonts w:hint="eastAsia" w:ascii="楷体" w:hAnsi="楷体" w:eastAsia="楷体" w:cs="楷体"/>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auto"/>
          <w:kern w:val="1"/>
          <w:sz w:val="24"/>
          <w:highlight w:val="none"/>
          <w:lang w:eastAsia="zh-CN"/>
        </w:rPr>
      </w:pPr>
      <w:r>
        <w:rPr>
          <w:rFonts w:hint="eastAsia" w:ascii="楷体" w:hAnsi="楷体" w:eastAsia="楷体" w:cs="楷体"/>
          <w:color w:val="auto"/>
          <w:kern w:val="1"/>
          <w:sz w:val="24"/>
          <w:highlight w:val="none"/>
        </w:rPr>
        <w:t>4.2</w:t>
      </w:r>
      <w:r>
        <w:rPr>
          <w:rFonts w:hint="eastAsia" w:ascii="楷体" w:hAnsi="楷体" w:eastAsia="楷体" w:cs="楷体"/>
          <w:color w:val="auto"/>
          <w:kern w:val="1"/>
          <w:sz w:val="24"/>
          <w:highlight w:val="none"/>
          <w:lang w:eastAsia="zh-CN"/>
        </w:rPr>
        <w:t>招标控制</w:t>
      </w:r>
      <w:r>
        <w:rPr>
          <w:rFonts w:hint="eastAsia" w:ascii="楷体" w:hAnsi="楷体" w:eastAsia="楷体" w:cs="楷体"/>
          <w:color w:val="auto"/>
          <w:kern w:val="1"/>
          <w:sz w:val="24"/>
          <w:highlight w:val="none"/>
        </w:rPr>
        <w:t>价确定的依据：本项目按照施工图纸</w:t>
      </w:r>
      <w:r>
        <w:rPr>
          <w:rFonts w:hint="eastAsia" w:ascii="楷体" w:hAnsi="楷体" w:eastAsia="楷体" w:cs="楷体"/>
          <w:color w:val="auto"/>
          <w:kern w:val="1"/>
          <w:sz w:val="24"/>
          <w:highlight w:val="none"/>
          <w:lang w:eastAsia="zh-CN"/>
        </w:rPr>
        <w:t>，施工现场情况，</w:t>
      </w:r>
      <w:r>
        <w:rPr>
          <w:rFonts w:hint="eastAsia" w:ascii="楷体" w:hAnsi="楷体" w:eastAsia="楷体" w:cs="楷体"/>
          <w:color w:val="auto"/>
          <w:kern w:val="1"/>
          <w:sz w:val="24"/>
          <w:highlight w:val="none"/>
        </w:rPr>
        <w:t>招标文件（含工程量清单）</w:t>
      </w:r>
      <w:r>
        <w:rPr>
          <w:rFonts w:hint="eastAsia" w:ascii="楷体" w:hAnsi="楷体" w:eastAsia="楷体" w:cs="楷体"/>
          <w:color w:val="auto"/>
          <w:kern w:val="1"/>
          <w:sz w:val="24"/>
          <w:highlight w:val="none"/>
          <w:lang w:eastAsia="zh-CN"/>
        </w:rPr>
        <w:t>，参照</w:t>
      </w:r>
      <w:r>
        <w:rPr>
          <w:rFonts w:hint="eastAsia" w:ascii="楷体" w:hAnsi="楷体" w:eastAsia="楷体" w:cs="楷体"/>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highlight w:val="none"/>
        </w:rPr>
        <w:t>〔2019〕</w:t>
      </w:r>
      <w:r>
        <w:rPr>
          <w:rFonts w:hint="eastAsia" w:ascii="楷体" w:hAnsi="楷体" w:eastAsia="楷体" w:cs="楷体"/>
          <w:color w:val="auto"/>
          <w:sz w:val="24"/>
          <w:highlight w:val="none"/>
        </w:rPr>
        <w:t>第19号公告和现行工程造价有关文件规定、2020年第</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期</w:t>
      </w:r>
      <w:r>
        <w:rPr>
          <w:rFonts w:hint="eastAsia" w:ascii="楷体" w:hAnsi="楷体" w:eastAsia="楷体" w:cs="楷体"/>
          <w:color w:val="auto"/>
          <w:kern w:val="1"/>
          <w:sz w:val="24"/>
          <w:highlight w:val="none"/>
        </w:rPr>
        <w:t>《盐城工程造价》等相关计价文件的规定，计算出预算价。</w:t>
      </w:r>
      <w:r>
        <w:rPr>
          <w:rFonts w:hint="eastAsia" w:ascii="楷体" w:hAnsi="楷体" w:eastAsia="楷体" w:cs="楷体"/>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textAlignment w:val="auto"/>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0" w:firstLineChars="200"/>
        <w:rPr>
          <w:rFonts w:ascii="楷体" w:hAnsi="楷体" w:eastAsia="楷体" w:cs="楷体"/>
          <w:b/>
          <w:bCs/>
          <w:color w:val="auto"/>
          <w:sz w:val="24"/>
          <w:highlight w:val="none"/>
        </w:rPr>
      </w:pP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1.1.1招标人发出的招标文件、工程量清单及其编制说明、答疑文件、补充通知；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1.1.2招标人提供的图纸和设定的</w:t>
      </w:r>
      <w:r>
        <w:rPr>
          <w:rFonts w:hint="eastAsia" w:ascii="楷体" w:hAnsi="楷体" w:eastAsia="楷体" w:cs="楷体"/>
          <w:color w:val="auto"/>
          <w:sz w:val="24"/>
          <w:highlight w:val="none"/>
          <w:lang w:eastAsia="zh-CN"/>
        </w:rPr>
        <w:t>招标控制</w:t>
      </w:r>
      <w:r>
        <w:rPr>
          <w:rFonts w:hint="eastAsia" w:ascii="楷体" w:hAnsi="楷体" w:eastAsia="楷体" w:cs="楷体"/>
          <w:color w:val="auto"/>
          <w:sz w:val="24"/>
          <w:highlight w:val="none"/>
        </w:rPr>
        <w:t>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singl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1.2.3投标人必须按现行有关规定的费率计取现场安全文明施工措施费基本费、</w:t>
      </w:r>
      <w:r>
        <w:rPr>
          <w:rFonts w:hint="eastAsia" w:ascii="楷体" w:hAnsi="楷体" w:eastAsia="楷体" w:cs="楷体"/>
          <w:color w:val="auto"/>
          <w:sz w:val="24"/>
          <w:highlight w:val="none"/>
          <w:lang w:eastAsia="zh-CN"/>
        </w:rPr>
        <w:t>标化增加费及扬尘污染防治增加费</w:t>
      </w:r>
      <w:r>
        <w:rPr>
          <w:rFonts w:hint="eastAsia" w:ascii="楷体" w:hAnsi="楷体" w:eastAsia="楷体" w:cs="楷体"/>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2.1本次招标的投标文件共为</w:t>
      </w:r>
      <w:r>
        <w:rPr>
          <w:rFonts w:hint="eastAsia" w:ascii="楷体" w:hAnsi="楷体" w:eastAsia="楷体" w:cs="楷体"/>
          <w:b/>
          <w:color w:val="auto"/>
          <w:sz w:val="24"/>
          <w:szCs w:val="30"/>
          <w:highlight w:val="none"/>
        </w:rPr>
        <w:t>一号标书1个</w:t>
      </w:r>
      <w:r>
        <w:rPr>
          <w:rFonts w:hint="eastAsia" w:ascii="楷体" w:hAnsi="楷体" w:eastAsia="楷体" w:cs="楷体"/>
          <w:b/>
          <w:color w:val="auto"/>
          <w:sz w:val="24"/>
          <w:highlight w:val="none"/>
        </w:rPr>
        <w:t>标书，份数为正本1份、副本</w:t>
      </w:r>
      <w:r>
        <w:rPr>
          <w:rFonts w:hint="eastAsia" w:ascii="楷体" w:hAnsi="楷体" w:eastAsia="楷体" w:cs="楷体"/>
          <w:b/>
          <w:color w:val="auto"/>
          <w:sz w:val="24"/>
          <w:highlight w:val="none"/>
          <w:lang w:val="en-US" w:eastAsia="zh-CN"/>
        </w:rPr>
        <w:t>4</w:t>
      </w:r>
      <w:r>
        <w:rPr>
          <w:rFonts w:hint="eastAsia" w:ascii="楷体" w:hAnsi="楷体" w:eastAsia="楷体" w:cs="楷体"/>
          <w:b/>
          <w:color w:val="auto"/>
          <w:sz w:val="24"/>
          <w:highlight w:val="none"/>
        </w:rPr>
        <w:t>份。</w:t>
      </w:r>
    </w:p>
    <w:p>
      <w:pPr>
        <w:spacing w:line="48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2.2.3工程量清单计价成果文件（投标报价明细表，格式见附件）</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工程清单计价成果文件必须按照招标文件所提供的格式填入，其格式不得作任何改变。招标人提供的工程量清单中的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w:t>
      </w:r>
      <w:r>
        <w:rPr>
          <w:rFonts w:hint="eastAsia" w:ascii="楷体" w:hAnsi="楷体" w:eastAsia="楷体" w:cs="楷体"/>
          <w:color w:val="auto"/>
          <w:sz w:val="24"/>
          <w:highlight w:val="none"/>
          <w:lang w:eastAsia="zh-CN"/>
        </w:rPr>
        <w:t>符合招标文件要求的有效的</w:t>
      </w:r>
      <w:r>
        <w:rPr>
          <w:rFonts w:hint="eastAsia" w:ascii="楷体" w:hAnsi="楷体" w:eastAsia="楷体" w:cs="楷体"/>
          <w:color w:val="auto"/>
          <w:sz w:val="24"/>
          <w:highlight w:val="none"/>
        </w:rPr>
        <w:t>投标人施工资质证书、安全生产</w:t>
      </w:r>
      <w:r>
        <w:rPr>
          <w:rFonts w:hint="eastAsia" w:ascii="楷体" w:hAnsi="楷体" w:eastAsia="楷体" w:cs="楷体"/>
          <w:color w:val="auto"/>
          <w:sz w:val="24"/>
          <w:highlight w:val="none"/>
          <w:lang w:eastAsia="zh-CN"/>
        </w:rPr>
        <w:t>许可</w:t>
      </w:r>
      <w:r>
        <w:rPr>
          <w:rFonts w:hint="eastAsia" w:ascii="楷体" w:hAnsi="楷体" w:eastAsia="楷体" w:cs="楷体"/>
          <w:color w:val="auto"/>
          <w:sz w:val="24"/>
          <w:highlight w:val="none"/>
        </w:rPr>
        <w:t>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auto"/>
          <w:sz w:val="24"/>
          <w:highlight w:val="none"/>
        </w:rPr>
        <w:tab/>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2.4投标文件编制的其他要求：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本项目招标代理服务费（收费标准按计价格（2002）1980号文规定的标准×42%计取，如低于3000元的直接按3000元计取）</w:t>
      </w:r>
      <w:r>
        <w:rPr>
          <w:rFonts w:hint="eastAsia" w:ascii="楷体" w:hAnsi="楷体" w:eastAsia="楷体" w:cs="楷体"/>
          <w:color w:val="auto"/>
          <w:sz w:val="24"/>
          <w:highlight w:val="none"/>
          <w:lang w:eastAsia="zh-CN"/>
        </w:rPr>
        <w:t>和设计费（</w:t>
      </w:r>
      <w:r>
        <w:rPr>
          <w:rFonts w:hint="eastAsia" w:ascii="楷体" w:hAnsi="楷体" w:eastAsia="楷体" w:cs="楷体"/>
          <w:color w:val="auto"/>
          <w:sz w:val="24"/>
          <w:highlight w:val="none"/>
          <w:lang w:val="en-US" w:eastAsia="zh-CN"/>
        </w:rPr>
        <w:t>2.1万元</w:t>
      </w:r>
      <w:r>
        <w:rPr>
          <w:rFonts w:hint="eastAsia" w:ascii="楷体" w:hAnsi="楷体" w:eastAsia="楷体" w:cs="楷体"/>
          <w:color w:val="auto"/>
          <w:sz w:val="24"/>
          <w:highlight w:val="none"/>
          <w:lang w:eastAsia="zh-CN"/>
        </w:rPr>
        <w:t>）两项费用均</w:t>
      </w:r>
      <w:r>
        <w:rPr>
          <w:rFonts w:hint="eastAsia" w:ascii="楷体" w:hAnsi="楷体" w:eastAsia="楷体" w:cs="楷体"/>
          <w:color w:val="auto"/>
          <w:sz w:val="24"/>
          <w:highlight w:val="none"/>
        </w:rPr>
        <w:t>由中标人承担，各投标人在投标报价时须将</w:t>
      </w:r>
      <w:r>
        <w:rPr>
          <w:rFonts w:hint="eastAsia" w:ascii="楷体" w:hAnsi="楷体" w:eastAsia="楷体" w:cs="楷体"/>
          <w:color w:val="auto"/>
          <w:sz w:val="24"/>
          <w:highlight w:val="none"/>
          <w:lang w:eastAsia="zh-CN"/>
        </w:rPr>
        <w:t>上述两项</w:t>
      </w:r>
      <w:r>
        <w:rPr>
          <w:rFonts w:hint="eastAsia" w:ascii="楷体" w:hAnsi="楷体" w:eastAsia="楷体" w:cs="楷体"/>
          <w:color w:val="auto"/>
          <w:sz w:val="24"/>
          <w:highlight w:val="none"/>
        </w:rPr>
        <w:t>费用自行综合考虑分摊含进投标报价中，且不得单列，在开具中标通知书前一次性交纳。招标人不再承担上述费用。</w:t>
      </w:r>
    </w:p>
    <w:p>
      <w:pPr>
        <w:spacing w:line="500" w:lineRule="exact"/>
        <w:jc w:val="both"/>
        <w:rPr>
          <w:rFonts w:ascii="楷体" w:hAnsi="楷体" w:eastAsia="楷体" w:cs="楷体"/>
          <w:b/>
          <w:color w:val="auto"/>
          <w:sz w:val="44"/>
          <w:szCs w:val="44"/>
          <w:highlight w:val="none"/>
        </w:rPr>
      </w:pPr>
    </w:p>
    <w:p>
      <w:pPr>
        <w:pStyle w:val="8"/>
        <w:rPr>
          <w:rFonts w:ascii="楷体" w:hAnsi="楷体" w:eastAsia="楷体" w:cs="楷体"/>
          <w:b/>
          <w:color w:val="auto"/>
          <w:sz w:val="44"/>
          <w:szCs w:val="44"/>
          <w:highlight w:val="none"/>
        </w:rPr>
      </w:pPr>
    </w:p>
    <w:p>
      <w:pPr>
        <w:pStyle w:val="8"/>
        <w:rPr>
          <w:rFonts w:ascii="楷体" w:hAnsi="楷体" w:eastAsia="楷体" w:cs="楷体"/>
          <w:b/>
          <w:color w:val="auto"/>
          <w:sz w:val="44"/>
          <w:szCs w:val="44"/>
          <w:highlight w:val="none"/>
        </w:rPr>
      </w:pPr>
      <w:bookmarkStart w:id="8" w:name="_GoBack"/>
      <w:bookmarkEnd w:id="8"/>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rPr>
        <w:t>盐城ABCD合成法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w:t>
      </w:r>
      <w:r>
        <w:rPr>
          <w:rFonts w:hint="eastAsia" w:ascii="楷体" w:hAnsi="楷体" w:eastAsia="楷体" w:cs="楷体"/>
          <w:color w:val="auto"/>
          <w:sz w:val="24"/>
          <w:highlight w:val="none"/>
          <w:lang w:eastAsia="zh-CN"/>
        </w:rPr>
        <w:t>招标控制价</w:t>
      </w:r>
      <w:r>
        <w:rPr>
          <w:rFonts w:hint="eastAsia" w:ascii="楷体" w:hAnsi="楷体" w:eastAsia="楷体" w:cs="楷体"/>
          <w:color w:val="auto"/>
          <w:sz w:val="24"/>
          <w:highlight w:val="none"/>
        </w:rPr>
        <w:t>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0"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0" w:firstLineChars="200"/>
        <w:rPr>
          <w:rFonts w:ascii="楷体" w:hAnsi="楷体" w:eastAsia="楷体" w:cs="楷体"/>
          <w:b/>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发包人：</w:t>
      </w:r>
      <w:r>
        <w:rPr>
          <w:rFonts w:hint="eastAsia" w:ascii="楷体" w:hAnsi="楷体" w:eastAsia="楷体" w:cs="楷体"/>
          <w:b/>
          <w:color w:val="auto"/>
          <w:sz w:val="24"/>
          <w:highlight w:val="none"/>
          <w:u w:val="single"/>
        </w:rPr>
        <w:t>即招标人</w:t>
      </w:r>
    </w:p>
    <w:p>
      <w:pPr>
        <w:spacing w:line="500" w:lineRule="exact"/>
        <w:ind w:firstLine="480" w:firstLineChars="200"/>
        <w:rPr>
          <w:rFonts w:ascii="楷体" w:hAnsi="楷体" w:eastAsia="楷体" w:cs="楷体"/>
          <w:b/>
          <w:color w:val="auto"/>
          <w:sz w:val="24"/>
          <w:highlight w:val="none"/>
          <w:u w:val="single"/>
        </w:rPr>
      </w:pPr>
      <w:r>
        <w:rPr>
          <w:rFonts w:hint="eastAsia" w:ascii="楷体" w:hAnsi="楷体" w:eastAsia="楷体" w:cs="楷体"/>
          <w:b/>
          <w:color w:val="auto"/>
          <w:sz w:val="24"/>
          <w:highlight w:val="none"/>
        </w:rPr>
        <w:t>承包人：</w:t>
      </w:r>
      <w:r>
        <w:rPr>
          <w:rFonts w:hint="eastAsia" w:ascii="楷体" w:hAnsi="楷体" w:eastAsia="楷体" w:cs="楷体"/>
          <w:b/>
          <w:color w:val="auto"/>
          <w:sz w:val="24"/>
          <w:highlight w:val="none"/>
          <w:u w:val="single"/>
        </w:rPr>
        <w:t>即中标人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1、合同价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合同价的签定必须与中标价一致</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2、承包方式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3、承包范围</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详见投标须知前附表</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4、履约担保</w:t>
      </w:r>
    </w:p>
    <w:p>
      <w:pPr>
        <w:spacing w:line="360" w:lineRule="auto"/>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本工程履约保证金为中标价的</w:t>
      </w:r>
      <w:r>
        <w:rPr>
          <w:rFonts w:hint="eastAsia" w:ascii="楷体" w:hAnsi="楷体" w:eastAsia="楷体" w:cs="楷体"/>
          <w:color w:val="auto"/>
          <w:sz w:val="24"/>
          <w:highlight w:val="none"/>
          <w:u w:val="single"/>
        </w:rPr>
        <w:t>5 %</w:t>
      </w:r>
      <w:r>
        <w:rPr>
          <w:rFonts w:hint="eastAsia" w:ascii="楷体" w:hAnsi="楷体" w:eastAsia="楷体" w:cs="楷体"/>
          <w:color w:val="auto"/>
          <w:sz w:val="24"/>
          <w:highlight w:val="none"/>
        </w:rPr>
        <w:t>。中标人应自中标人结果公示之日起7 日内将履约保证金以转帐、电汇或银行汇票或银行保函形式汇转至招标人指定帐户。</w:t>
      </w:r>
      <w:r>
        <w:rPr>
          <w:rFonts w:hint="eastAsia" w:ascii="楷体" w:hAnsi="楷体" w:eastAsia="楷体" w:cs="楷体"/>
          <w:b/>
          <w:color w:val="auto"/>
          <w:sz w:val="24"/>
          <w:highlight w:val="none"/>
        </w:rPr>
        <w:t>如未按规定时间、方式缴纳履约保证金的，招标人有权取消其中标资格。</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5、项目组成员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6、合同工期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6.1合同工期以中标人投标时承诺工期为准。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6.3实际开工日期以招标人发出的“开工通知书”为准。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 质量标准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7.1合同质量标准以中标人投标时承诺的质量标准为准。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8、材料设备供应</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9、工程付款</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工程</w:t>
      </w:r>
      <w:r>
        <w:rPr>
          <w:rFonts w:hint="eastAsia" w:ascii="楷体" w:hAnsi="楷体" w:eastAsia="楷体" w:cs="楷体"/>
          <w:color w:val="auto"/>
          <w:sz w:val="24"/>
          <w:highlight w:val="none"/>
          <w:lang w:eastAsia="zh-CN"/>
        </w:rPr>
        <w:t>全部</w:t>
      </w:r>
      <w:r>
        <w:rPr>
          <w:rFonts w:hint="eastAsia" w:ascii="楷体" w:hAnsi="楷体" w:eastAsia="楷体" w:cs="楷体"/>
          <w:color w:val="auto"/>
          <w:sz w:val="24"/>
          <w:highlight w:val="none"/>
        </w:rPr>
        <w:t>竣</w:t>
      </w:r>
      <w:r>
        <w:rPr>
          <w:rFonts w:hint="eastAsia" w:ascii="楷体" w:hAnsi="楷体" w:eastAsia="楷体" w:cs="楷体"/>
          <w:color w:val="auto"/>
          <w:sz w:val="24"/>
          <w:highlight w:val="none"/>
          <w:lang w:eastAsia="zh-CN"/>
        </w:rPr>
        <w:t>工</w:t>
      </w:r>
      <w:r>
        <w:rPr>
          <w:rFonts w:hint="eastAsia" w:ascii="楷体" w:hAnsi="楷体" w:eastAsia="楷体" w:cs="楷体"/>
          <w:color w:val="auto"/>
          <w:sz w:val="24"/>
          <w:highlight w:val="none"/>
        </w:rPr>
        <w:t>验收合格付至合同价的</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0%，审计结束后付至审计总价的95%，余款</w:t>
      </w:r>
      <w:r>
        <w:rPr>
          <w:rFonts w:hint="eastAsia" w:ascii="楷体" w:hAnsi="楷体" w:eastAsia="楷体" w:cs="楷体"/>
          <w:color w:val="auto"/>
          <w:sz w:val="24"/>
          <w:highlight w:val="none"/>
          <w:lang w:eastAsia="zh-CN"/>
        </w:rPr>
        <w:t>在一年质保期满且</w:t>
      </w:r>
      <w:r>
        <w:rPr>
          <w:rFonts w:hint="eastAsia" w:ascii="楷体" w:hAnsi="楷体" w:eastAsia="楷体" w:cs="楷体"/>
          <w:color w:val="auto"/>
          <w:sz w:val="24"/>
          <w:highlight w:val="none"/>
        </w:rPr>
        <w:t>无质量问题</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付清（无息）。</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10、合同定价方式与工程结算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 本项目采用固定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单价合同，合同实施过程中风险范围内中标</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 结算价=中标全费用单价×经审计的招标范围内经验收合格的实际工作量。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无论招标时图纸、工程量清单中项目特征描述、招标文件中规定的技术要求是否准确，承包人的全费用综合单价报价应为完成施工图纸、招标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11、安全文明施工与环境保护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（1）承包人在施工过程中应严格执行国家、省、市、行业主</w:t>
      </w:r>
      <w:bookmarkStart w:id="6" w:name="OLE_LINK7"/>
      <w:r>
        <w:rPr>
          <w:rFonts w:hint="eastAsia" w:ascii="楷体" w:hAnsi="楷体" w:eastAsia="楷体" w:cs="楷体"/>
          <w:color w:val="auto"/>
          <w:sz w:val="24"/>
          <w:highlight w:val="none"/>
        </w:rPr>
        <w:t>管</w:t>
      </w:r>
      <w:bookmarkEnd w:id="6"/>
      <w:r>
        <w:rPr>
          <w:rFonts w:hint="eastAsia" w:ascii="楷体" w:hAnsi="楷体" w:eastAsia="楷体" w:cs="楷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（2）施工工作面内所有现场清理、矛盾协调处理等含在合同价内，结算时不予调整。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（3）施工过程中应确保沿线单位、小区居民的临时出行和正常的生产生活</w:t>
      </w:r>
      <w:bookmarkStart w:id="7" w:name="OLE_LINK8"/>
      <w:r>
        <w:rPr>
          <w:rFonts w:hint="eastAsia" w:ascii="楷体" w:hAnsi="楷体" w:eastAsia="楷体" w:cs="楷体"/>
          <w:color w:val="auto"/>
          <w:sz w:val="24"/>
          <w:highlight w:val="none"/>
        </w:rPr>
        <w:t>秩序</w:t>
      </w:r>
      <w:bookmarkEnd w:id="7"/>
      <w:r>
        <w:rPr>
          <w:rFonts w:hint="eastAsia" w:ascii="楷体" w:hAnsi="楷体" w:eastAsia="楷体" w:cs="楷体"/>
          <w:color w:val="auto"/>
          <w:sz w:val="24"/>
          <w:highlight w:val="none"/>
        </w:rPr>
        <w:t>，协调处理好相关矛盾，费用由承包人自行负责。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12、安全施工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13、缺陷责任和保修责任</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13.1缺陷责任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13.1.1本项目缺陷责任期为</w:t>
      </w:r>
      <w:r>
        <w:rPr>
          <w:rFonts w:hint="eastAsia" w:ascii="楷体" w:hAnsi="楷体" w:eastAsia="楷体" w:cs="楷体"/>
          <w:color w:val="auto"/>
          <w:sz w:val="24"/>
          <w:highlight w:val="none"/>
          <w:u w:val="single"/>
        </w:rPr>
        <w:t>24</w:t>
      </w:r>
      <w:r>
        <w:rPr>
          <w:rFonts w:hint="eastAsia" w:ascii="楷体" w:hAnsi="楷体" w:eastAsia="楷体" w:cs="楷体"/>
          <w:color w:val="auto"/>
          <w:sz w:val="24"/>
          <w:highlight w:val="none"/>
        </w:rPr>
        <w:t>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13.1.3缺陷责任期内，招标人对已接收使用的工程负责日常维护工作。</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13.1.5其他关于缺陷责任的有关约定由合同双方根据现行有关规定执行。</w:t>
      </w:r>
    </w:p>
    <w:p>
      <w:pPr>
        <w:spacing w:line="500" w:lineRule="exact"/>
        <w:ind w:left="478" w:leftChars="228"/>
        <w:rPr>
          <w:rFonts w:ascii="楷体" w:hAnsi="楷体" w:eastAsia="楷体" w:cs="楷体"/>
          <w:b/>
          <w:color w:val="auto"/>
          <w:sz w:val="24"/>
          <w:highlight w:val="none"/>
        </w:rPr>
      </w:pPr>
      <w:r>
        <w:rPr>
          <w:rFonts w:hint="eastAsia" w:ascii="楷体" w:hAnsi="楷体" w:eastAsia="楷体" w:cs="楷体"/>
          <w:b/>
          <w:color w:val="auto"/>
          <w:sz w:val="24"/>
          <w:highlight w:val="none"/>
        </w:rPr>
        <w:t>13.2保修责任</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13.2.3质保期</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1年</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内出现问题，承包人须在</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14、工程分包</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15、违约责任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16、其他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16.5本项目价款一律通过银行非现金结算，实行专款专用。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16.7本合同条款未尽事宜由双方按照《建设工程施工合同》（GF-2017-0201）示范文本的有关内容在合同中具体约定。</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spacing w:line="440" w:lineRule="exact"/>
        <w:ind w:firstLine="880" w:firstLineChars="200"/>
        <w:jc w:val="center"/>
        <w:rPr>
          <w:rFonts w:ascii="楷体" w:hAnsi="楷体" w:eastAsia="楷体" w:cs="楷体"/>
          <w:b/>
          <w:color w:val="auto"/>
          <w:sz w:val="44"/>
          <w:szCs w:val="44"/>
          <w:highlight w:val="none"/>
        </w:rPr>
      </w:pPr>
    </w:p>
    <w:p>
      <w:pPr>
        <w:spacing w:line="400" w:lineRule="exact"/>
        <w:ind w:firstLine="420" w:firstLineChars="200"/>
        <w:jc w:val="left"/>
        <w:rPr>
          <w:rFonts w:ascii="楷体" w:hAnsi="楷体" w:eastAsia="楷体" w:cs="楷体"/>
          <w:b/>
          <w:color w:val="auto"/>
          <w:szCs w:val="21"/>
          <w:highlight w:val="none"/>
        </w:rPr>
      </w:pPr>
      <w:r>
        <w:rPr>
          <w:rFonts w:hint="eastAsia" w:ascii="楷体" w:hAnsi="楷体" w:eastAsia="楷体" w:cs="楷体"/>
          <w:b/>
          <w:color w:val="auto"/>
          <w:szCs w:val="21"/>
          <w:highlight w:val="none"/>
        </w:rPr>
        <w:t>一、评标、定标办法</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本工程招标评标办法采用</w:t>
      </w:r>
      <w:r>
        <w:rPr>
          <w:rFonts w:hint="eastAsia" w:ascii="楷体" w:hAnsi="楷体" w:eastAsia="楷体" w:cs="楷体"/>
          <w:b/>
          <w:bCs/>
          <w:color w:val="auto"/>
          <w:szCs w:val="21"/>
          <w:highlight w:val="none"/>
        </w:rPr>
        <w:t>“</w:t>
      </w:r>
      <w:r>
        <w:rPr>
          <w:rFonts w:hint="eastAsia" w:ascii="楷体" w:hAnsi="楷体" w:eastAsia="楷体" w:cs="楷体"/>
          <w:bCs/>
          <w:color w:val="auto"/>
          <w:szCs w:val="21"/>
          <w:highlight w:val="none"/>
        </w:rPr>
        <w:t>盐城</w:t>
      </w:r>
      <w:r>
        <w:rPr>
          <w:rFonts w:hint="eastAsia" w:ascii="楷体" w:hAnsi="楷体" w:eastAsia="楷体" w:cs="楷体"/>
          <w:color w:val="auto"/>
          <w:szCs w:val="21"/>
          <w:highlight w:val="none"/>
        </w:rPr>
        <w:t>ABCD合成法</w:t>
      </w:r>
      <w:r>
        <w:rPr>
          <w:rFonts w:hint="eastAsia" w:ascii="楷体" w:hAnsi="楷体" w:eastAsia="楷体" w:cs="楷体"/>
          <w:b/>
          <w:bCs/>
          <w:color w:val="auto"/>
          <w:szCs w:val="21"/>
          <w:highlight w:val="none"/>
        </w:rPr>
        <w:t>”</w:t>
      </w:r>
      <w:r>
        <w:rPr>
          <w:rFonts w:hint="eastAsia" w:ascii="楷体" w:hAnsi="楷体" w:eastAsia="楷体" w:cs="楷体"/>
          <w:color w:val="auto"/>
          <w:szCs w:val="21"/>
          <w:highlight w:val="none"/>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0" w:firstLineChars="200"/>
        <w:jc w:val="left"/>
        <w:rPr>
          <w:rFonts w:ascii="楷体" w:hAnsi="楷体" w:eastAsia="楷体" w:cs="楷体"/>
          <w:b/>
          <w:color w:val="auto"/>
          <w:szCs w:val="21"/>
          <w:highlight w:val="none"/>
        </w:rPr>
      </w:pPr>
      <w:r>
        <w:rPr>
          <w:rFonts w:hint="eastAsia" w:ascii="楷体" w:hAnsi="楷体" w:eastAsia="楷体" w:cs="楷体"/>
          <w:b/>
          <w:color w:val="auto"/>
          <w:szCs w:val="21"/>
          <w:highlight w:val="none"/>
        </w:rPr>
        <w:t>二、评标标准和程序</w:t>
      </w:r>
    </w:p>
    <w:p>
      <w:pPr>
        <w:spacing w:line="400" w:lineRule="exact"/>
        <w:ind w:firstLine="420" w:firstLineChars="200"/>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（一）开标</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投标文件存在以下情况之一的，以及开标过程发现的其他废标情形，不再进行后续评标：</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⑴至投标截止时间止，未足额递交投标保证金；</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⑵投标函中载明的招标项目完成期限超过招标文件规定的期限；</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⑶投标函中载明的投标质量标准未响应招标文件实质性要求和条件；</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⑷招标文件约定的出席开标会议的人员未到场的；</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⑸投标函中载明的投标报价高于</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的。</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在低段区且不得低于下限D值范围内由招标人代表随机抽取一家投标报价后确定为C值。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D值指:（开标环节无废标的评标价算术平均值×70%与</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×30%之和）下浮</w:t>
      </w:r>
      <w:r>
        <w:rPr>
          <w:rFonts w:hint="eastAsia" w:ascii="楷体" w:hAnsi="楷体" w:eastAsia="楷体" w:cs="楷体"/>
          <w:b/>
          <w:color w:val="auto"/>
          <w:szCs w:val="21"/>
          <w:highlight w:val="none"/>
          <w:u w:val="single"/>
        </w:rPr>
        <w:t>20</w:t>
      </w:r>
      <w:r>
        <w:rPr>
          <w:rFonts w:hint="eastAsia" w:ascii="楷体" w:hAnsi="楷体" w:eastAsia="楷体" w:cs="楷体"/>
          <w:color w:val="auto"/>
          <w:szCs w:val="21"/>
          <w:highlight w:val="none"/>
          <w:u w:val="single"/>
        </w:rPr>
        <w:t>%</w:t>
      </w:r>
      <w:r>
        <w:rPr>
          <w:rFonts w:hint="eastAsia" w:ascii="楷体" w:hAnsi="楷体" w:eastAsia="楷体" w:cs="楷体"/>
          <w:color w:val="auto"/>
          <w:szCs w:val="21"/>
          <w:highlight w:val="none"/>
        </w:rPr>
        <w:t>计算出的值。</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（当投标人数量较少，无法抽取B、C值时，直接在相关区间段内取值进行计算。若C值无法获取时，直接确定D值为C值。）</w:t>
      </w:r>
    </w:p>
    <w:p>
      <w:pPr>
        <w:spacing w:line="400" w:lineRule="exact"/>
        <w:ind w:firstLine="420" w:firstLineChars="200"/>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（二）评标准备</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（三）清标</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b/>
          <w:color w:val="auto"/>
          <w:kern w:val="0"/>
          <w:szCs w:val="21"/>
          <w:highlight w:val="none"/>
        </w:rPr>
        <w:t>（四）评标基准价及投标报价得分确定</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1、评标基准值计算方法的确定</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评标基准价=</w:t>
      </w:r>
      <w:r>
        <w:rPr>
          <w:rFonts w:hint="eastAsia" w:ascii="楷体" w:hAnsi="楷体" w:eastAsia="楷体" w:cs="楷体"/>
          <w:color w:val="auto"/>
          <w:szCs w:val="21"/>
          <w:highlight w:val="none"/>
          <w:u w:val="single"/>
        </w:rPr>
        <w:t>（A×50%＋B×35%＋C×15%）×K；</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2、评标基准值计算具体细则见（附表一），参数设置如下：</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K值取值范围：</w:t>
      </w:r>
      <w:r>
        <w:rPr>
          <w:rFonts w:hint="eastAsia" w:ascii="楷体" w:hAnsi="楷体" w:eastAsia="楷体" w:cs="楷体"/>
          <w:color w:val="auto"/>
          <w:kern w:val="0"/>
          <w:szCs w:val="21"/>
          <w:highlight w:val="none"/>
          <w:u w:val="single"/>
        </w:rPr>
        <w:t>96%、96</w:t>
      </w:r>
      <w:r>
        <w:rPr>
          <w:rFonts w:hint="eastAsia" w:ascii="楷体" w:hAnsi="楷体" w:eastAsia="楷体" w:cs="楷体"/>
          <w:color w:val="auto"/>
          <w:szCs w:val="21"/>
          <w:highlight w:val="none"/>
          <w:u w:val="single"/>
        </w:rPr>
        <w:t>.5</w:t>
      </w:r>
      <w:r>
        <w:rPr>
          <w:rFonts w:hint="eastAsia" w:ascii="楷体" w:hAnsi="楷体" w:eastAsia="楷体" w:cs="楷体"/>
          <w:color w:val="auto"/>
          <w:kern w:val="0"/>
          <w:szCs w:val="21"/>
          <w:highlight w:val="none"/>
          <w:u w:val="single"/>
        </w:rPr>
        <w:t>%、</w:t>
      </w:r>
      <w:r>
        <w:rPr>
          <w:rFonts w:hint="eastAsia" w:ascii="楷体" w:hAnsi="楷体" w:eastAsia="楷体" w:cs="楷体"/>
          <w:color w:val="auto"/>
          <w:szCs w:val="21"/>
          <w:highlight w:val="none"/>
          <w:u w:val="single"/>
        </w:rPr>
        <w:t>97%、97.5%、98%</w:t>
      </w:r>
      <w:r>
        <w:rPr>
          <w:rFonts w:hint="eastAsia" w:ascii="楷体" w:hAnsi="楷体" w:eastAsia="楷体" w:cs="楷体"/>
          <w:color w:val="auto"/>
          <w:kern w:val="0"/>
          <w:szCs w:val="21"/>
          <w:highlight w:val="none"/>
        </w:rPr>
        <w:t>，（开标时由</w:t>
      </w:r>
      <w:r>
        <w:rPr>
          <w:rFonts w:hint="eastAsia" w:ascii="楷体" w:hAnsi="楷体" w:eastAsia="楷体" w:cs="楷体"/>
          <w:color w:val="auto"/>
          <w:kern w:val="0"/>
          <w:szCs w:val="21"/>
          <w:highlight w:val="none"/>
          <w:u w:val="single"/>
        </w:rPr>
        <w:t>招标人代表</w:t>
      </w:r>
      <w:r>
        <w:rPr>
          <w:rFonts w:hint="eastAsia" w:ascii="楷体" w:hAnsi="楷体" w:eastAsia="楷体" w:cs="楷体"/>
          <w:color w:val="auto"/>
          <w:kern w:val="0"/>
          <w:szCs w:val="21"/>
          <w:highlight w:val="none"/>
        </w:rPr>
        <w:t>随机抽取确定）；</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szCs w:val="21"/>
          <w:highlight w:val="none"/>
        </w:rPr>
        <w:t>Δ</w:t>
      </w:r>
      <w:r>
        <w:rPr>
          <w:rFonts w:hint="eastAsia" w:ascii="楷体" w:hAnsi="楷体" w:eastAsia="楷体" w:cs="楷体"/>
          <w:color w:val="auto"/>
          <w:kern w:val="0"/>
          <w:szCs w:val="21"/>
          <w:highlight w:val="none"/>
        </w:rPr>
        <w:t>值取值范围详见附表：</w:t>
      </w:r>
      <w:r>
        <w:rPr>
          <w:rFonts w:hint="eastAsia" w:ascii="楷体" w:hAnsi="楷体" w:eastAsia="楷体" w:cs="楷体"/>
          <w:color w:val="auto"/>
          <w:szCs w:val="21"/>
          <w:highlight w:val="none"/>
          <w:u w:val="single"/>
        </w:rPr>
        <w:t>8%、9%、10%、11%、12%、13%、14%、15%</w:t>
      </w:r>
      <w:r>
        <w:rPr>
          <w:rFonts w:hint="eastAsia" w:ascii="楷体" w:hAnsi="楷体" w:eastAsia="楷体" w:cs="楷体"/>
          <w:color w:val="auto"/>
          <w:kern w:val="0"/>
          <w:szCs w:val="21"/>
          <w:highlight w:val="none"/>
        </w:rPr>
        <w:t>，（开标时由</w:t>
      </w:r>
      <w:r>
        <w:rPr>
          <w:rFonts w:hint="eastAsia" w:ascii="楷体" w:hAnsi="楷体" w:eastAsia="楷体" w:cs="楷体"/>
          <w:color w:val="auto"/>
          <w:kern w:val="0"/>
          <w:szCs w:val="21"/>
          <w:highlight w:val="none"/>
          <w:u w:val="single"/>
        </w:rPr>
        <w:t>招标人代表</w:t>
      </w:r>
      <w:r>
        <w:rPr>
          <w:rFonts w:hint="eastAsia" w:ascii="楷体" w:hAnsi="楷体" w:eastAsia="楷体" w:cs="楷体"/>
          <w:color w:val="auto"/>
          <w:kern w:val="0"/>
          <w:szCs w:val="21"/>
          <w:highlight w:val="none"/>
        </w:rPr>
        <w:t>随机抽取确定）；</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0"/>
          <w:szCs w:val="21"/>
          <w:highlight w:val="none"/>
        </w:rPr>
        <w:t>A值为</w:t>
      </w:r>
      <w:r>
        <w:rPr>
          <w:rFonts w:hint="eastAsia" w:ascii="楷体" w:hAnsi="楷体" w:eastAsia="楷体" w:cs="楷体"/>
          <w:color w:val="auto"/>
          <w:szCs w:val="21"/>
          <w:highlight w:val="none"/>
        </w:rPr>
        <w:t>A=</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×（100%－下浮率Δ）；</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B值为开标时</w:t>
      </w:r>
      <w:r>
        <w:rPr>
          <w:rFonts w:hint="eastAsia" w:ascii="楷体" w:hAnsi="楷体" w:eastAsia="楷体" w:cs="楷体"/>
          <w:color w:val="auto"/>
          <w:szCs w:val="21"/>
          <w:highlight w:val="none"/>
        </w:rPr>
        <w:t>由招标人代表</w:t>
      </w:r>
      <w:r>
        <w:rPr>
          <w:rFonts w:hint="eastAsia" w:ascii="楷体" w:hAnsi="楷体" w:eastAsia="楷体" w:cs="楷体"/>
          <w:color w:val="auto"/>
          <w:kern w:val="0"/>
          <w:szCs w:val="21"/>
          <w:highlight w:val="none"/>
        </w:rPr>
        <w:t xml:space="preserve">抽取有关投标报价经计算后确定； </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C值在低段范围内且不得低于下限D值范围内由招标人代表随机抽取一家投标报价确定。</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3、特殊情形下，评标基准价调整方式：除确认存在计算错误外，不因招投标当事人质疑、投诉、复议以及其它任何情形而改变；</w:t>
      </w:r>
    </w:p>
    <w:p>
      <w:pPr>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b/>
          <w:color w:val="auto"/>
          <w:szCs w:val="21"/>
          <w:highlight w:val="none"/>
        </w:rPr>
        <w:t>B、C、D值一经确定，不因后续资格审查废标而改变。</w:t>
      </w:r>
    </w:p>
    <w:p>
      <w:pPr>
        <w:spacing w:line="400" w:lineRule="exact"/>
        <w:ind w:firstLine="420" w:firstLineChars="200"/>
        <w:jc w:val="left"/>
        <w:rPr>
          <w:rFonts w:ascii="楷体" w:hAnsi="楷体" w:eastAsia="楷体" w:cs="楷体"/>
          <w:color w:val="auto"/>
          <w:kern w:val="0"/>
          <w:szCs w:val="21"/>
          <w:highlight w:val="none"/>
          <w:u w:val="single"/>
        </w:rPr>
      </w:pPr>
      <w:r>
        <w:rPr>
          <w:rFonts w:hint="eastAsia" w:ascii="楷体" w:hAnsi="楷体" w:eastAsia="楷体" w:cs="楷体"/>
          <w:color w:val="auto"/>
          <w:kern w:val="0"/>
          <w:szCs w:val="21"/>
          <w:highlight w:val="none"/>
        </w:rPr>
        <w:t>4、报价得分满分为</w:t>
      </w:r>
      <w:r>
        <w:rPr>
          <w:rFonts w:hint="eastAsia" w:ascii="楷体" w:hAnsi="楷体" w:eastAsia="楷体" w:cs="楷体"/>
          <w:color w:val="auto"/>
          <w:kern w:val="0"/>
          <w:szCs w:val="21"/>
          <w:highlight w:val="none"/>
          <w:u w:val="single"/>
        </w:rPr>
        <w:t>100分</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下浮系数K、下浮率Δ，在开标时</w:t>
      </w:r>
      <w:r>
        <w:rPr>
          <w:rFonts w:hint="eastAsia" w:ascii="楷体" w:hAnsi="楷体" w:eastAsia="楷体" w:cs="楷体"/>
          <w:color w:val="auto"/>
          <w:kern w:val="0"/>
          <w:szCs w:val="21"/>
          <w:highlight w:val="none"/>
        </w:rPr>
        <w:t>由</w:t>
      </w:r>
      <w:r>
        <w:rPr>
          <w:rFonts w:hint="eastAsia" w:ascii="楷体" w:hAnsi="楷体" w:eastAsia="楷体" w:cs="楷体"/>
          <w:color w:val="auto"/>
          <w:kern w:val="0"/>
          <w:szCs w:val="21"/>
          <w:highlight w:val="none"/>
          <w:u w:val="single"/>
        </w:rPr>
        <w:t>招标人</w:t>
      </w:r>
      <w:r>
        <w:rPr>
          <w:rFonts w:hint="eastAsia" w:ascii="楷体" w:hAnsi="楷体" w:eastAsia="楷体" w:cs="楷体"/>
          <w:color w:val="auto"/>
          <w:szCs w:val="21"/>
          <w:highlight w:val="none"/>
          <w:u w:val="single"/>
        </w:rPr>
        <w:t>代表</w:t>
      </w:r>
      <w:r>
        <w:rPr>
          <w:rFonts w:hint="eastAsia" w:ascii="楷体" w:hAnsi="楷体" w:eastAsia="楷体" w:cs="楷体"/>
          <w:color w:val="auto"/>
          <w:szCs w:val="21"/>
          <w:highlight w:val="none"/>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分类</w:t>
            </w:r>
          </w:p>
        </w:tc>
        <w:tc>
          <w:tcPr>
            <w:tcW w:w="5072" w:type="dxa"/>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下浮系数K</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下浮率Δ</w:t>
            </w: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房屋建筑工程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装饰装修、建筑幕墙及钢结构工程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机电安装工程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市政工程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绿化工程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17%、18%、19%、20%、21%、22%、23%、24%、25%</w:t>
            </w:r>
          </w:p>
        </w:tc>
      </w:tr>
    </w:tbl>
    <w:p>
      <w:pPr>
        <w:spacing w:line="400" w:lineRule="exact"/>
        <w:ind w:firstLine="420" w:firstLineChars="200"/>
        <w:jc w:val="left"/>
        <w:rPr>
          <w:rFonts w:ascii="楷体" w:hAnsi="楷体" w:eastAsia="楷体" w:cs="楷体"/>
          <w:vanish/>
          <w:color w:val="auto"/>
          <w:szCs w:val="21"/>
          <w:highlight w:val="none"/>
        </w:rPr>
      </w:pP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扣分标准：投标报价等于评标基准价的得满分，投标报价相对评标基准价每低1%扣</w:t>
      </w:r>
      <w:r>
        <w:rPr>
          <w:rFonts w:hint="eastAsia" w:ascii="楷体" w:hAnsi="楷体" w:eastAsia="楷体" w:cs="楷体"/>
          <w:color w:val="auto"/>
          <w:szCs w:val="21"/>
          <w:highlight w:val="none"/>
          <w:u w:val="single"/>
        </w:rPr>
        <w:t>0.6</w:t>
      </w:r>
      <w:r>
        <w:rPr>
          <w:rFonts w:hint="eastAsia" w:ascii="楷体" w:hAnsi="楷体" w:eastAsia="楷体" w:cs="楷体"/>
          <w:color w:val="auto"/>
          <w:szCs w:val="21"/>
          <w:highlight w:val="none"/>
        </w:rPr>
        <w:t>分，每高1%扣</w:t>
      </w:r>
      <w:r>
        <w:rPr>
          <w:rFonts w:hint="eastAsia" w:ascii="楷体" w:hAnsi="楷体" w:eastAsia="楷体" w:cs="楷体"/>
          <w:color w:val="auto"/>
          <w:szCs w:val="21"/>
          <w:highlight w:val="none"/>
          <w:u w:val="single"/>
        </w:rPr>
        <w:t>0.9</w:t>
      </w:r>
      <w:r>
        <w:rPr>
          <w:rFonts w:hint="eastAsia" w:ascii="楷体" w:hAnsi="楷体" w:eastAsia="楷体" w:cs="楷体"/>
          <w:color w:val="auto"/>
          <w:szCs w:val="21"/>
          <w:highlight w:val="none"/>
        </w:rPr>
        <w:t>分；偏离不足1%的，按照插入法计算得分。</w:t>
      </w:r>
    </w:p>
    <w:p>
      <w:pPr>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b/>
          <w:color w:val="auto"/>
          <w:kern w:val="0"/>
          <w:szCs w:val="21"/>
          <w:highlight w:val="none"/>
        </w:rPr>
        <w:t>（五）投标人得分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1、评标委员会按本章“</w:t>
      </w:r>
      <w:r>
        <w:rPr>
          <w:rFonts w:hint="eastAsia" w:ascii="楷体" w:hAnsi="楷体" w:eastAsia="楷体" w:cs="楷体"/>
          <w:bCs/>
          <w:color w:val="auto"/>
          <w:szCs w:val="21"/>
          <w:highlight w:val="none"/>
        </w:rPr>
        <w:t>盐城</w:t>
      </w:r>
      <w:r>
        <w:rPr>
          <w:rFonts w:hint="eastAsia" w:ascii="楷体" w:hAnsi="楷体" w:eastAsia="楷体" w:cs="楷体"/>
          <w:color w:val="auto"/>
          <w:szCs w:val="21"/>
          <w:highlight w:val="none"/>
        </w:rPr>
        <w:t>ABCD合成法”对各项的量化因素和分值进行打分，并计算出综合评估得分。</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（1）按第（四）项评标基准价及投标报价得分，规定的评审因素和分值对投标报价计算出得分a；</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2、评分分值计算过程中保留小数点后三位，小数点后第四位“四舍五入”。最终得分保留小数点后两位，第三位“四舍五入”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3、投标人得分=a。</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（六）资格审查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评标委员会对前面评审得分由高到低的投标文件按以下顺序进行，上一阶段未通过的不进入下一阶段评审，直至选出3名合格的中标候选人：</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color w:val="auto"/>
          <w:szCs w:val="21"/>
          <w:highlight w:val="none"/>
        </w:rPr>
        <w:t>1、初步评审</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1.1形式评审标准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b/>
                <w:color w:val="auto"/>
                <w:szCs w:val="21"/>
                <w:highlight w:val="none"/>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color w:val="auto"/>
                <w:szCs w:val="21"/>
                <w:highlight w:val="none"/>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b/>
                <w:color w:val="auto"/>
                <w:szCs w:val="21"/>
                <w:highlight w:val="none"/>
              </w:rPr>
            </w:pPr>
            <w:r>
              <w:rPr>
                <w:rFonts w:hint="eastAsia" w:ascii="楷体" w:hAnsi="楷体" w:eastAsia="楷体" w:cs="楷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只能有一个有效报价</w:t>
            </w:r>
          </w:p>
        </w:tc>
      </w:tr>
    </w:tbl>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1.2资格审查（资格后审）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评标委员会对通过上一阶段评审的投标人资格对照招标文件中</w:t>
      </w:r>
      <w:r>
        <w:rPr>
          <w:rFonts w:hint="eastAsia" w:ascii="楷体" w:hAnsi="楷体" w:eastAsia="楷体" w:cs="楷体"/>
          <w:b/>
          <w:color w:val="auto"/>
          <w:szCs w:val="21"/>
          <w:highlight w:val="none"/>
        </w:rPr>
        <w:t>投标人资格要求</w:t>
      </w:r>
      <w:r>
        <w:rPr>
          <w:rFonts w:hint="eastAsia" w:ascii="楷体" w:hAnsi="楷体" w:eastAsia="楷体" w:cs="楷体"/>
          <w:color w:val="auto"/>
          <w:szCs w:val="21"/>
          <w:highlight w:val="none"/>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提供建设行政主管部门核发的</w:t>
            </w:r>
            <w:r>
              <w:rPr>
                <w:rFonts w:hint="eastAsia" w:ascii="楷体" w:hAnsi="楷体" w:eastAsia="楷体" w:cs="楷体"/>
                <w:color w:val="auto"/>
                <w:szCs w:val="21"/>
                <w:highlight w:val="none"/>
                <w:lang w:eastAsia="zh-CN"/>
              </w:rPr>
              <w:t>建筑工程施工总承包三级及以上资质或建筑装修装饰工程专业承包二级及以上资质或有效期内的建筑装饰装修工程设计与施工一体化三级及以上资质证书</w:t>
            </w:r>
            <w:r>
              <w:rPr>
                <w:rFonts w:hint="eastAsia" w:ascii="楷体" w:hAnsi="楷体" w:eastAsia="楷体" w:cs="楷体"/>
                <w:color w:val="auto"/>
                <w:szCs w:val="21"/>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提供</w:t>
            </w:r>
            <w:r>
              <w:rPr>
                <w:rFonts w:hint="eastAsia" w:ascii="楷体" w:hAnsi="楷体" w:eastAsia="楷体" w:cs="楷体"/>
                <w:color w:val="auto"/>
                <w:szCs w:val="21"/>
                <w:highlight w:val="none"/>
                <w:lang w:eastAsia="zh-CN"/>
              </w:rPr>
              <w:t>建筑工程专业</w:t>
            </w:r>
            <w:r>
              <w:rPr>
                <w:rFonts w:hint="eastAsia" w:ascii="楷体" w:hAnsi="楷体" w:eastAsia="楷体" w:cs="楷体"/>
                <w:color w:val="auto"/>
                <w:szCs w:val="21"/>
                <w:highlight w:val="none"/>
              </w:rPr>
              <w:t>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符合投标人资格要求规定</w:t>
            </w:r>
          </w:p>
        </w:tc>
      </w:tr>
    </w:tbl>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注：能有效识别二维码的复印件加盖证书持有单位公章和能有效识别二维码的电子证书加盖证书持有单位公章可视为原件。</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1.3响应性审查</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对招标文件要求的工期、质量标准、投标保证金、投标有效期、已标价工程量清单、暂定价、不可竞争费用、技术标准和要求等实质性要求的响应性进行评审。</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（七）定标补充规定</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招标人根据评标委员会推荐的中标候选人，确定排名第一的中标候选人为最终中标人。</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对不中标的投标人，招标人有权不作任何解释。</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b/>
          <w:bCs/>
          <w:color w:val="auto"/>
          <w:szCs w:val="21"/>
          <w:highlight w:val="none"/>
        </w:rPr>
        <w:t>三、其它</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cs="楷体"/>
          <w:color w:val="auto"/>
          <w:sz w:val="24"/>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auto"/>
          <w:sz w:val="24"/>
          <w:highlight w:val="none"/>
        </w:rPr>
      </w:pPr>
    </w:p>
    <w:p>
      <w:pPr>
        <w:pStyle w:val="2"/>
        <w:ind w:firstLine="422"/>
        <w:rPr>
          <w:color w:val="auto"/>
          <w:highlight w:val="none"/>
        </w:rPr>
      </w:pPr>
    </w:p>
    <w:p>
      <w:pPr>
        <w:pStyle w:val="17"/>
        <w:spacing w:before="0" w:beforeAutospacing="0" w:after="0" w:afterAutospacing="0" w:line="420" w:lineRule="exact"/>
        <w:jc w:val="both"/>
        <w:textAlignment w:val="baseline"/>
        <w:rPr>
          <w:rFonts w:ascii="楷体" w:hAnsi="楷体" w:eastAsia="楷体" w:cs="楷体"/>
          <w:b/>
          <w:bCs/>
          <w:color w:val="auto"/>
          <w:sz w:val="32"/>
          <w:szCs w:val="32"/>
          <w:highlight w:val="none"/>
        </w:rPr>
      </w:pPr>
    </w:p>
    <w:p>
      <w:pP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p>
    <w:p>
      <w:pPr>
        <w:pStyle w:val="17"/>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7"/>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7"/>
        <w:spacing w:before="0" w:beforeAutospacing="0" w:after="0" w:afterAutospacing="0" w:line="400" w:lineRule="exact"/>
        <w:jc w:val="both"/>
        <w:textAlignment w:val="baseline"/>
        <w:rPr>
          <w:rFonts w:ascii="楷体" w:hAnsi="楷体" w:eastAsia="楷体" w:cs="楷体"/>
          <w:bCs/>
          <w:color w:val="auto"/>
          <w:highlight w:val="none"/>
        </w:rPr>
      </w:pPr>
    </w:p>
    <w:p>
      <w:pPr>
        <w:pStyle w:val="17"/>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lang w:eastAsia="zh-CN"/>
        </w:rPr>
        <w:t>盐城工业职业技术学院经贸学院物流实训室装潢工程</w:t>
      </w:r>
      <w:r>
        <w:rPr>
          <w:rFonts w:hint="eastAsia" w:ascii="楷体" w:hAnsi="楷体" w:eastAsia="楷体" w:cs="楷体"/>
          <w:bCs/>
          <w:color w:val="auto"/>
          <w:highlight w:val="none"/>
        </w:rPr>
        <w:t>项目做出如下诚信承诺：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3"/>
        <w:ind w:left="0" w:leftChars="0" w:firstLine="0" w:firstLineChars="0"/>
        <w:jc w:val="both"/>
        <w:rPr>
          <w:rFonts w:ascii="楷体" w:hAnsi="楷体" w:eastAsia="楷体" w:cs="楷体"/>
          <w:b w:val="0"/>
          <w:color w:val="auto"/>
          <w:highlight w:val="none"/>
        </w:rPr>
      </w:pP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3"/>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hint="eastAsia"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lang w:eastAsia="zh-CN"/>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lang w:eastAsia="zh-CN"/>
        </w:rPr>
        <w:t>盐城工业职业技术学院经贸学院物流实训室装潢工程</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3"/>
        <w:tabs>
          <w:tab w:val="left" w:pos="840"/>
        </w:tabs>
        <w:spacing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3"/>
        <w:spacing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3"/>
        <w:spacing w:line="380" w:lineRule="exact"/>
        <w:ind w:firstLine="0"/>
        <w:rPr>
          <w:rFonts w:hint="eastAsia" w:ascii="楷体" w:hAnsi="楷体" w:eastAsia="楷体" w:cs="楷体"/>
          <w:b w:val="0"/>
          <w:color w:val="auto"/>
          <w:highlight w:val="none"/>
          <w:u w:val="single"/>
          <w:lang w:eastAsia="zh-CN"/>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lang w:eastAsia="zh-CN"/>
        </w:rPr>
        <w:t>盐城工业职业技术学院</w:t>
      </w:r>
    </w:p>
    <w:p>
      <w:pPr>
        <w:pStyle w:val="3"/>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lang w:eastAsia="zh-CN"/>
        </w:rPr>
        <w:t>盐城工业职业技术学院经贸学院物流实训室装潢工程</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auto"/>
          <w:spacing w:val="10"/>
          <w:kern w:val="24"/>
          <w:highlight w:val="none"/>
          <w:u w:val="single"/>
        </w:rPr>
        <w:t>（大写）   　　</w:t>
      </w:r>
      <w:r>
        <w:rPr>
          <w:rFonts w:hint="eastAsia" w:ascii="楷体" w:hAnsi="楷体" w:eastAsia="楷体" w:cs="楷体"/>
          <w:b w:val="0"/>
          <w:color w:val="auto"/>
          <w:spacing w:val="10"/>
          <w:kern w:val="24"/>
          <w:highlight w:val="none"/>
        </w:rPr>
        <w:t>（小写：</w:t>
      </w:r>
      <w:r>
        <w:rPr>
          <w:rFonts w:hint="eastAsia" w:ascii="楷体" w:hAnsi="楷体" w:eastAsia="楷体" w:cs="楷体"/>
          <w:b w:val="0"/>
          <w:color w:val="auto"/>
          <w:spacing w:val="10"/>
          <w:kern w:val="24"/>
          <w:highlight w:val="none"/>
          <w:u w:val="single"/>
        </w:rPr>
        <w:t>　 　</w:t>
      </w:r>
      <w:r>
        <w:rPr>
          <w:rFonts w:hint="eastAsia" w:ascii="楷体" w:hAnsi="楷体" w:eastAsia="楷体" w:cs="楷体"/>
          <w:b w:val="0"/>
          <w:color w:val="auto"/>
          <w:spacing w:val="10"/>
          <w:kern w:val="24"/>
          <w:highlight w:val="none"/>
        </w:rPr>
        <w:t>元）</w:t>
      </w:r>
      <w:r>
        <w:rPr>
          <w:rFonts w:hint="eastAsia" w:ascii="楷体" w:hAnsi="楷体" w:eastAsia="楷体" w:cs="楷体"/>
          <w:b w:val="0"/>
          <w:color w:val="auto"/>
          <w:spacing w:val="10"/>
          <w:highlight w:val="none"/>
        </w:rPr>
        <w:t>的投标报价并按上述图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量清单的条件要求承包上述工程的施工、竣工，并承担任何质量缺陷保修责任。</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5.一旦我方中标，我方保证在招标人要求的工期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日历天内完成并移交全部工程，并确保工程质量达到</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标准，同时严格执行《建设工程质量管理条例》中有关工程保修条款。</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color w:val="auto"/>
          <w:highlight w:val="none"/>
        </w:rPr>
      </w:pPr>
    </w:p>
    <w:p>
      <w:pPr>
        <w:pStyle w:val="3"/>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spacing w:line="300" w:lineRule="exact"/>
        <w:rPr>
          <w:rFonts w:ascii="楷体" w:hAnsi="楷体" w:eastAsia="楷体" w:cs="楷体"/>
          <w:b/>
          <w:bCs/>
          <w:color w:val="auto"/>
          <w:sz w:val="32"/>
          <w:szCs w:val="32"/>
          <w:highlight w:val="none"/>
        </w:rPr>
      </w:pP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lang w:eastAsia="zh-CN"/>
        </w:rPr>
        <w:t>盐城工业职业技术学院经贸学院物流实训室装潢工程</w:t>
      </w:r>
    </w:p>
    <w:p>
      <w:pPr>
        <w:spacing w:line="480" w:lineRule="auto"/>
        <w:jc w:val="center"/>
        <w:rPr>
          <w:rFonts w:hint="eastAsia" w:ascii="楷体" w:hAnsi="楷体" w:eastAsia="楷体" w:cs="楷体"/>
          <w:b/>
          <w:color w:val="auto"/>
          <w:sz w:val="32"/>
          <w:szCs w:val="32"/>
          <w:highlight w:val="none"/>
          <w:lang w:eastAsia="zh-CN"/>
        </w:rPr>
      </w:pPr>
    </w:p>
    <w:p>
      <w:pPr>
        <w:spacing w:line="520" w:lineRule="atLeast"/>
        <w:rPr>
          <w:rFonts w:ascii="楷体" w:hAnsi="楷体" w:eastAsia="楷体" w:cs="楷体"/>
          <w:color w:val="auto"/>
          <w:sz w:val="48"/>
          <w:highlight w:val="none"/>
        </w:rPr>
      </w:pPr>
    </w:p>
    <w:p>
      <w:pPr>
        <w:pStyle w:val="2"/>
        <w:ind w:firstLine="422"/>
        <w:rPr>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2"/>
        <w:ind w:left="0" w:leftChars="0" w:firstLine="0" w:firstLineChars="0"/>
        <w:rPr>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2"/>
        <w:ind w:firstLine="422"/>
        <w:rPr>
          <w:color w:val="auto"/>
          <w:highlight w:val="none"/>
        </w:rPr>
      </w:pPr>
    </w:p>
    <w:p>
      <w:pPr>
        <w:pStyle w:val="2"/>
        <w:ind w:firstLine="422"/>
        <w:rPr>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hint="eastAsia" w:ascii="楷体" w:hAnsi="楷体" w:eastAsia="楷体" w:cs="楷体"/>
          <w:b/>
          <w:color w:val="auto"/>
          <w:sz w:val="32"/>
          <w:szCs w:val="32"/>
          <w:highlight w:val="none"/>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rPr>
        <w:t>项目名称：盐城工业职业技术学院</w:t>
      </w:r>
      <w:r>
        <w:rPr>
          <w:rFonts w:hint="eastAsia" w:ascii="楷体" w:hAnsi="楷体" w:eastAsia="楷体" w:cs="楷体"/>
          <w:b/>
          <w:color w:val="auto"/>
          <w:sz w:val="24"/>
          <w:szCs w:val="30"/>
          <w:highlight w:val="none"/>
          <w:lang w:eastAsia="zh-CN"/>
        </w:rPr>
        <w:t>经贸学院物流实训室装潢工程</w:t>
      </w:r>
    </w:p>
    <w:tbl>
      <w:tblPr>
        <w:tblStyle w:val="18"/>
        <w:tblW w:w="9483" w:type="dxa"/>
        <w:tblInd w:w="0" w:type="dxa"/>
        <w:tblLayout w:type="autofit"/>
        <w:tblCellMar>
          <w:top w:w="0" w:type="dxa"/>
          <w:left w:w="0" w:type="dxa"/>
          <w:bottom w:w="0" w:type="dxa"/>
          <w:right w:w="0" w:type="dxa"/>
        </w:tblCellMar>
      </w:tblPr>
      <w:tblGrid>
        <w:gridCol w:w="528"/>
        <w:gridCol w:w="2178"/>
        <w:gridCol w:w="3464"/>
        <w:gridCol w:w="602"/>
        <w:gridCol w:w="904"/>
        <w:gridCol w:w="1054"/>
        <w:gridCol w:w="753"/>
      </w:tblGrid>
      <w:tr>
        <w:tblPrEx>
          <w:tblCellMar>
            <w:top w:w="0" w:type="dxa"/>
            <w:left w:w="0" w:type="dxa"/>
            <w:bottom w:w="0" w:type="dxa"/>
            <w:right w:w="0" w:type="dxa"/>
          </w:tblCellMar>
        </w:tblPrEx>
        <w:trPr>
          <w:trHeight w:val="423"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序号</w:t>
            </w:r>
          </w:p>
        </w:tc>
        <w:tc>
          <w:tcPr>
            <w:tcW w:w="21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项目名称</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项目特征描述（工艺做法及说明）</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kern w:val="0"/>
                <w:szCs w:val="21"/>
                <w:lang w:bidi="ar"/>
              </w:rPr>
            </w:pPr>
            <w:r>
              <w:rPr>
                <w:rFonts w:hint="eastAsia" w:ascii="楷体" w:hAnsi="楷体" w:eastAsia="楷体" w:cs="楷体"/>
                <w:b/>
                <w:kern w:val="0"/>
                <w:szCs w:val="21"/>
                <w:lang w:bidi="ar"/>
              </w:rPr>
              <w:t>计量</w:t>
            </w:r>
          </w:p>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单位</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工程量</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金 额(元)</w:t>
            </w:r>
          </w:p>
        </w:tc>
      </w:tr>
      <w:tr>
        <w:tblPrEx>
          <w:tblCellMar>
            <w:top w:w="0" w:type="dxa"/>
            <w:left w:w="0" w:type="dxa"/>
            <w:bottom w:w="0" w:type="dxa"/>
            <w:right w:w="0" w:type="dxa"/>
          </w:tblCellMar>
        </w:tblPrEx>
        <w:trPr>
          <w:trHeight w:val="61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楷体" w:hAnsi="楷体" w:eastAsia="楷体" w:cs="楷体"/>
                <w:b/>
                <w:szCs w:val="21"/>
              </w:rPr>
            </w:pP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楷体" w:hAnsi="楷体" w:eastAsia="楷体" w:cs="楷体"/>
                <w:b/>
                <w:szCs w:val="21"/>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楷体" w:hAnsi="楷体" w:eastAsia="楷体" w:cs="楷体"/>
                <w:b/>
                <w:szCs w:val="21"/>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楷体" w:hAnsi="楷体" w:eastAsia="楷体" w:cs="楷体"/>
                <w:b/>
                <w:szCs w:val="21"/>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楷体" w:hAnsi="楷体" w:eastAsia="楷体" w:cs="楷体"/>
                <w:b/>
                <w:szCs w:val="21"/>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全费用综合单价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合计</w:t>
            </w: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拆除240砖墙（南三间隔墙+门洞）</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1.人工（承重墙体不可拆除）</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拆除弧形投影300墙</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1.人工（承重墙体不可拆除）</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20.00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4</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60*60防滑地砖</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1、主材、人工及所有辅材费用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5</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垃圾清理外运</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 xml:space="preserve">1、从楼上施工区运至小区内指定点，不含外运费。外运则另计450/车； 2、含人工和垃圾袋费用，不含物业管理收取的费用；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6</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拆除找补</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1.人工、辅材</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8</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轻质隔墙10公分</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1、木工板+石膏板轻钢龙骨隔断</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65.00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14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9</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会议室造型吊顶</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1、采用50系列轻钢龙骨，膨胀螺丝干壁钉铆钉固定，龙骨间距≤400×400mm；                                               2、采用9.5mm指定纸面石膏板罩面，自攻螺丝固定；                                         3、拐角处采用边龙折边并用L型整块石膏板与欧松板为基层；                                            4、石膏板之间留5～10mmV型安装缝，用补缝腻子嵌平，再贴防裂网；                                5、按展开面积计算。（有灯光槽视为造型吊顶，板带不算）</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10</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顶面立邦乳胶漆（含南北过道）</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1、批指定找平砂浆一遍，腻子二遍，打磨平整；                                               2、表面应平整，无明显凹凸感，阴阳角顺直，平整度误差≤2mm；</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1100.00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11</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墙面涂料+立邦乳胶漆</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1、原墙面基层处理（投标单位综合考虑，含局部墙面铲除、粉刷、墙面批腻子），刷白色乳胶漆三遍2、表面应平整，无明显凹凸感，阴阳角顺直，平整度误差≤2mm；</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730.00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12</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会议室一踏阶梯</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1.红砖外砌，内部轻质砖回填，表层钢筋网现浇100mm厚C25细石混凝土并抹平。</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13</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陶瓷静电地板（2间电脑室）</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1.600*600,高度15cm。</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200.00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14</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环氧地坪</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1.双层地面环氧漆，叉车可行走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120.00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15</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玻璃双开门</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1.10mm层钢化玻璃1600*2200含五金件                                   2.不锈钢包边</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9.00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16</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门禁系统</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1.指纹锁+密码</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9.00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17</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会议室双门</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1.实木复合免漆门                                            2.1400*2200  3.含安装及其他辅材费用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18</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造型线条灯</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 xml:space="preserve">1.0.9*0.07米15瓦 </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48.00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19</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造型线条灯</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 xml:space="preserve">1.1.2*0.07米35瓦 </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16.00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20</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造型线条灯</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 xml:space="preserve">1.1.2*0.13米35瓦  </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21</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射灯</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 xml:space="preserve">1.雷士5w中性光 </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35.00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22</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筒灯</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 xml:space="preserve">1.雷士6w中性光 </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20.00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23</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强弱电铺设（4间）</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1.闪奇、6类线</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480.00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24</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五孔插座</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1.公牛G06安全插座</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240.00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25</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网线插座</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1.公牛G06安全插座</w:t>
            </w:r>
            <w:r>
              <w:rPr>
                <w:rFonts w:hint="eastAsia" w:ascii="楷体" w:hAnsi="楷体" w:eastAsia="楷体" w:cs="楷体"/>
                <w:kern w:val="0"/>
                <w:szCs w:val="21"/>
                <w:lang w:bidi="ar"/>
              </w:rPr>
              <w:br w:type="textWrapping"/>
            </w:r>
            <w:r>
              <w:rPr>
                <w:rFonts w:hint="eastAsia" w:ascii="楷体" w:hAnsi="楷体" w:eastAsia="楷体" w:cs="楷体"/>
                <w:kern w:val="0"/>
                <w:szCs w:val="21"/>
                <w:lang w:bidi="ar"/>
              </w:rPr>
              <w:t>2.含安装及其他辅材费用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个</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26</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强电箱移位更换空开</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1.含人工、辅材。正太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4.00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27</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窗帘盒</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 xml:space="preserve">用材说明：1、木工板基层、石膏板面层。2、不含乳胶漆。 3、按延长米计算。                                          工艺说明：1、阴阳角顺直、对角整齐、无错位现象。2、按设计要求预留盒深度及高度。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米</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FF0000"/>
                <w:kern w:val="0"/>
                <w:szCs w:val="21"/>
                <w:lang w:bidi="ar"/>
              </w:rPr>
            </w:pPr>
            <w:r>
              <w:rPr>
                <w:rFonts w:hint="eastAsia" w:ascii="楷体" w:hAnsi="楷体" w:eastAsia="楷体" w:cs="楷体"/>
                <w:color w:val="FF0000"/>
                <w:kern w:val="0"/>
                <w:szCs w:val="21"/>
                <w:lang w:bidi="ar"/>
              </w:rPr>
              <w:t>20.4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color w:val="FF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color w:val="FF0000"/>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28</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遮光布带纱窗帘</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1、含遮光布、窗纱、窗帘双轨道及人工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平方米</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68</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color w:val="FF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color w:val="FF0000"/>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29</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遮阳卷帘</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白色遮阳卷帘</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color w:val="FF0000"/>
                <w:kern w:val="0"/>
                <w:szCs w:val="21"/>
                <w:lang w:bidi="ar"/>
              </w:rPr>
            </w:pPr>
            <w:r>
              <w:rPr>
                <w:rFonts w:hint="eastAsia" w:ascii="楷体" w:hAnsi="楷体" w:eastAsia="楷体" w:cs="楷体"/>
                <w:color w:val="FF0000"/>
                <w:kern w:val="0"/>
                <w:szCs w:val="21"/>
                <w:lang w:bidi="ar"/>
              </w:rPr>
              <w:t>69</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color w:val="FF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color w:val="FF0000"/>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30</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水电路排布墙面钻孔开槽</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1、机械钻孔（自来水管路过墙、排风扇、厨房阳台地面溢水孔）；                                         2、平层400，别墅复式800。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31</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脚手架</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1.包含租赁费、搭拆费及其他辅材所有费用。</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项</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1.00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r>
        <w:tblPrEx>
          <w:tblCellMar>
            <w:top w:w="0" w:type="dxa"/>
            <w:left w:w="0" w:type="dxa"/>
            <w:bottom w:w="0" w:type="dxa"/>
            <w:right w:w="0" w:type="dxa"/>
          </w:tblCellMar>
        </w:tblPrEx>
        <w:trPr>
          <w:trHeight w:val="61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32</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保洁</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szCs w:val="21"/>
              </w:rPr>
            </w:pPr>
            <w:r>
              <w:rPr>
                <w:rFonts w:hint="eastAsia" w:ascii="楷体" w:hAnsi="楷体" w:eastAsia="楷体" w:cs="楷体"/>
                <w:kern w:val="0"/>
                <w:szCs w:val="21"/>
                <w:lang w:bidi="ar"/>
              </w:rPr>
              <w:t>1.人工费</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 w:hAnsi="楷体" w:eastAsia="楷体" w:cs="楷体"/>
                <w:szCs w:val="21"/>
              </w:rPr>
            </w:pPr>
            <w:r>
              <w:rPr>
                <w:rFonts w:hint="eastAsia" w:ascii="楷体" w:hAnsi="楷体" w:eastAsia="楷体" w:cs="楷体"/>
                <w:kern w:val="0"/>
                <w:szCs w:val="21"/>
                <w:lang w:bidi="ar"/>
              </w:rPr>
              <w:t xml:space="preserve">670.00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 w:hAnsi="楷体" w:eastAsia="楷体" w:cs="楷体"/>
                <w:szCs w:val="21"/>
              </w:rPr>
            </w:pPr>
          </w:p>
        </w:tc>
      </w:tr>
    </w:tbl>
    <w:p>
      <w:pPr>
        <w:pStyle w:val="2"/>
        <w:ind w:left="0" w:leftChars="0" w:firstLine="0" w:firstLineChars="0"/>
        <w:rPr>
          <w:rFonts w:hint="eastAsia" w:ascii="楷体" w:hAnsi="楷体" w:eastAsia="楷体" w:cs="楷体"/>
          <w:b/>
          <w:color w:val="auto"/>
          <w:sz w:val="24"/>
          <w:szCs w:val="30"/>
          <w:highlight w:val="none"/>
          <w:lang w:eastAsia="zh-CN"/>
        </w:rPr>
      </w:pP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1、全费用综合单价包括了招标范围内的所有内容交付使用前的全部费用，综合单价包括采购费（含辅材）及损耗、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jc w:val="left"/>
        <w:rPr>
          <w:rFonts w:ascii="楷体" w:hAnsi="楷体" w:eastAsia="楷体" w:cs="楷体"/>
          <w:color w:val="auto"/>
          <w:kern w:val="0"/>
          <w:szCs w:val="21"/>
          <w:highlight w:val="none"/>
        </w:rPr>
      </w:pPr>
    </w:p>
    <w:p>
      <w:pPr>
        <w:pStyle w:val="2"/>
        <w:rPr>
          <w:color w:val="auto"/>
          <w:highlight w:val="none"/>
        </w:rPr>
      </w:pPr>
    </w:p>
    <w:p>
      <w:pPr>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投标人全称（加盖公章）：               </w:t>
      </w:r>
    </w:p>
    <w:p>
      <w:pPr>
        <w:jc w:val="left"/>
        <w:rPr>
          <w:rFonts w:hint="eastAsia" w:ascii="楷体" w:hAnsi="楷体" w:eastAsia="楷体" w:cs="楷体"/>
          <w:color w:val="auto"/>
          <w:sz w:val="24"/>
          <w:highlight w:val="none"/>
        </w:rPr>
      </w:pPr>
    </w:p>
    <w:p>
      <w:pPr>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法定代表人或授权代表（签字）</w:t>
      </w:r>
    </w:p>
    <w:p>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年     月     日</w:t>
      </w:r>
    </w:p>
    <w:p>
      <w:pPr>
        <w:rPr>
          <w:rFonts w:hint="eastAsia" w:ascii="楷体" w:hAnsi="楷体" w:eastAsia="楷体" w:cs="楷体"/>
          <w:b/>
          <w:color w:val="auto"/>
          <w:sz w:val="32"/>
          <w:szCs w:val="32"/>
          <w:highlight w:val="none"/>
        </w:rPr>
        <w:sectPr>
          <w:pgSz w:w="11906" w:h="16838"/>
          <w:pgMar w:top="1417" w:right="1417" w:bottom="1440" w:left="1417" w:header="851" w:footer="992" w:gutter="0"/>
          <w:cols w:space="0" w:num="1"/>
          <w:rtlGutter w:val="0"/>
          <w:docGrid w:type="linesAndChars" w:linePitch="312" w:charSpace="0"/>
        </w:sectPr>
      </w:pPr>
    </w:p>
    <w:p>
      <w:pPr>
        <w:rPr>
          <w:rFonts w:ascii="楷体" w:hAnsi="楷体" w:eastAsia="楷体" w:cs="楷体"/>
          <w:b/>
          <w:color w:val="FF0000"/>
          <w:sz w:val="32"/>
          <w:szCs w:val="32"/>
          <w:highlight w:val="none"/>
        </w:rPr>
      </w:pPr>
      <w:r>
        <w:rPr>
          <w:rFonts w:hint="eastAsia" w:ascii="楷体" w:hAnsi="楷体" w:eastAsia="楷体" w:cs="楷体"/>
          <w:b/>
          <w:color w:val="FF0000"/>
          <w:sz w:val="32"/>
          <w:szCs w:val="32"/>
          <w:highlight w:val="none"/>
        </w:rPr>
        <w:t>附件</w:t>
      </w:r>
      <w:r>
        <w:rPr>
          <w:rFonts w:hint="eastAsia" w:ascii="楷体" w:hAnsi="楷体" w:eastAsia="楷体" w:cs="楷体"/>
          <w:b/>
          <w:color w:val="FF0000"/>
          <w:sz w:val="32"/>
          <w:szCs w:val="32"/>
          <w:highlight w:val="none"/>
          <w:lang w:val="en-US" w:eastAsia="zh-CN"/>
        </w:rPr>
        <w:t>9</w:t>
      </w:r>
    </w:p>
    <w:p>
      <w:pPr>
        <w:jc w:val="center"/>
        <w:rPr>
          <w:rFonts w:ascii="楷体" w:hAnsi="楷体" w:eastAsia="楷体" w:cs="楷体"/>
          <w:b/>
          <w:color w:val="FF0000"/>
          <w:sz w:val="32"/>
          <w:szCs w:val="32"/>
          <w:highlight w:val="none"/>
        </w:rPr>
      </w:pPr>
      <w:r>
        <w:rPr>
          <w:rFonts w:hint="eastAsia" w:ascii="楷体" w:hAnsi="楷体" w:eastAsia="楷体" w:cs="楷体"/>
          <w:b/>
          <w:color w:val="FF0000"/>
          <w:sz w:val="32"/>
          <w:szCs w:val="32"/>
          <w:highlight w:val="none"/>
        </w:rPr>
        <w:t>《主要设备材料招标人推荐品牌一览表》</w:t>
      </w:r>
    </w:p>
    <w:tbl>
      <w:tblPr>
        <w:tblStyle w:val="18"/>
        <w:tblpPr w:leftFromText="180" w:rightFromText="180" w:vertAnchor="text" w:horzAnchor="page" w:tblpXSpec="center" w:tblpY="404"/>
        <w:tblOverlap w:val="never"/>
        <w:tblW w:w="9061" w:type="dxa"/>
        <w:jc w:val="center"/>
        <w:shd w:val="clear" w:color="auto" w:fill="FFFFFF"/>
        <w:tblLayout w:type="fixed"/>
        <w:tblCellMar>
          <w:top w:w="0" w:type="dxa"/>
          <w:left w:w="0" w:type="dxa"/>
          <w:bottom w:w="0" w:type="dxa"/>
          <w:right w:w="0" w:type="dxa"/>
        </w:tblCellMar>
      </w:tblPr>
      <w:tblGrid>
        <w:gridCol w:w="810"/>
        <w:gridCol w:w="3018"/>
        <w:gridCol w:w="3636"/>
        <w:gridCol w:w="1597"/>
      </w:tblGrid>
      <w:tr>
        <w:tblPrEx>
          <w:shd w:val="clear" w:color="auto" w:fill="FFFFFF"/>
          <w:tblCellMar>
            <w:top w:w="0" w:type="dxa"/>
            <w:left w:w="0" w:type="dxa"/>
            <w:bottom w:w="0" w:type="dxa"/>
            <w:right w:w="0" w:type="dxa"/>
          </w:tblCellMar>
        </w:tblPrEx>
        <w:trPr>
          <w:trHeight w:val="540" w:hRule="atLeast"/>
          <w:jc w:val="center"/>
        </w:trPr>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hint="eastAsia" w:ascii="楷体" w:hAnsi="楷体" w:eastAsia="楷体" w:cs="楷体"/>
                <w:color w:val="FF0000"/>
                <w:kern w:val="0"/>
                <w:sz w:val="21"/>
                <w:szCs w:val="21"/>
                <w:highlight w:val="none"/>
                <w:u w:val="none"/>
              </w:rPr>
            </w:pPr>
            <w:r>
              <w:rPr>
                <w:rFonts w:hint="eastAsia" w:ascii="楷体" w:hAnsi="楷体" w:eastAsia="楷体" w:cs="楷体"/>
                <w:color w:val="FF0000"/>
                <w:kern w:val="0"/>
                <w:sz w:val="21"/>
                <w:szCs w:val="21"/>
                <w:highlight w:val="none"/>
                <w:u w:val="none"/>
              </w:rPr>
              <w:t>序号</w:t>
            </w:r>
          </w:p>
        </w:tc>
        <w:tc>
          <w:tcPr>
            <w:tcW w:w="30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hint="eastAsia" w:ascii="楷体" w:hAnsi="楷体" w:eastAsia="楷体" w:cs="楷体"/>
                <w:color w:val="FF0000"/>
                <w:kern w:val="0"/>
                <w:sz w:val="21"/>
                <w:szCs w:val="21"/>
                <w:highlight w:val="none"/>
                <w:u w:val="none"/>
              </w:rPr>
            </w:pPr>
            <w:r>
              <w:rPr>
                <w:rFonts w:hint="eastAsia" w:ascii="楷体" w:hAnsi="楷体" w:eastAsia="楷体" w:cs="楷体"/>
                <w:color w:val="FF0000"/>
                <w:kern w:val="0"/>
                <w:sz w:val="21"/>
                <w:szCs w:val="21"/>
                <w:highlight w:val="none"/>
                <w:u w:val="none"/>
              </w:rPr>
              <w:t>材料名称</w:t>
            </w:r>
          </w:p>
        </w:tc>
        <w:tc>
          <w:tcPr>
            <w:tcW w:w="363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hint="eastAsia" w:ascii="楷体" w:hAnsi="楷体" w:eastAsia="楷体" w:cs="楷体"/>
                <w:color w:val="FF0000"/>
                <w:kern w:val="0"/>
                <w:sz w:val="21"/>
                <w:szCs w:val="21"/>
                <w:highlight w:val="none"/>
                <w:u w:val="none"/>
              </w:rPr>
            </w:pPr>
            <w:r>
              <w:rPr>
                <w:rFonts w:hint="eastAsia" w:ascii="楷体" w:hAnsi="楷体" w:eastAsia="楷体" w:cs="楷体"/>
                <w:color w:val="FF0000"/>
                <w:kern w:val="0"/>
                <w:sz w:val="21"/>
                <w:szCs w:val="21"/>
                <w:highlight w:val="none"/>
                <w:u w:val="none"/>
              </w:rPr>
              <w:t>招标人推荐品牌</w:t>
            </w:r>
          </w:p>
        </w:tc>
        <w:tc>
          <w:tcPr>
            <w:tcW w:w="15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hint="eastAsia" w:ascii="楷体" w:hAnsi="楷体" w:eastAsia="楷体" w:cs="楷体"/>
                <w:color w:val="FF0000"/>
                <w:kern w:val="0"/>
                <w:sz w:val="21"/>
                <w:szCs w:val="21"/>
                <w:highlight w:val="none"/>
                <w:u w:val="none"/>
                <w:lang w:eastAsia="zh-CN"/>
              </w:rPr>
            </w:pPr>
            <w:r>
              <w:rPr>
                <w:rFonts w:hint="eastAsia" w:ascii="楷体" w:hAnsi="楷体" w:eastAsia="楷体" w:cs="楷体"/>
                <w:color w:val="FF0000"/>
                <w:kern w:val="0"/>
                <w:sz w:val="21"/>
                <w:szCs w:val="21"/>
                <w:highlight w:val="none"/>
                <w:u w:val="none"/>
                <w:lang w:eastAsia="zh-CN"/>
              </w:rPr>
              <w:t>备注</w:t>
            </w:r>
          </w:p>
        </w:tc>
      </w:tr>
      <w:tr>
        <w:tblPrEx>
          <w:tblCellMar>
            <w:top w:w="0" w:type="dxa"/>
            <w:left w:w="0" w:type="dxa"/>
            <w:bottom w:w="0" w:type="dxa"/>
            <w:right w:w="0" w:type="dxa"/>
          </w:tblCellMar>
        </w:tblPrEx>
        <w:trPr>
          <w:trHeight w:val="285"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玻璃</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信义、南玻、台玻</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255"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2</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纸面石膏板</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泰山、可耐福、龙牌</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3</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木工板</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兔宝宝、千年舟、莫干山</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05"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4</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乳胶漆</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立邦、多乐士、紫金花</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362"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5</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成品实木复合门</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关亨、材源梦、丰德</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6</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门锁、拉手、门吸、铰链等五金件</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雅洁、顶固、斯力高</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7</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钢材</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spacing w:val="-20"/>
                <w:kern w:val="0"/>
                <w:sz w:val="21"/>
                <w:szCs w:val="21"/>
                <w:highlight w:val="none"/>
              </w:rPr>
              <w:t>南钢、沙钢、永钢</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8</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灯具</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欧普、雷士、嘉美</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9</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b/>
                <w:color w:val="FF0000"/>
                <w:kern w:val="0"/>
                <w:sz w:val="21"/>
                <w:szCs w:val="21"/>
                <w:highlight w:val="none"/>
              </w:rPr>
            </w:pPr>
            <w:r>
              <w:rPr>
                <w:rFonts w:hint="eastAsia" w:ascii="楷体" w:hAnsi="楷体" w:eastAsia="楷体" w:cs="楷体"/>
                <w:color w:val="FF0000"/>
                <w:kern w:val="0"/>
                <w:sz w:val="21"/>
                <w:szCs w:val="21"/>
                <w:highlight w:val="none"/>
              </w:rPr>
              <w:t>PPR管、PPR管件</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中财、联塑、公元</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10</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插座、开关</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施耐德、西蒙、嘉美</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345"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11</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配电箱及其元器件</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德力西、正泰、人民</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12</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电线、电缆</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江南、远东、闪奇</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13</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超五类网线</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东强、一舟、闪奇</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31"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14</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360度旋转摄像头</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海康卫视、大华、</w:t>
            </w:r>
            <w:r>
              <w:rPr>
                <w:rFonts w:hint="eastAsia" w:ascii="楷体" w:hAnsi="楷体" w:eastAsia="楷体" w:cs="楷体"/>
                <w:color w:val="FF0000"/>
                <w:sz w:val="21"/>
                <w:szCs w:val="21"/>
                <w:highlight w:val="none"/>
              </w:rPr>
              <w:t>天地伟业</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39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15</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空调</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格力、美的、日立</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16</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卷帘（阻燃、透景、虑光）</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豪斯达、名扬、众帘</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09"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17</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铝合金</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华西、凤铝、兴发</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18</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lang w:eastAsia="zh-CN"/>
              </w:rPr>
            </w:pPr>
            <w:r>
              <w:rPr>
                <w:rFonts w:hint="eastAsia" w:ascii="楷体" w:hAnsi="楷体" w:eastAsia="楷体" w:cs="楷体"/>
                <w:color w:val="FF0000"/>
                <w:kern w:val="0"/>
                <w:sz w:val="21"/>
                <w:szCs w:val="21"/>
                <w:highlight w:val="none"/>
                <w:lang w:val="en-US" w:eastAsia="zh-CN"/>
              </w:rPr>
              <w:t>墙、地砖</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lang w:val="en-US" w:eastAsia="zh-CN"/>
              </w:rPr>
            </w:pPr>
            <w:r>
              <w:rPr>
                <w:rFonts w:hint="eastAsia" w:ascii="楷体" w:hAnsi="楷体" w:eastAsia="楷体" w:cs="楷体"/>
                <w:color w:val="FF0000"/>
                <w:kern w:val="0"/>
                <w:sz w:val="21"/>
                <w:szCs w:val="21"/>
                <w:highlight w:val="none"/>
                <w:lang w:val="en-US" w:eastAsia="zh-CN"/>
              </w:rPr>
              <w:t>将军、冠珠、马可波罗</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19</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冰箱（300L以上）</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海尔、松下、荣事达</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20</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utoSpaceDE w:val="0"/>
              <w:autoSpaceDN w:val="0"/>
              <w:adjustRightInd w:val="0"/>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感应机组及门禁密码开关</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多玛、GMT、松下（满足玻璃承载力）</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r>
        <w:tblPrEx>
          <w:tblCellMar>
            <w:top w:w="0" w:type="dxa"/>
            <w:left w:w="0" w:type="dxa"/>
            <w:bottom w:w="0" w:type="dxa"/>
            <w:right w:w="0" w:type="dxa"/>
          </w:tblCellMar>
        </w:tblPrEx>
        <w:trPr>
          <w:trHeight w:val="420" w:hRule="atLeast"/>
          <w:jc w:val="center"/>
        </w:trPr>
        <w:tc>
          <w:tcPr>
            <w:tcW w:w="81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lang w:val="en-US" w:eastAsia="zh-CN"/>
              </w:rPr>
            </w:pPr>
            <w:r>
              <w:rPr>
                <w:rFonts w:hint="eastAsia" w:ascii="楷体" w:hAnsi="楷体" w:eastAsia="楷体" w:cs="楷体"/>
                <w:color w:val="FF0000"/>
                <w:kern w:val="0"/>
                <w:sz w:val="21"/>
                <w:szCs w:val="21"/>
                <w:highlight w:val="none"/>
                <w:lang w:val="en-US" w:eastAsia="zh-CN"/>
              </w:rPr>
              <w:t>21</w:t>
            </w:r>
          </w:p>
        </w:tc>
        <w:tc>
          <w:tcPr>
            <w:tcW w:w="3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lang w:val="en-US" w:eastAsia="zh-CN"/>
              </w:rPr>
            </w:pPr>
            <w:r>
              <w:rPr>
                <w:rFonts w:hint="eastAsia" w:ascii="楷体" w:hAnsi="楷体" w:eastAsia="楷体" w:cs="楷体"/>
                <w:color w:val="FF0000"/>
                <w:kern w:val="0"/>
                <w:sz w:val="21"/>
                <w:szCs w:val="21"/>
                <w:highlight w:val="none"/>
                <w:lang w:val="en-US" w:eastAsia="zh-CN"/>
              </w:rPr>
              <w:t>PVC卷材</w:t>
            </w:r>
          </w:p>
        </w:tc>
        <w:tc>
          <w:tcPr>
            <w:tcW w:w="3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r>
              <w:rPr>
                <w:rFonts w:hint="eastAsia" w:ascii="楷体" w:hAnsi="楷体" w:eastAsia="楷体" w:cs="楷体"/>
                <w:color w:val="FF0000"/>
                <w:kern w:val="0"/>
                <w:sz w:val="21"/>
                <w:szCs w:val="21"/>
                <w:highlight w:val="none"/>
              </w:rPr>
              <w:t>凯立龙、台宝、巨龙</w:t>
            </w:r>
          </w:p>
        </w:tc>
        <w:tc>
          <w:tcPr>
            <w:tcW w:w="1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tLeast"/>
              <w:jc w:val="center"/>
              <w:rPr>
                <w:rFonts w:hint="eastAsia" w:ascii="楷体" w:hAnsi="楷体" w:eastAsia="楷体" w:cs="楷体"/>
                <w:color w:val="FF0000"/>
                <w:kern w:val="0"/>
                <w:sz w:val="21"/>
                <w:szCs w:val="21"/>
                <w:highlight w:val="none"/>
              </w:rPr>
            </w:pPr>
          </w:p>
        </w:tc>
      </w:tr>
    </w:tbl>
    <w:p>
      <w:pPr>
        <w:spacing w:line="460" w:lineRule="exact"/>
        <w:ind w:firstLine="420" w:firstLineChars="200"/>
        <w:jc w:val="left"/>
        <w:rPr>
          <w:rFonts w:ascii="楷体" w:hAnsi="楷体" w:eastAsia="楷体" w:cs="楷体"/>
          <w:color w:val="FF0000"/>
          <w:szCs w:val="21"/>
          <w:highlight w:val="none"/>
        </w:rPr>
      </w:pPr>
      <w:r>
        <w:rPr>
          <w:rFonts w:hint="eastAsia" w:ascii="楷体" w:hAnsi="楷体" w:eastAsia="楷体" w:cs="楷体"/>
          <w:color w:val="FF0000"/>
          <w:szCs w:val="21"/>
          <w:highlight w:val="none"/>
        </w:rPr>
        <w:t>注：</w:t>
      </w:r>
    </w:p>
    <w:p>
      <w:pPr>
        <w:spacing w:line="460" w:lineRule="exact"/>
        <w:ind w:firstLine="420" w:firstLineChars="200"/>
        <w:jc w:val="left"/>
        <w:rPr>
          <w:rFonts w:ascii="楷体" w:hAnsi="楷体" w:eastAsia="楷体" w:cs="楷体"/>
          <w:color w:val="FF0000"/>
          <w:szCs w:val="21"/>
          <w:highlight w:val="none"/>
        </w:rPr>
      </w:pPr>
      <w:r>
        <w:rPr>
          <w:rFonts w:hint="eastAsia" w:ascii="楷体" w:hAnsi="楷体" w:eastAsia="楷体" w:cs="楷体"/>
          <w:color w:val="FF0000"/>
          <w:szCs w:val="21"/>
          <w:highlight w:val="none"/>
        </w:rPr>
        <w:t>1、以上材料在进场前须经招标人和设计院认可，招标人有权在颜色、样式、用量、材质、配置等方面做出适当调整，但价格不予调整。材料进场时需提供原厂对本项目的发货单。</w:t>
      </w:r>
    </w:p>
    <w:p>
      <w:pPr>
        <w:spacing w:line="460" w:lineRule="exact"/>
        <w:ind w:firstLine="420" w:firstLineChars="200"/>
        <w:jc w:val="left"/>
        <w:rPr>
          <w:rFonts w:hint="eastAsia" w:ascii="楷体" w:hAnsi="楷体" w:eastAsia="楷体" w:cs="楷体"/>
          <w:color w:val="FF0000"/>
          <w:szCs w:val="21"/>
          <w:highlight w:val="none"/>
        </w:rPr>
      </w:pPr>
      <w:r>
        <w:rPr>
          <w:rFonts w:hint="eastAsia" w:ascii="楷体" w:hAnsi="楷体" w:eastAsia="楷体" w:cs="楷体"/>
          <w:color w:val="FF0000"/>
          <w:szCs w:val="21"/>
          <w:highlight w:val="none"/>
        </w:rPr>
        <w:t>2、投标人投标时无需选择某一具体品牌，但供货时必须选择其中一种进行供货。如投标人采用推荐品牌以外的其他产品供货的，质量和性能等技术指标必须优于或者相当于推荐品牌，且必须在投标答疑截止时间前向招标人提出，经招标人认可后以答疑文件的形式发出后方可。一旦中标，除发现涉嫌品牌报备、品牌垄断，价格明显高于周边地区市场价，或本地无法供货，提出相关证据经招标人确认外，中标人不得以任何理由更换推荐品牌。同时报经有关部门对该行为进行不正当竞争调查，对涉嫌指定品牌或变相指定品牌的设计单位、工程量清单编制单位记不良行为，限制其我市国有资金项目投标资格，我市国有资金项目招标不得推荐采用该品牌。</w:t>
      </w:r>
    </w:p>
    <w:p>
      <w:pPr>
        <w:jc w:val="left"/>
        <w:rPr>
          <w:rFonts w:ascii="楷体" w:hAnsi="楷体" w:eastAsia="楷体" w:cs="楷体"/>
          <w:color w:val="FF0000"/>
          <w:sz w:val="24"/>
          <w:highlight w:val="none"/>
        </w:rPr>
      </w:pPr>
    </w:p>
    <w:p>
      <w:pPr>
        <w:pStyle w:val="2"/>
        <w:rPr>
          <w:color w:val="FF0000"/>
          <w:highlight w:val="none"/>
        </w:rPr>
      </w:pPr>
    </w:p>
    <w:p>
      <w:pPr>
        <w:jc w:val="left"/>
        <w:rPr>
          <w:rFonts w:hint="eastAsia" w:ascii="楷体" w:hAnsi="楷体" w:eastAsia="楷体" w:cs="楷体"/>
          <w:color w:val="FF0000"/>
          <w:sz w:val="24"/>
          <w:highlight w:val="none"/>
        </w:rPr>
      </w:pPr>
      <w:r>
        <w:rPr>
          <w:rFonts w:hint="eastAsia" w:ascii="楷体" w:hAnsi="楷体" w:eastAsia="楷体" w:cs="楷体"/>
          <w:color w:val="FF0000"/>
          <w:sz w:val="24"/>
          <w:highlight w:val="none"/>
        </w:rPr>
        <w:t xml:space="preserve">投标人全称（加盖公章）：               </w:t>
      </w:r>
    </w:p>
    <w:p>
      <w:pPr>
        <w:jc w:val="left"/>
        <w:rPr>
          <w:rFonts w:hint="eastAsia" w:ascii="楷体" w:hAnsi="楷体" w:eastAsia="楷体" w:cs="楷体"/>
          <w:color w:val="FF0000"/>
          <w:sz w:val="24"/>
          <w:highlight w:val="none"/>
        </w:rPr>
      </w:pPr>
    </w:p>
    <w:p>
      <w:pPr>
        <w:jc w:val="left"/>
        <w:rPr>
          <w:rFonts w:ascii="楷体" w:hAnsi="楷体" w:eastAsia="楷体" w:cs="楷体"/>
          <w:color w:val="FF0000"/>
          <w:sz w:val="24"/>
          <w:highlight w:val="none"/>
        </w:rPr>
      </w:pPr>
      <w:r>
        <w:rPr>
          <w:rFonts w:hint="eastAsia" w:ascii="楷体" w:hAnsi="楷体" w:eastAsia="楷体" w:cs="楷体"/>
          <w:color w:val="FF0000"/>
          <w:sz w:val="24"/>
          <w:highlight w:val="none"/>
        </w:rPr>
        <w:t>法定代表人或授权代表（签字）</w:t>
      </w:r>
    </w:p>
    <w:p>
      <w:pPr>
        <w:spacing w:line="360" w:lineRule="auto"/>
        <w:jc w:val="left"/>
        <w:rPr>
          <w:rFonts w:hint="eastAsia" w:ascii="楷体" w:hAnsi="楷体" w:eastAsia="楷体" w:cs="楷体"/>
          <w:color w:val="FF0000"/>
          <w:sz w:val="24"/>
          <w:highlight w:val="none"/>
        </w:rPr>
      </w:pPr>
      <w:r>
        <w:rPr>
          <w:rFonts w:hint="eastAsia" w:ascii="楷体" w:hAnsi="楷体" w:eastAsia="楷体" w:cs="楷体"/>
          <w:color w:val="FF0000"/>
          <w:sz w:val="24"/>
          <w:highlight w:val="none"/>
        </w:rPr>
        <w:t xml:space="preserve">                                                     </w:t>
      </w:r>
    </w:p>
    <w:p>
      <w:pPr>
        <w:spacing w:line="360" w:lineRule="auto"/>
        <w:jc w:val="left"/>
        <w:rPr>
          <w:rFonts w:ascii="楷体" w:hAnsi="楷体" w:eastAsia="楷体" w:cs="楷体"/>
          <w:color w:val="FF0000"/>
          <w:sz w:val="24"/>
          <w:highlight w:val="none"/>
        </w:rPr>
      </w:pPr>
      <w:r>
        <w:rPr>
          <w:rFonts w:hint="eastAsia" w:ascii="楷体" w:hAnsi="楷体" w:eastAsia="楷体" w:cs="楷体"/>
          <w:color w:val="FF0000"/>
          <w:sz w:val="24"/>
          <w:highlight w:val="none"/>
        </w:rPr>
        <w:t>年     月     日</w:t>
      </w:r>
    </w:p>
    <w:p>
      <w:pPr>
        <w:rPr>
          <w:rFonts w:ascii="楷体" w:hAnsi="楷体" w:eastAsia="楷体" w:cs="楷体"/>
          <w:color w:val="auto"/>
          <w:sz w:val="24"/>
          <w:highlight w:val="none"/>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lang w:eastAsia="zh-CN"/>
      </w:rPr>
      <w:t>2020-040S-2</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D62E5"/>
    <w:rsid w:val="01922DAC"/>
    <w:rsid w:val="01A10813"/>
    <w:rsid w:val="01AA5DCF"/>
    <w:rsid w:val="02086DD1"/>
    <w:rsid w:val="02096875"/>
    <w:rsid w:val="023F4004"/>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43041D3"/>
    <w:rsid w:val="044A451F"/>
    <w:rsid w:val="046926C7"/>
    <w:rsid w:val="04930524"/>
    <w:rsid w:val="049A6BC0"/>
    <w:rsid w:val="049F746B"/>
    <w:rsid w:val="04C161C2"/>
    <w:rsid w:val="052D7AAA"/>
    <w:rsid w:val="0541155C"/>
    <w:rsid w:val="05431A26"/>
    <w:rsid w:val="054F3468"/>
    <w:rsid w:val="05721669"/>
    <w:rsid w:val="05767FB8"/>
    <w:rsid w:val="05804C64"/>
    <w:rsid w:val="058500B4"/>
    <w:rsid w:val="05AC7BF4"/>
    <w:rsid w:val="05CC57C4"/>
    <w:rsid w:val="05F833A7"/>
    <w:rsid w:val="0614624B"/>
    <w:rsid w:val="0678078D"/>
    <w:rsid w:val="06821EEF"/>
    <w:rsid w:val="069809AC"/>
    <w:rsid w:val="069D7ED4"/>
    <w:rsid w:val="0747226A"/>
    <w:rsid w:val="076D0B83"/>
    <w:rsid w:val="07C35286"/>
    <w:rsid w:val="07C631E6"/>
    <w:rsid w:val="07CB41A4"/>
    <w:rsid w:val="08124875"/>
    <w:rsid w:val="08154D08"/>
    <w:rsid w:val="08171156"/>
    <w:rsid w:val="082F75FC"/>
    <w:rsid w:val="084349F8"/>
    <w:rsid w:val="08625508"/>
    <w:rsid w:val="089326E0"/>
    <w:rsid w:val="08AC08E6"/>
    <w:rsid w:val="08AD5056"/>
    <w:rsid w:val="08E3343B"/>
    <w:rsid w:val="092154C7"/>
    <w:rsid w:val="09554073"/>
    <w:rsid w:val="09855E02"/>
    <w:rsid w:val="09B15222"/>
    <w:rsid w:val="09BE1F73"/>
    <w:rsid w:val="09C742E1"/>
    <w:rsid w:val="09DD0CF5"/>
    <w:rsid w:val="09E1421F"/>
    <w:rsid w:val="09F930EA"/>
    <w:rsid w:val="09FF54DC"/>
    <w:rsid w:val="0A245448"/>
    <w:rsid w:val="0A7C3F6D"/>
    <w:rsid w:val="0A7D3AE6"/>
    <w:rsid w:val="0A9868F9"/>
    <w:rsid w:val="0AC172E9"/>
    <w:rsid w:val="0ACA060F"/>
    <w:rsid w:val="0AD71E9B"/>
    <w:rsid w:val="0B0B5F07"/>
    <w:rsid w:val="0B516F03"/>
    <w:rsid w:val="0B674F8E"/>
    <w:rsid w:val="0B7D3EDE"/>
    <w:rsid w:val="0B89775E"/>
    <w:rsid w:val="0BCE7EA7"/>
    <w:rsid w:val="0C3928C9"/>
    <w:rsid w:val="0C4718F6"/>
    <w:rsid w:val="0C9C36D5"/>
    <w:rsid w:val="0CE034C0"/>
    <w:rsid w:val="0CE37539"/>
    <w:rsid w:val="0CF63F41"/>
    <w:rsid w:val="0CFE0FC0"/>
    <w:rsid w:val="0D0374E3"/>
    <w:rsid w:val="0D0A572F"/>
    <w:rsid w:val="0D0A6306"/>
    <w:rsid w:val="0D1B1559"/>
    <w:rsid w:val="0D1C1711"/>
    <w:rsid w:val="0D555176"/>
    <w:rsid w:val="0D6F0E5D"/>
    <w:rsid w:val="0D7B2231"/>
    <w:rsid w:val="0D887BC6"/>
    <w:rsid w:val="0DB1060F"/>
    <w:rsid w:val="0E336A16"/>
    <w:rsid w:val="0E64092D"/>
    <w:rsid w:val="0E7D0AB3"/>
    <w:rsid w:val="0E7D5C8D"/>
    <w:rsid w:val="0E963CAB"/>
    <w:rsid w:val="0EA51F74"/>
    <w:rsid w:val="0EAF1251"/>
    <w:rsid w:val="0ED36ED3"/>
    <w:rsid w:val="0EE6002D"/>
    <w:rsid w:val="0EEE1E26"/>
    <w:rsid w:val="0F00375C"/>
    <w:rsid w:val="0F560D8D"/>
    <w:rsid w:val="0F5764BB"/>
    <w:rsid w:val="0F6257C5"/>
    <w:rsid w:val="0FB42DAE"/>
    <w:rsid w:val="0FBB1C4A"/>
    <w:rsid w:val="0FC41391"/>
    <w:rsid w:val="0FC43940"/>
    <w:rsid w:val="0FDE036F"/>
    <w:rsid w:val="0FEA11FB"/>
    <w:rsid w:val="0FF72380"/>
    <w:rsid w:val="10227FC7"/>
    <w:rsid w:val="1029166D"/>
    <w:rsid w:val="108C1B09"/>
    <w:rsid w:val="10F3457C"/>
    <w:rsid w:val="10FE2ED7"/>
    <w:rsid w:val="11160C7D"/>
    <w:rsid w:val="112B3BA0"/>
    <w:rsid w:val="1155348D"/>
    <w:rsid w:val="116105A8"/>
    <w:rsid w:val="11746A5F"/>
    <w:rsid w:val="11AA42B6"/>
    <w:rsid w:val="11CB3F36"/>
    <w:rsid w:val="11F15383"/>
    <w:rsid w:val="12065192"/>
    <w:rsid w:val="12125307"/>
    <w:rsid w:val="125F51F7"/>
    <w:rsid w:val="12607E18"/>
    <w:rsid w:val="12D45BF3"/>
    <w:rsid w:val="12E61DF9"/>
    <w:rsid w:val="132C0FC9"/>
    <w:rsid w:val="13DC1C7A"/>
    <w:rsid w:val="13DF6617"/>
    <w:rsid w:val="14127E02"/>
    <w:rsid w:val="14D75725"/>
    <w:rsid w:val="156845D9"/>
    <w:rsid w:val="156A2131"/>
    <w:rsid w:val="15854521"/>
    <w:rsid w:val="15A23E67"/>
    <w:rsid w:val="15B74989"/>
    <w:rsid w:val="15F54513"/>
    <w:rsid w:val="15F54AE8"/>
    <w:rsid w:val="165F5F88"/>
    <w:rsid w:val="16742C11"/>
    <w:rsid w:val="167D64C8"/>
    <w:rsid w:val="16B243CF"/>
    <w:rsid w:val="16C53D0A"/>
    <w:rsid w:val="16D62715"/>
    <w:rsid w:val="16DB7598"/>
    <w:rsid w:val="16E057F3"/>
    <w:rsid w:val="173B3423"/>
    <w:rsid w:val="174E1EC3"/>
    <w:rsid w:val="174F614E"/>
    <w:rsid w:val="17593F7C"/>
    <w:rsid w:val="179C6BA6"/>
    <w:rsid w:val="17B9383D"/>
    <w:rsid w:val="17C75809"/>
    <w:rsid w:val="17E165CB"/>
    <w:rsid w:val="17EB74E7"/>
    <w:rsid w:val="180D7E99"/>
    <w:rsid w:val="185C66AE"/>
    <w:rsid w:val="186B2AA6"/>
    <w:rsid w:val="1876710A"/>
    <w:rsid w:val="187C3036"/>
    <w:rsid w:val="188D3123"/>
    <w:rsid w:val="18DC4043"/>
    <w:rsid w:val="18DD0937"/>
    <w:rsid w:val="190D6C99"/>
    <w:rsid w:val="19223429"/>
    <w:rsid w:val="19245762"/>
    <w:rsid w:val="19601987"/>
    <w:rsid w:val="19690B66"/>
    <w:rsid w:val="197403CC"/>
    <w:rsid w:val="19B429F8"/>
    <w:rsid w:val="19B72F86"/>
    <w:rsid w:val="19B85E10"/>
    <w:rsid w:val="19BC22D6"/>
    <w:rsid w:val="19E020B8"/>
    <w:rsid w:val="19E8568F"/>
    <w:rsid w:val="1A0265AC"/>
    <w:rsid w:val="1A0D36FE"/>
    <w:rsid w:val="1A230D00"/>
    <w:rsid w:val="1A3106BF"/>
    <w:rsid w:val="1A5B6C23"/>
    <w:rsid w:val="1A8717B9"/>
    <w:rsid w:val="1AC6787B"/>
    <w:rsid w:val="1ACB0AE0"/>
    <w:rsid w:val="1AED2EFC"/>
    <w:rsid w:val="1B0D313F"/>
    <w:rsid w:val="1B320224"/>
    <w:rsid w:val="1B830DA9"/>
    <w:rsid w:val="1BC3044B"/>
    <w:rsid w:val="1BD23808"/>
    <w:rsid w:val="1C1007DD"/>
    <w:rsid w:val="1C3938AC"/>
    <w:rsid w:val="1C3B2B44"/>
    <w:rsid w:val="1C3E68C5"/>
    <w:rsid w:val="1C401C64"/>
    <w:rsid w:val="1C551678"/>
    <w:rsid w:val="1CA677B8"/>
    <w:rsid w:val="1CD6295C"/>
    <w:rsid w:val="1D393F6D"/>
    <w:rsid w:val="1D3C017E"/>
    <w:rsid w:val="1D664BF1"/>
    <w:rsid w:val="1D66642C"/>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7478B7"/>
    <w:rsid w:val="1FCB7610"/>
    <w:rsid w:val="200158E4"/>
    <w:rsid w:val="201F614A"/>
    <w:rsid w:val="2036061A"/>
    <w:rsid w:val="20390284"/>
    <w:rsid w:val="204474F4"/>
    <w:rsid w:val="206B7CFB"/>
    <w:rsid w:val="20782FE0"/>
    <w:rsid w:val="20956654"/>
    <w:rsid w:val="20BF6B4D"/>
    <w:rsid w:val="20CE49E5"/>
    <w:rsid w:val="20EB177E"/>
    <w:rsid w:val="20EC2AB3"/>
    <w:rsid w:val="21075EAE"/>
    <w:rsid w:val="21446D64"/>
    <w:rsid w:val="218E227A"/>
    <w:rsid w:val="219B0E35"/>
    <w:rsid w:val="21B262B5"/>
    <w:rsid w:val="21B97618"/>
    <w:rsid w:val="21C46F29"/>
    <w:rsid w:val="21F82CE7"/>
    <w:rsid w:val="220732D0"/>
    <w:rsid w:val="221B1AA1"/>
    <w:rsid w:val="22493602"/>
    <w:rsid w:val="22871F41"/>
    <w:rsid w:val="22E76720"/>
    <w:rsid w:val="23351427"/>
    <w:rsid w:val="233D075D"/>
    <w:rsid w:val="235A2118"/>
    <w:rsid w:val="23A302C8"/>
    <w:rsid w:val="23AE428F"/>
    <w:rsid w:val="23CA04FD"/>
    <w:rsid w:val="23EF4F44"/>
    <w:rsid w:val="24017C3E"/>
    <w:rsid w:val="2478400A"/>
    <w:rsid w:val="24A977D4"/>
    <w:rsid w:val="25482D76"/>
    <w:rsid w:val="256956B8"/>
    <w:rsid w:val="25830BDD"/>
    <w:rsid w:val="2595447B"/>
    <w:rsid w:val="25AB53AA"/>
    <w:rsid w:val="25CA6E03"/>
    <w:rsid w:val="25D90F8B"/>
    <w:rsid w:val="26205CFD"/>
    <w:rsid w:val="263B1339"/>
    <w:rsid w:val="263D681D"/>
    <w:rsid w:val="266807FF"/>
    <w:rsid w:val="26911AED"/>
    <w:rsid w:val="26AC098C"/>
    <w:rsid w:val="26AF4030"/>
    <w:rsid w:val="26F02FAB"/>
    <w:rsid w:val="272145E0"/>
    <w:rsid w:val="275E3610"/>
    <w:rsid w:val="276A51E0"/>
    <w:rsid w:val="277B3338"/>
    <w:rsid w:val="277E33C0"/>
    <w:rsid w:val="27ED72B6"/>
    <w:rsid w:val="27F52CFD"/>
    <w:rsid w:val="280C0039"/>
    <w:rsid w:val="282D258B"/>
    <w:rsid w:val="285E0683"/>
    <w:rsid w:val="28854F72"/>
    <w:rsid w:val="28BA186B"/>
    <w:rsid w:val="28D864E0"/>
    <w:rsid w:val="28E32ED5"/>
    <w:rsid w:val="290D5247"/>
    <w:rsid w:val="294F1A4F"/>
    <w:rsid w:val="29814F03"/>
    <w:rsid w:val="298D119C"/>
    <w:rsid w:val="29A0418D"/>
    <w:rsid w:val="29B81621"/>
    <w:rsid w:val="29E91BC9"/>
    <w:rsid w:val="29E97234"/>
    <w:rsid w:val="29ED3EB9"/>
    <w:rsid w:val="29F9264C"/>
    <w:rsid w:val="2A546A20"/>
    <w:rsid w:val="2A5471DE"/>
    <w:rsid w:val="2ADE530A"/>
    <w:rsid w:val="2AEC38E2"/>
    <w:rsid w:val="2BB2438C"/>
    <w:rsid w:val="2BC22C7B"/>
    <w:rsid w:val="2BCA32A1"/>
    <w:rsid w:val="2C055696"/>
    <w:rsid w:val="2C070392"/>
    <w:rsid w:val="2C2D2F9C"/>
    <w:rsid w:val="2C551389"/>
    <w:rsid w:val="2C863751"/>
    <w:rsid w:val="2CB2362F"/>
    <w:rsid w:val="2CC35888"/>
    <w:rsid w:val="2CDC700C"/>
    <w:rsid w:val="2CEB1449"/>
    <w:rsid w:val="2D4D5DA6"/>
    <w:rsid w:val="2D883B0E"/>
    <w:rsid w:val="2D8B3A56"/>
    <w:rsid w:val="2D9655B5"/>
    <w:rsid w:val="2D9B4C43"/>
    <w:rsid w:val="2DB60C0D"/>
    <w:rsid w:val="2DB66DAF"/>
    <w:rsid w:val="2DED7AC1"/>
    <w:rsid w:val="2DF55C0B"/>
    <w:rsid w:val="2E007F3F"/>
    <w:rsid w:val="2E034032"/>
    <w:rsid w:val="2E110ADE"/>
    <w:rsid w:val="2E29498D"/>
    <w:rsid w:val="2E2E141D"/>
    <w:rsid w:val="2E521653"/>
    <w:rsid w:val="2E7B7104"/>
    <w:rsid w:val="2E7C7DB1"/>
    <w:rsid w:val="2E926146"/>
    <w:rsid w:val="2E9E2680"/>
    <w:rsid w:val="2EB7183E"/>
    <w:rsid w:val="2EBF5D80"/>
    <w:rsid w:val="2EC67B81"/>
    <w:rsid w:val="2EED184C"/>
    <w:rsid w:val="2F946053"/>
    <w:rsid w:val="2FB111C0"/>
    <w:rsid w:val="2FB250EE"/>
    <w:rsid w:val="2FBE1727"/>
    <w:rsid w:val="300A04DE"/>
    <w:rsid w:val="302A58D2"/>
    <w:rsid w:val="3034564F"/>
    <w:rsid w:val="306B6815"/>
    <w:rsid w:val="307811E2"/>
    <w:rsid w:val="308B7EDE"/>
    <w:rsid w:val="308C1105"/>
    <w:rsid w:val="308D292D"/>
    <w:rsid w:val="30996E7C"/>
    <w:rsid w:val="30E363D4"/>
    <w:rsid w:val="31386DF1"/>
    <w:rsid w:val="31461845"/>
    <w:rsid w:val="319B49F2"/>
    <w:rsid w:val="31DA1919"/>
    <w:rsid w:val="31DB702A"/>
    <w:rsid w:val="31ED18E3"/>
    <w:rsid w:val="31EE3D4C"/>
    <w:rsid w:val="31FE4AC2"/>
    <w:rsid w:val="322B69F3"/>
    <w:rsid w:val="32997C5C"/>
    <w:rsid w:val="329F5D83"/>
    <w:rsid w:val="32AE67FE"/>
    <w:rsid w:val="32BF1974"/>
    <w:rsid w:val="32C40656"/>
    <w:rsid w:val="32EF63BD"/>
    <w:rsid w:val="3300581E"/>
    <w:rsid w:val="331204DD"/>
    <w:rsid w:val="332D317D"/>
    <w:rsid w:val="3371460F"/>
    <w:rsid w:val="338623B5"/>
    <w:rsid w:val="33897800"/>
    <w:rsid w:val="33C12B14"/>
    <w:rsid w:val="33C77CE4"/>
    <w:rsid w:val="347608AD"/>
    <w:rsid w:val="34B45F97"/>
    <w:rsid w:val="34C533CE"/>
    <w:rsid w:val="34DE1476"/>
    <w:rsid w:val="34E7797D"/>
    <w:rsid w:val="350100F6"/>
    <w:rsid w:val="35081CE0"/>
    <w:rsid w:val="353225AF"/>
    <w:rsid w:val="35330164"/>
    <w:rsid w:val="35372BEB"/>
    <w:rsid w:val="357D18D4"/>
    <w:rsid w:val="3583106D"/>
    <w:rsid w:val="358D6E27"/>
    <w:rsid w:val="35AB1587"/>
    <w:rsid w:val="35DD708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176A8D"/>
    <w:rsid w:val="371C4C0A"/>
    <w:rsid w:val="372F0C76"/>
    <w:rsid w:val="37332780"/>
    <w:rsid w:val="37461637"/>
    <w:rsid w:val="37906037"/>
    <w:rsid w:val="37B107DF"/>
    <w:rsid w:val="37EC2340"/>
    <w:rsid w:val="383306CA"/>
    <w:rsid w:val="388F3360"/>
    <w:rsid w:val="38B60CED"/>
    <w:rsid w:val="38C66435"/>
    <w:rsid w:val="38C72C82"/>
    <w:rsid w:val="38D0712F"/>
    <w:rsid w:val="390147D5"/>
    <w:rsid w:val="391E4543"/>
    <w:rsid w:val="39297CD8"/>
    <w:rsid w:val="39555064"/>
    <w:rsid w:val="39DB0183"/>
    <w:rsid w:val="39E16FE0"/>
    <w:rsid w:val="3A084041"/>
    <w:rsid w:val="3A0C5A88"/>
    <w:rsid w:val="3A22197C"/>
    <w:rsid w:val="3A3E0FB0"/>
    <w:rsid w:val="3AC6747A"/>
    <w:rsid w:val="3AC8207F"/>
    <w:rsid w:val="3AF172AC"/>
    <w:rsid w:val="3B22543A"/>
    <w:rsid w:val="3B311067"/>
    <w:rsid w:val="3B6C3AF0"/>
    <w:rsid w:val="3B8C10A4"/>
    <w:rsid w:val="3BA5009C"/>
    <w:rsid w:val="3BE00A47"/>
    <w:rsid w:val="3C0E4B8A"/>
    <w:rsid w:val="3C1E52CF"/>
    <w:rsid w:val="3C3057C7"/>
    <w:rsid w:val="3CA95D3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DC70DA"/>
    <w:rsid w:val="3EEA6653"/>
    <w:rsid w:val="3F1F063F"/>
    <w:rsid w:val="3F344A27"/>
    <w:rsid w:val="3F395DA7"/>
    <w:rsid w:val="3F3D1A00"/>
    <w:rsid w:val="3F693D1E"/>
    <w:rsid w:val="3F7C08BE"/>
    <w:rsid w:val="3F8C4BB5"/>
    <w:rsid w:val="3FAF1BDB"/>
    <w:rsid w:val="3FAF36F8"/>
    <w:rsid w:val="402F10B7"/>
    <w:rsid w:val="40C84DC0"/>
    <w:rsid w:val="40E63087"/>
    <w:rsid w:val="40EE74C4"/>
    <w:rsid w:val="41021FF2"/>
    <w:rsid w:val="413B7C4F"/>
    <w:rsid w:val="417047AC"/>
    <w:rsid w:val="417D2BF0"/>
    <w:rsid w:val="41D74163"/>
    <w:rsid w:val="41EC7D00"/>
    <w:rsid w:val="420402E9"/>
    <w:rsid w:val="42040900"/>
    <w:rsid w:val="42531840"/>
    <w:rsid w:val="42856D8B"/>
    <w:rsid w:val="429814D9"/>
    <w:rsid w:val="42A677C5"/>
    <w:rsid w:val="42B73177"/>
    <w:rsid w:val="42D66CA8"/>
    <w:rsid w:val="42FE679E"/>
    <w:rsid w:val="43131DC9"/>
    <w:rsid w:val="43315492"/>
    <w:rsid w:val="4363130B"/>
    <w:rsid w:val="43C42B2A"/>
    <w:rsid w:val="43D80BD9"/>
    <w:rsid w:val="43DD39C4"/>
    <w:rsid w:val="43E1472A"/>
    <w:rsid w:val="44070D31"/>
    <w:rsid w:val="446620DC"/>
    <w:rsid w:val="44994749"/>
    <w:rsid w:val="44B17375"/>
    <w:rsid w:val="44CB06C6"/>
    <w:rsid w:val="44D96A59"/>
    <w:rsid w:val="451413DC"/>
    <w:rsid w:val="455F04A3"/>
    <w:rsid w:val="458A0E9B"/>
    <w:rsid w:val="45AA21AA"/>
    <w:rsid w:val="45B03354"/>
    <w:rsid w:val="45BE3AA1"/>
    <w:rsid w:val="45D77AC2"/>
    <w:rsid w:val="460D03A3"/>
    <w:rsid w:val="46170337"/>
    <w:rsid w:val="4709536A"/>
    <w:rsid w:val="47346345"/>
    <w:rsid w:val="474C22E0"/>
    <w:rsid w:val="475F108B"/>
    <w:rsid w:val="479E0BF9"/>
    <w:rsid w:val="47CC2CBF"/>
    <w:rsid w:val="47E859E5"/>
    <w:rsid w:val="48015AC2"/>
    <w:rsid w:val="48026040"/>
    <w:rsid w:val="4806597B"/>
    <w:rsid w:val="4818686D"/>
    <w:rsid w:val="48290EA1"/>
    <w:rsid w:val="482F00F2"/>
    <w:rsid w:val="485E3463"/>
    <w:rsid w:val="48985421"/>
    <w:rsid w:val="48A90E72"/>
    <w:rsid w:val="48B66A37"/>
    <w:rsid w:val="48D90BAA"/>
    <w:rsid w:val="48F60966"/>
    <w:rsid w:val="48F71B49"/>
    <w:rsid w:val="49022E3C"/>
    <w:rsid w:val="493A64D3"/>
    <w:rsid w:val="49563556"/>
    <w:rsid w:val="495B46CC"/>
    <w:rsid w:val="49791ED9"/>
    <w:rsid w:val="4994738B"/>
    <w:rsid w:val="49BA4E94"/>
    <w:rsid w:val="49C47816"/>
    <w:rsid w:val="49D96ACF"/>
    <w:rsid w:val="49FA32DA"/>
    <w:rsid w:val="49FF6276"/>
    <w:rsid w:val="4A106B86"/>
    <w:rsid w:val="4A4354C2"/>
    <w:rsid w:val="4A474308"/>
    <w:rsid w:val="4A5934BB"/>
    <w:rsid w:val="4A720EEF"/>
    <w:rsid w:val="4A8926F4"/>
    <w:rsid w:val="4AA91B97"/>
    <w:rsid w:val="4AAF31B1"/>
    <w:rsid w:val="4AD706A1"/>
    <w:rsid w:val="4B434E7D"/>
    <w:rsid w:val="4B6603D5"/>
    <w:rsid w:val="4B7E054D"/>
    <w:rsid w:val="4B8E5A73"/>
    <w:rsid w:val="4B9716E8"/>
    <w:rsid w:val="4B981AFB"/>
    <w:rsid w:val="4BFB0D39"/>
    <w:rsid w:val="4C165BC1"/>
    <w:rsid w:val="4C2E05AB"/>
    <w:rsid w:val="4C3460DC"/>
    <w:rsid w:val="4C751E30"/>
    <w:rsid w:val="4C7B2918"/>
    <w:rsid w:val="4C93465E"/>
    <w:rsid w:val="4C940FE0"/>
    <w:rsid w:val="4CEE7232"/>
    <w:rsid w:val="4D1D334B"/>
    <w:rsid w:val="4D1F5259"/>
    <w:rsid w:val="4D310CE0"/>
    <w:rsid w:val="4D6B61CD"/>
    <w:rsid w:val="4D7609DC"/>
    <w:rsid w:val="4D764358"/>
    <w:rsid w:val="4DA274F8"/>
    <w:rsid w:val="4DCB4C25"/>
    <w:rsid w:val="4DCD485F"/>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F1E5F93"/>
    <w:rsid w:val="4F5416EE"/>
    <w:rsid w:val="4F573C87"/>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20599C"/>
    <w:rsid w:val="51205C57"/>
    <w:rsid w:val="5145465F"/>
    <w:rsid w:val="515E708D"/>
    <w:rsid w:val="5169663D"/>
    <w:rsid w:val="51C80F05"/>
    <w:rsid w:val="51E03A19"/>
    <w:rsid w:val="52563E44"/>
    <w:rsid w:val="527F2428"/>
    <w:rsid w:val="52870E84"/>
    <w:rsid w:val="52BC1638"/>
    <w:rsid w:val="52D070F5"/>
    <w:rsid w:val="52D723B0"/>
    <w:rsid w:val="52FF75B0"/>
    <w:rsid w:val="534E0590"/>
    <w:rsid w:val="53AD4E07"/>
    <w:rsid w:val="540727CA"/>
    <w:rsid w:val="5415503F"/>
    <w:rsid w:val="543E07CB"/>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51D6D"/>
    <w:rsid w:val="55EC16DE"/>
    <w:rsid w:val="55FB7AE9"/>
    <w:rsid w:val="564C3BAF"/>
    <w:rsid w:val="566756D8"/>
    <w:rsid w:val="567C73D4"/>
    <w:rsid w:val="56971C9D"/>
    <w:rsid w:val="56A13FD5"/>
    <w:rsid w:val="56AF212C"/>
    <w:rsid w:val="56B22FD9"/>
    <w:rsid w:val="56CD35B6"/>
    <w:rsid w:val="56CD5DF2"/>
    <w:rsid w:val="56EF0E1E"/>
    <w:rsid w:val="56F55E75"/>
    <w:rsid w:val="57085025"/>
    <w:rsid w:val="570925BD"/>
    <w:rsid w:val="574A01C9"/>
    <w:rsid w:val="57683EB8"/>
    <w:rsid w:val="57C970C0"/>
    <w:rsid w:val="57CD20EB"/>
    <w:rsid w:val="57F8518C"/>
    <w:rsid w:val="58055912"/>
    <w:rsid w:val="580F5F80"/>
    <w:rsid w:val="587161E6"/>
    <w:rsid w:val="588F79F3"/>
    <w:rsid w:val="58B06C41"/>
    <w:rsid w:val="58BC2BEA"/>
    <w:rsid w:val="58C37E45"/>
    <w:rsid w:val="58E50E83"/>
    <w:rsid w:val="58F637C8"/>
    <w:rsid w:val="58FA1C78"/>
    <w:rsid w:val="59114924"/>
    <w:rsid w:val="591E35A8"/>
    <w:rsid w:val="594A0D9A"/>
    <w:rsid w:val="596140D0"/>
    <w:rsid w:val="596F395C"/>
    <w:rsid w:val="5976348A"/>
    <w:rsid w:val="598A1B97"/>
    <w:rsid w:val="59A8766A"/>
    <w:rsid w:val="59BB5DF4"/>
    <w:rsid w:val="59F438C7"/>
    <w:rsid w:val="59FB7D2C"/>
    <w:rsid w:val="5A35296A"/>
    <w:rsid w:val="5ABF7889"/>
    <w:rsid w:val="5ACA0880"/>
    <w:rsid w:val="5AEC5D6B"/>
    <w:rsid w:val="5B17524C"/>
    <w:rsid w:val="5B530B81"/>
    <w:rsid w:val="5B5A43D2"/>
    <w:rsid w:val="5B6202AD"/>
    <w:rsid w:val="5B6A0214"/>
    <w:rsid w:val="5B6A078A"/>
    <w:rsid w:val="5B725AC7"/>
    <w:rsid w:val="5B7D66A9"/>
    <w:rsid w:val="5B7F6419"/>
    <w:rsid w:val="5B827C48"/>
    <w:rsid w:val="5B8B15FE"/>
    <w:rsid w:val="5BAC00C5"/>
    <w:rsid w:val="5BB03FDE"/>
    <w:rsid w:val="5BEC6454"/>
    <w:rsid w:val="5C003D71"/>
    <w:rsid w:val="5C62594C"/>
    <w:rsid w:val="5C814268"/>
    <w:rsid w:val="5C86422F"/>
    <w:rsid w:val="5CBD6243"/>
    <w:rsid w:val="5CEB1947"/>
    <w:rsid w:val="5CFB35C0"/>
    <w:rsid w:val="5CFE0B84"/>
    <w:rsid w:val="5D107DC0"/>
    <w:rsid w:val="5D2A2F13"/>
    <w:rsid w:val="5D2D4F79"/>
    <w:rsid w:val="5D626994"/>
    <w:rsid w:val="5DA455A5"/>
    <w:rsid w:val="5DAC00DF"/>
    <w:rsid w:val="5DAF1081"/>
    <w:rsid w:val="5DB07439"/>
    <w:rsid w:val="5DC4160C"/>
    <w:rsid w:val="5DCE69CD"/>
    <w:rsid w:val="5DCF2EB6"/>
    <w:rsid w:val="5DF5356B"/>
    <w:rsid w:val="5E0B0FBC"/>
    <w:rsid w:val="5E0B226E"/>
    <w:rsid w:val="5E4B0CBE"/>
    <w:rsid w:val="5E773F6F"/>
    <w:rsid w:val="5E7D14CB"/>
    <w:rsid w:val="5E84241E"/>
    <w:rsid w:val="5E9616E7"/>
    <w:rsid w:val="5E982EE0"/>
    <w:rsid w:val="5EB714AD"/>
    <w:rsid w:val="5EDE105F"/>
    <w:rsid w:val="5F37360D"/>
    <w:rsid w:val="5F49229E"/>
    <w:rsid w:val="5F684F25"/>
    <w:rsid w:val="5F6E48EF"/>
    <w:rsid w:val="5F7073BF"/>
    <w:rsid w:val="5F760A23"/>
    <w:rsid w:val="5F817211"/>
    <w:rsid w:val="5F914557"/>
    <w:rsid w:val="5FA66240"/>
    <w:rsid w:val="5FC554F9"/>
    <w:rsid w:val="5FC6028B"/>
    <w:rsid w:val="5FCB6C9D"/>
    <w:rsid w:val="5FDF438C"/>
    <w:rsid w:val="5FED4422"/>
    <w:rsid w:val="600F3C6C"/>
    <w:rsid w:val="604A6D49"/>
    <w:rsid w:val="60AB0DF5"/>
    <w:rsid w:val="60C61CEC"/>
    <w:rsid w:val="60D7093C"/>
    <w:rsid w:val="60EC2501"/>
    <w:rsid w:val="60EF79BC"/>
    <w:rsid w:val="60F87F31"/>
    <w:rsid w:val="61104A26"/>
    <w:rsid w:val="61240A21"/>
    <w:rsid w:val="61471A2E"/>
    <w:rsid w:val="6148017D"/>
    <w:rsid w:val="614A0AA6"/>
    <w:rsid w:val="616022A7"/>
    <w:rsid w:val="61807D53"/>
    <w:rsid w:val="6199549E"/>
    <w:rsid w:val="61DD4B30"/>
    <w:rsid w:val="62405901"/>
    <w:rsid w:val="626A0712"/>
    <w:rsid w:val="62990AE3"/>
    <w:rsid w:val="62E658D4"/>
    <w:rsid w:val="63586784"/>
    <w:rsid w:val="6371469D"/>
    <w:rsid w:val="63750C45"/>
    <w:rsid w:val="63916F28"/>
    <w:rsid w:val="642549B8"/>
    <w:rsid w:val="642678DA"/>
    <w:rsid w:val="643B0262"/>
    <w:rsid w:val="6443661D"/>
    <w:rsid w:val="64814DC1"/>
    <w:rsid w:val="651B5E29"/>
    <w:rsid w:val="65220114"/>
    <w:rsid w:val="652D0934"/>
    <w:rsid w:val="652F3D17"/>
    <w:rsid w:val="653063AB"/>
    <w:rsid w:val="6536207A"/>
    <w:rsid w:val="65B473BF"/>
    <w:rsid w:val="65EF0909"/>
    <w:rsid w:val="65FE13CB"/>
    <w:rsid w:val="66130CF9"/>
    <w:rsid w:val="66345BE8"/>
    <w:rsid w:val="66365C97"/>
    <w:rsid w:val="668460E0"/>
    <w:rsid w:val="669E44D1"/>
    <w:rsid w:val="66BC5967"/>
    <w:rsid w:val="66CD7E07"/>
    <w:rsid w:val="66CE14BB"/>
    <w:rsid w:val="670E0CB6"/>
    <w:rsid w:val="67113266"/>
    <w:rsid w:val="675E17FD"/>
    <w:rsid w:val="676E458A"/>
    <w:rsid w:val="67DE5F73"/>
    <w:rsid w:val="68026E74"/>
    <w:rsid w:val="680B110A"/>
    <w:rsid w:val="6826276A"/>
    <w:rsid w:val="683D512D"/>
    <w:rsid w:val="684D472B"/>
    <w:rsid w:val="686E5BB4"/>
    <w:rsid w:val="68A62B31"/>
    <w:rsid w:val="68BE5593"/>
    <w:rsid w:val="68F631D5"/>
    <w:rsid w:val="691124A6"/>
    <w:rsid w:val="692D4180"/>
    <w:rsid w:val="694C5544"/>
    <w:rsid w:val="696A7D45"/>
    <w:rsid w:val="698B1EAA"/>
    <w:rsid w:val="6991300A"/>
    <w:rsid w:val="69B11567"/>
    <w:rsid w:val="6A0B7CAC"/>
    <w:rsid w:val="6A3F4B44"/>
    <w:rsid w:val="6A767940"/>
    <w:rsid w:val="6A8702CE"/>
    <w:rsid w:val="6A96278C"/>
    <w:rsid w:val="6AAB6638"/>
    <w:rsid w:val="6AEC7FA6"/>
    <w:rsid w:val="6B015D49"/>
    <w:rsid w:val="6B4A06B0"/>
    <w:rsid w:val="6B526AFF"/>
    <w:rsid w:val="6B547775"/>
    <w:rsid w:val="6B8C5DC0"/>
    <w:rsid w:val="6B926804"/>
    <w:rsid w:val="6BD85211"/>
    <w:rsid w:val="6BE1256C"/>
    <w:rsid w:val="6BEA4587"/>
    <w:rsid w:val="6BF17577"/>
    <w:rsid w:val="6BF302FF"/>
    <w:rsid w:val="6BFF58F6"/>
    <w:rsid w:val="6C1A0D74"/>
    <w:rsid w:val="6C22550C"/>
    <w:rsid w:val="6C6626E3"/>
    <w:rsid w:val="6C6E2AEC"/>
    <w:rsid w:val="6C762D8F"/>
    <w:rsid w:val="6CDB2174"/>
    <w:rsid w:val="6CF62758"/>
    <w:rsid w:val="6D3163D3"/>
    <w:rsid w:val="6D34441D"/>
    <w:rsid w:val="6D3B47A6"/>
    <w:rsid w:val="6D483DE7"/>
    <w:rsid w:val="6D7664AF"/>
    <w:rsid w:val="6D8C5F9F"/>
    <w:rsid w:val="6D8F609F"/>
    <w:rsid w:val="6DCE79C6"/>
    <w:rsid w:val="6DF47F72"/>
    <w:rsid w:val="6E093526"/>
    <w:rsid w:val="6E0B43ED"/>
    <w:rsid w:val="6E1B3F67"/>
    <w:rsid w:val="6E202BC7"/>
    <w:rsid w:val="6E690C17"/>
    <w:rsid w:val="6E9E6DE2"/>
    <w:rsid w:val="6EB47DBF"/>
    <w:rsid w:val="6ECC2F07"/>
    <w:rsid w:val="6EE06106"/>
    <w:rsid w:val="6F655E08"/>
    <w:rsid w:val="6F9E422F"/>
    <w:rsid w:val="6F9F02B2"/>
    <w:rsid w:val="6FC27461"/>
    <w:rsid w:val="6FC71D13"/>
    <w:rsid w:val="6FDF692D"/>
    <w:rsid w:val="70004EC4"/>
    <w:rsid w:val="70054296"/>
    <w:rsid w:val="708176D1"/>
    <w:rsid w:val="70D03517"/>
    <w:rsid w:val="70D46B74"/>
    <w:rsid w:val="70E43CE1"/>
    <w:rsid w:val="710F1327"/>
    <w:rsid w:val="71273FA1"/>
    <w:rsid w:val="715F3DE9"/>
    <w:rsid w:val="71A34F9A"/>
    <w:rsid w:val="72245008"/>
    <w:rsid w:val="7224755A"/>
    <w:rsid w:val="72346A12"/>
    <w:rsid w:val="72537A2C"/>
    <w:rsid w:val="727A5785"/>
    <w:rsid w:val="72A539E6"/>
    <w:rsid w:val="730048C9"/>
    <w:rsid w:val="731A55B0"/>
    <w:rsid w:val="73511E13"/>
    <w:rsid w:val="738E738B"/>
    <w:rsid w:val="73A159D5"/>
    <w:rsid w:val="73EB2712"/>
    <w:rsid w:val="73FD4900"/>
    <w:rsid w:val="744317E0"/>
    <w:rsid w:val="74450F3F"/>
    <w:rsid w:val="745665A3"/>
    <w:rsid w:val="746F221E"/>
    <w:rsid w:val="746F4466"/>
    <w:rsid w:val="74711172"/>
    <w:rsid w:val="74BE27A9"/>
    <w:rsid w:val="74C306D0"/>
    <w:rsid w:val="752141B2"/>
    <w:rsid w:val="756273A8"/>
    <w:rsid w:val="756375D4"/>
    <w:rsid w:val="75800318"/>
    <w:rsid w:val="758B51E5"/>
    <w:rsid w:val="7594786A"/>
    <w:rsid w:val="75952B4B"/>
    <w:rsid w:val="75A91B7B"/>
    <w:rsid w:val="75F3613A"/>
    <w:rsid w:val="75F46F2C"/>
    <w:rsid w:val="76087A16"/>
    <w:rsid w:val="763F7892"/>
    <w:rsid w:val="7674730B"/>
    <w:rsid w:val="7683775D"/>
    <w:rsid w:val="76C30678"/>
    <w:rsid w:val="76F06858"/>
    <w:rsid w:val="7713302C"/>
    <w:rsid w:val="77136A2D"/>
    <w:rsid w:val="773F00B5"/>
    <w:rsid w:val="776F655D"/>
    <w:rsid w:val="778911F3"/>
    <w:rsid w:val="778F6DA7"/>
    <w:rsid w:val="77991202"/>
    <w:rsid w:val="77A271B3"/>
    <w:rsid w:val="77AD1753"/>
    <w:rsid w:val="77AF5682"/>
    <w:rsid w:val="77CB5AC9"/>
    <w:rsid w:val="78194131"/>
    <w:rsid w:val="782112B1"/>
    <w:rsid w:val="782C408D"/>
    <w:rsid w:val="7879346A"/>
    <w:rsid w:val="78C651E8"/>
    <w:rsid w:val="78C718E2"/>
    <w:rsid w:val="78DB0A49"/>
    <w:rsid w:val="78F2466F"/>
    <w:rsid w:val="79132357"/>
    <w:rsid w:val="792B1401"/>
    <w:rsid w:val="793C03C5"/>
    <w:rsid w:val="79474056"/>
    <w:rsid w:val="79650D4B"/>
    <w:rsid w:val="79BB424A"/>
    <w:rsid w:val="79C40F42"/>
    <w:rsid w:val="79C91C92"/>
    <w:rsid w:val="79CE6679"/>
    <w:rsid w:val="7A0B5E51"/>
    <w:rsid w:val="7A110017"/>
    <w:rsid w:val="7A343FE5"/>
    <w:rsid w:val="7A557FF1"/>
    <w:rsid w:val="7A5D0C82"/>
    <w:rsid w:val="7AA349F6"/>
    <w:rsid w:val="7ACD61FF"/>
    <w:rsid w:val="7B2F5EA3"/>
    <w:rsid w:val="7B4F0952"/>
    <w:rsid w:val="7B5C4060"/>
    <w:rsid w:val="7BB61BF2"/>
    <w:rsid w:val="7BCC7612"/>
    <w:rsid w:val="7BD63BC4"/>
    <w:rsid w:val="7BE01F2B"/>
    <w:rsid w:val="7BF13B58"/>
    <w:rsid w:val="7C1C212F"/>
    <w:rsid w:val="7C2A1290"/>
    <w:rsid w:val="7C5108ED"/>
    <w:rsid w:val="7C637794"/>
    <w:rsid w:val="7C872DCE"/>
    <w:rsid w:val="7C8D4593"/>
    <w:rsid w:val="7C9C6253"/>
    <w:rsid w:val="7CA22103"/>
    <w:rsid w:val="7CC54136"/>
    <w:rsid w:val="7CFF4D5A"/>
    <w:rsid w:val="7D1F324E"/>
    <w:rsid w:val="7D300344"/>
    <w:rsid w:val="7D812EA1"/>
    <w:rsid w:val="7D8D0E31"/>
    <w:rsid w:val="7D90016A"/>
    <w:rsid w:val="7D9508F0"/>
    <w:rsid w:val="7DA80BC8"/>
    <w:rsid w:val="7DAC507A"/>
    <w:rsid w:val="7DBE0AFF"/>
    <w:rsid w:val="7DC01F88"/>
    <w:rsid w:val="7DD16438"/>
    <w:rsid w:val="7DEB0C97"/>
    <w:rsid w:val="7E05110C"/>
    <w:rsid w:val="7E102E1B"/>
    <w:rsid w:val="7E2B7079"/>
    <w:rsid w:val="7E306B12"/>
    <w:rsid w:val="7E3C241E"/>
    <w:rsid w:val="7E5019F3"/>
    <w:rsid w:val="7E8A5090"/>
    <w:rsid w:val="7EA05EF0"/>
    <w:rsid w:val="7F0238CB"/>
    <w:rsid w:val="7F09056F"/>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Char"/>
    <w:basedOn w:val="20"/>
    <w:link w:val="14"/>
    <w:qFormat/>
    <w:uiPriority w:val="99"/>
    <w:rPr>
      <w:rFonts w:ascii="Times New Roman" w:hAnsi="Times New Roman" w:eastAsia="宋体" w:cs="Times New Roman"/>
      <w:sz w:val="18"/>
      <w:szCs w:val="18"/>
    </w:rPr>
  </w:style>
  <w:style w:type="character" w:customStyle="1" w:styleId="26">
    <w:name w:val="页脚 Char"/>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0"/>
    <w:link w:val="8"/>
    <w:semiHidden/>
    <w:qFormat/>
    <w:uiPriority w:val="99"/>
    <w:rPr>
      <w:rFonts w:ascii="Times New Roman" w:hAnsi="Times New Roman" w:eastAsia="宋体" w:cs="Times New Roman"/>
      <w:szCs w:val="24"/>
    </w:rPr>
  </w:style>
  <w:style w:type="character" w:customStyle="1" w:styleId="30">
    <w:name w:val="日期 Char"/>
    <w:basedOn w:val="20"/>
    <w:link w:val="10"/>
    <w:qFormat/>
    <w:uiPriority w:val="0"/>
    <w:rPr>
      <w:rFonts w:ascii="Times New Roman" w:hAnsi="Times New Roman" w:eastAsia="宋体" w:cs="Times New Roman"/>
      <w:kern w:val="0"/>
      <w:sz w:val="28"/>
      <w:szCs w:val="24"/>
    </w:rPr>
  </w:style>
  <w:style w:type="character" w:customStyle="1" w:styleId="31">
    <w:name w:val="批注框文本 Char"/>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Char"/>
    <w:basedOn w:val="20"/>
    <w:link w:val="11"/>
    <w:qFormat/>
    <w:uiPriority w:val="0"/>
    <w:rPr>
      <w:rFonts w:ascii="楷体_GB2312" w:hAnsi="Times New Roman" w:eastAsia="楷体_GB2312" w:cs="Times New Roman"/>
      <w:kern w:val="0"/>
      <w:sz w:val="24"/>
      <w:szCs w:val="24"/>
    </w:rPr>
  </w:style>
  <w:style w:type="character" w:customStyle="1" w:styleId="34">
    <w:name w:val="文档结构图 Char"/>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0"/>
    <w:link w:val="9"/>
    <w:qFormat/>
    <w:uiPriority w:val="0"/>
    <w:rPr>
      <w:rFonts w:ascii="宋体" w:hAnsi="Courier New" w:eastAsia="宋体" w:cs="Times New Roman"/>
      <w:kern w:val="0"/>
      <w:sz w:val="20"/>
      <w:szCs w:val="21"/>
    </w:rPr>
  </w:style>
  <w:style w:type="character" w:customStyle="1" w:styleId="36">
    <w:name w:val="正文文本缩进 Char"/>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Char"/>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Char"/>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Body Text First Indent 2"/>
    <w:basedOn w:val="44"/>
    <w:qFormat/>
    <w:uiPriority w:val="0"/>
    <w:pPr>
      <w:spacing w:after="120" w:afterLines="0" w:line="240" w:lineRule="auto"/>
      <w:ind w:left="420" w:leftChars="200" w:firstLine="420" w:firstLineChars="200"/>
    </w:pPr>
    <w:rPr>
      <w:sz w:val="21"/>
    </w:rPr>
  </w:style>
  <w:style w:type="paragraph" w:customStyle="1" w:styleId="44">
    <w:name w:val="Body Text Indent"/>
    <w:basedOn w:val="1"/>
    <w:next w:val="45"/>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5">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5032</Words>
  <Characters>28684</Characters>
  <Lines>239</Lines>
  <Paragraphs>67</Paragraphs>
  <TotalTime>9</TotalTime>
  <ScaleCrop>false</ScaleCrop>
  <LinksUpToDate>false</LinksUpToDate>
  <CharactersWithSpaces>33649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2020-07-24T01:24:00Z</cp:lastPrinted>
  <dcterms:modified xsi:type="dcterms:W3CDTF">2020-09-08T02:57:56Z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