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36"/>
        </w:rPr>
      </w:pPr>
    </w:p>
    <w:p>
      <w:pPr>
        <w:jc w:val="center"/>
        <w:rPr>
          <w:rFonts w:hint="eastAsia" w:ascii="宋体" w:hAnsi="宋体" w:cs="宋体"/>
          <w:color w:val="auto"/>
          <w:sz w:val="36"/>
        </w:rPr>
      </w:pPr>
    </w:p>
    <w:p>
      <w:pPr>
        <w:jc w:val="center"/>
        <w:rPr>
          <w:rFonts w:hint="eastAsia" w:ascii="宋体" w:hAnsi="宋体" w:cs="宋体"/>
          <w:color w:val="auto"/>
          <w:sz w:val="36"/>
        </w:rPr>
      </w:pPr>
      <w:bookmarkStart w:id="185" w:name="_GoBack"/>
      <w:bookmarkEnd w:id="185"/>
    </w:p>
    <w:p>
      <w:pPr>
        <w:jc w:val="center"/>
        <w:rPr>
          <w:rFonts w:hint="eastAsia" w:ascii="宋体" w:hAnsi="宋体" w:cs="宋体"/>
          <w:color w:val="auto"/>
          <w:sz w:val="36"/>
        </w:rPr>
      </w:pPr>
    </w:p>
    <w:p>
      <w:pPr>
        <w:jc w:val="center"/>
        <w:rPr>
          <w:rFonts w:hint="eastAsia" w:ascii="宋体" w:hAnsi="宋体" w:cs="宋体"/>
          <w:b/>
          <w:color w:val="auto"/>
          <w:sz w:val="84"/>
        </w:rPr>
      </w:pPr>
      <w:r>
        <w:rPr>
          <w:rFonts w:hint="eastAsia" w:ascii="宋体" w:hAnsi="宋体" w:cs="宋体"/>
          <w:b/>
          <w:color w:val="auto"/>
          <w:sz w:val="84"/>
        </w:rPr>
        <w:t>招 标 文 件</w:t>
      </w:r>
    </w:p>
    <w:p>
      <w:pP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jc w:val="center"/>
        <w:rPr>
          <w:rFonts w:hint="eastAsia" w:ascii="宋体" w:hAnsi="宋体" w:cs="宋体"/>
          <w:b/>
          <w:color w:val="auto"/>
          <w:sz w:val="32"/>
        </w:rPr>
      </w:pPr>
    </w:p>
    <w:p>
      <w:pPr>
        <w:ind w:firstLine="720" w:firstLineChars="200"/>
        <w:rPr>
          <w:rFonts w:hint="eastAsia" w:ascii="宋体" w:hAnsi="宋体" w:cs="宋体"/>
          <w:b/>
          <w:color w:val="auto"/>
          <w:sz w:val="36"/>
        </w:rPr>
      </w:pPr>
      <w:r>
        <w:rPr>
          <w:rFonts w:hint="eastAsia" w:ascii="宋体" w:hAnsi="宋体" w:cs="宋体"/>
          <w:b/>
          <w:color w:val="auto"/>
          <w:sz w:val="36"/>
        </w:rPr>
        <w:t>项目编号：2019-009S</w:t>
      </w:r>
    </w:p>
    <w:p>
      <w:pPr>
        <w:jc w:val="center"/>
        <w:rPr>
          <w:rFonts w:hint="eastAsia" w:ascii="宋体" w:hAnsi="宋体" w:cs="宋体"/>
          <w:b/>
          <w:color w:val="auto"/>
          <w:sz w:val="32"/>
        </w:rPr>
      </w:pPr>
    </w:p>
    <w:p>
      <w:pPr>
        <w:jc w:val="center"/>
        <w:rPr>
          <w:rFonts w:hint="eastAsia" w:ascii="宋体" w:hAnsi="宋体" w:cs="宋体"/>
          <w:b/>
          <w:color w:val="auto"/>
          <w:sz w:val="32"/>
        </w:rPr>
      </w:pPr>
    </w:p>
    <w:p>
      <w:pPr>
        <w:ind w:firstLine="720" w:firstLineChars="200"/>
        <w:rPr>
          <w:rFonts w:hint="eastAsia" w:ascii="宋体" w:hAnsi="宋体" w:cs="宋体"/>
          <w:b/>
          <w:color w:val="auto"/>
          <w:sz w:val="36"/>
          <w:szCs w:val="36"/>
        </w:rPr>
      </w:pPr>
      <w:r>
        <w:rPr>
          <w:rFonts w:hint="eastAsia" w:ascii="宋体" w:hAnsi="宋体" w:cs="宋体"/>
          <w:b/>
          <w:color w:val="auto"/>
          <w:sz w:val="36"/>
          <w:szCs w:val="36"/>
        </w:rPr>
        <w:t xml:space="preserve">项目名称：盐城工业职业技术学院车辆租赁服务项目 </w:t>
      </w: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rPr>
          <w:rFonts w:hint="eastAsia" w:ascii="宋体" w:hAnsi="宋体" w:cs="宋体"/>
          <w:b/>
          <w:color w:val="auto"/>
          <w:sz w:val="32"/>
        </w:rPr>
      </w:pPr>
    </w:p>
    <w:p>
      <w:pPr>
        <w:jc w:val="center"/>
        <w:rPr>
          <w:rFonts w:hint="eastAsia" w:ascii="宋体" w:hAnsi="宋体" w:cs="宋体"/>
          <w:bCs/>
          <w:color w:val="auto"/>
          <w:sz w:val="36"/>
          <w:szCs w:val="36"/>
        </w:rPr>
      </w:pPr>
      <w:r>
        <w:rPr>
          <w:rFonts w:hint="eastAsia" w:ascii="宋体" w:hAnsi="宋体" w:cs="宋体"/>
          <w:bCs/>
          <w:color w:val="auto"/>
          <w:sz w:val="36"/>
          <w:szCs w:val="36"/>
        </w:rPr>
        <w:t>盐城工业职业技术学院</w:t>
      </w:r>
    </w:p>
    <w:p>
      <w:pPr>
        <w:jc w:val="center"/>
        <w:rPr>
          <w:rFonts w:hint="eastAsia" w:ascii="宋体" w:hAnsi="宋体" w:cs="宋体"/>
          <w:color w:val="auto"/>
          <w:sz w:val="36"/>
          <w:szCs w:val="36"/>
        </w:rPr>
      </w:pPr>
      <w:r>
        <w:rPr>
          <w:rFonts w:hint="eastAsia" w:ascii="宋体" w:hAnsi="宋体" w:cs="宋体"/>
          <w:color w:val="auto"/>
          <w:sz w:val="36"/>
          <w:szCs w:val="36"/>
        </w:rPr>
        <w:t>江苏双清工程造价咨询有限公司</w:t>
      </w:r>
    </w:p>
    <w:p>
      <w:pPr>
        <w:jc w:val="center"/>
        <w:rPr>
          <w:rFonts w:hint="eastAsia" w:ascii="宋体" w:hAnsi="宋体" w:cs="宋体"/>
          <w:color w:val="auto"/>
          <w:sz w:val="36"/>
          <w:szCs w:val="36"/>
        </w:rPr>
      </w:pPr>
      <w:r>
        <w:rPr>
          <w:rFonts w:hint="eastAsia" w:ascii="宋体" w:hAnsi="宋体" w:cs="宋体"/>
          <w:color w:val="auto"/>
          <w:sz w:val="36"/>
          <w:szCs w:val="36"/>
        </w:rPr>
        <w:t xml:space="preserve"> 2019年6月5日</w:t>
      </w:r>
    </w:p>
    <w:p>
      <w:pPr>
        <w:spacing w:line="480" w:lineRule="auto"/>
        <w:jc w:val="center"/>
        <w:outlineLvl w:val="0"/>
        <w:rPr>
          <w:rFonts w:hint="eastAsia" w:ascii="宋体" w:hAnsi="宋体" w:cs="宋体"/>
          <w:b/>
          <w:color w:val="auto"/>
          <w:sz w:val="44"/>
        </w:rPr>
      </w:pPr>
      <w:r>
        <w:rPr>
          <w:rFonts w:hint="eastAsia" w:ascii="宋体" w:hAnsi="宋体" w:cs="宋体"/>
          <w:color w:val="auto"/>
        </w:rPr>
        <w:br w:type="page"/>
      </w:r>
      <w:bookmarkStart w:id="0" w:name="_Toc120614210"/>
      <w:bookmarkStart w:id="1" w:name="_Toc523127445"/>
      <w:bookmarkStart w:id="2" w:name="_Toc479757206"/>
      <w:bookmarkStart w:id="3" w:name="_Toc16938516"/>
      <w:bookmarkStart w:id="4" w:name="_Toc513029200"/>
      <w:bookmarkStart w:id="5" w:name="_Toc20823272"/>
      <w:r>
        <w:rPr>
          <w:rFonts w:hint="eastAsia" w:ascii="宋体" w:hAnsi="宋体" w:cs="宋体"/>
          <w:b/>
          <w:color w:val="auto"/>
          <w:sz w:val="44"/>
        </w:rPr>
        <w:t>总  目  录</w:t>
      </w:r>
    </w:p>
    <w:p>
      <w:pPr>
        <w:spacing w:line="480" w:lineRule="auto"/>
        <w:rPr>
          <w:rFonts w:hint="eastAsia" w:ascii="宋体" w:hAnsi="宋体" w:cs="宋体"/>
          <w:b/>
          <w:color w:val="auto"/>
          <w:sz w:val="28"/>
        </w:rPr>
      </w:pPr>
    </w:p>
    <w:p>
      <w:pPr>
        <w:numPr>
          <w:ilvl w:val="0"/>
          <w:numId w:val="4"/>
        </w:numPr>
        <w:spacing w:line="480" w:lineRule="auto"/>
        <w:outlineLvl w:val="0"/>
        <w:rPr>
          <w:rFonts w:hint="eastAsia" w:ascii="宋体" w:hAnsi="宋体" w:cs="宋体"/>
          <w:color w:val="auto"/>
          <w:sz w:val="32"/>
        </w:rPr>
      </w:pPr>
      <w:r>
        <w:rPr>
          <w:rFonts w:hint="eastAsia" w:ascii="宋体" w:hAnsi="宋体" w:cs="宋体"/>
          <w:color w:val="auto"/>
          <w:sz w:val="36"/>
        </w:rPr>
        <w:t xml:space="preserve">招标公告…………………………………… </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 xml:space="preserve">………………………………  </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合同条款及格式……………………………</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项目需求……………………………………</w:t>
      </w:r>
    </w:p>
    <w:p>
      <w:pPr>
        <w:numPr>
          <w:ilvl w:val="0"/>
          <w:numId w:val="4"/>
        </w:numPr>
        <w:spacing w:line="480" w:lineRule="auto"/>
        <w:outlineLvl w:val="0"/>
        <w:rPr>
          <w:rFonts w:hint="eastAsia" w:ascii="宋体" w:hAns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4"/>
        </w:numPr>
        <w:spacing w:line="480" w:lineRule="auto"/>
        <w:outlineLvl w:val="0"/>
        <w:rPr>
          <w:rFonts w:hint="eastAsia" w:ascii="宋体" w:hAnsi="宋体" w:cs="宋体"/>
          <w:color w:val="auto"/>
          <w:sz w:val="36"/>
        </w:rPr>
      </w:pPr>
      <w:r>
        <w:rPr>
          <w:rFonts w:hint="eastAsia" w:ascii="宋体" w:hAnsi="宋体" w:cs="宋体"/>
          <w:color w:val="auto"/>
          <w:sz w:val="36"/>
        </w:rPr>
        <w:t>投标文件格式………………………………</w:t>
      </w:r>
    </w:p>
    <w:p>
      <w:pPr>
        <w:pStyle w:val="2"/>
        <w:rPr>
          <w:rFonts w:hint="eastAsia" w:ascii="宋体" w:hAnsi="宋体" w:eastAsia="宋体" w:cs="宋体"/>
          <w:bCs/>
          <w:color w:val="auto"/>
          <w:sz w:val="44"/>
        </w:rPr>
      </w:pPr>
    </w:p>
    <w:p>
      <w:pPr>
        <w:pStyle w:val="2"/>
        <w:rPr>
          <w:rFonts w:hint="eastAsia" w:ascii="宋体" w:hAnsi="宋体" w:eastAsia="宋体" w:cs="宋体"/>
          <w:bCs/>
          <w:color w:val="auto"/>
          <w:sz w:val="44"/>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pStyle w:val="2"/>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color w:val="auto"/>
          <w:sz w:val="44"/>
          <w:szCs w:val="44"/>
        </w:rPr>
        <w:t xml:space="preserve">第一章  </w:t>
      </w:r>
      <w:bookmarkEnd w:id="0"/>
      <w:r>
        <w:rPr>
          <w:rFonts w:hint="eastAsia" w:ascii="宋体" w:hAnsi="宋体" w:eastAsia="宋体" w:cs="宋体"/>
          <w:color w:val="auto"/>
          <w:sz w:val="44"/>
          <w:szCs w:val="44"/>
        </w:rPr>
        <w:t>招标公告</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根据盐城工业职业技术学院下达的采购计划，江苏双清工程造价咨询有限公司受盐城工业职业技术学院</w:t>
      </w:r>
      <w:r>
        <w:rPr>
          <w:rFonts w:hint="eastAsia" w:ascii="宋体" w:hAnsi="宋体" w:cs="宋体"/>
          <w:color w:val="auto"/>
          <w:sz w:val="24"/>
        </w:rPr>
        <w:softHyphen/>
      </w:r>
      <w:r>
        <w:rPr>
          <w:rFonts w:hint="eastAsia" w:ascii="宋体" w:hAnsi="宋体" w:cs="宋体"/>
          <w:color w:val="auto"/>
          <w:sz w:val="24"/>
        </w:rPr>
        <w:softHyphen/>
      </w:r>
      <w:r>
        <w:rPr>
          <w:rFonts w:hint="eastAsia" w:ascii="宋体" w:hAnsi="宋体" w:cs="宋体"/>
          <w:color w:val="auto"/>
          <w:sz w:val="24"/>
        </w:rPr>
        <w:t>的委托，决定就其所需的盐城工业职业技术学院车辆租赁服务项目进行公开招标采购，现欢迎符合相关条件的合格供应商投标。</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一、招标项目名称及编号</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项目名称：盐城工业职业技术学院车辆租赁服务项目</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标书编号：2019-009S</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b/>
          <w:bCs/>
          <w:color w:val="auto"/>
          <w:sz w:val="24"/>
        </w:rPr>
        <w:t>二、招标项目（简要说明）及预算金额</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1、服务地点：盐城工业职业技术学院业务用车部门指定地点。</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2、招标范围及招标内容：盐城工业职业技术学院车辆租赁服务，详细业务用车需求以招标文件清单和招标人要求为准。</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3、本次招标共分为2个分包，具体划分如下：</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分包一：15座及以下车辆（5座含司机小车、7座含司机商务车、9～15座含司机商务车）</w:t>
      </w:r>
      <w:r>
        <w:rPr>
          <w:rFonts w:hint="eastAsia" w:ascii="宋体" w:hAnsi="宋体" w:cs="宋体"/>
          <w:color w:val="auto"/>
          <w:sz w:val="24"/>
        </w:rPr>
        <w:t>,拟确定中标供应商：3家。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分包二：15座以上车辆（一般是21 座含司机小型客车、39座含司机中型客车、55 座含司机大型客车）</w:t>
      </w:r>
      <w:r>
        <w:rPr>
          <w:rFonts w:hint="eastAsia" w:ascii="宋体" w:hAnsi="宋体" w:cs="宋体"/>
          <w:color w:val="auto"/>
          <w:sz w:val="24"/>
        </w:rPr>
        <w:t>,拟确定中标供应商：2家。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投标人可同时参加上述两个分包的投标且可同时入围两个分包。</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4、服务期：暂定一年，服务期满后经综合考核合格根据招标人的需要可续签车辆租赁服务合同。</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color w:val="auto"/>
          <w:sz w:val="24"/>
          <w:szCs w:val="24"/>
        </w:rPr>
        <w:t>5、投标最高限价：不高于其在盐城市市本级行政事业单位公车租赁的价格。</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三、供应商资格要求</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（一）符合政府采购法第二十二条第一款规定的条件，并提供下列材料：</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1、法人或者其他组织的营业执照等证明文件，自然人的身份证明；</w:t>
      </w:r>
      <w:r>
        <w:rPr>
          <w:rFonts w:hint="eastAsia" w:ascii="宋体" w:hAnsi="宋体" w:cs="宋体"/>
          <w:color w:val="auto"/>
          <w:sz w:val="24"/>
        </w:rPr>
        <w:br w:type="textWrapping"/>
      </w:r>
      <w:r>
        <w:rPr>
          <w:rFonts w:hint="eastAsia" w:ascii="宋体" w:hAnsi="宋体" w:cs="宋体"/>
          <w:color w:val="auto"/>
          <w:sz w:val="24"/>
        </w:rPr>
        <w:t>　　2、上一年度的财务报表（成立不满一年不需提供）；</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3、依法缴纳税收和社会保障资金的相关材料；</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4、具备履行合同所必需的设备和专业技术能力的书面声明；</w:t>
      </w:r>
    </w:p>
    <w:p>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5、参加政府采购活动前3年内在经营活动中没有重大违法记录的书面声明；</w:t>
      </w:r>
    </w:p>
    <w:p>
      <w:pPr>
        <w:spacing w:line="500" w:lineRule="exact"/>
        <w:ind w:firstLine="480" w:firstLineChars="200"/>
        <w:rPr>
          <w:rFonts w:hint="eastAsia" w:ascii="宋体" w:hAnsi="宋体" w:cs="宋体"/>
          <w:bCs/>
          <w:color w:val="auto"/>
          <w:sz w:val="24"/>
          <w:u w:val="single"/>
        </w:rPr>
      </w:pPr>
      <w:r>
        <w:rPr>
          <w:rFonts w:hint="eastAsia" w:ascii="宋体" w:hAnsi="宋体" w:cs="宋体"/>
          <w:bCs/>
          <w:color w:val="auto"/>
          <w:sz w:val="24"/>
        </w:rPr>
        <w:t>（二）其他资格条件：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rPr>
        <w:t>2、投标人所供出租车辆手续齐全，必须符合国家、行业技术标准和招标文件要求。投标人所供出租车辆使用年限应不超过5年，小车车价在20万元以上。车辆需按照国家相关</w:t>
      </w:r>
      <w:r>
        <w:rPr>
          <w:rFonts w:hint="eastAsia" w:ascii="宋体" w:hAnsi="宋体" w:cs="宋体"/>
          <w:color w:val="auto"/>
          <w:sz w:val="24"/>
          <w:highlight w:val="none"/>
        </w:rPr>
        <w:t>规定进行投保（交强险，商业险以及相关的车损险）。其中，商业第三者责任险不低于100万元，车上人员责任险（乘客）不低于5万元。承租车辆的驾驶员需持有有效的相应准驾车型的中华人民共和国正式驾驶证，驾龄不低于5年。</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3、投标人须具有道路运输经营许可证（经营范围包含客运），且须保证所供出租车辆行驶安全，如发生交通事故，一切责任均由投标人承担。</w:t>
      </w:r>
    </w:p>
    <w:p>
      <w:pPr>
        <w:tabs>
          <w:tab w:val="left" w:pos="900"/>
        </w:tabs>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4、投标人近三年内没有被司法部门或行业管理部门查处；没有处于被责令停业、财产被接管、冻结、破产等状态。招标人中标后不得以任何方式进行转包。</w:t>
      </w:r>
    </w:p>
    <w:p>
      <w:pPr>
        <w:snapToGrid w:val="0"/>
        <w:spacing w:line="500" w:lineRule="exact"/>
        <w:ind w:firstLine="480" w:firstLineChars="200"/>
        <w:rPr>
          <w:rFonts w:hint="eastAsia" w:ascii="宋体" w:hAnsi="宋体" w:cs="宋体"/>
          <w:bCs/>
          <w:color w:val="auto"/>
          <w:sz w:val="24"/>
        </w:rPr>
      </w:pPr>
      <w:r>
        <w:rPr>
          <w:rFonts w:hint="eastAsia" w:ascii="宋体" w:hAnsi="宋体" w:cs="宋体"/>
          <w:color w:val="auto"/>
          <w:sz w:val="24"/>
          <w:highlight w:val="none"/>
        </w:rPr>
        <w:t>5、未</w:t>
      </w:r>
      <w:r>
        <w:rPr>
          <w:rFonts w:hint="eastAsia" w:ascii="宋体" w:hAnsi="宋体" w:cs="宋体"/>
          <w:bCs/>
          <w:color w:val="auto"/>
          <w:sz w:val="24"/>
          <w:highlight w:val="none"/>
        </w:rPr>
        <w:t>被“信用中国”网站（www.creditchina.gov.cn）列入</w:t>
      </w:r>
      <w:r>
        <w:rPr>
          <w:rFonts w:hint="eastAsia" w:ascii="宋体" w:hAnsi="宋体" w:cs="宋体"/>
          <w:bCs/>
          <w:color w:val="auto"/>
          <w:sz w:val="24"/>
        </w:rPr>
        <w:t xml:space="preserve">失信被执行人、重大税收违法案件当事人名单、政府采购严重失信行为记录名单。  </w:t>
      </w:r>
    </w:p>
    <w:p>
      <w:pPr>
        <w:spacing w:line="500" w:lineRule="exact"/>
        <w:ind w:firstLine="480" w:firstLineChars="200"/>
        <w:rPr>
          <w:rFonts w:hint="eastAsia" w:ascii="宋体" w:hAnsi="宋体" w:cs="宋体"/>
          <w:bCs/>
          <w:color w:val="auto"/>
          <w:sz w:val="24"/>
        </w:rPr>
      </w:pPr>
      <w:r>
        <w:rPr>
          <w:rFonts w:hint="eastAsia" w:ascii="宋体" w:hAnsi="宋体" w:cs="宋体"/>
          <w:bCs/>
          <w:color w:val="auto"/>
          <w:sz w:val="24"/>
        </w:rPr>
        <w:t>（三）本项目</w:t>
      </w:r>
      <w:r>
        <w:rPr>
          <w:rFonts w:hint="eastAsia" w:ascii="宋体" w:hAnsi="宋体" w:cs="宋体"/>
          <w:bCs/>
          <w:color w:val="auto"/>
          <w:sz w:val="24"/>
          <w:u w:val="single"/>
        </w:rPr>
        <w:t>不接受</w:t>
      </w:r>
      <w:r>
        <w:rPr>
          <w:rFonts w:hint="eastAsia" w:ascii="宋体" w:hAnsi="宋体" w:cs="宋体"/>
          <w:bCs/>
          <w:color w:val="auto"/>
          <w:sz w:val="24"/>
        </w:rPr>
        <w:t>联合体投标；</w:t>
      </w:r>
    </w:p>
    <w:p>
      <w:pPr>
        <w:spacing w:line="500" w:lineRule="exact"/>
        <w:ind w:firstLine="480" w:firstLineChars="200"/>
        <w:rPr>
          <w:rFonts w:hint="eastAsia" w:ascii="宋体" w:hAnsi="宋体" w:cs="宋体"/>
          <w:b/>
          <w:bCs/>
          <w:color w:val="auto"/>
          <w:sz w:val="24"/>
          <w:szCs w:val="24"/>
        </w:rPr>
      </w:pPr>
      <w:r>
        <w:rPr>
          <w:rFonts w:hint="eastAsia" w:ascii="宋体" w:hAnsi="宋体" w:cs="宋体"/>
          <w:b/>
          <w:bCs/>
          <w:color w:val="auto"/>
          <w:sz w:val="24"/>
        </w:rPr>
        <w:t>四、</w:t>
      </w:r>
      <w:r>
        <w:rPr>
          <w:rFonts w:hint="eastAsia" w:ascii="宋体" w:hAnsi="宋体" w:cs="宋体"/>
          <w:b/>
          <w:bCs/>
          <w:color w:val="auto"/>
          <w:sz w:val="24"/>
          <w:szCs w:val="24"/>
        </w:rPr>
        <w:t>招标文件提供信息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300元在开标现场现金交纳），供应商如确定参加投标，请如实填写参与《投标确</w:t>
      </w:r>
      <w:r>
        <w:rPr>
          <w:rFonts w:hint="eastAsia" w:ascii="宋体" w:hAnsi="宋体" w:cs="宋体"/>
          <w:color w:val="auto"/>
          <w:sz w:val="24"/>
        </w:rPr>
        <w:t>认函》并在投标文件截止时间三天前按要求送达或邮件回复（邮箱号码：</w:t>
      </w:r>
      <w:r>
        <w:rPr>
          <w:color w:val="auto"/>
        </w:rPr>
        <w:fldChar w:fldCharType="begin"/>
      </w:r>
      <w:r>
        <w:rPr>
          <w:color w:val="auto"/>
        </w:rPr>
        <w:instrText xml:space="preserve"> HYPERLINK "mailto:310920981@qq.com" </w:instrText>
      </w:r>
      <w:r>
        <w:rPr>
          <w:color w:val="auto"/>
        </w:rPr>
        <w:fldChar w:fldCharType="separate"/>
      </w:r>
      <w:r>
        <w:rPr>
          <w:rStyle w:val="50"/>
          <w:rFonts w:hint="default" w:ascii="宋体" w:hAnsi="宋体" w:eastAsia="宋体" w:cs="宋体"/>
          <w:color w:val="auto"/>
          <w:sz w:val="24"/>
        </w:rPr>
        <w:t>310920981@qq.com</w:t>
      </w:r>
      <w:r>
        <w:rPr>
          <w:rStyle w:val="50"/>
          <w:rFonts w:hint="default" w:ascii="宋体" w:hAnsi="宋体" w:eastAsia="宋体" w:cs="宋体"/>
          <w:color w:val="auto"/>
          <w:sz w:val="24"/>
        </w:rPr>
        <w:fldChar w:fldCharType="end"/>
      </w:r>
      <w:r>
        <w:rPr>
          <w:rFonts w:hint="eastAsia" w:ascii="宋体" w:hAnsi="宋体" w:cs="宋体"/>
          <w:color w:val="auto"/>
          <w:sz w:val="24"/>
        </w:rPr>
        <w:t>）。</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有关本次招标的事项若存在变动或修改，敬请及时关注“盐城市政府采购网”和“盐城工业职业技术学院招标采购网”发布的信息更正公告。</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五、投标文件接收信息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投标文件接收时间：2019年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日14：30时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投标文件接收截止时间：2019年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日15：00时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投标文件接收地点：盐城工业职业技术学院（盐城市解放南路285号）图书馆三楼第二会议室</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六、开标有关信息</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开标时间：2019年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日15：00时</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开标地点：盐城工业职业技术学院（盐城市解放南路285号）图书馆三楼第二会议室</w:t>
      </w:r>
    </w:p>
    <w:p>
      <w:pPr>
        <w:tabs>
          <w:tab w:val="left" w:pos="900"/>
        </w:tabs>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七、本次招标联系事项</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（一）采购人项目联系人：杨老师，联系电话：0515-88583907；</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采购人招标联系人：赵萌，联系电话：0515-88588707；</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采购人地址：盐城工业职业技术学院图文信息中心六楼604室；</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（二）采购代理机构联系人：尤鸿望， 联系电话：0515-88200316；</w:t>
      </w:r>
    </w:p>
    <w:p>
      <w:pPr>
        <w:tabs>
          <w:tab w:val="left" w:pos="900"/>
        </w:tabs>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采购代理机构联系地址：盐城市紫薇广场C区7楼。 </w:t>
      </w:r>
    </w:p>
    <w:p>
      <w:pPr>
        <w:spacing w:line="500" w:lineRule="exact"/>
        <w:ind w:firstLine="480" w:firstLineChars="200"/>
        <w:rPr>
          <w:rFonts w:hint="eastAsia" w:ascii="宋体" w:hAnsi="宋体" w:cs="宋体"/>
          <w:b/>
          <w:color w:val="auto"/>
          <w:sz w:val="24"/>
        </w:rPr>
      </w:pPr>
      <w:r>
        <w:rPr>
          <w:rFonts w:hint="eastAsia" w:ascii="宋体" w:hAnsi="宋体" w:cs="宋体"/>
          <w:b/>
          <w:color w:val="auto"/>
          <w:sz w:val="24"/>
        </w:rPr>
        <w:t>八、投标文件制作份数要求</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正本份数：1份，副本份数：2份。</w:t>
      </w:r>
    </w:p>
    <w:p>
      <w:pPr>
        <w:spacing w:line="500" w:lineRule="exact"/>
        <w:ind w:firstLine="480" w:firstLineChars="200"/>
        <w:rPr>
          <w:rFonts w:hint="eastAsia" w:ascii="宋体" w:hAnsi="宋体" w:cs="宋体"/>
          <w:b/>
          <w:bCs/>
          <w:color w:val="auto"/>
          <w:sz w:val="24"/>
        </w:rPr>
      </w:pPr>
      <w:r>
        <w:rPr>
          <w:rFonts w:hint="eastAsia" w:ascii="宋体" w:hAnsi="宋体" w:cs="宋体"/>
          <w:b/>
          <w:bCs/>
          <w:color w:val="auto"/>
          <w:sz w:val="24"/>
        </w:rPr>
        <w:t>九、本次招标投标保证金</w:t>
      </w:r>
    </w:p>
    <w:p>
      <w:pPr>
        <w:spacing w:line="500" w:lineRule="exact"/>
        <w:ind w:firstLine="480" w:firstLineChars="200"/>
        <w:outlineLvl w:val="1"/>
        <w:rPr>
          <w:rFonts w:hint="eastAsia" w:ascii="宋体" w:hAnsi="宋体" w:cs="宋体"/>
          <w:color w:val="auto"/>
          <w:sz w:val="24"/>
        </w:rPr>
      </w:pPr>
      <w:r>
        <w:rPr>
          <w:rFonts w:hint="eastAsia" w:ascii="宋体" w:hAnsi="宋体" w:cs="宋体"/>
          <w:color w:val="auto"/>
          <w:sz w:val="24"/>
        </w:rPr>
        <w:t>本次投标收取保证金。本次投标保证金金额为人民币</w:t>
      </w:r>
      <w:r>
        <w:rPr>
          <w:rFonts w:hint="eastAsia" w:ascii="宋体" w:hAnsi="宋体" w:cs="宋体"/>
          <w:color w:val="auto"/>
          <w:sz w:val="24"/>
          <w:u w:val="single"/>
        </w:rPr>
        <w:t>叁仟元整</w:t>
      </w:r>
      <w:r>
        <w:rPr>
          <w:rFonts w:hint="eastAsia" w:ascii="宋体" w:hAnsi="宋体" w:cs="宋体"/>
          <w:color w:val="auto"/>
          <w:sz w:val="24"/>
          <w:u w:val="single"/>
          <w:lang w:val="en-US" w:eastAsia="zh-CN"/>
        </w:rPr>
        <w:t>/分包</w:t>
      </w:r>
      <w:r>
        <w:rPr>
          <w:rFonts w:hint="eastAsia" w:ascii="宋体" w:hAnsi="宋体" w:cs="宋体"/>
          <w:color w:val="auto"/>
          <w:sz w:val="24"/>
        </w:rPr>
        <w:t>，投标保证金必须在</w:t>
      </w:r>
      <w:r>
        <w:rPr>
          <w:rFonts w:hint="eastAsia" w:ascii="宋体" w:hAnsi="宋体" w:cs="宋体"/>
          <w:bCs/>
          <w:color w:val="auto"/>
          <w:sz w:val="24"/>
        </w:rPr>
        <w:t>投标文件接收截止时间</w:t>
      </w:r>
      <w:r>
        <w:rPr>
          <w:rFonts w:hint="eastAsia" w:ascii="宋体" w:hAnsi="宋体" w:cs="宋体"/>
          <w:color w:val="auto"/>
          <w:sz w:val="24"/>
        </w:rPr>
        <w:t>前与投标文件一起送达投标文件接收地点（不要密封在响应文件中）。</w:t>
      </w:r>
    </w:p>
    <w:p>
      <w:pPr>
        <w:spacing w:line="500" w:lineRule="exact"/>
        <w:ind w:firstLine="480" w:firstLineChars="200"/>
        <w:outlineLvl w:val="1"/>
        <w:rPr>
          <w:rFonts w:hint="eastAsia" w:ascii="宋体" w:hAnsi="宋体" w:cs="宋体"/>
          <w:color w:val="auto"/>
          <w:sz w:val="24"/>
        </w:rPr>
      </w:pPr>
      <w:r>
        <w:rPr>
          <w:rFonts w:hint="eastAsia" w:ascii="宋体" w:hAnsi="宋体" w:cs="宋体"/>
          <w:b/>
          <w:color w:val="auto"/>
          <w:kern w:val="0"/>
          <w:sz w:val="24"/>
        </w:rPr>
        <w:t>投标保证金必须采用有效银行本票或银行汇票，不接受电汇、转账、现金、现金交款单、支票或其他形式的保证金。</w:t>
      </w:r>
      <w:r>
        <w:rPr>
          <w:rFonts w:hint="eastAsia" w:ascii="宋体" w:hAnsi="宋体" w:cs="宋体"/>
          <w:color w:val="auto"/>
          <w:kern w:val="0"/>
          <w:sz w:val="24"/>
        </w:rPr>
        <w:t>各投标人须在</w:t>
      </w:r>
      <w:r>
        <w:rPr>
          <w:rFonts w:hint="eastAsia" w:ascii="宋体" w:hAnsi="宋体" w:cs="宋体"/>
          <w:bCs/>
          <w:color w:val="auto"/>
          <w:sz w:val="24"/>
        </w:rPr>
        <w:t>投标文件接收截止时间</w:t>
      </w:r>
      <w:r>
        <w:rPr>
          <w:rFonts w:hint="eastAsia" w:ascii="宋体" w:hAnsi="宋体" w:cs="宋体"/>
          <w:color w:val="auto"/>
          <w:kern w:val="0"/>
          <w:sz w:val="24"/>
        </w:rPr>
        <w:t>前将投标保证金从投标人本单位的基本账户上汇出（不入账），以投标人汇出资金的银行日期为准，且保证金汇出单位必须与投标人名称一致，收款人名称：</w:t>
      </w:r>
      <w:r>
        <w:rPr>
          <w:rFonts w:hint="eastAsia" w:ascii="宋体" w:hAnsi="宋体" w:cs="宋体"/>
          <w:color w:val="auto"/>
          <w:sz w:val="24"/>
        </w:rPr>
        <w:t>江苏双清工程造价咨询有限公司，开户行：中国银行股份有限公司盐城分行，账号：513158208001</w:t>
      </w:r>
      <w:r>
        <w:rPr>
          <w:rFonts w:hint="eastAsia" w:ascii="宋体" w:hAnsi="宋体" w:cs="宋体"/>
          <w:color w:val="auto"/>
          <w:kern w:val="0"/>
          <w:sz w:val="24"/>
        </w:rPr>
        <w:t>。</w:t>
      </w:r>
      <w:r>
        <w:rPr>
          <w:rFonts w:hint="eastAsia" w:ascii="宋体" w:hAnsi="宋体" w:cs="宋体"/>
          <w:bCs/>
          <w:color w:val="auto"/>
          <w:sz w:val="24"/>
        </w:rPr>
        <w:t>投标文件接收截止时间前</w:t>
      </w:r>
      <w:r>
        <w:rPr>
          <w:rFonts w:hint="eastAsia" w:ascii="宋体" w:hAnsi="宋体" w:cs="宋体"/>
          <w:color w:val="auto"/>
          <w:kern w:val="0"/>
          <w:sz w:val="24"/>
        </w:rPr>
        <w:t>，各投标人将有效银行本票或银行汇票原件、基本帐户的银行开户许可证复印件（加盖单位公章）带至开标现场交工作人员核验，未按上述要求交纳投标保证金的，</w:t>
      </w:r>
      <w:r>
        <w:rPr>
          <w:rFonts w:hint="eastAsia" w:ascii="宋体" w:hAnsi="宋体" w:cs="宋体"/>
          <w:color w:val="auto"/>
          <w:sz w:val="24"/>
        </w:rPr>
        <w:t>将被视为非响应性投标而予以拒绝。</w:t>
      </w:r>
    </w:p>
    <w:p>
      <w:pPr>
        <w:spacing w:line="500" w:lineRule="exact"/>
        <w:ind w:firstLine="480" w:firstLineChars="200"/>
        <w:outlineLvl w:val="1"/>
        <w:rPr>
          <w:rFonts w:hint="eastAsia" w:ascii="宋体" w:hAnsi="宋体" w:cs="宋体"/>
          <w:color w:val="auto"/>
          <w:kern w:val="0"/>
          <w:sz w:val="24"/>
        </w:rPr>
      </w:pPr>
      <w:r>
        <w:rPr>
          <w:rFonts w:hint="eastAsia" w:ascii="宋体" w:hAnsi="宋体" w:cs="宋体"/>
          <w:color w:val="auto"/>
          <w:sz w:val="24"/>
        </w:rPr>
        <w:t>投标保证金退还方式：未中标人的投标保证金现场退还，中标人的投标保证金在签订合同并交纳招标代理服务费后，凭合同原件及交费凭证至招标代理机构财务部退还。</w:t>
      </w:r>
    </w:p>
    <w:p>
      <w:pPr>
        <w:spacing w:line="500" w:lineRule="exact"/>
        <w:ind w:firstLine="480" w:firstLineChars="200"/>
        <w:outlineLvl w:val="1"/>
        <w:rPr>
          <w:rFonts w:hint="eastAsia" w:ascii="宋体" w:hAnsi="宋体" w:cs="宋体"/>
          <w:color w:val="auto"/>
          <w:kern w:val="0"/>
          <w:sz w:val="24"/>
        </w:rPr>
      </w:pPr>
    </w:p>
    <w:p>
      <w:pPr>
        <w:spacing w:line="500" w:lineRule="exact"/>
        <w:ind w:firstLine="480" w:firstLineChars="200"/>
        <w:outlineLvl w:val="1"/>
        <w:rPr>
          <w:rFonts w:hint="eastAsia" w:ascii="宋体" w:hAnsi="宋体" w:cs="宋体"/>
          <w:color w:val="auto"/>
          <w:kern w:val="0"/>
          <w:sz w:val="24"/>
        </w:rPr>
      </w:pPr>
    </w:p>
    <w:p>
      <w:pPr>
        <w:spacing w:line="500" w:lineRule="exact"/>
        <w:ind w:firstLine="480" w:firstLineChars="200"/>
        <w:rPr>
          <w:rFonts w:hint="eastAsia" w:ascii="宋体" w:hAnsi="宋体" w:cs="宋体"/>
          <w:color w:val="auto"/>
          <w:sz w:val="24"/>
        </w:rPr>
      </w:pP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szCs w:val="24"/>
        </w:rPr>
        <w:t xml:space="preserve">                                        盐城工业职业技术学院</w:t>
      </w:r>
      <w:r>
        <w:rPr>
          <w:rFonts w:hint="eastAsia" w:ascii="宋体" w:hAnsi="宋体" w:cs="宋体"/>
          <w:color w:val="auto"/>
          <w:sz w:val="24"/>
        </w:rPr>
        <w:t xml:space="preserve">                        </w:t>
      </w: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szCs w:val="24"/>
        </w:rPr>
        <w:t>江苏双清工程造价咨询有限公司</w:t>
      </w:r>
      <w:r>
        <w:rPr>
          <w:rFonts w:hint="eastAsia" w:ascii="宋体" w:hAnsi="宋体" w:cs="宋体"/>
          <w:color w:val="auto"/>
          <w:sz w:val="24"/>
        </w:rPr>
        <w:t xml:space="preserve">                                             </w:t>
      </w:r>
    </w:p>
    <w:p>
      <w:pPr>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2019年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p>
    <w:p>
      <w:pPr>
        <w:jc w:val="center"/>
        <w:rPr>
          <w:rFonts w:hint="eastAsia" w:ascii="宋体" w:hAnsi="宋体" w:cs="宋体"/>
          <w:color w:val="auto"/>
        </w:rPr>
      </w:pPr>
      <w:bookmarkStart w:id="6" w:name="_Toc120614211"/>
      <w:r>
        <w:rPr>
          <w:rFonts w:hint="eastAsia" w:ascii="宋体" w:hAnsi="宋体" w:cs="宋体"/>
          <w:color w:val="auto"/>
        </w:rPr>
        <w:br w:type="page"/>
      </w:r>
    </w:p>
    <w:p>
      <w:pPr>
        <w:pStyle w:val="3"/>
        <w:spacing w:line="240" w:lineRule="auto"/>
        <w:rPr>
          <w:rFonts w:hint="eastAsia" w:ascii="宋体" w:hAnsi="宋体" w:eastAsia="宋体" w:cs="宋体"/>
          <w:b w:val="0"/>
          <w:bCs w:val="0"/>
          <w:color w:val="auto"/>
        </w:rPr>
      </w:pPr>
      <w:r>
        <w:rPr>
          <w:rFonts w:hint="eastAsia" w:ascii="宋体" w:hAnsi="宋体" w:eastAsia="宋体" w:cs="宋体"/>
          <w:color w:val="auto"/>
        </w:rPr>
        <w:t xml:space="preserve">第二章  </w:t>
      </w:r>
      <w:bookmarkEnd w:id="1"/>
      <w:bookmarkEnd w:id="2"/>
      <w:bookmarkEnd w:id="3"/>
      <w:bookmarkEnd w:id="4"/>
      <w:bookmarkEnd w:id="5"/>
      <w:bookmarkEnd w:id="6"/>
      <w:bookmarkStart w:id="7" w:name="_Toc16938518"/>
      <w:bookmarkStart w:id="8" w:name="_Toc513029202"/>
      <w:bookmarkStart w:id="9" w:name="_Toc20823274"/>
      <w:bookmarkStart w:id="10" w:name="_Toc120614213"/>
      <w:r>
        <w:rPr>
          <w:rFonts w:hint="eastAsia" w:ascii="宋体" w:hAnsi="宋体" w:eastAsia="宋体" w:cs="宋体"/>
          <w:color w:val="auto"/>
        </w:rPr>
        <w:t>投标人须知</w:t>
      </w:r>
      <w:bookmarkEnd w:id="7"/>
      <w:bookmarkEnd w:id="8"/>
      <w:bookmarkEnd w:id="9"/>
      <w:bookmarkEnd w:id="10"/>
    </w:p>
    <w:p>
      <w:pPr>
        <w:pStyle w:val="5"/>
        <w:spacing w:before="0" w:after="0" w:line="440" w:lineRule="exact"/>
        <w:ind w:firstLine="640" w:firstLineChars="200"/>
        <w:rPr>
          <w:rFonts w:hint="eastAsia" w:ascii="宋体" w:hAnsi="宋体" w:cs="宋体"/>
          <w:color w:val="auto"/>
        </w:rPr>
      </w:pPr>
      <w:bookmarkStart w:id="11" w:name="_Toc16938519"/>
      <w:bookmarkStart w:id="12" w:name="_Toc513029203"/>
      <w:bookmarkStart w:id="13" w:name="_Toc120614214"/>
      <w:bookmarkStart w:id="14" w:name="_Toc20823275"/>
      <w:r>
        <w:rPr>
          <w:rFonts w:hint="eastAsia" w:ascii="宋体" w:hAnsi="宋体" w:cs="宋体"/>
          <w:color w:val="auto"/>
        </w:rPr>
        <w:t>一、总则</w:t>
      </w:r>
      <w:bookmarkEnd w:id="11"/>
      <w:bookmarkEnd w:id="12"/>
      <w:bookmarkEnd w:id="13"/>
      <w:bookmarkEnd w:id="14"/>
    </w:p>
    <w:p>
      <w:pPr>
        <w:pStyle w:val="6"/>
        <w:spacing w:before="0" w:after="0" w:line="440" w:lineRule="exact"/>
        <w:ind w:firstLine="560" w:firstLineChars="200"/>
        <w:rPr>
          <w:rFonts w:hint="eastAsia" w:ascii="宋体" w:hAnsi="宋体" w:eastAsia="宋体" w:cs="宋体"/>
          <w:b w:val="0"/>
          <w:bCs w:val="0"/>
          <w:color w:val="auto"/>
        </w:rPr>
      </w:pPr>
      <w:bookmarkStart w:id="15" w:name="_Hlt16619475"/>
      <w:bookmarkEnd w:id="15"/>
      <w:bookmarkStart w:id="16" w:name="_Toc458694821"/>
      <w:bookmarkStart w:id="17" w:name="_Toc16938520"/>
      <w:bookmarkStart w:id="18" w:name="_Toc20823276"/>
      <w:bookmarkStart w:id="19" w:name="_Toc513029204"/>
      <w:r>
        <w:rPr>
          <w:rFonts w:hint="eastAsia" w:ascii="宋体" w:hAnsi="宋体" w:eastAsia="宋体" w:cs="宋体"/>
          <w:b w:val="0"/>
          <w:bCs w:val="0"/>
          <w:color w:val="auto"/>
        </w:rPr>
        <w:t>1</w:t>
      </w:r>
      <w:bookmarkEnd w:id="16"/>
      <w:r>
        <w:rPr>
          <w:rFonts w:hint="eastAsia" w:ascii="宋体" w:hAnsi="宋体" w:eastAsia="宋体" w:cs="宋体"/>
          <w:b w:val="0"/>
          <w:bCs w:val="0"/>
          <w:color w:val="auto"/>
        </w:rPr>
        <w:t>、招标方式</w:t>
      </w:r>
      <w:bookmarkEnd w:id="17"/>
      <w:bookmarkEnd w:id="18"/>
      <w:bookmarkEnd w:id="19"/>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pPr>
        <w:pStyle w:val="6"/>
        <w:spacing w:before="0" w:after="0" w:line="440" w:lineRule="exact"/>
        <w:ind w:firstLine="560" w:firstLineChars="200"/>
        <w:rPr>
          <w:rFonts w:hint="eastAsia" w:ascii="宋体" w:hAnsi="宋体" w:eastAsia="宋体" w:cs="宋体"/>
          <w:b w:val="0"/>
          <w:bCs w:val="0"/>
          <w:color w:val="auto"/>
        </w:rPr>
      </w:pPr>
      <w:bookmarkStart w:id="20" w:name="_Toc20823277"/>
      <w:bookmarkStart w:id="21" w:name="_Toc16938521"/>
      <w:bookmarkStart w:id="22" w:name="_Toc513029205"/>
      <w:r>
        <w:rPr>
          <w:rFonts w:hint="eastAsia" w:ascii="宋体" w:hAnsi="宋体" w:eastAsia="宋体" w:cs="宋体"/>
          <w:b w:val="0"/>
          <w:bCs w:val="0"/>
          <w:color w:val="auto"/>
        </w:rPr>
        <w:t>2、合格的投标人</w:t>
      </w:r>
      <w:bookmarkEnd w:id="20"/>
      <w:bookmarkEnd w:id="21"/>
      <w:bookmarkEnd w:id="22"/>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2.1满足招标公告中供应商的资格要求的规定。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满足本文件实质性条款的规定。</w:t>
      </w:r>
    </w:p>
    <w:p>
      <w:pPr>
        <w:pStyle w:val="6"/>
        <w:spacing w:before="0" w:after="0" w:line="440" w:lineRule="exact"/>
        <w:ind w:firstLine="560" w:firstLineChars="200"/>
        <w:rPr>
          <w:rFonts w:hint="eastAsia" w:ascii="宋体" w:hAnsi="宋体" w:eastAsia="宋体" w:cs="宋体"/>
          <w:b w:val="0"/>
          <w:bCs w:val="0"/>
          <w:color w:val="auto"/>
        </w:rPr>
      </w:pPr>
      <w:bookmarkStart w:id="23" w:name="_Toc20823278"/>
      <w:bookmarkStart w:id="24" w:name="_Toc513029206"/>
      <w:bookmarkStart w:id="25" w:name="_Toc16938522"/>
      <w:r>
        <w:rPr>
          <w:rFonts w:hint="eastAsia" w:ascii="宋体" w:hAnsi="宋体" w:eastAsia="宋体" w:cs="宋体"/>
          <w:b w:val="0"/>
          <w:bCs w:val="0"/>
          <w:color w:val="auto"/>
        </w:rPr>
        <w:t>3、适用法律</w:t>
      </w:r>
      <w:bookmarkEnd w:id="23"/>
      <w:bookmarkEnd w:id="24"/>
      <w:bookmarkEnd w:id="2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3.1 本次招标及由此产生的合同受中华人民共和国有关的法律法规制约和保护。</w:t>
      </w:r>
    </w:p>
    <w:p>
      <w:pPr>
        <w:pStyle w:val="6"/>
        <w:spacing w:before="0" w:after="0" w:line="440" w:lineRule="exact"/>
        <w:ind w:firstLine="560" w:firstLineChars="200"/>
        <w:rPr>
          <w:rFonts w:hint="eastAsia" w:ascii="宋体" w:hAnsi="宋体" w:eastAsia="宋体" w:cs="宋体"/>
          <w:b w:val="0"/>
          <w:bCs w:val="0"/>
          <w:color w:val="auto"/>
        </w:rPr>
      </w:pPr>
      <w:bookmarkStart w:id="26" w:name="_Toc462564067"/>
      <w:bookmarkStart w:id="27" w:name="_Toc20823279"/>
      <w:bookmarkStart w:id="28" w:name="_Toc16938523"/>
      <w:bookmarkStart w:id="29" w:name="_Toc513029207"/>
      <w:r>
        <w:rPr>
          <w:rFonts w:hint="eastAsia" w:ascii="宋体" w:hAnsi="宋体" w:eastAsia="宋体" w:cs="宋体"/>
          <w:b w:val="0"/>
          <w:bCs w:val="0"/>
          <w:color w:val="auto"/>
        </w:rPr>
        <w:t>4、投标费用</w:t>
      </w:r>
      <w:bookmarkEnd w:id="26"/>
      <w:bookmarkEnd w:id="27"/>
      <w:bookmarkEnd w:id="28"/>
      <w:bookmarkEnd w:id="29"/>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4.1</w:t>
      </w:r>
      <w:r>
        <w:rPr>
          <w:rFonts w:hint="eastAsia" w:ascii="宋体" w:hAnsi="宋体" w:cs="宋体"/>
          <w:color w:val="auto"/>
          <w:sz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4.2本项目各分包中标人与采购人签订合同前，均须向采购代理机构支付招标代理服务费，收费标准按</w:t>
      </w:r>
      <w:r>
        <w:rPr>
          <w:rFonts w:hint="eastAsia" w:ascii="宋体" w:hAnsi="宋体" w:cs="宋体"/>
          <w:color w:val="auto"/>
          <w:sz w:val="24"/>
          <w:lang w:eastAsia="zh-CN"/>
        </w:rPr>
        <w:t>各分包</w:t>
      </w:r>
      <w:r>
        <w:rPr>
          <w:rFonts w:hint="eastAsia" w:ascii="宋体" w:hAnsi="宋体" w:cs="宋体"/>
          <w:color w:val="auto"/>
          <w:sz w:val="24"/>
        </w:rPr>
        <w:t>中标价的1.5%×42%计取（如</w:t>
      </w:r>
      <w:r>
        <w:rPr>
          <w:rFonts w:hint="eastAsia" w:ascii="宋体" w:hAnsi="宋体" w:cs="宋体"/>
          <w:color w:val="auto"/>
          <w:sz w:val="24"/>
          <w:lang w:eastAsia="zh-CN"/>
        </w:rPr>
        <w:t>各分包</w:t>
      </w:r>
      <w:r>
        <w:rPr>
          <w:rFonts w:hint="eastAsia" w:ascii="宋体" w:hAnsi="宋体" w:cs="宋体"/>
          <w:color w:val="auto"/>
          <w:sz w:val="24"/>
        </w:rPr>
        <w:t>低于3000元的直接按3000计取）；上述费用由各投标人在投标时自行综合考虑分摊含进投标报价中，且不得单列。</w:t>
      </w:r>
    </w:p>
    <w:p>
      <w:pPr>
        <w:pStyle w:val="6"/>
        <w:spacing w:before="0" w:after="0" w:line="440" w:lineRule="exact"/>
        <w:ind w:firstLine="600" w:firstLineChars="200"/>
        <w:rPr>
          <w:rFonts w:hint="eastAsia" w:ascii="宋体" w:hAnsi="宋体" w:eastAsia="宋体" w:cs="宋体"/>
          <w:b w:val="0"/>
          <w:bCs w:val="0"/>
          <w:color w:val="auto"/>
        </w:rPr>
      </w:pPr>
      <w:r>
        <w:rPr>
          <w:rFonts w:hint="eastAsia" w:ascii="宋体" w:hAnsi="宋体" w:eastAsia="宋体" w:cs="宋体"/>
          <w:color w:val="auto"/>
          <w:sz w:val="30"/>
        </w:rPr>
        <w:t>5、</w:t>
      </w:r>
      <w:r>
        <w:rPr>
          <w:rFonts w:hint="eastAsia" w:ascii="宋体" w:hAnsi="宋体" w:eastAsia="宋体" w:cs="宋体"/>
          <w:b w:val="0"/>
          <w:bCs w:val="0"/>
          <w:color w:val="auto"/>
        </w:rPr>
        <w:t>招标文件的约束力</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5.1</w:t>
      </w:r>
      <w:r>
        <w:rPr>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6、招标文件的解释</w:t>
      </w:r>
    </w:p>
    <w:p>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6.1 本招标文件由采购人或采购代理机构负责解释。</w:t>
      </w:r>
    </w:p>
    <w:p>
      <w:pPr>
        <w:pStyle w:val="5"/>
        <w:spacing w:before="0" w:after="0" w:line="440" w:lineRule="exact"/>
        <w:ind w:firstLine="640" w:firstLineChars="200"/>
        <w:rPr>
          <w:rFonts w:hint="eastAsia" w:ascii="宋体" w:hAnsi="宋体" w:cs="宋体"/>
          <w:color w:val="auto"/>
        </w:rPr>
      </w:pPr>
      <w:bookmarkStart w:id="30" w:name="_Toc120614215"/>
      <w:bookmarkStart w:id="31" w:name="_Toc513029209"/>
      <w:bookmarkStart w:id="32" w:name="_Toc20823281"/>
      <w:bookmarkStart w:id="33" w:name="_Toc16938525"/>
      <w:r>
        <w:rPr>
          <w:rFonts w:hint="eastAsia" w:ascii="宋体" w:hAnsi="宋体" w:cs="宋体"/>
          <w:color w:val="auto"/>
        </w:rPr>
        <w:t>二、招标文件</w:t>
      </w:r>
      <w:bookmarkEnd w:id="30"/>
      <w:bookmarkEnd w:id="31"/>
      <w:bookmarkEnd w:id="32"/>
      <w:bookmarkEnd w:id="33"/>
    </w:p>
    <w:p>
      <w:pPr>
        <w:pStyle w:val="6"/>
        <w:spacing w:before="0" w:after="0" w:line="440" w:lineRule="exact"/>
        <w:ind w:firstLine="560" w:firstLineChars="200"/>
        <w:rPr>
          <w:rFonts w:hint="eastAsia" w:ascii="宋体" w:hAnsi="宋体" w:eastAsia="宋体" w:cs="宋体"/>
          <w:b w:val="0"/>
          <w:bCs w:val="0"/>
          <w:color w:val="auto"/>
        </w:rPr>
      </w:pPr>
      <w:bookmarkStart w:id="34" w:name="_Toc20823282"/>
      <w:bookmarkStart w:id="35" w:name="_Toc513029210"/>
      <w:bookmarkStart w:id="36" w:name="_Toc16938526"/>
      <w:r>
        <w:rPr>
          <w:rFonts w:hint="eastAsia" w:ascii="宋体" w:hAnsi="宋体" w:eastAsia="宋体" w:cs="宋体"/>
          <w:b w:val="0"/>
          <w:bCs w:val="0"/>
          <w:color w:val="auto"/>
        </w:rPr>
        <w:t>7、招标文件构成</w:t>
      </w:r>
      <w:bookmarkEnd w:id="34"/>
      <w:bookmarkEnd w:id="35"/>
      <w:bookmarkEnd w:id="36"/>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7.1</w:t>
      </w:r>
      <w:r>
        <w:rPr>
          <w:rFonts w:hint="eastAsia" w:ascii="宋体" w:hAnsi="宋体" w:cs="宋体"/>
          <w:color w:val="auto"/>
          <w:sz w:val="24"/>
        </w:rPr>
        <w:t xml:space="preserve"> 招标文件有以下部分组成：</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（1）招标公告</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（2）投标人须知</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（3）合同条款及格式</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（4）项目需求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（5）评标方法与评标标准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（6）投标文件格式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请仔细检查招标文件是否齐全，如有缺漏请立即与</w:t>
      </w:r>
      <w:r>
        <w:rPr>
          <w:rFonts w:hint="eastAsia" w:ascii="宋体" w:hAnsi="宋体" w:cs="宋体"/>
          <w:color w:val="auto"/>
          <w:sz w:val="24"/>
          <w:szCs w:val="24"/>
        </w:rPr>
        <w:t>采购人或采购代理机构</w:t>
      </w:r>
      <w:r>
        <w:rPr>
          <w:rFonts w:hint="eastAsia" w:ascii="宋体" w:hAnsi="宋体" w:cs="宋体"/>
          <w:color w:val="auto"/>
          <w:sz w:val="24"/>
        </w:rPr>
        <w:t>联系解决。</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7.2</w:t>
      </w:r>
      <w:r>
        <w:rPr>
          <w:rFonts w:hint="eastAsia" w:ascii="宋体" w:hAnsi="宋体" w:cs="宋体"/>
          <w:color w:val="auto"/>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440" w:lineRule="exact"/>
        <w:ind w:firstLine="560" w:firstLineChars="200"/>
        <w:rPr>
          <w:rFonts w:hint="eastAsia" w:ascii="宋体" w:hAnsi="宋体" w:eastAsia="宋体" w:cs="宋体"/>
          <w:b w:val="0"/>
          <w:bCs w:val="0"/>
          <w:color w:val="auto"/>
        </w:rPr>
      </w:pPr>
      <w:bookmarkStart w:id="37" w:name="_Toc513029211"/>
      <w:bookmarkStart w:id="38" w:name="_Toc16938527"/>
      <w:bookmarkStart w:id="39" w:name="_Toc20823283"/>
      <w:bookmarkStart w:id="40" w:name="_Toc462564070"/>
      <w:r>
        <w:rPr>
          <w:rFonts w:hint="eastAsia" w:ascii="宋体" w:hAnsi="宋体" w:eastAsia="宋体" w:cs="宋体"/>
          <w:b w:val="0"/>
          <w:bCs w:val="0"/>
          <w:color w:val="auto"/>
        </w:rPr>
        <w:t>8、招标文件的</w:t>
      </w:r>
      <w:bookmarkEnd w:id="37"/>
      <w:bookmarkEnd w:id="38"/>
      <w:bookmarkEnd w:id="39"/>
      <w:bookmarkEnd w:id="40"/>
      <w:r>
        <w:rPr>
          <w:rFonts w:hint="eastAsia" w:ascii="宋体" w:hAnsi="宋体" w:eastAsia="宋体" w:cs="宋体"/>
          <w:b w:val="0"/>
          <w:bCs w:val="0"/>
          <w:color w:val="auto"/>
        </w:rPr>
        <w:t>询问</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rPr>
        <w:t>8.1</w:t>
      </w:r>
      <w:r>
        <w:rPr>
          <w:rFonts w:hint="eastAsia" w:ascii="宋体" w:hAnsi="宋体" w:cs="宋体"/>
          <w:color w:val="auto"/>
          <w:sz w:val="24"/>
        </w:rPr>
        <w:t xml:space="preserve"> 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w:t>
      </w:r>
      <w:r>
        <w:rPr>
          <w:rFonts w:hint="eastAsia" w:ascii="宋体" w:hAnsi="宋体" w:cs="宋体"/>
          <w:color w:val="auto"/>
          <w:sz w:val="24"/>
        </w:rPr>
        <w:t>按招标公告中的通讯地址，向采购代理机构或采购人提出。</w:t>
      </w:r>
    </w:p>
    <w:p>
      <w:pPr>
        <w:pStyle w:val="6"/>
        <w:spacing w:before="0" w:after="0" w:line="440" w:lineRule="exact"/>
        <w:ind w:firstLine="560" w:firstLineChars="200"/>
        <w:rPr>
          <w:rFonts w:hint="eastAsia" w:ascii="宋体" w:hAnsi="宋体" w:eastAsia="宋体" w:cs="宋体"/>
          <w:b w:val="0"/>
          <w:bCs w:val="0"/>
          <w:color w:val="auto"/>
        </w:rPr>
      </w:pPr>
      <w:bookmarkStart w:id="41" w:name="_Toc16938528"/>
      <w:bookmarkStart w:id="42" w:name="_Toc462564071"/>
      <w:bookmarkStart w:id="43" w:name="_Toc20823284"/>
      <w:bookmarkStart w:id="44" w:name="_Toc513029212"/>
      <w:r>
        <w:rPr>
          <w:rFonts w:hint="eastAsia" w:ascii="宋体" w:hAnsi="宋体" w:eastAsia="宋体" w:cs="宋体"/>
          <w:b w:val="0"/>
          <w:bCs w:val="0"/>
          <w:color w:val="auto"/>
        </w:rPr>
        <w:t>9、招标文件的修改</w:t>
      </w:r>
      <w:bookmarkEnd w:id="41"/>
      <w:bookmarkEnd w:id="42"/>
      <w:bookmarkEnd w:id="43"/>
      <w:bookmarkEnd w:id="44"/>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9.1</w:t>
      </w:r>
      <w:r>
        <w:rPr>
          <w:rFonts w:hint="eastAsia" w:ascii="宋体" w:hAnsi="宋体" w:cs="宋体"/>
          <w:color w:val="auto"/>
          <w:sz w:val="24"/>
        </w:rPr>
        <w:t xml:space="preserve"> 在投标截止时间三天前，采购人或采购代理机构可以对招标文件进行修改。</w:t>
      </w:r>
    </w:p>
    <w:p>
      <w:pPr>
        <w:spacing w:line="440" w:lineRule="exact"/>
        <w:ind w:firstLine="480" w:firstLineChars="200"/>
        <w:rPr>
          <w:rFonts w:hint="eastAsia" w:ascii="宋体" w:hAnsi="宋体" w:cs="宋体"/>
          <w:color w:val="auto"/>
          <w:sz w:val="28"/>
        </w:rPr>
      </w:pPr>
      <w:r>
        <w:rPr>
          <w:rFonts w:hint="eastAsia" w:ascii="宋体" w:hAnsi="宋体" w:cs="宋体"/>
          <w:bCs/>
          <w:color w:val="auto"/>
          <w:sz w:val="24"/>
        </w:rPr>
        <w:t>9.2</w:t>
      </w:r>
      <w:r>
        <w:rPr>
          <w:rFonts w:hint="eastAsia" w:ascii="宋体" w:hAnsi="宋体" w:cs="宋体"/>
          <w:color w:val="auto"/>
          <w:sz w:val="24"/>
        </w:rPr>
        <w:t>采购人</w:t>
      </w:r>
      <w:r>
        <w:rPr>
          <w:rFonts w:hint="eastAsia" w:ascii="宋体" w:hAnsi="宋体" w:cs="宋体"/>
          <w:color w:val="auto"/>
          <w:sz w:val="24"/>
          <w:szCs w:val="24"/>
        </w:rPr>
        <w:t>有权依法</w:t>
      </w:r>
      <w:r>
        <w:rPr>
          <w:rFonts w:hint="eastAsia" w:ascii="宋体" w:hAnsi="宋体" w:cs="宋体"/>
          <w:color w:val="auto"/>
          <w:sz w:val="24"/>
        </w:rPr>
        <w:t>推迟投标截止日期和开标日期。</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9.3</w:t>
      </w:r>
      <w:r>
        <w:rPr>
          <w:rFonts w:hint="eastAsia" w:ascii="宋体" w:hAnsi="宋体" w:cs="宋体"/>
          <w:color w:val="auto"/>
          <w:sz w:val="24"/>
        </w:rPr>
        <w:t>招标文件的修改将在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rPr>
        <w:t>公布，</w:t>
      </w:r>
      <w:r>
        <w:rPr>
          <w:rFonts w:hint="eastAsia" w:ascii="宋体" w:hAnsi="宋体" w:cs="宋体"/>
          <w:color w:val="auto"/>
          <w:sz w:val="24"/>
          <w:szCs w:val="24"/>
        </w:rPr>
        <w:t>补充文件将作为招标文件的组成部分，</w:t>
      </w:r>
      <w:r>
        <w:rPr>
          <w:rFonts w:hint="eastAsia" w:ascii="宋体" w:hAnsi="宋体" w:cs="宋体"/>
          <w:color w:val="auto"/>
          <w:sz w:val="24"/>
        </w:rPr>
        <w:t>并对投标人具有约束力。</w:t>
      </w:r>
    </w:p>
    <w:p>
      <w:pPr>
        <w:pStyle w:val="5"/>
        <w:spacing w:before="0" w:after="0" w:line="440" w:lineRule="exact"/>
        <w:ind w:firstLine="640" w:firstLineChars="200"/>
        <w:rPr>
          <w:rFonts w:hint="eastAsia" w:ascii="宋体" w:hAnsi="宋体" w:cs="宋体"/>
          <w:color w:val="auto"/>
        </w:rPr>
      </w:pPr>
      <w:bookmarkStart w:id="45" w:name="_Toc120614216"/>
      <w:bookmarkStart w:id="46" w:name="_Toc513029213"/>
      <w:bookmarkStart w:id="47" w:name="_Toc16938529"/>
      <w:bookmarkStart w:id="48" w:name="_Toc20823285"/>
      <w:bookmarkStart w:id="49" w:name="_Toc462564072"/>
      <w:r>
        <w:rPr>
          <w:rFonts w:hint="eastAsia" w:ascii="宋体" w:hAnsi="宋体" w:cs="宋体"/>
          <w:color w:val="auto"/>
        </w:rPr>
        <w:t>三、投标文件的编制</w:t>
      </w:r>
      <w:bookmarkEnd w:id="45"/>
      <w:bookmarkEnd w:id="46"/>
      <w:bookmarkEnd w:id="47"/>
      <w:bookmarkEnd w:id="48"/>
      <w:bookmarkEnd w:id="49"/>
    </w:p>
    <w:p>
      <w:pPr>
        <w:pStyle w:val="6"/>
        <w:spacing w:before="0" w:after="0" w:line="440" w:lineRule="exact"/>
        <w:ind w:firstLine="560" w:firstLineChars="200"/>
        <w:rPr>
          <w:rFonts w:hint="eastAsia" w:ascii="宋体" w:hAnsi="宋体" w:eastAsia="宋体" w:cs="宋体"/>
          <w:bCs w:val="0"/>
          <w:color w:val="auto"/>
        </w:rPr>
      </w:pPr>
      <w:bookmarkStart w:id="50" w:name="_Toc20823286"/>
      <w:bookmarkStart w:id="51" w:name="_Toc462564073"/>
      <w:bookmarkStart w:id="52" w:name="_Toc16938530"/>
      <w:bookmarkStart w:id="53" w:name="_Toc513029214"/>
      <w:r>
        <w:rPr>
          <w:rFonts w:hint="eastAsia" w:ascii="宋体" w:hAnsi="宋体" w:eastAsia="宋体" w:cs="宋体"/>
          <w:b w:val="0"/>
          <w:bCs w:val="0"/>
          <w:color w:val="auto"/>
        </w:rPr>
        <w:t>10、投标文件的语言及度量衡单位</w:t>
      </w:r>
      <w:bookmarkEnd w:id="50"/>
      <w:bookmarkEnd w:id="51"/>
      <w:bookmarkEnd w:id="52"/>
      <w:bookmarkEnd w:id="53"/>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10.1</w:t>
      </w:r>
      <w:r>
        <w:rPr>
          <w:rFonts w:hint="eastAsia" w:ascii="宋体" w:hAnsi="宋体" w:cs="宋体"/>
          <w:color w:val="auto"/>
          <w:sz w:val="24"/>
        </w:rPr>
        <w:t xml:space="preserve"> 投标人提交的投标文件以及投标人与采购人或采购代理机构就有关投标的所有来往通知、函件和文件均应使用</w:t>
      </w:r>
      <w:r>
        <w:rPr>
          <w:rFonts w:hint="eastAsia" w:ascii="宋体" w:hAnsi="宋体" w:cs="宋体"/>
          <w:b/>
          <w:bCs/>
          <w:color w:val="auto"/>
          <w:sz w:val="24"/>
        </w:rPr>
        <w:t>简体中文</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10.2</w:t>
      </w:r>
      <w:r>
        <w:rPr>
          <w:rFonts w:hint="eastAsia" w:ascii="宋体" w:hAnsi="宋体" w:cs="宋体"/>
          <w:color w:val="auto"/>
          <w:sz w:val="24"/>
        </w:rPr>
        <w:t xml:space="preserve"> 除技术性能另有规定外，投标文件所使用的度量衡单位，均须采用国家法定计量单位。</w:t>
      </w:r>
    </w:p>
    <w:p>
      <w:pPr>
        <w:pStyle w:val="6"/>
        <w:spacing w:before="0" w:after="0" w:line="440" w:lineRule="exact"/>
        <w:ind w:firstLine="560" w:firstLineChars="200"/>
        <w:rPr>
          <w:rFonts w:hint="eastAsia" w:ascii="宋体" w:hAnsi="宋体" w:eastAsia="宋体" w:cs="宋体"/>
          <w:b w:val="0"/>
          <w:bCs w:val="0"/>
          <w:color w:val="auto"/>
        </w:rPr>
      </w:pPr>
      <w:bookmarkStart w:id="54" w:name="_Toc16938531"/>
      <w:bookmarkStart w:id="55" w:name="_Toc462564074"/>
      <w:bookmarkStart w:id="56" w:name="_Toc20823287"/>
      <w:bookmarkStart w:id="57" w:name="_Toc513029215"/>
      <w:r>
        <w:rPr>
          <w:rFonts w:hint="eastAsia" w:ascii="宋体" w:hAnsi="宋体" w:eastAsia="宋体" w:cs="宋体"/>
          <w:b w:val="0"/>
          <w:bCs w:val="0"/>
          <w:color w:val="auto"/>
        </w:rPr>
        <w:t>11、投标文件构成</w:t>
      </w:r>
      <w:bookmarkEnd w:id="54"/>
      <w:bookmarkEnd w:id="55"/>
      <w:bookmarkEnd w:id="56"/>
      <w:bookmarkEnd w:id="57"/>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11.1</w:t>
      </w:r>
      <w:r>
        <w:rPr>
          <w:rFonts w:hint="eastAsia" w:ascii="宋体" w:hAnsi="宋体" w:cs="宋体"/>
          <w:color w:val="auto"/>
          <w:sz w:val="24"/>
        </w:rPr>
        <w:t xml:space="preserve"> 投标人编写的投标文件应包括资信证明文件、投标配置与分项报价表、技术参数响应及偏离表、商务条款响应及偏离表、技术及售后服务承诺书、投标函、开标一览表等部分；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11.2</w:t>
      </w:r>
      <w:r>
        <w:rPr>
          <w:rFonts w:hint="eastAsia" w:ascii="宋体" w:hAnsi="宋体" w:cs="宋体"/>
          <w:b/>
          <w:color w:val="auto"/>
          <w:sz w:val="24"/>
        </w:rPr>
        <w:t xml:space="preserve"> </w:t>
      </w:r>
      <w:r>
        <w:rPr>
          <w:rFonts w:hint="eastAsia" w:ascii="宋体" w:hAnsi="宋体" w:cs="宋体"/>
          <w:color w:val="auto"/>
          <w:sz w:val="24"/>
        </w:rPr>
        <w:t>投标人应将投标文件按顺序装订成册，并编制投标文件资料目录。</w:t>
      </w:r>
    </w:p>
    <w:p>
      <w:pPr>
        <w:pStyle w:val="6"/>
        <w:spacing w:before="0" w:after="0" w:line="440" w:lineRule="exact"/>
        <w:ind w:firstLine="560" w:firstLineChars="200"/>
        <w:rPr>
          <w:rFonts w:hint="eastAsia" w:ascii="宋体" w:hAnsi="宋体" w:eastAsia="宋体" w:cs="宋体"/>
          <w:b w:val="0"/>
          <w:bCs w:val="0"/>
          <w:color w:val="auto"/>
        </w:rPr>
      </w:pPr>
      <w:bookmarkStart w:id="58" w:name="_Hlt26670360"/>
      <w:bookmarkEnd w:id="58"/>
      <w:bookmarkStart w:id="59" w:name="_Hlt26668975"/>
      <w:bookmarkEnd w:id="59"/>
      <w:bookmarkStart w:id="60" w:name="_Hlt26954838"/>
      <w:bookmarkEnd w:id="60"/>
      <w:bookmarkStart w:id="61" w:name="_Toc14577357"/>
      <w:bookmarkStart w:id="62" w:name="_Toc513029219"/>
      <w:bookmarkStart w:id="63" w:name="_Toc49090509"/>
      <w:bookmarkStart w:id="64" w:name="_Toc513029216"/>
      <w:bookmarkStart w:id="65" w:name="_Toc49090507"/>
      <w:bookmarkStart w:id="66" w:name="_Toc14577354"/>
      <w:r>
        <w:rPr>
          <w:rFonts w:hint="eastAsia" w:ascii="宋体" w:hAnsi="宋体" w:eastAsia="宋体" w:cs="宋体"/>
          <w:b w:val="0"/>
          <w:bCs w:val="0"/>
          <w:color w:val="auto"/>
        </w:rPr>
        <w:t>12、证明投标人资格及符合招标文件规定的文件</w:t>
      </w:r>
      <w:bookmarkEnd w:id="61"/>
      <w:bookmarkEnd w:id="62"/>
      <w:bookmarkEnd w:id="63"/>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12.1</w:t>
      </w:r>
      <w:bookmarkStart w:id="67" w:name="_Hlt26668999"/>
      <w:bookmarkEnd w:id="67"/>
      <w:r>
        <w:rPr>
          <w:rFonts w:hint="eastAsia" w:ascii="宋体" w:hAnsi="宋体" w:cs="宋体"/>
          <w:color w:val="auto"/>
          <w:sz w:val="24"/>
        </w:rPr>
        <w:t>投标人应按要求提交资格证明文件及符合招标文件规定的文件。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12.2投标人应提交证明其有资格参加投标和中标后有能力独立履行合同的文件。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12.4投标人应提交根据合同要求提供的证明货物质量合格以及符合招标文件规定的证明文件。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12.5证明投标人所提供货物与招标文件的要求相一致的文件可以是手册、图纸、文字资料和数据</w:t>
      </w:r>
      <w:r>
        <w:rPr>
          <w:rFonts w:hint="eastAsia" w:ascii="宋体" w:hAnsi="宋体" w:cs="宋体"/>
          <w:bCs/>
          <w:color w:val="auto"/>
          <w:sz w:val="24"/>
        </w:rPr>
        <w:t>。</w:t>
      </w:r>
    </w:p>
    <w:bookmarkEnd w:id="64"/>
    <w:bookmarkEnd w:id="65"/>
    <w:bookmarkEnd w:id="66"/>
    <w:p>
      <w:pPr>
        <w:pStyle w:val="6"/>
        <w:spacing w:before="0" w:after="0" w:line="440" w:lineRule="exact"/>
        <w:ind w:firstLine="560" w:firstLineChars="200"/>
        <w:rPr>
          <w:rFonts w:hint="eastAsia" w:ascii="宋体" w:hAnsi="宋体" w:eastAsia="宋体" w:cs="宋体"/>
          <w:b w:val="0"/>
          <w:bCs w:val="0"/>
          <w:color w:val="auto"/>
        </w:rPr>
      </w:pPr>
      <w:bookmarkStart w:id="68" w:name="_Toc14577355"/>
      <w:bookmarkStart w:id="69" w:name="_Toc49090508"/>
      <w:r>
        <w:rPr>
          <w:rFonts w:hint="eastAsia" w:ascii="宋体" w:hAnsi="宋体" w:eastAsia="宋体" w:cs="宋体"/>
          <w:b w:val="0"/>
          <w:bCs w:val="0"/>
          <w:color w:val="auto"/>
        </w:rPr>
        <w:t>13、投标配置与分项报价</w:t>
      </w:r>
      <w:bookmarkEnd w:id="68"/>
      <w:bookmarkStart w:id="70" w:name="_Hlt26670373"/>
      <w:bookmarkEnd w:id="70"/>
      <w:r>
        <w:rPr>
          <w:rFonts w:hint="eastAsia" w:ascii="宋体" w:hAnsi="宋体" w:eastAsia="宋体" w:cs="宋体"/>
          <w:b w:val="0"/>
          <w:bCs w:val="0"/>
          <w:color w:val="auto"/>
        </w:rPr>
        <w:t>表</w:t>
      </w:r>
      <w:bookmarkEnd w:id="69"/>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13.1</w:t>
      </w:r>
      <w:r>
        <w:rPr>
          <w:rFonts w:hint="eastAsia" w:ascii="宋体" w:hAnsi="宋体" w:cs="宋体"/>
          <w:color w:val="auto"/>
          <w:sz w:val="24"/>
        </w:rPr>
        <w:t xml:space="preserve"> 投</w:t>
      </w:r>
      <w:bookmarkStart w:id="71" w:name="_Hlt26954840"/>
      <w:bookmarkEnd w:id="71"/>
      <w:r>
        <w:rPr>
          <w:rFonts w:hint="eastAsia" w:ascii="宋体" w:hAnsi="宋体" w:cs="宋体"/>
          <w:color w:val="auto"/>
          <w:sz w:val="24"/>
        </w:rPr>
        <w:t>标人应按照招标文件规定格式填报投标配置与分项报价表</w:t>
      </w:r>
      <w:bookmarkStart w:id="72" w:name="_Hlt26670399"/>
      <w:bookmarkEnd w:id="72"/>
      <w:r>
        <w:rPr>
          <w:rFonts w:hint="eastAsia" w:ascii="宋体" w:hAnsi="宋体" w:cs="宋体"/>
          <w:color w:val="auto"/>
          <w:sz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13.2</w:t>
      </w:r>
      <w:r>
        <w:rPr>
          <w:rFonts w:hint="eastAsia" w:ascii="宋体" w:hAnsi="宋体" w:cs="宋体"/>
          <w:color w:val="auto"/>
          <w:sz w:val="24"/>
        </w:rPr>
        <w:t xml:space="preserve"> 标的物</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采购人需求的货物供应、安装，调试及有关技术服务等</w:t>
      </w:r>
      <w:r>
        <w:rPr>
          <w:rFonts w:hint="eastAsia" w:ascii="宋体" w:hAnsi="宋体" w:cs="宋体"/>
          <w:color w:val="auto"/>
          <w:sz w:val="24"/>
        </w:rPr>
        <w:t>。</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13.3</w:t>
      </w:r>
      <w:r>
        <w:rPr>
          <w:rFonts w:hint="eastAsia" w:ascii="宋体" w:hAnsi="宋体" w:cs="宋体"/>
          <w:bCs/>
          <w:color w:val="auto"/>
          <w:sz w:val="24"/>
        </w:rPr>
        <w:t>有关费用处理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招标报价采用总承包方式，投标人的报价应包括</w:t>
      </w:r>
      <w:r>
        <w:rPr>
          <w:rFonts w:hint="eastAsia" w:ascii="宋体" w:hAnsi="宋体" w:cs="宋体"/>
          <w:color w:val="auto"/>
          <w:sz w:val="24"/>
          <w:szCs w:val="24"/>
        </w:rPr>
        <w:t>满足采购人使用车辆需要的所有费用。投标人报价时须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采购人不另行增加费用。</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13.4</w:t>
      </w:r>
      <w:r>
        <w:rPr>
          <w:rFonts w:hint="eastAsia" w:ascii="宋体" w:hAnsi="宋体" w:cs="宋体"/>
          <w:bCs/>
          <w:color w:val="auto"/>
          <w:sz w:val="24"/>
        </w:rPr>
        <w:t>其它费用处理</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招标文件未列明，而投标人认为必需的费用也需列入报价。</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13.5</w:t>
      </w:r>
      <w:r>
        <w:rPr>
          <w:rFonts w:hint="eastAsia" w:ascii="宋体" w:hAnsi="宋体" w:cs="宋体"/>
          <w:bCs/>
          <w:color w:val="auto"/>
          <w:sz w:val="24"/>
        </w:rPr>
        <w:t>投标货币</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投标文件中的货物单价和总价无特殊规定的采用人民币报价，以元为单位标注。</w:t>
      </w:r>
      <w:r>
        <w:rPr>
          <w:rFonts w:hint="eastAsia" w:ascii="宋体" w:hAnsi="宋体" w:cs="宋体"/>
          <w:color w:val="auto"/>
          <w:sz w:val="24"/>
        </w:rPr>
        <w:t>招标文件中另有规定的按规定执行。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13.6</w:t>
      </w:r>
      <w:r>
        <w:rPr>
          <w:rFonts w:hint="eastAsia" w:ascii="宋体" w:hAnsi="宋体" w:cs="宋体"/>
          <w:bCs/>
          <w:color w:val="auto"/>
          <w:sz w:val="24"/>
        </w:rPr>
        <w:t xml:space="preserve"> 投标配置与分项报价表上的价格应按下列方式分开填写</w:t>
      </w:r>
      <w:r>
        <w:rPr>
          <w:rFonts w:hint="eastAsia" w:ascii="宋体" w:hAnsi="宋体" w:cs="宋体"/>
          <w:color w:val="auto"/>
          <w:sz w:val="24"/>
        </w:rPr>
        <w:t>：</w:t>
      </w:r>
    </w:p>
    <w:p>
      <w:pPr>
        <w:spacing w:line="440" w:lineRule="exact"/>
        <w:ind w:firstLine="480" w:firstLineChars="200"/>
        <w:rPr>
          <w:rFonts w:hint="eastAsia" w:ascii="宋体" w:hAnsi="宋体" w:cs="宋体"/>
          <w:bCs/>
          <w:color w:val="auto"/>
          <w:sz w:val="24"/>
        </w:rPr>
      </w:pPr>
      <w:bookmarkStart w:id="73" w:name="_Hlt26670425"/>
      <w:bookmarkEnd w:id="73"/>
      <w:bookmarkStart w:id="74" w:name="_Hlt26954844"/>
      <w:bookmarkEnd w:id="74"/>
      <w:bookmarkStart w:id="75" w:name="_Hlt26954842"/>
      <w:bookmarkEnd w:id="75"/>
      <w:bookmarkStart w:id="76" w:name="_Hlt26670403"/>
      <w:bookmarkEnd w:id="76"/>
      <w:bookmarkStart w:id="77" w:name="_Hlt26668983"/>
      <w:bookmarkEnd w:id="77"/>
      <w:r>
        <w:rPr>
          <w:rFonts w:hint="eastAsia" w:ascii="宋体" w:hAnsi="宋体" w:cs="宋体"/>
          <w:bCs/>
          <w:color w:val="auto"/>
          <w:sz w:val="24"/>
        </w:rPr>
        <w:t>（1）</w:t>
      </w:r>
      <w:r>
        <w:rPr>
          <w:rFonts w:hint="eastAsia" w:ascii="宋体" w:hAnsi="宋体" w:cs="宋体"/>
          <w:color w:val="auto"/>
          <w:sz w:val="24"/>
        </w:rPr>
        <w:t>项目总价：包括</w:t>
      </w:r>
      <w:r>
        <w:rPr>
          <w:rFonts w:hint="eastAsia" w:ascii="宋体" w:hAnsi="宋体" w:cs="宋体"/>
          <w:bCs/>
          <w:color w:val="auto"/>
          <w:sz w:val="24"/>
        </w:rPr>
        <w:t>买方需求的货物价格</w:t>
      </w:r>
      <w:r>
        <w:rPr>
          <w:rFonts w:hint="eastAsia" w:ascii="宋体" w:hAnsi="宋体" w:cs="宋体"/>
          <w:color w:val="auto"/>
          <w:sz w:val="24"/>
        </w:rPr>
        <w:t>、</w:t>
      </w:r>
      <w:r>
        <w:rPr>
          <w:rFonts w:hint="eastAsia" w:ascii="宋体" w:hAnsi="宋体" w:cs="宋体"/>
          <w:bCs/>
          <w:color w:val="auto"/>
          <w:sz w:val="24"/>
        </w:rPr>
        <w:t>质量保证费用、培训费用及售后服务费用，项目在指定地点、环境交付、安装、调试、验收所需费用和所有</w:t>
      </w:r>
      <w:r>
        <w:rPr>
          <w:rFonts w:hint="eastAsia" w:ascii="宋体" w:hAnsi="宋体" w:cs="宋体"/>
          <w:color w:val="auto"/>
          <w:sz w:val="24"/>
        </w:rPr>
        <w:t>相关税金费用</w:t>
      </w:r>
      <w:r>
        <w:rPr>
          <w:rFonts w:hint="eastAsia" w:ascii="宋体" w:hAnsi="宋体" w:cs="宋体"/>
          <w:bCs/>
          <w:color w:val="auto"/>
          <w:sz w:val="24"/>
        </w:rPr>
        <w:t>及为完成整个项目所产生的其它所有费用。</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w:t>
      </w:r>
      <w:r>
        <w:rPr>
          <w:rFonts w:hint="eastAsia" w:ascii="宋体" w:hAnsi="宋体" w:cs="宋体"/>
          <w:bCs/>
          <w:color w:val="auto"/>
          <w:sz w:val="24"/>
        </w:rPr>
        <w:t>项目单价按投标配置及分项报价表中要求填报。</w:t>
      </w:r>
      <w:bookmarkStart w:id="78" w:name="_Hlt26670482"/>
      <w:bookmarkEnd w:id="78"/>
      <w:bookmarkStart w:id="79" w:name="_Hlt26954846"/>
      <w:bookmarkEnd w:id="79"/>
      <w:bookmarkStart w:id="80" w:name="_Hlt26670486"/>
      <w:bookmarkEnd w:id="80"/>
      <w:bookmarkStart w:id="81" w:name="_Hlt26954731"/>
      <w:bookmarkEnd w:id="81"/>
      <w:bookmarkStart w:id="82" w:name="_Hlt26954848"/>
      <w:bookmarkEnd w:id="82"/>
    </w:p>
    <w:p>
      <w:pPr>
        <w:spacing w:line="440" w:lineRule="exact"/>
        <w:ind w:firstLine="560" w:firstLineChars="200"/>
        <w:rPr>
          <w:rFonts w:hint="eastAsia" w:ascii="宋体" w:hAnsi="宋体" w:cs="宋体"/>
          <w:bCs/>
          <w:color w:val="auto"/>
          <w:sz w:val="24"/>
        </w:rPr>
      </w:pPr>
      <w:r>
        <w:rPr>
          <w:rFonts w:hint="eastAsia" w:ascii="宋体" w:hAnsi="宋体" w:cs="宋体"/>
          <w:bCs/>
          <w:color w:val="auto"/>
          <w:sz w:val="28"/>
          <w:szCs w:val="28"/>
        </w:rPr>
        <w:t>14</w:t>
      </w:r>
      <w:r>
        <w:rPr>
          <w:rFonts w:hint="eastAsia" w:ascii="宋体" w:hAnsi="宋体" w:cs="宋体"/>
          <w:b/>
          <w:bCs/>
          <w:color w:val="auto"/>
        </w:rPr>
        <w:t>、</w:t>
      </w:r>
      <w:r>
        <w:rPr>
          <w:rFonts w:hint="eastAsia" w:ascii="宋体" w:hAnsi="宋体" w:cs="宋体"/>
          <w:color w:val="auto"/>
          <w:sz w:val="28"/>
          <w:szCs w:val="28"/>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bCs/>
          <w:color w:val="auto"/>
          <w:sz w:val="24"/>
          <w:lang w:val="zh-CN"/>
        </w:rPr>
        <w:t>14.1</w:t>
      </w:r>
      <w:r>
        <w:rPr>
          <w:rFonts w:hint="eastAsia" w:ascii="宋体" w:hAnsi="宋体" w:cs="宋体"/>
          <w:color w:val="auto"/>
          <w:sz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14.5 投标人认为需要的其他技术文件或说明。</w:t>
      </w:r>
    </w:p>
    <w:p>
      <w:pPr>
        <w:tabs>
          <w:tab w:val="left" w:pos="1035"/>
        </w:tabs>
        <w:autoSpaceDE w:val="0"/>
        <w:autoSpaceDN w:val="0"/>
        <w:adjustRightInd w:val="0"/>
        <w:spacing w:line="440" w:lineRule="exact"/>
        <w:ind w:firstLine="560" w:firstLineChars="200"/>
        <w:rPr>
          <w:rFonts w:hint="eastAsia" w:ascii="宋体" w:hAnsi="宋体" w:cs="宋体"/>
          <w:bCs/>
          <w:color w:val="auto"/>
          <w:sz w:val="24"/>
          <w:lang w:val="zh-CN"/>
        </w:rPr>
      </w:pPr>
      <w:r>
        <w:rPr>
          <w:rFonts w:hint="eastAsia" w:ascii="宋体" w:hAnsi="宋体" w:cs="宋体"/>
          <w:bCs/>
          <w:color w:val="auto"/>
          <w:sz w:val="28"/>
          <w:szCs w:val="28"/>
        </w:rPr>
        <w:t>15、服务承诺及售后服务机构、人员的情况介绍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cs="宋体"/>
          <w:bCs/>
          <w:color w:val="auto"/>
          <w:sz w:val="24"/>
          <w:lang w:val="zh-CN"/>
        </w:rPr>
      </w:pPr>
      <w:r>
        <w:rPr>
          <w:rFonts w:hint="eastAsia" w:ascii="宋体" w:hAnsi="宋体" w:cs="宋体"/>
          <w:bCs/>
          <w:color w:val="auto"/>
          <w:sz w:val="24"/>
          <w:szCs w:val="24"/>
        </w:rPr>
        <w:t>15、1投标人的服务承诺应按不低于招标文件中商务要求的标准。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15、2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6"/>
        <w:spacing w:before="0" w:after="0" w:line="440" w:lineRule="exact"/>
        <w:ind w:firstLine="560" w:firstLineChars="200"/>
        <w:rPr>
          <w:rFonts w:hint="eastAsia" w:ascii="宋体" w:hAnsi="宋体" w:eastAsia="宋体" w:cs="宋体"/>
          <w:b w:val="0"/>
          <w:bCs w:val="0"/>
          <w:color w:val="auto"/>
        </w:rPr>
      </w:pPr>
      <w:bookmarkStart w:id="83" w:name="_Toc14577359"/>
      <w:bookmarkStart w:id="84" w:name="_Toc49090510"/>
      <w:r>
        <w:rPr>
          <w:rFonts w:hint="eastAsia" w:ascii="宋体" w:hAnsi="宋体" w:eastAsia="宋体" w:cs="宋体"/>
          <w:b w:val="0"/>
          <w:bCs w:val="0"/>
          <w:color w:val="auto"/>
        </w:rPr>
        <w:t>16、投标函和开标一览表</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16.1</w:t>
      </w:r>
      <w:r>
        <w:rPr>
          <w:rFonts w:hint="eastAsia" w:ascii="宋体" w:hAnsi="宋体" w:cs="宋体"/>
          <w:color w:val="auto"/>
          <w:sz w:val="24"/>
        </w:rPr>
        <w:t xml:space="preserve"> 投标人应按照招标文件中提供的格式完整、正确填写投标函、开标一览表。</w:t>
      </w:r>
    </w:p>
    <w:p>
      <w:pPr>
        <w:spacing w:line="440" w:lineRule="exact"/>
        <w:ind w:firstLine="480" w:firstLineChars="200"/>
        <w:rPr>
          <w:rFonts w:hint="eastAsia" w:ascii="宋体" w:hAnsi="宋体" w:cs="宋体"/>
          <w:color w:val="auto"/>
          <w:sz w:val="24"/>
        </w:rPr>
      </w:pPr>
      <w:r>
        <w:rPr>
          <w:rFonts w:hint="eastAsia" w:ascii="宋体" w:hAnsi="宋体" w:cs="宋体"/>
          <w:bCs/>
          <w:color w:val="auto"/>
          <w:sz w:val="24"/>
        </w:rPr>
        <w:t>16.2</w:t>
      </w:r>
      <w:r>
        <w:rPr>
          <w:rFonts w:hint="eastAsia" w:ascii="宋体" w:hAnsi="宋体" w:cs="宋体"/>
          <w:color w:val="auto"/>
          <w:sz w:val="24"/>
        </w:rPr>
        <w:t xml:space="preserve"> </w:t>
      </w:r>
      <w:r>
        <w:rPr>
          <w:rFonts w:hint="eastAsia" w:ascii="宋体" w:hAnsi="宋体" w:cs="宋体"/>
          <w:bCs/>
          <w:color w:val="auto"/>
          <w:sz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rPr>
        <w:t>，但评标时按开标一览表中价格为准</w:t>
      </w:r>
      <w:r>
        <w:rPr>
          <w:rFonts w:hint="eastAsia" w:ascii="宋体" w:hAnsi="宋体" w:cs="宋体"/>
          <w:b/>
          <w:bCs/>
          <w:color w:val="auto"/>
          <w:sz w:val="24"/>
        </w:rPr>
        <w:t>。</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17、投标保证金</w:t>
      </w:r>
      <w:bookmarkEnd w:id="83"/>
      <w:bookmarkEnd w:id="84"/>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17.1</w:t>
      </w:r>
      <w:r>
        <w:rPr>
          <w:rFonts w:hint="eastAsia" w:ascii="宋体" w:hAnsi="宋体" w:cs="宋体"/>
          <w:bCs/>
          <w:color w:val="auto"/>
          <w:sz w:val="24"/>
        </w:rPr>
        <w:t xml:space="preserve"> 投标人提交的投标保证金必须在投标截止时间前送达，并作为其投标的组成部分。</w:t>
      </w:r>
    </w:p>
    <w:p>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rPr>
        <w:t>17.2</w:t>
      </w:r>
      <w:r>
        <w:rPr>
          <w:rFonts w:hint="eastAsia" w:ascii="宋体" w:hAnsi="宋体" w:cs="宋体"/>
          <w:bCs/>
          <w:color w:val="auto"/>
          <w:sz w:val="24"/>
        </w:rPr>
        <w:t>在开标时，对于未按要求提交投标保证金的投标无效，</w:t>
      </w:r>
      <w:r>
        <w:rPr>
          <w:rFonts w:hint="eastAsia" w:ascii="宋体" w:hAnsi="宋体" w:cs="宋体"/>
          <w:color w:val="auto"/>
          <w:sz w:val="24"/>
        </w:rPr>
        <w:t>采购人或采购代理机构</w:t>
      </w:r>
      <w:r>
        <w:rPr>
          <w:rFonts w:hint="eastAsia" w:ascii="宋体" w:hAnsi="宋体" w:cs="宋体"/>
          <w:bCs/>
          <w:color w:val="auto"/>
          <w:sz w:val="24"/>
        </w:rPr>
        <w:t>拒绝接收其投标文件。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未中标的投标人的投标保证金，将在中标通知书发出之日起5个工作内退还，不计利息。</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17.4</w:t>
      </w:r>
      <w:r>
        <w:rPr>
          <w:rFonts w:hint="eastAsia" w:ascii="宋体" w:hAnsi="宋体" w:cs="宋体"/>
          <w:bCs/>
          <w:color w:val="auto"/>
          <w:sz w:val="24"/>
        </w:rPr>
        <w:t>签订合同时，中标人须向采购人交纳履约保证金,于合同履行后无息退还。</w:t>
      </w:r>
    </w:p>
    <w:p>
      <w:pPr>
        <w:spacing w:line="440" w:lineRule="exact"/>
        <w:ind w:firstLine="480" w:firstLineChars="200"/>
        <w:rPr>
          <w:rFonts w:hint="eastAsia" w:ascii="宋体" w:hAnsi="宋体" w:cs="宋体"/>
          <w:b/>
          <w:bCs/>
          <w:color w:val="auto"/>
          <w:sz w:val="24"/>
        </w:rPr>
      </w:pPr>
      <w:r>
        <w:rPr>
          <w:rFonts w:hint="eastAsia" w:ascii="宋体" w:hAnsi="宋体" w:cs="宋体"/>
          <w:b/>
          <w:color w:val="auto"/>
          <w:sz w:val="24"/>
        </w:rPr>
        <w:t>17.5</w:t>
      </w:r>
      <w:r>
        <w:rPr>
          <w:rFonts w:hint="eastAsia" w:ascii="宋体" w:hAnsi="宋体" w:cs="宋体"/>
          <w:b/>
          <w:bCs/>
          <w:color w:val="auto"/>
          <w:sz w:val="24"/>
        </w:rPr>
        <w:t xml:space="preserve"> 下列任何情况发生时，投标保证金将不予退还：</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（1）投标人在投标有效期内撤回其投标；</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（2）投标人提供的有关资料、资格证明文件被确认是不真实的；</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 投标人之间被证实有串通（统一哄抬价格）、欺诈行为；</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 投标人被证明有妨碍其他人公平竞争、损害</w:t>
      </w:r>
      <w:r>
        <w:rPr>
          <w:rFonts w:hint="eastAsia" w:ascii="宋体" w:hAnsi="宋体" w:cs="宋体"/>
          <w:color w:val="auto"/>
          <w:sz w:val="24"/>
        </w:rPr>
        <w:t>采购人或采购代理机构</w:t>
      </w:r>
      <w:r>
        <w:rPr>
          <w:rFonts w:hint="eastAsia" w:ascii="宋体" w:hAnsi="宋体" w:cs="宋体"/>
          <w:color w:val="auto"/>
          <w:sz w:val="24"/>
          <w:szCs w:val="24"/>
        </w:rPr>
        <w:t>或者其他投标人合法权益的；</w:t>
      </w:r>
    </w:p>
    <w:p>
      <w:pPr>
        <w:pStyle w:val="6"/>
        <w:spacing w:before="0" w:after="0" w:line="440" w:lineRule="exact"/>
        <w:ind w:firstLine="560" w:firstLineChars="200"/>
        <w:rPr>
          <w:rFonts w:hint="eastAsia" w:ascii="宋体" w:hAnsi="宋体" w:eastAsia="宋体" w:cs="宋体"/>
          <w:b w:val="0"/>
          <w:bCs w:val="0"/>
          <w:color w:val="auto"/>
        </w:rPr>
      </w:pPr>
      <w:bookmarkStart w:id="85" w:name="_Hlt26954850"/>
      <w:bookmarkEnd w:id="85"/>
      <w:bookmarkStart w:id="86" w:name="_Hlt26670489"/>
      <w:bookmarkEnd w:id="86"/>
      <w:bookmarkStart w:id="87" w:name="_Hlt26954734"/>
      <w:bookmarkEnd w:id="87"/>
      <w:bookmarkStart w:id="88" w:name="_Toc49090511"/>
      <w:bookmarkStart w:id="89" w:name="_Toc14577360"/>
      <w:r>
        <w:rPr>
          <w:rFonts w:hint="eastAsia" w:ascii="宋体" w:hAnsi="宋体" w:eastAsia="宋体" w:cs="宋体"/>
          <w:b w:val="0"/>
          <w:bCs w:val="0"/>
          <w:color w:val="auto"/>
        </w:rPr>
        <w:t>18、投标有效期</w:t>
      </w:r>
      <w:bookmarkEnd w:id="88"/>
      <w:bookmarkEnd w:id="89"/>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18.1</w:t>
      </w:r>
      <w:r>
        <w:rPr>
          <w:rFonts w:hint="eastAsia" w:ascii="宋体" w:hAnsi="宋体" w:cs="宋体"/>
          <w:bCs/>
          <w:color w:val="auto"/>
          <w:sz w:val="24"/>
        </w:rPr>
        <w:t xml:space="preserve"> 投标有效期为规定的开标之日后</w:t>
      </w:r>
      <w:r>
        <w:rPr>
          <w:rFonts w:hint="eastAsia" w:ascii="宋体" w:hAnsi="宋体" w:cs="宋体"/>
          <w:b/>
          <w:color w:val="auto"/>
          <w:sz w:val="24"/>
          <w:u w:val="single"/>
        </w:rPr>
        <w:t>六十（60）天</w:t>
      </w:r>
      <w:r>
        <w:rPr>
          <w:rFonts w:hint="eastAsia" w:ascii="宋体" w:hAnsi="宋体" w:cs="宋体"/>
          <w:bCs/>
          <w:color w:val="auto"/>
          <w:sz w:val="24"/>
        </w:rPr>
        <w:t>。投标有效期比规定短的将被视为非响应性投标而予以拒绝。</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18.2</w:t>
      </w:r>
      <w:r>
        <w:rPr>
          <w:rFonts w:hint="eastAsia" w:ascii="宋体" w:hAnsi="宋体" w:cs="宋体"/>
          <w:bCs/>
          <w:color w:val="auto"/>
          <w:sz w:val="24"/>
        </w:rPr>
        <w:t xml:space="preserve"> 在特殊情况下，</w:t>
      </w:r>
      <w:r>
        <w:rPr>
          <w:rFonts w:hint="eastAsia" w:ascii="宋体" w:hAnsi="宋体" w:cs="宋体"/>
          <w:color w:val="auto"/>
          <w:sz w:val="24"/>
        </w:rPr>
        <w:t>采购人或采购代理机构</w:t>
      </w:r>
      <w:r>
        <w:rPr>
          <w:rFonts w:hint="eastAsia" w:ascii="宋体" w:hAnsi="宋体" w:cs="宋体"/>
          <w:bCs/>
          <w:color w:val="auto"/>
          <w:sz w:val="24"/>
        </w:rPr>
        <w:t>于原投标有效期满之前，可向投标人提出延长投标有效期的要求。这种要求与答复均应采用书面形式。投标人可以拒绝</w:t>
      </w:r>
      <w:r>
        <w:rPr>
          <w:rFonts w:hint="eastAsia" w:ascii="宋体" w:hAnsi="宋体" w:cs="宋体"/>
          <w:color w:val="auto"/>
          <w:sz w:val="24"/>
        </w:rPr>
        <w:t>采购人或采购代理机构</w:t>
      </w:r>
      <w:r>
        <w:rPr>
          <w:rFonts w:hint="eastAsia" w:ascii="宋体" w:hAnsi="宋体" w:cs="宋体"/>
          <w:bCs/>
          <w:color w:val="auto"/>
          <w:sz w:val="24"/>
        </w:rPr>
        <w:t>的这一要求而放弃投标，</w:t>
      </w:r>
      <w:r>
        <w:rPr>
          <w:rFonts w:hint="eastAsia" w:ascii="宋体" w:hAnsi="宋体" w:cs="宋体"/>
          <w:color w:val="auto"/>
          <w:sz w:val="24"/>
        </w:rPr>
        <w:t>采购人或采购代理机构</w:t>
      </w:r>
      <w:r>
        <w:rPr>
          <w:rFonts w:hint="eastAsia" w:ascii="宋体" w:hAnsi="宋体" w:cs="宋体"/>
          <w:color w:val="auto"/>
          <w:sz w:val="24"/>
          <w:szCs w:val="24"/>
        </w:rPr>
        <w:t>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rPr>
        <w:t>同意延长投标有效期的投标人既不能要求也不允许修改其投标文件。第16条有关投标保证金的规定在延长期内继续有效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rPr>
        <w:t>。</w:t>
      </w:r>
    </w:p>
    <w:p>
      <w:pPr>
        <w:pStyle w:val="6"/>
        <w:spacing w:before="0" w:after="0" w:line="440" w:lineRule="exact"/>
        <w:ind w:firstLine="560" w:firstLineChars="200"/>
        <w:rPr>
          <w:rFonts w:hint="eastAsia" w:ascii="宋体" w:hAnsi="宋体" w:eastAsia="宋体" w:cs="宋体"/>
          <w:b w:val="0"/>
          <w:bCs w:val="0"/>
          <w:color w:val="auto"/>
        </w:rPr>
      </w:pPr>
      <w:bookmarkStart w:id="90" w:name="_Hlt26954852"/>
      <w:bookmarkEnd w:id="90"/>
      <w:bookmarkStart w:id="91" w:name="_Hlt26954739"/>
      <w:bookmarkEnd w:id="91"/>
      <w:bookmarkStart w:id="92" w:name="_Toc49090512"/>
      <w:bookmarkStart w:id="93" w:name="_Toc14577361"/>
      <w:r>
        <w:rPr>
          <w:rFonts w:hint="eastAsia" w:ascii="宋体" w:hAnsi="宋体" w:eastAsia="宋体" w:cs="宋体"/>
          <w:b w:val="0"/>
          <w:bCs w:val="0"/>
          <w:color w:val="auto"/>
        </w:rPr>
        <w:t>19、投标文件份数和签署</w:t>
      </w:r>
      <w:bookmarkEnd w:id="92"/>
      <w:bookmarkEnd w:id="93"/>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19.1</w:t>
      </w:r>
      <w:r>
        <w:rPr>
          <w:rFonts w:hint="eastAsia" w:ascii="宋体" w:hAnsi="宋体" w:cs="宋体"/>
          <w:b/>
          <w:color w:val="auto"/>
          <w:sz w:val="24"/>
        </w:rPr>
        <w:t xml:space="preserve"> </w:t>
      </w:r>
      <w:r>
        <w:rPr>
          <w:rFonts w:hint="eastAsia" w:ascii="宋体" w:hAnsi="宋体" w:cs="宋体"/>
          <w:bCs/>
          <w:color w:val="auto"/>
          <w:sz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19.2</w:t>
      </w:r>
      <w:r>
        <w:rPr>
          <w:rFonts w:hint="eastAsia" w:ascii="宋体" w:hAnsi="宋体" w:cs="宋体"/>
          <w:b/>
          <w:color w:val="auto"/>
          <w:sz w:val="24"/>
        </w:rPr>
        <w:t xml:space="preserve"> </w:t>
      </w:r>
      <w:r>
        <w:rPr>
          <w:rFonts w:hint="eastAsia" w:ascii="宋体" w:hAnsi="宋体" w:cs="宋体"/>
          <w:color w:val="auto"/>
          <w:sz w:val="24"/>
        </w:rPr>
        <w:t>投标文件正本中，</w:t>
      </w:r>
      <w:r>
        <w:rPr>
          <w:rFonts w:hint="eastAsia" w:ascii="宋体" w:hAnsi="宋体" w:cs="宋体"/>
          <w:bCs/>
          <w:color w:val="auto"/>
          <w:sz w:val="24"/>
        </w:rPr>
        <w:t>招标文件要求必须提供原件的按照要求提供，文</w:t>
      </w:r>
      <w:r>
        <w:rPr>
          <w:rFonts w:hint="eastAsia" w:ascii="宋体" w:hAnsi="宋体" w:cs="宋体"/>
          <w:color w:val="auto"/>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19.3</w:t>
      </w:r>
      <w:r>
        <w:rPr>
          <w:rFonts w:hint="eastAsia" w:ascii="宋体" w:hAnsi="宋体" w:cs="宋体"/>
          <w:bCs/>
          <w:color w:val="auto"/>
          <w:sz w:val="24"/>
        </w:rPr>
        <w:t xml:space="preserve"> 除投标人对错处做必要修改外，投标文件不得行间插字、涂改或增删。如有修改错漏处，必须由投标文件签署人签字或盖章。</w:t>
      </w:r>
    </w:p>
    <w:p>
      <w:pPr>
        <w:pStyle w:val="5"/>
        <w:spacing w:before="0" w:after="0" w:line="440" w:lineRule="exact"/>
        <w:ind w:firstLine="640" w:firstLineChars="200"/>
        <w:rPr>
          <w:rFonts w:hint="eastAsia" w:ascii="宋体" w:hAnsi="宋体" w:cs="宋体"/>
          <w:color w:val="auto"/>
        </w:rPr>
      </w:pPr>
      <w:bookmarkStart w:id="94" w:name="_Toc20823296"/>
      <w:bookmarkStart w:id="95" w:name="_Toc16938540"/>
      <w:bookmarkStart w:id="96" w:name="_Toc120614217"/>
      <w:bookmarkStart w:id="97" w:name="_Toc513029224"/>
      <w:r>
        <w:rPr>
          <w:rFonts w:hint="eastAsia" w:ascii="宋体" w:hAnsi="宋体" w:cs="宋体"/>
          <w:color w:val="auto"/>
        </w:rPr>
        <w:t>四、投标文件的递交</w:t>
      </w:r>
      <w:bookmarkEnd w:id="94"/>
      <w:bookmarkEnd w:id="95"/>
      <w:bookmarkEnd w:id="96"/>
      <w:bookmarkEnd w:id="97"/>
    </w:p>
    <w:p>
      <w:pPr>
        <w:pStyle w:val="6"/>
        <w:spacing w:before="0" w:after="0" w:line="440" w:lineRule="exact"/>
        <w:ind w:firstLine="560" w:firstLineChars="200"/>
        <w:rPr>
          <w:rFonts w:hint="eastAsia" w:ascii="宋体" w:hAnsi="宋体" w:eastAsia="宋体" w:cs="宋体"/>
          <w:b w:val="0"/>
          <w:bCs w:val="0"/>
          <w:color w:val="auto"/>
        </w:rPr>
      </w:pPr>
      <w:bookmarkStart w:id="98" w:name="_Toc20823297"/>
      <w:bookmarkStart w:id="99" w:name="_Toc462564084"/>
      <w:bookmarkStart w:id="100" w:name="_Toc513029225"/>
      <w:bookmarkStart w:id="101" w:name="_Toc16938541"/>
      <w:r>
        <w:rPr>
          <w:rFonts w:hint="eastAsia" w:ascii="宋体" w:hAnsi="宋体" w:eastAsia="宋体" w:cs="宋体"/>
          <w:b w:val="0"/>
          <w:bCs w:val="0"/>
          <w:color w:val="auto"/>
        </w:rPr>
        <w:t>20、投标文件的密封和标记</w:t>
      </w:r>
      <w:bookmarkEnd w:id="98"/>
      <w:bookmarkEnd w:id="99"/>
      <w:bookmarkEnd w:id="100"/>
      <w:bookmarkEnd w:id="101"/>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20.1</w:t>
      </w:r>
      <w:r>
        <w:rPr>
          <w:rFonts w:hint="eastAsia" w:ascii="宋体" w:hAnsi="宋体" w:cs="宋体"/>
          <w:bCs/>
          <w:color w:val="auto"/>
          <w:sz w:val="24"/>
        </w:rPr>
        <w:t>投标人应将投标文件正本和所有副本密封，不论投标人中标与否，投标文件均不退回。</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20.2</w:t>
      </w:r>
      <w:r>
        <w:rPr>
          <w:rFonts w:hint="eastAsia" w:ascii="宋体" w:hAnsi="宋体" w:cs="宋体"/>
          <w:bCs/>
          <w:color w:val="auto"/>
          <w:sz w:val="24"/>
        </w:rPr>
        <w:t xml:space="preserve"> 密封的投标文件应：</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20.2.1 注明投标人名称，如因标注不清而产生的后果由投标人自负。按招标公告中注明的地址送达；</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20.2.2  注明投标项目名称、标书编号及分包号。</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20.2.3</w:t>
      </w:r>
      <w:r>
        <w:rPr>
          <w:rFonts w:hint="eastAsia" w:ascii="宋体" w:hAnsi="宋体" w:cs="宋体"/>
          <w:bCs/>
          <w:color w:val="auto"/>
          <w:sz w:val="24"/>
        </w:rPr>
        <w:t xml:space="preserve">  未按要求密封和加写标记，</w:t>
      </w:r>
      <w:r>
        <w:rPr>
          <w:rFonts w:hint="eastAsia" w:ascii="宋体" w:hAnsi="宋体" w:cs="宋体"/>
          <w:color w:val="auto"/>
          <w:sz w:val="24"/>
        </w:rPr>
        <w:t>采购人或采购代理机构</w:t>
      </w:r>
      <w:r>
        <w:rPr>
          <w:rFonts w:hint="eastAsia" w:ascii="宋体" w:hAnsi="宋体" w:cs="宋体"/>
          <w:bCs/>
          <w:color w:val="auto"/>
          <w:sz w:val="24"/>
        </w:rPr>
        <w:t>对误投或过早启封概不负责。对由此造成提前开封的投标文件，</w:t>
      </w:r>
      <w:r>
        <w:rPr>
          <w:rFonts w:hint="eastAsia" w:ascii="宋体" w:hAnsi="宋体" w:cs="宋体"/>
          <w:color w:val="auto"/>
          <w:sz w:val="24"/>
        </w:rPr>
        <w:t>采购人或采购代理机构</w:t>
      </w:r>
      <w:r>
        <w:rPr>
          <w:rFonts w:hint="eastAsia" w:ascii="宋体" w:hAnsi="宋体" w:cs="宋体"/>
          <w:bCs/>
          <w:color w:val="auto"/>
          <w:sz w:val="24"/>
        </w:rPr>
        <w:t>将予以拒绝，作无效投标处理。</w:t>
      </w:r>
    </w:p>
    <w:p>
      <w:pPr>
        <w:pStyle w:val="6"/>
        <w:spacing w:before="0" w:after="0" w:line="440" w:lineRule="exact"/>
        <w:ind w:firstLine="560" w:firstLineChars="200"/>
        <w:rPr>
          <w:rFonts w:hint="eastAsia" w:ascii="宋体" w:hAnsi="宋体" w:eastAsia="宋体" w:cs="宋体"/>
          <w:b w:val="0"/>
          <w:bCs w:val="0"/>
          <w:color w:val="auto"/>
        </w:rPr>
      </w:pPr>
      <w:bookmarkStart w:id="102" w:name="_Toc513029226"/>
      <w:bookmarkStart w:id="103" w:name="_Toc16938542"/>
      <w:bookmarkStart w:id="104" w:name="_Toc20823298"/>
      <w:r>
        <w:rPr>
          <w:rFonts w:hint="eastAsia" w:ascii="宋体" w:hAnsi="宋体" w:eastAsia="宋体" w:cs="宋体"/>
          <w:b w:val="0"/>
          <w:bCs w:val="0"/>
          <w:color w:val="auto"/>
        </w:rPr>
        <w:t>21、投标截止日期</w:t>
      </w:r>
      <w:bookmarkEnd w:id="102"/>
      <w:bookmarkEnd w:id="103"/>
      <w:bookmarkEnd w:id="104"/>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21.1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收到投标文件的时间不得迟于招标公告中规定的截止时间。</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21.2</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有权通过修改招标文件酌情延长投标截止日期，在此情况下，投标人的所有权利和义务以及投标人受制的截止日期均应以延长后新的截止日期为准。</w:t>
      </w:r>
    </w:p>
    <w:p>
      <w:pPr>
        <w:pStyle w:val="6"/>
        <w:spacing w:before="0" w:after="0" w:line="440" w:lineRule="exact"/>
        <w:ind w:firstLine="560" w:firstLineChars="200"/>
        <w:rPr>
          <w:rFonts w:hint="eastAsia" w:ascii="宋体" w:hAnsi="宋体" w:eastAsia="宋体" w:cs="宋体"/>
          <w:b w:val="0"/>
          <w:bCs w:val="0"/>
          <w:color w:val="auto"/>
        </w:rPr>
      </w:pPr>
      <w:bookmarkStart w:id="105" w:name="_Toc20823299"/>
      <w:bookmarkStart w:id="106" w:name="_Toc513029227"/>
      <w:bookmarkStart w:id="107" w:name="_Toc16938543"/>
      <w:r>
        <w:rPr>
          <w:rFonts w:hint="eastAsia" w:ascii="宋体" w:hAnsi="宋体" w:eastAsia="宋体" w:cs="宋体"/>
          <w:b w:val="0"/>
          <w:bCs w:val="0"/>
          <w:color w:val="auto"/>
        </w:rPr>
        <w:t>22、迟交的投标文件</w:t>
      </w:r>
      <w:bookmarkEnd w:id="105"/>
      <w:bookmarkEnd w:id="106"/>
      <w:bookmarkEnd w:id="107"/>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22.1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拒绝接收在其规定的投标截止时间后递交的任何投标文件。</w:t>
      </w:r>
    </w:p>
    <w:p>
      <w:pPr>
        <w:pStyle w:val="6"/>
        <w:spacing w:before="0" w:after="0" w:line="440" w:lineRule="exact"/>
        <w:ind w:firstLine="560" w:firstLineChars="200"/>
        <w:rPr>
          <w:rFonts w:hint="eastAsia" w:ascii="宋体" w:hAnsi="宋体" w:eastAsia="宋体" w:cs="宋体"/>
          <w:b w:val="0"/>
          <w:bCs w:val="0"/>
          <w:color w:val="auto"/>
        </w:rPr>
      </w:pPr>
      <w:bookmarkStart w:id="108" w:name="_Toc513029228"/>
      <w:bookmarkStart w:id="109" w:name="_Toc20823300"/>
      <w:bookmarkStart w:id="110" w:name="_Toc16938544"/>
      <w:r>
        <w:rPr>
          <w:rFonts w:hint="eastAsia" w:ascii="宋体" w:hAnsi="宋体" w:eastAsia="宋体" w:cs="宋体"/>
          <w:b w:val="0"/>
          <w:bCs w:val="0"/>
          <w:color w:val="auto"/>
        </w:rPr>
        <w:t>23、投标文件的修改和撤回</w:t>
      </w:r>
      <w:bookmarkEnd w:id="108"/>
      <w:bookmarkEnd w:id="109"/>
      <w:bookmarkEnd w:id="110"/>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23.1</w:t>
      </w:r>
      <w:r>
        <w:rPr>
          <w:rFonts w:hint="eastAsia" w:ascii="宋体" w:hAnsi="宋体" w:cs="宋体"/>
          <w:bCs/>
          <w:color w:val="auto"/>
          <w:sz w:val="24"/>
        </w:rPr>
        <w:t xml:space="preserve"> 投标人在递交投标文件后，可以修改或撤回其投标文件，但这种修改和撤回，必须在规定的投标截止时间前，以书面形式</w:t>
      </w:r>
      <w:r>
        <w:rPr>
          <w:rFonts w:hint="eastAsia" w:ascii="宋体" w:hAnsi="宋体" w:cs="宋体"/>
          <w:color w:val="auto"/>
          <w:sz w:val="24"/>
          <w:szCs w:val="24"/>
        </w:rPr>
        <w:t>通知</w:t>
      </w:r>
      <w:r>
        <w:rPr>
          <w:rFonts w:hint="eastAsia" w:ascii="宋体" w:hAnsi="宋体" w:cs="宋体"/>
          <w:color w:val="auto"/>
          <w:sz w:val="24"/>
        </w:rPr>
        <w:t>采购人或采购代理机构</w:t>
      </w:r>
      <w:r>
        <w:rPr>
          <w:rFonts w:hint="eastAsia" w:ascii="宋体" w:hAnsi="宋体" w:cs="宋体"/>
          <w:color w:val="auto"/>
          <w:sz w:val="24"/>
          <w:szCs w:val="24"/>
        </w:rPr>
        <w:t>，修改或撤回其投标文件。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23.2</w:t>
      </w:r>
      <w:r>
        <w:rPr>
          <w:rFonts w:hint="eastAsia" w:ascii="宋体" w:hAnsi="宋体" w:cs="宋体"/>
          <w:bCs/>
          <w:color w:val="auto"/>
          <w:sz w:val="24"/>
        </w:rPr>
        <w:t xml:space="preserve"> 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w:t>
      </w:r>
      <w:r>
        <w:rPr>
          <w:rFonts w:hint="eastAsia" w:ascii="宋体" w:hAnsi="宋体" w:cs="宋体"/>
          <w:color w:val="auto"/>
          <w:sz w:val="24"/>
        </w:rPr>
        <w:t>采购人或采购代理机构</w:t>
      </w:r>
      <w:r>
        <w:rPr>
          <w:rFonts w:hint="eastAsia" w:ascii="宋体" w:hAnsi="宋体" w:cs="宋体"/>
          <w:color w:val="auto"/>
          <w:sz w:val="24"/>
          <w:szCs w:val="24"/>
        </w:rPr>
        <w:t>。</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23.3</w:t>
      </w:r>
      <w:r>
        <w:rPr>
          <w:rFonts w:hint="eastAsia" w:ascii="宋体" w:hAnsi="宋体" w:cs="宋体"/>
          <w:bCs/>
          <w:color w:val="auto"/>
          <w:sz w:val="24"/>
        </w:rPr>
        <w:t xml:space="preserve"> 在投标截止时间之后，投标人不得对其投标文件作任何修改。</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23.4</w:t>
      </w:r>
      <w:r>
        <w:rPr>
          <w:rFonts w:hint="eastAsia" w:ascii="宋体" w:hAnsi="宋体" w:cs="宋体"/>
          <w:bCs/>
          <w:color w:val="auto"/>
          <w:sz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640" w:firstLineChars="200"/>
        <w:rPr>
          <w:rFonts w:hint="eastAsia" w:ascii="宋体" w:hAnsi="宋体" w:cs="宋体"/>
          <w:color w:val="auto"/>
        </w:rPr>
      </w:pPr>
      <w:bookmarkStart w:id="111" w:name="_Toc16938545"/>
      <w:bookmarkStart w:id="112" w:name="_Toc513029229"/>
      <w:bookmarkStart w:id="113" w:name="_Toc20823301"/>
      <w:bookmarkStart w:id="114" w:name="_Toc120614218"/>
      <w:r>
        <w:rPr>
          <w:rFonts w:hint="eastAsia" w:ascii="宋体" w:hAnsi="宋体" w:cs="宋体"/>
          <w:color w:val="auto"/>
        </w:rPr>
        <w:t>五、开标与评标</w:t>
      </w:r>
      <w:bookmarkEnd w:id="111"/>
      <w:bookmarkEnd w:id="112"/>
      <w:bookmarkEnd w:id="113"/>
      <w:bookmarkEnd w:id="114"/>
    </w:p>
    <w:p>
      <w:pPr>
        <w:pStyle w:val="6"/>
        <w:spacing w:before="0" w:after="0" w:line="440" w:lineRule="exact"/>
        <w:ind w:firstLine="560" w:firstLineChars="200"/>
        <w:rPr>
          <w:rFonts w:hint="eastAsia" w:ascii="宋体" w:hAnsi="宋体" w:eastAsia="宋体" w:cs="宋体"/>
          <w:b w:val="0"/>
          <w:bCs w:val="0"/>
          <w:color w:val="auto"/>
        </w:rPr>
      </w:pPr>
      <w:bookmarkStart w:id="115" w:name="_Toc513029230"/>
      <w:bookmarkStart w:id="116" w:name="_Toc16938546"/>
      <w:bookmarkStart w:id="117" w:name="_Toc20823302"/>
      <w:r>
        <w:rPr>
          <w:rFonts w:hint="eastAsia" w:ascii="宋体" w:hAnsi="宋体" w:eastAsia="宋体" w:cs="宋体"/>
          <w:b w:val="0"/>
          <w:bCs w:val="0"/>
          <w:color w:val="auto"/>
        </w:rPr>
        <w:t>24、开标</w:t>
      </w:r>
      <w:bookmarkEnd w:id="115"/>
      <w:bookmarkEnd w:id="116"/>
      <w:bookmarkEnd w:id="117"/>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24.1</w:t>
      </w:r>
      <w:r>
        <w:rPr>
          <w:rFonts w:hint="eastAsia" w:ascii="宋体" w:hAnsi="宋体" w:cs="宋体"/>
          <w:bCs/>
          <w:color w:val="auto"/>
          <w:sz w:val="24"/>
        </w:rPr>
        <w:t xml:space="preserve"> </w:t>
      </w:r>
      <w:r>
        <w:rPr>
          <w:rFonts w:hint="eastAsia" w:ascii="宋体" w:hAnsi="宋体" w:cs="宋体"/>
          <w:color w:val="auto"/>
          <w:sz w:val="24"/>
        </w:rPr>
        <w:t>采购人或采购代理机构</w:t>
      </w:r>
      <w:r>
        <w:rPr>
          <w:rFonts w:hint="eastAsia" w:ascii="宋体" w:hAnsi="宋体" w:cs="宋体"/>
          <w:bCs/>
          <w:color w:val="auto"/>
          <w:sz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24.3</w:t>
      </w:r>
      <w:r>
        <w:rPr>
          <w:rFonts w:hint="eastAsia" w:ascii="宋体" w:hAnsi="宋体" w:cs="宋体"/>
          <w:b/>
          <w:color w:val="auto"/>
          <w:sz w:val="24"/>
        </w:rPr>
        <w:t xml:space="preserve"> </w:t>
      </w:r>
      <w:r>
        <w:rPr>
          <w:rFonts w:hint="eastAsia" w:ascii="宋体" w:hAnsi="宋体" w:cs="宋体"/>
          <w:bCs/>
          <w:color w:val="auto"/>
          <w:sz w:val="24"/>
        </w:rPr>
        <w:t>按照规定同意撤回的投标将不予开封。</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开标时请监委或投标人代表查验投标文件密封情况，确认无误后，</w:t>
      </w:r>
      <w:r>
        <w:rPr>
          <w:rFonts w:hint="eastAsia" w:ascii="宋体" w:hAnsi="宋体" w:cs="宋体"/>
          <w:color w:val="auto"/>
          <w:sz w:val="24"/>
        </w:rPr>
        <w:t>采购代理机构</w:t>
      </w:r>
      <w:r>
        <w:rPr>
          <w:rFonts w:hint="eastAsia" w:ascii="宋体" w:hAnsi="宋体" w:cs="宋体"/>
          <w:color w:val="auto"/>
          <w:sz w:val="24"/>
          <w:szCs w:val="24"/>
        </w:rPr>
        <w:t>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24.5 采购人或采购代理机构将指定专人负责开标记录并存档备查。</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24.6 投标人在报价时不允许采用选择性报价，否则将被视为无效投标。</w:t>
      </w:r>
    </w:p>
    <w:p>
      <w:pPr>
        <w:pStyle w:val="6"/>
        <w:spacing w:before="0" w:after="0" w:line="440" w:lineRule="exact"/>
        <w:ind w:firstLine="560" w:firstLineChars="200"/>
        <w:rPr>
          <w:rFonts w:hint="eastAsia" w:ascii="宋体" w:hAnsi="宋体" w:eastAsia="宋体" w:cs="宋体"/>
          <w:b w:val="0"/>
          <w:bCs w:val="0"/>
          <w:color w:val="auto"/>
        </w:rPr>
      </w:pPr>
      <w:bookmarkStart w:id="118" w:name="_Toc20823303"/>
      <w:bookmarkStart w:id="119" w:name="_Toc513029231"/>
      <w:bookmarkStart w:id="120" w:name="_Toc16938547"/>
      <w:r>
        <w:rPr>
          <w:rFonts w:hint="eastAsia" w:ascii="宋体" w:hAnsi="宋体" w:eastAsia="宋体" w:cs="宋体"/>
          <w:b w:val="0"/>
          <w:bCs w:val="0"/>
          <w:color w:val="auto"/>
        </w:rPr>
        <w:t>25、资格审查</w:t>
      </w:r>
    </w:p>
    <w:p>
      <w:pPr>
        <w:widowControl/>
        <w:spacing w:line="440" w:lineRule="exact"/>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（财政部87号令第44条规定）</w:t>
      </w:r>
    </w:p>
    <w:p>
      <w:pPr>
        <w:widowControl/>
        <w:spacing w:line="440" w:lineRule="exact"/>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合格投标人不足3家的，不得评标。</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26、评标委员会</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26.1</w:t>
      </w:r>
      <w:r>
        <w:rPr>
          <w:rFonts w:hint="eastAsia" w:ascii="宋体" w:hAnsi="宋体" w:cs="宋体"/>
          <w:b/>
          <w:color w:val="auto"/>
          <w:sz w:val="24"/>
          <w:szCs w:val="24"/>
        </w:rPr>
        <w:t xml:space="preserve"> </w:t>
      </w:r>
      <w:r>
        <w:rPr>
          <w:rFonts w:hint="eastAsia" w:ascii="宋体" w:hAnsi="宋体" w:cs="宋体"/>
          <w:color w:val="auto"/>
          <w:sz w:val="24"/>
          <w:szCs w:val="24"/>
        </w:rPr>
        <w:t>资格审查通过后，采购人或采购代理机构将组织评标委员会（以下简称评委会）进行评标。</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26.2 评委会由采购人代表和有关技术、经济等方面的专家组成，且人员构成符合政府采购有关规定。</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26.3评委会独立工作，负责评审所有投标文件并确定中标侯选人。</w:t>
      </w:r>
    </w:p>
    <w:p>
      <w:pPr>
        <w:pStyle w:val="6"/>
        <w:spacing w:before="0" w:after="0" w:line="440" w:lineRule="exact"/>
        <w:ind w:firstLine="560" w:firstLineChars="200"/>
        <w:rPr>
          <w:rFonts w:hint="eastAsia" w:ascii="宋体" w:hAnsi="宋体" w:eastAsia="宋体" w:cs="宋体"/>
          <w:b w:val="0"/>
          <w:bCs w:val="0"/>
          <w:color w:val="auto"/>
        </w:rPr>
      </w:pPr>
      <w:r>
        <w:rPr>
          <w:rFonts w:hint="eastAsia" w:ascii="宋体" w:hAnsi="宋体" w:eastAsia="宋体" w:cs="宋体"/>
          <w:b w:val="0"/>
          <w:bCs w:val="0"/>
          <w:color w:val="auto"/>
        </w:rPr>
        <w:t>27、评标过程的保密与公正</w:t>
      </w:r>
    </w:p>
    <w:bookmarkEnd w:id="118"/>
    <w:bookmarkEnd w:id="119"/>
    <w:bookmarkEnd w:id="120"/>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27.1</w:t>
      </w:r>
      <w:r>
        <w:rPr>
          <w:rFonts w:hint="eastAsia" w:ascii="宋体" w:hAnsi="宋体" w:cs="宋体"/>
          <w:bCs/>
          <w:color w:val="auto"/>
          <w:sz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6"/>
        <w:spacing w:before="0" w:after="0" w:line="440" w:lineRule="exact"/>
        <w:ind w:firstLine="560" w:firstLineChars="200"/>
        <w:rPr>
          <w:rFonts w:hint="eastAsia" w:ascii="宋体" w:hAnsi="宋体" w:eastAsia="宋体" w:cs="宋体"/>
          <w:b w:val="0"/>
          <w:bCs w:val="0"/>
          <w:color w:val="auto"/>
        </w:rPr>
      </w:pPr>
      <w:bookmarkStart w:id="121" w:name="_Toc513029232"/>
      <w:bookmarkStart w:id="122" w:name="_Toc16938548"/>
      <w:bookmarkStart w:id="123" w:name="_Toc20823304"/>
      <w:r>
        <w:rPr>
          <w:rFonts w:hint="eastAsia" w:ascii="宋体" w:hAnsi="宋体" w:eastAsia="宋体" w:cs="宋体"/>
          <w:b w:val="0"/>
          <w:bCs w:val="0"/>
          <w:color w:val="auto"/>
        </w:rPr>
        <w:t>28、投标的澄清</w:t>
      </w:r>
      <w:bookmarkEnd w:id="121"/>
      <w:bookmarkEnd w:id="122"/>
      <w:bookmarkEnd w:id="123"/>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28.3 接到评委会澄清要求的投标人如未按规定做出澄清，其风险由投标人自行承担。</w:t>
      </w:r>
    </w:p>
    <w:p>
      <w:pPr>
        <w:pStyle w:val="6"/>
        <w:spacing w:before="0" w:after="0" w:line="440" w:lineRule="exact"/>
        <w:ind w:firstLine="560" w:firstLineChars="200"/>
        <w:rPr>
          <w:rFonts w:hint="eastAsia" w:ascii="宋体" w:hAnsi="宋体" w:eastAsia="宋体" w:cs="宋体"/>
          <w:b w:val="0"/>
          <w:bCs w:val="0"/>
          <w:color w:val="auto"/>
        </w:rPr>
      </w:pPr>
      <w:bookmarkStart w:id="124" w:name="_Toc513029233"/>
      <w:bookmarkStart w:id="125" w:name="_Toc16938549"/>
      <w:bookmarkStart w:id="126" w:name="_Toc20823305"/>
      <w:r>
        <w:rPr>
          <w:rFonts w:hint="eastAsia" w:ascii="宋体" w:hAnsi="宋体" w:eastAsia="宋体" w:cs="宋体"/>
          <w:b w:val="0"/>
          <w:bCs w:val="0"/>
          <w:color w:val="auto"/>
        </w:rPr>
        <w:t>29、对投标文件的审</w:t>
      </w:r>
      <w:bookmarkEnd w:id="124"/>
      <w:bookmarkEnd w:id="125"/>
      <w:bookmarkEnd w:id="126"/>
      <w:r>
        <w:rPr>
          <w:rFonts w:hint="eastAsia" w:ascii="宋体" w:hAnsi="宋体" w:eastAsia="宋体" w:cs="宋体"/>
          <w:b w:val="0"/>
          <w:bCs w:val="0"/>
          <w:color w:val="auto"/>
        </w:rPr>
        <w:t>查</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29.1</w:t>
      </w:r>
      <w:r>
        <w:rPr>
          <w:rFonts w:hint="eastAsia" w:ascii="宋体" w:hAnsi="宋体" w:cs="宋体"/>
          <w:bCs/>
          <w:color w:val="auto"/>
          <w:sz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rPr>
        <w:t>评委决定投标文件的响应性只根据投标文件本身的内容，而不寻求外部的证据。</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29.3</w:t>
      </w:r>
      <w:r>
        <w:rPr>
          <w:rFonts w:hint="eastAsia" w:ascii="宋体" w:hAnsi="宋体" w:cs="宋体"/>
          <w:bCs/>
          <w:color w:val="auto"/>
          <w:sz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29.4</w:t>
      </w:r>
      <w:r>
        <w:rPr>
          <w:rFonts w:hint="eastAsia" w:ascii="宋体" w:hAnsi="宋体" w:cs="宋体"/>
          <w:bCs/>
          <w:color w:val="auto"/>
          <w:sz w:val="24"/>
        </w:rPr>
        <w:t>评委会将对确定为实质性响应的投标进行进一步审核，对投标文件中大小写金额不一致等问题的评审原则如下：</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29.5</w:t>
      </w:r>
      <w:r>
        <w:rPr>
          <w:rFonts w:hint="eastAsia" w:ascii="宋体" w:hAnsi="宋体" w:cs="宋体"/>
          <w:bCs/>
          <w:color w:val="auto"/>
          <w:sz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29.6</w:t>
      </w:r>
      <w:r>
        <w:rPr>
          <w:rFonts w:hint="eastAsia" w:ascii="宋体" w:hAnsi="宋体" w:cs="宋体"/>
          <w:bCs/>
          <w:color w:val="auto"/>
          <w:sz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29.7评标委员会认为投标人的报价</w:t>
      </w:r>
      <w:r>
        <w:rPr>
          <w:rFonts w:hint="eastAsia" w:ascii="宋体" w:hAnsi="宋体" w:cs="宋体"/>
          <w:b/>
          <w:color w:val="auto"/>
          <w:sz w:val="24"/>
        </w:rPr>
        <w:t>明显偏离</w:t>
      </w:r>
      <w:r>
        <w:rPr>
          <w:rFonts w:hint="eastAsia" w:ascii="宋体" w:hAnsi="宋体" w:cs="宋体"/>
          <w:color w:val="auto"/>
          <w:sz w:val="24"/>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6"/>
        <w:spacing w:before="0" w:after="0" w:line="440" w:lineRule="exact"/>
        <w:ind w:firstLine="560" w:firstLineChars="200"/>
        <w:rPr>
          <w:rFonts w:hint="eastAsia" w:ascii="宋体" w:hAnsi="宋体" w:eastAsia="宋体" w:cs="宋体"/>
          <w:b w:val="0"/>
          <w:bCs w:val="0"/>
          <w:color w:val="auto"/>
        </w:rPr>
      </w:pPr>
      <w:bookmarkStart w:id="127" w:name="_Toc513029234"/>
      <w:bookmarkStart w:id="128" w:name="_Toc16938550"/>
      <w:bookmarkStart w:id="129" w:name="_Toc20823306"/>
      <w:r>
        <w:rPr>
          <w:rFonts w:hint="eastAsia" w:ascii="宋体" w:hAnsi="宋体" w:eastAsia="宋体" w:cs="宋体"/>
          <w:b w:val="0"/>
          <w:bCs w:val="0"/>
          <w:color w:val="auto"/>
        </w:rPr>
        <w:t>30、</w:t>
      </w:r>
      <w:bookmarkEnd w:id="127"/>
      <w:bookmarkEnd w:id="128"/>
      <w:bookmarkEnd w:id="129"/>
      <w:r>
        <w:rPr>
          <w:rFonts w:hint="eastAsia" w:ascii="宋体" w:hAnsi="宋体" w:eastAsia="宋体" w:cs="宋体"/>
          <w:b w:val="0"/>
          <w:bCs w:val="0"/>
          <w:color w:val="auto"/>
        </w:rPr>
        <w:t>无效投标条款和废标条款</w:t>
      </w:r>
    </w:p>
    <w:p>
      <w:pPr>
        <w:spacing w:line="440" w:lineRule="exact"/>
        <w:ind w:firstLine="480" w:firstLineChars="200"/>
        <w:rPr>
          <w:rFonts w:hint="eastAsia" w:ascii="宋体" w:hAnsi="宋体" w:cs="宋体"/>
          <w:bCs/>
          <w:color w:val="auto"/>
          <w:sz w:val="24"/>
        </w:rPr>
      </w:pPr>
      <w:bookmarkStart w:id="130" w:name="_Toc20823307"/>
      <w:bookmarkStart w:id="131" w:name="_Toc16938551"/>
      <w:bookmarkStart w:id="132" w:name="_Toc513029235"/>
      <w:r>
        <w:rPr>
          <w:rFonts w:hint="eastAsia" w:ascii="宋体" w:hAnsi="宋体" w:cs="宋体"/>
          <w:bCs/>
          <w:color w:val="auto"/>
          <w:sz w:val="24"/>
        </w:rPr>
        <w:t>30.1无效投标条款</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30.1.1未按要求交纳投标保证金的；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30.1.2未按照招标文件规定要求密封、签署、盖章的；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30.1.3投标人在报价时采用选择性报价；</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30.1.4投标人不具备招标文件中规定资格要求的；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30.1.5投标人的报价超过了采购预算的；</w:t>
      </w:r>
    </w:p>
    <w:p>
      <w:pPr>
        <w:spacing w:line="440" w:lineRule="exact"/>
        <w:ind w:firstLine="480" w:firstLineChars="200"/>
        <w:rPr>
          <w:rFonts w:hint="eastAsia" w:ascii="宋体" w:hAnsi="宋体" w:cs="宋体"/>
          <w:bCs/>
          <w:i/>
          <w:color w:val="auto"/>
          <w:sz w:val="24"/>
          <w:u w:val="single"/>
        </w:rPr>
      </w:pPr>
      <w:r>
        <w:rPr>
          <w:rFonts w:hint="eastAsia" w:ascii="宋体" w:hAnsi="宋体" w:cs="宋体"/>
          <w:bCs/>
          <w:color w:val="auto"/>
          <w:sz w:val="24"/>
        </w:rPr>
        <w:t>30.1.6未通过符合性检查的；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30.1.7不符合招标文件中规定的其他实质性要求和条件的；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30.1.8 投标人串通投标；</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30.1.9其他法律、法规及本招标文件规定的属无效投标的情形。</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30.2废标条款：                                                                                                                                                                                                                                                                                                                                                                                                                                                                                                                                                                                                                                                                                                                                                                                                                                                                                                                                                                                                                                                                                                                                                                                                                                                                                                                                                                                                                                                                         </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30.2.1符合专业条件的供应商或者对招标文件作实质响应的供应商不足三家的；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30.2.2出现影响采购公正的违法、违规行为的；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30.2.3因重大变故，采购任务取消的；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30.2.4评标委员会认定招标文件存在歧义、 重大缺陷导致评审工作无法进行。</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30.3 投标截止时间结束后参加投标的供应商不足三家的处理：</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30.3.1如出现投标截止时间结束后参加投标的供应商或者在评标期间对招标文件做出实质响应的供应商不足三家情况，按财政部第八十七号令第四十三条的规定执行。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640" w:firstLineChars="200"/>
        <w:rPr>
          <w:rFonts w:hint="eastAsia" w:ascii="宋体" w:hAnsi="宋体" w:cs="宋体"/>
          <w:color w:val="auto"/>
        </w:rPr>
      </w:pPr>
      <w:bookmarkStart w:id="133" w:name="_Toc120614219"/>
      <w:r>
        <w:rPr>
          <w:rFonts w:hint="eastAsia" w:ascii="宋体" w:hAnsi="宋体" w:cs="宋体"/>
          <w:color w:val="auto"/>
        </w:rPr>
        <w:t>六、</w:t>
      </w:r>
      <w:bookmarkEnd w:id="130"/>
      <w:bookmarkEnd w:id="131"/>
      <w:bookmarkEnd w:id="132"/>
      <w:r>
        <w:rPr>
          <w:rFonts w:hint="eastAsia" w:ascii="宋体" w:hAnsi="宋体" w:cs="宋体"/>
          <w:color w:val="auto"/>
        </w:rPr>
        <w:t>定标</w:t>
      </w:r>
      <w:bookmarkEnd w:id="133"/>
    </w:p>
    <w:p>
      <w:pPr>
        <w:pStyle w:val="6"/>
        <w:spacing w:before="0" w:after="0" w:line="440" w:lineRule="exact"/>
        <w:ind w:firstLine="600" w:firstLineChars="200"/>
        <w:rPr>
          <w:rFonts w:hint="eastAsia" w:ascii="宋体" w:hAnsi="宋体" w:eastAsia="宋体" w:cs="宋体"/>
          <w:b w:val="0"/>
          <w:color w:val="auto"/>
          <w:sz w:val="30"/>
          <w:szCs w:val="30"/>
        </w:rPr>
      </w:pPr>
      <w:bookmarkStart w:id="134" w:name="_Toc513029238"/>
      <w:bookmarkStart w:id="135" w:name="_Toc20823310"/>
      <w:bookmarkStart w:id="136" w:name="_Toc16938554"/>
      <w:r>
        <w:rPr>
          <w:rFonts w:hint="eastAsia" w:ascii="宋体" w:hAnsi="宋体" w:eastAsia="宋体" w:cs="宋体"/>
          <w:b w:val="0"/>
          <w:color w:val="auto"/>
          <w:sz w:val="30"/>
          <w:szCs w:val="30"/>
        </w:rPr>
        <w:t>31、</w:t>
      </w:r>
      <w:bookmarkEnd w:id="134"/>
      <w:r>
        <w:rPr>
          <w:rFonts w:hint="eastAsia" w:ascii="宋体" w:hAnsi="宋体" w:eastAsia="宋体" w:cs="宋体"/>
          <w:b w:val="0"/>
          <w:color w:val="auto"/>
          <w:sz w:val="30"/>
          <w:szCs w:val="30"/>
        </w:rPr>
        <w:t>确定</w:t>
      </w:r>
      <w:bookmarkEnd w:id="135"/>
      <w:bookmarkEnd w:id="136"/>
      <w:r>
        <w:rPr>
          <w:rFonts w:hint="eastAsia" w:ascii="宋体" w:hAnsi="宋体" w:eastAsia="宋体" w:cs="宋体"/>
          <w:b w:val="0"/>
          <w:color w:val="auto"/>
          <w:sz w:val="30"/>
          <w:szCs w:val="30"/>
        </w:rPr>
        <w:t>中标单位</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31.1评委会根据本招标文件规定评标方法与评标标准向采购人推荐出中标候选人。</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31.2 采购人应根据评委会推荐的中标候选人确定中标供应商。</w:t>
      </w:r>
    </w:p>
    <w:p>
      <w:pPr>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rPr>
        <w:t>“盐城市政府采购网”和“盐城工业职业技术学院招标采购网”</w:t>
      </w:r>
      <w:r>
        <w:rPr>
          <w:rFonts w:hint="eastAsia" w:ascii="宋体" w:hAnsi="宋体" w:cs="宋体"/>
          <w:color w:val="auto"/>
          <w:sz w:val="24"/>
          <w:szCs w:val="24"/>
        </w:rPr>
        <w:t>发布中标公告，公告期限为1个工作日。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31.4若有充分证据证明，中标供应商出现下列情况之一的，一经查实，将被取消中标资格：</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31.4.1提供虚假材料谋取中标的；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31.4.2向采购人、采购代理机构行贿或者提供其他不正当利益的；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31.4.3恶意竞争，投标总报价明显低于其自身合理成本且又无法提供证明的；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31.4.4属于本文件规定的无效条件，但在评标过程中又未被评委会发现的；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31.4.5与采购人或者其他供应商恶意串通的；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31.4.6采取不正当手段诋毁、排挤其他供应商的；</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31.4.7不符合法律、法规的规定的。</w:t>
      </w:r>
      <w:bookmarkStart w:id="137" w:name="_Toc200451960"/>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w:t>
      </w:r>
      <w:r>
        <w:rPr>
          <w:rFonts w:hint="eastAsia" w:ascii="宋体" w:hAnsi="宋体" w:cs="宋体"/>
          <w:color w:val="auto"/>
        </w:rPr>
        <w:t xml:space="preserve"> </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32、质疑处理</w:t>
      </w:r>
      <w:bookmarkEnd w:id="137"/>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r>
        <w:rPr>
          <w:rFonts w:hint="eastAsia" w:ascii="宋体" w:hAnsi="宋体" w:cs="宋体"/>
          <w:color w:val="auto"/>
          <w:kern w:val="0"/>
          <w:sz w:val="24"/>
          <w:szCs w:val="24"/>
        </w:rPr>
        <w:br w:type="textWrapping"/>
      </w:r>
      <w:r>
        <w:rPr>
          <w:rFonts w:hint="eastAsia" w:ascii="宋体" w:hAnsi="宋体" w:cs="宋体"/>
          <w:color w:val="auto"/>
          <w:kern w:val="0"/>
          <w:sz w:val="24"/>
          <w:szCs w:val="24"/>
        </w:rPr>
        <w:t>　　</w:t>
      </w:r>
      <w:r>
        <w:rPr>
          <w:rFonts w:hint="eastAsia"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32.2质疑必须以参加投标供应商法定代表人或</w:t>
      </w:r>
      <w:r>
        <w:rPr>
          <w:rFonts w:hint="eastAsia" w:ascii="宋体" w:hAnsi="宋体" w:cs="宋体"/>
          <w:color w:val="auto"/>
          <w:sz w:val="24"/>
        </w:rPr>
        <w:t>授权委托人（被授权人）</w:t>
      </w:r>
      <w:r>
        <w:rPr>
          <w:rFonts w:hint="eastAsia" w:ascii="宋体" w:hAnsi="宋体" w:cs="宋体"/>
          <w:color w:val="auto"/>
          <w:sz w:val="24"/>
          <w:szCs w:val="24"/>
        </w:rPr>
        <w:t>（投标文件中所确定的）原件送达的方式提交，未按上述要求提交的质疑函（含传真、电子邮件等），采购人或采购代理机构有权不予受理。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32.4质疑函应当包括下列内容：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32.4.1质疑投标人的名称、地址、邮编、联系人、联系电话；</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32.4.2具体的质疑事项及明确的请求；</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32.4.3认为自己合法权益受到损害或可能受到损害的相关证据材料；</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32.4.4提起质疑的日期；</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33、中标通知书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33.l</w:t>
      </w:r>
      <w:r>
        <w:rPr>
          <w:rFonts w:hint="eastAsia" w:ascii="宋体" w:hAnsi="宋体" w:cs="宋体"/>
          <w:b/>
          <w:color w:val="auto"/>
          <w:sz w:val="24"/>
          <w:szCs w:val="24"/>
        </w:rPr>
        <w:t xml:space="preserve"> </w:t>
      </w:r>
      <w:r>
        <w:rPr>
          <w:rFonts w:hint="eastAsia" w:ascii="宋体" w:hAnsi="宋体" w:cs="宋体"/>
          <w:color w:val="auto"/>
          <w:sz w:val="24"/>
          <w:szCs w:val="24"/>
        </w:rPr>
        <w:t>中标结果确定后，采购人或采购代理机构将向中标供应商发出中标通知书。</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 中标供应商收到中标通知书后，应签字确认中标通知书已收到。若无回复，则公告后视同中标供应商已经知悉并同意接受。</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33.3中标通知书将是合同的一个组成部分。对采购人和中标供应商均具有法律效力。中标通知书发出后，采购人改变中标结果的，或者中标供应商放弃中标项目的，应当依法承担法律责任。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640" w:firstLineChars="200"/>
        <w:rPr>
          <w:rFonts w:hint="eastAsia" w:ascii="宋体" w:hAnsi="宋体" w:cs="宋体"/>
          <w:color w:val="auto"/>
        </w:rPr>
      </w:pPr>
      <w:bookmarkStart w:id="138" w:name="_Toc120614220"/>
      <w:bookmarkStart w:id="139" w:name="_Toc20823308"/>
      <w:bookmarkStart w:id="140" w:name="_Toc16938552"/>
      <w:bookmarkStart w:id="141" w:name="_Toc513029236"/>
      <w:r>
        <w:rPr>
          <w:rFonts w:hint="eastAsia" w:ascii="宋体" w:hAnsi="宋体" w:cs="宋体"/>
          <w:color w:val="auto"/>
        </w:rPr>
        <w:t>七、合同</w:t>
      </w:r>
      <w:bookmarkEnd w:id="138"/>
      <w:r>
        <w:rPr>
          <w:rFonts w:hint="eastAsia" w:ascii="宋体" w:hAnsi="宋体" w:cs="宋体"/>
          <w:color w:val="auto"/>
        </w:rPr>
        <w:t>签订相关事项</w:t>
      </w:r>
    </w:p>
    <w:bookmarkEnd w:id="139"/>
    <w:bookmarkEnd w:id="140"/>
    <w:bookmarkEnd w:id="141"/>
    <w:p>
      <w:pPr>
        <w:pStyle w:val="6"/>
        <w:spacing w:before="0" w:after="0" w:line="440" w:lineRule="exact"/>
        <w:ind w:firstLine="600" w:firstLineChars="200"/>
        <w:rPr>
          <w:rFonts w:hint="eastAsia" w:ascii="宋体" w:hAnsi="宋体" w:eastAsia="宋体" w:cs="宋体"/>
          <w:b w:val="0"/>
          <w:color w:val="auto"/>
          <w:sz w:val="30"/>
          <w:szCs w:val="30"/>
        </w:rPr>
      </w:pPr>
      <w:bookmarkStart w:id="142" w:name="_Toc513029237"/>
      <w:bookmarkStart w:id="143" w:name="_Toc16938553"/>
      <w:bookmarkStart w:id="144" w:name="_Toc20823309"/>
      <w:r>
        <w:rPr>
          <w:rFonts w:hint="eastAsia" w:ascii="宋体" w:hAnsi="宋体" w:eastAsia="宋体" w:cs="宋体"/>
          <w:b w:val="0"/>
          <w:color w:val="auto"/>
          <w:sz w:val="30"/>
          <w:szCs w:val="30"/>
        </w:rPr>
        <w:t>34. 签订合同</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bCs/>
          <w:color w:val="auto"/>
          <w:sz w:val="24"/>
          <w:szCs w:val="24"/>
        </w:rPr>
        <w:t>34</w:t>
      </w:r>
      <w:r>
        <w:rPr>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34.2</w:t>
      </w:r>
      <w:r>
        <w:rPr>
          <w:rFonts w:hint="eastAsia" w:ascii="宋体" w:hAnsi="宋体" w:cs="宋体"/>
          <w:b/>
          <w:color w:val="auto"/>
          <w:sz w:val="24"/>
          <w:szCs w:val="24"/>
        </w:rPr>
        <w:t xml:space="preserve"> </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6"/>
        <w:spacing w:before="0" w:after="0" w:line="440" w:lineRule="exact"/>
        <w:ind w:firstLine="600" w:firstLineChars="200"/>
        <w:rPr>
          <w:rFonts w:hint="eastAsia" w:ascii="宋体" w:hAnsi="宋体" w:eastAsia="宋体" w:cs="宋体"/>
          <w:b w:val="0"/>
          <w:color w:val="auto"/>
          <w:sz w:val="30"/>
          <w:szCs w:val="30"/>
        </w:rPr>
      </w:pPr>
      <w:r>
        <w:rPr>
          <w:rFonts w:hint="eastAsia" w:ascii="宋体" w:hAnsi="宋体" w:eastAsia="宋体" w:cs="宋体"/>
          <w:b w:val="0"/>
          <w:color w:val="auto"/>
          <w:sz w:val="30"/>
          <w:szCs w:val="30"/>
        </w:rPr>
        <w:t>35、货物和服务的追加、减少和添购。</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bookmarkEnd w:id="142"/>
    <w:bookmarkEnd w:id="143"/>
    <w:bookmarkEnd w:id="144"/>
    <w:p>
      <w:pPr>
        <w:tabs>
          <w:tab w:val="left" w:pos="900"/>
        </w:tabs>
        <w:spacing w:line="440" w:lineRule="exact"/>
        <w:ind w:firstLine="600" w:firstLineChars="200"/>
        <w:rPr>
          <w:rFonts w:hint="eastAsia" w:ascii="宋体" w:hAnsi="宋体" w:cs="宋体"/>
          <w:bCs/>
          <w:color w:val="auto"/>
          <w:sz w:val="30"/>
          <w:szCs w:val="30"/>
        </w:rPr>
      </w:pPr>
      <w:bookmarkStart w:id="145" w:name="_Toc16938558"/>
      <w:bookmarkStart w:id="146" w:name="_Toc479757207"/>
      <w:bookmarkStart w:id="147" w:name="_Toc20823314"/>
      <w:bookmarkStart w:id="148" w:name="_Toc513029242"/>
      <w:bookmarkStart w:id="149" w:name="_Toc120614221"/>
      <w:r>
        <w:rPr>
          <w:rFonts w:hint="eastAsia" w:ascii="宋体" w:hAnsi="宋体" w:cs="宋体"/>
          <w:bCs/>
          <w:color w:val="auto"/>
          <w:sz w:val="30"/>
          <w:szCs w:val="30"/>
        </w:rPr>
        <w:t>36、履约保证金</w:t>
      </w:r>
    </w:p>
    <w:p>
      <w:pPr>
        <w:tabs>
          <w:tab w:val="left" w:pos="900"/>
        </w:tabs>
        <w:spacing w:line="440" w:lineRule="exact"/>
        <w:ind w:firstLine="480" w:firstLineChars="200"/>
        <w:rPr>
          <w:rFonts w:hint="eastAsia" w:ascii="宋体" w:hAnsi="宋体" w:cs="宋体"/>
          <w:color w:val="auto"/>
          <w:sz w:val="24"/>
        </w:rPr>
      </w:pPr>
      <w:r>
        <w:rPr>
          <w:rFonts w:hint="eastAsia" w:ascii="宋体" w:hAnsi="宋体" w:cs="宋体"/>
          <w:color w:val="auto"/>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hint="eastAsia" w:ascii="宋体" w:hAnsi="宋体" w:cs="宋体"/>
          <w:color w:val="auto"/>
          <w:sz w:val="24"/>
        </w:rPr>
      </w:pPr>
    </w:p>
    <w:p>
      <w:pPr>
        <w:pStyle w:val="2"/>
        <w:ind w:firstLine="1760" w:firstLineChars="400"/>
        <w:jc w:val="both"/>
        <w:rPr>
          <w:rFonts w:hint="eastAsia" w:ascii="宋体" w:hAnsi="宋体" w:eastAsia="宋体" w:cs="宋体"/>
          <w:b/>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第三章  合同条款及</w:t>
      </w:r>
      <w:bookmarkEnd w:id="145"/>
      <w:bookmarkEnd w:id="146"/>
      <w:bookmarkEnd w:id="147"/>
      <w:bookmarkEnd w:id="148"/>
      <w:bookmarkEnd w:id="149"/>
      <w:r>
        <w:rPr>
          <w:rFonts w:hint="eastAsia" w:ascii="宋体" w:hAnsi="宋体" w:eastAsia="宋体" w:cs="宋体"/>
          <w:b/>
          <w:color w:val="auto"/>
          <w:sz w:val="44"/>
        </w:rPr>
        <w:t>格式</w:t>
      </w:r>
    </w:p>
    <w:p>
      <w:pPr>
        <w:pStyle w:val="5"/>
        <w:spacing w:before="0" w:after="0" w:line="460" w:lineRule="exact"/>
        <w:jc w:val="center"/>
        <w:rPr>
          <w:rFonts w:hint="eastAsia" w:ascii="宋体" w:hAnsi="宋体" w:cs="宋体"/>
          <w:color w:val="auto"/>
        </w:rPr>
      </w:pPr>
      <w:bookmarkStart w:id="150" w:name="_Toc20823315"/>
      <w:bookmarkStart w:id="151" w:name="_Toc513029243"/>
      <w:bookmarkStart w:id="152" w:name="_Toc16938559"/>
    </w:p>
    <w:bookmarkEnd w:id="150"/>
    <w:bookmarkEnd w:id="151"/>
    <w:bookmarkEnd w:id="152"/>
    <w:p>
      <w:pPr>
        <w:spacing w:line="440" w:lineRule="exact"/>
        <w:ind w:firstLine="480" w:firstLineChars="200"/>
        <w:rPr>
          <w:rFonts w:hint="eastAsia" w:ascii="宋体" w:hAnsi="宋体" w:cs="宋体"/>
          <w:bCs/>
          <w:color w:val="auto"/>
          <w:sz w:val="24"/>
        </w:rPr>
      </w:pPr>
      <w:bookmarkStart w:id="153" w:name="_Hlt16619350"/>
      <w:bookmarkStart w:id="154" w:name="_Toc120614244"/>
      <w:bookmarkStart w:id="155" w:name="_Toc16938590"/>
      <w:bookmarkStart w:id="156" w:name="_Toc20823346"/>
      <w:bookmarkStart w:id="157" w:name="_Toc462564139"/>
      <w:bookmarkStart w:id="158" w:name="_Toc479757211"/>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hint="eastAsia" w:ascii="宋体" w:hAnsi="宋体" w:cs="宋体"/>
          <w:b/>
          <w:color w:val="auto"/>
          <w:sz w:val="30"/>
        </w:rPr>
      </w:pPr>
    </w:p>
    <w:p>
      <w:pPr>
        <w:snapToGrid w:val="0"/>
        <w:spacing w:line="440" w:lineRule="exact"/>
        <w:ind w:firstLine="600" w:firstLineChars="200"/>
        <w:jc w:val="center"/>
        <w:outlineLvl w:val="0"/>
        <w:rPr>
          <w:rFonts w:hint="eastAsia" w:ascii="宋体" w:hAnsi="宋体" w:cs="宋体"/>
          <w:b/>
          <w:bCs/>
          <w:color w:val="auto"/>
          <w:sz w:val="30"/>
          <w:szCs w:val="20"/>
        </w:rPr>
      </w:pPr>
      <w:r>
        <w:rPr>
          <w:rFonts w:hint="eastAsia" w:ascii="宋体" w:hAnsi="宋体" w:cs="宋体"/>
          <w:b/>
          <w:color w:val="auto"/>
          <w:sz w:val="30"/>
        </w:rPr>
        <w:t>政府采购合同</w:t>
      </w:r>
    </w:p>
    <w:p>
      <w:pPr>
        <w:pStyle w:val="22"/>
        <w:snapToGrid w:val="0"/>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项目名称：</w:t>
      </w:r>
      <w:r>
        <w:rPr>
          <w:rFonts w:hint="eastAsia" w:hAnsi="宋体" w:cs="宋体"/>
          <w:color w:val="auto"/>
          <w:sz w:val="24"/>
          <w:szCs w:val="24"/>
          <w:u w:val="single"/>
        </w:rPr>
        <w:t>盐城工业职业技术学院</w:t>
      </w:r>
      <w:r>
        <w:rPr>
          <w:rFonts w:hint="eastAsia" w:hAnsi="宋体" w:cs="宋体"/>
          <w:color w:val="auto"/>
          <w:sz w:val="24"/>
          <w:szCs w:val="24"/>
          <w:u w:val="single"/>
          <w:lang w:eastAsia="zh-CN"/>
        </w:rPr>
        <w:t>车辆租赁服务项目</w:t>
      </w:r>
      <w:r>
        <w:rPr>
          <w:rFonts w:hint="eastAsia" w:hAnsi="宋体" w:cs="宋体"/>
          <w:color w:val="auto"/>
          <w:sz w:val="24"/>
          <w:szCs w:val="24"/>
          <w:u w:val="single"/>
          <w:lang w:eastAsia="zh-CN"/>
        </w:rPr>
        <w:t>分包一</w:t>
      </w:r>
      <w:r>
        <w:rPr>
          <w:rFonts w:hint="eastAsia" w:hAnsi="宋体" w:cs="宋体"/>
          <w:color w:val="auto"/>
          <w:sz w:val="24"/>
          <w:szCs w:val="24"/>
          <w:u w:val="single"/>
          <w:lang w:val="en-US" w:eastAsia="zh-CN"/>
        </w:rPr>
        <w:t>/二</w:t>
      </w:r>
    </w:p>
    <w:p>
      <w:pPr>
        <w:pStyle w:val="22"/>
        <w:snapToGrid w:val="0"/>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项目编号：</w:t>
      </w:r>
      <w:r>
        <w:rPr>
          <w:rFonts w:hint="eastAsia" w:hAnsi="宋体" w:cs="宋体"/>
          <w:color w:val="auto"/>
          <w:sz w:val="24"/>
          <w:szCs w:val="24"/>
          <w:u w:val="single"/>
          <w:lang w:val="en-US" w:eastAsia="zh-CN"/>
        </w:rPr>
        <w:t>2019</w:t>
      </w:r>
      <w:r>
        <w:rPr>
          <w:rFonts w:hint="eastAsia" w:hAnsi="宋体" w:cs="宋体"/>
          <w:color w:val="auto"/>
          <w:sz w:val="24"/>
          <w:szCs w:val="24"/>
          <w:u w:val="single"/>
        </w:rPr>
        <w:t>-</w:t>
      </w:r>
      <w:r>
        <w:rPr>
          <w:rFonts w:hint="eastAsia" w:hAnsi="宋体" w:cs="宋体"/>
          <w:color w:val="auto"/>
          <w:sz w:val="24"/>
          <w:szCs w:val="24"/>
          <w:u w:val="single"/>
          <w:lang w:val="en-US" w:eastAsia="zh-CN"/>
        </w:rPr>
        <w:t>009</w:t>
      </w:r>
      <w:r>
        <w:rPr>
          <w:rFonts w:hint="eastAsia" w:hAnsi="宋体" w:cs="宋体"/>
          <w:color w:val="auto"/>
          <w:sz w:val="24"/>
          <w:szCs w:val="24"/>
          <w:u w:val="single"/>
        </w:rPr>
        <w:t>S</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甲方：</w:t>
      </w:r>
      <w:r>
        <w:rPr>
          <w:rFonts w:hint="eastAsia" w:hAnsi="宋体" w:cs="宋体"/>
          <w:color w:val="auto"/>
          <w:sz w:val="24"/>
          <w:szCs w:val="24"/>
          <w:u w:val="single"/>
        </w:rPr>
        <w:t>盐城工业职业技术学院</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乙方：</w:t>
      </w:r>
      <w:r>
        <w:rPr>
          <w:rFonts w:hint="eastAsia" w:hAnsi="宋体" w:cs="宋体"/>
          <w:color w:val="auto"/>
          <w:sz w:val="24"/>
          <w:szCs w:val="24"/>
          <w:u w:val="single"/>
        </w:rPr>
        <w:t xml:space="preserve">                    </w:t>
      </w:r>
    </w:p>
    <w:p>
      <w:pPr>
        <w:spacing w:line="44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盐城工业职业技术学院车辆租赁服务项目</w:t>
      </w:r>
      <w:r>
        <w:rPr>
          <w:rFonts w:hint="eastAsia" w:ascii="宋体" w:hAnsi="宋体" w:cs="宋体"/>
          <w:color w:val="auto"/>
          <w:sz w:val="24"/>
          <w:szCs w:val="24"/>
          <w:u w:val="single"/>
        </w:rPr>
        <w:t>分包一/二</w:t>
      </w:r>
      <w:r>
        <w:rPr>
          <w:rFonts w:hint="eastAsia" w:ascii="宋体" w:hAnsi="宋体" w:cs="宋体"/>
          <w:color w:val="auto"/>
          <w:sz w:val="24"/>
          <w:szCs w:val="24"/>
        </w:rPr>
        <w:t>公开招标的结果，签署本合同。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一、项目内容</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1.1 项目名称：</w:t>
      </w:r>
      <w:r>
        <w:rPr>
          <w:rFonts w:hint="eastAsia" w:hAnsi="宋体" w:cs="宋体"/>
          <w:color w:val="auto"/>
          <w:sz w:val="24"/>
          <w:szCs w:val="24"/>
          <w:u w:val="single"/>
        </w:rPr>
        <w:t>盐城工业职业技术学院</w:t>
      </w:r>
      <w:r>
        <w:rPr>
          <w:rFonts w:hint="eastAsia" w:hAnsi="宋体" w:cs="宋体"/>
          <w:color w:val="auto"/>
          <w:sz w:val="24"/>
          <w:szCs w:val="24"/>
          <w:u w:val="single"/>
          <w:lang w:eastAsia="zh-CN"/>
        </w:rPr>
        <w:t>车辆租赁服务</w:t>
      </w:r>
      <w:r>
        <w:rPr>
          <w:rFonts w:hint="eastAsia" w:hAnsi="宋体" w:cs="宋体"/>
          <w:color w:val="auto"/>
          <w:sz w:val="24"/>
          <w:szCs w:val="24"/>
          <w:u w:val="single"/>
          <w:lang w:eastAsia="zh-CN"/>
        </w:rPr>
        <w:t>分包一</w:t>
      </w:r>
      <w:r>
        <w:rPr>
          <w:rFonts w:hint="eastAsia" w:hAnsi="宋体" w:cs="宋体"/>
          <w:color w:val="auto"/>
          <w:sz w:val="24"/>
          <w:szCs w:val="24"/>
          <w:u w:val="single"/>
          <w:lang w:val="en-US" w:eastAsia="zh-CN"/>
        </w:rPr>
        <w:t>/二</w:t>
      </w:r>
      <w:r>
        <w:rPr>
          <w:rFonts w:hint="eastAsia" w:hAnsi="宋体" w:cs="宋体"/>
          <w:color w:val="auto"/>
          <w:sz w:val="24"/>
          <w:szCs w:val="24"/>
        </w:rPr>
        <w:t>。</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1.2 型号规格及其他要求：</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1.3 数量（单位）：</w:t>
      </w:r>
      <w:r>
        <w:rPr>
          <w:rFonts w:hint="eastAsia" w:hAnsi="宋体" w:cs="宋体"/>
          <w:color w:val="auto"/>
          <w:sz w:val="24"/>
          <w:szCs w:val="24"/>
          <w:u w:val="single"/>
        </w:rPr>
        <w:t>详按项目需求</w:t>
      </w:r>
      <w:r>
        <w:rPr>
          <w:rFonts w:hint="eastAsia" w:hAnsi="宋体" w:cs="宋体"/>
          <w:color w:val="auto"/>
          <w:sz w:val="24"/>
          <w:szCs w:val="24"/>
        </w:rPr>
        <w:t>。</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二、合同金额</w:t>
      </w:r>
    </w:p>
    <w:tbl>
      <w:tblPr>
        <w:tblStyle w:val="4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10"/>
        <w:gridCol w:w="1276"/>
        <w:gridCol w:w="1274"/>
        <w:gridCol w:w="1433"/>
        <w:gridCol w:w="158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2661" w:type="dxa"/>
            <w:gridSpan w:val="2"/>
            <w:vMerge w:val="restart"/>
            <w:vAlign w:val="center"/>
          </w:tcPr>
          <w:p>
            <w:pPr>
              <w:jc w:val="center"/>
              <w:rPr>
                <w:rFonts w:hint="eastAsia" w:ascii="宋体" w:hAnsi="宋体" w:cs="宋体"/>
                <w:b/>
                <w:bCs/>
                <w:color w:val="auto"/>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
                <w:bCs/>
                <w:color w:val="auto"/>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5座含司机小车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7座含司机商务车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9～15座含司机商务车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2661" w:type="dxa"/>
            <w:gridSpan w:val="2"/>
            <w:vMerge w:val="restart"/>
            <w:vAlign w:val="center"/>
          </w:tcPr>
          <w:p>
            <w:pPr>
              <w:jc w:val="center"/>
              <w:rPr>
                <w:rFonts w:hint="eastAsia" w:ascii="宋体" w:hAnsi="宋体" w:cs="宋体"/>
                <w:color w:val="auto"/>
                <w:sz w:val="24"/>
                <w:szCs w:val="24"/>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Cs/>
                <w:color w:val="auto"/>
                <w:sz w:val="24"/>
                <w:szCs w:val="24"/>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kern w:val="0"/>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21座含司机小型客车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39座含司机中型客车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55座含司机大型客车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bl>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1、上述价格是满足甲方使用车辆需要的所有费用。乙方已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2、市区不设基础里程数，市外基础里程数200公里。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3、市外基础里程数外距离与时间同时计价，互不矛盾，按实结算。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4、短途租赁服务来回接送不限趟数，如遇特殊情况经双方协商收取租赁费。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5、盐城市区、市外的过路费（高速优先）和停车费都综合含在报价内。</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6、外地出车驾驶员食宿费由用车部门承担。</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三、技术资料</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3.1乙方应按招标文件规定及甲方要求的时间向甲方提供使用货物（根据甲方要求需要租赁的车辆，余同）和服务的有关技术资料。</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四、知识产权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szCs w:val="24"/>
        </w:rPr>
        <w:t>4.1乙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b/>
          <w:color w:val="auto"/>
          <w:sz w:val="24"/>
          <w:szCs w:val="24"/>
        </w:rPr>
        <w:t>五、产权担保</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5.1 乙方保证所</w:t>
      </w:r>
      <w:r>
        <w:rPr>
          <w:rFonts w:hint="eastAsia" w:hAnsi="宋体" w:cs="宋体"/>
          <w:color w:val="auto"/>
          <w:sz w:val="24"/>
          <w:szCs w:val="24"/>
          <w:lang w:eastAsia="zh-CN"/>
        </w:rPr>
        <w:t>提供</w:t>
      </w:r>
      <w:r>
        <w:rPr>
          <w:rFonts w:hint="eastAsia" w:hAnsi="宋体" w:cs="宋体"/>
          <w:color w:val="auto"/>
          <w:sz w:val="24"/>
          <w:szCs w:val="24"/>
        </w:rPr>
        <w:t>的货物</w:t>
      </w:r>
      <w:r>
        <w:rPr>
          <w:rFonts w:hint="eastAsia" w:hAnsi="宋体" w:cs="宋体"/>
          <w:bCs/>
          <w:color w:val="auto"/>
          <w:sz w:val="24"/>
        </w:rPr>
        <w:t>和服务</w:t>
      </w:r>
      <w:r>
        <w:rPr>
          <w:rFonts w:hint="eastAsia" w:hAnsi="宋体" w:cs="宋体"/>
          <w:color w:val="auto"/>
          <w:sz w:val="24"/>
          <w:szCs w:val="24"/>
        </w:rPr>
        <w:t>的所有权完全属于乙方且无任何抵押、查封等产权瑕疵。</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六、履约保证金</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6.1</w:t>
      </w:r>
      <w:r>
        <w:rPr>
          <w:rFonts w:hint="eastAsia" w:hAnsi="宋体" w:cs="宋体"/>
          <w:color w:val="auto"/>
          <w:sz w:val="24"/>
          <w:szCs w:val="24"/>
          <w:lang w:eastAsia="zh-CN"/>
        </w:rPr>
        <w:t>本项目不设</w:t>
      </w:r>
      <w:r>
        <w:rPr>
          <w:rFonts w:hint="eastAsia" w:hAnsi="宋体" w:cs="宋体"/>
          <w:color w:val="auto"/>
          <w:sz w:val="24"/>
          <w:szCs w:val="24"/>
        </w:rPr>
        <w:t>履约保证金。</w:t>
      </w:r>
    </w:p>
    <w:p>
      <w:pPr>
        <w:snapToGrid w:val="0"/>
        <w:spacing w:line="440" w:lineRule="exact"/>
        <w:ind w:firstLine="480" w:firstLineChars="200"/>
        <w:rPr>
          <w:rFonts w:hint="eastAsia" w:ascii="宋体" w:hAnsi="宋体" w:cs="宋体"/>
          <w:b/>
          <w:color w:val="auto"/>
          <w:sz w:val="24"/>
          <w:szCs w:val="24"/>
        </w:rPr>
      </w:pPr>
      <w:r>
        <w:rPr>
          <w:rFonts w:hint="eastAsia" w:ascii="宋体" w:hAnsi="宋体" w:cs="宋体"/>
          <w:b/>
          <w:color w:val="auto"/>
          <w:sz w:val="24"/>
          <w:szCs w:val="24"/>
        </w:rPr>
        <w:t>七、转包或分包</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7.1本合同范围的货物</w:t>
      </w:r>
      <w:r>
        <w:rPr>
          <w:rFonts w:hint="eastAsia" w:ascii="宋体" w:hAnsi="宋体" w:cs="宋体"/>
          <w:bCs/>
          <w:color w:val="auto"/>
          <w:sz w:val="24"/>
        </w:rPr>
        <w:t>和服务</w:t>
      </w:r>
      <w:r>
        <w:rPr>
          <w:rFonts w:hint="eastAsia" w:ascii="宋体" w:hAnsi="宋体" w:cs="宋体"/>
          <w:color w:val="auto"/>
          <w:sz w:val="24"/>
          <w:szCs w:val="24"/>
        </w:rPr>
        <w:t>，应由乙方直接供应，不得转让他人供应；</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 除非得到甲方的书面同意，乙方不得部分分包给他人供应。</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7.3如有转让和未经甲方同意的分包行为，甲方有权给予终止合同。</w:t>
      </w:r>
    </w:p>
    <w:p>
      <w:pPr>
        <w:pStyle w:val="22"/>
        <w:snapToGrid w:val="0"/>
        <w:spacing w:line="440" w:lineRule="exact"/>
        <w:ind w:firstLine="480" w:firstLineChars="200"/>
        <w:rPr>
          <w:rFonts w:hint="eastAsia" w:hAnsi="宋体" w:cs="宋体"/>
          <w:color w:val="auto"/>
          <w:sz w:val="24"/>
          <w:szCs w:val="24"/>
          <w:lang w:eastAsia="zh-CN"/>
        </w:rPr>
      </w:pPr>
      <w:r>
        <w:rPr>
          <w:rFonts w:hint="eastAsia" w:hAnsi="宋体" w:cs="宋体"/>
          <w:b/>
          <w:color w:val="auto"/>
          <w:sz w:val="24"/>
          <w:szCs w:val="24"/>
        </w:rPr>
        <w:t>八、</w:t>
      </w:r>
      <w:r>
        <w:rPr>
          <w:rFonts w:hint="eastAsia" w:hAnsi="宋体" w:cs="宋体"/>
          <w:b/>
          <w:color w:val="auto"/>
          <w:sz w:val="24"/>
          <w:szCs w:val="24"/>
          <w:lang w:eastAsia="zh-CN"/>
        </w:rPr>
        <w:t>质保期（服务</w:t>
      </w:r>
      <w:r>
        <w:rPr>
          <w:rFonts w:hint="eastAsia" w:hAnsi="宋体" w:cs="宋体"/>
          <w:b/>
          <w:color w:val="auto"/>
          <w:sz w:val="24"/>
          <w:szCs w:val="24"/>
        </w:rPr>
        <w:t>期</w:t>
      </w:r>
      <w:r>
        <w:rPr>
          <w:rFonts w:hint="eastAsia" w:hAnsi="宋体" w:cs="宋体"/>
          <w:b/>
          <w:color w:val="auto"/>
          <w:sz w:val="24"/>
          <w:szCs w:val="24"/>
          <w:lang w:eastAsia="zh-CN"/>
        </w:rPr>
        <w:t>）</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 xml:space="preserve">8.1 </w:t>
      </w:r>
      <w:r>
        <w:rPr>
          <w:rFonts w:hint="eastAsia" w:hAnsi="宋体" w:cs="宋体"/>
          <w:color w:val="auto"/>
          <w:sz w:val="24"/>
          <w:szCs w:val="24"/>
          <w:u w:val="single"/>
          <w:lang w:eastAsia="zh-CN"/>
        </w:rPr>
        <w:t>暂定一年,服务期满后经综合考核合格根据甲方的需要可续签车辆租赁服务合同。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九、交货期、交货方式及交货地点</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color w:val="auto"/>
          <w:sz w:val="24"/>
          <w:szCs w:val="24"/>
        </w:rPr>
        <w:t xml:space="preserve">9.1 </w:t>
      </w:r>
      <w:r>
        <w:rPr>
          <w:rFonts w:hint="eastAsia" w:hAnsi="宋体" w:cs="宋体"/>
          <w:color w:val="auto"/>
          <w:sz w:val="24"/>
          <w:szCs w:val="24"/>
          <w:lang w:eastAsia="zh-CN"/>
        </w:rPr>
        <w:t>合同签订</w:t>
      </w:r>
      <w:r>
        <w:rPr>
          <w:rFonts w:hint="eastAsia" w:hAnsi="宋体" w:cs="宋体"/>
          <w:color w:val="auto"/>
          <w:sz w:val="24"/>
          <w:szCs w:val="24"/>
        </w:rPr>
        <w:t>：</w:t>
      </w:r>
      <w:r>
        <w:rPr>
          <w:rFonts w:hint="eastAsia" w:hAnsi="宋体" w:cs="宋体"/>
          <w:color w:val="auto"/>
          <w:sz w:val="24"/>
          <w:szCs w:val="24"/>
          <w:u w:val="single"/>
          <w:lang w:eastAsia="zh-CN"/>
        </w:rPr>
        <w:t>乙方</w:t>
      </w:r>
      <w:r>
        <w:rPr>
          <w:rFonts w:hint="eastAsia" w:hAnsi="宋体" w:cs="宋体"/>
          <w:color w:val="auto"/>
          <w:sz w:val="24"/>
          <w:szCs w:val="24"/>
          <w:u w:val="single"/>
        </w:rPr>
        <w:t>自收到中标通知书之日起7个工作日内签订合同，具体合同内容签订时详细洽谈，但不得违背招标文件要求及</w:t>
      </w:r>
      <w:r>
        <w:rPr>
          <w:rFonts w:hint="eastAsia" w:hAnsi="宋体" w:cs="宋体"/>
          <w:color w:val="auto"/>
          <w:sz w:val="24"/>
          <w:szCs w:val="24"/>
          <w:u w:val="single"/>
          <w:lang w:eastAsia="zh-CN"/>
        </w:rPr>
        <w:t>乙方</w:t>
      </w:r>
      <w:r>
        <w:rPr>
          <w:rFonts w:hint="eastAsia" w:hAnsi="宋体" w:cs="宋体"/>
          <w:color w:val="auto"/>
          <w:sz w:val="24"/>
          <w:szCs w:val="24"/>
          <w:u w:val="single"/>
        </w:rPr>
        <w:t>的投标承诺。</w:t>
      </w:r>
    </w:p>
    <w:p>
      <w:pPr>
        <w:pStyle w:val="22"/>
        <w:snapToGrid w:val="0"/>
        <w:spacing w:line="440" w:lineRule="exact"/>
        <w:ind w:firstLine="480" w:firstLineChars="200"/>
        <w:rPr>
          <w:rFonts w:hint="eastAsia" w:hAnsi="宋体" w:cs="宋体"/>
          <w:bCs/>
          <w:color w:val="auto"/>
          <w:sz w:val="24"/>
          <w:szCs w:val="24"/>
        </w:rPr>
      </w:pPr>
      <w:r>
        <w:rPr>
          <w:rFonts w:hint="eastAsia" w:hAnsi="宋体" w:cs="宋体"/>
          <w:bCs/>
          <w:color w:val="auto"/>
          <w:sz w:val="24"/>
          <w:szCs w:val="24"/>
        </w:rPr>
        <w:t xml:space="preserve">9.2 </w:t>
      </w:r>
      <w:r>
        <w:rPr>
          <w:rFonts w:hint="eastAsia" w:hAnsi="宋体" w:cs="宋体"/>
          <w:color w:val="auto"/>
          <w:sz w:val="24"/>
          <w:szCs w:val="24"/>
          <w:u w:val="single"/>
          <w:lang w:eastAsia="zh-CN"/>
        </w:rPr>
        <w:t>甲方需要用车服务时须根据甲方要求及时提供服务，一般自甲方通知之时起</w:t>
      </w:r>
      <w:r>
        <w:rPr>
          <w:rFonts w:hint="eastAsia" w:hAnsi="宋体" w:cs="宋体"/>
          <w:color w:val="auto"/>
          <w:sz w:val="24"/>
          <w:szCs w:val="24"/>
          <w:u w:val="single"/>
          <w:lang w:val="en-US" w:eastAsia="zh-CN"/>
        </w:rPr>
        <w:t>2小时内响应并到指定地点，收费起始时间、收费起始里程数均从到达甲方指定地点、用车人员上车确认后起算，用车结束后由用车人员现场签署当次用车记录，逾期签署的均不作为结算依据</w:t>
      </w:r>
      <w:r>
        <w:rPr>
          <w:rFonts w:hint="eastAsia" w:hAnsi="宋体" w:cs="宋体"/>
          <w:color w:val="auto"/>
          <w:sz w:val="24"/>
          <w:szCs w:val="24"/>
          <w:u w:val="single"/>
          <w:lang w:eastAsia="zh-CN"/>
        </w:rPr>
        <w:t>。</w:t>
      </w:r>
    </w:p>
    <w:p>
      <w:pPr>
        <w:pStyle w:val="22"/>
        <w:snapToGrid w:val="0"/>
        <w:spacing w:line="440" w:lineRule="exact"/>
        <w:ind w:firstLine="480" w:firstLineChars="200"/>
        <w:rPr>
          <w:rFonts w:hint="eastAsia" w:hAnsi="宋体" w:cs="宋体"/>
          <w:color w:val="auto"/>
          <w:sz w:val="24"/>
          <w:szCs w:val="24"/>
          <w:u w:val="single"/>
        </w:rPr>
      </w:pPr>
      <w:r>
        <w:rPr>
          <w:rFonts w:hint="eastAsia" w:hAnsi="宋体" w:cs="宋体"/>
          <w:bCs/>
          <w:color w:val="auto"/>
          <w:sz w:val="24"/>
          <w:szCs w:val="24"/>
        </w:rPr>
        <w:t>9.3 地点：</w:t>
      </w:r>
      <w:r>
        <w:rPr>
          <w:rFonts w:hint="eastAsia" w:hAnsi="宋体" w:cs="宋体"/>
          <w:color w:val="auto"/>
          <w:sz w:val="24"/>
          <w:szCs w:val="24"/>
          <w:u w:val="single"/>
          <w:lang w:eastAsia="zh-CN"/>
        </w:rPr>
        <w:t>盐城工业职业技术学院业务用车部门指定地点。</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十、货款支付</w:t>
      </w:r>
    </w:p>
    <w:p>
      <w:pPr>
        <w:spacing w:line="440" w:lineRule="exact"/>
        <w:ind w:firstLine="480" w:firstLineChars="200"/>
        <w:rPr>
          <w:rFonts w:hint="eastAsia" w:ascii="宋体" w:hAnsi="宋体" w:cs="宋体"/>
          <w:color w:val="auto"/>
          <w:sz w:val="24"/>
          <w:u w:val="single"/>
        </w:rPr>
      </w:pPr>
      <w:r>
        <w:rPr>
          <w:rFonts w:hint="eastAsia" w:ascii="宋体" w:hAnsi="宋体" w:cs="宋体"/>
          <w:color w:val="auto"/>
          <w:sz w:val="24"/>
          <w:szCs w:val="24"/>
        </w:rPr>
        <w:t>10.1 付款方式：</w:t>
      </w:r>
      <w:r>
        <w:rPr>
          <w:rFonts w:hint="eastAsia" w:ascii="宋体" w:hAnsi="宋体" w:cs="宋体"/>
          <w:color w:val="auto"/>
          <w:sz w:val="24"/>
          <w:u w:val="single"/>
        </w:rPr>
        <w:t>本项目车辆租赁费用按次或分批结算，具体根据甲方要求执行。结算时按甲方实际使用数量（乙方提供经甲方确认的租车费用结算清单）结合乙方中标单价结算，乙方在甲方支付前须提供有效合法的等额增值税专用发票</w:t>
      </w:r>
      <w:r>
        <w:rPr>
          <w:rFonts w:hint="eastAsia" w:ascii="宋体" w:hAnsi="宋体" w:cs="宋体"/>
          <w:color w:val="auto"/>
          <w:sz w:val="24"/>
        </w:rPr>
        <w:t>。</w:t>
      </w:r>
    </w:p>
    <w:p>
      <w:pPr>
        <w:snapToGrid w:val="0"/>
        <w:spacing w:line="440" w:lineRule="exact"/>
        <w:ind w:firstLine="480" w:firstLineChars="200"/>
        <w:rPr>
          <w:rFonts w:hint="eastAsia" w:ascii="宋体" w:hAnsi="宋体" w:cs="宋体"/>
          <w:b/>
          <w:color w:val="auto"/>
          <w:sz w:val="24"/>
          <w:szCs w:val="24"/>
        </w:rPr>
      </w:pPr>
      <w:r>
        <w:rPr>
          <w:rFonts w:hint="eastAsia" w:ascii="宋体" w:hAnsi="宋体" w:cs="宋体"/>
          <w:b/>
          <w:color w:val="auto"/>
          <w:sz w:val="24"/>
          <w:szCs w:val="24"/>
        </w:rPr>
        <w:t>十一、税费</w:t>
      </w:r>
    </w:p>
    <w:p>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11.1本合同执行中相关的一切税费均由乙方负担。</w:t>
      </w:r>
    </w:p>
    <w:p>
      <w:pPr>
        <w:pStyle w:val="22"/>
        <w:snapToGrid w:val="0"/>
        <w:spacing w:line="440" w:lineRule="exact"/>
        <w:ind w:firstLine="480" w:firstLineChars="200"/>
        <w:rPr>
          <w:rFonts w:hint="eastAsia" w:hAnsi="宋体" w:cs="宋体"/>
          <w:color w:val="auto"/>
          <w:sz w:val="24"/>
          <w:szCs w:val="24"/>
        </w:rPr>
      </w:pPr>
      <w:r>
        <w:rPr>
          <w:rFonts w:hint="eastAsia" w:hAnsi="宋体" w:cs="宋体"/>
          <w:b/>
          <w:color w:val="auto"/>
          <w:sz w:val="24"/>
          <w:szCs w:val="24"/>
        </w:rPr>
        <w:t>十二、质量保证及售后服务</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乙方应按招标文件规定的货物性能、技术要求、质量标准向甲方提供货物</w:t>
      </w:r>
      <w:r>
        <w:rPr>
          <w:rFonts w:hint="eastAsia" w:ascii="宋体" w:hAnsi="宋体" w:cs="宋体"/>
          <w:bCs/>
          <w:color w:val="auto"/>
          <w:sz w:val="24"/>
        </w:rPr>
        <w:t>和服务</w:t>
      </w:r>
      <w:r>
        <w:rPr>
          <w:rFonts w:hint="eastAsia" w:ascii="宋体" w:hAnsi="宋体" w:cs="宋体"/>
          <w:color w:val="auto"/>
          <w:sz w:val="24"/>
          <w:szCs w:val="24"/>
        </w:rPr>
        <w:t>。</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⑵退货处理：乙方应退还甲方支付的合同款，同时应承担该货物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w:t>
      </w:r>
      <w:r>
        <w:rPr>
          <w:rFonts w:hint="eastAsia" w:ascii="宋体" w:hAnsi="宋体" w:cs="宋体"/>
          <w:color w:val="auto"/>
          <w:sz w:val="24"/>
        </w:rPr>
        <w:t xml:space="preserve"> </w:t>
      </w:r>
      <w:r>
        <w:rPr>
          <w:rFonts w:hint="eastAsia" w:ascii="宋体" w:hAnsi="宋体" w:cs="宋体"/>
          <w:color w:val="auto"/>
          <w:sz w:val="24"/>
          <w:szCs w:val="24"/>
        </w:rPr>
        <w:t>在质保期内，乙方应对货物</w:t>
      </w:r>
      <w:r>
        <w:rPr>
          <w:rFonts w:hint="eastAsia" w:ascii="宋体" w:hAnsi="宋体" w:cs="宋体"/>
          <w:bCs/>
          <w:color w:val="auto"/>
          <w:sz w:val="24"/>
        </w:rPr>
        <w:t>和服务</w:t>
      </w:r>
      <w:r>
        <w:rPr>
          <w:rFonts w:hint="eastAsia" w:ascii="宋体" w:hAnsi="宋体" w:cs="宋体"/>
          <w:color w:val="auto"/>
          <w:sz w:val="24"/>
          <w:szCs w:val="24"/>
        </w:rPr>
        <w:t>出现的质量及安全问题负责处理解决并承担一切费用。</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十三、验收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每次车辆租赁服务结束后，须经甲方相关部门人员确认并签署书面回执（载明用车起止日期及时间、行驶公里数、用车部门及用车人、本次应计费用等），作为结算依据。乘坐人员有权对服务提出评价意见，甲方将视乙方履约及服务情况在后期需要车辆租赁服务时进行选择的权利。</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十四、违约责任</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甲方无故逾期验收和办理合同款支付手续的,甲方应按逾期付款总额每日万分之五向乙方支付违约金。</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14.2在学校遇外事等重大公务接待时，甲方有权指定租赁车辆、车型，且租车费用不变，若乙方不能提供累计满3次的，甲方有权终止合同。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14.3乙方未经甲方相关租赁人员许可擅自变更驾驶人员、取消预约、服务不到位或未按约定时间提供租赁服务,上述情况累计满3次，甲方有权终止合同。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14.4 乙方所提供的货物</w:t>
      </w:r>
      <w:r>
        <w:rPr>
          <w:rFonts w:hint="eastAsia" w:ascii="宋体" w:hAnsi="宋体" w:cs="宋体"/>
          <w:bCs/>
          <w:color w:val="auto"/>
          <w:sz w:val="24"/>
        </w:rPr>
        <w:t>和服务</w:t>
      </w:r>
      <w:r>
        <w:rPr>
          <w:rFonts w:hint="eastAsia" w:ascii="宋体" w:hAnsi="宋体" w:cs="宋体"/>
          <w:color w:val="auto"/>
          <w:sz w:val="24"/>
          <w:szCs w:val="24"/>
        </w:rPr>
        <w:t>型号、规格、技术参数、质量不符合合同规定、招标文件规定标准以及投标承诺的，甲方有权拒收该货物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五</w:t>
      </w:r>
      <w:r>
        <w:rPr>
          <w:rFonts w:hint="eastAsia" w:hAnsi="宋体" w:cs="宋体"/>
          <w:b/>
          <w:color w:val="auto"/>
          <w:sz w:val="24"/>
          <w:szCs w:val="24"/>
        </w:rPr>
        <w:t>、不可抗力事件处理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在合同有效期内，任何一方因不可抗力事件导致不能履行合同，则合同履行期可延长，其延长期与不可抗力影响期相同。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15.2 不可抗力事件发生后，应立即通知对方，并寄送有关权威机构出具的证明。</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15.3 不可抗力事件延续120天以上，双方应通过友好协商，确定是否继续履行合同。</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六</w:t>
      </w:r>
      <w:r>
        <w:rPr>
          <w:rFonts w:hint="eastAsia" w:hAnsi="宋体" w:cs="宋体"/>
          <w:b/>
          <w:color w:val="auto"/>
          <w:sz w:val="24"/>
          <w:szCs w:val="24"/>
        </w:rPr>
        <w:t>、诉讼</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双方在执行合同中所发生的一切争议，应通过协商解决。如协商不成，可向合同签订地法院起诉，合同签订地在此约定为盐城市。</w:t>
      </w:r>
    </w:p>
    <w:p>
      <w:pPr>
        <w:pStyle w:val="22"/>
        <w:snapToGrid w:val="0"/>
        <w:spacing w:line="440" w:lineRule="exact"/>
        <w:ind w:firstLine="480" w:firstLineChars="200"/>
        <w:rPr>
          <w:rFonts w:hint="eastAsia" w:hAnsi="宋体" w:cs="宋体"/>
          <w:b/>
          <w:color w:val="auto"/>
          <w:sz w:val="24"/>
          <w:szCs w:val="24"/>
        </w:rPr>
      </w:pPr>
      <w:r>
        <w:rPr>
          <w:rFonts w:hint="eastAsia" w:hAnsi="宋体" w:cs="宋体"/>
          <w:b/>
          <w:color w:val="auto"/>
          <w:sz w:val="24"/>
          <w:szCs w:val="24"/>
        </w:rPr>
        <w:t>十</w:t>
      </w:r>
      <w:r>
        <w:rPr>
          <w:rFonts w:hint="eastAsia" w:hAnsi="宋体" w:cs="宋体"/>
          <w:b/>
          <w:color w:val="auto"/>
          <w:sz w:val="24"/>
          <w:szCs w:val="24"/>
          <w:lang w:eastAsia="zh-CN"/>
        </w:rPr>
        <w:t>七</w:t>
      </w:r>
      <w:r>
        <w:rPr>
          <w:rFonts w:hint="eastAsia" w:hAnsi="宋体" w:cs="宋体"/>
          <w:b/>
          <w:color w:val="auto"/>
          <w:sz w:val="24"/>
          <w:szCs w:val="24"/>
        </w:rPr>
        <w:t>、合同生效及其它</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合同经双方法定代表人或授权委托代表人签字并加盖单位公章后生效。</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17.2本合同未尽事宜，遵照《合同法》有关条文执行。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本合同正本一式二份，副本一式六份，具有同等法律效力。</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w:t>
      </w:r>
    </w:p>
    <w:p>
      <w:pPr>
        <w:pStyle w:val="22"/>
        <w:snapToGrid w:val="0"/>
        <w:spacing w:line="440" w:lineRule="exact"/>
        <w:ind w:firstLine="720" w:firstLineChars="300"/>
        <w:rPr>
          <w:rFonts w:hint="eastAsia" w:hAnsi="宋体" w:cs="宋体"/>
          <w:color w:val="auto"/>
          <w:sz w:val="24"/>
          <w:szCs w:val="24"/>
        </w:rPr>
      </w:pPr>
      <w:r>
        <w:rPr>
          <w:rFonts w:hint="eastAsia" w:hAnsi="宋体" w:cs="宋体"/>
          <w:color w:val="auto"/>
          <w:sz w:val="24"/>
          <w:szCs w:val="24"/>
        </w:rPr>
        <w:t xml:space="preserve">甲方：                                   乙方： </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地址：                                   地址： </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法定代表人或授权代表：                   法定代表人或授权代表：</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采购单位负责人：</w:t>
      </w:r>
    </w:p>
    <w:p>
      <w:pPr>
        <w:pStyle w:val="22"/>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 xml:space="preserve">  联系电话：                               联系电话：</w:t>
      </w:r>
    </w:p>
    <w:p>
      <w:pPr>
        <w:pStyle w:val="22"/>
        <w:snapToGrid w:val="0"/>
        <w:spacing w:before="120" w:after="120" w:line="440" w:lineRule="exact"/>
        <w:rPr>
          <w:rFonts w:hint="eastAsia" w:hAnsi="宋体" w:cs="宋体"/>
          <w:color w:val="auto"/>
          <w:sz w:val="24"/>
          <w:szCs w:val="24"/>
        </w:rPr>
      </w:pPr>
      <w:r>
        <w:rPr>
          <w:rFonts w:hint="eastAsia" w:hAnsi="宋体" w:cs="宋体"/>
          <w:color w:val="auto"/>
        </w:rPr>
        <w:t xml:space="preserve">                                        </w:t>
      </w:r>
      <w:r>
        <w:rPr>
          <w:rFonts w:hint="eastAsia" w:hAnsi="宋体" w:cs="宋体"/>
          <w:color w:val="auto"/>
          <w:sz w:val="24"/>
          <w:szCs w:val="24"/>
        </w:rPr>
        <w:t xml:space="preserve">  签订日期：      年  月  日</w:t>
      </w:r>
    </w:p>
    <w:p>
      <w:pPr>
        <w:pStyle w:val="2"/>
        <w:rPr>
          <w:rFonts w:hint="eastAsia" w:ascii="宋体" w:hAnsi="宋体" w:eastAsia="宋体" w:cs="宋体"/>
          <w:bCs/>
          <w:color w:val="auto"/>
          <w:sz w:val="44"/>
        </w:rPr>
      </w:pPr>
      <w:r>
        <w:rPr>
          <w:rFonts w:hint="eastAsia" w:ascii="宋体" w:hAnsi="宋体" w:eastAsia="宋体" w:cs="宋体"/>
          <w:b/>
          <w:color w:val="auto"/>
          <w:sz w:val="44"/>
        </w:rPr>
        <w:br w:type="page"/>
      </w:r>
      <w:r>
        <w:rPr>
          <w:rFonts w:hint="eastAsia" w:ascii="宋体" w:hAnsi="宋体" w:eastAsia="宋体" w:cs="宋体"/>
          <w:b/>
          <w:color w:val="auto"/>
          <w:sz w:val="44"/>
        </w:rPr>
        <w:t>第</w:t>
      </w:r>
      <w:bookmarkEnd w:id="153"/>
      <w:r>
        <w:rPr>
          <w:rFonts w:hint="eastAsia" w:ascii="宋体" w:hAnsi="宋体" w:eastAsia="宋体" w:cs="宋体"/>
          <w:b/>
          <w:color w:val="auto"/>
          <w:sz w:val="44"/>
        </w:rPr>
        <w:t>四章 项目需求</w:t>
      </w:r>
      <w:bookmarkEnd w:id="154"/>
      <w:bookmarkEnd w:id="155"/>
      <w:bookmarkEnd w:id="156"/>
    </w:p>
    <w:p>
      <w:pPr>
        <w:spacing w:line="220" w:lineRule="atLeast"/>
        <w:jc w:val="center"/>
        <w:rPr>
          <w:rFonts w:hint="eastAsia" w:ascii="宋体" w:hAnsi="宋体" w:cs="宋体"/>
          <w:color w:val="auto"/>
          <w:sz w:val="24"/>
          <w:szCs w:val="24"/>
        </w:rPr>
      </w:pPr>
      <w:bookmarkStart w:id="159" w:name="_Toc49090575"/>
      <w:bookmarkStart w:id="160" w:name="_Toc120614281"/>
      <w:bookmarkStart w:id="161" w:name="_Toc26554093"/>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一、项目综合说明</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1、项目名称：盐城工业职业技术学院车辆租赁服务项目</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2、服务地点：盐城工业职业技术学院业务用车部门指定地点</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3、招标范围及招标内容：盐城工业职业技术学院车辆租赁服务，详细业务用车需求以招标文件清单和招标人要求为准。</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4、本次招标共分为 2 个分包，具体划分如下：</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分包一：15座及以下车辆（5座</w:t>
      </w:r>
      <w:r>
        <w:rPr>
          <w:rFonts w:hint="eastAsia" w:ascii="宋体" w:hAnsi="宋体" w:cs="宋体"/>
          <w:color w:val="auto"/>
          <w:sz w:val="24"/>
          <w:szCs w:val="24"/>
        </w:rPr>
        <w:t>含司机</w:t>
      </w:r>
      <w:r>
        <w:rPr>
          <w:rFonts w:hint="eastAsia" w:ascii="宋体" w:hAnsi="宋体" w:cs="宋体"/>
          <w:color w:val="auto"/>
          <w:sz w:val="24"/>
          <w:szCs w:val="24"/>
        </w:rPr>
        <w:t>小车、7座</w:t>
      </w:r>
      <w:r>
        <w:rPr>
          <w:rFonts w:hint="eastAsia" w:ascii="宋体" w:hAnsi="宋体" w:cs="宋体"/>
          <w:color w:val="auto"/>
          <w:sz w:val="24"/>
          <w:szCs w:val="24"/>
        </w:rPr>
        <w:t>含司机</w:t>
      </w:r>
      <w:r>
        <w:rPr>
          <w:rFonts w:hint="eastAsia" w:ascii="宋体" w:hAnsi="宋体" w:cs="宋体"/>
          <w:color w:val="auto"/>
          <w:sz w:val="24"/>
          <w:szCs w:val="24"/>
        </w:rPr>
        <w:t>商务车、9～15座</w:t>
      </w:r>
      <w:r>
        <w:rPr>
          <w:rFonts w:hint="eastAsia" w:ascii="宋体" w:hAnsi="宋体" w:cs="宋体"/>
          <w:color w:val="auto"/>
          <w:sz w:val="24"/>
          <w:szCs w:val="24"/>
        </w:rPr>
        <w:t>含司机</w:t>
      </w:r>
      <w:r>
        <w:rPr>
          <w:rFonts w:hint="eastAsia" w:ascii="宋体" w:hAnsi="宋体" w:cs="宋体"/>
          <w:color w:val="auto"/>
          <w:sz w:val="24"/>
          <w:szCs w:val="24"/>
        </w:rPr>
        <w:t>商务车）</w:t>
      </w:r>
      <w:r>
        <w:rPr>
          <w:rFonts w:hint="eastAsia" w:ascii="宋体" w:hAnsi="宋体" w:cs="宋体"/>
          <w:color w:val="auto"/>
          <w:sz w:val="24"/>
        </w:rPr>
        <w:t>,拟确定中标供应商：3家。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分包二：15座以上车辆（一般是21 座含司机小型客车、39座含司机中型客车、55 座含司机大型客车）</w:t>
      </w:r>
      <w:r>
        <w:rPr>
          <w:rFonts w:hint="eastAsia" w:ascii="宋体" w:hAnsi="宋体" w:cs="宋体"/>
          <w:color w:val="auto"/>
          <w:sz w:val="24"/>
        </w:rPr>
        <w:t>,拟确定中标供应商：2家。</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投标人可同时参加上述两个分包的投标且可同时</w:t>
      </w:r>
      <w:r>
        <w:rPr>
          <w:rFonts w:hint="eastAsia" w:ascii="宋体" w:hAnsi="宋体" w:cs="宋体"/>
          <w:color w:val="auto"/>
          <w:sz w:val="24"/>
          <w:szCs w:val="24"/>
        </w:rPr>
        <w:t>入围</w:t>
      </w:r>
      <w:r>
        <w:rPr>
          <w:rFonts w:hint="eastAsia" w:ascii="宋体" w:hAnsi="宋体" w:cs="宋体"/>
          <w:color w:val="auto"/>
          <w:sz w:val="24"/>
          <w:szCs w:val="24"/>
        </w:rPr>
        <w:t>两个分包。</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5、服务期：暂定一年,服务期满后经综合考核合格根据招标人的需要可续签车辆租赁服务合同。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二、投标报价</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1、投标人对不同车型的出租车辆每项只能提出一个不变的价格，各投标人根据自身实力和具体情况自主报价。</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2、投标报价表中的填写应以小写金额和以元为单位。</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3、中标人中标后，中标单价不再调整，用车业务量按实结算。</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投标报价应是满足招标人使用车辆需要的所有费用。投标人应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用。</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5、本次招标各定点租车供应商报价均不能高于其在盐城市市本级行政事业单位公车租赁的报价。</w:t>
      </w:r>
    </w:p>
    <w:p>
      <w:pPr>
        <w:pStyle w:val="69"/>
        <w:rPr>
          <w:rFonts w:hint="eastAsia" w:ascii="宋体" w:hAnsi="宋体" w:cs="宋体"/>
          <w:color w:val="auto"/>
        </w:rPr>
      </w:pPr>
      <w:r>
        <w:rPr>
          <w:rFonts w:hint="eastAsia" w:ascii="宋体" w:hAnsi="宋体" w:cs="宋体"/>
          <w:color w:val="auto"/>
          <w:w w:val="95"/>
          <w:sz w:val="28"/>
        </w:rPr>
        <w:t>三、</w:t>
      </w:r>
      <w:r>
        <w:rPr>
          <w:rFonts w:hint="eastAsia" w:ascii="宋体" w:hAnsi="宋体" w:cs="宋体"/>
          <w:color w:val="auto"/>
        </w:rPr>
        <w:t>窗体顶端</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三、其他要求</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1、在学校遇外事等重大公务接待时，有权指定租赁车辆、车型，且租车费用不变，若定点单位不能提供累计满3次的，学校有权终止合同。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2、定点单位未经学校相关租赁人员许可擅自变更驾驶人员、取消预约、服务不到位或未按约定时间提供租赁服务,上述情况累计满3次，学校有权终止合同。</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3、车辆配置要求：配置先进的安全装置；全部座椅安装安全带；车辆维护、技术管理规定要求明确；人员聘用及培训规范完善；所有车辆安装GPS装置并具备行业监管平台连通条件，并制定相应的运行监控制度。</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4、根据自身情况，在基本服务质量要求外，必须承诺卫生保洁、服务创新、服务质量标准化、应急方案、服务监督和重大活动服务保障等工作。</w:t>
      </w:r>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5、车辆要求：车辆符合安全国家标准，取得有效期内的机动车检验合格证明，并已经在公安机关交通管理部协理注册登记；具有客车营运资质；承诺所提供服务的车辆保险必须是汽车租赁性质险种。</w:t>
      </w:r>
    </w:p>
    <w:p>
      <w:pPr>
        <w:spacing w:line="440" w:lineRule="exact"/>
        <w:ind w:firstLine="480" w:firstLineChars="200"/>
        <w:rPr>
          <w:rFonts w:hint="eastAsia" w:ascii="宋体" w:hAnsi="宋体" w:cs="宋体"/>
          <w:color w:val="auto"/>
          <w:sz w:val="24"/>
          <w:szCs w:val="24"/>
        </w:rPr>
      </w:pPr>
    </w:p>
    <w:p>
      <w:pPr>
        <w:pStyle w:val="22"/>
        <w:snapToGrid w:val="0"/>
        <w:spacing w:line="440" w:lineRule="exact"/>
        <w:ind w:firstLine="880" w:firstLineChars="200"/>
        <w:jc w:val="left"/>
        <w:rPr>
          <w:rFonts w:hint="eastAsia" w:hAnsi="宋体" w:cs="宋体"/>
          <w:b/>
          <w:bCs/>
          <w:color w:val="auto"/>
          <w:sz w:val="44"/>
          <w:highlight w:val="yellow"/>
        </w:rPr>
      </w:pPr>
    </w:p>
    <w:p>
      <w:pPr>
        <w:pStyle w:val="22"/>
        <w:snapToGrid w:val="0"/>
        <w:spacing w:line="440" w:lineRule="exact"/>
        <w:ind w:firstLine="880" w:firstLineChars="200"/>
        <w:jc w:val="left"/>
        <w:rPr>
          <w:rFonts w:hint="eastAsia" w:hAnsi="宋体" w:cs="宋体"/>
          <w:bCs/>
          <w:color w:val="auto"/>
          <w:sz w:val="44"/>
        </w:rPr>
      </w:pPr>
      <w:r>
        <w:rPr>
          <w:rFonts w:hint="eastAsia" w:hAnsi="宋体" w:cs="宋体"/>
          <w:b/>
          <w:bCs/>
          <w:color w:val="auto"/>
          <w:sz w:val="44"/>
          <w:highlight w:val="yellow"/>
        </w:rPr>
        <w:br w:type="page"/>
      </w:r>
      <w:r>
        <w:rPr>
          <w:rFonts w:hint="eastAsia" w:hAnsi="宋体" w:cs="宋体"/>
          <w:b/>
          <w:bCs/>
          <w:color w:val="auto"/>
          <w:sz w:val="44"/>
        </w:rPr>
        <w:t>第五章</w:t>
      </w:r>
      <w:r>
        <w:rPr>
          <w:rFonts w:hint="eastAsia" w:hAnsi="宋体" w:cs="宋体"/>
          <w:bCs/>
          <w:color w:val="auto"/>
          <w:sz w:val="44"/>
        </w:rPr>
        <w:t xml:space="preserve">  </w:t>
      </w:r>
      <w:r>
        <w:rPr>
          <w:rFonts w:hint="eastAsia" w:hAnsi="宋体" w:cs="宋体"/>
          <w:b/>
          <w:bCs/>
          <w:color w:val="auto"/>
          <w:sz w:val="44"/>
        </w:rPr>
        <w:t>评标方法与评标标准</w:t>
      </w:r>
    </w:p>
    <w:p>
      <w:pPr>
        <w:rPr>
          <w:rFonts w:hint="eastAsia" w:ascii="宋体" w:hAnsi="宋体" w:cs="宋体"/>
          <w:color w:val="auto"/>
        </w:rPr>
      </w:pPr>
    </w:p>
    <w:p>
      <w:pPr>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一、评标方法与定标原则</w:t>
      </w:r>
    </w:p>
    <w:p>
      <w:pPr>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评标采用综合评分法的，评标结果按评审后得分由高到低顺序排列。得分相同的，按投标报价由低到高顺序排列。得分且投标报价相同的并列。投标文件满足招标文件全部实质性要求，</w:t>
      </w:r>
      <w:r>
        <w:rPr>
          <w:rFonts w:hint="eastAsia" w:ascii="宋体" w:hAnsi="宋体" w:cs="宋体"/>
          <w:bCs/>
          <w:color w:val="auto"/>
          <w:sz w:val="24"/>
          <w:szCs w:val="24"/>
        </w:rPr>
        <w:t>每个分包由评标委员会按评审因素的量化指标评审得分由高到低推荐3名投标人为中标候选人。招标人在每次需要车辆租赁服务时，根据实际需要从入围的3家定点单位中择优选择。</w:t>
      </w:r>
    </w:p>
    <w:p>
      <w:pPr>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二、评标标准</w:t>
      </w:r>
    </w:p>
    <w:p>
      <w:pPr>
        <w:snapToGrid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本项目评分总分值为100分。</w:t>
      </w:r>
    </w:p>
    <w:p>
      <w:pPr>
        <w:pStyle w:val="38"/>
        <w:tabs>
          <w:tab w:val="left" w:pos="720"/>
          <w:tab w:val="clear" w:pos="916"/>
        </w:tabs>
        <w:spacing w:line="360" w:lineRule="auto"/>
        <w:ind w:firstLine="480" w:firstLineChars="200"/>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rPr>
        <w:t>具体标准</w:t>
      </w:r>
    </w:p>
    <w:tbl>
      <w:tblPr>
        <w:tblStyle w:val="44"/>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00"/>
        <w:gridCol w:w="780"/>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14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lang w:val="zh-TW" w:eastAsia="zh-TW"/>
              </w:rPr>
              <w:t>类别</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lang w:val="zh-TW" w:eastAsia="zh-TW"/>
              </w:rPr>
              <w:t>评分内容</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b/>
                <w:color w:val="auto"/>
              </w:rPr>
            </w:pPr>
            <w:r>
              <w:rPr>
                <w:rFonts w:hint="eastAsia" w:ascii="宋体" w:hAnsi="宋体" w:cs="宋体"/>
                <w:b/>
                <w:color w:val="auto"/>
              </w:rPr>
              <w:t>分值</w:t>
            </w:r>
          </w:p>
        </w:tc>
        <w:tc>
          <w:tcPr>
            <w:tcW w:w="5952" w:type="dxa"/>
            <w:shd w:val="clear" w:color="auto" w:fill="auto"/>
          </w:tcPr>
          <w:p>
            <w:pPr>
              <w:jc w:val="center"/>
              <w:rPr>
                <w:rFonts w:hint="eastAsia" w:ascii="宋体" w:hAnsi="宋体" w:cs="宋体"/>
                <w:b/>
                <w:color w:val="auto"/>
                <w:lang w:val="zh-TW" w:eastAsia="zh-TW"/>
              </w:rPr>
            </w:pPr>
            <w:r>
              <w:rPr>
                <w:rFonts w:hint="eastAsia" w:ascii="宋体" w:hAnsi="宋体" w:cs="宋体"/>
                <w:b/>
                <w:color w:val="auto"/>
                <w:lang w:val="zh-TW" w:eastAsia="zh-TW"/>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14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技术分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10</w:t>
            </w:r>
            <w:r>
              <w:rPr>
                <w:rFonts w:hint="eastAsia" w:ascii="宋体" w:hAnsi="宋体" w:cs="宋体"/>
                <w:color w:val="auto"/>
                <w:lang w:val="zh-TW" w:eastAsia="zh-TW"/>
              </w:rPr>
              <w:t>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服务承诺</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color w:val="auto"/>
              </w:rPr>
            </w:pPr>
            <w:r>
              <w:rPr>
                <w:rFonts w:hint="eastAsia" w:ascii="宋体" w:hAnsi="宋体" w:cs="宋体"/>
                <w:color w:val="auto"/>
              </w:rPr>
              <w:t>10</w:t>
            </w:r>
          </w:p>
        </w:tc>
        <w:tc>
          <w:tcPr>
            <w:tcW w:w="5952" w:type="dxa"/>
            <w:shd w:val="clear" w:color="auto" w:fill="auto"/>
            <w:vAlign w:val="center"/>
          </w:tcPr>
          <w:p>
            <w:pPr>
              <w:rPr>
                <w:rFonts w:hint="eastAsia" w:ascii="宋体" w:hAnsi="宋体" w:cs="宋体"/>
                <w:color w:val="auto"/>
                <w:lang w:val="zh-TW" w:eastAsia="zh-TW"/>
              </w:rPr>
            </w:pPr>
            <w:r>
              <w:rPr>
                <w:rFonts w:hint="eastAsia" w:ascii="宋体" w:hAnsi="宋体" w:cs="宋体"/>
                <w:color w:val="auto"/>
              </w:rPr>
              <w:t>评标委员会根据项目需求对各投标人针对本项目编制的</w:t>
            </w:r>
            <w:r>
              <w:rPr>
                <w:rFonts w:hint="eastAsia" w:ascii="宋体" w:hAnsi="宋体" w:cs="宋体"/>
                <w:color w:val="auto"/>
                <w:lang w:val="zh-TW" w:eastAsia="zh-TW"/>
              </w:rPr>
              <w:t>服务承诺</w:t>
            </w:r>
            <w:r>
              <w:rPr>
                <w:rFonts w:hint="eastAsia" w:ascii="宋体" w:hAnsi="宋体" w:cs="宋体"/>
                <w:color w:val="auto"/>
              </w:rPr>
              <w:t>进行综合评审打分，打分区间6.0</w:t>
            </w:r>
            <w:r>
              <w:rPr>
                <w:rFonts w:hint="eastAsia" w:ascii="宋体" w:hAnsi="宋体" w:cs="宋体"/>
                <w:color w:val="auto"/>
                <w:lang w:val="zh-TW" w:eastAsia="zh-TW"/>
              </w:rPr>
              <w:t>～</w:t>
            </w:r>
            <w:r>
              <w:rPr>
                <w:rFonts w:hint="eastAsia" w:ascii="宋体" w:hAnsi="宋体" w:cs="宋体"/>
                <w:color w:val="auto"/>
              </w:rPr>
              <w:t>10.0分</w:t>
            </w:r>
            <w:r>
              <w:rPr>
                <w:rFonts w:hint="eastAsia" w:ascii="宋体" w:hAnsi="宋体" w:cs="宋体"/>
                <w:color w:val="auto"/>
                <w:lang w:val="zh-TW"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140" w:type="dxa"/>
            <w:vMerge w:val="restart"/>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CN" w:eastAsia="zh-TW"/>
              </w:rPr>
              <w:t>商务分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40</w:t>
            </w:r>
            <w:r>
              <w:rPr>
                <w:rFonts w:hint="eastAsia" w:ascii="宋体" w:hAnsi="宋体" w:cs="宋体"/>
                <w:color w:val="auto"/>
                <w:lang w:val="zh-TW" w:eastAsia="zh-TW"/>
              </w:rPr>
              <w:t>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业绩信誉</w:t>
            </w:r>
          </w:p>
        </w:tc>
        <w:tc>
          <w:tcPr>
            <w:tcW w:w="780" w:type="dxa"/>
            <w:shd w:val="clear" w:color="auto" w:fill="auto"/>
            <w:tcMar>
              <w:top w:w="80" w:type="dxa"/>
              <w:left w:w="80" w:type="dxa"/>
              <w:bottom w:w="80" w:type="dxa"/>
              <w:right w:w="80" w:type="dxa"/>
            </w:tcMar>
            <w:vAlign w:val="center"/>
          </w:tcPr>
          <w:p>
            <w:pPr>
              <w:jc w:val="center"/>
              <w:rPr>
                <w:rFonts w:hint="eastAsia" w:ascii="宋体" w:hAnsi="宋体" w:cs="宋体"/>
                <w:color w:val="auto"/>
              </w:rPr>
            </w:pPr>
            <w:r>
              <w:rPr>
                <w:rFonts w:hint="eastAsia" w:ascii="宋体" w:hAnsi="宋体" w:cs="宋体"/>
                <w:color w:val="auto"/>
              </w:rPr>
              <w:t>10</w:t>
            </w:r>
          </w:p>
        </w:tc>
        <w:tc>
          <w:tcPr>
            <w:tcW w:w="5952" w:type="dxa"/>
            <w:shd w:val="clear" w:color="auto" w:fill="auto"/>
            <w:vAlign w:val="center"/>
          </w:tcPr>
          <w:p>
            <w:pPr>
              <w:rPr>
                <w:rFonts w:hint="eastAsia" w:ascii="宋体" w:hAnsi="宋体" w:cs="宋体"/>
                <w:color w:val="auto"/>
                <w:lang w:val="zh-TW" w:eastAsia="zh-TW"/>
              </w:rPr>
            </w:pPr>
            <w:r>
              <w:rPr>
                <w:rFonts w:hint="eastAsia" w:ascii="宋体" w:hAnsi="宋体" w:cs="宋体"/>
                <w:color w:val="auto"/>
                <w:lang w:val="zh-TW" w:eastAsia="zh-TW"/>
              </w:rPr>
              <w:t>投标人在近三年内经营过其他类似项目：每份合同得业绩信誉分</w:t>
            </w:r>
            <w:r>
              <w:rPr>
                <w:rFonts w:hint="eastAsia" w:ascii="宋体" w:hAnsi="宋体" w:cs="宋体"/>
                <w:color w:val="auto"/>
              </w:rPr>
              <w:t>2</w:t>
            </w:r>
            <w:r>
              <w:rPr>
                <w:rFonts w:hint="eastAsia" w:ascii="宋体" w:hAnsi="宋体" w:cs="宋体"/>
                <w:color w:val="auto"/>
                <w:lang w:val="zh-TW" w:eastAsia="zh-TW"/>
              </w:rPr>
              <w:t>分，加满</w:t>
            </w:r>
            <w:r>
              <w:rPr>
                <w:rFonts w:hint="eastAsia" w:ascii="宋体" w:hAnsi="宋体" w:cs="宋体"/>
                <w:color w:val="auto"/>
              </w:rPr>
              <w:t>10</w:t>
            </w:r>
            <w:r>
              <w:rPr>
                <w:rFonts w:hint="eastAsia" w:ascii="宋体" w:hAnsi="宋体" w:cs="宋体"/>
                <w:color w:val="auto"/>
                <w:lang w:val="zh-TW" w:eastAsia="zh-TW"/>
              </w:rPr>
              <w:t>分为止。</w:t>
            </w:r>
            <w:r>
              <w:rPr>
                <w:rFonts w:hint="eastAsia" w:ascii="宋体" w:hAnsi="宋体" w:cs="宋体"/>
                <w:color w:val="auto"/>
                <w:lang w:val="zh-TW"/>
              </w:rPr>
              <w:t>投标文件中</w:t>
            </w:r>
            <w:r>
              <w:rPr>
                <w:rFonts w:hint="eastAsia" w:ascii="宋体" w:hAnsi="宋体" w:cs="宋体"/>
                <w:color w:val="auto"/>
                <w:lang w:val="zh-TW" w:eastAsia="zh-TW"/>
              </w:rPr>
              <w:t>须提供相关证明材料（与其他类似项目单位签订的正式合同复印件</w:t>
            </w:r>
            <w:r>
              <w:rPr>
                <w:rFonts w:hint="eastAsia" w:ascii="宋体" w:hAnsi="宋体" w:cs="宋体"/>
                <w:color w:val="auto"/>
                <w:lang w:val="zh-TW"/>
              </w:rPr>
              <w:t>加盖投标人公章</w:t>
            </w:r>
            <w:r>
              <w:rPr>
                <w:rFonts w:hint="eastAsia" w:ascii="宋体" w:hAnsi="宋体" w:cs="宋体"/>
                <w:color w:val="auto"/>
                <w:lang w:val="zh-TW" w:eastAsia="zh-TW"/>
              </w:rPr>
              <w:t>，原件携带备查）。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8" w:hRule="atLeast"/>
        </w:trPr>
        <w:tc>
          <w:tcPr>
            <w:tcW w:w="1140" w:type="dxa"/>
            <w:vMerge w:val="continue"/>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综合实力</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auto"/>
              </w:rPr>
            </w:pPr>
            <w:r>
              <w:rPr>
                <w:rFonts w:hint="eastAsia" w:ascii="宋体" w:hAnsi="宋体" w:cs="宋体"/>
                <w:color w:val="auto"/>
              </w:rPr>
              <w:t>30</w:t>
            </w:r>
          </w:p>
        </w:tc>
        <w:tc>
          <w:tcPr>
            <w:tcW w:w="5952" w:type="dxa"/>
            <w:shd w:val="clear" w:color="auto" w:fill="auto"/>
            <w:vAlign w:val="center"/>
          </w:tcPr>
          <w:p>
            <w:pPr>
              <w:rPr>
                <w:rFonts w:hint="eastAsia" w:ascii="宋体" w:hAnsi="宋体" w:cs="宋体"/>
                <w:color w:val="auto"/>
                <w:lang w:val="zh-TW"/>
              </w:rPr>
            </w:pPr>
            <w:r>
              <w:rPr>
                <w:rFonts w:hint="eastAsia" w:ascii="宋体" w:hAnsi="宋体" w:cs="宋体"/>
                <w:b/>
                <w:bCs/>
                <w:color w:val="auto"/>
              </w:rPr>
              <w:t>1、</w:t>
            </w:r>
            <w:r>
              <w:rPr>
                <w:rFonts w:hint="eastAsia" w:ascii="宋体" w:hAnsi="宋体" w:cs="宋体"/>
                <w:b/>
                <w:bCs/>
                <w:color w:val="auto"/>
                <w:lang w:val="zh-TW" w:eastAsia="zh-TW"/>
              </w:rPr>
              <w:t>投标人车辆数量</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1.1将所有投标人在投标文件中提供的承诺用于本项目出车任务且符合资格条件中要求的车辆数量合计进行降序排序：第一得10分，第二得8分，依次类推，第6名及以后的不得分。</w:t>
            </w:r>
          </w:p>
          <w:p>
            <w:pPr>
              <w:rPr>
                <w:rFonts w:hint="eastAsia" w:ascii="宋体" w:hAnsi="宋体" w:cs="宋体"/>
                <w:color w:val="auto"/>
                <w:lang w:val="zh-TW" w:eastAsia="zh-TW"/>
              </w:rPr>
            </w:pPr>
            <w:r>
              <w:rPr>
                <w:rFonts w:hint="eastAsia" w:ascii="宋体" w:hAnsi="宋体" w:cs="宋体"/>
                <w:b/>
                <w:bCs/>
                <w:color w:val="auto"/>
              </w:rPr>
              <w:t>2、</w:t>
            </w:r>
            <w:r>
              <w:rPr>
                <w:rFonts w:hint="eastAsia" w:ascii="宋体" w:hAnsi="宋体" w:cs="宋体"/>
                <w:b/>
                <w:bCs/>
                <w:color w:val="auto"/>
                <w:lang w:val="zh-TW" w:eastAsia="zh-TW"/>
              </w:rPr>
              <w:t>车辆登记日期及车况</w:t>
            </w:r>
            <w:r>
              <w:rPr>
                <w:rFonts w:hint="eastAsia" w:ascii="宋体" w:hAnsi="宋体" w:cs="宋体"/>
                <w:b/>
                <w:bCs/>
                <w:color w:val="auto"/>
                <w:lang w:val="zh-TW"/>
              </w:rPr>
              <w:t>：</w:t>
            </w:r>
            <w:r>
              <w:rPr>
                <w:rFonts w:hint="eastAsia" w:ascii="宋体" w:hAnsi="宋体" w:cs="宋体"/>
                <w:color w:val="auto"/>
              </w:rPr>
              <w:t>将所有投标人在投标文件中提供的承诺用于本项目出车任务的车辆的</w:t>
            </w:r>
            <w:r>
              <w:rPr>
                <w:rFonts w:hint="eastAsia" w:ascii="宋体" w:hAnsi="宋体" w:cs="宋体"/>
                <w:color w:val="auto"/>
                <w:lang w:val="zh-TW" w:eastAsia="zh-TW"/>
              </w:rPr>
              <w:t>登记日期</w:t>
            </w:r>
            <w:r>
              <w:rPr>
                <w:rFonts w:hint="eastAsia" w:ascii="宋体" w:hAnsi="宋体" w:cs="宋体"/>
                <w:color w:val="auto"/>
                <w:lang w:val="zh-TW"/>
              </w:rPr>
              <w:t>按由近至远的顺序</w:t>
            </w:r>
            <w:r>
              <w:rPr>
                <w:rFonts w:hint="eastAsia" w:ascii="宋体" w:hAnsi="宋体" w:cs="宋体"/>
                <w:color w:val="auto"/>
              </w:rPr>
              <w:t>进行横向评审比较：综合第一得10分，第二得8分，依次类推，第6名及以后的不得分。</w:t>
            </w:r>
          </w:p>
          <w:p>
            <w:pPr>
              <w:rPr>
                <w:rFonts w:ascii="宋体" w:hAnsi="宋体" w:cs="宋体"/>
                <w:color w:val="auto"/>
              </w:rPr>
            </w:pPr>
            <w:r>
              <w:rPr>
                <w:rFonts w:hint="eastAsia" w:ascii="宋体" w:hAnsi="宋体" w:cs="宋体"/>
                <w:b/>
                <w:bCs/>
                <w:color w:val="auto"/>
              </w:rPr>
              <w:t>3、</w:t>
            </w:r>
            <w:r>
              <w:rPr>
                <w:rFonts w:hint="eastAsia" w:ascii="宋体" w:hAnsi="宋体" w:cs="宋体"/>
                <w:b/>
                <w:bCs/>
                <w:color w:val="auto"/>
                <w:lang w:val="zh-TW" w:eastAsia="zh-TW"/>
              </w:rPr>
              <w:t>驾驶员驾龄</w:t>
            </w:r>
            <w:r>
              <w:rPr>
                <w:rFonts w:hint="eastAsia" w:ascii="宋体" w:hAnsi="宋体" w:cs="宋体"/>
                <w:b/>
                <w:bCs/>
                <w:color w:val="auto"/>
                <w:lang w:val="zh-TW"/>
              </w:rPr>
              <w:t>：</w:t>
            </w:r>
            <w:r>
              <w:rPr>
                <w:rFonts w:hint="eastAsia" w:ascii="宋体" w:hAnsi="宋体" w:cs="宋体"/>
                <w:color w:val="auto"/>
              </w:rPr>
              <w:t>将所有投标人在投标文件中提供的承诺用于本项目出车任务的驾驶员的驾龄合计进行降序排序：第一得10分，第二得8分，依次类推，第6名及以后的不得分。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3" w:hRule="atLeast"/>
        </w:trPr>
        <w:tc>
          <w:tcPr>
            <w:tcW w:w="1140" w:type="dxa"/>
            <w:tcBorders>
              <w:top w:val="single" w:color="auto" w:sz="4" w:space="0"/>
            </w:tcBorders>
            <w:shd w:val="clear" w:color="auto" w:fill="auto"/>
            <w:tcMar>
              <w:top w:w="80" w:type="dxa"/>
              <w:left w:w="80" w:type="dxa"/>
              <w:bottom w:w="80" w:type="dxa"/>
              <w:right w:w="80" w:type="dxa"/>
            </w:tcMar>
            <w:vAlign w:val="center"/>
          </w:tcPr>
          <w:p>
            <w:pPr>
              <w:jc w:val="center"/>
              <w:rPr>
                <w:rFonts w:hint="eastAsia" w:ascii="宋体" w:hAnsi="宋体" w:cs="宋体"/>
                <w:color w:val="auto"/>
                <w:lang w:val="zh-TW" w:eastAsia="zh-TW"/>
              </w:rPr>
            </w:pPr>
            <w:r>
              <w:rPr>
                <w:rFonts w:hint="eastAsia" w:ascii="宋体" w:hAnsi="宋体" w:cs="宋体"/>
                <w:color w:val="auto"/>
                <w:lang w:val="zh-TW" w:eastAsia="zh-TW"/>
              </w:rPr>
              <w:t>价格分</w:t>
            </w:r>
          </w:p>
          <w:p>
            <w:pPr>
              <w:jc w:val="center"/>
              <w:rPr>
                <w:rFonts w:hint="eastAsia" w:ascii="宋体" w:hAnsi="宋体" w:cs="宋体"/>
                <w:color w:val="auto"/>
                <w:lang w:val="zh-TW" w:eastAsia="zh-TW"/>
              </w:rPr>
            </w:pPr>
            <w:r>
              <w:rPr>
                <w:rFonts w:hint="eastAsia" w:ascii="宋体" w:hAnsi="宋体" w:cs="宋体"/>
                <w:color w:val="auto"/>
                <w:lang w:val="zh-TW" w:eastAsia="zh-TW"/>
              </w:rPr>
              <w:t>（</w:t>
            </w:r>
            <w:r>
              <w:rPr>
                <w:rFonts w:hint="eastAsia" w:ascii="宋体" w:hAnsi="宋体" w:cs="宋体"/>
                <w:color w:val="auto"/>
              </w:rPr>
              <w:t>5</w:t>
            </w:r>
            <w:r>
              <w:rPr>
                <w:rFonts w:hint="eastAsia" w:ascii="宋体" w:hAnsi="宋体" w:cs="宋体"/>
                <w:color w:val="auto"/>
                <w:lang w:val="zh-TW" w:eastAsia="zh-TW"/>
              </w:rPr>
              <w:t>0分）</w:t>
            </w:r>
          </w:p>
        </w:tc>
        <w:tc>
          <w:tcPr>
            <w:tcW w:w="1200" w:type="dxa"/>
            <w:shd w:val="clear" w:color="auto" w:fill="auto"/>
            <w:tcMar>
              <w:top w:w="80" w:type="dxa"/>
              <w:left w:w="80" w:type="dxa"/>
              <w:bottom w:w="80" w:type="dxa"/>
              <w:right w:w="80" w:type="dxa"/>
            </w:tcMar>
            <w:vAlign w:val="center"/>
          </w:tcPr>
          <w:p>
            <w:pPr>
              <w:jc w:val="center"/>
              <w:rPr>
                <w:rFonts w:hint="eastAsia" w:ascii="宋体" w:hAnsi="宋体" w:cs="宋体"/>
                <w:color w:val="auto"/>
                <w:lang w:val="zh-TW"/>
              </w:rPr>
            </w:pPr>
            <w:r>
              <w:rPr>
                <w:rFonts w:hint="eastAsia" w:ascii="宋体" w:hAnsi="宋体" w:cs="宋体"/>
                <w:color w:val="auto"/>
                <w:lang w:val="zh-TW"/>
              </w:rPr>
              <w:t>投标报价</w:t>
            </w:r>
          </w:p>
        </w:tc>
        <w:tc>
          <w:tcPr>
            <w:tcW w:w="780" w:type="dxa"/>
            <w:shd w:val="clear" w:color="auto" w:fill="auto"/>
            <w:vAlign w:val="center"/>
          </w:tcPr>
          <w:p>
            <w:pPr>
              <w:jc w:val="center"/>
              <w:rPr>
                <w:rFonts w:ascii="宋体" w:hAnsi="宋体" w:cs="宋体"/>
                <w:color w:val="auto"/>
                <w:lang w:eastAsia="zh-TW"/>
              </w:rPr>
            </w:pPr>
            <w:r>
              <w:rPr>
                <w:rFonts w:hint="eastAsia" w:ascii="宋体" w:hAnsi="宋体" w:cs="宋体"/>
                <w:color w:val="auto"/>
              </w:rPr>
              <w:t>50</w:t>
            </w:r>
          </w:p>
        </w:tc>
        <w:tc>
          <w:tcPr>
            <w:tcW w:w="5952" w:type="dxa"/>
            <w:shd w:val="clear" w:color="auto" w:fill="auto"/>
            <w:vAlign w:val="center"/>
          </w:tcPr>
          <w:p>
            <w:pPr>
              <w:rPr>
                <w:rFonts w:hint="eastAsia" w:ascii="宋体" w:hAnsi="宋体" w:cs="宋体"/>
                <w:color w:val="auto"/>
                <w:lang w:val="zh-TW"/>
              </w:rPr>
            </w:pPr>
            <w:r>
              <w:rPr>
                <w:rFonts w:hint="eastAsia" w:ascii="宋体" w:hAnsi="宋体" w:cs="宋体"/>
                <w:color w:val="auto"/>
                <w:lang w:val="zh-TW" w:eastAsia="zh-TW"/>
              </w:rPr>
              <w:t>价格分统一采用低价优先法，即满足招标文件要求且</w:t>
            </w:r>
            <w:r>
              <w:rPr>
                <w:rFonts w:hint="eastAsia" w:ascii="宋体" w:hAnsi="宋体" w:cs="宋体"/>
                <w:color w:val="auto"/>
                <w:lang w:val="zh-TW"/>
              </w:rPr>
              <w:t>对应分项费用</w:t>
            </w:r>
            <w:r>
              <w:rPr>
                <w:rFonts w:hint="eastAsia" w:ascii="宋体" w:hAnsi="宋体" w:cs="宋体"/>
                <w:color w:val="auto"/>
                <w:lang w:val="zh-TW" w:eastAsia="zh-TW"/>
              </w:rPr>
              <w:t>投标价格最低的投标报价为评标基准价</w:t>
            </w:r>
            <w:r>
              <w:rPr>
                <w:rFonts w:hint="eastAsia" w:ascii="宋体" w:hAnsi="宋体" w:cs="宋体"/>
                <w:color w:val="auto"/>
                <w:lang w:val="zh-TW"/>
              </w:rPr>
              <w:t>，</w:t>
            </w:r>
            <w:r>
              <w:rPr>
                <w:rFonts w:hint="eastAsia" w:ascii="宋体" w:hAnsi="宋体" w:cs="宋体"/>
                <w:color w:val="auto"/>
                <w:lang w:val="zh-TW" w:eastAsia="zh-TW"/>
              </w:rPr>
              <w:t>其他投标供应商的价格分统一按照下列公式计算</w:t>
            </w:r>
            <w:r>
              <w:rPr>
                <w:rFonts w:hint="eastAsia" w:ascii="宋体" w:hAnsi="宋体" w:cs="宋体"/>
                <w:color w:val="auto"/>
                <w:lang w:val="zh-TW"/>
              </w:rPr>
              <w:t>（均保留两位小数）</w:t>
            </w:r>
            <w:r>
              <w:rPr>
                <w:rFonts w:hint="eastAsia" w:ascii="宋体" w:hAnsi="宋体" w:cs="宋体"/>
                <w:color w:val="auto"/>
                <w:lang w:val="zh-TW" w:eastAsia="zh-TW"/>
              </w:rPr>
              <w:t>：</w:t>
            </w:r>
          </w:p>
          <w:p>
            <w:pPr>
              <w:rPr>
                <w:rFonts w:hint="eastAsia" w:ascii="宋体" w:hAnsi="宋体" w:cs="宋体"/>
                <w:b/>
                <w:bCs/>
                <w:color w:val="auto"/>
                <w:sz w:val="28"/>
                <w:szCs w:val="28"/>
              </w:rPr>
            </w:pPr>
            <w:r>
              <w:rPr>
                <w:rFonts w:hint="eastAsia" w:ascii="宋体" w:hAnsi="宋体" w:cs="宋体"/>
                <w:b/>
                <w:bCs/>
                <w:color w:val="auto"/>
                <w:sz w:val="28"/>
                <w:szCs w:val="28"/>
              </w:rPr>
              <w:t>分包一：</w:t>
            </w:r>
          </w:p>
          <w:p>
            <w:pPr>
              <w:rPr>
                <w:rFonts w:hint="eastAsia" w:ascii="宋体" w:hAnsi="宋体" w:cs="宋体"/>
                <w:b/>
                <w:bCs/>
                <w:color w:val="auto"/>
              </w:rPr>
            </w:pPr>
            <w:r>
              <w:rPr>
                <w:rFonts w:hint="eastAsia" w:ascii="宋体" w:hAnsi="宋体" w:cs="宋体"/>
                <w:b/>
                <w:bCs/>
                <w:color w:val="auto"/>
              </w:rPr>
              <w:t>一、5座含司机小车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1、半日租车费用的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5</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5</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二、7座含司机商务车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6、半日租车费用的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三、9～15座含司机商务车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11、半日租车费用的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13、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1</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1</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分包一投标报价得分等于上述1</w:t>
            </w:r>
            <w:r>
              <w:rPr>
                <w:rFonts w:hint="eastAsia" w:ascii="宋体" w:hAnsi="宋体" w:cs="宋体"/>
                <w:b/>
                <w:bCs/>
                <w:color w:val="auto"/>
                <w:lang w:val="zh-TW"/>
              </w:rPr>
              <w:t>～</w:t>
            </w:r>
            <w:r>
              <w:rPr>
                <w:rFonts w:hint="eastAsia" w:ascii="宋体" w:hAnsi="宋体" w:cs="宋体"/>
                <w:b/>
                <w:bCs/>
                <w:color w:val="auto"/>
              </w:rPr>
              <w:t>15项分数之和。</w:t>
            </w:r>
          </w:p>
          <w:p>
            <w:pPr>
              <w:rPr>
                <w:rFonts w:hint="eastAsia" w:ascii="宋体" w:hAnsi="宋体" w:cs="宋体"/>
                <w:color w:val="auto"/>
              </w:rPr>
            </w:pPr>
          </w:p>
          <w:p>
            <w:pPr>
              <w:rPr>
                <w:rFonts w:hint="eastAsia" w:ascii="宋体" w:hAnsi="宋体" w:cs="宋体"/>
                <w:b/>
                <w:bCs/>
                <w:color w:val="auto"/>
                <w:sz w:val="28"/>
                <w:szCs w:val="28"/>
              </w:rPr>
            </w:pPr>
            <w:r>
              <w:rPr>
                <w:rFonts w:hint="eastAsia" w:ascii="宋体" w:hAnsi="宋体" w:cs="宋体"/>
                <w:b/>
                <w:bCs/>
                <w:color w:val="auto"/>
                <w:sz w:val="28"/>
                <w:szCs w:val="28"/>
              </w:rPr>
              <w:t>分包二：</w:t>
            </w:r>
          </w:p>
          <w:p>
            <w:pPr>
              <w:rPr>
                <w:rFonts w:hint="eastAsia" w:ascii="宋体" w:hAnsi="宋体" w:cs="宋体"/>
                <w:b/>
                <w:bCs/>
                <w:color w:val="auto"/>
              </w:rPr>
            </w:pPr>
            <w:r>
              <w:rPr>
                <w:rFonts w:hint="eastAsia" w:ascii="宋体" w:hAnsi="宋体" w:cs="宋体"/>
                <w:b/>
                <w:bCs/>
                <w:color w:val="auto"/>
              </w:rPr>
              <w:t>四、21座含司机小型客车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16、半日租车费用的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18、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19、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五、39座含司机中型客车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21、半日租车费用的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22、</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23、</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24、</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25、</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4</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4</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b/>
                <w:bCs/>
                <w:color w:val="auto"/>
              </w:rPr>
            </w:pPr>
            <w:r>
              <w:rPr>
                <w:rFonts w:hint="eastAsia" w:ascii="宋体" w:hAnsi="宋体" w:cs="宋体"/>
                <w:b/>
                <w:bCs/>
                <w:color w:val="auto"/>
              </w:rPr>
              <w:t>六、55座含司机大型客车</w:t>
            </w:r>
          </w:p>
          <w:p>
            <w:pPr>
              <w:rPr>
                <w:rFonts w:hint="eastAsia" w:ascii="宋体" w:hAnsi="宋体" w:cs="宋体"/>
                <w:color w:val="auto"/>
              </w:rPr>
            </w:pPr>
            <w:r>
              <w:rPr>
                <w:rFonts w:hint="eastAsia" w:ascii="宋体" w:hAnsi="宋体" w:cs="宋体"/>
                <w:color w:val="auto"/>
              </w:rPr>
              <w:t>（一）市区</w:t>
            </w:r>
          </w:p>
          <w:p>
            <w:pPr>
              <w:rPr>
                <w:rFonts w:hint="eastAsia" w:ascii="宋体" w:hAnsi="宋体" w:cs="宋体"/>
                <w:color w:val="auto"/>
                <w:lang w:val="zh-TW"/>
              </w:rPr>
            </w:pPr>
            <w:r>
              <w:rPr>
                <w:rFonts w:hint="eastAsia" w:ascii="宋体" w:hAnsi="宋体" w:cs="宋体"/>
                <w:b/>
                <w:bCs/>
                <w:color w:val="auto"/>
              </w:rPr>
              <w:t>26、半日租车费用的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27、</w:t>
            </w:r>
            <w:r>
              <w:rPr>
                <w:rFonts w:hint="eastAsia" w:ascii="宋体" w:hAnsi="宋体" w:cs="宋体"/>
                <w:b/>
                <w:bCs/>
                <w:color w:val="auto"/>
              </w:rPr>
              <w:t>一日租车费用的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rPr>
            </w:pPr>
            <w:r>
              <w:rPr>
                <w:rFonts w:hint="eastAsia" w:ascii="宋体" w:hAnsi="宋体" w:cs="宋体"/>
                <w:color w:val="auto"/>
              </w:rPr>
              <w:t>（二）市外</w:t>
            </w:r>
          </w:p>
          <w:p>
            <w:pPr>
              <w:rPr>
                <w:rFonts w:hint="eastAsia" w:ascii="宋体" w:hAnsi="宋体" w:cs="宋体"/>
                <w:color w:val="auto"/>
                <w:lang w:val="zh-TW"/>
              </w:rPr>
            </w:pPr>
            <w:r>
              <w:rPr>
                <w:rFonts w:hint="eastAsia" w:ascii="宋体" w:hAnsi="宋体" w:cs="宋体"/>
                <w:color w:val="auto"/>
              </w:rPr>
              <w:t>28、</w:t>
            </w:r>
            <w:r>
              <w:rPr>
                <w:rFonts w:hint="eastAsia" w:ascii="宋体" w:hAnsi="宋体" w:cs="宋体"/>
                <w:b/>
                <w:bCs/>
                <w:color w:val="auto"/>
                <w:kern w:val="0"/>
              </w:rPr>
              <w:t>基础里程数</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29、</w:t>
            </w:r>
            <w:r>
              <w:rPr>
                <w:rFonts w:hint="eastAsia" w:ascii="宋体" w:hAnsi="宋体" w:cs="宋体"/>
                <w:b/>
                <w:bCs/>
                <w:color w:val="auto"/>
                <w:kern w:val="0"/>
              </w:rPr>
              <w:t>超时间加收费用</w:t>
            </w:r>
            <w:r>
              <w:rPr>
                <w:rFonts w:hint="eastAsia" w:ascii="宋体" w:hAnsi="宋体" w:cs="宋体"/>
                <w:b/>
                <w:bCs/>
                <w:color w:val="auto"/>
              </w:rPr>
              <w:t>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color w:val="auto"/>
              </w:rPr>
              <w:t>30、</w:t>
            </w:r>
            <w:r>
              <w:rPr>
                <w:rFonts w:hint="eastAsia" w:ascii="宋体" w:hAnsi="宋体" w:cs="宋体"/>
                <w:b/>
                <w:bCs/>
                <w:color w:val="auto"/>
                <w:kern w:val="0"/>
              </w:rPr>
              <w:t>超过基准里程数加收</w:t>
            </w:r>
            <w:r>
              <w:rPr>
                <w:rFonts w:hint="eastAsia" w:ascii="宋体" w:hAnsi="宋体" w:cs="宋体"/>
                <w:b/>
                <w:bCs/>
                <w:color w:val="auto"/>
              </w:rPr>
              <w:t>费用的</w:t>
            </w:r>
            <w:r>
              <w:rPr>
                <w:rFonts w:hint="eastAsia" w:ascii="宋体" w:hAnsi="宋体" w:cs="宋体"/>
                <w:color w:val="auto"/>
                <w:lang w:val="zh-TW" w:eastAsia="zh-TW"/>
              </w:rPr>
              <w:t>价格分满分</w:t>
            </w:r>
            <w:r>
              <w:rPr>
                <w:rFonts w:hint="eastAsia" w:ascii="宋体" w:hAnsi="宋体" w:cs="宋体"/>
                <w:color w:val="auto"/>
              </w:rPr>
              <w:t>3</w:t>
            </w:r>
            <w:r>
              <w:rPr>
                <w:rFonts w:hint="eastAsia" w:ascii="宋体" w:hAnsi="宋体" w:cs="宋体"/>
                <w:color w:val="auto"/>
                <w:lang w:val="zh-TW" w:eastAsia="zh-TW"/>
              </w:rPr>
              <w:t>分</w:t>
            </w:r>
            <w:r>
              <w:rPr>
                <w:rFonts w:hint="eastAsia" w:ascii="宋体" w:hAnsi="宋体" w:cs="宋体"/>
                <w:color w:val="auto"/>
                <w:lang w:val="zh-TW"/>
              </w:rPr>
              <w:t>：</w:t>
            </w:r>
            <w:r>
              <w:rPr>
                <w:rFonts w:hint="eastAsia" w:ascii="宋体" w:hAnsi="宋体" w:cs="宋体"/>
                <w:color w:val="auto"/>
                <w:lang w:val="zh-TW" w:eastAsia="zh-TW"/>
              </w:rPr>
              <w:t>得分＝（评标基准价/投标报价）×</w:t>
            </w:r>
            <w:r>
              <w:rPr>
                <w:rFonts w:hint="eastAsia" w:ascii="宋体" w:hAnsi="宋体" w:cs="宋体"/>
                <w:color w:val="auto"/>
              </w:rPr>
              <w:t>3</w:t>
            </w:r>
            <w:r>
              <w:rPr>
                <w:rFonts w:hint="eastAsia" w:ascii="宋体" w:hAnsi="宋体" w:cs="宋体"/>
                <w:color w:val="auto"/>
                <w:lang w:val="zh-TW" w:eastAsia="zh-TW"/>
              </w:rPr>
              <w:t>（保留两位小数）</w:t>
            </w:r>
            <w:r>
              <w:rPr>
                <w:rFonts w:hint="eastAsia" w:ascii="宋体" w:hAnsi="宋体" w:cs="宋体"/>
                <w:color w:val="auto"/>
                <w:lang w:val="zh-TW"/>
              </w:rPr>
              <w:t>；</w:t>
            </w:r>
          </w:p>
          <w:p>
            <w:pPr>
              <w:rPr>
                <w:rFonts w:hint="eastAsia" w:ascii="宋体" w:hAnsi="宋体" w:cs="宋体"/>
                <w:color w:val="auto"/>
                <w:lang w:val="zh-TW"/>
              </w:rPr>
            </w:pPr>
            <w:r>
              <w:rPr>
                <w:rFonts w:hint="eastAsia" w:ascii="宋体" w:hAnsi="宋体" w:cs="宋体"/>
                <w:b/>
                <w:bCs/>
                <w:color w:val="auto"/>
              </w:rPr>
              <w:t>分包二投标报价得分等于上述16</w:t>
            </w:r>
            <w:r>
              <w:rPr>
                <w:rFonts w:hint="eastAsia" w:ascii="宋体" w:hAnsi="宋体" w:cs="宋体"/>
                <w:b/>
                <w:bCs/>
                <w:color w:val="auto"/>
                <w:lang w:val="zh-TW"/>
              </w:rPr>
              <w:t>～</w:t>
            </w:r>
            <w:r>
              <w:rPr>
                <w:rFonts w:hint="eastAsia" w:ascii="宋体" w:hAnsi="宋体" w:cs="宋体"/>
                <w:b/>
                <w:bCs/>
                <w:color w:val="auto"/>
              </w:rPr>
              <w:t>30项分数之和。</w:t>
            </w:r>
          </w:p>
        </w:tc>
      </w:tr>
    </w:tbl>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 xml:space="preserve">说明： </w:t>
      </w:r>
    </w:p>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1、若供应商提供虚假资料，一经查实取消其中标候选人资格，并向相关主管部门汇报。</w:t>
      </w:r>
    </w:p>
    <w:p>
      <w:pPr>
        <w:snapToGrid w:val="0"/>
        <w:ind w:firstLine="480" w:firstLineChars="200"/>
        <w:rPr>
          <w:rFonts w:hint="eastAsia" w:ascii="宋体" w:hAnsi="宋体" w:cs="宋体"/>
          <w:bCs/>
          <w:color w:val="auto"/>
          <w:sz w:val="24"/>
          <w:szCs w:val="24"/>
        </w:rPr>
      </w:pPr>
      <w:r>
        <w:rPr>
          <w:rFonts w:hint="eastAsia" w:ascii="宋体" w:hAnsi="宋体" w:cs="宋体"/>
          <w:bCs/>
          <w:color w:val="auto"/>
          <w:sz w:val="24"/>
          <w:szCs w:val="24"/>
        </w:rPr>
        <w:t>2、中标单位不得转包、分包，如果发现有转包、分包情况，则取消其中标候选人资格，并向相关主管部门汇报。</w:t>
      </w:r>
    </w:p>
    <w:p>
      <w:pPr>
        <w:rPr>
          <w:rFonts w:hint="eastAsia" w:ascii="宋体" w:hAnsi="宋体" w:cs="宋体"/>
          <w:color w:val="auto"/>
        </w:rPr>
      </w:pPr>
    </w:p>
    <w:p>
      <w:pPr>
        <w:rPr>
          <w:rFonts w:hint="eastAsia" w:ascii="宋体" w:hAnsi="宋体" w:cs="宋体"/>
          <w:color w:val="auto"/>
        </w:rPr>
      </w:pPr>
      <w:r>
        <w:rPr>
          <w:rFonts w:hint="eastAsia" w:ascii="宋体" w:hAnsi="宋体" w:cs="宋体"/>
          <w:color w:val="auto"/>
        </w:rPr>
        <w:br w:type="page"/>
      </w:r>
    </w:p>
    <w:p>
      <w:pPr>
        <w:pStyle w:val="2"/>
        <w:rPr>
          <w:rFonts w:hint="eastAsia" w:ascii="宋体" w:hAnsi="宋体" w:eastAsia="宋体" w:cs="宋体"/>
          <w:bCs/>
          <w:color w:val="auto"/>
          <w:sz w:val="44"/>
        </w:rPr>
      </w:pPr>
      <w:r>
        <w:rPr>
          <w:rFonts w:hint="eastAsia" w:ascii="宋体" w:hAnsi="宋体" w:eastAsia="宋体" w:cs="宋体"/>
          <w:bCs/>
          <w:color w:val="auto"/>
          <w:sz w:val="44"/>
        </w:rPr>
        <w:t>第六章  投标</w:t>
      </w:r>
      <w:bookmarkEnd w:id="159"/>
      <w:bookmarkEnd w:id="160"/>
      <w:bookmarkEnd w:id="161"/>
      <w:r>
        <w:rPr>
          <w:rFonts w:hint="eastAsia" w:ascii="宋体" w:hAnsi="宋体" w:eastAsia="宋体" w:cs="宋体"/>
          <w:bCs/>
          <w:color w:val="auto"/>
          <w:sz w:val="44"/>
        </w:rPr>
        <w:t xml:space="preserve">文件格式 </w:t>
      </w:r>
    </w:p>
    <w:p>
      <w:pPr>
        <w:jc w:val="right"/>
        <w:rPr>
          <w:rFonts w:hint="eastAsia" w:ascii="宋体" w:hAnsi="宋体" w:cs="宋体"/>
          <w:b/>
          <w:color w:val="auto"/>
          <w:sz w:val="36"/>
        </w:rPr>
      </w:pPr>
      <w:bookmarkStart w:id="162" w:name="_Hlt26671244"/>
      <w:bookmarkEnd w:id="162"/>
      <w:bookmarkStart w:id="163" w:name="_Hlt26955039"/>
      <w:bookmarkEnd w:id="163"/>
      <w:bookmarkStart w:id="164" w:name="_Toc120614282"/>
      <w:bookmarkStart w:id="165" w:name="_Toc49090576"/>
      <w:bookmarkStart w:id="166" w:name="_Toc26554094"/>
    </w:p>
    <w:p>
      <w:pPr>
        <w:jc w:val="right"/>
        <w:rPr>
          <w:rFonts w:hint="eastAsia" w:ascii="宋体" w:hAnsi="宋体" w:cs="宋体"/>
          <w:b/>
          <w:color w:val="auto"/>
          <w:sz w:val="72"/>
        </w:rPr>
      </w:pPr>
      <w:r>
        <w:rPr>
          <w:rFonts w:hint="eastAsia" w:ascii="宋体" w:hAnsi="宋体" w:cs="宋体"/>
          <w:b/>
          <w:color w:val="auto"/>
          <w:sz w:val="36"/>
        </w:rPr>
        <w:t>（正或副本）</w:t>
      </w:r>
    </w:p>
    <w:p>
      <w:pPr>
        <w:jc w:val="center"/>
        <w:rPr>
          <w:rFonts w:hint="eastAsia" w:ascii="宋体" w:hAnsi="宋体" w:cs="宋体"/>
          <w:b/>
          <w:color w:val="auto"/>
          <w:sz w:val="72"/>
        </w:rPr>
      </w:pPr>
    </w:p>
    <w:p>
      <w:pPr>
        <w:jc w:val="center"/>
        <w:rPr>
          <w:rFonts w:hint="eastAsia" w:ascii="宋体" w:hAnsi="宋体" w:cs="宋体"/>
          <w:b/>
          <w:color w:val="auto"/>
          <w:sz w:val="72"/>
        </w:rPr>
      </w:pPr>
      <w:r>
        <w:rPr>
          <w:rFonts w:hint="eastAsia" w:ascii="宋体" w:hAnsi="宋体" w:cs="宋体"/>
          <w:b/>
          <w:color w:val="auto"/>
          <w:sz w:val="72"/>
        </w:rPr>
        <w:t>投  标  文  件</w:t>
      </w:r>
    </w:p>
    <w:p>
      <w:pPr>
        <w:ind w:firstLine="1080" w:firstLineChars="300"/>
        <w:jc w:val="center"/>
        <w:rPr>
          <w:rFonts w:hint="eastAsia" w:ascii="宋体" w:hAnsi="宋体" w:cs="宋体"/>
          <w:b/>
          <w:color w:val="auto"/>
          <w:sz w:val="36"/>
        </w:rPr>
      </w:pPr>
    </w:p>
    <w:p>
      <w:pPr>
        <w:jc w:val="center"/>
        <w:rPr>
          <w:rFonts w:hint="eastAsia" w:ascii="宋体" w:hAnsi="宋体" w:cs="宋体"/>
          <w:b/>
          <w:color w:val="auto"/>
          <w:sz w:val="32"/>
          <w:szCs w:val="32"/>
        </w:rPr>
      </w:pPr>
      <w:r>
        <w:rPr>
          <w:rFonts w:hint="eastAsia" w:ascii="宋体" w:hAnsi="宋体" w:cs="宋体"/>
          <w:b/>
          <w:color w:val="auto"/>
          <w:sz w:val="32"/>
          <w:szCs w:val="32"/>
        </w:rPr>
        <w:t>（分包</w:t>
      </w:r>
      <w:r>
        <w:rPr>
          <w:rFonts w:hint="eastAsia" w:ascii="宋体" w:hAnsi="宋体" w:cs="宋体"/>
          <w:b/>
          <w:color w:val="auto"/>
          <w:sz w:val="32"/>
          <w:szCs w:val="32"/>
          <w:u w:val="single"/>
        </w:rPr>
        <w:t xml:space="preserve">    </w:t>
      </w:r>
      <w:r>
        <w:rPr>
          <w:rFonts w:hint="eastAsia" w:ascii="宋体" w:hAnsi="宋体" w:cs="宋体"/>
          <w:b/>
          <w:color w:val="auto"/>
          <w:sz w:val="32"/>
          <w:szCs w:val="32"/>
        </w:rPr>
        <w:t>）</w:t>
      </w: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ind w:firstLine="1080" w:firstLineChars="300"/>
        <w:rPr>
          <w:rFonts w:hint="eastAsia" w:ascii="宋体" w:hAnsi="宋体" w:cs="宋体"/>
          <w:b/>
          <w:color w:val="auto"/>
          <w:sz w:val="36"/>
        </w:rPr>
      </w:pPr>
      <w:r>
        <w:rPr>
          <w:rFonts w:hint="eastAsia" w:ascii="宋体" w:hAnsi="宋体" w:cs="宋体"/>
          <w:b/>
          <w:color w:val="auto"/>
          <w:sz w:val="36"/>
        </w:rPr>
        <w:t>项 目 名 称：</w:t>
      </w:r>
      <w:r>
        <w:rPr>
          <w:rFonts w:hint="eastAsia" w:ascii="宋体" w:hAnsi="宋体" w:cs="宋体"/>
          <w:b/>
          <w:color w:val="auto"/>
          <w:sz w:val="36"/>
          <w:u w:val="single"/>
        </w:rPr>
        <w:t xml:space="preserve">               </w:t>
      </w:r>
    </w:p>
    <w:p>
      <w:pPr>
        <w:ind w:firstLine="1080" w:firstLineChars="300"/>
        <w:rPr>
          <w:rFonts w:hint="eastAsia" w:ascii="宋体" w:hAnsi="宋体" w:cs="宋体"/>
          <w:b/>
          <w:color w:val="auto"/>
          <w:sz w:val="36"/>
          <w:u w:val="single"/>
        </w:rPr>
      </w:pPr>
      <w:r>
        <w:rPr>
          <w:rFonts w:hint="eastAsia" w:ascii="宋体" w:hAnsi="宋体" w:cs="宋体"/>
          <w:b/>
          <w:color w:val="auto"/>
          <w:sz w:val="36"/>
        </w:rPr>
        <w:t>招 标 编 号：</w:t>
      </w:r>
      <w:r>
        <w:rPr>
          <w:rFonts w:hint="eastAsia" w:ascii="宋体" w:hAnsi="宋体" w:cs="宋体"/>
          <w:b/>
          <w:color w:val="auto"/>
          <w:sz w:val="36"/>
          <w:u w:val="single"/>
        </w:rPr>
        <w:t xml:space="preserve">               </w:t>
      </w:r>
    </w:p>
    <w:p>
      <w:pPr>
        <w:rPr>
          <w:rFonts w:hint="eastAsia" w:ascii="宋体" w:hAnsi="宋体" w:cs="宋体"/>
          <w:b/>
          <w:color w:val="auto"/>
          <w:sz w:val="36"/>
          <w:u w:val="single"/>
        </w:rPr>
      </w:pPr>
      <w:r>
        <w:rPr>
          <w:rFonts w:hint="eastAsia" w:ascii="宋体" w:hAnsi="宋体" w:cs="宋体"/>
          <w:b/>
          <w:color w:val="auto"/>
          <w:sz w:val="36"/>
        </w:rPr>
        <w:t xml:space="preserve">      投标人名称 ：</w:t>
      </w:r>
      <w:r>
        <w:rPr>
          <w:rFonts w:hint="eastAsia" w:ascii="宋体" w:hAnsi="宋体" w:cs="宋体"/>
          <w:b/>
          <w:color w:val="auto"/>
          <w:sz w:val="36"/>
          <w:u w:val="single"/>
        </w:rPr>
        <w:t xml:space="preserve">               </w:t>
      </w:r>
    </w:p>
    <w:p>
      <w:pPr>
        <w:rPr>
          <w:rFonts w:hint="eastAsia" w:ascii="宋体" w:hAnsi="宋体" w:cs="宋体"/>
          <w:b/>
          <w:color w:val="auto"/>
          <w:sz w:val="36"/>
        </w:rPr>
      </w:pPr>
      <w:r>
        <w:rPr>
          <w:rFonts w:hint="eastAsia" w:ascii="宋体" w:hAnsi="宋体" w:cs="宋体"/>
          <w:b/>
          <w:color w:val="auto"/>
          <w:sz w:val="36"/>
        </w:rPr>
        <w:t xml:space="preserve">      日      期 ：</w:t>
      </w:r>
      <w:r>
        <w:rPr>
          <w:rFonts w:hint="eastAsia" w:ascii="宋体" w:hAnsi="宋体" w:cs="宋体"/>
          <w:b/>
          <w:color w:val="auto"/>
          <w:sz w:val="36"/>
          <w:u w:val="single"/>
        </w:rPr>
        <w:t xml:space="preserve">               </w:t>
      </w:r>
    </w:p>
    <w:p>
      <w:pPr>
        <w:spacing w:line="440" w:lineRule="exact"/>
        <w:jc w:val="center"/>
        <w:rPr>
          <w:rFonts w:hint="eastAsia" w:ascii="宋体" w:hAnsi="宋体" w:cs="宋体"/>
          <w:b/>
          <w:bCs/>
          <w:color w:val="auto"/>
          <w:sz w:val="32"/>
          <w:szCs w:val="32"/>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jc w:val="center"/>
        <w:rPr>
          <w:rFonts w:hint="eastAsia" w:ascii="宋体" w:hAnsi="宋体" w:cs="宋体"/>
          <w:b/>
          <w:color w:val="auto"/>
          <w:sz w:val="30"/>
          <w:szCs w:val="30"/>
        </w:rPr>
      </w:pPr>
      <w:r>
        <w:rPr>
          <w:rFonts w:hint="eastAsia" w:ascii="宋体" w:hAnsi="宋体" w:cs="宋体"/>
          <w:color w:val="auto"/>
          <w:sz w:val="24"/>
        </w:rPr>
        <w:br w:type="page"/>
      </w:r>
      <w:r>
        <w:rPr>
          <w:rFonts w:hint="eastAsia" w:ascii="宋体" w:hAnsi="宋体" w:cs="宋体"/>
          <w:b/>
          <w:color w:val="auto"/>
          <w:sz w:val="30"/>
          <w:szCs w:val="30"/>
        </w:rPr>
        <w:t>评分索引表</w:t>
      </w:r>
    </w:p>
    <w:p>
      <w:pPr>
        <w:spacing w:line="440" w:lineRule="exact"/>
        <w:jc w:val="center"/>
        <w:rPr>
          <w:rFonts w:hint="eastAsia" w:ascii="宋体" w:hAnsi="宋体" w:cs="宋体"/>
          <w:b/>
          <w:color w:val="auto"/>
          <w:sz w:val="30"/>
          <w:szCs w:val="30"/>
        </w:rPr>
      </w:pPr>
    </w:p>
    <w:tbl>
      <w:tblPr>
        <w:tblStyle w:val="4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jc w:val="center"/>
              <w:rPr>
                <w:rFonts w:hint="eastAsia" w:ascii="宋体" w:hAnsi="宋体" w:cs="宋体"/>
                <w:b/>
                <w:bCs/>
                <w:color w:val="auto"/>
                <w:lang w:val="en-US" w:eastAsia="zh-CN"/>
              </w:rPr>
            </w:pPr>
            <w:r>
              <w:rPr>
                <w:rFonts w:hint="eastAsia" w:ascii="宋体" w:hAnsi="宋体" w:cs="宋体"/>
                <w:b/>
                <w:color w:val="auto"/>
                <w:lang w:val="en-US"/>
              </w:rPr>
              <w:t>评分项目</w:t>
            </w:r>
          </w:p>
        </w:tc>
        <w:tc>
          <w:tcPr>
            <w:tcW w:w="3570" w:type="dxa"/>
          </w:tcPr>
          <w:p>
            <w:pPr>
              <w:jc w:val="center"/>
              <w:rPr>
                <w:rFonts w:hint="eastAsia" w:ascii="宋体" w:hAnsi="宋体" w:cs="宋体"/>
                <w:b/>
                <w:color w:val="auto"/>
              </w:rPr>
            </w:pPr>
            <w:r>
              <w:rPr>
                <w:rFonts w:hint="eastAsia" w:ascii="宋体" w:hAnsi="宋体" w:cs="宋体"/>
                <w:b/>
                <w:color w:val="auto"/>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59"/>
              <w:shd w:val="clear" w:color="auto" w:fill="FFFFFF"/>
              <w:spacing w:line="265" w:lineRule="atLeast"/>
              <w:ind w:left="420"/>
              <w:jc w:val="both"/>
              <w:rPr>
                <w:rFonts w:hint="eastAsia" w:ascii="宋体" w:hAnsi="宋体" w:cs="宋体"/>
                <w:b/>
                <w:color w:val="auto"/>
                <w:lang w:val="en-US" w:eastAsia="zh-CN"/>
              </w:rPr>
            </w:pPr>
          </w:p>
        </w:tc>
        <w:tc>
          <w:tcPr>
            <w:tcW w:w="3570" w:type="dxa"/>
          </w:tcPr>
          <w:p>
            <w:pPr>
              <w:rPr>
                <w:rFonts w:hint="eastAsia" w:ascii="宋体" w:hAnsi="宋体" w:cs="宋体"/>
                <w:b/>
                <w:color w:val="auto"/>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59"/>
              <w:shd w:val="clear" w:color="auto" w:fill="FFFFFF"/>
              <w:spacing w:line="265" w:lineRule="atLeast"/>
              <w:ind w:left="420"/>
              <w:jc w:val="both"/>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59"/>
              <w:shd w:val="clear" w:color="auto" w:fill="FFFFFF"/>
              <w:spacing w:line="265" w:lineRule="atLeast"/>
              <w:ind w:left="420"/>
              <w:jc w:val="both"/>
              <w:rPr>
                <w:rFonts w:hint="eastAsia"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59"/>
              <w:shd w:val="clear" w:color="auto" w:fill="FFFFFF"/>
              <w:spacing w:line="265" w:lineRule="atLeast"/>
              <w:ind w:left="420"/>
              <w:jc w:val="both"/>
              <w:rPr>
                <w:rFonts w:hint="eastAsia" w:ascii="宋体" w:hAnsi="宋体" w:cs="宋体"/>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b/>
                <w:bCs/>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9"/>
              <w:shd w:val="clear" w:color="auto" w:fill="FFFFFF"/>
              <w:spacing w:line="265" w:lineRule="atLeast"/>
              <w:ind w:left="420"/>
              <w:rPr>
                <w:rFonts w:hint="eastAsia" w:ascii="宋体" w:hAnsi="宋体" w:cs="宋体"/>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9"/>
              <w:shd w:val="clear" w:color="auto" w:fill="FFFFFF"/>
              <w:spacing w:line="265" w:lineRule="atLeast"/>
              <w:ind w:left="420"/>
              <w:rPr>
                <w:rFonts w:hint="eastAsia" w:ascii="宋体" w:hAnsi="宋体" w:cs="宋体"/>
                <w:b/>
                <w:bCs/>
                <w:color w:val="auto"/>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59"/>
              <w:shd w:val="clear" w:color="auto" w:fill="FFFFFF"/>
              <w:spacing w:line="265" w:lineRule="atLeast"/>
              <w:ind w:left="420"/>
              <w:jc w:val="both"/>
              <w:rPr>
                <w:rFonts w:hint="eastAsia" w:ascii="宋体" w:hAnsi="宋体" w:cs="宋体"/>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59"/>
              <w:shd w:val="clear" w:color="auto" w:fill="FFFFFF"/>
              <w:spacing w:line="265" w:lineRule="atLeast"/>
              <w:ind w:left="0" w:firstLine="480" w:firstLineChars="200"/>
              <w:rPr>
                <w:rFonts w:hint="eastAsia" w:ascii="宋体" w:hAnsi="宋体" w:cs="宋体"/>
                <w:color w:val="auto"/>
                <w:szCs w:val="21"/>
                <w:lang w:val="en-US" w:eastAsia="zh-CN"/>
              </w:rPr>
            </w:pPr>
          </w:p>
        </w:tc>
        <w:tc>
          <w:tcPr>
            <w:tcW w:w="3570" w:type="dxa"/>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9"/>
              <w:shd w:val="clear" w:color="auto" w:fill="FFFFFF"/>
              <w:spacing w:line="265" w:lineRule="atLeast"/>
              <w:ind w:left="0" w:firstLine="480" w:firstLineChars="200"/>
              <w:rPr>
                <w:rFonts w:hint="eastAsia" w:ascii="宋体" w:hAnsi="宋体" w:cs="宋体"/>
                <w:color w:val="auto"/>
                <w:lang w:val="en-US" w:eastAsia="zh-CN"/>
              </w:rPr>
            </w:pPr>
          </w:p>
        </w:tc>
        <w:tc>
          <w:tcPr>
            <w:tcW w:w="3570" w:type="dxa"/>
            <w:tcBorders>
              <w:bottom w:val="single" w:color="auto" w:sz="4" w:space="0"/>
            </w:tcBorders>
          </w:tcPr>
          <w:p>
            <w:pPr>
              <w:rPr>
                <w:rFonts w:hint="eastAsia" w:ascii="宋体" w:hAnsi="宋体" w:cs="宋体"/>
                <w:color w:val="auto"/>
              </w:rPr>
            </w:pPr>
          </w:p>
        </w:tc>
      </w:tr>
    </w:tbl>
    <w:p>
      <w:pPr>
        <w:rPr>
          <w:rFonts w:hint="eastAsia" w:ascii="宋体" w:hAnsi="宋体" w:cs="宋体"/>
          <w:color w:val="auto"/>
        </w:rPr>
      </w:pPr>
    </w:p>
    <w:p>
      <w:pPr>
        <w:ind w:firstLine="1080" w:firstLineChars="300"/>
        <w:jc w:val="center"/>
        <w:rPr>
          <w:rFonts w:hint="eastAsia" w:ascii="宋体" w:hAnsi="宋体" w:cs="宋体"/>
          <w:b/>
          <w:bCs/>
          <w:color w:val="auto"/>
          <w:sz w:val="32"/>
          <w:szCs w:val="32"/>
        </w:rPr>
      </w:pPr>
      <w:r>
        <w:rPr>
          <w:rFonts w:hint="eastAsia" w:ascii="宋体" w:hAns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hint="eastAsia" w:ascii="宋体" w:hAnsi="宋体" w:cs="宋体"/>
          <w:b/>
          <w:bCs/>
          <w:color w:val="auto"/>
          <w:sz w:val="32"/>
          <w:szCs w:val="32"/>
        </w:rPr>
      </w:pPr>
    </w:p>
    <w:p>
      <w:pPr>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0" w:firstLineChars="200"/>
        <w:rPr>
          <w:rFonts w:hint="eastAsia" w:ascii="宋体" w:hAns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hint="eastAsia" w:ascii="宋体" w:hAnsi="宋体" w:cs="宋体"/>
          <w:bCs/>
          <w:color w:val="auto"/>
          <w:sz w:val="24"/>
        </w:rPr>
      </w:pPr>
      <w:r>
        <w:rPr>
          <w:rFonts w:hint="eastAsia" w:ascii="宋体" w:hAnsi="宋体" w:cs="宋体"/>
          <w:color w:val="auto"/>
          <w:sz w:val="24"/>
        </w:rPr>
        <w:t>三、符合性检查响应对照表</w:t>
      </w:r>
    </w:p>
    <w:p>
      <w:pPr>
        <w:ind w:firstLine="480" w:firstLineChars="200"/>
        <w:rPr>
          <w:rFonts w:hint="eastAsia" w:ascii="宋体" w:hAnsi="宋体" w:cs="宋体"/>
          <w:color w:val="auto"/>
          <w:sz w:val="24"/>
        </w:rPr>
      </w:pPr>
      <w:r>
        <w:rPr>
          <w:rFonts w:hint="eastAsia" w:ascii="宋体" w:hAnsi="宋体" w:cs="宋体"/>
          <w:color w:val="auto"/>
          <w:sz w:val="24"/>
        </w:rPr>
        <w:t>四、投标函</w:t>
      </w:r>
    </w:p>
    <w:p>
      <w:pPr>
        <w:ind w:firstLine="480" w:firstLineChars="200"/>
        <w:rPr>
          <w:rFonts w:hint="eastAsia" w:ascii="宋体" w:hAns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hint="eastAsia" w:ascii="宋体" w:hAnsi="宋体" w:cs="宋体"/>
          <w:color w:val="auto"/>
          <w:sz w:val="24"/>
        </w:rPr>
      </w:pPr>
      <w:r>
        <w:rPr>
          <w:rFonts w:hint="eastAsia" w:ascii="宋体" w:hAnsi="宋体" w:cs="宋体"/>
          <w:color w:val="auto"/>
          <w:sz w:val="24"/>
        </w:rPr>
        <w:t>六、投标配置与分项报价表</w:t>
      </w:r>
    </w:p>
    <w:p>
      <w:pPr>
        <w:ind w:firstLine="480" w:firstLineChars="200"/>
        <w:rPr>
          <w:rFonts w:hint="eastAsia" w:ascii="宋体" w:hAns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hint="eastAsia" w:ascii="宋体" w:hAnsi="宋体" w:cs="宋体"/>
          <w:color w:val="auto"/>
          <w:sz w:val="24"/>
        </w:rPr>
      </w:pPr>
      <w:r>
        <w:rPr>
          <w:rFonts w:hint="eastAsia" w:ascii="宋体" w:hAnsi="宋体" w:cs="宋体"/>
          <w:color w:val="auto"/>
          <w:sz w:val="24"/>
        </w:rPr>
        <w:t>八、商务条款响应及偏离表</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九、技术方案、服务承诺等</w:t>
      </w: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pacing w:line="440" w:lineRule="exact"/>
        <w:ind w:firstLine="480" w:firstLineChars="200"/>
        <w:rPr>
          <w:rFonts w:hint="eastAsia" w:ascii="宋体" w:hAnsi="宋体" w:cs="宋体"/>
          <w:color w:val="auto"/>
          <w:sz w:val="24"/>
        </w:rPr>
      </w:pPr>
    </w:p>
    <w:p>
      <w:pPr>
        <w:snapToGrid w:val="0"/>
        <w:spacing w:before="50" w:after="50"/>
        <w:jc w:val="center"/>
        <w:rPr>
          <w:rFonts w:hint="eastAsia" w:ascii="宋体" w:hAnsi="宋体" w:cs="宋体"/>
          <w:b/>
          <w:bCs/>
          <w:color w:val="auto"/>
          <w:sz w:val="32"/>
          <w:szCs w:val="32"/>
        </w:rPr>
      </w:pPr>
      <w:r>
        <w:rPr>
          <w:rFonts w:hint="eastAsia" w:ascii="宋体" w:hAns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hint="eastAsia" w:ascii="宋体" w:hAnsi="宋体" w:cs="宋体"/>
          <w:i/>
          <w:color w:val="auto"/>
          <w:szCs w:val="24"/>
          <w:u w:val="single"/>
        </w:rPr>
      </w:pPr>
    </w:p>
    <w:p>
      <w:pPr>
        <w:snapToGrid w:val="0"/>
        <w:spacing w:before="50" w:after="50"/>
        <w:rPr>
          <w:rFonts w:hint="eastAsia" w:ascii="宋体" w:hAnsi="宋体" w:cs="宋体"/>
          <w:color w:val="auto"/>
          <w:sz w:val="24"/>
          <w:szCs w:val="20"/>
        </w:rPr>
      </w:pPr>
      <w:r>
        <w:rPr>
          <w:rFonts w:hint="eastAsia" w:ascii="宋体" w:hAnsi="宋体" w:cs="宋体"/>
          <w:color w:val="auto"/>
          <w:sz w:val="44"/>
        </w:rPr>
        <w:t xml:space="preserve"> </w:t>
      </w:r>
      <w:r>
        <w:rPr>
          <w:rFonts w:hint="eastAsia" w:ascii="宋体" w:hAnsi="宋体" w:cs="宋体"/>
          <w:b/>
          <w:bCs/>
          <w:color w:val="auto"/>
          <w:sz w:val="24"/>
        </w:rPr>
        <w:t>1、实质性资格证明文件目录</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文件1  </w:t>
      </w:r>
      <w:r>
        <w:rPr>
          <w:rFonts w:hint="eastAsia" w:ascii="宋体" w:hAnsi="宋体" w:cs="宋体"/>
          <w:color w:val="auto"/>
          <w:sz w:val="24"/>
        </w:rPr>
        <w:t>法人或者其他组织的营业执照等证明文件，自然人的身份证明（复印件）</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文件2  上一年度</w:t>
      </w:r>
      <w:r>
        <w:rPr>
          <w:rFonts w:hint="eastAsia" w:ascii="宋体" w:hAnsi="宋体" w:cs="宋体"/>
          <w:color w:val="auto"/>
          <w:sz w:val="24"/>
        </w:rPr>
        <w:t>财务状况报告（复印件，成立不满一年不需提供）</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文件3  </w:t>
      </w:r>
      <w:r>
        <w:rPr>
          <w:rFonts w:hint="eastAsia" w:ascii="宋体" w:hAnsi="宋体" w:cs="宋体"/>
          <w:color w:val="auto"/>
          <w:sz w:val="24"/>
        </w:rPr>
        <w:t>依法缴纳税收和社会保障资金的相关材料（复印件）</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文件4  </w:t>
      </w:r>
      <w:r>
        <w:rPr>
          <w:rFonts w:hint="eastAsia" w:ascii="宋体" w:hAnsi="宋体" w:cs="宋体"/>
          <w:color w:val="auto"/>
          <w:sz w:val="24"/>
        </w:rPr>
        <w:t>具备履行合同所必需的设备和专业技术能力</w:t>
      </w:r>
      <w:r>
        <w:rPr>
          <w:rFonts w:hint="eastAsia" w:ascii="宋体" w:hAnsi="宋体" w:cs="宋体"/>
          <w:color w:val="auto"/>
          <w:sz w:val="24"/>
          <w:szCs w:val="24"/>
        </w:rPr>
        <w:t>证明材料</w:t>
      </w:r>
    </w:p>
    <w:p>
      <w:pPr>
        <w:snapToGrid w:val="0"/>
        <w:ind w:firstLine="480" w:firstLineChars="200"/>
        <w:rPr>
          <w:rFonts w:hint="eastAsia" w:ascii="宋体" w:hAnsi="宋体" w:cs="宋体"/>
          <w:color w:val="auto"/>
          <w:sz w:val="24"/>
        </w:rPr>
      </w:pPr>
      <w:r>
        <w:rPr>
          <w:rFonts w:hint="eastAsia" w:ascii="宋体" w:hAnsi="宋体" w:cs="宋体"/>
          <w:color w:val="auto"/>
          <w:sz w:val="24"/>
          <w:szCs w:val="24"/>
        </w:rPr>
        <w:t xml:space="preserve">文件5 </w:t>
      </w:r>
      <w:r>
        <w:rPr>
          <w:rFonts w:hint="eastAsia" w:ascii="宋体" w:hAnsi="宋体" w:cs="宋体"/>
          <w:color w:val="auto"/>
          <w:sz w:val="24"/>
        </w:rPr>
        <w:t>参加政府采购活动前 3 年内在经营活动中没有重大违法记录的书面声明</w:t>
      </w:r>
    </w:p>
    <w:p>
      <w:pPr>
        <w:snapToGrid w:val="0"/>
        <w:spacing w:before="50" w:afterLines="50"/>
        <w:ind w:firstLine="480" w:firstLineChars="200"/>
        <w:jc w:val="left"/>
        <w:rPr>
          <w:rFonts w:hint="eastAsia" w:ascii="宋体" w:hAnsi="宋体" w:cs="宋体"/>
          <w:color w:val="auto"/>
          <w:sz w:val="24"/>
          <w:szCs w:val="24"/>
        </w:rPr>
      </w:pPr>
      <w:r>
        <w:rPr>
          <w:rFonts w:hint="eastAsia" w:ascii="宋体" w:hAnsi="宋体" w:cs="宋体"/>
          <w:color w:val="auto"/>
          <w:sz w:val="24"/>
        </w:rPr>
        <w:t>文件6 法人授权书</w:t>
      </w:r>
    </w:p>
    <w:p>
      <w:pPr>
        <w:snapToGrid w:val="0"/>
        <w:spacing w:before="50" w:afterLines="50"/>
        <w:ind w:left="239" w:leftChars="114" w:firstLine="240" w:firstLineChars="100"/>
        <w:jc w:val="left"/>
        <w:rPr>
          <w:rFonts w:hint="eastAsia" w:ascii="宋体" w:hAnsi="宋体" w:cs="宋体"/>
          <w:color w:val="auto"/>
          <w:sz w:val="24"/>
        </w:rPr>
      </w:pPr>
      <w:r>
        <w:rPr>
          <w:rFonts w:hint="eastAsia" w:ascii="宋体" w:hAnsi="宋体" w:cs="宋体"/>
          <w:color w:val="auto"/>
          <w:sz w:val="24"/>
          <w:szCs w:val="24"/>
        </w:rPr>
        <w:t>文件</w:t>
      </w:r>
      <w:r>
        <w:rPr>
          <w:rFonts w:hint="eastAsia" w:ascii="宋体" w:hAnsi="宋体" w:cs="宋体"/>
          <w:color w:val="auto"/>
          <w:szCs w:val="24"/>
        </w:rPr>
        <w:t xml:space="preserve">7  </w:t>
      </w:r>
      <w:r>
        <w:rPr>
          <w:rFonts w:hint="eastAsia" w:ascii="宋体" w:hAnsi="宋体" w:cs="宋体"/>
          <w:color w:val="auto"/>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4"/>
        <w:spacing w:line="0" w:lineRule="atLeast"/>
        <w:rPr>
          <w:rFonts w:hint="eastAsia" w:ascii="宋体" w:hAnsi="宋体" w:cs="宋体"/>
          <w:color w:val="auto"/>
          <w:sz w:val="24"/>
          <w:szCs w:val="24"/>
          <w:lang w:eastAsia="zh-CN"/>
        </w:rPr>
      </w:pPr>
    </w:p>
    <w:p>
      <w:pPr>
        <w:pStyle w:val="5"/>
        <w:jc w:val="center"/>
        <w:rPr>
          <w:rFonts w:hint="eastAsia" w:ascii="宋体" w:hAns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hint="eastAsia" w:ascii="宋体" w:hAns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color w:val="auto"/>
          <w:sz w:val="24"/>
        </w:rPr>
      </w:pPr>
      <w:r>
        <w:rPr>
          <w:rFonts w:hint="eastAsia" w:ascii="宋体" w:hAnsi="宋体" w:cs="宋体"/>
          <w:bCs/>
          <w:color w:val="auto"/>
          <w:sz w:val="24"/>
        </w:rPr>
        <w:t>主要设备有：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hint="eastAsia" w:ascii="宋体" w:hAnsi="宋体" w:cs="宋体"/>
          <w:bCs/>
          <w:color w:val="auto"/>
          <w:sz w:val="24"/>
        </w:rPr>
      </w:pPr>
      <w:r>
        <w:rPr>
          <w:rFonts w:hint="eastAsia" w:ascii="宋体" w:hAnsi="宋体" w:cs="宋体"/>
          <w:bCs/>
          <w:color w:val="auto"/>
          <w:sz w:val="24"/>
        </w:rPr>
        <w:t>主要专业技术能力有：</w:t>
      </w:r>
      <w:r>
        <w:rPr>
          <w:rFonts w:hint="eastAsia" w:ascii="宋体" w:hAnsi="宋体" w:cs="宋体"/>
          <w:bCs/>
          <w:color w:val="auto"/>
          <w:sz w:val="24"/>
          <w:u w:val="single"/>
        </w:rPr>
        <w:t xml:space="preserve">             </w:t>
      </w:r>
      <w:r>
        <w:rPr>
          <w:rFonts w:hint="eastAsia" w:ascii="宋体" w:hAnsi="宋体" w:cs="宋体"/>
          <w:bCs/>
          <w:color w:val="auto"/>
          <w:sz w:val="24"/>
        </w:rPr>
        <w:t>。</w:t>
      </w:r>
    </w:p>
    <w:p>
      <w:pPr>
        <w:spacing w:line="460" w:lineRule="exact"/>
        <w:ind w:firstLine="492"/>
        <w:rPr>
          <w:rFonts w:hint="eastAsia" w:ascii="宋体" w:hAnsi="宋体" w:cs="宋体"/>
          <w:bCs/>
          <w:color w:val="auto"/>
          <w:sz w:val="24"/>
        </w:rPr>
      </w:pPr>
    </w:p>
    <w:p>
      <w:pPr>
        <w:spacing w:line="460" w:lineRule="exact"/>
        <w:ind w:firstLine="492"/>
        <w:rPr>
          <w:rFonts w:hint="eastAsia" w:ascii="宋体" w:hAnsi="宋体" w:cs="宋体"/>
          <w:bCs/>
          <w:color w:val="auto"/>
          <w:sz w:val="24"/>
        </w:rPr>
      </w:pPr>
    </w:p>
    <w:p>
      <w:pPr>
        <w:spacing w:line="460" w:lineRule="exact"/>
        <w:ind w:firstLine="492"/>
        <w:rPr>
          <w:rFonts w:hint="eastAsia" w:ascii="宋体" w:hAnsi="宋体" w:cs="宋体"/>
          <w:bCs/>
          <w:color w:val="auto"/>
          <w:sz w:val="24"/>
        </w:rPr>
      </w:pPr>
    </w:p>
    <w:p>
      <w:pPr>
        <w:spacing w:line="460" w:lineRule="exact"/>
        <w:rPr>
          <w:rFonts w:hint="eastAsia"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hint="eastAsia" w:ascii="宋体" w:hAnsi="宋体" w:cs="宋体"/>
          <w:bCs/>
          <w:color w:val="auto"/>
          <w:sz w:val="24"/>
        </w:rPr>
      </w:pPr>
      <w:r>
        <w:rPr>
          <w:rFonts w:hint="eastAsia" w:ascii="宋体" w:hAnsi="宋体" w:cs="宋体"/>
          <w:bCs/>
          <w:color w:val="auto"/>
          <w:sz w:val="24"/>
        </w:rPr>
        <w:t xml:space="preserve">                                     </w:t>
      </w:r>
    </w:p>
    <w:p>
      <w:pPr>
        <w:spacing w:line="460" w:lineRule="exact"/>
        <w:rPr>
          <w:rFonts w:hint="eastAsia"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pStyle w:val="5"/>
        <w:jc w:val="center"/>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参加政府采购活动前 3 年内在经营活动中没有重大违法记录的书面声明</w:t>
      </w:r>
    </w:p>
    <w:p>
      <w:pPr>
        <w:spacing w:line="460" w:lineRule="exact"/>
        <w:rPr>
          <w:rFonts w:hint="eastAsia" w:ascii="宋体" w:hAnsi="宋体" w:cs="宋体"/>
          <w:b/>
          <w:bCs/>
          <w:color w:val="auto"/>
          <w:sz w:val="44"/>
          <w:szCs w:val="44"/>
        </w:rPr>
      </w:pPr>
      <w:r>
        <w:rPr>
          <w:rFonts w:hint="eastAsia" w:ascii="宋体" w:hAnsi="宋体" w:cs="宋体"/>
          <w:b/>
          <w:bCs/>
          <w:color w:val="auto"/>
          <w:sz w:val="24"/>
        </w:rPr>
        <w:t xml:space="preserve">                       </w:t>
      </w:r>
      <w:r>
        <w:rPr>
          <w:rFonts w:hint="eastAsia" w:ascii="宋体" w:hAnsi="宋体" w:cs="宋体"/>
          <w:b/>
          <w:bCs/>
          <w:color w:val="auto"/>
          <w:sz w:val="44"/>
          <w:szCs w:val="44"/>
        </w:rPr>
        <w:t xml:space="preserve">   </w:t>
      </w:r>
    </w:p>
    <w:p>
      <w:pPr>
        <w:spacing w:line="460" w:lineRule="exact"/>
        <w:rPr>
          <w:rFonts w:hint="eastAsia" w:ascii="宋体" w:hAnsi="宋体" w:cs="宋体"/>
          <w:b/>
          <w:bCs/>
          <w:color w:val="auto"/>
          <w:sz w:val="44"/>
          <w:szCs w:val="44"/>
        </w:rPr>
      </w:pPr>
      <w:r>
        <w:rPr>
          <w:rFonts w:hint="eastAsia" w:ascii="宋体" w:hAnsi="宋体" w:cs="宋体"/>
          <w:b/>
          <w:bCs/>
          <w:color w:val="auto"/>
          <w:sz w:val="44"/>
          <w:szCs w:val="44"/>
        </w:rPr>
        <w:t xml:space="preserve">                   声  明</w:t>
      </w:r>
    </w:p>
    <w:p>
      <w:pPr>
        <w:spacing w:line="460" w:lineRule="exact"/>
        <w:rPr>
          <w:rFonts w:hint="eastAsia" w:ascii="宋体" w:hAnsi="宋体" w:cs="宋体"/>
          <w:bCs/>
          <w:color w:val="auto"/>
          <w:sz w:val="24"/>
        </w:rPr>
      </w:pPr>
      <w:r>
        <w:rPr>
          <w:rFonts w:hint="eastAsia" w:ascii="宋体" w:hAnsi="宋体" w:cs="宋体"/>
          <w:b/>
          <w:bCs/>
          <w:color w:val="auto"/>
          <w:sz w:val="24"/>
        </w:rPr>
        <w:t xml:space="preserve">    </w:t>
      </w:r>
      <w:r>
        <w:rPr>
          <w:rFonts w:hint="eastAsia" w:ascii="宋体" w:hAnsi="宋体" w:cs="宋体"/>
          <w:bCs/>
          <w:color w:val="auto"/>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color w:val="auto"/>
          <w:sz w:val="24"/>
        </w:rPr>
      </w:pPr>
      <w:r>
        <w:rPr>
          <w:rFonts w:hint="eastAsia" w:ascii="宋体" w:hAnsi="宋体" w:cs="宋体"/>
          <w:bCs/>
          <w:color w:val="auto"/>
          <w:sz w:val="24"/>
        </w:rPr>
        <w:t xml:space="preserve">                                      供应商名称（公章）：</w:t>
      </w:r>
    </w:p>
    <w:p>
      <w:pPr>
        <w:spacing w:line="460" w:lineRule="exact"/>
        <w:rPr>
          <w:rFonts w:hint="eastAsia" w:ascii="宋体" w:hAnsi="宋体" w:cs="宋体"/>
          <w:bCs/>
          <w:color w:val="auto"/>
          <w:sz w:val="24"/>
        </w:rPr>
      </w:pPr>
      <w:r>
        <w:rPr>
          <w:rFonts w:hint="eastAsia" w:ascii="宋体" w:hAnsi="宋体" w:cs="宋体"/>
          <w:bCs/>
          <w:color w:val="auto"/>
          <w:sz w:val="24"/>
        </w:rPr>
        <w:t xml:space="preserve">                                      授权代表签字：</w:t>
      </w:r>
      <w:r>
        <w:rPr>
          <w:rFonts w:hint="eastAsia" w:ascii="宋体" w:hAnsi="宋体" w:cs="宋体"/>
          <w:bCs/>
          <w:color w:val="auto"/>
          <w:sz w:val="24"/>
          <w:u w:val="single"/>
        </w:rPr>
        <w:t>______________</w:t>
      </w:r>
    </w:p>
    <w:p>
      <w:pPr>
        <w:spacing w:line="460" w:lineRule="exact"/>
        <w:rPr>
          <w:rFonts w:hint="eastAsia" w:ascii="宋体" w:hAnsi="宋体" w:cs="宋体"/>
          <w:bCs/>
          <w:color w:val="auto"/>
          <w:sz w:val="24"/>
        </w:rPr>
      </w:pPr>
      <w:r>
        <w:rPr>
          <w:rFonts w:hint="eastAsia" w:ascii="宋体" w:hAnsi="宋体" w:cs="宋体"/>
          <w:bCs/>
          <w:color w:val="auto"/>
          <w:sz w:val="24"/>
        </w:rPr>
        <w:t xml:space="preserve">                                      日期：</w:t>
      </w:r>
      <w:r>
        <w:rPr>
          <w:rFonts w:hint="eastAsia" w:ascii="宋体" w:hAnsi="宋体" w:cs="宋体"/>
          <w:bCs/>
          <w:color w:val="auto"/>
          <w:sz w:val="24"/>
          <w:u w:val="single"/>
        </w:rPr>
        <w:t>______</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w:t>
      </w: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pStyle w:val="5"/>
        <w:jc w:val="center"/>
        <w:rPr>
          <w:rFonts w:hint="eastAsia" w:ascii="宋体" w:hAnsi="宋体" w:cs="宋体"/>
          <w:color w:val="auto"/>
          <w:sz w:val="24"/>
          <w:szCs w:val="24"/>
        </w:rPr>
      </w:pPr>
      <w:r>
        <w:rPr>
          <w:rFonts w:hint="eastAsia" w:ascii="宋体" w:hAnsi="宋体" w:cs="宋体"/>
          <w:color w:val="auto"/>
          <w:sz w:val="24"/>
          <w:szCs w:val="24"/>
        </w:rPr>
        <w:t>法人授权书</w:t>
      </w:r>
    </w:p>
    <w:p>
      <w:pPr>
        <w:pStyle w:val="84"/>
        <w:ind w:firstLine="480"/>
        <w:rPr>
          <w:rFonts w:hint="eastAsia"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 xml:space="preserve">            </w:t>
      </w:r>
      <w:r>
        <w:rPr>
          <w:rFonts w:hint="eastAsia" w:ascii="宋体" w:hAnsi="宋体" w:cs="宋体"/>
          <w:color w:val="auto"/>
          <w:sz w:val="24"/>
          <w:szCs w:val="24"/>
        </w:rPr>
        <w:t>号项目采购活动的合法代理人，以本公司名义全权处理一切与该项目采购有关的事务。</w:t>
      </w:r>
    </w:p>
    <w:p>
      <w:pPr>
        <w:pStyle w:val="84"/>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代理人（被授权人）：_______________________</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w:t>
      </w: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4"/>
        <w:ind w:firstLine="480"/>
        <w:rPr>
          <w:rFonts w:hint="eastAsia" w:ascii="宋体" w:hAnsi="宋体" w:cs="宋体"/>
          <w:color w:val="auto"/>
          <w:sz w:val="24"/>
          <w:szCs w:val="24"/>
        </w:rPr>
      </w:pPr>
    </w:p>
    <w:p>
      <w:pPr>
        <w:pStyle w:val="84"/>
        <w:ind w:firstLine="0" w:firstLineChars="0"/>
        <w:rPr>
          <w:rFonts w:hint="eastAsia" w:ascii="宋体" w:hAnsi="宋体" w:cs="宋体"/>
          <w:color w:val="auto"/>
          <w:sz w:val="24"/>
          <w:szCs w:val="24"/>
        </w:rPr>
      </w:pPr>
      <w:r>
        <w:rPr>
          <w:rFonts w:hint="eastAsia" w:ascii="宋体" w:hAnsi="宋体" w:cs="宋体"/>
          <w:color w:val="auto"/>
          <w:sz w:val="24"/>
          <w:szCs w:val="24"/>
        </w:rPr>
        <w:t xml:space="preserve">          授权单位盖章：_________________________________</w:t>
      </w:r>
    </w:p>
    <w:p>
      <w:pPr>
        <w:pStyle w:val="84"/>
        <w:ind w:firstLine="480"/>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84"/>
        <w:ind w:firstLine="480"/>
        <w:rPr>
          <w:rFonts w:hint="eastAsia" w:ascii="宋体" w:hAnsi="宋体" w:cs="宋体"/>
          <w:color w:val="auto"/>
          <w:sz w:val="24"/>
          <w:szCs w:val="24"/>
          <w:u w:val="single"/>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p>
    <w:p>
      <w:pPr>
        <w:pStyle w:val="84"/>
        <w:ind w:firstLine="480"/>
        <w:rPr>
          <w:rFonts w:hint="eastAsia" w:ascii="宋体" w:hAnsi="宋体" w:cs="宋体"/>
          <w:color w:val="auto"/>
          <w:sz w:val="24"/>
          <w:szCs w:val="24"/>
        </w:rPr>
      </w:pPr>
      <w:r>
        <w:rPr>
          <w:rFonts w:hint="eastAsia" w:ascii="宋体" w:hAnsi="宋体" w:cs="宋体"/>
          <w:color w:val="auto"/>
          <w:sz w:val="24"/>
          <w:szCs w:val="24"/>
        </w:rPr>
        <w:t xml:space="preserve">      日期：                    </w:t>
      </w:r>
    </w:p>
    <w:p>
      <w:pPr>
        <w:pStyle w:val="5"/>
        <w:rPr>
          <w:rFonts w:hint="eastAsia" w:ascii="宋体" w:hAnsi="宋体" w:cs="宋体"/>
          <w:color w:val="auto"/>
        </w:rPr>
      </w:pPr>
      <w:bookmarkStart w:id="167" w:name="_格式3__银行出具的资信证明"/>
      <w:bookmarkEnd w:id="167"/>
      <w:bookmarkStart w:id="168" w:name="_Hlt26671380"/>
      <w:bookmarkEnd w:id="168"/>
      <w:bookmarkStart w:id="169" w:name="_Hlt26955070"/>
      <w:bookmarkEnd w:id="169"/>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pStyle w:val="4"/>
        <w:rPr>
          <w:rFonts w:hint="eastAsia" w:ascii="宋体" w:hAnsi="宋体" w:cs="宋体"/>
          <w:color w:val="auto"/>
          <w:lang w:val="en-US" w:eastAsia="zh-CN"/>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pacing w:line="460" w:lineRule="exact"/>
        <w:rPr>
          <w:rFonts w:hint="eastAsia" w:ascii="宋体" w:hAnsi="宋体" w:cs="宋体"/>
          <w:bCs/>
          <w:color w:val="auto"/>
          <w:sz w:val="24"/>
        </w:rPr>
      </w:pPr>
    </w:p>
    <w:p>
      <w:pPr>
        <w:snapToGrid w:val="0"/>
        <w:spacing w:before="50" w:after="50"/>
        <w:jc w:val="center"/>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color w:val="auto"/>
          <w:sz w:val="32"/>
          <w:szCs w:val="32"/>
        </w:rPr>
        <w:t>二、资格性审查响应对照表（格式）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是否响应</w:t>
            </w:r>
          </w:p>
          <w:p>
            <w:pPr>
              <w:snapToGrid w:val="0"/>
              <w:spacing w:line="240" w:lineRule="atLeast"/>
              <w:jc w:val="center"/>
              <w:rPr>
                <w:rFonts w:hint="eastAsia"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投标文件中的</w:t>
            </w:r>
          </w:p>
          <w:p>
            <w:pPr>
              <w:snapToGrid w:val="0"/>
              <w:spacing w:line="240" w:lineRule="atLeast"/>
              <w:jc w:val="center"/>
              <w:rPr>
                <w:rFonts w:hint="eastAsia"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b/>
                <w:color w:val="auto"/>
              </w:rPr>
            </w:pPr>
            <w:r>
              <w:rPr>
                <w:rFonts w:hint="eastAsia" w:ascii="宋体" w:hAnsi="宋体" w:cs="宋体"/>
                <w:b/>
                <w:color w:val="auto"/>
              </w:rPr>
              <w:t>1</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b/>
                <w:color w:val="auto"/>
              </w:rPr>
            </w:pPr>
          </w:p>
        </w:tc>
        <w:tc>
          <w:tcPr>
            <w:tcW w:w="1785" w:type="dxa"/>
            <w:vAlign w:val="center"/>
          </w:tcPr>
          <w:p>
            <w:pPr>
              <w:rPr>
                <w:rFonts w:hint="eastAsia"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2</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3</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4</w:t>
            </w:r>
          </w:p>
        </w:tc>
        <w:tc>
          <w:tcPr>
            <w:tcW w:w="5447" w:type="dxa"/>
            <w:vAlign w:val="center"/>
          </w:tcPr>
          <w:p>
            <w:pPr>
              <w:spacing w:line="360" w:lineRule="auto"/>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bl>
    <w:p>
      <w:pPr>
        <w:spacing w:line="440" w:lineRule="exact"/>
        <w:ind w:firstLine="480" w:firstLineChars="200"/>
        <w:rPr>
          <w:rFonts w:hint="eastAsia" w:ascii="宋体" w:hAnsi="宋体" w:cs="宋体"/>
          <w:color w:val="auto"/>
          <w:sz w:val="24"/>
        </w:rPr>
      </w:pPr>
    </w:p>
    <w:bookmarkEnd w:id="164"/>
    <w:bookmarkEnd w:id="165"/>
    <w:bookmarkEnd w:id="166"/>
    <w:p>
      <w:pPr>
        <w:snapToGrid w:val="0"/>
        <w:spacing w:before="50" w:after="50"/>
        <w:rPr>
          <w:rFonts w:hint="eastAsia" w:ascii="宋体" w:hAnsi="宋体" w:cs="宋体"/>
          <w:color w:val="auto"/>
          <w:sz w:val="44"/>
        </w:rPr>
      </w:pPr>
      <w:r>
        <w:rPr>
          <w:rFonts w:hint="eastAsia" w:ascii="宋体" w:hAnsi="宋体" w:cs="宋体"/>
          <w:color w:val="auto"/>
          <w:sz w:val="44"/>
        </w:rPr>
        <w:t xml:space="preserve"> </w:t>
      </w: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三、符合性检查响应对照表（格式）</w:t>
      </w:r>
    </w:p>
    <w:p>
      <w:pPr>
        <w:ind w:firstLine="309"/>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是否响应</w:t>
            </w:r>
          </w:p>
          <w:p>
            <w:pPr>
              <w:snapToGrid w:val="0"/>
              <w:spacing w:line="240" w:lineRule="atLeast"/>
              <w:jc w:val="center"/>
              <w:rPr>
                <w:rFonts w:hint="eastAsia" w:ascii="宋体" w:hAns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hint="eastAsia" w:ascii="宋体" w:hAnsi="宋体" w:cs="宋体"/>
                <w:b/>
                <w:color w:val="auto"/>
              </w:rPr>
            </w:pPr>
            <w:r>
              <w:rPr>
                <w:rFonts w:hint="eastAsia" w:ascii="宋体" w:hAnsi="宋体" w:cs="宋体"/>
                <w:b/>
                <w:color w:val="auto"/>
              </w:rPr>
              <w:t>投标文件中的</w:t>
            </w:r>
          </w:p>
          <w:p>
            <w:pPr>
              <w:snapToGrid w:val="0"/>
              <w:spacing w:line="240" w:lineRule="atLeast"/>
              <w:jc w:val="center"/>
              <w:rPr>
                <w:rFonts w:hint="eastAsia" w:ascii="宋体" w:hAns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b/>
                <w:color w:val="auto"/>
              </w:rPr>
            </w:pPr>
            <w:r>
              <w:rPr>
                <w:rFonts w:hint="eastAsia" w:ascii="宋体" w:hAnsi="宋体" w:cs="宋体"/>
                <w:b/>
                <w:color w:val="auto"/>
              </w:rPr>
              <w:t>1</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b/>
                <w:color w:val="auto"/>
              </w:rPr>
            </w:pPr>
          </w:p>
        </w:tc>
        <w:tc>
          <w:tcPr>
            <w:tcW w:w="1785" w:type="dxa"/>
            <w:vAlign w:val="center"/>
          </w:tcPr>
          <w:p>
            <w:pPr>
              <w:rPr>
                <w:rFonts w:hint="eastAsia"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2</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3</w:t>
            </w:r>
          </w:p>
        </w:tc>
        <w:tc>
          <w:tcPr>
            <w:tcW w:w="5447" w:type="dxa"/>
            <w:vAlign w:val="center"/>
          </w:tcPr>
          <w:p>
            <w:pPr>
              <w:spacing w:line="480" w:lineRule="exac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4</w:t>
            </w:r>
          </w:p>
        </w:tc>
        <w:tc>
          <w:tcPr>
            <w:tcW w:w="5447" w:type="dxa"/>
            <w:vAlign w:val="center"/>
          </w:tcPr>
          <w:p>
            <w:pPr>
              <w:spacing w:line="360" w:lineRule="auto"/>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5</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6</w:t>
            </w:r>
          </w:p>
        </w:tc>
        <w:tc>
          <w:tcPr>
            <w:tcW w:w="5447" w:type="dxa"/>
            <w:vAlign w:val="center"/>
          </w:tcPr>
          <w:p>
            <w:pPr>
              <w:snapToGrid w:val="0"/>
              <w:spacing w:line="590" w:lineRule="atLeast"/>
              <w:rPr>
                <w:rFonts w:hint="eastAsia" w:ascii="宋体" w:hAnsi="宋体" w:cs="宋体"/>
                <w:iCs/>
                <w:color w:val="auto"/>
                <w:sz w:val="24"/>
                <w:szCs w:val="24"/>
              </w:rPr>
            </w:pP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hint="eastAsia" w:ascii="宋体" w:hAnsi="宋体" w:cs="宋体"/>
                <w:color w:val="auto"/>
              </w:rPr>
            </w:pPr>
            <w:r>
              <w:rPr>
                <w:rFonts w:hint="eastAsia" w:ascii="宋体" w:hAnsi="宋体" w:cs="宋体"/>
                <w:color w:val="auto"/>
              </w:rPr>
              <w:t>7</w:t>
            </w:r>
          </w:p>
        </w:tc>
        <w:tc>
          <w:tcPr>
            <w:tcW w:w="5447" w:type="dxa"/>
            <w:vAlign w:val="center"/>
          </w:tcPr>
          <w:p>
            <w:pPr>
              <w:snapToGrid w:val="0"/>
              <w:spacing w:line="590" w:lineRule="atLeast"/>
              <w:rPr>
                <w:rFonts w:hint="eastAsia" w:ascii="宋体" w:hAns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hint="eastAsia" w:ascii="宋体" w:hAnsi="宋体" w:cs="宋体"/>
                <w:color w:val="auto"/>
              </w:rPr>
            </w:pPr>
          </w:p>
        </w:tc>
        <w:tc>
          <w:tcPr>
            <w:tcW w:w="1785" w:type="dxa"/>
            <w:vAlign w:val="center"/>
          </w:tcPr>
          <w:p>
            <w:pPr>
              <w:rPr>
                <w:rFonts w:hint="eastAsia" w:ascii="宋体" w:hAnsi="宋体" w:cs="宋体"/>
                <w:color w:val="auto"/>
              </w:rPr>
            </w:pPr>
          </w:p>
        </w:tc>
      </w:tr>
    </w:tbl>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44"/>
        </w:rPr>
      </w:pPr>
    </w:p>
    <w:p>
      <w:pPr>
        <w:snapToGrid w:val="0"/>
        <w:spacing w:before="50" w:after="50"/>
        <w:rPr>
          <w:rFonts w:hint="eastAsia" w:ascii="宋体" w:hAnsi="宋体" w:cs="宋体"/>
          <w:color w:val="auto"/>
          <w:sz w:val="24"/>
          <w:szCs w:val="24"/>
        </w:rPr>
      </w:pPr>
      <w:bookmarkStart w:id="170" w:name="_Toc120614284"/>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四、投标函（格式）</w:t>
      </w:r>
    </w:p>
    <w:p>
      <w:pPr>
        <w:pStyle w:val="68"/>
        <w:spacing w:before="0" w:after="0" w:line="420" w:lineRule="exact"/>
        <w:ind w:firstLine="0"/>
        <w:rPr>
          <w:rFonts w:hint="eastAsia" w:ascii="宋体" w:hAns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根据贵方的</w:t>
      </w:r>
      <w:r>
        <w:rPr>
          <w:rFonts w:hint="eastAsia" w:ascii="宋体" w:hAnsi="宋体" w:cs="宋体"/>
          <w:b/>
          <w:color w:val="auto"/>
          <w:sz w:val="36"/>
          <w:u w:val="single"/>
        </w:rPr>
        <w:t xml:space="preserve">           </w:t>
      </w:r>
      <w:r>
        <w:rPr>
          <w:rFonts w:hint="eastAsia" w:ascii="宋体" w:hAnsi="宋体" w:cs="宋体"/>
          <w:color w:val="auto"/>
          <w:kern w:val="2"/>
          <w:szCs w:val="21"/>
        </w:rPr>
        <w:t>号招标文件，正式授权下述签字人_________________(姓名)代表我方______________（投标人的名称），全权处理本次项目投标的有关事宜。</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据此函，__________签字人兹宣布同意如下：</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1.按招标文件规定的各项要求，向买方提供所需货物与服务。</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2.我们完全理解贵方不一定将合同授予最低报价的投标人。</w:t>
      </w:r>
    </w:p>
    <w:p>
      <w:pPr>
        <w:pStyle w:val="68"/>
        <w:spacing w:before="0" w:after="0" w:line="420" w:lineRule="exact"/>
        <w:ind w:firstLineChars="200"/>
        <w:rPr>
          <w:rFonts w:hint="eastAsia" w:ascii="宋体" w:hAnsi="宋体" w:cs="宋体"/>
          <w:color w:val="auto"/>
          <w:kern w:val="2"/>
          <w:szCs w:val="21"/>
        </w:rPr>
      </w:pPr>
      <w:r>
        <w:rPr>
          <w:rFonts w:hint="eastAsia" w:ascii="宋体" w:hAnsi="宋体" w:cs="宋体"/>
          <w:color w:val="auto"/>
          <w:kern w:val="2"/>
          <w:szCs w:val="21"/>
        </w:rPr>
        <w:t>3.我们已详细审核全部招标文件及其有效补充文件，我们知道必须放弃提出含糊不清或误解问题的权利。</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4.我们同意从规定的开标日期起遵循本投标文件，并在规定的投标有效期期满之前均具有约束力。</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5.如果在开标后规定的投标有效期内撤回投标或中标后拒绝签订合同，我们的投标保证金可不予退还。</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68"/>
        <w:spacing w:before="0" w:after="0" w:line="420" w:lineRule="exact"/>
        <w:rPr>
          <w:rFonts w:hint="eastAsia" w:ascii="宋体" w:hAnsi="宋体" w:cs="宋体"/>
          <w:color w:val="auto"/>
          <w:kern w:val="2"/>
          <w:szCs w:val="21"/>
        </w:rPr>
      </w:pPr>
      <w:r>
        <w:rPr>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68"/>
        <w:spacing w:before="0" w:after="0" w:line="420" w:lineRule="exact"/>
        <w:ind w:left="425" w:firstLine="0"/>
        <w:rPr>
          <w:rFonts w:hint="eastAsia" w:ascii="宋体" w:hAnsi="宋体" w:cs="宋体"/>
          <w:color w:val="auto"/>
          <w:kern w:val="2"/>
          <w:szCs w:val="21"/>
        </w:rPr>
      </w:pPr>
      <w:r>
        <w:rPr>
          <w:rFonts w:hint="eastAsia" w:ascii="宋体" w:hAnsi="宋体" w:cs="宋体"/>
          <w:color w:val="auto"/>
          <w:kern w:val="2"/>
          <w:szCs w:val="21"/>
        </w:rPr>
        <w:t>8.与本投标有关的正式通讯地址为：</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地          址：</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邮          编：</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电          话：</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传          真：</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投标人开户行：</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账          户：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投标人授权代表姓名（签字）：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 xml:space="preserve">投标人名称（公章）： </w:t>
      </w:r>
    </w:p>
    <w:p>
      <w:pPr>
        <w:pStyle w:val="68"/>
        <w:spacing w:before="0" w:after="0" w:line="420" w:lineRule="exact"/>
        <w:ind w:left="420" w:leftChars="200" w:firstLineChars="200"/>
        <w:rPr>
          <w:rFonts w:hint="eastAsia" w:ascii="宋体" w:hAnsi="宋体" w:cs="宋体"/>
          <w:color w:val="auto"/>
          <w:kern w:val="2"/>
          <w:szCs w:val="21"/>
        </w:rPr>
      </w:pPr>
      <w:r>
        <w:rPr>
          <w:rFonts w:hint="eastAsia" w:ascii="宋体" w:hAnsi="宋体" w:cs="宋体"/>
          <w:color w:val="auto"/>
          <w:kern w:val="2"/>
          <w:szCs w:val="21"/>
        </w:rPr>
        <w:t>日           期：________年____月____日</w:t>
      </w:r>
    </w:p>
    <w:p>
      <w:pPr>
        <w:snapToGrid w:val="0"/>
        <w:spacing w:before="50" w:afterLines="50"/>
        <w:jc w:val="left"/>
        <w:rPr>
          <w:rFonts w:hint="eastAsia" w:ascii="宋体" w:hAnsi="宋体" w:cs="宋体"/>
          <w:color w:val="auto"/>
          <w:sz w:val="24"/>
          <w:szCs w:val="20"/>
        </w:rPr>
      </w:pPr>
      <w:r>
        <w:rPr>
          <w:rFonts w:hint="eastAsia" w:ascii="宋体" w:hAnsi="宋体" w:cs="宋体"/>
          <w:color w:val="auto"/>
          <w:sz w:val="44"/>
        </w:rPr>
        <w:t xml:space="preserve">          </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五、开标一览表（格式）</w:t>
      </w:r>
    </w:p>
    <w:p>
      <w:pPr>
        <w:snapToGrid w:val="0"/>
        <w:spacing w:before="50" w:after="50"/>
        <w:jc w:val="center"/>
        <w:rPr>
          <w:rFonts w:hint="eastAsia" w:ascii="宋体" w:hAnsi="宋体" w:cs="宋体"/>
          <w:color w:val="auto"/>
          <w:sz w:val="32"/>
          <w:szCs w:val="32"/>
        </w:rPr>
      </w:pPr>
    </w:p>
    <w:tbl>
      <w:tblPr>
        <w:tblStyle w:val="44"/>
        <w:tblW w:w="9007"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hint="eastAsia" w:ascii="宋体" w:hAnsi="宋体" w:cs="宋体"/>
                <w:b/>
                <w:bCs/>
                <w:color w:val="auto"/>
                <w:sz w:val="28"/>
                <w:szCs w:val="28"/>
              </w:rPr>
            </w:pPr>
            <w:r>
              <w:rPr>
                <w:rFonts w:hint="eastAsia" w:ascii="宋体" w:hAnsi="宋体" w:cs="宋体"/>
                <w:b/>
                <w:bCs/>
                <w:color w:val="auto"/>
                <w:sz w:val="28"/>
                <w:szCs w:val="28"/>
              </w:rPr>
              <w:t>项 目 编 号</w:t>
            </w:r>
          </w:p>
        </w:tc>
        <w:tc>
          <w:tcPr>
            <w:tcW w:w="6307" w:type="dxa"/>
            <w:vAlign w:val="center"/>
          </w:tcPr>
          <w:p>
            <w:pPr>
              <w:pStyle w:val="3"/>
              <w:spacing w:line="240" w:lineRule="auto"/>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2019-009S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hint="eastAsia" w:ascii="宋体" w:hAnsi="宋体" w:cs="宋体"/>
                <w:b/>
                <w:bCs/>
                <w:color w:val="auto"/>
                <w:sz w:val="28"/>
                <w:szCs w:val="28"/>
              </w:rPr>
            </w:pPr>
            <w:r>
              <w:rPr>
                <w:rFonts w:hint="eastAsia" w:ascii="宋体" w:hAnsi="宋体" w:cs="宋体"/>
                <w:b/>
                <w:bCs/>
                <w:color w:val="auto"/>
                <w:sz w:val="28"/>
                <w:szCs w:val="28"/>
              </w:rPr>
              <w:t>项 目 名 称</w:t>
            </w:r>
          </w:p>
        </w:tc>
        <w:tc>
          <w:tcPr>
            <w:tcW w:w="6307" w:type="dxa"/>
            <w:vAlign w:val="center"/>
          </w:tcPr>
          <w:p>
            <w:pPr>
              <w:pStyle w:val="3"/>
              <w:spacing w:line="24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盐城工业职业技术学院车辆租赁服务项目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9007" w:type="dxa"/>
            <w:gridSpan w:val="2"/>
            <w:vAlign w:val="center"/>
          </w:tcPr>
          <w:p>
            <w:pPr>
              <w:jc w:val="left"/>
              <w:rPr>
                <w:rFonts w:hint="eastAsia" w:ascii="宋体" w:hAnsi="宋体" w:cs="宋体"/>
                <w:color w:val="auto"/>
                <w:sz w:val="24"/>
              </w:rPr>
            </w:pPr>
            <w:r>
              <w:rPr>
                <w:rFonts w:hint="eastAsia" w:ascii="宋体" w:hAnsi="宋体" w:cs="宋体"/>
                <w:b/>
                <w:bCs/>
                <w:color w:val="auto"/>
                <w:sz w:val="24"/>
                <w:szCs w:val="24"/>
              </w:rPr>
              <w:t>项目投标报价：详见投标产品配置及分项报价表。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hint="eastAsia" w:ascii="宋体" w:hAnsi="宋体" w:cs="宋体"/>
                <w:b/>
                <w:bCs/>
                <w:color w:val="auto"/>
                <w:szCs w:val="28"/>
              </w:rPr>
            </w:pPr>
            <w:r>
              <w:rPr>
                <w:rFonts w:hint="eastAsia" w:ascii="宋体" w:hAnsi="宋体" w:cs="宋体"/>
                <w:b/>
                <w:bCs/>
                <w:color w:val="auto"/>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hint="eastAsia" w:ascii="宋体" w:hAnsi="宋体" w:cs="宋体"/>
                <w:b/>
                <w:bCs/>
                <w:color w:val="auto"/>
                <w:szCs w:val="28"/>
              </w:rPr>
            </w:pPr>
            <w:r>
              <w:rPr>
                <w:rFonts w:hint="eastAsia" w:ascii="宋体" w:hAnsi="宋体" w:cs="宋体"/>
                <w:b/>
                <w:bCs/>
                <w:color w:val="auto"/>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9007" w:type="dxa"/>
            <w:gridSpan w:val="2"/>
            <w:vAlign w:val="center"/>
          </w:tcPr>
          <w:p>
            <w:pPr>
              <w:rPr>
                <w:rFonts w:hint="eastAsia" w:ascii="宋体" w:hAnsi="宋体" w:cs="宋体"/>
                <w:color w:val="auto"/>
                <w:szCs w:val="28"/>
              </w:rPr>
            </w:pPr>
            <w:r>
              <w:rPr>
                <w:rFonts w:hint="eastAsia" w:ascii="宋体" w:hAnsi="宋体" w:cs="宋体"/>
                <w:b/>
                <w:bCs/>
                <w:color w:val="auto"/>
                <w:szCs w:val="28"/>
              </w:rPr>
              <w:t>保证金形式：</w:t>
            </w:r>
          </w:p>
        </w:tc>
      </w:tr>
    </w:tbl>
    <w:p>
      <w:pPr>
        <w:rPr>
          <w:rFonts w:hint="eastAsia" w:ascii="宋体" w:hAnsi="宋体" w:cs="宋体"/>
          <w:color w:val="auto"/>
          <w:sz w:val="24"/>
        </w:rPr>
      </w:pPr>
      <w:r>
        <w:rPr>
          <w:rFonts w:hint="eastAsia" w:ascii="宋体" w:hAnsi="宋体" w:cs="宋体"/>
          <w:color w:val="auto"/>
          <w:sz w:val="24"/>
        </w:rPr>
        <w:t>填写说明：</w:t>
      </w:r>
    </w:p>
    <w:p>
      <w:pPr>
        <w:rPr>
          <w:rFonts w:hint="eastAsia" w:ascii="宋体" w:hAnsi="宋体" w:cs="宋体"/>
          <w:color w:val="auto"/>
          <w:sz w:val="24"/>
        </w:rPr>
      </w:pPr>
      <w:r>
        <w:rPr>
          <w:rFonts w:hint="eastAsia" w:ascii="宋体" w:hAnsi="宋体" w:cs="宋体"/>
          <w:color w:val="auto"/>
          <w:sz w:val="24"/>
        </w:rPr>
        <w:t>1、开标一览表不得填报选择性报价，否则将作为无效投标；</w:t>
      </w:r>
    </w:p>
    <w:p>
      <w:pPr>
        <w:rPr>
          <w:rFonts w:hint="eastAsia" w:ascii="宋体" w:hAnsi="宋体" w:cs="宋体"/>
          <w:color w:val="auto"/>
          <w:sz w:val="24"/>
        </w:rPr>
      </w:pPr>
      <w:r>
        <w:rPr>
          <w:rFonts w:hint="eastAsia" w:ascii="宋体" w:hAnsi="宋体" w:cs="宋体"/>
          <w:color w:val="auto"/>
          <w:sz w:val="24"/>
        </w:rPr>
        <w:t>2、开标一览表中报价与投标分项明细报价表中不符时时，以开标一览表为准；</w:t>
      </w:r>
    </w:p>
    <w:p>
      <w:pPr>
        <w:rPr>
          <w:rFonts w:hint="eastAsia" w:ascii="宋体" w:hAnsi="宋体" w:cs="宋体"/>
          <w:color w:val="auto"/>
          <w:sz w:val="24"/>
        </w:rPr>
      </w:pPr>
    </w:p>
    <w:p>
      <w:pPr>
        <w:ind w:firstLine="480"/>
        <w:rPr>
          <w:rFonts w:hint="eastAsia" w:ascii="宋体" w:hAnsi="宋体" w:cs="宋体"/>
          <w:color w:val="auto"/>
          <w:sz w:val="24"/>
        </w:rPr>
      </w:pPr>
    </w:p>
    <w:p>
      <w:pPr>
        <w:ind w:firstLine="480"/>
        <w:jc w:val="right"/>
        <w:rPr>
          <w:rFonts w:hint="eastAsia" w:ascii="宋体" w:hAnsi="宋体" w:cs="宋体"/>
          <w:color w:val="auto"/>
          <w:sz w:val="24"/>
        </w:rPr>
      </w:pPr>
      <w:r>
        <w:rPr>
          <w:rFonts w:hint="eastAsia" w:ascii="宋体" w:hAnsi="宋体" w:cs="宋体"/>
          <w:bCs/>
          <w:color w:val="auto"/>
          <w:sz w:val="24"/>
        </w:rPr>
        <w:t>供应商名称（公章）：</w:t>
      </w:r>
    </w:p>
    <w:p>
      <w:pPr>
        <w:ind w:firstLine="480"/>
        <w:rPr>
          <w:rFonts w:hint="eastAsia" w:ascii="宋体" w:hAnsi="宋体" w:cs="宋体"/>
          <w:color w:val="auto"/>
          <w:sz w:val="24"/>
        </w:rPr>
      </w:pPr>
      <w:r>
        <w:rPr>
          <w:rFonts w:hint="eastAsia" w:ascii="宋体" w:hAnsi="宋体" w:cs="宋体"/>
          <w:color w:val="auto"/>
          <w:sz w:val="24"/>
        </w:rPr>
        <w:t xml:space="preserve">                                              日期：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p>
    <w:p>
      <w:pPr>
        <w:snapToGrid w:val="0"/>
        <w:spacing w:before="50" w:after="50"/>
        <w:jc w:val="center"/>
        <w:rPr>
          <w:rFonts w:hint="eastAsia" w:ascii="宋体" w:hAnsi="宋体" w:cs="宋体"/>
          <w:b/>
          <w:bCs/>
          <w:color w:val="auto"/>
          <w:sz w:val="32"/>
          <w:szCs w:val="32"/>
        </w:rPr>
      </w:pPr>
      <w:r>
        <w:rPr>
          <w:rFonts w:hint="eastAsia" w:ascii="宋体" w:hAnsi="宋体" w:cs="宋体"/>
          <w:b/>
          <w:bCs/>
          <w:color w:val="auto"/>
          <w:sz w:val="32"/>
          <w:szCs w:val="32"/>
        </w:rPr>
        <w:t>六、投标产品配置及分项报价表</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投标人全称（加盖公章）：</w:t>
      </w:r>
    </w:p>
    <w:tbl>
      <w:tblPr>
        <w:tblStyle w:val="44"/>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10"/>
        <w:gridCol w:w="1276"/>
        <w:gridCol w:w="1274"/>
        <w:gridCol w:w="1433"/>
        <w:gridCol w:w="1584"/>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2661" w:type="dxa"/>
            <w:gridSpan w:val="2"/>
            <w:vMerge w:val="restart"/>
            <w:vAlign w:val="center"/>
          </w:tcPr>
          <w:p>
            <w:pPr>
              <w:jc w:val="center"/>
              <w:rPr>
                <w:rFonts w:hint="eastAsia" w:ascii="宋体" w:hAnsi="宋体" w:cs="宋体"/>
                <w:b/>
                <w:bCs/>
                <w:color w:val="auto"/>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
                <w:bCs/>
                <w:color w:val="auto"/>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5座含司机小车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7座含司机商务车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9～15座含司机商务车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9591" w:type="dxa"/>
            <w:gridSpan w:val="7"/>
            <w:vAlign w:val="center"/>
          </w:tcPr>
          <w:p>
            <w:pPr>
              <w:jc w:val="left"/>
              <w:rPr>
                <w:rFonts w:hint="eastAsia" w:ascii="宋体" w:hAnsi="宋体" w:cs="宋体"/>
                <w:color w:val="auto"/>
                <w:sz w:val="24"/>
                <w:szCs w:val="24"/>
              </w:rPr>
            </w:pPr>
            <w:r>
              <w:rPr>
                <w:rFonts w:hint="eastAsia" w:ascii="宋体" w:hAnsi="宋体" w:cs="宋体"/>
                <w:b/>
                <w:bCs/>
                <w:color w:val="auto"/>
                <w:sz w:val="24"/>
                <w:szCs w:val="24"/>
              </w:rPr>
              <w:t>分包二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2661" w:type="dxa"/>
            <w:gridSpan w:val="2"/>
            <w:vMerge w:val="restart"/>
            <w:vAlign w:val="center"/>
          </w:tcPr>
          <w:p>
            <w:pPr>
              <w:jc w:val="center"/>
              <w:rPr>
                <w:rFonts w:hint="eastAsia" w:ascii="宋体" w:hAnsi="宋体" w:cs="宋体"/>
                <w:color w:val="auto"/>
                <w:sz w:val="24"/>
                <w:szCs w:val="24"/>
              </w:rPr>
            </w:pPr>
            <w:r>
              <w:rPr>
                <w:rFonts w:hint="eastAsia" w:ascii="宋体" w:hAnsi="宋体" w:cs="宋体"/>
                <w:b/>
                <w:bCs/>
                <w:color w:val="auto"/>
              </w:rPr>
              <w:t>名称及规格、型号</w:t>
            </w:r>
          </w:p>
        </w:tc>
        <w:tc>
          <w:tcPr>
            <w:tcW w:w="2550" w:type="dxa"/>
            <w:gridSpan w:val="2"/>
            <w:vAlign w:val="center"/>
          </w:tcPr>
          <w:p>
            <w:pPr>
              <w:jc w:val="center"/>
              <w:rPr>
                <w:rFonts w:hint="eastAsia" w:ascii="宋体" w:hAnsi="宋体" w:cs="宋体"/>
                <w:bCs/>
                <w:color w:val="auto"/>
                <w:sz w:val="24"/>
                <w:szCs w:val="24"/>
              </w:rPr>
            </w:pPr>
            <w:r>
              <w:rPr>
                <w:rFonts w:hint="eastAsia" w:ascii="宋体" w:hAnsi="宋体" w:cs="宋体"/>
                <w:b/>
                <w:bCs/>
                <w:color w:val="auto"/>
              </w:rPr>
              <w:t>市区</w:t>
            </w:r>
          </w:p>
        </w:tc>
        <w:tc>
          <w:tcPr>
            <w:tcW w:w="4380" w:type="dxa"/>
            <w:gridSpan w:val="3"/>
            <w:vAlign w:val="center"/>
          </w:tcPr>
          <w:p>
            <w:pPr>
              <w:jc w:val="center"/>
              <w:rPr>
                <w:rFonts w:hint="eastAsia" w:ascii="宋体" w:hAnsi="宋体" w:cs="宋体"/>
                <w:b/>
                <w:bCs/>
                <w:color w:val="auto"/>
                <w:kern w:val="0"/>
              </w:rPr>
            </w:pPr>
            <w:r>
              <w:rPr>
                <w:rFonts w:hint="eastAsia" w:ascii="宋体" w:hAnsi="宋体" w:cs="宋体"/>
                <w:b/>
                <w:bCs/>
                <w:color w:val="auto"/>
              </w:rPr>
              <w:t>市外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2661" w:type="dxa"/>
            <w:gridSpan w:val="2"/>
            <w:vMerge w:val="continue"/>
            <w:vAlign w:val="center"/>
          </w:tcPr>
          <w:p>
            <w:pPr>
              <w:jc w:val="center"/>
              <w:rPr>
                <w:rFonts w:hint="eastAsia" w:ascii="宋体" w:hAnsi="宋体" w:cs="宋体"/>
                <w:b/>
                <w:bCs/>
                <w:color w:val="auto"/>
              </w:rPr>
            </w:pPr>
          </w:p>
        </w:tc>
        <w:tc>
          <w:tcPr>
            <w:tcW w:w="1276" w:type="dxa"/>
            <w:vAlign w:val="center"/>
          </w:tcPr>
          <w:p>
            <w:pPr>
              <w:jc w:val="center"/>
              <w:rPr>
                <w:rFonts w:hint="eastAsia" w:ascii="宋体" w:hAnsi="宋体" w:cs="宋体"/>
                <w:b/>
                <w:bCs/>
                <w:color w:val="auto"/>
              </w:rPr>
            </w:pPr>
            <w:r>
              <w:rPr>
                <w:rFonts w:hint="eastAsia" w:ascii="宋体" w:hAnsi="宋体" w:cs="宋体"/>
                <w:b/>
                <w:bCs/>
                <w:color w:val="auto"/>
              </w:rPr>
              <w:t>半日（4小时）租车费用（元）</w:t>
            </w:r>
          </w:p>
        </w:tc>
        <w:tc>
          <w:tcPr>
            <w:tcW w:w="1274" w:type="dxa"/>
            <w:vAlign w:val="center"/>
          </w:tcPr>
          <w:p>
            <w:pPr>
              <w:jc w:val="center"/>
              <w:rPr>
                <w:rFonts w:hint="eastAsia" w:ascii="宋体" w:hAnsi="宋体" w:cs="宋体"/>
                <w:b/>
                <w:bCs/>
                <w:color w:val="auto"/>
              </w:rPr>
            </w:pPr>
            <w:r>
              <w:rPr>
                <w:rFonts w:hint="eastAsia" w:ascii="宋体" w:hAnsi="宋体" w:cs="宋体"/>
                <w:b/>
                <w:bCs/>
                <w:color w:val="auto"/>
              </w:rPr>
              <w:t>一日（9小时）租车费用（元）</w:t>
            </w:r>
          </w:p>
        </w:tc>
        <w:tc>
          <w:tcPr>
            <w:tcW w:w="1433" w:type="dxa"/>
            <w:vAlign w:val="center"/>
          </w:tcPr>
          <w:p>
            <w:pPr>
              <w:jc w:val="center"/>
              <w:rPr>
                <w:rFonts w:hint="eastAsia" w:ascii="宋体" w:hAnsi="宋体" w:cs="宋体"/>
                <w:b/>
                <w:bCs/>
                <w:color w:val="auto"/>
                <w:kern w:val="0"/>
              </w:rPr>
            </w:pPr>
            <w:r>
              <w:rPr>
                <w:rFonts w:hint="eastAsia" w:ascii="宋体" w:hAnsi="宋体" w:cs="宋体"/>
                <w:b/>
                <w:bCs/>
                <w:color w:val="auto"/>
                <w:kern w:val="0"/>
              </w:rPr>
              <w:t>基础里程数报价</w:t>
            </w:r>
          </w:p>
          <w:p>
            <w:pPr>
              <w:jc w:val="center"/>
              <w:rPr>
                <w:rFonts w:hint="eastAsia" w:ascii="宋体" w:hAnsi="宋体" w:cs="宋体"/>
                <w:b/>
                <w:bCs/>
                <w:color w:val="auto"/>
                <w:kern w:val="0"/>
              </w:rPr>
            </w:pPr>
            <w:r>
              <w:rPr>
                <w:rFonts w:hint="eastAsia" w:ascii="宋体" w:hAnsi="宋体" w:cs="宋体"/>
                <w:b/>
                <w:bCs/>
                <w:color w:val="auto"/>
                <w:kern w:val="0"/>
              </w:rPr>
              <w:t>（元/200km）</w:t>
            </w:r>
          </w:p>
        </w:tc>
        <w:tc>
          <w:tcPr>
            <w:tcW w:w="1584" w:type="dxa"/>
            <w:vAlign w:val="center"/>
          </w:tcPr>
          <w:p>
            <w:pPr>
              <w:jc w:val="center"/>
              <w:rPr>
                <w:rFonts w:hint="eastAsia" w:ascii="宋体" w:hAnsi="宋体" w:cs="宋体"/>
                <w:b/>
                <w:bCs/>
                <w:color w:val="auto"/>
                <w:kern w:val="0"/>
              </w:rPr>
            </w:pPr>
            <w:r>
              <w:rPr>
                <w:rFonts w:hint="eastAsia" w:ascii="宋体" w:hAnsi="宋体" w:cs="宋体"/>
                <w:b/>
                <w:bCs/>
                <w:color w:val="auto"/>
                <w:kern w:val="0"/>
              </w:rPr>
              <w:t>超时间(起程当日不计)加收费用</w:t>
            </w:r>
          </w:p>
          <w:p>
            <w:pPr>
              <w:jc w:val="center"/>
              <w:rPr>
                <w:rFonts w:hint="eastAsia" w:ascii="宋体" w:hAnsi="宋体" w:cs="宋体"/>
                <w:b/>
                <w:bCs/>
                <w:color w:val="auto"/>
                <w:kern w:val="0"/>
              </w:rPr>
            </w:pPr>
            <w:r>
              <w:rPr>
                <w:rFonts w:hint="eastAsia" w:ascii="宋体" w:hAnsi="宋体" w:cs="宋体"/>
                <w:b/>
                <w:bCs/>
                <w:color w:val="auto"/>
                <w:kern w:val="0"/>
              </w:rPr>
              <w:t>（元/天）</w:t>
            </w:r>
          </w:p>
        </w:tc>
        <w:tc>
          <w:tcPr>
            <w:tcW w:w="1363" w:type="dxa"/>
            <w:vAlign w:val="center"/>
          </w:tcPr>
          <w:p>
            <w:pPr>
              <w:jc w:val="center"/>
              <w:rPr>
                <w:rFonts w:hint="eastAsia" w:ascii="宋体" w:hAnsi="宋体" w:cs="宋体"/>
                <w:b/>
                <w:bCs/>
                <w:color w:val="auto"/>
                <w:kern w:val="0"/>
              </w:rPr>
            </w:pPr>
            <w:r>
              <w:rPr>
                <w:rFonts w:hint="eastAsia" w:ascii="宋体" w:hAnsi="宋体" w:cs="宋体"/>
                <w:b/>
                <w:bCs/>
                <w:color w:val="auto"/>
                <w:kern w:val="0"/>
              </w:rPr>
              <w:t>超过基准里程数加收费用</w:t>
            </w:r>
          </w:p>
          <w:p>
            <w:pPr>
              <w:jc w:val="center"/>
              <w:rPr>
                <w:rFonts w:hint="eastAsia" w:ascii="宋体" w:hAnsi="宋体" w:cs="宋体"/>
                <w:b/>
                <w:bCs/>
                <w:color w:val="auto"/>
                <w:kern w:val="0"/>
              </w:rPr>
            </w:pPr>
            <w:r>
              <w:rPr>
                <w:rFonts w:hint="eastAsia" w:ascii="宋体" w:hAnsi="宋体" w:cs="宋体"/>
                <w:b/>
                <w:bCs/>
                <w:color w:val="auto"/>
                <w:kern w:val="0"/>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4</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21座含司机小型客车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5</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39座含司机中型客车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751"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6</w:t>
            </w:r>
          </w:p>
        </w:tc>
        <w:tc>
          <w:tcPr>
            <w:tcW w:w="1910" w:type="dxa"/>
            <w:vAlign w:val="center"/>
          </w:tcPr>
          <w:p>
            <w:pPr>
              <w:jc w:val="left"/>
              <w:rPr>
                <w:rFonts w:hint="eastAsia" w:ascii="宋体" w:hAnsi="宋体" w:cs="宋体"/>
                <w:color w:val="auto"/>
                <w:sz w:val="24"/>
              </w:rPr>
            </w:pPr>
            <w:r>
              <w:rPr>
                <w:rFonts w:hint="eastAsia" w:ascii="宋体" w:hAnsi="宋体" w:cs="宋体"/>
                <w:color w:val="auto"/>
                <w:sz w:val="24"/>
              </w:rPr>
              <w:t>55座含司机大型客车</w:t>
            </w:r>
          </w:p>
        </w:tc>
        <w:tc>
          <w:tcPr>
            <w:tcW w:w="1276" w:type="dxa"/>
            <w:vAlign w:val="center"/>
          </w:tcPr>
          <w:p>
            <w:pPr>
              <w:rPr>
                <w:rFonts w:hint="eastAsia" w:ascii="宋体" w:hAnsi="宋体" w:cs="宋体"/>
                <w:color w:val="auto"/>
                <w:sz w:val="24"/>
                <w:szCs w:val="24"/>
              </w:rPr>
            </w:pPr>
          </w:p>
        </w:tc>
        <w:tc>
          <w:tcPr>
            <w:tcW w:w="1274" w:type="dxa"/>
            <w:vAlign w:val="center"/>
          </w:tcPr>
          <w:p>
            <w:pPr>
              <w:jc w:val="left"/>
              <w:rPr>
                <w:rFonts w:hint="eastAsia" w:ascii="宋体" w:hAnsi="宋体" w:cs="宋体"/>
                <w:color w:val="auto"/>
                <w:sz w:val="24"/>
                <w:szCs w:val="24"/>
              </w:rPr>
            </w:pPr>
          </w:p>
        </w:tc>
        <w:tc>
          <w:tcPr>
            <w:tcW w:w="1433" w:type="dxa"/>
            <w:vAlign w:val="center"/>
          </w:tcPr>
          <w:p>
            <w:pPr>
              <w:rPr>
                <w:rFonts w:hint="eastAsia" w:ascii="宋体" w:hAnsi="宋体" w:cs="宋体"/>
                <w:color w:val="auto"/>
                <w:sz w:val="24"/>
                <w:szCs w:val="24"/>
              </w:rPr>
            </w:pPr>
          </w:p>
        </w:tc>
        <w:tc>
          <w:tcPr>
            <w:tcW w:w="1584" w:type="dxa"/>
            <w:vAlign w:val="center"/>
          </w:tcPr>
          <w:p>
            <w:pPr>
              <w:rPr>
                <w:rFonts w:hint="eastAsia" w:ascii="宋体" w:hAnsi="宋体" w:cs="宋体"/>
                <w:color w:val="auto"/>
                <w:sz w:val="24"/>
                <w:szCs w:val="24"/>
              </w:rPr>
            </w:pPr>
          </w:p>
        </w:tc>
        <w:tc>
          <w:tcPr>
            <w:tcW w:w="1363" w:type="dxa"/>
            <w:vAlign w:val="center"/>
          </w:tcPr>
          <w:p>
            <w:pPr>
              <w:rPr>
                <w:rFonts w:hint="eastAsia" w:ascii="宋体" w:hAnsi="宋体" w:cs="宋体"/>
                <w:color w:val="auto"/>
                <w:sz w:val="24"/>
                <w:szCs w:val="24"/>
              </w:rPr>
            </w:pPr>
          </w:p>
        </w:tc>
      </w:tr>
    </w:tbl>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注：1、市区不设基础里程数，市外基础里程数200公里。</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2、市外基础里程数外距离与时间同时计价，互不矛盾，按实结算。</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3、短途租赁服务来回接送不限趟数，如遇特殊情况经双方协商收取租赁费。</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4、盐城市区、市外的过路费</w:t>
      </w:r>
      <w:r>
        <w:rPr>
          <w:rFonts w:hint="eastAsia" w:ascii="宋体" w:hAnsi="宋体" w:cs="宋体"/>
          <w:color w:val="auto"/>
          <w:sz w:val="24"/>
          <w:szCs w:val="24"/>
        </w:rPr>
        <w:t>（高速优先）</w:t>
      </w:r>
      <w:r>
        <w:rPr>
          <w:rFonts w:hint="eastAsia" w:ascii="宋体" w:hAnsi="宋体" w:cs="宋体"/>
          <w:color w:val="auto"/>
          <w:kern w:val="0"/>
          <w:sz w:val="24"/>
        </w:rPr>
        <w:t>和停车费都综合含在报价内。</w:t>
      </w:r>
    </w:p>
    <w:p>
      <w:pPr>
        <w:widowControl/>
        <w:spacing w:line="360" w:lineRule="exact"/>
        <w:jc w:val="left"/>
        <w:rPr>
          <w:rFonts w:hint="eastAsia" w:ascii="宋体" w:hAnsi="宋体" w:cs="宋体"/>
          <w:color w:val="auto"/>
          <w:kern w:val="0"/>
          <w:sz w:val="24"/>
        </w:rPr>
      </w:pPr>
      <w:r>
        <w:rPr>
          <w:rFonts w:hint="eastAsia" w:ascii="宋体" w:hAnsi="宋体" w:cs="宋体"/>
          <w:color w:val="auto"/>
          <w:kern w:val="0"/>
          <w:sz w:val="24"/>
        </w:rPr>
        <w:t>5、外地出车驾驶员食宿费由用车部门承担。</w:t>
      </w:r>
    </w:p>
    <w:p>
      <w:pPr>
        <w:spacing w:line="314" w:lineRule="exact"/>
        <w:rPr>
          <w:rFonts w:hint="eastAsia" w:ascii="宋体" w:hAnsi="宋体" w:cs="宋体"/>
          <w:color w:val="auto"/>
        </w:rPr>
      </w:pPr>
    </w:p>
    <w:p>
      <w:pPr>
        <w:rPr>
          <w:rFonts w:hint="eastAsia" w:ascii="宋体" w:hAnsi="宋体" w:cs="宋体"/>
          <w:color w:val="auto"/>
          <w:sz w:val="32"/>
          <w:szCs w:val="32"/>
        </w:rPr>
      </w:pPr>
      <w:r>
        <w:rPr>
          <w:rFonts w:hint="eastAsia" w:ascii="宋体" w:hAnsi="宋体" w:cs="宋体"/>
          <w:color w:val="auto"/>
          <w:sz w:val="24"/>
          <w:szCs w:val="24"/>
        </w:rPr>
        <w:t>法定代表人或授权代表签字：</w:t>
      </w:r>
    </w:p>
    <w:p>
      <w:pPr>
        <w:spacing w:line="320" w:lineRule="exact"/>
        <w:ind w:right="4"/>
        <w:rPr>
          <w:rFonts w:hint="eastAsia" w:ascii="宋体" w:hAnsi="宋体" w:cs="宋体"/>
          <w:color w:val="auto"/>
          <w:sz w:val="28"/>
        </w:rPr>
        <w:sectPr>
          <w:headerReference r:id="rId3" w:type="default"/>
          <w:footerReference r:id="rId4" w:type="default"/>
          <w:pgSz w:w="11906" w:h="16838"/>
          <w:pgMar w:top="1418" w:right="1366" w:bottom="1418" w:left="1588" w:header="851" w:footer="907" w:gutter="0"/>
          <w:pgNumType w:fmt="decimalFullWidth"/>
          <w:cols w:space="720" w:num="1"/>
          <w:docGrid w:type="linesAndChars" w:linePitch="290" w:charSpace="0"/>
        </w:sectPr>
      </w:pPr>
    </w:p>
    <w:p>
      <w:pPr>
        <w:spacing w:line="320" w:lineRule="exact"/>
        <w:ind w:right="4"/>
        <w:jc w:val="center"/>
        <w:rPr>
          <w:rFonts w:hint="eastAsia" w:ascii="宋体" w:hAnsi="宋体" w:cs="宋体"/>
          <w:color w:val="auto"/>
        </w:rPr>
      </w:pPr>
      <w:r>
        <w:rPr>
          <w:rFonts w:hint="eastAsia" w:ascii="宋体" w:hAnsi="宋体" w:cs="宋体"/>
          <w:color w:val="auto"/>
          <w:sz w:val="28"/>
        </w:rPr>
        <w:t>车辆信息表</w:t>
      </w:r>
    </w:p>
    <w:tbl>
      <w:tblPr>
        <w:tblStyle w:val="44"/>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970"/>
        <w:gridCol w:w="1107"/>
        <w:gridCol w:w="1235"/>
        <w:gridCol w:w="1454"/>
        <w:gridCol w:w="1419"/>
        <w:gridCol w:w="1315"/>
        <w:gridCol w:w="1351"/>
        <w:gridCol w:w="1534"/>
        <w:gridCol w:w="1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序号</w:t>
            </w:r>
          </w:p>
        </w:tc>
        <w:tc>
          <w:tcPr>
            <w:tcW w:w="1588" w:type="dxa"/>
            <w:tcBorders>
              <w:righ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品牌、车型</w:t>
            </w:r>
          </w:p>
        </w:tc>
        <w:tc>
          <w:tcPr>
            <w:tcW w:w="970" w:type="dxa"/>
            <w:tcBorders>
              <w:lef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颜色</w:t>
            </w:r>
          </w:p>
        </w:tc>
        <w:tc>
          <w:tcPr>
            <w:tcW w:w="1107"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排量</w:t>
            </w:r>
          </w:p>
        </w:tc>
        <w:tc>
          <w:tcPr>
            <w:tcW w:w="123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车牌号</w:t>
            </w:r>
          </w:p>
        </w:tc>
        <w:tc>
          <w:tcPr>
            <w:tcW w:w="145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购买时间（</w:t>
            </w:r>
            <w:r>
              <w:rPr>
                <w:rFonts w:hint="eastAsia" w:ascii="宋体" w:hAnsi="宋体" w:cs="宋体"/>
                <w:b/>
                <w:bCs/>
                <w:color w:val="auto"/>
                <w:lang w:val="zh-TW" w:eastAsia="zh-TW"/>
              </w:rPr>
              <w:t>车辆登记日期</w:t>
            </w:r>
            <w:r>
              <w:rPr>
                <w:rFonts w:hint="eastAsia" w:ascii="宋体" w:hAnsi="宋体" w:cs="宋体"/>
                <w:b/>
                <w:color w:val="auto"/>
                <w:sz w:val="24"/>
              </w:rPr>
              <w:t>）</w:t>
            </w:r>
          </w:p>
        </w:tc>
        <w:tc>
          <w:tcPr>
            <w:tcW w:w="1419"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车辆来源</w:t>
            </w:r>
          </w:p>
          <w:p>
            <w:pPr>
              <w:spacing w:line="274" w:lineRule="exact"/>
              <w:jc w:val="center"/>
              <w:rPr>
                <w:rFonts w:hint="eastAsia" w:ascii="宋体" w:hAnsi="宋体" w:cs="宋体"/>
                <w:b/>
                <w:color w:val="auto"/>
                <w:sz w:val="24"/>
              </w:rPr>
            </w:pPr>
            <w:r>
              <w:rPr>
                <w:rFonts w:hint="eastAsia" w:ascii="宋体" w:hAnsi="宋体" w:cs="宋体"/>
                <w:b/>
                <w:color w:val="auto"/>
                <w:sz w:val="24"/>
              </w:rPr>
              <w:t>（是否自有）</w:t>
            </w:r>
          </w:p>
        </w:tc>
        <w:tc>
          <w:tcPr>
            <w:tcW w:w="131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车辆保险</w:t>
            </w:r>
          </w:p>
          <w:p>
            <w:pPr>
              <w:spacing w:line="274" w:lineRule="exact"/>
              <w:jc w:val="center"/>
              <w:rPr>
                <w:rFonts w:hint="eastAsia" w:ascii="宋体" w:hAnsi="宋体" w:cs="宋体"/>
                <w:b/>
                <w:color w:val="auto"/>
                <w:sz w:val="24"/>
              </w:rPr>
            </w:pPr>
            <w:r>
              <w:rPr>
                <w:rFonts w:hint="eastAsia" w:ascii="宋体" w:hAnsi="宋体" w:cs="宋体"/>
                <w:b/>
                <w:color w:val="auto"/>
                <w:sz w:val="24"/>
              </w:rPr>
              <w:t>购买情况</w:t>
            </w:r>
          </w:p>
        </w:tc>
        <w:tc>
          <w:tcPr>
            <w:tcW w:w="1351"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价格（元）</w:t>
            </w:r>
          </w:p>
        </w:tc>
        <w:tc>
          <w:tcPr>
            <w:tcW w:w="153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里程数（km）</w:t>
            </w:r>
          </w:p>
        </w:tc>
        <w:tc>
          <w:tcPr>
            <w:tcW w:w="1238" w:type="dxa"/>
            <w:vAlign w:val="center"/>
          </w:tcPr>
          <w:p>
            <w:pPr>
              <w:spacing w:line="274" w:lineRule="exact"/>
              <w:ind w:left="340"/>
              <w:rPr>
                <w:rFonts w:hint="eastAsia" w:ascii="宋体" w:hAnsi="宋体" w:cs="宋体"/>
                <w:b/>
                <w:color w:val="auto"/>
                <w:sz w:val="24"/>
              </w:rPr>
            </w:pPr>
            <w:r>
              <w:rPr>
                <w:rFonts w:hint="eastAsia" w:ascii="宋体" w:hAnsi="宋体" w:cs="宋体"/>
                <w:b/>
                <w:color w:val="auto"/>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274" w:lineRule="exact"/>
              <w:jc w:val="center"/>
              <w:rPr>
                <w:rFonts w:hint="eastAsia" w:ascii="宋体" w:hAnsi="宋体" w:cs="宋体"/>
                <w:color w:val="auto"/>
                <w:sz w:val="24"/>
              </w:rPr>
            </w:pPr>
          </w:p>
        </w:tc>
        <w:tc>
          <w:tcPr>
            <w:tcW w:w="1315" w:type="dxa"/>
            <w:vAlign w:val="center"/>
          </w:tcPr>
          <w:p>
            <w:pPr>
              <w:spacing w:line="274" w:lineRule="exact"/>
              <w:jc w:val="center"/>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970" w:type="dxa"/>
            <w:tcBorders>
              <w:left w:val="single" w:color="auto" w:sz="4" w:space="0"/>
            </w:tcBorders>
            <w:vAlign w:val="center"/>
          </w:tcPr>
          <w:p>
            <w:pPr>
              <w:spacing w:line="0" w:lineRule="atLeast"/>
              <w:rPr>
                <w:rFonts w:hint="eastAsia" w:ascii="宋体" w:hAnsi="宋体" w:cs="宋体"/>
                <w:color w:val="auto"/>
                <w:sz w:val="24"/>
              </w:rPr>
            </w:pPr>
          </w:p>
        </w:tc>
        <w:tc>
          <w:tcPr>
            <w:tcW w:w="1107" w:type="dxa"/>
            <w:vAlign w:val="center"/>
          </w:tcPr>
          <w:p>
            <w:pPr>
              <w:spacing w:line="0" w:lineRule="atLeast"/>
              <w:rPr>
                <w:rFonts w:hint="eastAsia" w:ascii="宋体" w:hAnsi="宋体" w:cs="宋体"/>
                <w:color w:val="auto"/>
                <w:sz w:val="24"/>
              </w:rPr>
            </w:pPr>
          </w:p>
        </w:tc>
        <w:tc>
          <w:tcPr>
            <w:tcW w:w="1235" w:type="dxa"/>
            <w:vAlign w:val="center"/>
          </w:tcPr>
          <w:p>
            <w:pPr>
              <w:spacing w:line="0" w:lineRule="atLeast"/>
              <w:rPr>
                <w:rFonts w:hint="eastAsia" w:ascii="宋体" w:hAnsi="宋体" w:cs="宋体"/>
                <w:color w:val="auto"/>
                <w:sz w:val="24"/>
              </w:rPr>
            </w:pPr>
          </w:p>
        </w:tc>
        <w:tc>
          <w:tcPr>
            <w:tcW w:w="1454" w:type="dxa"/>
            <w:vAlign w:val="center"/>
          </w:tcPr>
          <w:p>
            <w:pPr>
              <w:spacing w:line="0" w:lineRule="atLeast"/>
              <w:rPr>
                <w:rFonts w:hint="eastAsia" w:ascii="宋体" w:hAnsi="宋体" w:cs="宋体"/>
                <w:color w:val="auto"/>
                <w:sz w:val="24"/>
              </w:rPr>
            </w:pPr>
          </w:p>
        </w:tc>
        <w:tc>
          <w:tcPr>
            <w:tcW w:w="1419" w:type="dxa"/>
            <w:vAlign w:val="center"/>
          </w:tcPr>
          <w:p>
            <w:pPr>
              <w:spacing w:line="0" w:lineRule="atLeast"/>
              <w:rPr>
                <w:rFonts w:hint="eastAsia" w:ascii="宋体" w:hAnsi="宋体" w:cs="宋体"/>
                <w:color w:val="auto"/>
                <w:sz w:val="24"/>
              </w:rPr>
            </w:pPr>
          </w:p>
        </w:tc>
        <w:tc>
          <w:tcPr>
            <w:tcW w:w="1315" w:type="dxa"/>
            <w:vAlign w:val="center"/>
          </w:tcPr>
          <w:p>
            <w:pPr>
              <w:spacing w:line="0" w:lineRule="atLeast"/>
              <w:rPr>
                <w:rFonts w:hint="eastAsia" w:ascii="宋体" w:hAnsi="宋体" w:cs="宋体"/>
                <w:color w:val="auto"/>
                <w:sz w:val="24"/>
              </w:rPr>
            </w:pPr>
          </w:p>
        </w:tc>
        <w:tc>
          <w:tcPr>
            <w:tcW w:w="1351" w:type="dxa"/>
            <w:vAlign w:val="center"/>
          </w:tcPr>
          <w:p>
            <w:pPr>
              <w:spacing w:line="0" w:lineRule="atLeast"/>
              <w:rPr>
                <w:rFonts w:hint="eastAsia" w:ascii="宋体" w:hAnsi="宋体" w:cs="宋体"/>
                <w:color w:val="auto"/>
                <w:sz w:val="24"/>
              </w:rPr>
            </w:pPr>
          </w:p>
        </w:tc>
        <w:tc>
          <w:tcPr>
            <w:tcW w:w="1534" w:type="dxa"/>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hint="eastAsia" w:ascii="宋体" w:hAnsi="宋体" w:cs="宋体"/>
                <w:color w:val="auto"/>
              </w:rPr>
            </w:pPr>
            <w:r>
              <w:rPr>
                <w:rFonts w:hint="eastAsia" w:ascii="宋体" w:hAnsi="宋体" w:cs="宋体"/>
                <w:color w:val="auto"/>
                <w:lang w:val="zh-TW"/>
              </w:rPr>
              <w:t>上述所有</w:t>
            </w:r>
            <w:r>
              <w:rPr>
                <w:rFonts w:hint="eastAsia" w:ascii="宋体" w:hAnsi="宋体" w:cs="宋体"/>
                <w:color w:val="auto"/>
              </w:rPr>
              <w:t>车辆数量合计，单位：辆</w:t>
            </w:r>
          </w:p>
        </w:tc>
        <w:tc>
          <w:tcPr>
            <w:tcW w:w="2885" w:type="dxa"/>
            <w:gridSpan w:val="2"/>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hint="eastAsia" w:ascii="宋体" w:hAnsi="宋体" w:cs="宋体"/>
                <w:color w:val="auto"/>
              </w:rPr>
            </w:pPr>
            <w:r>
              <w:rPr>
                <w:rFonts w:hint="eastAsia" w:ascii="宋体" w:hAnsi="宋体" w:cs="宋体"/>
                <w:color w:val="auto"/>
                <w:lang w:val="zh-TW"/>
              </w:rPr>
              <w:t>上述所有车辆</w:t>
            </w:r>
            <w:r>
              <w:rPr>
                <w:rFonts w:hint="eastAsia" w:ascii="宋体" w:hAnsi="宋体" w:cs="宋体"/>
                <w:color w:val="auto"/>
                <w:lang w:val="zh-TW" w:eastAsia="zh-TW"/>
              </w:rPr>
              <w:t>车</w:t>
            </w:r>
            <w:r>
              <w:rPr>
                <w:rFonts w:hint="eastAsia" w:ascii="宋体" w:hAnsi="宋体" w:cs="宋体"/>
                <w:color w:val="auto"/>
                <w:lang w:val="zh-TW"/>
              </w:rPr>
              <w:t>龄合计（每辆车从其</w:t>
            </w:r>
            <w:r>
              <w:rPr>
                <w:rFonts w:hint="eastAsia" w:ascii="宋体" w:hAnsi="宋体" w:cs="宋体"/>
                <w:color w:val="auto"/>
                <w:lang w:val="zh-TW" w:eastAsia="zh-TW"/>
              </w:rPr>
              <w:t>车辆登记日期</w:t>
            </w:r>
            <w:r>
              <w:rPr>
                <w:rFonts w:hint="eastAsia" w:ascii="宋体" w:hAnsi="宋体" w:cs="宋体"/>
                <w:color w:val="auto"/>
                <w:lang w:val="zh-TW"/>
              </w:rPr>
              <w:t>之日起至投标截止日计算），单位：天</w:t>
            </w:r>
          </w:p>
        </w:tc>
        <w:tc>
          <w:tcPr>
            <w:tcW w:w="2885" w:type="dxa"/>
            <w:gridSpan w:val="2"/>
            <w:vAlign w:val="center"/>
          </w:tcPr>
          <w:p>
            <w:pPr>
              <w:spacing w:line="0" w:lineRule="atLeast"/>
              <w:rPr>
                <w:rFonts w:hint="eastAsia" w:ascii="宋体" w:hAnsi="宋体" w:cs="宋体"/>
                <w:color w:val="auto"/>
                <w:sz w:val="24"/>
              </w:rPr>
            </w:pPr>
          </w:p>
        </w:tc>
        <w:tc>
          <w:tcPr>
            <w:tcW w:w="1238" w:type="dxa"/>
            <w:vAlign w:val="center"/>
          </w:tcPr>
          <w:p>
            <w:pPr>
              <w:spacing w:line="0" w:lineRule="atLeast"/>
              <w:rPr>
                <w:rFonts w:hint="eastAsia" w:ascii="宋体" w:hAnsi="宋体" w:cs="宋体"/>
                <w:color w:val="auto"/>
                <w:sz w:val="24"/>
              </w:rPr>
            </w:pPr>
          </w:p>
        </w:tc>
      </w:tr>
    </w:tbl>
    <w:p>
      <w:pPr>
        <w:spacing w:line="148" w:lineRule="exact"/>
        <w:rPr>
          <w:rFonts w:hint="eastAsia" w:ascii="宋体" w:hAnsi="宋体" w:cs="宋体"/>
          <w:color w:val="auto"/>
          <w:sz w:val="20"/>
          <w:szCs w:val="20"/>
        </w:rPr>
      </w:pPr>
    </w:p>
    <w:p>
      <w:pPr>
        <w:spacing w:line="274" w:lineRule="exact"/>
        <w:ind w:left="360"/>
        <w:rPr>
          <w:rFonts w:hint="eastAsia" w:ascii="宋体" w:hAnsi="宋体" w:cs="宋体"/>
          <w:color w:val="auto"/>
          <w:sz w:val="24"/>
        </w:rPr>
      </w:pPr>
      <w:r>
        <w:rPr>
          <w:rFonts w:hint="eastAsia" w:ascii="宋体" w:hAnsi="宋体" w:cs="宋体"/>
          <w:color w:val="auto"/>
          <w:sz w:val="24"/>
        </w:rPr>
        <w:t>注：信息表中提供的车辆必须是承担出车任务的车辆。</w:t>
      </w:r>
    </w:p>
    <w:p>
      <w:pPr>
        <w:spacing w:line="207" w:lineRule="exact"/>
        <w:rPr>
          <w:rFonts w:hint="eastAsia" w:ascii="宋体" w:hAnsi="宋体" w:cs="宋体"/>
          <w:color w:val="auto"/>
        </w:rPr>
      </w:pPr>
    </w:p>
    <w:p>
      <w:pPr>
        <w:spacing w:line="300" w:lineRule="exact"/>
        <w:rPr>
          <w:rFonts w:hint="eastAsia" w:ascii="宋体" w:hAnsi="宋体" w:cs="宋体"/>
          <w:color w:val="auto"/>
          <w:sz w:val="24"/>
          <w:szCs w:val="24"/>
        </w:rPr>
      </w:pPr>
      <w:r>
        <w:rPr>
          <w:rFonts w:hint="eastAsia" w:ascii="宋体" w:hAnsi="宋体" w:cs="宋体"/>
          <w:color w:val="auto"/>
          <w:sz w:val="24"/>
          <w:szCs w:val="24"/>
        </w:rPr>
        <w:t>投标人（公章）：</w:t>
      </w:r>
    </w:p>
    <w:p>
      <w:pPr>
        <w:spacing w:line="300" w:lineRule="exact"/>
        <w:rPr>
          <w:rFonts w:hint="eastAsia" w:ascii="宋体" w:hAnsi="宋体" w:cs="宋体"/>
          <w:color w:val="auto"/>
          <w:sz w:val="24"/>
          <w:szCs w:val="24"/>
        </w:rPr>
      </w:pPr>
      <w:r>
        <w:rPr>
          <w:rFonts w:hint="eastAsia" w:ascii="宋体" w:hAnsi="宋体" w:cs="宋体"/>
          <w:color w:val="auto"/>
          <w:sz w:val="24"/>
          <w:szCs w:val="24"/>
        </w:rPr>
        <w:t>法定代表人（签章）：</w:t>
      </w:r>
    </w:p>
    <w:p>
      <w:pPr>
        <w:tabs>
          <w:tab w:val="left" w:pos="6460"/>
          <w:tab w:val="left" w:pos="7300"/>
          <w:tab w:val="left" w:pos="8140"/>
        </w:tabs>
        <w:spacing w:line="300" w:lineRule="exac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rPr>
        <w:tab/>
      </w:r>
      <w:r>
        <w:rPr>
          <w:rFonts w:hint="eastAsia" w:ascii="宋体" w:hAnsi="宋体" w:cs="宋体"/>
          <w:color w:val="auto"/>
          <w:sz w:val="24"/>
          <w:szCs w:val="24"/>
        </w:rPr>
        <w:t>年</w:t>
      </w:r>
      <w:r>
        <w:rPr>
          <w:rFonts w:hint="eastAsia" w:ascii="宋体" w:hAnsi="宋体" w:cs="宋体"/>
          <w:color w:val="auto"/>
          <w:sz w:val="24"/>
          <w:szCs w:val="24"/>
        </w:rPr>
        <w:tab/>
      </w:r>
      <w:r>
        <w:rPr>
          <w:rFonts w:hint="eastAsia" w:ascii="宋体" w:hAnsi="宋体" w:cs="宋体"/>
          <w:color w:val="auto"/>
          <w:sz w:val="24"/>
          <w:szCs w:val="24"/>
        </w:rPr>
        <w:t>月</w:t>
      </w:r>
      <w:r>
        <w:rPr>
          <w:rFonts w:hint="eastAsia" w:ascii="宋体" w:hAnsi="宋体" w:cs="宋体"/>
          <w:color w:val="auto"/>
          <w:sz w:val="24"/>
          <w:szCs w:val="24"/>
        </w:rPr>
        <w:tab/>
      </w:r>
      <w:r>
        <w:rPr>
          <w:rFonts w:hint="eastAsia" w:ascii="宋体" w:hAnsi="宋体" w:cs="宋体"/>
          <w:color w:val="auto"/>
          <w:sz w:val="24"/>
          <w:szCs w:val="24"/>
        </w:rPr>
        <w:t>日</w:t>
      </w:r>
    </w:p>
    <w:p>
      <w:pPr>
        <w:snapToGrid w:val="0"/>
        <w:spacing w:line="300" w:lineRule="exact"/>
        <w:jc w:val="center"/>
        <w:rPr>
          <w:rFonts w:hint="eastAsia" w:ascii="宋体" w:hAnsi="宋体" w:cs="宋体"/>
          <w:color w:val="auto"/>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pacing w:line="320" w:lineRule="exact"/>
        <w:ind w:right="4"/>
        <w:jc w:val="center"/>
        <w:rPr>
          <w:rFonts w:hint="eastAsia" w:ascii="宋体" w:hAnsi="宋体" w:cs="宋体"/>
          <w:color w:val="auto"/>
        </w:rPr>
      </w:pPr>
      <w:r>
        <w:rPr>
          <w:rFonts w:hint="eastAsia" w:ascii="宋体" w:hAnsi="宋体" w:cs="宋体"/>
          <w:color w:val="auto"/>
          <w:sz w:val="28"/>
        </w:rPr>
        <w:t>驾驶员信息表</w:t>
      </w:r>
    </w:p>
    <w:tbl>
      <w:tblPr>
        <w:tblStyle w:val="44"/>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1062"/>
        <w:gridCol w:w="1015"/>
        <w:gridCol w:w="1543"/>
        <w:gridCol w:w="1517"/>
        <w:gridCol w:w="1216"/>
        <w:gridCol w:w="1850"/>
        <w:gridCol w:w="1284"/>
        <w:gridCol w:w="1233"/>
        <w:gridCol w:w="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序号</w:t>
            </w:r>
          </w:p>
        </w:tc>
        <w:tc>
          <w:tcPr>
            <w:tcW w:w="1588" w:type="dxa"/>
            <w:tcBorders>
              <w:righ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姓名</w:t>
            </w:r>
          </w:p>
        </w:tc>
        <w:tc>
          <w:tcPr>
            <w:tcW w:w="1062" w:type="dxa"/>
            <w:tcBorders>
              <w:left w:val="single" w:color="auto" w:sz="4" w:space="0"/>
            </w:tcBorders>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性别</w:t>
            </w:r>
          </w:p>
        </w:tc>
        <w:tc>
          <w:tcPr>
            <w:tcW w:w="1015"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准驾车型</w:t>
            </w:r>
          </w:p>
        </w:tc>
        <w:tc>
          <w:tcPr>
            <w:tcW w:w="154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拟驾驶本项目何种车型</w:t>
            </w:r>
          </w:p>
        </w:tc>
        <w:tc>
          <w:tcPr>
            <w:tcW w:w="1517"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是否为投标人</w:t>
            </w:r>
          </w:p>
          <w:p>
            <w:pPr>
              <w:spacing w:line="274" w:lineRule="exact"/>
              <w:jc w:val="center"/>
              <w:rPr>
                <w:rFonts w:hint="eastAsia" w:ascii="宋体" w:hAnsi="宋体" w:cs="宋体"/>
                <w:b/>
                <w:color w:val="auto"/>
                <w:sz w:val="24"/>
              </w:rPr>
            </w:pPr>
            <w:r>
              <w:rPr>
                <w:rFonts w:hint="eastAsia" w:ascii="宋体" w:hAnsi="宋体" w:cs="宋体"/>
                <w:b/>
                <w:color w:val="auto"/>
                <w:sz w:val="24"/>
              </w:rPr>
              <w:t>自有员工</w:t>
            </w:r>
          </w:p>
        </w:tc>
        <w:tc>
          <w:tcPr>
            <w:tcW w:w="1216"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是否已购买社保</w:t>
            </w:r>
          </w:p>
        </w:tc>
        <w:tc>
          <w:tcPr>
            <w:tcW w:w="1850"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近3年是否生交通违法行为记录</w:t>
            </w:r>
          </w:p>
        </w:tc>
        <w:tc>
          <w:tcPr>
            <w:tcW w:w="1284"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年龄</w:t>
            </w:r>
          </w:p>
        </w:tc>
        <w:tc>
          <w:tcPr>
            <w:tcW w:w="123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驾龄</w:t>
            </w:r>
          </w:p>
        </w:tc>
        <w:tc>
          <w:tcPr>
            <w:tcW w:w="903" w:type="dxa"/>
            <w:vAlign w:val="center"/>
          </w:tcPr>
          <w:p>
            <w:pPr>
              <w:spacing w:line="274" w:lineRule="exact"/>
              <w:jc w:val="center"/>
              <w:rPr>
                <w:rFonts w:hint="eastAsia" w:ascii="宋体" w:hAnsi="宋体" w:cs="宋体"/>
                <w:b/>
                <w:color w:val="auto"/>
                <w:sz w:val="24"/>
              </w:rPr>
            </w:pPr>
            <w:r>
              <w:rPr>
                <w:rFonts w:hint="eastAsia" w:ascii="宋体" w:hAnsi="宋体" w:cs="宋体"/>
                <w:b/>
                <w:color w:val="auto"/>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274" w:lineRule="exact"/>
              <w:jc w:val="center"/>
              <w:rPr>
                <w:rFonts w:hint="eastAsia" w:ascii="宋体" w:hAnsi="宋体" w:cs="宋体"/>
                <w:color w:val="auto"/>
                <w:sz w:val="24"/>
              </w:rPr>
            </w:pPr>
          </w:p>
        </w:tc>
        <w:tc>
          <w:tcPr>
            <w:tcW w:w="1015" w:type="dxa"/>
            <w:vAlign w:val="center"/>
          </w:tcPr>
          <w:p>
            <w:pPr>
              <w:spacing w:line="274" w:lineRule="exact"/>
              <w:jc w:val="center"/>
              <w:rPr>
                <w:rFonts w:hint="eastAsia" w:ascii="宋体" w:hAnsi="宋体" w:cs="宋体"/>
                <w:color w:val="auto"/>
                <w:sz w:val="24"/>
              </w:rPr>
            </w:pPr>
          </w:p>
        </w:tc>
        <w:tc>
          <w:tcPr>
            <w:tcW w:w="1543" w:type="dxa"/>
            <w:vAlign w:val="center"/>
          </w:tcPr>
          <w:p>
            <w:pPr>
              <w:spacing w:line="274" w:lineRule="exact"/>
              <w:jc w:val="center"/>
              <w:rPr>
                <w:rFonts w:hint="eastAsia" w:ascii="宋体" w:hAnsi="宋体" w:cs="宋体"/>
                <w:color w:val="auto"/>
                <w:sz w:val="24"/>
              </w:rPr>
            </w:pPr>
          </w:p>
        </w:tc>
        <w:tc>
          <w:tcPr>
            <w:tcW w:w="1517" w:type="dxa"/>
            <w:vAlign w:val="center"/>
          </w:tcPr>
          <w:p>
            <w:pPr>
              <w:spacing w:line="274" w:lineRule="exact"/>
              <w:jc w:val="center"/>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1"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vAlign w:val="center"/>
          </w:tcPr>
          <w:p>
            <w:pPr>
              <w:spacing w:line="0" w:lineRule="atLeast"/>
              <w:rPr>
                <w:rFonts w:hint="eastAsia" w:ascii="宋体" w:hAnsi="宋体" w:cs="宋体"/>
                <w:color w:val="auto"/>
                <w:sz w:val="24"/>
              </w:rPr>
            </w:pPr>
          </w:p>
        </w:tc>
        <w:tc>
          <w:tcPr>
            <w:tcW w:w="1850" w:type="dxa"/>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612" w:type="dxa"/>
            <w:vAlign w:val="center"/>
          </w:tcPr>
          <w:p>
            <w:pPr>
              <w:spacing w:line="0" w:lineRule="atLeast"/>
              <w:rPr>
                <w:rFonts w:hint="eastAsia" w:ascii="宋体" w:hAnsi="宋体" w:cs="宋体"/>
                <w:color w:val="auto"/>
                <w:sz w:val="24"/>
              </w:rPr>
            </w:pPr>
          </w:p>
        </w:tc>
        <w:tc>
          <w:tcPr>
            <w:tcW w:w="1588" w:type="dxa"/>
            <w:tcBorders>
              <w:right w:val="single" w:color="auto" w:sz="4" w:space="0"/>
            </w:tcBorders>
            <w:vAlign w:val="center"/>
          </w:tcPr>
          <w:p>
            <w:pPr>
              <w:spacing w:line="0" w:lineRule="atLeast"/>
              <w:rPr>
                <w:rFonts w:hint="eastAsia" w:ascii="宋体" w:hAnsi="宋体" w:cs="宋体"/>
                <w:color w:val="auto"/>
                <w:sz w:val="24"/>
              </w:rPr>
            </w:pPr>
          </w:p>
        </w:tc>
        <w:tc>
          <w:tcPr>
            <w:tcW w:w="1062" w:type="dxa"/>
            <w:tcBorders>
              <w:left w:val="single" w:color="auto" w:sz="4" w:space="0"/>
            </w:tcBorders>
            <w:vAlign w:val="center"/>
          </w:tcPr>
          <w:p>
            <w:pPr>
              <w:spacing w:line="0" w:lineRule="atLeast"/>
              <w:rPr>
                <w:rFonts w:hint="eastAsia" w:ascii="宋体" w:hAnsi="宋体" w:cs="宋体"/>
                <w:color w:val="auto"/>
                <w:sz w:val="24"/>
              </w:rPr>
            </w:pPr>
          </w:p>
        </w:tc>
        <w:tc>
          <w:tcPr>
            <w:tcW w:w="1015" w:type="dxa"/>
            <w:vAlign w:val="center"/>
          </w:tcPr>
          <w:p>
            <w:pPr>
              <w:spacing w:line="0" w:lineRule="atLeast"/>
              <w:rPr>
                <w:rFonts w:hint="eastAsia" w:ascii="宋体" w:hAnsi="宋体" w:cs="宋体"/>
                <w:color w:val="auto"/>
                <w:sz w:val="24"/>
              </w:rPr>
            </w:pPr>
          </w:p>
        </w:tc>
        <w:tc>
          <w:tcPr>
            <w:tcW w:w="1543" w:type="dxa"/>
            <w:vAlign w:val="center"/>
          </w:tcPr>
          <w:p>
            <w:pPr>
              <w:spacing w:line="0" w:lineRule="atLeast"/>
              <w:rPr>
                <w:rFonts w:hint="eastAsia" w:ascii="宋体" w:hAnsi="宋体" w:cs="宋体"/>
                <w:color w:val="auto"/>
                <w:sz w:val="24"/>
              </w:rPr>
            </w:pPr>
          </w:p>
        </w:tc>
        <w:tc>
          <w:tcPr>
            <w:tcW w:w="1517" w:type="dxa"/>
            <w:vAlign w:val="center"/>
          </w:tcPr>
          <w:p>
            <w:pPr>
              <w:spacing w:line="0" w:lineRule="atLeast"/>
              <w:rPr>
                <w:rFonts w:hint="eastAsia" w:ascii="宋体" w:hAnsi="宋体" w:cs="宋体"/>
                <w:color w:val="auto"/>
                <w:sz w:val="24"/>
              </w:rPr>
            </w:pPr>
          </w:p>
        </w:tc>
        <w:tc>
          <w:tcPr>
            <w:tcW w:w="1216" w:type="dxa"/>
            <w:tcBorders>
              <w:right w:val="single" w:color="auto" w:sz="4" w:space="0"/>
            </w:tcBorders>
            <w:vAlign w:val="center"/>
          </w:tcPr>
          <w:p>
            <w:pPr>
              <w:spacing w:line="0" w:lineRule="atLeast"/>
              <w:rPr>
                <w:rFonts w:hint="eastAsia" w:ascii="宋体" w:hAnsi="宋体" w:cs="宋体"/>
                <w:color w:val="auto"/>
                <w:sz w:val="24"/>
              </w:rPr>
            </w:pPr>
          </w:p>
        </w:tc>
        <w:tc>
          <w:tcPr>
            <w:tcW w:w="1850" w:type="dxa"/>
            <w:tcBorders>
              <w:left w:val="single" w:color="auto" w:sz="4" w:space="0"/>
            </w:tcBorders>
            <w:vAlign w:val="center"/>
          </w:tcPr>
          <w:p>
            <w:pPr>
              <w:spacing w:line="0" w:lineRule="atLeast"/>
              <w:rPr>
                <w:rFonts w:hint="eastAsia" w:ascii="宋体" w:hAnsi="宋体" w:cs="宋体"/>
                <w:color w:val="auto"/>
                <w:sz w:val="24"/>
              </w:rPr>
            </w:pPr>
          </w:p>
        </w:tc>
        <w:tc>
          <w:tcPr>
            <w:tcW w:w="1284" w:type="dxa"/>
            <w:vAlign w:val="center"/>
          </w:tcPr>
          <w:p>
            <w:pPr>
              <w:spacing w:line="0" w:lineRule="atLeast"/>
              <w:rPr>
                <w:rFonts w:hint="eastAsia" w:ascii="宋体" w:hAnsi="宋体" w:cs="宋体"/>
                <w:color w:val="auto"/>
                <w:sz w:val="24"/>
              </w:rPr>
            </w:pPr>
          </w:p>
        </w:tc>
        <w:tc>
          <w:tcPr>
            <w:tcW w:w="1233" w:type="dxa"/>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70" w:hRule="atLeast"/>
        </w:trPr>
        <w:tc>
          <w:tcPr>
            <w:tcW w:w="8553" w:type="dxa"/>
            <w:gridSpan w:val="7"/>
            <w:tcBorders>
              <w:right w:val="single" w:color="auto" w:sz="4" w:space="0"/>
            </w:tcBorders>
            <w:vAlign w:val="center"/>
          </w:tcPr>
          <w:p>
            <w:pPr>
              <w:spacing w:line="0" w:lineRule="atLeast"/>
              <w:jc w:val="center"/>
              <w:rPr>
                <w:rFonts w:hint="eastAsia" w:ascii="宋体" w:hAnsi="宋体" w:cs="宋体"/>
                <w:color w:val="auto"/>
                <w:sz w:val="24"/>
              </w:rPr>
            </w:pPr>
            <w:r>
              <w:rPr>
                <w:rFonts w:hint="eastAsia" w:ascii="宋体" w:hAnsi="宋体" w:cs="宋体"/>
                <w:color w:val="auto"/>
                <w:sz w:val="24"/>
              </w:rPr>
              <w:t>上述所有驾驶员驾龄合计</w:t>
            </w:r>
          </w:p>
        </w:tc>
        <w:tc>
          <w:tcPr>
            <w:tcW w:w="4367" w:type="dxa"/>
            <w:gridSpan w:val="3"/>
            <w:tcBorders>
              <w:left w:val="single" w:color="auto" w:sz="4" w:space="0"/>
            </w:tcBorders>
            <w:vAlign w:val="center"/>
          </w:tcPr>
          <w:p>
            <w:pPr>
              <w:spacing w:line="0" w:lineRule="atLeast"/>
              <w:rPr>
                <w:rFonts w:hint="eastAsia" w:ascii="宋体" w:hAnsi="宋体" w:cs="宋体"/>
                <w:color w:val="auto"/>
                <w:sz w:val="24"/>
              </w:rPr>
            </w:pPr>
          </w:p>
        </w:tc>
        <w:tc>
          <w:tcPr>
            <w:tcW w:w="903" w:type="dxa"/>
            <w:vAlign w:val="center"/>
          </w:tcPr>
          <w:p>
            <w:pPr>
              <w:spacing w:line="0" w:lineRule="atLeast"/>
              <w:rPr>
                <w:rFonts w:hint="eastAsia" w:ascii="宋体" w:hAnsi="宋体" w:cs="宋体"/>
                <w:color w:val="auto"/>
                <w:sz w:val="24"/>
              </w:rPr>
            </w:pPr>
          </w:p>
        </w:tc>
      </w:tr>
    </w:tbl>
    <w:p>
      <w:pPr>
        <w:spacing w:line="148" w:lineRule="exact"/>
        <w:rPr>
          <w:rFonts w:hint="eastAsia" w:ascii="宋体" w:hAnsi="宋体" w:cs="宋体"/>
          <w:color w:val="auto"/>
          <w:sz w:val="20"/>
          <w:szCs w:val="20"/>
        </w:rPr>
      </w:pPr>
    </w:p>
    <w:p>
      <w:pPr>
        <w:spacing w:line="274" w:lineRule="exact"/>
        <w:ind w:left="360"/>
        <w:rPr>
          <w:rFonts w:hint="eastAsia" w:ascii="宋体" w:hAnsi="宋体" w:cs="宋体"/>
          <w:color w:val="auto"/>
          <w:sz w:val="24"/>
        </w:rPr>
      </w:pPr>
      <w:r>
        <w:rPr>
          <w:rFonts w:hint="eastAsia" w:ascii="宋体" w:hAnsi="宋体" w:cs="宋体"/>
          <w:color w:val="auto"/>
          <w:sz w:val="24"/>
        </w:rPr>
        <w:t>注：信息表中提供的驾驶员必须是承担出车任务的司机，且不得随意更换。</w:t>
      </w:r>
    </w:p>
    <w:p>
      <w:pPr>
        <w:spacing w:line="207" w:lineRule="exact"/>
        <w:rPr>
          <w:rFonts w:hint="eastAsia" w:ascii="宋体" w:hAnsi="宋体" w:cs="宋体"/>
          <w:color w:val="auto"/>
        </w:rPr>
      </w:pPr>
    </w:p>
    <w:p>
      <w:pPr>
        <w:spacing w:line="300" w:lineRule="exact"/>
        <w:rPr>
          <w:rFonts w:hint="eastAsia" w:ascii="宋体" w:hAnsi="宋体" w:cs="宋体"/>
          <w:color w:val="auto"/>
          <w:sz w:val="24"/>
          <w:szCs w:val="24"/>
        </w:rPr>
      </w:pPr>
      <w:r>
        <w:rPr>
          <w:rFonts w:hint="eastAsia" w:ascii="宋体" w:hAnsi="宋体" w:cs="宋体"/>
          <w:color w:val="auto"/>
          <w:sz w:val="24"/>
          <w:szCs w:val="24"/>
        </w:rPr>
        <w:t>投标人（公章）：</w:t>
      </w:r>
    </w:p>
    <w:p>
      <w:pPr>
        <w:spacing w:line="300" w:lineRule="exact"/>
        <w:rPr>
          <w:rFonts w:hint="eastAsia" w:ascii="宋体" w:hAnsi="宋体" w:cs="宋体"/>
          <w:color w:val="auto"/>
          <w:sz w:val="24"/>
          <w:szCs w:val="24"/>
        </w:rPr>
      </w:pPr>
      <w:r>
        <w:rPr>
          <w:rFonts w:hint="eastAsia" w:ascii="宋体" w:hAnsi="宋体" w:cs="宋体"/>
          <w:color w:val="auto"/>
          <w:sz w:val="24"/>
          <w:szCs w:val="24"/>
        </w:rPr>
        <w:t>法定代表人（签章）：</w:t>
      </w:r>
    </w:p>
    <w:p>
      <w:pPr>
        <w:tabs>
          <w:tab w:val="left" w:pos="6460"/>
          <w:tab w:val="left" w:pos="7300"/>
          <w:tab w:val="left" w:pos="8140"/>
        </w:tabs>
        <w:spacing w:line="300" w:lineRule="exac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rPr>
        <w:tab/>
      </w:r>
      <w:r>
        <w:rPr>
          <w:rFonts w:hint="eastAsia" w:ascii="宋体" w:hAnsi="宋体" w:cs="宋体"/>
          <w:color w:val="auto"/>
          <w:sz w:val="24"/>
          <w:szCs w:val="24"/>
        </w:rPr>
        <w:t>年</w:t>
      </w:r>
      <w:r>
        <w:rPr>
          <w:rFonts w:hint="eastAsia" w:ascii="宋体" w:hAnsi="宋体" w:cs="宋体"/>
          <w:color w:val="auto"/>
          <w:sz w:val="24"/>
          <w:szCs w:val="24"/>
        </w:rPr>
        <w:tab/>
      </w:r>
      <w:r>
        <w:rPr>
          <w:rFonts w:hint="eastAsia" w:ascii="宋体" w:hAnsi="宋体" w:cs="宋体"/>
          <w:color w:val="auto"/>
          <w:sz w:val="24"/>
          <w:szCs w:val="24"/>
        </w:rPr>
        <w:t>月</w:t>
      </w:r>
      <w:r>
        <w:rPr>
          <w:rFonts w:hint="eastAsia" w:ascii="宋体" w:hAnsi="宋体" w:cs="宋体"/>
          <w:color w:val="auto"/>
          <w:sz w:val="24"/>
          <w:szCs w:val="24"/>
        </w:rPr>
        <w:tab/>
      </w:r>
      <w:r>
        <w:rPr>
          <w:rFonts w:hint="eastAsia" w:ascii="宋体" w:hAnsi="宋体" w:cs="宋体"/>
          <w:color w:val="auto"/>
          <w:sz w:val="24"/>
          <w:szCs w:val="24"/>
        </w:rPr>
        <w:t>日</w:t>
      </w:r>
    </w:p>
    <w:p>
      <w:pPr>
        <w:snapToGrid w:val="0"/>
        <w:spacing w:line="300" w:lineRule="exact"/>
        <w:jc w:val="center"/>
        <w:rPr>
          <w:rFonts w:hint="eastAsia" w:ascii="宋体" w:hAnsi="宋体" w:cs="宋体"/>
          <w:color w:val="auto"/>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七、技术参数响应及偏离表（如有）</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2852" w:type="dxa"/>
            <w:vAlign w:val="center"/>
          </w:tcPr>
          <w:p>
            <w:pPr>
              <w:rPr>
                <w:rFonts w:hint="eastAsia" w:ascii="宋体" w:hAns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hint="eastAsia" w:ascii="宋体" w:hAns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hint="eastAsia" w:ascii="宋体" w:hAns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hint="eastAsia" w:ascii="宋体" w:hAns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2852" w:type="dxa"/>
          </w:tcPr>
          <w:p>
            <w:pPr>
              <w:jc w:val="center"/>
              <w:rPr>
                <w:rFonts w:hint="eastAsia" w:ascii="宋体" w:hAnsi="宋体" w:cs="宋体"/>
                <w:color w:val="auto"/>
                <w:sz w:val="24"/>
                <w:szCs w:val="24"/>
              </w:rPr>
            </w:pPr>
          </w:p>
        </w:tc>
        <w:tc>
          <w:tcPr>
            <w:tcW w:w="1308" w:type="dxa"/>
          </w:tcPr>
          <w:p>
            <w:pPr>
              <w:jc w:val="center"/>
              <w:rPr>
                <w:rFonts w:hint="eastAsia" w:ascii="宋体" w:hAnsi="宋体" w:cs="宋体"/>
                <w:color w:val="auto"/>
                <w:sz w:val="24"/>
                <w:szCs w:val="24"/>
              </w:rPr>
            </w:pPr>
          </w:p>
        </w:tc>
        <w:tc>
          <w:tcPr>
            <w:tcW w:w="1173" w:type="dxa"/>
          </w:tcPr>
          <w:p>
            <w:pPr>
              <w:jc w:val="center"/>
              <w:rPr>
                <w:rFonts w:hint="eastAsia" w:ascii="宋体" w:hAnsi="宋体" w:cs="宋体"/>
                <w:color w:val="auto"/>
                <w:sz w:val="24"/>
                <w:szCs w:val="24"/>
              </w:rPr>
            </w:pPr>
          </w:p>
        </w:tc>
      </w:tr>
    </w:tbl>
    <w:p>
      <w:pPr>
        <w:rPr>
          <w:rFonts w:hint="eastAsia" w:ascii="宋体" w:hAnsi="宋体" w:cs="宋体"/>
          <w:color w:val="auto"/>
          <w:sz w:val="24"/>
          <w:szCs w:val="24"/>
        </w:rPr>
      </w:pPr>
      <w:r>
        <w:rPr>
          <w:rFonts w:hint="eastAsia" w:ascii="宋体" w:hAnsi="宋体" w:cs="宋体"/>
          <w:color w:val="auto"/>
          <w:sz w:val="24"/>
          <w:szCs w:val="24"/>
        </w:rPr>
        <w:t>法定代表人或授权代表签字：</w:t>
      </w: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注：1、按照基本技术要求详细填列。</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2、行数不够，可自行添加。</w:t>
      </w: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rPr>
          <w:rFonts w:hint="eastAsia" w:ascii="宋体" w:hAnsi="宋体" w:cs="宋体"/>
          <w:color w:val="auto"/>
          <w:sz w:val="32"/>
        </w:rPr>
      </w:pPr>
    </w:p>
    <w:bookmarkEnd w:id="170"/>
    <w:p>
      <w:pPr>
        <w:snapToGrid w:val="0"/>
        <w:spacing w:before="50" w:after="50"/>
        <w:jc w:val="center"/>
        <w:rPr>
          <w:rFonts w:hint="eastAsia" w:ascii="宋体" w:hAnsi="宋体" w:cs="宋体"/>
          <w:color w:val="auto"/>
          <w:sz w:val="32"/>
          <w:szCs w:val="32"/>
        </w:rPr>
      </w:pPr>
      <w:bookmarkStart w:id="171" w:name="_Hlt26955054"/>
      <w:bookmarkEnd w:id="171"/>
      <w:r>
        <w:rPr>
          <w:rFonts w:hint="eastAsia" w:ascii="宋体" w:hAnsi="宋体" w:cs="宋体"/>
          <w:color w:val="auto"/>
          <w:sz w:val="32"/>
          <w:szCs w:val="32"/>
        </w:rPr>
        <w:t>八、商务条款响应及偏离表（如有）</w:t>
      </w:r>
    </w:p>
    <w:p>
      <w:pPr>
        <w:jc w:val="cente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 xml:space="preserve">投标人全称（加盖公章）：        </w:t>
      </w:r>
    </w:p>
    <w:tbl>
      <w:tblPr>
        <w:tblStyle w:val="4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服务期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用车响应时间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r>
              <w:rPr>
                <w:rFonts w:hint="eastAsia" w:ascii="宋体" w:hAnsi="宋体" w:cs="宋体"/>
                <w:color w:val="auto"/>
                <w:sz w:val="24"/>
              </w:rPr>
              <w:t>用车地点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p>
          <w:p>
            <w:pPr>
              <w:snapToGrid w:val="0"/>
              <w:spacing w:beforeLines="50"/>
              <w:rPr>
                <w:rFonts w:hint="eastAsia"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rPr>
            </w:pPr>
            <w:r>
              <w:rPr>
                <w:rFonts w:hint="eastAsia" w:ascii="宋体" w:hAnsi="宋体" w:cs="宋体"/>
                <w:color w:val="auto"/>
                <w:sz w:val="24"/>
              </w:rPr>
              <w:t>备品备件等要求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hint="eastAsia" w:ascii="宋体" w:hAnsi="宋体" w:cs="宋体"/>
                <w:color w:val="auto"/>
                <w:sz w:val="24"/>
                <w:szCs w:val="20"/>
              </w:rPr>
            </w:pPr>
          </w:p>
        </w:tc>
      </w:tr>
    </w:tbl>
    <w:p>
      <w:pPr>
        <w:rPr>
          <w:rFonts w:hint="eastAsia" w:ascii="宋体" w:hAnsi="宋体" w:cs="宋体"/>
          <w:color w:val="auto"/>
          <w:sz w:val="24"/>
          <w:szCs w:val="24"/>
        </w:rPr>
      </w:pPr>
      <w:r>
        <w:rPr>
          <w:rFonts w:hint="eastAsia" w:ascii="宋体" w:hAnsi="宋体" w:cs="宋体"/>
          <w:color w:val="auto"/>
          <w:sz w:val="24"/>
          <w:szCs w:val="24"/>
        </w:rPr>
        <w:t>法定代表人或授权代表签字：</w:t>
      </w:r>
    </w:p>
    <w:p>
      <w:pPr>
        <w:pStyle w:val="3"/>
        <w:rPr>
          <w:rFonts w:hint="eastAsia" w:ascii="宋体" w:hAnsi="宋体" w:eastAsia="宋体" w:cs="宋体"/>
          <w:b w:val="0"/>
          <w:bCs w:val="0"/>
          <w:color w:val="auto"/>
          <w:sz w:val="24"/>
          <w:szCs w:val="21"/>
        </w:rPr>
      </w:pPr>
    </w:p>
    <w:p>
      <w:pPr>
        <w:pStyle w:val="4"/>
        <w:rPr>
          <w:rFonts w:hint="eastAsia" w:ascii="宋体" w:hAnsi="宋体" w:cs="宋体"/>
          <w:color w:val="auto"/>
          <w:lang w:val="en-US" w:eastAsia="zh-CN"/>
        </w:rPr>
      </w:pPr>
    </w:p>
    <w:p>
      <w:pPr>
        <w:spacing w:line="480" w:lineRule="auto"/>
        <w:rPr>
          <w:rFonts w:hint="eastAsia" w:ascii="宋体" w:hAnsi="宋体" w:cs="宋体"/>
          <w:color w:val="auto"/>
          <w:sz w:val="30"/>
        </w:rPr>
      </w:pPr>
      <w:bookmarkStart w:id="172" w:name="_Hlt26671374"/>
      <w:bookmarkEnd w:id="172"/>
      <w:bookmarkStart w:id="173" w:name="_Hlt26955064"/>
      <w:bookmarkEnd w:id="173"/>
      <w:bookmarkStart w:id="174" w:name="_Hlt26955066"/>
      <w:bookmarkEnd w:id="174"/>
      <w:bookmarkStart w:id="175" w:name="_Hlt26671372"/>
      <w:bookmarkEnd w:id="175"/>
      <w:bookmarkStart w:id="176" w:name="_Hlt26609389"/>
      <w:bookmarkEnd w:id="176"/>
      <w:bookmarkStart w:id="177" w:name="_Hlt26782999"/>
      <w:bookmarkEnd w:id="177"/>
      <w:bookmarkStart w:id="178" w:name="_Hlt26671343"/>
      <w:bookmarkEnd w:id="178"/>
      <w:bookmarkStart w:id="179" w:name="_Hlt24879081"/>
      <w:bookmarkEnd w:id="179"/>
      <w:bookmarkStart w:id="180" w:name="_Hlt26955056"/>
      <w:bookmarkEnd w:id="180"/>
      <w:bookmarkStart w:id="181" w:name="_Hlt26580838"/>
      <w:bookmarkEnd w:id="181"/>
      <w:bookmarkStart w:id="182" w:name="_Hlt26609391"/>
      <w:bookmarkEnd w:id="182"/>
      <w:bookmarkStart w:id="183" w:name="_Toc462564146"/>
    </w:p>
    <w:p>
      <w:pPr>
        <w:pStyle w:val="4"/>
        <w:ind w:firstLine="0"/>
        <w:rPr>
          <w:rFonts w:hint="eastAsia" w:ascii="宋体" w:hAnsi="宋体" w:cs="宋体"/>
          <w:color w:val="auto"/>
          <w:sz w:val="24"/>
          <w:lang w:eastAsia="zh-CN"/>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p>
    <w:p>
      <w:pPr>
        <w:snapToGrid w:val="0"/>
        <w:spacing w:before="50" w:after="50"/>
        <w:jc w:val="center"/>
        <w:rPr>
          <w:rFonts w:hint="eastAsia" w:ascii="宋体" w:hAnsi="宋体" w:cs="宋体"/>
          <w:color w:val="auto"/>
          <w:sz w:val="32"/>
          <w:szCs w:val="32"/>
        </w:rPr>
      </w:pPr>
      <w:r>
        <w:rPr>
          <w:rFonts w:hint="eastAsia" w:ascii="宋体" w:hAnsi="宋体" w:cs="宋体"/>
          <w:color w:val="auto"/>
          <w:sz w:val="32"/>
          <w:szCs w:val="32"/>
        </w:rPr>
        <w:t>九、技术方案、服务承诺等</w:t>
      </w:r>
      <w:bookmarkEnd w:id="157"/>
      <w:bookmarkEnd w:id="158"/>
      <w:bookmarkEnd w:id="183"/>
      <w:bookmarkStart w:id="184" w:name="_格式2__法定代表人授权书"/>
      <w:bookmarkEnd w:id="184"/>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Fonts w:ascii="宋体" w:hAnsi="宋体"/>
      </w:rPr>
    </w:pPr>
    <w:r>
      <w:rPr>
        <w:rFonts w:ascii="宋体" w:hAnsi="宋体"/>
      </w:rPr>
      <w:fldChar w:fldCharType="begin"/>
    </w:r>
    <w:r>
      <w:rPr>
        <w:rStyle w:val="48"/>
        <w:rFonts w:ascii="宋体" w:hAnsi="宋体"/>
      </w:rPr>
      <w:instrText xml:space="preserve">PAGE  </w:instrText>
    </w:r>
    <w:r>
      <w:rPr>
        <w:rFonts w:ascii="宋体" w:hAnsi="宋体"/>
      </w:rPr>
      <w:fldChar w:fldCharType="separate"/>
    </w:r>
    <w:r>
      <w:rPr>
        <w:rStyle w:val="48"/>
        <w:rFonts w:ascii="宋体" w:hAnsi="宋体"/>
      </w:rPr>
      <w:t>４４</w:t>
    </w:r>
    <w:r>
      <w:rPr>
        <w:rFonts w:ascii="宋体" w:hAnsi="宋体"/>
      </w:rPr>
      <w:fldChar w:fldCharType="end"/>
    </w:r>
  </w:p>
  <w:p>
    <w:pPr>
      <w:pStyle w:val="27"/>
      <w:jc w:val="center"/>
      <w:rPr>
        <w:rFonts w:hint="eastAsia"/>
        <w:b/>
        <w:i/>
      </w:rPr>
    </w:pPr>
    <w:r>
      <w:rPr>
        <w:b/>
        <w:i/>
        <w:kern w:val="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eastAsia="隶书"/>
        <w:color w:val="FF0000"/>
        <w:spacing w:val="40"/>
        <w:sz w:val="21"/>
        <w:szCs w:val="21"/>
      </w:rPr>
    </w:pPr>
    <w:r>
      <w:rPr>
        <w:rFonts w:hint="eastAsia" w:eastAsia="隶书"/>
        <w:color w:val="FF0000"/>
        <w:spacing w:val="40"/>
        <w:sz w:val="21"/>
        <w:szCs w:val="21"/>
      </w:rPr>
      <w:t>201</w:t>
    </w:r>
    <w:r>
      <w:rPr>
        <w:rFonts w:hint="eastAsia" w:eastAsia="隶书"/>
        <w:color w:val="FF0000"/>
        <w:spacing w:val="40"/>
        <w:sz w:val="21"/>
        <w:szCs w:val="21"/>
        <w:lang w:val="en-US" w:eastAsia="zh-CN"/>
      </w:rPr>
      <w:t>9</w:t>
    </w:r>
    <w:r>
      <w:rPr>
        <w:rFonts w:hint="eastAsia" w:eastAsia="隶书"/>
        <w:color w:val="FF0000"/>
        <w:spacing w:val="40"/>
        <w:sz w:val="21"/>
        <w:szCs w:val="21"/>
      </w:rPr>
      <w:t>-0</w:t>
    </w:r>
    <w:r>
      <w:rPr>
        <w:rFonts w:hint="eastAsia" w:eastAsia="隶书"/>
        <w:color w:val="FF0000"/>
        <w:spacing w:val="40"/>
        <w:sz w:val="21"/>
        <w:szCs w:val="21"/>
        <w:lang w:val="en-US" w:eastAsia="zh-CN"/>
      </w:rPr>
      <w:t>09S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88"/>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mirrorMargins w:val="1"/>
  <w:attachedTemplate r:id="rId1"/>
  <w:documentProtection w:enforcement="0"/>
  <w:defaultTabStop w:val="425"/>
  <w:drawingGridHorizontalSpacing w:val="105"/>
  <w:drawingGridVerticalSpacing w:val="149"/>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37990"/>
    <w:rsid w:val="000434F6"/>
    <w:rsid w:val="000440A4"/>
    <w:rsid w:val="00045D22"/>
    <w:rsid w:val="00046B9E"/>
    <w:rsid w:val="0005153E"/>
    <w:rsid w:val="000544A7"/>
    <w:rsid w:val="0005513D"/>
    <w:rsid w:val="00055BC4"/>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824BA"/>
    <w:rsid w:val="00082C5C"/>
    <w:rsid w:val="00082F11"/>
    <w:rsid w:val="000833E7"/>
    <w:rsid w:val="0008366C"/>
    <w:rsid w:val="000837A2"/>
    <w:rsid w:val="00084B83"/>
    <w:rsid w:val="00085AAC"/>
    <w:rsid w:val="00090BB5"/>
    <w:rsid w:val="000939A7"/>
    <w:rsid w:val="00094732"/>
    <w:rsid w:val="00094CD5"/>
    <w:rsid w:val="00095042"/>
    <w:rsid w:val="000956B3"/>
    <w:rsid w:val="00096A17"/>
    <w:rsid w:val="000A2569"/>
    <w:rsid w:val="000A2FC6"/>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335D"/>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5BDF"/>
    <w:rsid w:val="001B2DEF"/>
    <w:rsid w:val="001B5050"/>
    <w:rsid w:val="001B7E61"/>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110F"/>
    <w:rsid w:val="001F15A6"/>
    <w:rsid w:val="001F1B38"/>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27C7"/>
    <w:rsid w:val="00223B19"/>
    <w:rsid w:val="00224736"/>
    <w:rsid w:val="00225AFD"/>
    <w:rsid w:val="00230D01"/>
    <w:rsid w:val="00233012"/>
    <w:rsid w:val="002330E9"/>
    <w:rsid w:val="00234032"/>
    <w:rsid w:val="002340C8"/>
    <w:rsid w:val="00243056"/>
    <w:rsid w:val="0024324A"/>
    <w:rsid w:val="0024354B"/>
    <w:rsid w:val="002440FD"/>
    <w:rsid w:val="00244357"/>
    <w:rsid w:val="00244756"/>
    <w:rsid w:val="00244C9A"/>
    <w:rsid w:val="00244FFE"/>
    <w:rsid w:val="00247653"/>
    <w:rsid w:val="0025045D"/>
    <w:rsid w:val="00254FD3"/>
    <w:rsid w:val="002561D3"/>
    <w:rsid w:val="00256269"/>
    <w:rsid w:val="00260723"/>
    <w:rsid w:val="002607A3"/>
    <w:rsid w:val="00260BB7"/>
    <w:rsid w:val="00262FF0"/>
    <w:rsid w:val="002664E2"/>
    <w:rsid w:val="00266DDA"/>
    <w:rsid w:val="0027038C"/>
    <w:rsid w:val="002716FB"/>
    <w:rsid w:val="0027505D"/>
    <w:rsid w:val="00281581"/>
    <w:rsid w:val="00281895"/>
    <w:rsid w:val="00285C1D"/>
    <w:rsid w:val="00287E9A"/>
    <w:rsid w:val="00290A64"/>
    <w:rsid w:val="002910ED"/>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54B"/>
    <w:rsid w:val="003A4D66"/>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41C8"/>
    <w:rsid w:val="0045494F"/>
    <w:rsid w:val="00455782"/>
    <w:rsid w:val="00455EB6"/>
    <w:rsid w:val="0046057B"/>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D41"/>
    <w:rsid w:val="00502660"/>
    <w:rsid w:val="00503685"/>
    <w:rsid w:val="005046FA"/>
    <w:rsid w:val="00504FB2"/>
    <w:rsid w:val="00505733"/>
    <w:rsid w:val="00506B42"/>
    <w:rsid w:val="005118AB"/>
    <w:rsid w:val="00512034"/>
    <w:rsid w:val="005142D5"/>
    <w:rsid w:val="00514D3A"/>
    <w:rsid w:val="00514F73"/>
    <w:rsid w:val="005150D2"/>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51078"/>
    <w:rsid w:val="005528D7"/>
    <w:rsid w:val="0055319A"/>
    <w:rsid w:val="00553A93"/>
    <w:rsid w:val="00553E41"/>
    <w:rsid w:val="00556ACF"/>
    <w:rsid w:val="00557A2E"/>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57B"/>
    <w:rsid w:val="00595052"/>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2A03"/>
    <w:rsid w:val="00615124"/>
    <w:rsid w:val="00617A49"/>
    <w:rsid w:val="00617E8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AAC"/>
    <w:rsid w:val="0073782C"/>
    <w:rsid w:val="00737840"/>
    <w:rsid w:val="0074062F"/>
    <w:rsid w:val="007406CA"/>
    <w:rsid w:val="00740D6F"/>
    <w:rsid w:val="00740F5D"/>
    <w:rsid w:val="00741C57"/>
    <w:rsid w:val="007421D6"/>
    <w:rsid w:val="0074243F"/>
    <w:rsid w:val="00742A78"/>
    <w:rsid w:val="00742BBF"/>
    <w:rsid w:val="00744352"/>
    <w:rsid w:val="0074612B"/>
    <w:rsid w:val="00747EEB"/>
    <w:rsid w:val="007526D9"/>
    <w:rsid w:val="007544E5"/>
    <w:rsid w:val="0075607C"/>
    <w:rsid w:val="007565CD"/>
    <w:rsid w:val="00761B03"/>
    <w:rsid w:val="00762D54"/>
    <w:rsid w:val="00762E7D"/>
    <w:rsid w:val="007656B3"/>
    <w:rsid w:val="00766122"/>
    <w:rsid w:val="00766753"/>
    <w:rsid w:val="00766F33"/>
    <w:rsid w:val="00767BF4"/>
    <w:rsid w:val="0077182E"/>
    <w:rsid w:val="007729B6"/>
    <w:rsid w:val="00772AF3"/>
    <w:rsid w:val="0077516D"/>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1C73"/>
    <w:rsid w:val="00831ED5"/>
    <w:rsid w:val="0083559D"/>
    <w:rsid w:val="00835DA2"/>
    <w:rsid w:val="00836173"/>
    <w:rsid w:val="00836F4D"/>
    <w:rsid w:val="00841AB6"/>
    <w:rsid w:val="008441DE"/>
    <w:rsid w:val="00844726"/>
    <w:rsid w:val="00844D3B"/>
    <w:rsid w:val="008473C8"/>
    <w:rsid w:val="00852DCA"/>
    <w:rsid w:val="00852FB8"/>
    <w:rsid w:val="00856B7C"/>
    <w:rsid w:val="008571C5"/>
    <w:rsid w:val="00860414"/>
    <w:rsid w:val="008618CB"/>
    <w:rsid w:val="00864C4D"/>
    <w:rsid w:val="008654C3"/>
    <w:rsid w:val="00865952"/>
    <w:rsid w:val="00866542"/>
    <w:rsid w:val="00867C09"/>
    <w:rsid w:val="00871945"/>
    <w:rsid w:val="00871A21"/>
    <w:rsid w:val="00873179"/>
    <w:rsid w:val="00873C3E"/>
    <w:rsid w:val="008746B5"/>
    <w:rsid w:val="008753E1"/>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18A"/>
    <w:rsid w:val="00953603"/>
    <w:rsid w:val="00953D4F"/>
    <w:rsid w:val="00953D99"/>
    <w:rsid w:val="00953F22"/>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03E1"/>
    <w:rsid w:val="00BA23E5"/>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244B"/>
    <w:rsid w:val="00C22796"/>
    <w:rsid w:val="00C22CFD"/>
    <w:rsid w:val="00C233A4"/>
    <w:rsid w:val="00C26D1F"/>
    <w:rsid w:val="00C302D0"/>
    <w:rsid w:val="00C3032B"/>
    <w:rsid w:val="00C30F62"/>
    <w:rsid w:val="00C319A5"/>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B35"/>
    <w:rsid w:val="00C60ECA"/>
    <w:rsid w:val="00C61CB3"/>
    <w:rsid w:val="00C61D8C"/>
    <w:rsid w:val="00C6304B"/>
    <w:rsid w:val="00C65365"/>
    <w:rsid w:val="00C65D18"/>
    <w:rsid w:val="00C7129C"/>
    <w:rsid w:val="00C722C8"/>
    <w:rsid w:val="00C7246A"/>
    <w:rsid w:val="00C72E71"/>
    <w:rsid w:val="00C73A3A"/>
    <w:rsid w:val="00C74005"/>
    <w:rsid w:val="00C74501"/>
    <w:rsid w:val="00C7629C"/>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FFA"/>
    <w:rsid w:val="00D17568"/>
    <w:rsid w:val="00D20E60"/>
    <w:rsid w:val="00D23157"/>
    <w:rsid w:val="00D23991"/>
    <w:rsid w:val="00D23ADD"/>
    <w:rsid w:val="00D24774"/>
    <w:rsid w:val="00D25267"/>
    <w:rsid w:val="00D25334"/>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9B9"/>
    <w:rsid w:val="00D679E6"/>
    <w:rsid w:val="00D724E9"/>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40AEB"/>
    <w:rsid w:val="00E41D2A"/>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F88"/>
    <w:rsid w:val="00E729DC"/>
    <w:rsid w:val="00E752BF"/>
    <w:rsid w:val="00E75FA0"/>
    <w:rsid w:val="00E772E6"/>
    <w:rsid w:val="00E80C7D"/>
    <w:rsid w:val="00E81490"/>
    <w:rsid w:val="00E816BF"/>
    <w:rsid w:val="00E82551"/>
    <w:rsid w:val="00E847CA"/>
    <w:rsid w:val="00E84A4E"/>
    <w:rsid w:val="00E8533E"/>
    <w:rsid w:val="00E86A9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7E04"/>
    <w:rsid w:val="00F7258A"/>
    <w:rsid w:val="00F72D18"/>
    <w:rsid w:val="00F73F6F"/>
    <w:rsid w:val="00F7451A"/>
    <w:rsid w:val="00F74655"/>
    <w:rsid w:val="00F75623"/>
    <w:rsid w:val="00F810CE"/>
    <w:rsid w:val="00F817D4"/>
    <w:rsid w:val="00F82B31"/>
    <w:rsid w:val="00F84762"/>
    <w:rsid w:val="00F85996"/>
    <w:rsid w:val="00F85C3B"/>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4F71"/>
    <w:rsid w:val="00FE543B"/>
    <w:rsid w:val="00FF15C6"/>
    <w:rsid w:val="00FF1BC1"/>
    <w:rsid w:val="00FF2264"/>
    <w:rsid w:val="00FF2980"/>
    <w:rsid w:val="00FF4E6C"/>
    <w:rsid w:val="00FF6EF0"/>
    <w:rsid w:val="00FF77E8"/>
    <w:rsid w:val="01A06577"/>
    <w:rsid w:val="01DE7452"/>
    <w:rsid w:val="01E76016"/>
    <w:rsid w:val="02050097"/>
    <w:rsid w:val="022B28F6"/>
    <w:rsid w:val="023422F4"/>
    <w:rsid w:val="023A2AF7"/>
    <w:rsid w:val="02657A95"/>
    <w:rsid w:val="02B61836"/>
    <w:rsid w:val="02D75674"/>
    <w:rsid w:val="03061670"/>
    <w:rsid w:val="033752FB"/>
    <w:rsid w:val="03681095"/>
    <w:rsid w:val="03A70968"/>
    <w:rsid w:val="03C6434A"/>
    <w:rsid w:val="0466526C"/>
    <w:rsid w:val="046A2F2A"/>
    <w:rsid w:val="048242F0"/>
    <w:rsid w:val="04AA4610"/>
    <w:rsid w:val="058F3BA2"/>
    <w:rsid w:val="05955AD6"/>
    <w:rsid w:val="05E15F75"/>
    <w:rsid w:val="05F248A5"/>
    <w:rsid w:val="05FB1C69"/>
    <w:rsid w:val="069245BC"/>
    <w:rsid w:val="0770126C"/>
    <w:rsid w:val="077C5B46"/>
    <w:rsid w:val="07896D1A"/>
    <w:rsid w:val="078C5A74"/>
    <w:rsid w:val="07A720F1"/>
    <w:rsid w:val="07B77FD5"/>
    <w:rsid w:val="07DF12C2"/>
    <w:rsid w:val="081A6099"/>
    <w:rsid w:val="081B329A"/>
    <w:rsid w:val="081C087D"/>
    <w:rsid w:val="081D0D4B"/>
    <w:rsid w:val="083E12E4"/>
    <w:rsid w:val="084A0D06"/>
    <w:rsid w:val="085870CF"/>
    <w:rsid w:val="086276B6"/>
    <w:rsid w:val="08A66DB8"/>
    <w:rsid w:val="08CD7189"/>
    <w:rsid w:val="08E902E0"/>
    <w:rsid w:val="08EA0C53"/>
    <w:rsid w:val="09373CEE"/>
    <w:rsid w:val="093B4C79"/>
    <w:rsid w:val="09B2348A"/>
    <w:rsid w:val="09B557FE"/>
    <w:rsid w:val="09F71A9A"/>
    <w:rsid w:val="0A7F08FC"/>
    <w:rsid w:val="0ABD6A6C"/>
    <w:rsid w:val="0AD25B65"/>
    <w:rsid w:val="0B005B84"/>
    <w:rsid w:val="0B0D13AD"/>
    <w:rsid w:val="0B9572F0"/>
    <w:rsid w:val="0BC2301B"/>
    <w:rsid w:val="0BDF6787"/>
    <w:rsid w:val="0BE649AF"/>
    <w:rsid w:val="0BEF5DCD"/>
    <w:rsid w:val="0C571998"/>
    <w:rsid w:val="0C8D2811"/>
    <w:rsid w:val="0CA43634"/>
    <w:rsid w:val="0CA57742"/>
    <w:rsid w:val="0D392285"/>
    <w:rsid w:val="0DBA5A38"/>
    <w:rsid w:val="0E164BA2"/>
    <w:rsid w:val="0E353CC2"/>
    <w:rsid w:val="0E5B63C0"/>
    <w:rsid w:val="0E5D6B54"/>
    <w:rsid w:val="0EA15E6B"/>
    <w:rsid w:val="0EA55529"/>
    <w:rsid w:val="0F0F58D5"/>
    <w:rsid w:val="0F1D5CF6"/>
    <w:rsid w:val="0F4124F0"/>
    <w:rsid w:val="0F4A11AE"/>
    <w:rsid w:val="0F6654C2"/>
    <w:rsid w:val="0F7E04B7"/>
    <w:rsid w:val="0F9D62C2"/>
    <w:rsid w:val="0FA27AC6"/>
    <w:rsid w:val="0FC36169"/>
    <w:rsid w:val="104800FF"/>
    <w:rsid w:val="107F4ECE"/>
    <w:rsid w:val="10950A26"/>
    <w:rsid w:val="10F63E27"/>
    <w:rsid w:val="11523049"/>
    <w:rsid w:val="11552AF0"/>
    <w:rsid w:val="115B6A6A"/>
    <w:rsid w:val="116C18AE"/>
    <w:rsid w:val="11820C75"/>
    <w:rsid w:val="11D46CD6"/>
    <w:rsid w:val="11EC6CB7"/>
    <w:rsid w:val="11EE0AA9"/>
    <w:rsid w:val="121E0170"/>
    <w:rsid w:val="12411297"/>
    <w:rsid w:val="129656E5"/>
    <w:rsid w:val="1335289F"/>
    <w:rsid w:val="1348751E"/>
    <w:rsid w:val="13493969"/>
    <w:rsid w:val="1350244E"/>
    <w:rsid w:val="13511C3F"/>
    <w:rsid w:val="136E563B"/>
    <w:rsid w:val="13853ACA"/>
    <w:rsid w:val="13AB4140"/>
    <w:rsid w:val="13FA0D00"/>
    <w:rsid w:val="140C2E58"/>
    <w:rsid w:val="146576FF"/>
    <w:rsid w:val="14953F46"/>
    <w:rsid w:val="15290896"/>
    <w:rsid w:val="155322FE"/>
    <w:rsid w:val="157210B5"/>
    <w:rsid w:val="15991134"/>
    <w:rsid w:val="159C7D85"/>
    <w:rsid w:val="15AF2C63"/>
    <w:rsid w:val="15BE38A8"/>
    <w:rsid w:val="15D77212"/>
    <w:rsid w:val="16071F04"/>
    <w:rsid w:val="160750D7"/>
    <w:rsid w:val="16AF081C"/>
    <w:rsid w:val="16B74A02"/>
    <w:rsid w:val="16E116CB"/>
    <w:rsid w:val="17100EA0"/>
    <w:rsid w:val="17157493"/>
    <w:rsid w:val="174710BA"/>
    <w:rsid w:val="178E3DB2"/>
    <w:rsid w:val="17A8246A"/>
    <w:rsid w:val="17AE3491"/>
    <w:rsid w:val="17CC7169"/>
    <w:rsid w:val="17F34B63"/>
    <w:rsid w:val="17FC21A7"/>
    <w:rsid w:val="181333F0"/>
    <w:rsid w:val="182D2D90"/>
    <w:rsid w:val="183E7FF2"/>
    <w:rsid w:val="18531701"/>
    <w:rsid w:val="18CF2B5E"/>
    <w:rsid w:val="18DB155A"/>
    <w:rsid w:val="193C6538"/>
    <w:rsid w:val="19745520"/>
    <w:rsid w:val="19754B0A"/>
    <w:rsid w:val="198D1E3B"/>
    <w:rsid w:val="19A96BBA"/>
    <w:rsid w:val="1A2C25A2"/>
    <w:rsid w:val="1A457ECA"/>
    <w:rsid w:val="1A6E1B0B"/>
    <w:rsid w:val="1AE32517"/>
    <w:rsid w:val="1B1D61C5"/>
    <w:rsid w:val="1B5C74FF"/>
    <w:rsid w:val="1B923D78"/>
    <w:rsid w:val="1BE16592"/>
    <w:rsid w:val="1C287D46"/>
    <w:rsid w:val="1C6D3723"/>
    <w:rsid w:val="1CE35B3D"/>
    <w:rsid w:val="1D2C04B3"/>
    <w:rsid w:val="1D4A3F81"/>
    <w:rsid w:val="1D506DF7"/>
    <w:rsid w:val="1D6046DD"/>
    <w:rsid w:val="1D6F5499"/>
    <w:rsid w:val="1D870ED1"/>
    <w:rsid w:val="1D99601C"/>
    <w:rsid w:val="1E016EDB"/>
    <w:rsid w:val="1E116642"/>
    <w:rsid w:val="1E334216"/>
    <w:rsid w:val="1E5661F4"/>
    <w:rsid w:val="1E6132AA"/>
    <w:rsid w:val="1E960512"/>
    <w:rsid w:val="1EB1724C"/>
    <w:rsid w:val="1ED02002"/>
    <w:rsid w:val="1EF35FB7"/>
    <w:rsid w:val="1F397219"/>
    <w:rsid w:val="1F4829E7"/>
    <w:rsid w:val="1F565BBC"/>
    <w:rsid w:val="1F9D76A4"/>
    <w:rsid w:val="1F9E2262"/>
    <w:rsid w:val="1FB13BE8"/>
    <w:rsid w:val="1FBC3642"/>
    <w:rsid w:val="1FD05CAE"/>
    <w:rsid w:val="1FFB49F1"/>
    <w:rsid w:val="200D1765"/>
    <w:rsid w:val="201868CF"/>
    <w:rsid w:val="202E3A91"/>
    <w:rsid w:val="204B1EED"/>
    <w:rsid w:val="208E350F"/>
    <w:rsid w:val="20B129D8"/>
    <w:rsid w:val="210B10AB"/>
    <w:rsid w:val="211B3BFC"/>
    <w:rsid w:val="21A316E9"/>
    <w:rsid w:val="21C70C5A"/>
    <w:rsid w:val="223F09BC"/>
    <w:rsid w:val="225B4DA9"/>
    <w:rsid w:val="22770A9C"/>
    <w:rsid w:val="229822B9"/>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96C5A"/>
    <w:rsid w:val="25B4355D"/>
    <w:rsid w:val="2626039D"/>
    <w:rsid w:val="26487C5D"/>
    <w:rsid w:val="26523E4C"/>
    <w:rsid w:val="26616E4B"/>
    <w:rsid w:val="26672C96"/>
    <w:rsid w:val="26782463"/>
    <w:rsid w:val="268E3040"/>
    <w:rsid w:val="269E138F"/>
    <w:rsid w:val="26E0436F"/>
    <w:rsid w:val="26E04F08"/>
    <w:rsid w:val="26E76F3A"/>
    <w:rsid w:val="27113B2B"/>
    <w:rsid w:val="27681675"/>
    <w:rsid w:val="27AB1867"/>
    <w:rsid w:val="28237988"/>
    <w:rsid w:val="28CE0E04"/>
    <w:rsid w:val="290B5302"/>
    <w:rsid w:val="292F0EBE"/>
    <w:rsid w:val="293F4359"/>
    <w:rsid w:val="294B60C7"/>
    <w:rsid w:val="29FB4A97"/>
    <w:rsid w:val="2A5B1C4F"/>
    <w:rsid w:val="2A6B79C6"/>
    <w:rsid w:val="2A8E0150"/>
    <w:rsid w:val="2B3D64A8"/>
    <w:rsid w:val="2B881716"/>
    <w:rsid w:val="2B8A2DE8"/>
    <w:rsid w:val="2BA0092B"/>
    <w:rsid w:val="2BAE54D0"/>
    <w:rsid w:val="2BC220C8"/>
    <w:rsid w:val="2C354664"/>
    <w:rsid w:val="2CB86E7B"/>
    <w:rsid w:val="2CCF2E39"/>
    <w:rsid w:val="2CED0357"/>
    <w:rsid w:val="2CFD4C45"/>
    <w:rsid w:val="2D0E29C3"/>
    <w:rsid w:val="2D153425"/>
    <w:rsid w:val="2D1F4B26"/>
    <w:rsid w:val="2DBD5DD2"/>
    <w:rsid w:val="2DC44B8C"/>
    <w:rsid w:val="2DCA7228"/>
    <w:rsid w:val="2DD84E6F"/>
    <w:rsid w:val="2DEA4E74"/>
    <w:rsid w:val="2EB1329C"/>
    <w:rsid w:val="2F025ABF"/>
    <w:rsid w:val="2F1F0BAA"/>
    <w:rsid w:val="2F416318"/>
    <w:rsid w:val="2FB00721"/>
    <w:rsid w:val="2FDC4B70"/>
    <w:rsid w:val="2FF23210"/>
    <w:rsid w:val="2FFE6C84"/>
    <w:rsid w:val="303E4D69"/>
    <w:rsid w:val="305F3457"/>
    <w:rsid w:val="30DB6887"/>
    <w:rsid w:val="30EA3721"/>
    <w:rsid w:val="31291E66"/>
    <w:rsid w:val="31500079"/>
    <w:rsid w:val="319114C3"/>
    <w:rsid w:val="3192149E"/>
    <w:rsid w:val="31DE5683"/>
    <w:rsid w:val="32872DFA"/>
    <w:rsid w:val="32FC29B7"/>
    <w:rsid w:val="33057C0C"/>
    <w:rsid w:val="33165D24"/>
    <w:rsid w:val="336F27D5"/>
    <w:rsid w:val="33AF653A"/>
    <w:rsid w:val="33CB05B2"/>
    <w:rsid w:val="340D1C05"/>
    <w:rsid w:val="34D00C79"/>
    <w:rsid w:val="34F7603D"/>
    <w:rsid w:val="355E7A29"/>
    <w:rsid w:val="35703310"/>
    <w:rsid w:val="35D41F3B"/>
    <w:rsid w:val="35D65C1E"/>
    <w:rsid w:val="361A09A4"/>
    <w:rsid w:val="364D39AB"/>
    <w:rsid w:val="36521905"/>
    <w:rsid w:val="367D246A"/>
    <w:rsid w:val="368F6C62"/>
    <w:rsid w:val="36905433"/>
    <w:rsid w:val="36D839EB"/>
    <w:rsid w:val="36E7490B"/>
    <w:rsid w:val="385F61AC"/>
    <w:rsid w:val="38674A31"/>
    <w:rsid w:val="38942FB7"/>
    <w:rsid w:val="392312A1"/>
    <w:rsid w:val="39272511"/>
    <w:rsid w:val="39464FDB"/>
    <w:rsid w:val="39643681"/>
    <w:rsid w:val="39F06F05"/>
    <w:rsid w:val="39F62A98"/>
    <w:rsid w:val="3A7A1891"/>
    <w:rsid w:val="3AB26431"/>
    <w:rsid w:val="3ACA7E21"/>
    <w:rsid w:val="3ACB0DCC"/>
    <w:rsid w:val="3B476B01"/>
    <w:rsid w:val="3B5F2914"/>
    <w:rsid w:val="3B8514B4"/>
    <w:rsid w:val="3BA24709"/>
    <w:rsid w:val="3BBA4057"/>
    <w:rsid w:val="3C3E3297"/>
    <w:rsid w:val="3C4C05E5"/>
    <w:rsid w:val="3C5979F5"/>
    <w:rsid w:val="3C9E3496"/>
    <w:rsid w:val="3CAD377A"/>
    <w:rsid w:val="3CAE155A"/>
    <w:rsid w:val="3CDC7EDA"/>
    <w:rsid w:val="3CE82FBB"/>
    <w:rsid w:val="3D0E0CD9"/>
    <w:rsid w:val="3D1312E1"/>
    <w:rsid w:val="3D3B078D"/>
    <w:rsid w:val="3D5A5C6C"/>
    <w:rsid w:val="3D817311"/>
    <w:rsid w:val="3D911C6C"/>
    <w:rsid w:val="3D987AFE"/>
    <w:rsid w:val="3E006AF5"/>
    <w:rsid w:val="3E486B35"/>
    <w:rsid w:val="3EA2029B"/>
    <w:rsid w:val="3EA30B73"/>
    <w:rsid w:val="3EAF1433"/>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F5521D"/>
    <w:rsid w:val="412313AB"/>
    <w:rsid w:val="41EA2EA4"/>
    <w:rsid w:val="42017C3F"/>
    <w:rsid w:val="42192006"/>
    <w:rsid w:val="422713C5"/>
    <w:rsid w:val="42621025"/>
    <w:rsid w:val="42905195"/>
    <w:rsid w:val="43391A42"/>
    <w:rsid w:val="43510C12"/>
    <w:rsid w:val="43597A08"/>
    <w:rsid w:val="43CF10BB"/>
    <w:rsid w:val="43F2268A"/>
    <w:rsid w:val="44252A5A"/>
    <w:rsid w:val="442F03C7"/>
    <w:rsid w:val="44A7662B"/>
    <w:rsid w:val="44A85AC4"/>
    <w:rsid w:val="44AF5BC5"/>
    <w:rsid w:val="44E31966"/>
    <w:rsid w:val="4554082E"/>
    <w:rsid w:val="45633C56"/>
    <w:rsid w:val="45902882"/>
    <w:rsid w:val="45B30514"/>
    <w:rsid w:val="45B70603"/>
    <w:rsid w:val="45B71DFD"/>
    <w:rsid w:val="45C546EB"/>
    <w:rsid w:val="45CB2529"/>
    <w:rsid w:val="465C08FF"/>
    <w:rsid w:val="466356B9"/>
    <w:rsid w:val="466812F2"/>
    <w:rsid w:val="467A48B1"/>
    <w:rsid w:val="4686149D"/>
    <w:rsid w:val="46A613C5"/>
    <w:rsid w:val="46BB32C7"/>
    <w:rsid w:val="46FB4C24"/>
    <w:rsid w:val="47112C8D"/>
    <w:rsid w:val="48291064"/>
    <w:rsid w:val="483917D8"/>
    <w:rsid w:val="48570137"/>
    <w:rsid w:val="48C46D65"/>
    <w:rsid w:val="48C554EB"/>
    <w:rsid w:val="48E8606A"/>
    <w:rsid w:val="48EB508C"/>
    <w:rsid w:val="490E4F92"/>
    <w:rsid w:val="49183F48"/>
    <w:rsid w:val="492B2941"/>
    <w:rsid w:val="49466568"/>
    <w:rsid w:val="496D7A4E"/>
    <w:rsid w:val="499E288A"/>
    <w:rsid w:val="49DE0487"/>
    <w:rsid w:val="49FA6334"/>
    <w:rsid w:val="4A4F18DF"/>
    <w:rsid w:val="4AA36517"/>
    <w:rsid w:val="4ABD25D0"/>
    <w:rsid w:val="4AC56866"/>
    <w:rsid w:val="4B283252"/>
    <w:rsid w:val="4B84142F"/>
    <w:rsid w:val="4B8514E2"/>
    <w:rsid w:val="4BA22ACB"/>
    <w:rsid w:val="4BA52B65"/>
    <w:rsid w:val="4C31669B"/>
    <w:rsid w:val="4C3F4467"/>
    <w:rsid w:val="4C6C08BA"/>
    <w:rsid w:val="4CA131F5"/>
    <w:rsid w:val="4CA415D7"/>
    <w:rsid w:val="4CEC0D31"/>
    <w:rsid w:val="4D2B154F"/>
    <w:rsid w:val="4D4648C0"/>
    <w:rsid w:val="4D49627C"/>
    <w:rsid w:val="4D5C163E"/>
    <w:rsid w:val="4D7F6591"/>
    <w:rsid w:val="4DB13B51"/>
    <w:rsid w:val="4DC30D7F"/>
    <w:rsid w:val="4E462C6F"/>
    <w:rsid w:val="4E581414"/>
    <w:rsid w:val="4EB24E91"/>
    <w:rsid w:val="4ECE65EA"/>
    <w:rsid w:val="4EDF4F6A"/>
    <w:rsid w:val="4EFB4B59"/>
    <w:rsid w:val="4F5805B7"/>
    <w:rsid w:val="4F6C5211"/>
    <w:rsid w:val="4F6F67F4"/>
    <w:rsid w:val="4F7A1B38"/>
    <w:rsid w:val="4FA56852"/>
    <w:rsid w:val="4FCC2A78"/>
    <w:rsid w:val="4FE76125"/>
    <w:rsid w:val="5002488F"/>
    <w:rsid w:val="500268DC"/>
    <w:rsid w:val="500E112C"/>
    <w:rsid w:val="5026307A"/>
    <w:rsid w:val="50400B7F"/>
    <w:rsid w:val="50924E1C"/>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C2519D"/>
    <w:rsid w:val="54363BEE"/>
    <w:rsid w:val="54654E07"/>
    <w:rsid w:val="5486420B"/>
    <w:rsid w:val="549827E2"/>
    <w:rsid w:val="54BD51F7"/>
    <w:rsid w:val="54FA272C"/>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55B99"/>
    <w:rsid w:val="5B763374"/>
    <w:rsid w:val="5BAB0056"/>
    <w:rsid w:val="5BE171E1"/>
    <w:rsid w:val="5C573F3D"/>
    <w:rsid w:val="5C661B84"/>
    <w:rsid w:val="5C70661C"/>
    <w:rsid w:val="5C7448D6"/>
    <w:rsid w:val="5CA4615D"/>
    <w:rsid w:val="5CCD0D34"/>
    <w:rsid w:val="5CF640CA"/>
    <w:rsid w:val="5D460362"/>
    <w:rsid w:val="5D514C12"/>
    <w:rsid w:val="5D852B35"/>
    <w:rsid w:val="5D8929B3"/>
    <w:rsid w:val="5D8C4431"/>
    <w:rsid w:val="5D957B73"/>
    <w:rsid w:val="5E11008B"/>
    <w:rsid w:val="5E455347"/>
    <w:rsid w:val="5E8218FA"/>
    <w:rsid w:val="5EB231F5"/>
    <w:rsid w:val="5ECE5715"/>
    <w:rsid w:val="5ECF64BA"/>
    <w:rsid w:val="5F73086A"/>
    <w:rsid w:val="5FA27960"/>
    <w:rsid w:val="5FA60BAF"/>
    <w:rsid w:val="5FAD33D6"/>
    <w:rsid w:val="5FCE7813"/>
    <w:rsid w:val="5FD52B2C"/>
    <w:rsid w:val="5FFD2E68"/>
    <w:rsid w:val="60291D7E"/>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A46032"/>
    <w:rsid w:val="64B06E62"/>
    <w:rsid w:val="650E334D"/>
    <w:rsid w:val="663A11D7"/>
    <w:rsid w:val="66694B58"/>
    <w:rsid w:val="668B50DD"/>
    <w:rsid w:val="669310D7"/>
    <w:rsid w:val="66997535"/>
    <w:rsid w:val="66C45729"/>
    <w:rsid w:val="6733170B"/>
    <w:rsid w:val="674A2776"/>
    <w:rsid w:val="67561F2B"/>
    <w:rsid w:val="67624F68"/>
    <w:rsid w:val="67795979"/>
    <w:rsid w:val="67DA6F1C"/>
    <w:rsid w:val="686337F9"/>
    <w:rsid w:val="68A3188E"/>
    <w:rsid w:val="68BD0E18"/>
    <w:rsid w:val="68F02834"/>
    <w:rsid w:val="69345338"/>
    <w:rsid w:val="6956543A"/>
    <w:rsid w:val="69BD1C8C"/>
    <w:rsid w:val="69C72D52"/>
    <w:rsid w:val="6A0C3B38"/>
    <w:rsid w:val="6A793CD7"/>
    <w:rsid w:val="6AA50098"/>
    <w:rsid w:val="6AD55AE0"/>
    <w:rsid w:val="6B8A0AAD"/>
    <w:rsid w:val="6B96440A"/>
    <w:rsid w:val="6BB221DE"/>
    <w:rsid w:val="6C772531"/>
    <w:rsid w:val="6CC61C13"/>
    <w:rsid w:val="6CDB474E"/>
    <w:rsid w:val="6D363682"/>
    <w:rsid w:val="6DC517B8"/>
    <w:rsid w:val="6DC7653D"/>
    <w:rsid w:val="6E0A636E"/>
    <w:rsid w:val="6E1663AA"/>
    <w:rsid w:val="6E261C64"/>
    <w:rsid w:val="6E274297"/>
    <w:rsid w:val="6E4106CF"/>
    <w:rsid w:val="6E5A7C3E"/>
    <w:rsid w:val="6EFA1DB6"/>
    <w:rsid w:val="6F0C6001"/>
    <w:rsid w:val="6F230DE9"/>
    <w:rsid w:val="6F5638F2"/>
    <w:rsid w:val="6FAD27B0"/>
    <w:rsid w:val="6FED7A2D"/>
    <w:rsid w:val="70003E3E"/>
    <w:rsid w:val="70701FDE"/>
    <w:rsid w:val="70792788"/>
    <w:rsid w:val="70C47682"/>
    <w:rsid w:val="70FC6045"/>
    <w:rsid w:val="71021DBB"/>
    <w:rsid w:val="714C4DCA"/>
    <w:rsid w:val="715C0C89"/>
    <w:rsid w:val="718B1D61"/>
    <w:rsid w:val="71970E78"/>
    <w:rsid w:val="71E1607F"/>
    <w:rsid w:val="729D0A6D"/>
    <w:rsid w:val="73305E0C"/>
    <w:rsid w:val="738F1F88"/>
    <w:rsid w:val="73955D54"/>
    <w:rsid w:val="73B90EB9"/>
    <w:rsid w:val="74134A7B"/>
    <w:rsid w:val="74250B23"/>
    <w:rsid w:val="74680933"/>
    <w:rsid w:val="749F5CDF"/>
    <w:rsid w:val="75570744"/>
    <w:rsid w:val="75895B64"/>
    <w:rsid w:val="75D46457"/>
    <w:rsid w:val="75F356B0"/>
    <w:rsid w:val="760E2D28"/>
    <w:rsid w:val="76120084"/>
    <w:rsid w:val="76AB4427"/>
    <w:rsid w:val="76F95125"/>
    <w:rsid w:val="77875EF6"/>
    <w:rsid w:val="77C336BC"/>
    <w:rsid w:val="77E06C17"/>
    <w:rsid w:val="78195789"/>
    <w:rsid w:val="78460CD0"/>
    <w:rsid w:val="787D7437"/>
    <w:rsid w:val="788733A8"/>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3E35"/>
    <w:rsid w:val="7BBA5467"/>
    <w:rsid w:val="7BBC2C69"/>
    <w:rsid w:val="7BC63834"/>
    <w:rsid w:val="7CC6252B"/>
    <w:rsid w:val="7D351F2C"/>
    <w:rsid w:val="7D382212"/>
    <w:rsid w:val="7D3C4B6E"/>
    <w:rsid w:val="7D8A0E2F"/>
    <w:rsid w:val="7DD45885"/>
    <w:rsid w:val="7DE70BA0"/>
    <w:rsid w:val="7DEC7576"/>
    <w:rsid w:val="7E3257B0"/>
    <w:rsid w:val="7E6934AB"/>
    <w:rsid w:val="7E8C3098"/>
    <w:rsid w:val="7ED915D8"/>
    <w:rsid w:val="7EDC6643"/>
    <w:rsid w:val="7EF9722E"/>
    <w:rsid w:val="7FB3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66"/>
    <w:qFormat/>
    <w:uiPriority w:val="0"/>
    <w:pPr>
      <w:keepNext/>
      <w:keepLines/>
      <w:spacing w:before="260" w:after="260" w:line="416" w:lineRule="auto"/>
      <w:outlineLvl w:val="2"/>
    </w:pPr>
    <w:rPr>
      <w:b/>
      <w:bCs/>
      <w:sz w:val="32"/>
      <w:szCs w:val="32"/>
    </w:rPr>
  </w:style>
  <w:style w:type="paragraph" w:styleId="6">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qFormat/>
    <w:uiPriority w:val="0"/>
  </w:style>
  <w:style w:type="table" w:default="1" w:styleId="44">
    <w:name w:val="Normal Table"/>
    <w:semiHidden/>
    <w:uiPriority w:val="0"/>
    <w:tblPr>
      <w:tblLayout w:type="fixed"/>
      <w:tblCellMar>
        <w:top w:w="0" w:type="dxa"/>
        <w:left w:w="108" w:type="dxa"/>
        <w:bottom w:w="0" w:type="dxa"/>
        <w:right w:w="108" w:type="dxa"/>
      </w:tblCellMar>
    </w:tblPr>
  </w:style>
  <w:style w:type="paragraph" w:styleId="4">
    <w:name w:val="Normal Indent"/>
    <w:basedOn w:val="1"/>
    <w:link w:val="54"/>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semiHidden/>
    <w:uiPriority w:val="0"/>
    <w:pPr>
      <w:jc w:val="left"/>
    </w:pPr>
  </w:style>
  <w:style w:type="paragraph" w:styleId="16">
    <w:name w:val="Body Text 3"/>
    <w:basedOn w:val="1"/>
    <w:uiPriority w:val="0"/>
    <w:rPr>
      <w:rFonts w:ascii="仿宋_GB2312" w:hAnsi="Arial" w:eastAsia="仿宋_GB2312"/>
      <w:sz w:val="32"/>
      <w:szCs w:val="32"/>
    </w:rPr>
  </w:style>
  <w:style w:type="paragraph" w:styleId="17">
    <w:name w:val="Body Text"/>
    <w:basedOn w:val="1"/>
    <w:uiPriority w:val="0"/>
    <w:rPr>
      <w:rFonts w:ascii="楷体_GB2312" w:hAnsi="Arial" w:eastAsia="楷体_GB2312"/>
      <w:sz w:val="28"/>
      <w:szCs w:val="28"/>
    </w:rPr>
  </w:style>
  <w:style w:type="paragraph" w:styleId="18">
    <w:name w:val="Body Text Indent"/>
    <w:basedOn w:val="1"/>
    <w:uiPriority w:val="0"/>
    <w:pPr>
      <w:ind w:firstLine="645"/>
    </w:pPr>
    <w:rPr>
      <w:rFonts w:ascii="楷体_GB2312" w:eastAsia="楷体_GB2312"/>
      <w:sz w:val="32"/>
      <w:szCs w:val="32"/>
    </w:rPr>
  </w:style>
  <w:style w:type="paragraph" w:styleId="19">
    <w:name w:val="List 2"/>
    <w:basedOn w:val="1"/>
    <w:uiPriority w:val="0"/>
    <w:pPr>
      <w:ind w:left="100" w:leftChars="200" w:hanging="200" w:hangingChars="200"/>
    </w:pPr>
  </w:style>
  <w:style w:type="paragraph" w:styleId="20">
    <w:name w:val="toc 5"/>
    <w:basedOn w:val="1"/>
    <w:next w:val="1"/>
    <w:semiHidden/>
    <w:uiPriority w:val="0"/>
    <w:pPr>
      <w:ind w:left="840"/>
      <w:jc w:val="left"/>
    </w:pPr>
  </w:style>
  <w:style w:type="paragraph" w:styleId="21">
    <w:name w:val="toc 3"/>
    <w:basedOn w:val="1"/>
    <w:next w:val="1"/>
    <w:semiHidden/>
    <w:uiPriority w:val="0"/>
    <w:pPr>
      <w:ind w:left="420"/>
      <w:jc w:val="left"/>
    </w:pPr>
    <w:rPr>
      <w:i/>
      <w:iCs/>
      <w:szCs w:val="24"/>
    </w:rPr>
  </w:style>
  <w:style w:type="paragraph" w:styleId="22">
    <w:name w:val="Plain Text"/>
    <w:basedOn w:val="1"/>
    <w:link w:val="62"/>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uiPriority w:val="0"/>
    <w:pPr>
      <w:ind w:left="630" w:firstLine="645"/>
    </w:pPr>
    <w:rPr>
      <w:rFonts w:ascii="Arial" w:hAnsi="Arial" w:eastAsia="仿宋_GB2312" w:cs="Arial"/>
      <w:sz w:val="32"/>
      <w:szCs w:val="32"/>
    </w:rPr>
  </w:style>
  <w:style w:type="paragraph" w:styleId="26">
    <w:name w:val="Balloon Text"/>
    <w:basedOn w:val="1"/>
    <w:semiHidden/>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7"/>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iPriority w:val="0"/>
    <w:pPr>
      <w:tabs>
        <w:tab w:val="right" w:leader="dot" w:pos="8720"/>
      </w:tabs>
      <w:spacing w:before="120" w:after="120" w:line="400" w:lineRule="exact"/>
      <w:jc w:val="left"/>
    </w:pPr>
    <w:rPr>
      <w:rFonts w:ascii="宋体" w:hAnsi="宋体"/>
      <w:caps/>
      <w:sz w:val="24"/>
      <w:szCs w:val="24"/>
      <w:lang w:val="en-US" w:eastAsia="zh-CN"/>
    </w:rPr>
  </w:style>
  <w:style w:type="paragraph" w:styleId="30">
    <w:name w:val="toc 4"/>
    <w:basedOn w:val="1"/>
    <w:next w:val="1"/>
    <w:semiHidden/>
    <w:uiPriority w:val="0"/>
    <w:pPr>
      <w:ind w:left="630"/>
      <w:jc w:val="left"/>
    </w:pPr>
  </w:style>
  <w:style w:type="paragraph" w:styleId="31">
    <w:name w:val="List"/>
    <w:basedOn w:val="1"/>
    <w:uiPriority w:val="0"/>
    <w:pPr>
      <w:ind w:left="200" w:hanging="200" w:hangingChars="200"/>
    </w:pPr>
  </w:style>
  <w:style w:type="paragraph" w:styleId="32">
    <w:name w:val="toc 6"/>
    <w:basedOn w:val="1"/>
    <w:next w:val="1"/>
    <w:semiHidden/>
    <w:uiPriority w:val="0"/>
    <w:pPr>
      <w:ind w:left="1050"/>
      <w:jc w:val="left"/>
    </w:pPr>
  </w:style>
  <w:style w:type="paragraph" w:styleId="33">
    <w:name w:val="Body Text Indent 3"/>
    <w:basedOn w:val="1"/>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b/>
      <w:bCs/>
    </w:rPr>
  </w:style>
  <w:style w:type="paragraph" w:styleId="41">
    <w:name w:val="annotation subject"/>
    <w:basedOn w:val="15"/>
    <w:next w:val="15"/>
    <w:semiHidden/>
    <w:qFormat/>
    <w:uiPriority w:val="0"/>
    <w:rPr>
      <w:b/>
      <w:bCs/>
    </w:rPr>
  </w:style>
  <w:style w:type="paragraph" w:styleId="42">
    <w:name w:val="Body Text First Indent"/>
    <w:basedOn w:val="1"/>
    <w:qFormat/>
    <w:uiPriority w:val="0"/>
    <w:pPr>
      <w:spacing w:line="360" w:lineRule="auto"/>
      <w:ind w:firstLine="200" w:firstLineChars="200"/>
    </w:pPr>
    <w:rPr>
      <w:rFonts w:ascii="仿宋_GB2312" w:eastAsia="仿宋_GB2312"/>
      <w:sz w:val="30"/>
      <w:szCs w:val="30"/>
    </w:rPr>
  </w:style>
  <w:style w:type="paragraph" w:styleId="43">
    <w:name w:val="Body Text First Indent 2"/>
    <w:basedOn w:val="18"/>
    <w:qFormat/>
    <w:uiPriority w:val="0"/>
    <w:pPr>
      <w:spacing w:line="360" w:lineRule="auto"/>
      <w:ind w:firstLine="420" w:firstLineChars="200"/>
    </w:pPr>
    <w:rPr>
      <w:rFonts w:ascii="宋体" w:hAnsi="宋体" w:eastAsia="宋体"/>
      <w:sz w:val="21"/>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rFonts w:ascii="仿宋_GB2312" w:eastAsia="仿宋_GB2312" w:cs="仿宋_GB2312"/>
      <w:color w:val="7A4EA7"/>
      <w:u w:val="none"/>
    </w:rPr>
  </w:style>
  <w:style w:type="character" w:styleId="50">
    <w:name w:val="Hyperlink"/>
    <w:qFormat/>
    <w:uiPriority w:val="0"/>
    <w:rPr>
      <w:rFonts w:hint="eastAsia" w:ascii="仿宋_GB2312" w:eastAsia="仿宋_GB2312" w:cs="仿宋_GB2312"/>
      <w:color w:val="7A4EA7"/>
      <w:u w:val="none"/>
    </w:rPr>
  </w:style>
  <w:style w:type="character" w:styleId="51">
    <w:name w:val="annotation reference"/>
    <w:semiHidden/>
    <w:uiPriority w:val="0"/>
    <w:rPr>
      <w:sz w:val="21"/>
      <w:szCs w:val="21"/>
    </w:rPr>
  </w:style>
  <w:style w:type="character" w:customStyle="1" w:styleId="52">
    <w:name w:val="标题 4 Char"/>
    <w:link w:val="6"/>
    <w:qFormat/>
    <w:uiPriority w:val="0"/>
    <w:rPr>
      <w:rFonts w:ascii="Arial" w:hAnsi="Arial" w:eastAsia="黑体" w:cs="Arial"/>
      <w:b/>
      <w:bCs/>
      <w:kern w:val="2"/>
      <w:sz w:val="28"/>
      <w:szCs w:val="28"/>
    </w:rPr>
  </w:style>
  <w:style w:type="character" w:customStyle="1" w:styleId="53">
    <w:name w:val="HTML 预设格式 Char1"/>
    <w:uiPriority w:val="0"/>
    <w:rPr>
      <w:rFonts w:ascii="Courier New" w:hAnsi="Courier New" w:cs="Courier New"/>
      <w:kern w:val="2"/>
    </w:rPr>
  </w:style>
  <w:style w:type="character" w:customStyle="1" w:styleId="54">
    <w:name w:val="正文缩进 Char"/>
    <w:link w:val="4"/>
    <w:qFormat/>
    <w:uiPriority w:val="0"/>
    <w:rPr>
      <w:kern w:val="2"/>
      <w:sz w:val="21"/>
      <w:szCs w:val="21"/>
    </w:rPr>
  </w:style>
  <w:style w:type="character" w:customStyle="1" w:styleId="55">
    <w:name w:val="二级目录 Char"/>
    <w:link w:val="56"/>
    <w:qFormat/>
    <w:uiPriority w:val="0"/>
    <w:rPr>
      <w:b/>
      <w:kern w:val="2"/>
      <w:sz w:val="30"/>
      <w:szCs w:val="28"/>
      <w:lang w:val="en-US" w:eastAsia="zh-CN" w:bidi="ar-SA"/>
    </w:rPr>
  </w:style>
  <w:style w:type="paragraph" w:customStyle="1" w:styleId="56">
    <w:name w:val="二级目录"/>
    <w:next w:val="1"/>
    <w:link w:val="55"/>
    <w:qFormat/>
    <w:uiPriority w:val="0"/>
    <w:pPr>
      <w:numPr>
        <w:ilvl w:val="0"/>
        <w:numId w:val="2"/>
      </w:numPr>
      <w:tabs>
        <w:tab w:val="left" w:pos="1145"/>
      </w:tabs>
      <w:outlineLvl w:val="1"/>
    </w:pPr>
    <w:rPr>
      <w:rFonts w:ascii="Times New Roman" w:hAnsi="Times New Roman" w:eastAsia="宋体" w:cs="Times New Roman"/>
      <w:b/>
      <w:kern w:val="2"/>
      <w:sz w:val="30"/>
      <w:szCs w:val="28"/>
      <w:lang w:val="en-US" w:eastAsia="zh-CN" w:bidi="ar-SA"/>
    </w:rPr>
  </w:style>
  <w:style w:type="character" w:customStyle="1" w:styleId="57">
    <w:name w:val="页眉 Char"/>
    <w:link w:val="28"/>
    <w:qFormat/>
    <w:uiPriority w:val="99"/>
    <w:rPr>
      <w:kern w:val="2"/>
      <w:sz w:val="18"/>
      <w:szCs w:val="18"/>
    </w:rPr>
  </w:style>
  <w:style w:type="character" w:customStyle="1" w:styleId="58">
    <w:name w:val="列出段落 Char"/>
    <w:link w:val="59"/>
    <w:qFormat/>
    <w:locked/>
    <w:uiPriority w:val="0"/>
    <w:rPr>
      <w:rFonts w:ascii="Calibri" w:hAnsi="Calibri"/>
      <w:sz w:val="24"/>
      <w:szCs w:val="24"/>
      <w:lang w:eastAsia="en-US" w:bidi="en-US"/>
    </w:rPr>
  </w:style>
  <w:style w:type="paragraph" w:customStyle="1" w:styleId="59">
    <w:name w:val="列出段落1"/>
    <w:basedOn w:val="1"/>
    <w:link w:val="58"/>
    <w:qFormat/>
    <w:uiPriority w:val="0"/>
    <w:pPr>
      <w:widowControl/>
      <w:ind w:left="720"/>
      <w:contextualSpacing/>
      <w:jc w:val="left"/>
    </w:pPr>
    <w:rPr>
      <w:rFonts w:ascii="Calibri" w:hAnsi="Calibri"/>
      <w:kern w:val="0"/>
      <w:sz w:val="24"/>
      <w:szCs w:val="24"/>
      <w:lang w:eastAsia="en-US" w:bidi="en-US"/>
    </w:rPr>
  </w:style>
  <w:style w:type="character" w:customStyle="1" w:styleId="60">
    <w:name w:val="font5 Char"/>
    <w:uiPriority w:val="0"/>
    <w:rPr>
      <w:rFonts w:ascii="宋体" w:hAnsi="宋体" w:eastAsia="宋体"/>
      <w:sz w:val="28"/>
      <w:szCs w:val="28"/>
      <w:lang w:val="en-US" w:eastAsia="zh-CN" w:bidi="ar-SA"/>
    </w:rPr>
  </w:style>
  <w:style w:type="character" w:customStyle="1" w:styleId="61">
    <w:name w:val="apple-converted-space"/>
    <w:qFormat/>
    <w:uiPriority w:val="0"/>
  </w:style>
  <w:style w:type="character" w:customStyle="1" w:styleId="62">
    <w:name w:val="纯文本 Char"/>
    <w:link w:val="22"/>
    <w:qFormat/>
    <w:uiPriority w:val="0"/>
    <w:rPr>
      <w:rFonts w:ascii="宋体" w:hAnsi="Courier New" w:cs="Courier New"/>
      <w:kern w:val="2"/>
      <w:sz w:val="21"/>
      <w:szCs w:val="21"/>
    </w:rPr>
  </w:style>
  <w:style w:type="character" w:customStyle="1" w:styleId="63">
    <w:name w:val="HTML 预设格式 Char"/>
    <w:link w:val="38"/>
    <w:qFormat/>
    <w:uiPriority w:val="0"/>
    <w:rPr>
      <w:rFonts w:ascii="黑体" w:hAnsi="Courier New" w:eastAsia="黑体"/>
    </w:rPr>
  </w:style>
  <w:style w:type="character" w:customStyle="1" w:styleId="64">
    <w:name w:val="font21"/>
    <w:qFormat/>
    <w:uiPriority w:val="0"/>
    <w:rPr>
      <w:rFonts w:hint="eastAsia" w:ascii="宋体" w:hAnsi="宋体" w:eastAsia="宋体" w:cs="宋体"/>
      <w:b/>
      <w:color w:val="000000"/>
      <w:sz w:val="24"/>
      <w:szCs w:val="24"/>
      <w:u w:val="none"/>
    </w:rPr>
  </w:style>
  <w:style w:type="character" w:customStyle="1" w:styleId="65">
    <w:name w:val="font81"/>
    <w:qFormat/>
    <w:uiPriority w:val="0"/>
    <w:rPr>
      <w:rFonts w:hint="eastAsia" w:ascii="宋体" w:hAnsi="宋体" w:eastAsia="宋体" w:cs="宋体"/>
      <w:b/>
      <w:color w:val="000000"/>
      <w:sz w:val="24"/>
      <w:szCs w:val="24"/>
      <w:u w:val="single"/>
    </w:rPr>
  </w:style>
  <w:style w:type="character" w:customStyle="1" w:styleId="66">
    <w:name w:val="标题 3 Char"/>
    <w:link w:val="5"/>
    <w:qFormat/>
    <w:uiPriority w:val="0"/>
    <w:rPr>
      <w:rFonts w:eastAsia="宋体"/>
      <w:b/>
      <w:bCs/>
      <w:kern w:val="2"/>
      <w:sz w:val="32"/>
      <w:szCs w:val="32"/>
      <w:lang w:val="en-US" w:eastAsia="zh-CN" w:bidi="ar-SA"/>
    </w:rPr>
  </w:style>
  <w:style w:type="paragraph" w:customStyle="1" w:styleId="67">
    <w:name w:val="Body Text(ch)"/>
    <w:basedOn w:val="1"/>
    <w:next w:val="17"/>
    <w:uiPriority w:val="0"/>
    <w:pPr>
      <w:spacing w:after="120"/>
    </w:pPr>
    <w:rPr>
      <w:rFonts w:ascii="宋体" w:hAnsi="Arial"/>
      <w:bCs/>
      <w:iCs/>
      <w:szCs w:val="24"/>
    </w:rPr>
  </w:style>
  <w:style w:type="paragraph" w:customStyle="1" w:styleId="68">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9">
    <w:name w:val="HTML Top of Form"/>
    <w:basedOn w:val="1"/>
    <w:next w:val="1"/>
    <w:qFormat/>
    <w:uiPriority w:val="0"/>
    <w:pPr>
      <w:pBdr>
        <w:bottom w:val="single" w:color="auto" w:sz="6" w:space="1"/>
      </w:pBdr>
      <w:jc w:val="center"/>
    </w:pPr>
    <w:rPr>
      <w:rFonts w:ascii="Arial"/>
      <w:vanish/>
      <w:sz w:val="16"/>
    </w:rPr>
  </w:style>
  <w:style w:type="paragraph" w:customStyle="1" w:styleId="70">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6">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 Char"/>
    <w:basedOn w:val="14"/>
    <w:qFormat/>
    <w:uiPriority w:val="0"/>
    <w:rPr>
      <w:rFonts w:ascii="Tahoma" w:hAnsi="Tahoma"/>
      <w:sz w:val="24"/>
      <w:szCs w:val="24"/>
    </w:rPr>
  </w:style>
  <w:style w:type="paragraph" w:customStyle="1" w:styleId="80">
    <w:name w:val="font6"/>
    <w:basedOn w:val="1"/>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2">
    <w:name w:val="table_1stline"/>
    <w:basedOn w:val="1"/>
    <w:qFormat/>
    <w:uiPriority w:val="0"/>
    <w:pPr>
      <w:widowControl/>
      <w:spacing w:before="120"/>
      <w:jc w:val="left"/>
    </w:pPr>
    <w:rPr>
      <w:bCs/>
      <w:kern w:val="0"/>
      <w:sz w:val="20"/>
      <w:szCs w:val="20"/>
      <w:lang w:val="de-DE" w:eastAsia="de-DE"/>
    </w:rPr>
  </w:style>
  <w:style w:type="paragraph" w:customStyle="1" w:styleId="83">
    <w:name w:val="Char Char Char Char"/>
    <w:basedOn w:val="14"/>
    <w:qFormat/>
    <w:uiPriority w:val="0"/>
    <w:pPr>
      <w:adjustRightInd w:val="0"/>
      <w:snapToGrid w:val="0"/>
      <w:spacing w:line="360" w:lineRule="auto"/>
    </w:pPr>
    <w:rPr>
      <w:rFonts w:ascii="Tahoma" w:hAnsi="Tahoma"/>
      <w:sz w:val="24"/>
      <w:szCs w:val="24"/>
    </w:rPr>
  </w:style>
  <w:style w:type="paragraph" w:customStyle="1" w:styleId="84">
    <w:name w:val="Char"/>
    <w:basedOn w:val="1"/>
    <w:qFormat/>
    <w:uiPriority w:val="0"/>
    <w:pPr>
      <w:tabs>
        <w:tab w:val="left" w:pos="360"/>
      </w:tabs>
      <w:ind w:firstLine="200" w:firstLineChars="200"/>
    </w:pPr>
    <w:rPr>
      <w:sz w:val="28"/>
      <w:szCs w:val="30"/>
    </w:rPr>
  </w:style>
  <w:style w:type="paragraph" w:customStyle="1" w:styleId="85">
    <w:name w:val="4"/>
    <w:basedOn w:val="1"/>
    <w:next w:val="33"/>
    <w:qFormat/>
    <w:uiPriority w:val="0"/>
    <w:pPr>
      <w:spacing w:line="360" w:lineRule="auto"/>
      <w:ind w:firstLine="420"/>
    </w:pPr>
    <w:rPr>
      <w:color w:val="FF0000"/>
      <w:sz w:val="24"/>
      <w:szCs w:val="24"/>
    </w:rPr>
  </w:style>
  <w:style w:type="paragraph" w:customStyle="1" w:styleId="8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8">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9">
    <w:name w:val=" Char Char Char Char"/>
    <w:basedOn w:val="14"/>
    <w:qFormat/>
    <w:uiPriority w:val="0"/>
    <w:pPr>
      <w:adjustRightInd w:val="0"/>
      <w:snapToGrid w:val="0"/>
      <w:spacing w:line="360" w:lineRule="auto"/>
    </w:pPr>
    <w:rPr>
      <w:rFonts w:ascii="Tahoma" w:hAnsi="Tahoma"/>
      <w:sz w:val="24"/>
      <w:szCs w:val="24"/>
    </w:rPr>
  </w:style>
  <w:style w:type="paragraph" w:customStyle="1" w:styleId="9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 Char Char Char Char Char Char Char Char Char Char"/>
    <w:basedOn w:val="1"/>
    <w:qFormat/>
    <w:uiPriority w:val="0"/>
    <w:pPr>
      <w:adjustRightInd w:val="0"/>
      <w:spacing w:line="360" w:lineRule="auto"/>
    </w:pPr>
    <w:rPr>
      <w:kern w:val="0"/>
      <w:sz w:val="24"/>
      <w:szCs w:val="20"/>
    </w:rPr>
  </w:style>
  <w:style w:type="paragraph" w:customStyle="1" w:styleId="93">
    <w:name w:val="HTML Bottom of Form"/>
    <w:basedOn w:val="1"/>
    <w:next w:val="1"/>
    <w:qFormat/>
    <w:uiPriority w:val="0"/>
    <w:pPr>
      <w:pBdr>
        <w:top w:val="single" w:color="auto" w:sz="6" w:space="1"/>
      </w:pBdr>
      <w:jc w:val="center"/>
    </w:pPr>
    <w:rPr>
      <w:rFonts w:ascii="Arial"/>
      <w:vanish/>
      <w:sz w:val="16"/>
    </w:rPr>
  </w:style>
  <w:style w:type="paragraph" w:customStyle="1" w:styleId="9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6">
    <w:name w:val="样式1"/>
    <w:basedOn w:val="1"/>
    <w:qFormat/>
    <w:uiPriority w:val="0"/>
    <w:pPr>
      <w:numPr>
        <w:ilvl w:val="0"/>
        <w:numId w:val="3"/>
      </w:numPr>
      <w:adjustRightInd w:val="0"/>
      <w:textAlignment w:val="baseline"/>
    </w:pPr>
    <w:rPr>
      <w:rFonts w:ascii="宋体" w:hAnsi="宋体"/>
      <w:kern w:val="0"/>
    </w:rPr>
  </w:style>
  <w:style w:type="paragraph" w:styleId="97">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98">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44</Pages>
  <Words>3644</Words>
  <Characters>20771</Characters>
  <Lines>173</Lines>
  <Paragraphs>48</Paragraphs>
  <TotalTime>1</TotalTime>
  <ScaleCrop>false</ScaleCrop>
  <LinksUpToDate>false</LinksUpToDate>
  <CharactersWithSpaces>24367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2019-06-05T00:55:00Z</dcterms:created>
  <dc:creator>政府采购中心</dc:creator>
  <cp:lastModifiedBy>典当灵魂</cp:lastModifiedBy>
  <cp:lastPrinted>2018-05-08T01:37:00Z</cp:lastPrinted>
  <dcterms:modified xsi:type="dcterms:W3CDTF">2019-06-05T01:38:41Z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