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84"/>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84"/>
          <w:szCs w:val="21"/>
          <w:lang w:val="en-US" w:eastAsia="zh-CN" w:bidi="ar-SA"/>
        </w:rPr>
        <w:t>招 标 文 件</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ind w:firstLine="723" w:firstLineChars="200"/>
        <w:jc w:val="both"/>
        <w:textAlignment w:val="baseline"/>
        <w:rPr>
          <w:rStyle w:val="26"/>
          <w:rFonts w:hint="default" w:asciiTheme="minorEastAsia" w:hAnsiTheme="minorEastAsia" w:eastAsiaTheme="minorEastAsia" w:cstheme="minorEastAsia"/>
          <w:b/>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项目编号：2021-014W-2</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ind w:firstLine="723" w:firstLineChars="200"/>
        <w:jc w:val="both"/>
        <w:textAlignment w:val="baseline"/>
        <w:rPr>
          <w:rStyle w:val="26"/>
          <w:rFonts w:hint="default" w:asciiTheme="minorEastAsia" w:hAnsiTheme="minorEastAsia" w:eastAsiaTheme="minorEastAsia" w:cstheme="minorEastAsia"/>
          <w:b/>
          <w:i w:val="0"/>
          <w:caps w:val="0"/>
          <w:color w:val="000000"/>
          <w:spacing w:val="0"/>
          <w:w w:val="100"/>
          <w:kern w:val="2"/>
          <w:sz w:val="36"/>
          <w:szCs w:val="36"/>
          <w:lang w:val="en-US" w:eastAsia="zh-CN"/>
        </w:rPr>
      </w:pPr>
      <w:r>
        <w:rPr>
          <w:rStyle w:val="26"/>
          <w:rFonts w:hint="eastAsia" w:asciiTheme="minorEastAsia" w:hAnsiTheme="minorEastAsia" w:eastAsiaTheme="minorEastAsia" w:cstheme="minorEastAsia"/>
          <w:b/>
          <w:i w:val="0"/>
          <w:caps w:val="0"/>
          <w:color w:val="000000"/>
          <w:spacing w:val="0"/>
          <w:w w:val="100"/>
          <w:kern w:val="2"/>
          <w:sz w:val="36"/>
          <w:szCs w:val="36"/>
          <w:lang w:val="en-US" w:eastAsia="zh-CN" w:bidi="ar-SA"/>
        </w:rPr>
        <w:t>项目名称：</w:t>
      </w:r>
      <w:r>
        <w:rPr>
          <w:rStyle w:val="26"/>
          <w:rFonts w:hint="eastAsia" w:asciiTheme="minorEastAsia" w:hAnsiTheme="minorEastAsia" w:eastAsiaTheme="minorEastAsia" w:cstheme="minorEastAsia"/>
          <w:b/>
          <w:i w:val="0"/>
          <w:caps w:val="0"/>
          <w:color w:val="000000"/>
          <w:spacing w:val="0"/>
          <w:w w:val="100"/>
          <w:kern w:val="2"/>
          <w:sz w:val="36"/>
          <w:szCs w:val="36"/>
          <w:lang w:val="en-US" w:eastAsia="zh-CN"/>
        </w:rPr>
        <w:t>盐城工业职业技术学院公共区域水电维修及高低压配电房值班外包服务项目（二次）</w:t>
      </w:r>
    </w:p>
    <w:p>
      <w:pPr>
        <w:snapToGrid/>
        <w:spacing w:before="0" w:beforeAutospacing="0" w:after="0" w:afterAutospacing="0" w:line="240" w:lineRule="auto"/>
        <w:ind w:firstLine="723"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36"/>
          <w:lang w:val="en-US" w:eastAsia="zh-CN"/>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pStyle w:val="86"/>
        <w:widowControl/>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8"/>
          <w:lang w:val="en-US" w:eastAsia="zh-CN" w:bidi="ar-SA"/>
        </w:rPr>
      </w:pPr>
    </w:p>
    <w:p>
      <w:pPr>
        <w:pStyle w:val="86"/>
        <w:widowControl/>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8"/>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bCs/>
          <w:i w:val="0"/>
          <w:caps w:val="0"/>
          <w:spacing w:val="0"/>
          <w:w w:val="100"/>
          <w:kern w:val="2"/>
          <w:sz w:val="36"/>
          <w:szCs w:val="36"/>
          <w:lang w:val="en-US" w:eastAsia="zh-CN" w:bidi="ar-SA"/>
        </w:rPr>
      </w:pPr>
      <w:r>
        <w:rPr>
          <w:rStyle w:val="26"/>
          <w:rFonts w:hint="eastAsia" w:asciiTheme="minorEastAsia" w:hAnsiTheme="minorEastAsia" w:eastAsiaTheme="minorEastAsia" w:cstheme="minorEastAsia"/>
          <w:b w:val="0"/>
          <w:bCs/>
          <w:i w:val="0"/>
          <w:caps w:val="0"/>
          <w:spacing w:val="0"/>
          <w:w w:val="100"/>
          <w:kern w:val="2"/>
          <w:sz w:val="36"/>
          <w:szCs w:val="36"/>
          <w:lang w:val="en-US" w:eastAsia="zh-CN" w:bidi="ar-SA"/>
        </w:rPr>
        <w:t>盐城工业职业技术学院</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spacing w:val="0"/>
          <w:w w:val="100"/>
          <w:kern w:val="2"/>
          <w:sz w:val="36"/>
          <w:szCs w:val="36"/>
          <w:lang w:val="en-US" w:eastAsia="zh-CN" w:bidi="ar-SA"/>
        </w:rPr>
      </w:pPr>
      <w:r>
        <w:rPr>
          <w:rStyle w:val="26"/>
          <w:rFonts w:hint="eastAsia" w:asciiTheme="minorEastAsia" w:hAnsiTheme="minorEastAsia" w:eastAsiaTheme="minorEastAsia" w:cstheme="minorEastAsia"/>
          <w:b w:val="0"/>
          <w:i w:val="0"/>
          <w:caps w:val="0"/>
          <w:spacing w:val="0"/>
          <w:w w:val="100"/>
          <w:kern w:val="2"/>
          <w:sz w:val="36"/>
          <w:szCs w:val="36"/>
          <w:lang w:val="en-US" w:eastAsia="zh-CN" w:bidi="ar-SA"/>
        </w:rPr>
        <w:t xml:space="preserve"> 2021年7月27日</w:t>
      </w:r>
    </w:p>
    <w:p>
      <w:pPr>
        <w:snapToGrid/>
        <w:spacing w:before="0" w:beforeAutospacing="0" w:after="0" w:afterAutospacing="0" w:line="48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br w:type="page"/>
      </w:r>
    </w:p>
    <w:p>
      <w:pPr>
        <w:snapToGrid/>
        <w:spacing w:before="0" w:beforeAutospacing="0" w:after="0" w:afterAutospacing="0" w:line="48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48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44"/>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1"/>
          <w:lang w:val="en-US" w:eastAsia="zh-CN" w:bidi="ar-SA"/>
        </w:rPr>
        <w:t>总  目  录</w:t>
      </w:r>
    </w:p>
    <w:p>
      <w:pPr>
        <w:snapToGrid/>
        <w:spacing w:before="0" w:beforeAutospacing="0" w:after="0" w:afterAutospacing="0" w:line="48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28"/>
          <w:szCs w:val="21"/>
          <w:lang w:val="en-US" w:eastAsia="zh-CN" w:bidi="ar-SA"/>
        </w:rPr>
      </w:pP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2"/>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 xml:space="preserve">招标公告…………………………………… </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36"/>
          <w:szCs w:val="36"/>
          <w:lang w:val="en-US" w:eastAsia="zh-CN" w:bidi="ar-SA"/>
        </w:rPr>
        <w:t>投标人须知</w:t>
      </w:r>
      <w:r>
        <w:rPr>
          <w:rStyle w:val="26"/>
          <w:rFonts w:hint="eastAsia" w:asciiTheme="minorEastAsia" w:hAnsiTheme="minorEastAsia" w:eastAsiaTheme="minorEastAsia" w:cstheme="minorEastAsia"/>
          <w:b w:val="0"/>
          <w:i w:val="0"/>
          <w:caps w:val="0"/>
          <w:color w:val="000000"/>
          <w:spacing w:val="0"/>
          <w:w w:val="100"/>
          <w:kern w:val="2"/>
          <w:sz w:val="36"/>
          <w:szCs w:val="36"/>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 xml:space="preserve">………………………………  </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合同条款及格式……………………………</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项目需求……………………………………</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36"/>
          <w:szCs w:val="36"/>
          <w:lang w:val="en-US" w:eastAsia="zh-CN" w:bidi="ar-SA"/>
        </w:rPr>
        <w:t>评标方法与评标标准</w:t>
      </w: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投标文件格式………………………………</w:t>
      </w: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bCs/>
          <w:i w:val="0"/>
          <w:caps w:val="0"/>
          <w:color w:val="000000"/>
          <w:spacing w:val="0"/>
          <w:w w:val="100"/>
          <w:kern w:val="2"/>
          <w:sz w:val="44"/>
          <w:szCs w:val="28"/>
          <w:lang w:val="en-US" w:eastAsia="zh-CN" w:bidi="ar-SA"/>
        </w:rPr>
      </w:pP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bCs/>
          <w:i w:val="0"/>
          <w:caps w:val="0"/>
          <w:color w:val="000000"/>
          <w:spacing w:val="0"/>
          <w:w w:val="100"/>
          <w:kern w:val="2"/>
          <w:sz w:val="44"/>
          <w:szCs w:val="28"/>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t>第一章  招标公告</w:t>
      </w:r>
    </w:p>
    <w:p>
      <w:pPr>
        <w:pStyle w:val="16"/>
        <w:widowControl/>
        <w:tabs>
          <w:tab w:val="left" w:pos="0"/>
          <w:tab w:val="left" w:pos="3165"/>
          <w:tab w:val="center" w:pos="4153"/>
        </w:tabs>
        <w:snapToGrid/>
        <w:spacing w:before="0" w:beforeAutospacing="0" w:after="0" w:afterAutospacing="0" w:line="360" w:lineRule="auto"/>
        <w:jc w:val="center"/>
        <w:textAlignment w:val="baseline"/>
        <w:rPr>
          <w:rStyle w:val="26"/>
          <w:rFonts w:hint="default"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t>盐城工业职业技术学院公共区域水电维修及高低压配电房值班外包服务项目招标公告（二次）</w:t>
      </w:r>
      <w:bookmarkStart w:id="0" w:name="_GoBack"/>
      <w:bookmarkEnd w:id="0"/>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项目概况</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46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盐城工业职业技术学院公共区域水电维修及高低压配电房值班外包服务项目</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的潜在投标人应在</w:t>
      </w: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盐城市政府采购网和盐城工业职业技术学院招标采购网</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获</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取招标文件，并于</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2021</w:t>
      </w: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年8月17日9点00分（</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北京时间）前递交投标文件</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一、项目基本情况</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项目编号：</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rPr>
        <w:t>2021-014W-2</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项目名称：盐城工业职业技术学院公共区域水电维修及高低压配电房值班外包服务项目</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预算金额：22.6万元/年。</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最高限价：22.6万元/年。</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采购需求：具体详见招标文件项目需求。</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合同履行期限：2021年8月26日2023年8月27日，合同一年一签，经考核合格后签订下一年合同。</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本项目</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不接受</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联合体投标。</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二、投标人的资格要求：</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1.满足《中华人民共和国政府采购法》第二十二条规定，并提供下列材料；</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（1）法人或者其他组织的营业执照等证明文件，自然人的身份证明；</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（2）具备履行合同所必需的设备和专业技术能力的书面声明；</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（3）参加政府采购活动前3年内在经营活动中没有重大违法记录的书面声明；</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2.落实政府采购政策需满足的资格要求：</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3.本项目的特定资格要求：</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(1)投标人在中华人民共和国境内注册的，具备承担民事责任的能力，营业执照含有本项目相关内容的经营范围，投标时提供复印件加盖单位公章（原件备查）。</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(2)投标人派遣的</w:t>
      </w:r>
      <w:r>
        <w:rPr>
          <w:rFonts w:hint="eastAsia" w:asciiTheme="minorEastAsia" w:hAnsiTheme="minorEastAsia" w:eastAsiaTheme="minorEastAsia" w:cstheme="minorEastAsia"/>
          <w:sz w:val="24"/>
        </w:rPr>
        <w:t>常驻</w:t>
      </w:r>
      <w:r>
        <w:rPr>
          <w:rFonts w:hint="eastAsia" w:asciiTheme="minorEastAsia" w:hAnsiTheme="minorEastAsia" w:eastAsiaTheme="minorEastAsia" w:cstheme="minorEastAsia"/>
          <w:sz w:val="24"/>
          <w:lang w:eastAsia="zh-CN"/>
        </w:rPr>
        <w:t>从业人员</w:t>
      </w:r>
      <w:r>
        <w:rPr>
          <w:rFonts w:hint="eastAsia" w:asciiTheme="minorEastAsia" w:hAnsiTheme="minorEastAsia" w:eastAsiaTheme="minorEastAsia" w:cstheme="minorEastAsia"/>
          <w:sz w:val="24"/>
          <w:lang w:val="en-US" w:eastAsia="zh-CN"/>
        </w:rPr>
        <w:t>具有电工、高压</w:t>
      </w:r>
      <w:r>
        <w:rPr>
          <w:rFonts w:hint="eastAsia" w:asciiTheme="minorEastAsia" w:hAnsiTheme="minorEastAsia" w:eastAsiaTheme="minorEastAsia" w:cstheme="minorEastAsia"/>
          <w:sz w:val="24"/>
          <w:lang w:eastAsia="zh-CN"/>
        </w:rPr>
        <w:t>相关资格证书</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，投标时提供复印件加盖公章（原件备查）。</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(3)未被列入“信用中国”网站（www.creditchina.gov.cn）失信被执行人名单、重大税收违法案件当事人名单和中国政府采购网（www.ccgp.gov.cn）政府采购严重违法失信行为记录名单。</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(4)本项目不接受联合体投标。招标人谢绝联合体和杜绝挂靠单位参与本项目的投标，中标后不得以任何方式进行转包与分包。</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(5)投标人单位负责人为同一人或者存在直接控股、管理关系的不同投标人，不得参加同一标段投标活动。</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三、获取招标文件</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时间：自公告之日起至投标截止时间前1日</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地点：盐城市政府采购网和盐城工业职业技术学院招标采购网</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方式：符合资格要求的投标人可自行下载采购文件，采购文件见盐城市政府采购网和盐城工业职业技术学院招标采购网本公告附件。</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售价：人民币500元在开标现场现金交纳。</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四、提交投标文件截止时间、开标时间和地点</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时间：</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2021</w:t>
      </w: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年8月17日9点00分</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（北京时间）</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地点：盐城工业职业技术学院（盐城市解放南路285号）后勤服务中心四楼402开标室。</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五、公告期限</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自本公告发布之日起5个工作日。</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六、其他补充事宜</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(一)因疫情防控需要，为确保校园安全，投标人进入盐城工业职业技术学院校区时应服从下列疫情防控措施：</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（1）投标人从解放南路东门进出；投标人车辆一律不得进入校园。</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（2）各投标人项目授权代表限1人进入校园；项目授权代表进入校园时须自行配戴口罩、做好手部消毒及投标文件等消毒防护工作。</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（4）投标人进入校园后应在指定地点参与投标活动，不到非相关场所活动；投标工作结束后应立即离开校园，不逗留。</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请各投标人预留好相应时间，配合做好上述管控措施。</w:t>
      </w:r>
    </w:p>
    <w:p>
      <w:pPr>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投标文件制作份数要求：正本份数：1份，副本份数：4份。</w:t>
      </w:r>
    </w:p>
    <w:p>
      <w:pPr>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现场集中考察、答疑：</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1.投标人应参加现场集中考察、答疑，以便掌握学校公共区域水电维修项目现场的全面情况，对参加过现场考察、答疑的投标人，招标人将发放《参加现场集中考察答疑证明》。招标人不单独组织现场考察答疑。</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2.现场集中考察、答疑签到时间：</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开始时间：2021年7月28日9:00至11:00，14:00至16：00</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截至时间：2021年8月11日9:00至11:00，14:00至16：00</w:t>
      </w:r>
    </w:p>
    <w:p>
      <w:pPr>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现场集中考察、答疑地点签到地点：后勤服务中心三楼 </w:t>
      </w:r>
    </w:p>
    <w:p>
      <w:pPr>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default"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答疑联系人： 陈昌进 18762383006</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七、对本次招标提出询问，请按以下方式联系。</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1.采购人信息</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名称：盐城工业职业技术学院</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地址：盐城工业职业技术学院后勤服务中心四楼405室招标办公室</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联系人：赵老师             </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联系电话：0515-88588707</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2.采购代理机构信息</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名称：江苏伟业项目管理有限公司</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地址：盐城市人民南路华邦国际东厦A区16楼</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联系人：王志东              </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联系电话：18005113358</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t>3.项目联系方式</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t xml:space="preserve">项目联系人：高大伟  陈昌进 </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default" w:asciiTheme="minorEastAsia" w:hAnsiTheme="minorEastAsia" w:eastAsiaTheme="minorEastAsia" w:cstheme="minorEastAsia"/>
          <w:b w:val="0"/>
          <w:i w:val="0"/>
          <w:caps w:val="0"/>
          <w:color w:val="auto"/>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t>电话： 0515-88583917  18262393599  18762383006</w:t>
      </w:r>
    </w:p>
    <w:p>
      <w:pPr>
        <w:pStyle w:val="2"/>
        <w:jc w:val="center"/>
        <w:rPr>
          <w:rStyle w:val="26"/>
          <w:rFonts w:hint="eastAsia" w:asciiTheme="minorEastAsia" w:hAnsiTheme="minorEastAsia" w:eastAsiaTheme="minorEastAsia" w:cstheme="minorEastAsia"/>
          <w:b w:val="0"/>
          <w:bCs w:val="0"/>
          <w:i w:val="0"/>
          <w:caps w:val="0"/>
          <w:color w:val="000000"/>
          <w:spacing w:val="0"/>
          <w:w w:val="100"/>
          <w:kern w:val="2"/>
          <w:sz w:val="44"/>
          <w:szCs w:val="4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t>第二章  投标人须知</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一、总则</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1、招标方式</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1.1 本次招标采取公开招标方式，本招标文件仅适用于招标公告中所述项目。</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2、合格的投标人</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2.1满足招标公告中供应商的资格要求的规定。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 满足本文件实质性条款的规定。</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3、适用法律</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 本次招标及由此产生的合同受中华人民共和国有关的法律法规制约和保护。</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4、投标费用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4.1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投标人应自行承担所有与参加投标有关的费用，无论投标过程中的做法和结果如何，采购人及采购代理机构在任何情况下均无义务和责任承担这些费用。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rPr>
        <w:t>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5、招标文件的约束力</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5.1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投标人一旦参加本项目采购活动，即被认为接受了本招标文件的规定和约束，并且视为自招标公告期限届满之日起知道或应当知道自身权益是否受到了损害。</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6、招标文件的解释</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6.1 本招标文件由采购人或采购代理机构负责解释。</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二、招标文件</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7、招标文件构成</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7.1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招标文件有以下部分组成：</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（1）招标公告</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（2）投标人须知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（3）合同条款及格式</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（4）项目需求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（5）评标方法与评标标准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（6）投标文件格式</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请仔细检查招标文件是否齐全，如有缺漏请立即与采购人或采购代理机构联系解决。</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7.2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8、招标文件的询问</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8.1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任何要求对招标文件进行询问的投标人，应在投标截止日期</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十日</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前按招标公告中的通讯地址，向采购人或采购代理机构提出。</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9、招标文件的修改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在投标截止时间前，采购人或采购代理机构可以对招标文件进行修改。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采购人或采购代理机构有权依法推迟投标截止日期和开标日期。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9.3</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招标文件的修改将在</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rPr>
        <w:t>盐城市政府采购网和盐城工业职业技术学院招标采购网</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公布，补充文件将作为招标文件的组成部分，并对投标人具有约束力。</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三、投标文件的编制</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10、投标文件的语言及度量衡单位</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10.1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投标人提交的投标文件以及投标人与采购人或采购代理机构就有关投标的所有来往通知、函件和文件均应使用</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简体中文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10.2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除技术性能另有规定外，投标文件所使用的度量衡单位，均须采用国家法定计量单位。</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11、投标文件构成</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11.1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投标人编写的投标文件应包括资信证明文件、投标函、开标一览表等部分；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11.2</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投标人应将投标文件按顺序装订成册，并编制投标文件资料目录。</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12、证明投标人资格及符合招标文件规定的文件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12.1投标人应按要求提交资格证明文件及符合招标文件规定的文件。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12.2投标人应提交证明其有资格参加投标和中标后有能力独立履行合同的文件。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12.3投标人除必须具有履行合同所需提供的货物以及服务的能力外，还必须具备相应的财务、技术方面的能力。</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12.4投标人应提交根据合同要求提供的证明货物以及服务质量合格以及符合招标文件规定的证明文件。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12.5证明投标人所提供货物及服务与招标文件的要求相一致的文件可以是手册、图纸、文字资料和数据</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13、供货一览表和投标配置与分项报价表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投标人应按照招标文件规定格式填报。每项货物和服务等只允许有一个报价，任何有选择的报价将不予接受(如有备选配件，备选配件的报价不属于选择的报价)。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标的物</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采购人需求的货物供应、安装，调试及有关技术服务等</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13.3有关费用处理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人的投标报价是对本次公共区域水电维修及高低压配电房值班外包服务项目提出的各项支付金额的总和，包括（但不限于）为完成盐城工业职业技术学院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13.4</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其它费用处理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招标文件未列明，而投标人认为必需的费用也需列入报价。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13.5</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投标货币</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投标文件中的货物</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及服务</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单价和总价无特殊规定的采用人民币报价，以元为单位标注。</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招标文件中另有规定的按规定执行。</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13.6</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投标配置与分项报价表上的价格应按下列方式分开填写</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13.6.1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项目总价：包括</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买方需求的货物价格</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质量保证费用、培训费用及售后服务费用，项目在指定地点、环境交付、安装、调试、验收所需费用和所有</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相关税金费用</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及为完成整个项目所产生的其它所有费用。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13.6.2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项目单价按投标配置及分项报价表中要求填报。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14</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技术参数响应及偏离表、商务条款响应及偏离表及投标货物说明</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zh-CN" w:eastAsia="zh-CN" w:bidi="ar-SA"/>
        </w:rPr>
        <w:t>14.1</w:t>
      </w: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 xml:space="preserve"> 对招标文件中的技术与商务条款要求逐项作出响应或偏离，并说明原因；</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14.2 提供参加本项目类似案例简介；</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14.3 培训计划；</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14.4 详细阐述所投货物的主要组成部分、功能设计、实现思路及关键技术；</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14.5 投标人认为需要的其他技术文件或说明。</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w:t>
      </w: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5、服务承诺及售后服务机构、人员的情况介绍</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15.1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投标人的服务承诺应按不低于招标文件中商务要求的标准。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15.2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提供投标人有关售后服务的管理制度、售后服务机构的分布情况、售后服务人员的数量、素质、技术水平及售后服务的反应能力。</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16、投标函和开标一览表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16.1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投标人应按照招标文件中提供的格式完整、正确填写投标函、开标一览表。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16.2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开标一览表中的价格应与投标文件中投标配置与分项报价表中的价格一致，如不一致，</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不作为无效投标处理</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，但评标时按开标一览表中价格为准</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17、投标有效期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17.1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投标有效期为采购人或采购代理机构规定的开标之日后</w:t>
      </w:r>
      <w:r>
        <w:rPr>
          <w:rStyle w:val="26"/>
          <w:rFonts w:hint="eastAsia" w:asciiTheme="minorEastAsia" w:hAnsiTheme="minorEastAsia" w:eastAsiaTheme="minorEastAsia" w:cstheme="minorEastAsia"/>
          <w:b/>
          <w:i w:val="0"/>
          <w:caps w:val="0"/>
          <w:color w:val="000000"/>
          <w:spacing w:val="0"/>
          <w:w w:val="100"/>
          <w:kern w:val="2"/>
          <w:sz w:val="24"/>
          <w:szCs w:val="24"/>
          <w:u w:val="single" w:color="000000"/>
          <w:lang w:val="en-US" w:eastAsia="zh-CN" w:bidi="ar-SA"/>
        </w:rPr>
        <w:t>六十（60）天</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。投标有效期比规定短的将被视为非响应性投标而予以拒绝。</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17.2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同意延长投标有效期的投标人既不能要求也不允许修改其投标文件。</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受投标有效期约束的所有权利与义务均延长至新的有效期</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18、投标文件份数和签署</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18.1</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投标人应严格按照招标公告和招标文件要求的份数准备投标文件，每份投标文件须清楚地标明“正本”或“副本”字样。一旦正本和副本不符，以正本为准。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18.2</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投标文件正本中，</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招标文件要求必须提供原件的按照要求提供，文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18.3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除投标人对错处做必要修改外，投标文件不得行间插字、涂改或增删。如有修改错漏处，必须由投标文件签署人签字或盖章。</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四、投标文件的递交</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19、投标文件的密封和标记</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19.1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投标人应将投标文件正本和所有副本密封，不论投标人中标与否，投标文件均不退回。</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19.2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密封的投标文件应：</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19.2.1 注明投标人名称，如因标注不清而产生的后果由投标人自负。按招标公告中注明的地址送达；</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19.2.2  注明投标项目名称、标书编号及包号。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19.2.3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未按要求密封和加写标记，采购人和采购代理机构对误投或过早启封概不负责。对由此造成提前开封的投标文件，采购人和采购代理机构将予以拒绝。</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20、投标截止日期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20.1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采购人和采购代理机构收到投标文件的时间不得迟于招标公告中规定的截止时间。</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20.2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采购人或采购代理机构有权通过修改招标文件酌情延长投标截止日期，在此情况下，投标人的所有权利和义务以及投标人受制的截止日期均应以延长后新的截止日期为准。</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21、迟交的投标文件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21.1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采购人和采购代理机构拒绝接收在其规定的投标截止时间后递交的任何投标文件。</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22、投标文件的修改和撤回</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投标人在递交投标文件后，可以修改或撤回其投标文件，但这种修改和撤回，必须在规定的投标截止时间前，以书面形式</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通知采购人或采购代理机构，修改或撤回其投标文件。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投标人的修改或撤回文件应按规定进行编制、密封、标记和发送，并应在封套上加注“修改”或“撤回”字样。</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上述补充或修改若涉及投标报价，必须注明“最后唯一报价”字样，否则将视为有选择的报价。修改文件必须在投标截止时间前送达采购人或采购代理机构。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在投标截止时间之后，投标人不得对其投标文件作任何修改。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22.4</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在投标截止时间至招标文件中规定的投标有效期满之间的这段时间内，投标人不得撤回其投标，否则按照国家相关法律法规受到相应处罚。</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五、开标与评标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23、开标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采购人和采购代理机构将在招标公告中规定的时间和地点组织公开开标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。投标人应委派携带有效证件的代表准时参加，参加开标的代表需签名以证明其出席。</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23.2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开标仪式由采购人或采购代理机构组织，采购人代表</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(需提供单位授权函)</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、监管代表、投标人代表等参加。</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23.3</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按照规定同意撤回的投标将不予开封。</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23.5 采购人或采购代理机构将指定专人负责开标记录并存档备查，各投标人需仔细核对开标记录相关内容并签字确认。</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23.6 投标人在报价时不允许采用选择性报价，否则将被视为无效投标。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24、资格审查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24.1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接受联合体的项目，两个以上的自然人、法人或者其他组织组成一个联合体，以一个供应商的身份共同参加政府采购活动的,联合体成员存在不良信用记录的，视同联合体存在不良应用记录。</w:t>
      </w:r>
    </w:p>
    <w:p>
      <w:pPr>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合格投标人不足3家的，不得评标。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25、评标委员会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25.1</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资格审查通过后，采购人将组织评标委员会（以下简称评委会）进行评标。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25.2 评委会由采购人代表和有关技术、经济等方面的专家组成，且人员构成符合政府采购有关规定。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25.3评委会独立工作，负责评审所有投标文件并确定中标候选人。</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26、评标过程的保密与公正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公开开标后，直至签订合同之日止，凡是与审查、澄清、评价和比较投标的有关资料以及授标建议等，采购人、评委、采购人和采购代理机构均不得向投标人或与评标无关的其他人员透露。</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26.2在评标过程中，投标人不得以任何行为影响评标过程，否则其投标文件将被作为无效投标文件。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26.3在评标期间，采购人或采购代理机构将设专门人员与投标人联系。</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26.4 采购人、采购代理机构和评标委员会不向落标的投标人解释未中标原因，也不公布评标过程中的相关细节。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26.5 采用综合评分法的项目，未中标的投标人如需了解自己的评审得分及排序情况，可向采购人提出申请。</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27、投标的澄清</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27.1评标期间，为有助于对投标文件的审查、评价和比较，评委会有权以书面形式要求投标人对其投标文件进行澄清，但并非对每个投标人都作澄清要求。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27.3 接到评委会澄清要求的投标人如未按规定做出澄清，其风险由投标人自行承担。</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28、对投标文件的评审</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符合性检查：依据招标文件的规定，从投标文件的有效性、完整性和对招标文件的响应程度进行审查，以确定是否对招标文件的实质性要求作出响应。</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评委决定投标文件的响应性只根据投标文件本身的内容，而不寻求外部的证据。</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如果投标文件实质上没有响应招标文件的要求，评委会将按无效投标处理，投标人不得通过修改或撤销不合要求的偏离或保留而使其投标成为实质性响应的投标。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28.4</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评委会将对确定为实质性响应的投标进行进一步审核，看其是否有计算上或累加上的算术错误，修正错误的原则如下：</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（1）投标文件中开标一览表内容与投标文件中相应内容不一致的，以开标一览表为准。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（2）大写金额和小写金额不一致的，以大写金额为准。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（3）单价金额小数点或者百分比有明显错位的，以开标一览表的总价为准，并修改单价。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（4）总价金额与按单价汇总金额不一致的，以单价金额计算结果为准。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同时出现两种以上错误的，按照前款规定的顺序修正。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28.5</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28.6</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评委会将允许修正投标文件中不构成重大偏离的、微小的、非正规的、不一致的或不规则的地方，但这些修改不能影响任何投标人相应的名次排列。</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28.7</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采用最低评标价法的采购项目，</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使用综合评分法的采购项目，</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非单一产品采购项目，</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采购人应当根据采购项目技术构成、产品价格比重等合理确定核心产品，并在招标文件中载明。多家投标人提供的核心产品品牌相同的，按前两款规定处理。 (87号令第31条)</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29、无效投标条款和废标条款</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29.1无效投标条款</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29.1.1未按要求交纳投标保证金的（本工程无要求）；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29.1.2未按照招标文件规定要求密封、签署、盖章的；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29.1.3投标人在报价时采用选择性报价；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29.1.4投标人不具备招标文件中规定资格要求的；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29.1.5投标人的报价超过了采购预算或最高限价的；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caps w:val="0"/>
          <w:color w:val="000000"/>
          <w:spacing w:val="0"/>
          <w:w w:val="100"/>
          <w:kern w:val="2"/>
          <w:sz w:val="24"/>
          <w:szCs w:val="24"/>
          <w:u w:val="single" w:color="000000"/>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29.1.6未通过符合性检查的；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29.1.7不符合招标文件中规定的其他实质性要求和条件的；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29.1.8 投标人串通投标；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29.1.9  投标文件含有采购人不能接受的附加条件的。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29.1.11其他法律、法规及本招标文件规定的属无效投标的情形。</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29.2废标条款：                                                                                                                                                                                                                                                                                                                                                                                                                                                                                                                                                                                                                                                                                                                                                                                                                                                                                                                                                                                                                                                                                                                                                                                                                                                                                                                                                                                                                                                                         </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29.2.1符合专业条件的供应商或者对招标文件作实质响应的供应商不足三家的；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29.2.2出现影响采购公正的违法、违规行为的；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29.2.3因重大变故，采购任务取消的；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29.2.4评标委员会认定招标文件存在歧义、 重大缺陷导致评审工作无法进行。</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29.3 投标截止时间结束后参加投标的供应商不足三家的处理：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29.3.1如出现投标截止时间结束后参加投标的供应商或者在评标期间对招标文件做出实质响应的供应商不足三家情况，按财政部第八十七号令第四十三条的规定执行。</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六、定标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30、确定中标单位</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30.1评委会根据本招标文件规定评标方法与评标标准向采购人推荐出中标候选人。</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30.2 采购人应根据评委会推荐的中标候选人确定中标供应商。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30.3采购人</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将在盐城市政府采购网和盐城工业职业技术学院招标采购网发布中标公告，公告期限为1个工作日。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.4若有充分证据证明，中标供应商出现下列情况之一的，一经查实，将被取消中标资格：</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.4.1提供虚假材料谋取中标的；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.4.2向采购人或采购代理机构行贿或者提供其他不正当利益的；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.4.3恶意竞争，投标总报价明显低于其自身合理成本且又无法提供证明的；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30.4.4属于本文件规定的无效条件，但在评标过程中又未被评委会发现的；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30.4.5与采购人或者其他供应商恶意串通的；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30.4.6采取不正当手段诋毁、排挤其他供应商的；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30.4.7不符合法律、法规的规定的。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30.5. </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有下列情形之一的，视为投标人串通投标，投标无效：</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30.5.1不同投标人的投标文件由同一单位或者个人编制。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30.5.2不同投标人委托同一单位或者个人办理投标事宜。</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30.5.3 不同投标人的投标文件载明的项目管理成员或者联系人员为同一人。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30.5.4不同投标人的投标文件异常一致或者投标报价呈规律性差异。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30.5.5不同投标人的投标文件相互混装。</w:t>
      </w:r>
    </w:p>
    <w:p>
      <w:pPr>
        <w:pStyle w:val="20"/>
        <w:keepLines/>
        <w:widowControl/>
        <w:tabs>
          <w:tab w:val="left" w:pos="4120"/>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31、质疑处理</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ab/>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31.1.1</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对可以质疑的招标文件提出质疑的，为收到招标文件之日或者招标文件公告期限届满之日；</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31.1.2</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对采购过程提出质疑的，为各采购程序环节结束之日；</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31.1.3</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对中标结果提出质疑的，为中标结果公告期限届满之日。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31.3未参加投标活动的供应商或在投标活动中自身权益未受到损害的供应商所提出的质疑不予受理。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31.4质疑函应当包括下列内容：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31.4.1质疑投标人的名称、地址、邮编、联系人、联系电话；</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31.4.2具体的质疑事项及明确的请求；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31.4.3认为自己合法权益受到损害或可能受到损害的相关证据材料；</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31.4.4提起质疑的日期；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31.5采购人或采购代理机构收到质疑函后，将对质疑的形式和内容进行审查，如质疑函内容、格式不符合规定，采购人或采购代理机构将告知质疑人进行补正。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31.6质疑人应当在法定质疑期限内进行补正并重新提交质疑函，拒不补正或者在法定期限内未重新提交质疑函的，为无效质疑，采购人和采购代理机构将不予受理。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32、中标通知书</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32.l</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中标结果确定后，采购人将向中标供应商发出中标通知书。</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32.2中标通知书将是合同的一个组成部分。对采购人和中标供应商均具有法律效力。中标通知书发出后，采购人改变中标结果的，或者中标供应商放弃中标项目的，应当依法承担法律责任。</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七、合同签订相关事项</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33. 签订合同</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33</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33.2</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招标文件、中标供应商的投标文件及招标过程中有关澄清、承诺文件均应作为合同附件。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34、货物和服务的追加、减少和添购。</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35、履约保证金</w:t>
      </w:r>
    </w:p>
    <w:p>
      <w:pPr>
        <w:tabs>
          <w:tab w:val="left" w:pos="900"/>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36、政府采购履约资金扶持政策</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八、其他</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37、样品</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采购人、采购代理机构一般不得要求投标人提供样品，仅凭书面方式不能准确描述采购需求或者需要对样品进行主观判断以确认是否满足采购需求等特殊情况除外。</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采购活动结束后，对于未中标人提供的样品，应当及时退还或者经未中标人同意后自行处理；对于中标人提供的样品，应当按照招标文件的规定进行保管、封存，并作为履约验收的参考。</w:t>
      </w:r>
    </w:p>
    <w:p>
      <w:pPr>
        <w:pStyle w:val="16"/>
        <w:widowControl/>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1"/>
          <w:lang w:val="en-US" w:eastAsia="zh-CN" w:bidi="ar-SA"/>
        </w:rPr>
      </w:pPr>
    </w:p>
    <w:p>
      <w:pPr>
        <w:pStyle w:val="90"/>
        <w:widowControl/>
        <w:snapToGrid/>
        <w:spacing w:before="0" w:beforeAutospacing="0" w:after="120" w:afterAutospacing="0" w:line="240" w:lineRule="auto"/>
        <w:ind w:left="1470" w:leftChars="700" w:right="1470"/>
        <w:jc w:val="both"/>
        <w:textAlignment w:val="baseline"/>
        <w:rPr>
          <w:rStyle w:val="26"/>
          <w:rFonts w:hint="eastAsia" w:asciiTheme="minorEastAsia" w:hAnsiTheme="minorEastAsia" w:eastAsiaTheme="minorEastAsia" w:cstheme="minorEastAsia"/>
          <w:b/>
          <w:i w:val="0"/>
          <w:caps w:val="0"/>
          <w:color w:val="000000"/>
          <w:spacing w:val="0"/>
          <w:w w:val="100"/>
          <w:sz w:val="44"/>
        </w:rPr>
      </w:pPr>
    </w:p>
    <w:p>
      <w:pPr>
        <w:pStyle w:val="16"/>
        <w:widowControl/>
        <w:snapToGrid/>
        <w:spacing w:before="0" w:beforeAutospacing="0" w:after="0" w:afterAutospacing="0" w:line="240" w:lineRule="auto"/>
        <w:ind w:firstLine="1325" w:firstLineChars="300"/>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t>第三章  合同条款及格式</w:t>
      </w: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rPr>
        <w:t>以下为中标后签定本项目合同的通用条款，中标供应商不得提出实质性的修改，关于专用条款将由采购人与中标供应商结合本项目具体情况协商后签订。</w:t>
      </w:r>
    </w:p>
    <w:p>
      <w:pPr>
        <w:snapToGrid w:val="0"/>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21"/>
          <w:lang w:val="en-US" w:eastAsia="zh-CN"/>
        </w:rPr>
      </w:pPr>
    </w:p>
    <w:p>
      <w:pPr>
        <w:snapToGrid w:val="0"/>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2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0"/>
          <w:szCs w:val="21"/>
          <w:lang w:val="en-US" w:eastAsia="zh-CN"/>
        </w:rPr>
        <w:t>采购合同（格式）</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项目名称：盐城工业职业技术学院</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公共区域水电维修及高低压配电房值班外包服务项目</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甲方：盐城工业职业技术学院</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甲、乙双方本着诚实信用的原则，经友好协商后，决定签订本合同。</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第一条   </w:t>
      </w:r>
      <w:r>
        <w:rPr>
          <w:rFonts w:hint="eastAsia" w:asciiTheme="minorEastAsia" w:hAnsiTheme="minorEastAsia" w:eastAsiaTheme="minorEastAsia" w:cstheme="minorEastAsia"/>
          <w:sz w:val="24"/>
          <w:lang w:val="en-US" w:eastAsia="zh-CN"/>
        </w:rPr>
        <w:t>服务内容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负责学校图文信息中心、各二级学院、各食堂、工业中心、创业园、大学生活动中心（含中央空调的开关、日常维护保养及卫生工作）及公共教学楼等（除学生宿舍、</w:t>
      </w:r>
      <w:r>
        <w:rPr>
          <w:rFonts w:hint="eastAsia" w:asciiTheme="minorEastAsia" w:hAnsiTheme="minorEastAsia" w:eastAsiaTheme="minorEastAsia" w:cstheme="minorEastAsia"/>
          <w:sz w:val="24"/>
          <w:lang w:val="en-US" w:eastAsia="zh-CN"/>
        </w:rPr>
        <w:t>青年教师公寓</w:t>
      </w:r>
      <w:r>
        <w:rPr>
          <w:rFonts w:hint="eastAsia" w:asciiTheme="minorEastAsia" w:hAnsiTheme="minorEastAsia" w:eastAsiaTheme="minorEastAsia" w:cstheme="minorEastAsia"/>
          <w:sz w:val="24"/>
          <w:lang w:eastAsia="zh-CN"/>
        </w:rPr>
        <w:t>外）建筑体为对象的所有室内外的水电维修</w:t>
      </w:r>
      <w:r>
        <w:rPr>
          <w:rFonts w:hint="eastAsia" w:asciiTheme="minorEastAsia" w:hAnsiTheme="minorEastAsia" w:eastAsiaTheme="minorEastAsia" w:cstheme="minorEastAsia"/>
          <w:sz w:val="24"/>
          <w:lang w:val="en-US" w:eastAsia="zh-CN"/>
        </w:rPr>
        <w:t>及更换（如水管破裂、水龙头、冲水阀、马桶、蹲坑、小便池、各类灯具、电线短路、插座、开关、路灯等损坏）、墙内水管、线路砸墙检查、维修及更换工作、各建筑单体强电间及电器维护保养及卫生工作（学生宿舍除外）、校内各类考试、各类活动现场电力保障工作</w:t>
      </w:r>
      <w:r>
        <w:rPr>
          <w:rFonts w:hint="eastAsia" w:asciiTheme="minorEastAsia" w:hAnsiTheme="minorEastAsia" w:eastAsiaTheme="minorEastAsia" w:cstheme="minorEastAsia"/>
          <w:sz w:val="24"/>
        </w:rPr>
        <w:t>。</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所有维修配件均由学校承担提供，承包单位要以旧换新，做好维修记录</w:t>
      </w:r>
      <w:r>
        <w:rPr>
          <w:rFonts w:hint="eastAsia" w:asciiTheme="minorEastAsia" w:hAnsiTheme="minorEastAsia" w:eastAsiaTheme="minorEastAsia" w:cstheme="minorEastAsia"/>
          <w:sz w:val="24"/>
          <w:lang w:val="en-US" w:eastAsia="zh-CN"/>
        </w:rPr>
        <w:t>并于次月交上月维修记录，如灯光暗淡、节能改造等原因需对灯具、水龙头、冲水阀、小便池、插座、开关、路灯等进行无条件更换</w:t>
      </w:r>
      <w:r>
        <w:rPr>
          <w:rFonts w:hint="eastAsia" w:asciiTheme="minorEastAsia" w:hAnsiTheme="minorEastAsia" w:eastAsiaTheme="minorEastAsia" w:cstheme="minorEastAsia"/>
          <w:sz w:val="24"/>
          <w:lang w:eastAsia="zh-CN"/>
        </w:rPr>
        <w:t>。小故障一小时内修复，无特殊情况故障都应当天排除。含</w:t>
      </w:r>
      <w:r>
        <w:rPr>
          <w:rFonts w:hint="eastAsia" w:asciiTheme="minorEastAsia" w:hAnsiTheme="minorEastAsia" w:eastAsiaTheme="minorEastAsia" w:cstheme="minorEastAsia"/>
          <w:sz w:val="24"/>
          <w:lang w:val="en-US" w:eastAsia="zh-CN"/>
        </w:rPr>
        <w:t>根据甲方要求，</w:t>
      </w:r>
      <w:r>
        <w:rPr>
          <w:rFonts w:hint="eastAsia" w:asciiTheme="minorEastAsia" w:hAnsiTheme="minorEastAsia" w:eastAsiaTheme="minorEastAsia" w:cstheme="minorEastAsia"/>
          <w:sz w:val="24"/>
          <w:lang w:eastAsia="zh-CN"/>
        </w:rPr>
        <w:t>非</w:t>
      </w:r>
      <w:r>
        <w:rPr>
          <w:rFonts w:hint="eastAsia" w:asciiTheme="minorEastAsia" w:hAnsiTheme="minorEastAsia" w:eastAsiaTheme="minorEastAsia" w:cstheme="minorEastAsia"/>
          <w:sz w:val="24"/>
          <w:lang w:val="en-US" w:eastAsia="zh-CN"/>
        </w:rPr>
        <w:t>维修类</w:t>
      </w:r>
      <w:r>
        <w:rPr>
          <w:rFonts w:hint="eastAsia" w:asciiTheme="minorEastAsia" w:hAnsiTheme="minorEastAsia" w:eastAsiaTheme="minorEastAsia" w:cstheme="minorEastAsia"/>
          <w:sz w:val="24"/>
          <w:lang w:eastAsia="zh-CN"/>
        </w:rPr>
        <w:t>水电施工的</w:t>
      </w:r>
      <w:r>
        <w:rPr>
          <w:rFonts w:hint="eastAsia" w:asciiTheme="minorEastAsia" w:hAnsiTheme="minorEastAsia" w:eastAsiaTheme="minorEastAsia" w:cstheme="minorEastAsia"/>
          <w:sz w:val="24"/>
          <w:lang w:val="en-US" w:eastAsia="zh-CN"/>
        </w:rPr>
        <w:t>砸墙、</w:t>
      </w:r>
      <w:r>
        <w:rPr>
          <w:rFonts w:hint="eastAsia" w:asciiTheme="minorEastAsia" w:hAnsiTheme="minorEastAsia" w:eastAsiaTheme="minorEastAsia" w:cstheme="minorEastAsia"/>
          <w:sz w:val="24"/>
          <w:lang w:eastAsia="zh-CN"/>
        </w:rPr>
        <w:t>穿墙、水电开槽、布线、穿线、埋槽、常规安装开关、插座、灯等工作，</w:t>
      </w:r>
      <w:r>
        <w:rPr>
          <w:rFonts w:hint="eastAsia" w:asciiTheme="minorEastAsia" w:hAnsiTheme="minorEastAsia" w:eastAsiaTheme="minorEastAsia" w:cstheme="minorEastAsia"/>
          <w:sz w:val="24"/>
          <w:lang w:val="en-US" w:eastAsia="zh-CN"/>
        </w:rPr>
        <w:t>具体判定以2名水电工半天工作量为依据，超出此工作量的工作由甲方另行派工或招标。</w:t>
      </w:r>
    </w:p>
    <w:p>
      <w:pPr>
        <w:spacing w:line="360" w:lineRule="auto"/>
        <w:ind w:firstLine="40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负责现有服务范围内建筑单体后期装潢改造过保质期的水电维修。</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4.负责高压开关站及高低配电房、变压器等24小时值班和巡查</w:t>
      </w:r>
      <w:r>
        <w:rPr>
          <w:rFonts w:hint="eastAsia" w:asciiTheme="minorEastAsia" w:hAnsiTheme="minorEastAsia" w:eastAsiaTheme="minorEastAsia" w:cstheme="minorEastAsia"/>
          <w:sz w:val="24"/>
          <w:szCs w:val="24"/>
          <w:lang w:val="en-US" w:eastAsia="zh-CN"/>
        </w:rPr>
        <w:t>，做好值班记录，及时整理归档交于甲方。</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5.日常水电</w:t>
      </w:r>
      <w:r>
        <w:rPr>
          <w:rFonts w:hint="eastAsia" w:asciiTheme="minorEastAsia" w:hAnsiTheme="minorEastAsia" w:eastAsiaTheme="minorEastAsia" w:cstheme="minorEastAsia"/>
          <w:sz w:val="24"/>
          <w:lang w:eastAsia="zh-CN"/>
        </w:rPr>
        <w:t>维修人员规定时间按数到岗在岗（</w:t>
      </w:r>
      <w:r>
        <w:rPr>
          <w:rFonts w:hint="eastAsia" w:asciiTheme="minorEastAsia" w:hAnsiTheme="minorEastAsia" w:eastAsiaTheme="minorEastAsia" w:cstheme="minorEastAsia"/>
          <w:sz w:val="24"/>
          <w:lang w:val="en-US" w:eastAsia="zh-CN"/>
        </w:rPr>
        <w:t>7：30—20：30</w:t>
      </w:r>
      <w:r>
        <w:rPr>
          <w:rFonts w:hint="eastAsia" w:asciiTheme="minorEastAsia" w:hAnsiTheme="minorEastAsia" w:eastAsiaTheme="minorEastAsia" w:cstheme="minorEastAsia"/>
          <w:sz w:val="24"/>
          <w:lang w:eastAsia="zh-CN"/>
        </w:rPr>
        <w:t>）。</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rPr>
        <w:t>条</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人员配备：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878"/>
        <w:gridCol w:w="1355"/>
        <w:gridCol w:w="731"/>
        <w:gridCol w:w="2002"/>
        <w:gridCol w:w="117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岗位（工作）名称</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最少配备人数</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学历要求</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性别要求</w:t>
            </w: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年龄要求</w:t>
            </w:r>
          </w:p>
        </w:tc>
        <w:tc>
          <w:tcPr>
            <w:tcW w:w="1170"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持证要求</w:t>
            </w:r>
          </w:p>
        </w:tc>
        <w:tc>
          <w:tcPr>
            <w:tcW w:w="141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eastAsia="zh-CN"/>
              </w:rPr>
              <w:t>电工</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高中</w:t>
            </w:r>
            <w:r>
              <w:rPr>
                <w:rFonts w:hint="eastAsia" w:asciiTheme="minorEastAsia" w:hAnsiTheme="minorEastAsia" w:eastAsiaTheme="minorEastAsia" w:cstheme="minorEastAsia"/>
                <w:color w:val="000000"/>
                <w:kern w:val="0"/>
              </w:rPr>
              <w:t>及以上</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男性：</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0周岁以下</w:t>
            </w:r>
          </w:p>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女性：</w:t>
            </w:r>
            <w:r>
              <w:rPr>
                <w:rFonts w:hint="eastAsia" w:asciiTheme="minorEastAsia" w:hAnsiTheme="minorEastAsia" w:eastAsiaTheme="minorEastAsia" w:cstheme="minorEastAsia"/>
                <w:color w:val="000000"/>
                <w:kern w:val="0"/>
                <w:lang w:val="en-US" w:eastAsia="zh-CN"/>
              </w:rPr>
              <w:t>50</w:t>
            </w:r>
            <w:r>
              <w:rPr>
                <w:rFonts w:hint="eastAsia" w:asciiTheme="minorEastAsia" w:hAnsiTheme="minorEastAsia" w:eastAsiaTheme="minorEastAsia" w:cstheme="minorEastAsia"/>
                <w:color w:val="000000"/>
                <w:kern w:val="0"/>
              </w:rPr>
              <w:t>周岁以下</w:t>
            </w:r>
          </w:p>
        </w:tc>
        <w:tc>
          <w:tcPr>
            <w:tcW w:w="1170"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val="en-US"/>
              </w:rPr>
            </w:pPr>
            <w:r>
              <w:rPr>
                <w:rFonts w:hint="eastAsia" w:asciiTheme="minorEastAsia" w:hAnsiTheme="minorEastAsia" w:eastAsiaTheme="minorEastAsia" w:cstheme="minorEastAsia"/>
                <w:color w:val="000000"/>
                <w:kern w:val="0"/>
                <w:lang w:eastAsia="zh-CN"/>
              </w:rPr>
              <w:t>水电人员须持有电工证，</w:t>
            </w:r>
            <w:r>
              <w:rPr>
                <w:rFonts w:hint="eastAsia" w:asciiTheme="minorEastAsia" w:hAnsiTheme="minorEastAsia" w:eastAsiaTheme="minorEastAsia" w:cstheme="minorEastAsia"/>
                <w:color w:val="000000"/>
                <w:kern w:val="0"/>
                <w:lang w:val="en-US" w:eastAsia="zh-CN"/>
              </w:rPr>
              <w:t>其中2人同时持有高压证</w:t>
            </w:r>
          </w:p>
        </w:tc>
        <w:tc>
          <w:tcPr>
            <w:tcW w:w="141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小计</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5258" w:type="dxa"/>
            <w:gridSpan w:val="4"/>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141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水电维修</w:t>
            </w:r>
            <w:r>
              <w:rPr>
                <w:rFonts w:hint="eastAsia" w:asciiTheme="minorEastAsia" w:hAnsiTheme="minorEastAsia" w:eastAsiaTheme="minorEastAsia" w:cstheme="minorEastAsia"/>
                <w:color w:val="000000"/>
                <w:kern w:val="0"/>
              </w:rPr>
              <w:t>范围</w:t>
            </w:r>
          </w:p>
        </w:tc>
        <w:tc>
          <w:tcPr>
            <w:tcW w:w="6136" w:type="dxa"/>
            <w:gridSpan w:val="5"/>
            <w:noWrap w:val="0"/>
            <w:vAlign w:val="center"/>
          </w:tcPr>
          <w:p>
            <w:pPr>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sz w:val="24"/>
                <w:szCs w:val="24"/>
                <w:lang w:eastAsia="zh-CN"/>
              </w:rPr>
              <w:t>负责学校图文信息中心、各二级学院、各食堂、工业中心、创业园、大学生活动中心及公共教学楼等（除学生宿舍、</w:t>
            </w:r>
            <w:r>
              <w:rPr>
                <w:rFonts w:hint="eastAsia" w:asciiTheme="minorEastAsia" w:hAnsiTheme="minorEastAsia" w:eastAsiaTheme="minorEastAsia" w:cstheme="minorEastAsia"/>
                <w:sz w:val="24"/>
                <w:szCs w:val="24"/>
                <w:lang w:val="en-US" w:eastAsia="zh-CN"/>
              </w:rPr>
              <w:t>青年教师公寓</w:t>
            </w:r>
            <w:r>
              <w:rPr>
                <w:rFonts w:hint="eastAsia" w:asciiTheme="minorEastAsia" w:hAnsiTheme="minorEastAsia" w:eastAsiaTheme="minorEastAsia" w:cstheme="minorEastAsia"/>
                <w:sz w:val="24"/>
                <w:szCs w:val="24"/>
                <w:lang w:eastAsia="zh-CN"/>
              </w:rPr>
              <w:t>外）建筑体为对象的所有室内外的水电维修，</w:t>
            </w:r>
            <w:r>
              <w:rPr>
                <w:rFonts w:hint="eastAsia" w:asciiTheme="minorEastAsia" w:hAnsiTheme="minorEastAsia" w:eastAsiaTheme="minorEastAsia" w:cstheme="minorEastAsia"/>
                <w:sz w:val="24"/>
                <w:szCs w:val="24"/>
                <w:lang w:val="en-US" w:eastAsia="zh-CN"/>
              </w:rPr>
              <w:t>负责高低配电房24小时值班。</w:t>
            </w:r>
          </w:p>
        </w:tc>
        <w:tc>
          <w:tcPr>
            <w:tcW w:w="1416" w:type="dxa"/>
            <w:noWrap w:val="0"/>
            <w:vAlign w:val="center"/>
          </w:tcPr>
          <w:p>
            <w:pPr>
              <w:widowControl/>
              <w:spacing w:line="460" w:lineRule="exact"/>
              <w:jc w:val="left"/>
              <w:rPr>
                <w:rFonts w:hint="eastAsia" w:asciiTheme="minorEastAsia" w:hAnsiTheme="minorEastAsia" w:eastAsiaTheme="minorEastAsia" w:cstheme="minorEastAsia"/>
                <w:color w:val="000000"/>
                <w:kern w:val="0"/>
              </w:rPr>
            </w:pPr>
          </w:p>
        </w:tc>
      </w:tr>
    </w:tbl>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三</w:t>
      </w:r>
      <w:r>
        <w:rPr>
          <w:rFonts w:hint="eastAsia" w:asciiTheme="minorEastAsia" w:hAnsiTheme="minorEastAsia" w:eastAsiaTheme="minorEastAsia" w:cstheme="minorEastAsia"/>
          <w:sz w:val="24"/>
        </w:rPr>
        <w:t>条   服务期限：</w:t>
      </w:r>
      <w:r>
        <w:rPr>
          <w:rFonts w:hint="eastAsia" w:asciiTheme="minorEastAsia" w:hAnsiTheme="minorEastAsia" w:eastAsiaTheme="minorEastAsia" w:cstheme="minorEastAsia"/>
          <w:sz w:val="24"/>
          <w:lang w:val="en-US" w:eastAsia="zh-CN"/>
        </w:rPr>
        <w:t xml:space="preserve"> 2021年8月26日2023年8月27日，合同一年一签，经考核合格后签订下一年合同。</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条   甲方的主要权利和义务</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（一）根据工作需要和学院的规章制度及本合同条款对乙方相关服务进行监督、检查。</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（二）乙方维修施工期间，甲方予以配合。</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条   乙方的主要权利和义务</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在正式为乙方提供服务前，应熟悉甲方所有水电设备设施的基本情况，包括安装地点、线路布局、工作原理及安全运行要求等，从合同生效起，提供的主要服务为：</w:t>
      </w:r>
    </w:p>
    <w:p>
      <w:pPr>
        <w:numPr>
          <w:ilvl w:val="0"/>
          <w:numId w:val="7"/>
        </w:num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全天候为</w:t>
      </w:r>
      <w:r>
        <w:rPr>
          <w:rFonts w:hint="eastAsia" w:asciiTheme="minorEastAsia" w:hAnsiTheme="minorEastAsia" w:eastAsiaTheme="minorEastAsia" w:cstheme="minorEastAsia"/>
          <w:sz w:val="24"/>
          <w:lang w:eastAsia="zh-CN"/>
        </w:rPr>
        <w:t>负责学校图文信息中心、各二级学院、各食堂、工业中心、创业园、大学生活动中心（含中央空调的开关、日常维护保养及卫生工作）及公共教学楼等（除学生宿舍、</w:t>
      </w:r>
      <w:r>
        <w:rPr>
          <w:rFonts w:hint="eastAsia" w:asciiTheme="minorEastAsia" w:hAnsiTheme="minorEastAsia" w:eastAsiaTheme="minorEastAsia" w:cstheme="minorEastAsia"/>
          <w:sz w:val="24"/>
          <w:lang w:val="en-US" w:eastAsia="zh-CN"/>
        </w:rPr>
        <w:t>青年教师公寓</w:t>
      </w:r>
      <w:r>
        <w:rPr>
          <w:rFonts w:hint="eastAsia" w:asciiTheme="minorEastAsia" w:hAnsiTheme="minorEastAsia" w:eastAsiaTheme="minorEastAsia" w:cstheme="minorEastAsia"/>
          <w:sz w:val="24"/>
          <w:lang w:eastAsia="zh-CN"/>
        </w:rPr>
        <w:t>外）建筑体为对象的所有室内外的水电维修</w:t>
      </w:r>
      <w:r>
        <w:rPr>
          <w:rFonts w:hint="eastAsia" w:asciiTheme="minorEastAsia" w:hAnsiTheme="minorEastAsia" w:eastAsiaTheme="minorEastAsia" w:cstheme="minorEastAsia"/>
          <w:sz w:val="24"/>
          <w:lang w:val="en-US" w:eastAsia="zh-CN"/>
        </w:rPr>
        <w:t>（如水管破裂、水龙头、冲水阀、各类灯具、电线短路、插座、开关、路灯等损坏）、各建筑单体强电间及电器维护保养及卫生工作（学生宿舍除外）、空调开关、校内各类考试、各类活动现场电力保障工作</w:t>
      </w:r>
      <w:r>
        <w:rPr>
          <w:rFonts w:hint="eastAsia" w:asciiTheme="minorEastAsia" w:hAnsiTheme="minorEastAsia" w:eastAsiaTheme="minorEastAsia" w:cstheme="minorEastAsia"/>
          <w:sz w:val="24"/>
        </w:rPr>
        <w:t>范围内提供水电维修响应服务。</w:t>
      </w:r>
    </w:p>
    <w:p>
      <w:pPr>
        <w:numPr>
          <w:ilvl w:val="0"/>
          <w:numId w:val="7"/>
        </w:num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如非工作时间内出现突发的水电问题，乙方要及时到达现场进行维修。</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（三）每月现场安全检查：协同甲方安全管理人员开展每月度一次和重大节日前的用电、消防安全等检查，用专业的角度提出有安全隐患的地方，并协助甲方加以整改。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（四）认真、负责地答复甲方关于设备故障的有关问题。</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（五）其他与水电使用、安全相关的工作。</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（六）工作期间严禁饮酒。</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）乙方必须提供水电资质证书，公司营业执照、委托人员要有委托函并给甲方复印、备案。在向甲方提供服务期间，须遵守国家法律法规、政策和甲方职业健康安全管理规定，并接受甲方的安全管理及监督检查。</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八</w:t>
      </w:r>
      <w:r>
        <w:rPr>
          <w:rFonts w:hint="eastAsia" w:asciiTheme="minorEastAsia" w:hAnsiTheme="minorEastAsia" w:eastAsiaTheme="minorEastAsia" w:cstheme="minorEastAsia"/>
          <w:sz w:val="24"/>
        </w:rPr>
        <w:t>）乙方工作人员自带维修的必须工具，并要保证安全性、良好实用性，乙方自行承担工具维修费和损耗费用。</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六</w:t>
      </w:r>
      <w:r>
        <w:rPr>
          <w:rFonts w:hint="eastAsia" w:asciiTheme="minorEastAsia" w:hAnsiTheme="minorEastAsia" w:eastAsiaTheme="minorEastAsia" w:cstheme="minorEastAsia"/>
          <w:sz w:val="24"/>
        </w:rPr>
        <w:t>条   乙方在施工过程中要注意安全，因乙方责任发生的安全事故，其费用和责任均由乙方负责。</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条   在日常的维护管理中，维修过程中出现的非因乙方故意。过失造成的设备实施及其零配件的损坏，需要更换零部件的，费用由甲方承担；但因乙方的施工造成二次损坏的，由乙方免费更换。在维护施工中，乙方如发现甲方提供的材料有质量问题或规格差异，应及时向甲方提出，甲方仍表示使用的，由此造成损失，责任由甲方承担。</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八</w:t>
      </w:r>
      <w:r>
        <w:rPr>
          <w:rFonts w:hint="eastAsia" w:asciiTheme="minorEastAsia" w:hAnsiTheme="minorEastAsia" w:eastAsiaTheme="minorEastAsia" w:cstheme="minorEastAsia"/>
          <w:sz w:val="24"/>
        </w:rPr>
        <w:t>条   未征得甲方同意，乙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九</w:t>
      </w:r>
      <w:r>
        <w:rPr>
          <w:rFonts w:hint="eastAsia" w:asciiTheme="minorEastAsia" w:hAnsiTheme="minorEastAsia" w:eastAsiaTheme="minorEastAsia" w:cstheme="minorEastAsia"/>
          <w:sz w:val="24"/>
        </w:rPr>
        <w:t>条   费用支付：</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一）</w:t>
      </w:r>
      <w:r>
        <w:rPr>
          <w:rFonts w:hint="eastAsia" w:asciiTheme="minorEastAsia" w:hAnsiTheme="minorEastAsia" w:eastAsiaTheme="minorEastAsia" w:cstheme="minorEastAsia"/>
          <w:sz w:val="24"/>
        </w:rPr>
        <w:t xml:space="preserve"> 本项目根据中标价定价为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rPr>
        <w:t>（小写：元，含税金）。</w:t>
      </w:r>
    </w:p>
    <w:p>
      <w:pPr>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 xml:space="preserve">二） </w:t>
      </w:r>
      <w:r>
        <w:rPr>
          <w:rFonts w:hint="eastAsia" w:asciiTheme="minorEastAsia" w:hAnsiTheme="minorEastAsia" w:eastAsiaTheme="minorEastAsia" w:cstheme="minorEastAsia"/>
          <w:sz w:val="24"/>
        </w:rPr>
        <w:t>支付方式：按考核办法每三个月支付一次，以公司单位形式结算。</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九</w:t>
      </w:r>
      <w:r>
        <w:rPr>
          <w:rFonts w:hint="eastAsia" w:asciiTheme="minorEastAsia" w:hAnsiTheme="minorEastAsia" w:eastAsiaTheme="minorEastAsia" w:cstheme="minorEastAsia"/>
          <w:sz w:val="24"/>
        </w:rPr>
        <w:t>条  乙方不能及时排除故障或达不到甲方的工作要求，影响甲方工作的正常开展，有师生反映未及时维护或不在岗等违规行为，甲方有权进行处罚或相应减少支付乙方承包费用；造成甲方损失的，乙方要承担赔偿责任。</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第十条</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合同生效后，任何一方不能正常履行合同时，需提前1个月书面通知对方。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十一</w:t>
      </w:r>
      <w:r>
        <w:rPr>
          <w:rFonts w:hint="eastAsia" w:asciiTheme="minorEastAsia" w:hAnsiTheme="minorEastAsia" w:eastAsiaTheme="minorEastAsia" w:cstheme="minorEastAsia"/>
          <w:sz w:val="24"/>
        </w:rPr>
        <w:t>条  纠纷处理方式：</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双方因合同履行发生争议时，协商解决；协商不成时，可以向人民法院提起诉讼。</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rPr>
        <w:t>条  本协议一式肆份，甲方执贰份，乙方执贰份，与原合同具有同等的法律效力，并与双方原物业管理合同同步执行。未尽事宜，双方本着互利、互谅原则协商解决，必要时可签订补充条款。</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未尽事宜，双方本着互利、互谅原则协商解决，必要时可签订补充条款。</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w:t>
      </w:r>
      <w:r>
        <w:rPr>
          <w:rFonts w:hint="eastAsia" w:asciiTheme="minorEastAsia" w:hAnsiTheme="minorEastAsia" w:eastAsiaTheme="minorEastAsia" w:cstheme="minorEastAsia"/>
          <w:sz w:val="24"/>
          <w:lang w:val="en-US" w:eastAsia="zh-CN"/>
        </w:rPr>
        <w:t>三</w:t>
      </w:r>
      <w:r>
        <w:rPr>
          <w:rFonts w:hint="eastAsia" w:asciiTheme="minorEastAsia" w:hAnsiTheme="minorEastAsia" w:eastAsiaTheme="minorEastAsia" w:cstheme="minorEastAsia"/>
          <w:sz w:val="24"/>
        </w:rPr>
        <w:t>条  附则</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（一）本合同经甲、乙双方签字（盖章）后生效。</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（二）本合同签订后工程不得转包。</w:t>
      </w: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80" w:firstLineChars="200"/>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甲 方：</w:t>
      </w:r>
      <w:r>
        <w:rPr>
          <w:rFonts w:hint="eastAsia" w:asciiTheme="minorEastAsia" w:hAnsiTheme="minorEastAsia" w:eastAsiaTheme="minorEastAsia" w:cstheme="minorEastAsia"/>
          <w:color w:val="000000"/>
          <w:sz w:val="24"/>
        </w:rPr>
        <w:t>盐城工业职业技术学院</w:t>
      </w:r>
      <w:r>
        <w:rPr>
          <w:rFonts w:hint="eastAsia" w:asciiTheme="minorEastAsia" w:hAnsiTheme="minorEastAsia" w:eastAsiaTheme="minorEastAsia" w:cstheme="minorEastAsia"/>
          <w:color w:val="000000"/>
          <w:sz w:val="24"/>
          <w:szCs w:val="28"/>
        </w:rPr>
        <w:t xml:space="preserve">        </w:t>
      </w:r>
      <w:r>
        <w:rPr>
          <w:rFonts w:hint="eastAsia" w:asciiTheme="minorEastAsia" w:hAnsiTheme="minorEastAsia" w:eastAsiaTheme="minorEastAsia" w:cstheme="minorEastAsia"/>
          <w:color w:val="000000"/>
          <w:sz w:val="24"/>
          <w:szCs w:val="28"/>
          <w:lang w:val="en-US" w:eastAsia="zh-CN"/>
        </w:rPr>
        <w:t xml:space="preserve">  </w:t>
      </w:r>
      <w:r>
        <w:rPr>
          <w:rFonts w:hint="eastAsia" w:asciiTheme="minorEastAsia" w:hAnsiTheme="minorEastAsia" w:eastAsiaTheme="minorEastAsia" w:cstheme="minorEastAsia"/>
          <w:color w:val="000000"/>
          <w:sz w:val="24"/>
          <w:szCs w:val="28"/>
        </w:rPr>
        <w:t xml:space="preserve"> 乙 方：</w:t>
      </w:r>
    </w:p>
    <w:p>
      <w:pPr>
        <w:spacing w:line="520" w:lineRule="exact"/>
        <w:ind w:firstLine="120" w:firstLineChars="50"/>
        <w:rPr>
          <w:rFonts w:hint="eastAsia" w:asciiTheme="minorEastAsia" w:hAnsiTheme="minorEastAsia" w:eastAsiaTheme="minorEastAsia" w:cstheme="minorEastAsia"/>
          <w:color w:val="000000"/>
          <w:sz w:val="24"/>
          <w:szCs w:val="28"/>
        </w:rPr>
      </w:pPr>
    </w:p>
    <w:p>
      <w:pPr>
        <w:spacing w:line="520" w:lineRule="exact"/>
        <w:ind w:firstLine="600" w:firstLineChars="250"/>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 xml:space="preserve">法定代表人：                      </w:t>
      </w:r>
      <w:r>
        <w:rPr>
          <w:rFonts w:hint="eastAsia" w:asciiTheme="minorEastAsia" w:hAnsiTheme="minorEastAsia" w:eastAsiaTheme="minorEastAsia" w:cstheme="minorEastAsia"/>
          <w:color w:val="000000"/>
          <w:sz w:val="24"/>
          <w:szCs w:val="28"/>
          <w:lang w:val="en-US" w:eastAsia="zh-CN"/>
        </w:rPr>
        <w:t xml:space="preserve">   </w:t>
      </w:r>
      <w:r>
        <w:rPr>
          <w:rFonts w:hint="eastAsia" w:asciiTheme="minorEastAsia" w:hAnsiTheme="minorEastAsia" w:eastAsiaTheme="minorEastAsia" w:cstheme="minorEastAsia"/>
          <w:color w:val="000000"/>
          <w:sz w:val="24"/>
          <w:szCs w:val="28"/>
        </w:rPr>
        <w:t xml:space="preserve">法定代表人：                    </w:t>
      </w:r>
    </w:p>
    <w:p>
      <w:pPr>
        <w:spacing w:line="520" w:lineRule="exact"/>
        <w:rPr>
          <w:rFonts w:hint="eastAsia" w:asciiTheme="minorEastAsia" w:hAnsiTheme="minorEastAsia" w:eastAsiaTheme="minorEastAsia" w:cstheme="minorEastAsia"/>
          <w:color w:val="000000"/>
          <w:sz w:val="24"/>
          <w:szCs w:val="28"/>
        </w:rPr>
      </w:pPr>
    </w:p>
    <w:p>
      <w:pPr>
        <w:spacing w:line="420" w:lineRule="exact"/>
        <w:ind w:firstLine="480" w:firstLineChars="200"/>
        <w:rPr>
          <w:rFonts w:hint="eastAsia" w:asciiTheme="minorEastAsia" w:hAnsiTheme="minorEastAsia" w:eastAsiaTheme="minorEastAsia" w:cstheme="minorEastAsia"/>
          <w:kern w:val="15"/>
          <w:position w:val="2"/>
          <w:sz w:val="28"/>
        </w:rPr>
      </w:pPr>
      <w:r>
        <w:rPr>
          <w:rFonts w:hint="eastAsia" w:asciiTheme="minorEastAsia" w:hAnsiTheme="minorEastAsia" w:eastAsiaTheme="minorEastAsia" w:cstheme="minorEastAsia"/>
          <w:color w:val="000000"/>
          <w:sz w:val="24"/>
          <w:szCs w:val="28"/>
        </w:rPr>
        <w:t xml:space="preserve">（委托代理人）：                  </w:t>
      </w:r>
      <w:r>
        <w:rPr>
          <w:rFonts w:hint="eastAsia" w:asciiTheme="minorEastAsia" w:hAnsiTheme="minorEastAsia" w:eastAsiaTheme="minorEastAsia" w:cstheme="minorEastAsia"/>
          <w:color w:val="000000"/>
          <w:sz w:val="24"/>
          <w:szCs w:val="28"/>
          <w:lang w:val="en-US" w:eastAsia="zh-CN"/>
        </w:rPr>
        <w:t xml:space="preserve">   </w:t>
      </w:r>
      <w:r>
        <w:rPr>
          <w:rFonts w:hint="eastAsia" w:asciiTheme="minorEastAsia" w:hAnsiTheme="minorEastAsia" w:eastAsiaTheme="minorEastAsia" w:cstheme="minorEastAsia"/>
          <w:color w:val="000000"/>
          <w:sz w:val="24"/>
          <w:szCs w:val="28"/>
        </w:rPr>
        <w:t xml:space="preserve">（委托代理人）：         </w:t>
      </w:r>
    </w:p>
    <w:p>
      <w:pPr>
        <w:spacing w:line="420" w:lineRule="exact"/>
        <w:ind w:firstLine="560" w:firstLineChars="200"/>
        <w:rPr>
          <w:rFonts w:hint="eastAsia" w:asciiTheme="minorEastAsia" w:hAnsiTheme="minorEastAsia" w:eastAsiaTheme="minorEastAsia" w:cstheme="minorEastAsia"/>
          <w:kern w:val="15"/>
          <w:position w:val="2"/>
          <w:sz w:val="28"/>
        </w:rPr>
      </w:pPr>
    </w:p>
    <w:p>
      <w:pPr>
        <w:spacing w:line="420" w:lineRule="exact"/>
        <w:ind w:firstLine="560" w:firstLineChars="200"/>
        <w:rPr>
          <w:rFonts w:hint="eastAsia" w:asciiTheme="minorEastAsia" w:hAnsiTheme="minorEastAsia" w:eastAsiaTheme="minorEastAsia" w:cstheme="minorEastAsia"/>
          <w:kern w:val="15"/>
          <w:position w:val="2"/>
          <w:sz w:val="28"/>
        </w:rPr>
      </w:pPr>
    </w:p>
    <w:p>
      <w:pPr>
        <w:spacing w:line="420" w:lineRule="exact"/>
        <w:ind w:firstLine="560" w:firstLineChars="200"/>
        <w:rPr>
          <w:rFonts w:hint="eastAsia" w:asciiTheme="minorEastAsia" w:hAnsiTheme="minorEastAsia" w:eastAsiaTheme="minorEastAsia" w:cstheme="minorEastAsia"/>
          <w:kern w:val="15"/>
          <w:position w:val="2"/>
          <w:sz w:val="28"/>
        </w:rPr>
      </w:pPr>
    </w:p>
    <w:p>
      <w:pPr>
        <w:spacing w:line="420" w:lineRule="exact"/>
        <w:ind w:firstLine="480" w:firstLineChars="200"/>
        <w:rPr>
          <w:rFonts w:hint="eastAsia" w:asciiTheme="minorEastAsia" w:hAnsiTheme="minorEastAsia" w:eastAsiaTheme="minorEastAsia" w:cstheme="minorEastAsia"/>
          <w:color w:val="000000"/>
          <w:sz w:val="24"/>
          <w:szCs w:val="28"/>
          <w:lang w:val="en-US" w:eastAsia="zh-CN"/>
        </w:rPr>
      </w:pPr>
      <w:r>
        <w:rPr>
          <w:rFonts w:hint="eastAsia" w:asciiTheme="minorEastAsia" w:hAnsiTheme="minorEastAsia" w:eastAsiaTheme="minorEastAsia" w:cstheme="minorEastAsia"/>
          <w:color w:val="000000"/>
          <w:sz w:val="24"/>
          <w:szCs w:val="28"/>
          <w:lang w:val="en-US" w:eastAsia="zh-CN"/>
        </w:rPr>
        <w:t>日 期：</w:t>
      </w: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rPr>
      </w:pPr>
    </w:p>
    <w:p>
      <w:pPr>
        <w:spacing w:line="420" w:lineRule="exact"/>
        <w:ind w:firstLine="560" w:firstLineChars="200"/>
        <w:rPr>
          <w:rFonts w:hint="eastAsia" w:asciiTheme="minorEastAsia" w:hAnsiTheme="minorEastAsia" w:eastAsiaTheme="minorEastAsia" w:cstheme="minorEastAsia"/>
          <w:kern w:val="15"/>
          <w:position w:val="2"/>
          <w:sz w:val="28"/>
        </w:rPr>
      </w:pPr>
      <w:r>
        <w:rPr>
          <w:rFonts w:hint="eastAsia" w:asciiTheme="minorEastAsia" w:hAnsiTheme="minorEastAsia" w:eastAsiaTheme="minorEastAsia" w:cstheme="minorEastAsia"/>
          <w:sz w:val="28"/>
          <w:szCs w:val="28"/>
        </w:rPr>
        <w:t>附件1：</w:t>
      </w:r>
    </w:p>
    <w:p>
      <w:pPr>
        <w:spacing w:line="420" w:lineRule="exact"/>
        <w:ind w:firstLine="560" w:firstLineChars="200"/>
        <w:rPr>
          <w:rFonts w:hint="eastAsia" w:asciiTheme="minorEastAsia" w:hAnsiTheme="minorEastAsia" w:eastAsiaTheme="minorEastAsia" w:cstheme="minorEastAsia"/>
          <w:kern w:val="15"/>
          <w:position w:val="2"/>
          <w:sz w:val="28"/>
        </w:rPr>
      </w:pP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学校公共区域水电维修考核办法</w:t>
      </w:r>
    </w:p>
    <w:tbl>
      <w:tblPr>
        <w:tblStyle w:val="10"/>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31"/>
        <w:gridCol w:w="3223"/>
        <w:gridCol w:w="1091"/>
        <w:gridCol w:w="306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考核项目</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考核要求</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考核分值</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扣分标准</w:t>
            </w:r>
          </w:p>
        </w:tc>
        <w:tc>
          <w:tcPr>
            <w:tcW w:w="1376"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工作态度</w:t>
            </w:r>
          </w:p>
        </w:tc>
        <w:tc>
          <w:tcPr>
            <w:tcW w:w="3223" w:type="dxa"/>
            <w:vAlign w:val="center"/>
          </w:tcPr>
          <w:p>
            <w:pPr>
              <w:widowControl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维修人员规定时间按数到岗在岗</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24小时值班情况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工作时间内发现缺岗一次扣0.5分，扣完为止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响应速度</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工作时间内师生报修后1小时内接修</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根据报修系统复核接修响应时间，一次扣0.5分，扣完为止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维修速度</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当日下午15:00前的报修于当日完成，15:00后的报修于次日下班前完成</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根据报修系统以更新完成维修时间为准，一次扣0.5分，扣完为止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维修质量</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按照招标清单的产品参数维修更换，并无返修情况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现场抽查维修质量，不符一次扣1分，扣完为止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现场清理</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维修现场垃圾当日清理</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不符一次扣1分，扣完为止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师生反馈</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无师生投诉情况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师生通过各种渠道投诉一次扣1分，扣完为止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安全施工</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因维修不善造成重大隐患的情况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造成不良影响或影响教育教学的，一次扣2分，扣完为止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113" w:type="dxa"/>
            <w:gridSpan w:val="4"/>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总得分</w:t>
            </w:r>
          </w:p>
        </w:tc>
        <w:tc>
          <w:tcPr>
            <w:tcW w:w="1376" w:type="dxa"/>
            <w:vAlign w:val="center"/>
          </w:tcPr>
          <w:p>
            <w:pPr>
              <w:widowControl w:val="0"/>
              <w:jc w:val="center"/>
              <w:rPr>
                <w:rFonts w:hint="eastAsia" w:asciiTheme="minorEastAsia" w:hAnsiTheme="minorEastAsia" w:eastAsiaTheme="minorEastAsia" w:cstheme="minorEastAsia"/>
                <w:szCs w:val="21"/>
              </w:rPr>
            </w:pPr>
          </w:p>
        </w:tc>
      </w:tr>
    </w:tbl>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每月底进行一次考核，取每3个月的考核平均值作为半年度考核得分。</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季度考核分值在80分及以上的，甲方支付合同金额的100%。</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季度考核分值在70-79分的，甲方根据合同金额的80%。</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季度考核分值低于70分的，甲方根据合同金额的70%，并且甲方有权单方面解除合同并重新招标。</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甲  方：                                    乙  方：</w:t>
      </w:r>
    </w:p>
    <w:p>
      <w:pPr>
        <w:rPr>
          <w:rFonts w:hint="eastAsia" w:asciiTheme="minorEastAsia" w:hAnsiTheme="minorEastAsia" w:eastAsiaTheme="minorEastAsia" w:cstheme="minorEastAsia"/>
        </w:rPr>
      </w:pPr>
    </w:p>
    <w:p>
      <w:pPr>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签  字：                                    签  字：</w:t>
      </w:r>
    </w:p>
    <w:p>
      <w:pPr>
        <w:rPr>
          <w:rFonts w:hint="eastAsia" w:asciiTheme="minorEastAsia" w:hAnsiTheme="minorEastAsia" w:eastAsiaTheme="minorEastAsia" w:cstheme="minorEastAsia"/>
        </w:rPr>
      </w:pPr>
    </w:p>
    <w:p>
      <w:pPr>
        <w:pStyle w:val="90"/>
        <w:widowControl/>
        <w:snapToGrid/>
        <w:spacing w:before="0" w:beforeAutospacing="0" w:after="120" w:afterAutospacing="0" w:line="240" w:lineRule="auto"/>
        <w:ind w:left="0" w:leftChars="0" w:right="1470" w:firstLine="630" w:firstLineChars="30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r>
        <w:rPr>
          <w:rFonts w:hint="eastAsia" w:asciiTheme="minorEastAsia" w:hAnsiTheme="minorEastAsia" w:eastAsiaTheme="minorEastAsia" w:cstheme="minorEastAsia"/>
        </w:rPr>
        <w:t>日  期：                                    日  期：</w:t>
      </w:r>
    </w:p>
    <w:p>
      <w:pPr>
        <w:pStyle w:val="16"/>
        <w:widowControl/>
        <w:snapToGrid/>
        <w:spacing w:before="0" w:beforeAutospacing="0" w:after="0" w:afterAutospacing="0" w:line="240" w:lineRule="auto"/>
        <w:ind w:firstLine="2871" w:firstLineChars="650"/>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t>第四章 项目需求</w:t>
      </w:r>
    </w:p>
    <w:p>
      <w:pPr>
        <w:snapToGrid/>
        <w:spacing w:before="0" w:beforeAutospacing="0" w:after="0" w:afterAutospacing="0" w:line="440" w:lineRule="exact"/>
        <w:ind w:firstLine="482"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盐城工业职业技术学院是一所省属公办普通高等学校，学校</w:t>
      </w:r>
      <w:r>
        <w:rPr>
          <w:rFonts w:hint="eastAsia" w:asciiTheme="minorEastAsia" w:hAnsiTheme="minorEastAsia" w:eastAsiaTheme="minorEastAsia" w:cstheme="minorEastAsia"/>
          <w:color w:val="000000"/>
          <w:sz w:val="24"/>
        </w:rPr>
        <w:t>校区坐落在盐城市职教园区（盐城市解放南路285号）。学院占地588亩，在校师生员工近8000人，建筑面积22多万平方米。</w:t>
      </w:r>
    </w:p>
    <w:p>
      <w:pPr>
        <w:widowControl/>
        <w:spacing w:line="460" w:lineRule="exact"/>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w:t>
      </w:r>
      <w:r>
        <w:rPr>
          <w:rFonts w:hint="eastAsia" w:asciiTheme="minorEastAsia" w:hAnsiTheme="minorEastAsia" w:eastAsiaTheme="minorEastAsia" w:cstheme="minorEastAsia"/>
          <w:b/>
          <w:kern w:val="0"/>
          <w:sz w:val="28"/>
          <w:szCs w:val="28"/>
          <w:lang w:eastAsia="zh-CN"/>
        </w:rPr>
        <w:t>水电维修外包服务</w:t>
      </w:r>
      <w:r>
        <w:rPr>
          <w:rFonts w:hint="eastAsia" w:asciiTheme="minorEastAsia" w:hAnsiTheme="minorEastAsia" w:eastAsiaTheme="minorEastAsia" w:cstheme="minorEastAsia"/>
          <w:b/>
          <w:kern w:val="0"/>
          <w:sz w:val="28"/>
          <w:szCs w:val="28"/>
        </w:rPr>
        <w:t>项目需求</w:t>
      </w:r>
    </w:p>
    <w:p>
      <w:pPr>
        <w:widowControl/>
        <w:spacing w:line="460" w:lineRule="exact"/>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（一）岗位设置、人员配备及相关工作量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878"/>
        <w:gridCol w:w="1355"/>
        <w:gridCol w:w="731"/>
        <w:gridCol w:w="2002"/>
        <w:gridCol w:w="148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岗位（工作）名称</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最少配备人数</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学历要求</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性别要求</w:t>
            </w: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年龄要求</w:t>
            </w:r>
          </w:p>
        </w:tc>
        <w:tc>
          <w:tcPr>
            <w:tcW w:w="1480"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持证要求</w:t>
            </w:r>
          </w:p>
        </w:tc>
        <w:tc>
          <w:tcPr>
            <w:tcW w:w="110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eastAsia="zh-CN"/>
              </w:rPr>
              <w:t>电工</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高中</w:t>
            </w:r>
            <w:r>
              <w:rPr>
                <w:rFonts w:hint="eastAsia" w:asciiTheme="minorEastAsia" w:hAnsiTheme="minorEastAsia" w:eastAsiaTheme="minorEastAsia" w:cstheme="minorEastAsia"/>
                <w:color w:val="000000"/>
                <w:kern w:val="0"/>
              </w:rPr>
              <w:t>及以上</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男性：</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0周岁以下</w:t>
            </w:r>
          </w:p>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女性：</w:t>
            </w:r>
            <w:r>
              <w:rPr>
                <w:rFonts w:hint="eastAsia" w:asciiTheme="minorEastAsia" w:hAnsiTheme="minorEastAsia" w:eastAsiaTheme="minorEastAsia" w:cstheme="minorEastAsia"/>
                <w:color w:val="000000"/>
                <w:kern w:val="0"/>
                <w:lang w:val="en-US" w:eastAsia="zh-CN"/>
              </w:rPr>
              <w:t>50</w:t>
            </w:r>
            <w:r>
              <w:rPr>
                <w:rFonts w:hint="eastAsia" w:asciiTheme="minorEastAsia" w:hAnsiTheme="minorEastAsia" w:eastAsiaTheme="minorEastAsia" w:cstheme="minorEastAsia"/>
                <w:color w:val="000000"/>
                <w:kern w:val="0"/>
              </w:rPr>
              <w:t>周岁以下</w:t>
            </w:r>
          </w:p>
        </w:tc>
        <w:tc>
          <w:tcPr>
            <w:tcW w:w="1480"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val="en-US"/>
              </w:rPr>
            </w:pPr>
            <w:r>
              <w:rPr>
                <w:rFonts w:hint="eastAsia" w:asciiTheme="minorEastAsia" w:hAnsiTheme="minorEastAsia" w:eastAsiaTheme="minorEastAsia" w:cstheme="minorEastAsia"/>
                <w:color w:val="000000"/>
                <w:kern w:val="0"/>
                <w:lang w:eastAsia="zh-CN"/>
              </w:rPr>
              <w:t>水电人员须持有电工证，</w:t>
            </w:r>
            <w:r>
              <w:rPr>
                <w:rFonts w:hint="eastAsia" w:asciiTheme="minorEastAsia" w:hAnsiTheme="minorEastAsia" w:eastAsiaTheme="minorEastAsia" w:cstheme="minorEastAsia"/>
                <w:color w:val="000000"/>
                <w:kern w:val="0"/>
                <w:lang w:val="en-US" w:eastAsia="zh-CN"/>
              </w:rPr>
              <w:t>其中2人同时持有高压证</w:t>
            </w:r>
          </w:p>
        </w:tc>
        <w:tc>
          <w:tcPr>
            <w:tcW w:w="110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小计</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5568" w:type="dxa"/>
            <w:gridSpan w:val="4"/>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110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水电维修</w:t>
            </w:r>
            <w:r>
              <w:rPr>
                <w:rFonts w:hint="eastAsia" w:asciiTheme="minorEastAsia" w:hAnsiTheme="minorEastAsia" w:eastAsiaTheme="minorEastAsia" w:cstheme="minorEastAsia"/>
                <w:color w:val="000000"/>
                <w:kern w:val="0"/>
              </w:rPr>
              <w:t>范围</w:t>
            </w:r>
          </w:p>
        </w:tc>
        <w:tc>
          <w:tcPr>
            <w:tcW w:w="6446" w:type="dxa"/>
            <w:gridSpan w:val="5"/>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负责学校图文信息中心、各二级学院、各食堂、工业中心、创业园、大学生活动中心及公共教学楼等（除学生宿舍、</w:t>
            </w:r>
            <w:r>
              <w:rPr>
                <w:rFonts w:hint="eastAsia" w:asciiTheme="minorEastAsia" w:hAnsiTheme="minorEastAsia" w:eastAsiaTheme="minorEastAsia" w:cstheme="minorEastAsia"/>
                <w:sz w:val="24"/>
                <w:szCs w:val="24"/>
                <w:lang w:val="en-US" w:eastAsia="zh-CN"/>
              </w:rPr>
              <w:t>青年教师公寓</w:t>
            </w:r>
            <w:r>
              <w:rPr>
                <w:rFonts w:hint="eastAsia" w:asciiTheme="minorEastAsia" w:hAnsiTheme="minorEastAsia" w:eastAsiaTheme="minorEastAsia" w:cstheme="minorEastAsia"/>
                <w:sz w:val="24"/>
                <w:szCs w:val="24"/>
                <w:lang w:eastAsia="zh-CN"/>
              </w:rPr>
              <w:t>外）建筑体为对象的所有室内外的水电维修，</w:t>
            </w: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lang w:val="en-US" w:eastAsia="zh-CN"/>
              </w:rPr>
              <w:t>高压开关站及高低配电房</w:t>
            </w:r>
            <w:r>
              <w:rPr>
                <w:rFonts w:hint="eastAsia" w:asciiTheme="minorEastAsia" w:hAnsiTheme="minorEastAsia" w:eastAsiaTheme="minorEastAsia" w:cstheme="minorEastAsia"/>
                <w:sz w:val="24"/>
                <w:szCs w:val="24"/>
                <w:lang w:val="en-US" w:eastAsia="zh-CN"/>
              </w:rPr>
              <w:t>24小时值班。</w:t>
            </w:r>
          </w:p>
          <w:p>
            <w:pPr>
              <w:widowControl/>
              <w:spacing w:line="460" w:lineRule="exact"/>
              <w:jc w:val="left"/>
              <w:rPr>
                <w:rFonts w:hint="eastAsia" w:asciiTheme="minorEastAsia" w:hAnsiTheme="minorEastAsia" w:eastAsiaTheme="minorEastAsia" w:cstheme="minorEastAsia"/>
                <w:color w:val="000000"/>
                <w:kern w:val="0"/>
              </w:rPr>
            </w:pPr>
          </w:p>
        </w:tc>
        <w:tc>
          <w:tcPr>
            <w:tcW w:w="1106" w:type="dxa"/>
            <w:noWrap w:val="0"/>
            <w:vAlign w:val="center"/>
          </w:tcPr>
          <w:p>
            <w:pPr>
              <w:widowControl/>
              <w:spacing w:line="460" w:lineRule="exact"/>
              <w:jc w:val="left"/>
              <w:rPr>
                <w:rFonts w:hint="eastAsia" w:asciiTheme="minorEastAsia" w:hAnsiTheme="minorEastAsia" w:eastAsiaTheme="minorEastAsia" w:cstheme="minorEastAsia"/>
                <w:color w:val="000000"/>
                <w:kern w:val="0"/>
              </w:rPr>
            </w:pPr>
          </w:p>
        </w:tc>
      </w:tr>
    </w:tbl>
    <w:p>
      <w:pPr>
        <w:widowControl/>
        <w:numPr>
          <w:ilvl w:val="0"/>
          <w:numId w:val="9"/>
        </w:numPr>
        <w:shd w:val="clear" w:color="auto" w:fill="FFFFFF"/>
        <w:spacing w:line="460" w:lineRule="exact"/>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、服务内容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负责学校图文信息中心、各二级学院、各食堂、工业中心、创业园、大学生活动中心（含中央空调的开关、日常维护保养及卫生工作）及公共教学楼等（除学生宿舍、</w:t>
      </w:r>
      <w:r>
        <w:rPr>
          <w:rFonts w:hint="eastAsia" w:asciiTheme="minorEastAsia" w:hAnsiTheme="minorEastAsia" w:eastAsiaTheme="minorEastAsia" w:cstheme="minorEastAsia"/>
          <w:sz w:val="24"/>
          <w:lang w:val="en-US" w:eastAsia="zh-CN"/>
        </w:rPr>
        <w:t>青年教师公寓</w:t>
      </w:r>
      <w:r>
        <w:rPr>
          <w:rFonts w:hint="eastAsia" w:asciiTheme="minorEastAsia" w:hAnsiTheme="minorEastAsia" w:eastAsiaTheme="minorEastAsia" w:cstheme="minorEastAsia"/>
          <w:sz w:val="24"/>
          <w:lang w:eastAsia="zh-CN"/>
        </w:rPr>
        <w:t>外）建筑体为对象的所有室内外的水电维修</w:t>
      </w:r>
      <w:r>
        <w:rPr>
          <w:rFonts w:hint="eastAsia" w:asciiTheme="minorEastAsia" w:hAnsiTheme="minorEastAsia" w:eastAsiaTheme="minorEastAsia" w:cstheme="minorEastAsia"/>
          <w:sz w:val="24"/>
          <w:lang w:val="en-US" w:eastAsia="zh-CN"/>
        </w:rPr>
        <w:t>及更换（如水管破裂、水龙头、冲水阀、马桶、蹲坑、小便池、各类灯具、电线短路、插座、开关、路灯等损坏）、墙内水管、线路砸墙检查、维修及更换工作、各建筑单体强电间及电器维护保养及卫生工作（学生宿舍除外）、校内各类考试、各类活动现场电力保障工作</w:t>
      </w:r>
      <w:r>
        <w:rPr>
          <w:rFonts w:hint="eastAsia" w:asciiTheme="minorEastAsia" w:hAnsiTheme="minorEastAsia" w:eastAsiaTheme="minorEastAsia" w:cstheme="minorEastAsia"/>
          <w:sz w:val="24"/>
        </w:rPr>
        <w:t>。</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所有维修配件均由学校承担提供，承包单位要以旧换新，做好维修记录</w:t>
      </w:r>
      <w:r>
        <w:rPr>
          <w:rFonts w:hint="eastAsia" w:asciiTheme="minorEastAsia" w:hAnsiTheme="minorEastAsia" w:eastAsiaTheme="minorEastAsia" w:cstheme="minorEastAsia"/>
          <w:sz w:val="24"/>
          <w:lang w:val="en-US" w:eastAsia="zh-CN"/>
        </w:rPr>
        <w:t>并于次月交上月维修记录，如灯光暗淡、节能改造等原因需对灯具、水龙头、冲水阀、小便池、插座、开关、路灯等进行无条件更换</w:t>
      </w:r>
      <w:r>
        <w:rPr>
          <w:rFonts w:hint="eastAsia" w:asciiTheme="minorEastAsia" w:hAnsiTheme="minorEastAsia" w:eastAsiaTheme="minorEastAsia" w:cstheme="minorEastAsia"/>
          <w:sz w:val="24"/>
          <w:lang w:eastAsia="zh-CN"/>
        </w:rPr>
        <w:t>。小故障一小时内修复，无特殊情况故障都应当天排除。含</w:t>
      </w:r>
      <w:r>
        <w:rPr>
          <w:rFonts w:hint="eastAsia" w:asciiTheme="minorEastAsia" w:hAnsiTheme="minorEastAsia" w:eastAsiaTheme="minorEastAsia" w:cstheme="minorEastAsia"/>
          <w:sz w:val="24"/>
          <w:lang w:val="en-US" w:eastAsia="zh-CN"/>
        </w:rPr>
        <w:t>根据甲方要求，</w:t>
      </w:r>
      <w:r>
        <w:rPr>
          <w:rFonts w:hint="eastAsia" w:asciiTheme="minorEastAsia" w:hAnsiTheme="minorEastAsia" w:eastAsiaTheme="minorEastAsia" w:cstheme="minorEastAsia"/>
          <w:sz w:val="24"/>
          <w:lang w:eastAsia="zh-CN"/>
        </w:rPr>
        <w:t>非</w:t>
      </w:r>
      <w:r>
        <w:rPr>
          <w:rFonts w:hint="eastAsia" w:asciiTheme="minorEastAsia" w:hAnsiTheme="minorEastAsia" w:eastAsiaTheme="minorEastAsia" w:cstheme="minorEastAsia"/>
          <w:sz w:val="24"/>
          <w:lang w:val="en-US" w:eastAsia="zh-CN"/>
        </w:rPr>
        <w:t>维修类</w:t>
      </w:r>
      <w:r>
        <w:rPr>
          <w:rFonts w:hint="eastAsia" w:asciiTheme="minorEastAsia" w:hAnsiTheme="minorEastAsia" w:eastAsiaTheme="minorEastAsia" w:cstheme="minorEastAsia"/>
          <w:sz w:val="24"/>
          <w:lang w:eastAsia="zh-CN"/>
        </w:rPr>
        <w:t>水电施工的</w:t>
      </w:r>
      <w:r>
        <w:rPr>
          <w:rFonts w:hint="eastAsia" w:asciiTheme="minorEastAsia" w:hAnsiTheme="minorEastAsia" w:eastAsiaTheme="minorEastAsia" w:cstheme="minorEastAsia"/>
          <w:sz w:val="24"/>
          <w:lang w:val="en-US" w:eastAsia="zh-CN"/>
        </w:rPr>
        <w:t>砸墙、</w:t>
      </w:r>
      <w:r>
        <w:rPr>
          <w:rFonts w:hint="eastAsia" w:asciiTheme="minorEastAsia" w:hAnsiTheme="minorEastAsia" w:eastAsiaTheme="minorEastAsia" w:cstheme="minorEastAsia"/>
          <w:sz w:val="24"/>
          <w:lang w:eastAsia="zh-CN"/>
        </w:rPr>
        <w:t>穿墙、水电开槽、布线、穿线、埋槽、常规安装开关、插座、灯等工作，</w:t>
      </w:r>
      <w:r>
        <w:rPr>
          <w:rFonts w:hint="eastAsia" w:asciiTheme="minorEastAsia" w:hAnsiTheme="minorEastAsia" w:eastAsiaTheme="minorEastAsia" w:cstheme="minorEastAsia"/>
          <w:sz w:val="24"/>
          <w:lang w:val="en-US" w:eastAsia="zh-CN"/>
        </w:rPr>
        <w:t>具体判定以2名水电工半天工作量为依据，超出此工作量的工作由甲方另行派工或招标。</w:t>
      </w:r>
    </w:p>
    <w:p>
      <w:pPr>
        <w:spacing w:line="360" w:lineRule="auto"/>
        <w:ind w:firstLine="40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负责现有服务范围内建筑单体后期装潢改造过保质期的水电维修。</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4.负责高压开关站及高低配电房、变压器等24小时值班和巡查</w:t>
      </w:r>
      <w:r>
        <w:rPr>
          <w:rFonts w:hint="eastAsia" w:asciiTheme="minorEastAsia" w:hAnsiTheme="minorEastAsia" w:eastAsiaTheme="minorEastAsia" w:cstheme="minorEastAsia"/>
          <w:sz w:val="24"/>
          <w:szCs w:val="24"/>
          <w:lang w:val="en-US" w:eastAsia="zh-CN"/>
        </w:rPr>
        <w:t>，做好值班记录，及时整理归档交于甲方。</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szCs w:val="24"/>
          <w:lang w:val="en-US" w:eastAsia="zh-CN"/>
        </w:rPr>
        <w:t>.负责公共教学组团、各二级学院空调开关，大学生活动中心中央空调的开关、日常维护保养及卫生工作。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6.日常水电</w:t>
      </w:r>
      <w:r>
        <w:rPr>
          <w:rFonts w:hint="eastAsia" w:asciiTheme="minorEastAsia" w:hAnsiTheme="minorEastAsia" w:eastAsiaTheme="minorEastAsia" w:cstheme="minorEastAsia"/>
          <w:sz w:val="24"/>
          <w:szCs w:val="24"/>
          <w:lang w:eastAsia="zh-CN"/>
        </w:rPr>
        <w:t>维修人员规定时间按数到岗在岗（</w:t>
      </w:r>
      <w:r>
        <w:rPr>
          <w:rFonts w:hint="eastAsia" w:asciiTheme="minorEastAsia" w:hAnsiTheme="minorEastAsia" w:eastAsiaTheme="minorEastAsia" w:cstheme="minorEastAsia"/>
          <w:sz w:val="24"/>
          <w:szCs w:val="24"/>
          <w:lang w:val="en-US" w:eastAsia="zh-CN"/>
        </w:rPr>
        <w:t>7：30—20：30</w:t>
      </w:r>
      <w:r>
        <w:rPr>
          <w:rFonts w:hint="eastAsia" w:asciiTheme="minorEastAsia" w:hAnsiTheme="minorEastAsia" w:eastAsiaTheme="minorEastAsia" w:cstheme="minorEastAsia"/>
          <w:sz w:val="24"/>
          <w:szCs w:val="24"/>
          <w:lang w:eastAsia="zh-CN"/>
        </w:rPr>
        <w:t>）。</w:t>
      </w:r>
    </w:p>
    <w:p>
      <w:pPr>
        <w:widowControl/>
        <w:numPr>
          <w:ilvl w:val="0"/>
          <w:numId w:val="9"/>
        </w:numPr>
        <w:shd w:val="clear" w:color="auto" w:fill="FFFFFF"/>
        <w:spacing w:line="460" w:lineRule="exact"/>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、服务</w:t>
      </w:r>
      <w:r>
        <w:rPr>
          <w:rFonts w:hint="eastAsia" w:asciiTheme="minorEastAsia" w:hAnsiTheme="minorEastAsia" w:eastAsiaTheme="minorEastAsia" w:cstheme="minorEastAsia"/>
          <w:b/>
          <w:color w:val="000000"/>
          <w:kern w:val="0"/>
          <w:sz w:val="24"/>
          <w:lang w:eastAsia="zh-CN"/>
        </w:rPr>
        <w:t>期限</w:t>
      </w:r>
    </w:p>
    <w:p>
      <w:pPr>
        <w:widowControl/>
        <w:numPr>
          <w:ilvl w:val="0"/>
          <w:numId w:val="0"/>
        </w:numPr>
        <w:shd w:val="clear" w:color="auto" w:fill="FFFFFF"/>
        <w:spacing w:line="460" w:lineRule="exact"/>
        <w:rPr>
          <w:rFonts w:hint="eastAsia" w:asciiTheme="minorEastAsia" w:hAnsiTheme="minorEastAsia" w:eastAsiaTheme="minorEastAsia" w:cstheme="minorEastAsia"/>
          <w:b/>
          <w:color w:val="000000"/>
          <w:kern w:val="0"/>
          <w:sz w:val="24"/>
          <w:lang w:val="en-US" w:eastAsia="zh-CN"/>
        </w:rPr>
      </w:pPr>
      <w:r>
        <w:rPr>
          <w:rFonts w:hint="eastAsia" w:asciiTheme="minorEastAsia" w:hAnsiTheme="minorEastAsia" w:eastAsiaTheme="minorEastAsia" w:cstheme="minorEastAsia"/>
          <w:b/>
          <w:color w:val="000000"/>
          <w:kern w:val="0"/>
          <w:sz w:val="24"/>
          <w:lang w:val="en-US" w:eastAsia="zh-CN"/>
        </w:rPr>
        <w:t xml:space="preserve">   2021年8月26日2023年8月27日，合同一年一签，经考核合格后签订下一年合同</w:t>
      </w:r>
    </w:p>
    <w:p>
      <w:pPr>
        <w:widowControl/>
        <w:shd w:val="clear" w:color="auto" w:fill="FFFFFF"/>
        <w:spacing w:line="460" w:lineRule="exact"/>
        <w:rPr>
          <w:rFonts w:hint="eastAsia" w:asciiTheme="minorEastAsia" w:hAnsiTheme="minorEastAsia" w:eastAsiaTheme="minorEastAsia" w:cstheme="minorEastAsia"/>
          <w:b/>
          <w:color w:val="000000"/>
          <w:kern w:val="0"/>
          <w:sz w:val="24"/>
          <w:lang w:val="zh-CN"/>
        </w:rPr>
      </w:pPr>
      <w:r>
        <w:rPr>
          <w:rFonts w:hint="eastAsia" w:asciiTheme="minorEastAsia" w:hAnsiTheme="minorEastAsia" w:eastAsiaTheme="minorEastAsia" w:cstheme="minorEastAsia"/>
          <w:b/>
          <w:color w:val="000000"/>
          <w:kern w:val="0"/>
          <w:sz w:val="24"/>
        </w:rPr>
        <w:t>（</w:t>
      </w:r>
      <w:r>
        <w:rPr>
          <w:rFonts w:hint="eastAsia" w:asciiTheme="minorEastAsia" w:hAnsiTheme="minorEastAsia" w:eastAsiaTheme="minorEastAsia" w:cstheme="minorEastAsia"/>
          <w:b/>
          <w:color w:val="000000"/>
          <w:kern w:val="0"/>
          <w:sz w:val="24"/>
          <w:lang w:eastAsia="zh-CN"/>
        </w:rPr>
        <w:t>四</w:t>
      </w:r>
      <w:r>
        <w:rPr>
          <w:rFonts w:hint="eastAsia" w:asciiTheme="minorEastAsia" w:hAnsiTheme="minorEastAsia" w:eastAsiaTheme="minorEastAsia" w:cstheme="minorEastAsia"/>
          <w:b/>
          <w:color w:val="000000"/>
          <w:kern w:val="0"/>
          <w:sz w:val="24"/>
        </w:rPr>
        <w:t>）</w:t>
      </w:r>
      <w:r>
        <w:rPr>
          <w:rFonts w:hint="eastAsia" w:asciiTheme="minorEastAsia" w:hAnsiTheme="minorEastAsia" w:eastAsiaTheme="minorEastAsia" w:cstheme="minorEastAsia"/>
          <w:b/>
          <w:color w:val="000000"/>
          <w:kern w:val="0"/>
          <w:sz w:val="24"/>
          <w:lang w:eastAsia="zh-CN"/>
        </w:rPr>
        <w:t>、</w:t>
      </w:r>
      <w:r>
        <w:rPr>
          <w:rFonts w:hint="eastAsia" w:asciiTheme="minorEastAsia" w:hAnsiTheme="minorEastAsia" w:eastAsiaTheme="minorEastAsia" w:cstheme="minorEastAsia"/>
          <w:b/>
          <w:color w:val="000000"/>
          <w:kern w:val="0"/>
          <w:sz w:val="24"/>
        </w:rPr>
        <w:t xml:space="preserve"> </w:t>
      </w:r>
      <w:r>
        <w:rPr>
          <w:rFonts w:hint="eastAsia" w:asciiTheme="minorEastAsia" w:hAnsiTheme="minorEastAsia" w:eastAsiaTheme="minorEastAsia" w:cstheme="minorEastAsia"/>
          <w:b/>
          <w:color w:val="000000"/>
          <w:kern w:val="0"/>
          <w:sz w:val="24"/>
          <w:lang w:val="zh-CN"/>
        </w:rPr>
        <w:t>现场集中考察、答疑</w:t>
      </w:r>
    </w:p>
    <w:p>
      <w:pPr>
        <w:spacing w:line="46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1.投标人应参加现场集中考察、答疑</w:t>
      </w:r>
      <w:r>
        <w:rPr>
          <w:rFonts w:hint="eastAsia" w:asciiTheme="minorEastAsia" w:hAnsiTheme="minorEastAsia" w:eastAsiaTheme="minorEastAsia" w:cstheme="minorEastAsia"/>
          <w:bCs/>
          <w:sz w:val="24"/>
        </w:rPr>
        <w:t>，以便掌握学校</w:t>
      </w:r>
      <w:r>
        <w:rPr>
          <w:rFonts w:hint="eastAsia" w:asciiTheme="minorEastAsia" w:hAnsiTheme="minorEastAsia" w:eastAsiaTheme="minorEastAsia" w:cstheme="minorEastAsia"/>
          <w:bCs/>
          <w:sz w:val="24"/>
          <w:lang w:eastAsia="zh-CN"/>
        </w:rPr>
        <w:t>公共区域水电维修</w:t>
      </w:r>
      <w:r>
        <w:rPr>
          <w:rFonts w:hint="eastAsia" w:asciiTheme="minorEastAsia" w:hAnsiTheme="minorEastAsia" w:eastAsiaTheme="minorEastAsia" w:cstheme="minorEastAsia"/>
          <w:bCs/>
          <w:sz w:val="24"/>
        </w:rPr>
        <w:t>项目现场的全面情况，对参加过现场考察、答疑的投标人，招标人将发放</w:t>
      </w:r>
      <w:r>
        <w:rPr>
          <w:rFonts w:hint="eastAsia" w:asciiTheme="minorEastAsia" w:hAnsiTheme="minorEastAsia" w:eastAsiaTheme="minorEastAsia" w:cstheme="minorEastAsia"/>
          <w:b/>
          <w:kern w:val="0"/>
          <w:sz w:val="24"/>
        </w:rPr>
        <w:t>《参加现场集中考察答疑证明》。招标人不单独组织现场考察答疑。</w:t>
      </w:r>
    </w:p>
    <w:p>
      <w:pPr>
        <w:spacing w:line="46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2.现场集中考察、答疑</w:t>
      </w:r>
      <w:r>
        <w:rPr>
          <w:rFonts w:hint="eastAsia" w:asciiTheme="minorEastAsia" w:hAnsiTheme="minorEastAsia" w:eastAsiaTheme="minorEastAsia" w:cstheme="minorEastAsia"/>
          <w:sz w:val="24"/>
          <w:lang w:val="zh-CN"/>
        </w:rPr>
        <w:t>签到时间：</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开始时间：2021年7月28日9:00至11:00，14:00至16：00</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截至时间：2021年8月11日9:00至11:00，14:00至16：00</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3.现场集中考察、答疑地点签到地点：后勤服务中心三楼 </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default"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4.答疑联系人： 陈昌进 18762383006</w:t>
      </w:r>
    </w:p>
    <w:p>
      <w:pPr>
        <w:widowControl/>
        <w:numPr>
          <w:ilvl w:val="0"/>
          <w:numId w:val="9"/>
        </w:numPr>
        <w:shd w:val="clear" w:color="auto" w:fill="FFFFFF"/>
        <w:spacing w:line="460" w:lineRule="exact"/>
        <w:ind w:left="0" w:leftChars="0" w:firstLine="0" w:firstLineChars="0"/>
        <w:rPr>
          <w:rFonts w:hint="eastAsia" w:asciiTheme="minorEastAsia" w:hAnsiTheme="minorEastAsia" w:eastAsiaTheme="minorEastAsia" w:cstheme="minorEastAsia"/>
          <w:b/>
          <w:color w:val="000000"/>
          <w:kern w:val="0"/>
          <w:sz w:val="24"/>
          <w:lang w:val="en-US" w:eastAsia="zh-CN"/>
        </w:rPr>
      </w:pPr>
      <w:r>
        <w:rPr>
          <w:rFonts w:hint="eastAsia" w:asciiTheme="minorEastAsia" w:hAnsiTheme="minorEastAsia" w:eastAsiaTheme="minorEastAsia" w:cstheme="minorEastAsia"/>
          <w:b/>
          <w:color w:val="000000"/>
          <w:kern w:val="0"/>
          <w:sz w:val="24"/>
          <w:lang w:eastAsia="zh-CN"/>
        </w:rPr>
        <w:t>、最高限价：</w:t>
      </w:r>
      <w:r>
        <w:rPr>
          <w:rFonts w:hint="eastAsia" w:asciiTheme="minorEastAsia" w:hAnsiTheme="minorEastAsia" w:eastAsiaTheme="minorEastAsia" w:cstheme="minorEastAsia"/>
          <w:b/>
          <w:color w:val="000000"/>
          <w:kern w:val="0"/>
          <w:sz w:val="24"/>
          <w:lang w:val="en-US" w:eastAsia="zh-CN"/>
        </w:rPr>
        <w:t>22.6万元/年</w:t>
      </w:r>
    </w:p>
    <w:p>
      <w:pPr>
        <w:pStyle w:val="2"/>
        <w:numPr>
          <w:ilvl w:val="0"/>
          <w:numId w:val="0"/>
        </w:numPr>
        <w:ind w:leftChars="0" w:right="1470" w:rightChars="700"/>
        <w:rPr>
          <w:rFonts w:hint="eastAsia"/>
          <w:lang w:val="en-US" w:eastAsia="zh-CN"/>
        </w:rPr>
      </w:pPr>
    </w:p>
    <w:p>
      <w:pPr>
        <w:pStyle w:val="69"/>
        <w:widowControl/>
        <w:snapToGrid/>
        <w:spacing w:before="290" w:beforeAutospacing="1" w:after="290" w:afterAutospacing="1"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0"/>
          <w:sz w:val="4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0"/>
          <w:sz w:val="44"/>
          <w:szCs w:val="24"/>
          <w:lang w:val="en-US" w:eastAsia="zh-CN" w:bidi="ar-SA"/>
        </w:rPr>
        <w:t>第五章  评标方法与评标标准</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bCs/>
          <w:i w:val="0"/>
          <w:caps w:val="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spacing w:val="0"/>
          <w:w w:val="100"/>
          <w:kern w:val="2"/>
          <w:sz w:val="24"/>
          <w:szCs w:val="24"/>
          <w:lang w:val="en-US" w:eastAsia="zh-CN" w:bidi="ar-SA"/>
        </w:rPr>
        <w:t>一、评标方法与定标原则</w:t>
      </w:r>
    </w:p>
    <w:p>
      <w:pPr>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spacing w:val="0"/>
          <w:w w:val="100"/>
          <w:kern w:val="2"/>
          <w:sz w:val="24"/>
          <w:szCs w:val="24"/>
          <w:lang w:val="en-US" w:eastAsia="zh-CN" w:bidi="ar-SA"/>
        </w:rPr>
        <w:t>评标采用综合评分法，评标结果按评审后总得分由高到低顺序排列，排序第一名为中标候选人。得分相同时，按投标报价由低向高顺序排列。得分且投标报价相同的，按实施方案优劣顺序排列。</w:t>
      </w: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val="0"/>
          <w:i w:val="0"/>
          <w:caps w:val="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spacing w:val="0"/>
          <w:w w:val="100"/>
          <w:kern w:val="2"/>
          <w:sz w:val="24"/>
          <w:szCs w:val="24"/>
          <w:lang w:val="en-US" w:eastAsia="zh-CN" w:bidi="ar-SA"/>
        </w:rPr>
        <w:t>二、评标标准</w:t>
      </w:r>
    </w:p>
    <w:tbl>
      <w:tblPr>
        <w:tblStyle w:val="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780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w:t>
            </w:r>
          </w:p>
        </w:tc>
        <w:tc>
          <w:tcPr>
            <w:tcW w:w="7800" w:type="dxa"/>
            <w:tcBorders>
              <w:left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评审标准</w:t>
            </w:r>
          </w:p>
        </w:tc>
        <w:tc>
          <w:tcPr>
            <w:tcW w:w="727" w:type="dxa"/>
            <w:tcBorders>
              <w:bottom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w:t>
            </w:r>
          </w:p>
        </w:tc>
        <w:tc>
          <w:tcPr>
            <w:tcW w:w="7800" w:type="dxa"/>
            <w:tcBorders>
              <w:left w:val="single" w:color="auto" w:sz="4" w:space="0"/>
              <w:right w:val="single" w:color="auto" w:sz="4" w:space="0"/>
            </w:tcBorders>
            <w:noWrap w:val="0"/>
            <w:vAlign w:val="center"/>
          </w:tcPr>
          <w:p>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价格分统一采用低价优先法计算，即满足招标文件要求且投标价格最低的投标报价为评标基准价，其价格分为满分。其他投标人的价格分统一按照下列公式计算：</w:t>
            </w:r>
          </w:p>
          <w:p>
            <w:pPr>
              <w:spacing w:line="3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rPr>
              <w:t>投标报价得分=(评标基准价／投标报价)×</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0，小数点后保留2位。</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服务承诺</w:t>
            </w:r>
          </w:p>
        </w:tc>
        <w:tc>
          <w:tcPr>
            <w:tcW w:w="7800" w:type="dxa"/>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color w:val="0070C0"/>
                <w:sz w:val="21"/>
                <w:szCs w:val="21"/>
              </w:rPr>
            </w:pPr>
            <w:r>
              <w:rPr>
                <w:rFonts w:hint="eastAsia" w:asciiTheme="minorEastAsia" w:hAnsiTheme="minorEastAsia" w:eastAsiaTheme="minorEastAsia" w:cstheme="minorEastAsia"/>
                <w:color w:val="auto"/>
              </w:rPr>
              <w:t>评标委员会根据项目需求对各投标人针对本项目编制的</w:t>
            </w:r>
            <w:r>
              <w:rPr>
                <w:rFonts w:hint="eastAsia" w:asciiTheme="minorEastAsia" w:hAnsiTheme="minorEastAsia" w:eastAsiaTheme="minorEastAsia" w:cstheme="minorEastAsia"/>
                <w:color w:val="auto"/>
                <w:lang w:val="zh-TW" w:eastAsia="zh-TW"/>
              </w:rPr>
              <w:t>服务承诺</w:t>
            </w:r>
            <w:r>
              <w:rPr>
                <w:rFonts w:hint="eastAsia" w:asciiTheme="minorEastAsia" w:hAnsiTheme="minorEastAsia" w:eastAsiaTheme="minorEastAsia" w:cstheme="minorEastAsia"/>
                <w:color w:val="auto"/>
              </w:rPr>
              <w:t>进行综合评审打分，打分区间6.0</w:t>
            </w:r>
            <w:r>
              <w:rPr>
                <w:rFonts w:hint="eastAsia" w:asciiTheme="minorEastAsia" w:hAnsiTheme="minorEastAsia" w:eastAsiaTheme="minorEastAsia" w:cstheme="minorEastAsia"/>
                <w:color w:val="auto"/>
                <w:lang w:val="zh-TW" w:eastAsia="zh-TW"/>
              </w:rPr>
              <w:t>～</w:t>
            </w:r>
            <w:r>
              <w:rPr>
                <w:rFonts w:hint="eastAsia" w:asciiTheme="minorEastAsia" w:hAnsiTheme="minorEastAsia" w:eastAsiaTheme="minorEastAsia" w:cstheme="minorEastAsia"/>
                <w:color w:val="auto"/>
              </w:rPr>
              <w:t>10.0分</w:t>
            </w:r>
            <w:r>
              <w:rPr>
                <w:rFonts w:hint="eastAsia" w:asciiTheme="minorEastAsia" w:hAnsiTheme="minorEastAsia" w:eastAsiaTheme="minorEastAsia" w:cstheme="minorEastAsia"/>
                <w:color w:val="auto"/>
                <w:lang w:val="zh-TW" w:eastAsia="zh-TW"/>
              </w:rPr>
              <w:t>。</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服务方案</w:t>
            </w:r>
          </w:p>
        </w:tc>
        <w:tc>
          <w:tcPr>
            <w:tcW w:w="7800" w:type="dxa"/>
            <w:tcBorders>
              <w:left w:val="single" w:color="auto" w:sz="4" w:space="0"/>
              <w:right w:val="single" w:color="auto" w:sz="4" w:space="0"/>
            </w:tcBorders>
            <w:noWrap w:val="0"/>
            <w:vAlign w:val="center"/>
          </w:tcPr>
          <w:p>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评标委员会根据</w:t>
            </w:r>
            <w:r>
              <w:rPr>
                <w:rFonts w:hint="eastAsia" w:asciiTheme="minorEastAsia" w:hAnsiTheme="minorEastAsia" w:eastAsiaTheme="minorEastAsia" w:cstheme="minorEastAsia"/>
                <w:color w:val="auto"/>
                <w:szCs w:val="21"/>
              </w:rPr>
              <w:t>主要对服务方案(包括分项报价方案)的针对性、科学性、独创性进行评价</w:t>
            </w:r>
            <w:r>
              <w:rPr>
                <w:rFonts w:hint="eastAsia" w:asciiTheme="minorEastAsia" w:hAnsiTheme="minorEastAsia" w:eastAsiaTheme="minorEastAsia" w:cstheme="minorEastAsia"/>
                <w:color w:val="auto"/>
              </w:rPr>
              <w:t>，打分区间6.0</w:t>
            </w:r>
            <w:r>
              <w:rPr>
                <w:rFonts w:hint="eastAsia" w:asciiTheme="minorEastAsia" w:hAnsiTheme="minorEastAsia" w:eastAsiaTheme="minorEastAsia" w:cstheme="minorEastAsia"/>
                <w:color w:val="auto"/>
                <w:lang w:val="zh-TW" w:eastAsia="zh-TW"/>
              </w:rPr>
              <w:t>～</w:t>
            </w:r>
            <w:r>
              <w:rPr>
                <w:rFonts w:hint="eastAsia" w:asciiTheme="minorEastAsia" w:hAnsiTheme="minorEastAsia" w:eastAsiaTheme="minorEastAsia" w:cstheme="minorEastAsia"/>
                <w:color w:val="auto"/>
              </w:rPr>
              <w:t>10.0分</w:t>
            </w:r>
            <w:r>
              <w:rPr>
                <w:rFonts w:hint="eastAsia" w:asciiTheme="minorEastAsia" w:hAnsiTheme="minorEastAsia" w:eastAsiaTheme="minorEastAsia" w:cstheme="minorEastAsia"/>
                <w:color w:val="auto"/>
                <w:lang w:val="zh-TW" w:eastAsia="zh-TW"/>
              </w:rPr>
              <w:t>。</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节能措施</w:t>
            </w:r>
          </w:p>
        </w:tc>
        <w:tc>
          <w:tcPr>
            <w:tcW w:w="7800" w:type="dxa"/>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评标委员</w:t>
            </w:r>
            <w:r>
              <w:rPr>
                <w:rFonts w:hint="eastAsia" w:asciiTheme="minorEastAsia" w:hAnsiTheme="minorEastAsia" w:eastAsiaTheme="minorEastAsia" w:cstheme="minorEastAsia"/>
                <w:color w:val="auto"/>
                <w:lang w:val="en-US" w:eastAsia="zh-CN"/>
              </w:rPr>
              <w:t>会根据投标单位</w:t>
            </w:r>
            <w:r>
              <w:rPr>
                <w:rFonts w:hint="eastAsia" w:asciiTheme="minorEastAsia" w:hAnsiTheme="minorEastAsia" w:eastAsiaTheme="minorEastAsia" w:cstheme="minorEastAsia"/>
              </w:rPr>
              <w:t>节能计划和管理措施具有可操作性且符合</w:t>
            </w:r>
            <w:r>
              <w:rPr>
                <w:rFonts w:hint="eastAsia" w:asciiTheme="minorEastAsia" w:hAnsiTheme="minorEastAsia" w:eastAsiaTheme="minorEastAsia" w:cstheme="minorEastAsia"/>
                <w:lang w:val="en-US" w:eastAsia="zh-CN"/>
              </w:rPr>
              <w:t>学校要求进行综合评审打分</w:t>
            </w:r>
            <w:r>
              <w:rPr>
                <w:rFonts w:hint="eastAsia" w:asciiTheme="minorEastAsia" w:hAnsiTheme="minorEastAsia" w:eastAsiaTheme="minorEastAsia" w:cstheme="minorEastAsia"/>
                <w:color w:val="auto"/>
              </w:rPr>
              <w:t>，打分区间6.0</w:t>
            </w:r>
            <w:r>
              <w:rPr>
                <w:rFonts w:hint="eastAsia" w:asciiTheme="minorEastAsia" w:hAnsiTheme="minorEastAsia" w:eastAsiaTheme="minorEastAsia" w:cstheme="minorEastAsia"/>
                <w:color w:val="auto"/>
                <w:lang w:val="zh-TW" w:eastAsia="zh-TW"/>
              </w:rPr>
              <w:t>～</w:t>
            </w:r>
            <w:r>
              <w:rPr>
                <w:rFonts w:hint="eastAsia" w:asciiTheme="minorEastAsia" w:hAnsiTheme="minorEastAsia" w:eastAsiaTheme="minorEastAsia" w:cstheme="minorEastAsia"/>
                <w:color w:val="auto"/>
              </w:rPr>
              <w:t>10.0分</w:t>
            </w:r>
            <w:r>
              <w:rPr>
                <w:rFonts w:hint="eastAsia" w:asciiTheme="minorEastAsia" w:hAnsiTheme="minorEastAsia" w:eastAsiaTheme="minorEastAsia" w:cstheme="minorEastAsia"/>
                <w:color w:val="auto"/>
                <w:lang w:val="zh-TW" w:eastAsia="zh-TW"/>
              </w:rPr>
              <w:t>。</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bl>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br w:type="page"/>
      </w: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t xml:space="preserve">第六章  投标文件格式 </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t>投  标  文  件</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（正或副本）</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p>
    <w:p>
      <w:pPr>
        <w:snapToGrid/>
        <w:spacing w:before="0" w:beforeAutospacing="0" w:after="0" w:afterAutospacing="0" w:line="240" w:lineRule="auto"/>
        <w:ind w:firstLine="1084" w:firstLineChars="3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项 目 名 称：</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240" w:lineRule="auto"/>
        <w:ind w:firstLine="1084" w:firstLineChars="3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招 标 编 号：</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 xml:space="preserve">      投标人名称 ：</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 xml:space="preserve">      日      期 ：</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pStyle w:val="3"/>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pStyle w:val="3"/>
        <w:rPr>
          <w:rFonts w:hint="eastAsia" w:asciiTheme="minorEastAsia" w:hAnsiTheme="minorEastAsia" w:eastAsiaTheme="minorEastAsia" w:cstheme="minorEastAsia"/>
          <w:lang w:val="en-US" w:eastAsia="zh-CN"/>
        </w:rPr>
      </w:pP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3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0"/>
          <w:szCs w:val="30"/>
          <w:lang w:val="en-US" w:eastAsia="zh-CN" w:bidi="ar-SA"/>
        </w:rPr>
        <w:t>评分索引表</w:t>
      </w: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30"/>
          <w:lang w:val="en-US" w:eastAsia="zh-CN" w:bidi="ar-SA"/>
        </w:rPr>
      </w:pPr>
    </w:p>
    <w:tbl>
      <w:tblPr>
        <w:tblStyle w:val="9"/>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center"/>
              <w:textAlignment w:val="baseline"/>
              <w:rPr>
                <w:rStyle w:val="26"/>
                <w:rFonts w:hint="eastAsia" w:asciiTheme="minorEastAsia" w:hAnsiTheme="minorEastAsia" w:eastAsiaTheme="minorEastAsia" w:cstheme="minorEastAsia"/>
                <w:b/>
                <w:bCs/>
                <w:i w:val="0"/>
                <w:caps w:val="0"/>
                <w:color w:val="000000"/>
                <w:spacing w:val="0"/>
                <w:w w:val="100"/>
                <w:kern w:val="0"/>
                <w:sz w:val="24"/>
                <w:szCs w:val="24"/>
                <w:lang w:val="en-US" w:eastAsia="zh-CN" w:bidi="en-US"/>
              </w:rPr>
            </w:pPr>
            <w:r>
              <w:rPr>
                <w:rStyle w:val="26"/>
                <w:rFonts w:hint="eastAsia" w:asciiTheme="minorEastAsia" w:hAnsiTheme="minorEastAsia" w:eastAsiaTheme="minorEastAsia" w:cstheme="minorEastAsia"/>
                <w:b/>
                <w:i w:val="0"/>
                <w:caps w:val="0"/>
                <w:color w:val="000000"/>
                <w:spacing w:val="0"/>
                <w:w w:val="100"/>
                <w:kern w:val="0"/>
                <w:sz w:val="24"/>
                <w:szCs w:val="24"/>
                <w:lang w:val="en-US" w:eastAsia="en-US" w:bidi="en-US"/>
              </w:rPr>
              <w:t>评分项目</w:t>
            </w: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0"/>
                <w:sz w:val="24"/>
                <w:szCs w:val="21"/>
                <w:lang w:val="en-US" w:eastAsia="zh-CN"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0"/>
                <w:sz w:val="24"/>
                <w:szCs w:val="21"/>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i w:val="0"/>
                <w:caps w:val="0"/>
                <w:color w:val="00000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bCs/>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bCs/>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bl>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ind w:firstLine="1084" w:firstLineChars="300"/>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br w:type="page"/>
      </w:r>
    </w:p>
    <w:p>
      <w:pPr>
        <w:snapToGrid/>
        <w:spacing w:before="0" w:beforeAutospacing="0" w:after="0" w:afterAutospacing="0" w:line="240" w:lineRule="auto"/>
        <w:ind w:firstLine="964" w:firstLineChars="300"/>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t>投标主要文件目录</w:t>
      </w: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一、</w:t>
      </w:r>
      <w:r>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t>资信证明文件要求</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二</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、资格性审查响应对照表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三、符合性检查响应对照表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四、投标函</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五</w:t>
      </w: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开标一览表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六、技术方案、服务承诺等</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七、盐城市政府采购事前信用承诺书</w:t>
      </w: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br w:type="page"/>
      </w: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一、</w:t>
      </w:r>
      <w:r>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t>资信证明文件要求</w:t>
      </w: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caps w:val="0"/>
          <w:color w:val="000000"/>
          <w:spacing w:val="0"/>
          <w:w w:val="100"/>
          <w:kern w:val="2"/>
          <w:sz w:val="21"/>
          <w:szCs w:val="24"/>
          <w:u w:val="single" w:color="000000"/>
          <w:lang w:val="en-US" w:eastAsia="zh-CN" w:bidi="ar-SA"/>
        </w:rPr>
      </w:pP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0"/>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1、实质性资格证明文件目录</w:t>
      </w:r>
    </w:p>
    <w:p>
      <w:pPr>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文件1 法人或者其他组织的营业执照等证明文件，自然人的身份证明（复印件）</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文件2 具备履行合同所必需的设备和专业技术能力的书面声明</w:t>
      </w:r>
    </w:p>
    <w:p>
      <w:pPr>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文件3 参加政府采购活动前 3 年内在经营活动中没有重大违法记录的书面声明</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文件4 法人授权书</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文件5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2、非实质性资信证明文件目录</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格式1 《企业申明函》</w:t>
      </w: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9"/>
        <w:keepLines/>
        <w:widowControl/>
        <w:snapToGrid/>
        <w:spacing w:before="260" w:beforeAutospacing="0" w:after="260" w:afterAutospacing="0" w:line="416" w:lineRule="auto"/>
        <w:jc w:val="center"/>
        <w:textAlignment w:val="baseline"/>
        <w:rPr>
          <w:rStyle w:val="26"/>
          <w:rFonts w:hint="eastAsia" w:asciiTheme="minorEastAsia" w:hAnsiTheme="minorEastAsia" w:eastAsiaTheme="minorEastAsia" w:cstheme="minorEastAsia"/>
          <w:b w:val="0"/>
          <w:bCs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具备履行合同所必需的设备和专业技术能力的书面声明</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我公司郑重声明：我公司具备履行本项采购合同所必需的设备和专业技术能力，为履行本项采购合同我公司具备如下主要设备和主要专业技术能力：</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主要设备有：</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主要专业技术能力有：</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供应商名称（公章）：</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w:t>
      </w:r>
    </w:p>
    <w:p>
      <w:pPr>
        <w:snapToGrid/>
        <w:spacing w:before="0" w:beforeAutospacing="0" w:after="0" w:afterAutospacing="0" w:line="460" w:lineRule="exact"/>
        <w:jc w:val="right"/>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日期：</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 xml:space="preserve">    年    月    日</w:t>
      </w:r>
    </w:p>
    <w:p>
      <w:pPr>
        <w:pStyle w:val="19"/>
        <w:keepLines/>
        <w:widowControl/>
        <w:snapToGrid/>
        <w:spacing w:before="260" w:beforeAutospacing="0" w:after="260" w:afterAutospacing="0" w:line="416"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br w:type="page"/>
      </w: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参加政府采购活动前 3 年内在经营活动中没有重大违法记录的书面声明</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t>声  明</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我公司郑重声明：参加本次政府采购活动前 3 年内，我公司在经营活动中没有因违法经营受到刑事处罚或者责令停产停业、吊销许可证或者执照、较大数额罚款等行政处罚。</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w:t>
      </w:r>
    </w:p>
    <w:p>
      <w:pPr>
        <w:snapToGrid/>
        <w:spacing w:before="0" w:beforeAutospacing="0" w:after="0" w:afterAutospacing="0" w:line="460" w:lineRule="exact"/>
        <w:ind w:firstLine="3640" w:firstLineChars="13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供应商名称（公章）：</w:t>
      </w:r>
    </w:p>
    <w:p>
      <w:pPr>
        <w:snapToGrid/>
        <w:spacing w:before="0" w:beforeAutospacing="0" w:after="0" w:afterAutospacing="0" w:line="460" w:lineRule="exact"/>
        <w:ind w:firstLine="3640" w:firstLineChars="13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授权代表签字：</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_______________________</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日期：</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______年    月    日</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pStyle w:val="19"/>
        <w:keepLines/>
        <w:widowControl/>
        <w:snapToGrid/>
        <w:spacing w:before="260" w:beforeAutospacing="0" w:after="260" w:afterAutospacing="0" w:line="416"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法人授权书</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本授权书声明：____________（供应商名称）授权________________（被授权人的姓名）为我方就</w:t>
      </w:r>
      <w:r>
        <w:rPr>
          <w:rStyle w:val="26"/>
          <w:rFonts w:hint="eastAsia" w:asciiTheme="minorEastAsia" w:hAnsiTheme="minorEastAsia" w:eastAsiaTheme="minorEastAsia" w:cstheme="minorEastAsia"/>
          <w:b w:val="0"/>
          <w:i w:val="0"/>
          <w:caps w:val="0"/>
          <w:color w:val="000000"/>
          <w:spacing w:val="0"/>
          <w:w w:val="100"/>
          <w:kern w:val="2"/>
          <w:sz w:val="28"/>
          <w:szCs w:val="28"/>
          <w:u w:val="single" w:color="000000"/>
          <w:lang w:val="en-US" w:eastAsia="zh-CN" w:bidi="ar-SA"/>
        </w:rPr>
        <w:t>2021-014W-2</w:t>
      </w: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号项目采购活动的合法代理人，以本公司名义全权处理一切与该项目采购有关的事务。</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本授权书于______年____月____日起生效，特此声明。</w:t>
      </w: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代理人（被授权人）：_______________________</w:t>
      </w: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w:t>
      </w: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单位名称：_____________________________________</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授权单位盖章：_________________________________</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单位名称：_____________________________________</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u w:val="single" w:color="000000"/>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地址：_____________________________________</w:t>
      </w:r>
      <w:r>
        <w:rPr>
          <w:rStyle w:val="26"/>
          <w:rFonts w:hint="eastAsia" w:asciiTheme="minorEastAsia" w:hAnsiTheme="minorEastAsia" w:eastAsiaTheme="minorEastAsia" w:cstheme="minorEastAsia"/>
          <w:b w:val="0"/>
          <w:i w:val="0"/>
          <w:caps w:val="0"/>
          <w:color w:val="000000"/>
          <w:spacing w:val="0"/>
          <w:w w:val="100"/>
          <w:kern w:val="2"/>
          <w:sz w:val="28"/>
          <w:szCs w:val="28"/>
          <w:u w:val="single" w:color="000000"/>
          <w:lang w:val="en-US" w:eastAsia="zh-CN" w:bidi="ar-SA"/>
        </w:rPr>
        <w:t xml:space="preserve">                                         </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日期：_____________________________________                    </w:t>
      </w:r>
    </w:p>
    <w:p>
      <w:pPr>
        <w:pStyle w:val="19"/>
        <w:keepLines/>
        <w:widowControl/>
        <w:snapToGrid/>
        <w:spacing w:before="260" w:beforeAutospacing="0" w:after="260" w:afterAutospacing="0" w:line="416" w:lineRule="auto"/>
        <w:jc w:val="both"/>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二、资格性审查响应对照表（格式）</w:t>
      </w:r>
    </w:p>
    <w:p>
      <w:pPr>
        <w:snapToGrid/>
        <w:spacing w:before="0" w:beforeAutospacing="0" w:after="0" w:afterAutospacing="0" w:line="240" w:lineRule="auto"/>
        <w:ind w:firstLine="309"/>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投标人全称（加盖公章）：</w:t>
      </w:r>
    </w:p>
    <w:tbl>
      <w:tblPr>
        <w:tblStyle w:val="9"/>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是否响应</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投标文件中的</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bl>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t xml:space="preserve"> </w:t>
      </w: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三、符合性检查响应对照表（格式）</w:t>
      </w:r>
    </w:p>
    <w:p>
      <w:pPr>
        <w:snapToGrid/>
        <w:spacing w:before="0" w:beforeAutospacing="0" w:after="0" w:afterAutospacing="0" w:line="240" w:lineRule="auto"/>
        <w:ind w:firstLine="309"/>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投标人全称（加盖公章）：</w:t>
      </w:r>
    </w:p>
    <w:tbl>
      <w:tblPr>
        <w:tblStyle w:val="9"/>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是否响应</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投标文件中的</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bl>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 xml:space="preserve">           </w:t>
      </w: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四、投标函（格式）</w:t>
      </w:r>
    </w:p>
    <w:p>
      <w:pPr>
        <w:pStyle w:val="112"/>
        <w:widowControl/>
        <w:snapToGrid/>
        <w:spacing w:before="0" w:beforeAutospacing="0" w:after="0" w:afterAutospacing="0" w:line="420" w:lineRule="exact"/>
        <w:ind w:firstLine="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致：</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盐城工业职业技术学院</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根据贵方的</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2021-014W-2号</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招标文件，正式授权下述签字人_________(姓名)代表我方______________（投标人的名称），全权处理本次项目投标的有关事宜。</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据此函，__________签字人兹宣布同意如下：</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1.按招标文件规定的各项要求，向买方提供所需货物与服务。</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2.我们完全理解贵方不一定将合同授予最低报价的投标人。</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3.我们已详细审核全部招标文件及其有效补充文件，我们知道必须放弃提出含糊不清或误解问题的权利。</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4.我们同意从规定的开标日期起遵循本投标文件，并在规定的投标有效期期满之前均具有约束力。</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5.如果在开标后规定的投标有效期内撤回投标或中标后拒绝签订合同，则按照国家相关法律法规受到相应处罚。</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6.同意向贵方提供贵方可能另外要求的与投标有关的任何证据或资料，并保证我方已提供和将要提供的文件是真实的、准确的。</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7.一旦我方中标,我方将根据招标文件的规定，严格履行合同的责任和义务,并保证在招标文件规定的时间完成项目，交付买方验收、使用。</w:t>
      </w:r>
    </w:p>
    <w:p>
      <w:pPr>
        <w:pStyle w:val="112"/>
        <w:widowControl/>
        <w:snapToGrid/>
        <w:spacing w:before="0" w:beforeAutospacing="0" w:after="0" w:afterAutospacing="0" w:line="420" w:lineRule="exact"/>
        <w:ind w:left="425" w:firstLine="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8.与本投标有关的正式通讯地址为：</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地          址：</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邮          编：</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电          话：</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传          真：</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投标人开户行：</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账          户： </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投标人授权代表姓名（签字）： </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投标人名称（公章）： </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日           期：________年____月____日</w:t>
      </w:r>
    </w:p>
    <w:p>
      <w:pPr>
        <w:snapToGrid w:val="0"/>
        <w:spacing w:before="50" w:beforeAutospacing="0" w:after="145" w:afterAutospacing="0" w:line="240" w:lineRule="auto"/>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0"/>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t xml:space="preserve">          </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五、开标一览表（格式）</w:t>
      </w: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p>
    <w:tbl>
      <w:tblPr>
        <w:tblStyle w:val="9"/>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7"/>
              <w:keepLines/>
              <w:widowControl/>
              <w:snapToGrid/>
              <w:spacing w:before="260" w:beforeAutospacing="0" w:after="260" w:afterAutospacing="0" w:line="416" w:lineRule="auto"/>
              <w:jc w:val="both"/>
              <w:textAlignment w:val="baseline"/>
              <w:rPr>
                <w:rStyle w:val="26"/>
                <w:rFonts w:hint="eastAsia" w:asciiTheme="minorEastAsia" w:hAnsiTheme="minorEastAsia" w:eastAsiaTheme="minorEastAsia" w:cstheme="minorEastAsia"/>
                <w:b/>
                <w:bCs/>
                <w:i w:val="0"/>
                <w:caps w:val="0"/>
                <w:spacing w:val="0"/>
                <w:w w:val="100"/>
                <w:kern w:val="2"/>
                <w:sz w:val="28"/>
                <w:szCs w:val="28"/>
                <w:u w:val="single"/>
                <w:lang w:val="en-US" w:eastAsia="zh-CN" w:bidi="ar-SA"/>
              </w:rPr>
            </w:pPr>
            <w:r>
              <w:rPr>
                <w:rStyle w:val="26"/>
                <w:rFonts w:hint="eastAsia" w:asciiTheme="minorEastAsia" w:hAnsiTheme="minorEastAsia" w:eastAsiaTheme="minorEastAsia" w:cstheme="minorEastAsia"/>
                <w:b/>
                <w:bCs/>
                <w:i w:val="0"/>
                <w:caps w:val="0"/>
                <w:spacing w:val="0"/>
                <w:w w:val="100"/>
                <w:kern w:val="2"/>
                <w:sz w:val="28"/>
                <w:szCs w:val="28"/>
                <w:u w:val="none" w:color="auto"/>
                <w:lang w:val="en-US" w:eastAsia="zh-CN" w:bidi="ar-SA"/>
              </w:rPr>
              <w:t>2021-014W-2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7"/>
              <w:keepLines/>
              <w:widowControl/>
              <w:snapToGrid/>
              <w:spacing w:before="260" w:beforeAutospacing="0" w:after="260" w:afterAutospacing="0" w:line="416" w:lineRule="auto"/>
              <w:jc w:val="both"/>
              <w:textAlignment w:val="baseline"/>
              <w:rPr>
                <w:rStyle w:val="26"/>
                <w:rFonts w:hint="eastAsia" w:asciiTheme="minorEastAsia" w:hAnsiTheme="minorEastAsia" w:eastAsiaTheme="minorEastAsia" w:cstheme="minorEastAsia"/>
                <w:b/>
                <w:bCs/>
                <w:i w:val="0"/>
                <w:caps w:val="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8"/>
                <w:szCs w:val="28"/>
                <w:lang w:val="en-US" w:eastAsia="zh-CN" w:bidi="ar-SA"/>
              </w:rPr>
              <w:t>盐城工业职业技术学院高低压配电房值班及公共区域水电维修服务外包项目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项目投标报价：（大写）</w:t>
            </w:r>
            <w:r>
              <w:rPr>
                <w:rStyle w:val="26"/>
                <w:rFonts w:hint="eastAsia" w:asciiTheme="minorEastAsia" w:hAnsiTheme="minorEastAsia" w:eastAsiaTheme="minorEastAsia" w:cstheme="minorEastAsia"/>
                <w:b w:val="0"/>
                <w:i w:val="0"/>
                <w:caps w:val="0"/>
                <w:spacing w:val="0"/>
                <w:w w:val="100"/>
                <w:kern w:val="2"/>
                <w:sz w:val="21"/>
                <w:szCs w:val="21"/>
                <w:lang w:val="en-US" w:eastAsia="zh-CN" w:bidi="ar-SA"/>
              </w:rPr>
              <w:t>_____</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元/年</w:t>
            </w: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，小写：</w:t>
            </w:r>
            <w:r>
              <w:rPr>
                <w:rStyle w:val="26"/>
                <w:rFonts w:hint="eastAsia" w:asciiTheme="minorEastAsia" w:hAnsiTheme="minorEastAsia" w:eastAsiaTheme="minorEastAsia" w:cstheme="minorEastAsia"/>
                <w:b/>
                <w:bCs/>
                <w:i w:val="0"/>
                <w:caps w:val="0"/>
                <w:spacing w:val="0"/>
                <w:w w:val="100"/>
                <w:kern w:val="2"/>
                <w:sz w:val="21"/>
                <w:szCs w:val="21"/>
                <w:lang w:val="en-US" w:eastAsia="zh-CN" w:bidi="ar-SA"/>
              </w:rPr>
              <w:t>_____</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bCs/>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bCs/>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合同履行期限：</w:t>
            </w:r>
          </w:p>
        </w:tc>
      </w:tr>
    </w:tbl>
    <w:p>
      <w:pPr>
        <w:snapToGrid/>
        <w:spacing w:before="0" w:beforeAutospacing="0" w:after="0" w:afterAutospacing="0" w:line="240" w:lineRule="atLeas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8"/>
          <w:lang w:val="en-US" w:eastAsia="zh-CN" w:bidi="ar-SA"/>
        </w:rPr>
      </w:pPr>
    </w:p>
    <w:p>
      <w:pPr>
        <w:snapToGrid/>
        <w:spacing w:before="0" w:beforeAutospacing="0" w:after="0" w:afterAutospacing="0" w:line="240" w:lineRule="atLeas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8"/>
          <w:lang w:val="en-US" w:eastAsia="zh-CN" w:bidi="ar-SA"/>
        </w:rPr>
        <w:t>填写说明：</w:t>
      </w:r>
    </w:p>
    <w:p>
      <w:pPr>
        <w:numPr>
          <w:ilvl w:val="0"/>
          <w:numId w:val="10"/>
        </w:numPr>
        <w:snapToGrid/>
        <w:spacing w:before="0" w:beforeAutospacing="0" w:after="0" w:afterAutospacing="0" w:line="240" w:lineRule="auto"/>
        <w:ind w:left="480" w:hanging="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开标一览表不得填报选择性报价，否则将作为无效投标；</w:t>
      </w:r>
    </w:p>
    <w:p>
      <w:pPr>
        <w:numPr>
          <w:ilvl w:val="0"/>
          <w:numId w:val="10"/>
        </w:numPr>
        <w:snapToGrid/>
        <w:spacing w:before="0" w:beforeAutospacing="0" w:after="0" w:afterAutospacing="0" w:line="240" w:lineRule="auto"/>
        <w:ind w:left="480" w:hanging="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开标一览表中报价与投标分项明细报价表中不符时时，以开标一览表为准；</w:t>
      </w:r>
    </w:p>
    <w:p>
      <w:pPr>
        <w:snapToGrid/>
        <w:spacing w:before="0" w:beforeAutospacing="0" w:after="0" w:afterAutospacing="0" w:line="240" w:lineRule="auto"/>
        <w:ind w:firstLine="2640" w:firstLineChars="6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spacing w:before="0" w:beforeAutospacing="0" w:after="0" w:afterAutospacing="0" w:line="240" w:lineRule="auto"/>
        <w:ind w:firstLine="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240" w:lineRule="auto"/>
        <w:ind w:firstLine="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240" w:lineRule="auto"/>
        <w:ind w:firstLine="480"/>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t xml:space="preserve">                                        供应商名称（公章）：</w:t>
      </w:r>
    </w:p>
    <w:p>
      <w:pPr>
        <w:snapToGrid/>
        <w:spacing w:before="0" w:beforeAutospacing="0" w:after="0" w:afterAutospacing="0" w:line="240" w:lineRule="auto"/>
        <w:ind w:firstLine="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日期： </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年</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月</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日</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sectPr>
          <w:headerReference r:id="rId3" w:type="default"/>
          <w:footerReference r:id="rId4" w:type="default"/>
          <w:pgSz w:w="11906" w:h="16838"/>
          <w:pgMar w:top="1417" w:right="1588" w:bottom="1417" w:left="1365" w:header="851" w:footer="907" w:gutter="0"/>
          <w:lnNumType w:countBy="0"/>
          <w:cols w:space="425" w:num="1"/>
          <w:vAlign w:val="top"/>
          <w:docGrid w:type="lines" w:linePitch="290" w:charSpace="0"/>
        </w:sect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spacing w:val="0"/>
          <w:w w:val="100"/>
          <w:kern w:val="2"/>
          <w:sz w:val="32"/>
          <w:szCs w:val="32"/>
          <w:lang w:val="en-US" w:eastAsia="zh-CN" w:bidi="ar-SA"/>
        </w:rPr>
        <w:t>六、技术方案、服务承诺等</w:t>
      </w: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8"/>
        <w:widowControl/>
        <w:snapToGrid/>
        <w:spacing w:before="0" w:beforeAutospacing="0" w:after="0" w:afterAutospacing="0" w:line="240" w:lineRule="auto"/>
        <w:ind w:firstLine="0"/>
        <w:jc w:val="both"/>
        <w:textAlignment w:val="baseline"/>
        <w:rPr>
          <w:rStyle w:val="26"/>
          <w:rFonts w:hint="eastAsia" w:asciiTheme="minorEastAsia" w:hAnsiTheme="minorEastAsia" w:eastAsiaTheme="minorEastAsia" w:cstheme="minorEastAsia"/>
          <w:b w:val="0"/>
          <w:i w:val="0"/>
          <w:caps w:val="0"/>
          <w:color w:val="000000"/>
          <w:spacing w:val="0"/>
          <w:w w:val="100"/>
          <w:sz w:val="24"/>
        </w:rPr>
      </w:pPr>
    </w:p>
    <w:p>
      <w:pPr>
        <w:pStyle w:val="121"/>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br w:type="page"/>
      </w:r>
    </w:p>
    <w:p>
      <w:pPr>
        <w:pStyle w:val="121"/>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t>七、盐城市政府采购事前信用承诺书</w:t>
      </w:r>
    </w:p>
    <w:p>
      <w:pPr>
        <w:widowControl/>
        <w:snapToGrid/>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为营造我市公开、公平、公正、诚实守信的政府采购交易环境，树立诚信守法的投标人形象，本人代表本单位作出以下承诺：</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napToGrid/>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（三）严格依照国家和省、市关于政府采购的法律、法规、规章、规范性文件，参加政府采购投标活动；积极履行社会责任，促进廉政建设； </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（四）严格遵守即时信息公示规定，及时维护和更新维护和更新盐城市政府采购网中与本单位相关的信息；</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（六）自觉接受政府、行业组织、社会公众、新闻舆论的监督；</w:t>
      </w:r>
    </w:p>
    <w:p>
      <w:pPr>
        <w:widowControl/>
        <w:snapToGrid/>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（八）本人已认真阅读了上述承诺，并向本单位员工作了宣传教育。</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widowControl/>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法定代表人签名：</w:t>
      </w:r>
    </w:p>
    <w:p>
      <w:pPr>
        <w:widowControl/>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单位名称（盖章）：</w:t>
      </w:r>
    </w:p>
    <w:p>
      <w:pPr>
        <w:widowControl/>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年    月    日</w:t>
      </w: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sectPr>
      <w:pgSz w:w="11906" w:h="16838"/>
      <w:pgMar w:top="1417" w:right="1588" w:bottom="1417" w:left="1365" w:header="851" w:footer="907" w:gutter="0"/>
      <w:lnNumType w:countBy="0"/>
      <w:cols w:space="425" w:num="1"/>
      <w:vAlign w:val="top"/>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26"/>
        <w:kern w:val="2"/>
        <w:sz w:val="18"/>
        <w:szCs w:val="18"/>
        <w:lang w:val="en-US" w:eastAsia="zh-CN" w:bidi="ar-SA"/>
      </w:rPr>
    </w:pPr>
  </w:p>
  <w:p>
    <w:pPr>
      <w:pStyle w:val="5"/>
      <w:widowControl/>
      <w:snapToGrid w:val="0"/>
      <w:jc w:val="left"/>
      <w:textAlignment w:val="baseline"/>
      <w:rPr>
        <w:rStyle w:val="26"/>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Bdr>
        <w:bottom w:val="single" w:color="000000" w:sz="6" w:space="1"/>
      </w:pBdr>
      <w:tabs>
        <w:tab w:val="center" w:pos="4153"/>
        <w:tab w:val="right" w:pos="8306"/>
      </w:tabs>
      <w:snapToGrid w:val="0"/>
      <w:spacing w:before="0" w:after="0"/>
      <w:jc w:val="center"/>
      <w:textAlignment w:val="baseline"/>
      <w:rPr>
        <w:rStyle w:val="26"/>
        <w:rFonts w:ascii="宋体" w:hAnsi="宋体" w:eastAsia="隶书"/>
        <w:color w:val="FF0000"/>
        <w:spacing w:val="40"/>
        <w:kern w:val="0"/>
        <w:sz w:val="21"/>
        <w:szCs w:val="21"/>
        <w:lang w:val="en-US" w:eastAsia="zh-CN" w:bidi="ar-SA"/>
      </w:rPr>
    </w:pPr>
    <w:r>
      <w:rPr>
        <w:rStyle w:val="26"/>
        <w:rFonts w:hint="eastAsia" w:ascii="Times New Roman" w:hAnsi="Times New Roman" w:eastAsia="隶书"/>
        <w:color w:val="FF0000"/>
        <w:spacing w:val="40"/>
        <w:kern w:val="2"/>
        <w:sz w:val="21"/>
        <w:szCs w:val="21"/>
        <w:lang w:val="en-US" w:eastAsia="zh-CN"/>
      </w:rPr>
      <w:t>2021-014W-2</w:t>
    </w:r>
    <w:r>
      <w:rPr>
        <w:rStyle w:val="26"/>
        <w:rFonts w:ascii="Times New Roman" w:hAnsi="Times New Roman" w:eastAsia="隶书"/>
        <w:color w:val="FF0000"/>
        <w:spacing w:val="40"/>
        <w:kern w:val="2"/>
        <w:sz w:val="21"/>
        <w:szCs w:val="21"/>
        <w:lang w:val="en-US" w:eastAsia="zh-CN"/>
      </w:rPr>
      <w:t xml:space="preserve"> </w:t>
    </w:r>
    <w:r>
      <w:rPr>
        <w:rStyle w:val="26"/>
        <w:rFonts w:ascii="Times New Roman" w:hAnsi="隶书" w:eastAsia="隶书"/>
        <w:color w:val="000000"/>
        <w:spacing w:val="40"/>
        <w:kern w:val="2"/>
        <w:sz w:val="21"/>
        <w:szCs w:val="21"/>
        <w:lang w:val="en-US" w:eastAsia="zh-CN"/>
      </w:rPr>
      <w:t>招标文件</w:t>
    </w:r>
  </w:p>
  <w:p>
    <w:pPr>
      <w:pStyle w:val="6"/>
      <w:widowControl/>
      <w:pBdr>
        <w:bottom w:val="none" w:color="auto" w:sz="0" w:space="0"/>
      </w:pBdr>
      <w:snapToGrid w:val="0"/>
      <w:jc w:val="center"/>
      <w:textAlignment w:val="baseline"/>
      <w:rPr>
        <w:rStyle w:val="26"/>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widowControl/>
        <w:textAlignment w:val="baseline"/>
      </w:pPr>
      <w:rPr>
        <w:rStyle w:val="26"/>
      </w:r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06784D56"/>
    <w:multiLevelType w:val="singleLevel"/>
    <w:tmpl w:val="06784D56"/>
    <w:lvl w:ilvl="0" w:tentative="0">
      <w:start w:val="1"/>
      <w:numFmt w:val="upperLetter"/>
      <w:pStyle w:val="64"/>
      <w:lvlText w:val="附录%1."/>
      <w:lvlJc w:val="left"/>
      <w:pPr>
        <w:widowControl/>
        <w:tabs>
          <w:tab w:val="left" w:pos="907"/>
        </w:tabs>
        <w:ind w:left="907" w:hanging="907"/>
        <w:textAlignment w:val="baseline"/>
      </w:pPr>
    </w:lvl>
  </w:abstractNum>
  <w:abstractNum w:abstractNumId="3">
    <w:nsid w:val="23CA3DFE"/>
    <w:multiLevelType w:val="singleLevel"/>
    <w:tmpl w:val="23CA3DFE"/>
    <w:lvl w:ilvl="0" w:tentative="0">
      <w:start w:val="1"/>
      <w:numFmt w:val="decimal"/>
      <w:lvlText w:val="%1、"/>
      <w:lvlJc w:val="left"/>
      <w:pPr>
        <w:widowControl/>
        <w:tabs>
          <w:tab w:val="left" w:pos="480"/>
        </w:tabs>
        <w:ind w:left="480" w:hanging="480"/>
        <w:textAlignment w:val="baseline"/>
      </w:pPr>
      <w:rPr>
        <w:rStyle w:val="26"/>
      </w:rPr>
    </w:lvl>
  </w:abstractNum>
  <w:abstractNum w:abstractNumId="4">
    <w:nsid w:val="261E1816"/>
    <w:multiLevelType w:val="multilevel"/>
    <w:tmpl w:val="261E18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0C153B"/>
    <w:multiLevelType w:val="multilevel"/>
    <w:tmpl w:val="420C153B"/>
    <w:lvl w:ilvl="0" w:tentative="0">
      <w:start w:val="1"/>
      <w:numFmt w:val="decimal"/>
      <w:pStyle w:val="115"/>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6">
    <w:nsid w:val="4D60A3F2"/>
    <w:multiLevelType w:val="singleLevel"/>
    <w:tmpl w:val="4D60A3F2"/>
    <w:lvl w:ilvl="0" w:tentative="0">
      <w:start w:val="2"/>
      <w:numFmt w:val="chineseCounting"/>
      <w:suff w:val="nothing"/>
      <w:lvlText w:val="（%1）"/>
      <w:lvlJc w:val="left"/>
      <w:rPr>
        <w:rFonts w:hint="eastAsia"/>
      </w:rPr>
    </w:lvl>
  </w:abstractNum>
  <w:abstractNum w:abstractNumId="7">
    <w:nsid w:val="5C7E0EE5"/>
    <w:multiLevelType w:val="multilevel"/>
    <w:tmpl w:val="5C7E0EE5"/>
    <w:lvl w:ilvl="0" w:tentative="0">
      <w:start w:val="1"/>
      <w:numFmt w:val="chineseCountingThousand"/>
      <w:suff w:val="nothing"/>
      <w:lvlText w:val="第%1章 "/>
      <w:lvlJc w:val="left"/>
      <w:pPr>
        <w:widowControl/>
        <w:ind w:left="0" w:firstLine="0"/>
        <w:textAlignment w:val="baseline"/>
      </w:pPr>
    </w:lvl>
    <w:lvl w:ilvl="1" w:tentative="0">
      <w:start w:val="1"/>
      <w:numFmt w:val="decimal"/>
      <w:suff w:val="nothing"/>
      <w:lvlText w:val="%1、"/>
      <w:lvlJc w:val="left"/>
      <w:pPr>
        <w:widowControl/>
        <w:ind w:left="0" w:firstLine="0"/>
        <w:textAlignment w:val="baseline"/>
      </w:pPr>
    </w:lvl>
    <w:lvl w:ilvl="2" w:tentative="0">
      <w:start w:val="1"/>
      <w:numFmt w:val="decimal"/>
      <w:suff w:val="nothing"/>
      <w:lvlText w:val="%1.%2 "/>
      <w:lvlJc w:val="left"/>
      <w:pPr>
        <w:widowControl/>
        <w:ind w:left="0" w:firstLine="0"/>
        <w:textAlignment w:val="baseline"/>
      </w:pPr>
    </w:lvl>
    <w:lvl w:ilvl="3" w:tentative="0">
      <w:start w:val="1"/>
      <w:numFmt w:val="decimal"/>
      <w:suff w:val="nothing"/>
      <w:lvlText w:val="%1.%2.%3 "/>
      <w:lvlJc w:val="left"/>
      <w:pPr>
        <w:widowControl/>
        <w:ind w:left="0" w:firstLine="0"/>
        <w:textAlignment w:val="baseline"/>
      </w:pPr>
    </w:lvl>
    <w:lvl w:ilvl="4" w:tentative="0">
      <w:start w:val="1"/>
      <w:numFmt w:val="decimal"/>
      <w:suff w:val="nothing"/>
      <w:lvlText w:val="%1.%2.%3.%4 "/>
      <w:lvlJc w:val="left"/>
      <w:pPr>
        <w:widowControl/>
        <w:ind w:left="0" w:firstLine="0"/>
        <w:textAlignment w:val="baseline"/>
      </w:pPr>
    </w:lvl>
    <w:lvl w:ilvl="5" w:tentative="0">
      <w:start w:val="1"/>
      <w:numFmt w:val="decimal"/>
      <w:pStyle w:val="22"/>
      <w:suff w:val="nothing"/>
      <w:lvlText w:val=""/>
      <w:lvlJc w:val="left"/>
      <w:pPr>
        <w:widowControl/>
        <w:ind w:left="0" w:firstLine="0"/>
        <w:textAlignment w:val="baseline"/>
      </w:pPr>
    </w:lvl>
    <w:lvl w:ilvl="6" w:tentative="0">
      <w:start w:val="1"/>
      <w:numFmt w:val="decimal"/>
      <w:pStyle w:val="23"/>
      <w:suff w:val="nothing"/>
      <w:lvlText w:val=""/>
      <w:lvlJc w:val="left"/>
      <w:pPr>
        <w:widowControl/>
        <w:ind w:left="0" w:firstLine="0"/>
        <w:textAlignment w:val="baseline"/>
      </w:pPr>
    </w:lvl>
    <w:lvl w:ilvl="7" w:tentative="0">
      <w:start w:val="1"/>
      <w:numFmt w:val="decimal"/>
      <w:pStyle w:val="24"/>
      <w:suff w:val="nothing"/>
      <w:lvlText w:val=""/>
      <w:lvlJc w:val="left"/>
      <w:pPr>
        <w:widowControl/>
        <w:ind w:left="0" w:firstLine="0"/>
        <w:textAlignment w:val="baseline"/>
      </w:pPr>
    </w:lvl>
    <w:lvl w:ilvl="8" w:tentative="0">
      <w:start w:val="1"/>
      <w:numFmt w:val="decimal"/>
      <w:pStyle w:val="25"/>
      <w:suff w:val="nothing"/>
      <w:lvlText w:val=""/>
      <w:lvlJc w:val="left"/>
      <w:pPr>
        <w:widowControl/>
        <w:ind w:left="0" w:firstLine="0"/>
        <w:textAlignment w:val="baseline"/>
      </w:pPr>
    </w:lvl>
  </w:abstractNum>
  <w:abstractNum w:abstractNumId="8">
    <w:nsid w:val="60EBBB25"/>
    <w:multiLevelType w:val="singleLevel"/>
    <w:tmpl w:val="60EBBB25"/>
    <w:lvl w:ilvl="0" w:tentative="0">
      <w:start w:val="3"/>
      <w:numFmt w:val="decimal"/>
      <w:lvlText w:val="%1."/>
      <w:lvlJc w:val="left"/>
      <w:pPr>
        <w:tabs>
          <w:tab w:val="left" w:pos="312"/>
        </w:tabs>
      </w:pPr>
    </w:lvl>
  </w:abstractNum>
  <w:abstractNum w:abstractNumId="9">
    <w:nsid w:val="6FBA05F3"/>
    <w:multiLevelType w:val="singleLevel"/>
    <w:tmpl w:val="6FBA05F3"/>
    <w:lvl w:ilvl="0" w:tentative="0">
      <w:start w:val="1"/>
      <w:numFmt w:val="japaneseCounting"/>
      <w:lvlText w:val="第%1章"/>
      <w:lvlJc w:val="left"/>
      <w:pPr>
        <w:widowControl/>
        <w:tabs>
          <w:tab w:val="left" w:pos="1440"/>
        </w:tabs>
        <w:ind w:left="1440" w:hanging="1440"/>
        <w:textAlignment w:val="baseline"/>
      </w:pPr>
      <w:rPr>
        <w:rStyle w:val="26"/>
        <w:rFonts w:ascii="黑体" w:eastAsia="黑体"/>
        <w:b w:val="0"/>
        <w:sz w:val="36"/>
      </w:rPr>
    </w:lvl>
  </w:abstractNum>
  <w:num w:numId="1">
    <w:abstractNumId w:val="7"/>
  </w:num>
  <w:num w:numId="2">
    <w:abstractNumId w:val="2"/>
  </w:num>
  <w:num w:numId="3">
    <w:abstractNumId w:val="5"/>
  </w:num>
  <w:num w:numId="4">
    <w:abstractNumId w:val="9"/>
  </w:num>
  <w:num w:numId="5">
    <w:abstractNumId w:val="0"/>
  </w:num>
  <w:num w:numId="6">
    <w:abstractNumId w:val="8"/>
  </w:num>
  <w:num w:numId="7">
    <w:abstractNumId w:val="1"/>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documentProtection w:enforcement="0"/>
  <w:defaultTabStop w:val="425"/>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9FB594B"/>
    <w:rsid w:val="0DD44D8E"/>
    <w:rsid w:val="0E261538"/>
    <w:rsid w:val="1BF209D8"/>
    <w:rsid w:val="2A5D3E50"/>
    <w:rsid w:val="2B80118C"/>
    <w:rsid w:val="2BC90AE4"/>
    <w:rsid w:val="2EDB13EA"/>
    <w:rsid w:val="32FC798E"/>
    <w:rsid w:val="35146628"/>
    <w:rsid w:val="377C6B3A"/>
    <w:rsid w:val="398F79DA"/>
    <w:rsid w:val="39C53BBD"/>
    <w:rsid w:val="3D4D3540"/>
    <w:rsid w:val="3D9D5907"/>
    <w:rsid w:val="4AE35BBD"/>
    <w:rsid w:val="4C120DC7"/>
    <w:rsid w:val="4E411CAB"/>
    <w:rsid w:val="4EEF12BB"/>
    <w:rsid w:val="4FEA69E5"/>
    <w:rsid w:val="53C11F74"/>
    <w:rsid w:val="54146B87"/>
    <w:rsid w:val="592757DE"/>
    <w:rsid w:val="5B6D7280"/>
    <w:rsid w:val="5BEB2CD4"/>
    <w:rsid w:val="5DCF4439"/>
    <w:rsid w:val="62102175"/>
    <w:rsid w:val="63BC0B2A"/>
    <w:rsid w:val="64E91B6F"/>
    <w:rsid w:val="66F03ADF"/>
    <w:rsid w:val="6A4841FE"/>
    <w:rsid w:val="6D3E4204"/>
    <w:rsid w:val="7FFB1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5"/>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Date"/>
    <w:basedOn w:val="1"/>
    <w:next w:val="1"/>
    <w:qFormat/>
    <w:uiPriority w:val="0"/>
    <w:pPr>
      <w:jc w:val="both"/>
      <w:textAlignment w:val="baseline"/>
    </w:pPr>
    <w:rPr>
      <w:kern w:val="2"/>
      <w:sz w:val="24"/>
      <w:szCs w:val="24"/>
      <w:lang w:val="en-US" w:eastAsia="zh-CN" w:bidi="ar-SA"/>
    </w:rPr>
  </w:style>
  <w:style w:type="paragraph" w:styleId="5">
    <w:name w:val="footer"/>
    <w:basedOn w:val="1"/>
    <w:link w:val="5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6">
    <w:name w:val="header"/>
    <w:basedOn w:val="1"/>
    <w:link w:val="5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7">
    <w:name w:val="List"/>
    <w:basedOn w:val="1"/>
    <w:qFormat/>
    <w:uiPriority w:val="0"/>
    <w:pPr>
      <w:ind w:left="200" w:hanging="200" w:hangingChars="200"/>
      <w:jc w:val="both"/>
      <w:textAlignment w:val="baseline"/>
    </w:p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link w:val="1"/>
    <w:qFormat/>
    <w:uiPriority w:val="0"/>
    <w:rPr>
      <w:rFonts w:cs="Times New Roman"/>
      <w:b/>
      <w:bCs/>
    </w:rPr>
  </w:style>
  <w:style w:type="character" w:styleId="13">
    <w:name w:val="FollowedHyperlink"/>
    <w:link w:val="1"/>
    <w:qFormat/>
    <w:uiPriority w:val="0"/>
    <w:rPr>
      <w:color w:val="800080"/>
    </w:rPr>
  </w:style>
  <w:style w:type="character" w:styleId="14">
    <w:name w:val="Emphasis"/>
    <w:link w:val="1"/>
    <w:qFormat/>
    <w:uiPriority w:val="0"/>
  </w:style>
  <w:style w:type="character" w:styleId="15">
    <w:name w:val="Hyperlink"/>
    <w:link w:val="1"/>
    <w:qFormat/>
    <w:uiPriority w:val="0"/>
    <w:rPr>
      <w:color w:val="0000FF"/>
    </w:rPr>
  </w:style>
  <w:style w:type="paragraph" w:customStyle="1" w:styleId="16">
    <w:name w:val="Heading1"/>
    <w:basedOn w:val="1"/>
    <w:next w:val="1"/>
    <w:link w:val="44"/>
    <w:qFormat/>
    <w:uiPriority w:val="0"/>
    <w:pPr>
      <w:keepNext/>
      <w:jc w:val="center"/>
      <w:textAlignment w:val="baseline"/>
    </w:pPr>
    <w:rPr>
      <w:rFonts w:ascii="楷体_GB2312" w:eastAsia="楷体_GB2312"/>
      <w:kern w:val="2"/>
      <w:sz w:val="28"/>
      <w:szCs w:val="28"/>
      <w:lang w:val="en-US" w:eastAsia="zh-CN" w:bidi="ar-SA"/>
    </w:rPr>
  </w:style>
  <w:style w:type="paragraph" w:customStyle="1" w:styleId="17">
    <w:name w:val="Heading2"/>
    <w:basedOn w:val="1"/>
    <w:next w:val="18"/>
    <w:qFormat/>
    <w:uiPriority w:val="0"/>
    <w:pPr>
      <w:keepNext/>
      <w:keepLines/>
      <w:spacing w:before="260" w:after="260" w:line="416" w:lineRule="auto"/>
      <w:jc w:val="center"/>
      <w:textAlignment w:val="baseline"/>
    </w:pPr>
    <w:rPr>
      <w:rFonts w:ascii="Arial" w:hAnsi="Arial" w:eastAsia="幼圆" w:cs="Arial"/>
      <w:b/>
      <w:bCs/>
      <w:kern w:val="2"/>
      <w:sz w:val="44"/>
      <w:szCs w:val="44"/>
      <w:lang w:val="en-US" w:eastAsia="zh-CN" w:bidi="ar-SA"/>
    </w:rPr>
  </w:style>
  <w:style w:type="paragraph" w:customStyle="1" w:styleId="18">
    <w:name w:val="NormalIndent"/>
    <w:basedOn w:val="1"/>
    <w:link w:val="46"/>
    <w:qFormat/>
    <w:uiPriority w:val="0"/>
    <w:pPr>
      <w:ind w:firstLine="420"/>
      <w:jc w:val="both"/>
      <w:textAlignment w:val="baseline"/>
    </w:pPr>
  </w:style>
  <w:style w:type="paragraph" w:customStyle="1" w:styleId="19">
    <w:name w:val="Heading3"/>
    <w:basedOn w:val="1"/>
    <w:next w:val="18"/>
    <w:link w:val="47"/>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20">
    <w:name w:val="Heading4"/>
    <w:basedOn w:val="1"/>
    <w:next w:val="1"/>
    <w:link w:val="48"/>
    <w:qFormat/>
    <w:uiPriority w:val="0"/>
    <w:pPr>
      <w:keepNext/>
      <w:keepLines/>
      <w:spacing w:before="280" w:after="290" w:line="376" w:lineRule="auto"/>
      <w:jc w:val="both"/>
      <w:textAlignment w:val="baseline"/>
    </w:pPr>
    <w:rPr>
      <w:rFonts w:ascii="Cambria" w:hAnsi="Cambria"/>
      <w:b/>
      <w:kern w:val="2"/>
      <w:sz w:val="28"/>
      <w:szCs w:val="28"/>
      <w:lang w:val="en-US" w:eastAsia="zh-CN" w:bidi="ar-SA"/>
    </w:rPr>
  </w:style>
  <w:style w:type="paragraph" w:customStyle="1" w:styleId="21">
    <w:name w:val="Heading5"/>
    <w:basedOn w:val="1"/>
    <w:next w:val="1"/>
    <w:qFormat/>
    <w:uiPriority w:val="0"/>
    <w:pPr>
      <w:keepNext/>
      <w:jc w:val="both"/>
      <w:textAlignment w:val="baseline"/>
    </w:pPr>
    <w:rPr>
      <w:rFonts w:ascii="宋体"/>
      <w:color w:val="000000"/>
      <w:kern w:val="0"/>
      <w:sz w:val="28"/>
      <w:szCs w:val="28"/>
      <w:lang w:val="en-US" w:eastAsia="zh-CN" w:bidi="ar-SA"/>
    </w:rPr>
  </w:style>
  <w:style w:type="paragraph" w:customStyle="1" w:styleId="22">
    <w:name w:val="Heading6"/>
    <w:basedOn w:val="1"/>
    <w:next w:val="1"/>
    <w:qFormat/>
    <w:uiPriority w:val="0"/>
    <w:pPr>
      <w:keepNext/>
      <w:keepLines/>
      <w:numPr>
        <w:ilvl w:val="5"/>
        <w:numId w:val="1"/>
      </w:numPr>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23">
    <w:name w:val="Heading7"/>
    <w:basedOn w:val="1"/>
    <w:next w:val="1"/>
    <w:qFormat/>
    <w:uiPriority w:val="0"/>
    <w:pPr>
      <w:keepNext/>
      <w:keepLines/>
      <w:numPr>
        <w:ilvl w:val="6"/>
        <w:numId w:val="1"/>
      </w:numPr>
      <w:spacing w:before="240" w:after="64" w:line="320" w:lineRule="auto"/>
      <w:jc w:val="both"/>
      <w:textAlignment w:val="baseline"/>
    </w:pPr>
    <w:rPr>
      <w:rFonts w:cs="Times New Roman"/>
      <w:b/>
      <w:bCs/>
      <w:kern w:val="2"/>
      <w:sz w:val="24"/>
      <w:szCs w:val="24"/>
      <w:lang w:val="en-US" w:eastAsia="zh-CN" w:bidi="ar-SA"/>
    </w:rPr>
  </w:style>
  <w:style w:type="paragraph" w:customStyle="1" w:styleId="24">
    <w:name w:val="Heading8"/>
    <w:basedOn w:val="1"/>
    <w:next w:val="1"/>
    <w:qFormat/>
    <w:uiPriority w:val="0"/>
    <w:pPr>
      <w:keepNext/>
      <w:keepLines/>
      <w:numPr>
        <w:ilvl w:val="7"/>
        <w:numId w:val="1"/>
      </w:numPr>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25">
    <w:name w:val="Heading9"/>
    <w:basedOn w:val="1"/>
    <w:next w:val="1"/>
    <w:qFormat/>
    <w:uiPriority w:val="0"/>
    <w:pPr>
      <w:keepNext/>
      <w:keepLines/>
      <w:numPr>
        <w:ilvl w:val="8"/>
        <w:numId w:val="1"/>
      </w:numPr>
      <w:spacing w:before="240" w:after="64" w:line="320" w:lineRule="auto"/>
      <w:jc w:val="both"/>
      <w:textAlignment w:val="baseline"/>
    </w:pPr>
    <w:rPr>
      <w:rFonts w:ascii="Arial" w:hAnsi="Arial" w:eastAsia="黑体"/>
      <w:kern w:val="2"/>
      <w:sz w:val="21"/>
      <w:szCs w:val="21"/>
      <w:lang w:val="en-US" w:eastAsia="zh-CN" w:bidi="ar-SA"/>
    </w:rPr>
  </w:style>
  <w:style w:type="character" w:customStyle="1" w:styleId="26">
    <w:name w:val="NormalCharacter"/>
    <w:link w:val="1"/>
    <w:semiHidden/>
    <w:qFormat/>
    <w:uiPriority w:val="0"/>
  </w:style>
  <w:style w:type="table" w:customStyle="1" w:styleId="27">
    <w:name w:val="TableNormal"/>
    <w:semiHidden/>
    <w:qFormat/>
    <w:uiPriority w:val="0"/>
  </w:style>
  <w:style w:type="character" w:customStyle="1" w:styleId="28">
    <w:name w:val="htmlSamp"/>
    <w:link w:val="1"/>
    <w:qFormat/>
    <w:uiPriority w:val="0"/>
    <w:rPr>
      <w:rFonts w:ascii="monospace" w:hAnsi="monospace" w:eastAsia="monospace"/>
    </w:rPr>
  </w:style>
  <w:style w:type="character" w:customStyle="1" w:styleId="29">
    <w:name w:val="PageNumber"/>
    <w:basedOn w:val="26"/>
    <w:link w:val="1"/>
    <w:qFormat/>
    <w:uiPriority w:val="0"/>
  </w:style>
  <w:style w:type="character" w:customStyle="1" w:styleId="30">
    <w:name w:val="HtmlVar"/>
    <w:link w:val="1"/>
    <w:qFormat/>
    <w:uiPriority w:val="0"/>
  </w:style>
  <w:style w:type="character" w:customStyle="1" w:styleId="31">
    <w:name w:val="HtmlKbd"/>
    <w:link w:val="1"/>
    <w:qFormat/>
    <w:uiPriority w:val="0"/>
    <w:rPr>
      <w:rFonts w:ascii="monospace" w:hAnsi="monospace" w:eastAsia="monospace"/>
      <w:sz w:val="20"/>
    </w:rPr>
  </w:style>
  <w:style w:type="character" w:customStyle="1" w:styleId="32">
    <w:name w:val="HtmlDfn"/>
    <w:link w:val="1"/>
    <w:qFormat/>
    <w:uiPriority w:val="0"/>
  </w:style>
  <w:style w:type="character" w:customStyle="1" w:styleId="33">
    <w:name w:val="HtmlCite"/>
    <w:link w:val="1"/>
    <w:qFormat/>
    <w:uiPriority w:val="0"/>
  </w:style>
  <w:style w:type="character" w:customStyle="1" w:styleId="34">
    <w:name w:val="HtmlAcronym"/>
    <w:basedOn w:val="26"/>
    <w:link w:val="1"/>
    <w:qFormat/>
    <w:uiPriority w:val="0"/>
  </w:style>
  <w:style w:type="character" w:customStyle="1" w:styleId="35">
    <w:name w:val="HtmlTt"/>
    <w:link w:val="1"/>
    <w:qFormat/>
    <w:uiPriority w:val="0"/>
    <w:rPr>
      <w:rFonts w:ascii="monospace" w:hAnsi="monospace" w:eastAsia="monospace"/>
      <w:sz w:val="20"/>
    </w:rPr>
  </w:style>
  <w:style w:type="character" w:customStyle="1" w:styleId="36">
    <w:name w:val="AnnotationReference"/>
    <w:link w:val="1"/>
    <w:semiHidden/>
    <w:qFormat/>
    <w:uiPriority w:val="0"/>
    <w:rPr>
      <w:sz w:val="21"/>
      <w:szCs w:val="21"/>
    </w:rPr>
  </w:style>
  <w:style w:type="character" w:customStyle="1" w:styleId="37">
    <w:name w:val="HtmlCode"/>
    <w:link w:val="1"/>
    <w:qFormat/>
    <w:uiPriority w:val="0"/>
    <w:rPr>
      <w:rFonts w:ascii="monospace" w:hAnsi="monospace" w:eastAsia="monospace"/>
      <w:sz w:val="20"/>
    </w:rPr>
  </w:style>
  <w:style w:type="character" w:customStyle="1" w:styleId="38">
    <w:name w:val="UserStyle_0"/>
    <w:link w:val="39"/>
    <w:qFormat/>
    <w:locked/>
    <w:uiPriority w:val="0"/>
    <w:rPr>
      <w:rFonts w:ascii="Calibri" w:hAnsi="Calibri"/>
      <w:sz w:val="24"/>
      <w:szCs w:val="24"/>
      <w:lang w:eastAsia="en-US" w:bidi="en-US"/>
    </w:rPr>
  </w:style>
  <w:style w:type="paragraph" w:customStyle="1" w:styleId="39">
    <w:name w:val="UserStyle_1"/>
    <w:basedOn w:val="1"/>
    <w:link w:val="38"/>
    <w:qFormat/>
    <w:uiPriority w:val="0"/>
    <w:pPr>
      <w:widowControl/>
      <w:ind w:left="720"/>
      <w:contextualSpacing/>
      <w:jc w:val="left"/>
      <w:textAlignment w:val="baseline"/>
    </w:pPr>
    <w:rPr>
      <w:kern w:val="0"/>
      <w:sz w:val="24"/>
      <w:szCs w:val="24"/>
      <w:lang w:val="en-US" w:eastAsia="en-US" w:bidi="en-US"/>
    </w:rPr>
  </w:style>
  <w:style w:type="character" w:customStyle="1" w:styleId="40">
    <w:name w:val="UserStyle_2"/>
    <w:basedOn w:val="26"/>
    <w:link w:val="1"/>
    <w:qFormat/>
    <w:uiPriority w:val="0"/>
  </w:style>
  <w:style w:type="character" w:customStyle="1" w:styleId="41">
    <w:name w:val="UserStyle_3"/>
    <w:basedOn w:val="26"/>
    <w:link w:val="1"/>
    <w:qFormat/>
    <w:uiPriority w:val="0"/>
  </w:style>
  <w:style w:type="character" w:customStyle="1" w:styleId="42">
    <w:name w:val="UserStyle_4"/>
    <w:link w:val="43"/>
    <w:qFormat/>
    <w:uiPriority w:val="0"/>
    <w:rPr>
      <w:rFonts w:eastAsia="宋体"/>
      <w:kern w:val="2"/>
      <w:sz w:val="21"/>
      <w:szCs w:val="21"/>
      <w:lang w:val="en-US" w:eastAsia="zh-CN" w:bidi="ar-SA"/>
    </w:rPr>
  </w:style>
  <w:style w:type="paragraph" w:customStyle="1" w:styleId="43">
    <w:name w:val="NavPane"/>
    <w:basedOn w:val="1"/>
    <w:link w:val="42"/>
    <w:semiHidden/>
    <w:qFormat/>
    <w:uiPriority w:val="0"/>
    <w:pPr>
      <w:shd w:val="clear" w:color="auto" w:fill="000080"/>
      <w:jc w:val="both"/>
      <w:textAlignment w:val="baseline"/>
    </w:pPr>
  </w:style>
  <w:style w:type="character" w:customStyle="1" w:styleId="44">
    <w:name w:val="UserStyle_5"/>
    <w:link w:val="16"/>
    <w:qFormat/>
    <w:uiPriority w:val="0"/>
    <w:rPr>
      <w:rFonts w:ascii="楷体_GB2312" w:eastAsia="楷体_GB2312"/>
      <w:kern w:val="2"/>
      <w:sz w:val="28"/>
      <w:szCs w:val="28"/>
    </w:rPr>
  </w:style>
  <w:style w:type="character" w:customStyle="1" w:styleId="45">
    <w:name w:val="UserStyle_6"/>
    <w:link w:val="1"/>
    <w:qFormat/>
    <w:uiPriority w:val="0"/>
    <w:rPr>
      <w:color w:val="999999"/>
    </w:rPr>
  </w:style>
  <w:style w:type="character" w:customStyle="1" w:styleId="46">
    <w:name w:val="UserStyle_7"/>
    <w:link w:val="18"/>
    <w:qFormat/>
    <w:uiPriority w:val="0"/>
    <w:rPr>
      <w:kern w:val="2"/>
      <w:sz w:val="21"/>
      <w:szCs w:val="21"/>
    </w:rPr>
  </w:style>
  <w:style w:type="character" w:customStyle="1" w:styleId="47">
    <w:name w:val="UserStyle_8"/>
    <w:link w:val="19"/>
    <w:qFormat/>
    <w:uiPriority w:val="0"/>
    <w:rPr>
      <w:rFonts w:eastAsia="宋体" w:cs="Times New Roman"/>
      <w:b/>
      <w:bCs/>
      <w:kern w:val="2"/>
      <w:sz w:val="32"/>
      <w:szCs w:val="32"/>
      <w:lang w:val="en-US" w:eastAsia="zh-CN" w:bidi="ar-SA"/>
    </w:rPr>
  </w:style>
  <w:style w:type="character" w:customStyle="1" w:styleId="48">
    <w:name w:val="UserStyle_9"/>
    <w:link w:val="20"/>
    <w:qFormat/>
    <w:uiPriority w:val="0"/>
    <w:rPr>
      <w:rFonts w:ascii="Cambria" w:hAnsi="Cambria" w:eastAsia="宋体"/>
      <w:b/>
      <w:kern w:val="2"/>
      <w:sz w:val="28"/>
      <w:szCs w:val="28"/>
    </w:rPr>
  </w:style>
  <w:style w:type="character" w:customStyle="1" w:styleId="49">
    <w:name w:val="UserStyle_10"/>
    <w:link w:val="50"/>
    <w:semiHidden/>
    <w:qFormat/>
    <w:uiPriority w:val="0"/>
    <w:rPr>
      <w:kern w:val="2"/>
      <w:sz w:val="21"/>
      <w:szCs w:val="21"/>
    </w:rPr>
  </w:style>
  <w:style w:type="paragraph" w:customStyle="1" w:styleId="50">
    <w:name w:val="AnnotationText"/>
    <w:basedOn w:val="1"/>
    <w:link w:val="49"/>
    <w:semiHidden/>
    <w:qFormat/>
    <w:uiPriority w:val="0"/>
    <w:pPr>
      <w:jc w:val="left"/>
      <w:textAlignment w:val="baseline"/>
    </w:pPr>
  </w:style>
  <w:style w:type="character" w:customStyle="1" w:styleId="51">
    <w:name w:val="UserStyle_11"/>
    <w:link w:val="52"/>
    <w:qFormat/>
    <w:uiPriority w:val="0"/>
    <w:rPr>
      <w:rFonts w:ascii="宋体" w:hAnsi="Courier New"/>
      <w:kern w:val="2"/>
      <w:sz w:val="21"/>
      <w:szCs w:val="21"/>
    </w:rPr>
  </w:style>
  <w:style w:type="paragraph" w:customStyle="1" w:styleId="52">
    <w:name w:val="PlainText"/>
    <w:basedOn w:val="1"/>
    <w:link w:val="51"/>
    <w:qFormat/>
    <w:uiPriority w:val="0"/>
    <w:pPr>
      <w:jc w:val="both"/>
      <w:textAlignment w:val="baseline"/>
    </w:pPr>
    <w:rPr>
      <w:rFonts w:ascii="宋体" w:hAnsi="Courier New"/>
      <w:kern w:val="2"/>
      <w:sz w:val="21"/>
      <w:szCs w:val="21"/>
      <w:lang w:val="en-US" w:eastAsia="zh-CN" w:bidi="ar-SA"/>
    </w:rPr>
  </w:style>
  <w:style w:type="character" w:customStyle="1" w:styleId="53">
    <w:name w:val="UserStyle_12"/>
    <w:link w:val="54"/>
    <w:semiHidden/>
    <w:qFormat/>
    <w:uiPriority w:val="0"/>
    <w:rPr>
      <w:kern w:val="2"/>
      <w:sz w:val="18"/>
      <w:szCs w:val="18"/>
    </w:rPr>
  </w:style>
  <w:style w:type="paragraph" w:customStyle="1" w:styleId="54">
    <w:name w:val="Acetate"/>
    <w:basedOn w:val="1"/>
    <w:link w:val="53"/>
    <w:semiHidden/>
    <w:qFormat/>
    <w:uiPriority w:val="0"/>
    <w:pPr>
      <w:jc w:val="both"/>
      <w:textAlignment w:val="baseline"/>
    </w:pPr>
    <w:rPr>
      <w:kern w:val="2"/>
      <w:sz w:val="18"/>
      <w:szCs w:val="18"/>
      <w:lang w:val="en-US" w:eastAsia="zh-CN" w:bidi="ar-SA"/>
    </w:rPr>
  </w:style>
  <w:style w:type="character" w:customStyle="1" w:styleId="55">
    <w:name w:val="UserStyle_13"/>
    <w:link w:val="5"/>
    <w:qFormat/>
    <w:uiPriority w:val="0"/>
    <w:rPr>
      <w:kern w:val="2"/>
      <w:sz w:val="18"/>
      <w:szCs w:val="18"/>
    </w:rPr>
  </w:style>
  <w:style w:type="character" w:customStyle="1" w:styleId="56">
    <w:name w:val="UserStyle_14"/>
    <w:link w:val="6"/>
    <w:qFormat/>
    <w:uiPriority w:val="0"/>
    <w:rPr>
      <w:kern w:val="2"/>
      <w:sz w:val="18"/>
      <w:szCs w:val="18"/>
    </w:rPr>
  </w:style>
  <w:style w:type="character" w:customStyle="1" w:styleId="57">
    <w:name w:val="UserStyle_15"/>
    <w:link w:val="1"/>
    <w:qFormat/>
    <w:uiPriority w:val="0"/>
    <w:rPr>
      <w:rFonts w:ascii="宋体" w:hAnsi="宋体" w:eastAsia="宋体"/>
      <w:sz w:val="28"/>
      <w:szCs w:val="28"/>
      <w:lang w:val="en-US" w:eastAsia="zh-CN" w:bidi="ar-SA"/>
    </w:rPr>
  </w:style>
  <w:style w:type="character" w:customStyle="1" w:styleId="58">
    <w:name w:val="UserStyle_16"/>
    <w:basedOn w:val="26"/>
    <w:link w:val="1"/>
    <w:qFormat/>
    <w:uiPriority w:val="0"/>
    <w:rPr>
      <w:rFonts w:ascii="宋体" w:hAnsi="宋体" w:eastAsia="宋体"/>
      <w:color w:val="000000"/>
      <w:sz w:val="22"/>
      <w:szCs w:val="22"/>
    </w:rPr>
  </w:style>
  <w:style w:type="character" w:customStyle="1" w:styleId="59">
    <w:name w:val="UserStyle_17"/>
    <w:link w:val="1"/>
    <w:qFormat/>
    <w:uiPriority w:val="0"/>
    <w:rPr>
      <w:shd w:val="clear" w:color="auto" w:fill="EEEEEE"/>
    </w:rPr>
  </w:style>
  <w:style w:type="character" w:customStyle="1" w:styleId="60">
    <w:name w:val="UserStyle_18"/>
    <w:link w:val="61"/>
    <w:qFormat/>
    <w:uiPriority w:val="0"/>
    <w:rPr>
      <w:rFonts w:ascii="Tahoma" w:hAnsi="Tahoma" w:eastAsia="宋体"/>
      <w:kern w:val="2"/>
      <w:sz w:val="24"/>
      <w:szCs w:val="24"/>
      <w:lang w:val="en-US" w:eastAsia="zh-CN" w:bidi="ar-SA"/>
    </w:rPr>
  </w:style>
  <w:style w:type="paragraph" w:customStyle="1" w:styleId="61">
    <w:name w:val="UserStyle_19"/>
    <w:basedOn w:val="43"/>
    <w:link w:val="60"/>
    <w:qFormat/>
    <w:uiPriority w:val="0"/>
    <w:pPr>
      <w:shd w:val="clear" w:color="auto" w:fill="000080"/>
      <w:snapToGrid w:val="0"/>
      <w:spacing w:line="360" w:lineRule="auto"/>
      <w:jc w:val="both"/>
      <w:textAlignment w:val="baseline"/>
    </w:pPr>
    <w:rPr>
      <w:rFonts w:ascii="Tahoma" w:hAnsi="Tahoma"/>
      <w:sz w:val="24"/>
      <w:szCs w:val="24"/>
    </w:rPr>
  </w:style>
  <w:style w:type="character" w:customStyle="1" w:styleId="62">
    <w:name w:val="UserStyle_20"/>
    <w:link w:val="1"/>
    <w:qFormat/>
    <w:uiPriority w:val="0"/>
    <w:rPr>
      <w:rFonts w:eastAsia="宋体"/>
      <w:b/>
      <w:spacing w:val="-2"/>
      <w:sz w:val="24"/>
      <w:lang w:val="en-US" w:eastAsia="zh-CN" w:bidi="ar-SA"/>
    </w:rPr>
  </w:style>
  <w:style w:type="character" w:customStyle="1" w:styleId="63">
    <w:name w:val="UserStyle_21"/>
    <w:link w:val="64"/>
    <w:qFormat/>
    <w:uiPriority w:val="0"/>
    <w:rPr>
      <w:b/>
      <w:kern w:val="2"/>
      <w:sz w:val="30"/>
      <w:szCs w:val="28"/>
      <w:lang w:val="en-US" w:eastAsia="zh-CN" w:bidi="ar-SA"/>
    </w:rPr>
  </w:style>
  <w:style w:type="paragraph" w:customStyle="1" w:styleId="64">
    <w:name w:val="UserStyle_22"/>
    <w:next w:val="1"/>
    <w:link w:val="63"/>
    <w:qFormat/>
    <w:uiPriority w:val="0"/>
    <w:pPr>
      <w:widowControl/>
      <w:numPr>
        <w:ilvl w:val="0"/>
        <w:numId w:val="2"/>
      </w:numPr>
      <w:tabs>
        <w:tab w:val="left" w:pos="1145"/>
      </w:tabs>
      <w:textAlignment w:val="baseline"/>
    </w:pPr>
    <w:rPr>
      <w:rFonts w:ascii="Times New Roman" w:hAnsi="Times New Roman" w:eastAsia="宋体" w:cstheme="minorBidi"/>
      <w:b/>
      <w:kern w:val="2"/>
      <w:sz w:val="30"/>
      <w:szCs w:val="28"/>
      <w:lang w:val="en-US" w:eastAsia="zh-CN" w:bidi="ar-SA"/>
    </w:rPr>
  </w:style>
  <w:style w:type="character" w:customStyle="1" w:styleId="65">
    <w:name w:val="UserStyle_23"/>
    <w:basedOn w:val="26"/>
    <w:link w:val="1"/>
    <w:qFormat/>
    <w:uiPriority w:val="0"/>
  </w:style>
  <w:style w:type="paragraph" w:customStyle="1" w:styleId="66">
    <w:name w:val="TOC4"/>
    <w:basedOn w:val="1"/>
    <w:next w:val="1"/>
    <w:semiHidden/>
    <w:qFormat/>
    <w:uiPriority w:val="0"/>
    <w:pPr>
      <w:ind w:left="630"/>
      <w:jc w:val="left"/>
      <w:textAlignment w:val="baseline"/>
    </w:pPr>
  </w:style>
  <w:style w:type="paragraph" w:customStyle="1" w:styleId="67">
    <w:name w:val="TOC1"/>
    <w:basedOn w:val="1"/>
    <w:next w:val="1"/>
    <w:semiHidden/>
    <w:qFormat/>
    <w:uiPriority w:val="0"/>
    <w:pPr>
      <w:tabs>
        <w:tab w:val="right" w:leader="dot" w:pos="8720"/>
      </w:tabs>
      <w:spacing w:before="120" w:after="120" w:line="400" w:lineRule="exact"/>
      <w:jc w:val="left"/>
      <w:textAlignment w:val="baseline"/>
    </w:pPr>
    <w:rPr>
      <w:rFonts w:ascii="宋体" w:hAnsi="宋体"/>
      <w:caps/>
      <w:kern w:val="2"/>
      <w:sz w:val="24"/>
      <w:szCs w:val="24"/>
      <w:lang w:bidi="ar-SA"/>
    </w:rPr>
  </w:style>
  <w:style w:type="paragraph" w:customStyle="1" w:styleId="68">
    <w:name w:val="BodyTextIndent2"/>
    <w:basedOn w:val="1"/>
    <w:qFormat/>
    <w:uiPriority w:val="0"/>
    <w:pPr>
      <w:ind w:left="630" w:firstLine="645"/>
      <w:jc w:val="both"/>
      <w:textAlignment w:val="baseline"/>
    </w:pPr>
    <w:rPr>
      <w:rFonts w:ascii="Arial" w:hAnsi="Arial" w:eastAsia="仿宋_GB2312"/>
      <w:kern w:val="2"/>
      <w:sz w:val="32"/>
      <w:szCs w:val="32"/>
      <w:lang w:val="en-US" w:eastAsia="zh-CN" w:bidi="ar-SA"/>
    </w:rPr>
  </w:style>
  <w:style w:type="paragraph" w:customStyle="1" w:styleId="69">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0">
    <w:name w:val="EnvelopeReturn"/>
    <w:basedOn w:val="1"/>
    <w:qFormat/>
    <w:uiPriority w:val="0"/>
    <w:pPr>
      <w:snapToGrid w:val="0"/>
      <w:jc w:val="both"/>
      <w:textAlignment w:val="baseline"/>
    </w:pPr>
    <w:rPr>
      <w:rFonts w:ascii="Arial" w:hAnsi="Arial"/>
      <w:kern w:val="2"/>
      <w:sz w:val="21"/>
      <w:szCs w:val="21"/>
      <w:lang w:val="en-US" w:eastAsia="zh-CN" w:bidi="ar-SA"/>
    </w:rPr>
  </w:style>
  <w:style w:type="paragraph" w:customStyle="1" w:styleId="71">
    <w:name w:val="BodyTextIndent"/>
    <w:basedOn w:val="1"/>
    <w:next w:val="70"/>
    <w:qFormat/>
    <w:uiPriority w:val="0"/>
    <w:pPr>
      <w:ind w:firstLine="645"/>
      <w:jc w:val="both"/>
      <w:textAlignment w:val="baseline"/>
    </w:pPr>
    <w:rPr>
      <w:rFonts w:ascii="楷体_GB2312" w:eastAsia="楷体_GB2312"/>
      <w:kern w:val="2"/>
      <w:sz w:val="32"/>
      <w:szCs w:val="32"/>
      <w:lang w:val="en-US" w:eastAsia="zh-CN" w:bidi="ar-SA"/>
    </w:rPr>
  </w:style>
  <w:style w:type="paragraph" w:customStyle="1" w:styleId="72">
    <w:name w:val="BodyText3"/>
    <w:basedOn w:val="1"/>
    <w:qFormat/>
    <w:uiPriority w:val="0"/>
    <w:pPr>
      <w:jc w:val="both"/>
      <w:textAlignment w:val="baseline"/>
    </w:pPr>
    <w:rPr>
      <w:rFonts w:ascii="仿宋_GB2312" w:hAnsi="Arial" w:eastAsia="仿宋_GB2312"/>
      <w:kern w:val="2"/>
      <w:sz w:val="32"/>
      <w:szCs w:val="32"/>
      <w:lang w:val="en-US" w:eastAsia="zh-CN" w:bidi="ar-SA"/>
    </w:rPr>
  </w:style>
  <w:style w:type="paragraph" w:customStyle="1" w:styleId="73">
    <w:name w:val="BodyText1I"/>
    <w:basedOn w:val="1"/>
    <w:qFormat/>
    <w:uiPriority w:val="0"/>
    <w:pPr>
      <w:spacing w:line="360" w:lineRule="auto"/>
      <w:ind w:firstLine="200" w:firstLineChars="200"/>
      <w:jc w:val="both"/>
      <w:textAlignment w:val="baseline"/>
    </w:pPr>
    <w:rPr>
      <w:rFonts w:ascii="仿宋_GB2312" w:eastAsia="仿宋_GB2312"/>
      <w:kern w:val="2"/>
      <w:sz w:val="30"/>
      <w:szCs w:val="30"/>
      <w:lang w:val="en-US" w:eastAsia="zh-CN" w:bidi="ar-SA"/>
    </w:rPr>
  </w:style>
  <w:style w:type="paragraph" w:customStyle="1" w:styleId="74">
    <w:name w:val="List2"/>
    <w:basedOn w:val="1"/>
    <w:qFormat/>
    <w:uiPriority w:val="0"/>
    <w:pPr>
      <w:ind w:left="100" w:leftChars="200" w:hanging="200" w:hangingChars="200"/>
      <w:jc w:val="both"/>
      <w:textAlignment w:val="baseline"/>
    </w:pPr>
  </w:style>
  <w:style w:type="paragraph" w:customStyle="1" w:styleId="75">
    <w:name w:val="List3"/>
    <w:basedOn w:val="1"/>
    <w:qFormat/>
    <w:uiPriority w:val="0"/>
    <w:pPr>
      <w:ind w:left="100" w:leftChars="400" w:hanging="200" w:hangingChars="200"/>
      <w:jc w:val="both"/>
      <w:textAlignment w:val="baseline"/>
    </w:pPr>
  </w:style>
  <w:style w:type="paragraph" w:customStyle="1" w:styleId="76">
    <w:name w:val="Index1"/>
    <w:basedOn w:val="1"/>
    <w:next w:val="1"/>
    <w:semiHidden/>
    <w:qFormat/>
    <w:uiPriority w:val="0"/>
    <w:pPr>
      <w:spacing w:line="240" w:lineRule="atLeast"/>
      <w:jc w:val="both"/>
      <w:textAlignment w:val="baseline"/>
    </w:pPr>
    <w:rPr>
      <w:rFonts w:cs="Times New Roman"/>
      <w:b/>
      <w:bCs/>
      <w:kern w:val="2"/>
      <w:sz w:val="21"/>
      <w:szCs w:val="21"/>
      <w:lang w:val="en-US" w:eastAsia="zh-CN" w:bidi="ar-SA"/>
    </w:rPr>
  </w:style>
  <w:style w:type="paragraph" w:customStyle="1" w:styleId="77">
    <w:name w:val="BodyText2"/>
    <w:basedOn w:val="1"/>
    <w:qFormat/>
    <w:uiPriority w:val="0"/>
    <w:pPr>
      <w:widowControl/>
      <w:jc w:val="center"/>
      <w:textAlignment w:val="baseline"/>
    </w:pPr>
    <w:rPr>
      <w:rFonts w:ascii="楷体_GB2312" w:eastAsia="楷体_GB2312"/>
      <w:kern w:val="2"/>
      <w:sz w:val="28"/>
      <w:szCs w:val="28"/>
      <w:lang w:val="en-US" w:eastAsia="zh-CN" w:bidi="ar-SA"/>
    </w:rPr>
  </w:style>
  <w:style w:type="paragraph" w:customStyle="1" w:styleId="78">
    <w:name w:val="ToCaption"/>
    <w:basedOn w:val="1"/>
    <w:next w:val="1"/>
    <w:semiHidden/>
    <w:qFormat/>
    <w:uiPriority w:val="0"/>
    <w:pPr>
      <w:ind w:left="840" w:hanging="420"/>
      <w:jc w:val="both"/>
      <w:textAlignment w:val="baseline"/>
    </w:pPr>
  </w:style>
  <w:style w:type="paragraph" w:customStyle="1" w:styleId="79">
    <w:name w:val="BodyTextIndent3"/>
    <w:basedOn w:val="1"/>
    <w:qFormat/>
    <w:uiPriority w:val="0"/>
    <w:pPr>
      <w:ind w:left="645" w:firstLine="645"/>
      <w:jc w:val="both"/>
      <w:textAlignment w:val="baseline"/>
    </w:pPr>
    <w:rPr>
      <w:rFonts w:ascii="Arial" w:hAnsi="Arial" w:eastAsia="仿宋_GB2312"/>
      <w:color w:val="FFFF00"/>
      <w:kern w:val="2"/>
      <w:sz w:val="32"/>
      <w:szCs w:val="32"/>
      <w:lang w:val="en-US" w:eastAsia="zh-CN" w:bidi="ar-SA"/>
    </w:rPr>
  </w:style>
  <w:style w:type="paragraph" w:customStyle="1" w:styleId="80">
    <w:name w:val="TOC6"/>
    <w:basedOn w:val="1"/>
    <w:next w:val="1"/>
    <w:semiHidden/>
    <w:qFormat/>
    <w:uiPriority w:val="0"/>
    <w:pPr>
      <w:ind w:left="1050"/>
      <w:jc w:val="left"/>
      <w:textAlignment w:val="baseline"/>
    </w:pPr>
  </w:style>
  <w:style w:type="paragraph" w:customStyle="1" w:styleId="81">
    <w:name w:val="BodyText1I2"/>
    <w:basedOn w:val="71"/>
    <w:qFormat/>
    <w:uiPriority w:val="0"/>
    <w:pPr>
      <w:spacing w:line="360" w:lineRule="auto"/>
      <w:ind w:firstLine="420" w:firstLineChars="200"/>
      <w:jc w:val="both"/>
      <w:textAlignment w:val="baseline"/>
    </w:pPr>
    <w:rPr>
      <w:rFonts w:ascii="宋体" w:hAnsi="宋体" w:eastAsia="宋体"/>
      <w:kern w:val="2"/>
      <w:sz w:val="21"/>
      <w:szCs w:val="20"/>
      <w:lang w:val="en-US" w:eastAsia="zh-CN" w:bidi="ar-SA"/>
    </w:rPr>
  </w:style>
  <w:style w:type="paragraph" w:customStyle="1" w:styleId="82">
    <w:name w:val="AnnotationSubject"/>
    <w:basedOn w:val="50"/>
    <w:next w:val="50"/>
    <w:semiHidden/>
    <w:qFormat/>
    <w:uiPriority w:val="0"/>
    <w:pPr>
      <w:jc w:val="left"/>
      <w:textAlignment w:val="baseline"/>
    </w:pPr>
    <w:rPr>
      <w:rFonts w:cs="Times New Roman"/>
      <w:b/>
      <w:bCs/>
    </w:rPr>
  </w:style>
  <w:style w:type="paragraph" w:customStyle="1" w:styleId="83">
    <w:name w:val="TOC2"/>
    <w:basedOn w:val="1"/>
    <w:next w:val="1"/>
    <w:semiHidden/>
    <w:qFormat/>
    <w:uiPriority w:val="0"/>
    <w:pPr>
      <w:ind w:left="210"/>
      <w:jc w:val="left"/>
      <w:textAlignment w:val="baseline"/>
    </w:pPr>
    <w:rPr>
      <w:smallCaps/>
      <w:kern w:val="2"/>
      <w:sz w:val="21"/>
      <w:szCs w:val="24"/>
      <w:lang w:val="en-US" w:eastAsia="zh-CN" w:bidi="ar-SA"/>
    </w:rPr>
  </w:style>
  <w:style w:type="paragraph" w:customStyle="1" w:styleId="84">
    <w:name w:val="TOC8"/>
    <w:basedOn w:val="1"/>
    <w:next w:val="1"/>
    <w:semiHidden/>
    <w:qFormat/>
    <w:uiPriority w:val="0"/>
    <w:pPr>
      <w:ind w:left="1470"/>
      <w:jc w:val="left"/>
      <w:textAlignment w:val="baseline"/>
    </w:pPr>
  </w:style>
  <w:style w:type="paragraph" w:customStyle="1" w:styleId="85">
    <w:name w:val="TOC7"/>
    <w:basedOn w:val="1"/>
    <w:next w:val="1"/>
    <w:semiHidden/>
    <w:qFormat/>
    <w:uiPriority w:val="0"/>
    <w:pPr>
      <w:ind w:left="1260"/>
      <w:jc w:val="left"/>
      <w:textAlignment w:val="baseline"/>
    </w:pPr>
  </w:style>
  <w:style w:type="paragraph" w:customStyle="1" w:styleId="86">
    <w:name w:val="BodyText"/>
    <w:basedOn w:val="1"/>
    <w:qFormat/>
    <w:uiPriority w:val="0"/>
    <w:pPr>
      <w:jc w:val="both"/>
      <w:textAlignment w:val="baseline"/>
    </w:pPr>
    <w:rPr>
      <w:rFonts w:ascii="楷体_GB2312" w:hAnsi="Arial" w:eastAsia="楷体_GB2312"/>
      <w:kern w:val="2"/>
      <w:sz w:val="28"/>
      <w:szCs w:val="28"/>
      <w:lang w:val="en-US" w:eastAsia="zh-CN" w:bidi="ar-SA"/>
    </w:rPr>
  </w:style>
  <w:style w:type="paragraph" w:customStyle="1" w:styleId="87">
    <w:name w:val="TOC9"/>
    <w:basedOn w:val="1"/>
    <w:next w:val="1"/>
    <w:semiHidden/>
    <w:qFormat/>
    <w:uiPriority w:val="0"/>
    <w:pPr>
      <w:ind w:left="1680"/>
      <w:jc w:val="left"/>
      <w:textAlignment w:val="baseline"/>
    </w:pPr>
  </w:style>
  <w:style w:type="paragraph" w:customStyle="1" w:styleId="88">
    <w:name w:val="TOC3"/>
    <w:basedOn w:val="1"/>
    <w:next w:val="1"/>
    <w:semiHidden/>
    <w:qFormat/>
    <w:uiPriority w:val="0"/>
    <w:pPr>
      <w:ind w:left="420"/>
      <w:jc w:val="left"/>
      <w:textAlignment w:val="baseline"/>
    </w:pPr>
    <w:rPr>
      <w:i/>
      <w:iCs/>
      <w:kern w:val="2"/>
      <w:sz w:val="21"/>
      <w:szCs w:val="24"/>
      <w:lang w:val="en-US" w:eastAsia="zh-CN" w:bidi="ar-SA"/>
    </w:rPr>
  </w:style>
  <w:style w:type="paragraph" w:customStyle="1" w:styleId="89">
    <w:name w:val="TOC5"/>
    <w:basedOn w:val="1"/>
    <w:next w:val="1"/>
    <w:semiHidden/>
    <w:qFormat/>
    <w:uiPriority w:val="0"/>
    <w:pPr>
      <w:ind w:left="840"/>
      <w:jc w:val="left"/>
      <w:textAlignment w:val="baseline"/>
    </w:pPr>
  </w:style>
  <w:style w:type="paragraph" w:customStyle="1" w:styleId="90">
    <w:name w:val="BlockQuote"/>
    <w:basedOn w:val="1"/>
    <w:qFormat/>
    <w:uiPriority w:val="0"/>
    <w:pPr>
      <w:spacing w:after="120"/>
      <w:ind w:left="1440" w:leftChars="700" w:right="1440" w:rightChars="700"/>
      <w:jc w:val="both"/>
      <w:textAlignment w:val="baseline"/>
    </w:pPr>
  </w:style>
  <w:style w:type="paragraph" w:customStyle="1" w:styleId="91">
    <w:name w:val="UserStyle_24"/>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92">
    <w:name w:val="UserStyle_25"/>
    <w:basedOn w:val="1"/>
    <w:qFormat/>
    <w:uiPriority w:val="0"/>
    <w:pPr>
      <w:widowControl/>
      <w:spacing w:before="100" w:beforeAutospacing="1" w:after="100" w:afterAutospacing="1"/>
      <w:jc w:val="left"/>
      <w:textAlignment w:val="baseline"/>
    </w:pPr>
    <w:rPr>
      <w:rFonts w:ascii="宋体" w:hAnsi="宋体"/>
      <w:kern w:val="0"/>
      <w:sz w:val="28"/>
      <w:szCs w:val="28"/>
      <w:lang w:val="en-US" w:eastAsia="zh-CN" w:bidi="ar-SA"/>
    </w:rPr>
  </w:style>
  <w:style w:type="paragraph" w:customStyle="1" w:styleId="93">
    <w:name w:val="179"/>
    <w:basedOn w:val="1"/>
    <w:qFormat/>
    <w:uiPriority w:val="0"/>
    <w:pPr>
      <w:widowControl/>
      <w:ind w:left="720"/>
      <w:contextualSpacing/>
      <w:jc w:val="left"/>
      <w:textAlignment w:val="baseline"/>
    </w:pPr>
    <w:rPr>
      <w:rFonts w:ascii="Calibri" w:hAnsi="Calibri"/>
      <w:kern w:val="0"/>
      <w:sz w:val="24"/>
      <w:szCs w:val="24"/>
      <w:lang w:val="en-US" w:eastAsia="en-US" w:bidi="en-US"/>
    </w:rPr>
  </w:style>
  <w:style w:type="paragraph" w:customStyle="1" w:styleId="94">
    <w:name w:val="UserStyle_26"/>
    <w:basedOn w:val="1"/>
    <w:qFormat/>
    <w:uiPriority w:val="0"/>
    <w:pPr>
      <w:widowControl/>
      <w:tabs>
        <w:tab w:val="left" w:pos="-720"/>
      </w:tabs>
      <w:jc w:val="both"/>
      <w:textAlignment w:val="baseline"/>
    </w:pPr>
    <w:rPr>
      <w:rFonts w:ascii="Times New Roman" w:hAnsi="Times New Roman"/>
      <w:spacing w:val="-3"/>
      <w:kern w:val="0"/>
      <w:sz w:val="24"/>
      <w:szCs w:val="20"/>
      <w:lang w:val="en-AU" w:eastAsia="en-US" w:bidi="ar-SA"/>
    </w:rPr>
  </w:style>
  <w:style w:type="paragraph" w:customStyle="1" w:styleId="95">
    <w:name w:val="UserStyle_27"/>
    <w:basedOn w:val="1"/>
    <w:next w:val="1"/>
    <w:qFormat/>
    <w:uiPriority w:val="0"/>
    <w:pPr>
      <w:jc w:val="center"/>
      <w:textAlignment w:val="baseline"/>
    </w:pPr>
    <w:rPr>
      <w:rFonts w:ascii="Times New Roman" w:hAnsi="Times New Roman"/>
      <w:kern w:val="2"/>
      <w:sz w:val="24"/>
      <w:szCs w:val="21"/>
      <w:lang w:val="en-US" w:eastAsia="zh-CN" w:bidi="ar-SA"/>
    </w:rPr>
  </w:style>
  <w:style w:type="paragraph" w:customStyle="1" w:styleId="96">
    <w:name w:val="UserStyle_28"/>
    <w:basedOn w:val="1"/>
    <w:qFormat/>
    <w:uiPriority w:val="0"/>
    <w:pPr>
      <w:widowControl/>
      <w:jc w:val="left"/>
      <w:textAlignment w:val="baseline"/>
    </w:pPr>
    <w:rPr>
      <w:kern w:val="0"/>
      <w:sz w:val="20"/>
      <w:szCs w:val="20"/>
      <w:lang w:val="de-DE" w:eastAsia="de-DE" w:bidi="ar-SA"/>
    </w:rPr>
  </w:style>
  <w:style w:type="paragraph" w:customStyle="1" w:styleId="97">
    <w:name w:val="UserStyle_29"/>
    <w:basedOn w:val="1"/>
    <w:qFormat/>
    <w:uiPriority w:val="0"/>
    <w:pPr>
      <w:tabs>
        <w:tab w:val="left" w:pos="360"/>
      </w:tabs>
      <w:ind w:firstLine="200" w:firstLineChars="200"/>
      <w:jc w:val="both"/>
      <w:textAlignment w:val="baseline"/>
    </w:pPr>
    <w:rPr>
      <w:kern w:val="2"/>
      <w:sz w:val="28"/>
      <w:szCs w:val="30"/>
      <w:lang w:val="en-US" w:eastAsia="zh-CN" w:bidi="ar-SA"/>
    </w:rPr>
  </w:style>
  <w:style w:type="paragraph" w:customStyle="1" w:styleId="98">
    <w:name w:val="UserStyle_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99">
    <w:name w:val="UserStyle_31"/>
    <w:basedOn w:val="1"/>
    <w:next w:val="1"/>
    <w:qFormat/>
    <w:uiPriority w:val="0"/>
    <w:pPr>
      <w:snapToGrid w:val="0"/>
      <w:spacing w:line="590" w:lineRule="atLeast"/>
      <w:ind w:firstLine="624"/>
      <w:jc w:val="both"/>
      <w:textAlignment w:val="baseline"/>
    </w:pPr>
    <w:rPr>
      <w:rFonts w:ascii="方正黑体_GBK" w:eastAsia="方正黑体_GBK"/>
      <w:kern w:val="0"/>
      <w:sz w:val="32"/>
      <w:szCs w:val="32"/>
      <w:lang w:val="en-US" w:eastAsia="zh-CN" w:bidi="ar-SA"/>
    </w:rPr>
  </w:style>
  <w:style w:type="paragraph" w:customStyle="1" w:styleId="100">
    <w:name w:val="UserStyle_32"/>
    <w:basedOn w:val="1"/>
    <w:next w:val="1"/>
    <w:qFormat/>
    <w:uiPriority w:val="0"/>
    <w:pPr>
      <w:tabs>
        <w:tab w:val="left" w:pos="9193"/>
        <w:tab w:val="left" w:pos="9827"/>
      </w:tabs>
      <w:snapToGrid w:val="0"/>
      <w:spacing w:line="700" w:lineRule="atLeast"/>
      <w:jc w:val="center"/>
      <w:textAlignment w:val="baseline"/>
    </w:pPr>
    <w:rPr>
      <w:rFonts w:ascii="方正小标宋_GBK" w:eastAsia="方正小标宋_GBK"/>
      <w:kern w:val="0"/>
      <w:sz w:val="44"/>
      <w:szCs w:val="20"/>
      <w:lang w:val="en-US" w:eastAsia="zh-CN" w:bidi="ar-SA"/>
    </w:rPr>
  </w:style>
  <w:style w:type="paragraph" w:customStyle="1" w:styleId="101">
    <w:name w:val="UserStyle_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02">
    <w:name w:val="UserStyle_34"/>
    <w:basedOn w:val="1"/>
    <w:qFormat/>
    <w:uiPriority w:val="0"/>
    <w:pPr>
      <w:widowControl/>
      <w:spacing w:before="100" w:beforeAutospacing="1" w:after="100" w:afterAutospacing="1"/>
      <w:jc w:val="left"/>
      <w:textAlignment w:val="baseline"/>
    </w:pPr>
    <w:rPr>
      <w:rFonts w:ascii="宋体" w:hAnsi="宋体"/>
      <w:kern w:val="0"/>
      <w:sz w:val="28"/>
      <w:szCs w:val="28"/>
      <w:u w:val="single"/>
      <w:lang w:val="en-US" w:eastAsia="zh-CN" w:bidi="ar-SA"/>
    </w:rPr>
  </w:style>
  <w:style w:type="paragraph" w:customStyle="1" w:styleId="103">
    <w:name w:val="UserStyle_35"/>
    <w:basedOn w:val="95"/>
    <w:qFormat/>
    <w:uiPriority w:val="0"/>
    <w:pPr>
      <w:jc w:val="left"/>
      <w:textAlignment w:val="baseline"/>
    </w:pPr>
  </w:style>
  <w:style w:type="paragraph" w:customStyle="1" w:styleId="104">
    <w:name w:val="UserStyle_36"/>
    <w:basedOn w:val="1"/>
    <w:qFormat/>
    <w:uiPriority w:val="0"/>
    <w:pPr>
      <w:widowControl/>
      <w:pBdr>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05">
    <w:name w:val="UserStyle_37"/>
    <w:qFormat/>
    <w:uiPriority w:val="0"/>
    <w:pPr>
      <w:widowControl/>
      <w:numPr>
        <w:ilvl w:val="0"/>
        <w:numId w:val="2"/>
      </w:numPr>
      <w:snapToGrid w:val="0"/>
      <w:spacing w:before="240" w:line="600" w:lineRule="atLeast"/>
      <w:textAlignment w:val="baseline"/>
    </w:pPr>
    <w:rPr>
      <w:rFonts w:ascii="Times New Roman" w:hAnsi="Times New Roman" w:eastAsia="宋体" w:cstheme="minorBidi"/>
      <w:b/>
      <w:i/>
      <w:sz w:val="28"/>
      <w:lang w:val="en-US" w:eastAsia="zh-CN" w:bidi="ar-SA"/>
    </w:rPr>
  </w:style>
  <w:style w:type="paragraph" w:customStyle="1" w:styleId="106">
    <w:name w:val="UserStyle_38"/>
    <w:basedOn w:val="1"/>
    <w:qFormat/>
    <w:uiPriority w:val="0"/>
    <w:pPr>
      <w:widowControl/>
      <w:spacing w:before="120"/>
      <w:jc w:val="left"/>
      <w:textAlignment w:val="baseline"/>
    </w:pPr>
    <w:rPr>
      <w:rFonts w:cs="Times New Roman"/>
      <w:bCs/>
      <w:kern w:val="0"/>
      <w:sz w:val="20"/>
      <w:szCs w:val="20"/>
      <w:lang w:val="de-DE" w:eastAsia="de-DE" w:bidi="ar-SA"/>
    </w:rPr>
  </w:style>
  <w:style w:type="paragraph" w:customStyle="1" w:styleId="107">
    <w:name w:val="UserStyle_39"/>
    <w:basedOn w:val="43"/>
    <w:qFormat/>
    <w:uiPriority w:val="0"/>
    <w:pPr>
      <w:shd w:val="clear" w:color="auto" w:fill="000080"/>
      <w:snapToGrid w:val="0"/>
      <w:spacing w:line="360" w:lineRule="auto"/>
      <w:jc w:val="both"/>
      <w:textAlignment w:val="baseline"/>
    </w:pPr>
    <w:rPr>
      <w:rFonts w:ascii="Tahoma" w:hAnsi="Tahoma"/>
      <w:sz w:val="24"/>
      <w:szCs w:val="24"/>
    </w:rPr>
  </w:style>
  <w:style w:type="paragraph" w:customStyle="1" w:styleId="108">
    <w:name w:val="UserStyle_40"/>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109">
    <w:name w:val="UserStyle_4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lang w:val="en-US" w:eastAsia="zh-CN" w:bidi="ar-SA"/>
    </w:rPr>
  </w:style>
  <w:style w:type="paragraph" w:customStyle="1" w:styleId="110">
    <w:name w:val="UserStyle_42"/>
    <w:basedOn w:val="1"/>
    <w:qFormat/>
    <w:uiPriority w:val="0"/>
    <w:pPr>
      <w:widowControl/>
      <w:snapToGrid w:val="0"/>
      <w:jc w:val="left"/>
      <w:textAlignment w:val="baseline"/>
    </w:pPr>
    <w:rPr>
      <w:rFonts w:ascii="Arial Unicode MS" w:hAnsi="Arial Unicode MS"/>
      <w:kern w:val="2"/>
      <w:sz w:val="21"/>
      <w:szCs w:val="24"/>
      <w:lang w:val="en-US" w:eastAsia="zh-CN" w:bidi="ar-SA"/>
    </w:rPr>
  </w:style>
  <w:style w:type="paragraph" w:customStyle="1" w:styleId="111">
    <w:name w:val="UserStyle_43"/>
    <w:basedOn w:val="1"/>
    <w:next w:val="1"/>
    <w:qFormat/>
    <w:uiPriority w:val="0"/>
    <w:pPr>
      <w:tabs>
        <w:tab w:val="left" w:pos="567"/>
        <w:tab w:val="left" w:pos="840"/>
      </w:tabs>
      <w:snapToGrid w:val="0"/>
      <w:spacing w:before="120" w:after="120" w:line="320" w:lineRule="atLeast"/>
      <w:ind w:left="840" w:hanging="420"/>
      <w:jc w:val="center"/>
      <w:textAlignment w:val="baseline"/>
    </w:pPr>
    <w:rPr>
      <w:rFonts w:eastAsia="仿宋_GB2312"/>
      <w:kern w:val="0"/>
      <w:sz w:val="24"/>
      <w:szCs w:val="20"/>
      <w:lang w:val="en-US" w:eastAsia="zh-CN" w:bidi="ar-SA"/>
    </w:rPr>
  </w:style>
  <w:style w:type="paragraph" w:customStyle="1" w:styleId="112">
    <w:name w:val="UserStyle_44"/>
    <w:basedOn w:val="1"/>
    <w:qFormat/>
    <w:uiPriority w:val="0"/>
    <w:pPr>
      <w:spacing w:before="120" w:after="120" w:line="360" w:lineRule="auto"/>
      <w:ind w:firstLine="480"/>
      <w:jc w:val="left"/>
      <w:textAlignment w:val="baseline"/>
    </w:pPr>
    <w:rPr>
      <w:rFonts w:ascii="Arial" w:hAnsi="Arial"/>
      <w:kern w:val="0"/>
      <w:sz w:val="24"/>
      <w:szCs w:val="24"/>
      <w:lang w:val="en-US" w:eastAsia="zh-CN" w:bidi="ar-SA"/>
    </w:rPr>
  </w:style>
  <w:style w:type="paragraph" w:customStyle="1" w:styleId="113">
    <w:name w:val="UserStyle_45"/>
    <w:basedOn w:val="43"/>
    <w:qFormat/>
    <w:uiPriority w:val="0"/>
    <w:pPr>
      <w:shd w:val="clear" w:color="auto" w:fill="000080"/>
      <w:jc w:val="both"/>
      <w:textAlignment w:val="baseline"/>
    </w:pPr>
    <w:rPr>
      <w:rFonts w:ascii="Tahoma" w:hAnsi="Tahoma"/>
      <w:sz w:val="24"/>
      <w:szCs w:val="24"/>
    </w:rPr>
  </w:style>
  <w:style w:type="paragraph" w:customStyle="1" w:styleId="114">
    <w:name w:val="UserStyle_46"/>
    <w:basedOn w:val="1"/>
    <w:qFormat/>
    <w:uiPriority w:val="0"/>
    <w:pPr>
      <w:spacing w:line="360" w:lineRule="auto"/>
      <w:jc w:val="both"/>
      <w:textAlignment w:val="baseline"/>
    </w:pPr>
    <w:rPr>
      <w:kern w:val="0"/>
      <w:sz w:val="24"/>
      <w:szCs w:val="20"/>
      <w:lang w:val="en-US" w:eastAsia="zh-CN" w:bidi="ar-SA"/>
    </w:rPr>
  </w:style>
  <w:style w:type="paragraph" w:customStyle="1" w:styleId="115">
    <w:name w:val="UserStyle_47"/>
    <w:basedOn w:val="1"/>
    <w:qFormat/>
    <w:uiPriority w:val="0"/>
    <w:pPr>
      <w:numPr>
        <w:ilvl w:val="0"/>
        <w:numId w:val="3"/>
      </w:numPr>
      <w:jc w:val="both"/>
      <w:textAlignment w:val="baseline"/>
    </w:pPr>
    <w:rPr>
      <w:rFonts w:ascii="宋体" w:hAnsi="宋体"/>
      <w:kern w:val="0"/>
      <w:sz w:val="21"/>
      <w:szCs w:val="21"/>
      <w:lang w:val="en-US" w:eastAsia="zh-CN" w:bidi="ar-SA"/>
    </w:rPr>
  </w:style>
  <w:style w:type="paragraph" w:customStyle="1" w:styleId="116">
    <w:name w:val="UserStyle_48"/>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117">
    <w:name w:val="UserStyle_4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18">
    <w:name w:val="UserStyle_50"/>
    <w:basedOn w:val="1"/>
    <w:qFormat/>
    <w:uiPriority w:val="0"/>
    <w:pPr>
      <w:widowControl/>
      <w:spacing w:before="100" w:beforeAutospacing="1" w:after="100" w:afterAutospacing="1"/>
      <w:jc w:val="center"/>
      <w:textAlignment w:val="baseline"/>
    </w:pPr>
    <w:rPr>
      <w:rFonts w:ascii="宋体" w:hAnsi="宋体" w:cs="Times New Roman"/>
      <w:b/>
      <w:bCs/>
      <w:kern w:val="0"/>
      <w:sz w:val="36"/>
      <w:szCs w:val="36"/>
      <w:lang w:val="en-US" w:eastAsia="zh-CN" w:bidi="ar-SA"/>
    </w:rPr>
  </w:style>
  <w:style w:type="paragraph" w:customStyle="1" w:styleId="119">
    <w:name w:val="UserStyle_51"/>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120">
    <w:name w:val="UserStyle_52"/>
    <w:basedOn w:val="1"/>
    <w:next w:val="79"/>
    <w:qFormat/>
    <w:uiPriority w:val="0"/>
    <w:pPr>
      <w:spacing w:line="360" w:lineRule="auto"/>
      <w:ind w:firstLine="420"/>
      <w:jc w:val="both"/>
      <w:textAlignment w:val="baseline"/>
    </w:pPr>
    <w:rPr>
      <w:color w:val="FF0000"/>
      <w:kern w:val="2"/>
      <w:sz w:val="24"/>
      <w:szCs w:val="24"/>
      <w:lang w:val="en-US" w:eastAsia="zh-CN" w:bidi="ar-SA"/>
    </w:rPr>
  </w:style>
  <w:style w:type="paragraph" w:customStyle="1" w:styleId="12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22">
    <w:name w:val="UserStyle_54"/>
    <w:basedOn w:val="1"/>
    <w:next w:val="86"/>
    <w:qFormat/>
    <w:uiPriority w:val="0"/>
    <w:pPr>
      <w:spacing w:after="120"/>
      <w:jc w:val="both"/>
      <w:textAlignment w:val="baseline"/>
    </w:pPr>
    <w:rPr>
      <w:rFonts w:ascii="宋体" w:hAnsi="Arial" w:cs="Times New Roman"/>
      <w:bCs/>
      <w:iCs/>
      <w:kern w:val="2"/>
      <w:sz w:val="21"/>
      <w:szCs w:val="24"/>
      <w:lang w:val="en-US" w:eastAsia="zh-CN" w:bidi="ar-SA"/>
    </w:rPr>
  </w:style>
  <w:style w:type="paragraph" w:customStyle="1" w:styleId="12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24">
    <w:name w:val="UserStyle_5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lang w:val="en-US" w:eastAsia="zh-CN" w:bidi="ar-SA"/>
    </w:rPr>
  </w:style>
  <w:style w:type="table" w:customStyle="1" w:styleId="125">
    <w:name w:val="TableGrid"/>
    <w:basedOn w:val="27"/>
    <w:qFormat/>
    <w:uiPriority w:val="0"/>
  </w:style>
  <w:style w:type="paragraph" w:styleId="126">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2021-06-23T06:49:00Z</dcterms:created>
  <dc:creator>Administrator</dc:creator>
  <cp:lastModifiedBy>城市里的追梦人</cp:lastModifiedBy>
  <dcterms:modified xsi:type="dcterms:W3CDTF">2021-07-27T04:42:45Z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9F80F8BCDA0F4E60A5462450DFD83EA4</vt:lpwstr>
  </property>
</Properties>
</file>