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00"/>
        </w:tabs>
        <w:spacing w:line="440" w:lineRule="exact"/>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盐城工业职业技术学院药品与健康管理学院药物制剂仿真一体实训室改造工程招标公告</w:t>
      </w:r>
    </w:p>
    <w:p>
      <w:pPr>
        <w:tabs>
          <w:tab w:val="left" w:pos="900"/>
        </w:tabs>
        <w:spacing w:line="440" w:lineRule="exact"/>
        <w:ind w:firstLine="480" w:firstLineChars="200"/>
        <w:jc w:val="left"/>
        <w:rPr>
          <w:rFonts w:ascii="宋体" w:hAnsi="宋体" w:cs="宋体"/>
          <w:color w:val="000000" w:themeColor="text1"/>
          <w:sz w:val="24"/>
        </w:rPr>
      </w:pPr>
    </w:p>
    <w:p>
      <w:pPr>
        <w:tabs>
          <w:tab w:val="left" w:pos="900"/>
        </w:tabs>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根据盐城工业职业技术学院招标采购计划，江苏全盛工程造价事务所有限公司受盐城工业职业技术学院</w:t>
      </w:r>
      <w:r>
        <w:rPr>
          <w:rFonts w:hint="eastAsia" w:ascii="宋体" w:hAnsi="宋体" w:cs="宋体"/>
          <w:color w:val="000000" w:themeColor="text1"/>
          <w:sz w:val="24"/>
        </w:rPr>
        <w:softHyphen/>
      </w:r>
      <w:r>
        <w:rPr>
          <w:rFonts w:hint="eastAsia" w:ascii="宋体" w:hAnsi="宋体" w:cs="宋体"/>
          <w:color w:val="000000" w:themeColor="text1"/>
          <w:sz w:val="24"/>
        </w:rPr>
        <w:softHyphen/>
      </w:r>
      <w:r>
        <w:rPr>
          <w:rFonts w:hint="eastAsia" w:ascii="宋体" w:hAnsi="宋体" w:cs="宋体"/>
          <w:color w:val="000000" w:themeColor="text1"/>
          <w:sz w:val="24"/>
        </w:rPr>
        <w:t>的委托，就其所需的</w:t>
      </w:r>
      <w:r>
        <w:rPr>
          <w:rFonts w:hint="eastAsia" w:ascii="宋体" w:hAnsi="宋体" w:cs="宋体"/>
          <w:color w:val="000000" w:themeColor="text1"/>
          <w:sz w:val="24"/>
          <w:u w:val="single"/>
        </w:rPr>
        <w:t>药品与健康管理学院药物制剂仿真一体实训室改造工程</w:t>
      </w:r>
      <w:r>
        <w:rPr>
          <w:rFonts w:hint="eastAsia" w:ascii="宋体" w:hAnsi="宋体" w:cs="宋体"/>
          <w:color w:val="000000" w:themeColor="text1"/>
          <w:sz w:val="24"/>
        </w:rPr>
        <w:t>进行公开招标，欢迎符合相关条件的合格投标人投标。</w:t>
      </w:r>
    </w:p>
    <w:p>
      <w:pPr>
        <w:tabs>
          <w:tab w:val="left" w:pos="900"/>
        </w:tabs>
        <w:spacing w:line="440" w:lineRule="exact"/>
        <w:ind w:firstLine="480" w:firstLineChars="200"/>
        <w:jc w:val="left"/>
        <w:rPr>
          <w:rFonts w:ascii="宋体" w:hAnsi="宋体" w:cs="宋体"/>
          <w:b/>
          <w:bCs/>
          <w:color w:val="000000" w:themeColor="text1"/>
          <w:sz w:val="24"/>
        </w:rPr>
      </w:pPr>
      <w:r>
        <w:rPr>
          <w:rFonts w:hint="eastAsia" w:ascii="宋体" w:hAnsi="宋体" w:cs="宋体"/>
          <w:b/>
          <w:bCs/>
          <w:color w:val="000000" w:themeColor="text1"/>
          <w:sz w:val="24"/>
        </w:rPr>
        <w:t>一、招标工程名称及编号</w:t>
      </w:r>
    </w:p>
    <w:p>
      <w:pPr>
        <w:tabs>
          <w:tab w:val="left" w:pos="900"/>
        </w:tabs>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工程名称：</w:t>
      </w:r>
      <w:r>
        <w:rPr>
          <w:rFonts w:hint="eastAsia" w:ascii="宋体" w:hAnsi="宋体" w:cs="宋体"/>
          <w:color w:val="000000" w:themeColor="text1"/>
          <w:sz w:val="24"/>
          <w:u w:val="single"/>
        </w:rPr>
        <w:t>盐城工业职业技术学院药品与健康管理学院药物制剂仿真一体实训室改造工程</w:t>
      </w:r>
    </w:p>
    <w:p>
      <w:pPr>
        <w:tabs>
          <w:tab w:val="left" w:pos="900"/>
        </w:tabs>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标书编号：2022-0</w:t>
      </w:r>
      <w:r>
        <w:rPr>
          <w:rFonts w:hint="eastAsia" w:ascii="宋体" w:hAnsi="宋体" w:cs="宋体"/>
          <w:color w:val="000000" w:themeColor="text1"/>
          <w:sz w:val="24"/>
          <w:lang w:val="en-US" w:eastAsia="zh-CN"/>
        </w:rPr>
        <w:t>34</w:t>
      </w:r>
      <w:r>
        <w:rPr>
          <w:rFonts w:hint="eastAsia" w:ascii="宋体" w:hAnsi="宋体" w:cs="宋体"/>
          <w:color w:val="000000" w:themeColor="text1"/>
          <w:sz w:val="24"/>
        </w:rPr>
        <w:t>Q</w:t>
      </w:r>
    </w:p>
    <w:p>
      <w:pPr>
        <w:tabs>
          <w:tab w:val="left" w:pos="900"/>
        </w:tabs>
        <w:spacing w:line="440" w:lineRule="exact"/>
        <w:ind w:firstLine="480" w:firstLineChars="200"/>
        <w:jc w:val="left"/>
        <w:rPr>
          <w:rFonts w:ascii="宋体" w:hAnsi="宋体" w:cs="宋体"/>
          <w:b/>
          <w:bCs/>
          <w:color w:val="000000" w:themeColor="text1"/>
          <w:sz w:val="24"/>
        </w:rPr>
      </w:pPr>
      <w:r>
        <w:rPr>
          <w:rFonts w:hint="eastAsia" w:ascii="宋体" w:hAnsi="宋体" w:cs="宋体"/>
          <w:b/>
          <w:bCs/>
          <w:color w:val="000000" w:themeColor="text1"/>
          <w:sz w:val="24"/>
        </w:rPr>
        <w:t>二、工程概况</w:t>
      </w:r>
    </w:p>
    <w:p>
      <w:pPr>
        <w:snapToGrid w:val="0"/>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1、工程地点：盐城工业职业技术学院内（盐城市解放南路285号）。</w:t>
      </w:r>
    </w:p>
    <w:p>
      <w:pPr>
        <w:snapToGrid w:val="0"/>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2、工期要求：自甲方通知开工之日起25日历天内全部通过竣工验收合格并交付使用。</w:t>
      </w:r>
    </w:p>
    <w:p>
      <w:pPr>
        <w:snapToGrid w:val="0"/>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 xml:space="preserve">3、质量要求：国家合格标准。 </w:t>
      </w:r>
    </w:p>
    <w:p>
      <w:pPr>
        <w:snapToGrid w:val="0"/>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 xml:space="preserve">4、资金来源及落实情况：国有资金且已落实。 </w:t>
      </w:r>
    </w:p>
    <w:p>
      <w:pPr>
        <w:snapToGrid w:val="0"/>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5、招标范围及标段划分：</w:t>
      </w:r>
      <w:r>
        <w:rPr>
          <w:rFonts w:hint="eastAsia" w:ascii="宋体" w:hAnsi="宋体" w:cs="宋体"/>
          <w:color w:val="000000" w:themeColor="text1"/>
          <w:sz w:val="24"/>
          <w:u w:val="single"/>
        </w:rPr>
        <w:t>盐城工业职业技术学院药品与健康管理学院药物制剂仿真一体实训室改造工程</w:t>
      </w:r>
      <w:r>
        <w:rPr>
          <w:rFonts w:hint="eastAsia" w:ascii="宋体" w:hAnsi="宋体" w:cs="宋体"/>
          <w:color w:val="000000" w:themeColor="text1"/>
          <w:sz w:val="24"/>
        </w:rPr>
        <w:t>项目，具体内容详按设计图纸、工程量清单及招标人要求执行，招标人保留进行调整的权利。本次招标共为1个标段。</w:t>
      </w:r>
    </w:p>
    <w:p>
      <w:pPr>
        <w:snapToGrid w:val="0"/>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6、工程规模：全费用单价最高限价48万元，结算时以中标全费用单价乘以按招标人要求实际施工并经验收合格的数量为准。</w:t>
      </w:r>
    </w:p>
    <w:p>
      <w:pPr>
        <w:tabs>
          <w:tab w:val="left" w:pos="900"/>
        </w:tabs>
        <w:spacing w:line="440" w:lineRule="exact"/>
        <w:ind w:firstLine="480" w:firstLineChars="200"/>
        <w:jc w:val="left"/>
        <w:rPr>
          <w:rFonts w:ascii="宋体" w:hAnsi="宋体" w:cs="宋体"/>
          <w:b/>
          <w:bCs/>
          <w:color w:val="000000" w:themeColor="text1"/>
          <w:sz w:val="24"/>
        </w:rPr>
      </w:pPr>
      <w:r>
        <w:rPr>
          <w:rFonts w:hint="eastAsia" w:ascii="宋体" w:hAnsi="宋体" w:cs="宋体"/>
          <w:b/>
          <w:bCs/>
          <w:color w:val="000000" w:themeColor="text1"/>
          <w:sz w:val="24"/>
        </w:rPr>
        <w:t>三、投标人资格要求</w:t>
      </w:r>
    </w:p>
    <w:p>
      <w:pPr>
        <w:tabs>
          <w:tab w:val="left" w:pos="900"/>
        </w:tabs>
        <w:spacing w:line="440" w:lineRule="exact"/>
        <w:ind w:firstLine="480" w:firstLineChars="200"/>
        <w:jc w:val="left"/>
        <w:rPr>
          <w:rFonts w:ascii="宋体" w:hAnsi="宋体" w:cs="宋体"/>
          <w:bCs/>
          <w:color w:val="000000" w:themeColor="text1"/>
          <w:sz w:val="24"/>
        </w:rPr>
      </w:pPr>
      <w:r>
        <w:rPr>
          <w:rFonts w:hint="eastAsia" w:ascii="宋体" w:hAnsi="宋体" w:cs="宋体"/>
          <w:color w:val="000000" w:themeColor="text1"/>
          <w:sz w:val="24"/>
        </w:rPr>
        <w:t>1、投标人资格要求：投标人须是在中国境内注册，具有行政主管部门核发的建筑工程施工总承包三级及以上资质或建筑装修装饰工程专业承包二</w:t>
      </w:r>
      <w:r>
        <w:rPr>
          <w:rFonts w:hint="eastAsia" w:ascii="宋体" w:hAnsi="宋体" w:cs="宋体"/>
          <w:bCs/>
          <w:color w:val="000000" w:themeColor="text1"/>
          <w:sz w:val="24"/>
        </w:rPr>
        <w:t>级及以上资质或建筑装饰装修工程设计与施工一体化三级及以上资质的独立法人，且取得安全生产许可证。</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2、财务要求：投标人应具有独立订立合同的能力，未处于财产被接管、冻结和破产状态。</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3、信誉要求</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（1）投标人没有被国家、江苏省省级有关部门及盐城市级有关部门暂停招投标或市场准入资格且在公示处罚期内。</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2）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3）投标人作为失信联合惩戒对象，被采取依法限制参与建设工程招投标惩戒措施的，被有关部门推送在“信用中国”、“信用江苏”、“信用盐城”相关网站公示且在有效期内的，本项目的招标人拒绝其投标，资格审查不予通过，不得被确定为中标候选人、中标人。在一次招投标活动中，资格预审申请人、投标人或者中标候选人因正被列为联合惩戒对象，导致其资格预审不通过或者被取消中标候选人资格、中标人资格的，不因其之后失信信息被撤销或更正而改变已经作出的决定。</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4、投标项目负责人资格要求：项目负责人须具有建筑工程专业二级及以上建造师资格，同时须具有安全生产考核合格证（B类）。</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5、项目负责人从本工程投标文件递交截止之日起必须满足下列条件：</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项目负责人不得同时在两个或者两个以上单位受聘或者执业特指以下三种情形：</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（一）同时在两个及以上单位签订劳动合同或交纳社会保险；</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（二）将本人执（职）业资格证书同时注册在两个及以上单位</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（三）项目负责人担任其他公司法定代表人。</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项目负责人投标截止时不得同时在其他建设工程项目中担任现场管理人员、不在本项目兼任本项目的其它岗位。</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 xml:space="preserve">    在建工程：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6、本项目招标人不接受投标人的企业法定代表人担任项目负责人。</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7、本项目招标人不接受企业退休人员担任项目负责人。</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8、投标申请人须保证项目负责人及代理人均为本单位的正式职工，并确保至投标截止之日当月至少连续6个月均已在本单位缴纳养老保险，中标候选人公示前、异议（投诉）提出时相关单位需提供缴费记录证明原件给招标人核验。（例：如开标日期为20</w:t>
      </w:r>
      <w:r>
        <w:rPr>
          <w:rFonts w:hint="eastAsia" w:ascii="宋体" w:hAnsi="宋体" w:cs="宋体"/>
          <w:bCs/>
          <w:color w:val="000000" w:themeColor="text1"/>
          <w:sz w:val="24"/>
          <w:lang w:val="en-US" w:eastAsia="zh-CN"/>
        </w:rPr>
        <w:t>21</w:t>
      </w:r>
      <w:r>
        <w:rPr>
          <w:rFonts w:hint="eastAsia" w:ascii="宋体" w:hAnsi="宋体" w:cs="宋体"/>
          <w:bCs/>
          <w:color w:val="000000" w:themeColor="text1"/>
          <w:sz w:val="24"/>
        </w:rPr>
        <w:t>年10月的某一天，则投标单位需保证以上人员20</w:t>
      </w:r>
      <w:r>
        <w:rPr>
          <w:rFonts w:hint="eastAsia" w:ascii="宋体" w:hAnsi="宋体" w:cs="宋体"/>
          <w:bCs/>
          <w:color w:val="000000" w:themeColor="text1"/>
          <w:sz w:val="24"/>
          <w:lang w:val="en-US" w:eastAsia="zh-CN"/>
        </w:rPr>
        <w:t>21</w:t>
      </w:r>
      <w:bookmarkStart w:id="8" w:name="_GoBack"/>
      <w:bookmarkEnd w:id="8"/>
      <w:r>
        <w:rPr>
          <w:rFonts w:hint="eastAsia" w:ascii="宋体" w:hAnsi="宋体" w:cs="宋体"/>
          <w:bCs/>
          <w:color w:val="000000" w:themeColor="text1"/>
          <w:sz w:val="24"/>
        </w:rPr>
        <w:t>年2月以后任意连续6月养老保险均在本单位缴纳）。</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9、本次招标工程不接受联合体投标。</w:t>
      </w:r>
    </w:p>
    <w:p>
      <w:pPr>
        <w:spacing w:line="440" w:lineRule="exact"/>
        <w:ind w:firstLine="480" w:firstLineChars="200"/>
        <w:jc w:val="left"/>
        <w:rPr>
          <w:rFonts w:ascii="宋体" w:hAnsi="宋体" w:cs="宋体"/>
          <w:b/>
          <w:color w:val="000000" w:themeColor="text1"/>
          <w:kern w:val="0"/>
          <w:sz w:val="24"/>
          <w:shd w:val="clear" w:color="auto" w:fill="FFFFFF"/>
        </w:rPr>
      </w:pPr>
      <w:r>
        <w:rPr>
          <w:rFonts w:hint="eastAsia" w:ascii="宋体" w:hAnsi="宋体" w:cs="宋体"/>
          <w:b/>
          <w:color w:val="000000" w:themeColor="text1"/>
          <w:kern w:val="0"/>
          <w:sz w:val="24"/>
          <w:shd w:val="clear" w:color="auto" w:fill="FFFFFF"/>
        </w:rPr>
        <w:t>四、资格审查办法：</w:t>
      </w:r>
      <w:r>
        <w:rPr>
          <w:rFonts w:hint="eastAsia" w:ascii="宋体" w:hAnsi="宋体" w:cs="宋体"/>
          <w:b/>
          <w:bCs/>
          <w:color w:val="000000" w:themeColor="text1"/>
          <w:sz w:val="24"/>
        </w:rPr>
        <w:t>资格后审</w:t>
      </w:r>
      <w:r>
        <w:rPr>
          <w:rFonts w:hint="eastAsia" w:ascii="宋体" w:hAnsi="宋体" w:cs="宋体"/>
          <w:bCs/>
          <w:color w:val="000000" w:themeColor="text1"/>
          <w:kern w:val="0"/>
          <w:sz w:val="24"/>
          <w:shd w:val="clear" w:color="auto" w:fill="FFFFFF"/>
        </w:rPr>
        <w:t>。</w:t>
      </w:r>
    </w:p>
    <w:p>
      <w:pPr>
        <w:spacing w:line="440" w:lineRule="exact"/>
        <w:ind w:firstLine="480" w:firstLineChars="200"/>
        <w:jc w:val="left"/>
        <w:rPr>
          <w:rFonts w:ascii="宋体" w:hAnsi="宋体" w:cs="宋体"/>
          <w:color w:val="000000" w:themeColor="text1"/>
          <w:sz w:val="24"/>
        </w:rPr>
      </w:pPr>
      <w:r>
        <w:rPr>
          <w:rFonts w:hint="eastAsia" w:ascii="宋体" w:hAnsi="宋体" w:cs="宋体"/>
          <w:b/>
          <w:color w:val="000000" w:themeColor="text1"/>
          <w:kern w:val="0"/>
          <w:sz w:val="24"/>
          <w:shd w:val="clear" w:color="auto" w:fill="FFFFFF"/>
        </w:rPr>
        <w:t>五、评标定标办法：</w:t>
      </w:r>
      <w:r>
        <w:rPr>
          <w:rFonts w:hint="eastAsia" w:ascii="宋体" w:hAnsi="宋体" w:cs="宋体"/>
          <w:color w:val="000000" w:themeColor="text1"/>
          <w:sz w:val="24"/>
        </w:rPr>
        <w:t>采用盐城ABCD合成法，具体详见招标文件正文。</w:t>
      </w:r>
    </w:p>
    <w:p>
      <w:pPr>
        <w:spacing w:line="440" w:lineRule="exact"/>
        <w:ind w:firstLine="480" w:firstLineChars="200"/>
        <w:jc w:val="left"/>
        <w:rPr>
          <w:rFonts w:ascii="宋体" w:hAnsi="宋体" w:cs="宋体"/>
          <w:b/>
          <w:bCs/>
          <w:color w:val="000000" w:themeColor="text1"/>
          <w:sz w:val="24"/>
        </w:rPr>
      </w:pPr>
      <w:r>
        <w:rPr>
          <w:rFonts w:hint="eastAsia" w:ascii="宋体" w:hAnsi="宋体" w:cs="宋体"/>
          <w:b/>
          <w:bCs/>
          <w:color w:val="000000" w:themeColor="text1"/>
          <w:sz w:val="24"/>
        </w:rPr>
        <w:t>六、招标文件提供信息</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 xml:space="preserve">招标公告发布媒体：“盐城工业职业技术学院招标采购网” </w:t>
      </w:r>
    </w:p>
    <w:p>
      <w:pPr>
        <w:spacing w:line="440" w:lineRule="exact"/>
        <w:ind w:firstLine="480" w:firstLineChars="200"/>
        <w:rPr>
          <w:rFonts w:ascii="宋体" w:hAnsi="宋体" w:cs="宋体"/>
          <w:bCs/>
          <w:color w:val="000000" w:themeColor="text1"/>
          <w:sz w:val="24"/>
        </w:rPr>
      </w:pPr>
      <w:r>
        <w:rPr>
          <w:rFonts w:hint="eastAsia" w:ascii="宋体" w:hAnsi="宋体" w:cs="宋体"/>
          <w:bCs/>
          <w:color w:val="000000" w:themeColor="text1"/>
          <w:sz w:val="24"/>
        </w:rPr>
        <w:t>本招标公告发布后凡具备上述资格要求，并自愿参加本工程投标的申请人于</w:t>
      </w:r>
      <w:r>
        <w:rPr>
          <w:rFonts w:hint="eastAsia" w:ascii="宋体" w:hAnsi="宋体" w:cs="宋体"/>
          <w:bCs/>
          <w:color w:val="000000" w:themeColor="text1"/>
          <w:sz w:val="24"/>
          <w:u w:val="single"/>
        </w:rPr>
        <w:t>2022年</w:t>
      </w:r>
      <w:r>
        <w:rPr>
          <w:rFonts w:hint="eastAsia" w:ascii="宋体" w:hAnsi="宋体" w:cs="宋体"/>
          <w:bCs/>
          <w:color w:val="000000" w:themeColor="text1"/>
          <w:sz w:val="24"/>
          <w:u w:val="single"/>
          <w:lang w:val="en-US" w:eastAsia="zh-CN"/>
        </w:rPr>
        <w:t>9</w:t>
      </w:r>
      <w:r>
        <w:rPr>
          <w:rFonts w:hint="eastAsia" w:ascii="宋体" w:hAnsi="宋体" w:cs="宋体"/>
          <w:bCs/>
          <w:color w:val="000000" w:themeColor="text1"/>
          <w:sz w:val="24"/>
          <w:u w:val="single"/>
        </w:rPr>
        <w:t>月</w:t>
      </w:r>
      <w:r>
        <w:rPr>
          <w:rFonts w:hint="eastAsia" w:ascii="宋体" w:hAnsi="宋体" w:cs="宋体"/>
          <w:bCs/>
          <w:color w:val="000000" w:themeColor="text1"/>
          <w:sz w:val="24"/>
          <w:u w:val="single"/>
          <w:lang w:val="en-US" w:eastAsia="zh-CN"/>
        </w:rPr>
        <w:t>13</w:t>
      </w:r>
      <w:r>
        <w:rPr>
          <w:rFonts w:hint="eastAsia" w:ascii="宋体" w:hAnsi="宋体" w:cs="宋体"/>
          <w:bCs/>
          <w:color w:val="000000" w:themeColor="text1"/>
          <w:sz w:val="24"/>
          <w:u w:val="single"/>
        </w:rPr>
        <w:t>日至2022年</w:t>
      </w:r>
      <w:r>
        <w:rPr>
          <w:rFonts w:hint="eastAsia" w:ascii="宋体" w:hAnsi="宋体" w:cs="宋体"/>
          <w:bCs/>
          <w:color w:val="000000" w:themeColor="text1"/>
          <w:sz w:val="24"/>
          <w:u w:val="single"/>
          <w:lang w:val="en-US" w:eastAsia="zh-CN"/>
        </w:rPr>
        <w:t>9</w:t>
      </w:r>
      <w:r>
        <w:rPr>
          <w:rFonts w:hint="eastAsia" w:ascii="宋体" w:hAnsi="宋体" w:cs="宋体"/>
          <w:bCs/>
          <w:color w:val="000000" w:themeColor="text1"/>
          <w:sz w:val="24"/>
          <w:u w:val="single"/>
        </w:rPr>
        <w:t>月</w:t>
      </w:r>
      <w:r>
        <w:rPr>
          <w:rFonts w:hint="eastAsia" w:ascii="宋体" w:hAnsi="宋体" w:cs="宋体"/>
          <w:bCs/>
          <w:color w:val="000000" w:themeColor="text1"/>
          <w:sz w:val="24"/>
          <w:u w:val="single"/>
          <w:lang w:val="en-US" w:eastAsia="zh-CN"/>
        </w:rPr>
        <w:t>20</w:t>
      </w:r>
      <w:r>
        <w:rPr>
          <w:rFonts w:hint="eastAsia" w:ascii="宋体" w:hAnsi="宋体" w:cs="宋体"/>
          <w:bCs/>
          <w:color w:val="000000" w:themeColor="text1"/>
          <w:sz w:val="24"/>
          <w:u w:val="single"/>
        </w:rPr>
        <w:t>日18：00时</w:t>
      </w:r>
      <w:r>
        <w:rPr>
          <w:rFonts w:hint="eastAsia" w:ascii="宋体" w:hAnsi="宋体" w:cs="宋体"/>
          <w:bCs/>
          <w:color w:val="000000" w:themeColor="text1"/>
          <w:sz w:val="24"/>
        </w:rPr>
        <w:t>前（工作日上午8：30时至12：00时，下午14：30时至18：00时），携带《供应商参与投标确认函》原件（格式后附）、报名人身份证原件及加盖公章的复印件至江苏全盛工程造价事务所有限公司（盐城市华邦国际东厦A区2203室，18751450656）代理部报名并购买招标文件后方可参加投标。逾期报名或未购买招标文件参加投标的，招标人将予以拒绝。招标文件工本费人民币300元，售后不退。</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有关本次招标的事项若存在变动或修改，敬请及时关注“盐城工业职业技术学院招标采购网”发布的信息更正公告。</w:t>
      </w:r>
    </w:p>
    <w:p>
      <w:pPr>
        <w:tabs>
          <w:tab w:val="left" w:pos="900"/>
        </w:tabs>
        <w:spacing w:line="440" w:lineRule="exact"/>
        <w:ind w:firstLine="480" w:firstLineChars="200"/>
        <w:jc w:val="left"/>
        <w:rPr>
          <w:rFonts w:ascii="宋体" w:hAnsi="宋体" w:cs="宋体"/>
          <w:b/>
          <w:bCs/>
          <w:color w:val="000000" w:themeColor="text1"/>
          <w:sz w:val="24"/>
        </w:rPr>
      </w:pPr>
      <w:r>
        <w:rPr>
          <w:rFonts w:hint="eastAsia" w:ascii="宋体" w:hAnsi="宋体" w:cs="宋体"/>
          <w:b/>
          <w:color w:val="000000" w:themeColor="text1"/>
          <w:sz w:val="24"/>
        </w:rPr>
        <w:t>七、</w:t>
      </w:r>
      <w:r>
        <w:rPr>
          <w:rFonts w:hint="eastAsia" w:ascii="宋体" w:hAnsi="宋体" w:cs="宋体"/>
          <w:b/>
          <w:bCs/>
          <w:color w:val="000000" w:themeColor="text1"/>
          <w:sz w:val="24"/>
        </w:rPr>
        <w:t>投标文件接收信息</w:t>
      </w:r>
    </w:p>
    <w:p>
      <w:pPr>
        <w:tabs>
          <w:tab w:val="left" w:pos="900"/>
        </w:tabs>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投标文件接收时间：</w:t>
      </w:r>
      <w:r>
        <w:rPr>
          <w:rFonts w:hint="eastAsia" w:ascii="宋体" w:hAnsi="宋体" w:cs="宋体"/>
          <w:color w:val="000000" w:themeColor="text1"/>
          <w:sz w:val="24"/>
          <w:u w:val="single"/>
        </w:rPr>
        <w:t>2022年</w:t>
      </w:r>
      <w:r>
        <w:rPr>
          <w:rFonts w:hint="eastAsia" w:ascii="宋体" w:hAnsi="宋体" w:cs="宋体"/>
          <w:color w:val="000000" w:themeColor="text1"/>
          <w:sz w:val="24"/>
          <w:u w:val="single"/>
          <w:lang w:val="en-US" w:eastAsia="zh-CN"/>
        </w:rPr>
        <w:t>9</w:t>
      </w:r>
      <w:r>
        <w:rPr>
          <w:rFonts w:hint="eastAsia" w:ascii="宋体" w:hAnsi="宋体" w:cs="宋体"/>
          <w:color w:val="000000" w:themeColor="text1"/>
          <w:sz w:val="24"/>
          <w:u w:val="single"/>
        </w:rPr>
        <w:t>月</w:t>
      </w:r>
      <w:r>
        <w:rPr>
          <w:rFonts w:hint="eastAsia" w:ascii="宋体" w:hAnsi="宋体" w:cs="宋体"/>
          <w:color w:val="000000" w:themeColor="text1"/>
          <w:sz w:val="24"/>
          <w:u w:val="single"/>
          <w:lang w:val="en-US" w:eastAsia="zh-CN"/>
        </w:rPr>
        <w:t>26</w:t>
      </w:r>
      <w:r>
        <w:rPr>
          <w:rFonts w:hint="eastAsia" w:ascii="宋体" w:hAnsi="宋体" w:cs="宋体"/>
          <w:color w:val="000000" w:themeColor="text1"/>
          <w:sz w:val="24"/>
          <w:u w:val="single"/>
        </w:rPr>
        <w:t>日</w:t>
      </w:r>
      <w:r>
        <w:rPr>
          <w:rFonts w:hint="eastAsia" w:ascii="宋体" w:hAnsi="宋体" w:cs="宋体"/>
          <w:color w:val="000000" w:themeColor="text1"/>
          <w:sz w:val="24"/>
          <w:u w:val="single"/>
          <w:lang w:val="en-US" w:eastAsia="zh-CN"/>
        </w:rPr>
        <w:t>15</w:t>
      </w:r>
      <w:r>
        <w:rPr>
          <w:rFonts w:hint="eastAsia" w:ascii="宋体" w:hAnsi="宋体" w:cs="宋体"/>
          <w:color w:val="000000" w:themeColor="text1"/>
          <w:sz w:val="24"/>
          <w:u w:val="single"/>
        </w:rPr>
        <w:t>时</w:t>
      </w:r>
    </w:p>
    <w:p>
      <w:pPr>
        <w:tabs>
          <w:tab w:val="left" w:pos="900"/>
        </w:tabs>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投标文件接收截止时间：</w:t>
      </w:r>
      <w:r>
        <w:rPr>
          <w:rFonts w:hint="eastAsia" w:ascii="宋体" w:hAnsi="宋体" w:cs="宋体"/>
          <w:color w:val="000000" w:themeColor="text1"/>
          <w:sz w:val="24"/>
          <w:u w:val="single"/>
        </w:rPr>
        <w:t>2022年</w:t>
      </w:r>
      <w:r>
        <w:rPr>
          <w:rFonts w:hint="eastAsia" w:ascii="宋体" w:hAnsi="宋体" w:cs="宋体"/>
          <w:color w:val="000000" w:themeColor="text1"/>
          <w:sz w:val="24"/>
          <w:u w:val="single"/>
          <w:lang w:val="en-US" w:eastAsia="zh-CN"/>
        </w:rPr>
        <w:t>9</w:t>
      </w:r>
      <w:r>
        <w:rPr>
          <w:rFonts w:hint="eastAsia" w:ascii="宋体" w:hAnsi="宋体" w:cs="宋体"/>
          <w:color w:val="000000" w:themeColor="text1"/>
          <w:sz w:val="24"/>
          <w:u w:val="single"/>
        </w:rPr>
        <w:t>月</w:t>
      </w:r>
      <w:r>
        <w:rPr>
          <w:rFonts w:hint="eastAsia" w:ascii="宋体" w:hAnsi="宋体" w:cs="宋体"/>
          <w:color w:val="000000" w:themeColor="text1"/>
          <w:sz w:val="24"/>
          <w:u w:val="single"/>
          <w:lang w:val="en-US" w:eastAsia="zh-CN"/>
        </w:rPr>
        <w:t>26</w:t>
      </w:r>
      <w:r>
        <w:rPr>
          <w:rFonts w:hint="eastAsia" w:ascii="宋体" w:hAnsi="宋体" w:cs="宋体"/>
          <w:color w:val="000000" w:themeColor="text1"/>
          <w:sz w:val="24"/>
          <w:u w:val="single"/>
        </w:rPr>
        <w:t>日</w:t>
      </w:r>
      <w:r>
        <w:rPr>
          <w:rFonts w:hint="eastAsia" w:ascii="宋体" w:hAnsi="宋体" w:cs="宋体"/>
          <w:color w:val="000000" w:themeColor="text1"/>
          <w:sz w:val="24"/>
          <w:u w:val="single"/>
          <w:lang w:val="en-US" w:eastAsia="zh-CN"/>
        </w:rPr>
        <w:t>15</w:t>
      </w:r>
      <w:r>
        <w:rPr>
          <w:rFonts w:hint="eastAsia" w:ascii="宋体" w:hAnsi="宋体" w:cs="宋体"/>
          <w:color w:val="000000" w:themeColor="text1"/>
          <w:sz w:val="24"/>
          <w:u w:val="single"/>
        </w:rPr>
        <w:t>时</w:t>
      </w:r>
    </w:p>
    <w:p>
      <w:pPr>
        <w:spacing w:line="440" w:lineRule="exact"/>
        <w:ind w:firstLine="480" w:firstLineChars="200"/>
        <w:rPr>
          <w:rFonts w:ascii="宋体" w:hAnsi="宋体" w:cs="宋体"/>
          <w:bCs/>
          <w:color w:val="000000" w:themeColor="text1"/>
          <w:sz w:val="24"/>
        </w:rPr>
      </w:pPr>
      <w:r>
        <w:rPr>
          <w:rFonts w:hint="eastAsia" w:ascii="宋体" w:hAnsi="宋体" w:cs="宋体"/>
          <w:color w:val="000000" w:themeColor="text1"/>
          <w:sz w:val="24"/>
        </w:rPr>
        <w:t>投标文件接收地点：</w:t>
      </w:r>
      <w:r>
        <w:rPr>
          <w:rStyle w:val="53"/>
          <w:rFonts w:hint="eastAsia" w:ascii="宋体" w:hAnsi="宋体"/>
          <w:color w:val="000000" w:themeColor="text1"/>
          <w:sz w:val="24"/>
        </w:rPr>
        <w:t>盐城工业职业技术学院（盐城市解放南路285号）后勤服务中心四</w:t>
      </w:r>
      <w:r>
        <w:rPr>
          <w:rFonts w:hint="eastAsia" w:ascii="宋体" w:hAnsi="宋体" w:cs="宋体"/>
          <w:bCs/>
          <w:color w:val="000000" w:themeColor="text1"/>
          <w:sz w:val="24"/>
        </w:rPr>
        <w:t>楼402开标室。</w:t>
      </w:r>
    </w:p>
    <w:p>
      <w:pPr>
        <w:spacing w:line="44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八、开标有关信息</w:t>
      </w:r>
    </w:p>
    <w:p>
      <w:pPr>
        <w:spacing w:line="440" w:lineRule="exact"/>
        <w:ind w:firstLine="480" w:firstLineChars="200"/>
        <w:rPr>
          <w:rFonts w:ascii="宋体" w:hAnsi="宋体" w:cs="宋体"/>
          <w:bCs/>
          <w:color w:val="000000" w:themeColor="text1"/>
          <w:sz w:val="24"/>
        </w:rPr>
      </w:pPr>
      <w:r>
        <w:rPr>
          <w:rFonts w:hint="eastAsia" w:ascii="宋体" w:hAnsi="宋体" w:cs="宋体"/>
          <w:bCs/>
          <w:color w:val="000000" w:themeColor="text1"/>
          <w:sz w:val="24"/>
        </w:rPr>
        <w:t>开标时间：2022年</w:t>
      </w:r>
      <w:r>
        <w:rPr>
          <w:rFonts w:hint="eastAsia" w:ascii="宋体" w:hAnsi="宋体" w:cs="宋体"/>
          <w:bCs/>
          <w:color w:val="000000" w:themeColor="text1"/>
          <w:sz w:val="24"/>
          <w:lang w:val="en-US" w:eastAsia="zh-CN"/>
        </w:rPr>
        <w:t>9</w:t>
      </w:r>
      <w:r>
        <w:rPr>
          <w:rFonts w:hint="eastAsia" w:ascii="宋体" w:hAnsi="宋体" w:cs="宋体"/>
          <w:bCs/>
          <w:color w:val="000000" w:themeColor="text1"/>
          <w:sz w:val="24"/>
        </w:rPr>
        <w:t>月</w:t>
      </w:r>
      <w:r>
        <w:rPr>
          <w:rFonts w:hint="eastAsia" w:ascii="宋体" w:hAnsi="宋体" w:cs="宋体"/>
          <w:bCs/>
          <w:color w:val="000000" w:themeColor="text1"/>
          <w:sz w:val="24"/>
          <w:lang w:val="en-US" w:eastAsia="zh-CN"/>
        </w:rPr>
        <w:t>26</w:t>
      </w:r>
      <w:r>
        <w:rPr>
          <w:rFonts w:hint="eastAsia" w:ascii="宋体" w:hAnsi="宋体" w:cs="宋体"/>
          <w:bCs/>
          <w:color w:val="000000" w:themeColor="text1"/>
          <w:sz w:val="24"/>
        </w:rPr>
        <w:t>日</w:t>
      </w:r>
      <w:r>
        <w:rPr>
          <w:rFonts w:hint="eastAsia" w:ascii="宋体" w:hAnsi="宋体" w:cs="宋体"/>
          <w:bCs/>
          <w:color w:val="000000" w:themeColor="text1"/>
          <w:sz w:val="24"/>
          <w:lang w:val="en-US" w:eastAsia="zh-CN"/>
        </w:rPr>
        <w:t>15</w:t>
      </w:r>
      <w:r>
        <w:rPr>
          <w:rFonts w:hint="eastAsia" w:ascii="宋体" w:hAnsi="宋体" w:cs="宋体"/>
          <w:bCs/>
          <w:color w:val="000000" w:themeColor="text1"/>
          <w:sz w:val="24"/>
        </w:rPr>
        <w:t>时</w:t>
      </w:r>
    </w:p>
    <w:p>
      <w:pPr>
        <w:spacing w:line="440" w:lineRule="exact"/>
        <w:ind w:firstLine="480" w:firstLineChars="200"/>
        <w:rPr>
          <w:rFonts w:ascii="宋体" w:hAnsi="宋体" w:cs="宋体"/>
          <w:bCs/>
          <w:color w:val="000000" w:themeColor="text1"/>
          <w:sz w:val="24"/>
        </w:rPr>
      </w:pPr>
      <w:r>
        <w:rPr>
          <w:rFonts w:hint="eastAsia" w:ascii="宋体" w:hAnsi="宋体" w:cs="宋体"/>
          <w:bCs/>
          <w:color w:val="000000" w:themeColor="text1"/>
          <w:sz w:val="24"/>
        </w:rPr>
        <w:t>开标地点：</w:t>
      </w:r>
      <w:r>
        <w:rPr>
          <w:rStyle w:val="53"/>
          <w:rFonts w:hint="eastAsia" w:ascii="宋体" w:hAnsi="宋体"/>
          <w:color w:val="000000" w:themeColor="text1"/>
          <w:sz w:val="24"/>
        </w:rPr>
        <w:t>盐城工业职业技术学院（盐城市解放南路285号）后勤服务中心四</w:t>
      </w:r>
      <w:r>
        <w:rPr>
          <w:rFonts w:hint="eastAsia" w:ascii="宋体" w:hAnsi="宋体" w:cs="宋体"/>
          <w:bCs/>
          <w:color w:val="000000" w:themeColor="text1"/>
          <w:sz w:val="24"/>
        </w:rPr>
        <w:t>楼402开标室。</w:t>
      </w:r>
    </w:p>
    <w:p>
      <w:pPr>
        <w:spacing w:line="44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九、本次招标联系事项</w:t>
      </w:r>
    </w:p>
    <w:p>
      <w:pPr>
        <w:tabs>
          <w:tab w:val="left" w:pos="900"/>
        </w:tabs>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（一）采购人项目联系人：高大伟  周家忠，联系电话：18262393599  13485246528；</w:t>
      </w:r>
    </w:p>
    <w:p>
      <w:pPr>
        <w:tabs>
          <w:tab w:val="left" w:pos="900"/>
        </w:tabs>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采购人招标联系人：赵老师，联系电话：0515-88588707；</w:t>
      </w:r>
    </w:p>
    <w:p>
      <w:pPr>
        <w:tabs>
          <w:tab w:val="left" w:pos="900"/>
        </w:tabs>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地址：盐城工业职业技术学院后勤服务中心四楼405室；</w:t>
      </w:r>
    </w:p>
    <w:p>
      <w:pPr>
        <w:tabs>
          <w:tab w:val="left" w:pos="900"/>
        </w:tabs>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（二）招标代理机构联系人：朱玲娜， 联系电话：18751450656；</w:t>
      </w:r>
    </w:p>
    <w:p>
      <w:pPr>
        <w:tabs>
          <w:tab w:val="left" w:pos="900"/>
        </w:tabs>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 xml:space="preserve">招标代理机构联系地址：盐城市华邦国际东厦A区2203室。 </w:t>
      </w:r>
    </w:p>
    <w:p>
      <w:pPr>
        <w:spacing w:line="440" w:lineRule="exact"/>
        <w:ind w:firstLine="480" w:firstLineChars="200"/>
        <w:jc w:val="left"/>
        <w:rPr>
          <w:rFonts w:ascii="宋体" w:hAnsi="宋体" w:cs="宋体"/>
          <w:b/>
          <w:color w:val="000000" w:themeColor="text1"/>
          <w:sz w:val="24"/>
        </w:rPr>
      </w:pPr>
      <w:r>
        <w:rPr>
          <w:rFonts w:hint="eastAsia" w:ascii="宋体" w:hAnsi="宋体" w:cs="宋体"/>
          <w:b/>
          <w:color w:val="000000" w:themeColor="text1"/>
          <w:sz w:val="24"/>
        </w:rPr>
        <w:t>十、投标文件制作份数要求</w:t>
      </w:r>
    </w:p>
    <w:p>
      <w:pPr>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正本份数：1份，副本份数：4份。</w:t>
      </w:r>
    </w:p>
    <w:p>
      <w:pPr>
        <w:spacing w:line="440" w:lineRule="exact"/>
        <w:ind w:firstLine="480" w:firstLineChars="200"/>
        <w:jc w:val="left"/>
        <w:rPr>
          <w:rFonts w:ascii="宋体" w:hAnsi="宋体" w:cs="宋体"/>
          <w:b/>
          <w:bCs/>
          <w:color w:val="000000" w:themeColor="text1"/>
          <w:sz w:val="24"/>
        </w:rPr>
      </w:pPr>
      <w:r>
        <w:rPr>
          <w:rFonts w:hint="eastAsia" w:ascii="宋体" w:hAnsi="宋体" w:cs="宋体"/>
          <w:b/>
          <w:bCs/>
          <w:color w:val="000000" w:themeColor="text1"/>
          <w:sz w:val="24"/>
        </w:rPr>
        <w:t>十一、本次招标投标保证金</w:t>
      </w:r>
    </w:p>
    <w:p>
      <w:pPr>
        <w:spacing w:line="440" w:lineRule="exact"/>
        <w:ind w:firstLine="480" w:firstLineChars="200"/>
        <w:outlineLvl w:val="1"/>
        <w:rPr>
          <w:rFonts w:ascii="宋体" w:hAnsi="宋体" w:cs="宋体"/>
          <w:color w:val="000000" w:themeColor="text1"/>
          <w:sz w:val="24"/>
        </w:rPr>
      </w:pPr>
      <w:r>
        <w:rPr>
          <w:rFonts w:hint="eastAsia" w:ascii="宋体" w:hAnsi="宋体" w:cs="宋体"/>
          <w:color w:val="000000" w:themeColor="text1"/>
          <w:sz w:val="24"/>
        </w:rPr>
        <w:t>本次招标收取保证金。本工程投标保证金金额为人民币</w:t>
      </w:r>
      <w:r>
        <w:rPr>
          <w:rFonts w:hint="eastAsia" w:ascii="宋体" w:hAnsi="宋体" w:cs="宋体"/>
          <w:color w:val="000000" w:themeColor="text1"/>
          <w:sz w:val="24"/>
          <w:u w:val="single"/>
        </w:rPr>
        <w:t>伍仟元整</w:t>
      </w:r>
      <w:r>
        <w:rPr>
          <w:rFonts w:hint="eastAsia" w:ascii="宋体" w:hAnsi="宋体" w:cs="宋体"/>
          <w:color w:val="000000" w:themeColor="text1"/>
          <w:sz w:val="24"/>
        </w:rPr>
        <w:t>，投标保证金必须在</w:t>
      </w:r>
      <w:r>
        <w:rPr>
          <w:rFonts w:hint="eastAsia" w:ascii="宋体" w:hAnsi="宋体" w:cs="宋体"/>
          <w:bCs/>
          <w:color w:val="000000" w:themeColor="text1"/>
          <w:sz w:val="24"/>
        </w:rPr>
        <w:t>投标文件接收截止时间</w:t>
      </w:r>
      <w:r>
        <w:rPr>
          <w:rFonts w:hint="eastAsia" w:ascii="宋体" w:hAnsi="宋体" w:cs="宋体"/>
          <w:color w:val="000000" w:themeColor="text1"/>
          <w:sz w:val="24"/>
        </w:rPr>
        <w:t>前与投标文件一起送达投标文件接收地点（不要密封在响应文件中）。</w:t>
      </w:r>
    </w:p>
    <w:p>
      <w:pPr>
        <w:spacing w:line="440" w:lineRule="exact"/>
        <w:ind w:firstLine="480" w:firstLineChars="200"/>
        <w:outlineLvl w:val="1"/>
        <w:rPr>
          <w:rFonts w:ascii="宋体" w:hAnsi="宋体" w:cs="宋体"/>
          <w:color w:val="000000" w:themeColor="text1"/>
          <w:sz w:val="24"/>
        </w:rPr>
      </w:pPr>
      <w:r>
        <w:rPr>
          <w:rFonts w:hint="eastAsia" w:ascii="宋体" w:hAnsi="宋体" w:cs="宋体"/>
          <w:b/>
          <w:color w:val="000000" w:themeColor="text1"/>
          <w:kern w:val="0"/>
          <w:sz w:val="24"/>
        </w:rPr>
        <w:t>投标保证金必须采用有效银行本票或银行汇票，不接受电汇、转账、现金、现金交款单、支票或其他形式的保证金。</w:t>
      </w:r>
      <w:r>
        <w:rPr>
          <w:rFonts w:hint="eastAsia" w:ascii="宋体" w:hAnsi="宋体" w:cs="宋体"/>
          <w:color w:val="000000" w:themeColor="text1"/>
          <w:kern w:val="0"/>
          <w:sz w:val="24"/>
        </w:rPr>
        <w:t>各投标人须在</w:t>
      </w:r>
      <w:r>
        <w:rPr>
          <w:rFonts w:hint="eastAsia" w:ascii="宋体" w:hAnsi="宋体" w:cs="宋体"/>
          <w:bCs/>
          <w:color w:val="000000" w:themeColor="text1"/>
          <w:sz w:val="24"/>
        </w:rPr>
        <w:t>投标文件接收截止时间</w:t>
      </w:r>
      <w:r>
        <w:rPr>
          <w:rFonts w:hint="eastAsia" w:ascii="宋体" w:hAnsi="宋体" w:cs="宋体"/>
          <w:color w:val="000000" w:themeColor="text1"/>
          <w:kern w:val="0"/>
          <w:sz w:val="24"/>
        </w:rPr>
        <w:t>前将投标保证金从投标人本单位的基本账户上汇出（不入账），以投标人汇出资金的银行日期为准，且保证金汇出单位必须与投标人名称一致，收款人名称：</w:t>
      </w:r>
      <w:r>
        <w:rPr>
          <w:rFonts w:hint="eastAsia" w:ascii="宋体" w:hAnsi="宋体" w:cs="宋体"/>
          <w:b/>
          <w:bCs/>
          <w:color w:val="000000" w:themeColor="text1"/>
          <w:sz w:val="24"/>
        </w:rPr>
        <w:t>江苏全盛工程造价事务所有限公司，开户行：中国工商银行盐城城南支行，账号：1109660409000012409</w:t>
      </w:r>
      <w:r>
        <w:rPr>
          <w:rFonts w:hint="eastAsia" w:ascii="宋体" w:hAnsi="宋体" w:cs="宋体"/>
          <w:color w:val="000000" w:themeColor="text1"/>
          <w:kern w:val="0"/>
          <w:sz w:val="24"/>
        </w:rPr>
        <w:t>。</w:t>
      </w:r>
      <w:r>
        <w:rPr>
          <w:rFonts w:hint="eastAsia" w:ascii="宋体" w:hAnsi="宋体" w:cs="宋体"/>
          <w:bCs/>
          <w:color w:val="000000" w:themeColor="text1"/>
          <w:sz w:val="24"/>
        </w:rPr>
        <w:t>投标文件接收截止时间前</w:t>
      </w:r>
      <w:r>
        <w:rPr>
          <w:rFonts w:hint="eastAsia" w:ascii="宋体" w:hAnsi="宋体" w:cs="宋体"/>
          <w:color w:val="000000" w:themeColor="text1"/>
          <w:kern w:val="0"/>
          <w:sz w:val="24"/>
        </w:rPr>
        <w:t>，各投标人将有效银行本票原件或银行汇票原件带至开标现场交工作人员核验，未按上述要求交纳投标保证金的，</w:t>
      </w:r>
      <w:r>
        <w:rPr>
          <w:rFonts w:hint="eastAsia" w:ascii="宋体" w:hAnsi="宋体" w:cs="宋体"/>
          <w:color w:val="000000" w:themeColor="text1"/>
          <w:sz w:val="24"/>
        </w:rPr>
        <w:t>将被视为非响应性投标而予以拒绝。</w:t>
      </w:r>
    </w:p>
    <w:p>
      <w:pPr>
        <w:spacing w:line="440" w:lineRule="exact"/>
        <w:ind w:firstLine="480" w:firstLineChars="200"/>
        <w:outlineLvl w:val="1"/>
        <w:rPr>
          <w:rFonts w:ascii="宋体" w:hAnsi="宋体" w:cs="宋体"/>
          <w:color w:val="000000" w:themeColor="text1"/>
          <w:sz w:val="24"/>
        </w:rPr>
      </w:pPr>
      <w:r>
        <w:rPr>
          <w:rFonts w:hint="eastAsia" w:ascii="宋体" w:hAnsi="宋体" w:cs="宋体"/>
          <w:color w:val="000000" w:themeColor="text1"/>
          <w:sz w:val="24"/>
        </w:rPr>
        <w:t>投标保证金退还方式：未中标人的投标保证金现场退还，中标人的投标保证金在签订合同并交纳招标代理服务费后，凭合同原件及交费凭证至招标代理机构财务部退还。</w:t>
      </w:r>
    </w:p>
    <w:p>
      <w:pPr>
        <w:spacing w:line="440" w:lineRule="exact"/>
        <w:ind w:firstLine="480" w:firstLineChars="200"/>
        <w:outlineLvl w:val="1"/>
        <w:rPr>
          <w:rFonts w:ascii="宋体" w:hAnsi="宋体" w:cs="宋体"/>
          <w:b/>
          <w:bCs/>
          <w:color w:val="000000" w:themeColor="text1"/>
          <w:sz w:val="24"/>
        </w:rPr>
      </w:pPr>
      <w:r>
        <w:rPr>
          <w:rFonts w:hint="eastAsia" w:ascii="宋体" w:hAnsi="宋体" w:cs="宋体"/>
          <w:b/>
          <w:bCs/>
          <w:color w:val="000000" w:themeColor="text1"/>
          <w:sz w:val="24"/>
        </w:rPr>
        <w:t>十二、疫情防控期间投标人注意事项</w:t>
      </w:r>
    </w:p>
    <w:p>
      <w:pPr>
        <w:spacing w:line="440" w:lineRule="exact"/>
        <w:ind w:firstLine="480" w:firstLineChars="200"/>
        <w:outlineLvl w:val="1"/>
        <w:rPr>
          <w:rFonts w:ascii="宋体" w:hAnsi="宋体" w:cs="宋体"/>
          <w:color w:val="000000" w:themeColor="text1"/>
          <w:sz w:val="24"/>
        </w:rPr>
      </w:pPr>
      <w:r>
        <w:rPr>
          <w:rFonts w:hint="eastAsia" w:ascii="宋体" w:hAnsi="宋体" w:cs="宋体"/>
          <w:color w:val="000000" w:themeColor="text1"/>
          <w:sz w:val="24"/>
        </w:rPr>
        <w:t>因疫情防控需要，为确保校园安全，投标人须持有48小时内核酸检测阴性证明进入盐城工业职业技术学院校区，并应服从下列疫情防控措施：</w:t>
      </w:r>
    </w:p>
    <w:p>
      <w:pPr>
        <w:spacing w:line="440" w:lineRule="exact"/>
        <w:ind w:firstLine="480" w:firstLineChars="200"/>
        <w:outlineLvl w:val="1"/>
        <w:rPr>
          <w:rFonts w:ascii="宋体" w:hAnsi="宋体" w:cs="宋体"/>
          <w:color w:val="000000" w:themeColor="text1"/>
          <w:sz w:val="24"/>
        </w:rPr>
      </w:pPr>
      <w:r>
        <w:rPr>
          <w:rFonts w:hint="eastAsia" w:ascii="宋体" w:hAnsi="宋体" w:cs="宋体"/>
          <w:color w:val="000000" w:themeColor="text1"/>
          <w:sz w:val="24"/>
        </w:rPr>
        <w:t>（1）投标前</w:t>
      </w:r>
      <w:r>
        <w:rPr>
          <w:rFonts w:hint="eastAsia" w:ascii="宋体" w:hAnsi="宋体" w:cs="宋体"/>
          <w:color w:val="000000" w:themeColor="text1"/>
          <w:sz w:val="24"/>
          <w:lang w:val="en-US" w:eastAsia="zh-CN"/>
        </w:rPr>
        <w:t>10</w:t>
      </w:r>
      <w:r>
        <w:rPr>
          <w:rFonts w:hint="eastAsia" w:ascii="宋体" w:hAnsi="宋体" w:cs="宋体"/>
          <w:color w:val="000000" w:themeColor="text1"/>
          <w:sz w:val="24"/>
        </w:rPr>
        <w:t>天内与确诊/疑似病例或无症状感染者有密切接触的人员，以及与密切接触者接触的次密切接触者，一律不得进校。</w:t>
      </w:r>
    </w:p>
    <w:p>
      <w:pPr>
        <w:spacing w:line="440" w:lineRule="exact"/>
        <w:ind w:firstLine="480" w:firstLineChars="200"/>
        <w:outlineLvl w:val="1"/>
        <w:rPr>
          <w:rFonts w:ascii="宋体" w:hAnsi="宋体" w:cs="宋体"/>
          <w:color w:val="000000" w:themeColor="text1"/>
          <w:sz w:val="24"/>
        </w:rPr>
      </w:pPr>
      <w:r>
        <w:rPr>
          <w:rFonts w:hint="eastAsia" w:ascii="宋体" w:hAnsi="宋体" w:cs="宋体"/>
          <w:color w:val="000000" w:themeColor="text1"/>
          <w:sz w:val="24"/>
        </w:rPr>
        <w:t>（2）投标前</w:t>
      </w:r>
      <w:r>
        <w:rPr>
          <w:rFonts w:hint="eastAsia" w:ascii="宋体" w:hAnsi="宋体" w:cs="宋体"/>
          <w:color w:val="000000" w:themeColor="text1"/>
          <w:sz w:val="24"/>
          <w:lang w:val="en-US" w:eastAsia="zh-CN"/>
        </w:rPr>
        <w:t>10</w:t>
      </w:r>
      <w:r>
        <w:rPr>
          <w:rFonts w:hint="eastAsia" w:ascii="宋体" w:hAnsi="宋体" w:cs="宋体"/>
          <w:color w:val="000000" w:themeColor="text1"/>
          <w:sz w:val="24"/>
        </w:rPr>
        <w:t>天内接触过境外归国人员（未解除隔离的），按次密切接触者处置，一律不得进校。</w:t>
      </w:r>
    </w:p>
    <w:p>
      <w:pPr>
        <w:spacing w:line="440" w:lineRule="exact"/>
        <w:ind w:firstLine="480" w:firstLineChars="200"/>
        <w:outlineLvl w:val="1"/>
        <w:rPr>
          <w:rFonts w:ascii="宋体" w:hAnsi="宋体" w:cs="宋体"/>
          <w:color w:val="000000" w:themeColor="text1"/>
          <w:sz w:val="24"/>
        </w:rPr>
      </w:pPr>
      <w:r>
        <w:rPr>
          <w:rFonts w:hint="eastAsia" w:ascii="宋体" w:hAnsi="宋体" w:cs="宋体"/>
          <w:color w:val="000000" w:themeColor="text1"/>
          <w:sz w:val="24"/>
        </w:rPr>
        <w:t>（3）投标前7天内有疫情中高风险地区（以开标前一日权威发布的疫情风险等级区域划分为依据）旅居史的人员，一律不得进校。</w:t>
      </w:r>
    </w:p>
    <w:p>
      <w:pPr>
        <w:spacing w:line="440" w:lineRule="exact"/>
        <w:ind w:firstLine="480" w:firstLineChars="200"/>
        <w:outlineLvl w:val="1"/>
        <w:rPr>
          <w:rFonts w:ascii="宋体" w:hAnsi="宋体" w:cs="宋体"/>
          <w:color w:val="000000" w:themeColor="text1"/>
          <w:sz w:val="24"/>
        </w:rPr>
      </w:pPr>
      <w:r>
        <w:rPr>
          <w:rFonts w:hint="eastAsia" w:ascii="宋体" w:hAnsi="宋体" w:cs="宋体"/>
          <w:color w:val="000000" w:themeColor="text1"/>
          <w:sz w:val="24"/>
        </w:rPr>
        <w:t>（4）投标前7天内有中高风险地区所在设区市的其他低风险地区旅居史的人员，须持有48小时内核酸检测阴性证明，或者能够出示包括48小时内核酸检测阴性证明的健康码。如投标前教育行政部门和盐城市疫情防控部门有具体防疫要求，则按最新要求执行，请投标人及时关注相关信息。</w:t>
      </w:r>
    </w:p>
    <w:p>
      <w:pPr>
        <w:spacing w:line="440" w:lineRule="exact"/>
        <w:ind w:firstLine="480" w:firstLineChars="200"/>
        <w:outlineLvl w:val="1"/>
        <w:rPr>
          <w:rFonts w:ascii="宋体" w:hAnsi="宋体" w:cs="宋体"/>
          <w:color w:val="000000" w:themeColor="text1"/>
          <w:sz w:val="24"/>
        </w:rPr>
      </w:pPr>
      <w:r>
        <w:rPr>
          <w:rFonts w:hint="eastAsia" w:ascii="宋体" w:hAnsi="宋体" w:cs="宋体"/>
          <w:color w:val="000000" w:themeColor="text1"/>
          <w:sz w:val="24"/>
        </w:rPr>
        <w:t>（5）投标前7天内出现发热或呼吸道症状的人员，经当地医院就诊治疗，排除新冠病毒感染并在身体康复后，须持有48小时内核酸检测阴性证明，或者能够出示包括48小时内核酸检测阴性证明的健康码。</w:t>
      </w:r>
    </w:p>
    <w:p>
      <w:pPr>
        <w:spacing w:line="440" w:lineRule="exact"/>
        <w:ind w:firstLine="480" w:firstLineChars="200"/>
        <w:outlineLvl w:val="1"/>
        <w:rPr>
          <w:rFonts w:ascii="宋体" w:hAnsi="宋体" w:cs="宋体"/>
          <w:color w:val="000000" w:themeColor="text1"/>
          <w:sz w:val="24"/>
        </w:rPr>
      </w:pPr>
      <w:r>
        <w:rPr>
          <w:rFonts w:hint="eastAsia" w:ascii="宋体" w:hAnsi="宋体" w:cs="宋体"/>
          <w:color w:val="000000" w:themeColor="text1"/>
          <w:sz w:val="24"/>
        </w:rPr>
        <w:t>（6）投标人进入校园前，须在学校东门外相关工作人员处进行信息实名登记，主动出示有效“健康码”（非绿色健康码拒绝进入校园）和“行程码”，并接受体温测量（如体温≥37.3度一律不得进校园），符合要求方可进入。</w:t>
      </w:r>
    </w:p>
    <w:p>
      <w:pPr>
        <w:spacing w:line="440" w:lineRule="exact"/>
        <w:ind w:firstLine="480" w:firstLineChars="200"/>
        <w:outlineLvl w:val="1"/>
        <w:rPr>
          <w:rFonts w:ascii="宋体" w:hAnsi="宋体" w:cs="宋体"/>
          <w:color w:val="000000" w:themeColor="text1"/>
          <w:sz w:val="24"/>
        </w:rPr>
      </w:pPr>
      <w:r>
        <w:rPr>
          <w:rFonts w:hint="eastAsia" w:ascii="宋体" w:hAnsi="宋体" w:cs="宋体"/>
          <w:color w:val="000000" w:themeColor="text1"/>
          <w:sz w:val="24"/>
        </w:rPr>
        <w:t>（7）投标人从东门进出，车辆一律不得进入校园（如确因提供样品需要，经同意后可进校园，服从管理，在指定位置停放）。</w:t>
      </w:r>
    </w:p>
    <w:p>
      <w:pPr>
        <w:spacing w:line="440" w:lineRule="exact"/>
        <w:ind w:firstLine="480" w:firstLineChars="200"/>
        <w:outlineLvl w:val="1"/>
        <w:rPr>
          <w:rFonts w:ascii="宋体" w:hAnsi="宋体" w:cs="宋体"/>
          <w:color w:val="000000" w:themeColor="text1"/>
          <w:sz w:val="24"/>
        </w:rPr>
      </w:pPr>
      <w:r>
        <w:rPr>
          <w:rFonts w:hint="eastAsia" w:ascii="宋体" w:hAnsi="宋体" w:cs="宋体"/>
          <w:color w:val="000000" w:themeColor="text1"/>
          <w:sz w:val="24"/>
        </w:rPr>
        <w:t>（8）各投标项目授权代表限1人进入校园，项目授权代表进入校园时须全程配戴口罩，做好手部消毒及投标文件等消毒防护工作。</w:t>
      </w:r>
    </w:p>
    <w:p>
      <w:pPr>
        <w:spacing w:line="440" w:lineRule="exact"/>
        <w:ind w:firstLine="480" w:firstLineChars="200"/>
        <w:outlineLvl w:val="1"/>
        <w:rPr>
          <w:rFonts w:ascii="宋体" w:hAnsi="宋体" w:cs="宋体"/>
          <w:color w:val="000000" w:themeColor="text1"/>
          <w:sz w:val="24"/>
        </w:rPr>
      </w:pPr>
      <w:r>
        <w:rPr>
          <w:rFonts w:hint="eastAsia" w:ascii="宋体" w:hAnsi="宋体" w:cs="宋体"/>
          <w:color w:val="000000" w:themeColor="text1"/>
          <w:sz w:val="24"/>
        </w:rPr>
        <w:t>（9）投标人进入校园须由校方人员引领，直接到后勤服务楼402开标室递交投标材料并在原地等候，不得到非相关场所活动；投标工作结束后由校方人员引领立即离开校园，不逗留。各投标人预留好相应时间，配合做好上述管控措施</w:t>
      </w:r>
    </w:p>
    <w:p>
      <w:pPr>
        <w:spacing w:line="440" w:lineRule="exact"/>
        <w:ind w:firstLine="480" w:firstLineChars="200"/>
        <w:outlineLvl w:val="1"/>
        <w:rPr>
          <w:rFonts w:ascii="宋体" w:hAnsi="宋体" w:cs="宋体"/>
          <w:color w:val="000000" w:themeColor="text1"/>
          <w:sz w:val="24"/>
        </w:rPr>
      </w:pPr>
      <w:r>
        <w:rPr>
          <w:rFonts w:hint="eastAsia" w:ascii="宋体" w:hAnsi="宋体" w:cs="宋体"/>
          <w:color w:val="000000" w:themeColor="text1"/>
          <w:sz w:val="24"/>
        </w:rPr>
        <w:t>（10）投标人未如实报告个人信息，承担相应责任和法律后果，引发问题学校可取消其中标资格。</w:t>
      </w:r>
    </w:p>
    <w:p>
      <w:pPr>
        <w:spacing w:line="440" w:lineRule="exact"/>
        <w:ind w:firstLine="480" w:firstLineChars="200"/>
        <w:outlineLvl w:val="1"/>
        <w:rPr>
          <w:rFonts w:ascii="宋体" w:hAnsi="宋体" w:cs="宋体"/>
          <w:color w:val="000000" w:themeColor="text1"/>
          <w:sz w:val="24"/>
        </w:rPr>
      </w:pPr>
      <w:r>
        <w:rPr>
          <w:rFonts w:hint="eastAsia" w:ascii="宋体" w:hAnsi="宋体" w:cs="宋体"/>
          <w:color w:val="000000" w:themeColor="text1"/>
          <w:sz w:val="24"/>
        </w:rPr>
        <w:t xml:space="preserve">    请各投标人预留好相应时间，配合做好上述管控措施。</w:t>
      </w:r>
    </w:p>
    <w:p>
      <w:pPr>
        <w:spacing w:line="440" w:lineRule="exact"/>
        <w:ind w:firstLine="480" w:firstLineChars="200"/>
        <w:outlineLvl w:val="1"/>
        <w:rPr>
          <w:rFonts w:ascii="宋体" w:hAnsi="宋体" w:cs="宋体"/>
          <w:color w:val="000000" w:themeColor="text1"/>
          <w:kern w:val="0"/>
          <w:sz w:val="24"/>
        </w:rPr>
      </w:pPr>
    </w:p>
    <w:p>
      <w:pPr>
        <w:spacing w:line="440" w:lineRule="exact"/>
        <w:ind w:firstLine="5760" w:firstLineChars="2400"/>
        <w:outlineLvl w:val="1"/>
        <w:rPr>
          <w:rFonts w:ascii="宋体" w:hAnsi="宋体" w:cs="宋体"/>
          <w:color w:val="000000" w:themeColor="text1"/>
          <w:kern w:val="0"/>
          <w:sz w:val="24"/>
        </w:rPr>
      </w:pPr>
      <w:r>
        <w:rPr>
          <w:rFonts w:hint="eastAsia" w:ascii="宋体" w:hAnsi="宋体" w:cs="宋体"/>
          <w:color w:val="000000" w:themeColor="text1"/>
          <w:kern w:val="0"/>
          <w:sz w:val="24"/>
        </w:rPr>
        <w:t>盐城工业职业技术学院</w:t>
      </w:r>
    </w:p>
    <w:p>
      <w:pPr>
        <w:spacing w:line="440" w:lineRule="exact"/>
        <w:ind w:firstLine="4800" w:firstLineChars="2000"/>
        <w:outlineLvl w:val="1"/>
        <w:rPr>
          <w:rFonts w:ascii="宋体" w:hAnsi="宋体" w:cs="宋体"/>
          <w:color w:val="000000" w:themeColor="text1"/>
          <w:kern w:val="0"/>
          <w:sz w:val="24"/>
        </w:rPr>
      </w:pPr>
      <w:r>
        <w:rPr>
          <w:rFonts w:hint="eastAsia" w:ascii="宋体" w:hAnsi="宋体" w:cs="宋体"/>
          <w:color w:val="000000" w:themeColor="text1"/>
          <w:kern w:val="0"/>
          <w:sz w:val="24"/>
        </w:rPr>
        <w:t>江苏全盛工程造价事务所有限公司</w:t>
      </w:r>
    </w:p>
    <w:p>
      <w:pPr>
        <w:spacing w:line="440" w:lineRule="exact"/>
        <w:ind w:firstLine="5760" w:firstLineChars="2400"/>
        <w:outlineLvl w:val="1"/>
        <w:rPr>
          <w:rFonts w:hint="eastAsia" w:ascii="宋体" w:hAnsi="宋体" w:cs="宋体"/>
          <w:color w:val="000000" w:themeColor="text1"/>
          <w:kern w:val="0"/>
          <w:sz w:val="24"/>
        </w:rPr>
      </w:pPr>
      <w:r>
        <w:rPr>
          <w:rFonts w:hint="eastAsia" w:ascii="宋体" w:hAnsi="宋体" w:cs="宋体"/>
          <w:color w:val="000000" w:themeColor="text1"/>
          <w:kern w:val="0"/>
          <w:sz w:val="24"/>
        </w:rPr>
        <w:t>2022年</w:t>
      </w:r>
      <w:r>
        <w:rPr>
          <w:rFonts w:hint="eastAsia" w:ascii="宋体" w:hAnsi="宋体" w:cs="宋体"/>
          <w:color w:val="000000" w:themeColor="text1"/>
          <w:kern w:val="0"/>
          <w:sz w:val="24"/>
          <w:lang w:val="en-US" w:eastAsia="zh-CN"/>
        </w:rPr>
        <w:t>9</w:t>
      </w:r>
      <w:r>
        <w:rPr>
          <w:rFonts w:hint="eastAsia" w:ascii="宋体" w:hAnsi="宋体" w:cs="宋体"/>
          <w:color w:val="000000" w:themeColor="text1"/>
          <w:kern w:val="0"/>
          <w:sz w:val="24"/>
        </w:rPr>
        <w:t>月</w:t>
      </w:r>
      <w:r>
        <w:rPr>
          <w:rFonts w:hint="eastAsia" w:ascii="宋体" w:hAnsi="宋体" w:cs="宋体"/>
          <w:color w:val="000000" w:themeColor="text1"/>
          <w:kern w:val="0"/>
          <w:sz w:val="24"/>
          <w:lang w:val="en-US" w:eastAsia="zh-CN"/>
        </w:rPr>
        <w:t>13</w:t>
      </w:r>
      <w:r>
        <w:rPr>
          <w:rFonts w:hint="eastAsia" w:ascii="宋体" w:hAnsi="宋体" w:cs="宋体"/>
          <w:color w:val="000000" w:themeColor="text1"/>
          <w:kern w:val="0"/>
          <w:sz w:val="24"/>
        </w:rPr>
        <w:t>日</w:t>
      </w:r>
    </w:p>
    <w:p>
      <w:pPr>
        <w:widowControl/>
        <w:jc w:val="center"/>
        <w:rPr>
          <w:rFonts w:ascii="宋体" w:hAnsi="宋体" w:cs="宋体"/>
          <w:b/>
          <w:color w:val="000000" w:themeColor="text1"/>
          <w:sz w:val="44"/>
          <w:szCs w:val="44"/>
        </w:rPr>
      </w:pPr>
      <w:r>
        <w:rPr>
          <w:rFonts w:hint="eastAsia" w:ascii="宋体" w:hAnsi="宋体" w:cs="宋体"/>
          <w:b/>
          <w:color w:val="000000" w:themeColor="text1"/>
          <w:sz w:val="44"/>
          <w:szCs w:val="44"/>
        </w:rPr>
        <w:br w:type="page"/>
      </w:r>
      <w:r>
        <w:rPr>
          <w:rFonts w:hint="eastAsia" w:ascii="宋体" w:hAnsi="宋体" w:cs="宋体"/>
          <w:b/>
          <w:color w:val="000000" w:themeColor="text1"/>
          <w:sz w:val="44"/>
          <w:szCs w:val="44"/>
        </w:rPr>
        <w:t>投标人参与投标确认函</w:t>
      </w:r>
    </w:p>
    <w:p>
      <w:pPr>
        <w:jc w:val="left"/>
        <w:rPr>
          <w:rFonts w:ascii="宋体" w:hAnsi="宋体" w:cs="宋体"/>
          <w:color w:val="000000" w:themeColor="text1"/>
          <w:sz w:val="32"/>
          <w:szCs w:val="32"/>
        </w:rPr>
      </w:pPr>
    </w:p>
    <w:p>
      <w:pPr>
        <w:jc w:val="left"/>
        <w:rPr>
          <w:rFonts w:ascii="宋体" w:hAnsi="宋体" w:cs="宋体"/>
          <w:color w:val="000000" w:themeColor="text1"/>
          <w:sz w:val="32"/>
          <w:szCs w:val="32"/>
        </w:rPr>
      </w:pPr>
      <w:r>
        <w:rPr>
          <w:rFonts w:hint="eastAsia" w:ascii="宋体" w:hAnsi="宋体" w:cs="宋体"/>
          <w:color w:val="000000" w:themeColor="text1"/>
          <w:sz w:val="32"/>
          <w:szCs w:val="32"/>
        </w:rPr>
        <w:t>盐城工业职业技术学院</w:t>
      </w:r>
    </w:p>
    <w:p>
      <w:pPr>
        <w:jc w:val="left"/>
        <w:rPr>
          <w:rFonts w:ascii="宋体" w:hAnsi="宋体" w:cs="宋体"/>
          <w:color w:val="000000" w:themeColor="text1"/>
          <w:sz w:val="32"/>
          <w:szCs w:val="32"/>
        </w:rPr>
      </w:pPr>
      <w:r>
        <w:rPr>
          <w:rFonts w:hint="eastAsia" w:ascii="宋体" w:hAnsi="宋体" w:cs="宋体"/>
          <w:color w:val="000000" w:themeColor="text1"/>
          <w:sz w:val="32"/>
          <w:szCs w:val="32"/>
        </w:rPr>
        <w:t>江苏全盛工程造价事务所有限公司：</w:t>
      </w:r>
    </w:p>
    <w:p>
      <w:pPr>
        <w:rPr>
          <w:rFonts w:ascii="宋体" w:hAnsi="宋体" w:cs="宋体"/>
          <w:color w:val="000000" w:themeColor="text1"/>
          <w:sz w:val="32"/>
          <w:szCs w:val="32"/>
        </w:rPr>
      </w:pPr>
      <w:r>
        <w:rPr>
          <w:rFonts w:hint="eastAsia" w:ascii="宋体" w:hAnsi="宋体" w:cs="宋体"/>
          <w:color w:val="000000" w:themeColor="text1"/>
          <w:sz w:val="32"/>
          <w:szCs w:val="32"/>
        </w:rPr>
        <w:t>　　</w:t>
      </w:r>
    </w:p>
    <w:p>
      <w:pPr>
        <w:ind w:firstLine="640" w:firstLineChars="200"/>
        <w:rPr>
          <w:rFonts w:ascii="宋体" w:hAnsi="宋体" w:cs="宋体"/>
          <w:color w:val="000000" w:themeColor="text1"/>
          <w:sz w:val="32"/>
          <w:szCs w:val="32"/>
        </w:rPr>
      </w:pPr>
      <w:r>
        <w:rPr>
          <w:rFonts w:hint="eastAsia" w:ascii="宋体" w:hAnsi="宋体" w:cs="宋体"/>
          <w:color w:val="000000" w:themeColor="text1"/>
          <w:sz w:val="32"/>
          <w:szCs w:val="32"/>
        </w:rPr>
        <w:t>根据网站上查询到的招标公告，本单位将参与</w:t>
      </w:r>
      <w:r>
        <w:rPr>
          <w:rFonts w:hint="eastAsia" w:ascii="宋体" w:hAnsi="宋体" w:cs="宋体"/>
          <w:color w:val="000000" w:themeColor="text1"/>
          <w:sz w:val="32"/>
          <w:szCs w:val="32"/>
          <w:u w:val="single"/>
        </w:rPr>
        <w:t>2022-0</w:t>
      </w:r>
      <w:r>
        <w:rPr>
          <w:rFonts w:hint="eastAsia" w:ascii="宋体" w:hAnsi="宋体" w:cs="宋体"/>
          <w:color w:val="000000" w:themeColor="text1"/>
          <w:sz w:val="32"/>
          <w:szCs w:val="32"/>
          <w:u w:val="single"/>
          <w:lang w:val="en-US" w:eastAsia="zh-CN"/>
        </w:rPr>
        <w:t>34</w:t>
      </w:r>
      <w:r>
        <w:rPr>
          <w:rFonts w:hint="eastAsia" w:ascii="宋体" w:hAnsi="宋体" w:cs="宋体"/>
          <w:color w:val="000000" w:themeColor="text1"/>
          <w:sz w:val="32"/>
          <w:szCs w:val="32"/>
          <w:u w:val="single"/>
        </w:rPr>
        <w:t>Q</w:t>
      </w:r>
      <w:r>
        <w:rPr>
          <w:rFonts w:hint="eastAsia" w:ascii="宋体" w:hAnsi="宋体" w:cs="宋体"/>
          <w:color w:val="000000" w:themeColor="text1"/>
          <w:sz w:val="32"/>
          <w:szCs w:val="32"/>
        </w:rPr>
        <w:t>编号</w:t>
      </w:r>
      <w:r>
        <w:rPr>
          <w:rFonts w:hint="eastAsia" w:ascii="宋体" w:hAnsi="宋体" w:cs="宋体"/>
          <w:color w:val="000000" w:themeColor="text1"/>
          <w:sz w:val="32"/>
          <w:szCs w:val="32"/>
          <w:u w:val="single"/>
        </w:rPr>
        <w:t>盐城工业职业技术学院药品与健康管理学院药物制剂仿真一体实训室改造工程</w:t>
      </w:r>
      <w:r>
        <w:rPr>
          <w:rFonts w:hint="eastAsia" w:ascii="宋体" w:hAnsi="宋体" w:cs="宋体"/>
          <w:color w:val="000000" w:themeColor="text1"/>
          <w:sz w:val="32"/>
          <w:szCs w:val="32"/>
        </w:rPr>
        <w:t>的投标，特发函确认并到招标代理机构购买招标文件。</w:t>
      </w:r>
    </w:p>
    <w:p>
      <w:pPr>
        <w:rPr>
          <w:rFonts w:ascii="宋体" w:hAnsi="宋体" w:cs="宋体"/>
          <w:color w:val="000000" w:themeColor="text1"/>
          <w:sz w:val="32"/>
          <w:szCs w:val="32"/>
          <w:u w:val="single"/>
        </w:rPr>
      </w:pPr>
      <w:r>
        <w:rPr>
          <w:rFonts w:hint="eastAsia" w:ascii="宋体" w:hAnsi="宋体" w:cs="宋体"/>
          <w:color w:val="000000" w:themeColor="text1"/>
          <w:sz w:val="32"/>
          <w:szCs w:val="32"/>
        </w:rPr>
        <w:t>　　单位名称：</w:t>
      </w:r>
    </w:p>
    <w:p>
      <w:pPr>
        <w:rPr>
          <w:rFonts w:ascii="宋体" w:hAnsi="宋体" w:cs="宋体"/>
          <w:color w:val="000000" w:themeColor="text1"/>
          <w:sz w:val="32"/>
          <w:szCs w:val="32"/>
        </w:rPr>
      </w:pPr>
      <w:r>
        <w:rPr>
          <w:rFonts w:hint="eastAsia" w:ascii="宋体" w:hAnsi="宋体" w:cs="宋体"/>
          <w:color w:val="000000" w:themeColor="text1"/>
          <w:sz w:val="32"/>
          <w:szCs w:val="32"/>
        </w:rPr>
        <w:t>　　项目负责人：</w:t>
      </w:r>
    </w:p>
    <w:p>
      <w:pPr>
        <w:ind w:firstLine="640" w:firstLineChars="200"/>
        <w:rPr>
          <w:rFonts w:ascii="宋体" w:hAnsi="宋体" w:cs="宋体"/>
          <w:color w:val="000000" w:themeColor="text1"/>
          <w:sz w:val="32"/>
          <w:szCs w:val="32"/>
        </w:rPr>
      </w:pPr>
      <w:r>
        <w:rPr>
          <w:rFonts w:hint="eastAsia" w:ascii="宋体" w:hAnsi="宋体" w:cs="宋体"/>
          <w:color w:val="000000" w:themeColor="text1"/>
          <w:sz w:val="32"/>
          <w:szCs w:val="32"/>
        </w:rPr>
        <w:t>联系电话：</w:t>
      </w:r>
    </w:p>
    <w:p>
      <w:pPr>
        <w:rPr>
          <w:rFonts w:ascii="宋体" w:hAnsi="宋体" w:cs="宋体"/>
          <w:color w:val="000000" w:themeColor="text1"/>
          <w:sz w:val="32"/>
          <w:szCs w:val="32"/>
        </w:rPr>
      </w:pPr>
      <w:r>
        <w:rPr>
          <w:rFonts w:hint="eastAsia" w:ascii="宋体" w:hAnsi="宋体" w:cs="宋体"/>
          <w:color w:val="000000" w:themeColor="text1"/>
          <w:sz w:val="32"/>
          <w:szCs w:val="32"/>
        </w:rPr>
        <w:t>　　法人授权代表（投标代表）：＿＿＿＿＿</w:t>
      </w:r>
    </w:p>
    <w:p>
      <w:pPr>
        <w:ind w:firstLine="645"/>
        <w:rPr>
          <w:rFonts w:ascii="宋体" w:hAnsi="宋体" w:cs="宋体"/>
          <w:color w:val="000000" w:themeColor="text1"/>
          <w:sz w:val="32"/>
          <w:szCs w:val="32"/>
        </w:rPr>
      </w:pPr>
      <w:r>
        <w:rPr>
          <w:rFonts w:hint="eastAsia" w:ascii="宋体" w:hAnsi="宋体" w:cs="宋体"/>
          <w:color w:val="000000" w:themeColor="text1"/>
          <w:sz w:val="32"/>
          <w:szCs w:val="32"/>
        </w:rPr>
        <w:t>联系电话：</w:t>
      </w:r>
    </w:p>
    <w:p>
      <w:pPr>
        <w:ind w:firstLine="645"/>
        <w:rPr>
          <w:rFonts w:ascii="宋体" w:hAnsi="宋体" w:cs="宋体"/>
          <w:color w:val="000000" w:themeColor="text1"/>
          <w:sz w:val="32"/>
          <w:szCs w:val="32"/>
        </w:rPr>
      </w:pPr>
      <w:r>
        <w:rPr>
          <w:rFonts w:hint="eastAsia" w:ascii="宋体" w:hAnsi="宋体" w:cs="宋体"/>
          <w:color w:val="000000" w:themeColor="text1"/>
          <w:sz w:val="32"/>
          <w:szCs w:val="32"/>
        </w:rPr>
        <w:t>传真：</w:t>
      </w:r>
    </w:p>
    <w:p>
      <w:pPr>
        <w:ind w:firstLine="645"/>
        <w:rPr>
          <w:rFonts w:ascii="宋体" w:hAnsi="宋体" w:cs="宋体"/>
          <w:color w:val="000000" w:themeColor="text1"/>
          <w:sz w:val="32"/>
          <w:szCs w:val="32"/>
        </w:rPr>
      </w:pPr>
      <w:r>
        <w:rPr>
          <w:rFonts w:hint="eastAsia" w:ascii="宋体" w:hAnsi="宋体" w:cs="宋体"/>
          <w:color w:val="000000" w:themeColor="text1"/>
          <w:sz w:val="32"/>
          <w:szCs w:val="32"/>
        </w:rPr>
        <w:t>邮箱：</w:t>
      </w:r>
    </w:p>
    <w:p>
      <w:pPr>
        <w:ind w:left="4160" w:hanging="4160" w:hangingChars="1300"/>
        <w:rPr>
          <w:rFonts w:ascii="宋体" w:hAnsi="宋体" w:cs="宋体"/>
          <w:color w:val="000000" w:themeColor="text1"/>
          <w:sz w:val="32"/>
          <w:szCs w:val="32"/>
        </w:rPr>
      </w:pPr>
      <w:r>
        <w:rPr>
          <w:rFonts w:hint="eastAsia" w:ascii="宋体" w:hAnsi="宋体" w:cs="宋体"/>
          <w:color w:val="000000" w:themeColor="text1"/>
          <w:sz w:val="32"/>
          <w:szCs w:val="32"/>
        </w:rPr>
        <w:t>　　　　　　　　　　　　　　　　</w:t>
      </w:r>
    </w:p>
    <w:p>
      <w:pPr>
        <w:ind w:left="4160" w:hanging="4160" w:hangingChars="1300"/>
        <w:jc w:val="right"/>
        <w:rPr>
          <w:rFonts w:ascii="宋体" w:hAnsi="宋体" w:cs="宋体"/>
          <w:color w:val="000000" w:themeColor="text1"/>
          <w:sz w:val="32"/>
          <w:szCs w:val="32"/>
        </w:rPr>
      </w:pPr>
      <w:r>
        <w:rPr>
          <w:rFonts w:hint="eastAsia" w:ascii="宋体" w:hAnsi="宋体" w:cs="宋体"/>
          <w:color w:val="000000" w:themeColor="text1"/>
          <w:sz w:val="32"/>
          <w:szCs w:val="32"/>
        </w:rPr>
        <w:t>＿＿＿＿＿＿（单位公章）</w:t>
      </w:r>
    </w:p>
    <w:p>
      <w:pPr>
        <w:ind w:left="5280" w:hanging="5280" w:hangingChars="1650"/>
        <w:rPr>
          <w:rFonts w:ascii="宋体" w:hAnsi="宋体" w:cs="宋体"/>
          <w:color w:val="000000" w:themeColor="text1"/>
          <w:sz w:val="32"/>
          <w:szCs w:val="32"/>
        </w:rPr>
      </w:pPr>
      <w:r>
        <w:rPr>
          <w:rFonts w:hint="eastAsia" w:ascii="宋体" w:hAnsi="宋体" w:cs="宋体"/>
          <w:color w:val="000000" w:themeColor="text1"/>
          <w:sz w:val="32"/>
          <w:szCs w:val="32"/>
        </w:rPr>
        <w:t>　　　　　　　　　　　　　　　　　　　　　　　　　　　　　</w:t>
      </w:r>
      <w:r>
        <w:rPr>
          <w:rFonts w:hint="eastAsia" w:ascii="宋体" w:hAnsi="宋体" w:cs="宋体"/>
          <w:color w:val="000000" w:themeColor="text1"/>
          <w:sz w:val="32"/>
          <w:szCs w:val="32"/>
          <w:u w:val="single"/>
        </w:rPr>
        <w:t>2022年  月　日</w:t>
      </w:r>
    </w:p>
    <w:p>
      <w:pPr>
        <w:ind w:left="5280" w:hanging="5280" w:hangingChars="1650"/>
        <w:rPr>
          <w:rFonts w:ascii="宋体" w:hAnsi="宋体" w:cs="宋体"/>
          <w:color w:val="000000" w:themeColor="text1"/>
          <w:sz w:val="32"/>
          <w:szCs w:val="32"/>
        </w:rPr>
      </w:pPr>
    </w:p>
    <w:p>
      <w:pPr>
        <w:spacing w:line="500" w:lineRule="exact"/>
        <w:rPr>
          <w:rFonts w:ascii="宋体" w:hAnsi="宋体" w:cs="宋体"/>
          <w:b/>
          <w:color w:val="000000" w:themeColor="text1"/>
          <w:sz w:val="24"/>
        </w:rPr>
      </w:pPr>
    </w:p>
    <w:p>
      <w:pPr>
        <w:spacing w:line="500" w:lineRule="exact"/>
        <w:rPr>
          <w:rFonts w:ascii="宋体" w:hAnsi="宋体" w:cs="宋体"/>
          <w:b/>
          <w:color w:val="000000" w:themeColor="text1"/>
          <w:sz w:val="24"/>
        </w:rPr>
      </w:pPr>
    </w:p>
    <w:p>
      <w:pPr>
        <w:pStyle w:val="19"/>
        <w:ind w:left="0" w:leftChars="0" w:firstLine="0" w:firstLineChars="0"/>
        <w:rPr>
          <w:rFonts w:ascii="宋体" w:hAnsi="宋体" w:eastAsia="宋体" w:cs="宋体"/>
          <w:color w:val="000000" w:themeColor="text1"/>
        </w:rPr>
      </w:pPr>
    </w:p>
    <w:p>
      <w:pPr>
        <w:spacing w:line="500" w:lineRule="exact"/>
        <w:rPr>
          <w:rFonts w:ascii="宋体" w:hAnsi="宋体" w:cs="宋体"/>
          <w:b/>
          <w:color w:val="000000" w:themeColor="text1"/>
          <w:sz w:val="28"/>
          <w:szCs w:val="28"/>
        </w:rPr>
      </w:pPr>
    </w:p>
    <w:p>
      <w:pPr>
        <w:pStyle w:val="19"/>
        <w:ind w:firstLine="422"/>
        <w:rPr>
          <w:rFonts w:ascii="宋体" w:hAnsi="宋体" w:eastAsia="宋体" w:cs="宋体"/>
          <w:color w:val="000000" w:themeColor="text1"/>
        </w:rPr>
      </w:pPr>
    </w:p>
    <w:p>
      <w:pPr>
        <w:spacing w:line="360" w:lineRule="auto"/>
        <w:jc w:val="center"/>
        <w:rPr>
          <w:rFonts w:ascii="宋体" w:hAnsi="宋体" w:cs="宋体"/>
          <w:b/>
          <w:color w:val="000000" w:themeColor="text1"/>
          <w:sz w:val="44"/>
          <w:szCs w:val="44"/>
        </w:rPr>
      </w:pPr>
      <w:r>
        <w:rPr>
          <w:rFonts w:hint="eastAsia" w:ascii="宋体" w:hAnsi="宋体" w:cs="宋体"/>
          <w:b/>
          <w:color w:val="000000" w:themeColor="text1"/>
          <w:sz w:val="44"/>
          <w:szCs w:val="44"/>
        </w:rPr>
        <w:t>盐城工业职业技术学院药品与健康管理学院</w:t>
      </w:r>
    </w:p>
    <w:p>
      <w:pPr>
        <w:spacing w:line="360" w:lineRule="auto"/>
        <w:jc w:val="center"/>
        <w:rPr>
          <w:rFonts w:ascii="宋体" w:hAnsi="宋体" w:cs="宋体"/>
          <w:b/>
          <w:color w:val="000000" w:themeColor="text1"/>
          <w:sz w:val="44"/>
          <w:szCs w:val="44"/>
        </w:rPr>
      </w:pPr>
      <w:r>
        <w:rPr>
          <w:rFonts w:hint="eastAsia" w:ascii="宋体" w:hAnsi="宋体" w:cs="宋体"/>
          <w:b/>
          <w:color w:val="000000" w:themeColor="text1"/>
          <w:sz w:val="44"/>
          <w:szCs w:val="44"/>
        </w:rPr>
        <w:t>药物制剂仿真一体实训室改造工程</w:t>
      </w:r>
    </w:p>
    <w:p>
      <w:pPr>
        <w:spacing w:line="480" w:lineRule="auto"/>
        <w:rPr>
          <w:rFonts w:ascii="宋体" w:hAnsi="宋体" w:cs="宋体"/>
          <w:color w:val="000000" w:themeColor="text1"/>
          <w:sz w:val="24"/>
        </w:rPr>
      </w:pPr>
    </w:p>
    <w:p>
      <w:pPr>
        <w:spacing w:line="480" w:lineRule="auto"/>
        <w:jc w:val="center"/>
        <w:rPr>
          <w:rFonts w:ascii="宋体" w:hAnsi="宋体" w:cs="宋体"/>
          <w:b/>
          <w:color w:val="000000" w:themeColor="text1"/>
          <w:sz w:val="84"/>
          <w:szCs w:val="84"/>
        </w:rPr>
      </w:pPr>
      <w:r>
        <w:rPr>
          <w:rFonts w:hint="eastAsia" w:ascii="宋体" w:hAnsi="宋体" w:cs="宋体"/>
          <w:b/>
          <w:color w:val="000000" w:themeColor="text1"/>
          <w:sz w:val="84"/>
          <w:szCs w:val="84"/>
        </w:rPr>
        <w:t>招 标 文 件</w:t>
      </w:r>
    </w:p>
    <w:p>
      <w:pPr>
        <w:jc w:val="center"/>
        <w:rPr>
          <w:rFonts w:ascii="宋体" w:hAnsi="宋体" w:cs="宋体"/>
          <w:b/>
          <w:color w:val="000000" w:themeColor="text1"/>
          <w:sz w:val="72"/>
          <w:szCs w:val="72"/>
        </w:rPr>
      </w:pPr>
    </w:p>
    <w:p>
      <w:pPr>
        <w:jc w:val="center"/>
        <w:rPr>
          <w:rFonts w:ascii="宋体" w:hAnsi="宋体" w:cs="宋体"/>
          <w:b/>
          <w:color w:val="000000" w:themeColor="text1"/>
          <w:sz w:val="30"/>
          <w:szCs w:val="30"/>
        </w:rPr>
      </w:pPr>
      <w:r>
        <w:rPr>
          <w:rFonts w:hint="eastAsia" w:ascii="宋体" w:hAnsi="宋体" w:cs="宋体"/>
          <w:b/>
          <w:color w:val="000000" w:themeColor="text1"/>
          <w:sz w:val="30"/>
          <w:szCs w:val="30"/>
        </w:rPr>
        <w:t>项目编号：2022-0</w:t>
      </w:r>
      <w:r>
        <w:rPr>
          <w:rFonts w:hint="eastAsia" w:ascii="宋体" w:hAnsi="宋体" w:cs="宋体"/>
          <w:b/>
          <w:color w:val="000000" w:themeColor="text1"/>
          <w:sz w:val="30"/>
          <w:szCs w:val="30"/>
          <w:lang w:val="en-US" w:eastAsia="zh-CN"/>
        </w:rPr>
        <w:t>34</w:t>
      </w:r>
      <w:r>
        <w:rPr>
          <w:rFonts w:hint="eastAsia" w:ascii="宋体" w:hAnsi="宋体" w:cs="宋体"/>
          <w:b/>
          <w:color w:val="000000" w:themeColor="text1"/>
          <w:sz w:val="30"/>
          <w:szCs w:val="30"/>
        </w:rPr>
        <w:t>Q</w:t>
      </w:r>
    </w:p>
    <w:p>
      <w:pPr>
        <w:spacing w:line="500" w:lineRule="exact"/>
        <w:rPr>
          <w:rFonts w:ascii="宋体" w:hAnsi="宋体" w:cs="宋体"/>
          <w:color w:val="000000" w:themeColor="text1"/>
        </w:rPr>
      </w:pPr>
    </w:p>
    <w:p>
      <w:pPr>
        <w:spacing w:line="500" w:lineRule="exact"/>
        <w:rPr>
          <w:rFonts w:ascii="宋体" w:hAnsi="宋体" w:cs="宋体"/>
          <w:color w:val="000000" w:themeColor="text1"/>
        </w:rPr>
      </w:pPr>
    </w:p>
    <w:p>
      <w:pPr>
        <w:spacing w:line="500" w:lineRule="exact"/>
        <w:rPr>
          <w:rFonts w:ascii="宋体" w:hAnsi="宋体" w:cs="宋体"/>
          <w:color w:val="000000" w:themeColor="text1"/>
        </w:rPr>
      </w:pPr>
    </w:p>
    <w:p>
      <w:pPr>
        <w:spacing w:line="500" w:lineRule="exact"/>
        <w:rPr>
          <w:rFonts w:ascii="宋体" w:hAnsi="宋体" w:cs="宋体"/>
          <w:color w:val="000000" w:themeColor="text1"/>
        </w:rPr>
      </w:pPr>
    </w:p>
    <w:p>
      <w:pPr>
        <w:spacing w:line="500" w:lineRule="exact"/>
        <w:rPr>
          <w:rFonts w:ascii="宋体" w:hAnsi="宋体" w:cs="宋体"/>
          <w:color w:val="000000" w:themeColor="text1"/>
        </w:rPr>
      </w:pPr>
    </w:p>
    <w:p>
      <w:pPr>
        <w:spacing w:line="500" w:lineRule="exact"/>
        <w:rPr>
          <w:rFonts w:ascii="宋体" w:hAnsi="宋体" w:cs="宋体"/>
          <w:color w:val="000000" w:themeColor="text1"/>
        </w:rPr>
      </w:pPr>
    </w:p>
    <w:p>
      <w:pPr>
        <w:spacing w:line="500" w:lineRule="exact"/>
        <w:rPr>
          <w:rFonts w:ascii="宋体" w:hAnsi="宋体" w:cs="宋体"/>
          <w:color w:val="000000" w:themeColor="text1"/>
        </w:rPr>
      </w:pPr>
    </w:p>
    <w:p>
      <w:pPr>
        <w:spacing w:line="500" w:lineRule="exact"/>
        <w:rPr>
          <w:rFonts w:ascii="宋体" w:hAnsi="宋体" w:cs="宋体"/>
          <w:color w:val="000000" w:themeColor="text1"/>
        </w:rPr>
      </w:pPr>
    </w:p>
    <w:p>
      <w:pPr>
        <w:jc w:val="center"/>
        <w:rPr>
          <w:rFonts w:ascii="宋体" w:hAnsi="宋体" w:cs="宋体"/>
          <w:bCs/>
          <w:color w:val="000000" w:themeColor="text1"/>
          <w:sz w:val="36"/>
          <w:szCs w:val="36"/>
        </w:rPr>
      </w:pPr>
      <w:r>
        <w:rPr>
          <w:rFonts w:hint="eastAsia" w:ascii="宋体" w:hAnsi="宋体" w:cs="宋体"/>
          <w:bCs/>
          <w:color w:val="000000" w:themeColor="text1"/>
          <w:sz w:val="36"/>
          <w:szCs w:val="36"/>
        </w:rPr>
        <w:t>盐城工业职业技术学院</w:t>
      </w:r>
    </w:p>
    <w:p>
      <w:pPr>
        <w:jc w:val="center"/>
        <w:rPr>
          <w:rFonts w:ascii="宋体" w:hAnsi="宋体" w:cs="宋体"/>
          <w:color w:val="000000" w:themeColor="text1"/>
          <w:sz w:val="36"/>
          <w:szCs w:val="36"/>
        </w:rPr>
      </w:pPr>
      <w:r>
        <w:rPr>
          <w:rFonts w:hint="eastAsia" w:ascii="宋体" w:hAnsi="宋体" w:cs="宋体"/>
          <w:color w:val="000000" w:themeColor="text1"/>
          <w:sz w:val="36"/>
          <w:szCs w:val="36"/>
        </w:rPr>
        <w:t>江苏全盛工程造价事务所有限公司</w:t>
      </w:r>
    </w:p>
    <w:p>
      <w:pPr>
        <w:jc w:val="center"/>
        <w:rPr>
          <w:rFonts w:ascii="宋体" w:hAnsi="宋体" w:cs="宋体"/>
          <w:color w:val="000000" w:themeColor="text1"/>
          <w:sz w:val="36"/>
          <w:szCs w:val="36"/>
        </w:rPr>
      </w:pPr>
      <w:r>
        <w:rPr>
          <w:rFonts w:hint="eastAsia" w:ascii="宋体" w:hAnsi="宋体" w:cs="宋体"/>
          <w:color w:val="000000" w:themeColor="text1"/>
          <w:sz w:val="36"/>
          <w:szCs w:val="36"/>
        </w:rPr>
        <w:t>2022年</w:t>
      </w:r>
      <w:r>
        <w:rPr>
          <w:rFonts w:hint="eastAsia" w:ascii="宋体" w:hAnsi="宋体" w:cs="宋体"/>
          <w:color w:val="000000" w:themeColor="text1"/>
          <w:sz w:val="36"/>
          <w:szCs w:val="36"/>
          <w:lang w:val="en-US" w:eastAsia="zh-CN"/>
        </w:rPr>
        <w:t>9</w:t>
      </w:r>
      <w:r>
        <w:rPr>
          <w:rFonts w:hint="eastAsia" w:ascii="宋体" w:hAnsi="宋体" w:cs="宋体"/>
          <w:color w:val="000000" w:themeColor="text1"/>
          <w:sz w:val="36"/>
          <w:szCs w:val="36"/>
        </w:rPr>
        <w:t>月</w:t>
      </w:r>
      <w:r>
        <w:rPr>
          <w:rFonts w:hint="eastAsia" w:ascii="宋体" w:hAnsi="宋体" w:cs="宋体"/>
          <w:color w:val="000000" w:themeColor="text1"/>
          <w:sz w:val="36"/>
          <w:szCs w:val="36"/>
          <w:lang w:val="en-US" w:eastAsia="zh-CN"/>
        </w:rPr>
        <w:t>13</w:t>
      </w:r>
      <w:r>
        <w:rPr>
          <w:rFonts w:hint="eastAsia" w:ascii="宋体" w:hAnsi="宋体" w:cs="宋体"/>
          <w:color w:val="000000" w:themeColor="text1"/>
          <w:sz w:val="36"/>
          <w:szCs w:val="36"/>
        </w:rPr>
        <w:t>日</w:t>
      </w:r>
    </w:p>
    <w:p>
      <w:pPr>
        <w:spacing w:line="400" w:lineRule="exact"/>
        <w:rPr>
          <w:rFonts w:ascii="宋体" w:hAnsi="宋体" w:cs="宋体"/>
          <w:color w:val="000000" w:themeColor="text1"/>
          <w:sz w:val="24"/>
        </w:rPr>
      </w:pPr>
    </w:p>
    <w:p>
      <w:pPr>
        <w:jc w:val="center"/>
        <w:rPr>
          <w:rFonts w:ascii="宋体" w:hAnsi="宋体" w:cs="宋体"/>
          <w:b/>
          <w:bCs/>
          <w:color w:val="000000" w:themeColor="text1"/>
          <w:sz w:val="44"/>
        </w:rPr>
      </w:pPr>
      <w:r>
        <w:rPr>
          <w:rFonts w:hint="eastAsia" w:ascii="宋体" w:hAnsi="宋体" w:cs="宋体"/>
          <w:color w:val="000000" w:themeColor="text1"/>
          <w:sz w:val="24"/>
        </w:rPr>
        <w:br w:type="page"/>
      </w:r>
      <w:r>
        <w:rPr>
          <w:rFonts w:hint="eastAsia" w:ascii="宋体" w:hAnsi="宋体" w:cs="宋体"/>
          <w:b/>
          <w:color w:val="000000" w:themeColor="text1"/>
          <w:sz w:val="44"/>
          <w:szCs w:val="44"/>
        </w:rPr>
        <w:t>第一部分  投标须知</w:t>
      </w:r>
    </w:p>
    <w:p>
      <w:pPr>
        <w:spacing w:line="500" w:lineRule="exact"/>
        <w:jc w:val="center"/>
        <w:rPr>
          <w:rFonts w:ascii="宋体" w:hAnsi="宋体" w:cs="宋体"/>
          <w:b/>
          <w:color w:val="000000" w:themeColor="text1"/>
          <w:sz w:val="28"/>
          <w:szCs w:val="28"/>
        </w:rPr>
      </w:pPr>
      <w:r>
        <w:rPr>
          <w:rFonts w:hint="eastAsia" w:ascii="宋体" w:hAnsi="宋体" w:cs="宋体"/>
          <w:b/>
          <w:color w:val="000000" w:themeColor="text1"/>
          <w:sz w:val="28"/>
          <w:szCs w:val="28"/>
        </w:rPr>
        <w:t>前 附 表</w:t>
      </w:r>
    </w:p>
    <w:tbl>
      <w:tblPr>
        <w:tblStyle w:val="20"/>
        <w:tblW w:w="939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9"/>
        <w:gridCol w:w="86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729" w:type="dxa"/>
            <w:tcBorders>
              <w:top w:val="single" w:color="auto" w:sz="8" w:space="0"/>
              <w:left w:val="single" w:color="auto" w:sz="8" w:space="0"/>
              <w:bottom w:val="single" w:color="auto" w:sz="4" w:space="0"/>
              <w:right w:val="single" w:color="auto" w:sz="4" w:space="0"/>
            </w:tcBorders>
            <w:vAlign w:val="center"/>
          </w:tcPr>
          <w:p>
            <w:pPr>
              <w:pStyle w:val="11"/>
              <w:adjustRightInd w:val="0"/>
              <w:snapToGrid w:val="0"/>
              <w:spacing w:line="320" w:lineRule="exact"/>
              <w:jc w:val="center"/>
              <w:rPr>
                <w:rFonts w:hAnsi="宋体" w:cs="宋体"/>
                <w:color w:val="000000" w:themeColor="text1"/>
                <w:kern w:val="2"/>
                <w:sz w:val="24"/>
              </w:rPr>
            </w:pPr>
            <w:r>
              <w:rPr>
                <w:rFonts w:hint="eastAsia" w:hAnsi="宋体" w:cs="宋体"/>
                <w:color w:val="000000" w:themeColor="text1"/>
                <w:kern w:val="2"/>
                <w:sz w:val="24"/>
              </w:rPr>
              <w:t>序号</w:t>
            </w:r>
          </w:p>
        </w:tc>
        <w:tc>
          <w:tcPr>
            <w:tcW w:w="8666" w:type="dxa"/>
            <w:tcBorders>
              <w:top w:val="single" w:color="auto" w:sz="8" w:space="0"/>
              <w:left w:val="single" w:color="auto" w:sz="4" w:space="0"/>
              <w:bottom w:val="single" w:color="auto" w:sz="4" w:space="0"/>
              <w:right w:val="single" w:color="auto" w:sz="8" w:space="0"/>
            </w:tcBorders>
            <w:vAlign w:val="center"/>
          </w:tcPr>
          <w:p>
            <w:pPr>
              <w:pStyle w:val="11"/>
              <w:adjustRightInd w:val="0"/>
              <w:snapToGrid w:val="0"/>
              <w:spacing w:line="320" w:lineRule="exact"/>
              <w:jc w:val="center"/>
              <w:rPr>
                <w:rFonts w:hAnsi="宋体" w:cs="宋体"/>
                <w:color w:val="000000" w:themeColor="text1"/>
                <w:kern w:val="2"/>
                <w:sz w:val="24"/>
              </w:rPr>
            </w:pPr>
            <w:r>
              <w:rPr>
                <w:rFonts w:hint="eastAsia" w:hAnsi="宋体" w:cs="宋体"/>
                <w:color w:val="000000" w:themeColor="text1"/>
                <w:kern w:val="2"/>
                <w:sz w:val="24"/>
              </w:rPr>
              <w:t>招      标      概      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90"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11"/>
              <w:adjustRightInd w:val="0"/>
              <w:snapToGrid w:val="0"/>
              <w:spacing w:line="320" w:lineRule="exact"/>
              <w:jc w:val="center"/>
              <w:rPr>
                <w:rFonts w:hAnsi="宋体" w:cs="宋体"/>
                <w:color w:val="000000" w:themeColor="text1"/>
                <w:kern w:val="2"/>
                <w:sz w:val="24"/>
              </w:rPr>
            </w:pPr>
            <w:r>
              <w:rPr>
                <w:rFonts w:hint="eastAsia" w:hAnsi="宋体" w:cs="宋体"/>
                <w:color w:val="000000" w:themeColor="text1"/>
                <w:kern w:val="2"/>
                <w:sz w:val="24"/>
              </w:rPr>
              <w:t>1</w:t>
            </w:r>
          </w:p>
        </w:tc>
        <w:tc>
          <w:tcPr>
            <w:tcW w:w="8666" w:type="dxa"/>
            <w:tcBorders>
              <w:top w:val="single" w:color="auto" w:sz="4" w:space="0"/>
              <w:left w:val="single" w:color="auto" w:sz="4" w:space="0"/>
              <w:bottom w:val="single" w:color="auto" w:sz="4" w:space="0"/>
              <w:right w:val="single" w:color="auto" w:sz="8" w:space="0"/>
            </w:tcBorders>
            <w:vAlign w:val="center"/>
          </w:tcPr>
          <w:p>
            <w:pPr>
              <w:pStyle w:val="11"/>
              <w:adjustRightInd w:val="0"/>
              <w:snapToGrid w:val="0"/>
              <w:spacing w:line="300" w:lineRule="exact"/>
              <w:rPr>
                <w:rFonts w:hAnsi="宋体" w:cs="宋体"/>
                <w:color w:val="000000" w:themeColor="text1"/>
                <w:kern w:val="2"/>
                <w:sz w:val="24"/>
              </w:rPr>
            </w:pPr>
            <w:r>
              <w:rPr>
                <w:rFonts w:hint="eastAsia" w:hAnsi="宋体" w:cs="宋体"/>
                <w:color w:val="000000" w:themeColor="text1"/>
                <w:kern w:val="2"/>
                <w:sz w:val="24"/>
              </w:rPr>
              <w:t>工程名称：盐城工业职业技术学院药品与健康管理学院药物制剂仿真一体实训室改造工程　　　　</w:t>
            </w:r>
          </w:p>
          <w:p>
            <w:pPr>
              <w:pStyle w:val="11"/>
              <w:adjustRightInd w:val="0"/>
              <w:snapToGrid w:val="0"/>
              <w:spacing w:line="300" w:lineRule="exact"/>
              <w:rPr>
                <w:rFonts w:hAnsi="宋体" w:cs="宋体"/>
                <w:color w:val="000000" w:themeColor="text1"/>
                <w:kern w:val="2"/>
                <w:sz w:val="24"/>
              </w:rPr>
            </w:pPr>
            <w:r>
              <w:rPr>
                <w:rFonts w:hint="eastAsia" w:hAnsi="宋体" w:cs="宋体"/>
                <w:color w:val="000000" w:themeColor="text1"/>
                <w:kern w:val="2"/>
                <w:sz w:val="24"/>
              </w:rPr>
              <w:t>招标人名称：盐城工业职业技术学院</w:t>
            </w:r>
          </w:p>
          <w:p>
            <w:pPr>
              <w:pStyle w:val="11"/>
              <w:adjustRightInd w:val="0"/>
              <w:snapToGrid w:val="0"/>
              <w:spacing w:line="300" w:lineRule="exact"/>
              <w:rPr>
                <w:rFonts w:hAnsi="宋体" w:cs="宋体"/>
                <w:color w:val="000000" w:themeColor="text1"/>
                <w:kern w:val="2"/>
                <w:sz w:val="24"/>
              </w:rPr>
            </w:pPr>
            <w:r>
              <w:rPr>
                <w:rFonts w:hint="eastAsia" w:hAnsi="宋体" w:cs="宋体"/>
                <w:color w:val="000000" w:themeColor="text1"/>
                <w:kern w:val="2"/>
                <w:sz w:val="24"/>
              </w:rPr>
              <w:t>招标范围及标段划分：盐城工业职业技术学院药品与健康管理学院药物制剂仿真一体实训室改造工程项目，具体内容详按工程量清单及招标人要求执行，招标人保留进行调整的权利。本次招标共为1个标段。</w:t>
            </w:r>
          </w:p>
          <w:p>
            <w:pPr>
              <w:pStyle w:val="11"/>
              <w:adjustRightInd w:val="0"/>
              <w:snapToGrid w:val="0"/>
              <w:spacing w:line="300" w:lineRule="exact"/>
              <w:rPr>
                <w:rFonts w:hAnsi="宋体" w:cs="宋体"/>
                <w:color w:val="000000" w:themeColor="text1"/>
                <w:kern w:val="2"/>
                <w:sz w:val="24"/>
              </w:rPr>
            </w:pPr>
            <w:r>
              <w:rPr>
                <w:rFonts w:hint="eastAsia" w:hAnsi="宋体" w:cs="宋体"/>
                <w:color w:val="000000" w:themeColor="text1"/>
                <w:kern w:val="2"/>
                <w:sz w:val="24"/>
              </w:rPr>
              <w:t>质量标准：国家合格标准</w:t>
            </w:r>
          </w:p>
          <w:p>
            <w:pPr>
              <w:pStyle w:val="11"/>
              <w:adjustRightInd w:val="0"/>
              <w:snapToGrid w:val="0"/>
              <w:spacing w:line="300" w:lineRule="exact"/>
              <w:rPr>
                <w:rFonts w:hAnsi="宋体" w:cs="宋体"/>
                <w:color w:val="000000" w:themeColor="text1"/>
                <w:kern w:val="2"/>
                <w:sz w:val="24"/>
              </w:rPr>
            </w:pPr>
            <w:r>
              <w:rPr>
                <w:rFonts w:hint="eastAsia" w:hAnsi="宋体" w:cs="宋体"/>
                <w:color w:val="000000" w:themeColor="text1"/>
                <w:kern w:val="2"/>
                <w:sz w:val="24"/>
              </w:rPr>
              <w:t>工期要求：自甲方通知开工之日起25日历天内全部通过竣工验收合格并交付使用。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34"/>
              <w:adjustRightInd w:val="0"/>
              <w:snapToGrid w:val="0"/>
              <w:spacing w:line="320" w:lineRule="exact"/>
              <w:jc w:val="center"/>
              <w:rPr>
                <w:rFonts w:hAnsi="宋体" w:cs="宋体"/>
                <w:color w:val="000000" w:themeColor="text1"/>
                <w:sz w:val="24"/>
              </w:rPr>
            </w:pPr>
            <w:r>
              <w:rPr>
                <w:rFonts w:hint="eastAsia" w:hAnsi="宋体" w:cs="宋体"/>
                <w:color w:val="000000" w:themeColor="text1"/>
                <w:sz w:val="24"/>
              </w:rPr>
              <w:t>2</w:t>
            </w:r>
          </w:p>
        </w:tc>
        <w:tc>
          <w:tcPr>
            <w:tcW w:w="8666" w:type="dxa"/>
            <w:tcBorders>
              <w:top w:val="single" w:color="auto" w:sz="4" w:space="0"/>
              <w:left w:val="single" w:color="auto" w:sz="4" w:space="0"/>
              <w:bottom w:val="single" w:color="auto" w:sz="4" w:space="0"/>
              <w:right w:val="single" w:color="auto" w:sz="8" w:space="0"/>
            </w:tcBorders>
            <w:vAlign w:val="center"/>
          </w:tcPr>
          <w:p>
            <w:pPr>
              <w:spacing w:line="300" w:lineRule="exact"/>
              <w:outlineLvl w:val="1"/>
              <w:rPr>
                <w:rFonts w:ascii="宋体" w:hAnsi="宋体" w:cs="宋体"/>
                <w:color w:val="000000" w:themeColor="text1"/>
                <w:sz w:val="24"/>
              </w:rPr>
            </w:pPr>
            <w:r>
              <w:rPr>
                <w:rFonts w:hint="eastAsia" w:ascii="宋体" w:hAnsi="宋体" w:cs="宋体"/>
                <w:color w:val="000000" w:themeColor="text1"/>
                <w:sz w:val="24"/>
              </w:rPr>
              <w:t>本次招标收取保证金。本工程投标保证金金额为人民币</w:t>
            </w:r>
            <w:r>
              <w:rPr>
                <w:rFonts w:hint="eastAsia" w:ascii="宋体" w:hAnsi="宋体" w:cs="宋体"/>
                <w:color w:val="000000" w:themeColor="text1"/>
                <w:sz w:val="24"/>
                <w:u w:val="single"/>
              </w:rPr>
              <w:t>伍仟元整</w:t>
            </w:r>
            <w:r>
              <w:rPr>
                <w:rFonts w:hint="eastAsia" w:ascii="宋体" w:hAnsi="宋体" w:cs="宋体"/>
                <w:color w:val="000000" w:themeColor="text1"/>
                <w:sz w:val="24"/>
              </w:rPr>
              <w:t>，投标保证金必须在投标文件接收截止时间前与投标文件一起送达投标文件接收地点（不要密封在响应文件中）。</w:t>
            </w:r>
          </w:p>
          <w:p>
            <w:pPr>
              <w:spacing w:line="300" w:lineRule="exact"/>
              <w:outlineLvl w:val="1"/>
              <w:rPr>
                <w:rFonts w:ascii="宋体" w:hAnsi="宋体" w:cs="宋体"/>
                <w:color w:val="000000" w:themeColor="text1"/>
                <w:sz w:val="24"/>
              </w:rPr>
            </w:pPr>
            <w:r>
              <w:rPr>
                <w:rFonts w:hint="eastAsia" w:ascii="宋体" w:hAnsi="宋体" w:cs="宋体"/>
                <w:b/>
                <w:color w:val="000000" w:themeColor="text1"/>
                <w:kern w:val="0"/>
                <w:sz w:val="24"/>
              </w:rPr>
              <w:t>投标保证金必须采用有效银行本票或银行汇票，不接受电汇、转账、现金、现金交款单、支票或其他形式的保证金。</w:t>
            </w:r>
            <w:r>
              <w:rPr>
                <w:rFonts w:hint="eastAsia" w:ascii="宋体" w:hAnsi="宋体" w:cs="宋体"/>
                <w:color w:val="000000" w:themeColor="text1"/>
                <w:kern w:val="0"/>
                <w:sz w:val="24"/>
              </w:rPr>
              <w:t>各投标人须在</w:t>
            </w:r>
            <w:r>
              <w:rPr>
                <w:rFonts w:hint="eastAsia" w:ascii="宋体" w:hAnsi="宋体" w:cs="宋体"/>
                <w:bCs/>
                <w:color w:val="000000" w:themeColor="text1"/>
                <w:sz w:val="24"/>
              </w:rPr>
              <w:t>投标文件接收截止时间</w:t>
            </w:r>
            <w:r>
              <w:rPr>
                <w:rFonts w:hint="eastAsia" w:ascii="宋体" w:hAnsi="宋体" w:cs="宋体"/>
                <w:color w:val="000000" w:themeColor="text1"/>
                <w:kern w:val="0"/>
                <w:sz w:val="24"/>
              </w:rPr>
              <w:t>前将投标保证金从投标人本单位的基本账户上汇出（不入账），以投标人汇出资金的银行日期为准，且保证金汇出单位必须与投标人名称一致，收款人名称：</w:t>
            </w:r>
            <w:r>
              <w:rPr>
                <w:rFonts w:hint="eastAsia" w:ascii="宋体" w:hAnsi="宋体" w:cs="宋体"/>
                <w:color w:val="000000" w:themeColor="text1"/>
                <w:sz w:val="24"/>
              </w:rPr>
              <w:t>江苏全盛工程造价事务所有限公司，开户行：中国工商银行盐城城南支行，账号：1109660409000012409</w:t>
            </w:r>
            <w:r>
              <w:rPr>
                <w:rFonts w:hint="eastAsia" w:ascii="宋体" w:hAnsi="宋体" w:cs="宋体"/>
                <w:color w:val="000000" w:themeColor="text1"/>
                <w:kern w:val="0"/>
                <w:sz w:val="24"/>
              </w:rPr>
              <w:t>。</w:t>
            </w:r>
            <w:r>
              <w:rPr>
                <w:rFonts w:hint="eastAsia" w:ascii="宋体" w:hAnsi="宋体" w:cs="宋体"/>
                <w:bCs/>
                <w:color w:val="000000" w:themeColor="text1"/>
                <w:sz w:val="24"/>
              </w:rPr>
              <w:t>投标文件接收截止时间前</w:t>
            </w:r>
            <w:r>
              <w:rPr>
                <w:rFonts w:hint="eastAsia" w:ascii="宋体" w:hAnsi="宋体" w:cs="宋体"/>
                <w:color w:val="000000" w:themeColor="text1"/>
                <w:kern w:val="0"/>
                <w:sz w:val="24"/>
              </w:rPr>
              <w:t>，各投标人将有效银行本票原件或银行汇票原件带至开标现场交工作人员核验，未按上述要求交纳投标保证金的，</w:t>
            </w:r>
            <w:r>
              <w:rPr>
                <w:rFonts w:hint="eastAsia" w:ascii="宋体" w:hAnsi="宋体" w:cs="宋体"/>
                <w:color w:val="000000" w:themeColor="text1"/>
                <w:sz w:val="24"/>
              </w:rPr>
              <w:t>将被视为非响应性投标而予以拒绝。</w:t>
            </w:r>
          </w:p>
          <w:p>
            <w:pPr>
              <w:spacing w:line="300" w:lineRule="exact"/>
              <w:outlineLvl w:val="1"/>
              <w:rPr>
                <w:rFonts w:ascii="宋体" w:hAnsi="宋体" w:cs="宋体"/>
                <w:color w:val="000000" w:themeColor="text1"/>
                <w:kern w:val="0"/>
                <w:sz w:val="24"/>
              </w:rPr>
            </w:pPr>
            <w:r>
              <w:rPr>
                <w:rFonts w:hint="eastAsia" w:ascii="宋体" w:hAnsi="宋体" w:cs="宋体"/>
                <w:color w:val="000000" w:themeColor="text1"/>
                <w:sz w:val="24"/>
              </w:rPr>
              <w:t>投标保证金退还方式：未中标人的投标保证金现场退还，中标人的投标保证金在签订合同并交纳招标代理服务费后，凭合同原件及交费凭证至招标代理机构财务部退还。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67"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34"/>
              <w:adjustRightInd w:val="0"/>
              <w:snapToGrid w:val="0"/>
              <w:spacing w:line="320" w:lineRule="exact"/>
              <w:jc w:val="center"/>
              <w:rPr>
                <w:rFonts w:hAnsi="宋体" w:cs="宋体"/>
                <w:color w:val="000000" w:themeColor="text1"/>
                <w:sz w:val="24"/>
              </w:rPr>
            </w:pPr>
            <w:r>
              <w:rPr>
                <w:rFonts w:hint="eastAsia" w:hAnsi="宋体" w:cs="宋体"/>
                <w:color w:val="000000" w:themeColor="text1"/>
                <w:sz w:val="24"/>
              </w:rPr>
              <w:t>3</w:t>
            </w:r>
          </w:p>
        </w:tc>
        <w:tc>
          <w:tcPr>
            <w:tcW w:w="8666" w:type="dxa"/>
            <w:tcBorders>
              <w:top w:val="single" w:color="auto" w:sz="4" w:space="0"/>
              <w:left w:val="single" w:color="auto" w:sz="4" w:space="0"/>
              <w:bottom w:val="single" w:color="auto" w:sz="4" w:space="0"/>
              <w:right w:val="single" w:color="auto" w:sz="8" w:space="0"/>
            </w:tcBorders>
            <w:vAlign w:val="center"/>
          </w:tcPr>
          <w:p>
            <w:pPr>
              <w:pStyle w:val="11"/>
              <w:adjustRightInd w:val="0"/>
              <w:snapToGrid w:val="0"/>
              <w:spacing w:line="300" w:lineRule="exact"/>
              <w:rPr>
                <w:rFonts w:hAnsi="宋体" w:cs="宋体"/>
                <w:color w:val="000000" w:themeColor="text1"/>
                <w:kern w:val="2"/>
                <w:sz w:val="24"/>
              </w:rPr>
            </w:pPr>
            <w:r>
              <w:rPr>
                <w:rFonts w:hint="eastAsia" w:hAnsi="宋体" w:cs="宋体"/>
                <w:color w:val="000000" w:themeColor="text1"/>
                <w:kern w:val="2"/>
                <w:sz w:val="24"/>
              </w:rPr>
              <w:t xml:space="preserve">递交疑问时间：投标文件接收截止时间3日前； </w:t>
            </w:r>
          </w:p>
          <w:p>
            <w:pPr>
              <w:pStyle w:val="11"/>
              <w:adjustRightInd w:val="0"/>
              <w:snapToGrid w:val="0"/>
              <w:spacing w:line="300" w:lineRule="exact"/>
              <w:rPr>
                <w:rFonts w:hAnsi="宋体" w:cs="宋体"/>
                <w:color w:val="000000" w:themeColor="text1"/>
                <w:kern w:val="2"/>
                <w:sz w:val="24"/>
              </w:rPr>
            </w:pPr>
            <w:r>
              <w:rPr>
                <w:rFonts w:hint="eastAsia" w:hAnsi="宋体" w:cs="宋体"/>
                <w:color w:val="000000" w:themeColor="text1"/>
                <w:kern w:val="2"/>
                <w:sz w:val="24"/>
              </w:rPr>
              <w:t>递交方式：发送电子邮件并电话告知，递交地址（邮箱）：</w:t>
            </w:r>
            <w:r>
              <w:rPr>
                <w:color w:val="000000" w:themeColor="text1"/>
              </w:rPr>
              <w:fldChar w:fldCharType="begin"/>
            </w:r>
            <w:r>
              <w:rPr>
                <w:color w:val="000000" w:themeColor="text1"/>
              </w:rPr>
              <w:instrText xml:space="preserve"> HYPERLINK "mailto:854320948@qq.com" </w:instrText>
            </w:r>
            <w:r>
              <w:rPr>
                <w:color w:val="000000" w:themeColor="text1"/>
              </w:rPr>
              <w:fldChar w:fldCharType="separate"/>
            </w:r>
            <w:r>
              <w:rPr>
                <w:rStyle w:val="25"/>
                <w:rFonts w:hint="eastAsia" w:hAnsi="宋体" w:cs="宋体"/>
                <w:color w:val="000000" w:themeColor="text1"/>
                <w:kern w:val="2"/>
                <w:sz w:val="24"/>
              </w:rPr>
              <w:t>342178173@qq.com</w:t>
            </w:r>
            <w:r>
              <w:rPr>
                <w:rStyle w:val="25"/>
                <w:rFonts w:hint="eastAsia" w:hAnsi="宋体" w:cs="宋体"/>
                <w:color w:val="000000" w:themeColor="text1"/>
                <w:kern w:val="2"/>
                <w:sz w:val="24"/>
              </w:rPr>
              <w:fldChar w:fldCharType="end"/>
            </w:r>
            <w:r>
              <w:rPr>
                <w:rFonts w:hint="eastAsia" w:hAnsi="宋体" w:cs="宋体"/>
                <w:color w:val="000000" w:themeColor="text1"/>
                <w:kern w:val="2"/>
                <w:sz w:val="24"/>
              </w:rPr>
              <w:t xml:space="preserve">。 </w:t>
            </w:r>
          </w:p>
          <w:p>
            <w:pPr>
              <w:pStyle w:val="11"/>
              <w:adjustRightInd w:val="0"/>
              <w:snapToGrid w:val="0"/>
              <w:spacing w:line="300" w:lineRule="exact"/>
              <w:rPr>
                <w:rFonts w:hAnsi="宋体" w:cs="宋体"/>
                <w:color w:val="000000" w:themeColor="text1"/>
                <w:kern w:val="2"/>
                <w:sz w:val="24"/>
              </w:rPr>
            </w:pPr>
            <w:r>
              <w:rPr>
                <w:rFonts w:hint="eastAsia" w:hAnsi="宋体" w:cs="宋体"/>
                <w:color w:val="000000" w:themeColor="text1"/>
                <w:kern w:val="2"/>
                <w:sz w:val="24"/>
              </w:rPr>
              <w:t>投标人须及时登录</w:t>
            </w:r>
            <w:r>
              <w:rPr>
                <w:rFonts w:hint="eastAsia" w:hAnsi="宋体" w:cs="宋体"/>
                <w:bCs/>
                <w:color w:val="000000" w:themeColor="text1"/>
                <w:sz w:val="24"/>
              </w:rPr>
              <w:t>“盐城工业职业技术学院招标采购网”</w:t>
            </w:r>
            <w:r>
              <w:rPr>
                <w:rFonts w:hint="eastAsia" w:hAnsi="宋体" w:cs="宋体"/>
                <w:color w:val="000000" w:themeColor="text1"/>
                <w:kern w:val="2"/>
                <w:sz w:val="24"/>
              </w:rPr>
              <w:t>，查询招标答疑、补充通知、中标结果等相关内容，以上内容均在网上发布，不再另行通知。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11"/>
              <w:adjustRightInd w:val="0"/>
              <w:snapToGrid w:val="0"/>
              <w:spacing w:line="320" w:lineRule="exact"/>
              <w:jc w:val="center"/>
              <w:rPr>
                <w:rFonts w:hAnsi="宋体" w:cs="宋体"/>
                <w:color w:val="000000" w:themeColor="text1"/>
                <w:kern w:val="2"/>
                <w:sz w:val="24"/>
              </w:rPr>
            </w:pPr>
            <w:r>
              <w:rPr>
                <w:rFonts w:hint="eastAsia" w:hAnsi="宋体" w:cs="宋体"/>
                <w:color w:val="000000" w:themeColor="text1"/>
                <w:kern w:val="2"/>
                <w:sz w:val="24"/>
              </w:rPr>
              <w:t>4</w:t>
            </w:r>
          </w:p>
        </w:tc>
        <w:tc>
          <w:tcPr>
            <w:tcW w:w="8666" w:type="dxa"/>
            <w:vAlign w:val="center"/>
          </w:tcPr>
          <w:p>
            <w:pPr>
              <w:pStyle w:val="11"/>
              <w:adjustRightInd w:val="0"/>
              <w:snapToGrid w:val="0"/>
              <w:spacing w:line="300" w:lineRule="exact"/>
              <w:rPr>
                <w:rFonts w:hAnsi="宋体" w:cs="宋体"/>
                <w:color w:val="000000" w:themeColor="text1"/>
                <w:kern w:val="2"/>
                <w:sz w:val="24"/>
              </w:rPr>
            </w:pPr>
            <w:r>
              <w:rPr>
                <w:rFonts w:hint="eastAsia" w:hAnsi="宋体" w:cs="宋体"/>
                <w:color w:val="000000" w:themeColor="text1"/>
                <w:kern w:val="2"/>
                <w:sz w:val="24"/>
              </w:rPr>
              <w:t>投标文件递交截止时间：</w:t>
            </w:r>
            <w:r>
              <w:rPr>
                <w:rFonts w:hint="eastAsia" w:hAnsi="宋体" w:cs="宋体"/>
                <w:color w:val="000000" w:themeColor="text1"/>
                <w:sz w:val="24"/>
                <w:u w:val="single"/>
              </w:rPr>
              <w:t>2022年</w:t>
            </w:r>
            <w:r>
              <w:rPr>
                <w:rFonts w:hint="eastAsia" w:hAnsi="宋体" w:cs="宋体"/>
                <w:color w:val="000000" w:themeColor="text1"/>
                <w:sz w:val="24"/>
                <w:u w:val="single"/>
                <w:lang w:val="en-US" w:eastAsia="zh-CN"/>
              </w:rPr>
              <w:t>9</w:t>
            </w:r>
            <w:r>
              <w:rPr>
                <w:rFonts w:hint="eastAsia" w:hAnsi="宋体" w:cs="宋体"/>
                <w:color w:val="000000" w:themeColor="text1"/>
                <w:sz w:val="24"/>
                <w:u w:val="single"/>
              </w:rPr>
              <w:t>月</w:t>
            </w:r>
            <w:r>
              <w:rPr>
                <w:rFonts w:hint="eastAsia" w:hAnsi="宋体" w:cs="宋体"/>
                <w:color w:val="000000" w:themeColor="text1"/>
                <w:sz w:val="24"/>
                <w:u w:val="single"/>
                <w:lang w:val="en-US" w:eastAsia="zh-CN"/>
              </w:rPr>
              <w:t>26</w:t>
            </w:r>
            <w:r>
              <w:rPr>
                <w:rFonts w:hint="eastAsia" w:hAnsi="宋体" w:cs="宋体"/>
                <w:color w:val="000000" w:themeColor="text1"/>
                <w:sz w:val="24"/>
                <w:u w:val="single"/>
              </w:rPr>
              <w:t>日</w:t>
            </w:r>
            <w:r>
              <w:rPr>
                <w:rFonts w:hint="eastAsia" w:hAnsi="宋体" w:cs="宋体"/>
                <w:color w:val="000000" w:themeColor="text1"/>
                <w:sz w:val="24"/>
                <w:u w:val="single"/>
                <w:lang w:val="en-US" w:eastAsia="zh-CN"/>
              </w:rPr>
              <w:t>15</w:t>
            </w:r>
            <w:r>
              <w:rPr>
                <w:rFonts w:hint="eastAsia" w:hAnsi="宋体" w:cs="宋体"/>
                <w:color w:val="000000" w:themeColor="text1"/>
                <w:sz w:val="24"/>
                <w:u w:val="single"/>
              </w:rPr>
              <w:t>时</w:t>
            </w:r>
            <w:r>
              <w:rPr>
                <w:rFonts w:hint="eastAsia" w:hAnsi="宋体" w:cs="宋体"/>
                <w:color w:val="000000" w:themeColor="text1"/>
                <w:kern w:val="2"/>
                <w:sz w:val="24"/>
              </w:rPr>
              <w:t>；</w:t>
            </w:r>
          </w:p>
          <w:p>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地点: </w:t>
            </w:r>
            <w:r>
              <w:rPr>
                <w:rStyle w:val="53"/>
                <w:rFonts w:hint="eastAsia" w:ascii="宋体" w:hAnsi="宋体"/>
                <w:color w:val="000000" w:themeColor="text1"/>
                <w:sz w:val="24"/>
              </w:rPr>
              <w:t>盐城工业职业技术学院（盐城市解放南路285号）后勤服务中心四</w:t>
            </w:r>
            <w:r>
              <w:rPr>
                <w:rFonts w:hint="eastAsia" w:ascii="宋体" w:hAnsi="宋体" w:cs="宋体"/>
                <w:bCs/>
                <w:color w:val="000000" w:themeColor="text1"/>
                <w:sz w:val="24"/>
              </w:rPr>
              <w:t>楼402开标室。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11"/>
              <w:adjustRightInd w:val="0"/>
              <w:snapToGrid w:val="0"/>
              <w:spacing w:line="320" w:lineRule="exact"/>
              <w:jc w:val="center"/>
              <w:rPr>
                <w:rFonts w:hAnsi="宋体" w:cs="宋体"/>
                <w:color w:val="000000" w:themeColor="text1"/>
                <w:kern w:val="2"/>
                <w:sz w:val="24"/>
              </w:rPr>
            </w:pPr>
            <w:r>
              <w:rPr>
                <w:rFonts w:hint="eastAsia" w:hAnsi="宋体" w:cs="宋体"/>
                <w:color w:val="000000" w:themeColor="text1"/>
                <w:kern w:val="2"/>
                <w:sz w:val="24"/>
              </w:rPr>
              <w:t>5</w:t>
            </w:r>
          </w:p>
        </w:tc>
        <w:tc>
          <w:tcPr>
            <w:tcW w:w="8666" w:type="dxa"/>
            <w:tcBorders>
              <w:top w:val="single" w:color="auto" w:sz="4" w:space="0"/>
              <w:left w:val="single" w:color="auto" w:sz="4" w:space="0"/>
              <w:bottom w:val="single" w:color="auto" w:sz="4" w:space="0"/>
              <w:right w:val="single" w:color="auto" w:sz="8" w:space="0"/>
            </w:tcBorders>
            <w:vAlign w:val="center"/>
          </w:tcPr>
          <w:p>
            <w:pPr>
              <w:pStyle w:val="11"/>
              <w:adjustRightInd w:val="0"/>
              <w:snapToGrid w:val="0"/>
              <w:spacing w:line="300" w:lineRule="exact"/>
              <w:rPr>
                <w:rFonts w:hAnsi="宋体" w:cs="宋体"/>
                <w:color w:val="000000" w:themeColor="text1"/>
                <w:kern w:val="2"/>
                <w:sz w:val="24"/>
              </w:rPr>
            </w:pPr>
            <w:r>
              <w:rPr>
                <w:rFonts w:hint="eastAsia" w:hAnsi="宋体" w:cs="宋体"/>
                <w:color w:val="000000" w:themeColor="text1"/>
                <w:kern w:val="2"/>
                <w:sz w:val="24"/>
              </w:rPr>
              <w:t>开标时间：</w:t>
            </w:r>
            <w:r>
              <w:rPr>
                <w:rFonts w:hint="eastAsia" w:hAnsi="宋体" w:cs="宋体"/>
                <w:color w:val="000000" w:themeColor="text1"/>
                <w:sz w:val="24"/>
                <w:u w:val="single"/>
              </w:rPr>
              <w:t>2022年</w:t>
            </w:r>
            <w:r>
              <w:rPr>
                <w:rFonts w:hint="eastAsia" w:hAnsi="宋体" w:cs="宋体"/>
                <w:color w:val="000000" w:themeColor="text1"/>
                <w:sz w:val="24"/>
                <w:u w:val="single"/>
                <w:lang w:val="en-US" w:eastAsia="zh-CN"/>
              </w:rPr>
              <w:t>9</w:t>
            </w:r>
            <w:r>
              <w:rPr>
                <w:rFonts w:hint="eastAsia" w:hAnsi="宋体" w:cs="宋体"/>
                <w:color w:val="000000" w:themeColor="text1"/>
                <w:sz w:val="24"/>
                <w:u w:val="single"/>
              </w:rPr>
              <w:t>月</w:t>
            </w:r>
            <w:r>
              <w:rPr>
                <w:rFonts w:hint="eastAsia" w:hAnsi="宋体" w:cs="宋体"/>
                <w:color w:val="000000" w:themeColor="text1"/>
                <w:sz w:val="24"/>
                <w:u w:val="single"/>
                <w:lang w:val="en-US" w:eastAsia="zh-CN"/>
              </w:rPr>
              <w:t>26</w:t>
            </w:r>
            <w:r>
              <w:rPr>
                <w:rFonts w:hint="eastAsia" w:hAnsi="宋体" w:cs="宋体"/>
                <w:color w:val="000000" w:themeColor="text1"/>
                <w:sz w:val="24"/>
                <w:u w:val="single"/>
              </w:rPr>
              <w:t>日</w:t>
            </w:r>
            <w:r>
              <w:rPr>
                <w:rFonts w:hint="eastAsia" w:hAnsi="宋体" w:cs="宋体"/>
                <w:color w:val="000000" w:themeColor="text1"/>
                <w:sz w:val="24"/>
                <w:u w:val="single"/>
                <w:lang w:val="en-US" w:eastAsia="zh-CN"/>
              </w:rPr>
              <w:t>15</w:t>
            </w:r>
            <w:r>
              <w:rPr>
                <w:rFonts w:hint="eastAsia" w:hAnsi="宋体" w:cs="宋体"/>
                <w:color w:val="000000" w:themeColor="text1"/>
                <w:sz w:val="24"/>
                <w:u w:val="single"/>
              </w:rPr>
              <w:t>时</w:t>
            </w:r>
            <w:r>
              <w:rPr>
                <w:rFonts w:hint="eastAsia" w:hAnsi="宋体" w:cs="宋体"/>
                <w:color w:val="000000" w:themeColor="text1"/>
                <w:kern w:val="2"/>
                <w:sz w:val="24"/>
              </w:rPr>
              <w:t>；</w:t>
            </w:r>
          </w:p>
          <w:p>
            <w:pPr>
              <w:spacing w:line="440" w:lineRule="exact"/>
              <w:rPr>
                <w:rFonts w:hAnsi="宋体" w:cs="宋体"/>
                <w:color w:val="000000" w:themeColor="text1"/>
                <w:sz w:val="24"/>
                <w:u w:val="single"/>
              </w:rPr>
            </w:pPr>
            <w:r>
              <w:rPr>
                <w:rFonts w:hint="eastAsia" w:hAnsi="宋体" w:cs="宋体"/>
                <w:color w:val="000000" w:themeColor="text1"/>
                <w:sz w:val="24"/>
              </w:rPr>
              <w:t>地点:</w:t>
            </w:r>
            <w:r>
              <w:rPr>
                <w:rStyle w:val="53"/>
                <w:rFonts w:hint="eastAsia" w:ascii="宋体" w:hAnsi="宋体"/>
                <w:color w:val="000000" w:themeColor="text1"/>
                <w:sz w:val="24"/>
              </w:rPr>
              <w:t>盐城工业职业技术学院（盐城市解放南路285号）后勤服务中心四</w:t>
            </w:r>
            <w:r>
              <w:rPr>
                <w:rFonts w:hint="eastAsia" w:ascii="宋体" w:hAnsi="宋体" w:cs="宋体"/>
                <w:bCs/>
                <w:color w:val="000000" w:themeColor="text1"/>
                <w:sz w:val="24"/>
              </w:rPr>
              <w:t>楼402开标室。</w:t>
            </w:r>
          </w:p>
          <w:p>
            <w:pPr>
              <w:spacing w:line="300" w:lineRule="exact"/>
              <w:rPr>
                <w:rFonts w:ascii="宋体" w:hAnsi="宋体" w:cs="宋体"/>
                <w:color w:val="000000" w:themeColor="text1"/>
                <w:sz w:val="24"/>
              </w:rPr>
            </w:pPr>
            <w:r>
              <w:rPr>
                <w:rFonts w:hint="eastAsia" w:ascii="宋体" w:hAnsi="宋体" w:cs="宋体"/>
                <w:color w:val="000000" w:themeColor="text1"/>
                <w:sz w:val="24"/>
              </w:rPr>
              <w:t>必须出席开标会的人员：投标人的法定代表人或委托代理人；</w:t>
            </w:r>
          </w:p>
          <w:p>
            <w:pPr>
              <w:spacing w:line="300" w:lineRule="exact"/>
              <w:rPr>
                <w:rFonts w:ascii="宋体" w:hAnsi="宋体" w:cs="宋体"/>
                <w:color w:val="000000" w:themeColor="text1"/>
                <w:sz w:val="24"/>
                <w:u w:val="single"/>
              </w:rPr>
            </w:pPr>
            <w:r>
              <w:rPr>
                <w:rFonts w:hint="eastAsia" w:ascii="宋体" w:hAnsi="宋体" w:cs="宋体"/>
                <w:color w:val="000000" w:themeColor="text1"/>
                <w:sz w:val="24"/>
              </w:rPr>
              <w:t>招标人要求所有投标人出席开标会的人员，应当按时参加开标会；以上招标人要求出席开标会议的人员，应在招标人按开标程序进行点名时，出示本人二代身份证原件（不含临时身份证），凡二代身份证在开标时不能出示的或提供虚假证件的，招标人当场退回其投标文件。</w:t>
            </w:r>
          </w:p>
        </w:tc>
      </w:tr>
    </w:tbl>
    <w:p>
      <w:pPr>
        <w:spacing w:line="500" w:lineRule="exact"/>
        <w:ind w:firstLine="480" w:firstLineChars="200"/>
        <w:jc w:val="center"/>
        <w:rPr>
          <w:rFonts w:ascii="宋体" w:hAnsi="宋体" w:cs="宋体"/>
          <w:b/>
          <w:bCs/>
          <w:color w:val="000000" w:themeColor="text1"/>
          <w:sz w:val="44"/>
        </w:rPr>
      </w:pPr>
      <w:r>
        <w:rPr>
          <w:rFonts w:hint="eastAsia" w:ascii="宋体" w:hAnsi="宋体" w:cs="宋体"/>
          <w:b/>
          <w:color w:val="000000" w:themeColor="text1"/>
          <w:sz w:val="24"/>
        </w:rPr>
        <w:br w:type="page"/>
      </w:r>
      <w:r>
        <w:rPr>
          <w:rFonts w:hint="eastAsia" w:ascii="宋体" w:hAnsi="宋体" w:cs="宋体"/>
          <w:b/>
          <w:color w:val="000000" w:themeColor="text1"/>
          <w:sz w:val="44"/>
          <w:szCs w:val="44"/>
        </w:rPr>
        <w:t>第二部分  总则</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1、综合说明</w:t>
      </w:r>
    </w:p>
    <w:p>
      <w:pPr>
        <w:snapToGrid w:val="0"/>
        <w:spacing w:line="440" w:lineRule="exact"/>
        <w:ind w:firstLine="480" w:firstLineChars="200"/>
        <w:jc w:val="left"/>
        <w:rPr>
          <w:rFonts w:ascii="宋体" w:hAnsi="宋体" w:cs="宋体"/>
          <w:color w:val="000000" w:themeColor="text1"/>
          <w:sz w:val="24"/>
        </w:rPr>
      </w:pPr>
      <w:r>
        <w:rPr>
          <w:rFonts w:hint="eastAsia" w:ascii="宋体" w:hAnsi="宋体" w:cs="宋体"/>
          <w:b/>
          <w:bCs/>
          <w:color w:val="000000" w:themeColor="text1"/>
          <w:sz w:val="24"/>
        </w:rPr>
        <w:t>1.1</w:t>
      </w:r>
      <w:r>
        <w:rPr>
          <w:rFonts w:hint="eastAsia" w:ascii="宋体" w:hAnsi="宋体" w:cs="宋体"/>
          <w:b/>
          <w:color w:val="000000" w:themeColor="text1"/>
          <w:sz w:val="24"/>
        </w:rPr>
        <w:t>招标范围及标段划分：</w:t>
      </w:r>
      <w:r>
        <w:rPr>
          <w:rFonts w:hint="eastAsia" w:ascii="宋体" w:hAnsi="宋体" w:cs="宋体"/>
          <w:color w:val="000000" w:themeColor="text1"/>
          <w:sz w:val="24"/>
        </w:rPr>
        <w:t>盐城工业职业技术学院药品与健康管理学院药物制剂仿真一体实训室改造工程项目，具体内容详按工程量清单及招标人要求执行，招标人保留进行调整的权利。本次招标共为1个标段。</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1.2项目地点：</w:t>
      </w:r>
      <w:r>
        <w:rPr>
          <w:rFonts w:hint="eastAsia" w:ascii="宋体" w:hAnsi="宋体" w:cs="宋体"/>
          <w:color w:val="000000" w:themeColor="text1"/>
          <w:sz w:val="24"/>
        </w:rPr>
        <w:t>盐城工业职业技术学院内（盐城市解放南路285号）。</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1.3承包方式：</w:t>
      </w:r>
      <w:r>
        <w:rPr>
          <w:rFonts w:hint="eastAsia" w:ascii="宋体" w:hAnsi="宋体" w:cs="宋体"/>
          <w:color w:val="000000" w:themeColor="text1"/>
          <w:sz w:val="24"/>
        </w:rPr>
        <w:t>包工包料。</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1.4资金来源及比例：</w:t>
      </w:r>
      <w:r>
        <w:rPr>
          <w:rFonts w:hint="eastAsia" w:ascii="宋体" w:hAnsi="宋体" w:cs="宋体"/>
          <w:color w:val="000000" w:themeColor="text1"/>
          <w:sz w:val="24"/>
        </w:rPr>
        <w:t>国有资金100%。</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2、招标方式</w:t>
      </w:r>
    </w:p>
    <w:p>
      <w:pPr>
        <w:spacing w:line="500" w:lineRule="exact"/>
        <w:ind w:firstLine="480" w:firstLineChars="200"/>
        <w:rPr>
          <w:rFonts w:ascii="宋体" w:hAnsi="宋体" w:cs="宋体"/>
          <w:b/>
          <w:color w:val="000000" w:themeColor="text1"/>
          <w:sz w:val="24"/>
        </w:rPr>
      </w:pPr>
      <w:r>
        <w:rPr>
          <w:rFonts w:hint="eastAsia" w:ascii="宋体" w:hAnsi="宋体" w:cs="宋体"/>
          <w:color w:val="000000" w:themeColor="text1"/>
          <w:sz w:val="24"/>
        </w:rPr>
        <w:t>2.1 本项目招标方式：公开招标。</w:t>
      </w:r>
    </w:p>
    <w:p>
      <w:pPr>
        <w:spacing w:line="500" w:lineRule="exact"/>
        <w:ind w:firstLine="480" w:firstLineChars="200"/>
        <w:rPr>
          <w:rFonts w:ascii="宋体" w:hAnsi="宋体" w:cs="宋体"/>
          <w:b/>
          <w:color w:val="000000" w:themeColor="text1"/>
          <w:sz w:val="24"/>
        </w:rPr>
      </w:pPr>
      <w:r>
        <w:rPr>
          <w:rFonts w:hint="eastAsia" w:ascii="宋体" w:hAnsi="宋体" w:cs="宋体"/>
          <w:color w:val="000000" w:themeColor="text1"/>
          <w:sz w:val="24"/>
        </w:rPr>
        <w:t>2.2 招标文件的组成：本项目招标文件由投标须知、总则、技术参数、投标文件编制方法及要求、开标、评标、定标、合同主要条款、评标定标办法、附件等八部分等内容组成。</w:t>
      </w:r>
    </w:p>
    <w:p>
      <w:pPr>
        <w:snapToGrid w:val="0"/>
        <w:spacing w:line="500" w:lineRule="exact"/>
        <w:ind w:firstLine="480" w:firstLineChars="200"/>
        <w:jc w:val="left"/>
        <w:rPr>
          <w:rFonts w:ascii="宋体" w:hAnsi="宋体" w:cs="宋体"/>
          <w:b/>
          <w:color w:val="000000" w:themeColor="text1"/>
          <w:sz w:val="24"/>
        </w:rPr>
      </w:pPr>
      <w:r>
        <w:rPr>
          <w:rFonts w:hint="eastAsia" w:ascii="宋体" w:hAnsi="宋体" w:cs="宋体"/>
          <w:b/>
          <w:color w:val="000000" w:themeColor="text1"/>
          <w:sz w:val="24"/>
        </w:rPr>
        <w:t>3、投标人资格要求</w:t>
      </w:r>
    </w:p>
    <w:p>
      <w:pPr>
        <w:snapToGrid w:val="0"/>
        <w:spacing w:line="360" w:lineRule="auto"/>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3.1投标人资格要求：投标人须是在中国境内注册，具有行政主管部门核发的建筑工程施工总承包三级及以上资质或建筑装修装饰工程专业承包二级及以上资质或建筑装饰装修工程设计与施工一体化三级及以上资质的独立法人，且取得安全生产许可证。</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3.3信誉要求</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（1）投标人没有被国家、江苏省省级有关部门及盐城市级有关部门暂停招投标或市场准入资格且在公示处罚期内。</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2）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3）投标人作为失信联合惩戒对象，被采取依法限制参与建设工程招投标惩戒措施的，被有关部门推送在“信用中国”、“信用江苏”、“信用盐城”相关网站公示且在有效期内的，本项目的招标人拒绝其投标，资格审查不予通过，不得被确定为中标候选人、中标人。在一次招投标活动中，资格预审申请人、投标人或者中标候选人因正被列为联合惩戒对象，导致其资格预审不通过或者被取消中标候选人资格、中标人资格的，不因其之后失信信息被撤销或更正而改变已经作出的决定。</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3.4投标项目负责人资格要求：项目负责人须具有建筑工程专业二级及以上建造师资格，同时须具有安全生产考核合格证（B类）。</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3.5项目负责人从本工程投标文件递交截止之日起必须满足下列条件：</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项目负责人不得同时在两个或者两个以上单位受聘或者执业特指以下三种情形：</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（一）同时在两个及以上单位签订劳动合同或交纳社会保险；</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（二）将本人执（职）业资格证书同时注册在两个及以上单位</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（三）项目负责人担任其他公司法定代表人。</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项目负责人投标截止时不得同时在其他建设工程项目中担任现场管理人员、不在本项目兼任本项目的其它岗位。</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 xml:space="preserve">    在建工程：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3.6本项目招标人不接受投标人的企业法定代表人担任项目负责人。</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3.7本项目招标人不接受企业退休人员担任项目负责人。</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3.8投标申请人须保证项目负责人及代理人均为本单位的正式职工，并确保从2021年1月开始至投标截止之日当月至少连续6个月均已在本单位缴纳养老保险，中标候选人公示前、异议（投诉）提出时相关单位需提供缴费记录证明原件给招标人核验。（例：如开标日期为20</w:t>
      </w:r>
      <w:r>
        <w:rPr>
          <w:rFonts w:hint="eastAsia" w:ascii="宋体" w:hAnsi="宋体" w:cs="宋体"/>
          <w:bCs/>
          <w:color w:val="000000" w:themeColor="text1"/>
          <w:sz w:val="24"/>
          <w:lang w:val="en-US" w:eastAsia="zh-CN"/>
        </w:rPr>
        <w:t>21</w:t>
      </w:r>
      <w:r>
        <w:rPr>
          <w:rFonts w:hint="eastAsia" w:ascii="宋体" w:hAnsi="宋体" w:cs="宋体"/>
          <w:bCs/>
          <w:color w:val="000000" w:themeColor="text1"/>
          <w:sz w:val="24"/>
        </w:rPr>
        <w:t>年10月的某一天，则投标单位需保证以上人员20</w:t>
      </w:r>
      <w:r>
        <w:rPr>
          <w:rFonts w:hint="eastAsia" w:ascii="宋体" w:hAnsi="宋体" w:cs="宋体"/>
          <w:bCs/>
          <w:color w:val="000000" w:themeColor="text1"/>
          <w:sz w:val="24"/>
          <w:lang w:val="en-US" w:eastAsia="zh-CN"/>
        </w:rPr>
        <w:t>21</w:t>
      </w:r>
      <w:r>
        <w:rPr>
          <w:rFonts w:hint="eastAsia" w:ascii="宋体" w:hAnsi="宋体" w:cs="宋体"/>
          <w:bCs/>
          <w:color w:val="000000" w:themeColor="text1"/>
          <w:sz w:val="24"/>
        </w:rPr>
        <w:t>年2月以后任意连续6月养老保险均在本单位缴纳）。</w:t>
      </w:r>
    </w:p>
    <w:p>
      <w:pPr>
        <w:spacing w:line="440" w:lineRule="exact"/>
        <w:ind w:firstLine="480" w:firstLineChars="200"/>
        <w:jc w:val="left"/>
        <w:rPr>
          <w:rFonts w:ascii="宋体" w:hAnsi="宋体" w:cs="宋体"/>
          <w:bCs/>
          <w:color w:val="000000" w:themeColor="text1"/>
          <w:sz w:val="24"/>
        </w:rPr>
      </w:pPr>
      <w:r>
        <w:rPr>
          <w:rFonts w:hint="eastAsia" w:ascii="宋体" w:hAnsi="宋体" w:cs="宋体"/>
          <w:bCs/>
          <w:color w:val="000000" w:themeColor="text1"/>
          <w:sz w:val="24"/>
        </w:rPr>
        <w:t>3.9本招标工程不接受联合体投标。</w:t>
      </w:r>
    </w:p>
    <w:p>
      <w:pPr>
        <w:spacing w:line="50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3.10投标人不得存在下列情形之一：</w:t>
      </w:r>
    </w:p>
    <w:p>
      <w:pPr>
        <w:spacing w:line="50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3.10.1.为招标人不具有独立法人资格的附属机构（单位）。</w:t>
      </w:r>
    </w:p>
    <w:p>
      <w:pPr>
        <w:spacing w:line="50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3.10.2.为本招标项目的监理人、代建人、项目管理人，以及为本招标项目提供招标代理、设计服务的。</w:t>
      </w:r>
    </w:p>
    <w:p>
      <w:pPr>
        <w:spacing w:line="50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3.10.3.与本招标项目的监理人、代建人、招标代理机构同为一个法定代表人的，或者相互控股、参股的。</w:t>
      </w:r>
    </w:p>
    <w:p>
      <w:pPr>
        <w:spacing w:line="50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3.10.4.与招标人存在利害关系可能影响招标公正性的。</w:t>
      </w:r>
    </w:p>
    <w:p>
      <w:pPr>
        <w:spacing w:line="50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 xml:space="preserve">3.10.5.单位负责人为同一人或者存在控股、管理关系的不同单位。    </w:t>
      </w:r>
    </w:p>
    <w:p>
      <w:pPr>
        <w:spacing w:line="50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3.10.6.处于被责令停业、财产被接管、冻结和破产状态，以及投标资格被取消或者被暂停且在暂停期内。</w:t>
      </w:r>
    </w:p>
    <w:p>
      <w:pPr>
        <w:spacing w:line="50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3.10.7.因拖欠工人工资或者因发生质量安全事故被有关部门限制在招标项目所在地承接工程的。</w:t>
      </w:r>
    </w:p>
    <w:p>
      <w:pPr>
        <w:snapToGrid w:val="0"/>
        <w:spacing w:line="50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3.11符合法律、法规规定的其他条件。</w:t>
      </w:r>
    </w:p>
    <w:p>
      <w:pPr>
        <w:spacing w:line="500" w:lineRule="exact"/>
        <w:ind w:firstLine="480" w:firstLineChars="200"/>
        <w:outlineLvl w:val="0"/>
        <w:rPr>
          <w:rFonts w:ascii="宋体" w:hAnsi="宋体" w:cs="宋体"/>
          <w:b/>
          <w:color w:val="000000" w:themeColor="text1"/>
          <w:sz w:val="24"/>
        </w:rPr>
      </w:pPr>
      <w:r>
        <w:rPr>
          <w:rFonts w:hint="eastAsia" w:ascii="宋体" w:hAnsi="宋体" w:cs="宋体"/>
          <w:b/>
          <w:color w:val="000000" w:themeColor="text1"/>
          <w:sz w:val="24"/>
        </w:rPr>
        <w:t xml:space="preserve">4、资格审查方式 </w:t>
      </w:r>
    </w:p>
    <w:p>
      <w:pPr>
        <w:snapToGrid w:val="0"/>
        <w:spacing w:line="50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4.1本招标项目资格审查方式：采用</w:t>
      </w:r>
      <w:r>
        <w:rPr>
          <w:rFonts w:hint="eastAsia" w:ascii="宋体" w:hAnsi="宋体" w:cs="宋体"/>
          <w:b/>
          <w:color w:val="000000" w:themeColor="text1"/>
          <w:sz w:val="24"/>
          <w:u w:val="single"/>
        </w:rPr>
        <w:t>资格后审</w:t>
      </w:r>
      <w:r>
        <w:rPr>
          <w:rFonts w:hint="eastAsia" w:ascii="宋体" w:hAnsi="宋体" w:cs="宋体"/>
          <w:color w:val="000000" w:themeColor="text1"/>
          <w:sz w:val="24"/>
        </w:rPr>
        <w:t>办法。</w:t>
      </w:r>
    </w:p>
    <w:p>
      <w:pPr>
        <w:snapToGrid w:val="0"/>
        <w:spacing w:line="500" w:lineRule="exact"/>
        <w:ind w:firstLine="480" w:firstLineChars="200"/>
        <w:jc w:val="left"/>
        <w:rPr>
          <w:rFonts w:ascii="宋体" w:hAnsi="宋体" w:cs="宋体"/>
          <w:b/>
          <w:color w:val="000000" w:themeColor="text1"/>
          <w:sz w:val="24"/>
        </w:rPr>
      </w:pPr>
      <w:r>
        <w:rPr>
          <w:rFonts w:hint="eastAsia" w:ascii="宋体" w:hAnsi="宋体" w:cs="宋体"/>
          <w:b/>
          <w:color w:val="000000" w:themeColor="text1"/>
          <w:sz w:val="24"/>
        </w:rPr>
        <w:t>5、投标有效期</w:t>
      </w:r>
    </w:p>
    <w:p>
      <w:pPr>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本招标项目投标有效期为 </w:t>
      </w:r>
      <w:r>
        <w:rPr>
          <w:rFonts w:hint="eastAsia" w:ascii="宋体" w:hAnsi="宋体" w:cs="宋体"/>
          <w:color w:val="000000" w:themeColor="text1"/>
          <w:sz w:val="24"/>
          <w:u w:val="single"/>
        </w:rPr>
        <w:t>90</w:t>
      </w:r>
      <w:r>
        <w:rPr>
          <w:rFonts w:hint="eastAsia" w:ascii="宋体" w:hAnsi="宋体" w:cs="宋体"/>
          <w:color w:val="000000" w:themeColor="text1"/>
          <w:sz w:val="24"/>
        </w:rPr>
        <w:t>日。</w:t>
      </w:r>
    </w:p>
    <w:p>
      <w:pPr>
        <w:spacing w:line="500" w:lineRule="exact"/>
        <w:ind w:firstLine="480" w:firstLineChars="200"/>
        <w:outlineLvl w:val="0"/>
        <w:rPr>
          <w:rFonts w:ascii="宋体" w:hAnsi="宋体" w:cs="宋体"/>
          <w:b/>
          <w:color w:val="000000" w:themeColor="text1"/>
          <w:sz w:val="24"/>
        </w:rPr>
      </w:pPr>
      <w:r>
        <w:rPr>
          <w:rFonts w:hint="eastAsia" w:ascii="宋体" w:hAnsi="宋体" w:cs="宋体"/>
          <w:b/>
          <w:color w:val="000000" w:themeColor="text1"/>
          <w:sz w:val="24"/>
        </w:rPr>
        <w:t>6、投标保证金</w:t>
      </w:r>
    </w:p>
    <w:p>
      <w:pPr>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6.1本次投标收取保证金，具体详见招标须知前附表。投标人必须以企业法人的名义提交投标保证金，并必须从投标人的法人基本存款账户缴纳。以个人、企业的办事处、分公司、子公司、项目部名义或从他人账户、投标人的其他账户缴纳的保证金无效。</w:t>
      </w:r>
    </w:p>
    <w:p>
      <w:pPr>
        <w:spacing w:line="500" w:lineRule="exact"/>
        <w:ind w:firstLine="480" w:firstLineChars="200"/>
        <w:rPr>
          <w:rFonts w:ascii="宋体" w:hAnsi="宋体" w:cs="宋体"/>
          <w:color w:val="000000" w:themeColor="text1"/>
          <w:kern w:val="0"/>
          <w:sz w:val="24"/>
        </w:rPr>
      </w:pPr>
      <w:r>
        <w:rPr>
          <w:rFonts w:hint="eastAsia" w:ascii="宋体" w:hAnsi="宋体" w:cs="宋体"/>
          <w:color w:val="000000" w:themeColor="text1"/>
          <w:sz w:val="24"/>
        </w:rPr>
        <w:t>投标人缴纳投标保证金的，无故不投标的投标保证金暂扣；如因特殊原因不能投标的，应与开标前向招标人提出书面申请并说明原因，获得招标人的认可。</w:t>
      </w:r>
    </w:p>
    <w:p>
      <w:pPr>
        <w:adjustRightInd w:val="0"/>
        <w:snapToGrid w:val="0"/>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6.2　除不可抗力情况外，投标人出现下列情形之一的，没收其投标保证金，已中标的，取消其中标资格，给招标人造成的损失超过投标保证金数额的，中标人还应当对超过部分予以赔偿：  </w:t>
      </w:r>
    </w:p>
    <w:p>
      <w:pPr>
        <w:adjustRightInd w:val="0"/>
        <w:snapToGrid w:val="0"/>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6.2.1投标人在投标有效期内撤回或修改其投标文件的；</w:t>
      </w:r>
    </w:p>
    <w:p>
      <w:pPr>
        <w:adjustRightInd w:val="0"/>
        <w:snapToGrid w:val="0"/>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6.2.2中标后无正当理由放弃中标项目的；</w:t>
      </w:r>
    </w:p>
    <w:p>
      <w:pPr>
        <w:adjustRightInd w:val="0"/>
        <w:snapToGrid w:val="0"/>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6.2.3中标后拒不按照招标文件的要求提交履约保证金的；</w:t>
      </w:r>
    </w:p>
    <w:p>
      <w:pPr>
        <w:adjustRightInd w:val="0"/>
        <w:snapToGrid w:val="0"/>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6.2.4中标后无正当理由不与招标人签订合同，或者在签订合同时向招标人提出附加条件或者更改合同实质性内容要求的。</w:t>
      </w:r>
    </w:p>
    <w:p>
      <w:pPr>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6.2.5投标有效期间，投标人在中国行政区域有不良行为记录且在公示期内，经查属实的；</w:t>
      </w:r>
    </w:p>
    <w:p>
      <w:pPr>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6.2.6投标人的</w:t>
      </w:r>
      <w:r>
        <w:rPr>
          <w:rFonts w:hint="eastAsia" w:ascii="宋体" w:hAnsi="宋体" w:cs="宋体"/>
          <w:color w:val="000000" w:themeColor="text1"/>
          <w:sz w:val="24"/>
          <w:shd w:val="clear" w:color="auto" w:fill="FFFFFF"/>
        </w:rPr>
        <w:t>项目负责人</w:t>
      </w:r>
      <w:r>
        <w:rPr>
          <w:rFonts w:hint="eastAsia" w:ascii="宋体" w:hAnsi="宋体" w:cs="宋体"/>
          <w:color w:val="000000" w:themeColor="text1"/>
          <w:sz w:val="24"/>
        </w:rPr>
        <w:t>被反映或投诉有在建工程，并经查属实的。</w:t>
      </w:r>
    </w:p>
    <w:p>
      <w:pPr>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6.2.7 投标人存在串通投标行为的。</w:t>
      </w:r>
    </w:p>
    <w:p>
      <w:pPr>
        <w:adjustRightInd w:val="0"/>
        <w:snapToGrid w:val="0"/>
        <w:spacing w:line="500" w:lineRule="exact"/>
        <w:ind w:firstLine="480" w:firstLineChars="200"/>
        <w:rPr>
          <w:rFonts w:ascii="宋体" w:hAnsi="宋体" w:cs="宋体"/>
          <w:b/>
          <w:color w:val="000000" w:themeColor="text1"/>
          <w:sz w:val="24"/>
        </w:rPr>
      </w:pPr>
      <w:r>
        <w:rPr>
          <w:rFonts w:hint="eastAsia" w:ascii="宋体" w:hAnsi="宋体" w:cs="宋体"/>
          <w:color w:val="000000" w:themeColor="text1"/>
          <w:sz w:val="24"/>
        </w:rPr>
        <w:t>投标人（中标人）存在前款所述情形的，除按有关法律法规规定处罚外，还将作为其不良行为记录在有关网站上予以公示。</w:t>
      </w:r>
    </w:p>
    <w:p>
      <w:pPr>
        <w:rPr>
          <w:rFonts w:ascii="宋体" w:hAnsi="宋体" w:cs="宋体"/>
          <w:b/>
          <w:color w:val="000000" w:themeColor="text1"/>
          <w:sz w:val="44"/>
          <w:szCs w:val="44"/>
        </w:rPr>
      </w:pPr>
      <w:r>
        <w:rPr>
          <w:rFonts w:hint="eastAsia" w:ascii="宋体" w:hAnsi="宋体" w:cs="宋体"/>
          <w:b/>
          <w:color w:val="000000" w:themeColor="text1"/>
          <w:sz w:val="44"/>
          <w:szCs w:val="44"/>
        </w:rPr>
        <w:br w:type="page"/>
      </w:r>
    </w:p>
    <w:p>
      <w:pPr>
        <w:spacing w:line="500" w:lineRule="exact"/>
        <w:jc w:val="center"/>
        <w:rPr>
          <w:rFonts w:ascii="宋体" w:hAnsi="宋体" w:cs="宋体"/>
          <w:b/>
          <w:color w:val="000000" w:themeColor="text1"/>
          <w:sz w:val="44"/>
          <w:szCs w:val="44"/>
        </w:rPr>
      </w:pPr>
      <w:r>
        <w:rPr>
          <w:rFonts w:hint="eastAsia" w:ascii="宋体" w:hAnsi="宋体" w:cs="宋体"/>
          <w:b/>
          <w:color w:val="000000" w:themeColor="text1"/>
          <w:sz w:val="44"/>
          <w:szCs w:val="44"/>
        </w:rPr>
        <w:t>第三部分  技术参数</w:t>
      </w:r>
    </w:p>
    <w:p>
      <w:pPr>
        <w:spacing w:line="500" w:lineRule="exact"/>
        <w:jc w:val="center"/>
        <w:rPr>
          <w:rFonts w:ascii="宋体" w:hAnsi="宋体" w:cs="宋体"/>
          <w:b/>
          <w:color w:val="000000" w:themeColor="text1"/>
          <w:sz w:val="44"/>
          <w:szCs w:val="44"/>
        </w:rPr>
      </w:pPr>
    </w:p>
    <w:p>
      <w:pPr>
        <w:spacing w:line="44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1、计税方式</w:t>
      </w:r>
    </w:p>
    <w:p>
      <w:pPr>
        <w:spacing w:line="44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本项目采用增值税一般计税方法。</w:t>
      </w:r>
    </w:p>
    <w:p>
      <w:pPr>
        <w:spacing w:line="44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2、合同定价方式</w:t>
      </w:r>
    </w:p>
    <w:p>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全费用综合单价合同。本项目建设工程合同采用“全费用综合单价合同”，量的风险由招标人承担，价的风险在约定风险范围内的，由承包人承担。投标人应充分考虑施工期间各类建材的市场风险、国家政策性调整风险系数和招标人对工期、质量等的要求，并计入综合单价，在约定的风险范围内综合单价不予调整。</w:t>
      </w:r>
    </w:p>
    <w:p>
      <w:pPr>
        <w:spacing w:line="44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3、投标报价</w:t>
      </w:r>
    </w:p>
    <w:p>
      <w:pPr>
        <w:autoSpaceDN w:val="0"/>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3.1投标报价范围：投标报价为投标人在投标文件中提出的各项支付金额的总和。投标报价应包括投标人在承诺工期内，达到投标人所承诺的质量标准，为完成本工程施工图纸、招标文件及工程量清单所确定的招标范围内的全部内容，所需要支付的一切费用和拟获得的利润、税金，并考虑了应承担的风险。投标人应充分考虑为完成上述内容所必须的人工费、材料费、机械费、管理费、利润、所有措施项目费、规费、税金以及附属工程临时工程、环境保护、特殊条件施工、地方矛盾处理、总承包服务费、风险费、现场施工围栏、竣工面的清理、垃圾清运、成品保护以及各种管线、建筑物、构筑物的加固围护费，以及政策性文件规定和市场风险等所需的全部费用，并计入投标报价中，凡漏项或少计均视为已包含在本次投标报价的范围内，招标人不再另行增加费用，竣工结算时均不调整。</w:t>
      </w:r>
    </w:p>
    <w:p>
      <w:pPr>
        <w:autoSpaceDN w:val="0"/>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3.2投标报价的方式：全费用综合单价报价。以体现风险共担的原则。由招标人提供工程量清单，投标人以工程量清单及图纸为基础填报相应的全费用单价并计算合价。招标人要求投标人承担本招标文件合同专用条款中约定的风险内容及其范围（幅度）产生的风险费用，在施工过程中，当出现的风险内容及其范围（幅度）在合同约定的范围内，工程价款不作调整。</w:t>
      </w:r>
    </w:p>
    <w:p>
      <w:pPr>
        <w:autoSpaceDN w:val="0"/>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若无相关设计变更，除本招标文件及施工合同约定允许调整外中标的全费用单价不予调整，工程量按实际完成工程量结算。</w:t>
      </w:r>
    </w:p>
    <w:p>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3.3投标报价的计价方法：本工程投标报价采用“工程量清单计价”法。投标人应根据招标人提供的工程量清单和施工图纸计算工程项目的全费用单价和合价。工程量清单中每一个子目的单项均需计算并填写全费用单价、合价。投标人对招标人提供的工程量清单如有异议（包括对工程量清单中漏项的疑问），应在收到招标文件后按投标须知中规定的疑问送达时间提出。各投标人不得对招标人答疑后的工程量清单的序号、项目编码、项目名称、项目特征、计量单位、工程数量、暂列金额、暂估价等进行调整。对施工中发生的所有措施费及可预见费用由施工单位自行考虑，计入总价。</w:t>
      </w:r>
    </w:p>
    <w:p>
      <w:pPr>
        <w:kinsoku w:val="0"/>
        <w:overflowPunct w:val="0"/>
        <w:autoSpaceDE w:val="0"/>
        <w:autoSpaceDN w:val="0"/>
        <w:adjustRightInd w:val="0"/>
        <w:spacing w:line="440" w:lineRule="exact"/>
        <w:ind w:firstLine="480" w:firstLineChars="200"/>
        <w:jc w:val="left"/>
        <w:rPr>
          <w:rFonts w:ascii="宋体" w:hAnsi="宋体" w:cs="宋体"/>
          <w:b/>
          <w:bCs/>
          <w:color w:val="000000" w:themeColor="text1"/>
          <w:sz w:val="24"/>
        </w:rPr>
      </w:pPr>
      <w:r>
        <w:rPr>
          <w:rFonts w:hint="eastAsia" w:ascii="宋体" w:hAnsi="宋体" w:cs="宋体"/>
          <w:b/>
          <w:bCs/>
          <w:color w:val="000000" w:themeColor="text1"/>
          <w:sz w:val="24"/>
        </w:rPr>
        <w:t>4、</w:t>
      </w:r>
      <w:bookmarkStart w:id="0" w:name="_Toc247513970"/>
      <w:bookmarkEnd w:id="0"/>
      <w:bookmarkStart w:id="1" w:name="_Toc300834967"/>
      <w:bookmarkEnd w:id="1"/>
      <w:bookmarkStart w:id="2" w:name="_Toc152042322"/>
      <w:bookmarkEnd w:id="2"/>
      <w:bookmarkStart w:id="3" w:name="_Toc144974514"/>
      <w:bookmarkEnd w:id="3"/>
      <w:bookmarkStart w:id="4" w:name="_Toc247527571"/>
      <w:bookmarkEnd w:id="4"/>
      <w:bookmarkStart w:id="5" w:name="_Toc152045546"/>
      <w:bookmarkEnd w:id="5"/>
      <w:r>
        <w:rPr>
          <w:rFonts w:hint="eastAsia" w:ascii="宋体" w:hAnsi="宋体" w:cs="宋体"/>
          <w:b/>
          <w:bCs/>
          <w:color w:val="000000" w:themeColor="text1"/>
          <w:sz w:val="24"/>
        </w:rPr>
        <w:t>招标控制价</w:t>
      </w:r>
    </w:p>
    <w:p>
      <w:pPr>
        <w:spacing w:line="440" w:lineRule="exact"/>
        <w:ind w:firstLine="480" w:firstLineChars="200"/>
        <w:rPr>
          <w:rFonts w:ascii="宋体" w:hAnsi="宋体" w:cs="宋体"/>
          <w:color w:val="000000" w:themeColor="text1"/>
          <w:sz w:val="24"/>
        </w:rPr>
      </w:pPr>
      <w:r>
        <w:rPr>
          <w:rFonts w:hint="eastAsia" w:ascii="宋体" w:hAnsi="宋体" w:cs="宋体"/>
          <w:b/>
          <w:color w:val="000000" w:themeColor="text1"/>
          <w:sz w:val="24"/>
        </w:rPr>
        <w:t>4.1本工程招标控制价为人民币</w:t>
      </w:r>
      <w:r>
        <w:rPr>
          <w:rFonts w:hint="eastAsia" w:ascii="宋体" w:hAnsi="宋体" w:cs="宋体"/>
          <w:b/>
          <w:color w:val="000000" w:themeColor="text1"/>
          <w:sz w:val="24"/>
          <w:u w:val="single"/>
        </w:rPr>
        <w:t>4</w:t>
      </w:r>
      <w:r>
        <w:rPr>
          <w:rFonts w:hint="eastAsia" w:ascii="宋体" w:hAnsi="宋体" w:cs="宋体"/>
          <w:b/>
          <w:color w:val="000000" w:themeColor="text1"/>
          <w:sz w:val="24"/>
          <w:u w:val="single"/>
          <w:lang w:val="en-US" w:eastAsia="zh-CN"/>
        </w:rPr>
        <w:t>8</w:t>
      </w:r>
      <w:r>
        <w:rPr>
          <w:rFonts w:hint="eastAsia" w:ascii="宋体" w:hAnsi="宋体" w:cs="宋体"/>
          <w:b/>
          <w:color w:val="000000" w:themeColor="text1"/>
          <w:sz w:val="24"/>
          <w:u w:val="single"/>
        </w:rPr>
        <w:t>万元</w:t>
      </w:r>
      <w:r>
        <w:rPr>
          <w:rFonts w:hint="eastAsia" w:ascii="宋体" w:hAnsi="宋体" w:cs="宋体"/>
          <w:color w:val="000000" w:themeColor="text1"/>
          <w:sz w:val="24"/>
        </w:rPr>
        <w:t>。投标人的投标报价不得超过招标控制价价，否则作为无效标书处理。</w:t>
      </w:r>
    </w:p>
    <w:p>
      <w:pPr>
        <w:spacing w:line="440" w:lineRule="exact"/>
        <w:ind w:firstLine="420"/>
        <w:rPr>
          <w:rFonts w:ascii="宋体" w:hAnsi="宋体" w:cs="宋体"/>
          <w:color w:val="000000" w:themeColor="text1"/>
          <w:kern w:val="1"/>
          <w:sz w:val="24"/>
        </w:rPr>
      </w:pPr>
      <w:r>
        <w:rPr>
          <w:rFonts w:hint="eastAsia" w:ascii="宋体" w:hAnsi="宋体" w:cs="宋体"/>
          <w:color w:val="000000" w:themeColor="text1"/>
          <w:kern w:val="1"/>
          <w:sz w:val="24"/>
        </w:rPr>
        <w:t>4.2招标控制价确定的依据：本项目按照施工图纸，施工现场情况，招标文件（含工程量清单），参照《建设工程工程量清单计价规范》（GB50500-2013）、《房屋建筑与装饰工程工程量计算规范》（GB50854-2013）、《通用安装工程工程量计算规范》（GB50856-2013））、《市政工程工程量计算规范》（GB50857-2013）（以下简称《工程量计算规范》）、《江苏省建筑与装饰工程计价定额》（2014版）、《江苏省市政工程计价定额》（2014版）、《江苏省安装工程计价定额》（2014版）（以下简称《计价定额》）、</w:t>
      </w:r>
      <w:r>
        <w:rPr>
          <w:rFonts w:hint="eastAsia" w:ascii="宋体" w:hAnsi="宋体" w:cs="宋体"/>
          <w:color w:val="000000" w:themeColor="text1"/>
          <w:sz w:val="24"/>
        </w:rPr>
        <w:t>《江苏省建设工程费用定额》（以下简称《费用定额》）（2014年）以及关于营改增后工程计价依据调整内容（苏建价〔2016〕154号）及苏建函价（2019）178号、江苏省住房和城乡建设厅[2018]第24号公告、江苏省住房和城乡建设厅</w:t>
      </w:r>
      <w:r>
        <w:rPr>
          <w:rFonts w:hint="eastAsia" w:ascii="宋体" w:hAnsi="宋体" w:cs="宋体"/>
          <w:bCs/>
          <w:color w:val="000000" w:themeColor="text1"/>
          <w:sz w:val="24"/>
        </w:rPr>
        <w:t>〔2019〕</w:t>
      </w:r>
      <w:r>
        <w:rPr>
          <w:rFonts w:hint="eastAsia" w:ascii="宋体" w:hAnsi="宋体" w:cs="宋体"/>
          <w:color w:val="000000" w:themeColor="text1"/>
          <w:sz w:val="24"/>
        </w:rPr>
        <w:t>第19号公告和现行工程造价有关文件规定、2022年第7期</w:t>
      </w:r>
      <w:r>
        <w:rPr>
          <w:rFonts w:hint="eastAsia" w:ascii="宋体" w:hAnsi="宋体" w:cs="宋体"/>
          <w:color w:val="000000" w:themeColor="text1"/>
          <w:kern w:val="1"/>
          <w:sz w:val="24"/>
        </w:rPr>
        <w:t>《盐城工程造价》等相关计价文件的规定，计算出预算价。预算价即招标控制价。</w:t>
      </w:r>
    </w:p>
    <w:p>
      <w:pPr>
        <w:spacing w:line="44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招标人在确定最终预算审核价时按计价文件的有关规定予以适当考虑或计取各项措施项目费用，同时要求各投标人须根据本企业自身实力和工程的实际情况，在投标报价时自行考虑所有列出及未列出但实施过程中有可能发生的各项措施项目费用。中标后所有措施项目费包干不再调整。</w:t>
      </w:r>
    </w:p>
    <w:p>
      <w:pPr>
        <w:spacing w:line="44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5、其他</w:t>
      </w:r>
    </w:p>
    <w:p>
      <w:pPr>
        <w:spacing w:line="44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本项目第一中标候选人如在服务期间的工程质量、工期、安全和服务不到位的，招标人有权直接取消其中标资格，已完的合格工程量可按70%结算。招标人可视情况确定第二中标候选人进行替补服务，如第二中标候选人仍存在上述服务不到位等情形的，招标人也可再确定第三中标候选人进行替补服务，但结算时全费用综合单价均统一按第一中标候选人的全费用综合单价执行，各投标人在投标报价时须充分考虑该因素。</w:t>
      </w:r>
    </w:p>
    <w:p>
      <w:pPr>
        <w:spacing w:line="440" w:lineRule="exact"/>
        <w:rPr>
          <w:rFonts w:ascii="宋体" w:hAnsi="宋体" w:cs="宋体"/>
          <w:b/>
          <w:color w:val="000000" w:themeColor="text1"/>
          <w:sz w:val="44"/>
          <w:szCs w:val="44"/>
        </w:rPr>
      </w:pPr>
    </w:p>
    <w:p>
      <w:pPr>
        <w:rPr>
          <w:rFonts w:ascii="宋体" w:hAnsi="宋体" w:cs="宋体"/>
          <w:b/>
          <w:color w:val="000000" w:themeColor="text1"/>
          <w:sz w:val="44"/>
          <w:szCs w:val="44"/>
        </w:rPr>
      </w:pPr>
      <w:r>
        <w:rPr>
          <w:rFonts w:hint="eastAsia" w:ascii="宋体" w:hAnsi="宋体" w:cs="宋体"/>
          <w:b/>
          <w:color w:val="000000" w:themeColor="text1"/>
          <w:sz w:val="44"/>
          <w:szCs w:val="44"/>
        </w:rPr>
        <w:br w:type="page"/>
      </w:r>
    </w:p>
    <w:p>
      <w:pPr>
        <w:spacing w:line="500" w:lineRule="exact"/>
        <w:jc w:val="center"/>
        <w:rPr>
          <w:rFonts w:ascii="宋体" w:hAnsi="宋体" w:cs="宋体"/>
          <w:b/>
          <w:bCs/>
          <w:color w:val="000000" w:themeColor="text1"/>
          <w:sz w:val="44"/>
        </w:rPr>
      </w:pPr>
      <w:r>
        <w:rPr>
          <w:rFonts w:hint="eastAsia" w:ascii="宋体" w:hAnsi="宋体" w:cs="宋体"/>
          <w:b/>
          <w:color w:val="000000" w:themeColor="text1"/>
          <w:sz w:val="44"/>
          <w:szCs w:val="44"/>
        </w:rPr>
        <w:t>第四部分  投标文件编制方法及要求</w:t>
      </w:r>
    </w:p>
    <w:p>
      <w:pPr>
        <w:spacing w:line="500" w:lineRule="exact"/>
        <w:ind w:firstLine="480" w:firstLineChars="200"/>
        <w:rPr>
          <w:rFonts w:ascii="宋体" w:hAnsi="宋体" w:cs="宋体"/>
          <w:b/>
          <w:bCs/>
          <w:color w:val="000000" w:themeColor="text1"/>
          <w:sz w:val="24"/>
        </w:rPr>
      </w:pPr>
    </w:p>
    <w:p>
      <w:pPr>
        <w:spacing w:line="500" w:lineRule="exact"/>
        <w:ind w:firstLine="480" w:firstLineChars="200"/>
        <w:rPr>
          <w:rFonts w:ascii="宋体" w:hAnsi="宋体" w:cs="宋体"/>
          <w:b/>
          <w:bCs/>
          <w:color w:val="000000" w:themeColor="text1"/>
          <w:sz w:val="24"/>
        </w:rPr>
      </w:pPr>
      <w:r>
        <w:rPr>
          <w:rFonts w:hint="eastAsia" w:ascii="宋体" w:hAnsi="宋体" w:cs="宋体"/>
          <w:b/>
          <w:bCs/>
          <w:color w:val="000000" w:themeColor="text1"/>
          <w:sz w:val="24"/>
        </w:rPr>
        <w:t>1、投标报价文件的编制依据及要求</w:t>
      </w:r>
    </w:p>
    <w:p>
      <w:pPr>
        <w:spacing w:line="500" w:lineRule="exact"/>
        <w:ind w:left="-1" w:firstLine="480" w:firstLineChars="200"/>
        <w:outlineLvl w:val="0"/>
        <w:rPr>
          <w:rFonts w:ascii="宋体" w:hAnsi="宋体" w:cs="宋体"/>
          <w:b/>
          <w:color w:val="000000" w:themeColor="text1"/>
          <w:sz w:val="24"/>
        </w:rPr>
      </w:pPr>
      <w:r>
        <w:rPr>
          <w:rFonts w:hint="eastAsia" w:ascii="宋体" w:hAnsi="宋体" w:cs="宋体"/>
          <w:b/>
          <w:color w:val="000000" w:themeColor="text1"/>
          <w:sz w:val="24"/>
        </w:rPr>
        <w:t>1.1投标报价文件编制的依据：</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1.1.1招标人发出的招标文件、工程量清单及其编制说明、答疑文件、补充通知；</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1.1.2招标人提供的图纸和设定的招标控制价；</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1.1.3《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市政工程计价定额》（2014版）……（以下简称《计价定额》）、《江苏省建设工程费用定额》（2014年）及</w:t>
      </w:r>
      <w:r>
        <w:rPr>
          <w:rFonts w:hint="eastAsia" w:ascii="宋体" w:hAnsi="宋体" w:cs="宋体"/>
          <w:b/>
          <w:color w:val="000000" w:themeColor="text1"/>
          <w:sz w:val="24"/>
        </w:rPr>
        <w:t>营改增后调整内容</w:t>
      </w:r>
      <w:r>
        <w:rPr>
          <w:rFonts w:hint="eastAsia" w:ascii="宋体" w:hAnsi="宋体" w:cs="宋体"/>
          <w:color w:val="000000" w:themeColor="text1"/>
          <w:sz w:val="24"/>
        </w:rPr>
        <w:t>（以下简称《费用定额》）、《盐城工程造价》、相关计价文件等。</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1.1.4省、市现行其他相关配套文件；　　　</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1.1.5与建设项目相关的标准、施工和验收规范等技术资料；</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1.1.6 施工现场情况、工程特点及投标人拟采用的施工组织设计和施工技术方案；</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1.1.7 投标人的企业定额及投标期间的各类材料市场价格信息或工程造价管理机构发布的工程造价信息；</w:t>
      </w:r>
    </w:p>
    <w:p>
      <w:pPr>
        <w:spacing w:line="500" w:lineRule="exact"/>
        <w:ind w:left="-1" w:firstLine="480" w:firstLineChars="200"/>
        <w:outlineLvl w:val="0"/>
        <w:rPr>
          <w:rFonts w:ascii="宋体" w:hAnsi="宋体" w:cs="宋体"/>
          <w:b/>
          <w:color w:val="000000" w:themeColor="text1"/>
          <w:sz w:val="24"/>
        </w:rPr>
      </w:pPr>
      <w:r>
        <w:rPr>
          <w:rFonts w:hint="eastAsia" w:ascii="宋体" w:hAnsi="宋体" w:cs="宋体"/>
          <w:b/>
          <w:color w:val="000000" w:themeColor="text1"/>
          <w:sz w:val="24"/>
        </w:rPr>
        <w:t>1.2投标报价文件编制的要求：</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1.2.1投标报价的计价成果文件必须采用招标文件提供的格式（详见附件），投标报价应包括投标人在承诺工期内，达到投标人所承诺的质量标准，为完成本项目施工图纸（如无图纸部分根据采购人要求执行）、招标文件及工程量清单等所确定的招标范围内（包括完成缺陷责任期内的全部工作）的全部内容所需要支付的各项金额的总和。投标人须充分考虑为完成上述内容所必须的人工费、材料费、机械费、管理费、利润、规费、措施费、税金以及场地整理、附属工程、临时工程、环境保护、特殊条件施工、材料损耗、现场施工围栏、竣工面的清理、垃圾清运、成品保护、各种管线、建筑物、构筑物的加固围护费用、天气变化、不同专业的交叉施工影响、一周内临时停电或停水导致停工累计不超过8小时所发生的费用、施工用水、施工用电、招标综合服务费、设计费、一定范围内的风险因素等其他各项应有的全部费用，并计入投标报价中，凡漏项或少计均视为已包含在本次投标报价的范围以内，采购人不再另行增加费用，竣工结算时不再调整全费用综合单价。</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1.2.2投标人必须按招标人提供的工程量清单填报价格。投标人填写的投标报价的计价成果文件中的序号、项目名称、项目特征、计量单位、工程量中的内容必须与招标人提供的一致。如果投标人认为招标人提供的工程量清单的内容有误或遗漏，只能通过答疑的方式由招标人统一修改更正。</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1.2.3投标人投标全费用综合单价中必须包含现行有关规定的费率计取现场安全文明施工措施费基本费1.7%、扬尘污染防治增加费0.22%，为完成本项目发生的所有措施项目费、管理费、利润、规费（包括环境保护税0.1%、社会保险费2.4%、住房公积金0.42%、和税金9%）。</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1.2.4  投标人在投标报价时未填报综合单价的工程量清单项目，招标人视为已包括在工程量清单计价的其他单价中，无论何种原因使该清单项目发生工程量的变更，结算时均不作调整。</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1.2.5  投标人在投标报价时，不得进行投标总价或合价的优惠（或降价、让利）或隐性提价；综合单价与工程量的乘积应与合价一致。</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1.2.6 投标人应充分考虑施工期间各类材料的市场风险和国家政策性调整风险系数，除合同约定可以调整的因素外，在合同实施期间材料价格不因市场变化或其他任何因素变化而变动，投标人在投标报价时应充分考虑本项目合同的风险。</w:t>
      </w:r>
    </w:p>
    <w:p>
      <w:pPr>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1.2.7除计价规范另有规定外，投标文件使用的度量衡单位，均采用中华人民共和国法定计量单位，投标文件和与投标有关的所有文件均应使用中文，投标报价统一采用人民币作为计量单位。 </w:t>
      </w:r>
    </w:p>
    <w:p>
      <w:pPr>
        <w:spacing w:line="500" w:lineRule="exact"/>
        <w:ind w:firstLine="480" w:firstLineChars="200"/>
        <w:rPr>
          <w:rFonts w:ascii="宋体" w:hAnsi="宋体" w:cs="宋体"/>
          <w:b/>
          <w:bCs/>
          <w:color w:val="000000" w:themeColor="text1"/>
          <w:sz w:val="24"/>
        </w:rPr>
      </w:pPr>
      <w:r>
        <w:rPr>
          <w:rFonts w:hint="eastAsia" w:ascii="宋体" w:hAnsi="宋体" w:cs="宋体"/>
          <w:b/>
          <w:bCs/>
          <w:color w:val="000000" w:themeColor="text1"/>
          <w:sz w:val="24"/>
        </w:rPr>
        <w:t>2、投标文件的编制方法及要求</w:t>
      </w:r>
    </w:p>
    <w:p>
      <w:pPr>
        <w:spacing w:line="480" w:lineRule="exact"/>
        <w:ind w:left="-1" w:firstLine="480" w:firstLineChars="200"/>
        <w:rPr>
          <w:rFonts w:ascii="宋体" w:hAnsi="宋体" w:cs="宋体"/>
          <w:color w:val="000000" w:themeColor="text1"/>
        </w:rPr>
      </w:pPr>
      <w:r>
        <w:rPr>
          <w:rFonts w:hint="eastAsia" w:ascii="宋体" w:hAnsi="宋体" w:cs="宋体"/>
          <w:b/>
          <w:color w:val="000000" w:themeColor="text1"/>
          <w:sz w:val="24"/>
        </w:rPr>
        <w:t>2.1本次招标的投标文件共为1个标书，份数为正本1份、副本4份。</w:t>
      </w:r>
    </w:p>
    <w:p>
      <w:pPr>
        <w:spacing w:line="480" w:lineRule="exact"/>
        <w:ind w:left="-1" w:firstLine="480" w:firstLineChars="200"/>
        <w:rPr>
          <w:rFonts w:ascii="宋体" w:hAnsi="宋体" w:cs="宋体"/>
          <w:b/>
          <w:color w:val="000000" w:themeColor="text1"/>
          <w:sz w:val="24"/>
        </w:rPr>
      </w:pPr>
      <w:r>
        <w:rPr>
          <w:rFonts w:hint="eastAsia" w:ascii="宋体" w:hAnsi="宋体" w:cs="宋体"/>
          <w:b/>
          <w:color w:val="000000" w:themeColor="text1"/>
          <w:sz w:val="24"/>
        </w:rPr>
        <w:t>2.2 标书应包括的内容：</w:t>
      </w:r>
    </w:p>
    <w:p>
      <w:pPr>
        <w:spacing w:line="48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2.2.1 封面（样式见附件）。</w:t>
      </w:r>
    </w:p>
    <w:p>
      <w:pPr>
        <w:spacing w:line="48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2.2.2 投标承诺书；法定代表人投标的须提供法定代表人身份证明书（如委托代理人投标的须提供授权委托书）；诚信承诺书</w:t>
      </w:r>
      <w:r>
        <w:rPr>
          <w:rFonts w:hint="eastAsia" w:ascii="宋体" w:hAnsi="宋体" w:cs="宋体"/>
          <w:color w:val="000000" w:themeColor="text1"/>
          <w:sz w:val="24"/>
          <w:szCs w:val="30"/>
        </w:rPr>
        <w:t>（格式见附件）</w:t>
      </w:r>
      <w:r>
        <w:rPr>
          <w:rFonts w:hint="eastAsia" w:ascii="宋体" w:hAnsi="宋体" w:cs="宋体"/>
          <w:color w:val="000000" w:themeColor="text1"/>
          <w:sz w:val="24"/>
        </w:rPr>
        <w:t>。</w:t>
      </w:r>
    </w:p>
    <w:p>
      <w:pPr>
        <w:spacing w:line="48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2.2.3工程量清单计价成果文件（投标报价明细表，格式见附件）；工程清单计价成果文件必须按照招标文件所提供的格式填入，其格式不得作任何改变。招标人提供的工程量清单中的序号、项目名称、项目特征、单位、数量，投标人在投标报价时不得作任何更改变动，否则一切责任由投标单位自负。如果投标人认为清单内容有误或遗漏，只能通过答疑的方式由招标人统一修改更正。</w:t>
      </w:r>
    </w:p>
    <w:p>
      <w:pPr>
        <w:tabs>
          <w:tab w:val="left" w:pos="6161"/>
        </w:tabs>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2.2.4符合招标文件要求的有效的投标人施工资质证书、安全生产许可证、营业执照、项目负责人建造师注册证书、项目负责人安全生产考核合格证书（B类）的原件及复印件。注：能有效识别二维码的复印件加盖证书持有单位公章和能有效识别二维码的电子证书加盖证书持有单位公章可视为原件。</w:t>
      </w:r>
      <w:r>
        <w:rPr>
          <w:rFonts w:hint="eastAsia" w:ascii="宋体" w:hAnsi="宋体" w:cs="宋体"/>
          <w:color w:val="000000" w:themeColor="text1"/>
          <w:sz w:val="24"/>
        </w:rPr>
        <w:tab/>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注：以上2.2.1～2.2.4项材料装订成册,如有证书原件无需装订直接放入封袋中。如投标人投标文件中正副本不全，将不作为中标候选人。</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评审过程中对投标人所提供的资料要求以评标办法及上述标书组成规定为准，其他部分如有涉及，一律不作为评审依据。</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2.3投标文件编制的其他要求：</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2.3.1招标文件提供的表式投标人应使用，但表式可以按同样格式拓展。</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2.3.2投标文件须用不能擦去的黑字书写或打印，正、副本分别装订成册，并在封面上正确标明“正本”、“副本”字样。正、副本不一致时，以正本为准。如投标人未按要求标明“正本”或“副本”标志，出现投标文件相互矛盾的情况时，评标委员会将作出不利于投标人的认定。</w:t>
      </w:r>
    </w:p>
    <w:p>
      <w:pPr>
        <w:spacing w:line="500" w:lineRule="exact"/>
        <w:ind w:firstLine="480" w:firstLineChars="200"/>
        <w:outlineLvl w:val="0"/>
        <w:rPr>
          <w:rFonts w:ascii="宋体" w:hAnsi="宋体" w:cs="宋体"/>
          <w:b/>
          <w:bCs/>
          <w:color w:val="000000" w:themeColor="text1"/>
          <w:sz w:val="24"/>
        </w:rPr>
      </w:pPr>
      <w:r>
        <w:rPr>
          <w:rFonts w:hint="eastAsia" w:ascii="宋体" w:hAnsi="宋体" w:cs="宋体"/>
          <w:b/>
          <w:bCs/>
          <w:color w:val="000000" w:themeColor="text1"/>
          <w:sz w:val="24"/>
        </w:rPr>
        <w:t>3、投标有效期</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3.1本招标项目投标有效期见第一部分投标须知。</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 xml:space="preserve">3.2在投标有效期内，投标人不得要求撤销或修改其投标文件。 </w:t>
      </w:r>
      <w:r>
        <w:rPr>
          <w:rFonts w:hint="eastAsia" w:ascii="宋体" w:hAnsi="宋体" w:cs="宋体"/>
          <w:color w:val="000000" w:themeColor="text1"/>
          <w:sz w:val="24"/>
        </w:rPr>
        <w:cr/>
      </w:r>
      <w:r>
        <w:rPr>
          <w:rFonts w:hint="eastAsia" w:ascii="宋体" w:hAnsi="宋体" w:cs="宋体"/>
          <w:color w:val="000000" w:themeColor="text1"/>
          <w:sz w:val="24"/>
        </w:rPr>
        <w:t xml:space="preserve">    3.3在投标有效期结束前，出现特殊情况需要延长投标有效期的，招标人可以书面形式要求所有投标人延长投标有效期。投标人同意延长的，不得要求或被允许修改其投标文件，但相应延长其投标保证金的有效期；投标人拒绝延长的，其投标失败，但投标人有权收回其投标保证金。</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4、投标文件的密封与标志</w:t>
      </w:r>
    </w:p>
    <w:p>
      <w:pPr>
        <w:spacing w:line="500" w:lineRule="exact"/>
        <w:ind w:firstLine="480" w:firstLineChars="200"/>
        <w:rPr>
          <w:rFonts w:ascii="宋体" w:hAnsi="宋体" w:cs="宋体"/>
          <w:color w:val="000000" w:themeColor="text1"/>
          <w:sz w:val="24"/>
          <w:u w:val="single"/>
        </w:rPr>
      </w:pPr>
      <w:r>
        <w:rPr>
          <w:rFonts w:hint="eastAsia" w:ascii="宋体" w:hAnsi="宋体" w:cs="宋体"/>
          <w:color w:val="000000" w:themeColor="text1"/>
          <w:sz w:val="24"/>
        </w:rPr>
        <w:t>4.1投标文件按招标文件和格式、样式要求装订、签署和盖章后应装入标书封袋，封袋大小根据需要自行制作，在每个封袋上正确标明工程名称、投标人名称、标书号。</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4.2所有投标文件装入封袋后都必须在封口处密封并加盖投标人公章。</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5、投标文件的递交</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5.1投标人必须在招标文件规定的投标文件递交截止时间前完成投标文件的递交。</w:t>
      </w:r>
    </w:p>
    <w:p>
      <w:pPr>
        <w:snapToGrid w:val="0"/>
        <w:spacing w:line="440" w:lineRule="exact"/>
        <w:ind w:firstLine="480" w:firstLineChars="200"/>
        <w:jc w:val="left"/>
        <w:rPr>
          <w:rFonts w:ascii="宋体" w:hAnsi="宋体" w:cs="宋体"/>
          <w:color w:val="000000" w:themeColor="text1"/>
          <w:sz w:val="24"/>
        </w:rPr>
      </w:pPr>
      <w:r>
        <w:rPr>
          <w:rFonts w:hint="eastAsia" w:ascii="宋体" w:hAnsi="宋体" w:cs="宋体"/>
          <w:color w:val="000000" w:themeColor="text1"/>
          <w:sz w:val="24"/>
        </w:rPr>
        <w:t>5.2投标人递交投标文件的地点：见投标须知前附表。</w:t>
      </w:r>
    </w:p>
    <w:p>
      <w:pPr>
        <w:pStyle w:val="11"/>
        <w:adjustRightInd w:val="0"/>
        <w:snapToGrid w:val="0"/>
        <w:spacing w:line="440" w:lineRule="exact"/>
        <w:ind w:firstLine="480" w:firstLineChars="200"/>
        <w:rPr>
          <w:rFonts w:hAnsi="宋体" w:cs="宋体"/>
          <w:b/>
          <w:color w:val="000000" w:themeColor="text1"/>
          <w:sz w:val="24"/>
        </w:rPr>
      </w:pPr>
      <w:r>
        <w:rPr>
          <w:rFonts w:hint="eastAsia" w:hAnsi="宋体" w:cs="宋体"/>
          <w:b/>
          <w:color w:val="000000" w:themeColor="text1"/>
          <w:sz w:val="24"/>
        </w:rPr>
        <w:t>6、投标文件的修改与撤回</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 xml:space="preserve">6.1在招标文件规定的投标截止时间之前，投标人可对所递交的投标文件进行修改或撤回，但必须以书面形式通知招标人。 </w:t>
      </w:r>
      <w:r>
        <w:rPr>
          <w:rFonts w:hint="eastAsia" w:ascii="宋体" w:hAnsi="宋体" w:cs="宋体"/>
          <w:color w:val="000000" w:themeColor="text1"/>
          <w:sz w:val="24"/>
        </w:rPr>
        <w:cr/>
      </w:r>
      <w:r>
        <w:rPr>
          <w:rFonts w:hint="eastAsia" w:ascii="宋体" w:hAnsi="宋体" w:cs="宋体"/>
          <w:color w:val="000000" w:themeColor="text1"/>
          <w:sz w:val="24"/>
        </w:rPr>
        <w:t xml:space="preserve">    6.2所递交的修改或撤回通知必须按照本招标文件中对投标文件的要求进行编制、装订、密封、标志（在包封上标明“修改”或“撤回”字样，并注明修改或撤回的时间）和递交。</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6.3修改的内容为投标文件的组成部分。</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7、投标费用</w:t>
      </w:r>
    </w:p>
    <w:p>
      <w:pPr>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投标人应承担其编制和递交投标文件所涉及的一切费用，无论投标结果如何，招标人对上述费用不负任何责任。</w:t>
      </w:r>
    </w:p>
    <w:p>
      <w:pPr>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本项目招标代理服务费（收费标准按计价格（2011）534号文规定的标准×40%计取，如低于3000元的直接按3000元计取）由中标人承担，各投标人在投标报价时须将上述费用自行综合考虑分摊含进投标报价中，且不得单列，在开具中标通知书前向招标代理机构一次性交纳。招标人不再承担上述费用。</w:t>
      </w:r>
    </w:p>
    <w:p>
      <w:pPr>
        <w:spacing w:line="500" w:lineRule="exact"/>
        <w:rPr>
          <w:rFonts w:ascii="宋体" w:hAnsi="宋体" w:cs="宋体"/>
          <w:b/>
          <w:color w:val="000000" w:themeColor="text1"/>
          <w:sz w:val="44"/>
          <w:szCs w:val="44"/>
        </w:rPr>
      </w:pPr>
    </w:p>
    <w:p>
      <w:pPr>
        <w:rPr>
          <w:rFonts w:ascii="宋体" w:hAnsi="宋体" w:cs="宋体"/>
          <w:b/>
          <w:color w:val="000000" w:themeColor="text1"/>
          <w:sz w:val="44"/>
          <w:szCs w:val="44"/>
        </w:rPr>
      </w:pPr>
      <w:r>
        <w:rPr>
          <w:rFonts w:hint="eastAsia" w:ascii="宋体" w:hAnsi="宋体" w:cs="宋体"/>
          <w:b/>
          <w:color w:val="000000" w:themeColor="text1"/>
          <w:sz w:val="44"/>
          <w:szCs w:val="44"/>
        </w:rPr>
        <w:br w:type="page"/>
      </w:r>
    </w:p>
    <w:p>
      <w:pPr>
        <w:widowControl/>
        <w:jc w:val="center"/>
        <w:rPr>
          <w:rFonts w:ascii="宋体" w:hAnsi="宋体" w:cs="宋体"/>
          <w:color w:val="000000" w:themeColor="text1"/>
          <w:sz w:val="24"/>
        </w:rPr>
      </w:pPr>
      <w:r>
        <w:rPr>
          <w:rFonts w:hint="eastAsia" w:ascii="宋体" w:hAnsi="宋体" w:cs="宋体"/>
          <w:b/>
          <w:color w:val="000000" w:themeColor="text1"/>
          <w:sz w:val="44"/>
          <w:szCs w:val="44"/>
        </w:rPr>
        <w:t>第五部分  开标 评标 定标</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1、评标定标办法和评标规则</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本项目评标办法采用盐城ABCD合成法，评标委员会按评标办法推荐有排序的中标候选人，由招标人依照国家有关法律、法规及定标办法确定中标人，具体评标定标办法及评标规则详见第七部分。</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2、开标、评标、定标</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2.1开标按投标须知前附表规定的时间、地点举行。</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开标由招标人或其委托的招标代理机构主持，并由投标人代表或招标人委托的公证人员检查投标文件的密封情况，工作人员当众启封有效投标文件及修改文件，宣读投标文件的主要内容。</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投标人对开标内容有异议的，应当在开标现场提出，否则视同认可。</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2.2评标由招标人依法组建的评标委员会负责。评标委员会应当按照招标文件确定的评标标准和方法，对投标文件进行评审和比较，并根据评标办法约定的数量推荐标明顺序的中标候选人。</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2.3招标人根据评标委员会提出的书面评标报告和推荐的中标候选人依法确定中标人。</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3、评标定标办法</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详见第七部分。</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4、投标文件有下列情况之一的，属于重大偏差，视为未能对招标文件作出实质性响应，作为无效投标予以否决：</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4.1投标文件中的投标函未加盖投标人的公章；</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4.2投标文件中的投标函未加盖企业法定代表人（或企业法定代表人代理人）印章（或签字）的；</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4.3投标函加盖企业法定代表人委托代理人印章（或签字），企业法定代表人委托代理人没有合法、有效的委托书（原件）的；</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4.4投标人资质条件不符合国家有关规定，或者不满足招标文件规定的资格条件；</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4.5投标报价低于工程成本或者高于招标文件设定的招标控制价的；</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4.6同一投标人提交两个及以上不同的投标文件或者投标报价，但招标文件规定提交备选投标的除外；</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4.7投标文件中已标价工程量清单与招标文件规定的暂估价、暂列金额及甲供材料价格不一致的；</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4.8投标文件中已标价工程量清单与招标文件明确列出的不可竞争费用项目或费率或计算基础不一致的；</w:t>
      </w:r>
    </w:p>
    <w:p>
      <w:pPr>
        <w:spacing w:line="500" w:lineRule="exact"/>
        <w:rPr>
          <w:rFonts w:ascii="宋体" w:hAnsi="宋体" w:cs="宋体"/>
          <w:color w:val="000000" w:themeColor="text1"/>
          <w:sz w:val="24"/>
        </w:rPr>
      </w:pPr>
      <w:r>
        <w:rPr>
          <w:rFonts w:hint="eastAsia" w:ascii="宋体" w:hAnsi="宋体" w:cs="宋体"/>
          <w:color w:val="000000" w:themeColor="text1"/>
          <w:sz w:val="24"/>
        </w:rPr>
        <w:pgNum/>
      </w:r>
      <w:r>
        <w:rPr>
          <w:rFonts w:hint="eastAsia" w:ascii="宋体" w:hAnsi="宋体" w:cs="宋体"/>
          <w:color w:val="000000" w:themeColor="text1"/>
          <w:sz w:val="24"/>
        </w:rPr>
        <w:t>4.9投标文件中已标价工程量清单与招标文件提供的工程量清单中的项目编码、项目名称、项目特征、计量单位、工程量不一致的；</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4.10未按招标文件要求提供投标保证金的；</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4.11投标文件载明的招标项目完成期限超过招标文件规定的期限的；</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4.12明显不符合技术规范、技术标准的要求；</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4.13投标文件载明的货物包装方式、检验标准和方法等不符合招标文件的要求的；</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4.14投标文件提出了不能满足招标文件要求或招标人不能接受的工程验收、计量、价款结算和支付办法的；</w:t>
      </w:r>
    </w:p>
    <w:p>
      <w:pPr>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 4.15不同投标人的投标文件制作过程出现了评标委员会认为不应当雷同的情况；</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4.16以他人的名义投标、串通投标、以行贿手段谋取中标或者以其他弄虚作假方式投标的；</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4.17投标文件关键内容模糊、无法辨认的；</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5、投标文件的澄清</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5.1 在评标过程中，评标委员会认为需要，可以书面方式要求投标人对所提交的投标文件中不明确的内容进行书面澄清或说明，或者对细微偏差进行补正；澄清、说明或者补正应以书面方式进行并不得超出投标文件的范围或者改变投标文件的实质性内容。</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 xml:space="preserve">5.2评标委员会不接受投标人主动提出的澄清、说明或补正。 </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5.3对于评标委员会要求澄清、说明或者补正的内容，投标人应做出书面答复，但书面答复中不得改变投标文件的实质性内容；书面答复须经投标人法定代表人或其代理人的签署或加盖印章，并视为投标文件的组成部分。</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5.4评标委员会对投标人提交的答复仍有疑问的，可以要求投标人进一步澄清、说明或补正，直至满足评标委员会的要求。</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5.5投标截止时间后，投标文件中没有列入的价格和优惠条件或投标人对投标报价或其他实质性内容修正的函件和增加的任何优惠条件，一律不得作为评标、定标的依据。</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6、评标、定标</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6.1评标委员会组成</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6.1.1评标委员会由招标人组织相关专家和其他人员组成。</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6.1.2评标委员会在评标时独立开展工作，负责评审所有投标文件，并根据评标办法推荐中标候选人。</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6.1.3评标委员会决定投标文件的响应性只根据投标文件本身的内容，而不寻求外部的证据。</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6.1.4 在评标过程中，除出现下列情形外，评标委员会认为因招标文件缺陷无法确定中标候选人或中标人的，招标人应当重新组织招标。</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6.1.5招标人根据评标委员会推荐的中标候选人，确定排名第一的中标候选人为中标人。</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7、评标结果公示</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招标人应当自收到评标报告之日起3日内在招标公告发布媒介上发布评标结果公示表，公示期不得少于3日。</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8、中标通知</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招标人一般应当在15日内确定中标人，但最迟应当在投标有效期前确定。中标人确定后招标人应当以书面形式发出中标通知书，同时将中标人名称、中标价和项目负责人在相关媒介上予以公告。自发出中标通知书之日起15日内，招标人应当向招标监管机构提交招标情况的书面报告。按照不同工程项目中标结果公告时间先后，担任本企业最先中标项目的项目负责人。</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9、授予合同</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9.1招标人和中标人应当自《中标通知书》发出之日起15日内，按照国家有关规定和招标文件及中标人的投标文件订立书面合同，合同的标的、价款、质量、履行期限、付款方式、结算办法等主要条款应当与招标文件和中标人的投标文件的内容一致，合同双方不得再订立背离合同实质性内容的其他协议。</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10、其他</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10.1</w:t>
      </w:r>
      <w:r>
        <w:rPr>
          <w:rFonts w:hint="eastAsia" w:ascii="宋体" w:hAnsi="宋体" w:cs="宋体"/>
          <w:b/>
          <w:bCs/>
          <w:color w:val="000000" w:themeColor="text1"/>
          <w:sz w:val="24"/>
        </w:rPr>
        <w:t>中标结果在网上公示后，投标人或者其他利害关系人对依法必须进行招标的项目的评标结果有异议的（异议书格式详见附件），应当在中标候选人公示期间提出。</w:t>
      </w:r>
      <w:r>
        <w:rPr>
          <w:rFonts w:hint="eastAsia" w:ascii="宋体" w:hAnsi="宋体" w:cs="宋体"/>
          <w:color w:val="000000" w:themeColor="text1"/>
          <w:sz w:val="24"/>
        </w:rPr>
        <w:t>除原件外，所有的投标文件均不予退还，请投标人另行存档备份。</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10.2招投标相关单位及个人在招投标活动中存在以下10.2.1以及10.2.2条失信行为的，在“江苏省建设工程招标网”公示期间，本项目的招标人拒绝其投标。</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10.2.1 招投标各方主体及个人在招投标活动中违反法律法规和规章规定受到行政处罚的，公示不少于3个月。</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10.2.2投标人在招投标活动中出现如下失信行为，公示1-3个月：</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（1）除不可抗力的外，资格预审合格的投标人无故不获取 招标文件或者获取招标文件后放弃投标，或者投标人在投标截止后无故撤销投标文件等，公示2个月；</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（2）递交无竞争力的投标文件的（无竞争力投标是指不以 中标为目的的投标，包括投标报价畸高、投标文件故意漏项缺项、 施工组织设计文件不符合篇幅要求、以及故意违反招标文件中已醒目标识的无效投标条款且事先未质疑等情形），公示1个月；</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（3）企业一年内4次在全省投诉反映情况不属实，缺乏事实或法律依据的，公示1个月；</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（4）投诉人故意捏造事实、伪造证明材料的，或者以非法手段取得证明材料等进行恶意投诉的，公示3个月。</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10.3投标须知以及答疑文件、补充通知对本条款作出补充调整的，从其规定。</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10.4本条款未尽事宜，按国家和省有关法律、法规规定处理。</w:t>
      </w:r>
    </w:p>
    <w:p>
      <w:pPr>
        <w:spacing w:line="500" w:lineRule="exact"/>
        <w:ind w:firstLine="560" w:firstLineChars="200"/>
        <w:jc w:val="center"/>
        <w:rPr>
          <w:rFonts w:ascii="宋体" w:hAnsi="宋体" w:cs="宋体"/>
          <w:b/>
          <w:color w:val="000000" w:themeColor="text1"/>
          <w:sz w:val="24"/>
        </w:rPr>
      </w:pPr>
      <w:r>
        <w:rPr>
          <w:rFonts w:hint="eastAsia" w:ascii="宋体" w:hAnsi="宋体" w:cs="宋体"/>
          <w:b/>
          <w:color w:val="000000" w:themeColor="text1"/>
          <w:sz w:val="28"/>
          <w:szCs w:val="28"/>
        </w:rPr>
        <w:br w:type="page"/>
      </w:r>
      <w:r>
        <w:rPr>
          <w:rFonts w:hint="eastAsia" w:ascii="宋体" w:hAnsi="宋体" w:cs="宋体"/>
          <w:b/>
          <w:color w:val="000000" w:themeColor="text1"/>
          <w:sz w:val="44"/>
          <w:szCs w:val="44"/>
        </w:rPr>
        <w:t>第六部分  合同主要条款</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发包人：</w:t>
      </w:r>
      <w:r>
        <w:rPr>
          <w:rFonts w:hint="eastAsia" w:ascii="宋体" w:hAnsi="宋体" w:cs="宋体"/>
          <w:b/>
          <w:color w:val="000000" w:themeColor="text1"/>
          <w:sz w:val="24"/>
          <w:u w:val="single"/>
        </w:rPr>
        <w:t>即招标人</w:t>
      </w:r>
    </w:p>
    <w:p>
      <w:pPr>
        <w:spacing w:line="500" w:lineRule="exact"/>
        <w:ind w:firstLine="480" w:firstLineChars="200"/>
        <w:rPr>
          <w:rFonts w:ascii="宋体" w:hAnsi="宋体" w:cs="宋体"/>
          <w:b/>
          <w:color w:val="000000" w:themeColor="text1"/>
          <w:sz w:val="24"/>
          <w:u w:val="single"/>
        </w:rPr>
      </w:pPr>
      <w:r>
        <w:rPr>
          <w:rFonts w:hint="eastAsia" w:ascii="宋体" w:hAnsi="宋体" w:cs="宋体"/>
          <w:b/>
          <w:color w:val="000000" w:themeColor="text1"/>
          <w:sz w:val="24"/>
        </w:rPr>
        <w:t>承包人：</w:t>
      </w:r>
      <w:r>
        <w:rPr>
          <w:rFonts w:hint="eastAsia" w:ascii="宋体" w:hAnsi="宋体" w:cs="宋体"/>
          <w:b/>
          <w:color w:val="000000" w:themeColor="text1"/>
          <w:sz w:val="24"/>
          <w:u w:val="single"/>
        </w:rPr>
        <w:t>即中标人</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1、合同价</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合同价的签定必须与中标价一致</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2、承包方式</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包工包料</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3、承包范围</w:t>
      </w:r>
    </w:p>
    <w:p>
      <w:pPr>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详见投标须知前附表</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4、履约担保</w:t>
      </w:r>
    </w:p>
    <w:p>
      <w:pPr>
        <w:spacing w:line="360" w:lineRule="auto"/>
        <w:ind w:firstLine="480" w:firstLineChars="200"/>
        <w:rPr>
          <w:rFonts w:ascii="宋体" w:hAnsi="宋体" w:cs="宋体"/>
          <w:b/>
          <w:color w:val="000000" w:themeColor="text1"/>
          <w:sz w:val="24"/>
        </w:rPr>
      </w:pPr>
      <w:r>
        <w:rPr>
          <w:rFonts w:hint="eastAsia" w:ascii="宋体" w:hAnsi="宋体" w:cs="宋体"/>
          <w:color w:val="000000" w:themeColor="text1"/>
          <w:sz w:val="24"/>
        </w:rPr>
        <w:t>本工程履约保证金为中标价的</w:t>
      </w:r>
      <w:r>
        <w:rPr>
          <w:rFonts w:hint="eastAsia" w:ascii="宋体" w:hAnsi="宋体" w:cs="宋体"/>
          <w:color w:val="000000" w:themeColor="text1"/>
          <w:sz w:val="24"/>
          <w:u w:val="single"/>
        </w:rPr>
        <w:t>5 %</w:t>
      </w:r>
      <w:r>
        <w:rPr>
          <w:rFonts w:hint="eastAsia" w:ascii="宋体" w:hAnsi="宋体" w:cs="宋体"/>
          <w:color w:val="000000" w:themeColor="text1"/>
          <w:sz w:val="24"/>
        </w:rPr>
        <w:t>。承包人应自中标人结果公示之日起7 日内将履约保证金以转帐、电汇或银行汇票或银行保函形式汇转至发包人指定帐户。</w:t>
      </w:r>
      <w:r>
        <w:rPr>
          <w:rFonts w:hint="eastAsia" w:ascii="宋体" w:hAnsi="宋体" w:cs="宋体"/>
          <w:b/>
          <w:color w:val="000000" w:themeColor="text1"/>
          <w:sz w:val="24"/>
        </w:rPr>
        <w:t>如未按规定时间、方式缴纳履约保证金的，发包人有权取消其中标资格。</w:t>
      </w:r>
    </w:p>
    <w:p>
      <w:pPr>
        <w:spacing w:line="500" w:lineRule="exact"/>
        <w:ind w:left="-1" w:firstLine="480" w:firstLineChars="200"/>
        <w:rPr>
          <w:rFonts w:ascii="宋体" w:hAnsi="宋体" w:cs="宋体"/>
          <w:b/>
          <w:color w:val="000000" w:themeColor="text1"/>
          <w:sz w:val="24"/>
        </w:rPr>
      </w:pPr>
      <w:r>
        <w:rPr>
          <w:rFonts w:hint="eastAsia" w:ascii="宋体" w:hAnsi="宋体" w:cs="宋体"/>
          <w:b/>
          <w:color w:val="000000" w:themeColor="text1"/>
          <w:sz w:val="24"/>
        </w:rPr>
        <w:t>5、项目组成员</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本工程施工项目经理部主要管理人员包括项目负责人、技术负责人、施工员、安全员、质量员。投标时，仅需提供项目经理相关资料，其他现场人员在中标签订施工合同备案时按苏建建管〔2017〕236号文要求配备到位。</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6、合同工期</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6.1合同工期自发包人通知开工之日起25日历天内全部通过竣工验收合格并交付使用。</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6.2承包人应按照投标文件承诺的工期确保工程验收，不得以任何借口停工怠工，如因承包人原因延误工期的，承包人应承担违约责任，按每拖延一天向发包人支付2000元的违约金，如连续拖延达一周及以上的，发包人有权单方面解除合同，已完合格工程量按其70%结算。如因发包人原因并且符合工程工期顺延的情况，经监理或发包人签证确认后顺延。</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6.3实际开工日期以发包人发出的“开工通知书”为准。</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7、 质量标准</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7.1合同质量标准以承包人投标时承诺的质量标准为准。</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7.2如达不到合同质量标准，承包人必须无偿整改达标准。否则，承担违约责任。非招标人原因，质量整改期间工期不予顺延。</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7.3承包人采购的材料及设备品牌，发包人有推荐品牌的须按推荐品牌要求执行，未具体明确的，在进场前必须按招标文件及上述要求书面报发包人审批确定后方可实施。但所有材料及设备必须为国内一线高档知名品牌，否则发包人有权不予以结算。</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 xml:space="preserve">7.4质量管理：承包人须严格按照设计图纸、招标工程量清单、质量要求、验收规范、发包人要求等组织施工，接受发包人或监理单位和行业主管部门的监督检查。若发生工序、检验批等验收不符合质量要求的，每发生一次接受发包人以每次2000元的违约金，相关费用直接从工程款中扣除。若发生分项工程验收不符合质量要求的，每发生一次接受发包人以每次5000元的违约金，相关费用直接从工程款中扣除。若发生分部工程验收不符合质量要求的，每发生一次接受发包人以每次10000元的违约金，相关费用直接从工程款中扣除。另外承包人在执行上述要求的同时，并不免除在限期内整改到位、继续履行其他合同条款的义务，由此发生的所有费用均由承包人承担，工期、造价不给予补偿。若未按照发包人或监理单位、行业管理部门要求在限期内整改到位的，发包人有权委托第三方代为实施，费用由发包人安排的施工单位报价，在承包人结算总价中按2倍的价格扣减。拒不整改的发包人有权终止施工合同，已经发生的工作量按照审定后合格工程量的70%结算。 </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成品保护按相关要求执行，工程施工不得随意破坏已竣工的项目（含已建路面等），如破坏需及时按原状修复，否则由发包方另行安排施工队伍修复，费用由发包方安排的施工单位报价，在承包人结算总价中按2倍的价格扣减。</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8、材料设备供应</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8.1除招标文件中《发包人提供材料和工程设备一览表》中的材料为招标人供应外，其余材料均由中标人组织采购，凡由承包人采购的材料，承包人应按照设计和有关标准及招标文件要求采购，向发包人提供质量保证书、出厂合格证及现场抽样报告等证明材料，对材料质量负责。如不符合质量及相关规定要求或规格有差异的，应禁止使用。承包人采购的材料设备与设计或标准要求不符时，承包人应按发包人要求的时间运出施工场地，重新采购符合要求的产品，并承担由此发生的费用，由此延误的工期不予顺延。若已使用，对工程造成的损失由承包人负责。</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9、工程付款</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9.1工程款指合同价（即中标价）扣除暂列金额后的工程价款。具体付款幅度如下：</w:t>
      </w:r>
    </w:p>
    <w:p>
      <w:pPr>
        <w:spacing w:line="360" w:lineRule="auto"/>
        <w:ind w:right="210" w:firstLine="240" w:firstLineChars="100"/>
        <w:jc w:val="left"/>
        <w:rPr>
          <w:rFonts w:ascii="宋体" w:hAnsi="宋体" w:cs="宋体"/>
          <w:bCs/>
          <w:color w:val="000000" w:themeColor="text1"/>
          <w:kern w:val="0"/>
          <w:sz w:val="28"/>
          <w:szCs w:val="28"/>
        </w:rPr>
      </w:pPr>
      <w:r>
        <w:rPr>
          <w:rFonts w:hint="eastAsia" w:ascii="宋体" w:hAnsi="宋体" w:cs="宋体"/>
          <w:bCs/>
          <w:color w:val="000000" w:themeColor="text1"/>
          <w:kern w:val="0"/>
          <w:sz w:val="24"/>
        </w:rPr>
        <w:t>工程全部完成并经发包人验收合格后，付至全部已完成工程量的70%；审计结束后付至审计总价的95%，余款在二年质保期满且无质量问题后付清（无息）</w:t>
      </w:r>
      <w:r>
        <w:rPr>
          <w:rFonts w:hint="eastAsia" w:ascii="宋体" w:hAnsi="宋体" w:cs="宋体"/>
          <w:bCs/>
          <w:color w:val="000000" w:themeColor="text1"/>
          <w:kern w:val="0"/>
          <w:sz w:val="28"/>
          <w:szCs w:val="28"/>
        </w:rPr>
        <w:t>。</w:t>
      </w:r>
    </w:p>
    <w:p>
      <w:pPr>
        <w:pStyle w:val="19"/>
        <w:ind w:firstLine="422"/>
        <w:rPr>
          <w:rFonts w:ascii="宋体" w:hAnsi="宋体" w:eastAsia="宋体" w:cs="宋体"/>
          <w:color w:val="000000" w:themeColor="text1"/>
        </w:rPr>
      </w:pP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10、合同定价方式与工程结算</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10.1 本项目采用固定全费用单价合同，合同实施过程中风险范围内中标全费用单价不作调整。</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10.2 结算价=中标全费用综合单价×经审计的招标范围内经验收合格的实际工作量。</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无论招标时图纸、工程量清单中项目特征描述、招标文件中规定的技术要求是否准确，承包人的全费用综合单价报价应为完成施工图纸、发包人要求和工程量清单的全部内容，若无相关设计变更，中标的全费用综合单价不予调整，工程量按实际完成工程量结算。最终以审计部门审查确认后的工程竣工结算价为准。</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本工程施工过程中遇到的地方矛盾及由此发生的费用由承包人自行负责。</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工程所发生施工、生活、消防用水、用电由承包人自行解决并承担相关费用。</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承包人应在发包人确认的完工日之日起28日内编制并向发包人报送工程结算进行审核。</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承包人已自行对工程施工现场和周围环境进行了踏勘，充分了解工地位置、情况、道路、储存空间、装卸限制以及任何其他足以影响承包价的情况，任何因忽视或误解工地情况而导致的索赔或工期延长申请将不被批准。</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施工期间部分材料市场价格发生变化超出一度幅度时的风险约定：不调整，均由承包人承担。</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10.3以上关于合同定价与结算方式条款中未尽事宜由双方依据《建设工程工程量清单计价规范》（GB 50500-2013）以及相关配套文件中关于工程价款调整与结算的内容进行协商，并在合同中具体约定。</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11、安全文明施工与环境保护</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（1）承包人在施工过程中应严格执行国家、省、市、行业主</w:t>
      </w:r>
      <w:bookmarkStart w:id="6" w:name="OLE_LINK7"/>
      <w:r>
        <w:rPr>
          <w:rFonts w:hint="eastAsia" w:ascii="宋体" w:hAnsi="宋体" w:cs="宋体"/>
          <w:color w:val="000000" w:themeColor="text1"/>
          <w:sz w:val="24"/>
        </w:rPr>
        <w:t>管</w:t>
      </w:r>
      <w:bookmarkEnd w:id="6"/>
      <w:r>
        <w:rPr>
          <w:rFonts w:hint="eastAsia" w:ascii="宋体" w:hAnsi="宋体" w:cs="宋体"/>
          <w:color w:val="000000" w:themeColor="text1"/>
          <w:sz w:val="24"/>
        </w:rPr>
        <w:t>部门关于文明施工的有关规定，加强文明施工、环境保护、扬尘控制、噪声污染控制等管理。发包人或监理单位、行业主管部门有权监督检查承包人文明施工措施的落实情况。由于承包人疏于采取文明施工措施所造成的必要费用的支出，由承包人支付，承包人未支付或迟延支付的，发包人可从工程款中予以提取。</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（2）施工工作面内所有现场清理、矛盾协调处理等含在合同价内，结算时不予调整。如打扫不到位，发包人有权直接安排第三方打扫，费用从承包人的履约保证金中直接扣付。</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（3）施工过程中应确保沿线单位、小区居民的临时出行和正常的生产生活</w:t>
      </w:r>
      <w:bookmarkStart w:id="7" w:name="OLE_LINK8"/>
      <w:r>
        <w:rPr>
          <w:rFonts w:hint="eastAsia" w:ascii="宋体" w:hAnsi="宋体" w:cs="宋体"/>
          <w:color w:val="000000" w:themeColor="text1"/>
          <w:sz w:val="24"/>
        </w:rPr>
        <w:t>秩序</w:t>
      </w:r>
      <w:bookmarkEnd w:id="7"/>
      <w:r>
        <w:rPr>
          <w:rFonts w:hint="eastAsia" w:ascii="宋体" w:hAnsi="宋体" w:cs="宋体"/>
          <w:color w:val="000000" w:themeColor="text1"/>
          <w:sz w:val="24"/>
        </w:rPr>
        <w:t>，协调处理好相关矛盾，费用由承包人自行负责。</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（4）因施工安全所需设置的各种警示标牌、警示灯、施工现场围护、导行交通、安全防护等措施费用由承包人自行负责。</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（5）工程施工过程中遇到的地方矛盾及由此发生的费用由承包人自行负责。</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（6）施工过程中如因承包人造成周边地上、地下附作物等损坏，均由承包人自行负责赔偿。</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（7）工程质量、工期、现场安全文明施工等的管理按现行有关规范标准以及发包人为强化项目管理所制定的各项管理制度执行，相关管理规定如有调整应按最新文件执行，费用均由中标人承担。</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12、安全施工</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12.1此工程必须确保安全，若发生不安全问题，由中标人自行负责处理并承担一切责任。</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12.2承包人必须遵守国家、省、市建设主管部门有关安全、文明施工及扬尘控制等规定和要求，强化施工现场安全文明施工管理。本工程施工现场必须按照《安全标准化图集》要求实施。承包人进场后，必须严格按照经发包人或监理单位审查批准的方案实施施工场地总平面的布置，服从发包人或监理单位的统一调度和指挥。如出现不服从管理和下列现象的，发包人将视情节轻重认定承包人是否违约，并根据情况要求承包人承担违约责任，支付违约金。</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12.3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12.4承包人应按有关规定编制施工组织设计方案和安全专项方案，采取严格的安全防护措施，确保工程施工安全管理到位，并接受发包人或监理单位及相关部门的安全监督和检查，对于发包人或监理单位及相关部门在监督和检查过程中发现的安全隐患，承包人必须在限期内进行整改。由于整改造成工期延误的责任由承包人承担。对发现的安全隐患，承包人逾期不整改的，承包人将承担2000元/次的违约金。对发现的重大隐患的，承包人将承担5000元/次的违约金。施工期间如发生安全生产伤亡事故时，承包人应按规定及时上报有关部门并通知发包人，同时按相关规定处理。</w:t>
      </w:r>
    </w:p>
    <w:p>
      <w:pPr>
        <w:spacing w:line="500" w:lineRule="exact"/>
        <w:ind w:firstLine="480" w:firstLineChars="200"/>
        <w:rPr>
          <w:rFonts w:ascii="宋体" w:hAnsi="宋体" w:cs="宋体"/>
          <w:b/>
          <w:color w:val="000000" w:themeColor="text1"/>
          <w:sz w:val="24"/>
        </w:rPr>
      </w:pPr>
      <w:r>
        <w:rPr>
          <w:rFonts w:hint="eastAsia" w:ascii="宋体" w:hAnsi="宋体" w:cs="宋体"/>
          <w:b/>
          <w:color w:val="000000" w:themeColor="text1"/>
          <w:sz w:val="24"/>
        </w:rPr>
        <w:t>13、缺陷责任和保修责任</w:t>
      </w:r>
    </w:p>
    <w:p>
      <w:pPr>
        <w:spacing w:line="500" w:lineRule="exact"/>
        <w:ind w:left="-1" w:firstLine="480" w:firstLineChars="200"/>
        <w:rPr>
          <w:rFonts w:ascii="宋体" w:hAnsi="宋体" w:cs="宋体"/>
          <w:b/>
          <w:color w:val="000000" w:themeColor="text1"/>
          <w:sz w:val="24"/>
        </w:rPr>
      </w:pPr>
      <w:r>
        <w:rPr>
          <w:rFonts w:hint="eastAsia" w:ascii="宋体" w:hAnsi="宋体" w:cs="宋体"/>
          <w:b/>
          <w:color w:val="000000" w:themeColor="text1"/>
          <w:sz w:val="24"/>
        </w:rPr>
        <w:t>13.1缺陷责任</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13.1.1本项目缺陷责任期为</w:t>
      </w:r>
      <w:r>
        <w:rPr>
          <w:rFonts w:hint="eastAsia" w:ascii="宋体" w:hAnsi="宋体" w:cs="宋体"/>
          <w:color w:val="000000" w:themeColor="text1"/>
          <w:sz w:val="24"/>
          <w:u w:val="single"/>
        </w:rPr>
        <w:t>24</w:t>
      </w:r>
      <w:r>
        <w:rPr>
          <w:rFonts w:hint="eastAsia" w:ascii="宋体" w:hAnsi="宋体" w:cs="宋体"/>
          <w:color w:val="000000" w:themeColor="text1"/>
          <w:sz w:val="24"/>
        </w:rPr>
        <w:t>个月。</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 xml:space="preserve">13.1.2中标人应在缺陷责任期内对已交付使用的工程承担缺陷责任。 </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13.1.3缺陷责任期内，招标人对已接收使用的工程负责日常维护工作。</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13.1.4由于中标人原因造成某项缺陷或损坏使工程或工程设备不能按原定目标使用而需要再次检查、检验和修复的，招标人有权要求中标人相应延长缺陷责任期，但缺陷责任期最长不超过2年。</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13.1.5其他关于缺陷责任的有关约定由合同双方根据现行有关规定执行。</w:t>
      </w:r>
    </w:p>
    <w:p>
      <w:pPr>
        <w:spacing w:line="500" w:lineRule="exact"/>
        <w:ind w:left="478" w:leftChars="228"/>
        <w:rPr>
          <w:rFonts w:ascii="宋体" w:hAnsi="宋体" w:cs="宋体"/>
          <w:b/>
          <w:color w:val="000000" w:themeColor="text1"/>
          <w:sz w:val="24"/>
        </w:rPr>
      </w:pPr>
      <w:r>
        <w:rPr>
          <w:rFonts w:hint="eastAsia" w:ascii="宋体" w:hAnsi="宋体" w:cs="宋体"/>
          <w:b/>
          <w:color w:val="000000" w:themeColor="text1"/>
          <w:sz w:val="24"/>
        </w:rPr>
        <w:t>13.2保修责任</w:t>
      </w:r>
    </w:p>
    <w:p>
      <w:pPr>
        <w:spacing w:line="500" w:lineRule="exact"/>
        <w:ind w:firstLine="470" w:firstLineChars="196"/>
        <w:rPr>
          <w:rFonts w:ascii="宋体" w:hAnsi="宋体" w:cs="宋体"/>
          <w:color w:val="000000" w:themeColor="text1"/>
          <w:sz w:val="24"/>
        </w:rPr>
      </w:pPr>
      <w:r>
        <w:rPr>
          <w:rFonts w:hint="eastAsia" w:ascii="宋体" w:hAnsi="宋体" w:cs="宋体"/>
          <w:color w:val="000000" w:themeColor="text1"/>
          <w:sz w:val="24"/>
        </w:rPr>
        <w:t>13.2.1本项目质量保修范围、期限和责任由合同双方在合同条款中具体约定。</w:t>
      </w:r>
    </w:p>
    <w:p>
      <w:pPr>
        <w:spacing w:line="500" w:lineRule="exact"/>
        <w:ind w:firstLine="470" w:firstLineChars="196"/>
        <w:rPr>
          <w:rFonts w:ascii="宋体" w:hAnsi="宋体" w:cs="宋体"/>
          <w:color w:val="000000" w:themeColor="text1"/>
          <w:sz w:val="24"/>
        </w:rPr>
      </w:pPr>
      <w:r>
        <w:rPr>
          <w:rFonts w:hint="eastAsia" w:ascii="宋体" w:hAnsi="宋体" w:cs="宋体"/>
          <w:color w:val="000000" w:themeColor="text1"/>
          <w:sz w:val="24"/>
        </w:rPr>
        <w:t>13.2.2合同双方质量保修范围、期限和责任的约定应不低于《建设工程质量管理条例》（国务院令第279号）和《房屋建筑工程质量保修办法》（建设部令第80号）中规定的最低标准和要求。</w:t>
      </w:r>
    </w:p>
    <w:p>
      <w:pPr>
        <w:spacing w:line="52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13.2.3质保期（2年）内出现问题，承包人须在1天内响应到场维修，否则发包人有权委托他人代修，所发生的费用按3倍从承包人的质保金中扣除。</w:t>
      </w:r>
    </w:p>
    <w:p>
      <w:pPr>
        <w:spacing w:line="500" w:lineRule="exact"/>
        <w:ind w:firstLine="480" w:firstLineChars="200"/>
        <w:rPr>
          <w:rFonts w:ascii="宋体" w:hAnsi="宋体" w:cs="宋体"/>
          <w:b/>
          <w:bCs/>
          <w:color w:val="000000" w:themeColor="text1"/>
          <w:sz w:val="24"/>
        </w:rPr>
      </w:pPr>
      <w:r>
        <w:rPr>
          <w:rFonts w:hint="eastAsia" w:ascii="宋体" w:hAnsi="宋体" w:cs="宋体"/>
          <w:b/>
          <w:bCs/>
          <w:color w:val="000000" w:themeColor="text1"/>
          <w:sz w:val="24"/>
        </w:rPr>
        <w:t>14、工程分包</w:t>
      </w:r>
    </w:p>
    <w:p>
      <w:pPr>
        <w:spacing w:line="52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14.1中标人拟在中标后将中标项目的部分非主体、非关键性工作进行分包的，必须在施工方案中将拟分包方案进行说明；并在签订合同时经招标人确认，同时，中标人应保证在合同实施期间接受分包的第三人应具有国家相关资质规定的资格以及其他限制性条件。</w:t>
      </w:r>
    </w:p>
    <w:p>
      <w:pPr>
        <w:spacing w:line="52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14.2中标人不得将工程进行转包和违法分包，若发现中标人擅自进行转包和违法分包，招标人有权解除合同，并要求中标人支付违约金。</w:t>
      </w:r>
    </w:p>
    <w:p>
      <w:pPr>
        <w:spacing w:line="520" w:lineRule="exact"/>
        <w:ind w:firstLine="480" w:firstLineChars="200"/>
        <w:rPr>
          <w:rFonts w:ascii="宋体" w:hAnsi="宋体" w:cs="宋体"/>
          <w:b/>
          <w:bCs/>
          <w:color w:val="000000" w:themeColor="text1"/>
          <w:sz w:val="24"/>
        </w:rPr>
      </w:pPr>
      <w:r>
        <w:rPr>
          <w:rFonts w:hint="eastAsia" w:ascii="宋体" w:hAnsi="宋体" w:cs="宋体"/>
          <w:b/>
          <w:bCs/>
          <w:color w:val="000000" w:themeColor="text1"/>
          <w:sz w:val="24"/>
        </w:rPr>
        <w:t>15、工程审计</w:t>
      </w:r>
    </w:p>
    <w:p>
      <w:pPr>
        <w:spacing w:line="520" w:lineRule="exact"/>
        <w:ind w:firstLine="480" w:firstLineChars="200"/>
        <w:rPr>
          <w:rFonts w:ascii="宋体" w:hAnsi="宋体" w:cs="宋体"/>
          <w:color w:val="000000" w:themeColor="text1"/>
          <w:sz w:val="24"/>
        </w:rPr>
      </w:pPr>
      <w:r>
        <w:rPr>
          <w:rFonts w:hint="eastAsia" w:ascii="宋体" w:hAnsi="宋体" w:cs="宋体"/>
          <w:color w:val="000000" w:themeColor="text1"/>
          <w:sz w:val="24"/>
        </w:rPr>
        <w:t>工程结算报审约定：</w:t>
      </w:r>
    </w:p>
    <w:p>
      <w:pPr>
        <w:numPr>
          <w:ilvl w:val="0"/>
          <w:numId w:val="1"/>
        </w:numPr>
        <w:spacing w:line="520" w:lineRule="exact"/>
        <w:ind w:firstLine="480" w:firstLineChars="200"/>
        <w:rPr>
          <w:rFonts w:ascii="宋体" w:hAnsi="宋体" w:cs="宋体"/>
          <w:color w:val="000000" w:themeColor="text1"/>
          <w:sz w:val="24"/>
        </w:rPr>
      </w:pPr>
      <w:r>
        <w:rPr>
          <w:rFonts w:hint="eastAsia" w:ascii="宋体" w:hAnsi="宋体" w:cs="宋体"/>
          <w:color w:val="000000" w:themeColor="text1"/>
          <w:sz w:val="24"/>
        </w:rPr>
        <w:t>单项工程核减率超过10%的，其审计费用全部由投标人承担，并由招标人从投标人工程款中扣除（下同）；</w:t>
      </w:r>
    </w:p>
    <w:p>
      <w:pPr>
        <w:numPr>
          <w:ilvl w:val="0"/>
          <w:numId w:val="1"/>
        </w:numPr>
        <w:spacing w:line="520" w:lineRule="exact"/>
        <w:ind w:firstLine="480" w:firstLineChars="200"/>
        <w:rPr>
          <w:rFonts w:ascii="宋体" w:hAnsi="宋体" w:cs="宋体"/>
          <w:color w:val="000000" w:themeColor="text1"/>
          <w:sz w:val="24"/>
        </w:rPr>
      </w:pPr>
      <w:r>
        <w:rPr>
          <w:rFonts w:hint="eastAsia" w:ascii="宋体" w:hAnsi="宋体" w:cs="宋体"/>
          <w:color w:val="000000" w:themeColor="text1"/>
          <w:sz w:val="24"/>
        </w:rPr>
        <w:t>单项工程核减率在8%-10%（含10%）之间的，其审计费用由招标人承担20%，投标人承担80%；</w:t>
      </w:r>
    </w:p>
    <w:p>
      <w:pPr>
        <w:numPr>
          <w:ilvl w:val="0"/>
          <w:numId w:val="1"/>
        </w:numPr>
        <w:spacing w:line="520" w:lineRule="exact"/>
        <w:ind w:firstLine="480" w:firstLineChars="200"/>
        <w:rPr>
          <w:rFonts w:ascii="宋体" w:hAnsi="宋体" w:cs="宋体"/>
          <w:color w:val="000000" w:themeColor="text1"/>
          <w:sz w:val="24"/>
        </w:rPr>
      </w:pPr>
      <w:r>
        <w:rPr>
          <w:rFonts w:hint="eastAsia" w:ascii="宋体" w:hAnsi="宋体" w:cs="宋体"/>
          <w:color w:val="000000" w:themeColor="text1"/>
          <w:sz w:val="24"/>
        </w:rPr>
        <w:t>单项工程核减率在5%-8%（含8%）之间的，其审计费用由投标人承担20%，招标人承担80%；</w:t>
      </w:r>
    </w:p>
    <w:p>
      <w:pPr>
        <w:spacing w:line="520" w:lineRule="exact"/>
        <w:ind w:left="420" w:leftChars="200"/>
        <w:rPr>
          <w:rFonts w:ascii="宋体" w:hAnsi="宋体" w:cs="宋体"/>
          <w:color w:val="000000" w:themeColor="text1"/>
        </w:rPr>
      </w:pPr>
      <w:r>
        <w:rPr>
          <w:rFonts w:hint="eastAsia" w:ascii="宋体" w:hAnsi="宋体" w:cs="宋体"/>
          <w:color w:val="000000" w:themeColor="text1"/>
          <w:sz w:val="24"/>
        </w:rPr>
        <w:t>（四）单项工程核减率在5%及其以下的，其审计费用由招标人承担。</w:t>
      </w:r>
    </w:p>
    <w:p>
      <w:pPr>
        <w:spacing w:line="500" w:lineRule="exact"/>
        <w:ind w:firstLine="480" w:firstLineChars="200"/>
        <w:rPr>
          <w:rFonts w:ascii="宋体" w:hAnsi="宋体" w:cs="宋体"/>
          <w:b/>
          <w:bCs/>
          <w:color w:val="000000" w:themeColor="text1"/>
          <w:sz w:val="24"/>
        </w:rPr>
      </w:pPr>
      <w:r>
        <w:rPr>
          <w:rFonts w:hint="eastAsia" w:ascii="宋体" w:hAnsi="宋体" w:cs="宋体"/>
          <w:b/>
          <w:bCs/>
          <w:color w:val="000000" w:themeColor="text1"/>
          <w:sz w:val="24"/>
        </w:rPr>
        <w:t>16、违约责任</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pPr>
        <w:spacing w:line="500" w:lineRule="exact"/>
        <w:ind w:firstLine="480" w:firstLineChars="200"/>
        <w:rPr>
          <w:rFonts w:ascii="宋体" w:hAnsi="宋体" w:cs="宋体"/>
          <w:b/>
          <w:bCs/>
          <w:color w:val="000000" w:themeColor="text1"/>
          <w:sz w:val="24"/>
        </w:rPr>
      </w:pPr>
    </w:p>
    <w:p>
      <w:pPr>
        <w:spacing w:line="500" w:lineRule="exact"/>
        <w:ind w:firstLine="480" w:firstLineChars="200"/>
        <w:rPr>
          <w:rFonts w:ascii="宋体" w:hAnsi="宋体" w:cs="宋体"/>
          <w:b/>
          <w:bCs/>
          <w:color w:val="000000" w:themeColor="text1"/>
          <w:sz w:val="24"/>
        </w:rPr>
      </w:pPr>
      <w:r>
        <w:rPr>
          <w:rFonts w:hint="eastAsia" w:ascii="宋体" w:hAnsi="宋体" w:cs="宋体"/>
          <w:b/>
          <w:bCs/>
          <w:color w:val="000000" w:themeColor="text1"/>
          <w:sz w:val="24"/>
        </w:rPr>
        <w:t>17、其他</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17.1 合同生效后，中标人应严格按投标承诺履行合同，中标项目负责人及项目部组成人员必须常驻现场实施施工管理，中途如须离开超过3个工作日，必须经招标人同意，否则招标人有权终止合同，并要求中标人支付违约金。</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17.2 本项目施工过程中遇到的一切地方矛盾及由此发生的费用与招标人无涉，均由中标人自行负责，并在投标报价中考虑。</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17.3本项目合同实施期间所有消防、市容保洁、环境噪声、成品保护、文明施工均由中标人负责，并自行承担由此发生的相关费用。</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17.4中标人进场后自觉服从招标人对工地安全、标准化现场、总平面布置的管理，如出现不服从、不配合等现象，招标人有权按违约处理。</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17.5本项目价款一律通过银行非现金结算，实行专款专用。</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17.6 本项目发包人要求承包人严格按照盐建建筑〔2016〕35号《关于进一步做好建筑施工拖欠农民工工资治理工作的通知》文件要求执行。</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17.7本合同条款未尽事宜由双方按照《建设工程施工合同》（GF-2017-0201）示范文本的有关内容在合同中具体约定。</w:t>
      </w:r>
    </w:p>
    <w:p>
      <w:pPr>
        <w:widowControl/>
        <w:jc w:val="left"/>
        <w:rPr>
          <w:rFonts w:ascii="宋体" w:hAnsi="宋体" w:cs="宋体"/>
          <w:b/>
          <w:color w:val="000000" w:themeColor="text1"/>
          <w:sz w:val="44"/>
          <w:szCs w:val="44"/>
        </w:rPr>
      </w:pPr>
      <w:r>
        <w:rPr>
          <w:rFonts w:hint="eastAsia" w:ascii="宋体" w:hAnsi="宋体" w:cs="宋体"/>
          <w:b/>
          <w:color w:val="000000" w:themeColor="text1"/>
          <w:sz w:val="44"/>
          <w:szCs w:val="44"/>
        </w:rPr>
        <w:br w:type="page"/>
      </w:r>
    </w:p>
    <w:p>
      <w:pPr>
        <w:spacing w:line="500" w:lineRule="exact"/>
        <w:jc w:val="center"/>
        <w:rPr>
          <w:rFonts w:ascii="宋体" w:hAnsi="宋体" w:cs="宋体"/>
          <w:b/>
          <w:color w:val="000000" w:themeColor="text1"/>
          <w:sz w:val="44"/>
          <w:szCs w:val="44"/>
        </w:rPr>
      </w:pPr>
      <w:r>
        <w:rPr>
          <w:rFonts w:hint="eastAsia" w:ascii="宋体" w:hAnsi="宋体" w:cs="宋体"/>
          <w:b/>
          <w:color w:val="000000" w:themeColor="text1"/>
          <w:sz w:val="44"/>
          <w:szCs w:val="44"/>
        </w:rPr>
        <w:t>第七部分  评标定标办法</w:t>
      </w:r>
    </w:p>
    <w:p>
      <w:pPr>
        <w:spacing w:line="440" w:lineRule="exact"/>
        <w:ind w:firstLine="880" w:firstLineChars="200"/>
        <w:jc w:val="center"/>
        <w:rPr>
          <w:rFonts w:ascii="宋体" w:hAnsi="宋体" w:cs="宋体"/>
          <w:b/>
          <w:color w:val="000000" w:themeColor="text1"/>
          <w:sz w:val="44"/>
          <w:szCs w:val="44"/>
        </w:rPr>
      </w:pP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一、评标、定标办法</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本工程招标评标办法采用“盐城ABCD合成法”，由招标人依法组建的评标委员会对投标文件进行评审（投标人不需要编制施工组织设计，中标后，中标人应按有关规定编制施工组织设计），推荐有排序的1名中标侯选人。招标人根据评标委员会提供的书面评标报告，依法确定中标人。</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二、评标标准和程序</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（一）开标</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投标文件存在以下情况之一的，以及开标过程发现的其他废标情形，不再进行后续评标：</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⑴至投标截止时间止，未足额递交投标保证金；</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⑵投标函中载明的招标项目完成期限超过招标文件规定的期限；</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⑶投标函中载明的投标质量标准未响应招标文件实质性要求和条件；</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⑷招标文件约定的出席开标会议的人员未到场的；</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⑸投标函中载明的投标报价高于招标控制价的。</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按报价由高到低进行排序后按三分之一分成高、中、低三段（高、中段均去尾取整，多出的均结余至低段。事例说明：比如由高到低排序后投标人有8家，8/3=2.667，高段2家，中段2家，低段4家。按报价由高到低进行排序后，出现较高段区里低报价跟邻近较低段区高报价相同时都归类到较高的段区里），当投标人≤20家时，高、中、低段由招标人代表各随机抽取1家投标人报价，进行求和取平均值此为B值。当投标人＞20家时，高、中、低段由招标人代表各随机抽取2家投标人报价，进行求和取平均值此为B值。</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在低段区且不得低于下限D值范围内由招标人代表随机抽取一家投标报价后确定为C值。</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D值指:（开标环节无废标的评标价算术平均值×70%与招标控制价×30%之和）下浮20%计算出的值。</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（当投标人数量较少，无法抽取B、C值时，直接在相关区间段内取值进行计算。若C值无法获取时，直接确定D值为C值。）</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（二）评标准备</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评标前由招标人对照省政府第 120 号令要求，进行评标准备工作，并核实投标人和项目负责人的资质和资格、经历和业绩、在建工程和信用状况等方面的情况，重点对被抽到参与有关值计算的投标人审查，发现有投标人递交无竞争力的投标文件的（无竞争力投标是指不以中标为目的的投标，包括投标报价畸高、投标文件故意漏项缺项、施工组织设计文件不符合篇幅要求、以及故意违反招标文件中已醒目标识的无效投标条款且事先未质疑、有业绩要求未提供业绩、或提供明显与招标文件招标公告要求不符的业绩参与投标的等情形），提请评标委员会先进行废标，并作为不良行为推送相关招标网公示不少于1个月，并限制其参加国有资金项目投标。</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（三）清标</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（四）评标基准价及投标报价得分确定</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1、评标基准值计算方法的确定</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评标基准价=（A×50%＋B×35%＋C×15%）×K；</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2、评标基准值计算具体细则见（附表一），参数设置如下：</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K值取值范围：96%、96.5%、97%、97.5%、98%，（开标时由招标人代表随机抽取确定）；</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Δ值取值范围详见附表：8%、9%、10%、11%、12%、13%、14%、15%，（开标时由招标人代表随机抽取确定）；</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A值为A=招标控制价×（100%－下浮率Δ）；</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 xml:space="preserve">B值为开标时由招标人代表抽取有关投标报价经计算后确定； </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C值在低段范围内且不得低于下限D值范围内由招标人代表随机抽取一家投标报价确定。</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3、特殊情形下，评标基准价调整方式：除确认存在计算错误外，不因招投标当事人质疑、投诉、复议以及其它任何情形而改变；</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B、C、D值一经确定，不因后续资格审查废标而改变。</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4、报价得分满分为100分</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下浮系数K、下浮率Δ，在开标时由招标人代表按下表取值范围内随机抽取。</w:t>
      </w:r>
    </w:p>
    <w:tbl>
      <w:tblPr>
        <w:tblStyle w:val="20"/>
        <w:tblW w:w="8200" w:type="dxa"/>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80"/>
        <w:gridCol w:w="1903"/>
        <w:gridCol w:w="5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9" w:hRule="atLeast"/>
          <w:tblCellSpacing w:w="15" w:type="dxa"/>
          <w:jc w:val="center"/>
        </w:trPr>
        <w:tc>
          <w:tcPr>
            <w:tcW w:w="3038" w:type="dxa"/>
            <w:gridSpan w:val="2"/>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分类</w:t>
            </w:r>
          </w:p>
        </w:tc>
        <w:tc>
          <w:tcPr>
            <w:tcW w:w="5072" w:type="dxa"/>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取值范围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blCellSpacing w:w="15" w:type="dxa"/>
          <w:jc w:val="center"/>
        </w:trPr>
        <w:tc>
          <w:tcPr>
            <w:tcW w:w="3038" w:type="dxa"/>
            <w:gridSpan w:val="2"/>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下浮系数K</w:t>
            </w:r>
          </w:p>
        </w:tc>
        <w:tc>
          <w:tcPr>
            <w:tcW w:w="5072" w:type="dxa"/>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96%、96.5%、97%、97.5%、98%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04" w:hRule="atLeast"/>
          <w:tblCellSpacing w:w="15" w:type="dxa"/>
          <w:jc w:val="center"/>
        </w:trPr>
        <w:tc>
          <w:tcPr>
            <w:tcW w:w="1135" w:type="dxa"/>
            <w:vMerge w:val="restart"/>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下浮率Δ</w:t>
            </w:r>
          </w:p>
        </w:tc>
        <w:tc>
          <w:tcPr>
            <w:tcW w:w="1873" w:type="dxa"/>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房屋市政工程</w:t>
            </w:r>
          </w:p>
        </w:tc>
        <w:tc>
          <w:tcPr>
            <w:tcW w:w="5072" w:type="dxa"/>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6%、7%、8%、9%、10%、11%、12%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7" w:hRule="atLeast"/>
          <w:tblCellSpacing w:w="15" w:type="dxa"/>
          <w:jc w:val="center"/>
        </w:trPr>
        <w:tc>
          <w:tcPr>
            <w:tcW w:w="1135" w:type="dxa"/>
            <w:vMerge w:val="continue"/>
            <w:noWrap/>
            <w:vAlign w:val="center"/>
          </w:tcPr>
          <w:p>
            <w:pPr>
              <w:spacing w:line="500" w:lineRule="exact"/>
              <w:ind w:left="-1" w:firstLine="480" w:firstLineChars="200"/>
              <w:rPr>
                <w:rFonts w:ascii="宋体" w:hAnsi="宋体" w:cs="宋体"/>
                <w:color w:val="000000" w:themeColor="text1"/>
                <w:sz w:val="24"/>
              </w:rPr>
            </w:pPr>
          </w:p>
        </w:tc>
        <w:tc>
          <w:tcPr>
            <w:tcW w:w="1873" w:type="dxa"/>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装饰装修、市政幕墙及钢结构工程</w:t>
            </w:r>
          </w:p>
        </w:tc>
        <w:tc>
          <w:tcPr>
            <w:tcW w:w="5072" w:type="dxa"/>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8%、9%、10%、11%、12%、13%、14%、15%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1" w:hRule="atLeast"/>
          <w:tblCellSpacing w:w="15" w:type="dxa"/>
          <w:jc w:val="center"/>
        </w:trPr>
        <w:tc>
          <w:tcPr>
            <w:tcW w:w="1135" w:type="dxa"/>
            <w:vMerge w:val="continue"/>
            <w:noWrap/>
            <w:vAlign w:val="center"/>
          </w:tcPr>
          <w:p>
            <w:pPr>
              <w:spacing w:line="500" w:lineRule="exact"/>
              <w:ind w:left="-1" w:firstLine="480" w:firstLineChars="200"/>
              <w:rPr>
                <w:rFonts w:ascii="宋体" w:hAnsi="宋体" w:cs="宋体"/>
                <w:color w:val="000000" w:themeColor="text1"/>
                <w:sz w:val="24"/>
              </w:rPr>
            </w:pPr>
          </w:p>
        </w:tc>
        <w:tc>
          <w:tcPr>
            <w:tcW w:w="1873" w:type="dxa"/>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机电安装工程</w:t>
            </w:r>
          </w:p>
        </w:tc>
        <w:tc>
          <w:tcPr>
            <w:tcW w:w="5072" w:type="dxa"/>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9%、10%、11%、12%、13%、14%、15%、16%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20" w:hRule="atLeast"/>
          <w:tblCellSpacing w:w="15" w:type="dxa"/>
          <w:jc w:val="center"/>
        </w:trPr>
        <w:tc>
          <w:tcPr>
            <w:tcW w:w="1135" w:type="dxa"/>
            <w:vMerge w:val="continue"/>
            <w:noWrap/>
            <w:vAlign w:val="center"/>
          </w:tcPr>
          <w:p>
            <w:pPr>
              <w:spacing w:line="500" w:lineRule="exact"/>
              <w:ind w:left="-1" w:firstLine="480" w:firstLineChars="200"/>
              <w:rPr>
                <w:rFonts w:ascii="宋体" w:hAnsi="宋体" w:cs="宋体"/>
                <w:color w:val="000000" w:themeColor="text1"/>
                <w:sz w:val="24"/>
              </w:rPr>
            </w:pPr>
          </w:p>
        </w:tc>
        <w:tc>
          <w:tcPr>
            <w:tcW w:w="1873" w:type="dxa"/>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改造工程</w:t>
            </w:r>
          </w:p>
        </w:tc>
        <w:tc>
          <w:tcPr>
            <w:tcW w:w="5072" w:type="dxa"/>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12%、13%、14%、15%、16%、17%、18%、19%、20%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5" w:hRule="atLeast"/>
          <w:tblCellSpacing w:w="15" w:type="dxa"/>
          <w:jc w:val="center"/>
        </w:trPr>
        <w:tc>
          <w:tcPr>
            <w:tcW w:w="1135" w:type="dxa"/>
            <w:vMerge w:val="continue"/>
            <w:noWrap/>
            <w:vAlign w:val="center"/>
          </w:tcPr>
          <w:p>
            <w:pPr>
              <w:spacing w:line="500" w:lineRule="exact"/>
              <w:ind w:left="-1" w:firstLine="480" w:firstLineChars="200"/>
              <w:rPr>
                <w:rFonts w:ascii="宋体" w:hAnsi="宋体" w:cs="宋体"/>
                <w:color w:val="000000" w:themeColor="text1"/>
                <w:sz w:val="24"/>
              </w:rPr>
            </w:pPr>
          </w:p>
        </w:tc>
        <w:tc>
          <w:tcPr>
            <w:tcW w:w="1873" w:type="dxa"/>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绿化工程</w:t>
            </w:r>
          </w:p>
        </w:tc>
        <w:tc>
          <w:tcPr>
            <w:tcW w:w="5072" w:type="dxa"/>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17%、18%、19%、20%、21%、22%、23%、24%、25%</w:t>
            </w:r>
          </w:p>
        </w:tc>
      </w:tr>
    </w:tbl>
    <w:p>
      <w:pPr>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扣分标准：投标报价等于评标基准价的得满分，投标报价相对评标基准价每低1%扣0.6分，每高1%扣0.9分；偏离不足1%的，按照插入法计算得分。</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（五）投标人得分</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1、评标委员会按本章“盐城ABCD合成法”对各项的量化因素和分值进行打分，并计算出综合评估得分。</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（1）按第（四）项评标基准价及投标报价得分，规定的评审因素和分值对投标报价计算出得分a；</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2、评分分值计算过程中保留小数点后三位，小数点后第四位“四舍五入”。最终得分保留小数点后两位，第三位“四舍五入” 。</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3、投标人得分=a。</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（六）资格审查</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评标委员会对前面评审得分由高到低的投标文件按以下顺序进行，上一阶段未通过的不进入下一阶段评审，直至选出1名合格的中标候选人：</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1、初步评审</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1.1形式评审标准</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对投标文件的有效性、完整性进行评审。</w:t>
      </w:r>
    </w:p>
    <w:tbl>
      <w:tblPr>
        <w:tblStyle w:val="2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56"/>
        <w:gridCol w:w="525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jc w:val="center"/>
              <w:rPr>
                <w:rFonts w:ascii="宋体" w:hAnsi="宋体" w:cs="宋体"/>
                <w:color w:val="000000" w:themeColor="text1"/>
                <w:sz w:val="24"/>
              </w:rPr>
            </w:pPr>
            <w:r>
              <w:rPr>
                <w:rFonts w:hint="eastAsia" w:ascii="宋体" w:hAnsi="宋体" w:cs="宋体"/>
                <w:b/>
                <w:bCs/>
                <w:color w:val="000000" w:themeColor="text1"/>
                <w:sz w:val="24"/>
              </w:rPr>
              <w:t>评审因素</w:t>
            </w:r>
          </w:p>
        </w:tc>
        <w:tc>
          <w:tcPr>
            <w:tcW w:w="5257"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jc w:val="center"/>
              <w:rPr>
                <w:rFonts w:ascii="宋体" w:hAnsi="宋体" w:cs="宋体"/>
                <w:color w:val="000000" w:themeColor="text1"/>
                <w:sz w:val="24"/>
              </w:rPr>
            </w:pPr>
            <w:r>
              <w:rPr>
                <w:rFonts w:hint="eastAsia" w:ascii="宋体" w:hAnsi="宋体" w:cs="宋体"/>
                <w:b/>
                <w:bCs/>
                <w:color w:val="000000" w:themeColor="text1"/>
                <w:sz w:val="24"/>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投标人名称</w:t>
            </w:r>
          </w:p>
        </w:tc>
        <w:tc>
          <w:tcPr>
            <w:tcW w:w="5257" w:type="dxa"/>
            <w:tcBorders>
              <w:top w:val="single" w:color="auto" w:sz="4" w:space="0"/>
              <w:left w:val="single" w:color="auto" w:sz="4" w:space="0"/>
              <w:bottom w:val="single" w:color="auto" w:sz="4" w:space="0"/>
              <w:right w:val="single" w:color="auto" w:sz="4" w:space="0"/>
            </w:tcBorders>
            <w:noWrap/>
          </w:tcPr>
          <w:p>
            <w:pPr>
              <w:spacing w:line="500" w:lineRule="exact"/>
              <w:rPr>
                <w:rFonts w:ascii="宋体" w:hAnsi="宋体" w:cs="宋体"/>
                <w:color w:val="000000" w:themeColor="text1"/>
                <w:sz w:val="24"/>
              </w:rPr>
            </w:pPr>
            <w:r>
              <w:rPr>
                <w:rFonts w:hint="eastAsia" w:ascii="宋体" w:hAnsi="宋体" w:cs="宋体"/>
                <w:color w:val="000000" w:themeColor="text1"/>
                <w:sz w:val="24"/>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jc w:val="center"/>
        </w:trPr>
        <w:tc>
          <w:tcPr>
            <w:tcW w:w="2656"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投标文件格式</w:t>
            </w:r>
          </w:p>
        </w:tc>
        <w:tc>
          <w:tcPr>
            <w:tcW w:w="5257"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符合投标文件格式要求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8" w:hRule="atLeast"/>
          <w:jc w:val="center"/>
        </w:trPr>
        <w:tc>
          <w:tcPr>
            <w:tcW w:w="2656" w:type="dxa"/>
            <w:tcBorders>
              <w:top w:val="single" w:color="auto" w:sz="4" w:space="0"/>
              <w:left w:val="single" w:color="auto" w:sz="4" w:space="0"/>
              <w:bottom w:val="single" w:color="auto" w:sz="4" w:space="0"/>
              <w:right w:val="single" w:color="auto" w:sz="4" w:space="0"/>
            </w:tcBorders>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投标承诺函</w:t>
            </w:r>
          </w:p>
        </w:tc>
        <w:tc>
          <w:tcPr>
            <w:tcW w:w="5257"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有法定代表人或其委托代理人签字（或盖章）并加盖投标单位公章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2656"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授权委托书</w:t>
            </w:r>
          </w:p>
        </w:tc>
        <w:tc>
          <w:tcPr>
            <w:tcW w:w="5257" w:type="dxa"/>
            <w:tcBorders>
              <w:top w:val="single" w:color="auto" w:sz="4" w:space="0"/>
              <w:left w:val="single" w:color="auto" w:sz="4" w:space="0"/>
              <w:bottom w:val="single" w:color="auto" w:sz="4" w:space="0"/>
              <w:right w:val="single" w:color="auto" w:sz="4" w:space="0"/>
            </w:tcBorders>
            <w:noWrap/>
          </w:tcPr>
          <w:p>
            <w:pPr>
              <w:spacing w:line="500" w:lineRule="exact"/>
              <w:rPr>
                <w:rFonts w:ascii="宋体" w:hAnsi="宋体" w:cs="宋体"/>
                <w:color w:val="000000" w:themeColor="text1"/>
                <w:sz w:val="24"/>
              </w:rPr>
            </w:pPr>
            <w:r>
              <w:rPr>
                <w:rFonts w:hint="eastAsia" w:ascii="宋体" w:hAnsi="宋体" w:cs="宋体"/>
                <w:color w:val="000000" w:themeColor="text1"/>
                <w:sz w:val="24"/>
              </w:rPr>
              <w:t>有法定代表人签字（或盖章）并加盖投标单位公章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2656" w:type="dxa"/>
            <w:tcBorders>
              <w:top w:val="single" w:color="auto" w:sz="4" w:space="0"/>
              <w:left w:val="single" w:color="auto" w:sz="4" w:space="0"/>
              <w:bottom w:val="single" w:color="auto" w:sz="4" w:space="0"/>
              <w:right w:val="single" w:color="auto" w:sz="4" w:space="0"/>
            </w:tcBorders>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报价唯一</w:t>
            </w:r>
          </w:p>
        </w:tc>
        <w:tc>
          <w:tcPr>
            <w:tcW w:w="5257" w:type="dxa"/>
            <w:tcBorders>
              <w:top w:val="single" w:color="auto" w:sz="4" w:space="0"/>
              <w:left w:val="single" w:color="auto" w:sz="4" w:space="0"/>
              <w:bottom w:val="single" w:color="auto" w:sz="4" w:space="0"/>
              <w:right w:val="single" w:color="auto" w:sz="4" w:space="0"/>
            </w:tcBorders>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只能有一个有效报价</w:t>
            </w:r>
          </w:p>
        </w:tc>
      </w:tr>
    </w:tbl>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1.2资格审查（资格后审）</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评标委员会对通过上一阶段评审的投标人资格对照招标文件中</w:t>
      </w:r>
      <w:r>
        <w:rPr>
          <w:rFonts w:hint="eastAsia" w:ascii="宋体" w:hAnsi="宋体" w:cs="宋体"/>
          <w:b/>
          <w:bCs/>
          <w:color w:val="000000" w:themeColor="text1"/>
          <w:sz w:val="24"/>
        </w:rPr>
        <w:t>投标人资格要求</w:t>
      </w:r>
      <w:r>
        <w:rPr>
          <w:rFonts w:hint="eastAsia" w:ascii="宋体" w:hAnsi="宋体" w:cs="宋体"/>
          <w:color w:val="000000" w:themeColor="text1"/>
          <w:sz w:val="24"/>
        </w:rPr>
        <w:t>的规定要求进行审查，只有通过资格审查的投标人方可进行下一阶段的评审。</w:t>
      </w:r>
    </w:p>
    <w:tbl>
      <w:tblPr>
        <w:tblStyle w:val="20"/>
        <w:tblW w:w="79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700"/>
        <w:gridCol w:w="525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评审因素</w:t>
            </w:r>
          </w:p>
        </w:tc>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营业执照</w:t>
            </w:r>
          </w:p>
        </w:tc>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提供有效的营业执照原件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安全生产许可证</w:t>
            </w:r>
          </w:p>
        </w:tc>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提供有效的安全生产许可证原件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资质等级</w:t>
            </w:r>
          </w:p>
        </w:tc>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建筑工程施工总承包三级及以上资质或建筑装修装饰工程专业承包二级及以上</w:t>
            </w:r>
            <w:r>
              <w:rPr>
                <w:rFonts w:hint="eastAsia" w:ascii="宋体" w:hAnsi="宋体" w:cs="宋体"/>
                <w:bCs/>
                <w:color w:val="000000" w:themeColor="text1"/>
                <w:sz w:val="24"/>
              </w:rPr>
              <w:t>资质</w:t>
            </w:r>
            <w:r>
              <w:rPr>
                <w:rFonts w:hint="eastAsia" w:ascii="宋体" w:hAnsi="宋体" w:cs="宋体"/>
                <w:color w:val="000000" w:themeColor="text1"/>
                <w:sz w:val="24"/>
              </w:rPr>
              <w:t>且取得安全生产许可证原件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vAlign w:val="center"/>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项目负责人</w:t>
            </w:r>
          </w:p>
        </w:tc>
        <w:tc>
          <w:tcPr>
            <w:tcW w:w="5253" w:type="dxa"/>
            <w:tcBorders>
              <w:top w:val="single" w:color="auto" w:sz="4" w:space="0"/>
              <w:left w:val="single" w:color="auto" w:sz="4" w:space="0"/>
              <w:bottom w:val="single" w:color="auto" w:sz="4" w:space="0"/>
              <w:right w:val="single" w:color="auto" w:sz="4" w:space="0"/>
            </w:tcBorders>
            <w:noWrap/>
          </w:tcPr>
          <w:tbl>
            <w:tblPr>
              <w:tblStyle w:val="20"/>
              <w:tblW w:w="79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95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提供建筑工程专业二级及以上建造师注册证书原件和安全生产考核合格证书（B类）原件</w:t>
                  </w:r>
                </w:p>
              </w:tc>
            </w:tr>
          </w:tbl>
          <w:p>
            <w:pPr>
              <w:spacing w:line="500" w:lineRule="exact"/>
              <w:ind w:left="-1" w:firstLine="480" w:firstLineChars="200"/>
              <w:rPr>
                <w:rFonts w:ascii="宋体" w:hAnsi="宋体" w:cs="宋体"/>
                <w:color w:val="000000" w:themeColor="text1"/>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2700"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其他要求</w:t>
            </w:r>
          </w:p>
        </w:tc>
        <w:tc>
          <w:tcPr>
            <w:tcW w:w="5253" w:type="dxa"/>
            <w:tcBorders>
              <w:top w:val="single" w:color="auto" w:sz="4" w:space="0"/>
              <w:left w:val="single" w:color="auto" w:sz="4" w:space="0"/>
              <w:bottom w:val="single" w:color="auto" w:sz="4" w:space="0"/>
              <w:right w:val="single" w:color="auto" w:sz="4" w:space="0"/>
            </w:tcBorders>
            <w:noWrap/>
          </w:tcPr>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符合投标人资格要求规定</w:t>
            </w:r>
          </w:p>
        </w:tc>
      </w:tr>
    </w:tbl>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注：能有效识别二维码的复印件加盖证书持有单位公章和能有效识别二维码的电子证书加盖证书持有单位公章可视为原件。</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1.3响应性审查</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对招标文件要求的工期、质量标准、投标保证金、投标有效期、已标价工程量清单、暂定价、不可竞争费用、技术标准和要求等实质性要求的响应性进行评审。</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（七）定标补充规定</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上述各项得分相加即为投标人评标总分，按评标总分由高到低推荐1名中标候选人，若最终累计评标得分并列的，须明确中标候选人或需对中标候选人排序的，比较小数点后第三位值大小，得分高的排名靠前，若第三位仍相同的，由评标委员会按投标报价由低到高进行排序；如投标报价仍相同的，由招标人确定排序。</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招标人根据评标委员会推荐的中标候选人，确定排名第一的中标候选人为最终中标人。</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如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500" w:lineRule="exact"/>
        <w:ind w:firstLine="480" w:firstLineChars="200"/>
        <w:rPr>
          <w:color w:val="000000" w:themeColor="text1"/>
        </w:rPr>
      </w:pPr>
      <w:r>
        <w:rPr>
          <w:rFonts w:hint="eastAsia" w:ascii="宋体" w:hAnsi="宋体" w:cs="宋体"/>
          <w:color w:val="000000" w:themeColor="text1"/>
          <w:sz w:val="24"/>
        </w:rPr>
        <w:t>对不中标的投标人，招标人有权不作任何解释。</w:t>
      </w:r>
    </w:p>
    <w:p>
      <w:pPr>
        <w:spacing w:line="500" w:lineRule="exact"/>
        <w:ind w:left="-1" w:firstLine="480" w:firstLineChars="200"/>
        <w:rPr>
          <w:rFonts w:ascii="宋体" w:hAnsi="宋体" w:cs="宋体"/>
          <w:b/>
          <w:bCs/>
          <w:color w:val="000000" w:themeColor="text1"/>
          <w:sz w:val="24"/>
        </w:rPr>
      </w:pPr>
      <w:r>
        <w:rPr>
          <w:rFonts w:hint="eastAsia" w:ascii="宋体" w:hAnsi="宋体" w:cs="宋体"/>
          <w:b/>
          <w:bCs/>
          <w:color w:val="000000" w:themeColor="text1"/>
          <w:sz w:val="24"/>
        </w:rPr>
        <w:t>三、其它</w:t>
      </w:r>
    </w:p>
    <w:p>
      <w:pPr>
        <w:spacing w:line="500" w:lineRule="exact"/>
        <w:ind w:left="-1" w:firstLine="480" w:firstLineChars="200"/>
        <w:rPr>
          <w:rFonts w:ascii="宋体" w:hAnsi="宋体" w:cs="宋体"/>
          <w:color w:val="000000" w:themeColor="text1"/>
          <w:sz w:val="24"/>
        </w:rPr>
      </w:pPr>
      <w:r>
        <w:rPr>
          <w:rFonts w:hint="eastAsia" w:ascii="宋体" w:hAnsi="宋体" w:cs="宋体"/>
          <w:color w:val="000000" w:themeColor="text1"/>
          <w:sz w:val="24"/>
        </w:rPr>
        <w:t>1、本办法未述及的事宜，由评标委员会依据法律法规处置。</w:t>
      </w:r>
    </w:p>
    <w:p>
      <w:pPr>
        <w:spacing w:line="500" w:lineRule="exact"/>
        <w:ind w:left="-1" w:firstLine="480" w:firstLineChars="200"/>
        <w:rPr>
          <w:rFonts w:ascii="宋体" w:hAnsi="宋体" w:cs="宋体"/>
          <w:color w:val="000000" w:themeColor="text1"/>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宋体" w:hAnsi="宋体" w:cs="宋体"/>
          <w:color w:val="000000" w:themeColor="text1"/>
          <w:sz w:val="24"/>
        </w:rPr>
      </w:pPr>
    </w:p>
    <w:p>
      <w:pPr>
        <w:pStyle w:val="50"/>
        <w:ind w:firstLine="422"/>
        <w:rPr>
          <w:rFonts w:ascii="宋体" w:hAnsi="宋体" w:eastAsia="宋体" w:cs="宋体"/>
          <w:color w:val="000000" w:themeColor="text1"/>
        </w:rPr>
      </w:pPr>
    </w:p>
    <w:p>
      <w:pPr>
        <w:pStyle w:val="19"/>
        <w:ind w:firstLine="422"/>
        <w:rPr>
          <w:rFonts w:ascii="宋体" w:hAnsi="宋体" w:eastAsia="宋体" w:cs="宋体"/>
          <w:color w:val="000000" w:themeColor="text1"/>
        </w:rPr>
      </w:pPr>
    </w:p>
    <w:p>
      <w:pPr>
        <w:pStyle w:val="18"/>
        <w:spacing w:before="0" w:beforeAutospacing="0" w:after="0" w:afterAutospacing="0" w:line="420" w:lineRule="exact"/>
        <w:jc w:val="both"/>
        <w:textAlignment w:val="baseline"/>
        <w:rPr>
          <w:b/>
          <w:bCs/>
          <w:color w:val="000000" w:themeColor="text1"/>
          <w:sz w:val="32"/>
          <w:szCs w:val="32"/>
        </w:rPr>
      </w:pPr>
    </w:p>
    <w:p>
      <w:pPr>
        <w:pStyle w:val="18"/>
        <w:spacing w:before="0" w:beforeAutospacing="0" w:after="0" w:afterAutospacing="0" w:line="420" w:lineRule="exact"/>
        <w:jc w:val="both"/>
        <w:textAlignment w:val="baseline"/>
        <w:rPr>
          <w:b/>
          <w:bCs/>
          <w:color w:val="000000" w:themeColor="text1"/>
          <w:sz w:val="32"/>
          <w:szCs w:val="32"/>
        </w:rPr>
      </w:pPr>
    </w:p>
    <w:p>
      <w:pPr>
        <w:pStyle w:val="18"/>
        <w:spacing w:before="0" w:beforeAutospacing="0" w:after="0" w:afterAutospacing="0" w:line="420" w:lineRule="exact"/>
        <w:jc w:val="both"/>
        <w:textAlignment w:val="baseline"/>
        <w:rPr>
          <w:b/>
          <w:bCs/>
          <w:color w:val="000000" w:themeColor="text1"/>
          <w:sz w:val="32"/>
          <w:szCs w:val="32"/>
        </w:rPr>
      </w:pPr>
    </w:p>
    <w:p>
      <w:pPr>
        <w:pStyle w:val="18"/>
        <w:spacing w:before="0" w:beforeAutospacing="0" w:after="0" w:afterAutospacing="0" w:line="420" w:lineRule="exact"/>
        <w:jc w:val="both"/>
        <w:textAlignment w:val="baseline"/>
        <w:rPr>
          <w:b/>
          <w:bCs/>
          <w:color w:val="000000" w:themeColor="text1"/>
          <w:sz w:val="32"/>
          <w:szCs w:val="32"/>
        </w:rPr>
      </w:pPr>
    </w:p>
    <w:p>
      <w:pPr>
        <w:pStyle w:val="18"/>
        <w:spacing w:before="0" w:beforeAutospacing="0" w:after="0" w:afterAutospacing="0" w:line="420" w:lineRule="exact"/>
        <w:jc w:val="both"/>
        <w:textAlignment w:val="baseline"/>
        <w:rPr>
          <w:b/>
          <w:bCs/>
          <w:color w:val="000000" w:themeColor="text1"/>
          <w:sz w:val="32"/>
          <w:szCs w:val="32"/>
        </w:rPr>
      </w:pPr>
    </w:p>
    <w:p>
      <w:pPr>
        <w:pStyle w:val="18"/>
        <w:spacing w:before="0" w:beforeAutospacing="0" w:after="0" w:afterAutospacing="0" w:line="420" w:lineRule="exact"/>
        <w:jc w:val="both"/>
        <w:textAlignment w:val="baseline"/>
        <w:rPr>
          <w:b/>
          <w:bCs/>
          <w:color w:val="000000" w:themeColor="text1"/>
          <w:sz w:val="32"/>
          <w:szCs w:val="32"/>
        </w:rPr>
      </w:pPr>
    </w:p>
    <w:p>
      <w:pPr>
        <w:pStyle w:val="18"/>
        <w:spacing w:before="0" w:beforeAutospacing="0" w:after="0" w:afterAutospacing="0" w:line="420" w:lineRule="exact"/>
        <w:jc w:val="both"/>
        <w:textAlignment w:val="baseline"/>
        <w:rPr>
          <w:b/>
          <w:bCs/>
          <w:color w:val="000000" w:themeColor="text1"/>
          <w:sz w:val="44"/>
          <w:szCs w:val="44"/>
        </w:rPr>
      </w:pPr>
      <w:r>
        <w:rPr>
          <w:rFonts w:hint="eastAsia"/>
          <w:b/>
          <w:bCs/>
          <w:color w:val="000000" w:themeColor="text1"/>
          <w:sz w:val="32"/>
          <w:szCs w:val="32"/>
        </w:rPr>
        <w:t>附件1</w:t>
      </w:r>
    </w:p>
    <w:p>
      <w:pPr>
        <w:pStyle w:val="18"/>
        <w:spacing w:before="0" w:beforeAutospacing="0" w:after="0" w:afterAutospacing="0" w:line="700" w:lineRule="exact"/>
        <w:jc w:val="center"/>
        <w:textAlignment w:val="baseline"/>
        <w:rPr>
          <w:b/>
          <w:bCs/>
          <w:color w:val="000000" w:themeColor="text1"/>
          <w:sz w:val="48"/>
          <w:szCs w:val="48"/>
        </w:rPr>
      </w:pPr>
      <w:r>
        <w:rPr>
          <w:rFonts w:hint="eastAsia"/>
          <w:b/>
          <w:bCs/>
          <w:color w:val="000000" w:themeColor="text1"/>
          <w:sz w:val="48"/>
          <w:szCs w:val="48"/>
        </w:rPr>
        <w:t>诚信承诺书</w:t>
      </w:r>
    </w:p>
    <w:p>
      <w:pPr>
        <w:pStyle w:val="18"/>
        <w:spacing w:before="0" w:beforeAutospacing="0" w:after="0" w:afterAutospacing="0" w:line="400" w:lineRule="exact"/>
        <w:jc w:val="both"/>
        <w:textAlignment w:val="baseline"/>
        <w:rPr>
          <w:bCs/>
          <w:color w:val="000000" w:themeColor="text1"/>
        </w:rPr>
      </w:pPr>
    </w:p>
    <w:p>
      <w:pPr>
        <w:pStyle w:val="18"/>
        <w:spacing w:before="0" w:beforeAutospacing="0" w:after="0" w:afterAutospacing="0" w:line="400" w:lineRule="exact"/>
        <w:ind w:firstLine="470" w:firstLineChars="196"/>
        <w:textAlignment w:val="baseline"/>
        <w:rPr>
          <w:bCs/>
          <w:color w:val="000000" w:themeColor="text1"/>
        </w:rPr>
      </w:pPr>
      <w:r>
        <w:rPr>
          <w:rFonts w:hint="eastAsia"/>
          <w:bCs/>
          <w:color w:val="000000" w:themeColor="text1"/>
        </w:rPr>
        <w:t>本人__________（法定代表人全名）系（公司名）法定代表人，现对</w:t>
      </w:r>
      <w:r>
        <w:rPr>
          <w:rFonts w:hint="eastAsia"/>
          <w:bCs/>
          <w:color w:val="000000" w:themeColor="text1"/>
          <w:u w:val="single"/>
        </w:rPr>
        <w:t>盐城工业职业技术学院学校药品与健康管理学院</w:t>
      </w:r>
      <w:r>
        <w:rPr>
          <w:rFonts w:hint="eastAsia"/>
          <w:color w:val="000000" w:themeColor="text1"/>
          <w:u w:val="single"/>
        </w:rPr>
        <w:t>药物制剂仿真一体实训室改造工程</w:t>
      </w:r>
      <w:r>
        <w:rPr>
          <w:rFonts w:hint="eastAsia"/>
          <w:bCs/>
          <w:color w:val="000000" w:themeColor="text1"/>
        </w:rPr>
        <w:t>做出如下诚信承诺：</w:t>
      </w:r>
    </w:p>
    <w:p>
      <w:pPr>
        <w:pStyle w:val="18"/>
        <w:spacing w:before="0" w:beforeAutospacing="0" w:after="0" w:afterAutospacing="0" w:line="400" w:lineRule="exact"/>
        <w:ind w:firstLine="480" w:firstLineChars="200"/>
        <w:textAlignment w:val="baseline"/>
        <w:rPr>
          <w:bCs/>
          <w:color w:val="000000" w:themeColor="text1"/>
        </w:rPr>
      </w:pPr>
      <w:r>
        <w:rPr>
          <w:rFonts w:hint="eastAsia"/>
          <w:bCs/>
          <w:color w:val="000000" w:themeColor="text1"/>
        </w:rPr>
        <w:t>① 我方申报的所有资料都是真实、有效的;</w:t>
      </w:r>
    </w:p>
    <w:p>
      <w:pPr>
        <w:pStyle w:val="18"/>
        <w:spacing w:before="0" w:beforeAutospacing="0" w:after="0" w:afterAutospacing="0" w:line="400" w:lineRule="exact"/>
        <w:ind w:firstLine="480" w:firstLineChars="200"/>
        <w:textAlignment w:val="baseline"/>
        <w:rPr>
          <w:bCs/>
          <w:color w:val="000000" w:themeColor="text1"/>
        </w:rPr>
      </w:pPr>
      <w:r>
        <w:rPr>
          <w:rFonts w:hint="eastAsia"/>
          <w:bCs/>
          <w:color w:val="000000" w:themeColor="text1"/>
        </w:rPr>
        <w:t>② 我方不存在资质挂靠或参与串标、围标情形;</w:t>
      </w:r>
    </w:p>
    <w:p>
      <w:pPr>
        <w:pStyle w:val="18"/>
        <w:spacing w:before="0" w:beforeAutospacing="0" w:after="0" w:afterAutospacing="0" w:line="400" w:lineRule="exact"/>
        <w:ind w:firstLine="480" w:firstLineChars="200"/>
        <w:textAlignment w:val="baseline"/>
        <w:rPr>
          <w:bCs/>
          <w:color w:val="000000" w:themeColor="text1"/>
        </w:rPr>
      </w:pPr>
      <w:r>
        <w:rPr>
          <w:rFonts w:hint="eastAsia"/>
          <w:bCs/>
          <w:color w:val="000000" w:themeColor="text1"/>
        </w:rPr>
        <w:t>③ 我方投标项目负责人无在建工程；</w:t>
      </w:r>
    </w:p>
    <w:p>
      <w:pPr>
        <w:pStyle w:val="18"/>
        <w:spacing w:before="0" w:beforeAutospacing="0" w:after="0" w:afterAutospacing="0" w:line="400" w:lineRule="exact"/>
        <w:ind w:firstLine="480" w:firstLineChars="200"/>
        <w:textAlignment w:val="baseline"/>
        <w:rPr>
          <w:bCs/>
          <w:color w:val="000000" w:themeColor="text1"/>
        </w:rPr>
      </w:pPr>
      <w:r>
        <w:rPr>
          <w:rFonts w:hint="eastAsia"/>
          <w:bCs/>
          <w:color w:val="000000" w:themeColor="text1"/>
        </w:rPr>
        <w:t>④ 我方未被各级行政主管部门做出停止市场行为的处罚;</w:t>
      </w:r>
    </w:p>
    <w:p>
      <w:pPr>
        <w:pStyle w:val="18"/>
        <w:spacing w:before="0" w:beforeAutospacing="0" w:after="0" w:afterAutospacing="0" w:line="400" w:lineRule="exact"/>
        <w:ind w:firstLine="480" w:firstLineChars="200"/>
        <w:textAlignment w:val="baseline"/>
        <w:rPr>
          <w:bCs/>
          <w:color w:val="000000" w:themeColor="text1"/>
        </w:rPr>
      </w:pPr>
      <w:r>
        <w:rPr>
          <w:rFonts w:hint="eastAsia"/>
          <w:bCs/>
          <w:color w:val="000000" w:themeColor="text1"/>
        </w:rPr>
        <w:t>⑤ 若我方中标，将严格按照规定及时与招标单位按照招标文件签订合同;</w:t>
      </w:r>
    </w:p>
    <w:p>
      <w:pPr>
        <w:pStyle w:val="18"/>
        <w:spacing w:before="0" w:beforeAutospacing="0" w:after="0" w:afterAutospacing="0" w:line="400" w:lineRule="exact"/>
        <w:ind w:firstLine="480" w:firstLineChars="200"/>
        <w:textAlignment w:val="baseline"/>
        <w:rPr>
          <w:bCs/>
          <w:color w:val="000000" w:themeColor="text1"/>
        </w:rPr>
      </w:pPr>
      <w:r>
        <w:rPr>
          <w:rFonts w:hint="eastAsia"/>
          <w:bCs/>
          <w:color w:val="000000" w:themeColor="text1"/>
        </w:rPr>
        <w:t>⑥ 我方未与其他投标人串通投标，采取不正当手段诋毁、排挤其他投标人的公平竞争，损害招标人或其他投标人的合法权益；</w:t>
      </w:r>
    </w:p>
    <w:p>
      <w:pPr>
        <w:pStyle w:val="18"/>
        <w:spacing w:before="0" w:beforeAutospacing="0" w:after="0" w:afterAutospacing="0" w:line="400" w:lineRule="exact"/>
        <w:ind w:firstLine="480" w:firstLineChars="200"/>
        <w:textAlignment w:val="baseline"/>
        <w:rPr>
          <w:bCs/>
          <w:color w:val="000000" w:themeColor="text1"/>
        </w:rPr>
      </w:pPr>
      <w:r>
        <w:rPr>
          <w:rFonts w:hint="eastAsia"/>
          <w:bCs/>
          <w:color w:val="000000" w:themeColor="text1"/>
        </w:rPr>
        <w:fldChar w:fldCharType="begin"/>
      </w:r>
      <w:r>
        <w:rPr>
          <w:rFonts w:hint="eastAsia"/>
          <w:bCs/>
          <w:color w:val="000000" w:themeColor="text1"/>
        </w:rPr>
        <w:instrText xml:space="preserve">= 7 \* GB3</w:instrText>
      </w:r>
      <w:r>
        <w:rPr>
          <w:rFonts w:hint="eastAsia"/>
          <w:bCs/>
          <w:color w:val="000000" w:themeColor="text1"/>
        </w:rPr>
        <w:fldChar w:fldCharType="separate"/>
      </w:r>
      <w:r>
        <w:rPr>
          <w:rFonts w:hint="eastAsia"/>
          <w:bCs/>
          <w:color w:val="000000" w:themeColor="text1"/>
        </w:rPr>
        <w:t>⑦</w:t>
      </w:r>
      <w:r>
        <w:rPr>
          <w:rFonts w:hint="eastAsia"/>
          <w:bCs/>
          <w:color w:val="000000" w:themeColor="text1"/>
        </w:rPr>
        <w:fldChar w:fldCharType="end"/>
      </w:r>
      <w:r>
        <w:rPr>
          <w:rFonts w:hint="eastAsia"/>
          <w:bCs/>
          <w:color w:val="000000" w:themeColor="text1"/>
        </w:rPr>
        <w:t>我方杜绝捏造、虚构事实等方式进行恶意投诉的行为；</w:t>
      </w:r>
    </w:p>
    <w:p>
      <w:pPr>
        <w:pStyle w:val="18"/>
        <w:spacing w:before="0" w:beforeAutospacing="0" w:after="0" w:afterAutospacing="0" w:line="400" w:lineRule="exact"/>
        <w:ind w:firstLine="480" w:firstLineChars="200"/>
        <w:textAlignment w:val="baseline"/>
        <w:rPr>
          <w:bCs/>
          <w:color w:val="000000" w:themeColor="text1"/>
        </w:rPr>
      </w:pPr>
      <w:r>
        <w:rPr>
          <w:rFonts w:hint="eastAsia"/>
          <w:bCs/>
          <w:color w:val="000000" w:themeColor="text1"/>
        </w:rPr>
        <w:t>⑧如在投标过程和公示期间发生异议、投诉行为，保证按照《关于进一步规范建设工程招标投标投诉（异议）处理的通知》（盐建招投〔2016〕1号）要求进行，不捏造事实恶意投诉（异议），不借投诉（异议）之名进行敲诈勒索，不以非法手段获取相关证据材料。如有投诉（异议），投诉书形式要件合法、有效，内容符合有关规定。不一诉多投、不越级投诉。如投诉（异议）不实，给他人造成的损失的，应承担赔偿责任的，我同意招标人在我公司投标保证金中直接扣减相应数额，不足部分补足；</w:t>
      </w:r>
    </w:p>
    <w:p>
      <w:pPr>
        <w:pStyle w:val="18"/>
        <w:spacing w:before="0" w:beforeAutospacing="0" w:after="0" w:afterAutospacing="0" w:line="400" w:lineRule="exact"/>
        <w:ind w:firstLine="480" w:firstLineChars="200"/>
        <w:textAlignment w:val="baseline"/>
        <w:rPr>
          <w:bCs/>
          <w:color w:val="000000" w:themeColor="text1"/>
        </w:rPr>
      </w:pPr>
      <w:r>
        <w:rPr>
          <w:rFonts w:hint="eastAsia"/>
          <w:bCs/>
          <w:color w:val="000000" w:themeColor="text1"/>
        </w:rPr>
        <w:t>⑨若对本次投标有投诉（异议），我保证由我投标时授权的代理人全权处理投诉（异议）事项，不再另行委托他人处理，如若违背，招标人或监管机构有权拒绝受理我公司投诉（异议）事项。</w:t>
      </w:r>
    </w:p>
    <w:p>
      <w:pPr>
        <w:pStyle w:val="18"/>
        <w:spacing w:before="0" w:beforeAutospacing="0" w:after="0" w:afterAutospacing="0" w:line="400" w:lineRule="exact"/>
        <w:ind w:firstLine="480" w:firstLineChars="200"/>
        <w:textAlignment w:val="baseline"/>
        <w:rPr>
          <w:bCs/>
          <w:color w:val="000000" w:themeColor="text1"/>
        </w:rPr>
      </w:pPr>
      <w:r>
        <w:rPr>
          <w:rFonts w:hint="eastAsia"/>
          <w:bCs/>
          <w:color w:val="000000" w:themeColor="text1"/>
        </w:rPr>
        <w:t>我方在本次招投标活动过程中如有违背上述承诺诚实行为的：</w:t>
      </w:r>
    </w:p>
    <w:p>
      <w:pPr>
        <w:pStyle w:val="18"/>
        <w:spacing w:before="0" w:beforeAutospacing="0" w:after="0" w:afterAutospacing="0" w:line="400" w:lineRule="exact"/>
        <w:ind w:firstLine="480" w:firstLineChars="200"/>
        <w:textAlignment w:val="baseline"/>
        <w:rPr>
          <w:bCs/>
          <w:color w:val="000000" w:themeColor="text1"/>
        </w:rPr>
      </w:pPr>
      <w:r>
        <w:rPr>
          <w:rFonts w:hint="eastAsia"/>
          <w:bCs/>
          <w:color w:val="000000" w:themeColor="text1"/>
        </w:rPr>
        <w:t>① 自愿扣除本项目投标保证金。</w:t>
      </w:r>
    </w:p>
    <w:p>
      <w:pPr>
        <w:pStyle w:val="18"/>
        <w:spacing w:before="0" w:beforeAutospacing="0" w:after="0" w:afterAutospacing="0" w:line="400" w:lineRule="exact"/>
        <w:ind w:firstLine="480" w:firstLineChars="200"/>
        <w:textAlignment w:val="baseline"/>
        <w:rPr>
          <w:bCs/>
          <w:color w:val="000000" w:themeColor="text1"/>
        </w:rPr>
      </w:pPr>
      <w:r>
        <w:rPr>
          <w:rFonts w:hint="eastAsia"/>
          <w:bCs/>
          <w:color w:val="000000" w:themeColor="text1"/>
        </w:rPr>
        <w:t>②处罚公示期内，不得参与盐城市国有资金投资项目的投标。</w:t>
      </w:r>
    </w:p>
    <w:p>
      <w:pPr>
        <w:pStyle w:val="18"/>
        <w:spacing w:before="0" w:beforeAutospacing="0" w:after="0" w:afterAutospacing="0" w:line="400" w:lineRule="exact"/>
        <w:ind w:firstLine="480" w:firstLineChars="200"/>
        <w:textAlignment w:val="baseline"/>
        <w:rPr>
          <w:bCs/>
          <w:color w:val="000000" w:themeColor="text1"/>
        </w:rPr>
      </w:pPr>
      <w:r>
        <w:rPr>
          <w:rFonts w:hint="eastAsia"/>
          <w:bCs/>
          <w:color w:val="000000" w:themeColor="text1"/>
        </w:rPr>
        <w:t>③对造成的损失，任何法律和经济责任完全由我方负责。</w:t>
      </w:r>
    </w:p>
    <w:p>
      <w:pPr>
        <w:pStyle w:val="18"/>
        <w:spacing w:before="0" w:beforeAutospacing="0" w:after="0" w:afterAutospacing="0" w:line="400" w:lineRule="exact"/>
        <w:ind w:firstLine="480" w:firstLineChars="200"/>
        <w:textAlignment w:val="baseline"/>
        <w:rPr>
          <w:b/>
          <w:color w:val="000000" w:themeColor="text1"/>
        </w:rPr>
      </w:pPr>
      <w:r>
        <w:rPr>
          <w:rFonts w:hint="eastAsia"/>
          <w:b/>
          <w:color w:val="000000" w:themeColor="text1"/>
        </w:rPr>
        <w:t>投标人的法定代表人必须本人签署诚信承诺书，否则招标人将拒收（退回）其投标文件。</w:t>
      </w:r>
    </w:p>
    <w:p>
      <w:pPr>
        <w:pStyle w:val="8"/>
        <w:ind w:firstLine="0"/>
        <w:rPr>
          <w:rFonts w:ascii="宋体" w:hAnsi="宋体" w:eastAsia="宋体" w:cs="宋体"/>
          <w:b w:val="0"/>
          <w:color w:val="000000" w:themeColor="text1"/>
        </w:rPr>
      </w:pPr>
    </w:p>
    <w:p>
      <w:pPr>
        <w:pStyle w:val="8"/>
        <w:ind w:firstLine="1200" w:firstLineChars="500"/>
        <w:jc w:val="left"/>
        <w:rPr>
          <w:rFonts w:ascii="宋体" w:hAnsi="宋体" w:eastAsia="宋体" w:cs="宋体"/>
          <w:b w:val="0"/>
          <w:color w:val="000000" w:themeColor="text1"/>
        </w:rPr>
      </w:pPr>
      <w:r>
        <w:rPr>
          <w:rFonts w:hint="eastAsia" w:ascii="宋体" w:hAnsi="宋体" w:eastAsia="宋体" w:cs="宋体"/>
          <w:b w:val="0"/>
          <w:color w:val="000000" w:themeColor="text1"/>
        </w:rPr>
        <w:t>投标人（盖章）：</w:t>
      </w:r>
    </w:p>
    <w:p>
      <w:pPr>
        <w:pStyle w:val="8"/>
        <w:ind w:firstLine="1200" w:firstLineChars="500"/>
        <w:jc w:val="left"/>
        <w:rPr>
          <w:rFonts w:ascii="宋体" w:hAnsi="宋体" w:eastAsia="宋体" w:cs="宋体"/>
          <w:b w:val="0"/>
          <w:color w:val="000000" w:themeColor="text1"/>
        </w:rPr>
      </w:pPr>
      <w:r>
        <w:rPr>
          <w:rFonts w:hint="eastAsia" w:ascii="宋体" w:hAnsi="宋体" w:eastAsia="宋体" w:cs="宋体"/>
          <w:b w:val="0"/>
          <w:color w:val="000000" w:themeColor="text1"/>
        </w:rPr>
        <w:t>法定代表人（签字）：</w:t>
      </w:r>
    </w:p>
    <w:p>
      <w:pPr>
        <w:pStyle w:val="8"/>
        <w:ind w:firstLine="1200" w:firstLineChars="500"/>
        <w:jc w:val="left"/>
        <w:rPr>
          <w:rFonts w:ascii="宋体" w:hAnsi="宋体" w:eastAsia="宋体" w:cs="宋体"/>
          <w:b w:val="0"/>
          <w:bCs w:val="0"/>
          <w:color w:val="000000" w:themeColor="text1"/>
        </w:rPr>
      </w:pPr>
      <w:r>
        <w:rPr>
          <w:rFonts w:hint="eastAsia" w:ascii="宋体" w:hAnsi="宋体" w:eastAsia="宋体" w:cs="宋体"/>
          <w:b w:val="0"/>
          <w:bCs w:val="0"/>
          <w:color w:val="000000" w:themeColor="text1"/>
        </w:rPr>
        <w:t>日期：　 年　  月　　日</w:t>
      </w:r>
    </w:p>
    <w:p>
      <w:pPr>
        <w:spacing w:line="500" w:lineRule="exact"/>
        <w:jc w:val="left"/>
        <w:rPr>
          <w:rFonts w:ascii="宋体" w:hAnsi="宋体" w:cs="宋体"/>
          <w:b/>
          <w:color w:val="000000" w:themeColor="text1"/>
          <w:sz w:val="32"/>
          <w:szCs w:val="32"/>
        </w:rPr>
      </w:pPr>
    </w:p>
    <w:p>
      <w:pPr>
        <w:spacing w:line="500" w:lineRule="exact"/>
        <w:jc w:val="left"/>
        <w:rPr>
          <w:rFonts w:ascii="宋体" w:hAnsi="宋体" w:cs="宋体"/>
          <w:b/>
          <w:color w:val="000000" w:themeColor="text1"/>
          <w:sz w:val="32"/>
          <w:szCs w:val="32"/>
        </w:rPr>
      </w:pPr>
      <w:r>
        <w:rPr>
          <w:rFonts w:hint="eastAsia" w:ascii="宋体" w:hAnsi="宋体" w:cs="宋体"/>
          <w:b/>
          <w:color w:val="000000" w:themeColor="text1"/>
          <w:sz w:val="32"/>
          <w:szCs w:val="32"/>
        </w:rPr>
        <w:t>附件2</w:t>
      </w:r>
    </w:p>
    <w:p>
      <w:pPr>
        <w:spacing w:line="500" w:lineRule="exact"/>
        <w:jc w:val="center"/>
        <w:rPr>
          <w:rFonts w:ascii="宋体" w:hAnsi="宋体" w:cs="宋体"/>
          <w:b/>
          <w:color w:val="000000" w:themeColor="text1"/>
          <w:sz w:val="32"/>
          <w:szCs w:val="32"/>
        </w:rPr>
      </w:pPr>
    </w:p>
    <w:p>
      <w:pPr>
        <w:spacing w:line="500" w:lineRule="exact"/>
        <w:jc w:val="center"/>
        <w:rPr>
          <w:rFonts w:ascii="宋体" w:hAnsi="宋体" w:cs="宋体"/>
          <w:b/>
          <w:color w:val="000000" w:themeColor="text1"/>
          <w:sz w:val="44"/>
          <w:szCs w:val="44"/>
        </w:rPr>
      </w:pPr>
      <w:r>
        <w:rPr>
          <w:rFonts w:hint="eastAsia" w:ascii="宋体" w:hAnsi="宋体" w:cs="宋体"/>
          <w:b/>
          <w:color w:val="000000" w:themeColor="text1"/>
          <w:sz w:val="44"/>
          <w:szCs w:val="44"/>
        </w:rPr>
        <w:t>法定代表人身份证明书</w:t>
      </w:r>
    </w:p>
    <w:p>
      <w:pPr>
        <w:spacing w:line="500" w:lineRule="exact"/>
        <w:rPr>
          <w:rFonts w:ascii="宋体" w:hAnsi="宋体" w:cs="宋体"/>
          <w:color w:val="000000" w:themeColor="text1"/>
          <w:sz w:val="28"/>
        </w:rPr>
      </w:pPr>
    </w:p>
    <w:p>
      <w:pPr>
        <w:spacing w:line="500" w:lineRule="exact"/>
        <w:ind w:firstLine="480" w:firstLineChars="200"/>
        <w:rPr>
          <w:rFonts w:ascii="宋体" w:hAnsi="宋体" w:cs="宋体"/>
          <w:color w:val="000000" w:themeColor="text1"/>
          <w:sz w:val="24"/>
          <w:u w:val="single"/>
        </w:rPr>
      </w:pPr>
      <w:r>
        <w:rPr>
          <w:rFonts w:hint="eastAsia" w:ascii="宋体" w:hAnsi="宋体" w:cs="宋体"/>
          <w:color w:val="000000" w:themeColor="text1"/>
          <w:sz w:val="24"/>
        </w:rPr>
        <w:t>单位名称：</w:t>
      </w:r>
    </w:p>
    <w:p>
      <w:pPr>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单位性质：</w:t>
      </w:r>
    </w:p>
    <w:p>
      <w:pPr>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地    址：</w:t>
      </w:r>
    </w:p>
    <w:p>
      <w:pPr>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成立时间：年月日</w:t>
      </w:r>
    </w:p>
    <w:p>
      <w:pPr>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经营期限：</w:t>
      </w:r>
    </w:p>
    <w:p>
      <w:pPr>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姓名： 性别： 年龄： 职务：</w:t>
      </w:r>
    </w:p>
    <w:p>
      <w:pPr>
        <w:spacing w:line="500" w:lineRule="exact"/>
        <w:rPr>
          <w:rFonts w:ascii="宋体" w:hAnsi="宋体" w:cs="宋体"/>
          <w:color w:val="000000" w:themeColor="text1"/>
          <w:sz w:val="24"/>
        </w:rPr>
      </w:pPr>
      <w:r>
        <w:rPr>
          <w:rFonts w:hint="eastAsia" w:ascii="宋体" w:hAnsi="宋体" w:cs="宋体"/>
          <w:color w:val="000000" w:themeColor="text1"/>
          <w:sz w:val="24"/>
        </w:rPr>
        <w:t>系（投标人）的法定代表人。</w:t>
      </w:r>
    </w:p>
    <w:p>
      <w:pPr>
        <w:spacing w:line="500" w:lineRule="exact"/>
        <w:ind w:firstLine="480" w:firstLineChars="200"/>
        <w:rPr>
          <w:rFonts w:ascii="宋体" w:hAnsi="宋体" w:cs="宋体"/>
          <w:color w:val="000000" w:themeColor="text1"/>
          <w:sz w:val="24"/>
        </w:rPr>
      </w:pPr>
    </w:p>
    <w:p>
      <w:pPr>
        <w:spacing w:line="500" w:lineRule="exact"/>
        <w:ind w:firstLine="480" w:firstLineChars="200"/>
        <w:rPr>
          <w:rFonts w:ascii="宋体" w:hAnsi="宋体" w:cs="宋体"/>
          <w:color w:val="000000" w:themeColor="text1"/>
          <w:sz w:val="24"/>
        </w:rPr>
      </w:pPr>
    </w:p>
    <w:p>
      <w:pPr>
        <w:spacing w:line="500" w:lineRule="exact"/>
        <w:ind w:firstLine="480" w:firstLineChars="200"/>
        <w:rPr>
          <w:rFonts w:ascii="宋体" w:hAnsi="宋体" w:cs="宋体"/>
          <w:color w:val="000000" w:themeColor="text1"/>
          <w:sz w:val="24"/>
        </w:rPr>
      </w:pPr>
    </w:p>
    <w:p>
      <w:pPr>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特此证明。</w:t>
      </w:r>
    </w:p>
    <w:p>
      <w:pPr>
        <w:spacing w:line="500" w:lineRule="exact"/>
        <w:ind w:firstLine="480" w:firstLineChars="200"/>
        <w:rPr>
          <w:rFonts w:ascii="宋体" w:hAnsi="宋体" w:cs="宋体"/>
          <w:color w:val="000000" w:themeColor="text1"/>
          <w:sz w:val="24"/>
        </w:rPr>
      </w:pPr>
    </w:p>
    <w:p>
      <w:pPr>
        <w:spacing w:line="520" w:lineRule="atLeast"/>
        <w:ind w:firstLine="480" w:firstLineChars="200"/>
        <w:rPr>
          <w:rFonts w:ascii="宋体" w:hAnsi="宋体" w:cs="宋体"/>
          <w:b/>
          <w:color w:val="000000" w:themeColor="text1"/>
          <w:sz w:val="24"/>
        </w:rPr>
      </w:pPr>
      <w:r>
        <w:rPr>
          <w:rFonts w:hint="eastAsia" w:ascii="宋体" w:hAnsi="宋体" w:cs="宋体"/>
          <w:b/>
          <w:color w:val="000000" w:themeColor="text1"/>
          <w:sz w:val="24"/>
        </w:rPr>
        <w:t>身份证复印件粘贴处：</w:t>
      </w:r>
    </w:p>
    <w:p>
      <w:pPr>
        <w:spacing w:line="500" w:lineRule="exact"/>
        <w:ind w:firstLine="480" w:firstLineChars="200"/>
        <w:rPr>
          <w:rFonts w:ascii="宋体" w:hAnsi="宋体" w:cs="宋体"/>
          <w:color w:val="000000" w:themeColor="text1"/>
          <w:sz w:val="24"/>
        </w:rPr>
      </w:pPr>
    </w:p>
    <w:p>
      <w:pPr>
        <w:spacing w:line="500" w:lineRule="exact"/>
        <w:ind w:firstLine="480" w:firstLineChars="200"/>
        <w:rPr>
          <w:rFonts w:ascii="宋体" w:hAnsi="宋体" w:cs="宋体"/>
          <w:color w:val="000000" w:themeColor="text1"/>
          <w:sz w:val="24"/>
        </w:rPr>
      </w:pPr>
    </w:p>
    <w:p>
      <w:pPr>
        <w:spacing w:line="500" w:lineRule="exact"/>
        <w:ind w:firstLine="480" w:firstLineChars="200"/>
        <w:rPr>
          <w:rFonts w:ascii="宋体" w:hAnsi="宋体" w:cs="宋体"/>
          <w:color w:val="000000" w:themeColor="text1"/>
          <w:sz w:val="24"/>
        </w:rPr>
      </w:pPr>
    </w:p>
    <w:p>
      <w:pPr>
        <w:spacing w:line="500" w:lineRule="exact"/>
        <w:ind w:firstLine="480" w:firstLineChars="200"/>
        <w:rPr>
          <w:rFonts w:ascii="宋体" w:hAnsi="宋体" w:cs="宋体"/>
          <w:color w:val="000000" w:themeColor="text1"/>
          <w:sz w:val="24"/>
        </w:rPr>
      </w:pPr>
    </w:p>
    <w:p>
      <w:pPr>
        <w:spacing w:line="500" w:lineRule="exact"/>
        <w:rPr>
          <w:rFonts w:ascii="宋体" w:hAnsi="宋体" w:cs="宋体"/>
          <w:color w:val="000000" w:themeColor="text1"/>
          <w:sz w:val="24"/>
        </w:rPr>
      </w:pPr>
    </w:p>
    <w:p>
      <w:pPr>
        <w:spacing w:line="500" w:lineRule="exact"/>
        <w:ind w:firstLine="6240" w:firstLineChars="2600"/>
        <w:rPr>
          <w:rFonts w:ascii="宋体" w:hAnsi="宋体" w:cs="宋体"/>
          <w:color w:val="000000" w:themeColor="text1"/>
          <w:sz w:val="24"/>
        </w:rPr>
      </w:pPr>
      <w:r>
        <w:rPr>
          <w:rFonts w:hint="eastAsia" w:ascii="宋体" w:hAnsi="宋体" w:cs="宋体"/>
          <w:color w:val="000000" w:themeColor="text1"/>
          <w:sz w:val="24"/>
        </w:rPr>
        <w:t>投标人（盖章）：</w:t>
      </w:r>
    </w:p>
    <w:p>
      <w:pPr>
        <w:spacing w:line="500" w:lineRule="exact"/>
        <w:ind w:firstLine="3840" w:firstLineChars="1600"/>
        <w:rPr>
          <w:rFonts w:ascii="宋体" w:hAnsi="宋体" w:cs="宋体"/>
          <w:color w:val="000000" w:themeColor="text1"/>
          <w:sz w:val="24"/>
        </w:rPr>
      </w:pPr>
    </w:p>
    <w:p>
      <w:pPr>
        <w:spacing w:line="500" w:lineRule="exact"/>
        <w:jc w:val="right"/>
        <w:rPr>
          <w:rFonts w:ascii="宋体" w:hAnsi="宋体" w:cs="宋体"/>
          <w:color w:val="000000" w:themeColor="text1"/>
          <w:sz w:val="24"/>
        </w:rPr>
      </w:pPr>
      <w:r>
        <w:rPr>
          <w:rFonts w:hint="eastAsia" w:ascii="宋体" w:hAnsi="宋体" w:cs="宋体"/>
          <w:color w:val="000000" w:themeColor="text1"/>
          <w:sz w:val="24"/>
        </w:rPr>
        <w:t>日期：    年   月   日</w:t>
      </w:r>
    </w:p>
    <w:p>
      <w:pPr>
        <w:spacing w:line="500" w:lineRule="exact"/>
        <w:jc w:val="left"/>
        <w:rPr>
          <w:rFonts w:ascii="宋体" w:hAnsi="宋体" w:cs="宋体"/>
          <w:color w:val="000000" w:themeColor="text1"/>
          <w:sz w:val="24"/>
        </w:rPr>
      </w:pPr>
    </w:p>
    <w:p>
      <w:pPr>
        <w:spacing w:line="500" w:lineRule="exact"/>
        <w:jc w:val="left"/>
        <w:rPr>
          <w:rFonts w:ascii="宋体" w:hAnsi="宋体" w:cs="宋体"/>
          <w:b/>
          <w:color w:val="000000" w:themeColor="text1"/>
          <w:sz w:val="32"/>
          <w:szCs w:val="32"/>
        </w:rPr>
      </w:pPr>
    </w:p>
    <w:p>
      <w:pPr>
        <w:spacing w:line="500" w:lineRule="exact"/>
        <w:jc w:val="left"/>
        <w:rPr>
          <w:rFonts w:ascii="宋体" w:hAnsi="宋体" w:cs="宋体"/>
          <w:b/>
          <w:color w:val="000000" w:themeColor="text1"/>
          <w:sz w:val="32"/>
          <w:szCs w:val="32"/>
        </w:rPr>
      </w:pPr>
      <w:r>
        <w:rPr>
          <w:rFonts w:hint="eastAsia" w:ascii="宋体" w:hAnsi="宋体" w:cs="宋体"/>
          <w:b/>
          <w:color w:val="000000" w:themeColor="text1"/>
          <w:sz w:val="32"/>
          <w:szCs w:val="32"/>
        </w:rPr>
        <w:t>附件3</w:t>
      </w:r>
    </w:p>
    <w:p>
      <w:pPr>
        <w:spacing w:line="500" w:lineRule="exact"/>
        <w:jc w:val="center"/>
        <w:rPr>
          <w:rFonts w:ascii="宋体" w:hAnsi="宋体" w:cs="宋体"/>
          <w:b/>
          <w:color w:val="000000" w:themeColor="text1"/>
          <w:sz w:val="44"/>
          <w:szCs w:val="44"/>
        </w:rPr>
      </w:pPr>
      <w:r>
        <w:rPr>
          <w:rFonts w:hint="eastAsia" w:ascii="宋体" w:hAnsi="宋体" w:cs="宋体"/>
          <w:b/>
          <w:color w:val="000000" w:themeColor="text1"/>
          <w:sz w:val="44"/>
          <w:szCs w:val="44"/>
        </w:rPr>
        <w:t>授 权 委 托 书</w:t>
      </w:r>
    </w:p>
    <w:p>
      <w:pPr>
        <w:spacing w:line="520" w:lineRule="atLeast"/>
        <w:jc w:val="center"/>
        <w:rPr>
          <w:rFonts w:ascii="宋体" w:hAnsi="宋体" w:cs="宋体"/>
          <w:color w:val="000000" w:themeColor="text1"/>
          <w:sz w:val="44"/>
        </w:rPr>
      </w:pPr>
    </w:p>
    <w:p>
      <w:pPr>
        <w:spacing w:line="520" w:lineRule="atLeast"/>
        <w:ind w:firstLine="480" w:firstLineChars="200"/>
        <w:rPr>
          <w:rFonts w:ascii="宋体" w:hAnsi="宋体" w:cs="宋体"/>
          <w:color w:val="000000" w:themeColor="text1"/>
          <w:sz w:val="24"/>
        </w:rPr>
      </w:pPr>
      <w:r>
        <w:rPr>
          <w:rFonts w:hint="eastAsia" w:ascii="宋体" w:hAnsi="宋体" w:cs="宋体"/>
          <w:color w:val="000000" w:themeColor="text1"/>
          <w:sz w:val="24"/>
        </w:rPr>
        <w:t>本授权委托书声明：我（姓名）系（投标人名称）的法定代表人，现授权委托（单位名称）的（姓名）为我单位的代理人，以本单位的名义参加</w:t>
      </w:r>
      <w:r>
        <w:rPr>
          <w:rFonts w:hint="eastAsia" w:ascii="宋体" w:hAnsi="宋体" w:cs="宋体"/>
          <w:color w:val="000000" w:themeColor="text1"/>
          <w:sz w:val="24"/>
          <w:u w:val="single"/>
        </w:rPr>
        <w:t>盐城工业职业技术学院</w:t>
      </w:r>
      <w:r>
        <w:rPr>
          <w:rFonts w:hint="eastAsia" w:ascii="宋体" w:hAnsi="宋体" w:cs="宋体"/>
          <w:color w:val="000000" w:themeColor="text1"/>
          <w:sz w:val="24"/>
        </w:rPr>
        <w:t>（招标人名称）的</w:t>
      </w:r>
      <w:r>
        <w:rPr>
          <w:rFonts w:hint="eastAsia" w:ascii="宋体" w:hAnsi="宋体" w:cs="宋体"/>
          <w:color w:val="000000" w:themeColor="text1"/>
          <w:sz w:val="24"/>
          <w:u w:val="single"/>
        </w:rPr>
        <w:t>盐城工业职业技术学院学校药品与健康管理学院药物制剂仿真一体实训室改造工程</w:t>
      </w:r>
      <w:r>
        <w:rPr>
          <w:rFonts w:hint="eastAsia" w:ascii="宋体" w:hAnsi="宋体" w:cs="宋体"/>
          <w:color w:val="000000" w:themeColor="text1"/>
          <w:sz w:val="24"/>
        </w:rPr>
        <w:t>的投标活动。代理人在开标、评标、合同谈判过程中所签署的一切文件和处理与之有关的一切事务，我均予以承认。代理人无转委托权。</w:t>
      </w:r>
    </w:p>
    <w:p>
      <w:pPr>
        <w:spacing w:line="520" w:lineRule="atLeast"/>
        <w:ind w:firstLine="480" w:firstLineChars="200"/>
        <w:rPr>
          <w:rFonts w:ascii="宋体" w:hAnsi="宋体" w:cs="宋体"/>
          <w:color w:val="000000" w:themeColor="text1"/>
          <w:sz w:val="24"/>
        </w:rPr>
      </w:pPr>
      <w:r>
        <w:rPr>
          <w:rFonts w:hint="eastAsia" w:ascii="宋体" w:hAnsi="宋体" w:cs="宋体"/>
          <w:color w:val="000000" w:themeColor="text1"/>
          <w:sz w:val="24"/>
        </w:rPr>
        <w:t>特此委托。</w:t>
      </w:r>
    </w:p>
    <w:p>
      <w:pPr>
        <w:spacing w:line="520" w:lineRule="atLeast"/>
        <w:rPr>
          <w:rFonts w:ascii="宋体" w:hAnsi="宋体" w:cs="宋体"/>
          <w:color w:val="000000" w:themeColor="text1"/>
          <w:sz w:val="24"/>
        </w:rPr>
      </w:pPr>
    </w:p>
    <w:p>
      <w:pPr>
        <w:spacing w:line="520" w:lineRule="atLeast"/>
        <w:ind w:firstLine="480" w:firstLineChars="200"/>
        <w:rPr>
          <w:rFonts w:ascii="宋体" w:hAnsi="宋体" w:cs="宋体"/>
          <w:color w:val="000000" w:themeColor="text1"/>
          <w:sz w:val="24"/>
        </w:rPr>
      </w:pPr>
      <w:r>
        <w:rPr>
          <w:rFonts w:hint="eastAsia" w:ascii="宋体" w:hAnsi="宋体" w:cs="宋体"/>
          <w:color w:val="000000" w:themeColor="text1"/>
          <w:sz w:val="24"/>
        </w:rPr>
        <w:t>代理人姓名：              性别：          身份证号码：</w:t>
      </w:r>
    </w:p>
    <w:p>
      <w:pPr>
        <w:spacing w:line="520" w:lineRule="atLeast"/>
        <w:ind w:firstLine="480" w:firstLineChars="200"/>
        <w:rPr>
          <w:rFonts w:ascii="宋体" w:hAnsi="宋体" w:cs="宋体"/>
          <w:color w:val="000000" w:themeColor="text1"/>
          <w:sz w:val="24"/>
        </w:rPr>
      </w:pPr>
      <w:r>
        <w:rPr>
          <w:rFonts w:hint="eastAsia" w:ascii="宋体" w:hAnsi="宋体" w:cs="宋体"/>
          <w:color w:val="000000" w:themeColor="text1"/>
          <w:sz w:val="24"/>
        </w:rPr>
        <w:t>电话：                    传真：          手机：</w:t>
      </w:r>
    </w:p>
    <w:p>
      <w:pPr>
        <w:spacing w:line="520" w:lineRule="atLeast"/>
        <w:rPr>
          <w:rFonts w:ascii="宋体" w:hAnsi="宋体" w:cs="宋体"/>
          <w:color w:val="000000" w:themeColor="text1"/>
          <w:sz w:val="24"/>
        </w:rPr>
      </w:pPr>
    </w:p>
    <w:p>
      <w:pPr>
        <w:spacing w:line="520" w:lineRule="atLeast"/>
        <w:jc w:val="center"/>
        <w:rPr>
          <w:rFonts w:ascii="宋体" w:hAnsi="宋体" w:cs="宋体"/>
          <w:color w:val="000000" w:themeColor="text1"/>
          <w:sz w:val="24"/>
        </w:rPr>
      </w:pPr>
      <w:r>
        <w:rPr>
          <w:rFonts w:hint="eastAsia" w:ascii="宋体" w:hAnsi="宋体" w:cs="宋体"/>
          <w:color w:val="000000" w:themeColor="text1"/>
          <w:sz w:val="24"/>
        </w:rPr>
        <w:t xml:space="preserve">        投标人（盖章）： </w:t>
      </w:r>
    </w:p>
    <w:p>
      <w:pPr>
        <w:spacing w:line="520" w:lineRule="atLeast"/>
        <w:jc w:val="center"/>
        <w:rPr>
          <w:rFonts w:ascii="宋体" w:hAnsi="宋体" w:cs="宋体"/>
          <w:color w:val="000000" w:themeColor="text1"/>
          <w:sz w:val="24"/>
        </w:rPr>
      </w:pPr>
    </w:p>
    <w:p>
      <w:pPr>
        <w:spacing w:line="520" w:lineRule="atLeast"/>
        <w:jc w:val="center"/>
        <w:rPr>
          <w:rFonts w:ascii="宋体" w:hAnsi="宋体" w:cs="宋体"/>
          <w:color w:val="000000" w:themeColor="text1"/>
          <w:sz w:val="24"/>
        </w:rPr>
      </w:pPr>
      <w:r>
        <w:rPr>
          <w:rFonts w:hint="eastAsia" w:ascii="宋体" w:hAnsi="宋体" w:cs="宋体"/>
          <w:color w:val="000000" w:themeColor="text1"/>
          <w:sz w:val="24"/>
        </w:rPr>
        <w:t xml:space="preserve">                  法定代表人（签字或盖章）：</w:t>
      </w:r>
    </w:p>
    <w:p>
      <w:pPr>
        <w:spacing w:line="520" w:lineRule="atLeast"/>
        <w:rPr>
          <w:rFonts w:ascii="宋体" w:hAnsi="宋体" w:cs="宋体"/>
          <w:color w:val="000000" w:themeColor="text1"/>
          <w:sz w:val="24"/>
        </w:rPr>
      </w:pPr>
    </w:p>
    <w:p>
      <w:pPr>
        <w:spacing w:line="520" w:lineRule="atLeast"/>
        <w:rPr>
          <w:rFonts w:ascii="宋体" w:hAnsi="宋体" w:cs="宋体"/>
          <w:color w:val="000000" w:themeColor="text1"/>
          <w:sz w:val="24"/>
        </w:rPr>
      </w:pPr>
    </w:p>
    <w:p>
      <w:pPr>
        <w:spacing w:line="520" w:lineRule="atLeast"/>
        <w:ind w:firstLine="480" w:firstLineChars="200"/>
        <w:rPr>
          <w:rFonts w:ascii="宋体" w:hAnsi="宋体" w:cs="宋体"/>
          <w:b/>
          <w:color w:val="000000" w:themeColor="text1"/>
          <w:sz w:val="24"/>
        </w:rPr>
      </w:pPr>
      <w:r>
        <w:rPr>
          <w:rFonts w:hint="eastAsia" w:ascii="宋体" w:hAnsi="宋体" w:cs="宋体"/>
          <w:b/>
          <w:color w:val="000000" w:themeColor="text1"/>
          <w:sz w:val="24"/>
        </w:rPr>
        <w:t>身份证复印件粘贴处：</w:t>
      </w:r>
    </w:p>
    <w:p>
      <w:pPr>
        <w:spacing w:line="500" w:lineRule="exact"/>
        <w:jc w:val="left"/>
        <w:rPr>
          <w:rFonts w:ascii="宋体" w:hAnsi="宋体" w:cs="宋体"/>
          <w:color w:val="000000" w:themeColor="text1"/>
          <w:sz w:val="24"/>
        </w:rPr>
      </w:pPr>
      <w:r>
        <w:rPr>
          <w:rFonts w:hint="eastAsia" w:ascii="宋体" w:hAnsi="宋体" w:cs="宋体"/>
          <w:color w:val="000000" w:themeColor="text1"/>
          <w:sz w:val="24"/>
        </w:rPr>
        <w:br w:type="page"/>
      </w:r>
    </w:p>
    <w:p>
      <w:pPr>
        <w:pStyle w:val="8"/>
        <w:tabs>
          <w:tab w:val="left" w:pos="840"/>
        </w:tabs>
        <w:spacing w:afterLines="50" w:line="320" w:lineRule="exact"/>
        <w:ind w:firstLine="0"/>
        <w:rPr>
          <w:rFonts w:ascii="宋体" w:hAnsi="宋体" w:eastAsia="宋体" w:cs="宋体"/>
          <w:color w:val="000000" w:themeColor="text1"/>
        </w:rPr>
      </w:pPr>
      <w:r>
        <w:rPr>
          <w:rFonts w:hint="eastAsia" w:ascii="宋体" w:hAnsi="宋体" w:eastAsia="宋体" w:cs="宋体"/>
          <w:bCs w:val="0"/>
          <w:color w:val="000000" w:themeColor="text1"/>
          <w:sz w:val="32"/>
          <w:szCs w:val="32"/>
        </w:rPr>
        <w:t>附件4</w:t>
      </w:r>
    </w:p>
    <w:p>
      <w:pPr>
        <w:pStyle w:val="8"/>
        <w:spacing w:afterLines="50" w:line="240" w:lineRule="auto"/>
        <w:ind w:firstLine="516"/>
        <w:jc w:val="center"/>
        <w:rPr>
          <w:rFonts w:ascii="宋体" w:hAnsi="宋体" w:eastAsia="宋体" w:cs="宋体"/>
          <w:bCs w:val="0"/>
          <w:color w:val="000000" w:themeColor="text1"/>
          <w:sz w:val="32"/>
          <w:szCs w:val="32"/>
        </w:rPr>
      </w:pPr>
      <w:r>
        <w:rPr>
          <w:rFonts w:hint="eastAsia" w:ascii="宋体" w:hAnsi="宋体" w:eastAsia="宋体" w:cs="宋体"/>
          <w:bCs w:val="0"/>
          <w:color w:val="000000" w:themeColor="text1"/>
          <w:sz w:val="44"/>
          <w:szCs w:val="44"/>
        </w:rPr>
        <w:t>投标承诺书</w:t>
      </w:r>
    </w:p>
    <w:p>
      <w:pPr>
        <w:pStyle w:val="8"/>
        <w:spacing w:line="380" w:lineRule="exact"/>
        <w:ind w:firstLine="0"/>
        <w:rPr>
          <w:rFonts w:ascii="宋体" w:hAnsi="宋体" w:eastAsia="宋体" w:cs="宋体"/>
          <w:b w:val="0"/>
          <w:color w:val="000000" w:themeColor="text1"/>
          <w:u w:val="single"/>
        </w:rPr>
      </w:pPr>
      <w:r>
        <w:rPr>
          <w:rFonts w:hint="eastAsia" w:ascii="宋体" w:hAnsi="宋体" w:eastAsia="宋体" w:cs="宋体"/>
          <w:b w:val="0"/>
          <w:color w:val="000000" w:themeColor="text1"/>
        </w:rPr>
        <w:t>致：</w:t>
      </w:r>
      <w:r>
        <w:rPr>
          <w:rFonts w:hint="eastAsia" w:ascii="宋体" w:hAnsi="宋体" w:eastAsia="宋体" w:cs="宋体"/>
          <w:b w:val="0"/>
          <w:bCs w:val="0"/>
          <w:color w:val="000000" w:themeColor="text1"/>
          <w:u w:val="single"/>
        </w:rPr>
        <w:t>盐城工业职业技术学院</w:t>
      </w:r>
    </w:p>
    <w:p>
      <w:pPr>
        <w:pStyle w:val="8"/>
        <w:spacing w:line="420" w:lineRule="exact"/>
        <w:ind w:firstLine="520" w:firstLineChars="200"/>
        <w:rPr>
          <w:rFonts w:ascii="宋体" w:hAnsi="宋体" w:eastAsia="宋体" w:cs="宋体"/>
          <w:b w:val="0"/>
          <w:color w:val="000000" w:themeColor="text1"/>
        </w:rPr>
      </w:pPr>
      <w:r>
        <w:rPr>
          <w:rFonts w:hint="eastAsia" w:ascii="宋体" w:hAnsi="宋体" w:eastAsia="宋体" w:cs="宋体"/>
          <w:b w:val="0"/>
          <w:color w:val="000000" w:themeColor="text1"/>
          <w:spacing w:val="10"/>
        </w:rPr>
        <w:t>1.根据你方招标项目</w:t>
      </w:r>
      <w:r>
        <w:rPr>
          <w:rFonts w:hint="eastAsia" w:ascii="宋体" w:hAnsi="宋体" w:eastAsia="宋体" w:cs="宋体"/>
          <w:b w:val="0"/>
          <w:bCs w:val="0"/>
          <w:color w:val="000000" w:themeColor="text1"/>
          <w:u w:val="single"/>
        </w:rPr>
        <w:t>盐城工业职业技术学院学校药品与健康管理学院药物制剂仿真一体实训室改造工程</w:t>
      </w:r>
      <w:r>
        <w:rPr>
          <w:rFonts w:hint="eastAsia" w:ascii="宋体" w:hAnsi="宋体" w:eastAsia="宋体" w:cs="宋体"/>
          <w:b w:val="0"/>
          <w:color w:val="000000" w:themeColor="text1"/>
          <w:spacing w:val="10"/>
        </w:rPr>
        <w:t>的招标文件、遵照《中华人民共和国招标投标法》等有关规定，经踏勘项目现场和研究上述招标文件的投标须知、合同条</w:t>
      </w:r>
      <w:r>
        <w:rPr>
          <w:rFonts w:hint="eastAsia" w:ascii="宋体" w:hAnsi="宋体" w:eastAsia="宋体" w:cs="宋体"/>
          <w:b w:val="0"/>
          <w:color w:val="000000" w:themeColor="text1"/>
          <w:spacing w:val="10"/>
          <w:kern w:val="24"/>
        </w:rPr>
        <w:t>款、图</w:t>
      </w:r>
      <w:r>
        <w:rPr>
          <w:rFonts w:hint="eastAsia" w:ascii="宋体" w:hAnsi="宋体" w:eastAsia="宋体" w:cs="宋体"/>
          <w:b w:val="0"/>
          <w:color w:val="000000" w:themeColor="text1"/>
          <w:spacing w:val="10"/>
        </w:rPr>
        <w:t>纸</w:t>
      </w:r>
      <w:r>
        <w:rPr>
          <w:rFonts w:hint="eastAsia" w:ascii="宋体" w:hAnsi="宋体" w:eastAsia="宋体" w:cs="宋体"/>
          <w:b w:val="0"/>
          <w:color w:val="000000" w:themeColor="text1"/>
          <w:spacing w:val="10"/>
          <w:kern w:val="24"/>
        </w:rPr>
        <w:t>、建设标准和工程量清单及其他有关文件后，我方愿以人民币</w:t>
      </w:r>
      <w:r>
        <w:rPr>
          <w:rFonts w:hint="eastAsia" w:ascii="宋体" w:hAnsi="宋体" w:eastAsia="宋体" w:cs="宋体"/>
          <w:b w:val="0"/>
          <w:color w:val="000000" w:themeColor="text1"/>
          <w:spacing w:val="10"/>
          <w:kern w:val="24"/>
          <w:u w:val="single"/>
        </w:rPr>
        <w:t>（大写）   　　（小写：　 　元）</w:t>
      </w:r>
      <w:r>
        <w:rPr>
          <w:rFonts w:hint="eastAsia" w:ascii="宋体" w:hAnsi="宋体" w:eastAsia="宋体" w:cs="宋体"/>
          <w:b w:val="0"/>
          <w:color w:val="000000" w:themeColor="text1"/>
          <w:spacing w:val="10"/>
        </w:rPr>
        <w:t>的投标报价并按上述图</w:t>
      </w:r>
      <w:r>
        <w:rPr>
          <w:rFonts w:hint="eastAsia" w:ascii="宋体" w:hAnsi="宋体" w:eastAsia="宋体" w:cs="宋体"/>
          <w:b w:val="0"/>
          <w:color w:val="000000" w:themeColor="text1"/>
        </w:rPr>
        <w:t>纸、</w:t>
      </w:r>
      <w:r>
        <w:rPr>
          <w:rFonts w:hint="eastAsia" w:ascii="宋体" w:hAnsi="宋体" w:eastAsia="宋体" w:cs="宋体"/>
          <w:b w:val="0"/>
          <w:color w:val="000000" w:themeColor="text1"/>
          <w:spacing w:val="10"/>
        </w:rPr>
        <w:t>合同条款、工程建设标准和工程</w:t>
      </w:r>
      <w:r>
        <w:rPr>
          <w:rFonts w:hint="eastAsia" w:ascii="宋体" w:hAnsi="宋体" w:eastAsia="宋体" w:cs="宋体"/>
          <w:b w:val="0"/>
          <w:color w:val="000000" w:themeColor="text1"/>
        </w:rPr>
        <w:t>量清单的条件要求承包上述工程对应标段的施工、竣工，并承担任何质量缺陷保修责任。</w:t>
      </w:r>
    </w:p>
    <w:p>
      <w:pPr>
        <w:pStyle w:val="8"/>
        <w:spacing w:line="380" w:lineRule="exact"/>
        <w:ind w:firstLine="480" w:firstLineChars="200"/>
        <w:rPr>
          <w:rFonts w:ascii="宋体" w:hAnsi="宋体" w:eastAsia="宋体" w:cs="宋体"/>
          <w:b w:val="0"/>
          <w:color w:val="000000" w:themeColor="text1"/>
        </w:rPr>
      </w:pPr>
      <w:r>
        <w:rPr>
          <w:rFonts w:hint="eastAsia" w:ascii="宋体" w:hAnsi="宋体" w:eastAsia="宋体" w:cs="宋体"/>
          <w:b w:val="0"/>
          <w:color w:val="000000" w:themeColor="text1"/>
        </w:rPr>
        <w:t>2.我方派出</w:t>
      </w:r>
      <w:r>
        <w:rPr>
          <w:rFonts w:hint="eastAsia" w:ascii="宋体" w:hAnsi="宋体" w:eastAsia="宋体" w:cs="宋体"/>
          <w:b w:val="0"/>
          <w:color w:val="000000" w:themeColor="text1"/>
          <w:u w:val="single"/>
        </w:rPr>
        <w:t>　　　</w:t>
      </w:r>
      <w:r>
        <w:rPr>
          <w:rFonts w:hint="eastAsia" w:ascii="宋体" w:hAnsi="宋体" w:eastAsia="宋体" w:cs="宋体"/>
          <w:b w:val="0"/>
          <w:color w:val="000000" w:themeColor="text1"/>
        </w:rPr>
        <w:t>（项目负责人姓名）作为本次招标项目的项目负责人，项目负责人的联系电话为。</w:t>
      </w:r>
    </w:p>
    <w:p>
      <w:pPr>
        <w:pStyle w:val="8"/>
        <w:spacing w:line="380" w:lineRule="exact"/>
        <w:ind w:firstLine="480" w:firstLineChars="200"/>
        <w:rPr>
          <w:rFonts w:ascii="宋体" w:hAnsi="宋体" w:eastAsia="宋体" w:cs="宋体"/>
          <w:b w:val="0"/>
          <w:color w:val="000000" w:themeColor="text1"/>
        </w:rPr>
      </w:pPr>
      <w:r>
        <w:rPr>
          <w:rFonts w:hint="eastAsia" w:ascii="宋体" w:hAnsi="宋体" w:eastAsia="宋体" w:cs="宋体"/>
          <w:b w:val="0"/>
          <w:color w:val="000000" w:themeColor="text1"/>
        </w:rPr>
        <w:t>3.我方已详细阅读全部招标文件，包括修改文件、答疑及有关附件，我方承诺完全响应并认可上述文件的所有内容。</w:t>
      </w:r>
    </w:p>
    <w:p>
      <w:pPr>
        <w:pStyle w:val="8"/>
        <w:spacing w:line="380" w:lineRule="exact"/>
        <w:ind w:firstLine="480" w:firstLineChars="200"/>
        <w:rPr>
          <w:rFonts w:ascii="宋体" w:hAnsi="宋体" w:eastAsia="宋体" w:cs="宋体"/>
          <w:b w:val="0"/>
          <w:color w:val="000000" w:themeColor="text1"/>
        </w:rPr>
      </w:pPr>
      <w:r>
        <w:rPr>
          <w:rFonts w:hint="eastAsia" w:ascii="宋体" w:hAnsi="宋体" w:eastAsia="宋体" w:cs="宋体"/>
          <w:b w:val="0"/>
          <w:color w:val="000000" w:themeColor="text1"/>
        </w:rPr>
        <w:t>4.我方承认投标函附件是我方投标函的组成部分。</w:t>
      </w:r>
    </w:p>
    <w:p>
      <w:pPr>
        <w:pStyle w:val="8"/>
        <w:spacing w:line="380" w:lineRule="exact"/>
        <w:ind w:firstLine="480" w:firstLineChars="200"/>
        <w:rPr>
          <w:rFonts w:ascii="宋体" w:hAnsi="宋体" w:eastAsia="宋体" w:cs="宋体"/>
          <w:b w:val="0"/>
          <w:color w:val="000000" w:themeColor="text1"/>
        </w:rPr>
      </w:pPr>
      <w:r>
        <w:rPr>
          <w:rFonts w:hint="eastAsia" w:ascii="宋体" w:hAnsi="宋体" w:eastAsia="宋体" w:cs="宋体"/>
          <w:b w:val="0"/>
          <w:color w:val="000000" w:themeColor="text1"/>
        </w:rPr>
        <w:t>5.一旦我方中标，我方保证在</w:t>
      </w:r>
      <w:r>
        <w:rPr>
          <w:rFonts w:hint="eastAsia" w:ascii="宋体" w:hAnsi="宋体" w:eastAsia="宋体" w:cs="宋体"/>
          <w:bCs w:val="0"/>
          <w:color w:val="000000" w:themeColor="text1"/>
          <w:u w:val="single"/>
        </w:rPr>
        <w:t>招标人要求的工期内通过竣工验收合格并交付使用</w:t>
      </w:r>
      <w:r>
        <w:rPr>
          <w:rFonts w:hint="eastAsia" w:ascii="宋体" w:hAnsi="宋体" w:eastAsia="宋体" w:cs="宋体"/>
          <w:b w:val="0"/>
          <w:color w:val="000000" w:themeColor="text1"/>
        </w:rPr>
        <w:t>；并确保工程质量达到</w:t>
      </w:r>
      <w:r>
        <w:rPr>
          <w:rFonts w:hint="eastAsia" w:ascii="宋体" w:hAnsi="宋体" w:eastAsia="宋体" w:cs="宋体"/>
          <w:bCs w:val="0"/>
          <w:color w:val="000000" w:themeColor="text1"/>
          <w:u w:val="single"/>
        </w:rPr>
        <w:t>国家合格标准</w:t>
      </w:r>
      <w:r>
        <w:rPr>
          <w:rFonts w:hint="eastAsia" w:ascii="宋体" w:hAnsi="宋体" w:eastAsia="宋体" w:cs="宋体"/>
          <w:b w:val="0"/>
          <w:color w:val="000000" w:themeColor="text1"/>
        </w:rPr>
        <w:t>，同时严格执行《建设工程质量管理条例》中有关工程保修条款。</w:t>
      </w:r>
    </w:p>
    <w:p>
      <w:pPr>
        <w:pStyle w:val="8"/>
        <w:spacing w:line="380" w:lineRule="exact"/>
        <w:ind w:firstLine="480" w:firstLineChars="200"/>
        <w:rPr>
          <w:rFonts w:ascii="宋体" w:hAnsi="宋体" w:eastAsia="宋体" w:cs="宋体"/>
          <w:b w:val="0"/>
          <w:color w:val="000000" w:themeColor="text1"/>
        </w:rPr>
      </w:pPr>
      <w:r>
        <w:rPr>
          <w:rFonts w:hint="eastAsia" w:ascii="宋体" w:hAnsi="宋体" w:eastAsia="宋体" w:cs="宋体"/>
          <w:b w:val="0"/>
          <w:color w:val="000000" w:themeColor="text1"/>
        </w:rPr>
        <w:t>6、如果我方在投标有效期内撤回投标、无故放弃中标资格，或违反招标文件、法律、法规规定的其他事项，我方的投标保证金贵方不予退还。</w:t>
      </w:r>
    </w:p>
    <w:p>
      <w:pPr>
        <w:pStyle w:val="8"/>
        <w:spacing w:line="380" w:lineRule="exact"/>
        <w:ind w:firstLine="480" w:firstLineChars="200"/>
        <w:rPr>
          <w:rFonts w:ascii="宋体" w:hAnsi="宋体" w:eastAsia="宋体" w:cs="宋体"/>
          <w:b w:val="0"/>
          <w:color w:val="000000" w:themeColor="text1"/>
        </w:rPr>
      </w:pPr>
      <w:r>
        <w:rPr>
          <w:rFonts w:hint="eastAsia" w:ascii="宋体" w:hAnsi="宋体" w:eastAsia="宋体" w:cs="宋体"/>
          <w:b w:val="0"/>
          <w:color w:val="000000" w:themeColor="text1"/>
        </w:rPr>
        <w:t>7.  我方同意所提交的投标文件在招标文件规定的投标有效期内有效，在此期间内如果中标，我方将受此约束。</w:t>
      </w:r>
    </w:p>
    <w:p>
      <w:pPr>
        <w:pStyle w:val="8"/>
        <w:spacing w:line="380" w:lineRule="exact"/>
        <w:ind w:firstLine="480" w:firstLineChars="200"/>
        <w:rPr>
          <w:rFonts w:ascii="宋体" w:hAnsi="宋体" w:eastAsia="宋体" w:cs="宋体"/>
          <w:b w:val="0"/>
          <w:color w:val="000000" w:themeColor="text1"/>
        </w:rPr>
      </w:pPr>
      <w:r>
        <w:rPr>
          <w:rFonts w:hint="eastAsia" w:ascii="宋体" w:hAnsi="宋体" w:eastAsia="宋体" w:cs="宋体"/>
          <w:b w:val="0"/>
          <w:color w:val="000000" w:themeColor="text1"/>
        </w:rPr>
        <w:t>8. 除非另外达成协议生效，你方的《中标通知书》和本投标文件将成为约束双方的合同文件的组成部分。</w:t>
      </w:r>
    </w:p>
    <w:p>
      <w:pPr>
        <w:pStyle w:val="8"/>
        <w:spacing w:line="380" w:lineRule="exact"/>
        <w:ind w:firstLine="1473" w:firstLineChars="614"/>
        <w:rPr>
          <w:rFonts w:ascii="宋体" w:hAnsi="宋体" w:eastAsia="宋体" w:cs="宋体"/>
          <w:b w:val="0"/>
          <w:color w:val="000000" w:themeColor="text1"/>
        </w:rPr>
      </w:pPr>
    </w:p>
    <w:p>
      <w:pPr>
        <w:pStyle w:val="8"/>
        <w:spacing w:line="380" w:lineRule="exact"/>
        <w:ind w:firstLine="1305" w:firstLineChars="544"/>
        <w:rPr>
          <w:rFonts w:ascii="宋体" w:hAnsi="宋体" w:eastAsia="宋体" w:cs="宋体"/>
          <w:b w:val="0"/>
          <w:color w:val="000000" w:themeColor="text1"/>
        </w:rPr>
      </w:pPr>
      <w:r>
        <w:rPr>
          <w:rFonts w:hint="eastAsia" w:ascii="宋体" w:hAnsi="宋体" w:eastAsia="宋体" w:cs="宋体"/>
          <w:b w:val="0"/>
          <w:color w:val="000000" w:themeColor="text1"/>
        </w:rPr>
        <w:t>投标人（盖章）：</w:t>
      </w:r>
      <w:r>
        <w:rPr>
          <w:rFonts w:hint="eastAsia" w:ascii="宋体" w:hAnsi="宋体" w:eastAsia="宋体" w:cs="宋体"/>
          <w:b w:val="0"/>
          <w:color w:val="000000" w:themeColor="text1"/>
          <w:u w:val="single"/>
        </w:rPr>
        <w:t>　　　　　　　　　　　　　　　   　　　　</w:t>
      </w:r>
    </w:p>
    <w:p>
      <w:pPr>
        <w:pStyle w:val="8"/>
        <w:spacing w:line="380" w:lineRule="exact"/>
        <w:ind w:firstLine="1200" w:firstLineChars="500"/>
        <w:rPr>
          <w:rFonts w:ascii="宋体" w:hAnsi="宋体" w:eastAsia="宋体" w:cs="宋体"/>
          <w:b w:val="0"/>
          <w:color w:val="000000" w:themeColor="text1"/>
          <w:u w:val="single"/>
        </w:rPr>
      </w:pPr>
      <w:r>
        <w:rPr>
          <w:rFonts w:hint="eastAsia" w:ascii="宋体" w:hAnsi="宋体" w:eastAsia="宋体" w:cs="宋体"/>
          <w:b w:val="0"/>
          <w:color w:val="000000" w:themeColor="text1"/>
        </w:rPr>
        <w:t>地址：</w:t>
      </w:r>
      <w:r>
        <w:rPr>
          <w:rFonts w:hint="eastAsia" w:ascii="宋体" w:hAnsi="宋体" w:eastAsia="宋体" w:cs="宋体"/>
          <w:b w:val="0"/>
          <w:color w:val="000000" w:themeColor="text1"/>
          <w:u w:val="single"/>
        </w:rPr>
        <w:t>　　　　　　　　　   　　　　　　　　　　 　　　　</w:t>
      </w:r>
    </w:p>
    <w:p>
      <w:pPr>
        <w:pStyle w:val="8"/>
        <w:spacing w:line="380" w:lineRule="exact"/>
        <w:ind w:firstLine="1200" w:firstLineChars="500"/>
        <w:rPr>
          <w:rFonts w:ascii="宋体" w:hAnsi="宋体" w:eastAsia="宋体" w:cs="宋体"/>
          <w:b w:val="0"/>
          <w:color w:val="000000" w:themeColor="text1"/>
          <w:u w:val="single"/>
        </w:rPr>
      </w:pPr>
      <w:r>
        <w:rPr>
          <w:rFonts w:hint="eastAsia" w:ascii="宋体" w:hAnsi="宋体" w:eastAsia="宋体" w:cs="宋体"/>
          <w:b w:val="0"/>
          <w:color w:val="000000" w:themeColor="text1"/>
        </w:rPr>
        <w:t>法定代表人或其委托代理人（签字或盖章）：</w:t>
      </w:r>
      <w:r>
        <w:rPr>
          <w:rFonts w:hint="eastAsia" w:ascii="宋体" w:hAnsi="宋体" w:eastAsia="宋体" w:cs="宋体"/>
          <w:b w:val="0"/>
          <w:color w:val="000000" w:themeColor="text1"/>
          <w:u w:val="single"/>
        </w:rPr>
        <w:t>　　　　　　 　　</w:t>
      </w:r>
    </w:p>
    <w:p>
      <w:pPr>
        <w:pStyle w:val="8"/>
        <w:spacing w:line="380" w:lineRule="exact"/>
        <w:ind w:firstLine="1200" w:firstLineChars="500"/>
        <w:rPr>
          <w:rFonts w:ascii="宋体" w:hAnsi="宋体" w:eastAsia="宋体" w:cs="宋体"/>
          <w:b w:val="0"/>
          <w:color w:val="000000" w:themeColor="text1"/>
        </w:rPr>
      </w:pPr>
      <w:r>
        <w:rPr>
          <w:rFonts w:hint="eastAsia" w:ascii="宋体" w:hAnsi="宋体" w:eastAsia="宋体" w:cs="宋体"/>
          <w:b w:val="0"/>
          <w:color w:val="000000" w:themeColor="text1"/>
        </w:rPr>
        <w:t>邮政编码：</w:t>
      </w:r>
      <w:r>
        <w:rPr>
          <w:rFonts w:hint="eastAsia" w:ascii="宋体" w:hAnsi="宋体" w:eastAsia="宋体" w:cs="宋体"/>
          <w:b w:val="0"/>
          <w:color w:val="000000" w:themeColor="text1"/>
          <w:u w:val="single"/>
        </w:rPr>
        <w:t>　　　　</w:t>
      </w:r>
      <w:r>
        <w:rPr>
          <w:rFonts w:hint="eastAsia" w:ascii="宋体" w:hAnsi="宋体" w:eastAsia="宋体" w:cs="宋体"/>
          <w:b w:val="0"/>
          <w:color w:val="000000" w:themeColor="text1"/>
        </w:rPr>
        <w:t>电话：</w:t>
      </w:r>
      <w:r>
        <w:rPr>
          <w:rFonts w:hint="eastAsia" w:ascii="宋体" w:hAnsi="宋体" w:eastAsia="宋体" w:cs="宋体"/>
          <w:b w:val="0"/>
          <w:color w:val="000000" w:themeColor="text1"/>
          <w:u w:val="single"/>
        </w:rPr>
        <w:t>　　　　</w:t>
      </w:r>
      <w:r>
        <w:rPr>
          <w:rFonts w:hint="eastAsia" w:ascii="宋体" w:hAnsi="宋体" w:eastAsia="宋体" w:cs="宋体"/>
          <w:b w:val="0"/>
          <w:color w:val="000000" w:themeColor="text1"/>
        </w:rPr>
        <w:t>传真：</w:t>
      </w:r>
      <w:r>
        <w:rPr>
          <w:rFonts w:hint="eastAsia" w:ascii="宋体" w:hAnsi="宋体" w:eastAsia="宋体" w:cs="宋体"/>
          <w:b w:val="0"/>
          <w:color w:val="000000" w:themeColor="text1"/>
          <w:u w:val="single"/>
        </w:rPr>
        <w:t>　　　　　</w:t>
      </w:r>
      <w:r>
        <w:rPr>
          <w:rFonts w:hint="eastAsia" w:ascii="宋体" w:hAnsi="宋体" w:eastAsia="宋体" w:cs="宋体"/>
          <w:b w:val="0"/>
          <w:color w:val="000000" w:themeColor="text1"/>
        </w:rPr>
        <w:t>邮箱：</w:t>
      </w:r>
      <w:r>
        <w:rPr>
          <w:rFonts w:hint="eastAsia" w:ascii="宋体" w:hAnsi="宋体" w:eastAsia="宋体" w:cs="宋体"/>
          <w:b w:val="0"/>
          <w:color w:val="000000" w:themeColor="text1"/>
          <w:u w:val="single"/>
        </w:rPr>
        <w:t>　　</w:t>
      </w:r>
    </w:p>
    <w:p>
      <w:pPr>
        <w:spacing w:line="380" w:lineRule="exact"/>
        <w:ind w:firstLine="5145" w:firstLineChars="2450"/>
        <w:jc w:val="left"/>
        <w:rPr>
          <w:rFonts w:ascii="宋体" w:hAnsi="宋体" w:cs="宋体"/>
          <w:color w:val="000000" w:themeColor="text1"/>
        </w:rPr>
      </w:pPr>
      <w:r>
        <w:rPr>
          <w:rFonts w:hint="eastAsia" w:ascii="宋体" w:hAnsi="宋体" w:cs="宋体"/>
          <w:color w:val="000000" w:themeColor="text1"/>
        </w:rPr>
        <w:t>日期：</w:t>
      </w:r>
      <w:r>
        <w:rPr>
          <w:rFonts w:hint="eastAsia" w:ascii="宋体" w:hAnsi="宋体" w:cs="宋体"/>
          <w:color w:val="000000" w:themeColor="text1"/>
          <w:u w:val="single"/>
        </w:rPr>
        <w:t>　　　年　  月　　日</w:t>
      </w:r>
    </w:p>
    <w:p>
      <w:pPr>
        <w:spacing w:line="500" w:lineRule="exact"/>
        <w:jc w:val="left"/>
        <w:rPr>
          <w:rFonts w:ascii="宋体" w:hAnsi="宋体" w:cs="宋体"/>
          <w:color w:val="000000" w:themeColor="text1"/>
        </w:rPr>
      </w:pPr>
    </w:p>
    <w:p>
      <w:pPr>
        <w:widowControl/>
        <w:jc w:val="left"/>
        <w:rPr>
          <w:rFonts w:ascii="宋体" w:hAnsi="宋体" w:cs="宋体"/>
          <w:b/>
          <w:color w:val="000000" w:themeColor="text1"/>
          <w:sz w:val="32"/>
          <w:szCs w:val="32"/>
        </w:rPr>
      </w:pPr>
      <w:r>
        <w:rPr>
          <w:rFonts w:hint="eastAsia" w:ascii="宋体" w:hAnsi="宋体" w:cs="宋体"/>
          <w:b/>
          <w:color w:val="000000" w:themeColor="text1"/>
          <w:sz w:val="32"/>
          <w:szCs w:val="32"/>
        </w:rPr>
        <w:br w:type="page"/>
      </w:r>
    </w:p>
    <w:p>
      <w:pPr>
        <w:spacing w:line="500" w:lineRule="exact"/>
        <w:jc w:val="left"/>
        <w:rPr>
          <w:rFonts w:ascii="宋体" w:hAnsi="宋体" w:cs="宋体"/>
          <w:b/>
          <w:color w:val="000000" w:themeColor="text1"/>
          <w:sz w:val="32"/>
          <w:szCs w:val="32"/>
        </w:rPr>
      </w:pPr>
      <w:r>
        <w:rPr>
          <w:rFonts w:hint="eastAsia" w:ascii="宋体" w:hAnsi="宋体" w:cs="宋体"/>
          <w:b/>
          <w:color w:val="000000" w:themeColor="text1"/>
          <w:sz w:val="32"/>
          <w:szCs w:val="32"/>
        </w:rPr>
        <w:t>附件5</w:t>
      </w:r>
    </w:p>
    <w:p>
      <w:pPr>
        <w:spacing w:line="500" w:lineRule="exact"/>
        <w:rPr>
          <w:rFonts w:ascii="宋体" w:hAnsi="宋体" w:cs="宋体"/>
          <w:color w:val="000000" w:themeColor="text1"/>
          <w:sz w:val="24"/>
        </w:rPr>
      </w:pPr>
      <w:r>
        <w:rPr>
          <w:rFonts w:hint="eastAsia" w:ascii="宋体" w:hAnsi="宋体" w:cs="宋体"/>
          <w:color w:val="000000" w:themeColor="text1"/>
          <w:sz w:val="24"/>
        </w:rPr>
        <w:t>标书封面样式：</w:t>
      </w:r>
    </w:p>
    <w:p>
      <w:pPr>
        <w:spacing w:line="520" w:lineRule="atLeast"/>
        <w:jc w:val="right"/>
        <w:rPr>
          <w:rFonts w:ascii="宋体" w:hAnsi="宋体" w:cs="宋体"/>
          <w:color w:val="000000" w:themeColor="text1"/>
          <w:sz w:val="28"/>
        </w:rPr>
      </w:pPr>
      <w:r>
        <w:rPr>
          <w:rFonts w:hint="eastAsia" w:ascii="宋体" w:hAnsi="宋体" w:cs="宋体"/>
          <w:color w:val="000000" w:themeColor="text1"/>
          <w:sz w:val="28"/>
        </w:rPr>
        <w:t>本</w:t>
      </w:r>
    </w:p>
    <w:p>
      <w:pPr>
        <w:pStyle w:val="11"/>
        <w:adjustRightInd w:val="0"/>
        <w:snapToGrid w:val="0"/>
        <w:spacing w:line="300" w:lineRule="exact"/>
        <w:ind w:left="109" w:leftChars="52"/>
        <w:rPr>
          <w:rFonts w:hAnsi="宋体" w:cs="宋体"/>
          <w:b/>
          <w:bCs/>
          <w:color w:val="000000" w:themeColor="text1"/>
          <w:sz w:val="32"/>
          <w:szCs w:val="32"/>
        </w:rPr>
      </w:pPr>
    </w:p>
    <w:p>
      <w:pPr>
        <w:pStyle w:val="11"/>
        <w:adjustRightInd w:val="0"/>
        <w:snapToGrid w:val="0"/>
        <w:spacing w:line="300" w:lineRule="exact"/>
        <w:rPr>
          <w:rFonts w:hAnsi="宋体" w:cs="宋体"/>
          <w:b/>
          <w:bCs/>
          <w:color w:val="000000" w:themeColor="text1"/>
          <w:sz w:val="32"/>
          <w:szCs w:val="32"/>
        </w:rPr>
      </w:pPr>
    </w:p>
    <w:p>
      <w:pPr>
        <w:pStyle w:val="11"/>
        <w:adjustRightInd w:val="0"/>
        <w:snapToGrid w:val="0"/>
        <w:spacing w:line="300" w:lineRule="exact"/>
        <w:ind w:left="109" w:leftChars="52"/>
        <w:rPr>
          <w:rFonts w:hAnsi="宋体" w:cs="宋体"/>
          <w:b/>
          <w:bCs/>
          <w:color w:val="000000" w:themeColor="text1"/>
          <w:sz w:val="32"/>
          <w:szCs w:val="32"/>
        </w:rPr>
      </w:pPr>
    </w:p>
    <w:p>
      <w:pPr>
        <w:pStyle w:val="11"/>
        <w:adjustRightInd w:val="0"/>
        <w:snapToGrid w:val="0"/>
        <w:jc w:val="center"/>
        <w:rPr>
          <w:rFonts w:hAnsi="宋体" w:cs="宋体"/>
          <w:b/>
          <w:color w:val="000000" w:themeColor="text1"/>
          <w:kern w:val="2"/>
          <w:sz w:val="44"/>
          <w:szCs w:val="44"/>
        </w:rPr>
      </w:pPr>
      <w:r>
        <w:rPr>
          <w:rFonts w:hint="eastAsia" w:hAnsi="宋体" w:cs="宋体"/>
          <w:b/>
          <w:color w:val="000000" w:themeColor="text1"/>
          <w:kern w:val="2"/>
          <w:sz w:val="44"/>
          <w:szCs w:val="44"/>
        </w:rPr>
        <w:t>盐城工业职业技术学院</w:t>
      </w:r>
    </w:p>
    <w:p>
      <w:pPr>
        <w:pStyle w:val="11"/>
        <w:adjustRightInd w:val="0"/>
        <w:snapToGrid w:val="0"/>
        <w:jc w:val="center"/>
        <w:rPr>
          <w:rFonts w:hAnsi="宋体" w:cs="宋体"/>
          <w:b/>
          <w:color w:val="000000" w:themeColor="text1"/>
          <w:kern w:val="2"/>
          <w:sz w:val="44"/>
          <w:szCs w:val="44"/>
        </w:rPr>
      </w:pPr>
      <w:r>
        <w:rPr>
          <w:rFonts w:hint="eastAsia" w:hAnsi="宋体" w:cs="宋体"/>
          <w:b/>
          <w:color w:val="000000" w:themeColor="text1"/>
          <w:kern w:val="2"/>
          <w:sz w:val="44"/>
          <w:szCs w:val="44"/>
        </w:rPr>
        <w:t>药品与健康管理学院药物制剂仿真一体实训室改造工程</w:t>
      </w:r>
    </w:p>
    <w:p>
      <w:pPr>
        <w:spacing w:line="520" w:lineRule="atLeast"/>
        <w:rPr>
          <w:rFonts w:ascii="宋体" w:hAnsi="宋体" w:cs="宋体"/>
          <w:color w:val="000000" w:themeColor="text1"/>
          <w:sz w:val="48"/>
        </w:rPr>
      </w:pPr>
    </w:p>
    <w:p>
      <w:pPr>
        <w:pStyle w:val="19"/>
        <w:ind w:firstLine="422"/>
        <w:rPr>
          <w:rFonts w:ascii="宋体" w:hAnsi="宋体" w:eastAsia="宋体" w:cs="宋体"/>
          <w:color w:val="000000" w:themeColor="text1"/>
        </w:rPr>
      </w:pPr>
    </w:p>
    <w:p>
      <w:pPr>
        <w:spacing w:line="520" w:lineRule="atLeast"/>
        <w:jc w:val="center"/>
        <w:rPr>
          <w:rFonts w:ascii="宋体" w:hAnsi="宋体" w:cs="宋体"/>
          <w:b/>
          <w:bCs/>
          <w:color w:val="000000" w:themeColor="text1"/>
          <w:sz w:val="72"/>
        </w:rPr>
      </w:pPr>
      <w:r>
        <w:rPr>
          <w:rFonts w:hint="eastAsia" w:ascii="宋体" w:hAnsi="宋体" w:cs="宋体"/>
          <w:b/>
          <w:bCs/>
          <w:color w:val="000000" w:themeColor="text1"/>
          <w:sz w:val="72"/>
        </w:rPr>
        <w:t>投 标 文 件</w:t>
      </w:r>
    </w:p>
    <w:p>
      <w:pPr>
        <w:spacing w:line="520" w:lineRule="atLeast"/>
        <w:jc w:val="center"/>
        <w:rPr>
          <w:rFonts w:ascii="宋体" w:hAnsi="宋体" w:cs="宋体"/>
          <w:b/>
          <w:bCs/>
          <w:color w:val="000000" w:themeColor="text1"/>
          <w:sz w:val="36"/>
        </w:rPr>
      </w:pPr>
    </w:p>
    <w:p>
      <w:pPr>
        <w:spacing w:line="520" w:lineRule="atLeast"/>
        <w:jc w:val="center"/>
        <w:rPr>
          <w:rFonts w:ascii="宋体" w:hAnsi="宋体" w:cs="宋体"/>
          <w:b/>
          <w:bCs/>
          <w:color w:val="000000" w:themeColor="text1"/>
          <w:sz w:val="36"/>
        </w:rPr>
      </w:pPr>
      <w:r>
        <w:rPr>
          <w:rFonts w:hint="eastAsia" w:ascii="宋体" w:hAnsi="宋体" w:cs="宋体"/>
          <w:b/>
          <w:bCs/>
          <w:color w:val="000000" w:themeColor="text1"/>
          <w:sz w:val="36"/>
        </w:rPr>
        <w:t>（标书）</w:t>
      </w:r>
    </w:p>
    <w:p>
      <w:pPr>
        <w:spacing w:line="520" w:lineRule="atLeast"/>
        <w:rPr>
          <w:rFonts w:ascii="宋体" w:hAnsi="宋体" w:cs="宋体"/>
          <w:b/>
          <w:bCs/>
          <w:color w:val="000000" w:themeColor="text1"/>
          <w:sz w:val="48"/>
        </w:rPr>
      </w:pPr>
    </w:p>
    <w:p>
      <w:pPr>
        <w:spacing w:line="520" w:lineRule="atLeast"/>
        <w:rPr>
          <w:rFonts w:ascii="宋体" w:hAnsi="宋体" w:cs="宋体"/>
          <w:color w:val="000000" w:themeColor="text1"/>
          <w:sz w:val="28"/>
        </w:rPr>
      </w:pPr>
    </w:p>
    <w:p>
      <w:pPr>
        <w:spacing w:line="520" w:lineRule="atLeast"/>
        <w:rPr>
          <w:rFonts w:ascii="宋体" w:hAnsi="宋体" w:cs="宋体"/>
          <w:color w:val="000000" w:themeColor="text1"/>
          <w:sz w:val="28"/>
        </w:rPr>
      </w:pPr>
    </w:p>
    <w:p>
      <w:pPr>
        <w:spacing w:line="520" w:lineRule="atLeast"/>
        <w:rPr>
          <w:rFonts w:ascii="宋体" w:hAnsi="宋体" w:cs="宋体"/>
          <w:color w:val="000000" w:themeColor="text1"/>
          <w:sz w:val="28"/>
        </w:rPr>
      </w:pPr>
    </w:p>
    <w:p>
      <w:pPr>
        <w:spacing w:line="500" w:lineRule="exact"/>
        <w:ind w:firstLine="480" w:firstLineChars="200"/>
        <w:rPr>
          <w:rFonts w:ascii="宋体" w:hAnsi="宋体" w:cs="宋体"/>
          <w:color w:val="000000" w:themeColor="text1"/>
          <w:sz w:val="24"/>
          <w:u w:val="single"/>
        </w:rPr>
      </w:pPr>
      <w:r>
        <w:rPr>
          <w:rFonts w:hint="eastAsia" w:ascii="宋体" w:hAnsi="宋体" w:cs="宋体"/>
          <w:color w:val="000000" w:themeColor="text1"/>
          <w:sz w:val="24"/>
        </w:rPr>
        <w:t>投标人（盖章）：</w:t>
      </w:r>
    </w:p>
    <w:p>
      <w:pPr>
        <w:spacing w:line="500" w:lineRule="exact"/>
        <w:ind w:firstLine="480" w:firstLineChars="200"/>
        <w:rPr>
          <w:rFonts w:ascii="宋体" w:hAnsi="宋体" w:cs="宋体"/>
          <w:color w:val="000000" w:themeColor="text1"/>
          <w:sz w:val="24"/>
        </w:rPr>
      </w:pPr>
    </w:p>
    <w:p>
      <w:pPr>
        <w:spacing w:line="500" w:lineRule="exact"/>
        <w:ind w:firstLine="480" w:firstLineChars="200"/>
        <w:rPr>
          <w:rFonts w:ascii="宋体" w:hAnsi="宋体" w:cs="宋体"/>
          <w:color w:val="000000" w:themeColor="text1"/>
          <w:sz w:val="24"/>
          <w:u w:val="single"/>
        </w:rPr>
      </w:pPr>
      <w:r>
        <w:rPr>
          <w:rFonts w:hint="eastAsia" w:ascii="宋体" w:hAnsi="宋体" w:cs="宋体"/>
          <w:color w:val="000000" w:themeColor="text1"/>
          <w:sz w:val="24"/>
        </w:rPr>
        <w:t>法定代表人或授权委托人（签字或盖章）：</w:t>
      </w:r>
    </w:p>
    <w:p>
      <w:pPr>
        <w:spacing w:line="500" w:lineRule="exact"/>
        <w:ind w:firstLine="480" w:firstLineChars="200"/>
        <w:rPr>
          <w:rFonts w:ascii="宋体" w:hAnsi="宋体" w:cs="宋体"/>
          <w:color w:val="000000" w:themeColor="text1"/>
          <w:sz w:val="24"/>
        </w:rPr>
      </w:pPr>
    </w:p>
    <w:p>
      <w:pPr>
        <w:spacing w:line="500" w:lineRule="exact"/>
        <w:ind w:firstLine="480" w:firstLineChars="200"/>
        <w:rPr>
          <w:rFonts w:ascii="宋体" w:hAnsi="宋体" w:cs="宋体"/>
          <w:color w:val="000000" w:themeColor="text1"/>
          <w:sz w:val="24"/>
        </w:rPr>
      </w:pPr>
    </w:p>
    <w:p>
      <w:pPr>
        <w:spacing w:line="500" w:lineRule="exact"/>
        <w:ind w:firstLine="480" w:firstLineChars="200"/>
        <w:jc w:val="center"/>
        <w:rPr>
          <w:rFonts w:ascii="宋体" w:hAnsi="宋体" w:cs="宋体"/>
          <w:b/>
          <w:color w:val="000000" w:themeColor="text1"/>
          <w:sz w:val="32"/>
          <w:szCs w:val="32"/>
        </w:rPr>
      </w:pPr>
      <w:r>
        <w:rPr>
          <w:rFonts w:hint="eastAsia" w:ascii="宋体" w:hAnsi="宋体" w:cs="宋体"/>
          <w:color w:val="000000" w:themeColor="text1"/>
          <w:sz w:val="24"/>
        </w:rPr>
        <w:t>年     月     日</w:t>
      </w:r>
    </w:p>
    <w:p>
      <w:pPr>
        <w:pStyle w:val="19"/>
        <w:ind w:left="0" w:leftChars="0" w:firstLine="0" w:firstLineChars="0"/>
        <w:rPr>
          <w:rFonts w:ascii="宋体" w:hAnsi="宋体" w:eastAsia="宋体" w:cs="宋体"/>
          <w:color w:val="000000" w:themeColor="text1"/>
        </w:rPr>
      </w:pPr>
    </w:p>
    <w:p>
      <w:pPr>
        <w:spacing w:line="500" w:lineRule="exact"/>
        <w:rPr>
          <w:rFonts w:ascii="宋体" w:hAnsi="宋体" w:cs="宋体"/>
          <w:b/>
          <w:color w:val="000000" w:themeColor="text1"/>
          <w:sz w:val="32"/>
          <w:szCs w:val="32"/>
        </w:rPr>
      </w:pPr>
      <w:r>
        <w:rPr>
          <w:rFonts w:hint="eastAsia" w:ascii="宋体" w:hAnsi="宋体" w:cs="宋体"/>
          <w:b/>
          <w:color w:val="000000" w:themeColor="text1"/>
          <w:sz w:val="32"/>
          <w:szCs w:val="32"/>
        </w:rPr>
        <w:t>附件6</w:t>
      </w:r>
    </w:p>
    <w:tbl>
      <w:tblPr>
        <w:tblStyle w:val="20"/>
        <w:tblW w:w="9469" w:type="dxa"/>
        <w:tblInd w:w="0" w:type="dxa"/>
        <w:tblLayout w:type="fixed"/>
        <w:tblCellMar>
          <w:top w:w="0" w:type="dxa"/>
          <w:left w:w="108" w:type="dxa"/>
          <w:bottom w:w="0" w:type="dxa"/>
          <w:right w:w="108" w:type="dxa"/>
        </w:tblCellMar>
      </w:tblPr>
      <w:tblGrid>
        <w:gridCol w:w="1103"/>
        <w:gridCol w:w="1833"/>
        <w:gridCol w:w="3113"/>
        <w:gridCol w:w="3420"/>
      </w:tblGrid>
      <w:tr>
        <w:tblPrEx>
          <w:tblCellMar>
            <w:top w:w="0" w:type="dxa"/>
            <w:left w:w="108" w:type="dxa"/>
            <w:bottom w:w="0" w:type="dxa"/>
            <w:right w:w="108" w:type="dxa"/>
          </w:tblCellMar>
        </w:tblPrEx>
        <w:trPr>
          <w:trHeight w:val="975" w:hRule="atLeast"/>
        </w:trPr>
        <w:tc>
          <w:tcPr>
            <w:tcW w:w="9469" w:type="dxa"/>
            <w:gridSpan w:val="4"/>
            <w:tcBorders>
              <w:top w:val="nil"/>
              <w:left w:val="nil"/>
              <w:bottom w:val="nil"/>
              <w:right w:val="nil"/>
            </w:tcBorders>
            <w:vAlign w:val="center"/>
          </w:tcPr>
          <w:p>
            <w:pPr>
              <w:widowControl/>
              <w:jc w:val="center"/>
              <w:rPr>
                <w:rFonts w:ascii="宋体" w:hAnsi="宋体" w:cs="宋体"/>
                <w:b/>
                <w:bCs/>
                <w:color w:val="000000" w:themeColor="text1"/>
                <w:kern w:val="0"/>
                <w:sz w:val="44"/>
                <w:szCs w:val="44"/>
              </w:rPr>
            </w:pPr>
            <w:r>
              <w:rPr>
                <w:rFonts w:hint="eastAsia" w:ascii="宋体" w:hAnsi="宋体" w:cs="宋体"/>
                <w:b/>
                <w:bCs/>
                <w:color w:val="000000" w:themeColor="text1"/>
                <w:kern w:val="0"/>
                <w:sz w:val="44"/>
                <w:szCs w:val="44"/>
              </w:rPr>
              <w:t>投标文件原件清单</w:t>
            </w:r>
          </w:p>
        </w:tc>
      </w:tr>
      <w:tr>
        <w:tblPrEx>
          <w:tblCellMar>
            <w:top w:w="0" w:type="dxa"/>
            <w:left w:w="108" w:type="dxa"/>
            <w:bottom w:w="0" w:type="dxa"/>
            <w:right w:w="108" w:type="dxa"/>
          </w:tblCellMar>
        </w:tblPrEx>
        <w:trPr>
          <w:trHeight w:val="600" w:hRule="atLeast"/>
        </w:trPr>
        <w:tc>
          <w:tcPr>
            <w:tcW w:w="2936" w:type="dxa"/>
            <w:gridSpan w:val="2"/>
            <w:tcBorders>
              <w:top w:val="nil"/>
              <w:left w:val="nil"/>
              <w:bottom w:val="single" w:color="auto" w:sz="4" w:space="0"/>
              <w:right w:val="nil"/>
            </w:tcBorders>
            <w:vAlign w:val="center"/>
          </w:tcPr>
          <w:p>
            <w:pPr>
              <w:widowControl/>
              <w:jc w:val="left"/>
              <w:rPr>
                <w:rFonts w:ascii="宋体" w:hAnsi="宋体" w:cs="宋体"/>
                <w:b/>
                <w:bCs/>
                <w:color w:val="000000" w:themeColor="text1"/>
                <w:kern w:val="0"/>
                <w:sz w:val="22"/>
                <w:szCs w:val="22"/>
              </w:rPr>
            </w:pPr>
            <w:r>
              <w:rPr>
                <w:rFonts w:hint="eastAsia" w:ascii="宋体" w:hAnsi="宋体" w:cs="宋体"/>
                <w:b/>
                <w:bCs/>
                <w:color w:val="000000" w:themeColor="text1"/>
                <w:kern w:val="0"/>
                <w:sz w:val="22"/>
                <w:szCs w:val="22"/>
              </w:rPr>
              <w:t>投标人名称：</w:t>
            </w:r>
          </w:p>
        </w:tc>
        <w:tc>
          <w:tcPr>
            <w:tcW w:w="3113" w:type="dxa"/>
            <w:tcBorders>
              <w:top w:val="nil"/>
              <w:left w:val="nil"/>
              <w:bottom w:val="single" w:color="auto" w:sz="4" w:space="0"/>
              <w:right w:val="nil"/>
            </w:tcBorders>
            <w:vAlign w:val="center"/>
          </w:tcPr>
          <w:p>
            <w:pPr>
              <w:widowControl/>
              <w:jc w:val="center"/>
              <w:rPr>
                <w:rFonts w:ascii="宋体" w:hAnsi="宋体" w:cs="宋体"/>
                <w:b/>
                <w:bCs/>
                <w:color w:val="000000" w:themeColor="text1"/>
                <w:kern w:val="0"/>
                <w:sz w:val="32"/>
                <w:szCs w:val="32"/>
              </w:rPr>
            </w:pPr>
            <w:r>
              <w:rPr>
                <w:rFonts w:hint="eastAsia" w:ascii="宋体" w:hAnsi="宋体" w:cs="宋体"/>
                <w:b/>
                <w:bCs/>
                <w:color w:val="000000" w:themeColor="text1"/>
                <w:kern w:val="0"/>
                <w:sz w:val="32"/>
                <w:szCs w:val="32"/>
              </w:rPr>
              <w:t>　</w:t>
            </w:r>
          </w:p>
        </w:tc>
        <w:tc>
          <w:tcPr>
            <w:tcW w:w="3420" w:type="dxa"/>
            <w:tcBorders>
              <w:top w:val="nil"/>
              <w:left w:val="nil"/>
              <w:bottom w:val="single" w:color="auto" w:sz="4" w:space="0"/>
              <w:right w:val="nil"/>
            </w:tcBorders>
            <w:vAlign w:val="center"/>
          </w:tcPr>
          <w:p>
            <w:pPr>
              <w:widowControl/>
              <w:jc w:val="center"/>
              <w:rPr>
                <w:rFonts w:ascii="宋体" w:hAnsi="宋体" w:cs="宋体"/>
                <w:b/>
                <w:bCs/>
                <w:color w:val="000000" w:themeColor="text1"/>
                <w:kern w:val="0"/>
                <w:sz w:val="32"/>
                <w:szCs w:val="32"/>
              </w:rPr>
            </w:pPr>
            <w:r>
              <w:rPr>
                <w:rFonts w:hint="eastAsia" w:ascii="宋体" w:hAnsi="宋体" w:cs="宋体"/>
                <w:b/>
                <w:bCs/>
                <w:color w:val="000000" w:themeColor="text1"/>
                <w:kern w:val="0"/>
                <w:sz w:val="32"/>
                <w:szCs w:val="32"/>
              </w:rPr>
              <w:t>　</w:t>
            </w:r>
          </w:p>
        </w:tc>
      </w:tr>
      <w:tr>
        <w:tblPrEx>
          <w:tblCellMar>
            <w:top w:w="0" w:type="dxa"/>
            <w:left w:w="108" w:type="dxa"/>
            <w:bottom w:w="0" w:type="dxa"/>
            <w:right w:w="108" w:type="dxa"/>
          </w:tblCellMar>
        </w:tblPrEx>
        <w:trPr>
          <w:trHeight w:val="780"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themeColor="text1"/>
                <w:kern w:val="0"/>
                <w:sz w:val="24"/>
              </w:rPr>
            </w:pPr>
            <w:r>
              <w:rPr>
                <w:rFonts w:hint="eastAsia" w:ascii="宋体" w:hAnsi="宋体" w:cs="宋体"/>
                <w:b/>
                <w:bCs/>
                <w:color w:val="000000" w:themeColor="text1"/>
                <w:kern w:val="0"/>
                <w:sz w:val="24"/>
              </w:rPr>
              <w:t>序</w:t>
            </w:r>
          </w:p>
          <w:p>
            <w:pPr>
              <w:widowControl/>
              <w:jc w:val="center"/>
              <w:rPr>
                <w:rFonts w:ascii="宋体" w:hAnsi="宋体" w:cs="宋体"/>
                <w:color w:val="000000" w:themeColor="text1"/>
                <w:kern w:val="0"/>
                <w:sz w:val="20"/>
                <w:szCs w:val="20"/>
              </w:rPr>
            </w:pPr>
            <w:r>
              <w:rPr>
                <w:rFonts w:hint="eastAsia" w:ascii="宋体" w:hAnsi="宋体" w:cs="宋体"/>
                <w:b/>
                <w:bCs/>
                <w:color w:val="000000" w:themeColor="text1"/>
                <w:kern w:val="0"/>
                <w:sz w:val="24"/>
              </w:rPr>
              <w:t>号</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000000" w:themeColor="text1"/>
                <w:kern w:val="0"/>
                <w:sz w:val="24"/>
              </w:rPr>
            </w:pPr>
            <w:r>
              <w:rPr>
                <w:rFonts w:hint="eastAsia" w:ascii="宋体" w:hAnsi="宋体" w:cs="宋体"/>
                <w:b/>
                <w:bCs/>
                <w:color w:val="000000" w:themeColor="text1"/>
                <w:kern w:val="0"/>
                <w:sz w:val="24"/>
              </w:rPr>
              <w:t>原件名称</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b/>
                <w:bCs/>
                <w:color w:val="000000" w:themeColor="text1"/>
                <w:kern w:val="0"/>
                <w:sz w:val="24"/>
              </w:rPr>
              <w:t>备　　注</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3</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4</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5</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6</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7</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8</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9</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12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w:t>
            </w:r>
          </w:p>
        </w:tc>
      </w:tr>
      <w:tr>
        <w:tblPrEx>
          <w:tblCellMar>
            <w:top w:w="0" w:type="dxa"/>
            <w:left w:w="108" w:type="dxa"/>
            <w:bottom w:w="0" w:type="dxa"/>
            <w:right w:w="108" w:type="dxa"/>
          </w:tblCellMar>
        </w:tblPrEx>
        <w:trPr>
          <w:trHeight w:val="1395" w:hRule="atLeast"/>
        </w:trPr>
        <w:tc>
          <w:tcPr>
            <w:tcW w:w="9469" w:type="dxa"/>
            <w:gridSpan w:val="4"/>
            <w:tcBorders>
              <w:top w:val="single" w:color="auto" w:sz="4" w:space="0"/>
              <w:left w:val="nil"/>
              <w:bottom w:val="nil"/>
              <w:right w:val="nil"/>
            </w:tcBorders>
            <w:vAlign w:val="center"/>
          </w:tcPr>
          <w:p>
            <w:pPr>
              <w:widowControl/>
              <w:spacing w:line="440" w:lineRule="exact"/>
              <w:jc w:val="left"/>
              <w:rPr>
                <w:rFonts w:ascii="宋体" w:hAnsi="宋体" w:cs="宋体"/>
                <w:color w:val="000000" w:themeColor="text1"/>
                <w:kern w:val="0"/>
                <w:sz w:val="24"/>
              </w:rPr>
            </w:pPr>
            <w:r>
              <w:rPr>
                <w:rFonts w:hint="eastAsia" w:ascii="宋体" w:hAnsi="宋体" w:cs="宋体"/>
                <w:color w:val="000000" w:themeColor="text1"/>
                <w:kern w:val="0"/>
                <w:sz w:val="24"/>
              </w:rPr>
              <w:t>注：</w:t>
            </w:r>
          </w:p>
          <w:p>
            <w:pPr>
              <w:widowControl/>
              <w:spacing w:line="440" w:lineRule="exact"/>
              <w:ind w:firstLine="480" w:firstLineChars="200"/>
              <w:jc w:val="left"/>
              <w:rPr>
                <w:rFonts w:ascii="宋体" w:hAnsi="宋体" w:cs="宋体"/>
                <w:color w:val="000000" w:themeColor="text1"/>
                <w:kern w:val="0"/>
                <w:sz w:val="24"/>
              </w:rPr>
            </w:pPr>
            <w:r>
              <w:rPr>
                <w:rFonts w:hint="eastAsia" w:ascii="宋体" w:hAnsi="宋体" w:cs="宋体"/>
                <w:color w:val="000000" w:themeColor="text1"/>
                <w:kern w:val="0"/>
                <w:sz w:val="24"/>
              </w:rPr>
              <w:t>1、本表仅为核对投标人提供的证书等招标项目评标所需材料原件之用，如本表填写不下可按相同格式进行扩展；</w:t>
            </w:r>
          </w:p>
          <w:p>
            <w:pPr>
              <w:widowControl/>
              <w:spacing w:line="440" w:lineRule="exact"/>
              <w:ind w:firstLine="480" w:firstLineChars="200"/>
              <w:jc w:val="left"/>
              <w:rPr>
                <w:rFonts w:ascii="宋体" w:hAnsi="宋体" w:cs="宋体"/>
                <w:color w:val="000000" w:themeColor="text1"/>
                <w:kern w:val="0"/>
                <w:sz w:val="20"/>
                <w:szCs w:val="20"/>
              </w:rPr>
            </w:pPr>
            <w:r>
              <w:rPr>
                <w:rFonts w:hint="eastAsia" w:ascii="宋体" w:hAnsi="宋体" w:cs="宋体"/>
                <w:color w:val="000000" w:themeColor="text1"/>
                <w:kern w:val="0"/>
                <w:sz w:val="24"/>
              </w:rPr>
              <w:t>　　2、如因投标人未按要求填写本表或填写内容表述不清造成原件材料缺失或无法核对，后果由投标人自负。</w:t>
            </w:r>
          </w:p>
        </w:tc>
      </w:tr>
    </w:tbl>
    <w:p>
      <w:pPr>
        <w:spacing w:line="300" w:lineRule="auto"/>
        <w:rPr>
          <w:rFonts w:ascii="宋体" w:hAnsi="宋体" w:cs="宋体"/>
          <w:color w:val="000000" w:themeColor="text1"/>
        </w:rPr>
      </w:pPr>
    </w:p>
    <w:p>
      <w:pPr>
        <w:pStyle w:val="19"/>
        <w:ind w:firstLine="422"/>
        <w:rPr>
          <w:rFonts w:ascii="宋体" w:hAnsi="宋体" w:eastAsia="宋体" w:cs="宋体"/>
          <w:color w:val="000000" w:themeColor="text1"/>
        </w:rPr>
      </w:pPr>
    </w:p>
    <w:p>
      <w:pPr>
        <w:pStyle w:val="19"/>
        <w:ind w:firstLine="422"/>
        <w:rPr>
          <w:rFonts w:ascii="宋体" w:hAnsi="宋体" w:eastAsia="宋体" w:cs="宋体"/>
          <w:color w:val="000000" w:themeColor="text1"/>
        </w:rPr>
      </w:pPr>
    </w:p>
    <w:p>
      <w:pPr>
        <w:rPr>
          <w:rFonts w:ascii="宋体" w:hAnsi="宋体" w:cs="宋体"/>
          <w:b/>
          <w:color w:val="000000" w:themeColor="text1"/>
          <w:sz w:val="32"/>
          <w:szCs w:val="32"/>
        </w:rPr>
      </w:pPr>
      <w:r>
        <w:rPr>
          <w:rFonts w:hint="eastAsia" w:ascii="宋体" w:hAnsi="宋体" w:cs="宋体"/>
          <w:b/>
          <w:color w:val="000000" w:themeColor="text1"/>
          <w:sz w:val="32"/>
          <w:szCs w:val="32"/>
        </w:rPr>
        <w:t>附件7</w:t>
      </w:r>
    </w:p>
    <w:p>
      <w:pPr>
        <w:jc w:val="center"/>
        <w:rPr>
          <w:rFonts w:ascii="宋体" w:hAnsi="宋体" w:cs="宋体"/>
          <w:b/>
          <w:color w:val="000000" w:themeColor="text1"/>
          <w:sz w:val="44"/>
          <w:szCs w:val="44"/>
        </w:rPr>
      </w:pPr>
      <w:r>
        <w:rPr>
          <w:rFonts w:hint="eastAsia" w:ascii="宋体" w:hAnsi="宋体" w:cs="宋体"/>
          <w:b/>
          <w:color w:val="000000" w:themeColor="text1"/>
          <w:sz w:val="44"/>
          <w:szCs w:val="44"/>
        </w:rPr>
        <w:t>异议书（格式）</w:t>
      </w:r>
    </w:p>
    <w:p>
      <w:pPr>
        <w:jc w:val="center"/>
        <w:rPr>
          <w:rFonts w:ascii="宋体" w:hAnsi="宋体" w:cs="宋体"/>
          <w:color w:val="000000" w:themeColor="text1"/>
          <w:sz w:val="36"/>
          <w:szCs w:val="36"/>
        </w:rPr>
      </w:pPr>
    </w:p>
    <w:p>
      <w:pPr>
        <w:spacing w:line="360" w:lineRule="auto"/>
        <w:jc w:val="left"/>
        <w:rPr>
          <w:rFonts w:ascii="宋体" w:hAnsi="宋体" w:cs="宋体"/>
          <w:color w:val="000000" w:themeColor="text1"/>
          <w:sz w:val="24"/>
        </w:rPr>
      </w:pPr>
      <w:r>
        <w:rPr>
          <w:rFonts w:hint="eastAsia" w:ascii="宋体" w:hAnsi="宋体" w:cs="宋体"/>
          <w:color w:val="000000" w:themeColor="text1"/>
          <w:sz w:val="24"/>
        </w:rPr>
        <w:t>项目名称：</w:t>
      </w:r>
    </w:p>
    <w:p>
      <w:pPr>
        <w:spacing w:line="360" w:lineRule="auto"/>
        <w:jc w:val="left"/>
        <w:rPr>
          <w:rFonts w:ascii="宋体" w:hAnsi="宋体" w:cs="宋体"/>
          <w:color w:val="000000" w:themeColor="text1"/>
          <w:sz w:val="24"/>
        </w:rPr>
      </w:pPr>
      <w:r>
        <w:rPr>
          <w:rFonts w:hint="eastAsia" w:ascii="宋体" w:hAnsi="宋体" w:cs="宋体"/>
          <w:color w:val="000000" w:themeColor="text1"/>
          <w:sz w:val="24"/>
        </w:rPr>
        <w:t>异议人：</w:t>
      </w:r>
    </w:p>
    <w:p>
      <w:pPr>
        <w:spacing w:line="360" w:lineRule="auto"/>
        <w:jc w:val="left"/>
        <w:rPr>
          <w:rFonts w:ascii="宋体" w:hAnsi="宋体" w:cs="宋体"/>
          <w:color w:val="000000" w:themeColor="text1"/>
          <w:sz w:val="24"/>
        </w:rPr>
      </w:pPr>
      <w:r>
        <w:rPr>
          <w:rFonts w:hint="eastAsia" w:ascii="宋体" w:hAnsi="宋体" w:cs="宋体"/>
          <w:color w:val="000000" w:themeColor="text1"/>
          <w:sz w:val="24"/>
        </w:rPr>
        <w:t>住所地：                  邮编：</w:t>
      </w:r>
    </w:p>
    <w:p>
      <w:pPr>
        <w:spacing w:line="360" w:lineRule="auto"/>
        <w:jc w:val="left"/>
        <w:rPr>
          <w:rFonts w:ascii="宋体" w:hAnsi="宋体" w:cs="宋体"/>
          <w:color w:val="000000" w:themeColor="text1"/>
          <w:sz w:val="24"/>
        </w:rPr>
      </w:pPr>
      <w:r>
        <w:rPr>
          <w:rFonts w:hint="eastAsia" w:ascii="宋体" w:hAnsi="宋体" w:cs="宋体"/>
          <w:color w:val="000000" w:themeColor="text1"/>
          <w:sz w:val="24"/>
        </w:rPr>
        <w:t>法定代表人：             联系电话</w:t>
      </w:r>
    </w:p>
    <w:p>
      <w:pPr>
        <w:spacing w:line="360" w:lineRule="auto"/>
        <w:jc w:val="left"/>
        <w:rPr>
          <w:rFonts w:ascii="宋体" w:hAnsi="宋体" w:cs="宋体"/>
          <w:color w:val="000000" w:themeColor="text1"/>
          <w:sz w:val="24"/>
        </w:rPr>
      </w:pPr>
      <w:r>
        <w:rPr>
          <w:rFonts w:hint="eastAsia" w:ascii="宋体" w:hAnsi="宋体" w:cs="宋体"/>
          <w:color w:val="000000" w:themeColor="text1"/>
          <w:sz w:val="24"/>
        </w:rPr>
        <w:t>异议人授权代表：        性别：        年龄：</w:t>
      </w:r>
    </w:p>
    <w:p>
      <w:pPr>
        <w:spacing w:line="360" w:lineRule="auto"/>
        <w:jc w:val="left"/>
        <w:rPr>
          <w:rFonts w:ascii="宋体" w:hAnsi="宋体" w:cs="宋体"/>
          <w:color w:val="000000" w:themeColor="text1"/>
          <w:sz w:val="24"/>
        </w:rPr>
      </w:pPr>
      <w:r>
        <w:rPr>
          <w:rFonts w:hint="eastAsia" w:ascii="宋体" w:hAnsi="宋体" w:cs="宋体"/>
          <w:color w:val="000000" w:themeColor="text1"/>
          <w:sz w:val="24"/>
        </w:rPr>
        <w:t>住址：                    联系电话：</w:t>
      </w:r>
    </w:p>
    <w:p>
      <w:pPr>
        <w:spacing w:line="360" w:lineRule="auto"/>
        <w:jc w:val="left"/>
        <w:rPr>
          <w:rFonts w:ascii="宋体" w:hAnsi="宋体" w:cs="宋体"/>
          <w:color w:val="000000" w:themeColor="text1"/>
          <w:sz w:val="24"/>
        </w:rPr>
      </w:pPr>
      <w:r>
        <w:rPr>
          <w:rFonts w:hint="eastAsia" w:ascii="宋体" w:hAnsi="宋体" w:cs="宋体"/>
          <w:color w:val="000000" w:themeColor="text1"/>
          <w:sz w:val="24"/>
        </w:rPr>
        <w:t>提起异议事项的基本事实：</w:t>
      </w:r>
    </w:p>
    <w:p>
      <w:pPr>
        <w:spacing w:line="360" w:lineRule="auto"/>
        <w:jc w:val="left"/>
        <w:rPr>
          <w:rFonts w:ascii="宋体" w:hAnsi="宋体" w:cs="宋体"/>
          <w:color w:val="000000" w:themeColor="text1"/>
          <w:sz w:val="24"/>
        </w:rPr>
      </w:pPr>
    </w:p>
    <w:p>
      <w:pPr>
        <w:spacing w:line="360" w:lineRule="auto"/>
        <w:jc w:val="left"/>
        <w:rPr>
          <w:rFonts w:ascii="宋体" w:hAnsi="宋体" w:cs="宋体"/>
          <w:color w:val="000000" w:themeColor="text1"/>
          <w:sz w:val="24"/>
        </w:rPr>
      </w:pPr>
    </w:p>
    <w:p>
      <w:pPr>
        <w:spacing w:line="360" w:lineRule="auto"/>
        <w:jc w:val="left"/>
        <w:rPr>
          <w:rFonts w:ascii="宋体" w:hAnsi="宋体" w:cs="宋体"/>
          <w:color w:val="000000" w:themeColor="text1"/>
          <w:sz w:val="24"/>
        </w:rPr>
      </w:pPr>
      <w:r>
        <w:rPr>
          <w:rFonts w:hint="eastAsia" w:ascii="宋体" w:hAnsi="宋体" w:cs="宋体"/>
          <w:color w:val="000000" w:themeColor="text1"/>
          <w:sz w:val="24"/>
        </w:rPr>
        <w:t>相关请求及主张：</w:t>
      </w:r>
    </w:p>
    <w:p>
      <w:pPr>
        <w:spacing w:line="360" w:lineRule="auto"/>
        <w:jc w:val="left"/>
        <w:rPr>
          <w:rFonts w:ascii="宋体" w:hAnsi="宋体" w:cs="宋体"/>
          <w:color w:val="000000" w:themeColor="text1"/>
          <w:sz w:val="24"/>
        </w:rPr>
      </w:pPr>
    </w:p>
    <w:p>
      <w:pPr>
        <w:spacing w:line="360" w:lineRule="auto"/>
        <w:jc w:val="left"/>
        <w:rPr>
          <w:rFonts w:ascii="宋体" w:hAnsi="宋体" w:cs="宋体"/>
          <w:color w:val="000000" w:themeColor="text1"/>
          <w:sz w:val="24"/>
        </w:rPr>
      </w:pPr>
    </w:p>
    <w:p>
      <w:pPr>
        <w:spacing w:line="360" w:lineRule="auto"/>
        <w:jc w:val="left"/>
        <w:rPr>
          <w:rFonts w:ascii="宋体" w:hAnsi="宋体" w:cs="宋体"/>
          <w:color w:val="000000" w:themeColor="text1"/>
          <w:sz w:val="24"/>
        </w:rPr>
      </w:pPr>
      <w:r>
        <w:rPr>
          <w:rFonts w:hint="eastAsia" w:ascii="宋体" w:hAnsi="宋体" w:cs="宋体"/>
          <w:color w:val="000000" w:themeColor="text1"/>
          <w:sz w:val="24"/>
        </w:rPr>
        <w:t>有效线索和相关证明材料：</w:t>
      </w:r>
    </w:p>
    <w:p>
      <w:pPr>
        <w:spacing w:line="360" w:lineRule="auto"/>
        <w:jc w:val="left"/>
        <w:rPr>
          <w:rFonts w:ascii="宋体" w:hAnsi="宋体" w:cs="宋体"/>
          <w:color w:val="000000" w:themeColor="text1"/>
          <w:sz w:val="24"/>
        </w:rPr>
      </w:pPr>
    </w:p>
    <w:p>
      <w:pPr>
        <w:spacing w:line="360" w:lineRule="auto"/>
        <w:jc w:val="left"/>
        <w:rPr>
          <w:rFonts w:ascii="宋体" w:hAnsi="宋体" w:cs="宋体"/>
          <w:color w:val="000000" w:themeColor="text1"/>
          <w:sz w:val="24"/>
        </w:rPr>
      </w:pPr>
    </w:p>
    <w:p>
      <w:pPr>
        <w:spacing w:line="360" w:lineRule="auto"/>
        <w:jc w:val="left"/>
        <w:rPr>
          <w:rFonts w:ascii="宋体" w:hAnsi="宋体" w:cs="宋体"/>
          <w:color w:val="000000" w:themeColor="text1"/>
          <w:sz w:val="24"/>
        </w:rPr>
      </w:pPr>
      <w:r>
        <w:rPr>
          <w:rFonts w:hint="eastAsia" w:ascii="宋体" w:hAnsi="宋体" w:cs="宋体"/>
          <w:color w:val="000000" w:themeColor="text1"/>
          <w:sz w:val="24"/>
        </w:rPr>
        <w:t>异议人与提起项目有利害关系的证明材料：</w:t>
      </w:r>
    </w:p>
    <w:p>
      <w:pPr>
        <w:spacing w:line="360" w:lineRule="auto"/>
        <w:jc w:val="center"/>
        <w:rPr>
          <w:rFonts w:ascii="宋体" w:hAnsi="宋体" w:cs="宋体"/>
          <w:color w:val="000000" w:themeColor="text1"/>
          <w:sz w:val="24"/>
        </w:rPr>
      </w:pPr>
    </w:p>
    <w:p>
      <w:pPr>
        <w:spacing w:line="360" w:lineRule="auto"/>
        <w:jc w:val="center"/>
        <w:rPr>
          <w:rFonts w:ascii="宋体" w:hAnsi="宋体" w:cs="宋体"/>
          <w:color w:val="000000" w:themeColor="text1"/>
          <w:sz w:val="24"/>
        </w:rPr>
      </w:pPr>
    </w:p>
    <w:p>
      <w:pPr>
        <w:spacing w:line="360" w:lineRule="auto"/>
        <w:jc w:val="center"/>
        <w:rPr>
          <w:rFonts w:ascii="宋体" w:hAnsi="宋体" w:cs="宋体"/>
          <w:color w:val="000000" w:themeColor="text1"/>
          <w:sz w:val="24"/>
        </w:rPr>
      </w:pPr>
      <w:r>
        <w:rPr>
          <w:rFonts w:hint="eastAsia" w:ascii="宋体" w:hAnsi="宋体" w:cs="宋体"/>
          <w:color w:val="000000" w:themeColor="text1"/>
          <w:sz w:val="24"/>
        </w:rPr>
        <w:t xml:space="preserve">                                           异议人（公章）：</w:t>
      </w:r>
    </w:p>
    <w:p>
      <w:pPr>
        <w:spacing w:line="360" w:lineRule="auto"/>
        <w:jc w:val="center"/>
        <w:rPr>
          <w:rFonts w:ascii="宋体" w:hAnsi="宋体" w:cs="宋体"/>
          <w:color w:val="000000" w:themeColor="text1"/>
          <w:sz w:val="24"/>
        </w:rPr>
      </w:pPr>
      <w:r>
        <w:rPr>
          <w:rFonts w:hint="eastAsia" w:ascii="宋体" w:hAnsi="宋体" w:cs="宋体"/>
          <w:color w:val="000000" w:themeColor="text1"/>
          <w:sz w:val="24"/>
        </w:rPr>
        <w:t xml:space="preserve">                                          法定代表人或授权代表（签字）</w:t>
      </w:r>
    </w:p>
    <w:p>
      <w:pPr>
        <w:spacing w:line="360" w:lineRule="auto"/>
        <w:jc w:val="center"/>
        <w:rPr>
          <w:rFonts w:ascii="宋体" w:hAnsi="宋体" w:cs="宋体"/>
          <w:color w:val="000000" w:themeColor="text1"/>
          <w:sz w:val="24"/>
        </w:rPr>
      </w:pPr>
      <w:r>
        <w:rPr>
          <w:rFonts w:hint="eastAsia" w:ascii="宋体" w:hAnsi="宋体" w:cs="宋体"/>
          <w:color w:val="000000" w:themeColor="text1"/>
          <w:sz w:val="24"/>
        </w:rPr>
        <w:t xml:space="preserve">                                      年     月     日</w:t>
      </w:r>
    </w:p>
    <w:p>
      <w:pPr>
        <w:spacing w:line="360" w:lineRule="auto"/>
        <w:jc w:val="center"/>
        <w:rPr>
          <w:rFonts w:ascii="宋体" w:hAnsi="宋体" w:cs="宋体"/>
          <w:color w:val="000000" w:themeColor="text1"/>
          <w:sz w:val="24"/>
        </w:rPr>
      </w:pPr>
    </w:p>
    <w:p>
      <w:pPr>
        <w:spacing w:line="360" w:lineRule="auto"/>
        <w:jc w:val="left"/>
        <w:rPr>
          <w:rFonts w:ascii="宋体" w:hAnsi="宋体" w:cs="宋体"/>
          <w:color w:val="000000" w:themeColor="text1"/>
          <w:sz w:val="24"/>
        </w:rPr>
      </w:pPr>
      <w:r>
        <w:rPr>
          <w:rFonts w:hint="eastAsia" w:ascii="宋体" w:hAnsi="宋体" w:cs="宋体"/>
          <w:color w:val="000000" w:themeColor="text1"/>
          <w:sz w:val="24"/>
        </w:rPr>
        <w:t>说明：</w:t>
      </w:r>
    </w:p>
    <w:p>
      <w:pPr>
        <w:spacing w:line="360" w:lineRule="auto"/>
        <w:jc w:val="left"/>
        <w:rPr>
          <w:rFonts w:ascii="宋体" w:hAnsi="宋体" w:cs="宋体"/>
          <w:color w:val="000000" w:themeColor="text1"/>
          <w:sz w:val="24"/>
        </w:rPr>
      </w:pPr>
      <w:r>
        <w:rPr>
          <w:rFonts w:hint="eastAsia" w:ascii="宋体" w:hAnsi="宋体" w:cs="宋体"/>
          <w:color w:val="000000" w:themeColor="text1"/>
          <w:sz w:val="24"/>
        </w:rPr>
        <w:t>1.异议人是法人的，异议书必须由其法定代表人或者授权代表签字并盖章。</w:t>
      </w:r>
    </w:p>
    <w:p>
      <w:pPr>
        <w:spacing w:line="360" w:lineRule="auto"/>
        <w:jc w:val="left"/>
        <w:rPr>
          <w:rFonts w:ascii="宋体" w:hAnsi="宋体" w:cs="宋体"/>
          <w:b/>
          <w:color w:val="000000" w:themeColor="text1"/>
          <w:sz w:val="32"/>
          <w:szCs w:val="32"/>
        </w:rPr>
        <w:sectPr>
          <w:headerReference r:id="rId3" w:type="default"/>
          <w:footerReference r:id="rId4" w:type="default"/>
          <w:pgSz w:w="11906" w:h="16838"/>
          <w:pgMar w:top="1701" w:right="1418" w:bottom="1440" w:left="1418" w:header="851" w:footer="992" w:gutter="0"/>
          <w:cols w:space="425" w:num="1"/>
          <w:docGrid w:type="linesAndChars" w:linePitch="312" w:charSpace="0"/>
        </w:sectPr>
      </w:pPr>
      <w:r>
        <w:rPr>
          <w:rFonts w:hint="eastAsia" w:ascii="宋体" w:hAnsi="宋体" w:cs="宋体"/>
          <w:color w:val="000000" w:themeColor="text1"/>
          <w:sz w:val="24"/>
        </w:rPr>
        <w:t>2.异议书有关材料是外文的，异议人应当同时提供其中文译本。</w:t>
      </w:r>
    </w:p>
    <w:p>
      <w:pPr>
        <w:rPr>
          <w:rFonts w:ascii="宋体" w:hAnsi="宋体" w:cs="宋体"/>
          <w:b/>
          <w:color w:val="000000" w:themeColor="text1"/>
          <w:sz w:val="32"/>
          <w:szCs w:val="32"/>
        </w:rPr>
      </w:pPr>
      <w:r>
        <w:rPr>
          <w:rFonts w:hint="eastAsia" w:ascii="宋体" w:hAnsi="宋体" w:cs="宋体"/>
          <w:b/>
          <w:color w:val="000000" w:themeColor="text1"/>
          <w:sz w:val="32"/>
          <w:szCs w:val="32"/>
        </w:rPr>
        <w:t>附件8</w:t>
      </w:r>
    </w:p>
    <w:p>
      <w:pPr>
        <w:spacing w:line="360" w:lineRule="auto"/>
        <w:jc w:val="center"/>
        <w:rPr>
          <w:rFonts w:ascii="宋体" w:hAnsi="宋体" w:cs="宋体"/>
          <w:b/>
          <w:color w:val="000000" w:themeColor="text1"/>
          <w:sz w:val="32"/>
          <w:szCs w:val="32"/>
        </w:rPr>
      </w:pPr>
      <w:r>
        <w:rPr>
          <w:rFonts w:hint="eastAsia" w:ascii="宋体" w:hAnsi="宋体" w:cs="宋体"/>
          <w:b/>
          <w:color w:val="000000" w:themeColor="text1"/>
          <w:sz w:val="32"/>
          <w:szCs w:val="32"/>
        </w:rPr>
        <w:t>工程量清单计价成果文件（投标报价明细表）</w:t>
      </w:r>
    </w:p>
    <w:p>
      <w:pPr>
        <w:spacing w:line="360" w:lineRule="auto"/>
        <w:jc w:val="left"/>
        <w:rPr>
          <w:rFonts w:ascii="宋体" w:hAnsi="宋体" w:cs="宋体"/>
          <w:b/>
          <w:color w:val="000000" w:themeColor="text1"/>
          <w:sz w:val="24"/>
          <w:szCs w:val="30"/>
        </w:rPr>
      </w:pPr>
      <w:r>
        <w:rPr>
          <w:rFonts w:hint="eastAsia" w:ascii="宋体" w:hAnsi="宋体" w:cs="宋体"/>
          <w:b/>
          <w:color w:val="000000" w:themeColor="text1"/>
          <w:sz w:val="24"/>
          <w:szCs w:val="30"/>
        </w:rPr>
        <w:t>工程名称：盐城工业职业技术学院药品与健康管理学院药物制剂仿真一体实训室改造</w:t>
      </w:r>
    </w:p>
    <w:p>
      <w:pPr>
        <w:widowControl/>
        <w:jc w:val="left"/>
        <w:textAlignment w:val="center"/>
        <w:rPr>
          <w:rFonts w:ascii="宋体" w:hAnsi="宋体" w:cs="宋体"/>
          <w:color w:val="000000" w:themeColor="text1"/>
          <w:kern w:val="0"/>
          <w:szCs w:val="21"/>
        </w:rPr>
      </w:pPr>
    </w:p>
    <w:tbl>
      <w:tblPr>
        <w:tblStyle w:val="20"/>
        <w:tblW w:w="9937" w:type="dxa"/>
        <w:tblInd w:w="93" w:type="dxa"/>
        <w:tblLayout w:type="autofit"/>
        <w:tblCellMar>
          <w:top w:w="0" w:type="dxa"/>
          <w:left w:w="108" w:type="dxa"/>
          <w:bottom w:w="0" w:type="dxa"/>
          <w:right w:w="108" w:type="dxa"/>
        </w:tblCellMar>
      </w:tblPr>
      <w:tblGrid>
        <w:gridCol w:w="1027"/>
        <w:gridCol w:w="4453"/>
        <w:gridCol w:w="1027"/>
        <w:gridCol w:w="1056"/>
        <w:gridCol w:w="1030"/>
        <w:gridCol w:w="1344"/>
      </w:tblGrid>
      <w:tr>
        <w:tblPrEx>
          <w:tblCellMar>
            <w:top w:w="0" w:type="dxa"/>
            <w:left w:w="108" w:type="dxa"/>
            <w:bottom w:w="0" w:type="dxa"/>
            <w:right w:w="108" w:type="dxa"/>
          </w:tblCellMar>
        </w:tblPrEx>
        <w:trPr>
          <w:trHeight w:val="330" w:hRule="atLeast"/>
        </w:trPr>
        <w:tc>
          <w:tcPr>
            <w:tcW w:w="102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黑体" w:hAnsi="宋体" w:eastAsia="黑体" w:cs="黑体"/>
                <w:b/>
                <w:bCs/>
                <w:color w:val="000000" w:themeColor="text1"/>
                <w:sz w:val="20"/>
                <w:szCs w:val="20"/>
              </w:rPr>
            </w:pPr>
            <w:r>
              <w:rPr>
                <w:rFonts w:hint="eastAsia" w:ascii="黑体" w:hAnsi="宋体" w:eastAsia="黑体" w:cs="黑体"/>
                <w:b/>
                <w:bCs/>
                <w:color w:val="000000" w:themeColor="text1"/>
                <w:kern w:val="0"/>
                <w:sz w:val="20"/>
                <w:szCs w:val="20"/>
              </w:rPr>
              <w:t>序号</w:t>
            </w:r>
          </w:p>
        </w:tc>
        <w:tc>
          <w:tcPr>
            <w:tcW w:w="4453"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黑体" w:hAnsi="宋体" w:eastAsia="黑体" w:cs="黑体"/>
                <w:b/>
                <w:bCs/>
                <w:color w:val="000000" w:themeColor="text1"/>
                <w:sz w:val="20"/>
                <w:szCs w:val="20"/>
              </w:rPr>
            </w:pPr>
            <w:r>
              <w:rPr>
                <w:rFonts w:hint="eastAsia" w:ascii="黑体" w:hAnsi="宋体" w:eastAsia="黑体" w:cs="黑体"/>
                <w:b/>
                <w:bCs/>
                <w:color w:val="000000" w:themeColor="text1"/>
                <w:kern w:val="0"/>
                <w:sz w:val="20"/>
                <w:szCs w:val="20"/>
              </w:rPr>
              <w:t>项目特征描述</w:t>
            </w:r>
          </w:p>
        </w:tc>
        <w:tc>
          <w:tcPr>
            <w:tcW w:w="1027" w:type="dxa"/>
            <w:tcBorders>
              <w:top w:val="single" w:color="000000" w:sz="8" w:space="0"/>
              <w:left w:val="nil"/>
              <w:bottom w:val="nil"/>
              <w:right w:val="single" w:color="000000" w:sz="8" w:space="0"/>
            </w:tcBorders>
            <w:shd w:val="clear" w:color="auto" w:fill="auto"/>
            <w:vAlign w:val="center"/>
          </w:tcPr>
          <w:p>
            <w:pPr>
              <w:widowControl/>
              <w:jc w:val="center"/>
              <w:textAlignment w:val="center"/>
              <w:rPr>
                <w:rFonts w:ascii="黑体" w:hAnsi="宋体" w:eastAsia="黑体" w:cs="黑体"/>
                <w:b/>
                <w:bCs/>
                <w:color w:val="000000" w:themeColor="text1"/>
                <w:sz w:val="20"/>
                <w:szCs w:val="20"/>
              </w:rPr>
            </w:pPr>
            <w:r>
              <w:rPr>
                <w:rFonts w:hint="eastAsia" w:ascii="黑体" w:hAnsi="宋体" w:eastAsia="黑体" w:cs="黑体"/>
                <w:b/>
                <w:bCs/>
                <w:color w:val="000000" w:themeColor="text1"/>
                <w:kern w:val="0"/>
                <w:sz w:val="20"/>
                <w:szCs w:val="20"/>
              </w:rPr>
              <w:t>计量</w:t>
            </w:r>
          </w:p>
        </w:tc>
        <w:tc>
          <w:tcPr>
            <w:tcW w:w="1056"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黑体" w:hAnsi="宋体" w:eastAsia="黑体" w:cs="黑体"/>
                <w:b/>
                <w:bCs/>
                <w:color w:val="000000" w:themeColor="text1"/>
                <w:sz w:val="20"/>
                <w:szCs w:val="20"/>
              </w:rPr>
            </w:pPr>
            <w:r>
              <w:rPr>
                <w:rFonts w:hint="eastAsia" w:ascii="黑体" w:hAnsi="宋体" w:eastAsia="黑体" w:cs="黑体"/>
                <w:b/>
                <w:bCs/>
                <w:color w:val="000000" w:themeColor="text1"/>
                <w:kern w:val="0"/>
                <w:sz w:val="20"/>
                <w:szCs w:val="20"/>
              </w:rPr>
              <w:t>工程量</w:t>
            </w:r>
          </w:p>
        </w:tc>
        <w:tc>
          <w:tcPr>
            <w:tcW w:w="2374" w:type="dxa"/>
            <w:gridSpan w:val="2"/>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黑体" w:hAnsi="宋体" w:eastAsia="黑体" w:cs="黑体"/>
                <w:b/>
                <w:bCs/>
                <w:color w:val="000000" w:themeColor="text1"/>
                <w:sz w:val="20"/>
                <w:szCs w:val="20"/>
              </w:rPr>
            </w:pPr>
            <w:r>
              <w:rPr>
                <w:rFonts w:hint="eastAsia" w:ascii="黑体" w:hAnsi="宋体" w:eastAsia="黑体" w:cs="黑体"/>
                <w:b/>
                <w:bCs/>
                <w:color w:val="000000" w:themeColor="text1"/>
                <w:kern w:val="0"/>
                <w:sz w:val="20"/>
                <w:szCs w:val="20"/>
              </w:rPr>
              <w:t>金额（元）</w:t>
            </w:r>
          </w:p>
        </w:tc>
      </w:tr>
      <w:tr>
        <w:tblPrEx>
          <w:tblCellMar>
            <w:top w:w="0" w:type="dxa"/>
            <w:left w:w="108" w:type="dxa"/>
            <w:bottom w:w="0" w:type="dxa"/>
            <w:right w:w="108" w:type="dxa"/>
          </w:tblCellMar>
        </w:tblPrEx>
        <w:trPr>
          <w:trHeight w:val="330" w:hRule="atLeast"/>
        </w:trPr>
        <w:tc>
          <w:tcPr>
            <w:tcW w:w="102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黑体" w:hAnsi="宋体" w:eastAsia="黑体" w:cs="黑体"/>
                <w:b/>
                <w:bCs/>
                <w:color w:val="000000" w:themeColor="text1"/>
                <w:sz w:val="20"/>
                <w:szCs w:val="20"/>
              </w:rPr>
            </w:pPr>
          </w:p>
        </w:tc>
        <w:tc>
          <w:tcPr>
            <w:tcW w:w="4453"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黑体" w:hAnsi="宋体" w:eastAsia="黑体" w:cs="黑体"/>
                <w:b/>
                <w:bCs/>
                <w:color w:val="000000" w:themeColor="text1"/>
                <w:sz w:val="20"/>
                <w:szCs w:val="20"/>
              </w:rPr>
            </w:pPr>
          </w:p>
        </w:tc>
        <w:tc>
          <w:tcPr>
            <w:tcW w:w="1027" w:type="dxa"/>
            <w:tcBorders>
              <w:top w:val="nil"/>
              <w:left w:val="nil"/>
              <w:bottom w:val="nil"/>
              <w:right w:val="single" w:color="000000" w:sz="8" w:space="0"/>
            </w:tcBorders>
            <w:shd w:val="clear" w:color="auto" w:fill="auto"/>
            <w:vAlign w:val="center"/>
          </w:tcPr>
          <w:p>
            <w:pPr>
              <w:widowControl/>
              <w:jc w:val="center"/>
              <w:textAlignment w:val="center"/>
              <w:rPr>
                <w:rFonts w:ascii="黑体" w:hAnsi="宋体" w:eastAsia="黑体" w:cs="黑体"/>
                <w:b/>
                <w:bCs/>
                <w:color w:val="000000" w:themeColor="text1"/>
                <w:sz w:val="20"/>
                <w:szCs w:val="20"/>
              </w:rPr>
            </w:pPr>
            <w:r>
              <w:rPr>
                <w:rFonts w:hint="eastAsia" w:ascii="黑体" w:hAnsi="宋体" w:eastAsia="黑体" w:cs="黑体"/>
                <w:b/>
                <w:bCs/>
                <w:color w:val="000000" w:themeColor="text1"/>
                <w:kern w:val="0"/>
                <w:sz w:val="20"/>
                <w:szCs w:val="20"/>
              </w:rPr>
              <w:t>单位</w:t>
            </w:r>
          </w:p>
        </w:tc>
        <w:tc>
          <w:tcPr>
            <w:tcW w:w="1056"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黑体" w:hAnsi="宋体" w:eastAsia="黑体" w:cs="黑体"/>
                <w:b/>
                <w:bCs/>
                <w:color w:val="000000" w:themeColor="text1"/>
                <w:sz w:val="20"/>
                <w:szCs w:val="20"/>
              </w:rPr>
            </w:pPr>
          </w:p>
        </w:tc>
        <w:tc>
          <w:tcPr>
            <w:tcW w:w="1030" w:type="dxa"/>
            <w:tcBorders>
              <w:top w:val="nil"/>
              <w:left w:val="nil"/>
              <w:bottom w:val="nil"/>
              <w:right w:val="single" w:color="000000" w:sz="8" w:space="0"/>
            </w:tcBorders>
            <w:shd w:val="clear" w:color="auto" w:fill="auto"/>
            <w:vAlign w:val="center"/>
          </w:tcPr>
          <w:p>
            <w:pPr>
              <w:widowControl/>
              <w:jc w:val="center"/>
              <w:textAlignment w:val="center"/>
              <w:rPr>
                <w:rFonts w:ascii="黑体" w:hAnsi="宋体" w:eastAsia="黑体" w:cs="黑体"/>
                <w:b/>
                <w:bCs/>
                <w:color w:val="000000" w:themeColor="text1"/>
                <w:sz w:val="20"/>
                <w:szCs w:val="20"/>
              </w:rPr>
            </w:pPr>
            <w:r>
              <w:rPr>
                <w:rFonts w:hint="eastAsia" w:ascii="黑体" w:hAnsi="宋体" w:eastAsia="黑体" w:cs="黑体"/>
                <w:b/>
                <w:bCs/>
                <w:color w:val="000000" w:themeColor="text1"/>
                <w:kern w:val="0"/>
                <w:sz w:val="20"/>
                <w:szCs w:val="20"/>
              </w:rPr>
              <w:t>全费用</w:t>
            </w:r>
          </w:p>
        </w:tc>
        <w:tc>
          <w:tcPr>
            <w:tcW w:w="1344"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黑体" w:hAnsi="宋体" w:eastAsia="黑体" w:cs="黑体"/>
                <w:b/>
                <w:bCs/>
                <w:color w:val="000000" w:themeColor="text1"/>
                <w:sz w:val="20"/>
                <w:szCs w:val="20"/>
              </w:rPr>
            </w:pPr>
            <w:r>
              <w:rPr>
                <w:rFonts w:hint="eastAsia" w:ascii="黑体" w:hAnsi="宋体" w:eastAsia="黑体" w:cs="黑体"/>
                <w:b/>
                <w:bCs/>
                <w:color w:val="000000" w:themeColor="text1"/>
                <w:kern w:val="0"/>
                <w:sz w:val="20"/>
                <w:szCs w:val="20"/>
              </w:rPr>
              <w:t>综合合价</w:t>
            </w:r>
          </w:p>
        </w:tc>
      </w:tr>
      <w:tr>
        <w:tblPrEx>
          <w:tblCellMar>
            <w:top w:w="0" w:type="dxa"/>
            <w:left w:w="108" w:type="dxa"/>
            <w:bottom w:w="0" w:type="dxa"/>
            <w:right w:w="108" w:type="dxa"/>
          </w:tblCellMar>
        </w:tblPrEx>
        <w:trPr>
          <w:trHeight w:val="330" w:hRule="atLeast"/>
        </w:trPr>
        <w:tc>
          <w:tcPr>
            <w:tcW w:w="102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黑体" w:hAnsi="宋体" w:eastAsia="黑体" w:cs="黑体"/>
                <w:b/>
                <w:bCs/>
                <w:color w:val="000000" w:themeColor="text1"/>
                <w:sz w:val="20"/>
                <w:szCs w:val="20"/>
              </w:rPr>
            </w:pPr>
          </w:p>
        </w:tc>
        <w:tc>
          <w:tcPr>
            <w:tcW w:w="4453"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黑体" w:hAnsi="宋体" w:eastAsia="黑体" w:cs="黑体"/>
                <w:b/>
                <w:bCs/>
                <w:color w:val="000000" w:themeColor="text1"/>
                <w:sz w:val="20"/>
                <w:szCs w:val="20"/>
              </w:rPr>
            </w:pPr>
          </w:p>
        </w:tc>
        <w:tc>
          <w:tcPr>
            <w:tcW w:w="0" w:type="auto"/>
            <w:tcBorders>
              <w:top w:val="nil"/>
              <w:left w:val="nil"/>
              <w:bottom w:val="single" w:color="000000" w:sz="8" w:space="0"/>
              <w:right w:val="single" w:color="000000" w:sz="8" w:space="0"/>
            </w:tcBorders>
            <w:shd w:val="clear" w:color="auto" w:fill="auto"/>
            <w:noWrap/>
            <w:vAlign w:val="center"/>
          </w:tcPr>
          <w:p>
            <w:pPr>
              <w:rPr>
                <w:rFonts w:ascii="宋体" w:hAnsi="宋体" w:cs="宋体"/>
                <w:color w:val="000000" w:themeColor="text1"/>
                <w:sz w:val="22"/>
                <w:szCs w:val="22"/>
              </w:rPr>
            </w:pPr>
          </w:p>
        </w:tc>
        <w:tc>
          <w:tcPr>
            <w:tcW w:w="1056"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黑体" w:hAnsi="宋体" w:eastAsia="黑体" w:cs="黑体"/>
                <w:b/>
                <w:bCs/>
                <w:color w:val="000000" w:themeColor="text1"/>
                <w:sz w:val="20"/>
                <w:szCs w:val="20"/>
              </w:rPr>
            </w:pPr>
          </w:p>
        </w:tc>
        <w:tc>
          <w:tcPr>
            <w:tcW w:w="103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黑体" w:hAnsi="宋体" w:eastAsia="黑体" w:cs="黑体"/>
                <w:b/>
                <w:bCs/>
                <w:color w:val="000000" w:themeColor="text1"/>
                <w:sz w:val="20"/>
                <w:szCs w:val="20"/>
              </w:rPr>
            </w:pPr>
            <w:r>
              <w:rPr>
                <w:rFonts w:hint="eastAsia" w:ascii="黑体" w:hAnsi="宋体" w:eastAsia="黑体" w:cs="黑体"/>
                <w:b/>
                <w:bCs/>
                <w:color w:val="000000" w:themeColor="text1"/>
                <w:kern w:val="0"/>
                <w:sz w:val="20"/>
                <w:szCs w:val="20"/>
              </w:rPr>
              <w:t>综合单价</w:t>
            </w:r>
          </w:p>
        </w:tc>
        <w:tc>
          <w:tcPr>
            <w:tcW w:w="1344"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黑体" w:hAnsi="宋体" w:eastAsia="黑体" w:cs="黑体"/>
                <w:b/>
                <w:bCs/>
                <w:color w:val="000000" w:themeColor="text1"/>
                <w:sz w:val="20"/>
                <w:szCs w:val="20"/>
              </w:rPr>
            </w:pPr>
          </w:p>
        </w:tc>
      </w:tr>
      <w:tr>
        <w:tblPrEx>
          <w:tblCellMar>
            <w:top w:w="0" w:type="dxa"/>
            <w:left w:w="108" w:type="dxa"/>
            <w:bottom w:w="0" w:type="dxa"/>
            <w:right w:w="108" w:type="dxa"/>
          </w:tblCellMar>
        </w:tblPrEx>
        <w:trPr>
          <w:trHeight w:val="33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一</w:t>
            </w: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拆除工程</w:t>
            </w:r>
          </w:p>
        </w:tc>
        <w:tc>
          <w:tcPr>
            <w:tcW w:w="102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拆除工程</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项</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1、拆240mm墙约 7.19*3.79*2=54.56m2 </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2、拆100mm墙约4.18*3.76*2+3.79*7.19*4=140.43m2</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3、拆除门12樘</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4、拆除铝合金窗一樘 约2.8*3.35=9.38m2</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5、拆除地台0.97*31=30.07</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6、凡涉及本次施工范围内须拆除部位的全部工作内容</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7、投标人自行勘察现场，根据现场实际情况结合设计图纸，综合考虑本项目涉及的所有拆除费用</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8、非拆除部分不允许损坏，并修复拆除损坏部分(含粉补侧边费用)</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9、该综合单价中包含垃圾打扫、清理、上下运力及外运等费用，自行考虑残值回收。</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10、该费用包干使用，结算时不调整。</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二</w:t>
            </w: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装饰工程</w:t>
            </w:r>
          </w:p>
        </w:tc>
        <w:tc>
          <w:tcPr>
            <w:tcW w:w="102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w:t>
            </w:r>
          </w:p>
        </w:tc>
        <w:tc>
          <w:tcPr>
            <w:tcW w:w="4453" w:type="dxa"/>
            <w:tcBorders>
              <w:top w:val="nil"/>
              <w:left w:val="nil"/>
              <w:bottom w:val="nil"/>
              <w:right w:val="single" w:color="000000" w:sz="8" w:space="0"/>
            </w:tcBorders>
            <w:shd w:val="clear" w:color="auto" w:fill="auto"/>
            <w:vAlign w:val="center"/>
          </w:tcPr>
          <w:p>
            <w:pPr>
              <w:widowControl/>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PVC卷材地面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m2</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136.03</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textAlignment w:val="center"/>
              <w:rPr>
                <w:rFonts w:ascii="宋体" w:hAnsi="宋体" w:cs="宋体"/>
                <w:color w:val="000000" w:themeColor="text1"/>
                <w:szCs w:val="21"/>
              </w:rPr>
            </w:pPr>
            <w:r>
              <w:rPr>
                <w:rFonts w:hint="eastAsia" w:ascii="宋体" w:hAnsi="宋体" w:cs="宋体"/>
                <w:color w:val="000000" w:themeColor="text1"/>
                <w:kern w:val="0"/>
                <w:szCs w:val="21"/>
              </w:rPr>
              <w:t>1、地面自流平</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2、PVC地胶地面、PVC厚度不低于2.5mm</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3、做防水砂浆层</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4、含铝合金压条</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textAlignment w:val="center"/>
              <w:rPr>
                <w:rFonts w:ascii="宋体" w:hAnsi="宋体" w:cs="宋体"/>
                <w:color w:val="000000" w:themeColor="text1"/>
                <w:szCs w:val="21"/>
              </w:rPr>
            </w:pPr>
            <w:r>
              <w:rPr>
                <w:rFonts w:hint="eastAsia" w:ascii="宋体" w:hAnsi="宋体" w:cs="宋体"/>
                <w:color w:val="000000" w:themeColor="text1"/>
                <w:kern w:val="0"/>
                <w:szCs w:val="21"/>
              </w:rPr>
              <w:t>5、颜色和质量由甲方认可后使用</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3</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吊顶工程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m2</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136.03</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 材料类型: 50mm岩棉彩钢板(长城板形状)</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 防火等级：A2，不燃</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 岩棉彩钢板，2边钢带，一次成型。钢板厚度0.6mm岩棉板容重80KG/m3</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auto" w:sz="4"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 含吊筋、膨胀螺栓、主龙骨、人工等所有配件</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auto" w:sz="4"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4</w:t>
            </w:r>
          </w:p>
        </w:tc>
        <w:tc>
          <w:tcPr>
            <w:tcW w:w="44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墙体隔断工程                </w:t>
            </w:r>
          </w:p>
        </w:tc>
        <w:tc>
          <w:tcPr>
            <w:tcW w:w="1027" w:type="dxa"/>
            <w:vMerge w:val="restart"/>
            <w:tcBorders>
              <w:top w:val="nil"/>
              <w:left w:val="single" w:color="auto" w:sz="4"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m2</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458.6465</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single" w:color="auto" w:sz="4" w:space="0"/>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 材料类型: 隔断均为50MM厚岩棉彩钢板（平板）</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 防火等级：A2，不燃</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 岩棉彩钢板彩钢板，2边钢带，一次成型。钢板厚度0.6mm硅岩容重80KG/m3</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 含钢骨架、密封胶、护角、人工等所有配件</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5</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100mmPVC塑料脚线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157.5</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1、PVC塑料脚线</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2、含脚线、辅材、人工</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6</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单扇门  （内门） 建施15 建施22一详图8</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樘</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12</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1、材料：成品单扇门</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2、规格：900*2100mm</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3、式样：见图</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4、防火等级：A2，不燃</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5、含五金、门锁，颜色等需经建设单位确认后方可实施</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6、具体做法详见图纸</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7</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钢质门子母门（质量同二楼）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樘</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1、材料：成品子母门</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2、规格：1300*2100mm</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3、式样：见图</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4、防火等级：A2，不燃</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5、含五金、门锁，颜色等需经建设单位确认后方可实施</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6、具体做法详见图纸</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64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8</w:t>
            </w: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钢质门（质量同二楼）900*2100mm钢质门，含安装</w:t>
            </w:r>
          </w:p>
        </w:tc>
        <w:tc>
          <w:tcPr>
            <w:tcW w:w="102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樘</w:t>
            </w:r>
          </w:p>
        </w:tc>
        <w:tc>
          <w:tcPr>
            <w:tcW w:w="1056"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6</w:t>
            </w:r>
          </w:p>
        </w:tc>
        <w:tc>
          <w:tcPr>
            <w:tcW w:w="103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9</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气密观察窗   （内窗）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樘</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6</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1、材料：双层6mm钢化玻璃成品视窗</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 2、规格：1200*1000mm </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3、式样：见图</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4、防火等级：A2，不燃</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5、颜色等需经建设单位确认后方可实施</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6、报价含一切五金件</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7、具体做法详见图纸</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10</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成品传递窗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组</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1、材料：304不锈钢</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2、规格：500mm*500mm*500mm </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3、式样：见图</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4、等级：医用杀菌、消毒</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5、含所有费用</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11</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80断桥给热铝合金窗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m2</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9.38</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1、材料：铝合金、5mm双层中空钢化玻璃</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2、含所有五金配件</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3、具体做法详见图纸</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12</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顶面喷刷涂料     （406室）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m2</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143.38</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 1、墙面局部铲除、批腻子二遍、乳胶漆二遍</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2、施工过程中需对原室内设备成品保护</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3、具体做法详见图纸</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4、部位：室内顶面，投影结算</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13</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墙面喷刷涂料（406室）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m2</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212.1362</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1、原墙面局部铲除、打磨、批腻子二遍、乳胶漆二遍</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2、施工过程中需对原室内设备成品保护</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3、具体做法详见图纸</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4、部位：室内墙面</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三</w:t>
            </w: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安装工程</w:t>
            </w:r>
          </w:p>
        </w:tc>
        <w:tc>
          <w:tcPr>
            <w:tcW w:w="102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16</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1、名称:配电箱 （原配电箱改装）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台</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4</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2、接线端子材质、规格:无端子接线、压铜接线端子</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3、安装方式:嵌墙安装</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4、箱内配置:满足现场设备使用要求</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17</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配管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650</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1、名称:电线管</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2、规格:PVC20</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3、配置形式:暗配及吊顶内配置，吊顶内安装含必须固定支撑架等费用）</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4、备注:满足校方使用要求，符合验收规范的相关规定。</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18</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配管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350</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1、名称:电线管</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2、规格:PVC25</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949"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3、配置形式:暗配及吊顶内配置（暗装时含必要时开槽、开洞恢复、封堵等费用，吊顶内安装含必须固定支撑架等费用）</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4、备注:满足校方使用要求，符合验收规范的相关规定。</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19</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配管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85</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1、名称:排水管 </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2、规格:PVC50</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3、配置形式:暗配及吊装，含所有配件</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4、备注:满足校方使用要求，符合验收规范的相关规定。</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20</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配管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30</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1、名称:排水管 </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2、规格:PVC75</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3、配置形式:含开孔、暗配及吊装，含所有工艺</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949"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4、备注:满足校方使用要求，符合验收规范的相关规定。（根据建设方要求吧洗手池用水排入规定管道）</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21</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配管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95</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1、名称:给水管</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2、规格:PPR25</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3、配置形式:暗配及吊顶内配置（暗装时含必要时开槽、开洞恢复、封堵等费用，</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4、备注:满足校方使用要求，符合验收规范的相关规定。</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22</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配线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1800</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1、名称:管内穿线</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2、型号:ZR-BV2.5mm2</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3、材质:铜</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4、配线部位:管内</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23</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配线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560</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1、名称:管内穿线</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2、型号:ZR-BV4.0mm2</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3、材质:铜芯线</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4、配线部位:管内</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24</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网线缆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600</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1、名称:六类网线</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2、敷设方式:管内敷设</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3、备注:包含水晶头的制作安装和调试费用</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25</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照明开关</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个</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20</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1、名称:单联单控开关</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2、安装方式:暗装</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26</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照明开关</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个</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8</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1、名称:双开双控开关</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2、安装方式:暗装</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27</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插座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个</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58</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1、名称:五孔插座</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2、规格:10A  250V</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auto" w:sz="4"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3、安装方式:明装</w:t>
            </w:r>
          </w:p>
        </w:tc>
        <w:tc>
          <w:tcPr>
            <w:tcW w:w="1027" w:type="dxa"/>
            <w:vMerge w:val="continue"/>
            <w:tcBorders>
              <w:top w:val="nil"/>
              <w:left w:val="nil"/>
              <w:bottom w:val="single" w:color="auto" w:sz="4"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auto" w:sz="4"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28</w:t>
            </w:r>
          </w:p>
        </w:tc>
        <w:tc>
          <w:tcPr>
            <w:tcW w:w="445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插座                          </w:t>
            </w:r>
          </w:p>
        </w:tc>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个</w:t>
            </w:r>
          </w:p>
        </w:tc>
        <w:tc>
          <w:tcPr>
            <w:tcW w:w="1056" w:type="dxa"/>
            <w:vMerge w:val="restart"/>
            <w:tcBorders>
              <w:top w:val="nil"/>
              <w:left w:val="single" w:color="auto" w:sz="4"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10</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single" w:color="auto" w:sz="4" w:space="0"/>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1、名称:壁挂空调插座</w:t>
            </w:r>
          </w:p>
        </w:tc>
        <w:tc>
          <w:tcPr>
            <w:tcW w:w="1027" w:type="dxa"/>
            <w:vMerge w:val="continue"/>
            <w:tcBorders>
              <w:top w:val="single" w:color="auto" w:sz="4" w:space="0"/>
              <w:left w:val="nil"/>
              <w:bottom w:val="single" w:color="000000" w:sz="8" w:space="0"/>
              <w:right w:val="single" w:color="auto" w:sz="4"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single" w:color="auto" w:sz="4"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2、规格:10A  250V</w:t>
            </w:r>
          </w:p>
        </w:tc>
        <w:tc>
          <w:tcPr>
            <w:tcW w:w="1027" w:type="dxa"/>
            <w:vMerge w:val="continue"/>
            <w:tcBorders>
              <w:top w:val="nil"/>
              <w:left w:val="nil"/>
              <w:bottom w:val="single" w:color="000000" w:sz="8" w:space="0"/>
              <w:right w:val="single" w:color="auto" w:sz="4"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single" w:color="auto" w:sz="4"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3、安装方式:暗装</w:t>
            </w:r>
          </w:p>
        </w:tc>
        <w:tc>
          <w:tcPr>
            <w:tcW w:w="1027" w:type="dxa"/>
            <w:vMerge w:val="continue"/>
            <w:tcBorders>
              <w:top w:val="nil"/>
              <w:left w:val="nil"/>
              <w:bottom w:val="single" w:color="000000" w:sz="8" w:space="0"/>
              <w:right w:val="single" w:color="auto" w:sz="4"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single" w:color="auto" w:sz="4"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29</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信息插座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个</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3</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1、名称:单口网络插座</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2、规格:含模块等费用</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3、安装方式:暗装</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30</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接线盒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个</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128</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1、名称:接线盒、开关盒</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2、材质:塑料</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3、规格:86型</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4、安装形式:暗配</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5、考虑线盒开洞修复等费用</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31</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机柜、机架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台</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1、名称:弱电机柜</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2、技术参数:1.2米网络机柜、(0.6X0.6X1,2M)，黑色，钢板厚度不小于1.5mm</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3、备注:包含PDU插座等相关附材</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32</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录像设备</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台</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1、名称:16路录象机</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2、参考型号:DS-8616N-K8</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949"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3、参数要求:支持16路h265摄像机接入，输入带宽不低于160Mbps，8盘位，支持8TB及以上SATA硬盘。</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4、选用品牌:海康威视、大华、中维世纪</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33</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监控摄像设备</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台</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13</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1、名称:摄像机</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2、参考型号:DS-2CD2146FWD-IS</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3、规格:400万双灯红外(1/3''CMOS网络摄像机红外50-80米），含设备用线</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4、选用品牌:海康威视、大华、安锐特</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34</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录像设备</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台</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8</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1、名称:8TB企业级监控硬盘</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2、选用品牌:希捷、西部、金盛</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35</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1、名称:交换机</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台</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2、参数要求:16口全千兆</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3、选用品牌:华为，华三，锐捷</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36</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显示设备</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台</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1、名称:液晶显示器</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2、类别:19.5寸</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3、选用品牌:飞利浦，联想，宏基</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37</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空调壁挂机</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台</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11</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1、匹数：1.5P</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2、定频/变频：定频</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3、能效等级：3级</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4、颜色：白色</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5、制冷类型：冷暖</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制冷量：≧3500W</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制热量：≧3800W</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内机噪音(dB(A):≦41</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外机噪音(dB(A):≦50</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扫风方式：上下扫风</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949"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6、选用品牌:美的、格力、海尔（下水据现场实际情况布置），含铜管、人工、上楼、开孔、防水等所有费用（南一排放置楼顶）</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38</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洗手盆柜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组</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3</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1259"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实验室专用PP水槽台，含龙头所有配件，样式及颜色需请校方确认后安装，含上下水管道和连接配件3、安装前提供样品，样式及安装部位据现场需要等需经建设单位认可后采购安装</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39</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密封灯盘</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个</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14</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L2(36W 900*300)，采用LED光源,光通量3200lm</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40</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密封灯盘</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项</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29</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L3(48W 1200*300)，采用LED光源,光通量4000lm</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64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41</w:t>
            </w: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可视门禁室内机（海康威视、大华、中维世纪），含安装和辅材</w:t>
            </w:r>
          </w:p>
        </w:tc>
        <w:tc>
          <w:tcPr>
            <w:tcW w:w="102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台</w:t>
            </w:r>
          </w:p>
        </w:tc>
        <w:tc>
          <w:tcPr>
            <w:tcW w:w="1056"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w:t>
            </w:r>
          </w:p>
        </w:tc>
        <w:tc>
          <w:tcPr>
            <w:tcW w:w="103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四</w:t>
            </w: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新风系统工程</w:t>
            </w:r>
          </w:p>
        </w:tc>
        <w:tc>
          <w:tcPr>
            <w:tcW w:w="102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42</w:t>
            </w: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Ø150镀锌铁皮风管，安装和辅材</w:t>
            </w:r>
          </w:p>
        </w:tc>
        <w:tc>
          <w:tcPr>
            <w:tcW w:w="102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w:t>
            </w:r>
          </w:p>
        </w:tc>
        <w:tc>
          <w:tcPr>
            <w:tcW w:w="1056"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25</w:t>
            </w:r>
          </w:p>
        </w:tc>
        <w:tc>
          <w:tcPr>
            <w:tcW w:w="103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43</w:t>
            </w: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Ø200镀锌铁皮风管，安装和辅材</w:t>
            </w:r>
          </w:p>
        </w:tc>
        <w:tc>
          <w:tcPr>
            <w:tcW w:w="102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w:t>
            </w:r>
          </w:p>
        </w:tc>
        <w:tc>
          <w:tcPr>
            <w:tcW w:w="1056"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27</w:t>
            </w:r>
          </w:p>
        </w:tc>
        <w:tc>
          <w:tcPr>
            <w:tcW w:w="103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44</w:t>
            </w: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Ø250镀锌铁皮风管，安装和辅材</w:t>
            </w:r>
          </w:p>
        </w:tc>
        <w:tc>
          <w:tcPr>
            <w:tcW w:w="102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w:t>
            </w:r>
          </w:p>
        </w:tc>
        <w:tc>
          <w:tcPr>
            <w:tcW w:w="1056"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25</w:t>
            </w:r>
          </w:p>
        </w:tc>
        <w:tc>
          <w:tcPr>
            <w:tcW w:w="103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rPr>
          <w:trHeight w:val="33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45</w:t>
            </w: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Ø300镀锌铁皮风管，安装和辅材</w:t>
            </w:r>
          </w:p>
        </w:tc>
        <w:tc>
          <w:tcPr>
            <w:tcW w:w="102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m</w:t>
            </w:r>
          </w:p>
        </w:tc>
        <w:tc>
          <w:tcPr>
            <w:tcW w:w="1056"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120</w:t>
            </w:r>
          </w:p>
        </w:tc>
        <w:tc>
          <w:tcPr>
            <w:tcW w:w="103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46</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全热交换器机组4FAV-01</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台</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风量：2500MH，热回收效率：夏季/60%，冬季/65%电机功率：送风/0.5kw,排风/0.5KW,</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机外余压：送风/200PA,排风/200PA,</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155"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0" w:type="auto"/>
            <w:tcBorders>
              <w:top w:val="nil"/>
              <w:left w:val="nil"/>
              <w:bottom w:val="nil"/>
              <w:right w:val="single" w:color="000000" w:sz="8" w:space="0"/>
            </w:tcBorders>
            <w:shd w:val="clear" w:color="auto" w:fill="auto"/>
            <w:noWrap/>
            <w:vAlign w:val="center"/>
          </w:tcPr>
          <w:p>
            <w:pPr>
              <w:rPr>
                <w:rFonts w:ascii="宋体" w:hAnsi="宋体" w:cs="宋体"/>
                <w:color w:val="000000" w:themeColor="text1"/>
                <w:sz w:val="22"/>
                <w:szCs w:val="22"/>
              </w:rPr>
            </w:pP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textAlignment w:val="center"/>
              <w:rPr>
                <w:rFonts w:ascii="宋体" w:hAnsi="宋体" w:cs="宋体"/>
                <w:color w:val="000000" w:themeColor="text1"/>
                <w:szCs w:val="21"/>
              </w:rPr>
            </w:pPr>
            <w:r>
              <w:rPr>
                <w:rFonts w:hint="eastAsia" w:ascii="宋体" w:hAnsi="宋体" w:cs="宋体"/>
                <w:color w:val="000000" w:themeColor="text1"/>
                <w:kern w:val="0"/>
                <w:szCs w:val="21"/>
              </w:rPr>
              <w:t>含安装和辅材</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47</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全热交换器热4FAV-02</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台</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0" w:type="auto"/>
            <w:tcBorders>
              <w:top w:val="nil"/>
              <w:left w:val="nil"/>
              <w:bottom w:val="nil"/>
              <w:right w:val="single" w:color="000000" w:sz="8" w:space="0"/>
            </w:tcBorders>
            <w:shd w:val="clear" w:color="auto" w:fill="auto"/>
            <w:noWrap/>
            <w:vAlign w:val="center"/>
          </w:tcPr>
          <w:p>
            <w:pPr>
              <w:rPr>
                <w:rFonts w:ascii="宋体" w:hAnsi="宋体" w:cs="宋体"/>
                <w:color w:val="000000" w:themeColor="text1"/>
                <w:sz w:val="22"/>
                <w:szCs w:val="22"/>
              </w:rPr>
            </w:pP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541"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textAlignment w:val="center"/>
              <w:rPr>
                <w:rFonts w:ascii="宋体" w:hAnsi="宋体" w:cs="宋体"/>
                <w:color w:val="000000" w:themeColor="text1"/>
                <w:szCs w:val="21"/>
              </w:rPr>
            </w:pPr>
            <w:r>
              <w:rPr>
                <w:rFonts w:hint="eastAsia" w:ascii="宋体" w:hAnsi="宋体" w:cs="宋体"/>
                <w:color w:val="000000" w:themeColor="text1"/>
                <w:kern w:val="0"/>
                <w:szCs w:val="21"/>
              </w:rPr>
              <w:t>风量：2800MH，热回收效率：夏季/68%，冬季/72%</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0" w:type="auto"/>
            <w:tcBorders>
              <w:top w:val="nil"/>
              <w:left w:val="nil"/>
              <w:bottom w:val="nil"/>
              <w:right w:val="single" w:color="000000" w:sz="8" w:space="0"/>
            </w:tcBorders>
            <w:shd w:val="clear" w:color="auto" w:fill="auto"/>
            <w:noWrap/>
            <w:vAlign w:val="center"/>
          </w:tcPr>
          <w:p>
            <w:pPr>
              <w:rPr>
                <w:rFonts w:ascii="宋体" w:hAnsi="宋体" w:cs="宋体"/>
                <w:color w:val="000000" w:themeColor="text1"/>
                <w:sz w:val="22"/>
                <w:szCs w:val="22"/>
              </w:rPr>
            </w:pP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textAlignment w:val="center"/>
              <w:rPr>
                <w:rFonts w:ascii="宋体" w:hAnsi="宋体" w:cs="宋体"/>
                <w:color w:val="000000" w:themeColor="text1"/>
                <w:szCs w:val="21"/>
              </w:rPr>
            </w:pPr>
            <w:r>
              <w:rPr>
                <w:rFonts w:hint="eastAsia" w:ascii="宋体" w:hAnsi="宋体" w:cs="宋体"/>
                <w:color w:val="000000" w:themeColor="text1"/>
                <w:kern w:val="0"/>
                <w:szCs w:val="21"/>
              </w:rPr>
              <w:t>电机功率：送风/0.75kw,排风/0.75KW,机外余压：送风/200PA,排风/200PA,</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0" w:type="auto"/>
            <w:tcBorders>
              <w:top w:val="nil"/>
              <w:left w:val="nil"/>
              <w:bottom w:val="nil"/>
              <w:right w:val="single" w:color="000000" w:sz="8" w:space="0"/>
            </w:tcBorders>
            <w:shd w:val="clear" w:color="auto" w:fill="auto"/>
            <w:noWrap/>
            <w:vAlign w:val="center"/>
          </w:tcPr>
          <w:p>
            <w:pPr>
              <w:rPr>
                <w:rFonts w:ascii="宋体" w:hAnsi="宋体" w:cs="宋体"/>
                <w:color w:val="000000" w:themeColor="text1"/>
                <w:sz w:val="22"/>
                <w:szCs w:val="22"/>
              </w:rPr>
            </w:pP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textAlignment w:val="center"/>
              <w:rPr>
                <w:rFonts w:ascii="宋体" w:hAnsi="宋体" w:cs="宋体"/>
                <w:color w:val="000000" w:themeColor="text1"/>
                <w:szCs w:val="21"/>
              </w:rPr>
            </w:pPr>
            <w:r>
              <w:rPr>
                <w:rFonts w:hint="eastAsia" w:ascii="宋体" w:hAnsi="宋体" w:cs="宋体"/>
                <w:color w:val="000000" w:themeColor="text1"/>
                <w:kern w:val="0"/>
                <w:szCs w:val="21"/>
              </w:rPr>
              <w:t>含安装和辅材</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48</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其他                                </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项</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1259"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1、原有电气、消防、其他安装设备按照现有设计拆除整改、防护封堵，凿补墙槽及墙洞、包柱、调试运行、投标人认为完成该项内容所增加项，施工必须满足验收，所增加一切费用综合考虑</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64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49</w:t>
            </w: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0．8厚不锈钢明线槽（含所有插座、开关明线槽、内套PVC平线槽）</w:t>
            </w:r>
          </w:p>
        </w:tc>
        <w:tc>
          <w:tcPr>
            <w:tcW w:w="102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项</w:t>
            </w:r>
          </w:p>
        </w:tc>
        <w:tc>
          <w:tcPr>
            <w:tcW w:w="1056"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w:t>
            </w:r>
          </w:p>
        </w:tc>
        <w:tc>
          <w:tcPr>
            <w:tcW w:w="103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rPr>
          <w:trHeight w:val="330" w:hRule="atLeast"/>
        </w:trPr>
        <w:tc>
          <w:tcPr>
            <w:tcW w:w="102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50</w:t>
            </w:r>
          </w:p>
        </w:tc>
        <w:tc>
          <w:tcPr>
            <w:tcW w:w="4453" w:type="dxa"/>
            <w:tcBorders>
              <w:top w:val="single" w:color="000000" w:sz="8" w:space="0"/>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强弱电工资</w:t>
            </w:r>
          </w:p>
        </w:tc>
        <w:tc>
          <w:tcPr>
            <w:tcW w:w="1027"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项</w:t>
            </w:r>
          </w:p>
        </w:tc>
        <w:tc>
          <w:tcPr>
            <w:tcW w:w="1056"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w:t>
            </w:r>
          </w:p>
        </w:tc>
        <w:tc>
          <w:tcPr>
            <w:tcW w:w="1030" w:type="dxa"/>
            <w:vMerge w:val="restart"/>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0" w:type="auto"/>
            <w:vMerge w:val="restart"/>
            <w:tcBorders>
              <w:top w:val="single" w:color="000000" w:sz="8" w:space="0"/>
              <w:left w:val="nil"/>
              <w:bottom w:val="single" w:color="000000" w:sz="8" w:space="0"/>
              <w:right w:val="single" w:color="000000" w:sz="8" w:space="0"/>
            </w:tcBorders>
            <w:shd w:val="clear" w:color="auto" w:fill="auto"/>
            <w:noWrap/>
            <w:vAlign w:val="center"/>
          </w:tcPr>
          <w:p>
            <w:pPr>
              <w:widowControl/>
              <w:jc w:val="center"/>
              <w:textAlignment w:val="center"/>
              <w:rPr>
                <w:rFonts w:ascii="宋体" w:hAnsi="宋体" w:cs="宋体"/>
                <w:color w:val="000000" w:themeColor="text1"/>
                <w:sz w:val="22"/>
                <w:szCs w:val="22"/>
              </w:rPr>
            </w:pPr>
          </w:p>
        </w:tc>
      </w:tr>
      <w:tr>
        <w:tblPrEx>
          <w:tblCellMar>
            <w:top w:w="0" w:type="dxa"/>
            <w:left w:w="108" w:type="dxa"/>
            <w:bottom w:w="0" w:type="dxa"/>
            <w:right w:w="108" w:type="dxa"/>
          </w:tblCellMar>
        </w:tblPrEx>
        <w:trPr>
          <w:trHeight w:val="640" w:hRule="atLeast"/>
        </w:trPr>
        <w:tc>
          <w:tcPr>
            <w:tcW w:w="102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1、所有强弱电、水路工资 （结合现场实际需要结合图纸施工）</w:t>
            </w:r>
          </w:p>
        </w:tc>
        <w:tc>
          <w:tcPr>
            <w:tcW w:w="1027"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0" w:type="auto"/>
            <w:vMerge w:val="continue"/>
            <w:tcBorders>
              <w:top w:val="single" w:color="000000" w:sz="8" w:space="0"/>
              <w:left w:val="nil"/>
              <w:bottom w:val="single" w:color="000000" w:sz="8" w:space="0"/>
              <w:right w:val="single" w:color="000000" w:sz="8" w:space="0"/>
            </w:tcBorders>
            <w:shd w:val="clear" w:color="auto" w:fill="auto"/>
            <w:noWrap/>
            <w:vAlign w:val="center"/>
          </w:tcPr>
          <w:p>
            <w:pPr>
              <w:jc w:val="center"/>
              <w:rPr>
                <w:rFonts w:ascii="宋体" w:hAnsi="宋体" w:cs="宋体"/>
                <w:color w:val="000000" w:themeColor="text1"/>
                <w:sz w:val="22"/>
                <w:szCs w:val="22"/>
              </w:rPr>
            </w:pPr>
          </w:p>
        </w:tc>
      </w:tr>
      <w:tr>
        <w:tblPrEx>
          <w:tblCellMar>
            <w:top w:w="0" w:type="dxa"/>
            <w:left w:w="108" w:type="dxa"/>
            <w:bottom w:w="0" w:type="dxa"/>
            <w:right w:w="108" w:type="dxa"/>
          </w:tblCellMar>
        </w:tblPrEx>
        <w:trPr>
          <w:trHeight w:val="640" w:hRule="atLeast"/>
        </w:trPr>
        <w:tc>
          <w:tcPr>
            <w:tcW w:w="102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2、备注:满足校方使用要求，符合验收规范的相关规定。</w:t>
            </w:r>
          </w:p>
        </w:tc>
        <w:tc>
          <w:tcPr>
            <w:tcW w:w="1027"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0" w:type="auto"/>
            <w:vMerge w:val="continue"/>
            <w:tcBorders>
              <w:top w:val="single" w:color="000000" w:sz="8" w:space="0"/>
              <w:left w:val="nil"/>
              <w:bottom w:val="single" w:color="000000" w:sz="8" w:space="0"/>
              <w:right w:val="single" w:color="000000" w:sz="8" w:space="0"/>
            </w:tcBorders>
            <w:shd w:val="clear" w:color="auto" w:fill="auto"/>
            <w:noWrap/>
            <w:vAlign w:val="center"/>
          </w:tcPr>
          <w:p>
            <w:pPr>
              <w:jc w:val="center"/>
              <w:rPr>
                <w:rFonts w:ascii="宋体" w:hAnsi="宋体" w:cs="宋体"/>
                <w:color w:val="000000" w:themeColor="text1"/>
                <w:sz w:val="22"/>
                <w:szCs w:val="22"/>
              </w:rPr>
            </w:pP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51</w:t>
            </w: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应急照明</w:t>
            </w:r>
          </w:p>
        </w:tc>
        <w:tc>
          <w:tcPr>
            <w:tcW w:w="1027"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台</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4</w:t>
            </w:r>
          </w:p>
        </w:tc>
        <w:tc>
          <w:tcPr>
            <w:tcW w:w="1030" w:type="dxa"/>
            <w:vMerge w:val="restart"/>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nil"/>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1、含设备 （结合现场实际需要结合图纸施工）</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64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2、备注:满足校方使用要求，符合验收规范的相关规定。</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640"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52</w:t>
            </w:r>
          </w:p>
        </w:tc>
        <w:tc>
          <w:tcPr>
            <w:tcW w:w="4453" w:type="dxa"/>
            <w:tcBorders>
              <w:top w:val="nil"/>
              <w:left w:val="nil"/>
              <w:bottom w:val="single" w:color="auto" w:sz="4"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大型化工设备移位，投标人投标时该费用不得让利</w:t>
            </w:r>
          </w:p>
        </w:tc>
        <w:tc>
          <w:tcPr>
            <w:tcW w:w="102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台</w:t>
            </w:r>
          </w:p>
        </w:tc>
        <w:tc>
          <w:tcPr>
            <w:tcW w:w="1056"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w:t>
            </w:r>
          </w:p>
        </w:tc>
        <w:tc>
          <w:tcPr>
            <w:tcW w:w="103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r>
              <w:rPr>
                <w:rFonts w:hint="eastAsia" w:ascii="宋体" w:hAnsi="宋体" w:cs="宋体"/>
                <w:color w:val="000000" w:themeColor="text1"/>
                <w:szCs w:val="21"/>
              </w:rPr>
              <w:t>1500</w:t>
            </w:r>
          </w:p>
        </w:tc>
        <w:tc>
          <w:tcPr>
            <w:tcW w:w="1344"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szCs w:val="21"/>
              </w:rPr>
              <w:t>1500</w:t>
            </w:r>
          </w:p>
        </w:tc>
      </w:tr>
      <w:tr>
        <w:tblPrEx>
          <w:tblCellMar>
            <w:top w:w="0" w:type="dxa"/>
            <w:left w:w="108" w:type="dxa"/>
            <w:bottom w:w="0" w:type="dxa"/>
            <w:right w:w="108" w:type="dxa"/>
          </w:tblCellMar>
        </w:tblPrEx>
        <w:trPr>
          <w:trHeight w:val="330" w:hRule="atLeast"/>
        </w:trPr>
        <w:tc>
          <w:tcPr>
            <w:tcW w:w="1027" w:type="dxa"/>
            <w:vMerge w:val="restart"/>
            <w:tcBorders>
              <w:top w:val="nil"/>
              <w:left w:val="single" w:color="000000" w:sz="8" w:space="0"/>
              <w:bottom w:val="single" w:color="000000" w:sz="8" w:space="0"/>
              <w:right w:val="single" w:color="auto" w:sz="4"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53</w:t>
            </w:r>
          </w:p>
        </w:tc>
        <w:tc>
          <w:tcPr>
            <w:tcW w:w="4453" w:type="dxa"/>
            <w:tcBorders>
              <w:top w:val="single" w:color="auto" w:sz="4" w:space="0"/>
              <w:left w:val="single" w:color="auto" w:sz="4" w:space="0"/>
              <w:bottom w:val="nil"/>
              <w:right w:val="single" w:color="auto" w:sz="4"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设计费</w:t>
            </w:r>
          </w:p>
        </w:tc>
        <w:tc>
          <w:tcPr>
            <w:tcW w:w="1027" w:type="dxa"/>
            <w:vMerge w:val="restart"/>
            <w:tcBorders>
              <w:top w:val="nil"/>
              <w:left w:val="single" w:color="auto" w:sz="4"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项</w:t>
            </w:r>
          </w:p>
        </w:tc>
        <w:tc>
          <w:tcPr>
            <w:tcW w:w="1056"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w:t>
            </w:r>
          </w:p>
        </w:tc>
        <w:tc>
          <w:tcPr>
            <w:tcW w:w="1030"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19000</w:t>
            </w:r>
          </w:p>
        </w:tc>
        <w:tc>
          <w:tcPr>
            <w:tcW w:w="1344" w:type="dxa"/>
            <w:vMerge w:val="restart"/>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19000</w:t>
            </w:r>
          </w:p>
        </w:tc>
      </w:tr>
      <w:tr>
        <w:tblPrEx>
          <w:tblCellMar>
            <w:top w:w="0" w:type="dxa"/>
            <w:left w:w="108" w:type="dxa"/>
            <w:bottom w:w="0" w:type="dxa"/>
            <w:right w:w="108" w:type="dxa"/>
          </w:tblCellMar>
        </w:tblPrEx>
        <w:trPr>
          <w:trHeight w:val="330" w:hRule="atLeast"/>
        </w:trPr>
        <w:tc>
          <w:tcPr>
            <w:tcW w:w="1027" w:type="dxa"/>
            <w:vMerge w:val="continue"/>
            <w:tcBorders>
              <w:top w:val="nil"/>
              <w:left w:val="single" w:color="000000" w:sz="8" w:space="0"/>
              <w:bottom w:val="single" w:color="000000" w:sz="8" w:space="0"/>
              <w:right w:val="single" w:color="auto" w:sz="4"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1、投标人投标时该费用不得让利</w:t>
            </w:r>
          </w:p>
        </w:tc>
        <w:tc>
          <w:tcPr>
            <w:tcW w:w="1027" w:type="dxa"/>
            <w:vMerge w:val="continue"/>
            <w:tcBorders>
              <w:top w:val="nil"/>
              <w:left w:val="single" w:color="auto" w:sz="4"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rPr>
          <w:trHeight w:val="330" w:hRule="atLeast"/>
        </w:trPr>
        <w:tc>
          <w:tcPr>
            <w:tcW w:w="1027"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single" w:color="auto" w:sz="4" w:space="0"/>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2、中标单位工程验收合格后支付给设计单位</w:t>
            </w:r>
          </w:p>
        </w:tc>
        <w:tc>
          <w:tcPr>
            <w:tcW w:w="1027"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30"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344" w:type="dxa"/>
            <w:vMerge w:val="continue"/>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r>
      <w:tr>
        <w:tblPrEx>
          <w:tblCellMar>
            <w:top w:w="0" w:type="dxa"/>
            <w:left w:w="108" w:type="dxa"/>
            <w:bottom w:w="0" w:type="dxa"/>
            <w:right w:w="108" w:type="dxa"/>
          </w:tblCellMar>
        </w:tblPrEx>
        <w:trPr>
          <w:trHeight w:val="949"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54</w:t>
            </w:r>
          </w:p>
        </w:tc>
        <w:tc>
          <w:tcPr>
            <w:tcW w:w="4453" w:type="dxa"/>
            <w:tcBorders>
              <w:top w:val="nil"/>
              <w:left w:val="nil"/>
              <w:bottom w:val="single" w:color="000000" w:sz="8" w:space="0"/>
              <w:right w:val="single" w:color="000000" w:sz="8" w:space="0"/>
            </w:tcBorders>
            <w:shd w:val="clear" w:color="auto" w:fill="auto"/>
            <w:vAlign w:val="center"/>
          </w:tcPr>
          <w:p>
            <w:pPr>
              <w:widowControl/>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暂列金额（报价时不可调整，预留金用于新增项目，新增项目按实际发生金额结算，不发生新增项目该费用不予结算）</w:t>
            </w:r>
          </w:p>
        </w:tc>
        <w:tc>
          <w:tcPr>
            <w:tcW w:w="1027"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项</w:t>
            </w:r>
          </w:p>
        </w:tc>
        <w:tc>
          <w:tcPr>
            <w:tcW w:w="1056"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1</w:t>
            </w:r>
          </w:p>
        </w:tc>
        <w:tc>
          <w:tcPr>
            <w:tcW w:w="103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20000</w:t>
            </w:r>
          </w:p>
        </w:tc>
        <w:tc>
          <w:tcPr>
            <w:tcW w:w="1344"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20000</w:t>
            </w:r>
          </w:p>
        </w:tc>
      </w:tr>
      <w:tr>
        <w:tblPrEx>
          <w:tblCellMar>
            <w:top w:w="0" w:type="dxa"/>
            <w:left w:w="108" w:type="dxa"/>
            <w:bottom w:w="0" w:type="dxa"/>
            <w:right w:w="108" w:type="dxa"/>
          </w:tblCellMar>
        </w:tblPrEx>
        <w:trPr>
          <w:trHeight w:val="476" w:hRule="atLeast"/>
        </w:trPr>
        <w:tc>
          <w:tcPr>
            <w:tcW w:w="1027" w:type="dxa"/>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4453"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合计</w:t>
            </w:r>
          </w:p>
        </w:tc>
        <w:tc>
          <w:tcPr>
            <w:tcW w:w="102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1056" w:type="dxa"/>
            <w:tcBorders>
              <w:top w:val="nil"/>
              <w:left w:val="nil"/>
              <w:bottom w:val="single" w:color="000000" w:sz="8" w:space="0"/>
              <w:right w:val="single" w:color="000000" w:sz="8" w:space="0"/>
            </w:tcBorders>
            <w:shd w:val="clear" w:color="auto" w:fill="auto"/>
            <w:vAlign w:val="center"/>
          </w:tcPr>
          <w:p>
            <w:pPr>
              <w:jc w:val="right"/>
              <w:rPr>
                <w:rFonts w:ascii="宋体" w:hAnsi="宋体" w:cs="宋体"/>
                <w:color w:val="000000" w:themeColor="text1"/>
                <w:szCs w:val="21"/>
              </w:rPr>
            </w:pPr>
          </w:p>
        </w:tc>
        <w:tc>
          <w:tcPr>
            <w:tcW w:w="103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color w:val="000000" w:themeColor="text1"/>
                <w:szCs w:val="21"/>
              </w:rPr>
            </w:pPr>
          </w:p>
        </w:tc>
        <w:tc>
          <w:tcPr>
            <w:tcW w:w="0" w:type="auto"/>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宋体" w:hAnsi="宋体" w:cs="宋体"/>
                <w:color w:val="000000" w:themeColor="text1"/>
                <w:sz w:val="22"/>
                <w:szCs w:val="22"/>
              </w:rPr>
            </w:pPr>
          </w:p>
        </w:tc>
      </w:tr>
    </w:tbl>
    <w:p>
      <w:pPr>
        <w:widowControl/>
        <w:jc w:val="left"/>
        <w:textAlignment w:val="center"/>
        <w:rPr>
          <w:rFonts w:ascii="宋体" w:hAnsi="宋体" w:cs="宋体"/>
          <w:color w:val="000000" w:themeColor="text1"/>
          <w:kern w:val="0"/>
          <w:szCs w:val="21"/>
        </w:rPr>
      </w:pPr>
    </w:p>
    <w:p>
      <w:pPr>
        <w:spacing w:line="280" w:lineRule="atLeast"/>
        <w:ind w:firstLine="210" w:firstLineChars="100"/>
        <w:jc w:val="left"/>
        <w:rPr>
          <w:rFonts w:ascii="宋体" w:hAnsi="宋体" w:cs="宋体"/>
          <w:color w:val="000000" w:themeColor="text1"/>
          <w:kern w:val="0"/>
          <w:szCs w:val="21"/>
        </w:rPr>
      </w:pPr>
      <w:r>
        <w:rPr>
          <w:rFonts w:hint="eastAsia" w:ascii="宋体" w:hAnsi="宋体" w:cs="宋体"/>
          <w:color w:val="000000" w:themeColor="text1"/>
          <w:kern w:val="0"/>
          <w:szCs w:val="21"/>
        </w:rPr>
        <w:t>注：1、全费用综合单价为完成整个招标范围内的全部工程总费用（包括承包工程的施工、材料（制作安装）、人工、措施费、管理费、劳务配合、水、电、税费、利润、规费等一切相关费用）。国家政策性调价、市场价格变动均不作调整。中标后竣工结算时全费用综合单价不予调整。安全文明措施费包含在所有措施费中，施工单位需按规定参加安全文明施工措施考核，</w:t>
      </w:r>
      <w:r>
        <w:rPr>
          <w:rFonts w:hint="eastAsia" w:ascii="宋体" w:hAnsi="宋体" w:cs="宋体"/>
          <w:color w:val="000000" w:themeColor="text1"/>
          <w:szCs w:val="21"/>
        </w:rPr>
        <w:t>投标</w:t>
      </w:r>
      <w:r>
        <w:rPr>
          <w:rFonts w:hint="eastAsia" w:ascii="宋体" w:hAnsi="宋体" w:cs="宋体"/>
          <w:color w:val="000000" w:themeColor="text1"/>
          <w:kern w:val="0"/>
          <w:szCs w:val="21"/>
        </w:rPr>
        <w:t>人投标全费用综合单价中必须包含现行有关规定的费率计取现场安全文明施工措施费基本费1.7%、扬尘污染防治增加费0.22%，为完成本项目发生的所有措施项目费、管理费、利润、规费（包括环境保护税0.1%、社会保险费2.4%、住房公积金0.42%、和税金9%），文明施工措施费需经盐城市工程造价管理处核定，以核定费率计算，结算时其差价部分予以扣回。投标人自行现场勘察，确保本项目满足设计及规范要求，上述清单中如有描述不全的，投标人报价时需充分考虑入上述全费用单价中，中标后竣工结算时全费用单价不予调整，各投标人要充分考虑，结算时数量按实结算。</w:t>
      </w:r>
    </w:p>
    <w:p>
      <w:pPr>
        <w:spacing w:line="280" w:lineRule="atLeast"/>
        <w:ind w:firstLine="420" w:firstLineChars="200"/>
        <w:jc w:val="left"/>
        <w:rPr>
          <w:rFonts w:ascii="宋体" w:hAnsi="宋体" w:cs="宋体"/>
          <w:color w:val="000000" w:themeColor="text1"/>
          <w:kern w:val="0"/>
          <w:szCs w:val="21"/>
        </w:rPr>
      </w:pPr>
      <w:r>
        <w:rPr>
          <w:rFonts w:hint="eastAsia" w:ascii="宋体" w:hAnsi="宋体" w:cs="宋体"/>
          <w:color w:val="000000" w:themeColor="text1"/>
          <w:kern w:val="0"/>
          <w:szCs w:val="21"/>
        </w:rPr>
        <w:t>2、工程开工前建设方派人与施工方就卫生间下水是否通畅予以检查，确保每间卫生间下水畅通，如有不通由建设方派人予以疏通，交接完后，施工方须在工程验收前确保卫生间下水畅通，如有不通，由施工方予以疏通，并不得损害原有管道。</w:t>
      </w:r>
    </w:p>
    <w:p>
      <w:pPr>
        <w:spacing w:line="280" w:lineRule="atLeast"/>
        <w:ind w:firstLine="420" w:firstLineChars="200"/>
        <w:jc w:val="left"/>
        <w:rPr>
          <w:rFonts w:ascii="宋体" w:hAnsi="宋体" w:cs="宋体"/>
          <w:color w:val="000000" w:themeColor="text1"/>
          <w:kern w:val="0"/>
          <w:szCs w:val="21"/>
        </w:rPr>
      </w:pPr>
      <w:r>
        <w:rPr>
          <w:rFonts w:hint="eastAsia" w:ascii="宋体" w:hAnsi="宋体" w:cs="宋体"/>
          <w:color w:val="000000" w:themeColor="text1"/>
          <w:kern w:val="0"/>
          <w:szCs w:val="21"/>
        </w:rPr>
        <w:t>3、施工方必须按规定工期完工，保证施工人员充足到位，如建设方发现施工方人员不足，无法完成预定工期，建设方可自行安排人员进场协助施工方施工，所需费用由施工方支付，并对施工方予以处罚。</w:t>
      </w:r>
    </w:p>
    <w:p>
      <w:pPr>
        <w:spacing w:line="280" w:lineRule="atLeast"/>
        <w:ind w:firstLine="420" w:firstLineChars="200"/>
        <w:jc w:val="left"/>
        <w:rPr>
          <w:rFonts w:ascii="宋体" w:hAnsi="宋体" w:cs="宋体"/>
          <w:color w:val="000000" w:themeColor="text1"/>
          <w:kern w:val="0"/>
          <w:szCs w:val="21"/>
        </w:rPr>
      </w:pPr>
      <w:r>
        <w:rPr>
          <w:rFonts w:hint="eastAsia" w:ascii="宋体" w:hAnsi="宋体" w:cs="宋体"/>
          <w:color w:val="000000" w:themeColor="text1"/>
          <w:kern w:val="0"/>
          <w:szCs w:val="21"/>
        </w:rPr>
        <w:t>4、工程竣工验收前，中标人必须将工程施工所产生的垃圾及时清运出校园，否则将向招标人承担违约金人民币5000元，直接在到期工程款中扣除。</w:t>
      </w:r>
    </w:p>
    <w:p>
      <w:pPr>
        <w:spacing w:line="280" w:lineRule="atLeast"/>
        <w:ind w:firstLine="420" w:firstLineChars="200"/>
        <w:jc w:val="left"/>
        <w:rPr>
          <w:rFonts w:ascii="宋体" w:hAnsi="宋体" w:cs="宋体"/>
          <w:color w:val="000000" w:themeColor="text1"/>
          <w:kern w:val="0"/>
          <w:szCs w:val="21"/>
        </w:rPr>
      </w:pPr>
      <w:r>
        <w:rPr>
          <w:rFonts w:hint="eastAsia" w:ascii="宋体" w:hAnsi="宋体" w:cs="宋体"/>
          <w:color w:val="000000" w:themeColor="text1"/>
          <w:kern w:val="0"/>
          <w:szCs w:val="21"/>
        </w:rPr>
        <w:t>5、具体施工时根据甲方要求执行，各投标人投标前必须自行对工程施工现场和周围环境进行踏勘，充分了解工地位置、情况、道路、储存空间、装卸限制以及任何其他足以影响承包价的情况，任何因忽视或误解工地情况而导致的索赔或工期延长申请将不被批准。</w:t>
      </w:r>
    </w:p>
    <w:p>
      <w:pPr>
        <w:pStyle w:val="19"/>
        <w:ind w:left="0" w:leftChars="0" w:firstLine="0" w:firstLineChars="0"/>
        <w:jc w:val="right"/>
        <w:rPr>
          <w:rFonts w:ascii="宋体" w:hAnsi="宋体" w:eastAsia="宋体" w:cs="宋体"/>
          <w:color w:val="000000" w:themeColor="text1"/>
        </w:rPr>
      </w:pPr>
    </w:p>
    <w:p>
      <w:pPr>
        <w:pStyle w:val="19"/>
        <w:ind w:left="0" w:leftChars="0" w:firstLine="0" w:firstLineChars="0"/>
        <w:rPr>
          <w:rFonts w:ascii="宋体" w:hAnsi="宋体" w:eastAsia="宋体" w:cs="宋体"/>
          <w:color w:val="000000" w:themeColor="text1"/>
        </w:rPr>
      </w:pPr>
    </w:p>
    <w:p>
      <w:pPr>
        <w:ind w:firstLine="5040" w:firstLineChars="2400"/>
        <w:jc w:val="left"/>
        <w:rPr>
          <w:rFonts w:ascii="宋体" w:hAnsi="宋体" w:cs="宋体"/>
          <w:color w:val="000000" w:themeColor="text1"/>
          <w:szCs w:val="21"/>
        </w:rPr>
      </w:pPr>
      <w:r>
        <w:rPr>
          <w:rFonts w:hint="eastAsia" w:ascii="宋体" w:hAnsi="宋体" w:cs="宋体"/>
          <w:color w:val="000000" w:themeColor="text1"/>
          <w:szCs w:val="21"/>
        </w:rPr>
        <w:t xml:space="preserve">投标人全称（加盖公章）：               </w:t>
      </w:r>
    </w:p>
    <w:p>
      <w:pPr>
        <w:ind w:firstLine="5040" w:firstLineChars="2400"/>
        <w:jc w:val="left"/>
        <w:rPr>
          <w:rFonts w:ascii="宋体" w:hAnsi="宋体" w:cs="宋体"/>
          <w:color w:val="000000" w:themeColor="text1"/>
          <w:szCs w:val="21"/>
        </w:rPr>
      </w:pPr>
      <w:r>
        <w:rPr>
          <w:rFonts w:hint="eastAsia" w:ascii="宋体" w:hAnsi="宋体" w:cs="宋体"/>
          <w:color w:val="000000" w:themeColor="text1"/>
          <w:szCs w:val="21"/>
        </w:rPr>
        <w:t xml:space="preserve">法定代表人或授权代表（签字）：              </w:t>
      </w:r>
    </w:p>
    <w:p>
      <w:pPr>
        <w:ind w:firstLine="5250" w:firstLineChars="2500"/>
        <w:jc w:val="left"/>
        <w:rPr>
          <w:rFonts w:ascii="宋体" w:hAnsi="宋体" w:cs="宋体"/>
          <w:color w:val="000000" w:themeColor="text1"/>
          <w:szCs w:val="21"/>
        </w:rPr>
      </w:pPr>
      <w:r>
        <w:rPr>
          <w:rFonts w:hint="eastAsia" w:ascii="宋体" w:hAnsi="宋体" w:cs="宋体"/>
          <w:color w:val="000000" w:themeColor="text1"/>
          <w:szCs w:val="21"/>
        </w:rPr>
        <w:t>2022年     月     日</w:t>
      </w:r>
    </w:p>
    <w:p>
      <w:pPr>
        <w:rPr>
          <w:color w:val="000000" w:themeColor="text1"/>
          <w:sz w:val="30"/>
          <w:szCs w:val="30"/>
        </w:rPr>
      </w:pPr>
    </w:p>
    <w:p>
      <w:pPr>
        <w:rPr>
          <w:color w:val="000000" w:themeColor="text1"/>
          <w:sz w:val="30"/>
          <w:szCs w:val="30"/>
        </w:rPr>
      </w:pPr>
    </w:p>
    <w:p>
      <w:pPr>
        <w:rPr>
          <w:color w:val="000000" w:themeColor="text1"/>
          <w:sz w:val="30"/>
          <w:szCs w:val="30"/>
        </w:rPr>
      </w:pPr>
    </w:p>
    <w:p>
      <w:pPr>
        <w:rPr>
          <w:rFonts w:ascii="宋体" w:hAnsi="宋体" w:cs="宋体"/>
          <w:b/>
          <w:bCs/>
          <w:color w:val="000000" w:themeColor="text1"/>
          <w:sz w:val="36"/>
          <w:szCs w:val="36"/>
        </w:rPr>
      </w:pPr>
    </w:p>
    <w:p>
      <w:pPr>
        <w:jc w:val="center"/>
        <w:rPr>
          <w:rFonts w:ascii="宋体" w:hAnsi="宋体" w:cs="宋体"/>
          <w:b/>
          <w:bCs/>
          <w:color w:val="000000" w:themeColor="text1"/>
          <w:sz w:val="36"/>
          <w:szCs w:val="36"/>
        </w:rPr>
      </w:pPr>
    </w:p>
    <w:p>
      <w:pPr>
        <w:jc w:val="center"/>
        <w:rPr>
          <w:rFonts w:ascii="宋体" w:hAnsi="宋体" w:cs="宋体"/>
          <w:b/>
          <w:bCs/>
          <w:color w:val="000000" w:themeColor="text1"/>
          <w:sz w:val="24"/>
        </w:rPr>
      </w:pPr>
      <w:r>
        <w:rPr>
          <w:rFonts w:hint="eastAsia" w:ascii="宋体" w:hAnsi="宋体" w:cs="宋体"/>
          <w:b/>
          <w:bCs/>
          <w:color w:val="000000" w:themeColor="text1"/>
          <w:sz w:val="36"/>
          <w:szCs w:val="36"/>
        </w:rPr>
        <w:t>编 制 说 明</w:t>
      </w:r>
    </w:p>
    <w:p>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1、工程概况：</w:t>
      </w:r>
    </w:p>
    <w:p>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本工程为盐城工业职业技术学院食堂内部改造工程。工程实施地点位于江苏省盐城市解放南路285号盐城工业职业技术学院内。</w:t>
      </w:r>
    </w:p>
    <w:p>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2、工程量清单编制依据：</w:t>
      </w:r>
    </w:p>
    <w:p>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2.1、工程施工图纸及其他设计文件和相关资料。</w:t>
      </w:r>
    </w:p>
    <w:p>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2.2、与工程建设有关的标准、规范等技术资料；《建设工程工程量清单计价规范》（GB50500-2013）及《房屋建筑与装饰工程工程量计算规范》（GB50854-2013）、《安装工程工程量计算规范》（GB 50857-2013）、2014 年《江苏省建筑与装饰工程计价定额》、《江苏省安装工程计价定额》、《江苏省建设工程费用定额》（2014年）营改增后调整内容、2022年第7期《盐城工程造价》及市场价格信息。</w:t>
      </w:r>
    </w:p>
    <w:p>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2.3、施工现场情况，以及工程特点及常用的工程施工技术方案。</w:t>
      </w:r>
    </w:p>
    <w:p>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3、工程质量、材料、施工等的特殊要求：按国家现行工程施工验收规范合格标准。</w:t>
      </w:r>
    </w:p>
    <w:p>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4、其他说明：</w:t>
      </w:r>
    </w:p>
    <w:p>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4.1、本工程施工期间必须保证学校内正常用电，投标人需充分考虑相关协调以及可能的增加费用，结算时不另调整相关费用。</w:t>
      </w:r>
    </w:p>
    <w:p>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4.2、所有材料及设备的装卸、运输及运距，投标人现场自行勘探综合考虑到各综合单价中，结算时综合单价不作调整，且不再增加相关费用。</w:t>
      </w:r>
    </w:p>
    <w:p>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4.3、工程使用的混凝土为商品混凝土，泵送或非泵送投标人自行考虑,输送方式结算时不调整。</w:t>
      </w:r>
    </w:p>
    <w:p>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4.4、本工程砂浆各投标人按预拌砂浆考虑。执行《江苏省预拌砂浆技术规程》（DGJ32／J13—2005）</w:t>
      </w:r>
    </w:p>
    <w:p>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4.5投标人现场自行勘探，涉及成品保护、安全施工防尘、洒水，所增加费用综合考虑，结算时不再增加相关费用。</w:t>
      </w:r>
    </w:p>
    <w:p>
      <w:pPr>
        <w:spacing w:line="360" w:lineRule="auto"/>
        <w:ind w:firstLine="480" w:firstLineChars="200"/>
        <w:rPr>
          <w:rFonts w:ascii="宋体" w:hAnsi="宋体" w:cs="宋体"/>
          <w:b/>
          <w:bCs/>
          <w:color w:val="000000" w:themeColor="text1"/>
          <w:sz w:val="24"/>
        </w:rPr>
      </w:pPr>
      <w:r>
        <w:rPr>
          <w:rFonts w:hint="eastAsia" w:ascii="宋体" w:hAnsi="宋体" w:cs="宋体"/>
          <w:b/>
          <w:bCs/>
          <w:color w:val="000000" w:themeColor="text1"/>
          <w:sz w:val="24"/>
        </w:rPr>
        <w:t>4.6、本工程设计费19000元、大型化工设备移位1500元，暂列金额</w:t>
      </w:r>
      <w:r>
        <w:rPr>
          <w:rFonts w:hint="eastAsia" w:ascii="宋体" w:hAnsi="宋体" w:cs="宋体"/>
          <w:b/>
          <w:bCs/>
          <w:color w:val="000000" w:themeColor="text1"/>
          <w:sz w:val="24"/>
          <w:lang w:val="en-US" w:eastAsia="zh-CN"/>
        </w:rPr>
        <w:t>20000元</w:t>
      </w:r>
      <w:r>
        <w:rPr>
          <w:rFonts w:hint="eastAsia" w:ascii="宋体" w:hAnsi="宋体" w:cs="宋体"/>
          <w:b/>
          <w:bCs/>
          <w:color w:val="000000" w:themeColor="text1"/>
          <w:sz w:val="24"/>
        </w:rPr>
        <w:t>投标人不得改变此项，否则废标。</w:t>
      </w:r>
    </w:p>
    <w:p>
      <w:pPr>
        <w:snapToGrid w:val="0"/>
        <w:spacing w:line="500" w:lineRule="exact"/>
        <w:jc w:val="left"/>
        <w:rPr>
          <w:color w:val="000000" w:themeColor="text1"/>
        </w:rPr>
      </w:pPr>
    </w:p>
    <w:p>
      <w:pPr>
        <w:rPr>
          <w:color w:val="000000" w:themeColor="text1"/>
          <w:sz w:val="30"/>
          <w:szCs w:val="30"/>
        </w:rPr>
      </w:pPr>
    </w:p>
    <w:sectPr>
      <w:pgSz w:w="11906" w:h="16838"/>
      <w:pgMar w:top="1701" w:right="1417" w:bottom="1440" w:left="1417" w:header="851" w:footer="992" w:gutter="0"/>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858313"/>
    </w:sdtPr>
    <w:sdtContent>
      <w:p>
        <w:pPr>
          <w:pStyle w:val="14"/>
          <w:jc w:val="center"/>
        </w:pPr>
        <w:r>
          <w:fldChar w:fldCharType="begin"/>
        </w:r>
        <w:r>
          <w:instrText xml:space="preserve"> PAGE   \* MERGEFORMAT </w:instrText>
        </w:r>
        <w:r>
          <w:fldChar w:fldCharType="separate"/>
        </w:r>
        <w:r>
          <w:rPr>
            <w:lang w:val="zh-CN"/>
          </w:rPr>
          <w:t>51</w:t>
        </w:r>
        <w:r>
          <w:rPr>
            <w:lang w:val="zh-CN"/>
          </w:rPr>
          <w:fldChar w:fldCharType="end"/>
        </w:r>
      </w:p>
    </w:sdtContent>
  </w:sdt>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single" w:color="auto" w:sz="4" w:space="0"/>
      </w:pBdr>
    </w:pPr>
    <w:r>
      <w:rPr>
        <w:rFonts w:hint="eastAsia" w:eastAsia="隶书"/>
        <w:color w:val="000000"/>
        <w:spacing w:val="40"/>
        <w:sz w:val="21"/>
        <w:szCs w:val="21"/>
      </w:rPr>
      <w:t>2022-0</w:t>
    </w:r>
    <w:r>
      <w:rPr>
        <w:rFonts w:hint="eastAsia" w:eastAsia="隶书"/>
        <w:color w:val="000000"/>
        <w:spacing w:val="40"/>
        <w:sz w:val="21"/>
        <w:szCs w:val="21"/>
        <w:lang w:val="en-US" w:eastAsia="zh-CN"/>
      </w:rPr>
      <w:t>34</w:t>
    </w:r>
    <w:r>
      <w:rPr>
        <w:rFonts w:hint="eastAsia" w:eastAsia="隶书"/>
        <w:color w:val="000000"/>
        <w:spacing w:val="40"/>
        <w:sz w:val="21"/>
        <w:szCs w:val="21"/>
      </w:rPr>
      <w:t>Q</w:t>
    </w:r>
    <w:r>
      <w:rPr>
        <w:rFonts w:eastAsia="隶书"/>
        <w:color w:val="000000"/>
        <w:spacing w:val="40"/>
        <w:sz w:val="21"/>
        <w:szCs w:val="21"/>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F662B5"/>
    <w:multiLevelType w:val="singleLevel"/>
    <w:tmpl w:val="B4F662B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NiZmIxY2ZiNzg0NjFkYTM1MDM1ZjljNjg4M2E1YWMifQ=="/>
  </w:docVars>
  <w:rsids>
    <w:rsidRoot w:val="0055087D"/>
    <w:rsid w:val="0000757E"/>
    <w:rsid w:val="0001164C"/>
    <w:rsid w:val="00011AE2"/>
    <w:rsid w:val="00013E51"/>
    <w:rsid w:val="000153D1"/>
    <w:rsid w:val="000168EF"/>
    <w:rsid w:val="0002247A"/>
    <w:rsid w:val="0002673F"/>
    <w:rsid w:val="000318DC"/>
    <w:rsid w:val="00031EAE"/>
    <w:rsid w:val="000376BA"/>
    <w:rsid w:val="0003797F"/>
    <w:rsid w:val="00044B92"/>
    <w:rsid w:val="000461E2"/>
    <w:rsid w:val="00047565"/>
    <w:rsid w:val="000500FB"/>
    <w:rsid w:val="00050C8A"/>
    <w:rsid w:val="000513D7"/>
    <w:rsid w:val="00052B02"/>
    <w:rsid w:val="00054067"/>
    <w:rsid w:val="00061576"/>
    <w:rsid w:val="0006674D"/>
    <w:rsid w:val="000675E0"/>
    <w:rsid w:val="000737B2"/>
    <w:rsid w:val="000738A3"/>
    <w:rsid w:val="00074832"/>
    <w:rsid w:val="0007613F"/>
    <w:rsid w:val="000804DE"/>
    <w:rsid w:val="00080B8A"/>
    <w:rsid w:val="00080C74"/>
    <w:rsid w:val="00083C67"/>
    <w:rsid w:val="00085F8D"/>
    <w:rsid w:val="0008794F"/>
    <w:rsid w:val="000918C7"/>
    <w:rsid w:val="000919B1"/>
    <w:rsid w:val="00091F28"/>
    <w:rsid w:val="00092A1C"/>
    <w:rsid w:val="00092D89"/>
    <w:rsid w:val="000A1CCD"/>
    <w:rsid w:val="000A4844"/>
    <w:rsid w:val="000A6CF6"/>
    <w:rsid w:val="000A7B5C"/>
    <w:rsid w:val="000B0EE1"/>
    <w:rsid w:val="000B4700"/>
    <w:rsid w:val="000B52EC"/>
    <w:rsid w:val="000B55DE"/>
    <w:rsid w:val="000B6527"/>
    <w:rsid w:val="000B726D"/>
    <w:rsid w:val="000C00DA"/>
    <w:rsid w:val="000C0EDC"/>
    <w:rsid w:val="000C0F75"/>
    <w:rsid w:val="000C3A0B"/>
    <w:rsid w:val="000D14E7"/>
    <w:rsid w:val="000D1A2C"/>
    <w:rsid w:val="000D1CBD"/>
    <w:rsid w:val="000D41B8"/>
    <w:rsid w:val="000D4424"/>
    <w:rsid w:val="000E7051"/>
    <w:rsid w:val="000F03B8"/>
    <w:rsid w:val="000F3684"/>
    <w:rsid w:val="000F5044"/>
    <w:rsid w:val="001050DA"/>
    <w:rsid w:val="00105FDE"/>
    <w:rsid w:val="001135E1"/>
    <w:rsid w:val="00113950"/>
    <w:rsid w:val="00114568"/>
    <w:rsid w:val="00122C5E"/>
    <w:rsid w:val="001319D8"/>
    <w:rsid w:val="00131AC1"/>
    <w:rsid w:val="00132713"/>
    <w:rsid w:val="00133497"/>
    <w:rsid w:val="0014051D"/>
    <w:rsid w:val="001407DC"/>
    <w:rsid w:val="0014286D"/>
    <w:rsid w:val="00142AA3"/>
    <w:rsid w:val="001434AA"/>
    <w:rsid w:val="00144D54"/>
    <w:rsid w:val="0014684E"/>
    <w:rsid w:val="001505DC"/>
    <w:rsid w:val="00153DBB"/>
    <w:rsid w:val="0015495A"/>
    <w:rsid w:val="00154E48"/>
    <w:rsid w:val="001550FC"/>
    <w:rsid w:val="00157A8D"/>
    <w:rsid w:val="00161C33"/>
    <w:rsid w:val="00165312"/>
    <w:rsid w:val="00165C49"/>
    <w:rsid w:val="001661BD"/>
    <w:rsid w:val="0017083D"/>
    <w:rsid w:val="0017134C"/>
    <w:rsid w:val="001725D1"/>
    <w:rsid w:val="001810C4"/>
    <w:rsid w:val="00181C4C"/>
    <w:rsid w:val="0018483C"/>
    <w:rsid w:val="00185854"/>
    <w:rsid w:val="001873B0"/>
    <w:rsid w:val="00187E68"/>
    <w:rsid w:val="001915AE"/>
    <w:rsid w:val="001925D8"/>
    <w:rsid w:val="00195827"/>
    <w:rsid w:val="001A01B1"/>
    <w:rsid w:val="001A1A55"/>
    <w:rsid w:val="001A1B05"/>
    <w:rsid w:val="001A31F3"/>
    <w:rsid w:val="001A6958"/>
    <w:rsid w:val="001A6D0C"/>
    <w:rsid w:val="001B139E"/>
    <w:rsid w:val="001B32B5"/>
    <w:rsid w:val="001C048B"/>
    <w:rsid w:val="001C34C5"/>
    <w:rsid w:val="001C41C8"/>
    <w:rsid w:val="001C528F"/>
    <w:rsid w:val="001C7CA7"/>
    <w:rsid w:val="001D057D"/>
    <w:rsid w:val="001D1CAC"/>
    <w:rsid w:val="001D246C"/>
    <w:rsid w:val="001D7082"/>
    <w:rsid w:val="001E2EE7"/>
    <w:rsid w:val="001E327E"/>
    <w:rsid w:val="001E66E7"/>
    <w:rsid w:val="001E72EF"/>
    <w:rsid w:val="001F0F75"/>
    <w:rsid w:val="001F57B5"/>
    <w:rsid w:val="001F67DC"/>
    <w:rsid w:val="0020223D"/>
    <w:rsid w:val="00204EFF"/>
    <w:rsid w:val="002154D0"/>
    <w:rsid w:val="00217EBA"/>
    <w:rsid w:val="00217F79"/>
    <w:rsid w:val="00224A89"/>
    <w:rsid w:val="00226851"/>
    <w:rsid w:val="002278A4"/>
    <w:rsid w:val="00231F9D"/>
    <w:rsid w:val="00232888"/>
    <w:rsid w:val="00237706"/>
    <w:rsid w:val="00242CC1"/>
    <w:rsid w:val="00250A52"/>
    <w:rsid w:val="00250C94"/>
    <w:rsid w:val="002512AD"/>
    <w:rsid w:val="002555C3"/>
    <w:rsid w:val="00255D7A"/>
    <w:rsid w:val="0025705C"/>
    <w:rsid w:val="002628E6"/>
    <w:rsid w:val="00262F96"/>
    <w:rsid w:val="00264FC2"/>
    <w:rsid w:val="002653AA"/>
    <w:rsid w:val="002666F2"/>
    <w:rsid w:val="00266834"/>
    <w:rsid w:val="00267E3C"/>
    <w:rsid w:val="002821D7"/>
    <w:rsid w:val="00282F6F"/>
    <w:rsid w:val="002843DB"/>
    <w:rsid w:val="00285806"/>
    <w:rsid w:val="00285ABF"/>
    <w:rsid w:val="00287DEB"/>
    <w:rsid w:val="00290D91"/>
    <w:rsid w:val="002A1E5A"/>
    <w:rsid w:val="002A27BA"/>
    <w:rsid w:val="002A34EC"/>
    <w:rsid w:val="002A4B60"/>
    <w:rsid w:val="002B2936"/>
    <w:rsid w:val="002B2AED"/>
    <w:rsid w:val="002B6B12"/>
    <w:rsid w:val="002B6E60"/>
    <w:rsid w:val="002B7029"/>
    <w:rsid w:val="002B7C98"/>
    <w:rsid w:val="002C2420"/>
    <w:rsid w:val="002C2BE3"/>
    <w:rsid w:val="002C465E"/>
    <w:rsid w:val="002D0727"/>
    <w:rsid w:val="002D3CD0"/>
    <w:rsid w:val="002D4B8C"/>
    <w:rsid w:val="002D594D"/>
    <w:rsid w:val="002D6414"/>
    <w:rsid w:val="002E45D9"/>
    <w:rsid w:val="002E4DB3"/>
    <w:rsid w:val="002E5A1B"/>
    <w:rsid w:val="002E5CAC"/>
    <w:rsid w:val="002F0AF2"/>
    <w:rsid w:val="002F31BB"/>
    <w:rsid w:val="002F7130"/>
    <w:rsid w:val="002F71DD"/>
    <w:rsid w:val="00302DB1"/>
    <w:rsid w:val="003036ED"/>
    <w:rsid w:val="003062FC"/>
    <w:rsid w:val="00314BA6"/>
    <w:rsid w:val="003208EC"/>
    <w:rsid w:val="003226E4"/>
    <w:rsid w:val="00324DCE"/>
    <w:rsid w:val="00330BF0"/>
    <w:rsid w:val="003340DF"/>
    <w:rsid w:val="003431B7"/>
    <w:rsid w:val="0034434B"/>
    <w:rsid w:val="003446D1"/>
    <w:rsid w:val="00344ACC"/>
    <w:rsid w:val="00346867"/>
    <w:rsid w:val="00346C72"/>
    <w:rsid w:val="003510A9"/>
    <w:rsid w:val="00351FC9"/>
    <w:rsid w:val="00353AF1"/>
    <w:rsid w:val="00353F05"/>
    <w:rsid w:val="00354A4A"/>
    <w:rsid w:val="00355A6B"/>
    <w:rsid w:val="003613A1"/>
    <w:rsid w:val="003618BC"/>
    <w:rsid w:val="00363057"/>
    <w:rsid w:val="00363C5B"/>
    <w:rsid w:val="003652D9"/>
    <w:rsid w:val="0036698E"/>
    <w:rsid w:val="003714F3"/>
    <w:rsid w:val="00372EA1"/>
    <w:rsid w:val="00380B48"/>
    <w:rsid w:val="003815FD"/>
    <w:rsid w:val="00382705"/>
    <w:rsid w:val="00385C64"/>
    <w:rsid w:val="003874D6"/>
    <w:rsid w:val="003977BF"/>
    <w:rsid w:val="003A21A0"/>
    <w:rsid w:val="003A345E"/>
    <w:rsid w:val="003A63FC"/>
    <w:rsid w:val="003A6792"/>
    <w:rsid w:val="003B0FB9"/>
    <w:rsid w:val="003B212E"/>
    <w:rsid w:val="003B7BD1"/>
    <w:rsid w:val="003C0153"/>
    <w:rsid w:val="003C40B0"/>
    <w:rsid w:val="003C47FA"/>
    <w:rsid w:val="003C4C91"/>
    <w:rsid w:val="003D0885"/>
    <w:rsid w:val="003D210A"/>
    <w:rsid w:val="003D22AC"/>
    <w:rsid w:val="003D687B"/>
    <w:rsid w:val="003E0F99"/>
    <w:rsid w:val="003E26F6"/>
    <w:rsid w:val="003E2B82"/>
    <w:rsid w:val="003E5E3A"/>
    <w:rsid w:val="003E6FBF"/>
    <w:rsid w:val="003F50C5"/>
    <w:rsid w:val="003F6B2A"/>
    <w:rsid w:val="00402716"/>
    <w:rsid w:val="0040479B"/>
    <w:rsid w:val="00407A9B"/>
    <w:rsid w:val="00413018"/>
    <w:rsid w:val="00415905"/>
    <w:rsid w:val="0042209E"/>
    <w:rsid w:val="00425678"/>
    <w:rsid w:val="00430024"/>
    <w:rsid w:val="00430B4E"/>
    <w:rsid w:val="0043131B"/>
    <w:rsid w:val="00432A5A"/>
    <w:rsid w:val="0044201E"/>
    <w:rsid w:val="00445171"/>
    <w:rsid w:val="00445196"/>
    <w:rsid w:val="004472D0"/>
    <w:rsid w:val="00451DA0"/>
    <w:rsid w:val="004558AA"/>
    <w:rsid w:val="00461F62"/>
    <w:rsid w:val="004643FC"/>
    <w:rsid w:val="00466707"/>
    <w:rsid w:val="00474400"/>
    <w:rsid w:val="00480876"/>
    <w:rsid w:val="00482639"/>
    <w:rsid w:val="004836F3"/>
    <w:rsid w:val="0048373E"/>
    <w:rsid w:val="00484BA8"/>
    <w:rsid w:val="00485309"/>
    <w:rsid w:val="00485B11"/>
    <w:rsid w:val="004907C6"/>
    <w:rsid w:val="004915A7"/>
    <w:rsid w:val="0049268F"/>
    <w:rsid w:val="00493359"/>
    <w:rsid w:val="004952EF"/>
    <w:rsid w:val="00496197"/>
    <w:rsid w:val="004974D4"/>
    <w:rsid w:val="004A032D"/>
    <w:rsid w:val="004A0B4C"/>
    <w:rsid w:val="004A2405"/>
    <w:rsid w:val="004A3E2E"/>
    <w:rsid w:val="004A50D9"/>
    <w:rsid w:val="004B0390"/>
    <w:rsid w:val="004B16D2"/>
    <w:rsid w:val="004B52AD"/>
    <w:rsid w:val="004C5C6D"/>
    <w:rsid w:val="004C7035"/>
    <w:rsid w:val="004D2A12"/>
    <w:rsid w:val="004D608D"/>
    <w:rsid w:val="004E5477"/>
    <w:rsid w:val="004E62A5"/>
    <w:rsid w:val="004F4733"/>
    <w:rsid w:val="004F6AB1"/>
    <w:rsid w:val="0050204E"/>
    <w:rsid w:val="00504B8E"/>
    <w:rsid w:val="005055CC"/>
    <w:rsid w:val="005069BE"/>
    <w:rsid w:val="00507821"/>
    <w:rsid w:val="00514D32"/>
    <w:rsid w:val="0052086C"/>
    <w:rsid w:val="005217B5"/>
    <w:rsid w:val="005240E4"/>
    <w:rsid w:val="005279FF"/>
    <w:rsid w:val="00531CEB"/>
    <w:rsid w:val="0053314B"/>
    <w:rsid w:val="005333D9"/>
    <w:rsid w:val="00535763"/>
    <w:rsid w:val="005358C9"/>
    <w:rsid w:val="00535C43"/>
    <w:rsid w:val="005367B6"/>
    <w:rsid w:val="00543B60"/>
    <w:rsid w:val="00544528"/>
    <w:rsid w:val="0055087D"/>
    <w:rsid w:val="00553187"/>
    <w:rsid w:val="005535C4"/>
    <w:rsid w:val="0055616D"/>
    <w:rsid w:val="00560E05"/>
    <w:rsid w:val="00563ACF"/>
    <w:rsid w:val="005648F2"/>
    <w:rsid w:val="005717A1"/>
    <w:rsid w:val="0057497A"/>
    <w:rsid w:val="00575756"/>
    <w:rsid w:val="005768C4"/>
    <w:rsid w:val="00577AF0"/>
    <w:rsid w:val="005839B8"/>
    <w:rsid w:val="00584E66"/>
    <w:rsid w:val="00590A38"/>
    <w:rsid w:val="005910E1"/>
    <w:rsid w:val="00592EC6"/>
    <w:rsid w:val="00596CCE"/>
    <w:rsid w:val="005973C4"/>
    <w:rsid w:val="005A070B"/>
    <w:rsid w:val="005A087C"/>
    <w:rsid w:val="005A121D"/>
    <w:rsid w:val="005A2EBD"/>
    <w:rsid w:val="005A3B6F"/>
    <w:rsid w:val="005A50C1"/>
    <w:rsid w:val="005B0716"/>
    <w:rsid w:val="005B2BD4"/>
    <w:rsid w:val="005C1A87"/>
    <w:rsid w:val="005C4DF1"/>
    <w:rsid w:val="005D0FD9"/>
    <w:rsid w:val="005D1684"/>
    <w:rsid w:val="005D21D9"/>
    <w:rsid w:val="005E1ECD"/>
    <w:rsid w:val="005F391B"/>
    <w:rsid w:val="005F7330"/>
    <w:rsid w:val="0060483D"/>
    <w:rsid w:val="00611747"/>
    <w:rsid w:val="00613767"/>
    <w:rsid w:val="00614633"/>
    <w:rsid w:val="006146A4"/>
    <w:rsid w:val="00615CC8"/>
    <w:rsid w:val="0061692E"/>
    <w:rsid w:val="006177DA"/>
    <w:rsid w:val="00617820"/>
    <w:rsid w:val="00626966"/>
    <w:rsid w:val="00626AC1"/>
    <w:rsid w:val="00630417"/>
    <w:rsid w:val="006310D7"/>
    <w:rsid w:val="00640979"/>
    <w:rsid w:val="00644CDE"/>
    <w:rsid w:val="006467AC"/>
    <w:rsid w:val="00646EC7"/>
    <w:rsid w:val="00647189"/>
    <w:rsid w:val="00660407"/>
    <w:rsid w:val="0066057B"/>
    <w:rsid w:val="00660F75"/>
    <w:rsid w:val="00661789"/>
    <w:rsid w:val="00661A62"/>
    <w:rsid w:val="00663088"/>
    <w:rsid w:val="00665AEF"/>
    <w:rsid w:val="00667508"/>
    <w:rsid w:val="006705BB"/>
    <w:rsid w:val="00672106"/>
    <w:rsid w:val="00682CBE"/>
    <w:rsid w:val="00684C8D"/>
    <w:rsid w:val="00687836"/>
    <w:rsid w:val="00687B86"/>
    <w:rsid w:val="00692947"/>
    <w:rsid w:val="00695B44"/>
    <w:rsid w:val="00696896"/>
    <w:rsid w:val="00696E80"/>
    <w:rsid w:val="006A619F"/>
    <w:rsid w:val="006B0230"/>
    <w:rsid w:val="006B222D"/>
    <w:rsid w:val="006B398E"/>
    <w:rsid w:val="006B6F62"/>
    <w:rsid w:val="006C1956"/>
    <w:rsid w:val="006C632D"/>
    <w:rsid w:val="006C6D33"/>
    <w:rsid w:val="006D0D29"/>
    <w:rsid w:val="006D2CD8"/>
    <w:rsid w:val="006D30A9"/>
    <w:rsid w:val="006D4616"/>
    <w:rsid w:val="006D4646"/>
    <w:rsid w:val="006D596C"/>
    <w:rsid w:val="006D5D9B"/>
    <w:rsid w:val="006D6C96"/>
    <w:rsid w:val="006E38B4"/>
    <w:rsid w:val="006F055F"/>
    <w:rsid w:val="006F1BED"/>
    <w:rsid w:val="006F3B96"/>
    <w:rsid w:val="006F6673"/>
    <w:rsid w:val="00701270"/>
    <w:rsid w:val="00704CF8"/>
    <w:rsid w:val="007104D3"/>
    <w:rsid w:val="0071468C"/>
    <w:rsid w:val="00720465"/>
    <w:rsid w:val="00723F9E"/>
    <w:rsid w:val="0072557F"/>
    <w:rsid w:val="00726FB5"/>
    <w:rsid w:val="00731481"/>
    <w:rsid w:val="00735652"/>
    <w:rsid w:val="00736EE6"/>
    <w:rsid w:val="007371A7"/>
    <w:rsid w:val="007376A4"/>
    <w:rsid w:val="00737E12"/>
    <w:rsid w:val="00740799"/>
    <w:rsid w:val="00740E3D"/>
    <w:rsid w:val="00740E87"/>
    <w:rsid w:val="00742866"/>
    <w:rsid w:val="00750C93"/>
    <w:rsid w:val="00753C19"/>
    <w:rsid w:val="00755535"/>
    <w:rsid w:val="00756DC7"/>
    <w:rsid w:val="007601F3"/>
    <w:rsid w:val="0076522C"/>
    <w:rsid w:val="007656DA"/>
    <w:rsid w:val="00765A4B"/>
    <w:rsid w:val="00766765"/>
    <w:rsid w:val="007670A4"/>
    <w:rsid w:val="00771791"/>
    <w:rsid w:val="007768FC"/>
    <w:rsid w:val="007776D6"/>
    <w:rsid w:val="00782B44"/>
    <w:rsid w:val="00782FDB"/>
    <w:rsid w:val="00785D3E"/>
    <w:rsid w:val="007925D3"/>
    <w:rsid w:val="00792A7B"/>
    <w:rsid w:val="007937D8"/>
    <w:rsid w:val="007A33B5"/>
    <w:rsid w:val="007A6D2D"/>
    <w:rsid w:val="007B74DA"/>
    <w:rsid w:val="007C017E"/>
    <w:rsid w:val="007C0E98"/>
    <w:rsid w:val="007C187F"/>
    <w:rsid w:val="007C3C7D"/>
    <w:rsid w:val="007C41C6"/>
    <w:rsid w:val="007C5574"/>
    <w:rsid w:val="007D183E"/>
    <w:rsid w:val="007D3230"/>
    <w:rsid w:val="007D7A8E"/>
    <w:rsid w:val="007E0C28"/>
    <w:rsid w:val="007E18DD"/>
    <w:rsid w:val="007E2589"/>
    <w:rsid w:val="007E5F2C"/>
    <w:rsid w:val="007E62DC"/>
    <w:rsid w:val="007F03E8"/>
    <w:rsid w:val="007F06F8"/>
    <w:rsid w:val="007F35CA"/>
    <w:rsid w:val="007F44FB"/>
    <w:rsid w:val="007F4D38"/>
    <w:rsid w:val="007F6534"/>
    <w:rsid w:val="0080120E"/>
    <w:rsid w:val="0080251E"/>
    <w:rsid w:val="00803EFC"/>
    <w:rsid w:val="00806070"/>
    <w:rsid w:val="00810D4D"/>
    <w:rsid w:val="00814276"/>
    <w:rsid w:val="00814833"/>
    <w:rsid w:val="00814968"/>
    <w:rsid w:val="00816032"/>
    <w:rsid w:val="008166E5"/>
    <w:rsid w:val="0082104C"/>
    <w:rsid w:val="008211BE"/>
    <w:rsid w:val="00826309"/>
    <w:rsid w:val="00827733"/>
    <w:rsid w:val="00830830"/>
    <w:rsid w:val="00831F6C"/>
    <w:rsid w:val="00832556"/>
    <w:rsid w:val="00835098"/>
    <w:rsid w:val="00843FC2"/>
    <w:rsid w:val="00844204"/>
    <w:rsid w:val="00844BA7"/>
    <w:rsid w:val="00845215"/>
    <w:rsid w:val="00845DB7"/>
    <w:rsid w:val="008461D5"/>
    <w:rsid w:val="00847D06"/>
    <w:rsid w:val="00850FDF"/>
    <w:rsid w:val="00852ADE"/>
    <w:rsid w:val="0085435A"/>
    <w:rsid w:val="00855DAF"/>
    <w:rsid w:val="00855F39"/>
    <w:rsid w:val="0085601D"/>
    <w:rsid w:val="0085721D"/>
    <w:rsid w:val="0085758A"/>
    <w:rsid w:val="00861284"/>
    <w:rsid w:val="00862A08"/>
    <w:rsid w:val="00862ADB"/>
    <w:rsid w:val="0086493E"/>
    <w:rsid w:val="00866D48"/>
    <w:rsid w:val="0086722A"/>
    <w:rsid w:val="00867FAD"/>
    <w:rsid w:val="0087273F"/>
    <w:rsid w:val="0087500C"/>
    <w:rsid w:val="00876DE4"/>
    <w:rsid w:val="0088157E"/>
    <w:rsid w:val="00882C39"/>
    <w:rsid w:val="00887084"/>
    <w:rsid w:val="008906FD"/>
    <w:rsid w:val="008A0A6E"/>
    <w:rsid w:val="008A69FD"/>
    <w:rsid w:val="008A7511"/>
    <w:rsid w:val="008B269D"/>
    <w:rsid w:val="008B4273"/>
    <w:rsid w:val="008B6463"/>
    <w:rsid w:val="008B7F66"/>
    <w:rsid w:val="008C0245"/>
    <w:rsid w:val="008D181C"/>
    <w:rsid w:val="008D26CC"/>
    <w:rsid w:val="008D3727"/>
    <w:rsid w:val="008D47BF"/>
    <w:rsid w:val="008D4DF3"/>
    <w:rsid w:val="008D6F67"/>
    <w:rsid w:val="008E16BB"/>
    <w:rsid w:val="008E3334"/>
    <w:rsid w:val="008E3AC9"/>
    <w:rsid w:val="008E55A1"/>
    <w:rsid w:val="008F48EB"/>
    <w:rsid w:val="009014B0"/>
    <w:rsid w:val="00904244"/>
    <w:rsid w:val="00904A8D"/>
    <w:rsid w:val="00905259"/>
    <w:rsid w:val="00917FED"/>
    <w:rsid w:val="00920C8E"/>
    <w:rsid w:val="009220F8"/>
    <w:rsid w:val="0092282D"/>
    <w:rsid w:val="00930C86"/>
    <w:rsid w:val="00931A08"/>
    <w:rsid w:val="00931A3F"/>
    <w:rsid w:val="00932243"/>
    <w:rsid w:val="00932294"/>
    <w:rsid w:val="009331C1"/>
    <w:rsid w:val="009348DF"/>
    <w:rsid w:val="0093605C"/>
    <w:rsid w:val="00937749"/>
    <w:rsid w:val="00943F37"/>
    <w:rsid w:val="00945FE0"/>
    <w:rsid w:val="00947917"/>
    <w:rsid w:val="00950616"/>
    <w:rsid w:val="00951BF5"/>
    <w:rsid w:val="009527F8"/>
    <w:rsid w:val="009530D3"/>
    <w:rsid w:val="009533CD"/>
    <w:rsid w:val="00960919"/>
    <w:rsid w:val="00960D05"/>
    <w:rsid w:val="009652B0"/>
    <w:rsid w:val="009664F6"/>
    <w:rsid w:val="00967C66"/>
    <w:rsid w:val="0097088C"/>
    <w:rsid w:val="009748D5"/>
    <w:rsid w:val="0097527C"/>
    <w:rsid w:val="00977C5D"/>
    <w:rsid w:val="00982628"/>
    <w:rsid w:val="009828D1"/>
    <w:rsid w:val="00983D86"/>
    <w:rsid w:val="0098429F"/>
    <w:rsid w:val="00993BC9"/>
    <w:rsid w:val="00994CFA"/>
    <w:rsid w:val="00994D82"/>
    <w:rsid w:val="00996F54"/>
    <w:rsid w:val="00997A72"/>
    <w:rsid w:val="009A07D5"/>
    <w:rsid w:val="009A34AF"/>
    <w:rsid w:val="009A4247"/>
    <w:rsid w:val="009A7688"/>
    <w:rsid w:val="009A77BE"/>
    <w:rsid w:val="009A7959"/>
    <w:rsid w:val="009B0104"/>
    <w:rsid w:val="009B42FB"/>
    <w:rsid w:val="009C351B"/>
    <w:rsid w:val="009C6CFC"/>
    <w:rsid w:val="009C74BC"/>
    <w:rsid w:val="009D25DA"/>
    <w:rsid w:val="009D699E"/>
    <w:rsid w:val="009D6B1A"/>
    <w:rsid w:val="009E1CD4"/>
    <w:rsid w:val="009E335A"/>
    <w:rsid w:val="009F336C"/>
    <w:rsid w:val="009F3700"/>
    <w:rsid w:val="009F3A35"/>
    <w:rsid w:val="009F4C42"/>
    <w:rsid w:val="009F4D2C"/>
    <w:rsid w:val="009F7995"/>
    <w:rsid w:val="00A00F37"/>
    <w:rsid w:val="00A016CC"/>
    <w:rsid w:val="00A045CA"/>
    <w:rsid w:val="00A049D4"/>
    <w:rsid w:val="00A10EEF"/>
    <w:rsid w:val="00A12AA9"/>
    <w:rsid w:val="00A22DF7"/>
    <w:rsid w:val="00A25EB1"/>
    <w:rsid w:val="00A26F05"/>
    <w:rsid w:val="00A2743E"/>
    <w:rsid w:val="00A30C38"/>
    <w:rsid w:val="00A31853"/>
    <w:rsid w:val="00A31868"/>
    <w:rsid w:val="00A330F0"/>
    <w:rsid w:val="00A34435"/>
    <w:rsid w:val="00A35E05"/>
    <w:rsid w:val="00A40E41"/>
    <w:rsid w:val="00A42325"/>
    <w:rsid w:val="00A446E4"/>
    <w:rsid w:val="00A45DCE"/>
    <w:rsid w:val="00A50BAE"/>
    <w:rsid w:val="00A53E46"/>
    <w:rsid w:val="00A603DB"/>
    <w:rsid w:val="00A645B5"/>
    <w:rsid w:val="00A651AC"/>
    <w:rsid w:val="00A65FFE"/>
    <w:rsid w:val="00A66CE9"/>
    <w:rsid w:val="00A731FC"/>
    <w:rsid w:val="00A81546"/>
    <w:rsid w:val="00A817A1"/>
    <w:rsid w:val="00A911F0"/>
    <w:rsid w:val="00A92C75"/>
    <w:rsid w:val="00A939EC"/>
    <w:rsid w:val="00A94152"/>
    <w:rsid w:val="00A95B8F"/>
    <w:rsid w:val="00AA4699"/>
    <w:rsid w:val="00AB2F23"/>
    <w:rsid w:val="00AB3728"/>
    <w:rsid w:val="00AB399E"/>
    <w:rsid w:val="00AB4A43"/>
    <w:rsid w:val="00AB6F1F"/>
    <w:rsid w:val="00AC001F"/>
    <w:rsid w:val="00AC03DB"/>
    <w:rsid w:val="00AC0AC1"/>
    <w:rsid w:val="00AC1D78"/>
    <w:rsid w:val="00AC6550"/>
    <w:rsid w:val="00AD0771"/>
    <w:rsid w:val="00AD11EB"/>
    <w:rsid w:val="00AD196B"/>
    <w:rsid w:val="00AD1D86"/>
    <w:rsid w:val="00AD2D7B"/>
    <w:rsid w:val="00AD4792"/>
    <w:rsid w:val="00AD53F2"/>
    <w:rsid w:val="00AD6286"/>
    <w:rsid w:val="00AE0C12"/>
    <w:rsid w:val="00AF10BE"/>
    <w:rsid w:val="00AF5968"/>
    <w:rsid w:val="00B001D8"/>
    <w:rsid w:val="00B01964"/>
    <w:rsid w:val="00B16402"/>
    <w:rsid w:val="00B23653"/>
    <w:rsid w:val="00B27D32"/>
    <w:rsid w:val="00B30382"/>
    <w:rsid w:val="00B30C01"/>
    <w:rsid w:val="00B3439B"/>
    <w:rsid w:val="00B35691"/>
    <w:rsid w:val="00B35BE2"/>
    <w:rsid w:val="00B377A9"/>
    <w:rsid w:val="00B4154D"/>
    <w:rsid w:val="00B42BCC"/>
    <w:rsid w:val="00B46611"/>
    <w:rsid w:val="00B4713F"/>
    <w:rsid w:val="00B475DF"/>
    <w:rsid w:val="00B54246"/>
    <w:rsid w:val="00B56285"/>
    <w:rsid w:val="00B57D6D"/>
    <w:rsid w:val="00B57D72"/>
    <w:rsid w:val="00B6097B"/>
    <w:rsid w:val="00B624FF"/>
    <w:rsid w:val="00B65A2F"/>
    <w:rsid w:val="00B7199A"/>
    <w:rsid w:val="00B73572"/>
    <w:rsid w:val="00B75CA9"/>
    <w:rsid w:val="00B7677E"/>
    <w:rsid w:val="00B82419"/>
    <w:rsid w:val="00B83151"/>
    <w:rsid w:val="00B8372E"/>
    <w:rsid w:val="00B85746"/>
    <w:rsid w:val="00B91F58"/>
    <w:rsid w:val="00B926C5"/>
    <w:rsid w:val="00B933D3"/>
    <w:rsid w:val="00B97487"/>
    <w:rsid w:val="00B97E00"/>
    <w:rsid w:val="00BA2A3C"/>
    <w:rsid w:val="00BA38EB"/>
    <w:rsid w:val="00BA64E3"/>
    <w:rsid w:val="00BB071A"/>
    <w:rsid w:val="00BB303B"/>
    <w:rsid w:val="00BB55D5"/>
    <w:rsid w:val="00BB616E"/>
    <w:rsid w:val="00BB6348"/>
    <w:rsid w:val="00BB6402"/>
    <w:rsid w:val="00BC318C"/>
    <w:rsid w:val="00BC4DF0"/>
    <w:rsid w:val="00BD1351"/>
    <w:rsid w:val="00BD6126"/>
    <w:rsid w:val="00BE311B"/>
    <w:rsid w:val="00BE6984"/>
    <w:rsid w:val="00BE6B23"/>
    <w:rsid w:val="00BE6DD0"/>
    <w:rsid w:val="00BE7579"/>
    <w:rsid w:val="00BE7604"/>
    <w:rsid w:val="00BF12FB"/>
    <w:rsid w:val="00BF1BC8"/>
    <w:rsid w:val="00BF41D5"/>
    <w:rsid w:val="00BF46E6"/>
    <w:rsid w:val="00BF79A1"/>
    <w:rsid w:val="00C00A1E"/>
    <w:rsid w:val="00C0134F"/>
    <w:rsid w:val="00C04383"/>
    <w:rsid w:val="00C07DFC"/>
    <w:rsid w:val="00C1269F"/>
    <w:rsid w:val="00C14933"/>
    <w:rsid w:val="00C27DC5"/>
    <w:rsid w:val="00C27ECB"/>
    <w:rsid w:val="00C3086F"/>
    <w:rsid w:val="00C41BFC"/>
    <w:rsid w:val="00C42B10"/>
    <w:rsid w:val="00C44181"/>
    <w:rsid w:val="00C446DD"/>
    <w:rsid w:val="00C46C68"/>
    <w:rsid w:val="00C47676"/>
    <w:rsid w:val="00C5062D"/>
    <w:rsid w:val="00C51851"/>
    <w:rsid w:val="00C53C8C"/>
    <w:rsid w:val="00C55639"/>
    <w:rsid w:val="00C57E2A"/>
    <w:rsid w:val="00C6394D"/>
    <w:rsid w:val="00C67092"/>
    <w:rsid w:val="00C70AE5"/>
    <w:rsid w:val="00C70CC3"/>
    <w:rsid w:val="00C71016"/>
    <w:rsid w:val="00C73E9E"/>
    <w:rsid w:val="00C74E4C"/>
    <w:rsid w:val="00C76526"/>
    <w:rsid w:val="00C770FF"/>
    <w:rsid w:val="00C808CB"/>
    <w:rsid w:val="00C83218"/>
    <w:rsid w:val="00C90453"/>
    <w:rsid w:val="00C90E03"/>
    <w:rsid w:val="00C91AD6"/>
    <w:rsid w:val="00C92A23"/>
    <w:rsid w:val="00C92F92"/>
    <w:rsid w:val="00C9458F"/>
    <w:rsid w:val="00C965C0"/>
    <w:rsid w:val="00C976A9"/>
    <w:rsid w:val="00CA0D26"/>
    <w:rsid w:val="00CB2243"/>
    <w:rsid w:val="00CC2B9C"/>
    <w:rsid w:val="00CC5006"/>
    <w:rsid w:val="00CD03DA"/>
    <w:rsid w:val="00CD1DB1"/>
    <w:rsid w:val="00CD4217"/>
    <w:rsid w:val="00CD4F96"/>
    <w:rsid w:val="00CD6AF2"/>
    <w:rsid w:val="00CD6C9B"/>
    <w:rsid w:val="00CE597E"/>
    <w:rsid w:val="00CE6ABF"/>
    <w:rsid w:val="00CE7A9F"/>
    <w:rsid w:val="00CF0179"/>
    <w:rsid w:val="00CF0B19"/>
    <w:rsid w:val="00CF178D"/>
    <w:rsid w:val="00CF24FF"/>
    <w:rsid w:val="00D057D7"/>
    <w:rsid w:val="00D110D6"/>
    <w:rsid w:val="00D120CC"/>
    <w:rsid w:val="00D12C22"/>
    <w:rsid w:val="00D13B95"/>
    <w:rsid w:val="00D1407B"/>
    <w:rsid w:val="00D161E5"/>
    <w:rsid w:val="00D212D1"/>
    <w:rsid w:val="00D213BE"/>
    <w:rsid w:val="00D224EE"/>
    <w:rsid w:val="00D2637C"/>
    <w:rsid w:val="00D26AC6"/>
    <w:rsid w:val="00D27889"/>
    <w:rsid w:val="00D32F7A"/>
    <w:rsid w:val="00D364C6"/>
    <w:rsid w:val="00D37C5B"/>
    <w:rsid w:val="00D46775"/>
    <w:rsid w:val="00D467EB"/>
    <w:rsid w:val="00D53678"/>
    <w:rsid w:val="00D5389C"/>
    <w:rsid w:val="00D613F0"/>
    <w:rsid w:val="00D616CE"/>
    <w:rsid w:val="00D63AA0"/>
    <w:rsid w:val="00D63FB1"/>
    <w:rsid w:val="00D7031A"/>
    <w:rsid w:val="00D73E2F"/>
    <w:rsid w:val="00D764F1"/>
    <w:rsid w:val="00D80F16"/>
    <w:rsid w:val="00D875D9"/>
    <w:rsid w:val="00D8770C"/>
    <w:rsid w:val="00D92BA1"/>
    <w:rsid w:val="00D9424D"/>
    <w:rsid w:val="00D96E46"/>
    <w:rsid w:val="00DA10FF"/>
    <w:rsid w:val="00DA5B8D"/>
    <w:rsid w:val="00DA654E"/>
    <w:rsid w:val="00DA6C66"/>
    <w:rsid w:val="00DA7208"/>
    <w:rsid w:val="00DB2D2D"/>
    <w:rsid w:val="00DB339C"/>
    <w:rsid w:val="00DB34C9"/>
    <w:rsid w:val="00DB6A8F"/>
    <w:rsid w:val="00DC0205"/>
    <w:rsid w:val="00DC0413"/>
    <w:rsid w:val="00DC10A4"/>
    <w:rsid w:val="00DC260F"/>
    <w:rsid w:val="00DC3C58"/>
    <w:rsid w:val="00DC3D61"/>
    <w:rsid w:val="00DC4C5C"/>
    <w:rsid w:val="00DC4FBC"/>
    <w:rsid w:val="00DC6700"/>
    <w:rsid w:val="00DC7131"/>
    <w:rsid w:val="00DD1177"/>
    <w:rsid w:val="00DD7FA1"/>
    <w:rsid w:val="00DE2D86"/>
    <w:rsid w:val="00DE3B2F"/>
    <w:rsid w:val="00DF0C0B"/>
    <w:rsid w:val="00DF24B6"/>
    <w:rsid w:val="00DF45B2"/>
    <w:rsid w:val="00DF4BAC"/>
    <w:rsid w:val="00E01791"/>
    <w:rsid w:val="00E041AC"/>
    <w:rsid w:val="00E05959"/>
    <w:rsid w:val="00E1073E"/>
    <w:rsid w:val="00E12AF9"/>
    <w:rsid w:val="00E13CD5"/>
    <w:rsid w:val="00E144DE"/>
    <w:rsid w:val="00E1466E"/>
    <w:rsid w:val="00E14833"/>
    <w:rsid w:val="00E1569E"/>
    <w:rsid w:val="00E16C85"/>
    <w:rsid w:val="00E2076F"/>
    <w:rsid w:val="00E254A8"/>
    <w:rsid w:val="00E26C89"/>
    <w:rsid w:val="00E311A6"/>
    <w:rsid w:val="00E31C4F"/>
    <w:rsid w:val="00E32CE8"/>
    <w:rsid w:val="00E3655A"/>
    <w:rsid w:val="00E36B28"/>
    <w:rsid w:val="00E40AA4"/>
    <w:rsid w:val="00E41F5F"/>
    <w:rsid w:val="00E42710"/>
    <w:rsid w:val="00E42E42"/>
    <w:rsid w:val="00E522BC"/>
    <w:rsid w:val="00E543F2"/>
    <w:rsid w:val="00E54B57"/>
    <w:rsid w:val="00E576A6"/>
    <w:rsid w:val="00E616B9"/>
    <w:rsid w:val="00E64B6F"/>
    <w:rsid w:val="00E65924"/>
    <w:rsid w:val="00E7062A"/>
    <w:rsid w:val="00E74B41"/>
    <w:rsid w:val="00E764D1"/>
    <w:rsid w:val="00E80D85"/>
    <w:rsid w:val="00E83C2D"/>
    <w:rsid w:val="00E8601E"/>
    <w:rsid w:val="00E872EE"/>
    <w:rsid w:val="00E876AE"/>
    <w:rsid w:val="00E900E0"/>
    <w:rsid w:val="00E94A81"/>
    <w:rsid w:val="00EA3058"/>
    <w:rsid w:val="00EA7493"/>
    <w:rsid w:val="00EA775B"/>
    <w:rsid w:val="00EB4C40"/>
    <w:rsid w:val="00EB4DD9"/>
    <w:rsid w:val="00EB624C"/>
    <w:rsid w:val="00EC1164"/>
    <w:rsid w:val="00EC627E"/>
    <w:rsid w:val="00EE0EDD"/>
    <w:rsid w:val="00EE36B7"/>
    <w:rsid w:val="00EE44EF"/>
    <w:rsid w:val="00EF1422"/>
    <w:rsid w:val="00EF3002"/>
    <w:rsid w:val="00EF3913"/>
    <w:rsid w:val="00EF560F"/>
    <w:rsid w:val="00EF65B0"/>
    <w:rsid w:val="00EF7E75"/>
    <w:rsid w:val="00F004D4"/>
    <w:rsid w:val="00F00CE1"/>
    <w:rsid w:val="00F0125E"/>
    <w:rsid w:val="00F040A4"/>
    <w:rsid w:val="00F046D6"/>
    <w:rsid w:val="00F11003"/>
    <w:rsid w:val="00F1183A"/>
    <w:rsid w:val="00F126E4"/>
    <w:rsid w:val="00F12F5E"/>
    <w:rsid w:val="00F21E90"/>
    <w:rsid w:val="00F226ED"/>
    <w:rsid w:val="00F22CCA"/>
    <w:rsid w:val="00F22FDB"/>
    <w:rsid w:val="00F23FE0"/>
    <w:rsid w:val="00F24FAA"/>
    <w:rsid w:val="00F26F61"/>
    <w:rsid w:val="00F30180"/>
    <w:rsid w:val="00F31047"/>
    <w:rsid w:val="00F32B6F"/>
    <w:rsid w:val="00F35D03"/>
    <w:rsid w:val="00F365FE"/>
    <w:rsid w:val="00F40649"/>
    <w:rsid w:val="00F41D93"/>
    <w:rsid w:val="00F46870"/>
    <w:rsid w:val="00F46B70"/>
    <w:rsid w:val="00F520A9"/>
    <w:rsid w:val="00F52CFF"/>
    <w:rsid w:val="00F536BE"/>
    <w:rsid w:val="00F5528F"/>
    <w:rsid w:val="00F56943"/>
    <w:rsid w:val="00F61BF6"/>
    <w:rsid w:val="00F620AB"/>
    <w:rsid w:val="00F625ED"/>
    <w:rsid w:val="00F64545"/>
    <w:rsid w:val="00F67102"/>
    <w:rsid w:val="00F709AA"/>
    <w:rsid w:val="00F71E96"/>
    <w:rsid w:val="00F72BF4"/>
    <w:rsid w:val="00F734B7"/>
    <w:rsid w:val="00F7590C"/>
    <w:rsid w:val="00F81777"/>
    <w:rsid w:val="00F84D65"/>
    <w:rsid w:val="00F87172"/>
    <w:rsid w:val="00F90D7D"/>
    <w:rsid w:val="00F91E47"/>
    <w:rsid w:val="00F92507"/>
    <w:rsid w:val="00F9428D"/>
    <w:rsid w:val="00F958B9"/>
    <w:rsid w:val="00FA4284"/>
    <w:rsid w:val="00FA5E2E"/>
    <w:rsid w:val="00FB03C5"/>
    <w:rsid w:val="00FB03D3"/>
    <w:rsid w:val="00FB229C"/>
    <w:rsid w:val="00FB2E48"/>
    <w:rsid w:val="00FB428A"/>
    <w:rsid w:val="00FB489B"/>
    <w:rsid w:val="00FB5CE0"/>
    <w:rsid w:val="00FB65E1"/>
    <w:rsid w:val="00FB6BB0"/>
    <w:rsid w:val="00FB6EBE"/>
    <w:rsid w:val="00FC219D"/>
    <w:rsid w:val="00FC2A91"/>
    <w:rsid w:val="00FC314E"/>
    <w:rsid w:val="00FC441D"/>
    <w:rsid w:val="00FC4E73"/>
    <w:rsid w:val="00FD65F4"/>
    <w:rsid w:val="00FD71C8"/>
    <w:rsid w:val="00FD74CC"/>
    <w:rsid w:val="00FE2044"/>
    <w:rsid w:val="00FE368A"/>
    <w:rsid w:val="00FF0698"/>
    <w:rsid w:val="00FF2C3D"/>
    <w:rsid w:val="011E15F8"/>
    <w:rsid w:val="0124391B"/>
    <w:rsid w:val="01340364"/>
    <w:rsid w:val="016B2576"/>
    <w:rsid w:val="017079F6"/>
    <w:rsid w:val="017A73A7"/>
    <w:rsid w:val="01836ADE"/>
    <w:rsid w:val="018C05B2"/>
    <w:rsid w:val="018D62E5"/>
    <w:rsid w:val="01922DAC"/>
    <w:rsid w:val="01A10813"/>
    <w:rsid w:val="01AA5DCF"/>
    <w:rsid w:val="02040FB7"/>
    <w:rsid w:val="02086DD1"/>
    <w:rsid w:val="02096875"/>
    <w:rsid w:val="023005A9"/>
    <w:rsid w:val="023F4004"/>
    <w:rsid w:val="025C6ABD"/>
    <w:rsid w:val="026011A7"/>
    <w:rsid w:val="029D05EB"/>
    <w:rsid w:val="02E6056C"/>
    <w:rsid w:val="02E66489"/>
    <w:rsid w:val="02EA366D"/>
    <w:rsid w:val="02F076F8"/>
    <w:rsid w:val="02FC0890"/>
    <w:rsid w:val="03213326"/>
    <w:rsid w:val="03554DFB"/>
    <w:rsid w:val="035F1C34"/>
    <w:rsid w:val="03B33244"/>
    <w:rsid w:val="03BB03F0"/>
    <w:rsid w:val="03C2338C"/>
    <w:rsid w:val="03C44BB5"/>
    <w:rsid w:val="03CA2475"/>
    <w:rsid w:val="03D41206"/>
    <w:rsid w:val="040F0A03"/>
    <w:rsid w:val="043041D3"/>
    <w:rsid w:val="044A451F"/>
    <w:rsid w:val="046926C7"/>
    <w:rsid w:val="04930524"/>
    <w:rsid w:val="049A6BC0"/>
    <w:rsid w:val="049F746B"/>
    <w:rsid w:val="04C161C2"/>
    <w:rsid w:val="04FB7CC1"/>
    <w:rsid w:val="05131A7C"/>
    <w:rsid w:val="052D09F6"/>
    <w:rsid w:val="052D7AAA"/>
    <w:rsid w:val="0541155C"/>
    <w:rsid w:val="05431A26"/>
    <w:rsid w:val="054F3468"/>
    <w:rsid w:val="056036A4"/>
    <w:rsid w:val="05721669"/>
    <w:rsid w:val="05767FB8"/>
    <w:rsid w:val="05804C64"/>
    <w:rsid w:val="058500B4"/>
    <w:rsid w:val="05870BF9"/>
    <w:rsid w:val="059E0356"/>
    <w:rsid w:val="05AC7BF4"/>
    <w:rsid w:val="05B72265"/>
    <w:rsid w:val="05BD69BF"/>
    <w:rsid w:val="05CC57C4"/>
    <w:rsid w:val="05F833A7"/>
    <w:rsid w:val="05FB25B9"/>
    <w:rsid w:val="0603174A"/>
    <w:rsid w:val="060A31CC"/>
    <w:rsid w:val="0614624B"/>
    <w:rsid w:val="064D2EC4"/>
    <w:rsid w:val="06675EC6"/>
    <w:rsid w:val="0678078D"/>
    <w:rsid w:val="06821EEF"/>
    <w:rsid w:val="0685590D"/>
    <w:rsid w:val="068911C8"/>
    <w:rsid w:val="069809AC"/>
    <w:rsid w:val="069D7ED4"/>
    <w:rsid w:val="06C43E75"/>
    <w:rsid w:val="07183066"/>
    <w:rsid w:val="0747226A"/>
    <w:rsid w:val="076D0B83"/>
    <w:rsid w:val="07932911"/>
    <w:rsid w:val="07C35286"/>
    <w:rsid w:val="07C631E6"/>
    <w:rsid w:val="07CB41A4"/>
    <w:rsid w:val="08124875"/>
    <w:rsid w:val="08154D08"/>
    <w:rsid w:val="08171156"/>
    <w:rsid w:val="08211256"/>
    <w:rsid w:val="082F75FC"/>
    <w:rsid w:val="083A4B98"/>
    <w:rsid w:val="084349F8"/>
    <w:rsid w:val="08625508"/>
    <w:rsid w:val="08870E86"/>
    <w:rsid w:val="089326E0"/>
    <w:rsid w:val="08AC08E6"/>
    <w:rsid w:val="08AD5056"/>
    <w:rsid w:val="08D90728"/>
    <w:rsid w:val="08E10201"/>
    <w:rsid w:val="08E3343B"/>
    <w:rsid w:val="08FF4C96"/>
    <w:rsid w:val="092154C7"/>
    <w:rsid w:val="09554073"/>
    <w:rsid w:val="09855E02"/>
    <w:rsid w:val="09B15222"/>
    <w:rsid w:val="09BE1F73"/>
    <w:rsid w:val="09C742E1"/>
    <w:rsid w:val="09DD0CF5"/>
    <w:rsid w:val="09E1421F"/>
    <w:rsid w:val="09F930EA"/>
    <w:rsid w:val="09FF54DC"/>
    <w:rsid w:val="0A1603C1"/>
    <w:rsid w:val="0A245448"/>
    <w:rsid w:val="0A523182"/>
    <w:rsid w:val="0A602EEC"/>
    <w:rsid w:val="0A7C3F6D"/>
    <w:rsid w:val="0A7D3AE6"/>
    <w:rsid w:val="0A9868F9"/>
    <w:rsid w:val="0AC172E9"/>
    <w:rsid w:val="0ACA060F"/>
    <w:rsid w:val="0AD71E9B"/>
    <w:rsid w:val="0AE628CD"/>
    <w:rsid w:val="0B0B5F07"/>
    <w:rsid w:val="0B1A0FE3"/>
    <w:rsid w:val="0B2E38E6"/>
    <w:rsid w:val="0B3365C9"/>
    <w:rsid w:val="0B516F03"/>
    <w:rsid w:val="0B674F8E"/>
    <w:rsid w:val="0B7D3EDE"/>
    <w:rsid w:val="0B89775E"/>
    <w:rsid w:val="0BA448CF"/>
    <w:rsid w:val="0BCE7EA7"/>
    <w:rsid w:val="0C1506AD"/>
    <w:rsid w:val="0C3928C9"/>
    <w:rsid w:val="0C4718F6"/>
    <w:rsid w:val="0C73626A"/>
    <w:rsid w:val="0C7B7D5B"/>
    <w:rsid w:val="0C973EF3"/>
    <w:rsid w:val="0C9C36D5"/>
    <w:rsid w:val="0CAA301E"/>
    <w:rsid w:val="0CE034C0"/>
    <w:rsid w:val="0CE37539"/>
    <w:rsid w:val="0CE52155"/>
    <w:rsid w:val="0CF63F41"/>
    <w:rsid w:val="0CFE0FC0"/>
    <w:rsid w:val="0D0374E3"/>
    <w:rsid w:val="0D0A572F"/>
    <w:rsid w:val="0D0A6306"/>
    <w:rsid w:val="0D16312A"/>
    <w:rsid w:val="0D1B1479"/>
    <w:rsid w:val="0D1B1559"/>
    <w:rsid w:val="0D1C1711"/>
    <w:rsid w:val="0D555176"/>
    <w:rsid w:val="0D6F0E5D"/>
    <w:rsid w:val="0D7B2231"/>
    <w:rsid w:val="0D887BC6"/>
    <w:rsid w:val="0D954B0D"/>
    <w:rsid w:val="0D973F39"/>
    <w:rsid w:val="0DB02FB3"/>
    <w:rsid w:val="0DB1060F"/>
    <w:rsid w:val="0DCD14DB"/>
    <w:rsid w:val="0DCE04EC"/>
    <w:rsid w:val="0DE4178F"/>
    <w:rsid w:val="0E1C064B"/>
    <w:rsid w:val="0E3026E5"/>
    <w:rsid w:val="0E336A16"/>
    <w:rsid w:val="0E64092D"/>
    <w:rsid w:val="0E7D0AB3"/>
    <w:rsid w:val="0E7D5C8D"/>
    <w:rsid w:val="0E963CAB"/>
    <w:rsid w:val="0EA476E4"/>
    <w:rsid w:val="0EA51F74"/>
    <w:rsid w:val="0EAC005C"/>
    <w:rsid w:val="0EAF1251"/>
    <w:rsid w:val="0EBE36CA"/>
    <w:rsid w:val="0ED36ED3"/>
    <w:rsid w:val="0ED77E61"/>
    <w:rsid w:val="0EE6002D"/>
    <w:rsid w:val="0EEE1E26"/>
    <w:rsid w:val="0F00375C"/>
    <w:rsid w:val="0F560D8D"/>
    <w:rsid w:val="0F5764BB"/>
    <w:rsid w:val="0F6257C5"/>
    <w:rsid w:val="0F6717B6"/>
    <w:rsid w:val="0FB42DAE"/>
    <w:rsid w:val="0FBB1C4A"/>
    <w:rsid w:val="0FC41391"/>
    <w:rsid w:val="0FC43940"/>
    <w:rsid w:val="0FDE036F"/>
    <w:rsid w:val="0FEA11FB"/>
    <w:rsid w:val="0FF72380"/>
    <w:rsid w:val="10227FC7"/>
    <w:rsid w:val="1029166D"/>
    <w:rsid w:val="102F5022"/>
    <w:rsid w:val="104E5C33"/>
    <w:rsid w:val="10637F11"/>
    <w:rsid w:val="1082792F"/>
    <w:rsid w:val="108C1B09"/>
    <w:rsid w:val="108D1787"/>
    <w:rsid w:val="10B210E3"/>
    <w:rsid w:val="10D41DDF"/>
    <w:rsid w:val="10F3457C"/>
    <w:rsid w:val="10FE2ED7"/>
    <w:rsid w:val="11160C7D"/>
    <w:rsid w:val="112B3BA0"/>
    <w:rsid w:val="113C7F45"/>
    <w:rsid w:val="1155348D"/>
    <w:rsid w:val="116105A8"/>
    <w:rsid w:val="11672670"/>
    <w:rsid w:val="11746A5F"/>
    <w:rsid w:val="11867395"/>
    <w:rsid w:val="11AA42B6"/>
    <w:rsid w:val="11CB3F36"/>
    <w:rsid w:val="11E15BC9"/>
    <w:rsid w:val="11F15383"/>
    <w:rsid w:val="12065192"/>
    <w:rsid w:val="12125307"/>
    <w:rsid w:val="125F51F7"/>
    <w:rsid w:val="12607E18"/>
    <w:rsid w:val="12BC7EF5"/>
    <w:rsid w:val="12D45BF3"/>
    <w:rsid w:val="12DE0824"/>
    <w:rsid w:val="12E61DF9"/>
    <w:rsid w:val="131C5CA8"/>
    <w:rsid w:val="132C0FC9"/>
    <w:rsid w:val="136E0354"/>
    <w:rsid w:val="13766846"/>
    <w:rsid w:val="13796E85"/>
    <w:rsid w:val="13DC1C7A"/>
    <w:rsid w:val="13DF6617"/>
    <w:rsid w:val="13E615E4"/>
    <w:rsid w:val="14127E02"/>
    <w:rsid w:val="14423676"/>
    <w:rsid w:val="146E32E4"/>
    <w:rsid w:val="14D75725"/>
    <w:rsid w:val="14E43DD7"/>
    <w:rsid w:val="151732B6"/>
    <w:rsid w:val="156845D9"/>
    <w:rsid w:val="156A2131"/>
    <w:rsid w:val="15A23E67"/>
    <w:rsid w:val="15B74989"/>
    <w:rsid w:val="15DC1076"/>
    <w:rsid w:val="15F54513"/>
    <w:rsid w:val="15F54AE8"/>
    <w:rsid w:val="16185B4B"/>
    <w:rsid w:val="16333FFD"/>
    <w:rsid w:val="165F5F88"/>
    <w:rsid w:val="16742C11"/>
    <w:rsid w:val="167D64C8"/>
    <w:rsid w:val="16B243CF"/>
    <w:rsid w:val="16C53D0A"/>
    <w:rsid w:val="16D62715"/>
    <w:rsid w:val="16DA7D67"/>
    <w:rsid w:val="16DB7598"/>
    <w:rsid w:val="16E057F3"/>
    <w:rsid w:val="16F90A69"/>
    <w:rsid w:val="173B3423"/>
    <w:rsid w:val="174E1EC3"/>
    <w:rsid w:val="174F614E"/>
    <w:rsid w:val="17593F7C"/>
    <w:rsid w:val="17901AEB"/>
    <w:rsid w:val="1795795A"/>
    <w:rsid w:val="179B63A8"/>
    <w:rsid w:val="179C6BA6"/>
    <w:rsid w:val="17B9383D"/>
    <w:rsid w:val="17C75809"/>
    <w:rsid w:val="17E165CB"/>
    <w:rsid w:val="17EB74E7"/>
    <w:rsid w:val="17EC2D57"/>
    <w:rsid w:val="180D7E99"/>
    <w:rsid w:val="185C66AE"/>
    <w:rsid w:val="186B2AA6"/>
    <w:rsid w:val="1876710A"/>
    <w:rsid w:val="187C3036"/>
    <w:rsid w:val="188D3123"/>
    <w:rsid w:val="18DC4043"/>
    <w:rsid w:val="18DD0937"/>
    <w:rsid w:val="190D6C99"/>
    <w:rsid w:val="191B528A"/>
    <w:rsid w:val="191D0E57"/>
    <w:rsid w:val="19223429"/>
    <w:rsid w:val="19245762"/>
    <w:rsid w:val="19601987"/>
    <w:rsid w:val="19690B66"/>
    <w:rsid w:val="197403CC"/>
    <w:rsid w:val="19B429F8"/>
    <w:rsid w:val="19B72F86"/>
    <w:rsid w:val="19B85E10"/>
    <w:rsid w:val="19BC22D6"/>
    <w:rsid w:val="19C15F21"/>
    <w:rsid w:val="19E020B8"/>
    <w:rsid w:val="19E8568F"/>
    <w:rsid w:val="1A0265AC"/>
    <w:rsid w:val="1A0D36FE"/>
    <w:rsid w:val="1A230D00"/>
    <w:rsid w:val="1A3106BF"/>
    <w:rsid w:val="1A3145EF"/>
    <w:rsid w:val="1A4C49A0"/>
    <w:rsid w:val="1A5B6C23"/>
    <w:rsid w:val="1A7A3013"/>
    <w:rsid w:val="1A8717B9"/>
    <w:rsid w:val="1AA47177"/>
    <w:rsid w:val="1AC6787B"/>
    <w:rsid w:val="1ACB0AE0"/>
    <w:rsid w:val="1ADC0156"/>
    <w:rsid w:val="1AED2EFC"/>
    <w:rsid w:val="1B0D313F"/>
    <w:rsid w:val="1B320224"/>
    <w:rsid w:val="1B830DA9"/>
    <w:rsid w:val="1B86733B"/>
    <w:rsid w:val="1B873668"/>
    <w:rsid w:val="1BC3044B"/>
    <w:rsid w:val="1BD23808"/>
    <w:rsid w:val="1C1007DD"/>
    <w:rsid w:val="1C3076E1"/>
    <w:rsid w:val="1C3938AC"/>
    <w:rsid w:val="1C3B2B44"/>
    <w:rsid w:val="1C3E68C5"/>
    <w:rsid w:val="1C401C64"/>
    <w:rsid w:val="1C551678"/>
    <w:rsid w:val="1C9B0A8D"/>
    <w:rsid w:val="1CA677B8"/>
    <w:rsid w:val="1CD6295C"/>
    <w:rsid w:val="1CDF2B62"/>
    <w:rsid w:val="1CF20859"/>
    <w:rsid w:val="1D393F6D"/>
    <w:rsid w:val="1D3C017E"/>
    <w:rsid w:val="1D664BF1"/>
    <w:rsid w:val="1D66642C"/>
    <w:rsid w:val="1D817FD4"/>
    <w:rsid w:val="1D97493F"/>
    <w:rsid w:val="1DA958AD"/>
    <w:rsid w:val="1DB6394E"/>
    <w:rsid w:val="1DB84D0E"/>
    <w:rsid w:val="1DDB774B"/>
    <w:rsid w:val="1DE101CE"/>
    <w:rsid w:val="1DF06B0A"/>
    <w:rsid w:val="1E1A291F"/>
    <w:rsid w:val="1E480074"/>
    <w:rsid w:val="1E6854BC"/>
    <w:rsid w:val="1E6C1F65"/>
    <w:rsid w:val="1E6C471C"/>
    <w:rsid w:val="1E723A55"/>
    <w:rsid w:val="1E784143"/>
    <w:rsid w:val="1E815BA1"/>
    <w:rsid w:val="1E8B3D11"/>
    <w:rsid w:val="1E9D2721"/>
    <w:rsid w:val="1EBD353A"/>
    <w:rsid w:val="1EC27F75"/>
    <w:rsid w:val="1EC865D8"/>
    <w:rsid w:val="1EDB10BF"/>
    <w:rsid w:val="1EE41361"/>
    <w:rsid w:val="1EF208C3"/>
    <w:rsid w:val="1EFC4767"/>
    <w:rsid w:val="1F0A1B74"/>
    <w:rsid w:val="1F0C32F6"/>
    <w:rsid w:val="1F0D4C5B"/>
    <w:rsid w:val="1F2018E1"/>
    <w:rsid w:val="1F49440C"/>
    <w:rsid w:val="1F583425"/>
    <w:rsid w:val="1F7478B7"/>
    <w:rsid w:val="1FB85399"/>
    <w:rsid w:val="1FCB7610"/>
    <w:rsid w:val="200158E4"/>
    <w:rsid w:val="201F614A"/>
    <w:rsid w:val="2036061A"/>
    <w:rsid w:val="20390284"/>
    <w:rsid w:val="204474F4"/>
    <w:rsid w:val="20553E2F"/>
    <w:rsid w:val="206308DD"/>
    <w:rsid w:val="206B7CFB"/>
    <w:rsid w:val="20782FE0"/>
    <w:rsid w:val="20956654"/>
    <w:rsid w:val="20B65BA9"/>
    <w:rsid w:val="20BF6B4D"/>
    <w:rsid w:val="20CE164F"/>
    <w:rsid w:val="20CE49E5"/>
    <w:rsid w:val="20EB177E"/>
    <w:rsid w:val="20EB702F"/>
    <w:rsid w:val="20EC2AB3"/>
    <w:rsid w:val="20EF5DD2"/>
    <w:rsid w:val="21075EAE"/>
    <w:rsid w:val="21422FC3"/>
    <w:rsid w:val="21446D64"/>
    <w:rsid w:val="218E227A"/>
    <w:rsid w:val="219B0E35"/>
    <w:rsid w:val="21B262B5"/>
    <w:rsid w:val="21B97618"/>
    <w:rsid w:val="21BD656F"/>
    <w:rsid w:val="21C46F29"/>
    <w:rsid w:val="21F82CE7"/>
    <w:rsid w:val="220732D0"/>
    <w:rsid w:val="221B1AA1"/>
    <w:rsid w:val="22251EA5"/>
    <w:rsid w:val="22493602"/>
    <w:rsid w:val="22871F41"/>
    <w:rsid w:val="22A66E3A"/>
    <w:rsid w:val="22B71BF0"/>
    <w:rsid w:val="22D85F9B"/>
    <w:rsid w:val="22E76720"/>
    <w:rsid w:val="22EF5777"/>
    <w:rsid w:val="232744C8"/>
    <w:rsid w:val="232B1E40"/>
    <w:rsid w:val="23351427"/>
    <w:rsid w:val="233D075D"/>
    <w:rsid w:val="234A48FA"/>
    <w:rsid w:val="235A2118"/>
    <w:rsid w:val="239A5E8E"/>
    <w:rsid w:val="23A302C8"/>
    <w:rsid w:val="23AB3DCA"/>
    <w:rsid w:val="23AE428F"/>
    <w:rsid w:val="23BB2A07"/>
    <w:rsid w:val="23CA04FD"/>
    <w:rsid w:val="23D66121"/>
    <w:rsid w:val="23DF4664"/>
    <w:rsid w:val="23EF4F44"/>
    <w:rsid w:val="24017C3E"/>
    <w:rsid w:val="242F4DFC"/>
    <w:rsid w:val="24693041"/>
    <w:rsid w:val="2478400A"/>
    <w:rsid w:val="24A977D4"/>
    <w:rsid w:val="24FB7B5E"/>
    <w:rsid w:val="24FD1BE4"/>
    <w:rsid w:val="251055D0"/>
    <w:rsid w:val="25162D83"/>
    <w:rsid w:val="253F3273"/>
    <w:rsid w:val="25482D76"/>
    <w:rsid w:val="256956B8"/>
    <w:rsid w:val="256B16A4"/>
    <w:rsid w:val="257F457A"/>
    <w:rsid w:val="25830BDD"/>
    <w:rsid w:val="2595447B"/>
    <w:rsid w:val="25AB53AA"/>
    <w:rsid w:val="25BC0A52"/>
    <w:rsid w:val="25CA6E03"/>
    <w:rsid w:val="25D90F8B"/>
    <w:rsid w:val="25ED5630"/>
    <w:rsid w:val="261F7052"/>
    <w:rsid w:val="26205CFD"/>
    <w:rsid w:val="263B1339"/>
    <w:rsid w:val="263D681D"/>
    <w:rsid w:val="2644389F"/>
    <w:rsid w:val="26495861"/>
    <w:rsid w:val="26546279"/>
    <w:rsid w:val="26637BAC"/>
    <w:rsid w:val="266807FF"/>
    <w:rsid w:val="26911AED"/>
    <w:rsid w:val="26AA28DA"/>
    <w:rsid w:val="26AC098C"/>
    <w:rsid w:val="26AF4030"/>
    <w:rsid w:val="26BE361E"/>
    <w:rsid w:val="26F02FAB"/>
    <w:rsid w:val="272145E0"/>
    <w:rsid w:val="274A7D75"/>
    <w:rsid w:val="275D1CBB"/>
    <w:rsid w:val="275E3610"/>
    <w:rsid w:val="276158EF"/>
    <w:rsid w:val="276A51E0"/>
    <w:rsid w:val="277B3338"/>
    <w:rsid w:val="277E33C0"/>
    <w:rsid w:val="27ED72B6"/>
    <w:rsid w:val="27F52CFD"/>
    <w:rsid w:val="280C0039"/>
    <w:rsid w:val="282D258B"/>
    <w:rsid w:val="28335757"/>
    <w:rsid w:val="285E0683"/>
    <w:rsid w:val="287E0D2C"/>
    <w:rsid w:val="28854F72"/>
    <w:rsid w:val="289B1D1F"/>
    <w:rsid w:val="28BA186B"/>
    <w:rsid w:val="28D864E0"/>
    <w:rsid w:val="28E32ED5"/>
    <w:rsid w:val="290D5247"/>
    <w:rsid w:val="293E7B47"/>
    <w:rsid w:val="294F1A4F"/>
    <w:rsid w:val="29814F03"/>
    <w:rsid w:val="29840174"/>
    <w:rsid w:val="298D119C"/>
    <w:rsid w:val="29A0418D"/>
    <w:rsid w:val="29B81621"/>
    <w:rsid w:val="29DB323E"/>
    <w:rsid w:val="29DD2601"/>
    <w:rsid w:val="29E91BC9"/>
    <w:rsid w:val="29E97234"/>
    <w:rsid w:val="29ED3EB9"/>
    <w:rsid w:val="29F9264C"/>
    <w:rsid w:val="29FD268B"/>
    <w:rsid w:val="2A157464"/>
    <w:rsid w:val="2A4337B1"/>
    <w:rsid w:val="2A546A20"/>
    <w:rsid w:val="2A5471DE"/>
    <w:rsid w:val="2A7218D1"/>
    <w:rsid w:val="2A824BDA"/>
    <w:rsid w:val="2A933706"/>
    <w:rsid w:val="2ABB4BDE"/>
    <w:rsid w:val="2AC453E9"/>
    <w:rsid w:val="2AD95212"/>
    <w:rsid w:val="2ADE530A"/>
    <w:rsid w:val="2AEC38E2"/>
    <w:rsid w:val="2B1C0BDC"/>
    <w:rsid w:val="2B4C4665"/>
    <w:rsid w:val="2B857D3F"/>
    <w:rsid w:val="2BB2438C"/>
    <w:rsid w:val="2BC22C7B"/>
    <w:rsid w:val="2BCA32A1"/>
    <w:rsid w:val="2C055696"/>
    <w:rsid w:val="2C070392"/>
    <w:rsid w:val="2C2D2F9C"/>
    <w:rsid w:val="2C551389"/>
    <w:rsid w:val="2C832291"/>
    <w:rsid w:val="2C863751"/>
    <w:rsid w:val="2CB2362F"/>
    <w:rsid w:val="2CC05081"/>
    <w:rsid w:val="2CC35888"/>
    <w:rsid w:val="2CDC700C"/>
    <w:rsid w:val="2CE0782C"/>
    <w:rsid w:val="2CEB1449"/>
    <w:rsid w:val="2D3C659B"/>
    <w:rsid w:val="2D4D5DA6"/>
    <w:rsid w:val="2D5A6233"/>
    <w:rsid w:val="2D6531C4"/>
    <w:rsid w:val="2D883B0E"/>
    <w:rsid w:val="2D8B3A56"/>
    <w:rsid w:val="2D95761B"/>
    <w:rsid w:val="2D9655B5"/>
    <w:rsid w:val="2D9B4C43"/>
    <w:rsid w:val="2DB60C0D"/>
    <w:rsid w:val="2DB66DAF"/>
    <w:rsid w:val="2DBF1738"/>
    <w:rsid w:val="2DED7AC1"/>
    <w:rsid w:val="2DF55C0B"/>
    <w:rsid w:val="2E007F3F"/>
    <w:rsid w:val="2E034032"/>
    <w:rsid w:val="2E110ADE"/>
    <w:rsid w:val="2E29498D"/>
    <w:rsid w:val="2E2E141D"/>
    <w:rsid w:val="2E360B90"/>
    <w:rsid w:val="2E521653"/>
    <w:rsid w:val="2E6D15F0"/>
    <w:rsid w:val="2E7B7104"/>
    <w:rsid w:val="2E7C7DB1"/>
    <w:rsid w:val="2E926146"/>
    <w:rsid w:val="2E9E2680"/>
    <w:rsid w:val="2EB7183E"/>
    <w:rsid w:val="2EBF5D80"/>
    <w:rsid w:val="2EC67B81"/>
    <w:rsid w:val="2EDC0239"/>
    <w:rsid w:val="2EED184C"/>
    <w:rsid w:val="2F547BA5"/>
    <w:rsid w:val="2F5D0C70"/>
    <w:rsid w:val="2F946053"/>
    <w:rsid w:val="2FB111C0"/>
    <w:rsid w:val="2FB250EE"/>
    <w:rsid w:val="2FBE1727"/>
    <w:rsid w:val="2FDC2796"/>
    <w:rsid w:val="300A04DE"/>
    <w:rsid w:val="301139A4"/>
    <w:rsid w:val="302A58D2"/>
    <w:rsid w:val="3034564F"/>
    <w:rsid w:val="3039561B"/>
    <w:rsid w:val="30581F1C"/>
    <w:rsid w:val="306A6F2E"/>
    <w:rsid w:val="306B6815"/>
    <w:rsid w:val="307811E2"/>
    <w:rsid w:val="308B7EDE"/>
    <w:rsid w:val="308C1105"/>
    <w:rsid w:val="308D292D"/>
    <w:rsid w:val="30996E7C"/>
    <w:rsid w:val="30AB43A0"/>
    <w:rsid w:val="30BB7024"/>
    <w:rsid w:val="30BC1158"/>
    <w:rsid w:val="30C16723"/>
    <w:rsid w:val="30E363D4"/>
    <w:rsid w:val="30E72B9B"/>
    <w:rsid w:val="31386DF1"/>
    <w:rsid w:val="31461845"/>
    <w:rsid w:val="31817BF1"/>
    <w:rsid w:val="318332DA"/>
    <w:rsid w:val="319B49F2"/>
    <w:rsid w:val="31D10FEE"/>
    <w:rsid w:val="31DA1919"/>
    <w:rsid w:val="31DB702A"/>
    <w:rsid w:val="31ED18E3"/>
    <w:rsid w:val="31EE3D4C"/>
    <w:rsid w:val="31F342AD"/>
    <w:rsid w:val="322B69F3"/>
    <w:rsid w:val="32997C5C"/>
    <w:rsid w:val="329F5D83"/>
    <w:rsid w:val="32A962C5"/>
    <w:rsid w:val="32AE67FE"/>
    <w:rsid w:val="32B85792"/>
    <w:rsid w:val="32BF1974"/>
    <w:rsid w:val="32C40656"/>
    <w:rsid w:val="32E74C9D"/>
    <w:rsid w:val="32EF63BD"/>
    <w:rsid w:val="3300581E"/>
    <w:rsid w:val="33092EC2"/>
    <w:rsid w:val="331204DD"/>
    <w:rsid w:val="331234A3"/>
    <w:rsid w:val="332D317D"/>
    <w:rsid w:val="3371460F"/>
    <w:rsid w:val="338623B5"/>
    <w:rsid w:val="33897800"/>
    <w:rsid w:val="33A54EF6"/>
    <w:rsid w:val="33C12B14"/>
    <w:rsid w:val="33C77CE4"/>
    <w:rsid w:val="33EB4BFC"/>
    <w:rsid w:val="341B0E39"/>
    <w:rsid w:val="3431171C"/>
    <w:rsid w:val="347608AD"/>
    <w:rsid w:val="34B071CB"/>
    <w:rsid w:val="34B45F97"/>
    <w:rsid w:val="34BE4ACD"/>
    <w:rsid w:val="34C533CE"/>
    <w:rsid w:val="34D44618"/>
    <w:rsid w:val="34DE1476"/>
    <w:rsid w:val="34E7797D"/>
    <w:rsid w:val="34F63FD9"/>
    <w:rsid w:val="350100F6"/>
    <w:rsid w:val="35081CE0"/>
    <w:rsid w:val="353225AF"/>
    <w:rsid w:val="35330164"/>
    <w:rsid w:val="35372BEB"/>
    <w:rsid w:val="354E62B7"/>
    <w:rsid w:val="357D18D4"/>
    <w:rsid w:val="3583106D"/>
    <w:rsid w:val="358D6E27"/>
    <w:rsid w:val="35AB1587"/>
    <w:rsid w:val="35DD7083"/>
    <w:rsid w:val="35F37613"/>
    <w:rsid w:val="35FB01E4"/>
    <w:rsid w:val="35FC2475"/>
    <w:rsid w:val="36000DEE"/>
    <w:rsid w:val="361075AA"/>
    <w:rsid w:val="3619247E"/>
    <w:rsid w:val="361C32E3"/>
    <w:rsid w:val="362D1EA8"/>
    <w:rsid w:val="363B4F21"/>
    <w:rsid w:val="36452244"/>
    <w:rsid w:val="365325D3"/>
    <w:rsid w:val="36604074"/>
    <w:rsid w:val="367A4AE9"/>
    <w:rsid w:val="36C733A6"/>
    <w:rsid w:val="36CF0F85"/>
    <w:rsid w:val="36F24313"/>
    <w:rsid w:val="37096D47"/>
    <w:rsid w:val="370A6DDC"/>
    <w:rsid w:val="37176A8D"/>
    <w:rsid w:val="371C4C0A"/>
    <w:rsid w:val="372F0C76"/>
    <w:rsid w:val="37332780"/>
    <w:rsid w:val="37461637"/>
    <w:rsid w:val="37906037"/>
    <w:rsid w:val="37B107DF"/>
    <w:rsid w:val="37EC2340"/>
    <w:rsid w:val="37F80541"/>
    <w:rsid w:val="38241723"/>
    <w:rsid w:val="383306CA"/>
    <w:rsid w:val="3848046A"/>
    <w:rsid w:val="3861044F"/>
    <w:rsid w:val="388C4B4A"/>
    <w:rsid w:val="388F3360"/>
    <w:rsid w:val="38A1487A"/>
    <w:rsid w:val="38B60CED"/>
    <w:rsid w:val="38C66435"/>
    <w:rsid w:val="38C72C82"/>
    <w:rsid w:val="38D0712F"/>
    <w:rsid w:val="38DB3934"/>
    <w:rsid w:val="390147D5"/>
    <w:rsid w:val="39155E83"/>
    <w:rsid w:val="391E4543"/>
    <w:rsid w:val="39213D6C"/>
    <w:rsid w:val="39297CD8"/>
    <w:rsid w:val="39555064"/>
    <w:rsid w:val="39DB0183"/>
    <w:rsid w:val="39E16FE0"/>
    <w:rsid w:val="3A00291E"/>
    <w:rsid w:val="3A024347"/>
    <w:rsid w:val="3A084041"/>
    <w:rsid w:val="3A0C5A88"/>
    <w:rsid w:val="3A1C4A68"/>
    <w:rsid w:val="3A22197C"/>
    <w:rsid w:val="3A3E0FB0"/>
    <w:rsid w:val="3A9A2DB6"/>
    <w:rsid w:val="3AC6747A"/>
    <w:rsid w:val="3AC8207F"/>
    <w:rsid w:val="3AF172AC"/>
    <w:rsid w:val="3B22543A"/>
    <w:rsid w:val="3B311067"/>
    <w:rsid w:val="3B6C3AF0"/>
    <w:rsid w:val="3B8C10A4"/>
    <w:rsid w:val="3BA5009C"/>
    <w:rsid w:val="3BCF1D4D"/>
    <w:rsid w:val="3BE00A47"/>
    <w:rsid w:val="3C0E4B8A"/>
    <w:rsid w:val="3C1E52CF"/>
    <w:rsid w:val="3C3057C7"/>
    <w:rsid w:val="3C8056A3"/>
    <w:rsid w:val="3CA95D3D"/>
    <w:rsid w:val="3CC83A56"/>
    <w:rsid w:val="3CCC31AE"/>
    <w:rsid w:val="3CF30D75"/>
    <w:rsid w:val="3D1F4448"/>
    <w:rsid w:val="3D3B7D83"/>
    <w:rsid w:val="3D680945"/>
    <w:rsid w:val="3DA151C8"/>
    <w:rsid w:val="3DC00F9C"/>
    <w:rsid w:val="3DCF21E6"/>
    <w:rsid w:val="3DCF76E3"/>
    <w:rsid w:val="3DDC080E"/>
    <w:rsid w:val="3E0301DA"/>
    <w:rsid w:val="3E1B096F"/>
    <w:rsid w:val="3E2B66F1"/>
    <w:rsid w:val="3E2F3297"/>
    <w:rsid w:val="3E432B3C"/>
    <w:rsid w:val="3E440CAA"/>
    <w:rsid w:val="3E6C6867"/>
    <w:rsid w:val="3ECB2D64"/>
    <w:rsid w:val="3EDC70DA"/>
    <w:rsid w:val="3EEA6653"/>
    <w:rsid w:val="3F0C1704"/>
    <w:rsid w:val="3F1F063F"/>
    <w:rsid w:val="3F344A27"/>
    <w:rsid w:val="3F395DA7"/>
    <w:rsid w:val="3F3D1A00"/>
    <w:rsid w:val="3F693D1E"/>
    <w:rsid w:val="3F7C08BE"/>
    <w:rsid w:val="3F8C4BB5"/>
    <w:rsid w:val="3FA928D2"/>
    <w:rsid w:val="3FAF1BDB"/>
    <w:rsid w:val="3FAF36F8"/>
    <w:rsid w:val="3FBF1DBF"/>
    <w:rsid w:val="4006412F"/>
    <w:rsid w:val="40164482"/>
    <w:rsid w:val="402079F7"/>
    <w:rsid w:val="402F10B7"/>
    <w:rsid w:val="40503E44"/>
    <w:rsid w:val="40BE135F"/>
    <w:rsid w:val="40C84DC0"/>
    <w:rsid w:val="40E63087"/>
    <w:rsid w:val="40EE74C4"/>
    <w:rsid w:val="41021FF2"/>
    <w:rsid w:val="412253B5"/>
    <w:rsid w:val="412325C1"/>
    <w:rsid w:val="413B7C4F"/>
    <w:rsid w:val="41476EF0"/>
    <w:rsid w:val="416A616F"/>
    <w:rsid w:val="417047AC"/>
    <w:rsid w:val="417D2BF0"/>
    <w:rsid w:val="41900C67"/>
    <w:rsid w:val="41D74163"/>
    <w:rsid w:val="41E536EA"/>
    <w:rsid w:val="41EC7D00"/>
    <w:rsid w:val="41F31C71"/>
    <w:rsid w:val="420402E9"/>
    <w:rsid w:val="42040900"/>
    <w:rsid w:val="42531840"/>
    <w:rsid w:val="425D57EC"/>
    <w:rsid w:val="42856D8B"/>
    <w:rsid w:val="429814D9"/>
    <w:rsid w:val="42A677C5"/>
    <w:rsid w:val="42B67B2F"/>
    <w:rsid w:val="42B73177"/>
    <w:rsid w:val="42C1330E"/>
    <w:rsid w:val="42D66CA8"/>
    <w:rsid w:val="42FA6838"/>
    <w:rsid w:val="42FE679E"/>
    <w:rsid w:val="43131DC9"/>
    <w:rsid w:val="43315492"/>
    <w:rsid w:val="43552B21"/>
    <w:rsid w:val="4363130B"/>
    <w:rsid w:val="43C42B2A"/>
    <w:rsid w:val="43D80BD9"/>
    <w:rsid w:val="43DD39C4"/>
    <w:rsid w:val="43E1472A"/>
    <w:rsid w:val="43E6427C"/>
    <w:rsid w:val="44070D31"/>
    <w:rsid w:val="440C341E"/>
    <w:rsid w:val="44401C4C"/>
    <w:rsid w:val="44452278"/>
    <w:rsid w:val="44557BD9"/>
    <w:rsid w:val="445A5731"/>
    <w:rsid w:val="446620DC"/>
    <w:rsid w:val="448E1330"/>
    <w:rsid w:val="44994749"/>
    <w:rsid w:val="44B17375"/>
    <w:rsid w:val="44CA5C96"/>
    <w:rsid w:val="44CB06C6"/>
    <w:rsid w:val="44D96A59"/>
    <w:rsid w:val="45053EB9"/>
    <w:rsid w:val="45115B17"/>
    <w:rsid w:val="451413DC"/>
    <w:rsid w:val="455F04A3"/>
    <w:rsid w:val="45656FCA"/>
    <w:rsid w:val="45697307"/>
    <w:rsid w:val="458A0E9B"/>
    <w:rsid w:val="45AA21AA"/>
    <w:rsid w:val="45B03354"/>
    <w:rsid w:val="45BE3AA1"/>
    <w:rsid w:val="45C102CA"/>
    <w:rsid w:val="45D77AC2"/>
    <w:rsid w:val="45ED4D64"/>
    <w:rsid w:val="45FB585D"/>
    <w:rsid w:val="460D03A3"/>
    <w:rsid w:val="46170337"/>
    <w:rsid w:val="461F33C6"/>
    <w:rsid w:val="466F718C"/>
    <w:rsid w:val="467E6CBC"/>
    <w:rsid w:val="468C2AF7"/>
    <w:rsid w:val="469F3795"/>
    <w:rsid w:val="46C4056F"/>
    <w:rsid w:val="4709536A"/>
    <w:rsid w:val="47130987"/>
    <w:rsid w:val="472D3102"/>
    <w:rsid w:val="47346345"/>
    <w:rsid w:val="474C22E0"/>
    <w:rsid w:val="475F108B"/>
    <w:rsid w:val="476201ED"/>
    <w:rsid w:val="47832239"/>
    <w:rsid w:val="479E0BF9"/>
    <w:rsid w:val="47CC2CBF"/>
    <w:rsid w:val="47E859E5"/>
    <w:rsid w:val="48015AC2"/>
    <w:rsid w:val="48026040"/>
    <w:rsid w:val="4806597B"/>
    <w:rsid w:val="4818686D"/>
    <w:rsid w:val="48290EA1"/>
    <w:rsid w:val="482F00F2"/>
    <w:rsid w:val="485D3FFB"/>
    <w:rsid w:val="485E3463"/>
    <w:rsid w:val="488126FE"/>
    <w:rsid w:val="48985421"/>
    <w:rsid w:val="48A90E72"/>
    <w:rsid w:val="48B66A37"/>
    <w:rsid w:val="48C45806"/>
    <w:rsid w:val="48D90BAA"/>
    <w:rsid w:val="48F60966"/>
    <w:rsid w:val="48F71B49"/>
    <w:rsid w:val="49003E15"/>
    <w:rsid w:val="49022E3C"/>
    <w:rsid w:val="490A5D06"/>
    <w:rsid w:val="493A64D3"/>
    <w:rsid w:val="49563556"/>
    <w:rsid w:val="495B46CC"/>
    <w:rsid w:val="49791ED9"/>
    <w:rsid w:val="4994738B"/>
    <w:rsid w:val="49AE1848"/>
    <w:rsid w:val="49BA4E94"/>
    <w:rsid w:val="49C47816"/>
    <w:rsid w:val="49D96ACF"/>
    <w:rsid w:val="49FA32DA"/>
    <w:rsid w:val="49FF6276"/>
    <w:rsid w:val="4A051234"/>
    <w:rsid w:val="4A106B86"/>
    <w:rsid w:val="4A4354C2"/>
    <w:rsid w:val="4A474308"/>
    <w:rsid w:val="4A5934BB"/>
    <w:rsid w:val="4A5F1F0B"/>
    <w:rsid w:val="4A6855C7"/>
    <w:rsid w:val="4A720EEF"/>
    <w:rsid w:val="4A75772A"/>
    <w:rsid w:val="4A8926F4"/>
    <w:rsid w:val="4AA91B97"/>
    <w:rsid w:val="4AAF31B1"/>
    <w:rsid w:val="4AC83507"/>
    <w:rsid w:val="4AD706A1"/>
    <w:rsid w:val="4B434E7D"/>
    <w:rsid w:val="4B637E36"/>
    <w:rsid w:val="4B6433FA"/>
    <w:rsid w:val="4B6603D5"/>
    <w:rsid w:val="4B7E054D"/>
    <w:rsid w:val="4B8E5A73"/>
    <w:rsid w:val="4B9716E8"/>
    <w:rsid w:val="4B981AFB"/>
    <w:rsid w:val="4BFB0D39"/>
    <w:rsid w:val="4C051483"/>
    <w:rsid w:val="4C165BC1"/>
    <w:rsid w:val="4C2E05AB"/>
    <w:rsid w:val="4C3460DC"/>
    <w:rsid w:val="4C647AC2"/>
    <w:rsid w:val="4C751E30"/>
    <w:rsid w:val="4C7B2918"/>
    <w:rsid w:val="4C93465E"/>
    <w:rsid w:val="4C934DD8"/>
    <w:rsid w:val="4C940FE0"/>
    <w:rsid w:val="4CA1734D"/>
    <w:rsid w:val="4CCF28A7"/>
    <w:rsid w:val="4CEE7232"/>
    <w:rsid w:val="4D1D334B"/>
    <w:rsid w:val="4D1F5259"/>
    <w:rsid w:val="4D310CE0"/>
    <w:rsid w:val="4D390510"/>
    <w:rsid w:val="4D3E10B1"/>
    <w:rsid w:val="4D496C1B"/>
    <w:rsid w:val="4D6B61CD"/>
    <w:rsid w:val="4D7609DC"/>
    <w:rsid w:val="4D764358"/>
    <w:rsid w:val="4DA274F8"/>
    <w:rsid w:val="4DCB4C25"/>
    <w:rsid w:val="4DCD485F"/>
    <w:rsid w:val="4DD62D90"/>
    <w:rsid w:val="4DEC7F03"/>
    <w:rsid w:val="4DF9198D"/>
    <w:rsid w:val="4E19786B"/>
    <w:rsid w:val="4E3C460A"/>
    <w:rsid w:val="4E3E69BC"/>
    <w:rsid w:val="4E3F10A8"/>
    <w:rsid w:val="4E4B26D4"/>
    <w:rsid w:val="4E547C4C"/>
    <w:rsid w:val="4E6B3D76"/>
    <w:rsid w:val="4E751922"/>
    <w:rsid w:val="4E7F48DD"/>
    <w:rsid w:val="4E846489"/>
    <w:rsid w:val="4E874D01"/>
    <w:rsid w:val="4E931ECD"/>
    <w:rsid w:val="4EB34DD0"/>
    <w:rsid w:val="4ECE788B"/>
    <w:rsid w:val="4EF505C2"/>
    <w:rsid w:val="4F0F4324"/>
    <w:rsid w:val="4F1E5F93"/>
    <w:rsid w:val="4F5416EE"/>
    <w:rsid w:val="4F573C87"/>
    <w:rsid w:val="4F5802AB"/>
    <w:rsid w:val="4F604D99"/>
    <w:rsid w:val="4F6F1C9B"/>
    <w:rsid w:val="4F966B1F"/>
    <w:rsid w:val="4F9B3E73"/>
    <w:rsid w:val="4FAF1E86"/>
    <w:rsid w:val="4FC709B6"/>
    <w:rsid w:val="50181D1A"/>
    <w:rsid w:val="502E4BEA"/>
    <w:rsid w:val="505A2966"/>
    <w:rsid w:val="507B2640"/>
    <w:rsid w:val="508B5174"/>
    <w:rsid w:val="50A8231C"/>
    <w:rsid w:val="50B05815"/>
    <w:rsid w:val="50BB0FB2"/>
    <w:rsid w:val="50ED07EA"/>
    <w:rsid w:val="50FE62A2"/>
    <w:rsid w:val="51032870"/>
    <w:rsid w:val="51062C7C"/>
    <w:rsid w:val="510A1923"/>
    <w:rsid w:val="5120599C"/>
    <w:rsid w:val="51205C57"/>
    <w:rsid w:val="5145465F"/>
    <w:rsid w:val="515E708D"/>
    <w:rsid w:val="5169663D"/>
    <w:rsid w:val="51C80F05"/>
    <w:rsid w:val="51CF5E24"/>
    <w:rsid w:val="51E03A19"/>
    <w:rsid w:val="51E7477B"/>
    <w:rsid w:val="51FC415A"/>
    <w:rsid w:val="522C7D55"/>
    <w:rsid w:val="52563E44"/>
    <w:rsid w:val="527F2428"/>
    <w:rsid w:val="52870E84"/>
    <w:rsid w:val="52BC1638"/>
    <w:rsid w:val="52D070F5"/>
    <w:rsid w:val="52D723B0"/>
    <w:rsid w:val="52E91D07"/>
    <w:rsid w:val="52FF75B0"/>
    <w:rsid w:val="53230164"/>
    <w:rsid w:val="534E0590"/>
    <w:rsid w:val="538700B3"/>
    <w:rsid w:val="53AD4E07"/>
    <w:rsid w:val="53CF4D8A"/>
    <w:rsid w:val="540727CA"/>
    <w:rsid w:val="5415503F"/>
    <w:rsid w:val="543E07CB"/>
    <w:rsid w:val="54485492"/>
    <w:rsid w:val="54546A52"/>
    <w:rsid w:val="548B557A"/>
    <w:rsid w:val="549A0E14"/>
    <w:rsid w:val="54B61333"/>
    <w:rsid w:val="54CD13A5"/>
    <w:rsid w:val="54CE60A9"/>
    <w:rsid w:val="54D71C0F"/>
    <w:rsid w:val="54ED7CD0"/>
    <w:rsid w:val="552134EF"/>
    <w:rsid w:val="55346F44"/>
    <w:rsid w:val="556548A8"/>
    <w:rsid w:val="556B26A8"/>
    <w:rsid w:val="556E70B3"/>
    <w:rsid w:val="55780BB3"/>
    <w:rsid w:val="557E5388"/>
    <w:rsid w:val="558420D1"/>
    <w:rsid w:val="559D25E7"/>
    <w:rsid w:val="55B8599C"/>
    <w:rsid w:val="55C44E8A"/>
    <w:rsid w:val="55C51D6D"/>
    <w:rsid w:val="55EC16DE"/>
    <w:rsid w:val="55FB7AE9"/>
    <w:rsid w:val="560260CC"/>
    <w:rsid w:val="560E2042"/>
    <w:rsid w:val="56285CD2"/>
    <w:rsid w:val="564C3BAF"/>
    <w:rsid w:val="565D20AB"/>
    <w:rsid w:val="567C73D4"/>
    <w:rsid w:val="56971C9D"/>
    <w:rsid w:val="56A13FD5"/>
    <w:rsid w:val="56AF212C"/>
    <w:rsid w:val="56B22FD9"/>
    <w:rsid w:val="56CD35B6"/>
    <w:rsid w:val="56CD5DF2"/>
    <w:rsid w:val="56EF0E1E"/>
    <w:rsid w:val="56F55E75"/>
    <w:rsid w:val="57085025"/>
    <w:rsid w:val="570925BD"/>
    <w:rsid w:val="570B2FE8"/>
    <w:rsid w:val="573A366B"/>
    <w:rsid w:val="5743412D"/>
    <w:rsid w:val="574A01C9"/>
    <w:rsid w:val="576443A8"/>
    <w:rsid w:val="57683EB8"/>
    <w:rsid w:val="57693DDD"/>
    <w:rsid w:val="57C91126"/>
    <w:rsid w:val="57C970C0"/>
    <w:rsid w:val="57CD20EB"/>
    <w:rsid w:val="57F13229"/>
    <w:rsid w:val="57F8518C"/>
    <w:rsid w:val="58055912"/>
    <w:rsid w:val="580F5F80"/>
    <w:rsid w:val="5841016D"/>
    <w:rsid w:val="5846331E"/>
    <w:rsid w:val="587161E6"/>
    <w:rsid w:val="58776A76"/>
    <w:rsid w:val="588F79F3"/>
    <w:rsid w:val="58B06C41"/>
    <w:rsid w:val="58BC2BEA"/>
    <w:rsid w:val="58C37E45"/>
    <w:rsid w:val="58DD4BC6"/>
    <w:rsid w:val="58E50E83"/>
    <w:rsid w:val="58EC47E3"/>
    <w:rsid w:val="58F637C8"/>
    <w:rsid w:val="58FA1C78"/>
    <w:rsid w:val="59031FEF"/>
    <w:rsid w:val="59114924"/>
    <w:rsid w:val="591B5DC0"/>
    <w:rsid w:val="591E35A8"/>
    <w:rsid w:val="59351969"/>
    <w:rsid w:val="594A0D9A"/>
    <w:rsid w:val="59530AC8"/>
    <w:rsid w:val="596140D0"/>
    <w:rsid w:val="59625C13"/>
    <w:rsid w:val="596F395C"/>
    <w:rsid w:val="5976348A"/>
    <w:rsid w:val="59835F75"/>
    <w:rsid w:val="598A1B97"/>
    <w:rsid w:val="59A8766A"/>
    <w:rsid w:val="59BB5DF4"/>
    <w:rsid w:val="59C70C07"/>
    <w:rsid w:val="59E747F4"/>
    <w:rsid w:val="59F438C7"/>
    <w:rsid w:val="59FB7D2C"/>
    <w:rsid w:val="5A326BBE"/>
    <w:rsid w:val="5A35296A"/>
    <w:rsid w:val="5AAF4577"/>
    <w:rsid w:val="5ABF7889"/>
    <w:rsid w:val="5ACA0880"/>
    <w:rsid w:val="5AEC5D6B"/>
    <w:rsid w:val="5AEE6F3F"/>
    <w:rsid w:val="5B17524C"/>
    <w:rsid w:val="5B3C24AE"/>
    <w:rsid w:val="5B530B81"/>
    <w:rsid w:val="5B5A43D2"/>
    <w:rsid w:val="5B6202AD"/>
    <w:rsid w:val="5B6A0214"/>
    <w:rsid w:val="5B6A078A"/>
    <w:rsid w:val="5B725AC7"/>
    <w:rsid w:val="5B7D66A9"/>
    <w:rsid w:val="5B7F6419"/>
    <w:rsid w:val="5B827C48"/>
    <w:rsid w:val="5B8B15FE"/>
    <w:rsid w:val="5BAC00C5"/>
    <w:rsid w:val="5BB03FDE"/>
    <w:rsid w:val="5BEC6454"/>
    <w:rsid w:val="5BF36CFF"/>
    <w:rsid w:val="5C003D71"/>
    <w:rsid w:val="5C417470"/>
    <w:rsid w:val="5C4D757B"/>
    <w:rsid w:val="5C62594C"/>
    <w:rsid w:val="5C814268"/>
    <w:rsid w:val="5C86422F"/>
    <w:rsid w:val="5C996AC3"/>
    <w:rsid w:val="5CBD6243"/>
    <w:rsid w:val="5CBE65F9"/>
    <w:rsid w:val="5CEB1947"/>
    <w:rsid w:val="5CFB35C0"/>
    <w:rsid w:val="5CFE0B84"/>
    <w:rsid w:val="5D107DC0"/>
    <w:rsid w:val="5D2A2F13"/>
    <w:rsid w:val="5D2D4F79"/>
    <w:rsid w:val="5D626994"/>
    <w:rsid w:val="5DA455A5"/>
    <w:rsid w:val="5DAC00DF"/>
    <w:rsid w:val="5DAF1081"/>
    <w:rsid w:val="5DB07439"/>
    <w:rsid w:val="5DC4160C"/>
    <w:rsid w:val="5DCE69CD"/>
    <w:rsid w:val="5DCF2EB6"/>
    <w:rsid w:val="5DDF34F5"/>
    <w:rsid w:val="5DF5356B"/>
    <w:rsid w:val="5E0B0FBC"/>
    <w:rsid w:val="5E0B226E"/>
    <w:rsid w:val="5E4B0CBE"/>
    <w:rsid w:val="5E6A153A"/>
    <w:rsid w:val="5E772514"/>
    <w:rsid w:val="5E773F6F"/>
    <w:rsid w:val="5E7D14CB"/>
    <w:rsid w:val="5E84241E"/>
    <w:rsid w:val="5E9616E7"/>
    <w:rsid w:val="5E982EE0"/>
    <w:rsid w:val="5EB714AD"/>
    <w:rsid w:val="5EDE105F"/>
    <w:rsid w:val="5EE711B4"/>
    <w:rsid w:val="5F10230A"/>
    <w:rsid w:val="5F132775"/>
    <w:rsid w:val="5F37360D"/>
    <w:rsid w:val="5F49229E"/>
    <w:rsid w:val="5F684F25"/>
    <w:rsid w:val="5F6E48EF"/>
    <w:rsid w:val="5F7073BF"/>
    <w:rsid w:val="5F760A23"/>
    <w:rsid w:val="5F817211"/>
    <w:rsid w:val="5F914557"/>
    <w:rsid w:val="5F93326D"/>
    <w:rsid w:val="5FA66240"/>
    <w:rsid w:val="5FC22F48"/>
    <w:rsid w:val="5FC52C53"/>
    <w:rsid w:val="5FC554F9"/>
    <w:rsid w:val="5FC6028B"/>
    <w:rsid w:val="5FC91C09"/>
    <w:rsid w:val="5FCB6C9D"/>
    <w:rsid w:val="5FD95375"/>
    <w:rsid w:val="5FDF438C"/>
    <w:rsid w:val="5FE175D9"/>
    <w:rsid w:val="5FED4422"/>
    <w:rsid w:val="600F3C6C"/>
    <w:rsid w:val="603431AE"/>
    <w:rsid w:val="604A6D49"/>
    <w:rsid w:val="60AB0DF5"/>
    <w:rsid w:val="60C61CEC"/>
    <w:rsid w:val="60CC3C96"/>
    <w:rsid w:val="60D7093C"/>
    <w:rsid w:val="60EC2501"/>
    <w:rsid w:val="60EF79BC"/>
    <w:rsid w:val="60F87F31"/>
    <w:rsid w:val="61104A26"/>
    <w:rsid w:val="61240A21"/>
    <w:rsid w:val="612B5987"/>
    <w:rsid w:val="613500C5"/>
    <w:rsid w:val="61471A2E"/>
    <w:rsid w:val="6148017D"/>
    <w:rsid w:val="614A0AA6"/>
    <w:rsid w:val="616022A7"/>
    <w:rsid w:val="616E25AD"/>
    <w:rsid w:val="6170586C"/>
    <w:rsid w:val="61807D53"/>
    <w:rsid w:val="6199549E"/>
    <w:rsid w:val="61DD4B30"/>
    <w:rsid w:val="61E26EDC"/>
    <w:rsid w:val="61F82FFA"/>
    <w:rsid w:val="62405901"/>
    <w:rsid w:val="626A0712"/>
    <w:rsid w:val="62990AE3"/>
    <w:rsid w:val="62DA3D9A"/>
    <w:rsid w:val="62E658D4"/>
    <w:rsid w:val="63586784"/>
    <w:rsid w:val="6371469D"/>
    <w:rsid w:val="63750C45"/>
    <w:rsid w:val="63916F28"/>
    <w:rsid w:val="639A6ED2"/>
    <w:rsid w:val="63AB46BD"/>
    <w:rsid w:val="63EB1878"/>
    <w:rsid w:val="63F033C2"/>
    <w:rsid w:val="642549B8"/>
    <w:rsid w:val="642678DA"/>
    <w:rsid w:val="643B0262"/>
    <w:rsid w:val="6443661D"/>
    <w:rsid w:val="64814DC1"/>
    <w:rsid w:val="64B25D2F"/>
    <w:rsid w:val="64B42EB5"/>
    <w:rsid w:val="64BF4BCA"/>
    <w:rsid w:val="64C31559"/>
    <w:rsid w:val="651064EF"/>
    <w:rsid w:val="651B5E29"/>
    <w:rsid w:val="65220114"/>
    <w:rsid w:val="652D0934"/>
    <w:rsid w:val="652F3D17"/>
    <w:rsid w:val="653063AB"/>
    <w:rsid w:val="6536207A"/>
    <w:rsid w:val="655C17E5"/>
    <w:rsid w:val="65B473BF"/>
    <w:rsid w:val="65C45EC7"/>
    <w:rsid w:val="65EF0909"/>
    <w:rsid w:val="65FE13CB"/>
    <w:rsid w:val="660E569F"/>
    <w:rsid w:val="66107137"/>
    <w:rsid w:val="66130CF9"/>
    <w:rsid w:val="66135AE1"/>
    <w:rsid w:val="66340F54"/>
    <w:rsid w:val="66345BE8"/>
    <w:rsid w:val="66365C97"/>
    <w:rsid w:val="663B0F44"/>
    <w:rsid w:val="66411FBE"/>
    <w:rsid w:val="66720A3B"/>
    <w:rsid w:val="6678610B"/>
    <w:rsid w:val="668226A1"/>
    <w:rsid w:val="668460E0"/>
    <w:rsid w:val="669E44D1"/>
    <w:rsid w:val="66BC5967"/>
    <w:rsid w:val="66CD7E07"/>
    <w:rsid w:val="66CE14BB"/>
    <w:rsid w:val="66DF223F"/>
    <w:rsid w:val="66F138A8"/>
    <w:rsid w:val="670E0CB6"/>
    <w:rsid w:val="67113266"/>
    <w:rsid w:val="673E7B95"/>
    <w:rsid w:val="67517A37"/>
    <w:rsid w:val="675E17FD"/>
    <w:rsid w:val="676E458A"/>
    <w:rsid w:val="67B27289"/>
    <w:rsid w:val="67DE5F73"/>
    <w:rsid w:val="68026E74"/>
    <w:rsid w:val="680B110A"/>
    <w:rsid w:val="68194A4D"/>
    <w:rsid w:val="6826276A"/>
    <w:rsid w:val="68283843"/>
    <w:rsid w:val="683D512D"/>
    <w:rsid w:val="684B76AA"/>
    <w:rsid w:val="684D472B"/>
    <w:rsid w:val="686E5BB4"/>
    <w:rsid w:val="688C78F3"/>
    <w:rsid w:val="68A214CE"/>
    <w:rsid w:val="68A62B31"/>
    <w:rsid w:val="68BE5593"/>
    <w:rsid w:val="68D071B5"/>
    <w:rsid w:val="68F631D5"/>
    <w:rsid w:val="69030390"/>
    <w:rsid w:val="691124A6"/>
    <w:rsid w:val="691565A2"/>
    <w:rsid w:val="692D4180"/>
    <w:rsid w:val="693071D1"/>
    <w:rsid w:val="694C5544"/>
    <w:rsid w:val="695E1C9B"/>
    <w:rsid w:val="696A7D45"/>
    <w:rsid w:val="69711094"/>
    <w:rsid w:val="698B1EAA"/>
    <w:rsid w:val="6991300A"/>
    <w:rsid w:val="69B11567"/>
    <w:rsid w:val="69E63DA5"/>
    <w:rsid w:val="6A0B6164"/>
    <w:rsid w:val="6A0B7CAC"/>
    <w:rsid w:val="6A2530CD"/>
    <w:rsid w:val="6A3F4B44"/>
    <w:rsid w:val="6A767940"/>
    <w:rsid w:val="6A8702CE"/>
    <w:rsid w:val="6A96278C"/>
    <w:rsid w:val="6AAB6638"/>
    <w:rsid w:val="6AC64E3A"/>
    <w:rsid w:val="6ACA3B53"/>
    <w:rsid w:val="6AD80A57"/>
    <w:rsid w:val="6AD83074"/>
    <w:rsid w:val="6ADF30D7"/>
    <w:rsid w:val="6AEC7FA6"/>
    <w:rsid w:val="6B015D49"/>
    <w:rsid w:val="6B1F3981"/>
    <w:rsid w:val="6B386F3D"/>
    <w:rsid w:val="6B3F7A6C"/>
    <w:rsid w:val="6B4A06B0"/>
    <w:rsid w:val="6B526AFF"/>
    <w:rsid w:val="6B547775"/>
    <w:rsid w:val="6B8C5DC0"/>
    <w:rsid w:val="6B926804"/>
    <w:rsid w:val="6BAF5D18"/>
    <w:rsid w:val="6BD85211"/>
    <w:rsid w:val="6BE1256C"/>
    <w:rsid w:val="6BEA4587"/>
    <w:rsid w:val="6BF17577"/>
    <w:rsid w:val="6BF302FF"/>
    <w:rsid w:val="6BF62E0C"/>
    <w:rsid w:val="6BFC7753"/>
    <w:rsid w:val="6BFF58F6"/>
    <w:rsid w:val="6C1A0D74"/>
    <w:rsid w:val="6C22550C"/>
    <w:rsid w:val="6C334082"/>
    <w:rsid w:val="6C6626E3"/>
    <w:rsid w:val="6C662C4E"/>
    <w:rsid w:val="6C6B6D88"/>
    <w:rsid w:val="6C6E2AEC"/>
    <w:rsid w:val="6C762D8F"/>
    <w:rsid w:val="6C782A69"/>
    <w:rsid w:val="6C8E114B"/>
    <w:rsid w:val="6CA312CD"/>
    <w:rsid w:val="6CBA10CF"/>
    <w:rsid w:val="6CDB2174"/>
    <w:rsid w:val="6CE20B7D"/>
    <w:rsid w:val="6CF62758"/>
    <w:rsid w:val="6D3163D3"/>
    <w:rsid w:val="6D34441D"/>
    <w:rsid w:val="6D3B47A6"/>
    <w:rsid w:val="6D483DE7"/>
    <w:rsid w:val="6D5B5F2B"/>
    <w:rsid w:val="6D7664AF"/>
    <w:rsid w:val="6D8C5F9F"/>
    <w:rsid w:val="6D8F609F"/>
    <w:rsid w:val="6DCE79C6"/>
    <w:rsid w:val="6DD51CD2"/>
    <w:rsid w:val="6DF47F72"/>
    <w:rsid w:val="6E03169E"/>
    <w:rsid w:val="6E093526"/>
    <w:rsid w:val="6E0B43ED"/>
    <w:rsid w:val="6E0F0FDE"/>
    <w:rsid w:val="6E1B3F67"/>
    <w:rsid w:val="6E202BC7"/>
    <w:rsid w:val="6E2223C1"/>
    <w:rsid w:val="6E690C17"/>
    <w:rsid w:val="6E783EED"/>
    <w:rsid w:val="6E7D56A3"/>
    <w:rsid w:val="6E9E6DE2"/>
    <w:rsid w:val="6EAD44BB"/>
    <w:rsid w:val="6EB47DBF"/>
    <w:rsid w:val="6ECC2F07"/>
    <w:rsid w:val="6EE06106"/>
    <w:rsid w:val="6EF729AB"/>
    <w:rsid w:val="6F0E2317"/>
    <w:rsid w:val="6F105BA0"/>
    <w:rsid w:val="6F321767"/>
    <w:rsid w:val="6F655E08"/>
    <w:rsid w:val="6F9E422F"/>
    <w:rsid w:val="6F9F02B2"/>
    <w:rsid w:val="6FC27461"/>
    <w:rsid w:val="6FC71D13"/>
    <w:rsid w:val="6FDB5ED8"/>
    <w:rsid w:val="6FDF692D"/>
    <w:rsid w:val="70004EC4"/>
    <w:rsid w:val="70054296"/>
    <w:rsid w:val="702F6F1D"/>
    <w:rsid w:val="708176D1"/>
    <w:rsid w:val="70A40561"/>
    <w:rsid w:val="70D03517"/>
    <w:rsid w:val="70D46B74"/>
    <w:rsid w:val="70E43CE1"/>
    <w:rsid w:val="710F1327"/>
    <w:rsid w:val="711377B8"/>
    <w:rsid w:val="71273FA1"/>
    <w:rsid w:val="714F6A24"/>
    <w:rsid w:val="7152183E"/>
    <w:rsid w:val="715F3DE9"/>
    <w:rsid w:val="71A34F9A"/>
    <w:rsid w:val="71CB289A"/>
    <w:rsid w:val="72245008"/>
    <w:rsid w:val="7224755A"/>
    <w:rsid w:val="722F3BEC"/>
    <w:rsid w:val="72346A12"/>
    <w:rsid w:val="72537A2C"/>
    <w:rsid w:val="727123A3"/>
    <w:rsid w:val="727A5785"/>
    <w:rsid w:val="72A539E6"/>
    <w:rsid w:val="72E6405E"/>
    <w:rsid w:val="730048C9"/>
    <w:rsid w:val="731A55B0"/>
    <w:rsid w:val="73511E13"/>
    <w:rsid w:val="738E738B"/>
    <w:rsid w:val="73A159D5"/>
    <w:rsid w:val="73EB2712"/>
    <w:rsid w:val="73FD4900"/>
    <w:rsid w:val="740013BE"/>
    <w:rsid w:val="744317E0"/>
    <w:rsid w:val="74450F3F"/>
    <w:rsid w:val="745665A3"/>
    <w:rsid w:val="746F221E"/>
    <w:rsid w:val="746F4466"/>
    <w:rsid w:val="74711172"/>
    <w:rsid w:val="74800DE0"/>
    <w:rsid w:val="74850FA3"/>
    <w:rsid w:val="74BE27A9"/>
    <w:rsid w:val="74C306D0"/>
    <w:rsid w:val="74E1117E"/>
    <w:rsid w:val="74E73999"/>
    <w:rsid w:val="75000F70"/>
    <w:rsid w:val="752141B2"/>
    <w:rsid w:val="75307DA8"/>
    <w:rsid w:val="75337673"/>
    <w:rsid w:val="756273A8"/>
    <w:rsid w:val="756375D4"/>
    <w:rsid w:val="7578061A"/>
    <w:rsid w:val="75800318"/>
    <w:rsid w:val="758B51E5"/>
    <w:rsid w:val="7594786A"/>
    <w:rsid w:val="75952B4B"/>
    <w:rsid w:val="75A91B7B"/>
    <w:rsid w:val="75C41747"/>
    <w:rsid w:val="75F3613A"/>
    <w:rsid w:val="75F46F2C"/>
    <w:rsid w:val="76087A16"/>
    <w:rsid w:val="763F7892"/>
    <w:rsid w:val="7674730B"/>
    <w:rsid w:val="76804280"/>
    <w:rsid w:val="7683775D"/>
    <w:rsid w:val="769210FB"/>
    <w:rsid w:val="76C30678"/>
    <w:rsid w:val="76F06858"/>
    <w:rsid w:val="7713302C"/>
    <w:rsid w:val="77136A2D"/>
    <w:rsid w:val="773F00B5"/>
    <w:rsid w:val="77445D1A"/>
    <w:rsid w:val="776F655D"/>
    <w:rsid w:val="778911F3"/>
    <w:rsid w:val="778F6DA7"/>
    <w:rsid w:val="77944D4C"/>
    <w:rsid w:val="77991202"/>
    <w:rsid w:val="77A271B3"/>
    <w:rsid w:val="77AD1753"/>
    <w:rsid w:val="77AF5682"/>
    <w:rsid w:val="77CB5AC9"/>
    <w:rsid w:val="77FF023F"/>
    <w:rsid w:val="78194131"/>
    <w:rsid w:val="782112B1"/>
    <w:rsid w:val="782C408D"/>
    <w:rsid w:val="7879346A"/>
    <w:rsid w:val="78C651E8"/>
    <w:rsid w:val="78C718E2"/>
    <w:rsid w:val="78DB0A49"/>
    <w:rsid w:val="78DC57A0"/>
    <w:rsid w:val="78F2466F"/>
    <w:rsid w:val="79132357"/>
    <w:rsid w:val="792B1401"/>
    <w:rsid w:val="793C03C5"/>
    <w:rsid w:val="79474056"/>
    <w:rsid w:val="79650D4B"/>
    <w:rsid w:val="79BB424A"/>
    <w:rsid w:val="79C40F42"/>
    <w:rsid w:val="79C91C92"/>
    <w:rsid w:val="79CE6679"/>
    <w:rsid w:val="7A0A576D"/>
    <w:rsid w:val="7A0B5E51"/>
    <w:rsid w:val="7A110017"/>
    <w:rsid w:val="7A343FE5"/>
    <w:rsid w:val="7A557FF1"/>
    <w:rsid w:val="7A5B5644"/>
    <w:rsid w:val="7A5D0C82"/>
    <w:rsid w:val="7A715F12"/>
    <w:rsid w:val="7AA349F6"/>
    <w:rsid w:val="7AA900A0"/>
    <w:rsid w:val="7ACD61FF"/>
    <w:rsid w:val="7B266055"/>
    <w:rsid w:val="7B2F5EA3"/>
    <w:rsid w:val="7B4F0952"/>
    <w:rsid w:val="7B5A473A"/>
    <w:rsid w:val="7B5C4060"/>
    <w:rsid w:val="7B616243"/>
    <w:rsid w:val="7B6E63B2"/>
    <w:rsid w:val="7B963FEE"/>
    <w:rsid w:val="7BA851CF"/>
    <w:rsid w:val="7BB54910"/>
    <w:rsid w:val="7BB61BF2"/>
    <w:rsid w:val="7BCC7612"/>
    <w:rsid w:val="7BD5542D"/>
    <w:rsid w:val="7BD63BC4"/>
    <w:rsid w:val="7BE01F2B"/>
    <w:rsid w:val="7BF13B58"/>
    <w:rsid w:val="7C1C212F"/>
    <w:rsid w:val="7C2A1290"/>
    <w:rsid w:val="7C5108ED"/>
    <w:rsid w:val="7C630007"/>
    <w:rsid w:val="7C637794"/>
    <w:rsid w:val="7C6B2BEC"/>
    <w:rsid w:val="7C7E0507"/>
    <w:rsid w:val="7C872DCE"/>
    <w:rsid w:val="7C8D4593"/>
    <w:rsid w:val="7C9C6253"/>
    <w:rsid w:val="7CA22103"/>
    <w:rsid w:val="7CB264CD"/>
    <w:rsid w:val="7CC54136"/>
    <w:rsid w:val="7CCC3AF7"/>
    <w:rsid w:val="7CFF4D5A"/>
    <w:rsid w:val="7D1F324E"/>
    <w:rsid w:val="7D300344"/>
    <w:rsid w:val="7D5C1D3A"/>
    <w:rsid w:val="7D812EA1"/>
    <w:rsid w:val="7D8D0E31"/>
    <w:rsid w:val="7D90016A"/>
    <w:rsid w:val="7D9508F0"/>
    <w:rsid w:val="7D9760F4"/>
    <w:rsid w:val="7DA80BC8"/>
    <w:rsid w:val="7DAC507A"/>
    <w:rsid w:val="7DBE0AFF"/>
    <w:rsid w:val="7DC01F88"/>
    <w:rsid w:val="7DD16438"/>
    <w:rsid w:val="7DE35A22"/>
    <w:rsid w:val="7DEB0C97"/>
    <w:rsid w:val="7DFE49EC"/>
    <w:rsid w:val="7E05110C"/>
    <w:rsid w:val="7E102E1B"/>
    <w:rsid w:val="7E2B7079"/>
    <w:rsid w:val="7E306B12"/>
    <w:rsid w:val="7E3C241E"/>
    <w:rsid w:val="7E5019F3"/>
    <w:rsid w:val="7E6C1950"/>
    <w:rsid w:val="7E8A5090"/>
    <w:rsid w:val="7E941F8F"/>
    <w:rsid w:val="7EA05EF0"/>
    <w:rsid w:val="7F0238CB"/>
    <w:rsid w:val="7F09056F"/>
    <w:rsid w:val="7F100237"/>
    <w:rsid w:val="7F4740EE"/>
    <w:rsid w:val="7F4805E0"/>
    <w:rsid w:val="7FA45A43"/>
    <w:rsid w:val="7FA93127"/>
    <w:rsid w:val="7FB02405"/>
    <w:rsid w:val="7FB165F7"/>
    <w:rsid w:val="7FB47FBA"/>
    <w:rsid w:val="7FC84B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35"/>
    <w:qFormat/>
    <w:uiPriority w:val="0"/>
    <w:pPr>
      <w:spacing w:line="400" w:lineRule="exact"/>
      <w:ind w:left="-1" w:firstLine="480" w:firstLineChars="200"/>
    </w:pPr>
    <w:rPr>
      <w:rFonts w:ascii="楷体_GB2312" w:eastAsia="楷体_GB2312"/>
      <w:kern w:val="0"/>
      <w:sz w:val="24"/>
    </w:rPr>
  </w:style>
  <w:style w:type="paragraph" w:styleId="5">
    <w:name w:val="Document Map"/>
    <w:basedOn w:val="1"/>
    <w:link w:val="36"/>
    <w:qFormat/>
    <w:uiPriority w:val="0"/>
    <w:pPr>
      <w:shd w:val="clear" w:color="auto" w:fill="000080"/>
    </w:pPr>
    <w:rPr>
      <w:kern w:val="0"/>
      <w:sz w:val="20"/>
    </w:rPr>
  </w:style>
  <w:style w:type="paragraph" w:styleId="6">
    <w:name w:val="annotation text"/>
    <w:basedOn w:val="1"/>
    <w:qFormat/>
    <w:uiPriority w:val="0"/>
    <w:pPr>
      <w:jc w:val="left"/>
    </w:pPr>
  </w:style>
  <w:style w:type="paragraph" w:styleId="7">
    <w:name w:val="Body Text"/>
    <w:basedOn w:val="1"/>
    <w:link w:val="31"/>
    <w:qFormat/>
    <w:uiPriority w:val="0"/>
    <w:pPr>
      <w:spacing w:after="120"/>
    </w:pPr>
    <w:rPr>
      <w:rFonts w:asciiTheme="minorHAnsi" w:hAnsiTheme="minorHAnsi" w:eastAsiaTheme="minorEastAsia" w:cstheme="minorBidi"/>
    </w:rPr>
  </w:style>
  <w:style w:type="paragraph" w:styleId="8">
    <w:name w:val="Body Text Indent"/>
    <w:basedOn w:val="1"/>
    <w:next w:val="9"/>
    <w:link w:val="38"/>
    <w:qFormat/>
    <w:uiPriority w:val="0"/>
    <w:pPr>
      <w:spacing w:line="400" w:lineRule="exact"/>
      <w:ind w:firstLine="515"/>
    </w:pPr>
    <w:rPr>
      <w:rFonts w:ascii="楷体_GB2312" w:eastAsia="楷体_GB2312"/>
      <w:b/>
      <w:bCs/>
      <w:kern w:val="0"/>
      <w:sz w:val="24"/>
    </w:rPr>
  </w:style>
  <w:style w:type="paragraph" w:styleId="9">
    <w:name w:val="envelope return"/>
    <w:basedOn w:val="1"/>
    <w:qFormat/>
    <w:uiPriority w:val="0"/>
    <w:pPr>
      <w:snapToGrid w:val="0"/>
    </w:pPr>
    <w:rPr>
      <w:rFonts w:ascii="Arial" w:hAnsi="Arial"/>
    </w:rPr>
  </w:style>
  <w:style w:type="paragraph" w:styleId="10">
    <w:name w:val="Block Text"/>
    <w:basedOn w:val="1"/>
    <w:qFormat/>
    <w:uiPriority w:val="99"/>
    <w:pPr>
      <w:spacing w:after="120"/>
      <w:ind w:left="1440" w:leftChars="700" w:right="1440" w:rightChars="700"/>
    </w:pPr>
  </w:style>
  <w:style w:type="paragraph" w:styleId="11">
    <w:name w:val="Plain Text"/>
    <w:basedOn w:val="1"/>
    <w:link w:val="37"/>
    <w:qFormat/>
    <w:uiPriority w:val="0"/>
    <w:rPr>
      <w:rFonts w:ascii="宋体" w:hAnsi="Courier New"/>
      <w:kern w:val="0"/>
      <w:sz w:val="20"/>
      <w:szCs w:val="21"/>
    </w:rPr>
  </w:style>
  <w:style w:type="paragraph" w:styleId="12">
    <w:name w:val="Date"/>
    <w:basedOn w:val="1"/>
    <w:next w:val="1"/>
    <w:link w:val="32"/>
    <w:qFormat/>
    <w:uiPriority w:val="0"/>
    <w:pPr>
      <w:ind w:left="100" w:leftChars="2500"/>
    </w:pPr>
    <w:rPr>
      <w:kern w:val="0"/>
      <w:sz w:val="28"/>
    </w:rPr>
  </w:style>
  <w:style w:type="paragraph" w:styleId="13">
    <w:name w:val="Balloon Text"/>
    <w:basedOn w:val="1"/>
    <w:link w:val="33"/>
    <w:qFormat/>
    <w:uiPriority w:val="0"/>
    <w:rPr>
      <w:kern w:val="0"/>
      <w:sz w:val="18"/>
      <w:szCs w:val="18"/>
    </w:rPr>
  </w:style>
  <w:style w:type="paragraph" w:styleId="14">
    <w:name w:val="footer"/>
    <w:basedOn w:val="1"/>
    <w:link w:val="28"/>
    <w:unhideWhenUsed/>
    <w:qFormat/>
    <w:uiPriority w:val="99"/>
    <w:pPr>
      <w:tabs>
        <w:tab w:val="center" w:pos="4153"/>
        <w:tab w:val="right" w:pos="8306"/>
      </w:tabs>
      <w:snapToGrid w:val="0"/>
      <w:jc w:val="left"/>
    </w:pPr>
    <w:rPr>
      <w:sz w:val="18"/>
      <w:szCs w:val="18"/>
    </w:rPr>
  </w:style>
  <w:style w:type="paragraph" w:styleId="15">
    <w:name w:val="header"/>
    <w:basedOn w:val="1"/>
    <w:link w:val="27"/>
    <w:unhideWhenUsed/>
    <w:qFormat/>
    <w:uiPriority w:val="99"/>
    <w:pPr>
      <w:tabs>
        <w:tab w:val="center" w:pos="4153"/>
        <w:tab w:val="right" w:pos="8306"/>
      </w:tabs>
      <w:snapToGrid w:val="0"/>
      <w:jc w:val="center"/>
    </w:pPr>
    <w:rPr>
      <w:sz w:val="18"/>
      <w:szCs w:val="18"/>
    </w:rPr>
  </w:style>
  <w:style w:type="paragraph" w:styleId="16">
    <w:name w:val="Body Text Indent 3"/>
    <w:basedOn w:val="1"/>
    <w:link w:val="39"/>
    <w:qFormat/>
    <w:uiPriority w:val="0"/>
    <w:pPr>
      <w:spacing w:line="440" w:lineRule="exact"/>
      <w:ind w:firstLine="540"/>
    </w:pPr>
    <w:rPr>
      <w:rFonts w:ascii="楷体_GB2312" w:eastAsia="楷体_GB2312"/>
      <w:bCs/>
      <w:kern w:val="0"/>
      <w:sz w:val="24"/>
    </w:rPr>
  </w:style>
  <w:style w:type="paragraph" w:styleId="17">
    <w:name w:val="HTML Preformatted"/>
    <w:basedOn w:val="1"/>
    <w:link w:val="4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9">
    <w:name w:val="Body Text First Indent 2"/>
    <w:basedOn w:val="8"/>
    <w:qFormat/>
    <w:uiPriority w:val="0"/>
    <w:pPr>
      <w:spacing w:after="120" w:line="240" w:lineRule="auto"/>
      <w:ind w:left="420" w:leftChars="200" w:firstLine="420" w:firstLineChars="200"/>
    </w:pPr>
    <w:rPr>
      <w:sz w:val="21"/>
    </w:rPr>
  </w:style>
  <w:style w:type="table" w:styleId="21">
    <w:name w:val="Table Grid"/>
    <w:basedOn w:val="2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3">
    <w:name w:val="page number"/>
    <w:basedOn w:val="22"/>
    <w:qFormat/>
    <w:uiPriority w:val="0"/>
  </w:style>
  <w:style w:type="character" w:styleId="24">
    <w:name w:val="FollowedHyperlink"/>
    <w:basedOn w:val="22"/>
    <w:qFormat/>
    <w:uiPriority w:val="0"/>
    <w:rPr>
      <w:color w:val="555555"/>
      <w:u w:val="none"/>
    </w:rPr>
  </w:style>
  <w:style w:type="character" w:styleId="25">
    <w:name w:val="Hyperlink"/>
    <w:basedOn w:val="22"/>
    <w:qFormat/>
    <w:uiPriority w:val="0"/>
    <w:rPr>
      <w:color w:val="555555"/>
      <w:u w:val="none"/>
    </w:rPr>
  </w:style>
  <w:style w:type="character" w:styleId="26">
    <w:name w:val="annotation reference"/>
    <w:qFormat/>
    <w:uiPriority w:val="0"/>
    <w:rPr>
      <w:sz w:val="21"/>
      <w:szCs w:val="21"/>
    </w:rPr>
  </w:style>
  <w:style w:type="character" w:customStyle="1" w:styleId="27">
    <w:name w:val="页眉 Char"/>
    <w:basedOn w:val="22"/>
    <w:link w:val="15"/>
    <w:qFormat/>
    <w:uiPriority w:val="99"/>
    <w:rPr>
      <w:rFonts w:ascii="Times New Roman" w:hAnsi="Times New Roman" w:eastAsia="宋体" w:cs="Times New Roman"/>
      <w:sz w:val="18"/>
      <w:szCs w:val="18"/>
    </w:rPr>
  </w:style>
  <w:style w:type="character" w:customStyle="1" w:styleId="28">
    <w:name w:val="页脚 Char"/>
    <w:basedOn w:val="22"/>
    <w:link w:val="14"/>
    <w:qFormat/>
    <w:uiPriority w:val="99"/>
    <w:rPr>
      <w:sz w:val="18"/>
      <w:szCs w:val="18"/>
    </w:rPr>
  </w:style>
  <w:style w:type="character" w:customStyle="1" w:styleId="29">
    <w:name w:val="正文文本 Char"/>
    <w:qFormat/>
    <w:uiPriority w:val="0"/>
    <w:rPr>
      <w:szCs w:val="24"/>
    </w:rPr>
  </w:style>
  <w:style w:type="paragraph" w:styleId="30">
    <w:name w:val="List Paragraph"/>
    <w:basedOn w:val="1"/>
    <w:qFormat/>
    <w:uiPriority w:val="34"/>
    <w:pPr>
      <w:ind w:firstLine="420" w:firstLineChars="200"/>
    </w:pPr>
  </w:style>
  <w:style w:type="character" w:customStyle="1" w:styleId="31">
    <w:name w:val="正文文本 Char1"/>
    <w:basedOn w:val="22"/>
    <w:link w:val="7"/>
    <w:semiHidden/>
    <w:qFormat/>
    <w:uiPriority w:val="99"/>
    <w:rPr>
      <w:rFonts w:ascii="Times New Roman" w:hAnsi="Times New Roman" w:eastAsia="宋体" w:cs="Times New Roman"/>
      <w:szCs w:val="24"/>
    </w:rPr>
  </w:style>
  <w:style w:type="character" w:customStyle="1" w:styleId="32">
    <w:name w:val="日期 Char"/>
    <w:basedOn w:val="22"/>
    <w:link w:val="12"/>
    <w:qFormat/>
    <w:uiPriority w:val="0"/>
    <w:rPr>
      <w:rFonts w:ascii="Times New Roman" w:hAnsi="Times New Roman" w:eastAsia="宋体" w:cs="Times New Roman"/>
      <w:kern w:val="0"/>
      <w:sz w:val="28"/>
      <w:szCs w:val="24"/>
    </w:rPr>
  </w:style>
  <w:style w:type="character" w:customStyle="1" w:styleId="33">
    <w:name w:val="批注框文本 Char"/>
    <w:basedOn w:val="22"/>
    <w:link w:val="13"/>
    <w:qFormat/>
    <w:uiPriority w:val="0"/>
    <w:rPr>
      <w:rFonts w:ascii="Times New Roman" w:hAnsi="Times New Roman" w:eastAsia="宋体" w:cs="Times New Roman"/>
      <w:kern w:val="0"/>
      <w:sz w:val="18"/>
      <w:szCs w:val="18"/>
    </w:rPr>
  </w:style>
  <w:style w:type="paragraph" w:customStyle="1" w:styleId="34">
    <w:name w:val="_Style 9"/>
    <w:basedOn w:val="1"/>
    <w:next w:val="11"/>
    <w:qFormat/>
    <w:uiPriority w:val="0"/>
    <w:rPr>
      <w:rFonts w:ascii="宋体" w:hAnsi="Courier New"/>
      <w:szCs w:val="21"/>
    </w:rPr>
  </w:style>
  <w:style w:type="character" w:customStyle="1" w:styleId="35">
    <w:name w:val="正文文本缩进 2 Char"/>
    <w:basedOn w:val="22"/>
    <w:link w:val="2"/>
    <w:qFormat/>
    <w:uiPriority w:val="0"/>
    <w:rPr>
      <w:rFonts w:ascii="楷体_GB2312" w:hAnsi="Times New Roman" w:eastAsia="楷体_GB2312" w:cs="Times New Roman"/>
      <w:kern w:val="0"/>
      <w:sz w:val="24"/>
      <w:szCs w:val="24"/>
    </w:rPr>
  </w:style>
  <w:style w:type="character" w:customStyle="1" w:styleId="36">
    <w:name w:val="文档结构图 Char"/>
    <w:basedOn w:val="22"/>
    <w:link w:val="5"/>
    <w:qFormat/>
    <w:uiPriority w:val="0"/>
    <w:rPr>
      <w:rFonts w:ascii="Times New Roman" w:hAnsi="Times New Roman" w:eastAsia="宋体" w:cs="Times New Roman"/>
      <w:kern w:val="0"/>
      <w:sz w:val="20"/>
      <w:szCs w:val="24"/>
      <w:shd w:val="clear" w:color="auto" w:fill="000080"/>
    </w:rPr>
  </w:style>
  <w:style w:type="character" w:customStyle="1" w:styleId="37">
    <w:name w:val="纯文本 Char"/>
    <w:basedOn w:val="22"/>
    <w:link w:val="11"/>
    <w:qFormat/>
    <w:uiPriority w:val="0"/>
    <w:rPr>
      <w:rFonts w:ascii="宋体" w:hAnsi="Courier New" w:eastAsia="宋体" w:cs="Times New Roman"/>
      <w:kern w:val="0"/>
      <w:sz w:val="20"/>
      <w:szCs w:val="21"/>
    </w:rPr>
  </w:style>
  <w:style w:type="character" w:customStyle="1" w:styleId="38">
    <w:name w:val="正文文本缩进 Char"/>
    <w:basedOn w:val="22"/>
    <w:link w:val="8"/>
    <w:qFormat/>
    <w:uiPriority w:val="0"/>
    <w:rPr>
      <w:rFonts w:ascii="楷体_GB2312" w:hAnsi="Times New Roman" w:eastAsia="楷体_GB2312" w:cs="Times New Roman"/>
      <w:b/>
      <w:bCs/>
      <w:kern w:val="0"/>
      <w:sz w:val="24"/>
      <w:szCs w:val="24"/>
    </w:rPr>
  </w:style>
  <w:style w:type="character" w:customStyle="1" w:styleId="39">
    <w:name w:val="正文文本缩进 3 Char"/>
    <w:basedOn w:val="22"/>
    <w:link w:val="16"/>
    <w:qFormat/>
    <w:uiPriority w:val="0"/>
    <w:rPr>
      <w:rFonts w:ascii="楷体_GB2312" w:hAnsi="Times New Roman" w:eastAsia="楷体_GB2312" w:cs="Times New Roman"/>
      <w:bCs/>
      <w:kern w:val="0"/>
      <w:sz w:val="24"/>
      <w:szCs w:val="24"/>
    </w:rPr>
  </w:style>
  <w:style w:type="character" w:customStyle="1" w:styleId="40">
    <w:name w:val="HTML 预设格式 Char"/>
    <w:basedOn w:val="22"/>
    <w:link w:val="17"/>
    <w:qFormat/>
    <w:uiPriority w:val="0"/>
    <w:rPr>
      <w:rFonts w:ascii="黑体" w:hAnsi="Courier New" w:eastAsia="黑体" w:cs="Times New Roman"/>
      <w:kern w:val="0"/>
      <w:sz w:val="20"/>
      <w:szCs w:val="20"/>
    </w:rPr>
  </w:style>
  <w:style w:type="paragraph" w:customStyle="1" w:styleId="41">
    <w:name w:val="Char Char Char7"/>
    <w:basedOn w:val="1"/>
    <w:qFormat/>
    <w:uiPriority w:val="0"/>
    <w:rPr>
      <w:rFonts w:ascii="仿宋_GB2312" w:eastAsia="仿宋_GB2312" w:cs="仿宋_GB2312"/>
      <w:b/>
      <w:bCs/>
      <w:sz w:val="32"/>
      <w:szCs w:val="32"/>
    </w:rPr>
  </w:style>
  <w:style w:type="paragraph" w:customStyle="1" w:styleId="4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3">
    <w:name w:val="font11"/>
    <w:basedOn w:val="22"/>
    <w:qFormat/>
    <w:uiPriority w:val="0"/>
    <w:rPr>
      <w:rFonts w:hint="eastAsia" w:ascii="宋体" w:hAnsi="宋体" w:eastAsia="宋体" w:cs="宋体"/>
      <w:color w:val="000000"/>
      <w:sz w:val="20"/>
      <w:szCs w:val="20"/>
      <w:u w:val="none"/>
    </w:rPr>
  </w:style>
  <w:style w:type="character" w:customStyle="1" w:styleId="44">
    <w:name w:val="font01"/>
    <w:basedOn w:val="22"/>
    <w:qFormat/>
    <w:uiPriority w:val="0"/>
    <w:rPr>
      <w:rFonts w:hint="eastAsia" w:ascii="宋体" w:hAnsi="宋体" w:eastAsia="宋体" w:cs="宋体"/>
      <w:color w:val="000000"/>
      <w:sz w:val="22"/>
      <w:szCs w:val="22"/>
      <w:u w:val="none"/>
    </w:rPr>
  </w:style>
  <w:style w:type="paragraph" w:customStyle="1" w:styleId="45">
    <w:name w:val="正文文本首行缩进 21"/>
    <w:basedOn w:val="46"/>
    <w:qFormat/>
    <w:uiPriority w:val="0"/>
    <w:pPr>
      <w:spacing w:after="120" w:line="240" w:lineRule="auto"/>
      <w:ind w:left="420" w:leftChars="200" w:firstLine="420" w:firstLineChars="200"/>
    </w:pPr>
    <w:rPr>
      <w:sz w:val="21"/>
    </w:rPr>
  </w:style>
  <w:style w:type="paragraph" w:customStyle="1" w:styleId="46">
    <w:name w:val="正文文本缩进1"/>
    <w:basedOn w:val="1"/>
    <w:next w:val="47"/>
    <w:qFormat/>
    <w:uiPriority w:val="0"/>
    <w:pPr>
      <w:spacing w:line="400" w:lineRule="exact"/>
      <w:ind w:firstLine="515"/>
    </w:pPr>
    <w:rPr>
      <w:rFonts w:ascii="楷体_GB2312" w:eastAsia="楷体_GB2312"/>
      <w:b/>
      <w:bCs/>
      <w:kern w:val="0"/>
      <w:sz w:val="24"/>
    </w:rPr>
  </w:style>
  <w:style w:type="paragraph" w:customStyle="1" w:styleId="47">
    <w:name w:val="寄信人地址1"/>
    <w:basedOn w:val="1"/>
    <w:qFormat/>
    <w:uiPriority w:val="0"/>
    <w:pPr>
      <w:snapToGrid w:val="0"/>
    </w:pPr>
    <w:rPr>
      <w:rFonts w:ascii="Arial" w:hAnsi="Arial"/>
    </w:rPr>
  </w:style>
  <w:style w:type="character" w:customStyle="1" w:styleId="48">
    <w:name w:val="font31"/>
    <w:basedOn w:val="22"/>
    <w:qFormat/>
    <w:uiPriority w:val="0"/>
    <w:rPr>
      <w:rFonts w:hint="eastAsia" w:ascii="宋体" w:hAnsi="宋体" w:eastAsia="宋体" w:cs="宋体"/>
      <w:color w:val="000000"/>
      <w:sz w:val="22"/>
      <w:szCs w:val="22"/>
      <w:u w:val="none"/>
    </w:rPr>
  </w:style>
  <w:style w:type="character" w:customStyle="1" w:styleId="49">
    <w:name w:val="未处理的提及1"/>
    <w:basedOn w:val="22"/>
    <w:semiHidden/>
    <w:unhideWhenUsed/>
    <w:qFormat/>
    <w:uiPriority w:val="99"/>
    <w:rPr>
      <w:color w:val="605E5C"/>
      <w:shd w:val="clear" w:color="auto" w:fill="E1DFDD"/>
    </w:rPr>
  </w:style>
  <w:style w:type="paragraph" w:customStyle="1" w:styleId="50">
    <w:name w:val="Body Text First Indent 21"/>
    <w:basedOn w:val="51"/>
    <w:qFormat/>
    <w:uiPriority w:val="0"/>
    <w:pPr>
      <w:spacing w:line="240" w:lineRule="auto"/>
      <w:ind w:left="420" w:leftChars="200" w:firstLine="420" w:firstLineChars="200"/>
    </w:pPr>
    <w:rPr>
      <w:sz w:val="21"/>
    </w:rPr>
  </w:style>
  <w:style w:type="paragraph" w:customStyle="1" w:styleId="51">
    <w:name w:val="Body Text Indent1"/>
    <w:basedOn w:val="1"/>
    <w:next w:val="52"/>
    <w:qFormat/>
    <w:uiPriority w:val="0"/>
    <w:pPr>
      <w:spacing w:line="400" w:lineRule="exact"/>
      <w:ind w:firstLine="515"/>
    </w:pPr>
    <w:rPr>
      <w:rFonts w:ascii="楷体_GB2312" w:eastAsia="楷体_GB2312"/>
      <w:b/>
      <w:bCs/>
      <w:kern w:val="0"/>
      <w:sz w:val="24"/>
    </w:rPr>
  </w:style>
  <w:style w:type="paragraph" w:customStyle="1" w:styleId="52">
    <w:name w:val="envelope return1"/>
    <w:basedOn w:val="1"/>
    <w:qFormat/>
    <w:uiPriority w:val="0"/>
    <w:pPr>
      <w:snapToGrid w:val="0"/>
    </w:pPr>
    <w:rPr>
      <w:rFonts w:ascii="Arial" w:hAnsi="Arial"/>
    </w:rPr>
  </w:style>
  <w:style w:type="character" w:customStyle="1" w:styleId="53">
    <w:name w:val="NormalCharacter"/>
    <w:qFormat/>
    <w:uiPriority w:val="0"/>
  </w:style>
  <w:style w:type="character" w:customStyle="1" w:styleId="54">
    <w:name w:val="font41"/>
    <w:basedOn w:val="22"/>
    <w:qFormat/>
    <w:uiPriority w:val="0"/>
    <w:rPr>
      <w:rFonts w:hint="eastAsia" w:ascii="宋体" w:hAnsi="宋体" w:eastAsia="宋体" w:cs="宋体"/>
      <w:color w:val="000000"/>
      <w:sz w:val="28"/>
      <w:szCs w:val="28"/>
      <w:u w:val="none"/>
    </w:rPr>
  </w:style>
  <w:style w:type="character" w:customStyle="1" w:styleId="55">
    <w:name w:val="font21"/>
    <w:basedOn w:val="22"/>
    <w:qFormat/>
    <w:uiPriority w:val="0"/>
    <w:rPr>
      <w:rFonts w:hint="eastAsia" w:ascii="宋体" w:hAnsi="宋体" w:eastAsia="宋体" w:cs="宋体"/>
      <w:color w:val="000000"/>
      <w:sz w:val="28"/>
      <w:szCs w:val="28"/>
      <w:u w:val="none"/>
    </w:rPr>
  </w:style>
  <w:style w:type="paragraph" w:customStyle="1" w:styleId="56">
    <w:name w:val="文本块1"/>
    <w:basedOn w:val="1"/>
    <w:qFormat/>
    <w:uiPriority w:val="0"/>
    <w:pPr>
      <w:ind w:left="1440" w:leftChars="700" w:right="1440" w:rightChars="7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0BF1EA1-8AE8-41C1-AA44-1E10AD6E3B7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51</Pages>
  <Words>28638</Words>
  <Characters>30577</Characters>
  <Lines>242</Lines>
  <Paragraphs>68</Paragraphs>
  <TotalTime>7</TotalTime>
  <ScaleCrop>false</ScaleCrop>
  <LinksUpToDate>false</LinksUpToDate>
  <CharactersWithSpaces>31800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2017-02-27T08:39:00Z</dcterms:created>
  <dc:creator>User</dc:creator>
  <cp:lastModifiedBy>赵萌</cp:lastModifiedBy>
  <cp:lastPrinted>2022-03-30T01:06:00Z</cp:lastPrinted>
  <dcterms:modified xsi:type="dcterms:W3CDTF">2022-09-13T03:13:30Z</dcterms:modified>
  <cp:revision>439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8B18A495E89A40BC83ABE1C9BBE14026</vt:lpwstr>
  </property>
</Properties>
</file>