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firstLineChars="0"/>
        <w:rPr>
          <w:rStyle w:val="42"/>
          <w:rFonts w:cs="宋体"/>
          <w:color w:val="auto"/>
          <w:sz w:val="36"/>
          <w:szCs w:val="21"/>
        </w:rPr>
      </w:pPr>
    </w:p>
    <w:p>
      <w:pPr>
        <w:rPr>
          <w:rStyle w:val="42"/>
          <w:rFonts w:ascii="宋体" w:hAnsi="宋体" w:cs="宋体"/>
          <w:color w:val="auto"/>
          <w:sz w:val="36"/>
        </w:rPr>
      </w:pPr>
    </w:p>
    <w:p>
      <w:pPr>
        <w:jc w:val="center"/>
        <w:rPr>
          <w:rStyle w:val="42"/>
          <w:rFonts w:ascii="宋体" w:hAnsi="宋体" w:cs="宋体"/>
          <w:b/>
          <w:color w:val="auto"/>
          <w:sz w:val="84"/>
        </w:rPr>
      </w:pPr>
      <w:r>
        <w:rPr>
          <w:rStyle w:val="42"/>
          <w:rFonts w:hint="eastAsia" w:ascii="宋体" w:hAnsi="宋体" w:cs="宋体"/>
          <w:b/>
          <w:color w:val="auto"/>
          <w:sz w:val="84"/>
        </w:rPr>
        <w:t>招 标 文 件</w:t>
      </w:r>
    </w:p>
    <w:p>
      <w:pPr>
        <w:rPr>
          <w:rStyle w:val="42"/>
          <w:rFonts w:ascii="宋体" w:hAnsi="宋体" w:cs="宋体"/>
          <w:b/>
          <w:color w:val="auto"/>
          <w:sz w:val="32"/>
        </w:rPr>
      </w:pPr>
    </w:p>
    <w:p>
      <w:pPr>
        <w:jc w:val="center"/>
        <w:rPr>
          <w:rStyle w:val="42"/>
          <w:rFonts w:ascii="宋体" w:hAnsi="宋体" w:cs="宋体"/>
          <w:b/>
          <w:color w:val="auto"/>
          <w:sz w:val="32"/>
        </w:rPr>
      </w:pPr>
    </w:p>
    <w:p>
      <w:pPr>
        <w:pStyle w:val="23"/>
        <w:rPr>
          <w:rFonts w:cs="宋体"/>
          <w:color w:val="auto"/>
        </w:rPr>
      </w:pPr>
    </w:p>
    <w:p>
      <w:pPr>
        <w:jc w:val="center"/>
        <w:rPr>
          <w:rStyle w:val="42"/>
          <w:rFonts w:ascii="宋体" w:hAnsi="宋体" w:cs="宋体"/>
          <w:b/>
          <w:color w:val="auto"/>
          <w:sz w:val="32"/>
        </w:rPr>
      </w:pPr>
    </w:p>
    <w:p>
      <w:pPr>
        <w:jc w:val="center"/>
        <w:rPr>
          <w:rStyle w:val="42"/>
          <w:rFonts w:ascii="宋体" w:hAnsi="宋体" w:cs="宋体"/>
          <w:b/>
          <w:color w:val="auto"/>
          <w:sz w:val="32"/>
        </w:rPr>
      </w:pPr>
    </w:p>
    <w:p>
      <w:pPr>
        <w:ind w:firstLine="723" w:firstLineChars="200"/>
        <w:rPr>
          <w:rStyle w:val="42"/>
          <w:rFonts w:ascii="宋体" w:hAnsi="宋体" w:cs="宋体"/>
          <w:b/>
          <w:color w:val="auto"/>
          <w:sz w:val="36"/>
        </w:rPr>
      </w:pPr>
      <w:r>
        <w:rPr>
          <w:rStyle w:val="42"/>
          <w:rFonts w:hint="eastAsia" w:ascii="宋体" w:hAnsi="宋体" w:cs="宋体"/>
          <w:b/>
          <w:color w:val="auto"/>
          <w:sz w:val="36"/>
        </w:rPr>
        <w:t>项目编号：2022-0</w:t>
      </w:r>
      <w:r>
        <w:rPr>
          <w:rStyle w:val="42"/>
          <w:rFonts w:hint="eastAsia" w:ascii="宋体" w:hAnsi="宋体" w:cs="宋体"/>
          <w:b/>
          <w:color w:val="auto"/>
          <w:sz w:val="36"/>
          <w:lang w:val="en-US" w:eastAsia="zh-CN"/>
        </w:rPr>
        <w:t>13</w:t>
      </w:r>
      <w:r>
        <w:rPr>
          <w:rStyle w:val="42"/>
          <w:rFonts w:hint="eastAsia" w:ascii="宋体" w:hAnsi="宋体" w:cs="宋体"/>
          <w:b/>
          <w:color w:val="auto"/>
          <w:sz w:val="36"/>
        </w:rPr>
        <w:t>W</w:t>
      </w:r>
    </w:p>
    <w:p>
      <w:pPr>
        <w:jc w:val="center"/>
        <w:rPr>
          <w:rStyle w:val="42"/>
          <w:rFonts w:ascii="宋体" w:hAnsi="宋体" w:cs="宋体"/>
          <w:b/>
          <w:color w:val="auto"/>
          <w:sz w:val="32"/>
        </w:rPr>
      </w:pPr>
    </w:p>
    <w:p>
      <w:pPr>
        <w:jc w:val="center"/>
        <w:rPr>
          <w:rStyle w:val="42"/>
          <w:rFonts w:ascii="宋体" w:hAnsi="宋体" w:cs="宋体"/>
          <w:b/>
          <w:color w:val="auto"/>
          <w:sz w:val="32"/>
        </w:rPr>
      </w:pPr>
    </w:p>
    <w:p>
      <w:pPr>
        <w:ind w:left="2525" w:leftChars="342" w:hanging="1807" w:hangingChars="500"/>
        <w:rPr>
          <w:rStyle w:val="42"/>
          <w:rFonts w:ascii="宋体" w:hAnsi="宋体" w:cs="宋体"/>
          <w:b/>
          <w:color w:val="auto"/>
          <w:sz w:val="30"/>
          <w:szCs w:val="30"/>
        </w:rPr>
      </w:pPr>
      <w:r>
        <w:rPr>
          <w:rStyle w:val="42"/>
          <w:rFonts w:hint="eastAsia" w:ascii="宋体" w:hAnsi="宋体" w:cs="宋体"/>
          <w:b/>
          <w:color w:val="auto"/>
          <w:sz w:val="36"/>
          <w:szCs w:val="36"/>
        </w:rPr>
        <w:t>项目名称：2022级新生生活用品代采购项目</w:t>
      </w:r>
    </w:p>
    <w:p>
      <w:pPr>
        <w:pStyle w:val="23"/>
        <w:ind w:firstLine="0" w:firstLineChars="0"/>
        <w:rPr>
          <w:rStyle w:val="42"/>
          <w:rFonts w:cs="宋体"/>
          <w:b/>
          <w:color w:val="auto"/>
          <w:sz w:val="32"/>
          <w:szCs w:val="21"/>
        </w:rPr>
      </w:pPr>
    </w:p>
    <w:p>
      <w:pPr>
        <w:pStyle w:val="23"/>
        <w:ind w:firstLine="643"/>
        <w:rPr>
          <w:rStyle w:val="42"/>
          <w:rFonts w:cs="宋体"/>
          <w:b/>
          <w:color w:val="auto"/>
          <w:sz w:val="32"/>
          <w:szCs w:val="21"/>
        </w:rPr>
      </w:pPr>
    </w:p>
    <w:p>
      <w:pPr>
        <w:pStyle w:val="102"/>
        <w:rPr>
          <w:rStyle w:val="42"/>
          <w:rFonts w:ascii="宋体" w:hAnsi="宋体" w:eastAsia="宋体" w:cs="宋体"/>
          <w:b/>
          <w:color w:val="auto"/>
          <w:sz w:val="32"/>
        </w:rPr>
      </w:pPr>
    </w:p>
    <w:p>
      <w:pPr>
        <w:pStyle w:val="102"/>
        <w:rPr>
          <w:rStyle w:val="42"/>
          <w:rFonts w:ascii="宋体" w:hAnsi="宋体" w:eastAsia="宋体" w:cs="宋体"/>
          <w:b/>
          <w:color w:val="auto"/>
          <w:sz w:val="32"/>
        </w:rPr>
      </w:pPr>
    </w:p>
    <w:p>
      <w:pPr>
        <w:spacing w:afterLines="100" w:line="360" w:lineRule="auto"/>
        <w:ind w:firstLine="1080" w:firstLineChars="300"/>
        <w:rPr>
          <w:rStyle w:val="42"/>
          <w:rFonts w:ascii="宋体" w:hAnsi="宋体" w:cs="宋体"/>
          <w:bCs/>
          <w:color w:val="auto"/>
          <w:sz w:val="36"/>
          <w:szCs w:val="36"/>
        </w:rPr>
      </w:pPr>
      <w:r>
        <w:rPr>
          <w:rStyle w:val="42"/>
          <w:rFonts w:hint="eastAsia" w:ascii="宋体" w:hAnsi="宋体" w:cs="宋体"/>
          <w:bCs/>
          <w:color w:val="auto"/>
          <w:sz w:val="36"/>
          <w:szCs w:val="36"/>
        </w:rPr>
        <w:t>采购人：盐城工业职业技术学院</w:t>
      </w:r>
    </w:p>
    <w:p>
      <w:pPr>
        <w:pStyle w:val="2"/>
        <w:spacing w:line="360" w:lineRule="auto"/>
        <w:ind w:left="0" w:leftChars="0" w:right="0" w:rightChars="0" w:firstLine="1080" w:firstLineChars="300"/>
        <w:rPr>
          <w:rStyle w:val="42"/>
          <w:rFonts w:ascii="宋体" w:hAnsi="宋体" w:cs="宋体"/>
          <w:bCs/>
          <w:color w:val="auto"/>
          <w:sz w:val="36"/>
          <w:szCs w:val="36"/>
        </w:rPr>
      </w:pPr>
      <w:r>
        <w:rPr>
          <w:rStyle w:val="42"/>
          <w:rFonts w:hint="eastAsia" w:ascii="宋体" w:hAnsi="宋体" w:cs="宋体"/>
          <w:bCs/>
          <w:color w:val="auto"/>
          <w:sz w:val="36"/>
          <w:szCs w:val="36"/>
        </w:rPr>
        <w:t>代理人：江苏伟业项目管理有限公司</w:t>
      </w:r>
    </w:p>
    <w:p>
      <w:pPr>
        <w:jc w:val="center"/>
        <w:rPr>
          <w:rStyle w:val="42"/>
          <w:rFonts w:ascii="宋体" w:hAnsi="宋体" w:cs="宋体"/>
          <w:color w:val="auto"/>
          <w:sz w:val="36"/>
          <w:szCs w:val="36"/>
        </w:rPr>
      </w:pPr>
    </w:p>
    <w:p>
      <w:pPr>
        <w:jc w:val="center"/>
        <w:rPr>
          <w:rStyle w:val="42"/>
          <w:rFonts w:ascii="宋体" w:hAnsi="宋体" w:cs="宋体"/>
          <w:color w:val="auto"/>
          <w:sz w:val="36"/>
          <w:szCs w:val="36"/>
        </w:rPr>
      </w:pPr>
      <w:r>
        <w:rPr>
          <w:rStyle w:val="42"/>
          <w:rFonts w:hint="eastAsia" w:ascii="宋体" w:hAnsi="宋体" w:cs="宋体"/>
          <w:color w:val="auto"/>
          <w:sz w:val="36"/>
          <w:szCs w:val="36"/>
        </w:rPr>
        <w:t>2022年</w:t>
      </w:r>
      <w:r>
        <w:rPr>
          <w:rStyle w:val="42"/>
          <w:rFonts w:hint="eastAsia" w:ascii="宋体" w:hAnsi="宋体" w:cs="宋体"/>
          <w:color w:val="auto"/>
          <w:sz w:val="36"/>
          <w:szCs w:val="36"/>
          <w:lang w:val="en-US" w:eastAsia="zh-CN"/>
        </w:rPr>
        <w:t>6</w:t>
      </w:r>
      <w:r>
        <w:rPr>
          <w:rStyle w:val="42"/>
          <w:rFonts w:hint="eastAsia" w:ascii="宋体" w:hAnsi="宋体" w:cs="宋体"/>
          <w:color w:val="auto"/>
          <w:sz w:val="36"/>
          <w:szCs w:val="36"/>
        </w:rPr>
        <w:t>月</w:t>
      </w:r>
      <w:r>
        <w:rPr>
          <w:rStyle w:val="42"/>
          <w:rFonts w:hint="eastAsia" w:ascii="宋体" w:hAnsi="宋体" w:cs="宋体"/>
          <w:color w:val="auto"/>
          <w:sz w:val="36"/>
          <w:szCs w:val="36"/>
          <w:lang w:val="en-US" w:eastAsia="zh-CN"/>
        </w:rPr>
        <w:t>21</w:t>
      </w:r>
      <w:r>
        <w:rPr>
          <w:rStyle w:val="42"/>
          <w:rFonts w:hint="eastAsia" w:ascii="宋体" w:hAnsi="宋体" w:cs="宋体"/>
          <w:color w:val="auto"/>
          <w:sz w:val="36"/>
          <w:szCs w:val="36"/>
        </w:rPr>
        <w:t>日</w:t>
      </w:r>
    </w:p>
    <w:p>
      <w:pPr>
        <w:spacing w:line="480" w:lineRule="auto"/>
        <w:rPr>
          <w:rStyle w:val="42"/>
          <w:rFonts w:ascii="宋体" w:hAnsi="宋体" w:cs="宋体"/>
          <w:color w:val="auto"/>
        </w:rPr>
      </w:pPr>
    </w:p>
    <w:p>
      <w:pPr>
        <w:spacing w:line="480" w:lineRule="auto"/>
        <w:jc w:val="center"/>
        <w:rPr>
          <w:rStyle w:val="42"/>
          <w:rFonts w:ascii="宋体" w:hAnsi="宋体" w:cs="宋体"/>
          <w:color w:val="auto"/>
        </w:rPr>
      </w:pPr>
    </w:p>
    <w:p>
      <w:pPr>
        <w:pStyle w:val="23"/>
        <w:rPr>
          <w:rFonts w:cs="宋体"/>
          <w:color w:val="auto"/>
        </w:rPr>
      </w:pPr>
    </w:p>
    <w:p>
      <w:pPr>
        <w:spacing w:line="480" w:lineRule="auto"/>
        <w:jc w:val="center"/>
        <w:rPr>
          <w:rStyle w:val="42"/>
          <w:rFonts w:ascii="宋体" w:hAnsi="宋体" w:cs="宋体"/>
          <w:b/>
          <w:color w:val="auto"/>
          <w:sz w:val="44"/>
        </w:rPr>
      </w:pPr>
      <w:r>
        <w:rPr>
          <w:rStyle w:val="42"/>
          <w:rFonts w:hint="eastAsia" w:ascii="宋体" w:hAnsi="宋体" w:cs="宋体"/>
          <w:b/>
          <w:color w:val="auto"/>
          <w:sz w:val="44"/>
        </w:rPr>
        <w:t>总  目  录</w:t>
      </w:r>
    </w:p>
    <w:p>
      <w:pPr>
        <w:spacing w:line="480" w:lineRule="auto"/>
        <w:rPr>
          <w:rStyle w:val="42"/>
          <w:rFonts w:ascii="宋体" w:hAnsi="宋体" w:cs="宋体"/>
          <w:b/>
          <w:color w:val="auto"/>
          <w:sz w:val="28"/>
        </w:rPr>
      </w:pPr>
    </w:p>
    <w:sdt>
      <w:sdtPr>
        <w:rPr>
          <w:rFonts w:ascii="宋体" w:hAnsi="宋体" w:eastAsia="楷体_GB2312"/>
          <w:color w:val="auto"/>
          <w:sz w:val="28"/>
          <w:szCs w:val="28"/>
        </w:rPr>
        <w:id w:val="147461321"/>
        <w:docPartObj>
          <w:docPartGallery w:val="Table of Contents"/>
          <w:docPartUnique/>
        </w:docPartObj>
      </w:sdtPr>
      <w:sdtEndPr>
        <w:rPr>
          <w:rFonts w:ascii="宋体" w:hAnsi="宋体" w:eastAsia="楷体_GB2312" w:cs="宋体"/>
          <w:bCs/>
          <w:color w:val="auto"/>
          <w:sz w:val="28"/>
          <w:szCs w:val="28"/>
        </w:rPr>
      </w:sdtEndPr>
      <w:sdtContent>
        <w:p>
          <w:pPr>
            <w:jc w:val="center"/>
            <w:rPr>
              <w:color w:val="auto"/>
            </w:rPr>
          </w:pPr>
        </w:p>
        <w:p>
          <w:pPr>
            <w:pStyle w:val="160"/>
            <w:tabs>
              <w:tab w:val="right" w:leader="dot" w:pos="8953"/>
            </w:tabs>
            <w:rPr>
              <w:rFonts w:ascii="宋体" w:hAnsi="宋体" w:cs="宋体"/>
              <w:color w:val="auto"/>
              <w:sz w:val="36"/>
              <w:szCs w:val="36"/>
            </w:rPr>
          </w:pPr>
          <w:r>
            <w:rPr>
              <w:rStyle w:val="42"/>
              <w:color w:val="auto"/>
              <w:sz w:val="44"/>
            </w:rPr>
            <w:fldChar w:fldCharType="begin"/>
          </w:r>
          <w:r>
            <w:rPr>
              <w:rStyle w:val="42"/>
              <w:rFonts w:ascii="宋体" w:hAnsi="宋体" w:cs="宋体"/>
              <w:bCs/>
              <w:color w:val="auto"/>
              <w:sz w:val="44"/>
            </w:rPr>
            <w:instrText xml:space="preserve">TOC \o "1-1" \h \u </w:instrText>
          </w:r>
          <w:r>
            <w:rPr>
              <w:rStyle w:val="42"/>
              <w:color w:val="auto"/>
              <w:sz w:val="44"/>
            </w:rPr>
            <w:fldChar w:fldCharType="separate"/>
          </w:r>
          <w:r>
            <w:rPr>
              <w:color w:val="auto"/>
            </w:rPr>
            <w:fldChar w:fldCharType="begin"/>
          </w:r>
          <w:r>
            <w:rPr>
              <w:color w:val="auto"/>
            </w:rPr>
            <w:instrText xml:space="preserve"> HYPERLINK \l "_Toc18878" </w:instrText>
          </w:r>
          <w:r>
            <w:rPr>
              <w:color w:val="auto"/>
            </w:rPr>
            <w:fldChar w:fldCharType="separate"/>
          </w:r>
          <w:r>
            <w:rPr>
              <w:rFonts w:hint="eastAsia" w:ascii="宋体" w:hAnsi="宋体" w:cs="宋体"/>
              <w:b/>
              <w:color w:val="auto"/>
              <w:sz w:val="36"/>
              <w:szCs w:val="36"/>
            </w:rPr>
            <w:t xml:space="preserve">第一章  </w:t>
          </w:r>
          <w:r>
            <w:rPr>
              <w:rFonts w:hint="eastAsia" w:ascii="宋体" w:hAnsi="宋体" w:cs="宋体"/>
              <w:bCs/>
              <w:color w:val="auto"/>
              <w:sz w:val="36"/>
              <w:szCs w:val="36"/>
            </w:rPr>
            <w:t>招标公告</w:t>
          </w:r>
          <w:r>
            <w:rPr>
              <w:rFonts w:hint="eastAsia" w:ascii="宋体" w:hAnsi="宋体" w:cs="宋体"/>
              <w:bCs/>
              <w:color w:val="auto"/>
              <w:sz w:val="36"/>
              <w:szCs w:val="36"/>
            </w:rPr>
            <w:tab/>
          </w:r>
          <w:r>
            <w:rPr>
              <w:rFonts w:hint="eastAsia" w:ascii="宋体" w:hAnsi="宋体" w:cs="宋体"/>
              <w:bCs/>
              <w:color w:val="auto"/>
              <w:sz w:val="36"/>
              <w:szCs w:val="36"/>
            </w:rPr>
            <w:fldChar w:fldCharType="begin"/>
          </w:r>
          <w:r>
            <w:rPr>
              <w:rFonts w:hint="eastAsia" w:ascii="宋体" w:hAnsi="宋体" w:cs="宋体"/>
              <w:bCs/>
              <w:color w:val="auto"/>
              <w:sz w:val="36"/>
              <w:szCs w:val="36"/>
            </w:rPr>
            <w:instrText xml:space="preserve"> PAGEREF _Toc18878 \h </w:instrText>
          </w:r>
          <w:r>
            <w:rPr>
              <w:rFonts w:hint="eastAsia" w:ascii="宋体" w:hAnsi="宋体" w:cs="宋体"/>
              <w:bCs/>
              <w:color w:val="auto"/>
              <w:sz w:val="36"/>
              <w:szCs w:val="36"/>
            </w:rPr>
            <w:fldChar w:fldCharType="separate"/>
          </w:r>
          <w:r>
            <w:rPr>
              <w:rFonts w:hint="eastAsia" w:ascii="宋体" w:hAnsi="宋体" w:cs="宋体"/>
              <w:bCs/>
              <w:color w:val="auto"/>
              <w:sz w:val="36"/>
              <w:szCs w:val="36"/>
            </w:rPr>
            <w:t>3</w:t>
          </w:r>
          <w:r>
            <w:rPr>
              <w:rFonts w:hint="eastAsia" w:ascii="宋体" w:hAnsi="宋体" w:cs="宋体"/>
              <w:bCs/>
              <w:color w:val="auto"/>
              <w:sz w:val="36"/>
              <w:szCs w:val="36"/>
            </w:rPr>
            <w:fldChar w:fldCharType="end"/>
          </w:r>
          <w:r>
            <w:rPr>
              <w:rFonts w:hint="eastAsia" w:ascii="宋体" w:hAnsi="宋体" w:cs="宋体"/>
              <w:bCs/>
              <w:color w:val="auto"/>
              <w:sz w:val="36"/>
              <w:szCs w:val="36"/>
            </w:rPr>
            <w:fldChar w:fldCharType="end"/>
          </w:r>
        </w:p>
        <w:p>
          <w:pPr>
            <w:pStyle w:val="160"/>
            <w:tabs>
              <w:tab w:val="right" w:leader="dot" w:pos="8953"/>
            </w:tabs>
            <w:rPr>
              <w:rFonts w:ascii="宋体" w:hAnsi="宋体" w:cs="宋体"/>
              <w:color w:val="auto"/>
              <w:sz w:val="36"/>
              <w:szCs w:val="36"/>
            </w:rPr>
          </w:pPr>
          <w:r>
            <w:rPr>
              <w:color w:val="auto"/>
            </w:rPr>
            <w:fldChar w:fldCharType="begin"/>
          </w:r>
          <w:r>
            <w:rPr>
              <w:color w:val="auto"/>
            </w:rPr>
            <w:instrText xml:space="preserve"> HYPERLINK \l "_Toc21663" </w:instrText>
          </w:r>
          <w:r>
            <w:rPr>
              <w:color w:val="auto"/>
            </w:rPr>
            <w:fldChar w:fldCharType="separate"/>
          </w:r>
          <w:r>
            <w:rPr>
              <w:rFonts w:hint="eastAsia" w:ascii="宋体" w:hAnsi="宋体" w:cs="宋体"/>
              <w:b/>
              <w:bCs/>
              <w:color w:val="auto"/>
              <w:sz w:val="36"/>
              <w:szCs w:val="36"/>
            </w:rPr>
            <w:t>第二章</w:t>
          </w:r>
          <w:r>
            <w:rPr>
              <w:rFonts w:hint="eastAsia" w:ascii="宋体" w:hAnsi="宋体" w:cs="宋体"/>
              <w:color w:val="auto"/>
              <w:sz w:val="36"/>
              <w:szCs w:val="36"/>
            </w:rPr>
            <w:t xml:space="preserve">  投标人须知</w:t>
          </w:r>
          <w:r>
            <w:rPr>
              <w:rFonts w:hint="eastAsia" w:ascii="宋体" w:hAnsi="宋体" w:cs="宋体"/>
              <w:color w:val="auto"/>
              <w:sz w:val="36"/>
              <w:szCs w:val="36"/>
            </w:rPr>
            <w:tab/>
          </w:r>
          <w:r>
            <w:rPr>
              <w:rFonts w:hint="eastAsia" w:ascii="宋体" w:hAnsi="宋体" w:cs="宋体"/>
              <w:color w:val="auto"/>
              <w:sz w:val="36"/>
              <w:szCs w:val="36"/>
            </w:rPr>
            <w:fldChar w:fldCharType="begin"/>
          </w:r>
          <w:r>
            <w:rPr>
              <w:rFonts w:hint="eastAsia" w:ascii="宋体" w:hAnsi="宋体" w:cs="宋体"/>
              <w:color w:val="auto"/>
              <w:sz w:val="36"/>
              <w:szCs w:val="36"/>
            </w:rPr>
            <w:instrText xml:space="preserve"> PAGEREF _Toc21663 \h </w:instrText>
          </w:r>
          <w:r>
            <w:rPr>
              <w:rFonts w:hint="eastAsia" w:ascii="宋体" w:hAnsi="宋体" w:cs="宋体"/>
              <w:color w:val="auto"/>
              <w:sz w:val="36"/>
              <w:szCs w:val="36"/>
            </w:rPr>
            <w:fldChar w:fldCharType="separate"/>
          </w:r>
          <w:r>
            <w:rPr>
              <w:rFonts w:hint="eastAsia" w:ascii="宋体" w:hAnsi="宋体" w:cs="宋体"/>
              <w:color w:val="auto"/>
              <w:sz w:val="36"/>
              <w:szCs w:val="36"/>
            </w:rPr>
            <w:t>8</w:t>
          </w:r>
          <w:r>
            <w:rPr>
              <w:rFonts w:hint="eastAsia" w:ascii="宋体" w:hAnsi="宋体" w:cs="宋体"/>
              <w:color w:val="auto"/>
              <w:sz w:val="36"/>
              <w:szCs w:val="36"/>
            </w:rPr>
            <w:fldChar w:fldCharType="end"/>
          </w:r>
          <w:r>
            <w:rPr>
              <w:rFonts w:hint="eastAsia" w:ascii="宋体" w:hAnsi="宋体" w:cs="宋体"/>
              <w:color w:val="auto"/>
              <w:sz w:val="36"/>
              <w:szCs w:val="36"/>
            </w:rPr>
            <w:fldChar w:fldCharType="end"/>
          </w:r>
        </w:p>
        <w:p>
          <w:pPr>
            <w:pStyle w:val="160"/>
            <w:tabs>
              <w:tab w:val="right" w:leader="dot" w:pos="8953"/>
            </w:tabs>
            <w:rPr>
              <w:rFonts w:ascii="宋体" w:hAnsi="宋体" w:cs="宋体"/>
              <w:color w:val="auto"/>
              <w:sz w:val="36"/>
              <w:szCs w:val="36"/>
            </w:rPr>
          </w:pPr>
          <w:r>
            <w:rPr>
              <w:color w:val="auto"/>
            </w:rPr>
            <w:fldChar w:fldCharType="begin"/>
          </w:r>
          <w:r>
            <w:rPr>
              <w:color w:val="auto"/>
            </w:rPr>
            <w:instrText xml:space="preserve"> HYPERLINK \l "_Toc19468" </w:instrText>
          </w:r>
          <w:r>
            <w:rPr>
              <w:color w:val="auto"/>
            </w:rPr>
            <w:fldChar w:fldCharType="separate"/>
          </w:r>
          <w:r>
            <w:rPr>
              <w:rFonts w:hint="eastAsia" w:ascii="宋体" w:hAnsi="宋体" w:cs="宋体"/>
              <w:b/>
              <w:bCs/>
              <w:color w:val="auto"/>
              <w:sz w:val="36"/>
              <w:szCs w:val="36"/>
            </w:rPr>
            <w:t>第三章</w:t>
          </w:r>
          <w:r>
            <w:rPr>
              <w:rFonts w:hint="eastAsia" w:ascii="宋体" w:hAnsi="宋体" w:cs="宋体"/>
              <w:color w:val="auto"/>
              <w:sz w:val="36"/>
              <w:szCs w:val="36"/>
            </w:rPr>
            <w:t xml:space="preserve">  合同条款及格式</w:t>
          </w:r>
          <w:r>
            <w:rPr>
              <w:rFonts w:hint="eastAsia" w:ascii="宋体" w:hAnsi="宋体" w:cs="宋体"/>
              <w:color w:val="auto"/>
              <w:sz w:val="36"/>
              <w:szCs w:val="36"/>
            </w:rPr>
            <w:tab/>
          </w:r>
          <w:r>
            <w:rPr>
              <w:rFonts w:hint="eastAsia" w:ascii="宋体" w:hAnsi="宋体" w:cs="宋体"/>
              <w:color w:val="auto"/>
              <w:sz w:val="36"/>
              <w:szCs w:val="36"/>
            </w:rPr>
            <w:fldChar w:fldCharType="begin"/>
          </w:r>
          <w:r>
            <w:rPr>
              <w:rFonts w:hint="eastAsia" w:ascii="宋体" w:hAnsi="宋体" w:cs="宋体"/>
              <w:color w:val="auto"/>
              <w:sz w:val="36"/>
              <w:szCs w:val="36"/>
            </w:rPr>
            <w:instrText xml:space="preserve"> PAGEREF _Toc19468 \h </w:instrText>
          </w:r>
          <w:r>
            <w:rPr>
              <w:rFonts w:hint="eastAsia" w:ascii="宋体" w:hAnsi="宋体" w:cs="宋体"/>
              <w:color w:val="auto"/>
              <w:sz w:val="36"/>
              <w:szCs w:val="36"/>
            </w:rPr>
            <w:fldChar w:fldCharType="separate"/>
          </w:r>
          <w:r>
            <w:rPr>
              <w:rFonts w:hint="eastAsia" w:ascii="宋体" w:hAnsi="宋体" w:cs="宋体"/>
              <w:color w:val="auto"/>
              <w:sz w:val="36"/>
              <w:szCs w:val="36"/>
            </w:rPr>
            <w:t>21</w:t>
          </w:r>
          <w:r>
            <w:rPr>
              <w:rFonts w:hint="eastAsia" w:ascii="宋体" w:hAnsi="宋体" w:cs="宋体"/>
              <w:color w:val="auto"/>
              <w:sz w:val="36"/>
              <w:szCs w:val="36"/>
            </w:rPr>
            <w:fldChar w:fldCharType="end"/>
          </w:r>
          <w:r>
            <w:rPr>
              <w:rFonts w:hint="eastAsia" w:ascii="宋体" w:hAnsi="宋体" w:cs="宋体"/>
              <w:color w:val="auto"/>
              <w:sz w:val="36"/>
              <w:szCs w:val="36"/>
            </w:rPr>
            <w:fldChar w:fldCharType="end"/>
          </w:r>
        </w:p>
        <w:p>
          <w:pPr>
            <w:pStyle w:val="160"/>
            <w:tabs>
              <w:tab w:val="right" w:leader="dot" w:pos="8953"/>
            </w:tabs>
            <w:rPr>
              <w:rFonts w:ascii="宋体" w:hAnsi="宋体" w:cs="宋体"/>
              <w:color w:val="auto"/>
              <w:sz w:val="36"/>
              <w:szCs w:val="36"/>
            </w:rPr>
          </w:pPr>
          <w:r>
            <w:rPr>
              <w:color w:val="auto"/>
            </w:rPr>
            <w:fldChar w:fldCharType="begin"/>
          </w:r>
          <w:r>
            <w:rPr>
              <w:color w:val="auto"/>
            </w:rPr>
            <w:instrText xml:space="preserve"> HYPERLINK \l "_Toc17926" </w:instrText>
          </w:r>
          <w:r>
            <w:rPr>
              <w:color w:val="auto"/>
            </w:rPr>
            <w:fldChar w:fldCharType="separate"/>
          </w:r>
          <w:r>
            <w:rPr>
              <w:rFonts w:hint="eastAsia" w:ascii="宋体" w:hAnsi="宋体" w:cs="宋体"/>
              <w:b/>
              <w:bCs/>
              <w:color w:val="auto"/>
              <w:sz w:val="36"/>
              <w:szCs w:val="36"/>
            </w:rPr>
            <w:t>第四章</w:t>
          </w:r>
          <w:r>
            <w:rPr>
              <w:rFonts w:hint="eastAsia" w:ascii="宋体" w:hAnsi="宋体" w:cs="宋体"/>
              <w:color w:val="auto"/>
              <w:sz w:val="36"/>
              <w:szCs w:val="36"/>
            </w:rPr>
            <w:t xml:space="preserve"> 项目需求</w:t>
          </w:r>
          <w:r>
            <w:rPr>
              <w:rFonts w:hint="eastAsia" w:ascii="宋体" w:hAnsi="宋体" w:cs="宋体"/>
              <w:color w:val="auto"/>
              <w:sz w:val="36"/>
              <w:szCs w:val="36"/>
            </w:rPr>
            <w:tab/>
          </w:r>
          <w:r>
            <w:rPr>
              <w:rFonts w:hint="eastAsia" w:ascii="宋体" w:hAnsi="宋体" w:cs="宋体"/>
              <w:color w:val="auto"/>
              <w:sz w:val="36"/>
              <w:szCs w:val="36"/>
            </w:rPr>
            <w:fldChar w:fldCharType="begin"/>
          </w:r>
          <w:r>
            <w:rPr>
              <w:rFonts w:hint="eastAsia" w:ascii="宋体" w:hAnsi="宋体" w:cs="宋体"/>
              <w:color w:val="auto"/>
              <w:sz w:val="36"/>
              <w:szCs w:val="36"/>
            </w:rPr>
            <w:instrText xml:space="preserve"> PAGEREF _Toc17926 \h </w:instrText>
          </w:r>
          <w:r>
            <w:rPr>
              <w:rFonts w:hint="eastAsia" w:ascii="宋体" w:hAnsi="宋体" w:cs="宋体"/>
              <w:color w:val="auto"/>
              <w:sz w:val="36"/>
              <w:szCs w:val="36"/>
            </w:rPr>
            <w:fldChar w:fldCharType="separate"/>
          </w:r>
          <w:r>
            <w:rPr>
              <w:rFonts w:hint="eastAsia" w:ascii="宋体" w:hAnsi="宋体" w:cs="宋体"/>
              <w:color w:val="auto"/>
              <w:sz w:val="36"/>
              <w:szCs w:val="36"/>
            </w:rPr>
            <w:t>26</w:t>
          </w:r>
          <w:r>
            <w:rPr>
              <w:rFonts w:hint="eastAsia" w:ascii="宋体" w:hAnsi="宋体" w:cs="宋体"/>
              <w:color w:val="auto"/>
              <w:sz w:val="36"/>
              <w:szCs w:val="36"/>
            </w:rPr>
            <w:fldChar w:fldCharType="end"/>
          </w:r>
          <w:r>
            <w:rPr>
              <w:rFonts w:hint="eastAsia" w:ascii="宋体" w:hAnsi="宋体" w:cs="宋体"/>
              <w:color w:val="auto"/>
              <w:sz w:val="36"/>
              <w:szCs w:val="36"/>
            </w:rPr>
            <w:fldChar w:fldCharType="end"/>
          </w:r>
        </w:p>
        <w:p>
          <w:pPr>
            <w:pStyle w:val="160"/>
            <w:tabs>
              <w:tab w:val="right" w:leader="dot" w:pos="8953"/>
            </w:tabs>
            <w:rPr>
              <w:rFonts w:ascii="宋体" w:hAnsi="宋体" w:cs="宋体"/>
              <w:color w:val="auto"/>
              <w:sz w:val="36"/>
              <w:szCs w:val="36"/>
            </w:rPr>
          </w:pPr>
          <w:r>
            <w:rPr>
              <w:color w:val="auto"/>
            </w:rPr>
            <w:fldChar w:fldCharType="begin"/>
          </w:r>
          <w:r>
            <w:rPr>
              <w:color w:val="auto"/>
            </w:rPr>
            <w:instrText xml:space="preserve"> HYPERLINK \l "_Toc32259" </w:instrText>
          </w:r>
          <w:r>
            <w:rPr>
              <w:color w:val="auto"/>
            </w:rPr>
            <w:fldChar w:fldCharType="separate"/>
          </w:r>
          <w:r>
            <w:rPr>
              <w:rFonts w:hint="eastAsia" w:ascii="宋体" w:hAnsi="宋体" w:cs="宋体"/>
              <w:b/>
              <w:bCs/>
              <w:color w:val="auto"/>
              <w:sz w:val="36"/>
              <w:szCs w:val="36"/>
            </w:rPr>
            <w:t>第五章</w:t>
          </w:r>
          <w:r>
            <w:rPr>
              <w:rFonts w:hint="eastAsia" w:ascii="宋体" w:hAnsi="宋体" w:cs="宋体"/>
              <w:color w:val="auto"/>
              <w:sz w:val="36"/>
              <w:szCs w:val="36"/>
            </w:rPr>
            <w:t xml:space="preserve">  评标方法与评标标准</w:t>
          </w:r>
          <w:r>
            <w:rPr>
              <w:rFonts w:hint="eastAsia" w:ascii="宋体" w:hAnsi="宋体" w:cs="宋体"/>
              <w:color w:val="auto"/>
              <w:sz w:val="36"/>
              <w:szCs w:val="36"/>
            </w:rPr>
            <w:tab/>
          </w:r>
          <w:r>
            <w:rPr>
              <w:rFonts w:hint="eastAsia" w:ascii="宋体" w:hAnsi="宋体" w:cs="宋体"/>
              <w:color w:val="auto"/>
              <w:sz w:val="36"/>
              <w:szCs w:val="36"/>
            </w:rPr>
            <w:fldChar w:fldCharType="begin"/>
          </w:r>
          <w:r>
            <w:rPr>
              <w:rFonts w:hint="eastAsia" w:ascii="宋体" w:hAnsi="宋体" w:cs="宋体"/>
              <w:color w:val="auto"/>
              <w:sz w:val="36"/>
              <w:szCs w:val="36"/>
            </w:rPr>
            <w:instrText xml:space="preserve"> PAGEREF _Toc32259 \h </w:instrText>
          </w:r>
          <w:r>
            <w:rPr>
              <w:rFonts w:hint="eastAsia" w:ascii="宋体" w:hAnsi="宋体" w:cs="宋体"/>
              <w:color w:val="auto"/>
              <w:sz w:val="36"/>
              <w:szCs w:val="36"/>
            </w:rPr>
            <w:fldChar w:fldCharType="separate"/>
          </w:r>
          <w:r>
            <w:rPr>
              <w:rFonts w:hint="eastAsia" w:ascii="宋体" w:hAnsi="宋体" w:cs="宋体"/>
              <w:color w:val="auto"/>
              <w:sz w:val="36"/>
              <w:szCs w:val="36"/>
            </w:rPr>
            <w:t>27</w:t>
          </w:r>
          <w:r>
            <w:rPr>
              <w:rFonts w:hint="eastAsia" w:ascii="宋体" w:hAnsi="宋体" w:cs="宋体"/>
              <w:color w:val="auto"/>
              <w:sz w:val="36"/>
              <w:szCs w:val="36"/>
            </w:rPr>
            <w:fldChar w:fldCharType="end"/>
          </w:r>
          <w:r>
            <w:rPr>
              <w:rFonts w:hint="eastAsia" w:ascii="宋体" w:hAnsi="宋体" w:cs="宋体"/>
              <w:color w:val="auto"/>
              <w:sz w:val="36"/>
              <w:szCs w:val="36"/>
            </w:rPr>
            <w:fldChar w:fldCharType="end"/>
          </w:r>
        </w:p>
        <w:p>
          <w:pPr>
            <w:pStyle w:val="160"/>
            <w:tabs>
              <w:tab w:val="right" w:leader="dot" w:pos="8953"/>
            </w:tabs>
            <w:rPr>
              <w:color w:val="auto"/>
            </w:rPr>
          </w:pPr>
          <w:r>
            <w:rPr>
              <w:color w:val="auto"/>
            </w:rPr>
            <w:fldChar w:fldCharType="begin"/>
          </w:r>
          <w:r>
            <w:rPr>
              <w:color w:val="auto"/>
            </w:rPr>
            <w:instrText xml:space="preserve"> HYPERLINK \l "_Toc20541" </w:instrText>
          </w:r>
          <w:r>
            <w:rPr>
              <w:color w:val="auto"/>
            </w:rPr>
            <w:fldChar w:fldCharType="separate"/>
          </w:r>
          <w:r>
            <w:rPr>
              <w:rFonts w:hint="eastAsia" w:ascii="宋体" w:hAnsi="宋体" w:cs="宋体"/>
              <w:b/>
              <w:bCs/>
              <w:color w:val="auto"/>
              <w:sz w:val="36"/>
              <w:szCs w:val="36"/>
            </w:rPr>
            <w:t>第六章</w:t>
          </w:r>
          <w:r>
            <w:rPr>
              <w:rFonts w:hint="eastAsia" w:ascii="宋体" w:hAnsi="宋体" w:cs="宋体"/>
              <w:color w:val="auto"/>
              <w:sz w:val="36"/>
              <w:szCs w:val="36"/>
            </w:rPr>
            <w:t xml:space="preserve">  投标文件格式</w:t>
          </w:r>
          <w:r>
            <w:rPr>
              <w:rFonts w:hint="eastAsia" w:ascii="宋体" w:hAnsi="宋体" w:cs="宋体"/>
              <w:color w:val="auto"/>
              <w:sz w:val="36"/>
              <w:szCs w:val="36"/>
            </w:rPr>
            <w:tab/>
          </w:r>
          <w:r>
            <w:rPr>
              <w:rFonts w:hint="eastAsia" w:ascii="宋体" w:hAnsi="宋体" w:cs="宋体"/>
              <w:color w:val="auto"/>
              <w:sz w:val="36"/>
              <w:szCs w:val="36"/>
            </w:rPr>
            <w:fldChar w:fldCharType="begin"/>
          </w:r>
          <w:r>
            <w:rPr>
              <w:rFonts w:hint="eastAsia" w:ascii="宋体" w:hAnsi="宋体" w:cs="宋体"/>
              <w:color w:val="auto"/>
              <w:sz w:val="36"/>
              <w:szCs w:val="36"/>
            </w:rPr>
            <w:instrText xml:space="preserve"> PAGEREF _Toc20541 \h </w:instrText>
          </w:r>
          <w:r>
            <w:rPr>
              <w:rFonts w:hint="eastAsia" w:ascii="宋体" w:hAnsi="宋体" w:cs="宋体"/>
              <w:color w:val="auto"/>
              <w:sz w:val="36"/>
              <w:szCs w:val="36"/>
            </w:rPr>
            <w:fldChar w:fldCharType="separate"/>
          </w:r>
          <w:r>
            <w:rPr>
              <w:rFonts w:hint="eastAsia" w:ascii="宋体" w:hAnsi="宋体" w:cs="宋体"/>
              <w:color w:val="auto"/>
              <w:sz w:val="36"/>
              <w:szCs w:val="36"/>
            </w:rPr>
            <w:t>35</w:t>
          </w:r>
          <w:r>
            <w:rPr>
              <w:rFonts w:hint="eastAsia" w:ascii="宋体" w:hAnsi="宋体" w:cs="宋体"/>
              <w:color w:val="auto"/>
              <w:sz w:val="36"/>
              <w:szCs w:val="36"/>
            </w:rPr>
            <w:fldChar w:fldCharType="end"/>
          </w:r>
          <w:r>
            <w:rPr>
              <w:rFonts w:hint="eastAsia" w:ascii="宋体" w:hAnsi="宋体" w:cs="宋体"/>
              <w:color w:val="auto"/>
              <w:sz w:val="36"/>
              <w:szCs w:val="36"/>
            </w:rPr>
            <w:fldChar w:fldCharType="end"/>
          </w:r>
        </w:p>
        <w:p>
          <w:pPr>
            <w:pStyle w:val="160"/>
            <w:tabs>
              <w:tab w:val="right" w:leader="dot" w:pos="8953"/>
            </w:tabs>
            <w:rPr>
              <w:color w:val="auto"/>
            </w:rPr>
          </w:pPr>
        </w:p>
        <w:p>
          <w:pPr>
            <w:pStyle w:val="32"/>
            <w:jc w:val="both"/>
            <w:rPr>
              <w:rFonts w:ascii="宋体" w:hAnsi="宋体" w:eastAsia="宋体" w:cs="宋体"/>
              <w:bCs/>
              <w:color w:val="auto"/>
            </w:rPr>
            <w:sectPr>
              <w:headerReference r:id="rId4" w:type="first"/>
              <w:footerReference r:id="rId6" w:type="first"/>
              <w:headerReference r:id="rId3" w:type="default"/>
              <w:footerReference r:id="rId5" w:type="default"/>
              <w:pgSz w:w="11906" w:h="16838"/>
              <w:pgMar w:top="1418" w:right="1588" w:bottom="1418" w:left="1365" w:header="851" w:footer="907" w:gutter="0"/>
              <w:pgNumType w:fmt="numberInDash"/>
              <w:cols w:space="720" w:num="1"/>
              <w:titlePg/>
              <w:docGrid w:type="lines" w:linePitch="290" w:charSpace="0"/>
            </w:sectPr>
          </w:pPr>
          <w:r>
            <w:rPr>
              <w:rFonts w:ascii="宋体" w:hAnsi="宋体" w:eastAsia="宋体" w:cs="宋体"/>
              <w:bCs/>
              <w:color w:val="auto"/>
            </w:rPr>
            <w:fldChar w:fldCharType="end"/>
          </w:r>
        </w:p>
      </w:sdtContent>
    </w:sdt>
    <w:p>
      <w:pPr>
        <w:rPr>
          <w:color w:val="auto"/>
        </w:rPr>
      </w:pPr>
    </w:p>
    <w:p>
      <w:pPr>
        <w:pStyle w:val="32"/>
        <w:outlineLvl w:val="0"/>
        <w:rPr>
          <w:rStyle w:val="42"/>
          <w:rFonts w:ascii="宋体" w:hAnsi="宋体" w:eastAsia="宋体" w:cs="宋体"/>
          <w:b/>
          <w:bCs/>
          <w:color w:val="auto"/>
          <w:sz w:val="44"/>
          <w:szCs w:val="44"/>
        </w:rPr>
      </w:pPr>
      <w:bookmarkStart w:id="0" w:name="_Toc18878"/>
      <w:r>
        <w:rPr>
          <w:rStyle w:val="42"/>
          <w:rFonts w:hint="eastAsia" w:ascii="宋体" w:hAnsi="宋体" w:eastAsia="宋体" w:cs="宋体"/>
          <w:b/>
          <w:bCs/>
          <w:color w:val="auto"/>
          <w:sz w:val="44"/>
          <w:szCs w:val="44"/>
        </w:rPr>
        <w:t>第一章  招标公告</w:t>
      </w:r>
      <w:bookmarkEnd w:id="0"/>
    </w:p>
    <w:p>
      <w:pPr>
        <w:pStyle w:val="32"/>
        <w:tabs>
          <w:tab w:val="left" w:pos="0"/>
          <w:tab w:val="left" w:pos="3165"/>
          <w:tab w:val="center" w:pos="4153"/>
        </w:tabs>
        <w:spacing w:line="360" w:lineRule="auto"/>
        <w:rPr>
          <w:rStyle w:val="42"/>
          <w:rFonts w:ascii="宋体" w:hAnsi="宋体" w:eastAsia="宋体" w:cs="宋体"/>
          <w:b/>
          <w:bCs/>
          <w:color w:val="auto"/>
        </w:rPr>
      </w:pPr>
      <w:r>
        <w:rPr>
          <w:rStyle w:val="42"/>
          <w:rFonts w:hint="eastAsia" w:ascii="宋体" w:hAnsi="宋体" w:eastAsia="宋体" w:cs="宋体"/>
          <w:b/>
          <w:bCs/>
          <w:color w:val="auto"/>
          <w:sz w:val="32"/>
          <w:szCs w:val="32"/>
        </w:rPr>
        <w:t>2022级新生生活用品代采购项目招标公告</w:t>
      </w:r>
    </w:p>
    <w:p>
      <w:pPr>
        <w:pBdr>
          <w:top w:val="single" w:color="000000" w:sz="4" w:space="1"/>
          <w:left w:val="single" w:color="000000" w:sz="4" w:space="4"/>
          <w:bottom w:val="single" w:color="000000" w:sz="4" w:space="1"/>
          <w:right w:val="single" w:color="000000" w:sz="4" w:space="4"/>
        </w:pBdr>
        <w:spacing w:line="460" w:lineRule="exact"/>
        <w:rPr>
          <w:rStyle w:val="42"/>
          <w:rFonts w:ascii="宋体" w:hAnsi="宋体" w:cs="宋体"/>
          <w:color w:val="auto"/>
          <w:sz w:val="24"/>
          <w:szCs w:val="24"/>
        </w:rPr>
      </w:pPr>
      <w:r>
        <w:rPr>
          <w:rStyle w:val="42"/>
          <w:rFonts w:hint="eastAsia" w:ascii="宋体" w:hAnsi="宋体" w:cs="宋体"/>
          <w:color w:val="auto"/>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u w:val="single" w:color="000000"/>
        </w:rPr>
        <w:t>2022级新生生活用品代采购项目</w:t>
      </w:r>
      <w:r>
        <w:rPr>
          <w:rStyle w:val="42"/>
          <w:rFonts w:hint="eastAsia" w:ascii="宋体" w:hAnsi="宋体" w:cs="宋体"/>
          <w:bCs/>
          <w:color w:val="auto"/>
          <w:sz w:val="24"/>
          <w:szCs w:val="24"/>
        </w:rPr>
        <w:t>的潜在投标人应在“</w:t>
      </w:r>
      <w:r>
        <w:rPr>
          <w:rStyle w:val="42"/>
          <w:rFonts w:hint="eastAsia" w:ascii="宋体" w:hAnsi="宋体" w:cs="宋体"/>
          <w:bCs/>
          <w:color w:val="auto"/>
          <w:sz w:val="24"/>
          <w:szCs w:val="24"/>
          <w:u w:val="single"/>
        </w:rPr>
        <w:t>江苏省政府采购网或盐城市政府采购网或盐城工业职业技术学院招标采购网”</w:t>
      </w:r>
      <w:r>
        <w:rPr>
          <w:rStyle w:val="42"/>
          <w:rFonts w:hint="eastAsia" w:ascii="宋体" w:hAnsi="宋体" w:cs="宋体"/>
          <w:bCs/>
          <w:color w:val="auto"/>
          <w:sz w:val="24"/>
          <w:szCs w:val="24"/>
        </w:rPr>
        <w:t>获</w:t>
      </w:r>
      <w:r>
        <w:rPr>
          <w:rStyle w:val="42"/>
          <w:rFonts w:hint="eastAsia" w:ascii="宋体" w:hAnsi="宋体" w:cs="宋体"/>
          <w:color w:val="auto"/>
          <w:sz w:val="24"/>
          <w:szCs w:val="24"/>
        </w:rPr>
        <w:t>取招标文件，并于</w:t>
      </w:r>
      <w:r>
        <w:rPr>
          <w:rStyle w:val="42"/>
          <w:rFonts w:hint="eastAsia" w:ascii="宋体" w:hAnsi="宋体" w:cs="宋体"/>
          <w:color w:val="auto"/>
          <w:sz w:val="24"/>
          <w:szCs w:val="24"/>
          <w:u w:val="single" w:color="000000"/>
        </w:rPr>
        <w:t>2022</w:t>
      </w:r>
      <w:r>
        <w:rPr>
          <w:rStyle w:val="42"/>
          <w:rFonts w:hint="eastAsia" w:ascii="宋体" w:hAnsi="宋体" w:cs="宋体"/>
          <w:bCs/>
          <w:color w:val="auto"/>
          <w:sz w:val="24"/>
          <w:szCs w:val="24"/>
          <w:u w:val="single" w:color="000000"/>
        </w:rPr>
        <w:t>年</w:t>
      </w:r>
      <w:r>
        <w:rPr>
          <w:rStyle w:val="42"/>
          <w:rFonts w:hint="eastAsia" w:ascii="宋体" w:hAnsi="宋体" w:cs="宋体"/>
          <w:bCs/>
          <w:color w:val="auto"/>
          <w:sz w:val="24"/>
          <w:szCs w:val="24"/>
          <w:u w:val="single" w:color="000000"/>
          <w:lang w:val="en-US" w:eastAsia="zh-CN"/>
        </w:rPr>
        <w:t>7</w:t>
      </w:r>
      <w:r>
        <w:rPr>
          <w:rStyle w:val="42"/>
          <w:rFonts w:hint="eastAsia" w:ascii="宋体" w:hAnsi="宋体" w:cs="宋体"/>
          <w:bCs/>
          <w:color w:val="auto"/>
          <w:sz w:val="24"/>
          <w:szCs w:val="24"/>
          <w:u w:val="single" w:color="000000"/>
        </w:rPr>
        <w:t>月</w:t>
      </w:r>
      <w:r>
        <w:rPr>
          <w:rStyle w:val="42"/>
          <w:rFonts w:hint="eastAsia" w:ascii="宋体" w:hAnsi="宋体" w:cs="宋体"/>
          <w:bCs/>
          <w:color w:val="auto"/>
          <w:sz w:val="24"/>
          <w:szCs w:val="24"/>
          <w:u w:val="single" w:color="000000"/>
          <w:lang w:val="en-US" w:eastAsia="zh-CN"/>
        </w:rPr>
        <w:t>13</w:t>
      </w:r>
      <w:r>
        <w:rPr>
          <w:rStyle w:val="42"/>
          <w:rFonts w:hint="eastAsia" w:ascii="宋体" w:hAnsi="宋体" w:cs="宋体"/>
          <w:bCs/>
          <w:color w:val="auto"/>
          <w:sz w:val="24"/>
          <w:szCs w:val="24"/>
          <w:u w:val="single" w:color="000000"/>
        </w:rPr>
        <w:t>日</w:t>
      </w:r>
      <w:r>
        <w:rPr>
          <w:rStyle w:val="42"/>
          <w:rFonts w:hint="eastAsia" w:ascii="宋体" w:hAnsi="宋体" w:cs="宋体"/>
          <w:bCs/>
          <w:color w:val="auto"/>
          <w:sz w:val="24"/>
          <w:szCs w:val="24"/>
          <w:u w:val="single" w:color="000000"/>
          <w:lang w:val="en-US" w:eastAsia="zh-CN"/>
        </w:rPr>
        <w:t>9</w:t>
      </w:r>
      <w:r>
        <w:rPr>
          <w:rStyle w:val="42"/>
          <w:rFonts w:hint="eastAsia" w:ascii="宋体" w:hAnsi="宋体" w:cs="宋体"/>
          <w:bCs/>
          <w:color w:val="auto"/>
          <w:sz w:val="24"/>
          <w:szCs w:val="24"/>
          <w:u w:val="single" w:color="000000"/>
        </w:rPr>
        <w:t>点00分（</w:t>
      </w:r>
      <w:r>
        <w:rPr>
          <w:rStyle w:val="42"/>
          <w:rFonts w:hint="eastAsia" w:ascii="宋体" w:hAnsi="宋体" w:cs="宋体"/>
          <w:bCs/>
          <w:color w:val="auto"/>
          <w:sz w:val="24"/>
          <w:szCs w:val="24"/>
        </w:rPr>
        <w:t>北京时间）前递交投标文件</w:t>
      </w:r>
      <w:r>
        <w:rPr>
          <w:rStyle w:val="42"/>
          <w:rFonts w:hint="eastAsia" w:ascii="宋体" w:hAnsi="宋体" w:cs="宋体"/>
          <w:color w:val="auto"/>
          <w:sz w:val="24"/>
          <w:szCs w:val="24"/>
        </w:rPr>
        <w:t>。</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一、项目基本情况</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项目编号：</w:t>
      </w:r>
      <w:r>
        <w:rPr>
          <w:rStyle w:val="42"/>
          <w:rFonts w:hint="eastAsia" w:ascii="宋体" w:hAnsi="宋体" w:cs="宋体"/>
          <w:color w:val="auto"/>
          <w:sz w:val="24"/>
          <w:szCs w:val="24"/>
          <w:u w:val="single"/>
        </w:rPr>
        <w:t>2022-0</w:t>
      </w:r>
      <w:r>
        <w:rPr>
          <w:rStyle w:val="42"/>
          <w:rFonts w:hint="eastAsia" w:ascii="宋体" w:hAnsi="宋体" w:cs="宋体"/>
          <w:color w:val="auto"/>
          <w:sz w:val="24"/>
          <w:szCs w:val="24"/>
          <w:u w:val="single"/>
          <w:lang w:val="en-US" w:eastAsia="zh-CN"/>
        </w:rPr>
        <w:t>13</w:t>
      </w:r>
      <w:r>
        <w:rPr>
          <w:rStyle w:val="42"/>
          <w:rFonts w:hint="eastAsia" w:ascii="宋体" w:hAnsi="宋体" w:cs="宋体"/>
          <w:color w:val="auto"/>
          <w:sz w:val="24"/>
          <w:szCs w:val="24"/>
          <w:u w:val="single"/>
        </w:rPr>
        <w:t>W</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项目名称：</w:t>
      </w:r>
      <w:r>
        <w:rPr>
          <w:rStyle w:val="42"/>
          <w:rFonts w:hint="eastAsia" w:ascii="宋体" w:hAnsi="宋体" w:cs="宋体"/>
          <w:color w:val="auto"/>
          <w:sz w:val="24"/>
          <w:szCs w:val="24"/>
          <w:u w:val="single"/>
        </w:rPr>
        <w:t>2022级新生生活用品代采购项目</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最高限价：一标段：每套生活用品全费用单价最高限价50元/套，本次采购数量暂估约2450套，最终数量根据招标人实际需要执行，中标人不得以数量多少为由要求招标人增加任何费用。二标段：每套生活用品全费用单价最高限价50元/套，本次采购数量暂估约2450套，最终数量根据招标人实际需要执行，中标人不得以数量多少为由要求招标人增加任何费用。三标段：每套生活用品全费用单价最高限价450元/套，本次采购数量暂估约2450套，最终数量根据招标人实际需要执行，中标人不得以数量多少为由要求招标人增加任何费用。</w:t>
      </w:r>
    </w:p>
    <w:p>
      <w:pPr>
        <w:pStyle w:val="142"/>
        <w:widowControl w:val="0"/>
        <w:tabs>
          <w:tab w:val="left" w:pos="0"/>
        </w:tabs>
        <w:adjustRightInd w:val="0"/>
        <w:snapToGrid w:val="0"/>
        <w:spacing w:line="360" w:lineRule="auto"/>
        <w:ind w:left="0" w:firstLine="480" w:firstLineChars="200"/>
        <w:rPr>
          <w:rStyle w:val="42"/>
          <w:rFonts w:ascii="宋体" w:hAnsi="宋体" w:cs="宋体"/>
          <w:color w:val="auto"/>
          <w:szCs w:val="24"/>
          <w:lang w:eastAsia="zh-CN"/>
        </w:rPr>
      </w:pPr>
      <w:r>
        <w:rPr>
          <w:rStyle w:val="42"/>
          <w:rFonts w:hint="eastAsia" w:ascii="宋体" w:hAnsi="宋体" w:cs="宋体"/>
          <w:color w:val="auto"/>
          <w:szCs w:val="24"/>
          <w:lang w:eastAsia="zh-CN"/>
        </w:rPr>
        <w:t>采购需求：盐城工业职业技术学院2022级新生生活用品代采购，本项目分为三个标段，本项目兼投兼中。</w:t>
      </w:r>
    </w:p>
    <w:p>
      <w:pPr>
        <w:pStyle w:val="142"/>
        <w:widowControl w:val="0"/>
        <w:tabs>
          <w:tab w:val="left" w:pos="0"/>
        </w:tabs>
        <w:adjustRightInd w:val="0"/>
        <w:snapToGrid w:val="0"/>
        <w:spacing w:line="360" w:lineRule="auto"/>
        <w:ind w:left="0" w:firstLine="480" w:firstLineChars="200"/>
        <w:rPr>
          <w:rStyle w:val="42"/>
          <w:rFonts w:ascii="宋体" w:hAnsi="宋体" w:cs="宋体"/>
          <w:color w:val="auto"/>
          <w:szCs w:val="24"/>
          <w:lang w:eastAsia="zh-CN"/>
        </w:rPr>
      </w:pPr>
      <w:r>
        <w:rPr>
          <w:rStyle w:val="42"/>
          <w:rFonts w:hint="eastAsia" w:ascii="宋体" w:hAnsi="宋体" w:cs="宋体"/>
          <w:color w:val="auto"/>
          <w:szCs w:val="24"/>
          <w:lang w:eastAsia="zh-CN"/>
        </w:rPr>
        <w:t>一标段：蚊帐、竹凉席，每套生活用品主要含涤纶蚊帐1顶、竹凉席1条。报价时须包括生产、供应、运输、卸货到指定场地、分装、派发给报到新生、多退少补、免费调换、税金等售前售后服务，同时，中标人须服从招标人对卸货、分装、派发的要求与协调。所有纺织品均应符合DB32/T525-2010《学生公寓用纺织品》以及GB18401-2010《国家纺织产品基本安全技术规范》的相关要求。详细内容请见本招标文件项目需求部分。</w:t>
      </w:r>
    </w:p>
    <w:p>
      <w:pPr>
        <w:pStyle w:val="142"/>
        <w:widowControl w:val="0"/>
        <w:tabs>
          <w:tab w:val="left" w:pos="0"/>
        </w:tabs>
        <w:adjustRightInd w:val="0"/>
        <w:snapToGrid w:val="0"/>
        <w:spacing w:line="360" w:lineRule="auto"/>
        <w:ind w:left="0" w:firstLine="480" w:firstLineChars="200"/>
        <w:rPr>
          <w:rStyle w:val="42"/>
          <w:rFonts w:ascii="宋体" w:hAnsi="宋体" w:cs="宋体"/>
          <w:color w:val="auto"/>
          <w:szCs w:val="24"/>
          <w:lang w:eastAsia="zh-CN"/>
        </w:rPr>
      </w:pPr>
      <w:r>
        <w:rPr>
          <w:rStyle w:val="42"/>
          <w:rFonts w:hint="eastAsia" w:ascii="宋体" w:hAnsi="宋体" w:cs="宋体"/>
          <w:color w:val="auto"/>
          <w:szCs w:val="24"/>
          <w:lang w:eastAsia="zh-CN"/>
        </w:rPr>
        <w:t>二标段：茶瓶、塑料盆，每套生活用品含塑料盆2个、钢壳茶瓶1个。报价时须包括生产、供应、运输、卸货到指定场地、分装、派发给报到新生、多退少补、免费调换、税金等售前售后服务，同时，中标人须服从招标人对卸货、分装、派发的要求与协调。详细内容请见本招标文件项目需求部分。</w:t>
      </w:r>
    </w:p>
    <w:p>
      <w:pPr>
        <w:pStyle w:val="142"/>
        <w:widowControl w:val="0"/>
        <w:tabs>
          <w:tab w:val="left" w:pos="0"/>
        </w:tabs>
        <w:adjustRightInd w:val="0"/>
        <w:snapToGrid w:val="0"/>
        <w:spacing w:line="360" w:lineRule="auto"/>
        <w:ind w:left="0" w:firstLine="480" w:firstLineChars="200"/>
        <w:rPr>
          <w:rStyle w:val="42"/>
          <w:rFonts w:ascii="宋体" w:hAnsi="宋体" w:cs="宋体"/>
          <w:color w:val="auto"/>
          <w:szCs w:val="24"/>
          <w:lang w:eastAsia="zh-CN"/>
        </w:rPr>
      </w:pPr>
      <w:r>
        <w:rPr>
          <w:rStyle w:val="42"/>
          <w:rFonts w:hint="eastAsia" w:ascii="宋体" w:hAnsi="宋体" w:cs="宋体"/>
          <w:color w:val="auto"/>
          <w:szCs w:val="24"/>
          <w:lang w:eastAsia="zh-CN"/>
        </w:rPr>
        <w:t>三标段：床上用品，每套生活用品主要含全棉床单2条、全棉被套2条、中空棉枕芯1只、全棉枕套1条、2.5KG盖胎1条、1.5KG盖胎1条、垫胎1条、牛津布包1只。报价时须包括生产、供应、运输、卸货到指定场地、分装、派发给报到新生、多退少补、免费调换、税金等售前售后服务，同时，中标人须服从招标人对卸货、分装、派发的要求与协调。所有纺织品均应符合DB32/T525-2010《学生公寓用纺织品》以及GB18401-2010《国家纺织产品基本安全技术规范》的相关要求。详细内容请见本招标文件项目需求部分。</w:t>
      </w:r>
    </w:p>
    <w:p>
      <w:pPr>
        <w:pStyle w:val="142"/>
        <w:widowControl w:val="0"/>
        <w:tabs>
          <w:tab w:val="left" w:pos="0"/>
        </w:tabs>
        <w:adjustRightInd w:val="0"/>
        <w:snapToGrid w:val="0"/>
        <w:spacing w:line="360" w:lineRule="auto"/>
        <w:ind w:left="0" w:firstLine="480" w:firstLineChars="200"/>
        <w:rPr>
          <w:rStyle w:val="42"/>
          <w:rFonts w:ascii="宋体" w:hAnsi="宋体" w:cs="宋体"/>
          <w:color w:val="auto"/>
          <w:kern w:val="2"/>
          <w:szCs w:val="24"/>
          <w:u w:val="single"/>
          <w:lang w:eastAsia="zh-CN" w:bidi="ar-SA"/>
        </w:rPr>
      </w:pPr>
      <w:r>
        <w:rPr>
          <w:rStyle w:val="42"/>
          <w:rFonts w:hint="eastAsia" w:ascii="宋体" w:hAnsi="宋体" w:cs="宋体"/>
          <w:color w:val="auto"/>
          <w:kern w:val="2"/>
          <w:szCs w:val="24"/>
          <w:lang w:eastAsia="zh-CN" w:bidi="ar-SA"/>
        </w:rPr>
        <w:t>合同履行期限：15日历天，同时确保于2022年9月10日前（具体时间另行通知）全部供货并经验收合格交付使用。</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本项目</w:t>
      </w:r>
      <w:r>
        <w:rPr>
          <w:rStyle w:val="42"/>
          <w:rFonts w:hint="eastAsia" w:ascii="宋体" w:hAnsi="宋体" w:cs="宋体"/>
          <w:b/>
          <w:bCs/>
          <w:color w:val="auto"/>
          <w:sz w:val="24"/>
          <w:szCs w:val="24"/>
          <w:u w:val="single"/>
        </w:rPr>
        <w:t>不接受</w:t>
      </w:r>
      <w:r>
        <w:rPr>
          <w:rStyle w:val="42"/>
          <w:rFonts w:hint="eastAsia" w:ascii="宋体" w:hAnsi="宋体" w:cs="宋体"/>
          <w:color w:val="auto"/>
          <w:sz w:val="24"/>
          <w:szCs w:val="24"/>
        </w:rPr>
        <w:t>联合体投标。</w:t>
      </w:r>
    </w:p>
    <w:p>
      <w:pPr>
        <w:pStyle w:val="32"/>
        <w:widowControl w:val="0"/>
        <w:tabs>
          <w:tab w:val="left" w:pos="0"/>
          <w:tab w:val="left" w:pos="3165"/>
          <w:tab w:val="center" w:pos="4153"/>
        </w:tabs>
        <w:adjustRightInd w:val="0"/>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二、投标人的资格要求：</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（1）法人或者其他组织的营业执照等证明文件，自然人的身份证明；</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（2）上一年度（2021年）的财务报表（成立不满一年不需提供）；</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（3）依法缴纳税收和社会保障资金的相关材料；</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（4）具备履行合同所必需的设备和专业技术能力的书面声明；</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（5）参加政府采购活动前3年内在经营活动中没有重大违法记录的书面声明；</w:t>
      </w:r>
    </w:p>
    <w:p>
      <w:pPr>
        <w:adjustRightInd w:val="0"/>
        <w:snapToGrid w:val="0"/>
        <w:spacing w:line="336"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2.落实政府采购政策需满足的资格要求：本项目三个标段</w:t>
      </w:r>
      <w:r>
        <w:rPr>
          <w:rStyle w:val="42"/>
          <w:rFonts w:cs="Times New Roman"/>
          <w:color w:val="auto"/>
          <w:sz w:val="24"/>
          <w:szCs w:val="24"/>
        </w:rPr>
        <w:t>为专门面向中小企业采购的项目，投标供应商必须为中小微企业，不接受非中小微企业参与本项目的投标</w:t>
      </w:r>
      <w:r>
        <w:rPr>
          <w:rStyle w:val="42"/>
          <w:rFonts w:hint="eastAsia" w:ascii="宋体" w:hAnsi="宋体" w:cs="宋体"/>
          <w:color w:val="auto"/>
          <w:sz w:val="24"/>
          <w:szCs w:val="24"/>
        </w:rPr>
        <w:t>。</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3.本项目的特定资格要求：</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(1)投标人提供所投样品相关质检机构提供的质检合格报告复印件加盖公章</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(2)未被列入“信用中国”网站（www.creditchina.gov.cn）失信被执行人名单、重大税收违法案件当事人名单和中国政府采购网（www.ccgp.gov.cn）政府采购严重违法失信行为记录名单。</w:t>
      </w:r>
    </w:p>
    <w:p>
      <w:pPr>
        <w:widowControl w:val="0"/>
        <w:adjustRightInd w:val="0"/>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(3)投标人单位负责人为同一人或者存在直接控股、管理关系的不同投标人，不得参加同一标段投标活动。</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三、获取招标文件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时间：自公告之日起至投标截止时间前1日</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地点：江苏省政府采购网或盐城市政府采购网或盐城工业职业技术学院招标采购网</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方式：符合资格要求的投标人可自行下载采购文件，采购文件见江苏省政府采购网或盐城市政府采购网或盐城工业职业技术学院招标采购网本公告附件。</w:t>
      </w:r>
    </w:p>
    <w:p>
      <w:pPr>
        <w:adjustRightInd w:val="0"/>
        <w:snapToGrid w:val="0"/>
        <w:spacing w:line="360" w:lineRule="auto"/>
        <w:ind w:firstLine="480" w:firstLineChars="200"/>
        <w:rPr>
          <w:rStyle w:val="42"/>
          <w:rFonts w:ascii="宋体" w:hAnsi="宋体" w:cs="宋体"/>
          <w:color w:val="auto"/>
          <w:sz w:val="24"/>
          <w:szCs w:val="24"/>
        </w:rPr>
      </w:pPr>
      <w:r>
        <w:rPr>
          <w:rFonts w:hint="eastAsia" w:ascii="宋体" w:hAnsi="宋体" w:cs="宋体"/>
          <w:bCs/>
          <w:color w:val="auto"/>
          <w:sz w:val="24"/>
          <w:szCs w:val="24"/>
        </w:rPr>
        <w:t>报名时间及地点：本公告发布后凡具备上述资格条件，并自愿参加本项目投标的投标人应于2022年</w:t>
      </w:r>
      <w:r>
        <w:rPr>
          <w:rFonts w:hint="eastAsia" w:ascii="宋体" w:hAnsi="宋体" w:cs="宋体"/>
          <w:bCs/>
          <w:color w:val="auto"/>
          <w:sz w:val="24"/>
          <w:szCs w:val="24"/>
          <w:lang w:val="en-US" w:eastAsia="zh-CN"/>
        </w:rPr>
        <w:t>6</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21</w:t>
      </w:r>
      <w:r>
        <w:rPr>
          <w:rFonts w:hint="eastAsia" w:ascii="宋体" w:hAnsi="宋体" w:cs="宋体"/>
          <w:bCs/>
          <w:color w:val="auto"/>
          <w:sz w:val="24"/>
          <w:szCs w:val="24"/>
        </w:rPr>
        <w:t>日至2022年</w:t>
      </w:r>
      <w:r>
        <w:rPr>
          <w:rFonts w:hint="eastAsia" w:ascii="宋体" w:hAnsi="宋体" w:cs="宋体"/>
          <w:bCs/>
          <w:color w:val="auto"/>
          <w:sz w:val="24"/>
          <w:szCs w:val="24"/>
          <w:lang w:val="en-US" w:eastAsia="zh-CN"/>
        </w:rPr>
        <w:t>7</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5</w:t>
      </w:r>
      <w:r>
        <w:rPr>
          <w:rFonts w:hint="eastAsia" w:ascii="宋体" w:hAnsi="宋体" w:cs="宋体"/>
          <w:bCs/>
          <w:color w:val="auto"/>
          <w:sz w:val="24"/>
          <w:szCs w:val="24"/>
        </w:rPr>
        <w:t>日委派本单位正式人员携带单位介绍信或授权委托书到盐城市金融城四号楼1103室报名且购买招标文件，逾期报名的不予接收。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售价：人民币500元/标段，售后不退。</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四、提交投标文件截止时间、开标时间和地点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时间：</w:t>
      </w:r>
      <w:r>
        <w:rPr>
          <w:rStyle w:val="42"/>
          <w:rFonts w:hint="eastAsia" w:ascii="宋体" w:hAnsi="宋体" w:cs="宋体"/>
          <w:color w:val="auto"/>
          <w:sz w:val="24"/>
          <w:szCs w:val="24"/>
          <w:u w:val="single" w:color="000000"/>
        </w:rPr>
        <w:t>2022</w:t>
      </w:r>
      <w:r>
        <w:rPr>
          <w:rStyle w:val="42"/>
          <w:rFonts w:hint="eastAsia" w:ascii="宋体" w:hAnsi="宋体" w:cs="宋体"/>
          <w:bCs/>
          <w:color w:val="auto"/>
          <w:sz w:val="24"/>
          <w:szCs w:val="24"/>
          <w:u w:val="single" w:color="000000"/>
        </w:rPr>
        <w:t>年</w:t>
      </w:r>
      <w:r>
        <w:rPr>
          <w:rStyle w:val="42"/>
          <w:rFonts w:hint="eastAsia" w:ascii="宋体" w:hAnsi="宋体" w:cs="宋体"/>
          <w:bCs/>
          <w:color w:val="auto"/>
          <w:sz w:val="24"/>
          <w:szCs w:val="24"/>
          <w:u w:val="single" w:color="000000"/>
          <w:lang w:val="en-US" w:eastAsia="zh-CN"/>
        </w:rPr>
        <w:t>7</w:t>
      </w:r>
      <w:r>
        <w:rPr>
          <w:rStyle w:val="42"/>
          <w:rFonts w:hint="eastAsia" w:ascii="宋体" w:hAnsi="宋体" w:cs="宋体"/>
          <w:bCs/>
          <w:color w:val="auto"/>
          <w:sz w:val="24"/>
          <w:szCs w:val="24"/>
          <w:u w:val="single" w:color="000000"/>
        </w:rPr>
        <w:t>月</w:t>
      </w:r>
      <w:r>
        <w:rPr>
          <w:rStyle w:val="42"/>
          <w:rFonts w:hint="eastAsia" w:ascii="宋体" w:hAnsi="宋体" w:cs="宋体"/>
          <w:bCs/>
          <w:color w:val="auto"/>
          <w:sz w:val="24"/>
          <w:szCs w:val="24"/>
          <w:u w:val="single" w:color="000000"/>
          <w:lang w:val="en-US" w:eastAsia="zh-CN"/>
        </w:rPr>
        <w:t>13</w:t>
      </w:r>
      <w:r>
        <w:rPr>
          <w:rStyle w:val="42"/>
          <w:rFonts w:hint="eastAsia" w:ascii="宋体" w:hAnsi="宋体" w:cs="宋体"/>
          <w:bCs/>
          <w:color w:val="auto"/>
          <w:sz w:val="24"/>
          <w:szCs w:val="24"/>
          <w:u w:val="single" w:color="000000"/>
        </w:rPr>
        <w:t>日</w:t>
      </w:r>
      <w:r>
        <w:rPr>
          <w:rStyle w:val="42"/>
          <w:rFonts w:hint="eastAsia" w:ascii="宋体" w:hAnsi="宋体" w:cs="宋体"/>
          <w:bCs/>
          <w:color w:val="auto"/>
          <w:sz w:val="24"/>
          <w:szCs w:val="24"/>
          <w:u w:val="single" w:color="000000"/>
          <w:lang w:val="en-US" w:eastAsia="zh-CN"/>
        </w:rPr>
        <w:t>9</w:t>
      </w:r>
      <w:r>
        <w:rPr>
          <w:rStyle w:val="42"/>
          <w:rFonts w:hint="eastAsia" w:ascii="宋体" w:hAnsi="宋体" w:cs="宋体"/>
          <w:bCs/>
          <w:color w:val="auto"/>
          <w:sz w:val="24"/>
          <w:szCs w:val="24"/>
          <w:u w:val="single" w:color="000000"/>
        </w:rPr>
        <w:t>点00分</w:t>
      </w:r>
      <w:r>
        <w:rPr>
          <w:rStyle w:val="42"/>
          <w:rFonts w:hint="eastAsia" w:ascii="宋体" w:hAnsi="宋体" w:cs="宋体"/>
          <w:color w:val="auto"/>
          <w:sz w:val="24"/>
          <w:szCs w:val="24"/>
        </w:rPr>
        <w:t>（北京时间）</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地点：盐城工业职业技术学院（盐城市解放南路285号）后勤服务中心四楼402开标室。</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五、公告期限</w:t>
      </w:r>
    </w:p>
    <w:p>
      <w:pPr>
        <w:snapToGrid w:val="0"/>
        <w:spacing w:line="360" w:lineRule="auto"/>
        <w:ind w:firstLine="480" w:firstLineChars="200"/>
        <w:rPr>
          <w:rStyle w:val="42"/>
          <w:rFonts w:ascii="宋体" w:hAnsi="宋体" w:cs="宋体"/>
          <w:color w:val="auto"/>
          <w:kern w:val="0"/>
          <w:sz w:val="24"/>
          <w:szCs w:val="24"/>
        </w:rPr>
      </w:pPr>
      <w:r>
        <w:rPr>
          <w:rStyle w:val="42"/>
          <w:rFonts w:hint="eastAsia" w:ascii="宋体" w:hAnsi="宋体" w:cs="宋体"/>
          <w:color w:val="auto"/>
          <w:kern w:val="0"/>
          <w:sz w:val="24"/>
          <w:szCs w:val="24"/>
        </w:rPr>
        <w:t>自本公告发布之日起5个工作日。</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六、其他补充事宜</w:t>
      </w:r>
    </w:p>
    <w:p>
      <w:pPr>
        <w:snapToGrid w:val="0"/>
        <w:spacing w:line="360" w:lineRule="auto"/>
        <w:ind w:firstLine="480" w:firstLineChars="200"/>
        <w:rPr>
          <w:rStyle w:val="42"/>
          <w:rFonts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(一)因疫情防控需要，为确保校园安全，</w:t>
      </w:r>
      <w:r>
        <w:rPr>
          <w:rStyle w:val="42"/>
          <w:rFonts w:hint="eastAsia" w:asciiTheme="minorEastAsia" w:hAnsiTheme="minorEastAsia" w:eastAsiaTheme="minorEastAsia" w:cstheme="minorEastAsia"/>
          <w:b/>
          <w:bCs/>
          <w:color w:val="auto"/>
          <w:sz w:val="24"/>
          <w:szCs w:val="24"/>
        </w:rPr>
        <w:t>投标人须持有48小时内核酸检测阴性证明</w:t>
      </w:r>
      <w:r>
        <w:rPr>
          <w:rStyle w:val="42"/>
          <w:rFonts w:hint="eastAsia" w:asciiTheme="minorEastAsia" w:hAnsiTheme="minorEastAsia" w:eastAsiaTheme="minorEastAsia" w:cstheme="minorEastAsia"/>
          <w:color w:val="auto"/>
          <w:sz w:val="24"/>
          <w:szCs w:val="24"/>
        </w:rPr>
        <w:t>进入盐城工业职业技术学院校区时应服从下列疫情防控措施：</w:t>
      </w:r>
    </w:p>
    <w:p>
      <w:pPr>
        <w:snapToGrid w:val="0"/>
        <w:spacing w:line="360" w:lineRule="auto"/>
        <w:ind w:firstLine="480" w:firstLineChars="200"/>
        <w:rPr>
          <w:rStyle w:val="42"/>
          <w:rFonts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（1）投标前14天内与确诊/疑似病例或无症状感染者有密切接触的人员，以及与密切接触者接触的次密切接触者，一律不得进校。</w:t>
      </w:r>
    </w:p>
    <w:p>
      <w:pPr>
        <w:snapToGrid w:val="0"/>
        <w:spacing w:line="360" w:lineRule="auto"/>
        <w:ind w:firstLine="480" w:firstLineChars="200"/>
        <w:rPr>
          <w:rStyle w:val="42"/>
          <w:rFonts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（2）投标前14天内接触过境外归国人员（未解除隔离的），按次密切接触者处置，一律不得进校。</w:t>
      </w:r>
    </w:p>
    <w:p>
      <w:pPr>
        <w:snapToGrid w:val="0"/>
        <w:spacing w:line="360" w:lineRule="auto"/>
        <w:ind w:firstLine="480" w:firstLineChars="200"/>
        <w:rPr>
          <w:rStyle w:val="42"/>
          <w:rFonts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（3）投标前14天内有疫情中高风险地区（以开标前一日权威发布的疫情风险等级区域划分为依据）旅居史的人员，一律不得进校。</w:t>
      </w:r>
    </w:p>
    <w:p>
      <w:pPr>
        <w:snapToGrid w:val="0"/>
        <w:spacing w:line="360" w:lineRule="auto"/>
        <w:ind w:firstLine="480" w:firstLineChars="200"/>
        <w:rPr>
          <w:rStyle w:val="42"/>
          <w:rFonts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4）投标前14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napToGrid w:val="0"/>
        <w:spacing w:line="360" w:lineRule="auto"/>
        <w:ind w:firstLine="480" w:firstLineChars="200"/>
        <w:rPr>
          <w:rStyle w:val="42"/>
          <w:rFonts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（5）投标前14天内出现发热或呼吸道症状的人员，经当地医院就诊治疗，排除新冠病毒感染并在身体康复后，须持有48小时内核酸检测阴性证明，或者能够出示包括48小时内核酸检测阴性证明的健康码。</w:t>
      </w:r>
    </w:p>
    <w:p>
      <w:pPr>
        <w:snapToGrid w:val="0"/>
        <w:spacing w:line="360" w:lineRule="auto"/>
        <w:ind w:firstLine="480" w:firstLineChars="200"/>
        <w:rPr>
          <w:rStyle w:val="42"/>
          <w:rFonts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napToGrid w:val="0"/>
        <w:spacing w:line="360" w:lineRule="auto"/>
        <w:ind w:firstLine="480" w:firstLineChars="200"/>
        <w:rPr>
          <w:rStyle w:val="42"/>
          <w:rFonts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（7）投标人从东门进出，车辆一律不得进入校园（如确因提供样品需要，经同意后可进校园，服从管理，在指定位置停放）。</w:t>
      </w:r>
    </w:p>
    <w:p>
      <w:pPr>
        <w:snapToGrid w:val="0"/>
        <w:spacing w:line="360" w:lineRule="auto"/>
        <w:ind w:firstLine="480" w:firstLineChars="200"/>
        <w:rPr>
          <w:rStyle w:val="42"/>
          <w:rFonts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（8）各投标项目授权代表限1人进入校园，项目授权代表进入校园时须全程配戴口罩，做好手部消毒及投标文件等消毒防护工作。</w:t>
      </w:r>
    </w:p>
    <w:p>
      <w:pPr>
        <w:snapToGrid w:val="0"/>
        <w:spacing w:line="360" w:lineRule="auto"/>
        <w:ind w:firstLine="480" w:firstLineChars="200"/>
        <w:rPr>
          <w:rStyle w:val="42"/>
          <w:rFonts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napToGrid w:val="0"/>
        <w:spacing w:line="360" w:lineRule="auto"/>
        <w:ind w:firstLine="480" w:firstLineChars="200"/>
        <w:rPr>
          <w:rStyle w:val="42"/>
          <w:rFonts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（10）投标人未如实报告个人信息，承担相应责任和法律后果，引发问题学校可取消其中标资格。</w:t>
      </w:r>
    </w:p>
    <w:p>
      <w:pPr>
        <w:snapToGrid w:val="0"/>
        <w:spacing w:line="360" w:lineRule="auto"/>
        <w:ind w:firstLine="480" w:firstLineChars="200"/>
        <w:rPr>
          <w:rStyle w:val="42"/>
          <w:rFonts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请各投标人预留好相应时间，配合做好上述管控措施。</w:t>
      </w:r>
    </w:p>
    <w:p>
      <w:pPr>
        <w:numPr>
          <w:ilvl w:val="0"/>
          <w:numId w:val="4"/>
        </w:num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color w:val="auto"/>
          <w:sz w:val="24"/>
        </w:rPr>
      </w:pPr>
      <w:r>
        <w:rPr>
          <w:rFonts w:hint="eastAsia" w:ascii="宋体" w:hAnsi="宋体" w:cs="宋体"/>
          <w:b/>
          <w:bCs/>
          <w:color w:val="auto"/>
          <w:sz w:val="24"/>
        </w:rPr>
        <w:t>七、本项目投标保证金</w:t>
      </w:r>
    </w:p>
    <w:p>
      <w:pPr>
        <w:pStyle w:val="32"/>
        <w:tabs>
          <w:tab w:val="left" w:pos="0"/>
          <w:tab w:val="left" w:pos="3165"/>
          <w:tab w:val="center" w:pos="4153"/>
        </w:tabs>
        <w:snapToGrid w:val="0"/>
        <w:spacing w:line="360" w:lineRule="auto"/>
        <w:ind w:firstLine="480" w:firstLineChars="200"/>
        <w:jc w:val="left"/>
        <w:rPr>
          <w:rStyle w:val="42"/>
          <w:rFonts w:ascii="宋体" w:hAnsi="宋体" w:eastAsia="宋体" w:cs="宋体"/>
          <w:color w:val="auto"/>
          <w:sz w:val="24"/>
          <w:szCs w:val="24"/>
        </w:rPr>
      </w:pPr>
      <w:r>
        <w:rPr>
          <w:rStyle w:val="42"/>
          <w:rFonts w:hint="eastAsia" w:ascii="宋体" w:hAnsi="宋体" w:eastAsia="宋体" w:cs="宋体"/>
          <w:color w:val="auto"/>
          <w:sz w:val="24"/>
          <w:szCs w:val="24"/>
        </w:rPr>
        <w:t>根据江苏省财政厅及盐财购〔2020〕11号文件关于取消政府采购投标保证金的规定，本采购项目投标人无需在投标截止时间之前交纳（提交）投标保证金。</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八、对本次招标提出询问，请按以下方式联系。</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1.采购人信息</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名称：盐城工业职业技术学院</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地址：盐城市解放南路285号</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联系人：赵老师             </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联系电话：0515-88588707</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2.采购代理机构信息</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名称：江苏伟业项目管理有限公司</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地址：盐城市金融城四号楼1103</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联系人：周鹏              </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联系电话：13024494996</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3.项目联系方式</w:t>
      </w:r>
    </w:p>
    <w:p>
      <w:pPr>
        <w:snapToGrid w:val="0"/>
        <w:spacing w:line="360" w:lineRule="auto"/>
        <w:ind w:firstLine="480" w:firstLineChars="200"/>
        <w:rPr>
          <w:rStyle w:val="42"/>
          <w:rFonts w:ascii="宋体" w:hAnsi="宋体" w:eastAsia="楷体" w:cs="宋体"/>
          <w:color w:val="auto"/>
          <w:sz w:val="24"/>
          <w:szCs w:val="24"/>
        </w:rPr>
      </w:pPr>
      <w:r>
        <w:rPr>
          <w:rStyle w:val="42"/>
          <w:rFonts w:hint="eastAsia" w:ascii="宋体" w:hAnsi="宋体" w:cs="宋体"/>
          <w:color w:val="auto"/>
          <w:sz w:val="24"/>
          <w:szCs w:val="24"/>
        </w:rPr>
        <w:t>项目联系人：高老师</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电话：18262393599</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对项目需求部分的询问、质疑请向使用部门提出，询问、质疑由项目联系人负责答复。</w:t>
      </w:r>
    </w:p>
    <w:p>
      <w:pPr>
        <w:snapToGrid w:val="0"/>
        <w:spacing w:line="360" w:lineRule="auto"/>
        <w:ind w:firstLine="480" w:firstLineChars="200"/>
        <w:rPr>
          <w:rStyle w:val="42"/>
          <w:rFonts w:ascii="宋体" w:hAnsi="宋体" w:cs="宋体"/>
          <w:color w:val="auto"/>
          <w:sz w:val="24"/>
          <w:szCs w:val="24"/>
        </w:rPr>
      </w:pPr>
    </w:p>
    <w:p>
      <w:pPr>
        <w:pStyle w:val="2"/>
        <w:ind w:left="1470" w:right="1470"/>
        <w:rPr>
          <w:rStyle w:val="42"/>
          <w:rFonts w:ascii="宋体" w:hAnsi="宋体" w:cs="宋体"/>
          <w:color w:val="auto"/>
          <w:sz w:val="24"/>
          <w:szCs w:val="24"/>
        </w:rPr>
      </w:pPr>
    </w:p>
    <w:p>
      <w:pPr>
        <w:pStyle w:val="2"/>
        <w:ind w:left="1470" w:right="1470"/>
        <w:rPr>
          <w:rStyle w:val="42"/>
          <w:rFonts w:ascii="宋体" w:hAnsi="宋体" w:cs="宋体"/>
          <w:color w:val="auto"/>
          <w:sz w:val="24"/>
          <w:szCs w:val="24"/>
        </w:rPr>
      </w:pPr>
    </w:p>
    <w:p>
      <w:pPr>
        <w:pStyle w:val="2"/>
        <w:ind w:left="1470" w:right="1470"/>
        <w:rPr>
          <w:rStyle w:val="42"/>
          <w:rFonts w:ascii="宋体" w:hAnsi="宋体" w:cs="宋体"/>
          <w:color w:val="auto"/>
          <w:sz w:val="24"/>
          <w:szCs w:val="24"/>
        </w:rPr>
      </w:pPr>
    </w:p>
    <w:p>
      <w:pPr>
        <w:pStyle w:val="2"/>
        <w:ind w:left="1470" w:right="1470"/>
        <w:rPr>
          <w:rStyle w:val="42"/>
          <w:rFonts w:ascii="宋体" w:hAnsi="宋体" w:cs="宋体"/>
          <w:color w:val="auto"/>
          <w:sz w:val="24"/>
          <w:szCs w:val="24"/>
        </w:rPr>
      </w:pPr>
    </w:p>
    <w:p>
      <w:pPr>
        <w:pStyle w:val="2"/>
        <w:ind w:left="1470" w:right="1470"/>
        <w:rPr>
          <w:rStyle w:val="42"/>
          <w:rFonts w:ascii="宋体" w:hAnsi="宋体" w:cs="宋体"/>
          <w:color w:val="auto"/>
          <w:sz w:val="24"/>
          <w:szCs w:val="24"/>
        </w:rPr>
      </w:pPr>
    </w:p>
    <w:p>
      <w:pPr>
        <w:pStyle w:val="2"/>
        <w:ind w:left="1470" w:right="1470"/>
        <w:rPr>
          <w:rStyle w:val="42"/>
          <w:rFonts w:ascii="宋体" w:hAnsi="宋体" w:cs="宋体"/>
          <w:color w:val="auto"/>
          <w:sz w:val="24"/>
          <w:szCs w:val="24"/>
        </w:rPr>
      </w:pPr>
    </w:p>
    <w:p>
      <w:pPr>
        <w:pStyle w:val="2"/>
        <w:ind w:left="1470" w:right="1470"/>
        <w:rPr>
          <w:rStyle w:val="42"/>
          <w:rFonts w:ascii="宋体" w:hAnsi="宋体" w:cs="宋体"/>
          <w:color w:val="auto"/>
          <w:sz w:val="24"/>
          <w:szCs w:val="24"/>
        </w:rPr>
      </w:pPr>
    </w:p>
    <w:p>
      <w:pPr>
        <w:pStyle w:val="2"/>
        <w:ind w:left="1470" w:right="1470"/>
        <w:rPr>
          <w:rStyle w:val="42"/>
          <w:rFonts w:ascii="宋体" w:hAnsi="宋体" w:cs="宋体"/>
          <w:color w:val="auto"/>
          <w:sz w:val="24"/>
          <w:szCs w:val="24"/>
        </w:rPr>
      </w:pPr>
    </w:p>
    <w:p>
      <w:pPr>
        <w:pStyle w:val="2"/>
        <w:ind w:left="1470" w:right="1470"/>
        <w:rPr>
          <w:rStyle w:val="42"/>
          <w:rFonts w:ascii="宋体" w:hAnsi="宋体" w:cs="宋体"/>
          <w:color w:val="auto"/>
          <w:sz w:val="24"/>
          <w:szCs w:val="24"/>
        </w:rPr>
      </w:pPr>
    </w:p>
    <w:p>
      <w:pPr>
        <w:pStyle w:val="2"/>
        <w:ind w:left="1470" w:right="1470"/>
        <w:rPr>
          <w:rStyle w:val="42"/>
          <w:rFonts w:ascii="宋体" w:hAnsi="宋体" w:cs="宋体"/>
          <w:color w:val="auto"/>
          <w:sz w:val="24"/>
          <w:szCs w:val="24"/>
        </w:rPr>
      </w:pPr>
    </w:p>
    <w:p>
      <w:pPr>
        <w:pStyle w:val="2"/>
        <w:ind w:left="1470" w:right="1470"/>
        <w:rPr>
          <w:rStyle w:val="42"/>
          <w:rFonts w:ascii="宋体" w:hAnsi="宋体" w:cs="宋体"/>
          <w:color w:val="auto"/>
          <w:sz w:val="24"/>
          <w:szCs w:val="24"/>
        </w:rPr>
      </w:pPr>
    </w:p>
    <w:p>
      <w:pPr>
        <w:pStyle w:val="2"/>
        <w:ind w:left="1470" w:right="1470"/>
        <w:rPr>
          <w:rStyle w:val="42"/>
          <w:rFonts w:ascii="宋体" w:hAnsi="宋体" w:cs="宋体"/>
          <w:color w:val="auto"/>
          <w:sz w:val="24"/>
          <w:szCs w:val="24"/>
        </w:rPr>
      </w:pPr>
    </w:p>
    <w:p>
      <w:pPr>
        <w:pStyle w:val="33"/>
        <w:spacing w:before="0" w:after="0" w:line="240" w:lineRule="auto"/>
        <w:jc w:val="both"/>
        <w:outlineLvl w:val="0"/>
        <w:rPr>
          <w:rStyle w:val="42"/>
          <w:rFonts w:ascii="宋体" w:hAnsi="宋体" w:eastAsia="宋体" w:cs="宋体"/>
          <w:color w:val="auto"/>
        </w:rPr>
      </w:pPr>
      <w:bookmarkStart w:id="1" w:name="_Toc21663"/>
    </w:p>
    <w:p>
      <w:pPr>
        <w:pStyle w:val="34"/>
        <w:rPr>
          <w:rStyle w:val="42"/>
          <w:rFonts w:ascii="宋体" w:hAnsi="宋体" w:cs="宋体"/>
          <w:color w:val="auto"/>
        </w:rPr>
      </w:pPr>
    </w:p>
    <w:p>
      <w:pPr>
        <w:pStyle w:val="34"/>
        <w:rPr>
          <w:rStyle w:val="42"/>
          <w:rFonts w:ascii="宋体" w:hAnsi="宋体" w:cs="宋体"/>
          <w:color w:val="auto"/>
        </w:rPr>
      </w:pPr>
    </w:p>
    <w:p>
      <w:pPr>
        <w:pStyle w:val="33"/>
        <w:spacing w:before="0" w:after="0" w:line="240" w:lineRule="auto"/>
        <w:outlineLvl w:val="0"/>
        <w:rPr>
          <w:rStyle w:val="42"/>
          <w:rFonts w:ascii="宋体" w:hAnsi="宋体" w:eastAsia="宋体" w:cs="宋体"/>
          <w:b w:val="0"/>
          <w:bCs w:val="0"/>
          <w:color w:val="auto"/>
        </w:rPr>
      </w:pPr>
      <w:r>
        <w:rPr>
          <w:rStyle w:val="42"/>
          <w:rFonts w:hint="eastAsia" w:ascii="宋体" w:hAnsi="宋体" w:eastAsia="宋体" w:cs="宋体"/>
          <w:color w:val="auto"/>
        </w:rPr>
        <w:t>第二章  投标人须知</w:t>
      </w:r>
      <w:bookmarkEnd w:id="1"/>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一、总则</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1、招标方式</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1.1 本次招标采取公开招标方式，本招标文件仅适用于招标公告中所述项目。</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2、合格的投标人</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2.1满足招标公告中供应商的资格要求的规定。</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2.2 满足本文件实质性条款的规定。</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3、适用法律</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 本次招标及由此产生的合同受中华人民共和国有关的法律法规制约和保护。</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4、投标费用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4.1</w:t>
      </w:r>
      <w:r>
        <w:rPr>
          <w:rStyle w:val="42"/>
          <w:rFonts w:hint="eastAsia" w:ascii="宋体" w:hAnsi="宋体" w:cs="宋体"/>
          <w:color w:val="auto"/>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4.2本项目每个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5、招标文件的约束力</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5.1</w:t>
      </w:r>
      <w:r>
        <w:rPr>
          <w:rStyle w:val="42"/>
          <w:rFonts w:hint="eastAsia" w:ascii="宋体" w:hAnsi="宋体" w:cs="宋体"/>
          <w:color w:val="auto"/>
          <w:sz w:val="24"/>
          <w:szCs w:val="24"/>
        </w:rPr>
        <w:t xml:space="preserve"> 投标人一旦参加本项目采购活动，即被认为接受了本招标文件的规定和约束，并且视为自招标公告期限届满之日起知道或应当知道自身权益是否受到了损害。</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6、招标文件的解释</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6.1 本招标文件由采购人或采购代理机构负责解释。</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二、招标文件</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7、招标文件构成</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7.1</w:t>
      </w:r>
      <w:r>
        <w:rPr>
          <w:rStyle w:val="42"/>
          <w:rFonts w:hint="eastAsia" w:ascii="宋体" w:hAnsi="宋体" w:cs="宋体"/>
          <w:color w:val="auto"/>
          <w:sz w:val="24"/>
          <w:szCs w:val="24"/>
        </w:rPr>
        <w:t xml:space="preserve"> 招标文件有以下部分组成：</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（1）招标公告</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（2）投标人须知</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（3）合同条款及格式</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（4）项目需求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（5）评标方法与评标标准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（6）投标文件格式</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请仔细检查招标文件是否齐全，如有缺漏请立即与采购人或采购代理机构联系解决。</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7.2</w:t>
      </w:r>
      <w:r>
        <w:rPr>
          <w:rStyle w:val="42"/>
          <w:rFonts w:hint="eastAsia" w:ascii="宋体" w:hAnsi="宋体" w:cs="宋体"/>
          <w:color w:val="auto"/>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8、招标文件的询问</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8.1</w:t>
      </w:r>
      <w:r>
        <w:rPr>
          <w:rStyle w:val="42"/>
          <w:rFonts w:hint="eastAsia" w:ascii="宋体" w:hAnsi="宋体" w:cs="宋体"/>
          <w:color w:val="auto"/>
          <w:sz w:val="24"/>
          <w:szCs w:val="24"/>
        </w:rPr>
        <w:t xml:space="preserve"> 任何要求对招标文件进行询问的投标人，应在投标截止日期</w:t>
      </w:r>
      <w:r>
        <w:rPr>
          <w:rStyle w:val="42"/>
          <w:rFonts w:hint="eastAsia" w:ascii="宋体" w:hAnsi="宋体" w:cs="宋体"/>
          <w:b/>
          <w:color w:val="auto"/>
          <w:sz w:val="24"/>
          <w:szCs w:val="24"/>
        </w:rPr>
        <w:t>十日</w:t>
      </w:r>
      <w:r>
        <w:rPr>
          <w:rStyle w:val="42"/>
          <w:rFonts w:hint="eastAsia" w:ascii="宋体" w:hAnsi="宋体" w:cs="宋体"/>
          <w:color w:val="auto"/>
          <w:sz w:val="24"/>
          <w:szCs w:val="24"/>
        </w:rPr>
        <w:t>前按招标公告中的通讯地址，向采购人或采购代理机构提出。</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9、招标文件的修改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9.1</w:t>
      </w:r>
      <w:r>
        <w:rPr>
          <w:rStyle w:val="42"/>
          <w:rFonts w:hint="eastAsia" w:ascii="宋体" w:hAnsi="宋体" w:cs="宋体"/>
          <w:color w:val="auto"/>
          <w:sz w:val="24"/>
          <w:szCs w:val="24"/>
        </w:rPr>
        <w:t xml:space="preserve"> 在投标截止时间前，采购人或采购代理机构可以对招标文件进行修改。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9.2</w:t>
      </w:r>
      <w:r>
        <w:rPr>
          <w:rStyle w:val="42"/>
          <w:rFonts w:hint="eastAsia" w:ascii="宋体" w:hAnsi="宋体" w:cs="宋体"/>
          <w:color w:val="auto"/>
          <w:sz w:val="24"/>
          <w:szCs w:val="24"/>
        </w:rPr>
        <w:t>采购人或采购代理机构有权依法推迟投标截止日期和开标日期。</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9.3</w:t>
      </w:r>
      <w:r>
        <w:rPr>
          <w:rStyle w:val="42"/>
          <w:rFonts w:hint="eastAsia" w:ascii="宋体" w:hAnsi="宋体" w:cs="宋体"/>
          <w:color w:val="auto"/>
          <w:sz w:val="24"/>
          <w:szCs w:val="24"/>
        </w:rPr>
        <w:t>招标文件的修改将在江苏省政府采购网或盐城市政府采购网或江苏省政府采购网或盐城市政府采购网或盐城工业职业技术学院招标采购网”公布，补充文件将作为招标文件的组成部分，并对投标人具有约束力。</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三、投标文件的编制</w:t>
      </w:r>
    </w:p>
    <w:p>
      <w:pPr>
        <w:pStyle w:val="36"/>
        <w:snapToGrid w:val="0"/>
        <w:spacing w:before="0" w:after="0" w:line="360" w:lineRule="auto"/>
        <w:ind w:firstLine="480" w:firstLineChars="200"/>
        <w:rPr>
          <w:rStyle w:val="42"/>
          <w:rFonts w:ascii="宋体" w:hAnsi="宋体" w:cs="宋体"/>
          <w:bCs/>
          <w:color w:val="auto"/>
          <w:sz w:val="24"/>
          <w:szCs w:val="24"/>
        </w:rPr>
      </w:pPr>
      <w:r>
        <w:rPr>
          <w:rStyle w:val="42"/>
          <w:rFonts w:hint="eastAsia" w:ascii="宋体" w:hAnsi="宋体" w:cs="宋体"/>
          <w:b w:val="0"/>
          <w:bCs/>
          <w:color w:val="auto"/>
          <w:sz w:val="24"/>
          <w:szCs w:val="24"/>
        </w:rPr>
        <w:t>10、投标文件的语言及度量衡单位</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10.1</w:t>
      </w:r>
      <w:r>
        <w:rPr>
          <w:rStyle w:val="42"/>
          <w:rFonts w:hint="eastAsia" w:ascii="宋体" w:hAnsi="宋体" w:cs="宋体"/>
          <w:color w:val="auto"/>
          <w:sz w:val="24"/>
          <w:szCs w:val="24"/>
        </w:rPr>
        <w:t xml:space="preserve"> 投标人提交的投标文件以及投标人与采购人或采购代理机构就有关投标的所有来往通知、函件和文件均应使用</w:t>
      </w:r>
      <w:r>
        <w:rPr>
          <w:rStyle w:val="42"/>
          <w:rFonts w:hint="eastAsia" w:ascii="宋体" w:hAnsi="宋体" w:cs="宋体"/>
          <w:b/>
          <w:bCs/>
          <w:color w:val="auto"/>
          <w:sz w:val="24"/>
          <w:szCs w:val="24"/>
        </w:rPr>
        <w:t>简体中文</w:t>
      </w:r>
      <w:r>
        <w:rPr>
          <w:rStyle w:val="42"/>
          <w:rFonts w:hint="eastAsia" w:ascii="宋体" w:hAnsi="宋体" w:cs="宋体"/>
          <w:color w:val="auto"/>
          <w:sz w:val="24"/>
          <w:szCs w:val="24"/>
        </w:rPr>
        <w:t>。</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10.2</w:t>
      </w:r>
      <w:r>
        <w:rPr>
          <w:rStyle w:val="42"/>
          <w:rFonts w:hint="eastAsia" w:ascii="宋体" w:hAnsi="宋体" w:cs="宋体"/>
          <w:color w:val="auto"/>
          <w:sz w:val="24"/>
          <w:szCs w:val="24"/>
        </w:rPr>
        <w:t xml:space="preserve"> 除技术性能另有规定外，投标文件所使用的度量衡单位，均须采用国家法定计量单位。</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11、投标文件构成</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11.1</w:t>
      </w:r>
      <w:r>
        <w:rPr>
          <w:rStyle w:val="42"/>
          <w:rFonts w:hint="eastAsia" w:ascii="宋体" w:hAnsi="宋体" w:cs="宋体"/>
          <w:color w:val="auto"/>
          <w:sz w:val="24"/>
          <w:szCs w:val="24"/>
        </w:rPr>
        <w:t xml:space="preserve"> 投标人编写的投标文件应包括资信证明文件、投标函、开标一览表等部分；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11.2投标人应将投标文件按顺序装订成册，并编制投标文件资料目录。</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12、证明投标人资格及符合招标文件规定的文件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12.1投标人应按要求提交资格证明文件及符合招标文件规定的文件。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12.2投标人应提交证明其有资格参加投标和中标后有能力独立履行合同的文件。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12.5证明投标人所提供货物及服务与招标文件的要求相一致的文件可以是手册、图纸、文字资料和数据</w:t>
      </w:r>
      <w:r>
        <w:rPr>
          <w:rStyle w:val="42"/>
          <w:rFonts w:hint="eastAsia" w:ascii="宋体" w:hAnsi="宋体" w:cs="宋体"/>
          <w:bCs/>
          <w:color w:val="auto"/>
          <w:sz w:val="24"/>
          <w:szCs w:val="24"/>
        </w:rPr>
        <w:t>。</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13、供货一览表和投标配置与分项报价表</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13.1</w:t>
      </w:r>
      <w:r>
        <w:rPr>
          <w:rStyle w:val="42"/>
          <w:rFonts w:hint="eastAsia" w:ascii="宋体" w:hAnsi="宋体" w:cs="宋体"/>
          <w:color w:val="auto"/>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13.2</w:t>
      </w:r>
      <w:r>
        <w:rPr>
          <w:rStyle w:val="42"/>
          <w:rFonts w:hint="eastAsia" w:ascii="宋体" w:hAnsi="宋体" w:cs="宋体"/>
          <w:color w:val="auto"/>
          <w:sz w:val="24"/>
          <w:szCs w:val="24"/>
        </w:rPr>
        <w:t xml:space="preserve"> 标的物</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采购人需求的货物供应、安装，调试及有关技术服务等</w:t>
      </w:r>
      <w:r>
        <w:rPr>
          <w:rStyle w:val="42"/>
          <w:rFonts w:hint="eastAsia" w:ascii="宋体" w:hAnsi="宋体" w:cs="宋体"/>
          <w:color w:val="auto"/>
          <w:sz w:val="24"/>
          <w:szCs w:val="24"/>
        </w:rPr>
        <w:t>。</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13.3有关费用处理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13.4</w:t>
      </w:r>
      <w:r>
        <w:rPr>
          <w:rStyle w:val="42"/>
          <w:rFonts w:hint="eastAsia" w:ascii="宋体" w:hAnsi="宋体" w:cs="宋体"/>
          <w:bCs/>
          <w:color w:val="auto"/>
          <w:sz w:val="24"/>
          <w:szCs w:val="24"/>
        </w:rPr>
        <w:t>其它费用处理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招标文件未列明，而投标人认为必需的费用也需列入报价。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13.5</w:t>
      </w:r>
      <w:r>
        <w:rPr>
          <w:rStyle w:val="42"/>
          <w:rFonts w:hint="eastAsia" w:ascii="宋体" w:hAnsi="宋体" w:cs="宋体"/>
          <w:bCs/>
          <w:color w:val="auto"/>
          <w:sz w:val="24"/>
          <w:szCs w:val="24"/>
        </w:rPr>
        <w:t>投标货币</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投标文件中的货物</w:t>
      </w:r>
      <w:r>
        <w:rPr>
          <w:rStyle w:val="42"/>
          <w:rFonts w:hint="eastAsia" w:ascii="宋体" w:hAnsi="宋体" w:cs="宋体"/>
          <w:color w:val="auto"/>
          <w:sz w:val="24"/>
          <w:szCs w:val="24"/>
        </w:rPr>
        <w:t>及服务</w:t>
      </w:r>
      <w:r>
        <w:rPr>
          <w:rStyle w:val="42"/>
          <w:rFonts w:hint="eastAsia" w:ascii="宋体" w:hAnsi="宋体" w:cs="宋体"/>
          <w:bCs/>
          <w:color w:val="auto"/>
          <w:sz w:val="24"/>
          <w:szCs w:val="24"/>
        </w:rPr>
        <w:t>单价和总价无特殊规定的采用人民币报价，以元为单位标注。</w:t>
      </w:r>
      <w:r>
        <w:rPr>
          <w:rStyle w:val="42"/>
          <w:rFonts w:hint="eastAsia" w:ascii="宋体" w:hAnsi="宋体" w:cs="宋体"/>
          <w:color w:val="auto"/>
          <w:sz w:val="24"/>
          <w:szCs w:val="24"/>
        </w:rPr>
        <w:t>招标文件中另有规定的按规定执行。</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13.6</w:t>
      </w:r>
      <w:r>
        <w:rPr>
          <w:rStyle w:val="42"/>
          <w:rFonts w:hint="eastAsia" w:ascii="宋体" w:hAnsi="宋体" w:cs="宋体"/>
          <w:bCs/>
          <w:color w:val="auto"/>
          <w:sz w:val="24"/>
          <w:szCs w:val="24"/>
        </w:rPr>
        <w:t xml:space="preserve"> 投标配置与分项报价表上的价格应按下列方式分开填写</w:t>
      </w:r>
      <w:r>
        <w:rPr>
          <w:rStyle w:val="42"/>
          <w:rFonts w:hint="eastAsia" w:ascii="宋体" w:hAnsi="宋体" w:cs="宋体"/>
          <w:color w:val="auto"/>
          <w:sz w:val="24"/>
          <w:szCs w:val="24"/>
        </w:rPr>
        <w:t>：</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 xml:space="preserve">13.6.1 </w:t>
      </w:r>
      <w:r>
        <w:rPr>
          <w:rStyle w:val="42"/>
          <w:rFonts w:hint="eastAsia" w:ascii="宋体" w:hAnsi="宋体" w:cs="宋体"/>
          <w:color w:val="auto"/>
          <w:sz w:val="24"/>
          <w:szCs w:val="24"/>
        </w:rPr>
        <w:t>项目总价：包括</w:t>
      </w:r>
      <w:r>
        <w:rPr>
          <w:rStyle w:val="42"/>
          <w:rFonts w:hint="eastAsia" w:ascii="宋体" w:hAnsi="宋体" w:cs="宋体"/>
          <w:bCs/>
          <w:color w:val="auto"/>
          <w:sz w:val="24"/>
          <w:szCs w:val="24"/>
        </w:rPr>
        <w:t>买方需求的货物价格</w:t>
      </w:r>
      <w:r>
        <w:rPr>
          <w:rStyle w:val="42"/>
          <w:rFonts w:hint="eastAsia" w:ascii="宋体" w:hAnsi="宋体" w:cs="宋体"/>
          <w:color w:val="auto"/>
          <w:sz w:val="24"/>
          <w:szCs w:val="24"/>
        </w:rPr>
        <w:t>、</w:t>
      </w:r>
      <w:r>
        <w:rPr>
          <w:rStyle w:val="42"/>
          <w:rFonts w:hint="eastAsia" w:ascii="宋体" w:hAnsi="宋体" w:cs="宋体"/>
          <w:bCs/>
          <w:color w:val="auto"/>
          <w:sz w:val="24"/>
          <w:szCs w:val="24"/>
        </w:rPr>
        <w:t>质量保证费用、培训费用及售后服务费用，项目在指定地点、环境交付、安装、调试、验收所需费用和所有</w:t>
      </w:r>
      <w:r>
        <w:rPr>
          <w:rStyle w:val="42"/>
          <w:rFonts w:hint="eastAsia" w:ascii="宋体" w:hAnsi="宋体" w:cs="宋体"/>
          <w:color w:val="auto"/>
          <w:sz w:val="24"/>
          <w:szCs w:val="24"/>
        </w:rPr>
        <w:t>相关税金费用</w:t>
      </w:r>
      <w:r>
        <w:rPr>
          <w:rStyle w:val="42"/>
          <w:rFonts w:hint="eastAsia" w:ascii="宋体" w:hAnsi="宋体" w:cs="宋体"/>
          <w:bCs/>
          <w:color w:val="auto"/>
          <w:sz w:val="24"/>
          <w:szCs w:val="24"/>
        </w:rPr>
        <w:t>及为完成整个项目所产生的其它所有费用。</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13.6.2</w:t>
      </w:r>
      <w:r>
        <w:rPr>
          <w:rStyle w:val="42"/>
          <w:rFonts w:hint="eastAsia" w:ascii="宋体" w:hAnsi="宋体" w:cs="宋体"/>
          <w:bCs/>
          <w:color w:val="auto"/>
          <w:sz w:val="24"/>
          <w:szCs w:val="24"/>
        </w:rPr>
        <w:t>项目单价按投标配置及分项报价表中要求填报。</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14</w:t>
      </w:r>
      <w:r>
        <w:rPr>
          <w:rStyle w:val="42"/>
          <w:rFonts w:hint="eastAsia" w:ascii="宋体" w:hAnsi="宋体" w:cs="宋体"/>
          <w:b/>
          <w:bCs/>
          <w:color w:val="auto"/>
          <w:sz w:val="24"/>
          <w:szCs w:val="24"/>
        </w:rPr>
        <w:t>、</w:t>
      </w:r>
      <w:r>
        <w:rPr>
          <w:rStyle w:val="42"/>
          <w:rFonts w:hint="eastAsia" w:ascii="宋体" w:hAnsi="宋体" w:cs="宋体"/>
          <w:color w:val="auto"/>
          <w:sz w:val="24"/>
          <w:szCs w:val="24"/>
        </w:rPr>
        <w:t>技术参数响应及偏离表、商务条款响应及偏离表及投标货物说明</w:t>
      </w:r>
    </w:p>
    <w:p>
      <w:pPr>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bCs/>
          <w:color w:val="auto"/>
          <w:sz w:val="24"/>
          <w:szCs w:val="24"/>
          <w:lang w:val="zh-CN"/>
        </w:rPr>
        <w:t>14.1</w:t>
      </w:r>
      <w:r>
        <w:rPr>
          <w:rStyle w:val="42"/>
          <w:rFonts w:hint="eastAsia" w:ascii="宋体" w:hAnsi="宋体" w:cs="宋体"/>
          <w:color w:val="auto"/>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14.2 提供参加本项目类似案例简介；</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14.3 培训计划；</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14.5 投标人认为需要的其他技术文件或说明。</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bCs/>
          <w:color w:val="auto"/>
          <w:sz w:val="24"/>
          <w:szCs w:val="24"/>
        </w:rPr>
        <w:t>1</w:t>
      </w:r>
      <w:r>
        <w:rPr>
          <w:rStyle w:val="42"/>
          <w:rFonts w:hint="eastAsia" w:ascii="宋体" w:hAnsi="宋体" w:cs="宋体"/>
          <w:color w:val="auto"/>
          <w:sz w:val="24"/>
          <w:szCs w:val="24"/>
          <w:lang w:val="zh-CN"/>
        </w:rPr>
        <w:t>5、服务承诺及售后服务机构、人员的情况介绍</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bCs/>
          <w:color w:val="auto"/>
          <w:sz w:val="24"/>
          <w:szCs w:val="24"/>
        </w:rPr>
        <w:t>15.1</w:t>
      </w:r>
      <w:r>
        <w:rPr>
          <w:rStyle w:val="42"/>
          <w:rFonts w:hint="eastAsia" w:ascii="宋体" w:hAnsi="宋体" w:cs="宋体"/>
          <w:color w:val="auto"/>
          <w:sz w:val="24"/>
          <w:szCs w:val="24"/>
        </w:rPr>
        <w:t>投标人的服务承诺应按不低于招标文件中商务要求的标准。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15.2</w:t>
      </w:r>
      <w:r>
        <w:rPr>
          <w:rStyle w:val="42"/>
          <w:rFonts w:hint="eastAsia" w:ascii="宋体" w:hAnsi="宋体" w:cs="宋体"/>
          <w:color w:val="auto"/>
          <w:sz w:val="24"/>
          <w:szCs w:val="24"/>
        </w:rPr>
        <w:t>提供投标人有关售后服务的管理制度、售后服务机构的分布情况、售后服务人员的数量、素质、技术水平及售后服务的反应能力。</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16、投标函和开标一览表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16.1</w:t>
      </w:r>
      <w:r>
        <w:rPr>
          <w:rStyle w:val="42"/>
          <w:rFonts w:hint="eastAsia" w:ascii="宋体" w:hAnsi="宋体" w:cs="宋体"/>
          <w:color w:val="auto"/>
          <w:sz w:val="24"/>
          <w:szCs w:val="24"/>
        </w:rPr>
        <w:t xml:space="preserve"> 投标人应按照招标文件中提供的格式完整、正确填写投标函、开标一览表。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16.2开标一览表中的价格应与投标文件中投标配置与分项报价表中的价格一致，如不一致，</w:t>
      </w:r>
      <w:r>
        <w:rPr>
          <w:rStyle w:val="42"/>
          <w:rFonts w:hint="eastAsia" w:ascii="宋体" w:hAnsi="宋体" w:cs="宋体"/>
          <w:color w:val="auto"/>
          <w:sz w:val="24"/>
          <w:szCs w:val="24"/>
        </w:rPr>
        <w:t>不作为无效投标处理</w:t>
      </w:r>
      <w:r>
        <w:rPr>
          <w:rStyle w:val="42"/>
          <w:rFonts w:hint="eastAsia" w:ascii="宋体" w:hAnsi="宋体" w:cs="宋体"/>
          <w:bCs/>
          <w:color w:val="auto"/>
          <w:sz w:val="24"/>
          <w:szCs w:val="24"/>
        </w:rPr>
        <w:t>，但评标时按开标一览表中价格为准</w:t>
      </w:r>
      <w:r>
        <w:rPr>
          <w:rStyle w:val="42"/>
          <w:rFonts w:hint="eastAsia" w:ascii="宋体" w:hAnsi="宋体" w:cs="宋体"/>
          <w:b/>
          <w:bCs/>
          <w:color w:val="auto"/>
          <w:sz w:val="24"/>
          <w:szCs w:val="24"/>
        </w:rPr>
        <w:t>。</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17、投标有效期</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17.1</w:t>
      </w:r>
      <w:r>
        <w:rPr>
          <w:rStyle w:val="42"/>
          <w:rFonts w:hint="eastAsia" w:ascii="宋体" w:hAnsi="宋体" w:cs="宋体"/>
          <w:bCs/>
          <w:color w:val="auto"/>
          <w:sz w:val="24"/>
          <w:szCs w:val="24"/>
        </w:rPr>
        <w:t xml:space="preserve"> 投标有效期为采购人或采购代理机构规定的开标之日后</w:t>
      </w:r>
      <w:r>
        <w:rPr>
          <w:rStyle w:val="42"/>
          <w:rFonts w:hint="eastAsia" w:ascii="宋体" w:hAnsi="宋体" w:cs="宋体"/>
          <w:b/>
          <w:color w:val="auto"/>
          <w:sz w:val="24"/>
          <w:szCs w:val="24"/>
          <w:u w:val="single" w:color="000000"/>
        </w:rPr>
        <w:t>六十（60）天</w:t>
      </w:r>
      <w:r>
        <w:rPr>
          <w:rStyle w:val="42"/>
          <w:rFonts w:hint="eastAsia" w:ascii="宋体" w:hAnsi="宋体" w:cs="宋体"/>
          <w:bCs/>
          <w:color w:val="auto"/>
          <w:sz w:val="24"/>
          <w:szCs w:val="24"/>
        </w:rPr>
        <w:t>。投标有效期比规定短的将被视为非响应性投标而予以拒绝。</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17.2</w:t>
      </w:r>
      <w:r>
        <w:rPr>
          <w:rStyle w:val="42"/>
          <w:rFonts w:hint="eastAsia" w:ascii="宋体" w:hAnsi="宋体" w:cs="宋体"/>
          <w:bCs/>
          <w:color w:val="auto"/>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2"/>
          <w:rFonts w:hint="eastAsia" w:ascii="宋体" w:hAnsi="宋体" w:cs="宋体"/>
          <w:color w:val="auto"/>
          <w:sz w:val="24"/>
          <w:szCs w:val="24"/>
        </w:rPr>
        <w:t>。</w:t>
      </w:r>
      <w:r>
        <w:rPr>
          <w:rStyle w:val="42"/>
          <w:rFonts w:hint="eastAsia" w:ascii="宋体" w:hAnsi="宋体" w:cs="宋体"/>
          <w:bCs/>
          <w:color w:val="auto"/>
          <w:sz w:val="24"/>
          <w:szCs w:val="24"/>
        </w:rPr>
        <w:t>同意延长投标有效期的投标人既不能要求也不允许修改其投标文件。</w:t>
      </w:r>
      <w:r>
        <w:rPr>
          <w:rStyle w:val="42"/>
          <w:rFonts w:hint="eastAsia" w:ascii="宋体" w:hAnsi="宋体" w:cs="宋体"/>
          <w:color w:val="auto"/>
          <w:sz w:val="24"/>
          <w:szCs w:val="24"/>
        </w:rPr>
        <w:t>受投标有效期约束的所有权利与义务均延长至新的有效期</w:t>
      </w:r>
      <w:r>
        <w:rPr>
          <w:rStyle w:val="42"/>
          <w:rFonts w:hint="eastAsia" w:ascii="宋体" w:hAnsi="宋体" w:cs="宋体"/>
          <w:bCs/>
          <w:color w:val="auto"/>
          <w:sz w:val="24"/>
          <w:szCs w:val="24"/>
        </w:rPr>
        <w:t>。</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18、投标文件份数和签署</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18.1</w:t>
      </w:r>
      <w:r>
        <w:rPr>
          <w:rStyle w:val="42"/>
          <w:rFonts w:hint="eastAsia" w:ascii="宋体" w:hAnsi="宋体" w:cs="宋体"/>
          <w:bCs/>
          <w:color w:val="auto"/>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18.2投标文件正本中，</w:t>
      </w:r>
      <w:r>
        <w:rPr>
          <w:rStyle w:val="42"/>
          <w:rFonts w:hint="eastAsia" w:ascii="宋体" w:hAnsi="宋体" w:cs="宋体"/>
          <w:bCs/>
          <w:color w:val="auto"/>
          <w:sz w:val="24"/>
          <w:szCs w:val="24"/>
        </w:rPr>
        <w:t>招标文件要求必须提供原件的按照要求提供，文</w:t>
      </w:r>
      <w:r>
        <w:rPr>
          <w:rStyle w:val="42"/>
          <w:rFonts w:hint="eastAsia" w:ascii="宋体" w:hAnsi="宋体" w:cs="宋体"/>
          <w:color w:val="auto"/>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18.3</w:t>
      </w:r>
      <w:r>
        <w:rPr>
          <w:rStyle w:val="42"/>
          <w:rFonts w:hint="eastAsia" w:ascii="宋体" w:hAnsi="宋体" w:cs="宋体"/>
          <w:bCs/>
          <w:color w:val="auto"/>
          <w:sz w:val="24"/>
          <w:szCs w:val="24"/>
        </w:rPr>
        <w:t xml:space="preserve"> 除投标人对错处做必要修改外，投标文件不得行间插字、涂改或增删。如有修改错漏处，必须由投标文件签署人签字或盖章。</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四、投标文件的递交</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19、投标文件的密封和标记</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19.1</w:t>
      </w:r>
      <w:r>
        <w:rPr>
          <w:rStyle w:val="42"/>
          <w:rFonts w:hint="eastAsia" w:ascii="宋体" w:hAnsi="宋体" w:cs="宋体"/>
          <w:bCs/>
          <w:color w:val="auto"/>
          <w:sz w:val="24"/>
          <w:szCs w:val="24"/>
        </w:rPr>
        <w:t>投标人应将投标文件正本和所有副本密封，不论投标人中标与否，投标文件均不退回。</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19.2</w:t>
      </w:r>
      <w:r>
        <w:rPr>
          <w:rStyle w:val="42"/>
          <w:rFonts w:hint="eastAsia" w:ascii="宋体" w:hAnsi="宋体" w:cs="宋体"/>
          <w:bCs/>
          <w:color w:val="auto"/>
          <w:sz w:val="24"/>
          <w:szCs w:val="24"/>
        </w:rPr>
        <w:t xml:space="preserve"> 密封的投标文件应：</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19.2.1 注明投标人名称，如因标注不清而产生的后果由投标人自负。按招标公告中注明的地址送达；</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19.2.2  注明投标项目名称、标书编号及包号。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19.2.3</w:t>
      </w:r>
      <w:r>
        <w:rPr>
          <w:rStyle w:val="42"/>
          <w:rFonts w:hint="eastAsia" w:ascii="宋体" w:hAnsi="宋体" w:cs="宋体"/>
          <w:bCs/>
          <w:color w:val="auto"/>
          <w:sz w:val="24"/>
          <w:szCs w:val="24"/>
        </w:rPr>
        <w:t xml:space="preserve">  未按要求密封和加写标记，采购人和采购代理机构对误投或过早启封概不负责。对由此造成提前开封的投标文件，采购人和采购代理机构将予以拒绝。</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20、投标截止日期</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20.1</w:t>
      </w:r>
      <w:r>
        <w:rPr>
          <w:rStyle w:val="42"/>
          <w:rFonts w:hint="eastAsia" w:ascii="宋体" w:hAnsi="宋体" w:cs="宋体"/>
          <w:bCs/>
          <w:color w:val="auto"/>
          <w:sz w:val="24"/>
          <w:szCs w:val="24"/>
        </w:rPr>
        <w:t xml:space="preserve"> 采购人和采购代理机构收到投标文件的时间不得迟于招标公告中规定的截止时间。</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20.2</w:t>
      </w:r>
      <w:r>
        <w:rPr>
          <w:rStyle w:val="42"/>
          <w:rFonts w:hint="eastAsia" w:ascii="宋体" w:hAnsi="宋体" w:cs="宋体"/>
          <w:bCs/>
          <w:color w:val="auto"/>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21、迟交的投标文件</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21.1</w:t>
      </w:r>
      <w:r>
        <w:rPr>
          <w:rStyle w:val="42"/>
          <w:rFonts w:hint="eastAsia" w:ascii="宋体" w:hAnsi="宋体" w:cs="宋体"/>
          <w:bCs/>
          <w:color w:val="auto"/>
          <w:sz w:val="24"/>
          <w:szCs w:val="24"/>
        </w:rPr>
        <w:t xml:space="preserve"> 采购人和采购代理机构拒绝接收在其规定的投标截止时间后递交的任何投标文件。</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22、投标文件的修改和撤回</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22.1</w:t>
      </w:r>
      <w:r>
        <w:rPr>
          <w:rStyle w:val="42"/>
          <w:rFonts w:hint="eastAsia" w:ascii="宋体" w:hAnsi="宋体" w:cs="宋体"/>
          <w:bCs/>
          <w:color w:val="auto"/>
          <w:sz w:val="24"/>
          <w:szCs w:val="24"/>
        </w:rPr>
        <w:t xml:space="preserve"> 投标人在递交投标文件后，可以修改或撤回其投标文件，但这种修改和撤回，必须在规定的投标截止时间前，以书面形式</w:t>
      </w:r>
      <w:r>
        <w:rPr>
          <w:rStyle w:val="42"/>
          <w:rFonts w:hint="eastAsia" w:ascii="宋体" w:hAnsi="宋体" w:cs="宋体"/>
          <w:color w:val="auto"/>
          <w:sz w:val="24"/>
          <w:szCs w:val="24"/>
        </w:rPr>
        <w:t>通知采购人或采购代理机构，修改或撤回其投标文件。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22.2</w:t>
      </w:r>
      <w:r>
        <w:rPr>
          <w:rStyle w:val="42"/>
          <w:rFonts w:hint="eastAsia" w:ascii="宋体" w:hAnsi="宋体" w:cs="宋体"/>
          <w:bCs/>
          <w:color w:val="auto"/>
          <w:sz w:val="24"/>
          <w:szCs w:val="24"/>
        </w:rPr>
        <w:t xml:space="preserve"> 投标人的修改或撤回文件应按规定进行编制、密封、标记和发送，并应在封套上加注“修改”或“撤回”字样。</w:t>
      </w:r>
      <w:r>
        <w:rPr>
          <w:rStyle w:val="42"/>
          <w:rFonts w:hint="eastAsia" w:ascii="宋体" w:hAnsi="宋体" w:cs="宋体"/>
          <w:color w:val="auto"/>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22.3</w:t>
      </w:r>
      <w:r>
        <w:rPr>
          <w:rStyle w:val="42"/>
          <w:rFonts w:hint="eastAsia" w:ascii="宋体" w:hAnsi="宋体" w:cs="宋体"/>
          <w:bCs/>
          <w:color w:val="auto"/>
          <w:sz w:val="24"/>
          <w:szCs w:val="24"/>
        </w:rPr>
        <w:t xml:space="preserve"> 在投标截止时间之后，投标人不得对其投标文件作任何修改。</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22.4</w:t>
      </w:r>
      <w:r>
        <w:rPr>
          <w:rStyle w:val="42"/>
          <w:rFonts w:hint="eastAsia" w:ascii="宋体" w:hAnsi="宋体" w:cs="宋体"/>
          <w:bCs/>
          <w:color w:val="auto"/>
          <w:sz w:val="24"/>
          <w:szCs w:val="24"/>
        </w:rPr>
        <w:t xml:space="preserve"> 在投标截止时间至招标文件中规定的投标有效期满之间的这段时间内，投标人不得撤回其投标，否则按照国家相关法律法规受到相应处罚。</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五、开标与评标</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23、开标</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23.1</w:t>
      </w:r>
      <w:r>
        <w:rPr>
          <w:rStyle w:val="42"/>
          <w:rFonts w:hint="eastAsia" w:ascii="宋体" w:hAnsi="宋体" w:cs="宋体"/>
          <w:bCs/>
          <w:color w:val="auto"/>
          <w:sz w:val="24"/>
          <w:szCs w:val="24"/>
        </w:rPr>
        <w:t xml:space="preserve"> 采购人和采购代理机构将在招标公告中规定的时间和地点组织公开开标</w:t>
      </w:r>
      <w:r>
        <w:rPr>
          <w:rStyle w:val="42"/>
          <w:rFonts w:hint="eastAsia" w:ascii="宋体" w:hAnsi="宋体" w:cs="宋体"/>
          <w:color w:val="auto"/>
          <w:sz w:val="24"/>
          <w:szCs w:val="24"/>
        </w:rPr>
        <w:t>。投标人应委派携带有效证件的代表准时参加，参加开标的代表需签名以证明其出席。</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23.2</w:t>
      </w:r>
      <w:r>
        <w:rPr>
          <w:rStyle w:val="42"/>
          <w:rFonts w:hint="eastAsia" w:ascii="宋体" w:hAnsi="宋体" w:cs="宋体"/>
          <w:color w:val="auto"/>
          <w:sz w:val="24"/>
          <w:szCs w:val="24"/>
        </w:rPr>
        <w:t>开标仪式由采购人或采购代理机构组织，采购人代表</w:t>
      </w:r>
      <w:r>
        <w:rPr>
          <w:rStyle w:val="42"/>
          <w:rFonts w:hint="eastAsia" w:ascii="宋体" w:hAnsi="宋体" w:cs="宋体"/>
          <w:b/>
          <w:color w:val="auto"/>
          <w:sz w:val="24"/>
          <w:szCs w:val="24"/>
        </w:rPr>
        <w:t>(需提供单位授权函)</w:t>
      </w:r>
      <w:r>
        <w:rPr>
          <w:rStyle w:val="42"/>
          <w:rFonts w:hint="eastAsia" w:ascii="宋体" w:hAnsi="宋体" w:cs="宋体"/>
          <w:color w:val="auto"/>
          <w:sz w:val="24"/>
          <w:szCs w:val="24"/>
        </w:rPr>
        <w:t>、监管代表、投标人代表等参加。</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23.3</w:t>
      </w:r>
      <w:r>
        <w:rPr>
          <w:rStyle w:val="42"/>
          <w:rFonts w:hint="eastAsia" w:ascii="宋体" w:hAnsi="宋体" w:cs="宋体"/>
          <w:bCs/>
          <w:color w:val="auto"/>
          <w:sz w:val="24"/>
          <w:szCs w:val="24"/>
        </w:rPr>
        <w:t>按照规定同意撤回的投标将不予开封。</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23.6 投标人在报价时不允许采用选择性报价，否则将被视为无效投标。</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24、资格审查</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24.1</w:t>
      </w:r>
      <w:r>
        <w:rPr>
          <w:rStyle w:val="42"/>
          <w:rFonts w:hint="eastAsia" w:ascii="宋体" w:hAnsi="宋体" w:cs="宋体"/>
          <w:bCs/>
          <w:color w:val="auto"/>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合格投标人不足3家的，不得评标。</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25、评标委员会</w:t>
      </w:r>
    </w:p>
    <w:p>
      <w:pPr>
        <w:snapToGrid w:val="0"/>
        <w:spacing w:line="360" w:lineRule="auto"/>
        <w:ind w:firstLine="480" w:firstLineChars="200"/>
        <w:rPr>
          <w:rStyle w:val="42"/>
          <w:rFonts w:ascii="宋体" w:hAnsi="宋体" w:cs="宋体"/>
          <w:b/>
          <w:color w:val="auto"/>
          <w:sz w:val="24"/>
          <w:szCs w:val="24"/>
        </w:rPr>
      </w:pPr>
      <w:r>
        <w:rPr>
          <w:rStyle w:val="42"/>
          <w:rFonts w:hint="eastAsia" w:ascii="宋体" w:hAnsi="宋体" w:cs="宋体"/>
          <w:color w:val="auto"/>
          <w:sz w:val="24"/>
          <w:szCs w:val="24"/>
        </w:rPr>
        <w:t>25.1资格审查通过后，采购人将组织评标委员会（以下简称评委会）进行评标。</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25.2 评委会由采购人代表和有关技术、经济等方面的专家组成，且人员构成符合政府采购有关规定。</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25.3评委会独立工作，负责评审所有投标文件并确定中标候选人。</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26、评标过程的保密与公正</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26.1</w:t>
      </w:r>
      <w:r>
        <w:rPr>
          <w:rStyle w:val="42"/>
          <w:rFonts w:hint="eastAsia" w:ascii="宋体" w:hAnsi="宋体" w:cs="宋体"/>
          <w:bCs/>
          <w:color w:val="auto"/>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26.2在评标过程中，投标人不得以任何行为影响评标过程，否则其投标文件将被作为无效投标文件。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26.3在评标期间，采购人或采购代理机构将设专门人员与投标人联系。</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26.5 采用综合评分法的项目，未中标的投标人如需了解自己的评审得分及排序情况，可向采购人提出申请。</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27、投标的澄清</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27.3 接到评委会澄清要求的投标人如未按规定做出澄清，其风险由投标人自行承担。</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28、对投标文件的评审</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28.1</w:t>
      </w:r>
      <w:r>
        <w:rPr>
          <w:rStyle w:val="42"/>
          <w:rFonts w:hint="eastAsia" w:ascii="宋体" w:hAnsi="宋体" w:cs="宋体"/>
          <w:bCs/>
          <w:color w:val="auto"/>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2"/>
          <w:rFonts w:hint="eastAsia" w:ascii="宋体" w:hAnsi="宋体" w:cs="宋体"/>
          <w:bCs/>
          <w:color w:val="auto"/>
          <w:sz w:val="24"/>
          <w:szCs w:val="24"/>
        </w:rPr>
        <w:t>评委决定投标文件的响应性只根据投标文件本身的内容，而不寻求外部的证据。</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28.3</w:t>
      </w:r>
      <w:r>
        <w:rPr>
          <w:rStyle w:val="42"/>
          <w:rFonts w:hint="eastAsia" w:ascii="宋体" w:hAnsi="宋体" w:cs="宋体"/>
          <w:bCs/>
          <w:color w:val="auto"/>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28.4</w:t>
      </w:r>
      <w:r>
        <w:rPr>
          <w:rStyle w:val="42"/>
          <w:rFonts w:hint="eastAsia" w:ascii="宋体" w:hAnsi="宋体" w:cs="宋体"/>
          <w:bCs/>
          <w:color w:val="auto"/>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（1）投标文件中开标一览表内容与投标文件中相应内容不一致的，以开标一览表为准。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（2）大写金额和小写金额不一致的，以大写金额为准。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（3）单价金额小数点或者百分比有明显错位的，以开标一览表的总价为准，并修改单价。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（4）总价金额与按单价汇总金额不一致的，以单价金额计算结果为准。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同时出现两种以上错误的，按照前款规定的顺序修正。</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28.5</w:t>
      </w:r>
      <w:r>
        <w:rPr>
          <w:rStyle w:val="42"/>
          <w:rFonts w:hint="eastAsia" w:ascii="宋体" w:hAnsi="宋体" w:cs="宋体"/>
          <w:bCs/>
          <w:color w:val="auto"/>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28.6</w:t>
      </w:r>
      <w:r>
        <w:rPr>
          <w:rStyle w:val="42"/>
          <w:rFonts w:hint="eastAsia" w:ascii="宋体" w:hAnsi="宋体" w:cs="宋体"/>
          <w:bCs/>
          <w:color w:val="auto"/>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28.7</w:t>
      </w:r>
      <w:r>
        <w:rPr>
          <w:rStyle w:val="42"/>
          <w:rFonts w:hint="eastAsia" w:ascii="宋体" w:hAnsi="宋体" w:cs="宋体"/>
          <w:b/>
          <w:color w:val="auto"/>
          <w:sz w:val="24"/>
          <w:szCs w:val="24"/>
        </w:rPr>
        <w:t>采用最低评标价法的采购项目，</w:t>
      </w:r>
      <w:r>
        <w:rPr>
          <w:rStyle w:val="42"/>
          <w:rFonts w:hint="eastAsia" w:ascii="宋体" w:hAnsi="宋体" w:cs="宋体"/>
          <w:color w:val="auto"/>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2"/>
          <w:rFonts w:ascii="宋体" w:hAnsi="宋体" w:cs="宋体"/>
          <w:color w:val="auto"/>
          <w:sz w:val="24"/>
          <w:szCs w:val="24"/>
        </w:rPr>
      </w:pPr>
      <w:r>
        <w:rPr>
          <w:rStyle w:val="42"/>
          <w:rFonts w:hint="eastAsia" w:ascii="宋体" w:hAnsi="宋体" w:cs="宋体"/>
          <w:b/>
          <w:color w:val="auto"/>
          <w:sz w:val="24"/>
          <w:szCs w:val="24"/>
        </w:rPr>
        <w:t>使用综合评分法的采购项目，</w:t>
      </w:r>
      <w:r>
        <w:rPr>
          <w:rStyle w:val="42"/>
          <w:rFonts w:hint="eastAsia" w:ascii="宋体" w:hAnsi="宋体" w:cs="宋体"/>
          <w:color w:val="auto"/>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2"/>
          <w:rFonts w:ascii="宋体" w:hAnsi="宋体" w:cs="宋体"/>
          <w:color w:val="auto"/>
          <w:sz w:val="24"/>
          <w:szCs w:val="24"/>
        </w:rPr>
      </w:pPr>
      <w:r>
        <w:rPr>
          <w:rStyle w:val="42"/>
          <w:rFonts w:hint="eastAsia" w:ascii="宋体" w:hAnsi="宋体" w:cs="宋体"/>
          <w:b/>
          <w:color w:val="auto"/>
          <w:sz w:val="24"/>
          <w:szCs w:val="24"/>
        </w:rPr>
        <w:t>非单一产品采购项目，</w:t>
      </w:r>
      <w:r>
        <w:rPr>
          <w:rStyle w:val="42"/>
          <w:rFonts w:hint="eastAsia" w:ascii="宋体" w:hAnsi="宋体" w:cs="宋体"/>
          <w:color w:val="auto"/>
          <w:sz w:val="24"/>
          <w:szCs w:val="24"/>
        </w:rPr>
        <w:t>采购人应当根据采购项目技术构成、产品价格比重等合理确定核心产品，并在招标文件中载明。多家投标人提供的核心产品品牌相同的，按前两款规定处理。 (87号令第31条)</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29、无效投标条款和废标条款</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29.1无效投标条款</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29.1.1未按要求交纳投标保证金的（本项目无要求）；</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29.1.2未按照招标文件规定要求密封、签署、盖章的；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29.1.3投标人在报价时采用选择性报价；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29.1.4投标人不具备招标文件中规定资格要求的；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29.1.5投标人的报价超过了采购预算或最高限价的；</w:t>
      </w:r>
    </w:p>
    <w:p>
      <w:pPr>
        <w:snapToGrid w:val="0"/>
        <w:spacing w:line="360" w:lineRule="auto"/>
        <w:ind w:firstLine="480" w:firstLineChars="200"/>
        <w:rPr>
          <w:rStyle w:val="42"/>
          <w:rFonts w:ascii="宋体" w:hAnsi="宋体" w:cs="宋体"/>
          <w:bCs/>
          <w:i/>
          <w:color w:val="auto"/>
          <w:sz w:val="24"/>
          <w:szCs w:val="24"/>
          <w:u w:val="single" w:color="000000"/>
        </w:rPr>
      </w:pPr>
      <w:r>
        <w:rPr>
          <w:rStyle w:val="42"/>
          <w:rFonts w:hint="eastAsia" w:ascii="宋体" w:hAnsi="宋体" w:cs="宋体"/>
          <w:bCs/>
          <w:color w:val="auto"/>
          <w:sz w:val="24"/>
          <w:szCs w:val="24"/>
        </w:rPr>
        <w:t>29.1.6未通过符合性检查的；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29.1.7不符合招标文件中规定的其他实质性要求和条件的；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29.1.8 投标人串通投标；</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29.1.9  投标文件含有采购人不能接受的附加条件的。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29.1.11其他法律、法规及本招标文件规定的属无效投标的情形。</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 xml:space="preserve">29.2废标条款：                                                                                                                                                                                                                                                                                                                                                                                                                                                                                                                                                                                                                                                                                                                                                                                                                                                                                                                                                                                                                                                                                                                                                                                                                                                                                                                                                                                                                                                                         </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29.2.1符合专业条件的供应商或者对招标文件作实质响应的供应商不足三家的；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29.2.2出现影响采购公正的违法、违规行为的；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29.2.3因重大变故，采购任务取消的；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29.2.4评标委员会认定招标文件存在歧义、 重大缺陷导致评审工作无法进行。</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29.3 投标截止时间结束后参加投标的供应商不足三家的处理：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29.3.1如出现投标截止时间结束后参加投标的供应商或者在评标期间对招标文件做出实质响应的供应商不足三家情况，按财政部第八十七号令第四十三条的规定执行。</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六、定标</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30、确定中标单位</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30.1评委会根据本招标文件规定评标方法与评标标准向采购人推荐出中标候选人。</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30.2 采购人应根据评委会推荐的中标候选人确定中标供应商。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30.3采购人</w:t>
      </w:r>
      <w:r>
        <w:rPr>
          <w:rStyle w:val="42"/>
          <w:rFonts w:hint="eastAsia" w:ascii="宋体" w:hAnsi="宋体" w:cs="宋体"/>
          <w:color w:val="auto"/>
          <w:sz w:val="24"/>
          <w:szCs w:val="24"/>
        </w:rPr>
        <w:t>将在“江苏省政府采购网或盐城市政府采购网或盐城工业职业技术学院招标采购网”发布中标公告，公告期限为1个工作日。</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.4若有充分证据证明，中标供应商出现下列情况之一的，一经查实，将被取消中标资格：</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.4.1提供虚假材料谋取中标的；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.4.2向采购人或采购代理机构行贿或者提供其他不正当利益的；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.4.3恶意竞争，投标总报价明显低于其自身合理成本且又无法提供证明的；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30.4.4属于本文件规定的无效条件，但在评标过程中又未被评委会发现的；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30.4.5与采购人或者其他供应商恶意串通的；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30.4.6采取不正当手段诋毁、排挤其他供应商的；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30.4.7不符合法律、法规的规定的。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30.5. </w:t>
      </w:r>
      <w:r>
        <w:rPr>
          <w:rStyle w:val="42"/>
          <w:rFonts w:hint="eastAsia" w:ascii="宋体" w:hAnsi="宋体" w:cs="宋体"/>
          <w:color w:val="auto"/>
          <w:kern w:val="0"/>
          <w:sz w:val="24"/>
          <w:szCs w:val="24"/>
        </w:rPr>
        <w:t>有下列情形之一的，视为投标人串通投标，投标无效：</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30.5.1不同投标人的投标文件由同一单位或者个人编制。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30.5.2不同投标人委托同一单位或者个人办理投标事宜。</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30.5.3 不同投标人的投标文件载明的项目管理成员或者联系人员为同一人。</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30.5.4不同投标人的投标文件异常一致或者投标报价呈规律性差异。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30.5.5不同投标人的投标文件相互混装。</w:t>
      </w:r>
    </w:p>
    <w:p>
      <w:pPr>
        <w:pStyle w:val="36"/>
        <w:tabs>
          <w:tab w:val="left" w:pos="4120"/>
        </w:tabs>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31、质疑处理</w:t>
      </w:r>
      <w:r>
        <w:rPr>
          <w:rStyle w:val="42"/>
          <w:rFonts w:hint="eastAsia" w:ascii="宋体" w:hAnsi="宋体" w:cs="宋体"/>
          <w:b w:val="0"/>
          <w:color w:val="auto"/>
          <w:sz w:val="24"/>
          <w:szCs w:val="24"/>
        </w:rPr>
        <w:tab/>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31.1.1</w:t>
      </w:r>
      <w:r>
        <w:rPr>
          <w:rStyle w:val="42"/>
          <w:rFonts w:hint="eastAsia" w:ascii="宋体" w:hAnsi="宋体" w:cs="宋体"/>
          <w:color w:val="auto"/>
          <w:kern w:val="0"/>
          <w:sz w:val="24"/>
          <w:szCs w:val="24"/>
        </w:rPr>
        <w:t>对可以质疑的招标文件提出质疑的，为收到招标文件之日或者招标文件公告期限届满之日；</w:t>
      </w:r>
      <w:r>
        <w:rPr>
          <w:rStyle w:val="42"/>
          <w:rFonts w:hint="eastAsia" w:ascii="宋体" w:hAnsi="宋体" w:cs="宋体"/>
          <w:color w:val="auto"/>
          <w:kern w:val="0"/>
          <w:sz w:val="24"/>
          <w:szCs w:val="24"/>
        </w:rPr>
        <w:br w:type="textWrapping"/>
      </w:r>
      <w:r>
        <w:rPr>
          <w:rStyle w:val="42"/>
          <w:rFonts w:hint="eastAsia" w:ascii="宋体" w:hAnsi="宋体" w:cs="宋体"/>
          <w:color w:val="auto"/>
          <w:kern w:val="0"/>
          <w:sz w:val="24"/>
          <w:szCs w:val="24"/>
        </w:rPr>
        <w:t>　　</w:t>
      </w:r>
      <w:r>
        <w:rPr>
          <w:rStyle w:val="42"/>
          <w:rFonts w:hint="eastAsia" w:ascii="宋体" w:hAnsi="宋体" w:cs="宋体"/>
          <w:color w:val="auto"/>
          <w:sz w:val="24"/>
          <w:szCs w:val="24"/>
        </w:rPr>
        <w:t>31.1.2</w:t>
      </w:r>
      <w:r>
        <w:rPr>
          <w:rStyle w:val="42"/>
          <w:rFonts w:hint="eastAsia" w:ascii="宋体" w:hAnsi="宋体" w:cs="宋体"/>
          <w:color w:val="auto"/>
          <w:kern w:val="0"/>
          <w:sz w:val="24"/>
          <w:szCs w:val="24"/>
        </w:rPr>
        <w:t>对采购过程提出质疑的，为各采购程序环节结束之日；</w:t>
      </w:r>
      <w:r>
        <w:rPr>
          <w:rStyle w:val="42"/>
          <w:rFonts w:hint="eastAsia" w:ascii="宋体" w:hAnsi="宋体" w:cs="宋体"/>
          <w:color w:val="auto"/>
          <w:kern w:val="0"/>
          <w:sz w:val="24"/>
          <w:szCs w:val="24"/>
        </w:rPr>
        <w:br w:type="textWrapping"/>
      </w:r>
      <w:r>
        <w:rPr>
          <w:rStyle w:val="42"/>
          <w:rFonts w:hint="eastAsia" w:ascii="宋体" w:hAnsi="宋体" w:cs="宋体"/>
          <w:color w:val="auto"/>
          <w:kern w:val="0"/>
          <w:sz w:val="24"/>
          <w:szCs w:val="24"/>
        </w:rPr>
        <w:t>　　</w:t>
      </w:r>
      <w:r>
        <w:rPr>
          <w:rStyle w:val="42"/>
          <w:rFonts w:hint="eastAsia" w:ascii="宋体" w:hAnsi="宋体" w:cs="宋体"/>
          <w:color w:val="auto"/>
          <w:sz w:val="24"/>
          <w:szCs w:val="24"/>
        </w:rPr>
        <w:t>31.1.3</w:t>
      </w:r>
      <w:r>
        <w:rPr>
          <w:rStyle w:val="42"/>
          <w:rFonts w:hint="eastAsia" w:ascii="宋体" w:hAnsi="宋体" w:cs="宋体"/>
          <w:color w:val="auto"/>
          <w:kern w:val="0"/>
          <w:sz w:val="24"/>
          <w:szCs w:val="24"/>
        </w:rPr>
        <w:t>对中标结果提出质疑的，为中标结果公告期限届满之日。</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31.4质疑函应当包括下列内容：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31.4.1质疑投标人的名称、地址、邮编、联系人、联系电话；</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31.4.2具体的质疑事项及明确的请求；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31.4.3认为自己合法权益受到损害或可能受到损害的相关证据材料；</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31.4.4提起质疑的日期；</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32、中标通知书</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32.l中标结果确定后，采购人将向中标供应商发出中标通知书。</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七、合同签订相关事项</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33. 签订合同</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33</w:t>
      </w:r>
      <w:r>
        <w:rPr>
          <w:rStyle w:val="42"/>
          <w:rFonts w:hint="eastAsia" w:ascii="宋体" w:hAnsi="宋体" w:cs="宋体"/>
          <w:color w:val="auto"/>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33.2招标文件、中标供应商的投标文件及招标过程中有关澄清、承诺文件均应作为合同附件。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34、货物和服务的追加、减少和添购。</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2"/>
          <w:rFonts w:ascii="宋体" w:hAnsi="宋体" w:cs="宋体"/>
          <w:b/>
          <w:color w:val="auto"/>
          <w:sz w:val="24"/>
          <w:szCs w:val="24"/>
        </w:rPr>
      </w:pPr>
      <w:r>
        <w:rPr>
          <w:rStyle w:val="42"/>
          <w:rFonts w:hint="eastAsia" w:ascii="宋体" w:hAnsi="宋体" w:cs="宋体"/>
          <w:color w:val="auto"/>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35、履约保证金</w:t>
      </w:r>
    </w:p>
    <w:p>
      <w:pPr>
        <w:tabs>
          <w:tab w:val="left" w:pos="900"/>
        </w:tabs>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2"/>
          <w:rFonts w:ascii="宋体" w:hAnsi="宋体" w:cs="宋体"/>
          <w:color w:val="auto"/>
          <w:sz w:val="24"/>
          <w:szCs w:val="24"/>
        </w:rPr>
      </w:pPr>
      <w:r>
        <w:rPr>
          <w:rStyle w:val="42"/>
          <w:rFonts w:hint="eastAsia" w:ascii="宋体" w:hAnsi="宋体" w:cs="宋体"/>
          <w:b/>
          <w:color w:val="auto"/>
          <w:sz w:val="24"/>
          <w:szCs w:val="24"/>
        </w:rPr>
        <w:t>36、政府采购履约资金扶持政策</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2"/>
          <w:rFonts w:ascii="宋体" w:hAnsi="宋体" w:cs="宋体"/>
          <w:b/>
          <w:bCs/>
          <w:color w:val="auto"/>
          <w:sz w:val="24"/>
          <w:szCs w:val="24"/>
        </w:rPr>
      </w:pPr>
      <w:r>
        <w:rPr>
          <w:rStyle w:val="42"/>
          <w:rFonts w:hint="eastAsia" w:ascii="宋体" w:hAnsi="宋体" w:cs="宋体"/>
          <w:b/>
          <w:bCs/>
          <w:color w:val="auto"/>
          <w:sz w:val="24"/>
          <w:szCs w:val="24"/>
        </w:rPr>
        <w:t>八、其他</w:t>
      </w:r>
    </w:p>
    <w:p>
      <w:pPr>
        <w:snapToGrid w:val="0"/>
        <w:spacing w:line="360" w:lineRule="auto"/>
        <w:ind w:firstLine="482" w:firstLineChars="200"/>
        <w:rPr>
          <w:rStyle w:val="42"/>
          <w:rFonts w:ascii="宋体" w:hAnsi="宋体" w:cs="宋体"/>
          <w:b/>
          <w:color w:val="auto"/>
          <w:sz w:val="44"/>
          <w:szCs w:val="28"/>
        </w:rPr>
      </w:pPr>
      <w:r>
        <w:rPr>
          <w:rStyle w:val="42"/>
          <w:rFonts w:hint="eastAsia" w:ascii="宋体" w:hAnsi="宋体" w:cs="宋体"/>
          <w:b/>
          <w:color w:val="auto"/>
          <w:sz w:val="24"/>
          <w:szCs w:val="24"/>
        </w:rPr>
        <w:t>37、样品：</w:t>
      </w:r>
      <w:r>
        <w:rPr>
          <w:rStyle w:val="42"/>
          <w:rFonts w:hint="eastAsia" w:ascii="宋体" w:hAnsi="宋体" w:cs="宋体"/>
          <w:color w:val="auto"/>
          <w:sz w:val="24"/>
          <w:szCs w:val="24"/>
        </w:rPr>
        <w:t>无</w:t>
      </w:r>
    </w:p>
    <w:p>
      <w:pPr>
        <w:rPr>
          <w:rStyle w:val="42"/>
          <w:rFonts w:ascii="宋体" w:hAnsi="宋体" w:cs="宋体"/>
          <w:b/>
          <w:color w:val="auto"/>
          <w:sz w:val="44"/>
        </w:rPr>
      </w:pPr>
    </w:p>
    <w:p>
      <w:pPr>
        <w:pStyle w:val="23"/>
        <w:ind w:firstLine="883"/>
        <w:rPr>
          <w:rStyle w:val="42"/>
          <w:rFonts w:cs="宋体"/>
          <w:b/>
          <w:color w:val="auto"/>
          <w:sz w:val="44"/>
          <w:szCs w:val="21"/>
        </w:rPr>
      </w:pPr>
    </w:p>
    <w:p>
      <w:pPr>
        <w:rPr>
          <w:rStyle w:val="42"/>
          <w:rFonts w:cs="宋体"/>
          <w:b/>
          <w:color w:val="auto"/>
          <w:sz w:val="44"/>
        </w:rPr>
      </w:pPr>
    </w:p>
    <w:p>
      <w:pPr>
        <w:pStyle w:val="2"/>
        <w:ind w:left="1470" w:right="1470"/>
        <w:rPr>
          <w:rStyle w:val="42"/>
          <w:rFonts w:cs="宋体"/>
          <w:b/>
          <w:color w:val="auto"/>
          <w:sz w:val="44"/>
        </w:rPr>
      </w:pPr>
    </w:p>
    <w:p>
      <w:pPr>
        <w:pStyle w:val="2"/>
        <w:ind w:left="1470" w:right="1470"/>
        <w:rPr>
          <w:rStyle w:val="42"/>
          <w:rFonts w:cs="宋体"/>
          <w:b/>
          <w:color w:val="auto"/>
          <w:sz w:val="44"/>
        </w:rPr>
      </w:pPr>
    </w:p>
    <w:p>
      <w:pPr>
        <w:pStyle w:val="2"/>
        <w:ind w:left="1470" w:right="1470"/>
        <w:rPr>
          <w:rStyle w:val="42"/>
          <w:rFonts w:cs="宋体"/>
          <w:b/>
          <w:color w:val="auto"/>
          <w:sz w:val="44"/>
        </w:rPr>
      </w:pPr>
    </w:p>
    <w:p>
      <w:pPr>
        <w:pStyle w:val="2"/>
        <w:ind w:left="1470" w:right="1470"/>
        <w:rPr>
          <w:rStyle w:val="42"/>
          <w:rFonts w:cs="宋体"/>
          <w:b/>
          <w:color w:val="auto"/>
          <w:sz w:val="44"/>
        </w:rPr>
      </w:pPr>
    </w:p>
    <w:p>
      <w:pPr>
        <w:pStyle w:val="2"/>
        <w:ind w:left="1470" w:right="1470"/>
        <w:rPr>
          <w:rStyle w:val="42"/>
          <w:rFonts w:cs="宋体"/>
          <w:b/>
          <w:color w:val="auto"/>
          <w:sz w:val="44"/>
        </w:rPr>
      </w:pPr>
    </w:p>
    <w:p>
      <w:pPr>
        <w:pStyle w:val="2"/>
        <w:ind w:left="1470" w:right="1470"/>
        <w:rPr>
          <w:rStyle w:val="42"/>
          <w:rFonts w:cs="宋体"/>
          <w:b/>
          <w:color w:val="auto"/>
          <w:sz w:val="44"/>
        </w:rPr>
      </w:pPr>
    </w:p>
    <w:p>
      <w:pPr>
        <w:pStyle w:val="23"/>
        <w:ind w:firstLine="0" w:firstLineChars="0"/>
        <w:rPr>
          <w:rStyle w:val="42"/>
          <w:rFonts w:cs="宋体"/>
          <w:b/>
          <w:color w:val="auto"/>
          <w:sz w:val="44"/>
          <w:szCs w:val="21"/>
        </w:rPr>
      </w:pPr>
    </w:p>
    <w:p>
      <w:pPr>
        <w:pStyle w:val="32"/>
        <w:outlineLvl w:val="0"/>
        <w:rPr>
          <w:rStyle w:val="42"/>
          <w:rFonts w:ascii="宋体" w:hAnsi="宋体" w:eastAsia="宋体" w:cs="宋体"/>
          <w:b/>
          <w:color w:val="auto"/>
          <w:sz w:val="44"/>
        </w:rPr>
      </w:pPr>
      <w:bookmarkStart w:id="2" w:name="_Toc19468"/>
      <w:r>
        <w:rPr>
          <w:rStyle w:val="42"/>
          <w:rFonts w:hint="eastAsia" w:ascii="宋体" w:hAnsi="宋体" w:eastAsia="宋体" w:cs="宋体"/>
          <w:b/>
          <w:color w:val="auto"/>
          <w:sz w:val="44"/>
        </w:rPr>
        <w:t>第三章  合同条款及格式</w:t>
      </w:r>
      <w:bookmarkEnd w:id="2"/>
    </w:p>
    <w:p>
      <w:pPr>
        <w:spacing w:line="440" w:lineRule="exact"/>
        <w:ind w:firstLine="480" w:firstLineChars="200"/>
        <w:rPr>
          <w:rStyle w:val="42"/>
          <w:rFonts w:ascii="宋体" w:hAnsi="宋体" w:cs="宋体"/>
          <w:bCs/>
          <w:color w:val="auto"/>
          <w:sz w:val="24"/>
        </w:rPr>
      </w:pPr>
      <w:r>
        <w:rPr>
          <w:rStyle w:val="42"/>
          <w:rFonts w:hint="eastAsia" w:ascii="宋体" w:hAnsi="宋体" w:cs="宋体"/>
          <w:bCs/>
          <w:color w:val="auto"/>
          <w:sz w:val="24"/>
        </w:rPr>
        <w:t>以下为中标后签定本项目合同的通用条款，中标供应商不得提出实质性的修改，关于专用条款将由采购人与中标供应商结合本项目具体情况协商后签订。</w:t>
      </w:r>
    </w:p>
    <w:p>
      <w:pPr>
        <w:adjustRightInd w:val="0"/>
        <w:snapToGrid w:val="0"/>
        <w:spacing w:line="360" w:lineRule="auto"/>
        <w:ind w:firstLine="482" w:firstLineChars="200"/>
        <w:jc w:val="center"/>
        <w:rPr>
          <w:rStyle w:val="42"/>
          <w:rFonts w:ascii="宋体" w:hAnsi="宋体" w:cs="宋体"/>
          <w:b/>
          <w:color w:val="auto"/>
          <w:sz w:val="24"/>
        </w:rPr>
      </w:pPr>
      <w:r>
        <w:rPr>
          <w:rStyle w:val="42"/>
          <w:rFonts w:hint="eastAsia" w:ascii="宋体" w:hAnsi="宋体" w:cs="宋体"/>
          <w:b/>
          <w:color w:val="auto"/>
          <w:sz w:val="24"/>
        </w:rPr>
        <w:t>采购合同</w:t>
      </w:r>
    </w:p>
    <w:p>
      <w:pPr>
        <w:pStyle w:val="15"/>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项目名称：</w:t>
      </w:r>
      <w:r>
        <w:rPr>
          <w:rStyle w:val="42"/>
          <w:rFonts w:hint="eastAsia" w:hAnsi="宋体" w:cs="宋体"/>
          <w:color w:val="auto"/>
          <w:sz w:val="24"/>
          <w:szCs w:val="24"/>
          <w:u w:val="single"/>
        </w:rPr>
        <w:t>2022级新生生活用品代采购项目</w:t>
      </w:r>
    </w:p>
    <w:p>
      <w:pPr>
        <w:pStyle w:val="15"/>
        <w:adjustRightInd w:val="0"/>
        <w:snapToGrid w:val="0"/>
        <w:spacing w:line="360" w:lineRule="auto"/>
        <w:ind w:firstLine="480" w:firstLineChars="200"/>
        <w:rPr>
          <w:rFonts w:hAnsi="宋体" w:cs="宋体"/>
          <w:color w:val="auto"/>
          <w:sz w:val="24"/>
          <w:szCs w:val="24"/>
          <w:u w:val="single"/>
        </w:rPr>
      </w:pPr>
      <w:r>
        <w:rPr>
          <w:rFonts w:hint="eastAsia" w:hAnsi="宋体" w:cs="宋体"/>
          <w:color w:val="auto"/>
          <w:sz w:val="24"/>
          <w:szCs w:val="24"/>
        </w:rPr>
        <w:t>项目编号：</w:t>
      </w:r>
    </w:p>
    <w:p>
      <w:pPr>
        <w:pStyle w:val="21"/>
        <w:adjustRightInd w:val="0"/>
        <w:snapToGrid w:val="0"/>
        <w:spacing w:before="0" w:beforeAutospacing="0" w:after="0" w:afterAutospacing="0" w:line="360" w:lineRule="auto"/>
        <w:ind w:firstLine="480" w:firstLineChars="200"/>
        <w:jc w:val="both"/>
        <w:rPr>
          <w:color w:val="auto"/>
        </w:rPr>
      </w:pPr>
      <w:r>
        <w:rPr>
          <w:rFonts w:hint="eastAsia"/>
          <w:color w:val="auto"/>
          <w:kern w:val="2"/>
        </w:rPr>
        <w:t>甲方：（买方）</w:t>
      </w:r>
      <w:r>
        <w:rPr>
          <w:rFonts w:hint="eastAsia"/>
          <w:color w:val="auto"/>
          <w:kern w:val="2"/>
          <w:u w:val="single"/>
        </w:rPr>
        <w:t>盐城工业职业技术学院</w:t>
      </w:r>
    </w:p>
    <w:p>
      <w:pPr>
        <w:pStyle w:val="21"/>
        <w:adjustRightInd w:val="0"/>
        <w:snapToGrid w:val="0"/>
        <w:spacing w:before="0" w:beforeAutospacing="0" w:after="0" w:afterAutospacing="0" w:line="360" w:lineRule="auto"/>
        <w:ind w:firstLine="480" w:firstLineChars="200"/>
        <w:jc w:val="both"/>
        <w:rPr>
          <w:color w:val="auto"/>
        </w:rPr>
      </w:pPr>
      <w:r>
        <w:rPr>
          <w:rFonts w:hint="eastAsia"/>
          <w:color w:val="auto"/>
          <w:kern w:val="2"/>
        </w:rPr>
        <w:t>乙方：（卖方）</w:t>
      </w:r>
    </w:p>
    <w:p>
      <w:pPr>
        <w:adjustRightInd w:val="0"/>
        <w:snapToGrid w:val="0"/>
        <w:spacing w:line="360" w:lineRule="auto"/>
        <w:ind w:firstLine="480" w:firstLineChars="200"/>
        <w:rPr>
          <w:rFonts w:ascii="宋体" w:hAnsi="宋体" w:cs="宋体"/>
          <w:b/>
          <w:color w:val="auto"/>
          <w:sz w:val="24"/>
        </w:rPr>
      </w:pPr>
      <w:r>
        <w:rPr>
          <w:rFonts w:hint="eastAsia" w:ascii="宋体" w:hAnsi="宋体" w:cs="宋体"/>
          <w:color w:val="auto"/>
          <w:sz w:val="24"/>
        </w:rPr>
        <w:t>甲、乙双方根据</w:t>
      </w:r>
      <w:r>
        <w:rPr>
          <w:rStyle w:val="42"/>
          <w:rFonts w:hint="eastAsia" w:ascii="宋体" w:hAnsi="宋体" w:cs="宋体"/>
          <w:color w:val="auto"/>
          <w:sz w:val="24"/>
          <w:szCs w:val="24"/>
          <w:u w:val="single"/>
        </w:rPr>
        <w:t>2022级新生生活用品代采购项目</w:t>
      </w:r>
      <w:r>
        <w:rPr>
          <w:rFonts w:hint="eastAsia" w:ascii="宋体" w:hAnsi="宋体" w:cs="宋体"/>
          <w:color w:val="auto"/>
          <w:sz w:val="24"/>
        </w:rPr>
        <w:t>公开招标的结果，签署本合同。</w:t>
      </w:r>
    </w:p>
    <w:p>
      <w:pPr>
        <w:pStyle w:val="21"/>
        <w:adjustRightInd w:val="0"/>
        <w:snapToGrid w:val="0"/>
        <w:spacing w:before="0" w:beforeAutospacing="0" w:after="0" w:afterAutospacing="0" w:line="360" w:lineRule="auto"/>
        <w:ind w:firstLine="482" w:firstLineChars="200"/>
        <w:jc w:val="both"/>
        <w:rPr>
          <w:b/>
          <w:color w:val="auto"/>
        </w:rPr>
      </w:pPr>
      <w:r>
        <w:rPr>
          <w:rFonts w:hint="eastAsia"/>
          <w:b/>
          <w:color w:val="auto"/>
          <w:kern w:val="2"/>
        </w:rPr>
        <w:t>一、货物内容</w:t>
      </w:r>
    </w:p>
    <w:p>
      <w:pPr>
        <w:pStyle w:val="21"/>
        <w:adjustRightInd w:val="0"/>
        <w:snapToGrid w:val="0"/>
        <w:spacing w:before="0" w:beforeAutospacing="0" w:after="0" w:afterAutospacing="0" w:line="360" w:lineRule="auto"/>
        <w:ind w:firstLine="480" w:firstLineChars="200"/>
        <w:jc w:val="both"/>
        <w:rPr>
          <w:color w:val="auto"/>
        </w:rPr>
      </w:pPr>
      <w:r>
        <w:rPr>
          <w:rFonts w:hint="eastAsia"/>
          <w:color w:val="auto"/>
          <w:kern w:val="2"/>
        </w:rPr>
        <w:t>1.1 货物名称：</w:t>
      </w:r>
      <w:r>
        <w:rPr>
          <w:rStyle w:val="42"/>
          <w:rFonts w:hint="eastAsia"/>
          <w:color w:val="auto"/>
          <w:szCs w:val="24"/>
          <w:u w:val="single"/>
        </w:rPr>
        <w:t>2022级新生生活用品代采购项目</w:t>
      </w:r>
      <w:r>
        <w:rPr>
          <w:rFonts w:hint="eastAsia"/>
          <w:color w:val="auto"/>
          <w:kern w:val="2"/>
        </w:rPr>
        <w:t>。</w:t>
      </w:r>
    </w:p>
    <w:p>
      <w:pPr>
        <w:pStyle w:val="21"/>
        <w:adjustRightInd w:val="0"/>
        <w:snapToGrid w:val="0"/>
        <w:spacing w:before="0" w:beforeAutospacing="0" w:after="0" w:afterAutospacing="0" w:line="360" w:lineRule="auto"/>
        <w:ind w:firstLine="480" w:firstLineChars="200"/>
        <w:jc w:val="both"/>
        <w:rPr>
          <w:color w:val="auto"/>
        </w:rPr>
      </w:pPr>
      <w:r>
        <w:rPr>
          <w:rFonts w:hint="eastAsia"/>
          <w:color w:val="auto"/>
          <w:kern w:val="2"/>
        </w:rPr>
        <w:t>1.2 型号规格：</w:t>
      </w:r>
      <w:r>
        <w:rPr>
          <w:rFonts w:hint="eastAsia"/>
          <w:color w:val="auto"/>
          <w:kern w:val="2"/>
          <w:u w:val="single"/>
        </w:rPr>
        <w:t>详按项目需求</w:t>
      </w:r>
      <w:r>
        <w:rPr>
          <w:rFonts w:hint="eastAsia"/>
          <w:color w:val="auto"/>
          <w:kern w:val="2"/>
        </w:rPr>
        <w:t>。</w:t>
      </w:r>
    </w:p>
    <w:p>
      <w:pPr>
        <w:pStyle w:val="21"/>
        <w:adjustRightInd w:val="0"/>
        <w:snapToGrid w:val="0"/>
        <w:spacing w:before="0" w:beforeAutospacing="0" w:after="0" w:afterAutospacing="0" w:line="360" w:lineRule="auto"/>
        <w:ind w:firstLine="480" w:firstLineChars="200"/>
        <w:jc w:val="both"/>
        <w:rPr>
          <w:color w:val="auto"/>
        </w:rPr>
      </w:pPr>
      <w:r>
        <w:rPr>
          <w:rFonts w:hint="eastAsia"/>
          <w:color w:val="auto"/>
          <w:kern w:val="2"/>
        </w:rPr>
        <w:t>1.3 数量（单位）：</w:t>
      </w:r>
      <w:r>
        <w:rPr>
          <w:rFonts w:hint="eastAsia"/>
          <w:color w:val="auto"/>
          <w:kern w:val="2"/>
          <w:u w:val="single"/>
        </w:rPr>
        <w:t>详按项目需求</w:t>
      </w:r>
      <w:r>
        <w:rPr>
          <w:rFonts w:hint="eastAsia"/>
          <w:color w:val="auto"/>
          <w:kern w:val="2"/>
        </w:rPr>
        <w:t>。</w:t>
      </w:r>
    </w:p>
    <w:p>
      <w:pPr>
        <w:pStyle w:val="21"/>
        <w:adjustRightInd w:val="0"/>
        <w:snapToGrid w:val="0"/>
        <w:spacing w:before="0" w:beforeAutospacing="0" w:after="0" w:afterAutospacing="0" w:line="360" w:lineRule="auto"/>
        <w:ind w:firstLine="482" w:firstLineChars="200"/>
        <w:jc w:val="both"/>
        <w:rPr>
          <w:b/>
          <w:color w:val="auto"/>
        </w:rPr>
      </w:pPr>
      <w:r>
        <w:rPr>
          <w:rFonts w:hint="eastAsia"/>
          <w:b/>
          <w:color w:val="auto"/>
          <w:kern w:val="2"/>
        </w:rPr>
        <w:t>二、合同金额</w:t>
      </w:r>
    </w:p>
    <w:p>
      <w:pPr>
        <w:pStyle w:val="21"/>
        <w:adjustRightInd w:val="0"/>
        <w:snapToGrid w:val="0"/>
        <w:spacing w:before="0" w:beforeAutospacing="0" w:after="0" w:afterAutospacing="0" w:line="360" w:lineRule="auto"/>
        <w:ind w:firstLine="480" w:firstLineChars="200"/>
        <w:jc w:val="both"/>
        <w:rPr>
          <w:color w:val="auto"/>
        </w:rPr>
      </w:pPr>
      <w:r>
        <w:rPr>
          <w:rFonts w:hint="eastAsia"/>
          <w:color w:val="auto"/>
          <w:kern w:val="2"/>
        </w:rPr>
        <w:t>2.1本合同金额为（大写）：________元/套（__________元/套）人民币或其他币种。</w:t>
      </w:r>
    </w:p>
    <w:p>
      <w:pPr>
        <w:pStyle w:val="21"/>
        <w:adjustRightInd w:val="0"/>
        <w:snapToGrid w:val="0"/>
        <w:spacing w:before="0" w:beforeAutospacing="0" w:after="0" w:afterAutospacing="0" w:line="360" w:lineRule="auto"/>
        <w:ind w:firstLine="482" w:firstLineChars="200"/>
        <w:jc w:val="both"/>
        <w:rPr>
          <w:b/>
          <w:color w:val="auto"/>
        </w:rPr>
      </w:pPr>
      <w:r>
        <w:rPr>
          <w:rFonts w:hint="eastAsia"/>
          <w:b/>
          <w:color w:val="auto"/>
          <w:kern w:val="2"/>
        </w:rPr>
        <w:t>三、技术资料</w:t>
      </w:r>
    </w:p>
    <w:p>
      <w:pPr>
        <w:adjustRightInd w:val="0"/>
        <w:snapToGrid w:val="0"/>
        <w:spacing w:line="360" w:lineRule="auto"/>
        <w:ind w:firstLine="480" w:firstLineChars="200"/>
        <w:rPr>
          <w:rFonts w:ascii="宋体" w:hAnsi="宋体" w:cs="宋体"/>
          <w:bCs/>
          <w:color w:val="auto"/>
          <w:sz w:val="24"/>
          <w:szCs w:val="22"/>
        </w:rPr>
      </w:pPr>
      <w:r>
        <w:rPr>
          <w:rFonts w:hint="eastAsia" w:ascii="宋体" w:hAnsi="宋体" w:cs="宋体"/>
          <w:bCs/>
          <w:color w:val="auto"/>
          <w:sz w:val="24"/>
          <w:szCs w:val="22"/>
        </w:rPr>
        <w:t>3.1乙方应按招标文件规定的时间向甲方提供使用货物的有关技术资料。</w:t>
      </w:r>
    </w:p>
    <w:p>
      <w:pPr>
        <w:adjustRightInd w:val="0"/>
        <w:snapToGrid w:val="0"/>
        <w:spacing w:line="360" w:lineRule="auto"/>
        <w:ind w:firstLine="480" w:firstLineChars="200"/>
        <w:rPr>
          <w:rFonts w:ascii="宋体" w:hAnsi="宋体" w:cs="宋体"/>
          <w:bCs/>
          <w:color w:val="auto"/>
          <w:sz w:val="24"/>
          <w:szCs w:val="22"/>
        </w:rPr>
      </w:pPr>
      <w:r>
        <w:rPr>
          <w:rFonts w:hint="eastAsia" w:ascii="宋体" w:hAnsi="宋体" w:cs="宋体"/>
          <w:bCs/>
          <w:color w:val="auto"/>
          <w:sz w:val="24"/>
          <w:szCs w:val="22"/>
        </w:rPr>
        <w:t>3.2 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pPr>
        <w:pStyle w:val="21"/>
        <w:adjustRightInd w:val="0"/>
        <w:snapToGrid w:val="0"/>
        <w:spacing w:before="0" w:beforeAutospacing="0" w:after="0" w:afterAutospacing="0" w:line="360" w:lineRule="auto"/>
        <w:ind w:firstLine="482" w:firstLineChars="200"/>
        <w:jc w:val="both"/>
        <w:rPr>
          <w:b/>
          <w:color w:val="auto"/>
        </w:rPr>
      </w:pPr>
      <w:r>
        <w:rPr>
          <w:rFonts w:hint="eastAsia"/>
          <w:b/>
          <w:color w:val="auto"/>
          <w:kern w:val="2"/>
        </w:rPr>
        <w:t>四、知识产权</w:t>
      </w:r>
    </w:p>
    <w:p>
      <w:pPr>
        <w:adjustRightInd w:val="0"/>
        <w:snapToGrid w:val="0"/>
        <w:spacing w:line="360" w:lineRule="auto"/>
        <w:ind w:firstLine="480" w:firstLineChars="200"/>
        <w:rPr>
          <w:rFonts w:ascii="宋体" w:hAnsi="宋体" w:cs="宋体"/>
          <w:color w:val="auto"/>
          <w:sz w:val="24"/>
          <w:szCs w:val="22"/>
        </w:rPr>
      </w:pPr>
      <w:r>
        <w:rPr>
          <w:rFonts w:hint="eastAsia" w:ascii="宋体" w:hAnsi="宋体" w:cs="宋体"/>
          <w:color w:val="auto"/>
          <w:sz w:val="24"/>
        </w:rPr>
        <w:t>4.1乙</w:t>
      </w:r>
      <w:r>
        <w:rPr>
          <w:rFonts w:hint="eastAsia" w:ascii="宋体" w:hAnsi="宋体" w:cs="宋体"/>
          <w:color w:val="auto"/>
          <w:sz w:val="24"/>
          <w:szCs w:val="22"/>
        </w:rPr>
        <w:t>方应保证甲方在使用、接受本合同货物和服务或其任何一部分时不受第三方提出侵犯其专利权、版权、商标权和工业设计权等知识产权的起诉。一旦出现侵权，由乙方负全部责任。</w:t>
      </w:r>
    </w:p>
    <w:p>
      <w:pPr>
        <w:pStyle w:val="21"/>
        <w:adjustRightInd w:val="0"/>
        <w:snapToGrid w:val="0"/>
        <w:spacing w:before="0" w:beforeAutospacing="0" w:after="0" w:afterAutospacing="0" w:line="360" w:lineRule="auto"/>
        <w:ind w:firstLine="482" w:firstLineChars="200"/>
        <w:jc w:val="both"/>
        <w:rPr>
          <w:color w:val="auto"/>
          <w:u w:val="single"/>
        </w:rPr>
      </w:pPr>
      <w:r>
        <w:rPr>
          <w:rFonts w:hint="eastAsia"/>
          <w:b/>
          <w:color w:val="auto"/>
          <w:kern w:val="2"/>
        </w:rPr>
        <w:t>五、产权担保</w:t>
      </w:r>
    </w:p>
    <w:p>
      <w:pPr>
        <w:pStyle w:val="21"/>
        <w:adjustRightInd w:val="0"/>
        <w:snapToGrid w:val="0"/>
        <w:spacing w:before="0" w:beforeAutospacing="0" w:after="0" w:afterAutospacing="0" w:line="360" w:lineRule="auto"/>
        <w:ind w:firstLine="480" w:firstLineChars="200"/>
        <w:jc w:val="both"/>
        <w:rPr>
          <w:color w:val="auto"/>
          <w:u w:val="single"/>
        </w:rPr>
      </w:pPr>
      <w:r>
        <w:rPr>
          <w:rFonts w:hint="eastAsia"/>
          <w:color w:val="auto"/>
          <w:kern w:val="2"/>
        </w:rPr>
        <w:t>5.1乙方保证所交付的货物的所有权完全属于乙方且无任何抵押、查封等产权瑕疵。</w:t>
      </w:r>
    </w:p>
    <w:p>
      <w:pPr>
        <w:pStyle w:val="21"/>
        <w:adjustRightInd w:val="0"/>
        <w:snapToGrid w:val="0"/>
        <w:spacing w:before="0" w:beforeAutospacing="0" w:after="0" w:afterAutospacing="0" w:line="360" w:lineRule="auto"/>
        <w:ind w:firstLine="482" w:firstLineChars="200"/>
        <w:jc w:val="both"/>
        <w:rPr>
          <w:b/>
          <w:color w:val="auto"/>
        </w:rPr>
      </w:pPr>
      <w:r>
        <w:rPr>
          <w:rFonts w:hint="eastAsia"/>
          <w:b/>
          <w:color w:val="auto"/>
          <w:kern w:val="2"/>
        </w:rPr>
        <w:t>六、履约保证金</w:t>
      </w:r>
    </w:p>
    <w:p>
      <w:pPr>
        <w:pStyle w:val="21"/>
        <w:adjustRightInd w:val="0"/>
        <w:snapToGrid w:val="0"/>
        <w:spacing w:before="0" w:beforeAutospacing="0" w:after="0" w:afterAutospacing="0" w:line="360" w:lineRule="auto"/>
        <w:ind w:firstLine="480" w:firstLineChars="200"/>
        <w:jc w:val="both"/>
        <w:rPr>
          <w:color w:val="auto"/>
        </w:rPr>
      </w:pPr>
      <w:r>
        <w:rPr>
          <w:rFonts w:hint="eastAsia"/>
          <w:color w:val="auto"/>
          <w:kern w:val="2"/>
        </w:rPr>
        <w:t>6.1乙方交纳人民币</w:t>
      </w:r>
      <w:r>
        <w:rPr>
          <w:rFonts w:hint="eastAsia"/>
          <w:color w:val="auto"/>
          <w:kern w:val="2"/>
          <w:u w:val="single"/>
        </w:rPr>
        <w:t>（中标价的5%）</w:t>
      </w:r>
      <w:r>
        <w:rPr>
          <w:rFonts w:hint="eastAsia"/>
          <w:color w:val="auto"/>
          <w:kern w:val="2"/>
        </w:rPr>
        <w:t>元作为本合同的履约保证金。</w:t>
      </w:r>
    </w:p>
    <w:p>
      <w:pPr>
        <w:adjustRightInd w:val="0"/>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七、转包或分包</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7.1本合同范围的货物，应由乙方直接供应，不得转让他人供应；</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7.2 除非得到甲方的书面同意，乙方不得部分分包给他人供应。</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7.3如有转让和未经甲方同意的分包行为，甲方有权给予终止合同。</w:t>
      </w:r>
    </w:p>
    <w:p>
      <w:pPr>
        <w:pStyle w:val="21"/>
        <w:adjustRightInd w:val="0"/>
        <w:snapToGrid w:val="0"/>
        <w:spacing w:before="0" w:beforeAutospacing="0" w:after="0" w:afterAutospacing="0" w:line="360" w:lineRule="auto"/>
        <w:ind w:firstLine="482" w:firstLineChars="200"/>
        <w:jc w:val="both"/>
        <w:rPr>
          <w:color w:val="auto"/>
        </w:rPr>
      </w:pPr>
      <w:r>
        <w:rPr>
          <w:rFonts w:hint="eastAsia"/>
          <w:b/>
          <w:color w:val="auto"/>
          <w:kern w:val="2"/>
        </w:rPr>
        <w:t>八、质保期</w:t>
      </w:r>
    </w:p>
    <w:p>
      <w:pPr>
        <w:pStyle w:val="21"/>
        <w:adjustRightInd w:val="0"/>
        <w:snapToGrid w:val="0"/>
        <w:spacing w:before="0" w:beforeAutospacing="0" w:after="0" w:afterAutospacing="0" w:line="360" w:lineRule="auto"/>
        <w:ind w:firstLine="480" w:firstLineChars="200"/>
        <w:jc w:val="both"/>
        <w:rPr>
          <w:color w:val="auto"/>
        </w:rPr>
      </w:pPr>
      <w:r>
        <w:rPr>
          <w:rFonts w:hint="eastAsia"/>
          <w:color w:val="auto"/>
          <w:kern w:val="2"/>
        </w:rPr>
        <w:t>8.1 质保期</w:t>
      </w:r>
      <w:r>
        <w:rPr>
          <w:rFonts w:hint="eastAsia"/>
          <w:color w:val="auto"/>
          <w:kern w:val="2"/>
          <w:u w:val="single"/>
        </w:rPr>
        <w:t>壹</w:t>
      </w:r>
      <w:r>
        <w:rPr>
          <w:rFonts w:hint="eastAsia"/>
          <w:color w:val="auto"/>
          <w:kern w:val="2"/>
        </w:rPr>
        <w:t>年。（自交货验收合格之日起计）</w:t>
      </w:r>
    </w:p>
    <w:p>
      <w:pPr>
        <w:pStyle w:val="21"/>
        <w:adjustRightInd w:val="0"/>
        <w:snapToGrid w:val="0"/>
        <w:spacing w:before="0" w:beforeAutospacing="0" w:after="0" w:afterAutospacing="0" w:line="360" w:lineRule="auto"/>
        <w:ind w:firstLine="482" w:firstLineChars="200"/>
        <w:jc w:val="both"/>
        <w:rPr>
          <w:b/>
          <w:color w:val="auto"/>
        </w:rPr>
      </w:pPr>
      <w:r>
        <w:rPr>
          <w:rFonts w:hint="eastAsia"/>
          <w:b/>
          <w:color w:val="auto"/>
          <w:kern w:val="2"/>
        </w:rPr>
        <w:t>九、交货期、交货方式及交货地点</w:t>
      </w:r>
    </w:p>
    <w:p>
      <w:pPr>
        <w:pStyle w:val="21"/>
        <w:adjustRightInd w:val="0"/>
        <w:snapToGrid w:val="0"/>
        <w:spacing w:before="0" w:beforeAutospacing="0" w:after="0" w:afterAutospacing="0" w:line="360" w:lineRule="auto"/>
        <w:ind w:firstLine="480" w:firstLineChars="200"/>
        <w:jc w:val="both"/>
        <w:rPr>
          <w:bCs/>
          <w:color w:val="auto"/>
        </w:rPr>
      </w:pPr>
      <w:r>
        <w:rPr>
          <w:rFonts w:hint="eastAsia"/>
          <w:bCs/>
          <w:color w:val="auto"/>
          <w:kern w:val="2"/>
        </w:rPr>
        <w:t>9.1 交货期：</w:t>
      </w:r>
      <w:r>
        <w:rPr>
          <w:rFonts w:hint="eastAsia"/>
          <w:color w:val="auto"/>
        </w:rPr>
        <w:t>15日历天，同时确保于2022年9月10日前（具体时间另行通知）全部供货并经验收合格交付使用。</w:t>
      </w:r>
    </w:p>
    <w:p>
      <w:pPr>
        <w:pStyle w:val="21"/>
        <w:adjustRightInd w:val="0"/>
        <w:snapToGrid w:val="0"/>
        <w:spacing w:before="0" w:beforeAutospacing="0" w:after="0" w:afterAutospacing="0" w:line="360" w:lineRule="auto"/>
        <w:ind w:firstLine="480" w:firstLineChars="200"/>
        <w:jc w:val="both"/>
        <w:rPr>
          <w:bCs/>
          <w:color w:val="auto"/>
        </w:rPr>
      </w:pPr>
      <w:r>
        <w:rPr>
          <w:rFonts w:hint="eastAsia"/>
          <w:bCs/>
          <w:color w:val="auto"/>
          <w:kern w:val="2"/>
        </w:rPr>
        <w:t>9.2 交货方式：</w:t>
      </w:r>
      <w:r>
        <w:rPr>
          <w:rFonts w:hint="eastAsia"/>
          <w:color w:val="auto"/>
          <w:kern w:val="2"/>
          <w:u w:val="single"/>
        </w:rPr>
        <w:t>送货上门</w:t>
      </w:r>
    </w:p>
    <w:p>
      <w:pPr>
        <w:pStyle w:val="21"/>
        <w:adjustRightInd w:val="0"/>
        <w:snapToGrid w:val="0"/>
        <w:spacing w:before="0" w:beforeAutospacing="0" w:after="0" w:afterAutospacing="0" w:line="360" w:lineRule="auto"/>
        <w:ind w:firstLine="480" w:firstLineChars="200"/>
        <w:jc w:val="both"/>
        <w:rPr>
          <w:b/>
          <w:color w:val="auto"/>
        </w:rPr>
      </w:pPr>
      <w:r>
        <w:rPr>
          <w:rFonts w:hint="eastAsia"/>
          <w:bCs/>
          <w:color w:val="auto"/>
          <w:kern w:val="2"/>
        </w:rPr>
        <w:t>9.3 交货地点：</w:t>
      </w:r>
      <w:r>
        <w:rPr>
          <w:rFonts w:hint="eastAsia"/>
          <w:color w:val="auto"/>
          <w:kern w:val="2"/>
          <w:u w:val="single"/>
        </w:rPr>
        <w:t>甲方指定地点</w:t>
      </w:r>
    </w:p>
    <w:p>
      <w:pPr>
        <w:pStyle w:val="21"/>
        <w:adjustRightInd w:val="0"/>
        <w:snapToGrid w:val="0"/>
        <w:spacing w:before="0" w:beforeAutospacing="0" w:after="0" w:afterAutospacing="0" w:line="360" w:lineRule="auto"/>
        <w:ind w:firstLine="482" w:firstLineChars="200"/>
        <w:jc w:val="both"/>
        <w:rPr>
          <w:b/>
          <w:color w:val="auto"/>
        </w:rPr>
      </w:pPr>
      <w:r>
        <w:rPr>
          <w:rFonts w:hint="eastAsia"/>
          <w:b/>
          <w:color w:val="auto"/>
          <w:kern w:val="2"/>
        </w:rPr>
        <w:t>十、货款支付</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10.1 付款方式：</w:t>
      </w:r>
      <w:r>
        <w:rPr>
          <w:rFonts w:hint="eastAsia" w:ascii="宋体" w:hAnsi="宋体" w:cs="宋体"/>
          <w:color w:val="auto"/>
          <w:sz w:val="24"/>
          <w:u w:val="single"/>
        </w:rPr>
        <w:t>货到按样品验收检验合格后付至合同价的95%；余款在使用一年后无质量及其他问题，凭发票结清全部款项。最终结算金额以实际发放数量为准，多余产品由乙方负责收回，甲方不承担由此产生的任何费用。</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10.2</w:t>
      </w:r>
      <w:r>
        <w:rPr>
          <w:rFonts w:hint="eastAsia" w:ascii="宋体" w:hAnsi="宋体" w:cs="宋体"/>
          <w:color w:val="auto"/>
          <w:sz w:val="24"/>
          <w:u w:val="single"/>
        </w:rPr>
        <w:t>当采购数量与实际使用数量不一致时，乙方应根据实际使用量供货，合同的最终结算金额按实际使用量乘以成交单价进行计算。</w:t>
      </w:r>
    </w:p>
    <w:p>
      <w:pPr>
        <w:adjustRightInd w:val="0"/>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十一.税费</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11.1本合同执行中相关的一切税费均由乙方负担。</w:t>
      </w:r>
    </w:p>
    <w:p>
      <w:pPr>
        <w:pStyle w:val="21"/>
        <w:adjustRightInd w:val="0"/>
        <w:snapToGrid w:val="0"/>
        <w:spacing w:before="0" w:beforeAutospacing="0" w:after="0" w:afterAutospacing="0" w:line="360" w:lineRule="auto"/>
        <w:ind w:firstLine="482" w:firstLineChars="200"/>
        <w:jc w:val="both"/>
        <w:rPr>
          <w:color w:val="auto"/>
        </w:rPr>
      </w:pPr>
      <w:r>
        <w:rPr>
          <w:rFonts w:hint="eastAsia"/>
          <w:b/>
          <w:color w:val="auto"/>
          <w:kern w:val="2"/>
        </w:rPr>
        <w:t>十二、质量保证及售后服务</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12.1 乙方应按招标文件规定的货物性能、技术要求、质量标准向甲方提供未经使用的全新产品。</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12.2 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⑴更换：由乙方承担所发生的全部费用。</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⑵贬值处理：由甲乙双方合议定价。</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⑶退货处理：乙方应退还甲方支付的合同款，同时应承担该货物的直接费用（运输、保险、检验、货款利息及银行手续费等）。</w:t>
      </w:r>
    </w:p>
    <w:p>
      <w:pPr>
        <w:adjustRightInd w:val="0"/>
        <w:snapToGrid w:val="0"/>
        <w:spacing w:line="360" w:lineRule="auto"/>
        <w:ind w:firstLine="480" w:firstLineChars="200"/>
        <w:rPr>
          <w:rFonts w:ascii="宋体" w:hAnsi="宋体" w:cs="宋体"/>
          <w:bCs/>
          <w:color w:val="auto"/>
          <w:sz w:val="22"/>
        </w:rPr>
      </w:pPr>
      <w:r>
        <w:rPr>
          <w:rFonts w:hint="eastAsia" w:ascii="宋体" w:hAnsi="宋体" w:cs="宋体"/>
          <w:color w:val="auto"/>
          <w:sz w:val="24"/>
        </w:rPr>
        <w:t>12.3 如在使用过程中发生质量问题，乙方在接到甲方通知后在6小时内到达甲方现场提供免费上门维修服务，12小时内确保正常使用。</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12.4 在质保期内，乙方应对货物出现的质量及安全问题负责处理解决并承担一切费用。</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12.5上述的货物免费保修期，因人为因素出现的故障不在免费保修范围内。</w:t>
      </w:r>
    </w:p>
    <w:p>
      <w:pPr>
        <w:pStyle w:val="21"/>
        <w:adjustRightInd w:val="0"/>
        <w:snapToGrid w:val="0"/>
        <w:spacing w:before="0" w:beforeAutospacing="0" w:after="0" w:afterAutospacing="0" w:line="360" w:lineRule="auto"/>
        <w:ind w:firstLine="482" w:firstLineChars="200"/>
        <w:jc w:val="both"/>
        <w:rPr>
          <w:b/>
          <w:color w:val="auto"/>
        </w:rPr>
      </w:pPr>
      <w:r>
        <w:rPr>
          <w:rFonts w:hint="eastAsia"/>
          <w:b/>
          <w:color w:val="auto"/>
          <w:kern w:val="2"/>
        </w:rPr>
        <w:t>十三、调试和验收</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13.2 乙方交货前应对产品作出全面检查和对验收文件进行整理，并列出清单，作为甲方收货验收和使用的技术条件依据，检验的结果应随货物交甲方。</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13.3对技术复杂的货物，甲方可请国家认可的专业检测机构参与初步验收及最终验收，并由其出具质量检测报告。</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13.4验收时乙方必须在现场，验收完毕后作出验收结果报告；验收费用由甲乙双方协商解决。</w:t>
      </w:r>
    </w:p>
    <w:p>
      <w:pPr>
        <w:pStyle w:val="21"/>
        <w:adjustRightInd w:val="0"/>
        <w:snapToGrid w:val="0"/>
        <w:spacing w:before="0" w:beforeAutospacing="0" w:after="0" w:afterAutospacing="0" w:line="360" w:lineRule="auto"/>
        <w:ind w:firstLine="482" w:firstLineChars="200"/>
        <w:jc w:val="both"/>
        <w:rPr>
          <w:b/>
          <w:color w:val="auto"/>
        </w:rPr>
      </w:pPr>
      <w:r>
        <w:rPr>
          <w:rFonts w:hint="eastAsia"/>
          <w:b/>
          <w:color w:val="auto"/>
          <w:kern w:val="2"/>
        </w:rPr>
        <w:t>十四、货物包装、发运及运输</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14.1 乙方应在货物发运前对其进行满足运输距离、防潮、和防破损装卸等要求包装，以保证货物安全运达甲方指定地点。</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14.2 使用说明书、质量检验证明书、随配附件和工具以及清单一并附于货物内。</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14.3 乙方在货物发运手续办理完毕后24小时内或货到甲方48小时前通知甲方，以准备接货。</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14.4 货物在交付甲方前发生的风险均由乙方负责。</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14.5货物在规定的交付期限内由乙方送达甲方指定的地点视为交付，乙方同时需通知甲方货物已送达。</w:t>
      </w:r>
    </w:p>
    <w:p>
      <w:pPr>
        <w:pStyle w:val="21"/>
        <w:adjustRightInd w:val="0"/>
        <w:snapToGrid w:val="0"/>
        <w:spacing w:before="0" w:beforeAutospacing="0" w:after="0" w:afterAutospacing="0" w:line="360" w:lineRule="auto"/>
        <w:ind w:firstLine="482" w:firstLineChars="200"/>
        <w:jc w:val="both"/>
        <w:rPr>
          <w:b/>
          <w:color w:val="auto"/>
        </w:rPr>
      </w:pPr>
      <w:r>
        <w:rPr>
          <w:rFonts w:hint="eastAsia"/>
          <w:b/>
          <w:color w:val="auto"/>
          <w:kern w:val="2"/>
        </w:rPr>
        <w:t>十五、违约责任</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15.1 甲方无正当理由拒收货物的，甲方向乙方偿付拒收货款总值的千分之五违约金。</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15.2 甲方无故逾期验收和办理货款支付手续的,甲方应按逾期付款总额每日万分之五向乙方支付违约金。</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1"/>
        <w:adjustRightInd w:val="0"/>
        <w:snapToGrid w:val="0"/>
        <w:spacing w:before="0" w:beforeAutospacing="0" w:after="0" w:afterAutospacing="0" w:line="360" w:lineRule="auto"/>
        <w:ind w:firstLine="482" w:firstLineChars="200"/>
        <w:jc w:val="both"/>
        <w:rPr>
          <w:b/>
          <w:color w:val="auto"/>
        </w:rPr>
      </w:pPr>
      <w:r>
        <w:rPr>
          <w:rFonts w:hint="eastAsia"/>
          <w:b/>
          <w:color w:val="auto"/>
          <w:kern w:val="2"/>
        </w:rPr>
        <w:t>十六、不可抗力事件处理</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16.1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16.2 不可抗力事件发生后，应立即通知对方，并寄送有关权威机构出具的证明。</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16.3 不可抗力事件延续120天以上，双方应通过友好协商，确定是否继续履行合同。</w:t>
      </w:r>
    </w:p>
    <w:p>
      <w:pPr>
        <w:pStyle w:val="21"/>
        <w:adjustRightInd w:val="0"/>
        <w:snapToGrid w:val="0"/>
        <w:spacing w:before="0" w:beforeAutospacing="0" w:after="0" w:afterAutospacing="0" w:line="360" w:lineRule="auto"/>
        <w:ind w:firstLine="482" w:firstLineChars="200"/>
        <w:jc w:val="both"/>
        <w:rPr>
          <w:b/>
          <w:color w:val="auto"/>
        </w:rPr>
      </w:pPr>
      <w:r>
        <w:rPr>
          <w:rFonts w:hint="eastAsia"/>
          <w:b/>
          <w:color w:val="auto"/>
          <w:kern w:val="2"/>
        </w:rPr>
        <w:t>十七、诉讼</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17.1 双方在执行合同中所发生的一切争议，应通过协商解决。如协商不成，可向合同签订地法院起诉，合同签订地在此约定为盐城市。</w:t>
      </w:r>
    </w:p>
    <w:p>
      <w:pPr>
        <w:pStyle w:val="21"/>
        <w:adjustRightInd w:val="0"/>
        <w:snapToGrid w:val="0"/>
        <w:spacing w:before="0" w:beforeAutospacing="0" w:after="0" w:afterAutospacing="0" w:line="360" w:lineRule="auto"/>
        <w:ind w:firstLine="482" w:firstLineChars="200"/>
        <w:jc w:val="both"/>
        <w:rPr>
          <w:b/>
          <w:color w:val="auto"/>
        </w:rPr>
      </w:pPr>
      <w:r>
        <w:rPr>
          <w:rFonts w:hint="eastAsia"/>
          <w:b/>
          <w:color w:val="auto"/>
          <w:kern w:val="2"/>
        </w:rPr>
        <w:t>十八、合同生效及其它</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18.1 合同经双方法定代表人或授权委托代表人签字并加盖单位公章后生效。</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18.2本合同未尽事宜，遵照《民法典》有关条文执行。</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18.3 本合同正本一式二份，副本一式六份，具有同等法律效力。</w:t>
      </w:r>
    </w:p>
    <w:p>
      <w:pPr>
        <w:pStyle w:val="21"/>
        <w:adjustRightInd w:val="0"/>
        <w:snapToGrid w:val="0"/>
        <w:spacing w:before="0" w:beforeAutospacing="0" w:after="0" w:afterAutospacing="0" w:line="360" w:lineRule="auto"/>
        <w:ind w:firstLine="480" w:firstLineChars="200"/>
        <w:jc w:val="both"/>
        <w:rPr>
          <w:color w:val="auto"/>
        </w:rPr>
      </w:pPr>
    </w:p>
    <w:p>
      <w:pPr>
        <w:pStyle w:val="21"/>
        <w:adjustRightInd w:val="0"/>
        <w:snapToGrid w:val="0"/>
        <w:spacing w:before="0" w:beforeAutospacing="0" w:after="0" w:afterAutospacing="0" w:line="360" w:lineRule="auto"/>
        <w:ind w:firstLine="480" w:firstLineChars="200"/>
        <w:jc w:val="both"/>
        <w:rPr>
          <w:color w:val="auto"/>
        </w:rPr>
      </w:pPr>
      <w:r>
        <w:rPr>
          <w:rFonts w:hint="eastAsia"/>
          <w:color w:val="auto"/>
          <w:kern w:val="2"/>
        </w:rPr>
        <w:t>甲方：乙方：</w:t>
      </w:r>
    </w:p>
    <w:p>
      <w:pPr>
        <w:pStyle w:val="21"/>
        <w:adjustRightInd w:val="0"/>
        <w:snapToGrid w:val="0"/>
        <w:spacing w:before="0" w:beforeAutospacing="0" w:after="0" w:afterAutospacing="0" w:line="360" w:lineRule="auto"/>
        <w:ind w:firstLine="480" w:firstLineChars="200"/>
        <w:jc w:val="both"/>
        <w:rPr>
          <w:color w:val="auto"/>
        </w:rPr>
      </w:pPr>
      <w:r>
        <w:rPr>
          <w:rFonts w:hint="eastAsia"/>
          <w:color w:val="auto"/>
          <w:kern w:val="2"/>
        </w:rPr>
        <w:t>地址：地址：</w:t>
      </w:r>
    </w:p>
    <w:p>
      <w:pPr>
        <w:pStyle w:val="21"/>
        <w:adjustRightInd w:val="0"/>
        <w:snapToGrid w:val="0"/>
        <w:spacing w:before="0" w:beforeAutospacing="0" w:after="0" w:afterAutospacing="0" w:line="360" w:lineRule="auto"/>
        <w:ind w:firstLine="480" w:firstLineChars="200"/>
        <w:jc w:val="both"/>
        <w:rPr>
          <w:color w:val="auto"/>
        </w:rPr>
      </w:pPr>
      <w:r>
        <w:rPr>
          <w:rFonts w:hint="eastAsia"/>
          <w:color w:val="auto"/>
          <w:kern w:val="2"/>
        </w:rPr>
        <w:t>法定代表人或授权代表：法定代表人或授权代表：</w:t>
      </w:r>
    </w:p>
    <w:p>
      <w:pPr>
        <w:pStyle w:val="21"/>
        <w:adjustRightInd w:val="0"/>
        <w:snapToGrid w:val="0"/>
        <w:spacing w:before="0" w:beforeAutospacing="0" w:after="0" w:afterAutospacing="0" w:line="360" w:lineRule="auto"/>
        <w:ind w:firstLine="480" w:firstLineChars="200"/>
        <w:jc w:val="both"/>
        <w:rPr>
          <w:color w:val="auto"/>
        </w:rPr>
      </w:pPr>
      <w:r>
        <w:rPr>
          <w:rFonts w:hint="eastAsia"/>
          <w:color w:val="auto"/>
          <w:kern w:val="2"/>
        </w:rPr>
        <w:t>联系电话：联系电话：</w:t>
      </w:r>
    </w:p>
    <w:p>
      <w:pPr>
        <w:pStyle w:val="21"/>
        <w:adjustRightInd w:val="0"/>
        <w:snapToGrid w:val="0"/>
        <w:spacing w:before="0" w:beforeAutospacing="0" w:after="0" w:afterAutospacing="0" w:line="360" w:lineRule="auto"/>
        <w:jc w:val="both"/>
        <w:rPr>
          <w:color w:val="auto"/>
        </w:rPr>
      </w:pPr>
    </w:p>
    <w:p>
      <w:pPr>
        <w:pStyle w:val="21"/>
        <w:adjustRightInd w:val="0"/>
        <w:snapToGrid w:val="0"/>
        <w:spacing w:before="0" w:beforeAutospacing="0" w:after="0" w:afterAutospacing="0" w:line="360" w:lineRule="auto"/>
        <w:jc w:val="right"/>
        <w:rPr>
          <w:color w:val="auto"/>
        </w:rPr>
      </w:pPr>
      <w:r>
        <w:rPr>
          <w:rFonts w:hint="eastAsia"/>
          <w:color w:val="auto"/>
          <w:kern w:val="2"/>
        </w:rPr>
        <w:t>签订日期：年月日</w:t>
      </w:r>
    </w:p>
    <w:p>
      <w:pPr>
        <w:pStyle w:val="32"/>
        <w:spacing w:line="360" w:lineRule="auto"/>
        <w:outlineLvl w:val="0"/>
        <w:rPr>
          <w:rStyle w:val="42"/>
          <w:rFonts w:ascii="宋体" w:hAnsi="宋体" w:eastAsia="宋体" w:cs="宋体"/>
          <w:b/>
          <w:color w:val="auto"/>
          <w:sz w:val="24"/>
          <w:szCs w:val="24"/>
        </w:rPr>
      </w:pPr>
      <w:r>
        <w:rPr>
          <w:rFonts w:hint="eastAsia" w:ascii="宋体" w:hAnsi="宋体" w:eastAsia="宋体" w:cs="宋体"/>
          <w:b/>
          <w:color w:val="auto"/>
          <w:sz w:val="44"/>
          <w:szCs w:val="44"/>
        </w:rPr>
        <w:br w:type="page"/>
      </w:r>
      <w:bookmarkStart w:id="3" w:name="_Toc17926"/>
      <w:r>
        <w:rPr>
          <w:rStyle w:val="42"/>
          <w:rFonts w:hint="eastAsia" w:ascii="宋体" w:hAnsi="宋体" w:eastAsia="宋体" w:cs="宋体"/>
          <w:b/>
          <w:color w:val="auto"/>
          <w:sz w:val="44"/>
        </w:rPr>
        <w:t>第四章 项目需求</w:t>
      </w:r>
      <w:bookmarkEnd w:id="3"/>
    </w:p>
    <w:p>
      <w:pPr>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一、项目概况：</w:t>
      </w:r>
    </w:p>
    <w:p>
      <w:pPr>
        <w:ind w:firstLine="480" w:firstLineChars="200"/>
        <w:textAlignment w:val="auto"/>
        <w:rPr>
          <w:rFonts w:ascii="宋体" w:hAnsi="宋体"/>
          <w:color w:val="auto"/>
          <w:sz w:val="24"/>
          <w:szCs w:val="24"/>
        </w:rPr>
      </w:pPr>
      <w:r>
        <w:rPr>
          <w:rFonts w:hint="eastAsia" w:ascii="宋体" w:hAnsi="宋体"/>
          <w:color w:val="auto"/>
          <w:sz w:val="24"/>
          <w:szCs w:val="24"/>
        </w:rPr>
        <w:t>1、项目名称：</w:t>
      </w:r>
      <w:r>
        <w:rPr>
          <w:rStyle w:val="42"/>
          <w:rFonts w:hint="eastAsia" w:ascii="宋体" w:hAnsi="宋体" w:cs="宋体"/>
          <w:color w:val="auto"/>
          <w:sz w:val="24"/>
          <w:szCs w:val="24"/>
        </w:rPr>
        <w:t>2022级新生生活用品代采购项目</w:t>
      </w:r>
      <w:r>
        <w:rPr>
          <w:rFonts w:hint="eastAsia" w:ascii="宋体" w:hAnsi="宋体"/>
          <w:color w:val="auto"/>
          <w:sz w:val="24"/>
          <w:szCs w:val="24"/>
        </w:rPr>
        <w:t>。</w:t>
      </w:r>
    </w:p>
    <w:p>
      <w:pPr>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2、工期要求：15日历天，同时确保于2022年9月10日前（具体时间另行通知）全部供货并经验收合格交付使用。</w:t>
      </w:r>
    </w:p>
    <w:p>
      <w:pPr>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3、质量标准：所有纺织品均应符合DB32/T525-2010《学生公寓用纺织品》以及GB18401-2010《国家纺织产品基本安全技术规范》的相关要求。</w:t>
      </w:r>
    </w:p>
    <w:p>
      <w:pPr>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4、质保期：质保期为1年，自最终验收合格、交付使用之日起计算。</w:t>
      </w:r>
    </w:p>
    <w:p>
      <w:pPr>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5、付款方式：货到按样品验收检验合格后付至合同价的95%；余款在使用一年后无质量及其他问题，凭发票结清全部款项。最终结算金额以实际发放数量为准，多余产品由乙方负责收回，甲方不承担由此产生的任何费用。</w:t>
      </w:r>
    </w:p>
    <w:p>
      <w:pPr>
        <w:ind w:firstLine="482" w:firstLineChars="200"/>
        <w:textAlignment w:val="auto"/>
        <w:rPr>
          <w:rFonts w:ascii="宋体" w:hAnsi="宋体"/>
          <w:b/>
          <w:color w:val="auto"/>
          <w:sz w:val="24"/>
          <w:szCs w:val="24"/>
        </w:rPr>
      </w:pPr>
      <w:r>
        <w:rPr>
          <w:rFonts w:hint="eastAsia" w:ascii="宋体" w:hAnsi="宋体" w:cs="宋体"/>
          <w:b/>
          <w:bCs/>
          <w:color w:val="auto"/>
          <w:sz w:val="24"/>
          <w:szCs w:val="24"/>
        </w:rPr>
        <w:t>二、</w:t>
      </w:r>
      <w:r>
        <w:rPr>
          <w:rFonts w:hint="eastAsia" w:ascii="宋体" w:hAnsi="宋体"/>
          <w:b/>
          <w:color w:val="auto"/>
          <w:sz w:val="24"/>
          <w:szCs w:val="24"/>
        </w:rPr>
        <w:t>报价、计价说明</w:t>
      </w:r>
    </w:p>
    <w:p>
      <w:pPr>
        <w:ind w:firstLine="480" w:firstLineChars="200"/>
        <w:textAlignment w:val="auto"/>
        <w:rPr>
          <w:color w:val="auto"/>
        </w:rPr>
      </w:pPr>
      <w:r>
        <w:rPr>
          <w:rFonts w:hint="eastAsia" w:ascii="宋体" w:hAnsi="宋体" w:cs="宋体"/>
          <w:color w:val="auto"/>
          <w:sz w:val="24"/>
          <w:szCs w:val="24"/>
        </w:rPr>
        <w:t>1、本项目采用全费用固定单价报价，合同实施过程中中标单价不作调整，</w:t>
      </w:r>
      <w:r>
        <w:rPr>
          <w:rFonts w:hint="eastAsia" w:ascii="宋体" w:hAnsi="宋体" w:cs="宋体"/>
          <w:color w:val="auto"/>
          <w:sz w:val="24"/>
        </w:rPr>
        <w:t>统一采用人民币作为计量单位。</w:t>
      </w:r>
    </w:p>
    <w:p>
      <w:pPr>
        <w:ind w:firstLine="480" w:firstLineChars="200"/>
        <w:textAlignment w:val="auto"/>
        <w:rPr>
          <w:rFonts w:ascii="宋体" w:hAnsi="宋体" w:cs="宋体"/>
          <w:color w:val="auto"/>
          <w:sz w:val="24"/>
          <w:szCs w:val="24"/>
        </w:rPr>
      </w:pPr>
      <w:r>
        <w:rPr>
          <w:rFonts w:hint="eastAsia" w:ascii="宋体" w:hAnsi="宋体" w:cs="宋体"/>
          <w:color w:val="auto"/>
          <w:sz w:val="24"/>
          <w:szCs w:val="24"/>
        </w:rPr>
        <w:t>投标人的投标报价是对本次采购及相关服务提出的各项支付金额的总和，包括（但不限于）为完成本项目招标文件所确定的供货、验收交付及伴随服务等招标范围内的全部内容，以及为完成上述内容所必须的质量保证与技术支持、采购、加工制造（包括所有制造生产成本、附件、配件等）、装卸、运输、供货、检测检验、技术服务、验收、交付、售前售后服务（卸货到指定场地、分装、派发给报到新生、多退少补、免费调换、税金等售前售后服务，同时，中标人须服从招标人对卸货、分装、派发的要求与协调）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三、项目具体技术要求</w:t>
      </w:r>
    </w:p>
    <w:p>
      <w:pPr>
        <w:ind w:firstLine="480" w:firstLineChars="200"/>
        <w:jc w:val="left"/>
        <w:textAlignment w:val="auto"/>
        <w:rPr>
          <w:rFonts w:ascii="宋体" w:hAnsi="宋体" w:cs="宋体"/>
          <w:color w:val="auto"/>
          <w:sz w:val="24"/>
        </w:rPr>
      </w:pPr>
      <w:bookmarkStart w:id="4" w:name="_Toc32259"/>
      <w:r>
        <w:rPr>
          <w:rFonts w:hint="eastAsia" w:ascii="宋体" w:hAnsi="宋体" w:cs="宋体"/>
          <w:color w:val="auto"/>
          <w:sz w:val="24"/>
        </w:rPr>
        <w:t>一标段：下列表格中所列货物为一套，每套的全费用综合单价不得超过50元，本次采购数量暂估约2450套，最终根据招标人具体需求执行，中标人不得以数量多少为由要求招标人增加任何费用。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679"/>
        <w:gridCol w:w="2087"/>
        <w:gridCol w:w="1063"/>
        <w:gridCol w:w="4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354" w:type="dxa"/>
            <w:noWrap/>
            <w:vAlign w:val="center"/>
          </w:tcPr>
          <w:p>
            <w:pPr>
              <w:spacing w:line="300" w:lineRule="exact"/>
              <w:jc w:val="center"/>
              <w:rPr>
                <w:rFonts w:ascii="宋体" w:hAnsi="宋体" w:cs="宋体"/>
                <w:b/>
                <w:color w:val="auto"/>
                <w:kern w:val="0"/>
                <w:sz w:val="24"/>
              </w:rPr>
            </w:pPr>
            <w:r>
              <w:rPr>
                <w:rFonts w:hint="eastAsia" w:ascii="宋体" w:hAnsi="宋体" w:cs="宋体"/>
                <w:b/>
                <w:color w:val="auto"/>
                <w:kern w:val="0"/>
                <w:sz w:val="24"/>
              </w:rPr>
              <w:t>名称</w:t>
            </w:r>
          </w:p>
        </w:tc>
        <w:tc>
          <w:tcPr>
            <w:tcW w:w="679" w:type="dxa"/>
            <w:noWrap/>
            <w:vAlign w:val="center"/>
          </w:tcPr>
          <w:p>
            <w:pPr>
              <w:spacing w:line="300" w:lineRule="exact"/>
              <w:jc w:val="center"/>
              <w:rPr>
                <w:rFonts w:ascii="宋体" w:hAnsi="宋体" w:cs="宋体"/>
                <w:b/>
                <w:color w:val="auto"/>
                <w:kern w:val="0"/>
                <w:sz w:val="24"/>
              </w:rPr>
            </w:pPr>
            <w:r>
              <w:rPr>
                <w:rFonts w:hint="eastAsia" w:ascii="宋体" w:hAnsi="宋体" w:cs="宋体"/>
                <w:b/>
                <w:color w:val="auto"/>
                <w:kern w:val="0"/>
                <w:sz w:val="24"/>
              </w:rPr>
              <w:t>单位</w:t>
            </w:r>
          </w:p>
        </w:tc>
        <w:tc>
          <w:tcPr>
            <w:tcW w:w="2087" w:type="dxa"/>
            <w:noWrap/>
            <w:vAlign w:val="center"/>
          </w:tcPr>
          <w:p>
            <w:pPr>
              <w:spacing w:line="300" w:lineRule="exact"/>
              <w:jc w:val="center"/>
              <w:rPr>
                <w:rFonts w:ascii="宋体" w:hAnsi="宋体" w:cs="宋体"/>
                <w:b/>
                <w:color w:val="auto"/>
                <w:kern w:val="0"/>
                <w:sz w:val="24"/>
              </w:rPr>
            </w:pPr>
            <w:r>
              <w:rPr>
                <w:rFonts w:hint="eastAsia" w:ascii="宋体" w:hAnsi="宋体" w:cs="宋体"/>
                <w:b/>
                <w:color w:val="auto"/>
                <w:kern w:val="0"/>
                <w:sz w:val="24"/>
              </w:rPr>
              <w:t>规格</w:t>
            </w:r>
          </w:p>
        </w:tc>
        <w:tc>
          <w:tcPr>
            <w:tcW w:w="1063" w:type="dxa"/>
            <w:noWrap/>
            <w:vAlign w:val="center"/>
          </w:tcPr>
          <w:p>
            <w:pPr>
              <w:spacing w:line="300" w:lineRule="exact"/>
              <w:jc w:val="center"/>
              <w:rPr>
                <w:rFonts w:ascii="宋体" w:hAnsi="宋体" w:cs="宋体"/>
                <w:b/>
                <w:color w:val="auto"/>
                <w:kern w:val="0"/>
                <w:sz w:val="24"/>
              </w:rPr>
            </w:pPr>
            <w:r>
              <w:rPr>
                <w:rFonts w:hint="eastAsia" w:ascii="宋体" w:hAnsi="宋体" w:cs="宋体"/>
                <w:b/>
                <w:color w:val="auto"/>
                <w:kern w:val="0"/>
                <w:sz w:val="24"/>
              </w:rPr>
              <w:t>数量</w:t>
            </w:r>
          </w:p>
        </w:tc>
        <w:tc>
          <w:tcPr>
            <w:tcW w:w="4067" w:type="dxa"/>
            <w:noWrap/>
            <w:vAlign w:val="center"/>
          </w:tcPr>
          <w:p>
            <w:pPr>
              <w:spacing w:line="300" w:lineRule="exact"/>
              <w:jc w:val="center"/>
              <w:rPr>
                <w:rFonts w:ascii="宋体" w:hAnsi="宋体" w:cs="宋体"/>
                <w:b/>
                <w:color w:val="auto"/>
                <w:kern w:val="0"/>
                <w:sz w:val="24"/>
              </w:rPr>
            </w:pPr>
            <w:r>
              <w:rPr>
                <w:rFonts w:hint="eastAsia" w:ascii="宋体" w:hAnsi="宋体" w:cs="宋体"/>
                <w:b/>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1354"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涤纶蚊帐</w:t>
            </w:r>
          </w:p>
        </w:tc>
        <w:tc>
          <w:tcPr>
            <w:tcW w:w="679"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顶</w:t>
            </w:r>
          </w:p>
        </w:tc>
        <w:tc>
          <w:tcPr>
            <w:tcW w:w="2087" w:type="dxa"/>
            <w:noWrap/>
            <w:vAlign w:val="center"/>
          </w:tcPr>
          <w:p>
            <w:pPr>
              <w:spacing w:line="300" w:lineRule="exact"/>
              <w:rPr>
                <w:rFonts w:ascii="宋体" w:hAnsi="宋体" w:cs="宋体"/>
                <w:color w:val="auto"/>
                <w:kern w:val="0"/>
                <w:sz w:val="24"/>
              </w:rPr>
            </w:pPr>
            <w:r>
              <w:rPr>
                <w:rFonts w:hint="eastAsia" w:ascii="宋体" w:hAnsi="宋体" w:cs="宋体"/>
                <w:color w:val="auto"/>
                <w:kern w:val="0"/>
                <w:sz w:val="24"/>
              </w:rPr>
              <w:t>2m×0.9m×1.7m</w:t>
            </w:r>
          </w:p>
        </w:tc>
        <w:tc>
          <w:tcPr>
            <w:tcW w:w="1063"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1</w:t>
            </w:r>
          </w:p>
        </w:tc>
        <w:tc>
          <w:tcPr>
            <w:tcW w:w="4067" w:type="dxa"/>
            <w:noWrap/>
            <w:vAlign w:val="center"/>
          </w:tcPr>
          <w:p>
            <w:pPr>
              <w:spacing w:line="300" w:lineRule="exact"/>
              <w:rPr>
                <w:rFonts w:ascii="宋体" w:hAnsi="宋体" w:cs="宋体"/>
                <w:color w:val="auto"/>
                <w:kern w:val="0"/>
                <w:sz w:val="24"/>
              </w:rPr>
            </w:pPr>
            <w:r>
              <w:rPr>
                <w:rFonts w:hint="eastAsia" w:ascii="宋体" w:hAnsi="宋体" w:cs="宋体"/>
                <w:color w:val="auto"/>
                <w:kern w:val="0"/>
                <w:sz w:val="24"/>
              </w:rPr>
              <w:t>帐口重叠45cm，四角打摺，天蓝色，重量8两（参照学校样品报价及送样）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exact"/>
          <w:jc w:val="center"/>
        </w:trPr>
        <w:tc>
          <w:tcPr>
            <w:tcW w:w="1354"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竹凉席</w:t>
            </w:r>
          </w:p>
        </w:tc>
        <w:tc>
          <w:tcPr>
            <w:tcW w:w="679"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条</w:t>
            </w:r>
          </w:p>
        </w:tc>
        <w:tc>
          <w:tcPr>
            <w:tcW w:w="2087" w:type="dxa"/>
            <w:noWrap/>
            <w:vAlign w:val="center"/>
          </w:tcPr>
          <w:p>
            <w:pPr>
              <w:spacing w:line="300" w:lineRule="exact"/>
              <w:rPr>
                <w:rFonts w:ascii="宋体" w:hAnsi="宋体" w:cs="宋体"/>
                <w:color w:val="auto"/>
                <w:kern w:val="0"/>
                <w:sz w:val="24"/>
              </w:rPr>
            </w:pPr>
            <w:r>
              <w:rPr>
                <w:rFonts w:hint="eastAsia" w:ascii="宋体" w:hAnsi="宋体" w:cs="宋体"/>
                <w:color w:val="auto"/>
                <w:kern w:val="0"/>
                <w:sz w:val="24"/>
              </w:rPr>
              <w:t>2m×0.9m</w:t>
            </w:r>
          </w:p>
        </w:tc>
        <w:tc>
          <w:tcPr>
            <w:tcW w:w="1063"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1</w:t>
            </w:r>
          </w:p>
        </w:tc>
        <w:tc>
          <w:tcPr>
            <w:tcW w:w="4067" w:type="dxa"/>
            <w:noWrap/>
            <w:vAlign w:val="center"/>
          </w:tcPr>
          <w:p>
            <w:pPr>
              <w:spacing w:line="300" w:lineRule="exact"/>
              <w:rPr>
                <w:rFonts w:ascii="宋体" w:hAnsi="宋体" w:cs="宋体"/>
                <w:color w:val="auto"/>
                <w:kern w:val="0"/>
                <w:sz w:val="24"/>
              </w:rPr>
            </w:pPr>
            <w:r>
              <w:rPr>
                <w:rFonts w:hint="eastAsia" w:ascii="宋体" w:hAnsi="宋体" w:cs="宋体"/>
                <w:color w:val="auto"/>
                <w:kern w:val="0"/>
                <w:sz w:val="24"/>
              </w:rPr>
              <w:t>优质竹青，重量≥3.2斤、四周包边，冬夏双面使用（参照学校样品报价及送样）</w:t>
            </w:r>
          </w:p>
        </w:tc>
      </w:tr>
    </w:tbl>
    <w:p>
      <w:pPr>
        <w:ind w:firstLine="480" w:firstLineChars="200"/>
        <w:jc w:val="left"/>
        <w:textAlignment w:val="auto"/>
        <w:rPr>
          <w:rFonts w:ascii="宋体" w:hAnsi="宋体" w:cs="宋体"/>
          <w:color w:val="auto"/>
          <w:sz w:val="24"/>
        </w:rPr>
      </w:pPr>
      <w:r>
        <w:rPr>
          <w:rFonts w:hint="eastAsia" w:ascii="宋体" w:hAnsi="宋体" w:cs="宋体"/>
          <w:color w:val="auto"/>
          <w:sz w:val="24"/>
        </w:rPr>
        <w:t>二标段：下列表格中所列货物为一套，每套的全费用综合单价不得超过50元，本次采购数量暂估约2450套，最终根据招标人具体需求执行，中标人不得以数量多少为由要求招标人增加任何费用。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679"/>
        <w:gridCol w:w="2087"/>
        <w:gridCol w:w="1063"/>
        <w:gridCol w:w="4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354" w:type="dxa"/>
            <w:noWrap/>
            <w:vAlign w:val="center"/>
          </w:tcPr>
          <w:p>
            <w:pPr>
              <w:spacing w:line="300" w:lineRule="exact"/>
              <w:jc w:val="center"/>
              <w:rPr>
                <w:rFonts w:asciiTheme="minorEastAsia" w:hAnsiTheme="minorEastAsia" w:eastAsiaTheme="minorEastAsia" w:cstheme="minorEastAsia"/>
                <w:b/>
                <w:color w:val="auto"/>
                <w:kern w:val="0"/>
                <w:sz w:val="24"/>
              </w:rPr>
            </w:pPr>
            <w:r>
              <w:rPr>
                <w:rFonts w:hint="eastAsia" w:asciiTheme="minorEastAsia" w:hAnsiTheme="minorEastAsia" w:eastAsiaTheme="minorEastAsia" w:cstheme="minorEastAsia"/>
                <w:b/>
                <w:color w:val="auto"/>
                <w:kern w:val="0"/>
                <w:sz w:val="24"/>
              </w:rPr>
              <w:t>名称</w:t>
            </w:r>
          </w:p>
        </w:tc>
        <w:tc>
          <w:tcPr>
            <w:tcW w:w="679" w:type="dxa"/>
            <w:noWrap/>
            <w:vAlign w:val="center"/>
          </w:tcPr>
          <w:p>
            <w:pPr>
              <w:spacing w:line="300" w:lineRule="exact"/>
              <w:jc w:val="center"/>
              <w:rPr>
                <w:rFonts w:asciiTheme="minorEastAsia" w:hAnsiTheme="minorEastAsia" w:eastAsiaTheme="minorEastAsia" w:cstheme="minorEastAsia"/>
                <w:b/>
                <w:color w:val="auto"/>
                <w:kern w:val="0"/>
                <w:sz w:val="24"/>
              </w:rPr>
            </w:pPr>
            <w:r>
              <w:rPr>
                <w:rFonts w:hint="eastAsia" w:asciiTheme="minorEastAsia" w:hAnsiTheme="minorEastAsia" w:eastAsiaTheme="minorEastAsia" w:cstheme="minorEastAsia"/>
                <w:b/>
                <w:color w:val="auto"/>
                <w:kern w:val="0"/>
                <w:sz w:val="24"/>
              </w:rPr>
              <w:t>单位</w:t>
            </w:r>
          </w:p>
        </w:tc>
        <w:tc>
          <w:tcPr>
            <w:tcW w:w="2087" w:type="dxa"/>
            <w:noWrap/>
            <w:vAlign w:val="center"/>
          </w:tcPr>
          <w:p>
            <w:pPr>
              <w:spacing w:line="300" w:lineRule="exact"/>
              <w:jc w:val="center"/>
              <w:rPr>
                <w:rFonts w:asciiTheme="minorEastAsia" w:hAnsiTheme="minorEastAsia" w:eastAsiaTheme="minorEastAsia" w:cstheme="minorEastAsia"/>
                <w:b/>
                <w:color w:val="auto"/>
                <w:kern w:val="0"/>
                <w:sz w:val="24"/>
              </w:rPr>
            </w:pPr>
            <w:r>
              <w:rPr>
                <w:rFonts w:hint="eastAsia" w:asciiTheme="minorEastAsia" w:hAnsiTheme="minorEastAsia" w:eastAsiaTheme="minorEastAsia" w:cstheme="minorEastAsia"/>
                <w:b/>
                <w:color w:val="auto"/>
                <w:kern w:val="0"/>
                <w:sz w:val="24"/>
              </w:rPr>
              <w:t>规格</w:t>
            </w:r>
          </w:p>
        </w:tc>
        <w:tc>
          <w:tcPr>
            <w:tcW w:w="1063" w:type="dxa"/>
            <w:noWrap/>
            <w:vAlign w:val="center"/>
          </w:tcPr>
          <w:p>
            <w:pPr>
              <w:spacing w:line="300" w:lineRule="exact"/>
              <w:jc w:val="center"/>
              <w:rPr>
                <w:rFonts w:asciiTheme="minorEastAsia" w:hAnsiTheme="minorEastAsia" w:eastAsiaTheme="minorEastAsia" w:cstheme="minorEastAsia"/>
                <w:b/>
                <w:color w:val="auto"/>
                <w:kern w:val="0"/>
                <w:sz w:val="24"/>
              </w:rPr>
            </w:pPr>
            <w:r>
              <w:rPr>
                <w:rFonts w:hint="eastAsia" w:asciiTheme="minorEastAsia" w:hAnsiTheme="minorEastAsia" w:eastAsiaTheme="minorEastAsia" w:cstheme="minorEastAsia"/>
                <w:b/>
                <w:color w:val="auto"/>
                <w:kern w:val="0"/>
                <w:sz w:val="24"/>
              </w:rPr>
              <w:t>数量</w:t>
            </w:r>
          </w:p>
        </w:tc>
        <w:tc>
          <w:tcPr>
            <w:tcW w:w="4067" w:type="dxa"/>
            <w:noWrap/>
            <w:vAlign w:val="center"/>
          </w:tcPr>
          <w:p>
            <w:pPr>
              <w:spacing w:line="300" w:lineRule="exact"/>
              <w:jc w:val="center"/>
              <w:rPr>
                <w:rFonts w:asciiTheme="minorEastAsia" w:hAnsiTheme="minorEastAsia" w:eastAsiaTheme="minorEastAsia" w:cstheme="minorEastAsia"/>
                <w:b/>
                <w:color w:val="auto"/>
                <w:kern w:val="0"/>
                <w:sz w:val="24"/>
              </w:rPr>
            </w:pPr>
            <w:r>
              <w:rPr>
                <w:rFonts w:hint="eastAsia" w:asciiTheme="minorEastAsia" w:hAnsiTheme="minorEastAsia" w:eastAsiaTheme="minorEastAsia" w:cstheme="minorEastAsia"/>
                <w:b/>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1354" w:type="dxa"/>
            <w:noWrap/>
            <w:vAlign w:val="center"/>
          </w:tcPr>
          <w:p>
            <w:pPr>
              <w:spacing w:line="300" w:lineRule="exact"/>
              <w:jc w:val="center"/>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塑料盆</w:t>
            </w:r>
          </w:p>
        </w:tc>
        <w:tc>
          <w:tcPr>
            <w:tcW w:w="679" w:type="dxa"/>
            <w:noWrap/>
            <w:vAlign w:val="center"/>
          </w:tcPr>
          <w:p>
            <w:pPr>
              <w:spacing w:line="300" w:lineRule="exact"/>
              <w:jc w:val="center"/>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只</w:t>
            </w:r>
          </w:p>
        </w:tc>
        <w:tc>
          <w:tcPr>
            <w:tcW w:w="2087" w:type="dxa"/>
            <w:noWrap/>
            <w:vAlign w:val="center"/>
          </w:tcPr>
          <w:p>
            <w:pPr>
              <w:spacing w:line="300" w:lineRule="exact"/>
              <w:jc w:val="center"/>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内径0.33m</w:t>
            </w:r>
          </w:p>
        </w:tc>
        <w:tc>
          <w:tcPr>
            <w:tcW w:w="1063" w:type="dxa"/>
            <w:noWrap/>
            <w:vAlign w:val="center"/>
          </w:tcPr>
          <w:p>
            <w:pPr>
              <w:spacing w:line="300" w:lineRule="exact"/>
              <w:jc w:val="center"/>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w:t>
            </w:r>
          </w:p>
        </w:tc>
        <w:tc>
          <w:tcPr>
            <w:tcW w:w="4067" w:type="dxa"/>
            <w:noWrap/>
            <w:vAlign w:val="center"/>
          </w:tcPr>
          <w:p>
            <w:pPr>
              <w:spacing w:line="300" w:lineRule="exact"/>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硬质新塑料、环保一等品（参照学校样品报价及送样）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1354" w:type="dxa"/>
            <w:noWrap/>
            <w:vAlign w:val="center"/>
          </w:tcPr>
          <w:p>
            <w:pPr>
              <w:spacing w:line="300" w:lineRule="exact"/>
              <w:jc w:val="center"/>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塑料盆</w:t>
            </w:r>
          </w:p>
        </w:tc>
        <w:tc>
          <w:tcPr>
            <w:tcW w:w="679" w:type="dxa"/>
            <w:noWrap/>
            <w:vAlign w:val="center"/>
          </w:tcPr>
          <w:p>
            <w:pPr>
              <w:spacing w:line="300" w:lineRule="exact"/>
              <w:jc w:val="center"/>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只</w:t>
            </w:r>
          </w:p>
        </w:tc>
        <w:tc>
          <w:tcPr>
            <w:tcW w:w="2087" w:type="dxa"/>
            <w:noWrap/>
            <w:vAlign w:val="center"/>
          </w:tcPr>
          <w:p>
            <w:pPr>
              <w:spacing w:line="300" w:lineRule="exact"/>
              <w:jc w:val="center"/>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内径0.35m</w:t>
            </w:r>
          </w:p>
        </w:tc>
        <w:tc>
          <w:tcPr>
            <w:tcW w:w="1063" w:type="dxa"/>
            <w:noWrap/>
            <w:vAlign w:val="center"/>
          </w:tcPr>
          <w:p>
            <w:pPr>
              <w:spacing w:line="300" w:lineRule="exact"/>
              <w:jc w:val="center"/>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w:t>
            </w:r>
          </w:p>
        </w:tc>
        <w:tc>
          <w:tcPr>
            <w:tcW w:w="4067" w:type="dxa"/>
            <w:noWrap/>
            <w:vAlign w:val="center"/>
          </w:tcPr>
          <w:p>
            <w:pPr>
              <w:spacing w:line="300" w:lineRule="exact"/>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硬质新塑料、环保一等品（参照学校样品报价及送样）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1354" w:type="dxa"/>
            <w:noWrap/>
            <w:vAlign w:val="center"/>
          </w:tcPr>
          <w:p>
            <w:pPr>
              <w:spacing w:line="300" w:lineRule="exact"/>
              <w:jc w:val="center"/>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钢壳茶瓶</w:t>
            </w:r>
          </w:p>
        </w:tc>
        <w:tc>
          <w:tcPr>
            <w:tcW w:w="679" w:type="dxa"/>
            <w:noWrap/>
            <w:vAlign w:val="center"/>
          </w:tcPr>
          <w:p>
            <w:pPr>
              <w:spacing w:line="300" w:lineRule="exact"/>
              <w:jc w:val="center"/>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只</w:t>
            </w:r>
          </w:p>
        </w:tc>
        <w:tc>
          <w:tcPr>
            <w:tcW w:w="2087" w:type="dxa"/>
            <w:noWrap/>
            <w:vAlign w:val="center"/>
          </w:tcPr>
          <w:p>
            <w:pPr>
              <w:spacing w:line="300" w:lineRule="exact"/>
              <w:jc w:val="center"/>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8磅</w:t>
            </w:r>
          </w:p>
        </w:tc>
        <w:tc>
          <w:tcPr>
            <w:tcW w:w="1063" w:type="dxa"/>
            <w:noWrap/>
            <w:vAlign w:val="center"/>
          </w:tcPr>
          <w:p>
            <w:pPr>
              <w:spacing w:line="300" w:lineRule="exact"/>
              <w:jc w:val="center"/>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1</w:t>
            </w:r>
          </w:p>
        </w:tc>
        <w:tc>
          <w:tcPr>
            <w:tcW w:w="4067" w:type="dxa"/>
            <w:noWrap/>
            <w:vAlign w:val="center"/>
          </w:tcPr>
          <w:p>
            <w:pPr>
              <w:spacing w:line="300" w:lineRule="exact"/>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一级瓶胆、钢壳连底、上提把手（参照学校样品报价及送样）</w:t>
            </w:r>
          </w:p>
        </w:tc>
      </w:tr>
    </w:tbl>
    <w:p>
      <w:pPr>
        <w:ind w:firstLine="480" w:firstLineChars="200"/>
        <w:jc w:val="left"/>
        <w:textAlignment w:val="auto"/>
        <w:rPr>
          <w:rFonts w:ascii="宋体" w:hAnsi="宋体" w:cs="宋体"/>
          <w:color w:val="auto"/>
          <w:sz w:val="24"/>
        </w:rPr>
      </w:pPr>
      <w:r>
        <w:rPr>
          <w:rFonts w:hint="eastAsia" w:ascii="宋体" w:hAnsi="宋体" w:cs="宋体"/>
          <w:color w:val="auto"/>
          <w:sz w:val="24"/>
        </w:rPr>
        <w:t>三标段：下列表格中所列货物为一套，每套的全费用综合单价不得超过450元，本次采购数量暂估约2450套，最终根据招标人具体需求执行，中标人不得以数量多少为由要求招标人增加任何费用。</w:t>
      </w:r>
    </w:p>
    <w:tbl>
      <w:tblPr>
        <w:tblStyle w:val="24"/>
        <w:tblW w:w="0" w:type="auto"/>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679"/>
        <w:gridCol w:w="2087"/>
        <w:gridCol w:w="1063"/>
        <w:gridCol w:w="4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4" w:type="dxa"/>
            <w:noWrap/>
            <w:vAlign w:val="center"/>
          </w:tcPr>
          <w:p>
            <w:pPr>
              <w:spacing w:line="300" w:lineRule="exact"/>
              <w:jc w:val="center"/>
              <w:rPr>
                <w:rFonts w:ascii="宋体" w:hAnsi="宋体" w:cs="宋体"/>
                <w:b/>
                <w:color w:val="auto"/>
                <w:kern w:val="0"/>
                <w:sz w:val="24"/>
              </w:rPr>
            </w:pPr>
            <w:r>
              <w:rPr>
                <w:rFonts w:hint="eastAsia" w:ascii="宋体" w:hAnsi="宋体" w:cs="宋体"/>
                <w:b/>
                <w:color w:val="auto"/>
                <w:kern w:val="0"/>
                <w:sz w:val="24"/>
              </w:rPr>
              <w:t>名称</w:t>
            </w:r>
          </w:p>
        </w:tc>
        <w:tc>
          <w:tcPr>
            <w:tcW w:w="679" w:type="dxa"/>
            <w:noWrap/>
            <w:vAlign w:val="center"/>
          </w:tcPr>
          <w:p>
            <w:pPr>
              <w:spacing w:line="300" w:lineRule="exact"/>
              <w:jc w:val="center"/>
              <w:rPr>
                <w:rFonts w:ascii="宋体" w:hAnsi="宋体" w:cs="宋体"/>
                <w:b/>
                <w:color w:val="auto"/>
                <w:kern w:val="0"/>
                <w:sz w:val="24"/>
              </w:rPr>
            </w:pPr>
            <w:r>
              <w:rPr>
                <w:rFonts w:hint="eastAsia" w:ascii="宋体" w:hAnsi="宋体" w:cs="宋体"/>
                <w:b/>
                <w:color w:val="auto"/>
                <w:kern w:val="0"/>
                <w:sz w:val="24"/>
              </w:rPr>
              <w:t>单位</w:t>
            </w:r>
          </w:p>
        </w:tc>
        <w:tc>
          <w:tcPr>
            <w:tcW w:w="2087" w:type="dxa"/>
            <w:noWrap/>
            <w:vAlign w:val="center"/>
          </w:tcPr>
          <w:p>
            <w:pPr>
              <w:spacing w:line="300" w:lineRule="exact"/>
              <w:jc w:val="center"/>
              <w:rPr>
                <w:rFonts w:ascii="宋体" w:hAnsi="宋体" w:cs="宋体"/>
                <w:b/>
                <w:color w:val="auto"/>
                <w:kern w:val="0"/>
                <w:sz w:val="24"/>
              </w:rPr>
            </w:pPr>
            <w:r>
              <w:rPr>
                <w:rFonts w:hint="eastAsia" w:ascii="宋体" w:hAnsi="宋体" w:cs="宋体"/>
                <w:b/>
                <w:color w:val="auto"/>
                <w:kern w:val="0"/>
                <w:sz w:val="24"/>
              </w:rPr>
              <w:t>规格</w:t>
            </w:r>
          </w:p>
        </w:tc>
        <w:tc>
          <w:tcPr>
            <w:tcW w:w="1063" w:type="dxa"/>
            <w:noWrap/>
            <w:vAlign w:val="center"/>
          </w:tcPr>
          <w:p>
            <w:pPr>
              <w:spacing w:line="300" w:lineRule="exact"/>
              <w:jc w:val="center"/>
              <w:rPr>
                <w:rFonts w:ascii="宋体" w:hAnsi="宋体" w:cs="宋体"/>
                <w:b/>
                <w:color w:val="auto"/>
                <w:kern w:val="0"/>
                <w:sz w:val="24"/>
              </w:rPr>
            </w:pPr>
            <w:r>
              <w:rPr>
                <w:rFonts w:hint="eastAsia" w:ascii="宋体" w:hAnsi="宋体" w:cs="宋体"/>
                <w:b/>
                <w:color w:val="auto"/>
                <w:kern w:val="0"/>
                <w:sz w:val="24"/>
              </w:rPr>
              <w:t>数量</w:t>
            </w:r>
          </w:p>
        </w:tc>
        <w:tc>
          <w:tcPr>
            <w:tcW w:w="4067" w:type="dxa"/>
            <w:noWrap/>
            <w:vAlign w:val="center"/>
          </w:tcPr>
          <w:p>
            <w:pPr>
              <w:spacing w:line="300" w:lineRule="exact"/>
              <w:jc w:val="center"/>
              <w:rPr>
                <w:rFonts w:ascii="宋体" w:hAnsi="宋体" w:cs="宋体"/>
                <w:b/>
                <w:color w:val="auto"/>
                <w:kern w:val="0"/>
                <w:sz w:val="24"/>
              </w:rPr>
            </w:pPr>
            <w:r>
              <w:rPr>
                <w:rFonts w:hint="eastAsia" w:ascii="宋体" w:hAnsi="宋体" w:cs="宋体"/>
                <w:b/>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354" w:type="dxa"/>
            <w:noWrap/>
            <w:vAlign w:val="center"/>
          </w:tcPr>
          <w:p>
            <w:pPr>
              <w:spacing w:line="300" w:lineRule="exact"/>
              <w:jc w:val="center"/>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全棉床单</w:t>
            </w:r>
          </w:p>
        </w:tc>
        <w:tc>
          <w:tcPr>
            <w:tcW w:w="679" w:type="dxa"/>
            <w:noWrap/>
            <w:vAlign w:val="center"/>
          </w:tcPr>
          <w:p>
            <w:pPr>
              <w:spacing w:line="300" w:lineRule="exact"/>
              <w:jc w:val="center"/>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条</w:t>
            </w:r>
          </w:p>
        </w:tc>
        <w:tc>
          <w:tcPr>
            <w:tcW w:w="2087" w:type="dxa"/>
            <w:noWrap/>
            <w:vAlign w:val="center"/>
          </w:tcPr>
          <w:p>
            <w:pPr>
              <w:spacing w:line="300" w:lineRule="exact"/>
              <w:rPr>
                <w:rFonts w:ascii="宋体" w:hAnsi="宋体" w:cs="宋体"/>
                <w:color w:val="auto"/>
                <w:kern w:val="0"/>
                <w:sz w:val="24"/>
              </w:rPr>
            </w:pPr>
            <w:r>
              <w:rPr>
                <w:rFonts w:hint="eastAsia" w:ascii="宋体" w:hAnsi="宋体" w:cs="宋体"/>
                <w:color w:val="auto"/>
                <w:kern w:val="0"/>
                <w:sz w:val="24"/>
              </w:rPr>
              <w:t>尺寸2m×1.2m（缩水后长度）、斜纹、纱支21支，密度108×58</w:t>
            </w:r>
          </w:p>
        </w:tc>
        <w:tc>
          <w:tcPr>
            <w:tcW w:w="1063"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2</w:t>
            </w:r>
          </w:p>
        </w:tc>
        <w:tc>
          <w:tcPr>
            <w:tcW w:w="4067" w:type="dxa"/>
            <w:noWrap/>
            <w:vAlign w:val="center"/>
          </w:tcPr>
          <w:p>
            <w:pPr>
              <w:spacing w:line="300" w:lineRule="exact"/>
              <w:rPr>
                <w:rFonts w:ascii="宋体" w:hAnsi="宋体" w:cs="宋体"/>
                <w:color w:val="auto"/>
                <w:kern w:val="0"/>
                <w:sz w:val="24"/>
              </w:rPr>
            </w:pPr>
            <w:r>
              <w:rPr>
                <w:rFonts w:hint="eastAsia" w:ascii="宋体" w:hAnsi="宋体" w:cs="宋体"/>
                <w:color w:val="auto"/>
                <w:kern w:val="0"/>
                <w:sz w:val="24"/>
              </w:rPr>
              <w:t>一等品 印“YCIIT”6位号码，印于商标处，纱支21支，密度108×58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54" w:type="dxa"/>
            <w:noWrap/>
            <w:vAlign w:val="center"/>
          </w:tcPr>
          <w:p>
            <w:pPr>
              <w:spacing w:line="300" w:lineRule="exact"/>
              <w:jc w:val="center"/>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全棉被套</w:t>
            </w:r>
          </w:p>
        </w:tc>
        <w:tc>
          <w:tcPr>
            <w:tcW w:w="679" w:type="dxa"/>
            <w:noWrap/>
            <w:vAlign w:val="center"/>
          </w:tcPr>
          <w:p>
            <w:pPr>
              <w:spacing w:line="300" w:lineRule="exact"/>
              <w:jc w:val="center"/>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条</w:t>
            </w:r>
          </w:p>
        </w:tc>
        <w:tc>
          <w:tcPr>
            <w:tcW w:w="2087" w:type="dxa"/>
            <w:noWrap/>
            <w:vAlign w:val="center"/>
          </w:tcPr>
          <w:p>
            <w:pPr>
              <w:spacing w:line="300" w:lineRule="exact"/>
              <w:rPr>
                <w:rFonts w:ascii="宋体" w:hAnsi="宋体" w:cs="宋体"/>
                <w:color w:val="auto"/>
                <w:kern w:val="0"/>
                <w:sz w:val="24"/>
              </w:rPr>
            </w:pPr>
            <w:r>
              <w:rPr>
                <w:rFonts w:hint="eastAsia" w:ascii="宋体" w:hAnsi="宋体" w:cs="宋体"/>
                <w:color w:val="auto"/>
                <w:kern w:val="0"/>
                <w:sz w:val="24"/>
              </w:rPr>
              <w:t>尺寸2.1m×1.55m（缩水后长度），纱支30×30，密度68×68</w:t>
            </w:r>
          </w:p>
        </w:tc>
        <w:tc>
          <w:tcPr>
            <w:tcW w:w="1063"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2</w:t>
            </w:r>
          </w:p>
        </w:tc>
        <w:tc>
          <w:tcPr>
            <w:tcW w:w="4067" w:type="dxa"/>
            <w:noWrap/>
            <w:vAlign w:val="center"/>
          </w:tcPr>
          <w:p>
            <w:pPr>
              <w:spacing w:line="300" w:lineRule="exact"/>
              <w:rPr>
                <w:rFonts w:ascii="宋体" w:hAnsi="宋体" w:cs="宋体"/>
                <w:color w:val="auto"/>
                <w:kern w:val="0"/>
                <w:sz w:val="24"/>
              </w:rPr>
            </w:pPr>
            <w:r>
              <w:rPr>
                <w:rFonts w:hint="eastAsia" w:ascii="宋体" w:hAnsi="宋体" w:cs="宋体"/>
                <w:color w:val="auto"/>
                <w:kern w:val="0"/>
                <w:sz w:val="24"/>
              </w:rPr>
              <w:t>一等品 印“YCIIT”6位号码，印于商标处，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4"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中空棉枕芯</w:t>
            </w:r>
          </w:p>
        </w:tc>
        <w:tc>
          <w:tcPr>
            <w:tcW w:w="679"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只</w:t>
            </w:r>
          </w:p>
        </w:tc>
        <w:tc>
          <w:tcPr>
            <w:tcW w:w="2087" w:type="dxa"/>
            <w:noWrap/>
            <w:vAlign w:val="center"/>
          </w:tcPr>
          <w:p>
            <w:pPr>
              <w:spacing w:line="300" w:lineRule="exact"/>
              <w:rPr>
                <w:rFonts w:ascii="宋体" w:hAnsi="宋体" w:cs="宋体"/>
                <w:color w:val="auto"/>
                <w:kern w:val="0"/>
                <w:sz w:val="24"/>
              </w:rPr>
            </w:pPr>
            <w:r>
              <w:rPr>
                <w:rFonts w:hint="eastAsia" w:ascii="宋体" w:hAnsi="宋体" w:cs="宋体"/>
                <w:color w:val="auto"/>
                <w:kern w:val="0"/>
                <w:sz w:val="24"/>
              </w:rPr>
              <w:t>0.66m×0.38m</w:t>
            </w:r>
          </w:p>
        </w:tc>
        <w:tc>
          <w:tcPr>
            <w:tcW w:w="1063"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1</w:t>
            </w:r>
          </w:p>
        </w:tc>
        <w:tc>
          <w:tcPr>
            <w:tcW w:w="4067" w:type="dxa"/>
            <w:noWrap/>
            <w:vAlign w:val="center"/>
          </w:tcPr>
          <w:p>
            <w:pPr>
              <w:spacing w:line="300" w:lineRule="exact"/>
              <w:rPr>
                <w:rFonts w:ascii="宋体" w:hAnsi="宋体" w:cs="宋体"/>
                <w:color w:val="auto"/>
                <w:kern w:val="0"/>
                <w:sz w:val="24"/>
              </w:rPr>
            </w:pPr>
            <w:r>
              <w:rPr>
                <w:rFonts w:hint="eastAsia" w:ascii="宋体" w:hAnsi="宋体" w:cs="宋体"/>
                <w:color w:val="auto"/>
                <w:kern w:val="0"/>
                <w:sz w:val="24"/>
              </w:rPr>
              <w:t>100%中空涤纶（600g），全棉外包布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1354"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全棉枕套</w:t>
            </w:r>
          </w:p>
        </w:tc>
        <w:tc>
          <w:tcPr>
            <w:tcW w:w="679"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条</w:t>
            </w:r>
          </w:p>
        </w:tc>
        <w:tc>
          <w:tcPr>
            <w:tcW w:w="2087" w:type="dxa"/>
            <w:noWrap/>
            <w:vAlign w:val="center"/>
          </w:tcPr>
          <w:p>
            <w:pPr>
              <w:spacing w:line="300" w:lineRule="exact"/>
              <w:rPr>
                <w:rFonts w:ascii="宋体" w:hAnsi="宋体" w:cs="宋体"/>
                <w:color w:val="auto"/>
                <w:kern w:val="0"/>
                <w:sz w:val="24"/>
              </w:rPr>
            </w:pPr>
            <w:r>
              <w:rPr>
                <w:rFonts w:hint="eastAsia" w:ascii="宋体" w:hAnsi="宋体" w:cs="宋体"/>
                <w:color w:val="auto"/>
                <w:kern w:val="0"/>
                <w:sz w:val="24"/>
              </w:rPr>
              <w:t>0.7m×0.4m</w:t>
            </w:r>
          </w:p>
        </w:tc>
        <w:tc>
          <w:tcPr>
            <w:tcW w:w="1063"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1</w:t>
            </w:r>
          </w:p>
        </w:tc>
        <w:tc>
          <w:tcPr>
            <w:tcW w:w="4067" w:type="dxa"/>
            <w:noWrap/>
            <w:vAlign w:val="center"/>
          </w:tcPr>
          <w:p>
            <w:pPr>
              <w:spacing w:line="300" w:lineRule="exact"/>
              <w:rPr>
                <w:rFonts w:ascii="宋体" w:hAnsi="宋体" w:cs="宋体"/>
                <w:color w:val="auto"/>
                <w:kern w:val="0"/>
                <w:sz w:val="24"/>
              </w:rPr>
            </w:pPr>
            <w:r>
              <w:rPr>
                <w:rFonts w:hint="eastAsia" w:ascii="宋体" w:hAnsi="宋体" w:cs="宋体"/>
                <w:color w:val="auto"/>
                <w:kern w:val="0"/>
                <w:sz w:val="24"/>
              </w:rPr>
              <w:t>质量同被套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1354"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盖胎</w:t>
            </w:r>
          </w:p>
        </w:tc>
        <w:tc>
          <w:tcPr>
            <w:tcW w:w="679"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条</w:t>
            </w:r>
          </w:p>
        </w:tc>
        <w:tc>
          <w:tcPr>
            <w:tcW w:w="2087" w:type="dxa"/>
            <w:noWrap/>
            <w:vAlign w:val="center"/>
          </w:tcPr>
          <w:p>
            <w:pPr>
              <w:spacing w:line="300" w:lineRule="exact"/>
              <w:rPr>
                <w:rFonts w:ascii="宋体" w:hAnsi="宋体" w:cs="宋体"/>
                <w:color w:val="auto"/>
                <w:kern w:val="0"/>
                <w:sz w:val="24"/>
              </w:rPr>
            </w:pPr>
            <w:r>
              <w:rPr>
                <w:rFonts w:hint="eastAsia" w:ascii="宋体" w:hAnsi="宋体" w:cs="宋体"/>
                <w:color w:val="auto"/>
                <w:kern w:val="0"/>
                <w:sz w:val="24"/>
              </w:rPr>
              <w:t>2m×1.5m 2.5KG</w:t>
            </w:r>
          </w:p>
        </w:tc>
        <w:tc>
          <w:tcPr>
            <w:tcW w:w="1063"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1</w:t>
            </w:r>
          </w:p>
        </w:tc>
        <w:tc>
          <w:tcPr>
            <w:tcW w:w="4067" w:type="dxa"/>
            <w:vMerge w:val="restart"/>
            <w:noWrap/>
            <w:vAlign w:val="center"/>
          </w:tcPr>
          <w:p>
            <w:pPr>
              <w:spacing w:line="300" w:lineRule="exact"/>
              <w:rPr>
                <w:rFonts w:ascii="宋体" w:hAnsi="宋体" w:cs="宋体"/>
                <w:color w:val="auto"/>
                <w:kern w:val="0"/>
                <w:sz w:val="24"/>
              </w:rPr>
            </w:pPr>
            <w:r>
              <w:rPr>
                <w:rFonts w:hint="eastAsia" w:ascii="宋体" w:hAnsi="宋体" w:cs="宋体"/>
                <w:color w:val="auto"/>
                <w:kern w:val="0"/>
                <w:sz w:val="24"/>
              </w:rPr>
              <w:t>均应符合DB32/T2128-2016《学生公寓用棉胎》标准规定的一等品要求。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1354"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盖胎</w:t>
            </w:r>
          </w:p>
        </w:tc>
        <w:tc>
          <w:tcPr>
            <w:tcW w:w="679"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条</w:t>
            </w:r>
          </w:p>
        </w:tc>
        <w:tc>
          <w:tcPr>
            <w:tcW w:w="2087" w:type="dxa"/>
            <w:noWrap/>
            <w:vAlign w:val="center"/>
          </w:tcPr>
          <w:p>
            <w:pPr>
              <w:spacing w:line="300" w:lineRule="exact"/>
              <w:rPr>
                <w:rFonts w:ascii="宋体" w:hAnsi="宋体" w:cs="宋体"/>
                <w:color w:val="auto"/>
                <w:kern w:val="0"/>
                <w:sz w:val="24"/>
              </w:rPr>
            </w:pPr>
            <w:r>
              <w:rPr>
                <w:rFonts w:hint="eastAsia" w:ascii="宋体" w:hAnsi="宋体" w:cs="宋体"/>
                <w:color w:val="auto"/>
                <w:kern w:val="0"/>
                <w:sz w:val="24"/>
              </w:rPr>
              <w:t>2m×1.5m  1.5KG</w:t>
            </w:r>
          </w:p>
        </w:tc>
        <w:tc>
          <w:tcPr>
            <w:tcW w:w="1063"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1</w:t>
            </w:r>
          </w:p>
        </w:tc>
        <w:tc>
          <w:tcPr>
            <w:tcW w:w="4067" w:type="dxa"/>
            <w:vMerge w:val="continue"/>
            <w:noWrap/>
            <w:vAlign w:val="center"/>
          </w:tcPr>
          <w:p>
            <w:pPr>
              <w:spacing w:line="300" w:lineRule="exact"/>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1354"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垫胎</w:t>
            </w:r>
          </w:p>
        </w:tc>
        <w:tc>
          <w:tcPr>
            <w:tcW w:w="679"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条</w:t>
            </w:r>
          </w:p>
        </w:tc>
        <w:tc>
          <w:tcPr>
            <w:tcW w:w="2087" w:type="dxa"/>
            <w:noWrap/>
            <w:vAlign w:val="center"/>
          </w:tcPr>
          <w:p>
            <w:pPr>
              <w:spacing w:line="300" w:lineRule="exact"/>
              <w:rPr>
                <w:rFonts w:ascii="宋体" w:hAnsi="宋体" w:cs="宋体"/>
                <w:color w:val="auto"/>
                <w:kern w:val="0"/>
                <w:sz w:val="24"/>
              </w:rPr>
            </w:pPr>
            <w:r>
              <w:rPr>
                <w:rFonts w:hint="eastAsia" w:ascii="宋体" w:hAnsi="宋体" w:cs="宋体"/>
                <w:color w:val="auto"/>
                <w:kern w:val="0"/>
                <w:sz w:val="24"/>
              </w:rPr>
              <w:t>2m×0.9m  2KG</w:t>
            </w:r>
          </w:p>
        </w:tc>
        <w:tc>
          <w:tcPr>
            <w:tcW w:w="1063"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1</w:t>
            </w:r>
          </w:p>
        </w:tc>
        <w:tc>
          <w:tcPr>
            <w:tcW w:w="4067" w:type="dxa"/>
            <w:vMerge w:val="continue"/>
            <w:noWrap/>
            <w:vAlign w:val="center"/>
          </w:tcPr>
          <w:p>
            <w:pPr>
              <w:spacing w:line="300" w:lineRule="exact"/>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1354"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牛津布包</w:t>
            </w:r>
          </w:p>
        </w:tc>
        <w:tc>
          <w:tcPr>
            <w:tcW w:w="679"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只</w:t>
            </w:r>
          </w:p>
        </w:tc>
        <w:tc>
          <w:tcPr>
            <w:tcW w:w="2087" w:type="dxa"/>
            <w:noWrap/>
            <w:vAlign w:val="center"/>
          </w:tcPr>
          <w:p>
            <w:pPr>
              <w:spacing w:line="300" w:lineRule="exact"/>
              <w:rPr>
                <w:rFonts w:ascii="宋体" w:hAnsi="宋体" w:cs="宋体"/>
                <w:color w:val="auto"/>
                <w:kern w:val="0"/>
                <w:sz w:val="24"/>
              </w:rPr>
            </w:pPr>
            <w:r>
              <w:rPr>
                <w:rFonts w:hint="eastAsia" w:ascii="宋体" w:hAnsi="宋体" w:cs="宋体"/>
                <w:color w:val="auto"/>
                <w:kern w:val="0"/>
                <w:sz w:val="24"/>
              </w:rPr>
              <w:t>尺寸80cm×48cm×40cm</w:t>
            </w:r>
          </w:p>
        </w:tc>
        <w:tc>
          <w:tcPr>
            <w:tcW w:w="1063" w:type="dxa"/>
            <w:noWrap/>
            <w:vAlign w:val="center"/>
          </w:tcPr>
          <w:p>
            <w:pPr>
              <w:spacing w:line="300" w:lineRule="exact"/>
              <w:jc w:val="center"/>
              <w:rPr>
                <w:rFonts w:ascii="宋体" w:hAnsi="宋体" w:cs="宋体"/>
                <w:color w:val="auto"/>
                <w:kern w:val="0"/>
                <w:sz w:val="24"/>
              </w:rPr>
            </w:pPr>
            <w:r>
              <w:rPr>
                <w:rFonts w:hint="eastAsia" w:ascii="宋体" w:hAnsi="宋体" w:cs="宋体"/>
                <w:color w:val="auto"/>
                <w:kern w:val="0"/>
                <w:sz w:val="24"/>
              </w:rPr>
              <w:t>1</w:t>
            </w:r>
          </w:p>
        </w:tc>
        <w:tc>
          <w:tcPr>
            <w:tcW w:w="4067" w:type="dxa"/>
            <w:noWrap/>
            <w:vAlign w:val="center"/>
          </w:tcPr>
          <w:p>
            <w:pPr>
              <w:spacing w:line="300" w:lineRule="exact"/>
              <w:rPr>
                <w:rFonts w:ascii="宋体" w:hAnsi="宋体" w:cs="宋体"/>
                <w:color w:val="auto"/>
                <w:kern w:val="0"/>
                <w:sz w:val="24"/>
              </w:rPr>
            </w:pPr>
            <w:r>
              <w:rPr>
                <w:rFonts w:hint="eastAsia" w:ascii="宋体" w:hAnsi="宋体" w:cs="宋体"/>
                <w:color w:val="auto"/>
                <w:kern w:val="0"/>
                <w:sz w:val="24"/>
              </w:rPr>
              <w:t>印“盐城工业职业技术学院”汉字（参照学校样品报价及送样）</w:t>
            </w:r>
          </w:p>
        </w:tc>
      </w:tr>
    </w:tbl>
    <w:p>
      <w:pPr>
        <w:pStyle w:val="85"/>
        <w:spacing w:before="290" w:after="290"/>
        <w:jc w:val="center"/>
        <w:outlineLvl w:val="0"/>
        <w:rPr>
          <w:rStyle w:val="42"/>
          <w:rFonts w:cs="宋体"/>
          <w:b/>
          <w:color w:val="auto"/>
          <w:sz w:val="44"/>
        </w:rPr>
      </w:pPr>
    </w:p>
    <w:p>
      <w:pPr>
        <w:pStyle w:val="85"/>
        <w:spacing w:before="290" w:after="290"/>
        <w:jc w:val="center"/>
        <w:outlineLvl w:val="0"/>
        <w:rPr>
          <w:rStyle w:val="42"/>
          <w:rFonts w:cs="宋体"/>
          <w:b/>
          <w:color w:val="auto"/>
          <w:sz w:val="44"/>
        </w:rPr>
      </w:pPr>
    </w:p>
    <w:p>
      <w:pPr>
        <w:pStyle w:val="85"/>
        <w:spacing w:before="290" w:after="290"/>
        <w:jc w:val="center"/>
        <w:outlineLvl w:val="0"/>
        <w:rPr>
          <w:rStyle w:val="42"/>
          <w:rFonts w:cs="宋体"/>
          <w:b/>
          <w:color w:val="auto"/>
          <w:sz w:val="44"/>
        </w:rPr>
      </w:pPr>
    </w:p>
    <w:p>
      <w:pPr>
        <w:pStyle w:val="85"/>
        <w:spacing w:before="290" w:after="290"/>
        <w:jc w:val="center"/>
        <w:outlineLvl w:val="0"/>
        <w:rPr>
          <w:rStyle w:val="42"/>
          <w:rFonts w:cs="宋体"/>
          <w:b/>
          <w:color w:val="auto"/>
          <w:sz w:val="44"/>
        </w:rPr>
      </w:pPr>
    </w:p>
    <w:p>
      <w:pPr>
        <w:pStyle w:val="85"/>
        <w:spacing w:before="290" w:after="290"/>
        <w:jc w:val="center"/>
        <w:outlineLvl w:val="0"/>
        <w:rPr>
          <w:rStyle w:val="42"/>
          <w:rFonts w:cs="宋体"/>
          <w:b/>
          <w:color w:val="auto"/>
          <w:sz w:val="44"/>
        </w:rPr>
      </w:pPr>
    </w:p>
    <w:p>
      <w:pPr>
        <w:pStyle w:val="85"/>
        <w:spacing w:before="290" w:after="290"/>
        <w:jc w:val="center"/>
        <w:outlineLvl w:val="0"/>
        <w:rPr>
          <w:rStyle w:val="42"/>
          <w:rFonts w:cs="宋体"/>
          <w:b/>
          <w:color w:val="auto"/>
          <w:sz w:val="44"/>
        </w:rPr>
      </w:pPr>
    </w:p>
    <w:p>
      <w:pPr>
        <w:pStyle w:val="85"/>
        <w:spacing w:before="290" w:after="290"/>
        <w:jc w:val="center"/>
        <w:outlineLvl w:val="0"/>
        <w:rPr>
          <w:rStyle w:val="42"/>
          <w:rFonts w:cs="宋体"/>
          <w:b/>
          <w:color w:val="auto"/>
          <w:sz w:val="44"/>
        </w:rPr>
      </w:pPr>
    </w:p>
    <w:p>
      <w:pPr>
        <w:pStyle w:val="85"/>
        <w:spacing w:before="290" w:after="290"/>
        <w:jc w:val="center"/>
        <w:outlineLvl w:val="0"/>
        <w:rPr>
          <w:rStyle w:val="42"/>
          <w:rFonts w:cs="宋体"/>
          <w:b/>
          <w:color w:val="auto"/>
          <w:sz w:val="44"/>
        </w:rPr>
      </w:pPr>
    </w:p>
    <w:p>
      <w:pPr>
        <w:pStyle w:val="85"/>
        <w:spacing w:before="290" w:after="290"/>
        <w:jc w:val="center"/>
        <w:outlineLvl w:val="0"/>
        <w:rPr>
          <w:rStyle w:val="42"/>
          <w:rFonts w:cs="宋体"/>
          <w:b/>
          <w:color w:val="auto"/>
          <w:sz w:val="44"/>
        </w:rPr>
      </w:pPr>
    </w:p>
    <w:p>
      <w:pPr>
        <w:pStyle w:val="85"/>
        <w:spacing w:before="290" w:after="290"/>
        <w:jc w:val="center"/>
        <w:outlineLvl w:val="0"/>
        <w:rPr>
          <w:rStyle w:val="42"/>
          <w:rFonts w:cs="宋体"/>
          <w:color w:val="auto"/>
        </w:rPr>
      </w:pPr>
      <w:r>
        <w:rPr>
          <w:rStyle w:val="42"/>
          <w:rFonts w:hint="eastAsia" w:cs="宋体"/>
          <w:b/>
          <w:color w:val="auto"/>
          <w:sz w:val="44"/>
        </w:rPr>
        <w:t>第五章  评标方法与评标标准</w:t>
      </w:r>
      <w:bookmarkEnd w:id="4"/>
    </w:p>
    <w:p>
      <w:pPr>
        <w:snapToGrid w:val="0"/>
        <w:spacing w:line="500" w:lineRule="exact"/>
        <w:ind w:firstLine="482" w:firstLineChars="200"/>
        <w:rPr>
          <w:rStyle w:val="42"/>
          <w:rFonts w:ascii="宋体" w:hAnsi="宋体" w:cs="宋体"/>
          <w:b/>
          <w:bCs/>
          <w:color w:val="auto"/>
          <w:sz w:val="24"/>
          <w:szCs w:val="24"/>
        </w:rPr>
      </w:pPr>
      <w:r>
        <w:rPr>
          <w:rStyle w:val="42"/>
          <w:rFonts w:hint="eastAsia" w:ascii="宋体" w:hAnsi="宋体" w:cs="宋体"/>
          <w:b/>
          <w:bCs/>
          <w:color w:val="auto"/>
          <w:sz w:val="24"/>
          <w:szCs w:val="24"/>
        </w:rPr>
        <w:t>一、评标方法与定标原则</w:t>
      </w:r>
    </w:p>
    <w:p>
      <w:pPr>
        <w:snapToGrid w:val="0"/>
        <w:spacing w:line="500" w:lineRule="exact"/>
        <w:ind w:firstLine="480" w:firstLineChars="200"/>
        <w:rPr>
          <w:rStyle w:val="42"/>
          <w:rFonts w:ascii="宋体" w:hAnsi="宋体" w:cs="宋体"/>
          <w:bCs/>
          <w:color w:val="auto"/>
          <w:sz w:val="24"/>
          <w:szCs w:val="24"/>
        </w:rPr>
      </w:pPr>
      <w:r>
        <w:rPr>
          <w:rFonts w:hint="eastAsia" w:ascii="宋体" w:hAnsi="宋体" w:cs="宋体"/>
          <w:bCs/>
          <w:color w:val="auto"/>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pStyle w:val="21"/>
        <w:adjustRightInd w:val="0"/>
        <w:snapToGrid w:val="0"/>
        <w:spacing w:before="0" w:beforeAutospacing="0" w:after="0" w:afterAutospacing="0" w:line="360" w:lineRule="auto"/>
        <w:ind w:firstLine="482" w:firstLineChars="200"/>
        <w:rPr>
          <w:b/>
          <w:bCs/>
          <w:color w:val="auto"/>
        </w:rPr>
      </w:pPr>
      <w:r>
        <w:rPr>
          <w:rFonts w:hint="eastAsia"/>
          <w:b/>
          <w:bCs/>
          <w:color w:val="auto"/>
        </w:rPr>
        <w:t>政府采购政策功能落实</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1、小微型企业价格扣除</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（2）供应商需按照采购文件的要求提供相应的《企业声明函》。</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（3）企业标准请参照《关于印发中小企业划型标准规定的通知》（工信部联企业[2011]300号）文件规定自行填写。</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2、残疾人福利单位价格扣除</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3、监狱和戒毒企业价格扣除</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4、残疾人福利单位、监狱企业属于小型、微型企业的，不重复享受政策。</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5、★符合本采购文件优先采购 “环境标志产品”或“节能产品”的；必须提供“环境标志产品”或“节能产品”证明，否则不予认可。</w:t>
      </w:r>
    </w:p>
    <w:p>
      <w:pPr>
        <w:snapToGrid w:val="0"/>
        <w:spacing w:line="360" w:lineRule="auto"/>
        <w:ind w:firstLine="480" w:firstLineChars="200"/>
        <w:rPr>
          <w:rStyle w:val="42"/>
          <w:rFonts w:ascii="宋体" w:hAnsi="宋体" w:cs="宋体"/>
          <w:b/>
          <w:color w:val="auto"/>
          <w:sz w:val="24"/>
          <w:szCs w:val="24"/>
        </w:rPr>
      </w:pPr>
      <w:r>
        <w:rPr>
          <w:rFonts w:hint="eastAsia" w:ascii="宋体" w:hAnsi="宋体" w:cs="宋体"/>
          <w:bCs/>
          <w:color w:val="auto"/>
          <w:sz w:val="24"/>
          <w:szCs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500" w:lineRule="exact"/>
        <w:ind w:firstLine="482" w:firstLineChars="200"/>
        <w:rPr>
          <w:rStyle w:val="42"/>
          <w:rFonts w:ascii="宋体" w:hAnsi="宋体" w:cs="宋体"/>
          <w:color w:val="auto"/>
        </w:rPr>
      </w:pPr>
      <w:r>
        <w:rPr>
          <w:rStyle w:val="42"/>
          <w:rFonts w:hint="eastAsia" w:ascii="宋体" w:hAnsi="宋体" w:cs="宋体"/>
          <w:b/>
          <w:color w:val="auto"/>
          <w:sz w:val="24"/>
          <w:szCs w:val="24"/>
        </w:rPr>
        <w:t>二、评标标准</w:t>
      </w:r>
    </w:p>
    <w:p>
      <w:pPr>
        <w:snapToGrid w:val="0"/>
        <w:spacing w:line="440" w:lineRule="exact"/>
        <w:ind w:firstLine="480" w:firstLineChars="200"/>
        <w:rPr>
          <w:rFonts w:ascii="宋体" w:hAnsi="宋体" w:cs="宋体"/>
          <w:snapToGrid w:val="0"/>
          <w:color w:val="auto"/>
          <w:kern w:val="0"/>
          <w:sz w:val="24"/>
          <w:szCs w:val="24"/>
        </w:rPr>
      </w:pPr>
      <w:r>
        <w:rPr>
          <w:rFonts w:hint="eastAsia" w:ascii="宋体" w:hAnsi="宋体" w:cs="宋体"/>
          <w:snapToGrid w:val="0"/>
          <w:color w:val="auto"/>
          <w:kern w:val="0"/>
          <w:sz w:val="24"/>
          <w:szCs w:val="24"/>
        </w:rPr>
        <w:t>本项目评分总分值为100分。</w:t>
      </w:r>
    </w:p>
    <w:p>
      <w:pPr>
        <w:pStyle w:val="22"/>
        <w:ind w:firstLine="240"/>
        <w:rPr>
          <w:rFonts w:ascii="宋体" w:hAnsi="宋体" w:cs="宋体"/>
          <w:snapToGrid w:val="0"/>
          <w:color w:val="auto"/>
          <w:kern w:val="0"/>
          <w:sz w:val="24"/>
          <w:szCs w:val="24"/>
        </w:rPr>
      </w:pPr>
      <w:r>
        <w:rPr>
          <w:rFonts w:hint="eastAsia" w:ascii="宋体" w:hAnsi="宋体" w:cs="宋体"/>
          <w:snapToGrid w:val="0"/>
          <w:color w:val="auto"/>
          <w:kern w:val="0"/>
          <w:sz w:val="24"/>
          <w:szCs w:val="24"/>
        </w:rPr>
        <w:t>一标段：</w:t>
      </w:r>
    </w:p>
    <w:tbl>
      <w:tblPr>
        <w:tblStyle w:val="24"/>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815"/>
        <w:gridCol w:w="6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84" w:type="dxa"/>
            <w:vAlign w:val="center"/>
          </w:tcPr>
          <w:p>
            <w:pPr>
              <w:snapToGrid w:val="0"/>
              <w:spacing w:line="360" w:lineRule="auto"/>
              <w:jc w:val="center"/>
              <w:rPr>
                <w:rFonts w:ascii="宋体" w:hAnsi="宋体" w:cs="宋体"/>
                <w:b/>
                <w:color w:val="auto"/>
                <w:sz w:val="24"/>
                <w:szCs w:val="24"/>
              </w:rPr>
            </w:pPr>
            <w:r>
              <w:rPr>
                <w:rFonts w:hint="eastAsia" w:ascii="宋体" w:hAnsi="宋体" w:cs="宋体"/>
                <w:b/>
                <w:color w:val="auto"/>
                <w:sz w:val="24"/>
                <w:szCs w:val="24"/>
              </w:rPr>
              <w:t>分项</w:t>
            </w:r>
          </w:p>
        </w:tc>
        <w:tc>
          <w:tcPr>
            <w:tcW w:w="815" w:type="dxa"/>
            <w:vAlign w:val="center"/>
          </w:tcPr>
          <w:p>
            <w:pPr>
              <w:snapToGrid w:val="0"/>
              <w:spacing w:line="360" w:lineRule="auto"/>
              <w:jc w:val="center"/>
              <w:rPr>
                <w:rFonts w:ascii="宋体" w:hAnsi="宋体" w:cs="宋体"/>
                <w:b/>
                <w:color w:val="auto"/>
                <w:sz w:val="24"/>
                <w:szCs w:val="24"/>
              </w:rPr>
            </w:pPr>
            <w:r>
              <w:rPr>
                <w:rFonts w:hint="eastAsia" w:ascii="宋体" w:hAnsi="宋体" w:cs="宋体"/>
                <w:b/>
                <w:color w:val="auto"/>
                <w:sz w:val="24"/>
                <w:szCs w:val="24"/>
              </w:rPr>
              <w:t>分值</w:t>
            </w:r>
          </w:p>
        </w:tc>
        <w:tc>
          <w:tcPr>
            <w:tcW w:w="6595" w:type="dxa"/>
            <w:vAlign w:val="center"/>
          </w:tcPr>
          <w:p>
            <w:pPr>
              <w:snapToGrid w:val="0"/>
              <w:spacing w:line="360" w:lineRule="auto"/>
              <w:jc w:val="center"/>
              <w:rPr>
                <w:rFonts w:ascii="宋体" w:hAnsi="宋体" w:cs="宋体"/>
                <w:b/>
                <w:color w:val="auto"/>
                <w:sz w:val="24"/>
                <w:szCs w:val="24"/>
              </w:rPr>
            </w:pPr>
            <w:r>
              <w:rPr>
                <w:rFonts w:hint="eastAsia" w:ascii="宋体" w:hAnsi="宋体" w:cs="宋体"/>
                <w:b/>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2184" w:type="dxa"/>
            <w:vAlign w:val="center"/>
          </w:tcPr>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投标报价</w:t>
            </w:r>
          </w:p>
        </w:tc>
        <w:tc>
          <w:tcPr>
            <w:tcW w:w="815" w:type="dxa"/>
            <w:vAlign w:val="center"/>
          </w:tcPr>
          <w:p>
            <w:pPr>
              <w:snapToGrid w:val="0"/>
              <w:spacing w:line="360" w:lineRule="auto"/>
              <w:rPr>
                <w:rFonts w:ascii="宋体" w:hAnsi="宋体" w:cs="宋体"/>
                <w:bCs/>
                <w:color w:val="auto"/>
                <w:sz w:val="24"/>
                <w:szCs w:val="24"/>
              </w:rPr>
            </w:pPr>
            <w:r>
              <w:rPr>
                <w:rFonts w:hint="eastAsia" w:ascii="宋体" w:hAnsi="宋体" w:cs="宋体"/>
                <w:bCs/>
                <w:color w:val="auto"/>
                <w:sz w:val="24"/>
                <w:szCs w:val="24"/>
              </w:rPr>
              <w:t>70分</w:t>
            </w:r>
          </w:p>
        </w:tc>
        <w:tc>
          <w:tcPr>
            <w:tcW w:w="6595" w:type="dxa"/>
            <w:vAlign w:val="center"/>
          </w:tcPr>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价格分统一采用低价优先法计算，即满足招标文件要求且投标价格最低的投标报价为评标基准价，其价格分为满分。其他投标人的价格分统一按照下列公式计算：</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投标报价得分=(评标基准价／投标报价)×70，小数点后保留2位。（满分70分）。</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注：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rPr>
                <w:color w:val="auto"/>
              </w:rPr>
              <w:fldChar w:fldCharType="begin"/>
            </w:r>
            <w:r>
              <w:rPr>
                <w:color w:val="auto"/>
              </w:rPr>
              <w:instrText xml:space="preserve"> HYPERLINK "https://link.zhihu.com/?target=http://baike.baidu.com/view/89764.htm" \t "https://www.zhihu.com/question/_blank" </w:instrText>
            </w:r>
            <w:r>
              <w:rPr>
                <w:color w:val="auto"/>
              </w:rPr>
              <w:fldChar w:fldCharType="separate"/>
            </w:r>
            <w:r>
              <w:rPr>
                <w:rFonts w:hint="eastAsia" w:ascii="宋体" w:hAnsi="宋体" w:cs="宋体"/>
                <w:bCs/>
                <w:color w:val="auto"/>
                <w:sz w:val="24"/>
                <w:szCs w:val="24"/>
              </w:rPr>
              <w:t>竞争</w:t>
            </w:r>
            <w:r>
              <w:rPr>
                <w:rFonts w:hint="eastAsia" w:ascii="宋体" w:hAnsi="宋体" w:cs="宋体"/>
                <w:bCs/>
                <w:color w:val="auto"/>
                <w:sz w:val="24"/>
                <w:szCs w:val="24"/>
              </w:rPr>
              <w:fldChar w:fldCharType="end"/>
            </w:r>
            <w:r>
              <w:rPr>
                <w:rFonts w:hint="eastAsia" w:ascii="宋体" w:hAnsi="宋体" w:cs="宋体"/>
                <w:bCs/>
                <w:color w:val="auto"/>
                <w:sz w:val="24"/>
                <w:szCs w:val="24"/>
              </w:rPr>
              <w:t>，其投标应作</w:t>
            </w:r>
            <w:r>
              <w:rPr>
                <w:color w:val="auto"/>
              </w:rPr>
              <w:fldChar w:fldCharType="begin"/>
            </w:r>
            <w:r>
              <w:rPr>
                <w:color w:val="auto"/>
              </w:rPr>
              <w:instrText xml:space="preserve"> HYPERLINK "https://link.zhihu.com/?target=http://baike.baidu.com/view/1281780.htm" \t "https://www.zhihu.com/question/_blank" </w:instrText>
            </w:r>
            <w:r>
              <w:rPr>
                <w:color w:val="auto"/>
              </w:rPr>
              <w:fldChar w:fldCharType="separate"/>
            </w:r>
            <w:r>
              <w:rPr>
                <w:rFonts w:hint="eastAsia" w:ascii="宋体" w:hAnsi="宋体" w:cs="宋体"/>
                <w:bCs/>
                <w:color w:val="auto"/>
                <w:sz w:val="24"/>
                <w:szCs w:val="24"/>
              </w:rPr>
              <w:t>废标</w:t>
            </w:r>
            <w:r>
              <w:rPr>
                <w:rFonts w:hint="eastAsia" w:ascii="宋体" w:hAnsi="宋体" w:cs="宋体"/>
                <w:bCs/>
                <w:color w:val="auto"/>
                <w:sz w:val="24"/>
                <w:szCs w:val="24"/>
              </w:rPr>
              <w:fldChar w:fldCharType="end"/>
            </w:r>
            <w:r>
              <w:rPr>
                <w:rFonts w:hint="eastAsia" w:ascii="宋体" w:hAnsi="宋体" w:cs="宋体"/>
                <w:bCs/>
                <w:color w:val="auto"/>
                <w:sz w:val="24"/>
                <w:szCs w:val="24"/>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84" w:type="dxa"/>
            <w:vAlign w:val="center"/>
          </w:tcPr>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承诺及优惠</w:t>
            </w:r>
          </w:p>
        </w:tc>
        <w:tc>
          <w:tcPr>
            <w:tcW w:w="815" w:type="dxa"/>
            <w:vAlign w:val="center"/>
          </w:tcPr>
          <w:p>
            <w:pPr>
              <w:snapToGrid w:val="0"/>
              <w:spacing w:line="360" w:lineRule="auto"/>
              <w:rPr>
                <w:rFonts w:ascii="宋体" w:hAnsi="宋体" w:cs="宋体"/>
                <w:bCs/>
                <w:color w:val="auto"/>
                <w:sz w:val="24"/>
                <w:szCs w:val="24"/>
              </w:rPr>
            </w:pPr>
            <w:r>
              <w:rPr>
                <w:rFonts w:hint="eastAsia" w:ascii="宋体" w:hAnsi="宋体" w:cs="宋体"/>
                <w:bCs/>
                <w:color w:val="auto"/>
                <w:sz w:val="24"/>
                <w:szCs w:val="24"/>
              </w:rPr>
              <w:t>10分</w:t>
            </w:r>
          </w:p>
        </w:tc>
        <w:tc>
          <w:tcPr>
            <w:tcW w:w="6595" w:type="dxa"/>
            <w:vAlign w:val="center"/>
          </w:tcPr>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1.提供优质的服务及保质保量送货及时，配合学校安排专人分发，得5分；</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2.承诺对贫困生赞助的说明：20人以上，30人以下得1分；30人以上，40人以下得3分；40人以上得5分。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Align w:val="center"/>
          </w:tcPr>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产品质量</w:t>
            </w:r>
          </w:p>
        </w:tc>
        <w:tc>
          <w:tcPr>
            <w:tcW w:w="815" w:type="dxa"/>
            <w:vAlign w:val="center"/>
          </w:tcPr>
          <w:p>
            <w:pPr>
              <w:snapToGrid w:val="0"/>
              <w:spacing w:line="360" w:lineRule="auto"/>
              <w:rPr>
                <w:rFonts w:ascii="宋体" w:hAnsi="宋体" w:cs="宋体"/>
                <w:bCs/>
                <w:color w:val="auto"/>
                <w:sz w:val="24"/>
                <w:szCs w:val="24"/>
              </w:rPr>
            </w:pPr>
            <w:r>
              <w:rPr>
                <w:rFonts w:hint="eastAsia" w:ascii="宋体" w:hAnsi="宋体" w:cs="宋体"/>
                <w:bCs/>
                <w:color w:val="auto"/>
                <w:sz w:val="24"/>
                <w:szCs w:val="24"/>
              </w:rPr>
              <w:t>20分</w:t>
            </w:r>
          </w:p>
        </w:tc>
        <w:tc>
          <w:tcPr>
            <w:tcW w:w="6595" w:type="dxa"/>
            <w:vAlign w:val="center"/>
          </w:tcPr>
          <w:p>
            <w:pPr>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产品质量评审以各投标人提供的样品进行评审。</w:t>
            </w:r>
          </w:p>
          <w:p>
            <w:pPr>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样品名称及数量：符合招标文件项目需求要求的生活用品1套（主要含涤纶蚊帐1顶、</w:t>
            </w:r>
            <w:r>
              <w:rPr>
                <w:rFonts w:hint="eastAsia" w:ascii="宋体" w:hAnsi="宋体" w:cs="宋体"/>
                <w:bCs/>
                <w:color w:val="auto"/>
                <w:sz w:val="24"/>
                <w:szCs w:val="24"/>
              </w:rPr>
              <w:t>竹凉席</w:t>
            </w:r>
            <w:r>
              <w:rPr>
                <w:rFonts w:ascii="宋体" w:hAnsi="宋体" w:cs="宋体"/>
                <w:bCs/>
                <w:color w:val="auto"/>
                <w:sz w:val="24"/>
                <w:szCs w:val="24"/>
              </w:rPr>
              <w:t>1条）。所有样品由各投标人自行密封包装在一个封袋内，封袋上标明投标人名称、项目名称，样品随投标文件一并提交。</w:t>
            </w:r>
          </w:p>
          <w:p>
            <w:pPr>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评标委员会对投标人提交的样品从外观、色差、材质、用料、针线、做工、气味、配件、环保等质量方面进行综合评价，优：1</w:t>
            </w:r>
            <w:r>
              <w:rPr>
                <w:rFonts w:hint="eastAsia" w:ascii="宋体" w:hAnsi="宋体" w:cs="宋体"/>
                <w:bCs/>
                <w:color w:val="auto"/>
                <w:sz w:val="24"/>
                <w:szCs w:val="24"/>
              </w:rPr>
              <w:t>8（含）</w:t>
            </w:r>
            <w:r>
              <w:rPr>
                <w:rFonts w:ascii="宋体" w:hAnsi="宋体" w:cs="宋体"/>
                <w:bCs/>
                <w:color w:val="auto"/>
                <w:sz w:val="24"/>
                <w:szCs w:val="24"/>
              </w:rPr>
              <w:t>-20分；良：1</w:t>
            </w:r>
            <w:r>
              <w:rPr>
                <w:rFonts w:hint="eastAsia" w:ascii="宋体" w:hAnsi="宋体" w:cs="宋体"/>
                <w:bCs/>
                <w:color w:val="auto"/>
                <w:sz w:val="24"/>
                <w:szCs w:val="24"/>
              </w:rPr>
              <w:t>6（含）</w:t>
            </w:r>
            <w:r>
              <w:rPr>
                <w:rFonts w:ascii="宋体" w:hAnsi="宋体" w:cs="宋体"/>
                <w:bCs/>
                <w:color w:val="auto"/>
                <w:sz w:val="24"/>
                <w:szCs w:val="24"/>
              </w:rPr>
              <w:t>-1</w:t>
            </w:r>
            <w:r>
              <w:rPr>
                <w:rFonts w:hint="eastAsia" w:ascii="宋体" w:hAnsi="宋体" w:cs="宋体"/>
                <w:bCs/>
                <w:color w:val="auto"/>
                <w:sz w:val="24"/>
                <w:szCs w:val="24"/>
              </w:rPr>
              <w:t>8</w:t>
            </w:r>
            <w:r>
              <w:rPr>
                <w:rFonts w:ascii="宋体" w:hAnsi="宋体" w:cs="宋体"/>
                <w:bCs/>
                <w:color w:val="auto"/>
                <w:sz w:val="24"/>
                <w:szCs w:val="24"/>
              </w:rPr>
              <w:t>分；一般：</w:t>
            </w:r>
            <w:r>
              <w:rPr>
                <w:rFonts w:hint="eastAsia" w:ascii="宋体" w:hAnsi="宋体" w:cs="宋体"/>
                <w:bCs/>
                <w:color w:val="auto"/>
                <w:sz w:val="24"/>
                <w:szCs w:val="24"/>
              </w:rPr>
              <w:t>14（含）</w:t>
            </w:r>
            <w:r>
              <w:rPr>
                <w:rFonts w:ascii="宋体" w:hAnsi="宋体" w:cs="宋体"/>
                <w:bCs/>
                <w:color w:val="auto"/>
                <w:sz w:val="24"/>
                <w:szCs w:val="24"/>
              </w:rPr>
              <w:t>-1</w:t>
            </w:r>
            <w:r>
              <w:rPr>
                <w:rFonts w:hint="eastAsia" w:ascii="宋体" w:hAnsi="宋体" w:cs="宋体"/>
                <w:bCs/>
                <w:color w:val="auto"/>
                <w:sz w:val="24"/>
                <w:szCs w:val="24"/>
              </w:rPr>
              <w:t>6</w:t>
            </w:r>
            <w:r>
              <w:rPr>
                <w:rFonts w:ascii="宋体" w:hAnsi="宋体" w:cs="宋体"/>
                <w:bCs/>
                <w:color w:val="auto"/>
                <w:sz w:val="24"/>
                <w:szCs w:val="24"/>
              </w:rPr>
              <w:t>分；差</w:t>
            </w:r>
            <w:r>
              <w:rPr>
                <w:rFonts w:hint="eastAsia" w:ascii="宋体" w:hAnsi="宋体" w:cs="宋体"/>
                <w:bCs/>
                <w:color w:val="auto"/>
                <w:sz w:val="24"/>
                <w:szCs w:val="24"/>
              </w:rPr>
              <w:t>:12分以下</w:t>
            </w:r>
            <w:r>
              <w:rPr>
                <w:rFonts w:ascii="宋体" w:hAnsi="宋体" w:cs="宋体"/>
                <w:bCs/>
                <w:color w:val="auto"/>
                <w:sz w:val="24"/>
                <w:szCs w:val="24"/>
              </w:rPr>
              <w:t>。</w:t>
            </w:r>
          </w:p>
          <w:p>
            <w:pPr>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投标人未提供样品或提供不全的或提供的样品明显不符合招标文件要求的，本项不得分且不得作为中标候选人。</w:t>
            </w:r>
          </w:p>
          <w:p>
            <w:pPr>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注：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tc>
      </w:tr>
    </w:tbl>
    <w:p>
      <w:pPr>
        <w:pStyle w:val="22"/>
        <w:ind w:firstLine="240"/>
        <w:rPr>
          <w:rFonts w:ascii="宋体" w:hAnsi="宋体" w:cs="宋体"/>
          <w:snapToGrid w:val="0"/>
          <w:color w:val="auto"/>
          <w:kern w:val="0"/>
          <w:sz w:val="24"/>
          <w:szCs w:val="24"/>
        </w:rPr>
      </w:pPr>
      <w:r>
        <w:rPr>
          <w:rFonts w:hint="eastAsia" w:ascii="宋体" w:hAnsi="宋体" w:cs="宋体"/>
          <w:snapToGrid w:val="0"/>
          <w:color w:val="auto"/>
          <w:kern w:val="0"/>
          <w:sz w:val="24"/>
          <w:szCs w:val="24"/>
        </w:rPr>
        <w:t>二标段：</w:t>
      </w:r>
    </w:p>
    <w:tbl>
      <w:tblPr>
        <w:tblStyle w:val="24"/>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815"/>
        <w:gridCol w:w="6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84" w:type="dxa"/>
            <w:vAlign w:val="center"/>
          </w:tcPr>
          <w:p>
            <w:pPr>
              <w:snapToGrid w:val="0"/>
              <w:spacing w:line="360" w:lineRule="auto"/>
              <w:jc w:val="center"/>
              <w:rPr>
                <w:rFonts w:ascii="宋体" w:hAnsi="宋体" w:cs="宋体"/>
                <w:b/>
                <w:color w:val="auto"/>
                <w:sz w:val="24"/>
                <w:szCs w:val="24"/>
              </w:rPr>
            </w:pPr>
            <w:r>
              <w:rPr>
                <w:rFonts w:hint="eastAsia" w:ascii="宋体" w:hAnsi="宋体" w:cs="宋体"/>
                <w:b/>
                <w:color w:val="auto"/>
                <w:sz w:val="24"/>
                <w:szCs w:val="24"/>
              </w:rPr>
              <w:t>分项</w:t>
            </w:r>
          </w:p>
        </w:tc>
        <w:tc>
          <w:tcPr>
            <w:tcW w:w="815" w:type="dxa"/>
            <w:vAlign w:val="center"/>
          </w:tcPr>
          <w:p>
            <w:pPr>
              <w:snapToGrid w:val="0"/>
              <w:spacing w:line="360" w:lineRule="auto"/>
              <w:jc w:val="center"/>
              <w:rPr>
                <w:rFonts w:ascii="宋体" w:hAnsi="宋体" w:cs="宋体"/>
                <w:b/>
                <w:color w:val="auto"/>
                <w:sz w:val="24"/>
                <w:szCs w:val="24"/>
              </w:rPr>
            </w:pPr>
            <w:r>
              <w:rPr>
                <w:rFonts w:hint="eastAsia" w:ascii="宋体" w:hAnsi="宋体" w:cs="宋体"/>
                <w:b/>
                <w:color w:val="auto"/>
                <w:sz w:val="24"/>
                <w:szCs w:val="24"/>
              </w:rPr>
              <w:t>分值</w:t>
            </w:r>
          </w:p>
        </w:tc>
        <w:tc>
          <w:tcPr>
            <w:tcW w:w="6595" w:type="dxa"/>
            <w:vAlign w:val="center"/>
          </w:tcPr>
          <w:p>
            <w:pPr>
              <w:snapToGrid w:val="0"/>
              <w:spacing w:line="360" w:lineRule="auto"/>
              <w:jc w:val="center"/>
              <w:rPr>
                <w:rFonts w:ascii="宋体" w:hAnsi="宋体" w:cs="宋体"/>
                <w:b/>
                <w:color w:val="auto"/>
                <w:sz w:val="24"/>
                <w:szCs w:val="24"/>
              </w:rPr>
            </w:pPr>
            <w:r>
              <w:rPr>
                <w:rFonts w:hint="eastAsia" w:ascii="宋体" w:hAnsi="宋体" w:cs="宋体"/>
                <w:b/>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2184" w:type="dxa"/>
            <w:vAlign w:val="center"/>
          </w:tcPr>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投标报价</w:t>
            </w:r>
          </w:p>
        </w:tc>
        <w:tc>
          <w:tcPr>
            <w:tcW w:w="815" w:type="dxa"/>
            <w:vAlign w:val="center"/>
          </w:tcPr>
          <w:p>
            <w:pPr>
              <w:snapToGrid w:val="0"/>
              <w:spacing w:line="360" w:lineRule="auto"/>
              <w:rPr>
                <w:rFonts w:ascii="宋体" w:hAnsi="宋体" w:cs="宋体"/>
                <w:bCs/>
                <w:color w:val="auto"/>
                <w:sz w:val="24"/>
                <w:szCs w:val="24"/>
              </w:rPr>
            </w:pPr>
            <w:r>
              <w:rPr>
                <w:rFonts w:hint="eastAsia" w:ascii="宋体" w:hAnsi="宋体" w:cs="宋体"/>
                <w:bCs/>
                <w:color w:val="auto"/>
                <w:sz w:val="24"/>
                <w:szCs w:val="24"/>
              </w:rPr>
              <w:t>70分</w:t>
            </w:r>
          </w:p>
        </w:tc>
        <w:tc>
          <w:tcPr>
            <w:tcW w:w="6595" w:type="dxa"/>
            <w:vAlign w:val="center"/>
          </w:tcPr>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价格分统一采用低价优先法计算，即满足招标文件要求且投标价格最低的投标报价为评标基准价，其价格分为满分。其他投标人的价格分统一按照下列公式计算：</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投标报价得分=(评标基准价／投标报价)×70，小数点后保留2位。（满分70分）。</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注：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rPr>
                <w:color w:val="auto"/>
              </w:rPr>
              <w:fldChar w:fldCharType="begin"/>
            </w:r>
            <w:r>
              <w:rPr>
                <w:color w:val="auto"/>
              </w:rPr>
              <w:instrText xml:space="preserve"> HYPERLINK "https://link.zhihu.com/?target=http://baike.baidu.com/view/89764.htm" \t "https://www.zhihu.com/question/_blank" </w:instrText>
            </w:r>
            <w:r>
              <w:rPr>
                <w:color w:val="auto"/>
              </w:rPr>
              <w:fldChar w:fldCharType="separate"/>
            </w:r>
            <w:r>
              <w:rPr>
                <w:rFonts w:hint="eastAsia" w:ascii="宋体" w:hAnsi="宋体" w:cs="宋体"/>
                <w:bCs/>
                <w:color w:val="auto"/>
                <w:sz w:val="24"/>
                <w:szCs w:val="24"/>
              </w:rPr>
              <w:t>竞争</w:t>
            </w:r>
            <w:r>
              <w:rPr>
                <w:rFonts w:hint="eastAsia" w:ascii="宋体" w:hAnsi="宋体" w:cs="宋体"/>
                <w:bCs/>
                <w:color w:val="auto"/>
                <w:sz w:val="24"/>
                <w:szCs w:val="24"/>
              </w:rPr>
              <w:fldChar w:fldCharType="end"/>
            </w:r>
            <w:r>
              <w:rPr>
                <w:rFonts w:hint="eastAsia" w:ascii="宋体" w:hAnsi="宋体" w:cs="宋体"/>
                <w:bCs/>
                <w:color w:val="auto"/>
                <w:sz w:val="24"/>
                <w:szCs w:val="24"/>
              </w:rPr>
              <w:t>，其投标应作</w:t>
            </w:r>
            <w:r>
              <w:rPr>
                <w:color w:val="auto"/>
              </w:rPr>
              <w:fldChar w:fldCharType="begin"/>
            </w:r>
            <w:r>
              <w:rPr>
                <w:color w:val="auto"/>
              </w:rPr>
              <w:instrText xml:space="preserve"> HYPERLINK "https://link.zhihu.com/?target=http://baike.baidu.com/view/1281780.htm" \t "https://www.zhihu.com/question/_blank" </w:instrText>
            </w:r>
            <w:r>
              <w:rPr>
                <w:color w:val="auto"/>
              </w:rPr>
              <w:fldChar w:fldCharType="separate"/>
            </w:r>
            <w:r>
              <w:rPr>
                <w:rFonts w:hint="eastAsia" w:ascii="宋体" w:hAnsi="宋体" w:cs="宋体"/>
                <w:bCs/>
                <w:color w:val="auto"/>
                <w:sz w:val="24"/>
                <w:szCs w:val="24"/>
              </w:rPr>
              <w:t>废标</w:t>
            </w:r>
            <w:r>
              <w:rPr>
                <w:rFonts w:hint="eastAsia" w:ascii="宋体" w:hAnsi="宋体" w:cs="宋体"/>
                <w:bCs/>
                <w:color w:val="auto"/>
                <w:sz w:val="24"/>
                <w:szCs w:val="24"/>
              </w:rPr>
              <w:fldChar w:fldCharType="end"/>
            </w:r>
            <w:r>
              <w:rPr>
                <w:rFonts w:hint="eastAsia" w:ascii="宋体" w:hAnsi="宋体" w:cs="宋体"/>
                <w:bCs/>
                <w:color w:val="auto"/>
                <w:sz w:val="24"/>
                <w:szCs w:val="24"/>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84" w:type="dxa"/>
            <w:vAlign w:val="center"/>
          </w:tcPr>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承诺及优惠</w:t>
            </w:r>
          </w:p>
        </w:tc>
        <w:tc>
          <w:tcPr>
            <w:tcW w:w="815" w:type="dxa"/>
            <w:vAlign w:val="center"/>
          </w:tcPr>
          <w:p>
            <w:pPr>
              <w:snapToGrid w:val="0"/>
              <w:spacing w:line="360" w:lineRule="auto"/>
              <w:rPr>
                <w:rFonts w:ascii="宋体" w:hAnsi="宋体" w:cs="宋体"/>
                <w:bCs/>
                <w:color w:val="auto"/>
                <w:sz w:val="24"/>
                <w:szCs w:val="24"/>
              </w:rPr>
            </w:pPr>
            <w:r>
              <w:rPr>
                <w:rFonts w:hint="eastAsia" w:ascii="宋体" w:hAnsi="宋体" w:cs="宋体"/>
                <w:bCs/>
                <w:color w:val="auto"/>
                <w:sz w:val="24"/>
                <w:szCs w:val="24"/>
              </w:rPr>
              <w:t>10分</w:t>
            </w:r>
          </w:p>
        </w:tc>
        <w:tc>
          <w:tcPr>
            <w:tcW w:w="6595" w:type="dxa"/>
            <w:vAlign w:val="center"/>
          </w:tcPr>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1.提供优质的服务及保质保量送货及时，配合学校安排专人分发，得5分；</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2.承诺对贫困生赞助的说明：20人以上，30人以下得1分；30人以上，40人以下得3分；40人以上得5分。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Align w:val="center"/>
          </w:tcPr>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产品质量</w:t>
            </w:r>
          </w:p>
        </w:tc>
        <w:tc>
          <w:tcPr>
            <w:tcW w:w="815" w:type="dxa"/>
            <w:vAlign w:val="center"/>
          </w:tcPr>
          <w:p>
            <w:pPr>
              <w:snapToGrid w:val="0"/>
              <w:spacing w:line="360" w:lineRule="auto"/>
              <w:rPr>
                <w:rFonts w:ascii="宋体" w:hAnsi="宋体" w:cs="宋体"/>
                <w:bCs/>
                <w:color w:val="auto"/>
                <w:sz w:val="24"/>
                <w:szCs w:val="24"/>
              </w:rPr>
            </w:pPr>
            <w:r>
              <w:rPr>
                <w:rFonts w:hint="eastAsia" w:ascii="宋体" w:hAnsi="宋体" w:cs="宋体"/>
                <w:bCs/>
                <w:color w:val="auto"/>
                <w:sz w:val="24"/>
                <w:szCs w:val="24"/>
              </w:rPr>
              <w:t>20分</w:t>
            </w:r>
          </w:p>
        </w:tc>
        <w:tc>
          <w:tcPr>
            <w:tcW w:w="6595" w:type="dxa"/>
            <w:vAlign w:val="center"/>
          </w:tcPr>
          <w:p>
            <w:pPr>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产品质量评审以各投标人提供的样品进行评审。</w:t>
            </w:r>
          </w:p>
          <w:p>
            <w:pPr>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样品名称及数量：符合招标文件项目需求要求的生活用品1套（主要含塑料盆2个，钢壳</w:t>
            </w:r>
            <w:r>
              <w:rPr>
                <w:rFonts w:hint="eastAsia" w:ascii="宋体" w:hAnsi="宋体" w:cs="宋体"/>
                <w:bCs/>
                <w:color w:val="auto"/>
                <w:sz w:val="24"/>
                <w:szCs w:val="24"/>
              </w:rPr>
              <w:t>茶瓶</w:t>
            </w:r>
            <w:r>
              <w:rPr>
                <w:rFonts w:ascii="宋体" w:hAnsi="宋体" w:cs="宋体"/>
                <w:bCs/>
                <w:color w:val="auto"/>
                <w:sz w:val="24"/>
                <w:szCs w:val="24"/>
              </w:rPr>
              <w:t>1个）。所有样品由各投标人自行密封包装在一个封袋内，封袋上标明投标人名称、项目名称，样品随投标文件一并提交。</w:t>
            </w:r>
          </w:p>
          <w:p>
            <w:pPr>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评标委员会对投标人提交的样品从外观、色差、材质、用料、做工、气味、配件、环保等质量方面进行综合评价，优：1</w:t>
            </w:r>
            <w:r>
              <w:rPr>
                <w:rFonts w:hint="eastAsia" w:ascii="宋体" w:hAnsi="宋体" w:cs="宋体"/>
                <w:bCs/>
                <w:color w:val="auto"/>
                <w:sz w:val="24"/>
                <w:szCs w:val="24"/>
              </w:rPr>
              <w:t>8（含）</w:t>
            </w:r>
            <w:r>
              <w:rPr>
                <w:rFonts w:ascii="宋体" w:hAnsi="宋体" w:cs="宋体"/>
                <w:bCs/>
                <w:color w:val="auto"/>
                <w:sz w:val="24"/>
                <w:szCs w:val="24"/>
              </w:rPr>
              <w:t>-20分；良：1</w:t>
            </w:r>
            <w:r>
              <w:rPr>
                <w:rFonts w:hint="eastAsia" w:ascii="宋体" w:hAnsi="宋体" w:cs="宋体"/>
                <w:bCs/>
                <w:color w:val="auto"/>
                <w:sz w:val="24"/>
                <w:szCs w:val="24"/>
              </w:rPr>
              <w:t>6（含）</w:t>
            </w:r>
            <w:r>
              <w:rPr>
                <w:rFonts w:ascii="宋体" w:hAnsi="宋体" w:cs="宋体"/>
                <w:bCs/>
                <w:color w:val="auto"/>
                <w:sz w:val="24"/>
                <w:szCs w:val="24"/>
              </w:rPr>
              <w:t>-1</w:t>
            </w:r>
            <w:r>
              <w:rPr>
                <w:rFonts w:hint="eastAsia" w:ascii="宋体" w:hAnsi="宋体" w:cs="宋体"/>
                <w:bCs/>
                <w:color w:val="auto"/>
                <w:sz w:val="24"/>
                <w:szCs w:val="24"/>
              </w:rPr>
              <w:t>8</w:t>
            </w:r>
            <w:r>
              <w:rPr>
                <w:rFonts w:ascii="宋体" w:hAnsi="宋体" w:cs="宋体"/>
                <w:bCs/>
                <w:color w:val="auto"/>
                <w:sz w:val="24"/>
                <w:szCs w:val="24"/>
              </w:rPr>
              <w:t>分；一般：</w:t>
            </w:r>
            <w:r>
              <w:rPr>
                <w:rFonts w:hint="eastAsia" w:ascii="宋体" w:hAnsi="宋体" w:cs="宋体"/>
                <w:bCs/>
                <w:color w:val="auto"/>
                <w:sz w:val="24"/>
                <w:szCs w:val="24"/>
              </w:rPr>
              <w:t>14（含）</w:t>
            </w:r>
            <w:r>
              <w:rPr>
                <w:rFonts w:ascii="宋体" w:hAnsi="宋体" w:cs="宋体"/>
                <w:bCs/>
                <w:color w:val="auto"/>
                <w:sz w:val="24"/>
                <w:szCs w:val="24"/>
              </w:rPr>
              <w:t>-1</w:t>
            </w:r>
            <w:r>
              <w:rPr>
                <w:rFonts w:hint="eastAsia" w:ascii="宋体" w:hAnsi="宋体" w:cs="宋体"/>
                <w:bCs/>
                <w:color w:val="auto"/>
                <w:sz w:val="24"/>
                <w:szCs w:val="24"/>
              </w:rPr>
              <w:t>6</w:t>
            </w:r>
            <w:r>
              <w:rPr>
                <w:rFonts w:ascii="宋体" w:hAnsi="宋体" w:cs="宋体"/>
                <w:bCs/>
                <w:color w:val="auto"/>
                <w:sz w:val="24"/>
                <w:szCs w:val="24"/>
              </w:rPr>
              <w:t>分；差</w:t>
            </w:r>
            <w:r>
              <w:rPr>
                <w:rFonts w:hint="eastAsia" w:ascii="宋体" w:hAnsi="宋体" w:cs="宋体"/>
                <w:bCs/>
                <w:color w:val="auto"/>
                <w:sz w:val="24"/>
                <w:szCs w:val="24"/>
              </w:rPr>
              <w:t>:12分以下</w:t>
            </w:r>
            <w:r>
              <w:rPr>
                <w:rFonts w:ascii="宋体" w:hAnsi="宋体" w:cs="宋体"/>
                <w:bCs/>
                <w:color w:val="auto"/>
                <w:sz w:val="24"/>
                <w:szCs w:val="24"/>
              </w:rPr>
              <w:t>。</w:t>
            </w:r>
          </w:p>
          <w:p>
            <w:pPr>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投标人未提供样品或提供不全的或提供的样品明显不符合招标文件要求的，本项不得分且不得作为中标候选人。</w:t>
            </w:r>
          </w:p>
          <w:p>
            <w:pPr>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注：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tc>
      </w:tr>
    </w:tbl>
    <w:p>
      <w:pPr>
        <w:pStyle w:val="22"/>
        <w:ind w:firstLine="240"/>
        <w:rPr>
          <w:rFonts w:ascii="宋体" w:hAnsi="宋体" w:cs="宋体"/>
          <w:snapToGrid w:val="0"/>
          <w:color w:val="auto"/>
          <w:kern w:val="0"/>
          <w:sz w:val="24"/>
          <w:szCs w:val="24"/>
        </w:rPr>
      </w:pPr>
      <w:r>
        <w:rPr>
          <w:rFonts w:hint="eastAsia" w:ascii="宋体" w:hAnsi="宋体" w:cs="宋体"/>
          <w:snapToGrid w:val="0"/>
          <w:color w:val="auto"/>
          <w:kern w:val="0"/>
          <w:sz w:val="24"/>
          <w:szCs w:val="24"/>
        </w:rPr>
        <w:t>三标段</w:t>
      </w:r>
    </w:p>
    <w:tbl>
      <w:tblPr>
        <w:tblStyle w:val="24"/>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815"/>
        <w:gridCol w:w="6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84" w:type="dxa"/>
            <w:vAlign w:val="center"/>
          </w:tcPr>
          <w:p>
            <w:pPr>
              <w:snapToGrid w:val="0"/>
              <w:spacing w:line="360" w:lineRule="auto"/>
              <w:jc w:val="center"/>
              <w:rPr>
                <w:rFonts w:ascii="宋体" w:hAnsi="宋体" w:cs="宋体"/>
                <w:b/>
                <w:color w:val="auto"/>
                <w:sz w:val="24"/>
                <w:szCs w:val="24"/>
              </w:rPr>
            </w:pPr>
            <w:r>
              <w:rPr>
                <w:rFonts w:hint="eastAsia" w:ascii="宋体" w:hAnsi="宋体" w:cs="宋体"/>
                <w:b/>
                <w:color w:val="auto"/>
                <w:sz w:val="24"/>
                <w:szCs w:val="24"/>
              </w:rPr>
              <w:t>分项</w:t>
            </w:r>
          </w:p>
        </w:tc>
        <w:tc>
          <w:tcPr>
            <w:tcW w:w="815" w:type="dxa"/>
            <w:vAlign w:val="center"/>
          </w:tcPr>
          <w:p>
            <w:pPr>
              <w:snapToGrid w:val="0"/>
              <w:spacing w:line="360" w:lineRule="auto"/>
              <w:jc w:val="center"/>
              <w:rPr>
                <w:rFonts w:ascii="宋体" w:hAnsi="宋体" w:cs="宋体"/>
                <w:b/>
                <w:color w:val="auto"/>
                <w:sz w:val="24"/>
                <w:szCs w:val="24"/>
              </w:rPr>
            </w:pPr>
            <w:r>
              <w:rPr>
                <w:rFonts w:hint="eastAsia" w:ascii="宋体" w:hAnsi="宋体" w:cs="宋体"/>
                <w:b/>
                <w:color w:val="auto"/>
                <w:sz w:val="24"/>
                <w:szCs w:val="24"/>
              </w:rPr>
              <w:t>分值</w:t>
            </w:r>
          </w:p>
        </w:tc>
        <w:tc>
          <w:tcPr>
            <w:tcW w:w="6595" w:type="dxa"/>
            <w:vAlign w:val="center"/>
          </w:tcPr>
          <w:p>
            <w:pPr>
              <w:snapToGrid w:val="0"/>
              <w:spacing w:line="360" w:lineRule="auto"/>
              <w:jc w:val="center"/>
              <w:rPr>
                <w:rFonts w:ascii="宋体" w:hAnsi="宋体" w:cs="宋体"/>
                <w:b/>
                <w:color w:val="auto"/>
                <w:sz w:val="24"/>
                <w:szCs w:val="24"/>
              </w:rPr>
            </w:pPr>
            <w:r>
              <w:rPr>
                <w:rFonts w:hint="eastAsia" w:ascii="宋体" w:hAnsi="宋体" w:cs="宋体"/>
                <w:b/>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184" w:type="dxa"/>
            <w:vAlign w:val="center"/>
          </w:tcPr>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投标报价</w:t>
            </w:r>
          </w:p>
        </w:tc>
        <w:tc>
          <w:tcPr>
            <w:tcW w:w="815" w:type="dxa"/>
            <w:vAlign w:val="center"/>
          </w:tcPr>
          <w:p>
            <w:pPr>
              <w:snapToGrid w:val="0"/>
              <w:spacing w:line="360" w:lineRule="auto"/>
              <w:rPr>
                <w:rFonts w:ascii="宋体" w:hAnsi="宋体" w:cs="宋体"/>
                <w:bCs/>
                <w:color w:val="auto"/>
                <w:sz w:val="24"/>
                <w:szCs w:val="24"/>
              </w:rPr>
            </w:pPr>
            <w:r>
              <w:rPr>
                <w:rFonts w:hint="eastAsia" w:ascii="宋体" w:hAnsi="宋体" w:cs="宋体"/>
                <w:bCs/>
                <w:color w:val="auto"/>
                <w:sz w:val="24"/>
                <w:szCs w:val="24"/>
              </w:rPr>
              <w:t>50分</w:t>
            </w:r>
          </w:p>
        </w:tc>
        <w:tc>
          <w:tcPr>
            <w:tcW w:w="6595" w:type="dxa"/>
            <w:vAlign w:val="center"/>
          </w:tcPr>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价格分统一采用低价优先法计算，即满足招标文件要求且投标价格最低的投标报价为评标基准价，其价格分为满分。其他投标人的价格分统一按照下列公式计算：</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投标报价得分=(评标基准价／投标报价)×50，小数点后保留2位。（满分50分）。</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注：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rPr>
                <w:color w:val="auto"/>
              </w:rPr>
              <w:fldChar w:fldCharType="begin"/>
            </w:r>
            <w:r>
              <w:rPr>
                <w:color w:val="auto"/>
              </w:rPr>
              <w:instrText xml:space="preserve"> HYPERLINK "https://link.zhihu.com/?target=http://baike.baidu.com/view/89764.htm" \t "https://www.zhihu.com/question/_blank" </w:instrText>
            </w:r>
            <w:r>
              <w:rPr>
                <w:color w:val="auto"/>
              </w:rPr>
              <w:fldChar w:fldCharType="separate"/>
            </w:r>
            <w:r>
              <w:rPr>
                <w:rFonts w:hint="eastAsia" w:ascii="宋体" w:hAnsi="宋体" w:cs="宋体"/>
                <w:bCs/>
                <w:color w:val="auto"/>
                <w:sz w:val="24"/>
                <w:szCs w:val="24"/>
              </w:rPr>
              <w:t>竞争</w:t>
            </w:r>
            <w:r>
              <w:rPr>
                <w:rFonts w:hint="eastAsia" w:ascii="宋体" w:hAnsi="宋体" w:cs="宋体"/>
                <w:bCs/>
                <w:color w:val="auto"/>
                <w:sz w:val="24"/>
                <w:szCs w:val="24"/>
              </w:rPr>
              <w:fldChar w:fldCharType="end"/>
            </w:r>
            <w:r>
              <w:rPr>
                <w:rFonts w:hint="eastAsia" w:ascii="宋体" w:hAnsi="宋体" w:cs="宋体"/>
                <w:bCs/>
                <w:color w:val="auto"/>
                <w:sz w:val="24"/>
                <w:szCs w:val="24"/>
              </w:rPr>
              <w:t>，其投标应作</w:t>
            </w:r>
            <w:r>
              <w:rPr>
                <w:color w:val="auto"/>
              </w:rPr>
              <w:fldChar w:fldCharType="begin"/>
            </w:r>
            <w:r>
              <w:rPr>
                <w:color w:val="auto"/>
              </w:rPr>
              <w:instrText xml:space="preserve"> HYPERLINK "https://link.zhihu.com/?target=http://baike.baidu.com/view/1281780.htm" \t "https://www.zhihu.com/question/_blank" </w:instrText>
            </w:r>
            <w:r>
              <w:rPr>
                <w:color w:val="auto"/>
              </w:rPr>
              <w:fldChar w:fldCharType="separate"/>
            </w:r>
            <w:r>
              <w:rPr>
                <w:rFonts w:hint="eastAsia" w:ascii="宋体" w:hAnsi="宋体" w:cs="宋体"/>
                <w:bCs/>
                <w:color w:val="auto"/>
                <w:sz w:val="24"/>
                <w:szCs w:val="24"/>
              </w:rPr>
              <w:t>废标</w:t>
            </w:r>
            <w:r>
              <w:rPr>
                <w:rFonts w:hint="eastAsia" w:ascii="宋体" w:hAnsi="宋体" w:cs="宋体"/>
                <w:bCs/>
                <w:color w:val="auto"/>
                <w:sz w:val="24"/>
                <w:szCs w:val="24"/>
              </w:rPr>
              <w:fldChar w:fldCharType="end"/>
            </w:r>
            <w:r>
              <w:rPr>
                <w:rFonts w:hint="eastAsia" w:ascii="宋体" w:hAnsi="宋体" w:cs="宋体"/>
                <w:bCs/>
                <w:color w:val="auto"/>
                <w:sz w:val="24"/>
                <w:szCs w:val="24"/>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2184" w:type="dxa"/>
            <w:vAlign w:val="center"/>
          </w:tcPr>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类似业绩</w:t>
            </w:r>
          </w:p>
        </w:tc>
        <w:tc>
          <w:tcPr>
            <w:tcW w:w="815" w:type="dxa"/>
            <w:vAlign w:val="center"/>
          </w:tcPr>
          <w:p>
            <w:pPr>
              <w:snapToGrid w:val="0"/>
              <w:spacing w:line="360" w:lineRule="auto"/>
              <w:rPr>
                <w:rFonts w:ascii="宋体" w:hAnsi="宋体" w:cs="宋体"/>
                <w:bCs/>
                <w:color w:val="auto"/>
                <w:sz w:val="24"/>
                <w:szCs w:val="24"/>
              </w:rPr>
            </w:pPr>
            <w:r>
              <w:rPr>
                <w:rFonts w:hint="eastAsia" w:ascii="宋体" w:hAnsi="宋体" w:cs="宋体"/>
                <w:bCs/>
                <w:color w:val="auto"/>
                <w:sz w:val="24"/>
                <w:szCs w:val="24"/>
              </w:rPr>
              <w:t>15分</w:t>
            </w:r>
          </w:p>
        </w:tc>
        <w:tc>
          <w:tcPr>
            <w:tcW w:w="6595" w:type="dxa"/>
            <w:vAlign w:val="center"/>
          </w:tcPr>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自2021年1月1日以来，承担（以合同签订时间为准）类似项目，每提供1份得1.5分，最多得15分（投标文件中提供合同复印件加盖公章）。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84" w:type="dxa"/>
            <w:vAlign w:val="center"/>
          </w:tcPr>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资质信誉及服务优惠承诺</w:t>
            </w:r>
          </w:p>
        </w:tc>
        <w:tc>
          <w:tcPr>
            <w:tcW w:w="815" w:type="dxa"/>
            <w:vAlign w:val="center"/>
          </w:tcPr>
          <w:p>
            <w:pPr>
              <w:snapToGrid w:val="0"/>
              <w:spacing w:line="360" w:lineRule="auto"/>
              <w:rPr>
                <w:rFonts w:ascii="宋体" w:hAnsi="宋体" w:cs="宋体"/>
                <w:bCs/>
                <w:color w:val="auto"/>
                <w:sz w:val="24"/>
                <w:szCs w:val="24"/>
              </w:rPr>
            </w:pPr>
            <w:r>
              <w:rPr>
                <w:rFonts w:hint="eastAsia" w:ascii="宋体" w:hAnsi="宋体" w:cs="宋体"/>
                <w:bCs/>
                <w:color w:val="auto"/>
                <w:sz w:val="24"/>
                <w:szCs w:val="24"/>
              </w:rPr>
              <w:t>12分</w:t>
            </w:r>
          </w:p>
        </w:tc>
        <w:tc>
          <w:tcPr>
            <w:tcW w:w="6595" w:type="dxa"/>
            <w:vAlign w:val="center"/>
          </w:tcPr>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（1）具有2021年政府行政部门对机关、企事业单位集中供货的监督抽查报告，每份得0.5分，最高5分；</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（2）有与产品相匹配的床上用品2022年合格检验报告，每份得0.5分，最高2分；</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（3）承诺无偿赞助贫困生：20人以上，30人以下得3分；30人以上，40人以下得4分；40人以上得5分。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Align w:val="center"/>
          </w:tcPr>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产品质量及服务方案</w:t>
            </w:r>
          </w:p>
        </w:tc>
        <w:tc>
          <w:tcPr>
            <w:tcW w:w="815" w:type="dxa"/>
            <w:vAlign w:val="center"/>
          </w:tcPr>
          <w:p>
            <w:pPr>
              <w:snapToGrid w:val="0"/>
              <w:spacing w:line="360" w:lineRule="auto"/>
              <w:rPr>
                <w:rFonts w:ascii="宋体" w:hAnsi="宋体" w:cs="宋体"/>
                <w:bCs/>
                <w:color w:val="auto"/>
                <w:sz w:val="24"/>
                <w:szCs w:val="24"/>
              </w:rPr>
            </w:pPr>
            <w:r>
              <w:rPr>
                <w:rFonts w:hint="eastAsia" w:ascii="宋体" w:hAnsi="宋体" w:cs="宋体"/>
                <w:bCs/>
                <w:color w:val="auto"/>
                <w:sz w:val="24"/>
                <w:szCs w:val="24"/>
              </w:rPr>
              <w:t>23分</w:t>
            </w:r>
          </w:p>
        </w:tc>
        <w:tc>
          <w:tcPr>
            <w:tcW w:w="6595" w:type="dxa"/>
            <w:vAlign w:val="center"/>
          </w:tcPr>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（1）服务方案3分（根据投标人获得的相关证书及提供的服务方案合理性、可行性打分，打分区间0-3分）；</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w:t>
            </w:r>
            <w:r>
              <w:rPr>
                <w:rFonts w:ascii="宋体" w:hAnsi="宋体" w:cs="宋体"/>
                <w:bCs/>
                <w:color w:val="auto"/>
                <w:sz w:val="24"/>
                <w:szCs w:val="24"/>
              </w:rPr>
              <w:t>产品质量评审以各投标人提供的样品进行评审，</w:t>
            </w:r>
            <w:r>
              <w:rPr>
                <w:rFonts w:hint="eastAsia" w:ascii="宋体" w:hAnsi="宋体" w:cs="宋体"/>
                <w:bCs/>
                <w:color w:val="auto"/>
                <w:sz w:val="24"/>
                <w:szCs w:val="24"/>
              </w:rPr>
              <w:t>20分</w:t>
            </w:r>
            <w:r>
              <w:rPr>
                <w:rFonts w:ascii="宋体" w:hAnsi="宋体" w:cs="宋体"/>
                <w:bCs/>
                <w:color w:val="auto"/>
                <w:sz w:val="24"/>
                <w:szCs w:val="24"/>
              </w:rPr>
              <w:t>。</w:t>
            </w:r>
          </w:p>
          <w:p>
            <w:pPr>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样品名称及数量：符合招标文件项目需求要求的生活用品1套主要含全棉床单2条、全棉被套2条、中空棉枕芯1只、全棉枕套1条、2.5KG盖胎1条、1.5KG盖胎1条、垫胎1条、牛津布包1只）。所有样品由各投标人自行密封包装在一个封袋内，封袋上标明投标人名称、项目名称，样品随投标文件一并提交。</w:t>
            </w:r>
            <w:bookmarkStart w:id="41" w:name="_GoBack"/>
            <w:bookmarkEnd w:id="41"/>
          </w:p>
          <w:p>
            <w:pPr>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评标委员会对投标人提交的样品外观、色差、材质、用料、拉链、纽扣、针线、做工、气味、配件、环保等质量方面进行综合评价，优：1</w:t>
            </w:r>
            <w:r>
              <w:rPr>
                <w:rFonts w:hint="eastAsia" w:ascii="宋体" w:hAnsi="宋体" w:cs="宋体"/>
                <w:bCs/>
                <w:color w:val="auto"/>
                <w:sz w:val="24"/>
                <w:szCs w:val="24"/>
              </w:rPr>
              <w:t>8（含）</w:t>
            </w:r>
            <w:r>
              <w:rPr>
                <w:rFonts w:ascii="宋体" w:hAnsi="宋体" w:cs="宋体"/>
                <w:bCs/>
                <w:color w:val="auto"/>
                <w:sz w:val="24"/>
                <w:szCs w:val="24"/>
              </w:rPr>
              <w:t>-20分；良：1</w:t>
            </w:r>
            <w:r>
              <w:rPr>
                <w:rFonts w:hint="eastAsia" w:ascii="宋体" w:hAnsi="宋体" w:cs="宋体"/>
                <w:bCs/>
                <w:color w:val="auto"/>
                <w:sz w:val="24"/>
                <w:szCs w:val="24"/>
              </w:rPr>
              <w:t>6（含）</w:t>
            </w:r>
            <w:r>
              <w:rPr>
                <w:rFonts w:ascii="宋体" w:hAnsi="宋体" w:cs="宋体"/>
                <w:bCs/>
                <w:color w:val="auto"/>
                <w:sz w:val="24"/>
                <w:szCs w:val="24"/>
              </w:rPr>
              <w:t>-1</w:t>
            </w:r>
            <w:r>
              <w:rPr>
                <w:rFonts w:hint="eastAsia" w:ascii="宋体" w:hAnsi="宋体" w:cs="宋体"/>
                <w:bCs/>
                <w:color w:val="auto"/>
                <w:sz w:val="24"/>
                <w:szCs w:val="24"/>
              </w:rPr>
              <w:t>8</w:t>
            </w:r>
            <w:r>
              <w:rPr>
                <w:rFonts w:ascii="宋体" w:hAnsi="宋体" w:cs="宋体"/>
                <w:bCs/>
                <w:color w:val="auto"/>
                <w:sz w:val="24"/>
                <w:szCs w:val="24"/>
              </w:rPr>
              <w:t>分；一般：</w:t>
            </w:r>
            <w:r>
              <w:rPr>
                <w:rFonts w:hint="eastAsia" w:ascii="宋体" w:hAnsi="宋体" w:cs="宋体"/>
                <w:bCs/>
                <w:color w:val="auto"/>
                <w:sz w:val="24"/>
                <w:szCs w:val="24"/>
              </w:rPr>
              <w:t>14（含）</w:t>
            </w:r>
            <w:r>
              <w:rPr>
                <w:rFonts w:ascii="宋体" w:hAnsi="宋体" w:cs="宋体"/>
                <w:bCs/>
                <w:color w:val="auto"/>
                <w:sz w:val="24"/>
                <w:szCs w:val="24"/>
              </w:rPr>
              <w:t>-1</w:t>
            </w:r>
            <w:r>
              <w:rPr>
                <w:rFonts w:hint="eastAsia" w:ascii="宋体" w:hAnsi="宋体" w:cs="宋体"/>
                <w:bCs/>
                <w:color w:val="auto"/>
                <w:sz w:val="24"/>
                <w:szCs w:val="24"/>
              </w:rPr>
              <w:t>6</w:t>
            </w:r>
            <w:r>
              <w:rPr>
                <w:rFonts w:ascii="宋体" w:hAnsi="宋体" w:cs="宋体"/>
                <w:bCs/>
                <w:color w:val="auto"/>
                <w:sz w:val="24"/>
                <w:szCs w:val="24"/>
              </w:rPr>
              <w:t>分；差</w:t>
            </w:r>
            <w:r>
              <w:rPr>
                <w:rFonts w:hint="eastAsia" w:ascii="宋体" w:hAnsi="宋体" w:cs="宋体"/>
                <w:bCs/>
                <w:color w:val="auto"/>
                <w:sz w:val="24"/>
                <w:szCs w:val="24"/>
              </w:rPr>
              <w:t>:12分以下</w:t>
            </w:r>
            <w:r>
              <w:rPr>
                <w:rFonts w:ascii="宋体" w:hAnsi="宋体" w:cs="宋体"/>
                <w:bCs/>
                <w:color w:val="auto"/>
                <w:sz w:val="24"/>
                <w:szCs w:val="24"/>
              </w:rPr>
              <w:t>。</w:t>
            </w:r>
          </w:p>
          <w:p>
            <w:pPr>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投标人未提供样品或提供不全的或提供的样品明显不符合招标文件要求的，本项不得分且不得作为中标候选人。</w:t>
            </w:r>
          </w:p>
          <w:p>
            <w:pPr>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注：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tc>
      </w:tr>
    </w:tbl>
    <w:p>
      <w:pPr>
        <w:adjustRightInd w:val="0"/>
        <w:snapToGrid w:val="0"/>
        <w:spacing w:line="460" w:lineRule="exact"/>
        <w:ind w:firstLine="482" w:firstLineChars="200"/>
        <w:rPr>
          <w:rFonts w:ascii="宋体" w:hAnsi="宋体"/>
          <w:b/>
          <w:bCs/>
          <w:color w:val="auto"/>
          <w:sz w:val="24"/>
        </w:rPr>
      </w:pPr>
      <w:r>
        <w:rPr>
          <w:rFonts w:hint="eastAsia" w:ascii="宋体" w:hAnsi="宋体"/>
          <w:b/>
          <w:bCs/>
          <w:color w:val="auto"/>
          <w:sz w:val="24"/>
        </w:rPr>
        <w:t>注：1、以上内容评审得分取所有评委的平均分作为投标人得分(小数后保留2位，第3位四舍五入)。</w:t>
      </w:r>
    </w:p>
    <w:p>
      <w:pPr>
        <w:spacing w:line="440" w:lineRule="exact"/>
        <w:ind w:firstLine="964" w:firstLineChars="400"/>
        <w:rPr>
          <w:rFonts w:ascii="宋体" w:hAnsi="宋体" w:cs="Arial"/>
          <w:b/>
          <w:color w:val="auto"/>
          <w:sz w:val="24"/>
        </w:rPr>
      </w:pPr>
      <w:r>
        <w:rPr>
          <w:rFonts w:hint="eastAsia" w:ascii="宋体" w:hAnsi="宋体"/>
          <w:b/>
          <w:color w:val="auto"/>
          <w:sz w:val="24"/>
        </w:rPr>
        <w:t>2、以上</w:t>
      </w:r>
      <w:r>
        <w:rPr>
          <w:rFonts w:hint="eastAsia" w:ascii="宋体" w:hAnsi="宋体" w:cs="Arial"/>
          <w:b/>
          <w:color w:val="auto"/>
          <w:sz w:val="24"/>
        </w:rPr>
        <w:t>评标办法中所涉及到需评审的相关证明文件，投标人投标文件中需提供复印件加盖公章，否则该项不予计分。另评标办法中涉及到需提供原件证明材料的，投标人开标现场需提供，否则该项不予计分。</w:t>
      </w:r>
    </w:p>
    <w:p>
      <w:pPr>
        <w:spacing w:before="121" w:line="321" w:lineRule="auto"/>
        <w:ind w:left="774" w:right="6374"/>
        <w:rPr>
          <w:rFonts w:ascii="宋体" w:hAnsi="宋体" w:cs="宋体"/>
          <w:color w:val="auto"/>
        </w:rPr>
      </w:pPr>
    </w:p>
    <w:p>
      <w:pPr>
        <w:rPr>
          <w:rStyle w:val="42"/>
          <w:rFonts w:ascii="宋体" w:hAnsi="宋体" w:cs="宋体"/>
          <w:color w:val="auto"/>
        </w:rPr>
      </w:pPr>
    </w:p>
    <w:p>
      <w:pPr>
        <w:pStyle w:val="32"/>
        <w:jc w:val="both"/>
        <w:rPr>
          <w:rStyle w:val="42"/>
          <w:rFonts w:ascii="宋体" w:hAnsi="宋体" w:eastAsia="宋体" w:cs="宋体"/>
          <w:b/>
          <w:color w:val="auto"/>
          <w:sz w:val="44"/>
        </w:rPr>
      </w:pPr>
      <w:r>
        <w:rPr>
          <w:rStyle w:val="42"/>
          <w:rFonts w:hint="eastAsia" w:ascii="宋体" w:hAnsi="宋体" w:eastAsia="宋体" w:cs="宋体"/>
          <w:b/>
          <w:color w:val="auto"/>
          <w:sz w:val="44"/>
        </w:rPr>
        <w:br w:type="page"/>
      </w:r>
    </w:p>
    <w:p>
      <w:pPr>
        <w:pStyle w:val="32"/>
        <w:outlineLvl w:val="0"/>
        <w:rPr>
          <w:rStyle w:val="42"/>
          <w:rFonts w:ascii="宋体" w:hAnsi="宋体" w:eastAsia="宋体" w:cs="宋体"/>
          <w:b/>
          <w:color w:val="auto"/>
          <w:sz w:val="44"/>
        </w:rPr>
      </w:pPr>
      <w:bookmarkStart w:id="5" w:name="_Toc20541"/>
      <w:r>
        <w:rPr>
          <w:rStyle w:val="42"/>
          <w:rFonts w:hint="eastAsia" w:ascii="宋体" w:hAnsi="宋体" w:eastAsia="宋体" w:cs="宋体"/>
          <w:b/>
          <w:color w:val="auto"/>
          <w:sz w:val="44"/>
        </w:rPr>
        <w:t>第六章  投标文件格式</w:t>
      </w:r>
      <w:bookmarkEnd w:id="5"/>
    </w:p>
    <w:p>
      <w:pPr>
        <w:jc w:val="center"/>
        <w:rPr>
          <w:rStyle w:val="42"/>
          <w:rFonts w:ascii="宋体" w:hAnsi="宋体" w:cs="宋体"/>
          <w:b/>
          <w:color w:val="auto"/>
          <w:sz w:val="72"/>
        </w:rPr>
      </w:pPr>
    </w:p>
    <w:p>
      <w:pPr>
        <w:jc w:val="center"/>
        <w:outlineLvl w:val="0"/>
        <w:rPr>
          <w:rStyle w:val="42"/>
          <w:rFonts w:ascii="宋体" w:hAnsi="宋体" w:cs="宋体"/>
          <w:b/>
          <w:color w:val="auto"/>
          <w:sz w:val="72"/>
        </w:rPr>
      </w:pPr>
      <w:bookmarkStart w:id="6" w:name="_Toc26413"/>
      <w:r>
        <w:rPr>
          <w:rStyle w:val="42"/>
          <w:rFonts w:hint="eastAsia" w:ascii="宋体" w:hAnsi="宋体" w:cs="宋体"/>
          <w:b/>
          <w:color w:val="auto"/>
          <w:sz w:val="72"/>
        </w:rPr>
        <w:t>投  标  文  件</w:t>
      </w:r>
      <w:bookmarkEnd w:id="6"/>
    </w:p>
    <w:p>
      <w:pPr>
        <w:jc w:val="center"/>
        <w:outlineLvl w:val="0"/>
        <w:rPr>
          <w:rStyle w:val="42"/>
          <w:rFonts w:ascii="宋体" w:hAnsi="宋体" w:cs="宋体"/>
          <w:b/>
          <w:color w:val="auto"/>
          <w:sz w:val="72"/>
        </w:rPr>
      </w:pPr>
      <w:bookmarkStart w:id="7" w:name="_Toc17655"/>
      <w:r>
        <w:rPr>
          <w:rStyle w:val="42"/>
          <w:rFonts w:hint="eastAsia" w:ascii="宋体" w:hAnsi="宋体" w:cs="宋体"/>
          <w:b/>
          <w:color w:val="auto"/>
          <w:sz w:val="36"/>
        </w:rPr>
        <w:t>（正或副本）</w:t>
      </w:r>
      <w:bookmarkEnd w:id="7"/>
    </w:p>
    <w:p>
      <w:pPr>
        <w:jc w:val="center"/>
        <w:rPr>
          <w:rStyle w:val="42"/>
          <w:rFonts w:ascii="宋体" w:hAnsi="宋体" w:cs="宋体"/>
          <w:b/>
          <w:color w:val="auto"/>
          <w:sz w:val="72"/>
        </w:rPr>
      </w:pPr>
    </w:p>
    <w:p>
      <w:pPr>
        <w:jc w:val="center"/>
        <w:rPr>
          <w:rStyle w:val="42"/>
          <w:rFonts w:ascii="宋体" w:hAnsi="宋体" w:cs="宋体"/>
          <w:b/>
          <w:color w:val="auto"/>
          <w:sz w:val="36"/>
        </w:rPr>
      </w:pPr>
    </w:p>
    <w:p>
      <w:pPr>
        <w:jc w:val="center"/>
        <w:rPr>
          <w:rStyle w:val="42"/>
          <w:rFonts w:ascii="宋体" w:hAnsi="宋体" w:cs="宋体"/>
          <w:b/>
          <w:color w:val="auto"/>
          <w:sz w:val="36"/>
        </w:rPr>
      </w:pPr>
    </w:p>
    <w:p>
      <w:pPr>
        <w:jc w:val="center"/>
        <w:rPr>
          <w:rStyle w:val="42"/>
          <w:rFonts w:ascii="宋体" w:hAnsi="宋体" w:cs="宋体"/>
          <w:b/>
          <w:color w:val="auto"/>
          <w:sz w:val="36"/>
        </w:rPr>
      </w:pPr>
    </w:p>
    <w:p>
      <w:pPr>
        <w:ind w:firstLine="1084" w:firstLineChars="300"/>
        <w:outlineLvl w:val="0"/>
        <w:rPr>
          <w:rStyle w:val="42"/>
          <w:rFonts w:ascii="宋体" w:hAnsi="宋体" w:cs="宋体"/>
          <w:b/>
          <w:color w:val="auto"/>
          <w:sz w:val="36"/>
        </w:rPr>
      </w:pPr>
      <w:bookmarkStart w:id="8" w:name="_Toc8567"/>
      <w:r>
        <w:rPr>
          <w:rStyle w:val="42"/>
          <w:rFonts w:hint="eastAsia" w:ascii="宋体" w:hAnsi="宋体" w:cs="宋体"/>
          <w:b/>
          <w:color w:val="auto"/>
          <w:sz w:val="36"/>
        </w:rPr>
        <w:t>项 目 名 称：</w:t>
      </w:r>
      <w:bookmarkEnd w:id="8"/>
    </w:p>
    <w:p>
      <w:pPr>
        <w:ind w:firstLine="1084" w:firstLineChars="300"/>
        <w:outlineLvl w:val="0"/>
        <w:rPr>
          <w:rStyle w:val="42"/>
          <w:rFonts w:ascii="宋体" w:hAnsi="宋体" w:cs="宋体"/>
          <w:b/>
          <w:color w:val="auto"/>
          <w:sz w:val="36"/>
          <w:u w:val="single" w:color="000000"/>
        </w:rPr>
      </w:pPr>
      <w:bookmarkStart w:id="9" w:name="_Toc20815"/>
      <w:r>
        <w:rPr>
          <w:rStyle w:val="42"/>
          <w:rFonts w:hint="eastAsia" w:ascii="宋体" w:hAnsi="宋体" w:cs="宋体"/>
          <w:b/>
          <w:color w:val="auto"/>
          <w:sz w:val="36"/>
        </w:rPr>
        <w:t>招 标 编 号：</w:t>
      </w:r>
      <w:bookmarkEnd w:id="9"/>
    </w:p>
    <w:p>
      <w:pPr>
        <w:ind w:firstLine="1084" w:firstLineChars="300"/>
        <w:outlineLvl w:val="0"/>
        <w:rPr>
          <w:rStyle w:val="42"/>
          <w:rFonts w:ascii="宋体" w:hAnsi="宋体" w:cs="宋体"/>
          <w:b/>
          <w:color w:val="auto"/>
          <w:sz w:val="36"/>
          <w:u w:val="single" w:color="000000"/>
        </w:rPr>
      </w:pPr>
      <w:bookmarkStart w:id="10" w:name="_Toc15597"/>
      <w:r>
        <w:rPr>
          <w:rStyle w:val="42"/>
          <w:rFonts w:hint="eastAsia" w:ascii="宋体" w:hAnsi="宋体" w:cs="宋体"/>
          <w:b/>
          <w:color w:val="auto"/>
          <w:sz w:val="36"/>
        </w:rPr>
        <w:t>投标人名称 ：</w:t>
      </w:r>
      <w:bookmarkEnd w:id="10"/>
    </w:p>
    <w:p>
      <w:pPr>
        <w:ind w:firstLine="1084" w:firstLineChars="300"/>
        <w:outlineLvl w:val="0"/>
        <w:rPr>
          <w:rStyle w:val="42"/>
          <w:rFonts w:ascii="宋体" w:hAnsi="宋体" w:cs="宋体"/>
          <w:b/>
          <w:color w:val="auto"/>
          <w:sz w:val="36"/>
        </w:rPr>
      </w:pPr>
      <w:bookmarkStart w:id="11" w:name="_Toc26387"/>
      <w:r>
        <w:rPr>
          <w:rStyle w:val="42"/>
          <w:rFonts w:hint="eastAsia" w:ascii="宋体" w:hAnsi="宋体" w:cs="宋体"/>
          <w:b/>
          <w:color w:val="auto"/>
          <w:sz w:val="36"/>
        </w:rPr>
        <w:t>日      期 ：</w:t>
      </w:r>
      <w:bookmarkEnd w:id="11"/>
    </w:p>
    <w:p>
      <w:pPr>
        <w:spacing w:line="440" w:lineRule="exact"/>
        <w:jc w:val="center"/>
        <w:rPr>
          <w:rStyle w:val="42"/>
          <w:rFonts w:ascii="宋体" w:hAnsi="宋体" w:cs="宋体"/>
          <w:b/>
          <w:bCs/>
          <w:color w:val="auto"/>
          <w:sz w:val="32"/>
          <w:szCs w:val="32"/>
        </w:rPr>
      </w:pPr>
    </w:p>
    <w:p>
      <w:pPr>
        <w:spacing w:line="440" w:lineRule="exact"/>
        <w:ind w:firstLine="480" w:firstLineChars="200"/>
        <w:rPr>
          <w:rStyle w:val="42"/>
          <w:rFonts w:ascii="宋体" w:hAnsi="宋体" w:cs="宋体"/>
          <w:color w:val="auto"/>
          <w:sz w:val="24"/>
        </w:rPr>
      </w:pPr>
    </w:p>
    <w:p>
      <w:pPr>
        <w:spacing w:line="440" w:lineRule="exact"/>
        <w:ind w:firstLine="480" w:firstLineChars="200"/>
        <w:rPr>
          <w:rStyle w:val="42"/>
          <w:rFonts w:ascii="宋体" w:hAnsi="宋体" w:cs="宋体"/>
          <w:color w:val="auto"/>
          <w:sz w:val="24"/>
        </w:rPr>
      </w:pPr>
    </w:p>
    <w:p>
      <w:pPr>
        <w:spacing w:line="440" w:lineRule="exact"/>
        <w:rPr>
          <w:rStyle w:val="42"/>
          <w:rFonts w:ascii="宋体" w:hAnsi="宋体" w:cs="宋体"/>
          <w:color w:val="auto"/>
          <w:sz w:val="24"/>
        </w:rPr>
      </w:pPr>
    </w:p>
    <w:p>
      <w:pPr>
        <w:pStyle w:val="6"/>
        <w:rPr>
          <w:rStyle w:val="42"/>
          <w:rFonts w:ascii="宋体" w:hAnsi="宋体" w:eastAsia="宋体" w:cs="宋体"/>
          <w:b w:val="0"/>
          <w:color w:val="auto"/>
          <w:sz w:val="24"/>
          <w:szCs w:val="21"/>
        </w:rPr>
      </w:pPr>
    </w:p>
    <w:p>
      <w:pPr>
        <w:rPr>
          <w:rStyle w:val="42"/>
          <w:rFonts w:ascii="宋体" w:hAnsi="宋体" w:cs="宋体"/>
          <w:color w:val="auto"/>
          <w:sz w:val="24"/>
        </w:rPr>
      </w:pPr>
    </w:p>
    <w:p>
      <w:pPr>
        <w:pStyle w:val="23"/>
        <w:rPr>
          <w:color w:val="auto"/>
        </w:rPr>
      </w:pPr>
    </w:p>
    <w:p>
      <w:pPr>
        <w:rPr>
          <w:rStyle w:val="42"/>
          <w:rFonts w:ascii="宋体" w:hAnsi="宋体" w:cs="宋体"/>
          <w:color w:val="auto"/>
          <w:sz w:val="24"/>
        </w:rPr>
      </w:pPr>
    </w:p>
    <w:p>
      <w:pPr>
        <w:pStyle w:val="5"/>
        <w:tabs>
          <w:tab w:val="left" w:pos="1275"/>
        </w:tabs>
        <w:ind w:left="1352" w:leftChars="644" w:firstLine="2122" w:firstLineChars="755"/>
        <w:rPr>
          <w:rFonts w:hAnsi="宋体"/>
          <w:color w:val="auto"/>
        </w:rPr>
      </w:pPr>
      <w:bookmarkStart w:id="12" w:name="_Toc64931899"/>
      <w:r>
        <w:rPr>
          <w:rFonts w:hint="eastAsia" w:hAnsi="宋体"/>
          <w:color w:val="auto"/>
        </w:rPr>
        <w:t>评分对照表</w:t>
      </w:r>
      <w:bookmarkEnd w:id="12"/>
    </w:p>
    <w:p>
      <w:pPr>
        <w:rPr>
          <w:rFonts w:ascii="宋体" w:hAnsi="宋体" w:cs="宋体"/>
          <w:b/>
          <w:bCs/>
          <w:color w:val="auto"/>
          <w:sz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373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序号</w:t>
            </w:r>
          </w:p>
        </w:tc>
        <w:tc>
          <w:tcPr>
            <w:tcW w:w="1276"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评分项目</w:t>
            </w:r>
          </w:p>
        </w:tc>
        <w:tc>
          <w:tcPr>
            <w:tcW w:w="1276"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分值</w:t>
            </w:r>
          </w:p>
        </w:tc>
        <w:tc>
          <w:tcPr>
            <w:tcW w:w="3731" w:type="dxa"/>
            <w:vAlign w:val="center"/>
          </w:tcPr>
          <w:p>
            <w:pPr>
              <w:adjustRightInd w:val="0"/>
              <w:snapToGrid w:val="0"/>
              <w:spacing w:line="480" w:lineRule="exact"/>
              <w:ind w:firstLine="422" w:firstLineChars="200"/>
              <w:jc w:val="center"/>
              <w:rPr>
                <w:rFonts w:ascii="宋体" w:hAnsi="宋体" w:cs="宋体"/>
                <w:b/>
                <w:bCs/>
                <w:color w:val="auto"/>
              </w:rPr>
            </w:pPr>
            <w:r>
              <w:rPr>
                <w:rFonts w:hint="eastAsia" w:ascii="宋体" w:hAnsi="宋体" w:cs="宋体"/>
                <w:b/>
                <w:bCs/>
                <w:color w:val="auto"/>
              </w:rPr>
              <w:t>评分细则</w:t>
            </w:r>
          </w:p>
        </w:tc>
        <w:tc>
          <w:tcPr>
            <w:tcW w:w="2194"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1276"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1276"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3731" w:type="dxa"/>
            <w:vAlign w:val="center"/>
          </w:tcPr>
          <w:p>
            <w:pPr>
              <w:adjustRightInd w:val="0"/>
              <w:snapToGrid w:val="0"/>
              <w:spacing w:line="380" w:lineRule="exact"/>
              <w:jc w:val="left"/>
              <w:rPr>
                <w:rFonts w:ascii="宋体" w:hAnsi="宋体" w:cs="宋体"/>
                <w:snapToGrid w:val="0"/>
                <w:color w:val="auto"/>
                <w:kern w:val="0"/>
              </w:rPr>
            </w:pPr>
            <w:r>
              <w:rPr>
                <w:rFonts w:hint="eastAsia" w:ascii="宋体" w:hAnsi="宋体" w:cs="宋体"/>
                <w:bCs/>
                <w:color w:val="auto"/>
              </w:rPr>
              <w:t>…</w:t>
            </w:r>
          </w:p>
        </w:tc>
        <w:tc>
          <w:tcPr>
            <w:tcW w:w="2194" w:type="dxa"/>
            <w:vAlign w:val="center"/>
          </w:tcPr>
          <w:p>
            <w:pPr>
              <w:adjustRightInd w:val="0"/>
              <w:snapToGrid w:val="0"/>
              <w:spacing w:line="380" w:lineRule="exact"/>
              <w:jc w:val="left"/>
              <w:rPr>
                <w:rFonts w:ascii="宋体" w:hAnsi="宋体" w:cs="宋体"/>
                <w:snapToGrid w:val="0"/>
                <w:color w:val="auto"/>
                <w:kern w:val="0"/>
              </w:rPr>
            </w:pPr>
            <w:r>
              <w:rPr>
                <w:rFonts w:hint="eastAsia" w:ascii="宋体" w:hAnsi="宋体" w:cs="宋体"/>
                <w:bC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3731" w:type="dxa"/>
            <w:vAlign w:val="center"/>
          </w:tcPr>
          <w:p>
            <w:pPr>
              <w:adjustRightInd w:val="0"/>
              <w:snapToGrid w:val="0"/>
              <w:spacing w:line="380" w:lineRule="exact"/>
              <w:jc w:val="left"/>
              <w:rPr>
                <w:rFonts w:ascii="宋体" w:hAnsi="宋体" w:cs="宋体"/>
                <w:snapToGrid w:val="0"/>
                <w:color w:val="auto"/>
                <w:kern w:val="0"/>
              </w:rPr>
            </w:pPr>
          </w:p>
        </w:tc>
        <w:tc>
          <w:tcPr>
            <w:tcW w:w="2194"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3731" w:type="dxa"/>
            <w:vAlign w:val="center"/>
          </w:tcPr>
          <w:p>
            <w:pPr>
              <w:adjustRightInd w:val="0"/>
              <w:snapToGrid w:val="0"/>
              <w:spacing w:line="380" w:lineRule="exact"/>
              <w:jc w:val="left"/>
              <w:rPr>
                <w:rFonts w:ascii="宋体" w:hAnsi="宋体" w:cs="宋体"/>
                <w:snapToGrid w:val="0"/>
                <w:color w:val="auto"/>
                <w:kern w:val="0"/>
              </w:rPr>
            </w:pPr>
          </w:p>
        </w:tc>
        <w:tc>
          <w:tcPr>
            <w:tcW w:w="2194" w:type="dxa"/>
            <w:vAlign w:val="center"/>
          </w:tcPr>
          <w:p>
            <w:pPr>
              <w:adjustRightInd w:val="0"/>
              <w:snapToGrid w:val="0"/>
              <w:spacing w:line="380" w:lineRule="exact"/>
              <w:jc w:val="left"/>
              <w:rPr>
                <w:rFonts w:ascii="宋体" w:hAnsi="宋体" w:cs="宋体"/>
                <w:snapToGrid w:val="0"/>
                <w:color w:val="auto"/>
                <w:kern w:val="0"/>
              </w:rPr>
            </w:pPr>
          </w:p>
        </w:tc>
      </w:tr>
    </w:tbl>
    <w:p>
      <w:pPr>
        <w:rPr>
          <w:rFonts w:ascii="宋体" w:hAnsi="宋体" w:cs="宋体"/>
          <w:b/>
          <w:bCs/>
          <w:color w:val="auto"/>
          <w:sz w:val="24"/>
        </w:rPr>
      </w:pPr>
    </w:p>
    <w:p>
      <w:pPr>
        <w:rPr>
          <w:rFonts w:ascii="宋体" w:hAnsi="宋体" w:cs="宋体"/>
          <w:b/>
          <w:bCs/>
          <w:color w:val="auto"/>
          <w:sz w:val="24"/>
        </w:rPr>
      </w:pPr>
    </w:p>
    <w:p>
      <w:pPr>
        <w:rPr>
          <w:rFonts w:ascii="宋体" w:hAnsi="宋体" w:cs="宋体"/>
          <w:b/>
          <w:bCs/>
          <w:color w:val="auto"/>
          <w:sz w:val="24"/>
        </w:rPr>
      </w:pPr>
      <w:r>
        <w:rPr>
          <w:rFonts w:hint="eastAsia" w:ascii="宋体" w:hAnsi="宋体" w:cs="宋体"/>
          <w:b/>
          <w:bCs/>
          <w:color w:val="auto"/>
          <w:sz w:val="24"/>
        </w:rPr>
        <w:t>注：此表根据评分标准编制。</w:t>
      </w:r>
    </w:p>
    <w:p>
      <w:pPr>
        <w:pStyle w:val="22"/>
        <w:ind w:firstLine="210"/>
        <w:rPr>
          <w:color w:val="auto"/>
        </w:rPr>
      </w:pPr>
    </w:p>
    <w:p>
      <w:pPr>
        <w:ind w:firstLine="1084" w:firstLineChars="300"/>
        <w:jc w:val="center"/>
        <w:rPr>
          <w:rStyle w:val="42"/>
          <w:rFonts w:ascii="宋体" w:hAnsi="宋体"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snapToGrid w:val="0"/>
        <w:spacing w:before="50" w:after="50"/>
        <w:rPr>
          <w:rStyle w:val="42"/>
          <w:rFonts w:ascii="宋体" w:hAnsi="宋体" w:cs="宋体"/>
          <w:color w:val="auto"/>
          <w:sz w:val="24"/>
        </w:rPr>
      </w:pPr>
    </w:p>
    <w:p>
      <w:pPr>
        <w:pStyle w:val="23"/>
        <w:rPr>
          <w:color w:val="auto"/>
        </w:rPr>
      </w:pPr>
    </w:p>
    <w:p>
      <w:pPr>
        <w:snapToGrid w:val="0"/>
        <w:spacing w:before="50" w:after="50"/>
        <w:jc w:val="center"/>
        <w:outlineLvl w:val="0"/>
        <w:rPr>
          <w:rStyle w:val="42"/>
          <w:rFonts w:ascii="宋体" w:hAnsi="宋体" w:cs="宋体"/>
          <w:b/>
          <w:bCs/>
          <w:color w:val="auto"/>
          <w:sz w:val="32"/>
          <w:szCs w:val="32"/>
        </w:rPr>
      </w:pPr>
      <w:bookmarkStart w:id="13" w:name="_Toc17998"/>
      <w:r>
        <w:rPr>
          <w:rStyle w:val="42"/>
          <w:rFonts w:hint="eastAsia" w:ascii="宋体" w:hAnsi="宋体" w:cs="宋体"/>
          <w:color w:val="auto"/>
          <w:sz w:val="32"/>
          <w:szCs w:val="32"/>
        </w:rPr>
        <w:t>一、</w:t>
      </w:r>
      <w:r>
        <w:rPr>
          <w:rStyle w:val="42"/>
          <w:rFonts w:hint="eastAsia" w:ascii="宋体" w:hAnsi="宋体" w:cs="宋体"/>
          <w:b/>
          <w:bCs/>
          <w:color w:val="auto"/>
          <w:sz w:val="32"/>
          <w:szCs w:val="32"/>
        </w:rPr>
        <w:t>资信证明文件要求</w:t>
      </w:r>
      <w:bookmarkEnd w:id="13"/>
    </w:p>
    <w:p>
      <w:pPr>
        <w:snapToGrid w:val="0"/>
        <w:spacing w:before="50" w:after="50"/>
        <w:rPr>
          <w:rStyle w:val="42"/>
          <w:rFonts w:ascii="宋体" w:hAnsi="宋体" w:cs="宋体"/>
          <w:i/>
          <w:color w:val="auto"/>
          <w:szCs w:val="24"/>
          <w:u w:val="single" w:color="000000"/>
        </w:rPr>
      </w:pPr>
    </w:p>
    <w:p>
      <w:pPr>
        <w:snapToGrid w:val="0"/>
        <w:spacing w:line="500" w:lineRule="exact"/>
        <w:ind w:firstLine="482" w:firstLineChars="200"/>
        <w:rPr>
          <w:rStyle w:val="42"/>
          <w:rFonts w:ascii="宋体" w:hAnsi="宋体" w:cs="宋体"/>
          <w:color w:val="auto"/>
          <w:sz w:val="24"/>
          <w:szCs w:val="20"/>
        </w:rPr>
      </w:pPr>
      <w:r>
        <w:rPr>
          <w:rStyle w:val="42"/>
          <w:rFonts w:hint="eastAsia" w:ascii="宋体" w:hAnsi="宋体" w:cs="宋体"/>
          <w:b/>
          <w:bCs/>
          <w:color w:val="auto"/>
          <w:sz w:val="24"/>
        </w:rPr>
        <w:t>1、实质性资格证明文件目录</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（1）法人或者其他组织的营业执照等证明文件，自然人的身份证明；</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（2）上一年度（2021年）的财务报表（成立不满一年不需提供）；</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（3）依法缴纳税收和社会保障资金的相关材料；</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（4）具备履行合同所必需的设备和专业技术能力的书面声明；</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（5）参加政府采购活动前3年内在经营活动中没有重大违法记录的书面声明；</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（6）法人授权书</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（7）招标文件中规定要求提供的证明材料和投标人认为需要提供的其他材料</w:t>
      </w:r>
    </w:p>
    <w:p>
      <w:pPr>
        <w:pStyle w:val="34"/>
        <w:spacing w:line="240" w:lineRule="atLeast"/>
        <w:rPr>
          <w:rStyle w:val="42"/>
          <w:rFonts w:ascii="宋体" w:hAnsi="宋体" w:cs="宋体"/>
          <w:b/>
          <w:bCs/>
          <w:color w:val="auto"/>
          <w:sz w:val="24"/>
        </w:rPr>
      </w:pPr>
    </w:p>
    <w:p>
      <w:pPr>
        <w:pStyle w:val="34"/>
        <w:spacing w:line="240" w:lineRule="atLeast"/>
        <w:rPr>
          <w:rStyle w:val="42"/>
          <w:rFonts w:ascii="宋体" w:hAnsi="宋体" w:cs="宋体"/>
          <w:b/>
          <w:bCs/>
          <w:color w:val="auto"/>
          <w:sz w:val="24"/>
        </w:rPr>
      </w:pPr>
    </w:p>
    <w:p>
      <w:pPr>
        <w:pStyle w:val="34"/>
        <w:spacing w:line="240" w:lineRule="atLeast"/>
        <w:rPr>
          <w:rStyle w:val="42"/>
          <w:rFonts w:ascii="宋体" w:hAnsi="宋体" w:cs="宋体"/>
          <w:b/>
          <w:bCs/>
          <w:color w:val="auto"/>
          <w:sz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5"/>
        <w:jc w:val="center"/>
        <w:rPr>
          <w:rStyle w:val="42"/>
          <w:rFonts w:ascii="宋体" w:hAnsi="宋体" w:cs="宋体"/>
          <w:b w:val="0"/>
          <w:bCs w:val="0"/>
          <w:color w:val="auto"/>
          <w:sz w:val="28"/>
          <w:szCs w:val="28"/>
        </w:rPr>
      </w:pPr>
      <w:r>
        <w:rPr>
          <w:rStyle w:val="42"/>
          <w:rFonts w:hint="eastAsia" w:ascii="宋体" w:hAnsi="宋体" w:cs="宋体"/>
          <w:color w:val="auto"/>
          <w:sz w:val="28"/>
          <w:szCs w:val="28"/>
        </w:rPr>
        <w:t>具备履行合同所必需的设备和专业技术能力的书面声明</w:t>
      </w:r>
    </w:p>
    <w:p>
      <w:pPr>
        <w:spacing w:line="460" w:lineRule="exact"/>
        <w:ind w:firstLine="492"/>
        <w:rPr>
          <w:rStyle w:val="42"/>
          <w:rFonts w:ascii="宋体" w:hAnsi="宋体" w:cs="宋体"/>
          <w:bCs/>
          <w:color w:val="auto"/>
          <w:sz w:val="28"/>
          <w:szCs w:val="28"/>
        </w:rPr>
      </w:pPr>
      <w:r>
        <w:rPr>
          <w:rStyle w:val="42"/>
          <w:rFonts w:hint="eastAsia" w:ascii="宋体" w:hAnsi="宋体" w:cs="宋体"/>
          <w:bCs/>
          <w:color w:val="auto"/>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2"/>
          <w:rFonts w:ascii="宋体" w:hAnsi="宋体" w:cs="宋体"/>
          <w:bCs/>
          <w:color w:val="auto"/>
          <w:sz w:val="28"/>
          <w:szCs w:val="28"/>
        </w:rPr>
      </w:pPr>
      <w:r>
        <w:rPr>
          <w:rStyle w:val="42"/>
          <w:rFonts w:hint="eastAsia" w:ascii="宋体" w:hAnsi="宋体" w:cs="宋体"/>
          <w:bCs/>
          <w:color w:val="auto"/>
          <w:sz w:val="28"/>
          <w:szCs w:val="28"/>
        </w:rPr>
        <w:t>主要设备有：。</w:t>
      </w:r>
    </w:p>
    <w:p>
      <w:pPr>
        <w:spacing w:line="460" w:lineRule="exact"/>
        <w:ind w:firstLine="492"/>
        <w:rPr>
          <w:rStyle w:val="42"/>
          <w:rFonts w:ascii="宋体" w:hAnsi="宋体" w:cs="宋体"/>
          <w:bCs/>
          <w:color w:val="auto"/>
          <w:sz w:val="28"/>
          <w:szCs w:val="28"/>
        </w:rPr>
      </w:pPr>
      <w:r>
        <w:rPr>
          <w:rStyle w:val="42"/>
          <w:rFonts w:hint="eastAsia" w:ascii="宋体" w:hAnsi="宋体" w:cs="宋体"/>
          <w:bCs/>
          <w:color w:val="auto"/>
          <w:sz w:val="28"/>
          <w:szCs w:val="28"/>
        </w:rPr>
        <w:t>主要专业技术能力有：。</w:t>
      </w:r>
    </w:p>
    <w:p>
      <w:pPr>
        <w:spacing w:line="460" w:lineRule="exact"/>
        <w:ind w:firstLine="492"/>
        <w:rPr>
          <w:rStyle w:val="42"/>
          <w:rFonts w:ascii="宋体" w:hAnsi="宋体" w:cs="宋体"/>
          <w:bCs/>
          <w:color w:val="auto"/>
          <w:sz w:val="28"/>
          <w:szCs w:val="28"/>
        </w:rPr>
      </w:pPr>
    </w:p>
    <w:p>
      <w:pPr>
        <w:spacing w:line="460" w:lineRule="exact"/>
        <w:ind w:firstLine="492"/>
        <w:rPr>
          <w:rStyle w:val="42"/>
          <w:rFonts w:ascii="宋体" w:hAnsi="宋体" w:cs="宋体"/>
          <w:bCs/>
          <w:color w:val="auto"/>
          <w:sz w:val="28"/>
          <w:szCs w:val="28"/>
        </w:rPr>
      </w:pPr>
    </w:p>
    <w:p>
      <w:pPr>
        <w:spacing w:line="460" w:lineRule="exact"/>
        <w:ind w:firstLine="492"/>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r>
        <w:rPr>
          <w:rStyle w:val="42"/>
          <w:rFonts w:hint="eastAsia" w:ascii="宋体" w:hAnsi="宋体" w:cs="宋体"/>
          <w:bCs/>
          <w:color w:val="auto"/>
          <w:sz w:val="28"/>
          <w:szCs w:val="28"/>
        </w:rPr>
        <w:t xml:space="preserve">                                       供应商名称（公章）：</w:t>
      </w:r>
    </w:p>
    <w:p>
      <w:pPr>
        <w:spacing w:line="460" w:lineRule="exact"/>
        <w:rPr>
          <w:rStyle w:val="42"/>
          <w:rFonts w:ascii="宋体" w:hAnsi="宋体" w:cs="宋体"/>
          <w:bCs/>
          <w:color w:val="auto"/>
          <w:sz w:val="28"/>
          <w:szCs w:val="28"/>
        </w:rPr>
      </w:pPr>
    </w:p>
    <w:p>
      <w:pPr>
        <w:spacing w:line="460" w:lineRule="exact"/>
        <w:jc w:val="right"/>
        <w:rPr>
          <w:rStyle w:val="42"/>
          <w:rFonts w:ascii="宋体" w:hAnsi="宋体" w:cs="宋体"/>
          <w:bCs/>
          <w:color w:val="auto"/>
          <w:sz w:val="28"/>
          <w:szCs w:val="28"/>
        </w:rPr>
      </w:pPr>
      <w:r>
        <w:rPr>
          <w:rStyle w:val="42"/>
          <w:rFonts w:hint="eastAsia" w:ascii="宋体" w:hAnsi="宋体" w:cs="宋体"/>
          <w:bCs/>
          <w:color w:val="auto"/>
          <w:sz w:val="28"/>
          <w:szCs w:val="28"/>
        </w:rPr>
        <w:t>日期：</w:t>
      </w:r>
      <w:r>
        <w:rPr>
          <w:rStyle w:val="42"/>
          <w:rFonts w:hint="eastAsia" w:ascii="宋体" w:hAnsi="宋体" w:cs="宋体"/>
          <w:bCs/>
          <w:color w:val="auto"/>
          <w:sz w:val="28"/>
          <w:szCs w:val="28"/>
          <w:u w:val="single" w:color="000000"/>
        </w:rPr>
        <w:t xml:space="preserve">    年    月    日</w:t>
      </w:r>
    </w:p>
    <w:p>
      <w:pPr>
        <w:pStyle w:val="35"/>
        <w:jc w:val="center"/>
        <w:rPr>
          <w:rStyle w:val="42"/>
          <w:rFonts w:ascii="宋体" w:hAnsi="宋体" w:cs="宋体"/>
          <w:color w:val="auto"/>
          <w:sz w:val="28"/>
          <w:szCs w:val="28"/>
        </w:rPr>
      </w:pPr>
      <w:r>
        <w:rPr>
          <w:rStyle w:val="42"/>
          <w:rFonts w:hint="eastAsia" w:ascii="宋体" w:hAnsi="宋体" w:cs="宋体"/>
          <w:color w:val="auto"/>
          <w:sz w:val="28"/>
          <w:szCs w:val="28"/>
        </w:rPr>
        <w:br w:type="page"/>
      </w:r>
      <w:r>
        <w:rPr>
          <w:rStyle w:val="42"/>
          <w:rFonts w:hint="eastAsia" w:ascii="宋体" w:hAnsi="宋体" w:cs="宋体"/>
          <w:color w:val="auto"/>
          <w:sz w:val="28"/>
          <w:szCs w:val="28"/>
        </w:rPr>
        <w:t>参加政府采购活动前 3 年内在经营活动中没有重大违法记录的书面声明</w:t>
      </w:r>
    </w:p>
    <w:p>
      <w:pPr>
        <w:spacing w:line="460" w:lineRule="exact"/>
        <w:rPr>
          <w:rStyle w:val="42"/>
          <w:rFonts w:ascii="宋体" w:hAnsi="宋体" w:cs="宋体"/>
          <w:b/>
          <w:bCs/>
          <w:color w:val="auto"/>
          <w:sz w:val="28"/>
          <w:szCs w:val="28"/>
        </w:rPr>
      </w:pPr>
    </w:p>
    <w:p>
      <w:pPr>
        <w:jc w:val="center"/>
        <w:rPr>
          <w:rStyle w:val="42"/>
          <w:rFonts w:ascii="宋体" w:hAnsi="宋体" w:cs="宋体"/>
          <w:b/>
          <w:bCs/>
          <w:color w:val="auto"/>
          <w:sz w:val="44"/>
          <w:szCs w:val="44"/>
        </w:rPr>
      </w:pPr>
      <w:r>
        <w:rPr>
          <w:rStyle w:val="42"/>
          <w:rFonts w:hint="eastAsia" w:ascii="宋体" w:hAnsi="宋体" w:cs="宋体"/>
          <w:b/>
          <w:bCs/>
          <w:color w:val="auto"/>
          <w:sz w:val="44"/>
          <w:szCs w:val="44"/>
        </w:rPr>
        <w:t>声  明</w:t>
      </w:r>
    </w:p>
    <w:p>
      <w:pPr>
        <w:spacing w:line="460" w:lineRule="exact"/>
        <w:rPr>
          <w:rStyle w:val="42"/>
          <w:rFonts w:ascii="宋体" w:hAnsi="宋体" w:cs="宋体"/>
          <w:bCs/>
          <w:color w:val="auto"/>
          <w:sz w:val="28"/>
          <w:szCs w:val="28"/>
        </w:rPr>
      </w:pPr>
      <w:r>
        <w:rPr>
          <w:rStyle w:val="42"/>
          <w:rFonts w:hint="eastAsia" w:ascii="宋体" w:hAnsi="宋体" w:cs="宋体"/>
          <w:bCs/>
          <w:color w:val="auto"/>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2"/>
          <w:rFonts w:ascii="宋体" w:hAnsi="宋体" w:cs="宋体"/>
          <w:bCs/>
          <w:color w:val="auto"/>
          <w:sz w:val="28"/>
          <w:szCs w:val="28"/>
        </w:rPr>
      </w:pPr>
    </w:p>
    <w:p>
      <w:pPr>
        <w:spacing w:line="460" w:lineRule="exact"/>
        <w:ind w:firstLine="3640" w:firstLineChars="1300"/>
        <w:rPr>
          <w:rStyle w:val="42"/>
          <w:rFonts w:ascii="宋体" w:hAnsi="宋体" w:cs="宋体"/>
          <w:bCs/>
          <w:color w:val="auto"/>
          <w:sz w:val="28"/>
          <w:szCs w:val="28"/>
        </w:rPr>
      </w:pPr>
      <w:r>
        <w:rPr>
          <w:rStyle w:val="42"/>
          <w:rFonts w:hint="eastAsia" w:ascii="宋体" w:hAnsi="宋体" w:cs="宋体"/>
          <w:bCs/>
          <w:color w:val="auto"/>
          <w:sz w:val="28"/>
          <w:szCs w:val="28"/>
        </w:rPr>
        <w:t>供应商名称（公章）：</w:t>
      </w:r>
    </w:p>
    <w:p>
      <w:pPr>
        <w:spacing w:line="460" w:lineRule="exact"/>
        <w:ind w:firstLine="3640" w:firstLineChars="1300"/>
        <w:rPr>
          <w:rStyle w:val="42"/>
          <w:rFonts w:ascii="宋体" w:hAnsi="宋体" w:cs="宋体"/>
          <w:bCs/>
          <w:color w:val="auto"/>
          <w:sz w:val="28"/>
          <w:szCs w:val="28"/>
        </w:rPr>
      </w:pPr>
      <w:r>
        <w:rPr>
          <w:rStyle w:val="42"/>
          <w:rFonts w:hint="eastAsia" w:ascii="宋体" w:hAnsi="宋体" w:cs="宋体"/>
          <w:bCs/>
          <w:color w:val="auto"/>
          <w:sz w:val="28"/>
          <w:szCs w:val="28"/>
        </w:rPr>
        <w:t>授权代表签字：</w:t>
      </w:r>
      <w:r>
        <w:rPr>
          <w:rStyle w:val="42"/>
          <w:rFonts w:hint="eastAsia" w:ascii="宋体" w:hAnsi="宋体" w:cs="宋体"/>
          <w:bCs/>
          <w:color w:val="auto"/>
          <w:sz w:val="28"/>
          <w:szCs w:val="28"/>
          <w:u w:val="single" w:color="000000"/>
        </w:rPr>
        <w:t>_______________________</w:t>
      </w:r>
    </w:p>
    <w:p>
      <w:pPr>
        <w:spacing w:line="460" w:lineRule="exact"/>
        <w:rPr>
          <w:rStyle w:val="42"/>
          <w:rFonts w:ascii="宋体" w:hAnsi="宋体" w:cs="宋体"/>
          <w:bCs/>
          <w:color w:val="auto"/>
          <w:sz w:val="28"/>
          <w:szCs w:val="28"/>
        </w:rPr>
      </w:pPr>
      <w:r>
        <w:rPr>
          <w:rStyle w:val="42"/>
          <w:rFonts w:hint="eastAsia" w:ascii="宋体" w:hAnsi="宋体" w:cs="宋体"/>
          <w:bCs/>
          <w:color w:val="auto"/>
          <w:sz w:val="28"/>
          <w:szCs w:val="28"/>
        </w:rPr>
        <w:t xml:space="preserve">                          日期：</w:t>
      </w:r>
      <w:r>
        <w:rPr>
          <w:rStyle w:val="42"/>
          <w:rFonts w:hint="eastAsia" w:ascii="宋体" w:hAnsi="宋体" w:cs="宋体"/>
          <w:bCs/>
          <w:color w:val="auto"/>
          <w:sz w:val="28"/>
          <w:szCs w:val="28"/>
          <w:u w:val="single" w:color="000000"/>
        </w:rPr>
        <w:t>______年    月    日</w:t>
      </w: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pStyle w:val="6"/>
        <w:rPr>
          <w:color w:val="auto"/>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pStyle w:val="23"/>
        <w:rPr>
          <w:color w:val="auto"/>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pStyle w:val="5"/>
        <w:tabs>
          <w:tab w:val="left" w:pos="1275"/>
        </w:tabs>
        <w:jc w:val="center"/>
        <w:rPr>
          <w:rFonts w:hAnsi="宋体"/>
          <w:color w:val="auto"/>
        </w:rPr>
      </w:pPr>
      <w:r>
        <w:rPr>
          <w:rFonts w:hint="eastAsia" w:hAnsi="宋体"/>
          <w:color w:val="auto"/>
        </w:rPr>
        <w:t>法定代表人身份证明书</w:t>
      </w:r>
    </w:p>
    <w:p>
      <w:pPr>
        <w:rPr>
          <w:rFonts w:ascii="宋体" w:hAnsi="宋体"/>
          <w:color w:val="auto"/>
          <w:sz w:val="24"/>
        </w:rPr>
      </w:pP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单位名称：</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单位性质：</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地    址：</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成立时间：</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经营期限：</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姓    名：</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联系电话：</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系</w:t>
      </w:r>
      <w:r>
        <w:rPr>
          <w:rFonts w:hint="eastAsia" w:ascii="宋体" w:hAnsi="宋体"/>
          <w:color w:val="auto"/>
          <w:sz w:val="28"/>
          <w:szCs w:val="22"/>
          <w:u w:val="single"/>
        </w:rPr>
        <w:t xml:space="preserve">                      (</w:t>
      </w:r>
      <w:r>
        <w:rPr>
          <w:rFonts w:hint="eastAsia" w:ascii="宋体" w:hAnsi="宋体"/>
          <w:color w:val="auto"/>
          <w:sz w:val="28"/>
          <w:szCs w:val="22"/>
        </w:rPr>
        <w:t>投标单位名称)的法定代表人。</w:t>
      </w: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r>
        <w:rPr>
          <w:rFonts w:hint="eastAsia" w:ascii="宋体" w:hAnsi="宋体"/>
          <w:color w:val="auto"/>
          <w:sz w:val="28"/>
          <w:szCs w:val="22"/>
        </w:rPr>
        <w:t>特此证明。</w:t>
      </w: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r>
        <w:rPr>
          <w:rFonts w:hint="eastAsia" w:ascii="宋体" w:hAnsi="宋体"/>
          <w:color w:val="auto"/>
          <w:sz w:val="28"/>
          <w:szCs w:val="22"/>
        </w:rPr>
        <w:t>投标人：(盖章)</w:t>
      </w:r>
    </w:p>
    <w:p>
      <w:pPr>
        <w:snapToGrid w:val="0"/>
        <w:spacing w:line="480" w:lineRule="exact"/>
        <w:ind w:firstLine="560" w:firstLineChars="200"/>
        <w:jc w:val="left"/>
        <w:rPr>
          <w:rFonts w:ascii="宋体" w:hAnsi="宋体"/>
          <w:color w:val="auto"/>
          <w:sz w:val="28"/>
          <w:szCs w:val="22"/>
        </w:rPr>
      </w:pPr>
    </w:p>
    <w:p>
      <w:pPr>
        <w:pStyle w:val="22"/>
        <w:ind w:firstLine="280"/>
        <w:rPr>
          <w:rFonts w:ascii="宋体" w:hAnsi="宋体"/>
          <w:color w:val="auto"/>
          <w:sz w:val="28"/>
          <w:szCs w:val="22"/>
        </w:rPr>
      </w:pPr>
    </w:p>
    <w:p>
      <w:pPr>
        <w:snapToGrid w:val="0"/>
        <w:spacing w:line="480" w:lineRule="exact"/>
        <w:ind w:firstLine="560" w:firstLineChars="200"/>
        <w:jc w:val="left"/>
        <w:rPr>
          <w:rStyle w:val="42"/>
          <w:rFonts w:ascii="宋体" w:hAnsi="宋体" w:cs="宋体"/>
          <w:color w:val="auto"/>
          <w:sz w:val="28"/>
          <w:szCs w:val="28"/>
        </w:rPr>
      </w:pPr>
      <w:r>
        <w:rPr>
          <w:rFonts w:hint="eastAsia" w:ascii="宋体" w:hAnsi="宋体"/>
          <w:color w:val="auto"/>
          <w:sz w:val="28"/>
          <w:szCs w:val="22"/>
        </w:rPr>
        <w:t>日   期：   年   月   日</w:t>
      </w:r>
    </w:p>
    <w:p>
      <w:pPr>
        <w:pStyle w:val="35"/>
        <w:jc w:val="center"/>
        <w:rPr>
          <w:rStyle w:val="42"/>
          <w:rFonts w:ascii="宋体" w:hAnsi="宋体" w:cs="宋体"/>
          <w:color w:val="auto"/>
          <w:sz w:val="28"/>
          <w:szCs w:val="28"/>
        </w:rPr>
      </w:pPr>
      <w:r>
        <w:rPr>
          <w:rStyle w:val="42"/>
          <w:rFonts w:hint="eastAsia" w:ascii="宋体" w:hAnsi="宋体" w:cs="宋体"/>
          <w:color w:val="auto"/>
          <w:sz w:val="28"/>
          <w:szCs w:val="28"/>
        </w:rPr>
        <w:t>法人授权书</w:t>
      </w:r>
    </w:p>
    <w:p>
      <w:pPr>
        <w:pStyle w:val="113"/>
        <w:ind w:firstLine="560"/>
        <w:rPr>
          <w:rStyle w:val="42"/>
          <w:rFonts w:ascii="宋体" w:hAnsi="宋体" w:cs="宋体"/>
          <w:color w:val="auto"/>
          <w:szCs w:val="28"/>
        </w:rPr>
      </w:pPr>
      <w:r>
        <w:rPr>
          <w:rStyle w:val="42"/>
          <w:rFonts w:hint="eastAsia" w:ascii="宋体" w:hAnsi="宋体" w:cs="宋体"/>
          <w:color w:val="auto"/>
          <w:szCs w:val="28"/>
        </w:rPr>
        <w:t>本授权书声明：____________（供应商名称）授权________________（被授权人的姓名）为我方就号项目采购活动的合法代理人，以本公司名义全权处理一切与该项目采购有关的事务。</w:t>
      </w:r>
    </w:p>
    <w:p>
      <w:pPr>
        <w:pStyle w:val="113"/>
        <w:ind w:firstLine="560"/>
        <w:rPr>
          <w:rStyle w:val="42"/>
          <w:rFonts w:ascii="宋体" w:hAnsi="宋体" w:cs="宋体"/>
          <w:color w:val="auto"/>
          <w:szCs w:val="28"/>
        </w:rPr>
      </w:pPr>
      <w:r>
        <w:rPr>
          <w:rStyle w:val="42"/>
          <w:rFonts w:hint="eastAsia" w:ascii="宋体" w:hAnsi="宋体" w:cs="宋体"/>
          <w:color w:val="auto"/>
          <w:szCs w:val="28"/>
        </w:rPr>
        <w:t>本授权书于______年____月____日起生效，特此声明。</w:t>
      </w:r>
    </w:p>
    <w:p>
      <w:pPr>
        <w:pStyle w:val="113"/>
        <w:ind w:firstLineChars="0"/>
        <w:rPr>
          <w:rStyle w:val="42"/>
          <w:rFonts w:ascii="宋体" w:hAnsi="宋体" w:cs="宋体"/>
          <w:color w:val="auto"/>
          <w:szCs w:val="28"/>
        </w:rPr>
      </w:pPr>
      <w:r>
        <w:rPr>
          <w:rStyle w:val="42"/>
          <w:rFonts w:hint="eastAsia" w:ascii="宋体" w:hAnsi="宋体" w:cs="宋体"/>
          <w:color w:val="auto"/>
          <w:szCs w:val="28"/>
        </w:rPr>
        <w:t xml:space="preserve">          代理人（被授权人）：_______________________</w:t>
      </w:r>
    </w:p>
    <w:p>
      <w:pPr>
        <w:pStyle w:val="113"/>
        <w:ind w:firstLineChars="0"/>
        <w:rPr>
          <w:rStyle w:val="42"/>
          <w:rFonts w:ascii="宋体" w:hAnsi="宋体" w:cs="宋体"/>
          <w:color w:val="auto"/>
          <w:szCs w:val="28"/>
        </w:rPr>
      </w:pPr>
    </w:p>
    <w:p>
      <w:pPr>
        <w:pStyle w:val="113"/>
        <w:ind w:firstLineChars="0"/>
        <w:rPr>
          <w:rStyle w:val="42"/>
          <w:rFonts w:ascii="宋体" w:hAnsi="宋体" w:cs="宋体"/>
          <w:color w:val="auto"/>
          <w:szCs w:val="28"/>
        </w:rPr>
      </w:pPr>
      <w:r>
        <w:rPr>
          <w:rStyle w:val="42"/>
          <w:rFonts w:hint="eastAsia" w:ascii="宋体" w:hAnsi="宋体" w:cs="宋体"/>
          <w:color w:val="auto"/>
          <w:szCs w:val="28"/>
        </w:rPr>
        <w:t xml:space="preserve">          单位名称：_____________________________________</w:t>
      </w:r>
    </w:p>
    <w:p>
      <w:pPr>
        <w:pStyle w:val="113"/>
        <w:ind w:firstLine="560"/>
        <w:rPr>
          <w:rStyle w:val="42"/>
          <w:rFonts w:ascii="宋体" w:hAnsi="宋体" w:cs="宋体"/>
          <w:color w:val="auto"/>
          <w:szCs w:val="28"/>
        </w:rPr>
      </w:pPr>
    </w:p>
    <w:p>
      <w:pPr>
        <w:pStyle w:val="113"/>
        <w:ind w:firstLineChars="0"/>
        <w:rPr>
          <w:rStyle w:val="42"/>
          <w:rFonts w:ascii="宋体" w:hAnsi="宋体" w:cs="宋体"/>
          <w:color w:val="auto"/>
          <w:szCs w:val="28"/>
        </w:rPr>
      </w:pPr>
      <w:r>
        <w:rPr>
          <w:rStyle w:val="42"/>
          <w:rFonts w:hint="eastAsia" w:ascii="宋体" w:hAnsi="宋体" w:cs="宋体"/>
          <w:color w:val="auto"/>
          <w:szCs w:val="28"/>
        </w:rPr>
        <w:t xml:space="preserve">          授权单位盖章：_________________________________</w:t>
      </w:r>
    </w:p>
    <w:p>
      <w:pPr>
        <w:pStyle w:val="113"/>
        <w:ind w:firstLine="560"/>
        <w:rPr>
          <w:rStyle w:val="42"/>
          <w:rFonts w:ascii="宋体" w:hAnsi="宋体" w:cs="宋体"/>
          <w:color w:val="auto"/>
          <w:szCs w:val="28"/>
        </w:rPr>
      </w:pPr>
      <w:r>
        <w:rPr>
          <w:rStyle w:val="42"/>
          <w:rFonts w:hint="eastAsia" w:ascii="宋体" w:hAnsi="宋体" w:cs="宋体"/>
          <w:color w:val="auto"/>
          <w:szCs w:val="28"/>
        </w:rPr>
        <w:t xml:space="preserve">       单位名称：_____________________________________</w:t>
      </w:r>
    </w:p>
    <w:p>
      <w:pPr>
        <w:pStyle w:val="113"/>
        <w:ind w:firstLine="560"/>
        <w:rPr>
          <w:rStyle w:val="42"/>
          <w:rFonts w:ascii="宋体" w:hAnsi="宋体" w:cs="宋体"/>
          <w:color w:val="auto"/>
          <w:szCs w:val="28"/>
          <w:u w:val="single" w:color="000000"/>
        </w:rPr>
      </w:pPr>
      <w:r>
        <w:rPr>
          <w:rStyle w:val="42"/>
          <w:rFonts w:hint="eastAsia" w:ascii="宋体" w:hAnsi="宋体" w:cs="宋体"/>
          <w:color w:val="auto"/>
          <w:szCs w:val="28"/>
        </w:rPr>
        <w:t xml:space="preserve">       地址：_____________________________________</w:t>
      </w:r>
    </w:p>
    <w:p>
      <w:pPr>
        <w:pStyle w:val="113"/>
        <w:ind w:firstLine="560"/>
        <w:rPr>
          <w:rStyle w:val="42"/>
          <w:rFonts w:ascii="宋体" w:hAnsi="宋体" w:cs="宋体"/>
          <w:color w:val="auto"/>
          <w:szCs w:val="28"/>
        </w:rPr>
      </w:pPr>
      <w:r>
        <w:rPr>
          <w:rStyle w:val="42"/>
          <w:rFonts w:hint="eastAsia" w:ascii="宋体" w:hAnsi="宋体" w:cs="宋体"/>
          <w:color w:val="auto"/>
          <w:szCs w:val="28"/>
        </w:rPr>
        <w:t xml:space="preserve">       日期：_____________________________________                    </w:t>
      </w:r>
    </w:p>
    <w:p>
      <w:pPr>
        <w:ind w:firstLine="560" w:firstLineChars="200"/>
        <w:rPr>
          <w:rFonts w:ascii="宋体" w:hAnsi="宋体"/>
          <w:color w:val="auto"/>
          <w:sz w:val="28"/>
          <w:szCs w:val="22"/>
        </w:rPr>
      </w:pPr>
      <w:r>
        <w:rPr>
          <w:rFonts w:hint="eastAsia" w:ascii="宋体" w:hAnsi="宋体"/>
          <w:color w:val="auto"/>
          <w:sz w:val="28"/>
          <w:szCs w:val="22"/>
        </w:rPr>
        <w:t>附：</w:t>
      </w:r>
    </w:p>
    <w:tbl>
      <w:tblPr>
        <w:tblStyle w:val="2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olor w:val="auto"/>
                <w:sz w:val="24"/>
              </w:rPr>
            </w:pPr>
            <w:r>
              <w:rPr>
                <w:rFonts w:hint="eastAsia" w:ascii="宋体" w:hAnsi="宋体"/>
                <w:color w:val="auto"/>
                <w:sz w:val="28"/>
                <w:szCs w:val="22"/>
              </w:rPr>
              <w:t>(代理人身份证复印件粘贴处)</w:t>
            </w:r>
          </w:p>
        </w:tc>
      </w:tr>
    </w:tbl>
    <w:p>
      <w:pPr>
        <w:snapToGrid w:val="0"/>
        <w:spacing w:before="50" w:after="50"/>
        <w:jc w:val="center"/>
        <w:rPr>
          <w:rStyle w:val="42"/>
          <w:rFonts w:ascii="宋体" w:hAnsi="宋体" w:cs="宋体"/>
          <w:color w:val="auto"/>
          <w:sz w:val="32"/>
          <w:szCs w:val="32"/>
        </w:rPr>
      </w:pPr>
    </w:p>
    <w:p>
      <w:pPr>
        <w:snapToGrid w:val="0"/>
        <w:spacing w:before="50" w:after="50"/>
        <w:jc w:val="center"/>
        <w:rPr>
          <w:rStyle w:val="42"/>
          <w:rFonts w:ascii="宋体" w:hAnsi="宋体" w:cs="宋体"/>
          <w:color w:val="auto"/>
          <w:sz w:val="32"/>
          <w:szCs w:val="32"/>
        </w:rPr>
      </w:pPr>
    </w:p>
    <w:p>
      <w:pPr>
        <w:pStyle w:val="6"/>
        <w:rPr>
          <w:color w:val="auto"/>
        </w:rPr>
      </w:pPr>
    </w:p>
    <w:p>
      <w:pPr>
        <w:snapToGrid w:val="0"/>
        <w:spacing w:before="50" w:after="50"/>
        <w:jc w:val="center"/>
        <w:outlineLvl w:val="0"/>
        <w:rPr>
          <w:rStyle w:val="42"/>
          <w:rFonts w:ascii="宋体" w:hAnsi="宋体" w:cs="宋体"/>
          <w:color w:val="auto"/>
          <w:sz w:val="32"/>
          <w:szCs w:val="32"/>
        </w:rPr>
      </w:pPr>
      <w:bookmarkStart w:id="14" w:name="_Toc24970"/>
      <w:r>
        <w:rPr>
          <w:rStyle w:val="42"/>
          <w:rFonts w:hint="eastAsia" w:ascii="宋体" w:hAnsi="宋体" w:cs="宋体"/>
          <w:color w:val="auto"/>
          <w:sz w:val="32"/>
          <w:szCs w:val="32"/>
        </w:rPr>
        <w:t>二、资格性审查响应对照表（格式）</w:t>
      </w:r>
      <w:bookmarkEnd w:id="14"/>
    </w:p>
    <w:p>
      <w:pPr>
        <w:ind w:firstLine="309"/>
        <w:rPr>
          <w:rStyle w:val="42"/>
          <w:rFonts w:ascii="宋体" w:hAnsi="宋体" w:cs="宋体"/>
          <w:color w:val="auto"/>
          <w:sz w:val="24"/>
          <w:szCs w:val="24"/>
        </w:rPr>
      </w:pPr>
      <w:r>
        <w:rPr>
          <w:rStyle w:val="42"/>
          <w:rFonts w:hint="eastAsia" w:ascii="宋体" w:hAnsi="宋体" w:cs="宋体"/>
          <w:color w:val="auto"/>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是否响应</w:t>
            </w:r>
          </w:p>
          <w:p>
            <w:pPr>
              <w:snapToGrid w:val="0"/>
              <w:spacing w:line="240" w:lineRule="atLeast"/>
              <w:jc w:val="center"/>
              <w:rPr>
                <w:rStyle w:val="42"/>
                <w:rFonts w:ascii="宋体" w:hAnsi="宋体" w:cs="宋体"/>
                <w:b/>
                <w:color w:val="auto"/>
              </w:rPr>
            </w:pPr>
            <w:r>
              <w:rPr>
                <w:rStyle w:val="42"/>
                <w:rFonts w:hint="eastAsia" w:ascii="宋体" w:hAnsi="宋体" w:cs="宋体"/>
                <w:b/>
                <w:color w:val="auto"/>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投标文件中的</w:t>
            </w:r>
          </w:p>
          <w:p>
            <w:pPr>
              <w:snapToGrid w:val="0"/>
              <w:spacing w:line="240" w:lineRule="atLeast"/>
              <w:jc w:val="center"/>
              <w:rPr>
                <w:rStyle w:val="42"/>
                <w:rFonts w:ascii="宋体" w:hAnsi="宋体" w:cs="宋体"/>
                <w:b/>
                <w:color w:val="auto"/>
              </w:rPr>
            </w:pPr>
            <w:r>
              <w:rPr>
                <w:rStyle w:val="42"/>
                <w:rFonts w:hint="eastAsia" w:ascii="宋体" w:hAnsi="宋体" w:cs="宋体"/>
                <w:b/>
                <w:color w:val="auto"/>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r>
              <w:rPr>
                <w:rStyle w:val="42"/>
                <w:rFonts w:hint="eastAsia" w:ascii="宋体" w:hAnsi="宋体" w:cs="宋体"/>
                <w:b/>
                <w:color w:val="auto"/>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bl>
    <w:p>
      <w:pPr>
        <w:spacing w:line="440" w:lineRule="exact"/>
        <w:ind w:firstLine="480" w:firstLineChars="200"/>
        <w:rPr>
          <w:rStyle w:val="42"/>
          <w:rFonts w:ascii="宋体" w:hAnsi="宋体" w:cs="宋体"/>
          <w:color w:val="auto"/>
          <w:sz w:val="24"/>
        </w:rPr>
      </w:pPr>
    </w:p>
    <w:p>
      <w:pPr>
        <w:snapToGrid w:val="0"/>
        <w:spacing w:before="50" w:after="50"/>
        <w:rPr>
          <w:rStyle w:val="42"/>
          <w:rFonts w:ascii="宋体" w:hAnsi="宋体" w:cs="宋体"/>
          <w:color w:val="auto"/>
          <w:sz w:val="44"/>
        </w:rPr>
      </w:pPr>
    </w:p>
    <w:p>
      <w:pPr>
        <w:snapToGrid w:val="0"/>
        <w:spacing w:before="50" w:after="50"/>
        <w:rPr>
          <w:rStyle w:val="42"/>
          <w:rFonts w:ascii="宋体" w:hAnsi="宋体" w:cs="宋体"/>
          <w:color w:val="auto"/>
          <w:sz w:val="44"/>
        </w:rPr>
      </w:pPr>
    </w:p>
    <w:p>
      <w:pPr>
        <w:snapToGrid w:val="0"/>
        <w:spacing w:before="50" w:after="50"/>
        <w:rPr>
          <w:rStyle w:val="42"/>
          <w:rFonts w:ascii="宋体" w:hAnsi="宋体" w:cs="宋体"/>
          <w:color w:val="auto"/>
          <w:sz w:val="44"/>
        </w:rPr>
      </w:pPr>
    </w:p>
    <w:p>
      <w:pPr>
        <w:snapToGrid w:val="0"/>
        <w:spacing w:before="50" w:after="50"/>
        <w:jc w:val="center"/>
        <w:rPr>
          <w:rStyle w:val="42"/>
          <w:rFonts w:ascii="宋体" w:hAnsi="宋体" w:cs="宋体"/>
          <w:color w:val="auto"/>
          <w:sz w:val="32"/>
          <w:szCs w:val="32"/>
        </w:rPr>
      </w:pPr>
    </w:p>
    <w:p>
      <w:pPr>
        <w:snapToGrid w:val="0"/>
        <w:spacing w:before="50" w:after="50"/>
        <w:jc w:val="center"/>
        <w:outlineLvl w:val="0"/>
        <w:rPr>
          <w:rStyle w:val="42"/>
          <w:rFonts w:ascii="宋体" w:hAnsi="宋体" w:cs="宋体"/>
          <w:color w:val="auto"/>
          <w:sz w:val="32"/>
          <w:szCs w:val="32"/>
        </w:rPr>
      </w:pPr>
      <w:bookmarkStart w:id="15" w:name="_Toc12095"/>
      <w:r>
        <w:rPr>
          <w:rStyle w:val="42"/>
          <w:rFonts w:hint="eastAsia" w:ascii="宋体" w:hAnsi="宋体" w:cs="宋体"/>
          <w:color w:val="auto"/>
          <w:sz w:val="32"/>
          <w:szCs w:val="32"/>
        </w:rPr>
        <w:t>三、符合性检查响应对照表（格式）</w:t>
      </w:r>
      <w:bookmarkEnd w:id="15"/>
    </w:p>
    <w:p>
      <w:pPr>
        <w:ind w:firstLine="309"/>
        <w:rPr>
          <w:rStyle w:val="42"/>
          <w:rFonts w:ascii="宋体" w:hAnsi="宋体" w:cs="宋体"/>
          <w:color w:val="auto"/>
          <w:sz w:val="24"/>
          <w:szCs w:val="24"/>
        </w:rPr>
      </w:pPr>
      <w:r>
        <w:rPr>
          <w:rStyle w:val="42"/>
          <w:rFonts w:hint="eastAsia" w:ascii="宋体" w:hAnsi="宋体" w:cs="宋体"/>
          <w:color w:val="auto"/>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是否响应</w:t>
            </w:r>
          </w:p>
          <w:p>
            <w:pPr>
              <w:snapToGrid w:val="0"/>
              <w:spacing w:line="240" w:lineRule="atLeast"/>
              <w:jc w:val="center"/>
              <w:rPr>
                <w:rStyle w:val="42"/>
                <w:rFonts w:ascii="宋体" w:hAnsi="宋体" w:cs="宋体"/>
                <w:b/>
                <w:color w:val="auto"/>
              </w:rPr>
            </w:pPr>
            <w:r>
              <w:rPr>
                <w:rStyle w:val="42"/>
                <w:rFonts w:hint="eastAsia" w:ascii="宋体" w:hAnsi="宋体" w:cs="宋体"/>
                <w:b/>
                <w:color w:val="auto"/>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投标文件中的</w:t>
            </w:r>
          </w:p>
          <w:p>
            <w:pPr>
              <w:snapToGrid w:val="0"/>
              <w:spacing w:line="240" w:lineRule="atLeast"/>
              <w:jc w:val="center"/>
              <w:rPr>
                <w:rStyle w:val="42"/>
                <w:rFonts w:ascii="宋体" w:hAnsi="宋体" w:cs="宋体"/>
                <w:b/>
                <w:color w:val="auto"/>
              </w:rPr>
            </w:pPr>
            <w:r>
              <w:rPr>
                <w:rStyle w:val="42"/>
                <w:rFonts w:hint="eastAsia" w:ascii="宋体" w:hAnsi="宋体" w:cs="宋体"/>
                <w:b/>
                <w:color w:val="auto"/>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r>
              <w:rPr>
                <w:rStyle w:val="42"/>
                <w:rFonts w:hint="eastAsia" w:ascii="宋体" w:hAnsi="宋体" w:cs="宋体"/>
                <w:b/>
                <w:color w:val="auto"/>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r>
              <w:rPr>
                <w:rStyle w:val="42"/>
                <w:rFonts w:hint="eastAsia" w:ascii="宋体" w:hAnsi="宋体" w:cs="宋体"/>
                <w:iCs/>
                <w:color w:val="auto"/>
                <w:sz w:val="24"/>
                <w:szCs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bl>
    <w:p>
      <w:pPr>
        <w:snapToGrid w:val="0"/>
        <w:spacing w:before="50" w:after="50"/>
        <w:rPr>
          <w:rStyle w:val="42"/>
          <w:rFonts w:ascii="宋体" w:hAnsi="宋体" w:cs="宋体"/>
          <w:color w:val="auto"/>
          <w:sz w:val="44"/>
        </w:rPr>
      </w:pPr>
    </w:p>
    <w:p>
      <w:pPr>
        <w:snapToGrid w:val="0"/>
        <w:spacing w:before="50" w:after="50"/>
        <w:rPr>
          <w:rStyle w:val="42"/>
          <w:rFonts w:ascii="宋体" w:hAnsi="宋体" w:cs="宋体"/>
          <w:color w:val="auto"/>
          <w:sz w:val="44"/>
        </w:rPr>
      </w:pPr>
    </w:p>
    <w:p>
      <w:pPr>
        <w:pStyle w:val="6"/>
        <w:rPr>
          <w:color w:val="auto"/>
        </w:rPr>
      </w:pPr>
    </w:p>
    <w:p>
      <w:pPr>
        <w:snapToGrid w:val="0"/>
        <w:spacing w:before="50" w:after="50"/>
        <w:rPr>
          <w:rStyle w:val="42"/>
          <w:rFonts w:ascii="宋体" w:hAnsi="宋体" w:cs="宋体"/>
          <w:color w:val="auto"/>
          <w:sz w:val="44"/>
        </w:rPr>
      </w:pPr>
    </w:p>
    <w:p>
      <w:pPr>
        <w:snapToGrid w:val="0"/>
        <w:spacing w:before="50" w:after="50"/>
        <w:rPr>
          <w:rStyle w:val="42"/>
          <w:rFonts w:ascii="宋体" w:hAnsi="宋体" w:cs="宋体"/>
          <w:color w:val="auto"/>
          <w:sz w:val="24"/>
          <w:szCs w:val="24"/>
        </w:rPr>
      </w:pPr>
    </w:p>
    <w:p>
      <w:pPr>
        <w:snapToGrid w:val="0"/>
        <w:spacing w:before="50" w:after="50"/>
        <w:jc w:val="center"/>
        <w:outlineLvl w:val="0"/>
        <w:rPr>
          <w:rStyle w:val="42"/>
          <w:rFonts w:ascii="宋体" w:hAnsi="宋体" w:cs="宋体"/>
          <w:color w:val="auto"/>
          <w:sz w:val="32"/>
          <w:szCs w:val="32"/>
        </w:rPr>
      </w:pPr>
      <w:bookmarkStart w:id="16" w:name="_Toc18771"/>
      <w:r>
        <w:rPr>
          <w:rStyle w:val="42"/>
          <w:rFonts w:hint="eastAsia" w:ascii="宋体" w:hAnsi="宋体" w:cs="宋体"/>
          <w:color w:val="auto"/>
          <w:sz w:val="32"/>
          <w:szCs w:val="32"/>
        </w:rPr>
        <w:t>四、投标函（格式）</w:t>
      </w:r>
      <w:bookmarkEnd w:id="16"/>
    </w:p>
    <w:p>
      <w:pPr>
        <w:pStyle w:val="128"/>
        <w:spacing w:before="0" w:after="0" w:line="420" w:lineRule="exact"/>
        <w:ind w:firstLine="0"/>
        <w:rPr>
          <w:rStyle w:val="42"/>
          <w:rFonts w:ascii="宋体" w:hAnsi="宋体" w:cs="宋体"/>
          <w:color w:val="auto"/>
          <w:kern w:val="2"/>
          <w:szCs w:val="21"/>
        </w:rPr>
      </w:pPr>
      <w:r>
        <w:rPr>
          <w:rStyle w:val="42"/>
          <w:rFonts w:hint="eastAsia" w:ascii="宋体" w:hAnsi="宋体" w:cs="宋体"/>
          <w:color w:val="auto"/>
          <w:kern w:val="2"/>
          <w:szCs w:val="21"/>
        </w:rPr>
        <w:t>致：</w:t>
      </w:r>
      <w:r>
        <w:rPr>
          <w:rStyle w:val="42"/>
          <w:rFonts w:hint="eastAsia" w:ascii="宋体" w:hAnsi="宋体" w:cs="宋体"/>
          <w:color w:val="auto"/>
          <w:kern w:val="2"/>
          <w:szCs w:val="21"/>
          <w:u w:val="single" w:color="000000"/>
        </w:rPr>
        <w:t>盐城工业职业技术学院</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根据贵方的</w:t>
      </w:r>
      <w:r>
        <w:rPr>
          <w:rStyle w:val="42"/>
          <w:rFonts w:hint="eastAsia" w:ascii="宋体" w:hAnsi="宋体" w:cs="宋体"/>
          <w:color w:val="auto"/>
          <w:kern w:val="2"/>
          <w:szCs w:val="21"/>
          <w:u w:val="single" w:color="000000"/>
        </w:rPr>
        <w:t xml:space="preserve">     号</w:t>
      </w:r>
      <w:r>
        <w:rPr>
          <w:rStyle w:val="42"/>
          <w:rFonts w:hint="eastAsia" w:ascii="宋体" w:hAnsi="宋体" w:cs="宋体"/>
          <w:color w:val="auto"/>
          <w:kern w:val="2"/>
          <w:szCs w:val="21"/>
        </w:rPr>
        <w:t>招标文件，正式授权下述签字人_________(姓名)代表我方______________（投标人的名称），全权处理本次项目投标的有关事宜。</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据此函，__________签字人兹宣布同意如下：</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1.按招标文件规定的各项要求，向买方提供所需货物与服务。</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2.我们完全理解贵方不一定将合同授予最低报价的投标人。</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3.我们已详细审核全部招标文件及其有效补充文件，我们知道必须放弃提出含糊不清或误解问题的权利。</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4.我们同意从规定的开标日期起遵循本投标文件，并在规定的投标有效期期满之前均具有约束力。</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5.如果在开标后规定的投标有效期内撤回投标或中标后拒绝签订合同，则按照国家相关法律法规受到相应处罚。</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6.同意向贵方提供贵方可能另外要求的与投标有关的任何证据或资料，并保证我方已提供和将要提供的文件是真实的、准确的。</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7.一旦我方中标,我方将根据招标文件的规定，严格履行合同的责任和义务,并保证在招标文件规定的时间完成项目，交付买方验收、使用。</w:t>
      </w:r>
    </w:p>
    <w:p>
      <w:pPr>
        <w:pStyle w:val="128"/>
        <w:spacing w:before="0" w:after="0" w:line="420" w:lineRule="exact"/>
        <w:ind w:left="425" w:firstLine="0"/>
        <w:rPr>
          <w:rStyle w:val="42"/>
          <w:rFonts w:ascii="宋体" w:hAnsi="宋体" w:cs="宋体"/>
          <w:color w:val="auto"/>
          <w:kern w:val="2"/>
          <w:szCs w:val="21"/>
        </w:rPr>
      </w:pPr>
      <w:r>
        <w:rPr>
          <w:rStyle w:val="42"/>
          <w:rFonts w:hint="eastAsia" w:ascii="宋体" w:hAnsi="宋体" w:cs="宋体"/>
          <w:color w:val="auto"/>
          <w:kern w:val="2"/>
          <w:szCs w:val="21"/>
        </w:rPr>
        <w:t>8.与本投标有关的正式通讯地址为：</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地          址：</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邮          编：</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电          话：</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传          真：</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投标人开户行：</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 xml:space="preserve">账          户： </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 xml:space="preserve">投标人授权代表姓名（签字）： </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 xml:space="preserve">投标人名称（公章）： </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日           期：________年____月____日</w:t>
      </w:r>
    </w:p>
    <w:p>
      <w:pPr>
        <w:snapToGrid w:val="0"/>
        <w:spacing w:before="50" w:after="145"/>
        <w:jc w:val="left"/>
        <w:rPr>
          <w:rStyle w:val="42"/>
          <w:rFonts w:ascii="宋体" w:hAnsi="宋体" w:cs="宋体"/>
          <w:color w:val="auto"/>
          <w:sz w:val="24"/>
          <w:szCs w:val="20"/>
        </w:rPr>
      </w:pPr>
    </w:p>
    <w:p>
      <w:pPr>
        <w:jc w:val="center"/>
        <w:rPr>
          <w:rStyle w:val="42"/>
          <w:rFonts w:ascii="宋体" w:hAnsi="宋体" w:cs="宋体"/>
          <w:b/>
          <w:color w:val="auto"/>
          <w:sz w:val="32"/>
          <w:szCs w:val="32"/>
        </w:rPr>
      </w:pPr>
    </w:p>
    <w:p>
      <w:pPr>
        <w:pStyle w:val="23"/>
        <w:rPr>
          <w:color w:val="auto"/>
        </w:rPr>
      </w:pPr>
    </w:p>
    <w:p>
      <w:pPr>
        <w:snapToGrid w:val="0"/>
        <w:spacing w:before="50" w:after="50"/>
        <w:rPr>
          <w:rStyle w:val="42"/>
          <w:rFonts w:ascii="宋体" w:hAnsi="宋体" w:cs="宋体"/>
          <w:color w:val="auto"/>
          <w:sz w:val="32"/>
          <w:szCs w:val="32"/>
        </w:rPr>
      </w:pPr>
    </w:p>
    <w:p>
      <w:pPr>
        <w:snapToGrid w:val="0"/>
        <w:spacing w:before="50" w:after="50"/>
        <w:jc w:val="center"/>
        <w:outlineLvl w:val="0"/>
        <w:rPr>
          <w:rStyle w:val="42"/>
          <w:rFonts w:ascii="宋体" w:hAnsi="宋体" w:cs="宋体"/>
          <w:color w:val="auto"/>
          <w:sz w:val="32"/>
          <w:szCs w:val="32"/>
        </w:rPr>
      </w:pPr>
      <w:bookmarkStart w:id="17" w:name="_Toc3373"/>
      <w:r>
        <w:rPr>
          <w:rStyle w:val="42"/>
          <w:rFonts w:hint="eastAsia" w:ascii="宋体" w:hAnsi="宋体" w:cs="宋体"/>
          <w:color w:val="auto"/>
          <w:sz w:val="32"/>
          <w:szCs w:val="32"/>
        </w:rPr>
        <w:t>五、开标一览表（格式）</w:t>
      </w:r>
      <w:bookmarkEnd w:id="17"/>
    </w:p>
    <w:p>
      <w:pPr>
        <w:snapToGrid w:val="0"/>
        <w:spacing w:before="50" w:after="50"/>
        <w:jc w:val="center"/>
        <w:rPr>
          <w:rStyle w:val="42"/>
          <w:rFonts w:ascii="宋体" w:hAnsi="宋体" w:cs="宋体"/>
          <w:color w:val="auto"/>
          <w:sz w:val="32"/>
          <w:szCs w:val="32"/>
        </w:rPr>
      </w:pPr>
    </w:p>
    <w:tbl>
      <w:tblPr>
        <w:tblStyle w:val="24"/>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ascii="宋体" w:hAnsi="宋体" w:cs="宋体"/>
                <w:color w:val="auto"/>
                <w:szCs w:val="28"/>
              </w:rPr>
            </w:pPr>
            <w:r>
              <w:rPr>
                <w:rStyle w:val="42"/>
                <w:rFonts w:hint="eastAsia" w:ascii="宋体" w:hAnsi="宋体" w:cs="宋体"/>
                <w:color w:val="auto"/>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auto"/>
                <w:sz w:val="28"/>
                <w:szCs w:val="2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ascii="宋体" w:hAnsi="宋体" w:cs="宋体"/>
                <w:color w:val="auto"/>
                <w:szCs w:val="28"/>
              </w:rPr>
            </w:pPr>
            <w:r>
              <w:rPr>
                <w:rStyle w:val="42"/>
                <w:rFonts w:hint="eastAsia" w:ascii="宋体" w:hAnsi="宋体" w:cs="宋体"/>
                <w:color w:val="auto"/>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auto"/>
                <w:szCs w:val="28"/>
              </w:rPr>
            </w:pPr>
            <w:r>
              <w:rPr>
                <w:rStyle w:val="42"/>
                <w:rFonts w:hint="eastAsia" w:ascii="宋体" w:hAnsi="宋体" w:cs="宋体"/>
                <w:b/>
                <w:bCs/>
                <w:color w:val="auto"/>
                <w:szCs w:val="28"/>
              </w:rPr>
              <w:t>项目投标报价：</w:t>
            </w:r>
          </w:p>
          <w:p>
            <w:pPr>
              <w:rPr>
                <w:rStyle w:val="42"/>
                <w:rFonts w:ascii="宋体" w:hAnsi="宋体" w:cs="宋体"/>
                <w:b/>
                <w:bCs/>
                <w:color w:val="auto"/>
                <w:szCs w:val="28"/>
              </w:rPr>
            </w:pPr>
            <w:r>
              <w:rPr>
                <w:rStyle w:val="42"/>
                <w:rFonts w:hint="eastAsia" w:ascii="宋体" w:hAnsi="宋体" w:cs="宋体"/>
                <w:b/>
                <w:bCs/>
                <w:color w:val="auto"/>
                <w:szCs w:val="28"/>
              </w:rPr>
              <w:t>一标段：单价（大写）_____元/套，小写：_____元/套（包含涤纶蚊帐1顶、竹凉席1条)</w:t>
            </w:r>
          </w:p>
          <w:p>
            <w:pPr>
              <w:rPr>
                <w:rStyle w:val="42"/>
                <w:rFonts w:ascii="宋体" w:hAnsi="宋体" w:cs="宋体"/>
                <w:b/>
                <w:bCs/>
                <w:color w:val="auto"/>
                <w:szCs w:val="28"/>
              </w:rPr>
            </w:pPr>
            <w:r>
              <w:rPr>
                <w:rStyle w:val="42"/>
                <w:rFonts w:hint="eastAsia" w:ascii="宋体" w:hAnsi="宋体" w:cs="宋体"/>
                <w:b/>
                <w:bCs/>
                <w:color w:val="auto"/>
                <w:szCs w:val="28"/>
              </w:rPr>
              <w:t>二标段：单价（大写）_____元/套，小写：_____元/套（包含塑料盆2个，钢壳茶瓶1个)</w:t>
            </w:r>
          </w:p>
          <w:p>
            <w:pPr>
              <w:rPr>
                <w:rStyle w:val="42"/>
                <w:rFonts w:ascii="宋体" w:hAnsi="宋体" w:cs="宋体"/>
                <w:b/>
                <w:bCs/>
                <w:color w:val="auto"/>
                <w:sz w:val="24"/>
                <w:szCs w:val="24"/>
              </w:rPr>
            </w:pPr>
            <w:r>
              <w:rPr>
                <w:rStyle w:val="42"/>
                <w:rFonts w:hint="eastAsia" w:ascii="宋体" w:hAnsi="宋体" w:cs="宋体"/>
                <w:b/>
                <w:bCs/>
                <w:color w:val="auto"/>
                <w:szCs w:val="28"/>
              </w:rPr>
              <w:t>三标段：单价（大写）_____元/套，小写：_____元/套（主要含全棉床单2条、全棉被套2条、中空棉枕芯1只、全棉枕套1条、2.5KG盖胎1条、1.5KG盖胎1条、垫胎1条、牛津布包1只）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auto"/>
                <w:szCs w:val="28"/>
              </w:rPr>
            </w:pPr>
            <w:r>
              <w:rPr>
                <w:rStyle w:val="42"/>
                <w:rFonts w:hint="eastAsia" w:ascii="宋体" w:hAnsi="宋体" w:cs="宋体"/>
                <w:b/>
                <w:bCs/>
                <w:color w:val="auto"/>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auto"/>
                <w:szCs w:val="28"/>
              </w:rPr>
            </w:pPr>
            <w:r>
              <w:rPr>
                <w:rStyle w:val="42"/>
                <w:rFonts w:hint="eastAsia" w:ascii="宋体" w:hAnsi="宋体" w:cs="宋体"/>
                <w:b/>
                <w:bCs/>
                <w:color w:val="auto"/>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auto"/>
                <w:szCs w:val="28"/>
              </w:rPr>
            </w:pPr>
            <w:r>
              <w:rPr>
                <w:rStyle w:val="42"/>
                <w:rFonts w:hint="eastAsia" w:ascii="宋体" w:hAnsi="宋体" w:cs="宋体"/>
                <w:b/>
                <w:bCs/>
                <w:color w:val="auto"/>
                <w:szCs w:val="28"/>
              </w:rPr>
              <w:t>是否提供《企业类型声明函》：</w:t>
            </w:r>
            <w:r>
              <w:rPr>
                <w:rStyle w:val="42"/>
                <w:rFonts w:hint="eastAsia" w:ascii="宋体" w:hAnsi="宋体" w:cs="宋体"/>
                <w:b/>
                <w:bCs/>
                <w:color w:val="auto"/>
                <w:szCs w:val="28"/>
                <w:u w:val="single"/>
              </w:rPr>
              <w:t xml:space="preserve"> 是/否 见（   ）页</w:t>
            </w:r>
          </w:p>
        </w:tc>
      </w:tr>
    </w:tbl>
    <w:p>
      <w:pPr>
        <w:spacing w:line="240" w:lineRule="atLeast"/>
        <w:rPr>
          <w:rStyle w:val="42"/>
          <w:rFonts w:ascii="宋体" w:hAnsi="宋体" w:cs="宋体"/>
          <w:color w:val="auto"/>
          <w:szCs w:val="28"/>
        </w:rPr>
      </w:pPr>
    </w:p>
    <w:p>
      <w:pPr>
        <w:spacing w:line="240" w:lineRule="atLeast"/>
        <w:rPr>
          <w:rStyle w:val="42"/>
          <w:rFonts w:ascii="宋体" w:hAnsi="宋体" w:cs="宋体"/>
          <w:color w:val="auto"/>
          <w:szCs w:val="28"/>
        </w:rPr>
      </w:pPr>
      <w:r>
        <w:rPr>
          <w:rStyle w:val="42"/>
          <w:rFonts w:hint="eastAsia" w:ascii="宋体" w:hAnsi="宋体" w:cs="宋体"/>
          <w:color w:val="auto"/>
          <w:szCs w:val="28"/>
        </w:rPr>
        <w:t>填写说明：</w:t>
      </w:r>
    </w:p>
    <w:p>
      <w:pPr>
        <w:numPr>
          <w:ilvl w:val="0"/>
          <w:numId w:val="5"/>
        </w:numPr>
        <w:rPr>
          <w:rStyle w:val="42"/>
          <w:rFonts w:ascii="宋体" w:hAnsi="宋体" w:cs="宋体"/>
          <w:color w:val="auto"/>
          <w:sz w:val="24"/>
        </w:rPr>
      </w:pPr>
      <w:r>
        <w:rPr>
          <w:rStyle w:val="42"/>
          <w:rFonts w:hint="eastAsia" w:ascii="宋体" w:hAnsi="宋体" w:cs="宋体"/>
          <w:color w:val="auto"/>
          <w:sz w:val="24"/>
        </w:rPr>
        <w:t>开标一览表不得填报选择性报价，否则将作为无效投标；</w:t>
      </w:r>
    </w:p>
    <w:p>
      <w:pPr>
        <w:numPr>
          <w:ilvl w:val="0"/>
          <w:numId w:val="5"/>
        </w:numPr>
        <w:rPr>
          <w:rStyle w:val="42"/>
          <w:rFonts w:ascii="宋体" w:hAnsi="宋体" w:cs="宋体"/>
          <w:color w:val="auto"/>
          <w:sz w:val="24"/>
        </w:rPr>
      </w:pPr>
      <w:r>
        <w:rPr>
          <w:rStyle w:val="42"/>
          <w:rFonts w:hint="eastAsia" w:ascii="宋体" w:hAnsi="宋体" w:cs="宋体"/>
          <w:color w:val="auto"/>
          <w:sz w:val="24"/>
        </w:rPr>
        <w:t>开标一览表中报价与投标分项明细报价表中不符时时，以开标一览表为准；</w:t>
      </w:r>
    </w:p>
    <w:p>
      <w:pPr>
        <w:ind w:firstLine="2640" w:firstLineChars="600"/>
        <w:rPr>
          <w:rStyle w:val="42"/>
          <w:rFonts w:ascii="宋体" w:hAnsi="宋体" w:cs="宋体"/>
          <w:color w:val="auto"/>
          <w:sz w:val="44"/>
        </w:rPr>
      </w:pPr>
    </w:p>
    <w:p>
      <w:pPr>
        <w:ind w:firstLine="480"/>
        <w:rPr>
          <w:rStyle w:val="42"/>
          <w:rFonts w:ascii="宋体" w:hAnsi="宋体" w:cs="宋体"/>
          <w:color w:val="auto"/>
          <w:sz w:val="24"/>
        </w:rPr>
      </w:pPr>
    </w:p>
    <w:p>
      <w:pPr>
        <w:ind w:firstLine="480"/>
        <w:rPr>
          <w:rStyle w:val="42"/>
          <w:rFonts w:ascii="宋体" w:hAnsi="宋体" w:cs="宋体"/>
          <w:color w:val="auto"/>
          <w:sz w:val="24"/>
        </w:rPr>
      </w:pPr>
    </w:p>
    <w:p>
      <w:pPr>
        <w:ind w:firstLine="480"/>
        <w:jc w:val="center"/>
        <w:rPr>
          <w:rStyle w:val="42"/>
          <w:rFonts w:ascii="宋体" w:hAnsi="宋体" w:cs="宋体"/>
          <w:color w:val="auto"/>
          <w:sz w:val="24"/>
        </w:rPr>
      </w:pPr>
      <w:r>
        <w:rPr>
          <w:rStyle w:val="42"/>
          <w:rFonts w:hint="eastAsia" w:ascii="宋体" w:hAnsi="宋体" w:cs="宋体"/>
          <w:bCs/>
          <w:color w:val="auto"/>
          <w:sz w:val="24"/>
        </w:rPr>
        <w:t xml:space="preserve">                                        供应商名称（公章）：</w:t>
      </w:r>
    </w:p>
    <w:p>
      <w:pPr>
        <w:ind w:firstLine="480"/>
        <w:rPr>
          <w:rStyle w:val="42"/>
          <w:rFonts w:ascii="宋体" w:hAnsi="宋体" w:cs="宋体"/>
          <w:color w:val="auto"/>
          <w:sz w:val="24"/>
        </w:rPr>
      </w:pPr>
      <w:r>
        <w:rPr>
          <w:rStyle w:val="42"/>
          <w:rFonts w:hint="eastAsia" w:ascii="宋体" w:hAnsi="宋体" w:cs="宋体"/>
          <w:color w:val="auto"/>
          <w:sz w:val="24"/>
        </w:rPr>
        <w:t xml:space="preserve">                                              日期： 年月日</w:t>
      </w:r>
    </w:p>
    <w:p>
      <w:pPr>
        <w:pStyle w:val="23"/>
        <w:rPr>
          <w:color w:val="auto"/>
        </w:rPr>
      </w:pPr>
    </w:p>
    <w:p>
      <w:pPr>
        <w:rPr>
          <w:color w:val="auto"/>
        </w:rPr>
      </w:pPr>
    </w:p>
    <w:p>
      <w:pPr>
        <w:pStyle w:val="4"/>
        <w:pageBreakBefore/>
        <w:rPr>
          <w:rFonts w:hint="default" w:ascii="宋体" w:hAnsi="宋体" w:eastAsia="宋体" w:cs="宋体"/>
          <w:bCs w:val="0"/>
          <w:color w:val="auto"/>
          <w:sz w:val="32"/>
          <w:szCs w:val="32"/>
        </w:rPr>
      </w:pPr>
      <w:r>
        <w:rPr>
          <w:rFonts w:ascii="宋体" w:hAnsi="宋体" w:eastAsia="宋体" w:cs="宋体"/>
          <w:bCs w:val="0"/>
          <w:color w:val="auto"/>
          <w:sz w:val="32"/>
          <w:szCs w:val="32"/>
        </w:rPr>
        <w:t>中小企业声明</w:t>
      </w:r>
    </w:p>
    <w:p>
      <w:pPr>
        <w:spacing w:line="360" w:lineRule="auto"/>
        <w:rPr>
          <w:rFonts w:ascii="宋体" w:hAnsi="宋体" w:cs="宋体"/>
          <w:color w:val="auto"/>
        </w:rPr>
      </w:pPr>
      <w:r>
        <w:rPr>
          <w:rFonts w:hint="eastAsia" w:ascii="宋体" w:hAnsi="宋体" w:cs="宋体"/>
          <w:color w:val="auto"/>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rPr>
          <w:rFonts w:ascii="宋体" w:hAnsi="宋体" w:cs="宋体"/>
          <w:color w:val="auto"/>
        </w:rPr>
      </w:pPr>
      <w:r>
        <w:rPr>
          <w:rFonts w:hint="eastAsia" w:ascii="宋体" w:hAnsi="宋体" w:cs="宋体"/>
          <w:color w:val="auto"/>
        </w:rPr>
        <w:t>附件：1、中小企业声明函（货物）</w:t>
      </w:r>
    </w:p>
    <w:p>
      <w:pPr>
        <w:spacing w:line="360" w:lineRule="auto"/>
        <w:ind w:firstLine="420" w:firstLineChars="200"/>
        <w:rPr>
          <w:rFonts w:ascii="宋体" w:hAnsi="宋体" w:cs="宋体"/>
          <w:color w:val="auto"/>
        </w:rPr>
      </w:pPr>
      <w:r>
        <w:rPr>
          <w:rFonts w:hint="eastAsia" w:ascii="宋体" w:hAnsi="宋体" w:cs="宋体"/>
          <w:color w:val="auto"/>
        </w:rPr>
        <w:t>附件：2、《残疾人福利性单位声明函》（格式）</w:t>
      </w: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pStyle w:val="143"/>
        <w:rPr>
          <w:rFonts w:ascii="宋体" w:hAnsi="宋体" w:cs="宋体"/>
          <w:color w:val="auto"/>
        </w:rPr>
      </w:pPr>
    </w:p>
    <w:p>
      <w:pPr>
        <w:pStyle w:val="143"/>
        <w:rPr>
          <w:rFonts w:ascii="宋体" w:hAnsi="宋体" w:cs="宋体"/>
          <w:color w:val="auto"/>
        </w:rPr>
      </w:pPr>
    </w:p>
    <w:p>
      <w:pPr>
        <w:pStyle w:val="143"/>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b/>
          <w:color w:val="auto"/>
        </w:rPr>
      </w:pPr>
    </w:p>
    <w:p>
      <w:pPr>
        <w:pStyle w:val="13"/>
        <w:ind w:firstLine="562"/>
        <w:rPr>
          <w:rFonts w:ascii="宋体" w:hAnsi="宋体" w:eastAsia="宋体" w:cs="宋体"/>
          <w:b/>
          <w:color w:val="auto"/>
        </w:rPr>
      </w:pPr>
    </w:p>
    <w:p>
      <w:pPr>
        <w:pStyle w:val="13"/>
        <w:ind w:firstLine="562"/>
        <w:rPr>
          <w:rFonts w:ascii="宋体" w:hAnsi="宋体" w:eastAsia="宋体" w:cs="宋体"/>
          <w:b/>
          <w:color w:val="auto"/>
        </w:rPr>
      </w:pPr>
    </w:p>
    <w:p>
      <w:pPr>
        <w:pStyle w:val="13"/>
        <w:ind w:firstLine="562"/>
        <w:rPr>
          <w:rFonts w:ascii="宋体" w:hAnsi="宋体" w:eastAsia="宋体" w:cs="宋体"/>
          <w:b/>
          <w:color w:val="auto"/>
        </w:rPr>
      </w:pPr>
    </w:p>
    <w:p>
      <w:pPr>
        <w:pStyle w:val="14"/>
        <w:rPr>
          <w:rFonts w:ascii="宋体" w:hAnsi="宋体" w:cs="宋体"/>
          <w:b/>
          <w:color w:val="auto"/>
        </w:rPr>
      </w:pPr>
    </w:p>
    <w:p>
      <w:pPr>
        <w:pStyle w:val="14"/>
        <w:rPr>
          <w:rFonts w:ascii="宋体" w:hAnsi="宋体" w:cs="宋体"/>
          <w:b/>
          <w:color w:val="auto"/>
        </w:rPr>
      </w:pPr>
    </w:p>
    <w:p>
      <w:pPr>
        <w:pStyle w:val="14"/>
        <w:rPr>
          <w:rFonts w:ascii="宋体" w:hAnsi="宋体" w:cs="宋体"/>
          <w:b/>
          <w:color w:val="auto"/>
        </w:rPr>
      </w:pPr>
    </w:p>
    <w:p>
      <w:pPr>
        <w:pStyle w:val="14"/>
        <w:rPr>
          <w:rFonts w:ascii="宋体" w:hAnsi="宋体" w:cs="宋体"/>
          <w:b/>
          <w:color w:val="auto"/>
        </w:rPr>
      </w:pPr>
    </w:p>
    <w:p>
      <w:pPr>
        <w:spacing w:line="360" w:lineRule="auto"/>
        <w:ind w:firstLine="3045" w:firstLineChars="1450"/>
        <w:rPr>
          <w:rFonts w:ascii="宋体" w:hAnsi="宋体" w:cs="宋体"/>
          <w:color w:val="auto"/>
          <w:u w:val="single"/>
        </w:rPr>
      </w:pPr>
    </w:p>
    <w:p>
      <w:pPr>
        <w:spacing w:line="560" w:lineRule="exact"/>
        <w:rPr>
          <w:rFonts w:ascii="宋体" w:hAnsi="宋体"/>
          <w:b/>
          <w:bCs/>
          <w:color w:val="auto"/>
          <w:sz w:val="24"/>
          <w:szCs w:val="24"/>
        </w:rPr>
      </w:pPr>
      <w:bookmarkStart w:id="18" w:name="_Toc11803"/>
      <w:bookmarkStart w:id="19" w:name="_Toc515647824"/>
      <w:bookmarkStart w:id="20" w:name="_Toc13776"/>
      <w:bookmarkStart w:id="21" w:name="_Toc10977"/>
      <w:r>
        <w:rPr>
          <w:rFonts w:hint="eastAsia" w:ascii="宋体" w:hAnsi="宋体" w:cs="宋体"/>
          <w:b/>
          <w:color w:val="auto"/>
          <w:sz w:val="24"/>
          <w:szCs w:val="24"/>
        </w:rPr>
        <w:t>附件：1、</w:t>
      </w:r>
      <w:r>
        <w:rPr>
          <w:rFonts w:hint="eastAsia" w:ascii="宋体" w:hAnsi="宋体"/>
          <w:b/>
          <w:bCs/>
          <w:color w:val="auto"/>
          <w:sz w:val="24"/>
          <w:szCs w:val="24"/>
        </w:rPr>
        <w:t>中小企业声明函（货物）</w:t>
      </w:r>
    </w:p>
    <w:p>
      <w:pPr>
        <w:pStyle w:val="23"/>
        <w:ind w:firstLine="482"/>
        <w:rPr>
          <w:b/>
          <w:bCs/>
          <w:color w:val="auto"/>
          <w:sz w:val="24"/>
          <w:szCs w:val="24"/>
        </w:rPr>
      </w:pPr>
    </w:p>
    <w:p>
      <w:pPr>
        <w:pStyle w:val="23"/>
        <w:ind w:firstLine="482"/>
        <w:rPr>
          <w:b/>
          <w:bCs/>
          <w:color w:val="auto"/>
          <w:sz w:val="24"/>
          <w:szCs w:val="24"/>
        </w:rPr>
      </w:pPr>
    </w:p>
    <w:bookmarkEnd w:id="18"/>
    <w:bookmarkEnd w:id="19"/>
    <w:bookmarkEnd w:id="20"/>
    <w:bookmarkEnd w:id="21"/>
    <w:p>
      <w:pPr>
        <w:spacing w:line="560" w:lineRule="exact"/>
        <w:jc w:val="center"/>
        <w:rPr>
          <w:rFonts w:ascii="宋体" w:hAnsi="宋体"/>
          <w:b/>
          <w:bCs/>
          <w:color w:val="auto"/>
          <w:sz w:val="24"/>
          <w:szCs w:val="24"/>
        </w:rPr>
      </w:pPr>
      <w:r>
        <w:rPr>
          <w:rFonts w:hint="eastAsia" w:ascii="宋体" w:hAnsi="宋体"/>
          <w:b/>
          <w:bCs/>
          <w:color w:val="auto"/>
          <w:sz w:val="24"/>
          <w:szCs w:val="24"/>
        </w:rPr>
        <w:t>中小企业声明函（货物）</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本公司（联合体）郑重声明，根据《政府采购促进中小企业发展管理办法》（财库﹝2020﹞46 号）的规定，本公司（联合体）参加</w:t>
      </w:r>
      <w:r>
        <w:rPr>
          <w:rFonts w:hint="eastAsia" w:ascii="宋体" w:hAnsi="宋体" w:cs="宋体"/>
          <w:i/>
          <w:iCs/>
          <w:color w:val="auto"/>
          <w:sz w:val="24"/>
          <w:szCs w:val="24"/>
          <w:u w:val="single"/>
        </w:rPr>
        <w:t>（单位名称）</w:t>
      </w:r>
      <w:r>
        <w:rPr>
          <w:rFonts w:hint="eastAsia" w:ascii="宋体" w:hAnsi="宋体" w:cs="宋体"/>
          <w:color w:val="auto"/>
          <w:sz w:val="24"/>
          <w:szCs w:val="24"/>
        </w:rPr>
        <w:t>的</w:t>
      </w:r>
      <w:r>
        <w:rPr>
          <w:rFonts w:hint="eastAsia" w:ascii="宋体" w:hAnsi="宋体" w:cs="宋体"/>
          <w:i/>
          <w:iCs/>
          <w:color w:val="auto"/>
          <w:sz w:val="24"/>
          <w:szCs w:val="24"/>
          <w:u w:val="single"/>
        </w:rPr>
        <w:t>（项目名称）</w:t>
      </w:r>
      <w:r>
        <w:rPr>
          <w:rFonts w:hint="eastAsia" w:ascii="宋体" w:hAnsi="宋体" w:cs="宋体"/>
          <w:color w:val="auto"/>
          <w:sz w:val="24"/>
          <w:szCs w:val="24"/>
        </w:rPr>
        <w:t>采购活动，提供的货物全部由符合政策要求的中小企业制造。相关企业（含联合体中的中小企业、签订分包意向协议的中小企业）的具体情况如下：</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i/>
          <w:iCs/>
          <w:color w:val="auto"/>
          <w:sz w:val="24"/>
          <w:szCs w:val="24"/>
          <w:u w:val="single"/>
        </w:rPr>
        <w:t xml:space="preserve">（标的名称） </w:t>
      </w:r>
      <w:r>
        <w:rPr>
          <w:rFonts w:hint="eastAsia" w:ascii="宋体" w:hAnsi="宋体" w:cs="宋体"/>
          <w:color w:val="auto"/>
          <w:sz w:val="24"/>
          <w:szCs w:val="24"/>
        </w:rPr>
        <w:t>，属于</w:t>
      </w:r>
      <w:r>
        <w:rPr>
          <w:rFonts w:hint="eastAsia" w:ascii="宋体" w:hAnsi="宋体" w:cs="宋体"/>
          <w:i/>
          <w:iCs/>
          <w:color w:val="auto"/>
          <w:sz w:val="24"/>
          <w:szCs w:val="24"/>
          <w:u w:val="single"/>
        </w:rPr>
        <w:t>（采购文件中明确的所属行业）</w:t>
      </w:r>
      <w:r>
        <w:rPr>
          <w:rFonts w:hint="eastAsia" w:ascii="宋体" w:hAnsi="宋体" w:cs="宋体"/>
          <w:color w:val="auto"/>
          <w:sz w:val="24"/>
          <w:szCs w:val="24"/>
        </w:rPr>
        <w:t>行业；制造商为</w:t>
      </w:r>
      <w:r>
        <w:rPr>
          <w:rFonts w:hint="eastAsia" w:ascii="宋体" w:hAnsi="宋体" w:cs="宋体"/>
          <w:i/>
          <w:iCs/>
          <w:color w:val="auto"/>
          <w:sz w:val="24"/>
          <w:szCs w:val="24"/>
          <w:u w:val="single"/>
        </w:rPr>
        <w:t>（企业名称）</w:t>
      </w:r>
      <w:r>
        <w:rPr>
          <w:rFonts w:hint="eastAsia" w:ascii="宋体" w:hAnsi="宋体" w:cs="宋体"/>
          <w:color w:val="auto"/>
          <w:sz w:val="24"/>
          <w:szCs w:val="24"/>
        </w:rPr>
        <w:t>，从业人员人，营业收入为万元，资产总额为万元，属于</w:t>
      </w:r>
      <w:r>
        <w:rPr>
          <w:rFonts w:hint="eastAsia" w:ascii="宋体" w:hAnsi="宋体" w:cs="宋体"/>
          <w:i/>
          <w:iCs/>
          <w:color w:val="auto"/>
          <w:sz w:val="24"/>
          <w:szCs w:val="24"/>
          <w:u w:val="single"/>
        </w:rPr>
        <w:t>（中型企业、小型企业、微型企业）</w:t>
      </w:r>
      <w:r>
        <w:rPr>
          <w:rFonts w:hint="eastAsia" w:ascii="宋体" w:hAnsi="宋体" w:cs="宋体"/>
          <w:color w:val="auto"/>
          <w:sz w:val="24"/>
          <w:szCs w:val="24"/>
        </w:rPr>
        <w:t>；</w:t>
      </w:r>
    </w:p>
    <w:p>
      <w:pPr>
        <w:numPr>
          <w:ilvl w:val="0"/>
          <w:numId w:val="6"/>
        </w:numPr>
        <w:ind w:firstLine="480" w:firstLineChars="200"/>
        <w:jc w:val="left"/>
        <w:rPr>
          <w:rFonts w:ascii="宋体" w:hAnsi="宋体" w:cs="宋体"/>
          <w:color w:val="auto"/>
          <w:sz w:val="24"/>
          <w:szCs w:val="24"/>
        </w:rPr>
      </w:pPr>
      <w:r>
        <w:rPr>
          <w:rFonts w:hint="eastAsia" w:ascii="宋体" w:hAnsi="宋体" w:cs="宋体"/>
          <w:i/>
          <w:iCs/>
          <w:color w:val="auto"/>
          <w:sz w:val="24"/>
          <w:szCs w:val="24"/>
          <w:u w:val="single"/>
        </w:rPr>
        <w:t xml:space="preserve">（标的名称） </w:t>
      </w:r>
      <w:r>
        <w:rPr>
          <w:rFonts w:hint="eastAsia" w:ascii="宋体" w:hAnsi="宋体" w:cs="宋体"/>
          <w:color w:val="auto"/>
          <w:sz w:val="24"/>
          <w:szCs w:val="24"/>
        </w:rPr>
        <w:t>，属于</w:t>
      </w:r>
      <w:r>
        <w:rPr>
          <w:rFonts w:hint="eastAsia" w:ascii="宋体" w:hAnsi="宋体" w:cs="宋体"/>
          <w:i/>
          <w:iCs/>
          <w:color w:val="auto"/>
          <w:sz w:val="24"/>
          <w:szCs w:val="24"/>
          <w:u w:val="single"/>
        </w:rPr>
        <w:t>（采购文件中明确的所属行业）</w:t>
      </w:r>
      <w:r>
        <w:rPr>
          <w:rFonts w:hint="eastAsia" w:ascii="宋体" w:hAnsi="宋体" w:cs="宋体"/>
          <w:color w:val="auto"/>
          <w:sz w:val="24"/>
          <w:szCs w:val="24"/>
        </w:rPr>
        <w:t>行业；制造商为</w:t>
      </w:r>
      <w:r>
        <w:rPr>
          <w:rFonts w:hint="eastAsia" w:ascii="宋体" w:hAnsi="宋体" w:cs="宋体"/>
          <w:i/>
          <w:iCs/>
          <w:color w:val="auto"/>
          <w:sz w:val="24"/>
          <w:szCs w:val="24"/>
          <w:u w:val="single"/>
        </w:rPr>
        <w:t>（企业名称）</w:t>
      </w:r>
      <w:r>
        <w:rPr>
          <w:rFonts w:hint="eastAsia" w:ascii="宋体" w:hAnsi="宋体" w:cs="宋体"/>
          <w:color w:val="auto"/>
          <w:sz w:val="24"/>
          <w:szCs w:val="24"/>
        </w:rPr>
        <w:t>，从业人员人，营业收入为万元，资产总额为万元，属于</w:t>
      </w:r>
      <w:r>
        <w:rPr>
          <w:rFonts w:hint="eastAsia" w:ascii="宋体" w:hAnsi="宋体" w:cs="宋体"/>
          <w:i/>
          <w:iCs/>
          <w:color w:val="auto"/>
          <w:sz w:val="24"/>
          <w:szCs w:val="24"/>
          <w:u w:val="single"/>
        </w:rPr>
        <w:t>（中型企业、小型企业、微型企业）</w:t>
      </w:r>
      <w:r>
        <w:rPr>
          <w:rFonts w:hint="eastAsia" w:ascii="宋体" w:hAnsi="宋体" w:cs="宋体"/>
          <w:color w:val="auto"/>
          <w:sz w:val="24"/>
          <w:szCs w:val="24"/>
        </w:rPr>
        <w:t>；</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本企业对上述声明内容的真实性负责。如有虚假，将依法承担相应责任。</w:t>
      </w:r>
    </w:p>
    <w:p>
      <w:pPr>
        <w:ind w:firstLine="4080" w:firstLineChars="1700"/>
        <w:jc w:val="left"/>
        <w:rPr>
          <w:rFonts w:ascii="宋体" w:hAnsi="宋体" w:cs="宋体"/>
          <w:color w:val="auto"/>
          <w:sz w:val="24"/>
          <w:szCs w:val="24"/>
        </w:rPr>
      </w:pPr>
      <w:r>
        <w:rPr>
          <w:rFonts w:hint="eastAsia" w:ascii="宋体" w:hAnsi="宋体" w:cs="宋体"/>
          <w:color w:val="auto"/>
          <w:sz w:val="24"/>
          <w:szCs w:val="24"/>
        </w:rPr>
        <w:t>企业名称（盖章）：</w:t>
      </w:r>
    </w:p>
    <w:p>
      <w:pPr>
        <w:ind w:firstLine="4080" w:firstLineChars="1700"/>
        <w:jc w:val="left"/>
        <w:rPr>
          <w:rFonts w:ascii="宋体" w:hAnsi="宋体" w:cs="宋体"/>
          <w:color w:val="auto"/>
          <w:sz w:val="24"/>
          <w:szCs w:val="24"/>
        </w:rPr>
      </w:pPr>
      <w:r>
        <w:rPr>
          <w:rFonts w:hint="eastAsia" w:ascii="宋体" w:hAnsi="宋体" w:cs="宋体"/>
          <w:color w:val="auto"/>
          <w:sz w:val="24"/>
          <w:szCs w:val="24"/>
        </w:rPr>
        <w:t>日期：</w:t>
      </w:r>
    </w:p>
    <w:p>
      <w:pPr>
        <w:jc w:val="left"/>
        <w:rPr>
          <w:rFonts w:ascii="宋体" w:hAnsi="宋体"/>
          <w:b/>
          <w:bCs/>
          <w:color w:val="auto"/>
          <w:sz w:val="24"/>
          <w:szCs w:val="24"/>
        </w:rPr>
      </w:pPr>
      <w:r>
        <w:rPr>
          <w:rFonts w:hint="eastAsia" w:ascii="宋体" w:hAnsi="宋体"/>
          <w:b/>
          <w:bCs/>
          <w:color w:val="auto"/>
          <w:sz w:val="24"/>
          <w:szCs w:val="24"/>
        </w:rPr>
        <w:t>从业人员、营业收入、资产总额填报上一年度数据，无上一年度数据的新成立企业可不填</w:t>
      </w:r>
    </w:p>
    <w:p>
      <w:pPr>
        <w:spacing w:before="100" w:beforeAutospacing="1" w:after="100" w:afterAutospacing="1" w:line="360" w:lineRule="auto"/>
        <w:ind w:firstLine="2741" w:firstLineChars="1300"/>
        <w:jc w:val="left"/>
        <w:rPr>
          <w:rFonts w:ascii="宋体" w:hAnsi="宋体"/>
          <w:b/>
          <w:bCs/>
          <w:color w:val="auto"/>
        </w:rPr>
      </w:pPr>
    </w:p>
    <w:p>
      <w:pPr>
        <w:spacing w:line="360" w:lineRule="auto"/>
        <w:rPr>
          <w:rFonts w:ascii="宋体" w:hAnsi="宋体" w:cs="宋体"/>
          <w:b/>
          <w:color w:val="auto"/>
          <w:sz w:val="24"/>
          <w:szCs w:val="24"/>
        </w:rPr>
      </w:pPr>
      <w:r>
        <w:rPr>
          <w:rFonts w:hint="eastAsia" w:ascii="宋体" w:hAnsi="宋体" w:cs="宋体"/>
          <w:b/>
          <w:color w:val="auto"/>
          <w:sz w:val="24"/>
          <w:szCs w:val="24"/>
        </w:rPr>
        <w:t>附件：2、残疾人福利性单位声明函</w:t>
      </w:r>
    </w:p>
    <w:p>
      <w:pPr>
        <w:spacing w:line="360" w:lineRule="auto"/>
        <w:rPr>
          <w:rFonts w:ascii="宋体" w:hAnsi="宋体" w:cs="宋体"/>
          <w:b/>
          <w:color w:val="auto"/>
          <w:sz w:val="24"/>
          <w:szCs w:val="24"/>
        </w:rPr>
      </w:pPr>
    </w:p>
    <w:p>
      <w:pPr>
        <w:spacing w:line="360" w:lineRule="auto"/>
        <w:ind w:firstLine="482" w:firstLineChars="200"/>
        <w:jc w:val="center"/>
        <w:rPr>
          <w:rFonts w:ascii="宋体" w:hAnsi="宋体" w:cs="宋体"/>
          <w:b/>
          <w:color w:val="auto"/>
          <w:sz w:val="24"/>
          <w:szCs w:val="24"/>
        </w:rPr>
      </w:pPr>
      <w:r>
        <w:rPr>
          <w:rFonts w:hint="eastAsia" w:ascii="宋体" w:hAnsi="宋体" w:cs="宋体"/>
          <w:b/>
          <w:color w:val="auto"/>
          <w:sz w:val="24"/>
          <w:szCs w:val="24"/>
        </w:rPr>
        <w:t>残疾人福利性单位声明函</w:t>
      </w:r>
    </w:p>
    <w:p>
      <w:pPr>
        <w:spacing w:line="360" w:lineRule="auto"/>
        <w:ind w:firstLine="482" w:firstLineChars="200"/>
        <w:jc w:val="center"/>
        <w:rPr>
          <w:rFonts w:ascii="宋体" w:hAnsi="宋体" w:cs="宋体"/>
          <w:b/>
          <w:color w:val="auto"/>
          <w:sz w:val="24"/>
          <w:szCs w:val="24"/>
        </w:rPr>
      </w:pP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本单位对上述声明的真实性负责。如有虚假，将依法承担相应责任。</w:t>
      </w:r>
    </w:p>
    <w:p>
      <w:pPr>
        <w:spacing w:line="360" w:lineRule="auto"/>
        <w:ind w:firstLine="3960" w:firstLineChars="1650"/>
        <w:rPr>
          <w:rFonts w:ascii="宋体" w:hAnsi="宋体" w:cs="宋体"/>
          <w:color w:val="auto"/>
          <w:kern w:val="0"/>
          <w:sz w:val="24"/>
          <w:szCs w:val="24"/>
        </w:rPr>
      </w:pPr>
    </w:p>
    <w:p>
      <w:pPr>
        <w:spacing w:line="360" w:lineRule="auto"/>
        <w:ind w:firstLine="3960" w:firstLineChars="1650"/>
        <w:rPr>
          <w:rStyle w:val="157"/>
          <w:rFonts w:ascii="宋体" w:hAnsi="宋体" w:cs="宋体"/>
          <w:color w:val="auto"/>
          <w:sz w:val="24"/>
          <w:szCs w:val="24"/>
          <w:u w:val="single"/>
        </w:rPr>
      </w:pPr>
      <w:r>
        <w:rPr>
          <w:rFonts w:hint="eastAsia" w:ascii="宋体" w:hAnsi="宋体" w:cs="宋体"/>
          <w:color w:val="auto"/>
          <w:kern w:val="0"/>
          <w:sz w:val="24"/>
          <w:szCs w:val="24"/>
        </w:rPr>
        <w:t>残疾人福利性</w:t>
      </w:r>
      <w:r>
        <w:rPr>
          <w:rFonts w:hint="eastAsia" w:ascii="宋体" w:hAnsi="宋体" w:cs="宋体"/>
          <w:color w:val="auto"/>
          <w:sz w:val="24"/>
          <w:szCs w:val="24"/>
        </w:rPr>
        <w:t>单位名称（盖章）：</w:t>
      </w:r>
    </w:p>
    <w:p>
      <w:pPr>
        <w:spacing w:line="360" w:lineRule="auto"/>
        <w:ind w:firstLine="3960" w:firstLineChars="1650"/>
        <w:rPr>
          <w:rFonts w:ascii="宋体" w:hAnsi="宋体" w:cs="宋体"/>
          <w:color w:val="auto"/>
          <w:sz w:val="24"/>
          <w:szCs w:val="24"/>
        </w:rPr>
      </w:pPr>
      <w:r>
        <w:rPr>
          <w:rFonts w:hint="eastAsia" w:ascii="宋体" w:hAnsi="宋体" w:cs="宋体"/>
          <w:color w:val="auto"/>
          <w:sz w:val="24"/>
          <w:szCs w:val="24"/>
        </w:rPr>
        <w:t>日</w:t>
      </w:r>
      <w:r>
        <w:rPr>
          <w:rStyle w:val="157"/>
          <w:rFonts w:hint="eastAsia" w:ascii="宋体" w:hAnsi="宋体" w:cs="宋体"/>
          <w:color w:val="auto"/>
          <w:sz w:val="24"/>
          <w:szCs w:val="24"/>
        </w:rPr>
        <w:t> </w:t>
      </w:r>
      <w:r>
        <w:rPr>
          <w:rFonts w:hint="eastAsia" w:ascii="宋体" w:hAnsi="宋体" w:cs="宋体"/>
          <w:color w:val="auto"/>
          <w:sz w:val="24"/>
          <w:szCs w:val="24"/>
        </w:rPr>
        <w:t> 期：</w:t>
      </w:r>
    </w:p>
    <w:p>
      <w:pPr>
        <w:pStyle w:val="143"/>
        <w:rPr>
          <w:rFonts w:ascii="宋体" w:hAnsi="宋体" w:cs="宋体"/>
          <w:color w:val="auto"/>
        </w:rPr>
      </w:pPr>
    </w:p>
    <w:p>
      <w:pPr>
        <w:snapToGrid w:val="0"/>
        <w:spacing w:before="50" w:after="50"/>
        <w:jc w:val="center"/>
        <w:rPr>
          <w:rFonts w:ascii="宋体" w:hAnsi="宋体" w:cs="宋体"/>
          <w:color w:val="auto"/>
          <w:sz w:val="32"/>
          <w:szCs w:val="32"/>
        </w:rPr>
      </w:pPr>
    </w:p>
    <w:p>
      <w:pPr>
        <w:pStyle w:val="23"/>
        <w:ind w:firstLine="640"/>
        <w:rPr>
          <w:rFonts w:cs="宋体"/>
          <w:color w:val="auto"/>
          <w:sz w:val="32"/>
          <w:szCs w:val="32"/>
        </w:rPr>
      </w:pPr>
    </w:p>
    <w:p>
      <w:pPr>
        <w:pStyle w:val="23"/>
        <w:ind w:firstLine="640"/>
        <w:rPr>
          <w:rFonts w:cs="宋体"/>
          <w:color w:val="auto"/>
          <w:sz w:val="32"/>
          <w:szCs w:val="32"/>
        </w:rPr>
      </w:pPr>
    </w:p>
    <w:p>
      <w:pPr>
        <w:pStyle w:val="23"/>
        <w:ind w:firstLine="640"/>
        <w:rPr>
          <w:rFonts w:cs="宋体"/>
          <w:color w:val="auto"/>
          <w:sz w:val="32"/>
          <w:szCs w:val="32"/>
        </w:rPr>
      </w:pPr>
    </w:p>
    <w:p>
      <w:pPr>
        <w:pStyle w:val="23"/>
        <w:ind w:firstLine="640"/>
        <w:rPr>
          <w:rFonts w:cs="宋体"/>
          <w:color w:val="auto"/>
          <w:sz w:val="32"/>
          <w:szCs w:val="32"/>
        </w:rPr>
      </w:pPr>
    </w:p>
    <w:p>
      <w:pPr>
        <w:pStyle w:val="23"/>
        <w:ind w:firstLine="640"/>
        <w:rPr>
          <w:rFonts w:cs="宋体"/>
          <w:color w:val="auto"/>
          <w:sz w:val="32"/>
          <w:szCs w:val="32"/>
        </w:rPr>
      </w:pPr>
    </w:p>
    <w:p>
      <w:pPr>
        <w:pStyle w:val="23"/>
        <w:ind w:firstLine="640"/>
        <w:rPr>
          <w:rFonts w:cs="宋体"/>
          <w:color w:val="auto"/>
          <w:sz w:val="32"/>
          <w:szCs w:val="32"/>
        </w:rPr>
      </w:pPr>
    </w:p>
    <w:p>
      <w:pPr>
        <w:pStyle w:val="23"/>
        <w:ind w:firstLine="640"/>
        <w:rPr>
          <w:rFonts w:cs="宋体"/>
          <w:color w:val="auto"/>
          <w:sz w:val="32"/>
          <w:szCs w:val="32"/>
        </w:rPr>
      </w:pPr>
    </w:p>
    <w:p>
      <w:pPr>
        <w:snapToGrid w:val="0"/>
        <w:spacing w:before="50" w:after="50"/>
        <w:rPr>
          <w:rStyle w:val="42"/>
          <w:rFonts w:ascii="宋体" w:hAnsi="宋体" w:cs="宋体"/>
          <w:color w:val="auto"/>
          <w:sz w:val="32"/>
          <w:szCs w:val="32"/>
        </w:rPr>
        <w:sectPr>
          <w:headerReference r:id="rId7" w:type="default"/>
          <w:footerReference r:id="rId8" w:type="default"/>
          <w:pgSz w:w="11906" w:h="16838"/>
          <w:pgMar w:top="1417" w:right="1587" w:bottom="1417" w:left="1366" w:header="851" w:footer="907" w:gutter="0"/>
          <w:cols w:space="0" w:num="1"/>
          <w:titlePg/>
          <w:docGrid w:type="lines" w:linePitch="298" w:charSpace="0"/>
        </w:sectPr>
      </w:pPr>
    </w:p>
    <w:p>
      <w:pPr>
        <w:snapToGrid w:val="0"/>
        <w:spacing w:before="50" w:after="50"/>
        <w:jc w:val="center"/>
        <w:outlineLvl w:val="0"/>
        <w:rPr>
          <w:rFonts w:ascii="黑体" w:eastAsia="黑体"/>
          <w:color w:val="auto"/>
          <w:sz w:val="32"/>
          <w:szCs w:val="32"/>
        </w:rPr>
      </w:pPr>
      <w:bookmarkStart w:id="22" w:name="_Toc30796"/>
      <w:r>
        <w:rPr>
          <w:rFonts w:hint="eastAsia" w:ascii="黑体" w:eastAsia="黑体"/>
          <w:color w:val="auto"/>
          <w:sz w:val="32"/>
          <w:szCs w:val="32"/>
        </w:rPr>
        <w:t>六、技术参数响应及偏离表</w:t>
      </w:r>
      <w:bookmarkEnd w:id="22"/>
    </w:p>
    <w:p>
      <w:pPr>
        <w:jc w:val="center"/>
        <w:rPr>
          <w:rFonts w:ascii="宋体" w:hAnsi="宋体"/>
          <w:color w:val="auto"/>
          <w:sz w:val="24"/>
          <w:szCs w:val="24"/>
        </w:rPr>
      </w:pPr>
    </w:p>
    <w:p>
      <w:pPr>
        <w:rPr>
          <w:rFonts w:ascii="宋体" w:hAnsi="宋体"/>
          <w:color w:val="auto"/>
          <w:sz w:val="24"/>
          <w:szCs w:val="24"/>
        </w:rPr>
      </w:pPr>
      <w:r>
        <w:rPr>
          <w:rFonts w:hint="eastAsia" w:ascii="宋体" w:hAnsi="宋体"/>
          <w:color w:val="auto"/>
          <w:sz w:val="24"/>
          <w:szCs w:val="24"/>
        </w:rPr>
        <w:t xml:space="preserve">投标人全称（加盖公章）：       </w:t>
      </w:r>
    </w:p>
    <w:tbl>
      <w:tblPr>
        <w:tblStyle w:val="24"/>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216"/>
        <w:gridCol w:w="1860"/>
        <w:gridCol w:w="2356"/>
        <w:gridCol w:w="21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olor w:val="auto"/>
                <w:sz w:val="24"/>
                <w:szCs w:val="24"/>
              </w:rPr>
            </w:pPr>
            <w:r>
              <w:rPr>
                <w:rFonts w:hint="eastAsia" w:ascii="宋体" w:hAnsi="宋体"/>
                <w:color w:val="auto"/>
                <w:sz w:val="24"/>
                <w:szCs w:val="24"/>
              </w:rPr>
              <w:t>序号</w:t>
            </w:r>
          </w:p>
        </w:tc>
        <w:tc>
          <w:tcPr>
            <w:tcW w:w="1216" w:type="dxa"/>
            <w:noWrap/>
            <w:vAlign w:val="center"/>
          </w:tcPr>
          <w:p>
            <w:pPr>
              <w:jc w:val="center"/>
              <w:rPr>
                <w:rFonts w:ascii="宋体" w:hAnsi="宋体"/>
                <w:color w:val="auto"/>
                <w:sz w:val="24"/>
                <w:szCs w:val="24"/>
              </w:rPr>
            </w:pPr>
            <w:r>
              <w:rPr>
                <w:rFonts w:hint="eastAsia" w:ascii="宋体" w:hAnsi="宋体"/>
                <w:color w:val="auto"/>
                <w:sz w:val="24"/>
                <w:szCs w:val="24"/>
              </w:rPr>
              <w:t>名称</w:t>
            </w:r>
          </w:p>
        </w:tc>
        <w:tc>
          <w:tcPr>
            <w:tcW w:w="1860" w:type="dxa"/>
            <w:noWrap/>
            <w:vAlign w:val="center"/>
          </w:tcPr>
          <w:p>
            <w:pPr>
              <w:jc w:val="center"/>
              <w:rPr>
                <w:rFonts w:ascii="宋体" w:hAnsi="宋体"/>
                <w:color w:val="auto"/>
                <w:sz w:val="24"/>
                <w:szCs w:val="24"/>
              </w:rPr>
            </w:pPr>
            <w:r>
              <w:rPr>
                <w:rFonts w:hint="eastAsia" w:ascii="宋体" w:hAnsi="宋体"/>
                <w:color w:val="auto"/>
                <w:sz w:val="24"/>
                <w:szCs w:val="24"/>
              </w:rPr>
              <w:t>招标要求</w:t>
            </w:r>
          </w:p>
        </w:tc>
        <w:tc>
          <w:tcPr>
            <w:tcW w:w="2356" w:type="dxa"/>
            <w:noWrap/>
            <w:vAlign w:val="center"/>
          </w:tcPr>
          <w:p>
            <w:pPr>
              <w:jc w:val="center"/>
              <w:rPr>
                <w:rFonts w:ascii="宋体" w:hAnsi="宋体"/>
                <w:color w:val="auto"/>
                <w:sz w:val="24"/>
                <w:szCs w:val="24"/>
              </w:rPr>
            </w:pPr>
            <w:r>
              <w:rPr>
                <w:rFonts w:hint="eastAsia" w:ascii="宋体" w:hAnsi="宋体"/>
                <w:color w:val="auto"/>
                <w:sz w:val="24"/>
                <w:szCs w:val="24"/>
              </w:rPr>
              <w:t>投标响应</w:t>
            </w:r>
          </w:p>
        </w:tc>
        <w:tc>
          <w:tcPr>
            <w:tcW w:w="2115" w:type="dxa"/>
            <w:noWrap/>
            <w:vAlign w:val="center"/>
          </w:tcPr>
          <w:p>
            <w:pPr>
              <w:jc w:val="center"/>
              <w:rPr>
                <w:rFonts w:ascii="宋体" w:hAnsi="宋体"/>
                <w:color w:val="auto"/>
                <w:sz w:val="24"/>
                <w:szCs w:val="24"/>
              </w:rPr>
            </w:pPr>
            <w:r>
              <w:rPr>
                <w:rFonts w:hint="eastAsia" w:ascii="宋体" w:hAnsi="宋体" w:cs="宋体"/>
                <w:color w:val="auto"/>
                <w:sz w:val="24"/>
              </w:rPr>
              <w:t>偏离情况</w:t>
            </w:r>
          </w:p>
        </w:tc>
        <w:tc>
          <w:tcPr>
            <w:tcW w:w="1215" w:type="dxa"/>
            <w:noWrap/>
            <w:vAlign w:val="center"/>
          </w:tcPr>
          <w:p>
            <w:pPr>
              <w:jc w:val="center"/>
              <w:rPr>
                <w:rFonts w:ascii="宋体" w:hAnsi="宋体"/>
                <w:color w:val="auto"/>
                <w:sz w:val="24"/>
                <w:szCs w:val="24"/>
              </w:rPr>
            </w:pPr>
            <w:r>
              <w:rPr>
                <w:rFonts w:hint="eastAsia" w:ascii="宋体" w:hAnsi="宋体"/>
                <w:color w:val="auto"/>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 w:val="24"/>
                <w:szCs w:val="24"/>
              </w:rPr>
            </w:pPr>
          </w:p>
        </w:tc>
        <w:tc>
          <w:tcPr>
            <w:tcW w:w="1216" w:type="dxa"/>
            <w:noWrap/>
          </w:tcPr>
          <w:p>
            <w:pPr>
              <w:jc w:val="center"/>
              <w:rPr>
                <w:rFonts w:ascii="宋体" w:hAnsi="宋体"/>
                <w:color w:val="auto"/>
                <w:sz w:val="24"/>
                <w:szCs w:val="24"/>
              </w:rPr>
            </w:pPr>
          </w:p>
        </w:tc>
        <w:tc>
          <w:tcPr>
            <w:tcW w:w="1860" w:type="dxa"/>
            <w:noWrap/>
          </w:tcPr>
          <w:p>
            <w:pPr>
              <w:jc w:val="center"/>
              <w:rPr>
                <w:rFonts w:ascii="宋体" w:hAnsi="宋体"/>
                <w:color w:val="auto"/>
                <w:sz w:val="24"/>
                <w:szCs w:val="24"/>
              </w:rPr>
            </w:pPr>
          </w:p>
        </w:tc>
        <w:tc>
          <w:tcPr>
            <w:tcW w:w="2356" w:type="dxa"/>
            <w:noWrap/>
          </w:tcPr>
          <w:p>
            <w:pPr>
              <w:jc w:val="center"/>
              <w:rPr>
                <w:rFonts w:ascii="宋体" w:hAnsi="宋体"/>
                <w:color w:val="auto"/>
                <w:sz w:val="24"/>
                <w:szCs w:val="24"/>
              </w:rPr>
            </w:pPr>
          </w:p>
        </w:tc>
        <w:tc>
          <w:tcPr>
            <w:tcW w:w="2115" w:type="dxa"/>
            <w:noWrap/>
          </w:tcPr>
          <w:p>
            <w:pPr>
              <w:jc w:val="center"/>
              <w:rPr>
                <w:rFonts w:ascii="宋体" w:hAnsi="宋体"/>
                <w:color w:val="auto"/>
                <w:sz w:val="24"/>
                <w:szCs w:val="24"/>
              </w:rPr>
            </w:pPr>
          </w:p>
        </w:tc>
        <w:tc>
          <w:tcPr>
            <w:tcW w:w="1215" w:type="dxa"/>
            <w:noWra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 w:val="24"/>
                <w:szCs w:val="24"/>
              </w:rPr>
            </w:pPr>
          </w:p>
        </w:tc>
        <w:tc>
          <w:tcPr>
            <w:tcW w:w="1216" w:type="dxa"/>
            <w:noWrap/>
          </w:tcPr>
          <w:p>
            <w:pPr>
              <w:jc w:val="center"/>
              <w:rPr>
                <w:rFonts w:ascii="宋体" w:hAnsi="宋体"/>
                <w:color w:val="auto"/>
                <w:sz w:val="24"/>
                <w:szCs w:val="24"/>
              </w:rPr>
            </w:pPr>
          </w:p>
        </w:tc>
        <w:tc>
          <w:tcPr>
            <w:tcW w:w="1860" w:type="dxa"/>
            <w:noWrap/>
          </w:tcPr>
          <w:p>
            <w:pPr>
              <w:jc w:val="center"/>
              <w:rPr>
                <w:rFonts w:ascii="宋体" w:hAnsi="宋体"/>
                <w:color w:val="auto"/>
                <w:sz w:val="24"/>
                <w:szCs w:val="24"/>
              </w:rPr>
            </w:pPr>
          </w:p>
        </w:tc>
        <w:tc>
          <w:tcPr>
            <w:tcW w:w="2356" w:type="dxa"/>
            <w:noWrap/>
          </w:tcPr>
          <w:p>
            <w:pPr>
              <w:jc w:val="center"/>
              <w:rPr>
                <w:rFonts w:ascii="宋体" w:hAnsi="宋体"/>
                <w:color w:val="auto"/>
                <w:sz w:val="24"/>
                <w:szCs w:val="24"/>
              </w:rPr>
            </w:pPr>
          </w:p>
        </w:tc>
        <w:tc>
          <w:tcPr>
            <w:tcW w:w="2115" w:type="dxa"/>
            <w:noWrap/>
          </w:tcPr>
          <w:p>
            <w:pPr>
              <w:jc w:val="center"/>
              <w:rPr>
                <w:rFonts w:ascii="宋体" w:hAnsi="宋体"/>
                <w:color w:val="auto"/>
                <w:sz w:val="24"/>
                <w:szCs w:val="24"/>
              </w:rPr>
            </w:pPr>
          </w:p>
        </w:tc>
        <w:tc>
          <w:tcPr>
            <w:tcW w:w="1215" w:type="dxa"/>
            <w:noWra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 w:val="24"/>
                <w:szCs w:val="24"/>
              </w:rPr>
            </w:pPr>
          </w:p>
        </w:tc>
        <w:tc>
          <w:tcPr>
            <w:tcW w:w="1216" w:type="dxa"/>
            <w:noWrap/>
          </w:tcPr>
          <w:p>
            <w:pPr>
              <w:jc w:val="center"/>
              <w:rPr>
                <w:rFonts w:ascii="宋体" w:hAnsi="宋体"/>
                <w:color w:val="auto"/>
                <w:sz w:val="24"/>
                <w:szCs w:val="24"/>
              </w:rPr>
            </w:pPr>
          </w:p>
        </w:tc>
        <w:tc>
          <w:tcPr>
            <w:tcW w:w="1860" w:type="dxa"/>
            <w:noWrap/>
          </w:tcPr>
          <w:p>
            <w:pPr>
              <w:jc w:val="center"/>
              <w:rPr>
                <w:rFonts w:ascii="宋体" w:hAnsi="宋体"/>
                <w:color w:val="auto"/>
                <w:sz w:val="24"/>
                <w:szCs w:val="24"/>
              </w:rPr>
            </w:pPr>
          </w:p>
        </w:tc>
        <w:tc>
          <w:tcPr>
            <w:tcW w:w="2356" w:type="dxa"/>
            <w:noWrap/>
          </w:tcPr>
          <w:p>
            <w:pPr>
              <w:jc w:val="center"/>
              <w:rPr>
                <w:rFonts w:ascii="宋体" w:hAnsi="宋体"/>
                <w:color w:val="auto"/>
                <w:sz w:val="24"/>
                <w:szCs w:val="24"/>
              </w:rPr>
            </w:pPr>
          </w:p>
        </w:tc>
        <w:tc>
          <w:tcPr>
            <w:tcW w:w="2115" w:type="dxa"/>
            <w:noWrap/>
          </w:tcPr>
          <w:p>
            <w:pPr>
              <w:jc w:val="center"/>
              <w:rPr>
                <w:rFonts w:ascii="宋体" w:hAnsi="宋体"/>
                <w:color w:val="auto"/>
                <w:sz w:val="24"/>
                <w:szCs w:val="24"/>
              </w:rPr>
            </w:pPr>
          </w:p>
        </w:tc>
        <w:tc>
          <w:tcPr>
            <w:tcW w:w="1215" w:type="dxa"/>
            <w:noWra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 w:val="24"/>
                <w:szCs w:val="24"/>
              </w:rPr>
            </w:pPr>
          </w:p>
        </w:tc>
        <w:tc>
          <w:tcPr>
            <w:tcW w:w="1216" w:type="dxa"/>
            <w:noWrap/>
          </w:tcPr>
          <w:p>
            <w:pPr>
              <w:jc w:val="center"/>
              <w:rPr>
                <w:rFonts w:ascii="宋体" w:hAnsi="宋体"/>
                <w:color w:val="auto"/>
                <w:sz w:val="24"/>
                <w:szCs w:val="24"/>
              </w:rPr>
            </w:pPr>
          </w:p>
        </w:tc>
        <w:tc>
          <w:tcPr>
            <w:tcW w:w="1860" w:type="dxa"/>
            <w:noWrap/>
          </w:tcPr>
          <w:p>
            <w:pPr>
              <w:jc w:val="center"/>
              <w:rPr>
                <w:rFonts w:ascii="宋体" w:hAnsi="宋体"/>
                <w:color w:val="auto"/>
                <w:sz w:val="24"/>
                <w:szCs w:val="24"/>
              </w:rPr>
            </w:pPr>
          </w:p>
        </w:tc>
        <w:tc>
          <w:tcPr>
            <w:tcW w:w="2356" w:type="dxa"/>
            <w:noWrap/>
          </w:tcPr>
          <w:p>
            <w:pPr>
              <w:jc w:val="center"/>
              <w:rPr>
                <w:rFonts w:ascii="宋体" w:hAnsi="宋体"/>
                <w:color w:val="auto"/>
                <w:sz w:val="24"/>
                <w:szCs w:val="24"/>
              </w:rPr>
            </w:pPr>
          </w:p>
        </w:tc>
        <w:tc>
          <w:tcPr>
            <w:tcW w:w="2115" w:type="dxa"/>
            <w:noWrap/>
          </w:tcPr>
          <w:p>
            <w:pPr>
              <w:jc w:val="center"/>
              <w:rPr>
                <w:rFonts w:ascii="宋体" w:hAnsi="宋体"/>
                <w:color w:val="auto"/>
                <w:sz w:val="24"/>
                <w:szCs w:val="24"/>
              </w:rPr>
            </w:pPr>
          </w:p>
        </w:tc>
        <w:tc>
          <w:tcPr>
            <w:tcW w:w="1215" w:type="dxa"/>
            <w:noWra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 w:val="24"/>
                <w:szCs w:val="24"/>
              </w:rPr>
            </w:pPr>
          </w:p>
        </w:tc>
        <w:tc>
          <w:tcPr>
            <w:tcW w:w="1216" w:type="dxa"/>
            <w:noWrap/>
          </w:tcPr>
          <w:p>
            <w:pPr>
              <w:jc w:val="center"/>
              <w:rPr>
                <w:rFonts w:ascii="宋体" w:hAnsi="宋体"/>
                <w:color w:val="auto"/>
                <w:sz w:val="24"/>
                <w:szCs w:val="24"/>
              </w:rPr>
            </w:pPr>
          </w:p>
        </w:tc>
        <w:tc>
          <w:tcPr>
            <w:tcW w:w="1860" w:type="dxa"/>
            <w:noWrap/>
          </w:tcPr>
          <w:p>
            <w:pPr>
              <w:jc w:val="center"/>
              <w:rPr>
                <w:rFonts w:ascii="宋体" w:hAnsi="宋体"/>
                <w:color w:val="auto"/>
                <w:sz w:val="24"/>
                <w:szCs w:val="24"/>
              </w:rPr>
            </w:pPr>
          </w:p>
        </w:tc>
        <w:tc>
          <w:tcPr>
            <w:tcW w:w="2356" w:type="dxa"/>
            <w:noWrap/>
          </w:tcPr>
          <w:p>
            <w:pPr>
              <w:jc w:val="center"/>
              <w:rPr>
                <w:rFonts w:ascii="宋体" w:hAnsi="宋体"/>
                <w:color w:val="auto"/>
                <w:sz w:val="24"/>
                <w:szCs w:val="24"/>
              </w:rPr>
            </w:pPr>
          </w:p>
        </w:tc>
        <w:tc>
          <w:tcPr>
            <w:tcW w:w="2115" w:type="dxa"/>
            <w:noWrap/>
          </w:tcPr>
          <w:p>
            <w:pPr>
              <w:jc w:val="center"/>
              <w:rPr>
                <w:rFonts w:ascii="宋体" w:hAnsi="宋体"/>
                <w:color w:val="auto"/>
                <w:sz w:val="24"/>
                <w:szCs w:val="24"/>
              </w:rPr>
            </w:pPr>
          </w:p>
        </w:tc>
        <w:tc>
          <w:tcPr>
            <w:tcW w:w="1215" w:type="dxa"/>
            <w:noWra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 w:val="24"/>
                <w:szCs w:val="24"/>
              </w:rPr>
            </w:pPr>
          </w:p>
        </w:tc>
        <w:tc>
          <w:tcPr>
            <w:tcW w:w="1216" w:type="dxa"/>
            <w:noWrap/>
          </w:tcPr>
          <w:p>
            <w:pPr>
              <w:jc w:val="center"/>
              <w:rPr>
                <w:rFonts w:ascii="宋体" w:hAnsi="宋体"/>
                <w:color w:val="auto"/>
                <w:sz w:val="24"/>
                <w:szCs w:val="24"/>
              </w:rPr>
            </w:pPr>
          </w:p>
        </w:tc>
        <w:tc>
          <w:tcPr>
            <w:tcW w:w="1860" w:type="dxa"/>
            <w:noWrap/>
          </w:tcPr>
          <w:p>
            <w:pPr>
              <w:jc w:val="center"/>
              <w:rPr>
                <w:rFonts w:ascii="宋体" w:hAnsi="宋体"/>
                <w:color w:val="auto"/>
                <w:sz w:val="24"/>
                <w:szCs w:val="24"/>
              </w:rPr>
            </w:pPr>
          </w:p>
        </w:tc>
        <w:tc>
          <w:tcPr>
            <w:tcW w:w="2356" w:type="dxa"/>
            <w:noWrap/>
          </w:tcPr>
          <w:p>
            <w:pPr>
              <w:jc w:val="center"/>
              <w:rPr>
                <w:rFonts w:ascii="宋体" w:hAnsi="宋体"/>
                <w:color w:val="auto"/>
                <w:sz w:val="24"/>
                <w:szCs w:val="24"/>
              </w:rPr>
            </w:pPr>
          </w:p>
        </w:tc>
        <w:tc>
          <w:tcPr>
            <w:tcW w:w="2115" w:type="dxa"/>
            <w:noWrap/>
          </w:tcPr>
          <w:p>
            <w:pPr>
              <w:jc w:val="center"/>
              <w:rPr>
                <w:rFonts w:ascii="宋体" w:hAnsi="宋体"/>
                <w:color w:val="auto"/>
                <w:sz w:val="24"/>
                <w:szCs w:val="24"/>
              </w:rPr>
            </w:pPr>
          </w:p>
        </w:tc>
        <w:tc>
          <w:tcPr>
            <w:tcW w:w="1215" w:type="dxa"/>
            <w:noWra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 w:val="24"/>
                <w:szCs w:val="24"/>
              </w:rPr>
            </w:pPr>
          </w:p>
        </w:tc>
        <w:tc>
          <w:tcPr>
            <w:tcW w:w="1216" w:type="dxa"/>
            <w:noWrap/>
          </w:tcPr>
          <w:p>
            <w:pPr>
              <w:jc w:val="center"/>
              <w:rPr>
                <w:rFonts w:ascii="宋体" w:hAnsi="宋体"/>
                <w:color w:val="auto"/>
                <w:sz w:val="24"/>
                <w:szCs w:val="24"/>
              </w:rPr>
            </w:pPr>
          </w:p>
        </w:tc>
        <w:tc>
          <w:tcPr>
            <w:tcW w:w="1860" w:type="dxa"/>
            <w:noWrap/>
          </w:tcPr>
          <w:p>
            <w:pPr>
              <w:jc w:val="center"/>
              <w:rPr>
                <w:rFonts w:ascii="宋体" w:hAnsi="宋体"/>
                <w:color w:val="auto"/>
                <w:sz w:val="24"/>
                <w:szCs w:val="24"/>
              </w:rPr>
            </w:pPr>
          </w:p>
        </w:tc>
        <w:tc>
          <w:tcPr>
            <w:tcW w:w="2356" w:type="dxa"/>
            <w:noWrap/>
          </w:tcPr>
          <w:p>
            <w:pPr>
              <w:jc w:val="center"/>
              <w:rPr>
                <w:rFonts w:ascii="宋体" w:hAnsi="宋体"/>
                <w:color w:val="auto"/>
                <w:sz w:val="24"/>
                <w:szCs w:val="24"/>
              </w:rPr>
            </w:pPr>
          </w:p>
        </w:tc>
        <w:tc>
          <w:tcPr>
            <w:tcW w:w="2115" w:type="dxa"/>
            <w:noWrap/>
          </w:tcPr>
          <w:p>
            <w:pPr>
              <w:jc w:val="center"/>
              <w:rPr>
                <w:rFonts w:ascii="宋体" w:hAnsi="宋体"/>
                <w:color w:val="auto"/>
                <w:sz w:val="24"/>
                <w:szCs w:val="24"/>
              </w:rPr>
            </w:pPr>
          </w:p>
        </w:tc>
        <w:tc>
          <w:tcPr>
            <w:tcW w:w="1215" w:type="dxa"/>
            <w:noWra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 w:val="24"/>
                <w:szCs w:val="24"/>
              </w:rPr>
            </w:pPr>
          </w:p>
        </w:tc>
        <w:tc>
          <w:tcPr>
            <w:tcW w:w="1216" w:type="dxa"/>
            <w:noWrap/>
          </w:tcPr>
          <w:p>
            <w:pPr>
              <w:jc w:val="center"/>
              <w:rPr>
                <w:rFonts w:ascii="宋体" w:hAnsi="宋体"/>
                <w:color w:val="auto"/>
                <w:sz w:val="24"/>
                <w:szCs w:val="24"/>
              </w:rPr>
            </w:pPr>
          </w:p>
        </w:tc>
        <w:tc>
          <w:tcPr>
            <w:tcW w:w="1860" w:type="dxa"/>
            <w:noWrap/>
          </w:tcPr>
          <w:p>
            <w:pPr>
              <w:jc w:val="center"/>
              <w:rPr>
                <w:rFonts w:ascii="宋体" w:hAnsi="宋体"/>
                <w:color w:val="auto"/>
                <w:sz w:val="24"/>
                <w:szCs w:val="24"/>
              </w:rPr>
            </w:pPr>
          </w:p>
        </w:tc>
        <w:tc>
          <w:tcPr>
            <w:tcW w:w="2356" w:type="dxa"/>
            <w:noWrap/>
          </w:tcPr>
          <w:p>
            <w:pPr>
              <w:jc w:val="center"/>
              <w:rPr>
                <w:rFonts w:ascii="宋体" w:hAnsi="宋体"/>
                <w:color w:val="auto"/>
                <w:sz w:val="24"/>
                <w:szCs w:val="24"/>
              </w:rPr>
            </w:pPr>
          </w:p>
        </w:tc>
        <w:tc>
          <w:tcPr>
            <w:tcW w:w="2115" w:type="dxa"/>
            <w:noWrap/>
          </w:tcPr>
          <w:p>
            <w:pPr>
              <w:jc w:val="center"/>
              <w:rPr>
                <w:rFonts w:ascii="宋体" w:hAnsi="宋体"/>
                <w:color w:val="auto"/>
                <w:sz w:val="24"/>
                <w:szCs w:val="24"/>
              </w:rPr>
            </w:pPr>
          </w:p>
        </w:tc>
        <w:tc>
          <w:tcPr>
            <w:tcW w:w="1215" w:type="dxa"/>
            <w:noWrap/>
          </w:tcPr>
          <w:p>
            <w:pPr>
              <w:jc w:val="center"/>
              <w:rPr>
                <w:rFonts w:ascii="宋体" w:hAnsi="宋体"/>
                <w:color w:val="auto"/>
                <w:sz w:val="24"/>
                <w:szCs w:val="24"/>
              </w:rPr>
            </w:pPr>
          </w:p>
        </w:tc>
      </w:tr>
    </w:tbl>
    <w:p>
      <w:pPr>
        <w:spacing w:line="360" w:lineRule="auto"/>
        <w:rPr>
          <w:rFonts w:ascii="宋体" w:hAnsi="宋体"/>
          <w:color w:val="auto"/>
          <w:sz w:val="24"/>
        </w:rPr>
      </w:pPr>
      <w:r>
        <w:rPr>
          <w:rFonts w:hint="eastAsia" w:ascii="宋体" w:hAnsi="宋体"/>
          <w:color w:val="auto"/>
          <w:sz w:val="24"/>
        </w:rPr>
        <w:t>1、此表可以根据需要自行增减行数。</w:t>
      </w:r>
    </w:p>
    <w:p>
      <w:pPr>
        <w:snapToGrid w:val="0"/>
        <w:spacing w:line="480" w:lineRule="exact"/>
        <w:jc w:val="left"/>
        <w:rPr>
          <w:rFonts w:ascii="宋体" w:hAnsi="宋体" w:cs="宋体"/>
          <w:b/>
          <w:bCs/>
          <w:color w:val="auto"/>
          <w:spacing w:val="-2"/>
          <w:sz w:val="24"/>
        </w:rPr>
      </w:pPr>
      <w:r>
        <w:rPr>
          <w:rFonts w:hint="eastAsia" w:ascii="宋体" w:hAnsi="宋体"/>
          <w:color w:val="auto"/>
          <w:sz w:val="24"/>
        </w:rPr>
        <w:t>2、</w:t>
      </w:r>
      <w:r>
        <w:rPr>
          <w:rFonts w:hint="eastAsia" w:ascii="宋体" w:hAnsi="宋体" w:cs="宋体"/>
          <w:b/>
          <w:bCs/>
          <w:color w:val="auto"/>
          <w:spacing w:val="-2"/>
          <w:sz w:val="24"/>
        </w:rPr>
        <w:t>投标人应根据投标设备的性能指标、对照招标文件要求在“偏离情况”栏注明“正偏离”、“无偏离”或“负偏离”， 投标人须把所投货物的详细配置等情况根据招标文件要求、偏离情况逐项进行描述。</w:t>
      </w:r>
    </w:p>
    <w:p>
      <w:pPr>
        <w:spacing w:line="500" w:lineRule="exact"/>
        <w:rPr>
          <w:rFonts w:ascii="宋体" w:hAnsi="宋体"/>
          <w:color w:val="auto"/>
          <w:sz w:val="24"/>
          <w:szCs w:val="24"/>
        </w:rPr>
      </w:pPr>
      <w:r>
        <w:rPr>
          <w:rFonts w:hint="eastAsia" w:ascii="宋体" w:hAnsi="宋体" w:cs="宋体"/>
          <w:b/>
          <w:bCs/>
          <w:color w:val="auto"/>
          <w:spacing w:val="-2"/>
          <w:sz w:val="24"/>
        </w:rPr>
        <w:t>3、投标人如在投标过程中提供虚假材料谋取中标成交的或采取不正当手段诋毁、排挤其他供应商的,将承担相应法律责任</w:t>
      </w:r>
      <w:r>
        <w:rPr>
          <w:rFonts w:hint="eastAsia" w:ascii="宋体" w:hAnsi="宋体" w:cs="宋体"/>
          <w:b/>
          <w:bCs/>
          <w:color w:val="auto"/>
          <w:sz w:val="24"/>
        </w:rPr>
        <w:t>。</w:t>
      </w:r>
    </w:p>
    <w:p>
      <w:pPr>
        <w:rPr>
          <w:rFonts w:ascii="宋体" w:hAnsi="宋体"/>
          <w:color w:val="auto"/>
          <w:sz w:val="24"/>
          <w:szCs w:val="24"/>
        </w:rPr>
      </w:pPr>
    </w:p>
    <w:p>
      <w:pPr>
        <w:snapToGrid w:val="0"/>
        <w:spacing w:before="100" w:beforeAutospacing="1" w:after="100" w:afterAutospacing="1" w:line="440" w:lineRule="exact"/>
        <w:jc w:val="left"/>
        <w:rPr>
          <w:rFonts w:ascii="宋体" w:hAnsi="宋体" w:cs="宋体"/>
          <w:color w:val="auto"/>
          <w:sz w:val="24"/>
        </w:rPr>
      </w:pPr>
      <w:r>
        <w:rPr>
          <w:rFonts w:hint="eastAsia" w:ascii="宋体" w:hAnsi="宋体" w:cs="宋体"/>
          <w:color w:val="auto"/>
          <w:sz w:val="24"/>
          <w:shd w:val="clear" w:color="auto" w:fill="FFFFFF"/>
        </w:rPr>
        <w:t>法定代表人/单位负责人</w:t>
      </w:r>
      <w:r>
        <w:rPr>
          <w:rFonts w:hint="eastAsia" w:ascii="宋体" w:hAnsi="宋体" w:cs="宋体"/>
          <w:color w:val="auto"/>
          <w:sz w:val="24"/>
        </w:rPr>
        <w:t>或委托代理人： （盖章或签字）</w:t>
      </w:r>
    </w:p>
    <w:p>
      <w:pPr>
        <w:spacing w:before="100" w:beforeAutospacing="1" w:after="100" w:afterAutospacing="1" w:line="440" w:lineRule="exact"/>
        <w:rPr>
          <w:rFonts w:ascii="宋体" w:hAnsi="宋体" w:cs="宋体"/>
          <w:color w:val="auto"/>
          <w:sz w:val="24"/>
        </w:rPr>
      </w:pPr>
      <w:r>
        <w:rPr>
          <w:rFonts w:hint="eastAsia" w:ascii="宋体" w:hAnsi="宋体" w:cs="宋体"/>
          <w:color w:val="auto"/>
          <w:sz w:val="24"/>
        </w:rPr>
        <w:t xml:space="preserve">投标单位：    （全称并加盖公章）                      </w:t>
      </w:r>
    </w:p>
    <w:p>
      <w:pPr>
        <w:spacing w:before="100" w:beforeAutospacing="1" w:after="100" w:afterAutospacing="1" w:line="440" w:lineRule="exact"/>
        <w:ind w:firstLine="480" w:firstLineChars="200"/>
        <w:jc w:val="right"/>
        <w:rPr>
          <w:rFonts w:ascii="宋体" w:hAnsi="宋体" w:cs="宋体"/>
          <w:color w:val="auto"/>
          <w:sz w:val="24"/>
        </w:rPr>
      </w:pPr>
      <w:r>
        <w:rPr>
          <w:rFonts w:hint="eastAsia" w:ascii="宋体" w:hAnsi="宋体" w:cs="宋体"/>
          <w:color w:val="auto"/>
          <w:sz w:val="24"/>
        </w:rPr>
        <w:t xml:space="preserve">                          年    月    日</w:t>
      </w:r>
    </w:p>
    <w:p>
      <w:pPr>
        <w:snapToGrid w:val="0"/>
        <w:spacing w:before="50" w:after="50"/>
        <w:jc w:val="center"/>
        <w:rPr>
          <w:rFonts w:ascii="黑体" w:eastAsia="黑体"/>
          <w:color w:val="auto"/>
          <w:sz w:val="32"/>
          <w:szCs w:val="32"/>
        </w:rPr>
      </w:pPr>
      <w:bookmarkStart w:id="23" w:name="_Hlt26955054"/>
      <w:bookmarkEnd w:id="23"/>
    </w:p>
    <w:p>
      <w:pPr>
        <w:snapToGrid w:val="0"/>
        <w:spacing w:before="50" w:after="50"/>
        <w:jc w:val="center"/>
        <w:outlineLvl w:val="0"/>
        <w:rPr>
          <w:rFonts w:ascii="黑体" w:eastAsia="黑体"/>
          <w:color w:val="auto"/>
          <w:sz w:val="32"/>
          <w:szCs w:val="32"/>
        </w:rPr>
      </w:pPr>
      <w:bookmarkStart w:id="24" w:name="_Toc3097"/>
      <w:r>
        <w:rPr>
          <w:rFonts w:hint="eastAsia" w:ascii="黑体" w:eastAsia="黑体"/>
          <w:color w:val="auto"/>
          <w:sz w:val="32"/>
          <w:szCs w:val="32"/>
        </w:rPr>
        <w:t>七、商务条款响应及偏离表</w:t>
      </w:r>
      <w:bookmarkEnd w:id="24"/>
    </w:p>
    <w:p>
      <w:pPr>
        <w:jc w:val="center"/>
        <w:rPr>
          <w:rFonts w:ascii="宋体" w:hAnsi="宋体"/>
          <w:color w:val="auto"/>
          <w:sz w:val="24"/>
          <w:szCs w:val="24"/>
        </w:rPr>
      </w:pPr>
    </w:p>
    <w:p>
      <w:pPr>
        <w:rPr>
          <w:rFonts w:ascii="宋体" w:hAnsi="宋体"/>
          <w:color w:val="auto"/>
          <w:sz w:val="24"/>
          <w:szCs w:val="24"/>
        </w:rPr>
      </w:pPr>
      <w:r>
        <w:rPr>
          <w:rFonts w:hint="eastAsia" w:ascii="宋体" w:hAnsi="宋体"/>
          <w:color w:val="auto"/>
          <w:sz w:val="24"/>
          <w:szCs w:val="24"/>
        </w:rPr>
        <w:t xml:space="preserve">投标人全称（加盖公章）：        </w:t>
      </w:r>
    </w:p>
    <w:tbl>
      <w:tblPr>
        <w:tblStyle w:val="2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r>
              <w:rPr>
                <w:rFonts w:hint="eastAsia" w:ascii="仿宋_GB2312" w:hAnsi="宋体"/>
                <w:color w:val="auto"/>
                <w:sz w:val="24"/>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r>
              <w:rPr>
                <w:rFonts w:hint="eastAsia" w:ascii="仿宋_GB2312" w:hAnsi="宋体"/>
                <w:color w:val="auto"/>
                <w:sz w:val="24"/>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r>
              <w:rPr>
                <w:rFonts w:hint="eastAsia" w:ascii="仿宋_GB2312" w:hAnsi="宋体"/>
                <w:color w:val="auto"/>
                <w:sz w:val="24"/>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r>
              <w:rPr>
                <w:rFonts w:hint="eastAsia" w:ascii="仿宋_GB2312" w:hAnsi="宋体"/>
                <w:color w:val="auto"/>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r>
              <w:rPr>
                <w:rFonts w:hint="eastAsia" w:ascii="仿宋_GB2312" w:hAnsi="宋体"/>
                <w:color w:val="auto"/>
                <w:sz w:val="24"/>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r>
              <w:rPr>
                <w:rFonts w:hint="eastAsia" w:ascii="仿宋_GB2312"/>
                <w:color w:val="auto"/>
                <w:sz w:val="24"/>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r>
              <w:rPr>
                <w:rFonts w:hint="eastAsia" w:ascii="仿宋_GB2312"/>
                <w:color w:val="auto"/>
                <w:sz w:val="24"/>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r>
              <w:rPr>
                <w:rFonts w:hint="eastAsia" w:ascii="仿宋_GB2312" w:hAnsi="宋体"/>
                <w:color w:val="auto"/>
                <w:sz w:val="24"/>
              </w:rPr>
              <w:t>合同签订后</w:t>
            </w:r>
            <w:r>
              <w:rPr>
                <w:rFonts w:ascii="仿宋_GB2312" w:hAnsi="宋体"/>
                <w:color w:val="auto"/>
                <w:sz w:val="24"/>
              </w:rPr>
              <w:t>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color w:val="auto"/>
                <w:sz w:val="24"/>
              </w:rPr>
            </w:pPr>
            <w:r>
              <w:rPr>
                <w:rFonts w:hint="eastAsia" w:ascii="仿宋_GB2312"/>
                <w:color w:val="auto"/>
                <w:sz w:val="24"/>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color w:val="auto"/>
                <w:sz w:val="24"/>
              </w:rPr>
            </w:pPr>
          </w:p>
          <w:p>
            <w:pPr>
              <w:snapToGrid w:val="0"/>
              <w:spacing w:beforeLines="50"/>
              <w:rPr>
                <w:rFonts w:ascii="仿宋_GB2312" w:hAnsi="宋体"/>
                <w:color w:val="auto"/>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color w:val="auto"/>
                <w:sz w:val="24"/>
              </w:rPr>
            </w:pPr>
            <w:r>
              <w:rPr>
                <w:rFonts w:hint="eastAsia" w:ascii="仿宋_GB2312"/>
                <w:color w:val="auto"/>
                <w:sz w:val="24"/>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color w:val="auto"/>
                <w:sz w:val="24"/>
              </w:rPr>
            </w:pPr>
          </w:p>
          <w:p>
            <w:pPr>
              <w:snapToGrid w:val="0"/>
              <w:spacing w:beforeLines="50"/>
              <w:rPr>
                <w:rFonts w:ascii="仿宋_GB2312" w:hAnsi="宋体"/>
                <w:color w:val="auto"/>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r>
              <w:rPr>
                <w:rFonts w:hint="eastAsia" w:ascii="仿宋_GB2312" w:hAnsi="宋体"/>
                <w:color w:val="auto"/>
                <w:sz w:val="24"/>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olor w:val="auto"/>
                <w:sz w:val="24"/>
                <w:szCs w:val="20"/>
              </w:rPr>
            </w:pPr>
            <w:r>
              <w:rPr>
                <w:rFonts w:hint="eastAsia" w:ascii="宋体" w:hAnsi="宋体"/>
                <w:color w:val="auto"/>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p>
            <w:pPr>
              <w:snapToGrid w:val="0"/>
              <w:spacing w:beforeLines="50"/>
              <w:rPr>
                <w:rFonts w:ascii="仿宋_GB2312" w:hAnsi="宋体" w:eastAsia="仿宋_GB2312"/>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color w:val="auto"/>
                <w:sz w:val="24"/>
              </w:rPr>
            </w:pPr>
            <w:r>
              <w:rPr>
                <w:rFonts w:hint="eastAsia" w:ascii="仿宋_GB2312"/>
                <w:color w:val="auto"/>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r>
              <w:rPr>
                <w:rFonts w:hint="eastAsia" w:ascii="仿宋_GB2312" w:hAnsi="宋体"/>
                <w:color w:val="auto"/>
                <w:sz w:val="24"/>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r>
    </w:tbl>
    <w:p>
      <w:pPr>
        <w:rPr>
          <w:rFonts w:ascii="宋体" w:hAnsi="宋体"/>
          <w:color w:val="auto"/>
          <w:sz w:val="24"/>
          <w:szCs w:val="24"/>
        </w:rPr>
      </w:pPr>
      <w:r>
        <w:rPr>
          <w:rFonts w:hint="eastAsia" w:ascii="宋体" w:hAnsi="宋体"/>
          <w:color w:val="auto"/>
          <w:sz w:val="24"/>
          <w:szCs w:val="24"/>
        </w:rPr>
        <w:t>法定代表人或授权代表签字：</w:t>
      </w:r>
    </w:p>
    <w:p>
      <w:pPr>
        <w:pStyle w:val="7"/>
        <w:rPr>
          <w:color w:val="auto"/>
        </w:rPr>
      </w:pPr>
    </w:p>
    <w:p>
      <w:pPr>
        <w:pStyle w:val="7"/>
        <w:rPr>
          <w:color w:val="auto"/>
        </w:rPr>
      </w:pPr>
    </w:p>
    <w:p>
      <w:pPr>
        <w:spacing w:line="480" w:lineRule="auto"/>
        <w:rPr>
          <w:rFonts w:ascii="仿宋_GB2312" w:hAnsi="Arial"/>
          <w:color w:val="auto"/>
          <w:sz w:val="30"/>
        </w:rPr>
      </w:pPr>
      <w:bookmarkStart w:id="25" w:name="_Hlt26671374"/>
      <w:bookmarkEnd w:id="25"/>
      <w:bookmarkStart w:id="26" w:name="_Hlt26955064"/>
      <w:bookmarkEnd w:id="26"/>
      <w:bookmarkStart w:id="27" w:name="_Hlt26782999"/>
      <w:bookmarkEnd w:id="27"/>
      <w:bookmarkStart w:id="28" w:name="_Hlt26609389"/>
      <w:bookmarkEnd w:id="28"/>
      <w:bookmarkStart w:id="29" w:name="_Hlt26955066"/>
      <w:bookmarkEnd w:id="29"/>
      <w:bookmarkStart w:id="30" w:name="_Hlt24879081"/>
      <w:bookmarkEnd w:id="30"/>
      <w:bookmarkStart w:id="31" w:name="_Hlt26955056"/>
      <w:bookmarkEnd w:id="31"/>
      <w:bookmarkStart w:id="32" w:name="_Hlt26671343"/>
      <w:bookmarkEnd w:id="32"/>
      <w:bookmarkStart w:id="33" w:name="_Hlt26609391"/>
      <w:bookmarkEnd w:id="33"/>
      <w:bookmarkStart w:id="34" w:name="_Hlt26580838"/>
      <w:bookmarkEnd w:id="34"/>
      <w:bookmarkStart w:id="35" w:name="_Hlt26671372"/>
      <w:bookmarkEnd w:id="35"/>
      <w:bookmarkStart w:id="36" w:name="_Toc462564146"/>
    </w:p>
    <w:p>
      <w:pPr>
        <w:pStyle w:val="7"/>
        <w:ind w:firstLine="0"/>
        <w:rPr>
          <w:rFonts w:ascii="宋体" w:hAnsi="宋体"/>
          <w:color w:val="auto"/>
          <w:sz w:val="24"/>
        </w:rPr>
      </w:pPr>
    </w:p>
    <w:p>
      <w:pPr>
        <w:snapToGrid w:val="0"/>
        <w:spacing w:before="50" w:after="50"/>
        <w:jc w:val="center"/>
        <w:outlineLvl w:val="0"/>
        <w:rPr>
          <w:rFonts w:ascii="黑体" w:eastAsia="黑体"/>
          <w:color w:val="auto"/>
          <w:sz w:val="32"/>
          <w:szCs w:val="32"/>
        </w:rPr>
      </w:pPr>
      <w:r>
        <w:rPr>
          <w:rFonts w:ascii="黑体" w:eastAsia="黑体"/>
          <w:color w:val="auto"/>
          <w:sz w:val="32"/>
          <w:szCs w:val="32"/>
        </w:rPr>
        <w:br w:type="page"/>
      </w:r>
      <w:bookmarkStart w:id="37" w:name="_Toc9635"/>
      <w:r>
        <w:rPr>
          <w:rFonts w:hint="eastAsia" w:ascii="黑体" w:eastAsia="黑体"/>
          <w:color w:val="auto"/>
          <w:sz w:val="32"/>
          <w:szCs w:val="32"/>
        </w:rPr>
        <w:t>八、技术方案、服务承诺、培训承诺等</w:t>
      </w:r>
      <w:bookmarkEnd w:id="36"/>
      <w:bookmarkEnd w:id="37"/>
      <w:bookmarkStart w:id="38" w:name="_格式2__法定代表人授权书"/>
      <w:bookmarkEnd w:id="38"/>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5"/>
        <w:tabs>
          <w:tab w:val="left" w:pos="1275"/>
        </w:tabs>
        <w:jc w:val="center"/>
        <w:rPr>
          <w:rFonts w:hAnsi="宋体"/>
          <w:color w:val="auto"/>
        </w:rPr>
      </w:pPr>
      <w:bookmarkStart w:id="39" w:name="_Toc7393"/>
      <w:r>
        <w:rPr>
          <w:rFonts w:hint="eastAsia" w:hAnsi="宋体"/>
          <w:color w:val="auto"/>
        </w:rPr>
        <w:t>九、售后服务承诺书</w:t>
      </w:r>
      <w:bookmarkEnd w:id="39"/>
    </w:p>
    <w:p>
      <w:pPr>
        <w:spacing w:line="480" w:lineRule="exact"/>
        <w:ind w:firstLine="120" w:firstLineChars="50"/>
        <w:rPr>
          <w:rFonts w:ascii="宋体" w:hAnsi="宋体"/>
          <w:color w:val="auto"/>
          <w:sz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jc w:val="center"/>
        </w:trPr>
        <w:tc>
          <w:tcPr>
            <w:tcW w:w="2405" w:type="dxa"/>
            <w:vAlign w:val="center"/>
          </w:tcPr>
          <w:p>
            <w:pPr>
              <w:tabs>
                <w:tab w:val="left" w:pos="0"/>
              </w:tabs>
              <w:spacing w:line="480" w:lineRule="exact"/>
              <w:jc w:val="center"/>
              <w:rPr>
                <w:rFonts w:ascii="宋体" w:hAnsi="宋体"/>
                <w:color w:val="auto"/>
                <w:sz w:val="24"/>
              </w:rPr>
            </w:pPr>
            <w:r>
              <w:rPr>
                <w:rFonts w:hint="eastAsia" w:ascii="宋体" w:hAnsi="宋体"/>
                <w:color w:val="auto"/>
                <w:sz w:val="24"/>
              </w:rPr>
              <w:t>服      务</w:t>
            </w:r>
          </w:p>
          <w:p>
            <w:pPr>
              <w:tabs>
                <w:tab w:val="left" w:pos="0"/>
              </w:tabs>
              <w:spacing w:line="480" w:lineRule="exact"/>
              <w:jc w:val="center"/>
              <w:rPr>
                <w:rFonts w:ascii="宋体" w:hAnsi="宋体"/>
                <w:color w:val="auto"/>
                <w:sz w:val="24"/>
              </w:rPr>
            </w:pPr>
            <w:r>
              <w:rPr>
                <w:rFonts w:hint="eastAsia" w:ascii="宋体" w:hAnsi="宋体"/>
                <w:color w:val="auto"/>
                <w:sz w:val="24"/>
              </w:rPr>
              <w:t>内      容</w:t>
            </w:r>
          </w:p>
        </w:tc>
        <w:tc>
          <w:tcPr>
            <w:tcW w:w="6703" w:type="dxa"/>
          </w:tcPr>
          <w:p>
            <w:pPr>
              <w:tabs>
                <w:tab w:val="left" w:pos="0"/>
              </w:tabs>
              <w:spacing w:line="4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7" w:hRule="atLeast"/>
          <w:jc w:val="center"/>
        </w:trPr>
        <w:tc>
          <w:tcPr>
            <w:tcW w:w="2405" w:type="dxa"/>
            <w:vAlign w:val="center"/>
          </w:tcPr>
          <w:p>
            <w:pPr>
              <w:tabs>
                <w:tab w:val="left" w:pos="0"/>
              </w:tabs>
              <w:spacing w:line="480" w:lineRule="exact"/>
              <w:jc w:val="center"/>
              <w:rPr>
                <w:rFonts w:ascii="宋体" w:hAnsi="宋体"/>
                <w:color w:val="auto"/>
                <w:sz w:val="24"/>
              </w:rPr>
            </w:pPr>
            <w:r>
              <w:rPr>
                <w:rFonts w:hint="eastAsia" w:ascii="宋体" w:hAnsi="宋体"/>
                <w:color w:val="auto"/>
                <w:sz w:val="24"/>
              </w:rPr>
              <w:t>承      诺</w:t>
            </w:r>
          </w:p>
        </w:tc>
        <w:tc>
          <w:tcPr>
            <w:tcW w:w="6703" w:type="dxa"/>
          </w:tcPr>
          <w:p>
            <w:pPr>
              <w:tabs>
                <w:tab w:val="left" w:pos="0"/>
              </w:tabs>
              <w:spacing w:line="480" w:lineRule="exact"/>
              <w:rPr>
                <w:rFonts w:ascii="宋体" w:hAnsi="宋体"/>
                <w:color w:val="auto"/>
                <w:sz w:val="24"/>
              </w:rPr>
            </w:pPr>
          </w:p>
        </w:tc>
      </w:tr>
    </w:tbl>
    <w:p>
      <w:pPr>
        <w:tabs>
          <w:tab w:val="left" w:pos="0"/>
        </w:tabs>
        <w:spacing w:line="480" w:lineRule="exact"/>
        <w:rPr>
          <w:rFonts w:ascii="宋体" w:hAnsi="宋体"/>
          <w:color w:val="auto"/>
          <w:sz w:val="24"/>
        </w:rPr>
      </w:pPr>
    </w:p>
    <w:p>
      <w:pPr>
        <w:spacing w:line="480" w:lineRule="exact"/>
        <w:ind w:firstLine="435"/>
        <w:jc w:val="left"/>
        <w:rPr>
          <w:rFonts w:ascii="宋体" w:hAnsi="宋体"/>
          <w:color w:val="auto"/>
          <w:sz w:val="24"/>
        </w:rPr>
      </w:pPr>
    </w:p>
    <w:p>
      <w:pPr>
        <w:spacing w:line="480" w:lineRule="exact"/>
        <w:ind w:firstLine="435"/>
        <w:jc w:val="left"/>
        <w:rPr>
          <w:rFonts w:ascii="宋体" w:hAnsi="宋体"/>
          <w:color w:val="auto"/>
          <w:sz w:val="24"/>
        </w:rPr>
      </w:pPr>
      <w:r>
        <w:rPr>
          <w:rFonts w:hint="eastAsia" w:ascii="宋体" w:hAnsi="宋体"/>
          <w:color w:val="auto"/>
          <w:sz w:val="24"/>
        </w:rPr>
        <w:t xml:space="preserve">投标单位(盖章)：                            </w:t>
      </w:r>
    </w:p>
    <w:p>
      <w:pPr>
        <w:spacing w:line="480" w:lineRule="exact"/>
        <w:ind w:firstLine="435"/>
        <w:jc w:val="left"/>
        <w:rPr>
          <w:rFonts w:ascii="宋体" w:hAnsi="宋体"/>
          <w:color w:val="auto"/>
          <w:sz w:val="24"/>
        </w:rPr>
      </w:pPr>
    </w:p>
    <w:p>
      <w:pPr>
        <w:spacing w:line="480" w:lineRule="exact"/>
        <w:ind w:firstLine="435"/>
        <w:jc w:val="left"/>
        <w:rPr>
          <w:rFonts w:ascii="宋体" w:hAnsi="宋体"/>
          <w:color w:val="auto"/>
          <w:sz w:val="24"/>
        </w:rPr>
      </w:pPr>
      <w:r>
        <w:rPr>
          <w:rFonts w:hint="eastAsia" w:ascii="宋体" w:hAnsi="宋体"/>
          <w:color w:val="auto"/>
          <w:sz w:val="24"/>
        </w:rPr>
        <w:t xml:space="preserve">法定代表人或委托代理人：(盖章或签字)                 </w:t>
      </w:r>
    </w:p>
    <w:p>
      <w:pPr>
        <w:spacing w:line="480" w:lineRule="exact"/>
        <w:ind w:firstLine="435"/>
        <w:jc w:val="left"/>
        <w:rPr>
          <w:rFonts w:ascii="宋体" w:hAnsi="宋体"/>
          <w:color w:val="auto"/>
          <w:sz w:val="24"/>
        </w:rPr>
      </w:pPr>
    </w:p>
    <w:p>
      <w:pPr>
        <w:spacing w:line="480" w:lineRule="exact"/>
        <w:ind w:firstLine="435"/>
        <w:jc w:val="right"/>
        <w:rPr>
          <w:rFonts w:ascii="宋体" w:hAnsi="宋体"/>
          <w:color w:val="auto"/>
          <w:sz w:val="24"/>
        </w:rPr>
      </w:pPr>
      <w:r>
        <w:rPr>
          <w:rFonts w:hint="eastAsia" w:ascii="宋体" w:hAnsi="宋体"/>
          <w:color w:val="auto"/>
          <w:sz w:val="24"/>
        </w:rPr>
        <w:t>年   月   日</w:t>
      </w:r>
    </w:p>
    <w:p>
      <w:pPr>
        <w:pStyle w:val="137"/>
        <w:jc w:val="center"/>
        <w:outlineLvl w:val="0"/>
        <w:rPr>
          <w:rStyle w:val="42"/>
          <w:rFonts w:ascii="宋体" w:hAnsi="宋体" w:cs="宋体"/>
          <w:color w:val="auto"/>
          <w:sz w:val="32"/>
          <w:szCs w:val="32"/>
        </w:rPr>
      </w:pPr>
      <w:r>
        <w:rPr>
          <w:rStyle w:val="42"/>
          <w:rFonts w:hint="eastAsia" w:ascii="宋体" w:hAnsi="宋体" w:cs="宋体"/>
          <w:color w:val="auto"/>
          <w:sz w:val="32"/>
          <w:szCs w:val="32"/>
        </w:rPr>
        <w:br w:type="page"/>
      </w:r>
      <w:bookmarkStart w:id="40" w:name="_Toc25472"/>
      <w:r>
        <w:rPr>
          <w:rStyle w:val="42"/>
          <w:rFonts w:hint="eastAsia" w:ascii="宋体" w:hAnsi="宋体" w:cs="宋体"/>
          <w:color w:val="auto"/>
          <w:sz w:val="32"/>
          <w:szCs w:val="32"/>
        </w:rPr>
        <w:t>十、盐城市政府采购事前信用承诺书</w:t>
      </w:r>
      <w:bookmarkEnd w:id="40"/>
    </w:p>
    <w:p>
      <w:pPr>
        <w:spacing w:line="500" w:lineRule="exact"/>
        <w:ind w:firstLine="480" w:firstLineChars="200"/>
        <w:jc w:val="left"/>
        <w:rPr>
          <w:rStyle w:val="42"/>
          <w:rFonts w:ascii="宋体" w:hAnsi="宋体" w:cs="宋体"/>
          <w:color w:val="auto"/>
          <w:sz w:val="24"/>
        </w:rPr>
      </w:pPr>
      <w:r>
        <w:rPr>
          <w:rStyle w:val="42"/>
          <w:rFonts w:hint="eastAsia" w:ascii="宋体" w:hAnsi="宋体" w:cs="宋体"/>
          <w:color w:val="auto"/>
          <w:sz w:val="24"/>
        </w:rPr>
        <w:t>为营造我市公开、公平、公正、诚实守信的政府采购交易环境，树立诚信守法的投标人形象，本人代表本单位作出以下承诺：</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2"/>
          <w:rFonts w:ascii="宋体" w:hAnsi="宋体" w:cs="宋体"/>
          <w:color w:val="auto"/>
          <w:sz w:val="24"/>
        </w:rPr>
      </w:pPr>
      <w:r>
        <w:rPr>
          <w:rStyle w:val="42"/>
          <w:rFonts w:hint="eastAsia" w:ascii="宋体" w:hAnsi="宋体" w:cs="宋体"/>
          <w:color w:val="auto"/>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xml:space="preserve">   （三）严格依照国家和省、市关于政府采购的法律、法规、规章、规范性文件，参加政府采购投标活动；积极履行社会责任，促进廉政建设； </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（四）严格遵守即时信息公示规定，及时维护和更新维护和更新盐城市政府采购网中与本单位相关的信息；</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（六）自觉接受政府、行业组织、社会公众、新闻舆论的监督；</w:t>
      </w:r>
    </w:p>
    <w:p>
      <w:pPr>
        <w:spacing w:line="500" w:lineRule="exact"/>
        <w:ind w:firstLine="480" w:firstLineChars="200"/>
        <w:jc w:val="left"/>
        <w:rPr>
          <w:rStyle w:val="42"/>
          <w:rFonts w:ascii="宋体" w:hAnsi="宋体" w:cs="宋体"/>
          <w:color w:val="auto"/>
          <w:sz w:val="24"/>
        </w:rPr>
      </w:pPr>
      <w:r>
        <w:rPr>
          <w:rStyle w:val="42"/>
          <w:rFonts w:hint="eastAsia" w:ascii="宋体" w:hAnsi="宋体" w:cs="宋体"/>
          <w:color w:val="auto"/>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（八）本人已认真阅读了上述承诺，并向本单位员工作了宣传教育。</w:t>
      </w:r>
    </w:p>
    <w:p>
      <w:pPr>
        <w:spacing w:line="500" w:lineRule="exact"/>
        <w:jc w:val="left"/>
        <w:rPr>
          <w:rStyle w:val="42"/>
          <w:rFonts w:ascii="宋体" w:hAnsi="宋体" w:cs="宋体"/>
          <w:color w:val="auto"/>
          <w:sz w:val="24"/>
        </w:rPr>
      </w:pP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法定代表人签名：</w:t>
      </w: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单位名称（盖章）：</w:t>
      </w: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年    月    日</w:t>
      </w:r>
    </w:p>
    <w:p>
      <w:pPr>
        <w:pStyle w:val="137"/>
        <w:jc w:val="both"/>
        <w:rPr>
          <w:rStyle w:val="42"/>
          <w:rFonts w:ascii="宋体" w:hAnsi="宋体" w:cs="宋体"/>
          <w:color w:val="auto"/>
        </w:rPr>
      </w:pPr>
    </w:p>
    <w:sectPr>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4098" o:spid="_x0000_s4098" o:spt="202" type="#_x0000_t202" style="position:absolute;left:0pt;margin-top:0pt;height:20.7pt;width:19.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- 2 -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pict>
        <v:shape id="_x0000_s4097" o:spid="_x0000_s4097" o:spt="202" type="#_x0000_t202" style="position:absolute;left:0pt;margin-top:0pt;height:20.7pt;width:19.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49</w:t>
                </w:r>
                <w:r>
                  <w:fldChar w:fldCharType="end"/>
                </w:r>
              </w:p>
            </w:txbxContent>
          </v:textbox>
        </v:shape>
      </w:pict>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Style w:val="42"/>
      </w:rPr>
    </w:pPr>
    <w: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25</w:t>
                </w:r>
                <w:r>
                  <w:fldChar w:fldCharType="end"/>
                </w:r>
              </w:p>
            </w:txbxContent>
          </v:textbox>
        </v:shape>
      </w:pict>
    </w:r>
  </w:p>
  <w:p>
    <w:pPr>
      <w:pStyle w:val="18"/>
      <w:rPr>
        <w:rStyle w:val="4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ascii="隶书" w:hAnsi="隶书" w:eastAsia="隶书" w:cs="隶书"/>
        <w:sz w:val="24"/>
        <w:szCs w:val="24"/>
      </w:rPr>
    </w:pPr>
    <w:r>
      <w:rPr>
        <w:rFonts w:hint="eastAsia" w:ascii="隶书" w:hAnsi="隶书" w:eastAsia="隶书" w:cs="隶书"/>
        <w:sz w:val="24"/>
        <w:szCs w:val="24"/>
      </w:rPr>
      <w:t>2022-0</w:t>
    </w:r>
    <w:r>
      <w:rPr>
        <w:rFonts w:hint="eastAsia" w:ascii="隶书" w:hAnsi="隶书" w:eastAsia="隶书" w:cs="隶书"/>
        <w:sz w:val="24"/>
        <w:szCs w:val="24"/>
        <w:lang w:val="en-US" w:eastAsia="zh-CN"/>
      </w:rPr>
      <w:t>13</w:t>
    </w:r>
    <w:r>
      <w:rPr>
        <w:rFonts w:hint="eastAsia" w:ascii="隶书" w:hAnsi="隶书" w:eastAsia="隶书" w:cs="隶书"/>
        <w:sz w:val="24"/>
        <w:szCs w:val="24"/>
      </w:rPr>
      <w:t>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ascii="隶书" w:hAnsi="隶书" w:eastAsia="隶书" w:cs="隶书"/>
        <w:sz w:val="24"/>
        <w:szCs w:val="24"/>
      </w:rPr>
      <w:t>2022-0</w:t>
    </w:r>
    <w:r>
      <w:rPr>
        <w:rFonts w:hint="eastAsia" w:ascii="隶书" w:hAnsi="隶书" w:eastAsia="隶书" w:cs="隶书"/>
        <w:sz w:val="24"/>
        <w:szCs w:val="24"/>
        <w:lang w:val="en-US" w:eastAsia="zh-CN"/>
      </w:rPr>
      <w:t>13</w:t>
    </w:r>
    <w:r>
      <w:rPr>
        <w:rFonts w:hint="eastAsia" w:ascii="隶书" w:hAnsi="隶书" w:eastAsia="隶书" w:cs="隶书"/>
        <w:sz w:val="24"/>
        <w:szCs w:val="24"/>
      </w:rPr>
      <w:t>W招标文件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pBdr>
        <w:bottom w:val="single" w:color="000000" w:sz="6" w:space="1"/>
      </w:pBdr>
      <w:tabs>
        <w:tab w:val="center" w:pos="4153"/>
        <w:tab w:val="right" w:pos="8306"/>
      </w:tabs>
      <w:snapToGrid w:val="0"/>
      <w:spacing w:before="0" w:after="0"/>
      <w:jc w:val="center"/>
      <w:rPr>
        <w:rStyle w:val="42"/>
        <w:rFonts w:eastAsia="隶书"/>
        <w:color w:val="FF0000"/>
        <w:spacing w:val="40"/>
        <w:sz w:val="21"/>
        <w:szCs w:val="21"/>
      </w:rPr>
    </w:pPr>
    <w:r>
      <w:rPr>
        <w:rStyle w:val="42"/>
        <w:rFonts w:hint="eastAsia" w:ascii="Times New Roman" w:hAnsi="Times New Roman" w:eastAsia="隶书"/>
        <w:spacing w:val="40"/>
        <w:kern w:val="2"/>
        <w:sz w:val="21"/>
        <w:szCs w:val="21"/>
      </w:rPr>
      <w:t>2022-0</w:t>
    </w:r>
    <w:r>
      <w:rPr>
        <w:rStyle w:val="42"/>
        <w:rFonts w:hint="eastAsia" w:ascii="Times New Roman" w:hAnsi="Times New Roman" w:eastAsia="隶书"/>
        <w:spacing w:val="40"/>
        <w:kern w:val="2"/>
        <w:sz w:val="21"/>
        <w:szCs w:val="21"/>
        <w:lang w:val="en-US" w:eastAsia="zh-CN"/>
      </w:rPr>
      <w:t>13</w:t>
    </w:r>
    <w:r>
      <w:rPr>
        <w:rStyle w:val="42"/>
        <w:rFonts w:hint="eastAsia" w:ascii="Times New Roman" w:hAnsi="Times New Roman" w:eastAsia="隶书"/>
        <w:spacing w:val="40"/>
        <w:kern w:val="2"/>
        <w:sz w:val="21"/>
        <w:szCs w:val="21"/>
      </w:rPr>
      <w:t>W</w:t>
    </w:r>
    <w:r>
      <w:rPr>
        <w:rStyle w:val="42"/>
        <w:rFonts w:ascii="Times New Roman" w:hAnsi="隶书" w:eastAsia="隶书"/>
        <w:spacing w:val="40"/>
        <w:kern w:val="2"/>
        <w:sz w:val="21"/>
        <w:szCs w:val="21"/>
      </w:rPr>
      <w:t>招</w:t>
    </w:r>
    <w:r>
      <w:rPr>
        <w:rStyle w:val="42"/>
        <w:rFonts w:ascii="Times New Roman" w:hAnsi="隶书" w:eastAsia="隶书"/>
        <w:color w:val="000000"/>
        <w:spacing w:val="40"/>
        <w:kern w:val="2"/>
        <w:sz w:val="21"/>
        <w:szCs w:val="21"/>
      </w:rPr>
      <w:t>标文件</w:t>
    </w:r>
  </w:p>
  <w:p>
    <w:pPr>
      <w:pStyle w:val="19"/>
      <w:pBdr>
        <w:bottom w:val="none" w:color="auto" w:sz="0" w:space="0"/>
      </w:pBdr>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E330"/>
    <w:multiLevelType w:val="singleLevel"/>
    <w:tmpl w:val="D306E330"/>
    <w:lvl w:ilvl="0" w:tentative="0">
      <w:start w:val="2"/>
      <w:numFmt w:val="chineseCounting"/>
      <w:suff w:val="nothing"/>
      <w:lvlText w:val="（%1）"/>
      <w:lvlJc w:val="left"/>
      <w:pPr>
        <w:textAlignment w:val="baseline"/>
      </w:pPr>
    </w:lvl>
  </w:abstractNum>
  <w:abstractNum w:abstractNumId="1">
    <w:nsid w:val="06784D56"/>
    <w:multiLevelType w:val="singleLevel"/>
    <w:tmpl w:val="06784D56"/>
    <w:lvl w:ilvl="0" w:tentative="0">
      <w:start w:val="1"/>
      <w:numFmt w:val="upperLetter"/>
      <w:pStyle w:val="80"/>
      <w:lvlText w:val="附录%1."/>
      <w:lvlJc w:val="left"/>
      <w:pPr>
        <w:tabs>
          <w:tab w:val="left" w:pos="907"/>
        </w:tabs>
        <w:ind w:left="907" w:hanging="907"/>
        <w:textAlignment w:val="baseline"/>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31"/>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A2B9532"/>
    <w:multiLevelType w:val="singleLevel"/>
    <w:tmpl w:val="5A2B9532"/>
    <w:lvl w:ilvl="0" w:tentative="0">
      <w:start w:val="2"/>
      <w:numFmt w:val="decimal"/>
      <w:suff w:val="space"/>
      <w:lvlText w:val="%1."/>
      <w:lvlJc w:val="left"/>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8"/>
      <w:suff w:val="nothing"/>
      <w:lvlText w:val=""/>
      <w:lvlJc w:val="left"/>
      <w:pPr>
        <w:ind w:left="0" w:firstLine="0"/>
        <w:textAlignment w:val="baseline"/>
      </w:pPr>
    </w:lvl>
    <w:lvl w:ilvl="6" w:tentative="0">
      <w:start w:val="1"/>
      <w:numFmt w:val="decimal"/>
      <w:pStyle w:val="39"/>
      <w:suff w:val="nothing"/>
      <w:lvlText w:val=""/>
      <w:lvlJc w:val="left"/>
      <w:pPr>
        <w:ind w:left="0" w:firstLine="0"/>
        <w:textAlignment w:val="baseline"/>
      </w:pPr>
    </w:lvl>
    <w:lvl w:ilvl="7" w:tentative="0">
      <w:start w:val="1"/>
      <w:numFmt w:val="decimal"/>
      <w:pStyle w:val="40"/>
      <w:suff w:val="nothing"/>
      <w:lvlText w:val=""/>
      <w:lvlJc w:val="left"/>
      <w:pPr>
        <w:ind w:left="0" w:firstLine="0"/>
        <w:textAlignment w:val="baseline"/>
      </w:pPr>
    </w:lvl>
    <w:lvl w:ilvl="8" w:tentative="0">
      <w:start w:val="1"/>
      <w:numFmt w:val="decimal"/>
      <w:pStyle w:val="41"/>
      <w:suff w:val="nothing"/>
      <w:lvlText w:val=""/>
      <w:lvlJc w:val="left"/>
      <w:pPr>
        <w:ind w:left="0" w:firstLine="0"/>
        <w:textAlignment w:val="baseline"/>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isplayVerticalDrawingGridEvery w:val="2"/>
  <w:doNotUseMarginsForDrawingGridOrigin w:val="1"/>
  <w:drawingGridHorizontalOrigin w:val="1800"/>
  <w:drawingGridVerticalOrigin w:val="1440"/>
  <w:noPunctuationKerning w:val="1"/>
  <w:characterSpacingControl w:val="doNotCompress"/>
  <w:hdrShapeDefaults>
    <o:shapelayout v:ext="edit">
      <o:idmap v:ext="edit" data="3,4"/>
    </o:shapelayout>
  </w:hdrShapeDefault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MTllMzBiZTYyYTQ5ODVmZWE4MzI5ZDNkOGMwYTkzMDIifQ=="/>
  </w:docVars>
  <w:rsids>
    <w:rsidRoot w:val="00F868A9"/>
    <w:rsid w:val="000C4B53"/>
    <w:rsid w:val="001A2403"/>
    <w:rsid w:val="00217C7C"/>
    <w:rsid w:val="00223C79"/>
    <w:rsid w:val="002A07A1"/>
    <w:rsid w:val="002C41D3"/>
    <w:rsid w:val="003174CA"/>
    <w:rsid w:val="00360929"/>
    <w:rsid w:val="003A223F"/>
    <w:rsid w:val="003A63FB"/>
    <w:rsid w:val="003D4620"/>
    <w:rsid w:val="0040453A"/>
    <w:rsid w:val="00426342"/>
    <w:rsid w:val="00461168"/>
    <w:rsid w:val="00467A1B"/>
    <w:rsid w:val="004779A7"/>
    <w:rsid w:val="004C48B9"/>
    <w:rsid w:val="004D2539"/>
    <w:rsid w:val="005B06C2"/>
    <w:rsid w:val="00623144"/>
    <w:rsid w:val="00637636"/>
    <w:rsid w:val="006C13AB"/>
    <w:rsid w:val="00780C34"/>
    <w:rsid w:val="00782A7B"/>
    <w:rsid w:val="00860E15"/>
    <w:rsid w:val="008C14CD"/>
    <w:rsid w:val="008D617C"/>
    <w:rsid w:val="008E557B"/>
    <w:rsid w:val="00913371"/>
    <w:rsid w:val="009C11B1"/>
    <w:rsid w:val="009C4DB6"/>
    <w:rsid w:val="009E4F01"/>
    <w:rsid w:val="00A6255B"/>
    <w:rsid w:val="00B719DD"/>
    <w:rsid w:val="00B8533E"/>
    <w:rsid w:val="00C05334"/>
    <w:rsid w:val="00C157C0"/>
    <w:rsid w:val="00C31CC3"/>
    <w:rsid w:val="00CC6812"/>
    <w:rsid w:val="00CC72B1"/>
    <w:rsid w:val="00D75F94"/>
    <w:rsid w:val="00DC3116"/>
    <w:rsid w:val="00E5393F"/>
    <w:rsid w:val="00EB03BE"/>
    <w:rsid w:val="00EC1238"/>
    <w:rsid w:val="00F868A9"/>
    <w:rsid w:val="00FA774C"/>
    <w:rsid w:val="00FC22BF"/>
    <w:rsid w:val="00FD0CEF"/>
    <w:rsid w:val="00FF1275"/>
    <w:rsid w:val="05C545B0"/>
    <w:rsid w:val="05E53B14"/>
    <w:rsid w:val="06AA3A95"/>
    <w:rsid w:val="077C4CBC"/>
    <w:rsid w:val="08FC324B"/>
    <w:rsid w:val="0BA17C72"/>
    <w:rsid w:val="0CA470B4"/>
    <w:rsid w:val="0E261538"/>
    <w:rsid w:val="0F5541A7"/>
    <w:rsid w:val="1394626A"/>
    <w:rsid w:val="18041C24"/>
    <w:rsid w:val="1AA64BA2"/>
    <w:rsid w:val="1AE86F11"/>
    <w:rsid w:val="1C4A5552"/>
    <w:rsid w:val="1EBA0E38"/>
    <w:rsid w:val="1F2B6305"/>
    <w:rsid w:val="213B6DE3"/>
    <w:rsid w:val="216558E5"/>
    <w:rsid w:val="23B833C4"/>
    <w:rsid w:val="248C2001"/>
    <w:rsid w:val="24B6415E"/>
    <w:rsid w:val="27C52CB5"/>
    <w:rsid w:val="284E1359"/>
    <w:rsid w:val="2EFB2475"/>
    <w:rsid w:val="2F5A1E9B"/>
    <w:rsid w:val="31176B77"/>
    <w:rsid w:val="363E0E9D"/>
    <w:rsid w:val="3744261E"/>
    <w:rsid w:val="37812267"/>
    <w:rsid w:val="3872122D"/>
    <w:rsid w:val="38CF3E86"/>
    <w:rsid w:val="39755785"/>
    <w:rsid w:val="3B5326F5"/>
    <w:rsid w:val="3E0702BE"/>
    <w:rsid w:val="404E3DFB"/>
    <w:rsid w:val="42557B5A"/>
    <w:rsid w:val="434B2606"/>
    <w:rsid w:val="468F36CE"/>
    <w:rsid w:val="477544A9"/>
    <w:rsid w:val="495C2B29"/>
    <w:rsid w:val="4FEA69E5"/>
    <w:rsid w:val="50C60F94"/>
    <w:rsid w:val="5C01420A"/>
    <w:rsid w:val="5C172F4C"/>
    <w:rsid w:val="5C2B17E4"/>
    <w:rsid w:val="5E284F41"/>
    <w:rsid w:val="5FE8024D"/>
    <w:rsid w:val="60EF5D5C"/>
    <w:rsid w:val="620E4996"/>
    <w:rsid w:val="63E27DDC"/>
    <w:rsid w:val="687674CE"/>
    <w:rsid w:val="689E2536"/>
    <w:rsid w:val="692A771C"/>
    <w:rsid w:val="6B08451F"/>
    <w:rsid w:val="6BB04F86"/>
    <w:rsid w:val="6EB62D31"/>
    <w:rsid w:val="73E906CA"/>
    <w:rsid w:val="74A5063C"/>
    <w:rsid w:val="752F59CE"/>
    <w:rsid w:val="756048F2"/>
    <w:rsid w:val="7B2D3BB7"/>
    <w:rsid w:val="7D02395E"/>
    <w:rsid w:val="7E961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7">
    <w:name w:val="Normal Indent"/>
    <w:basedOn w:val="1"/>
    <w:qFormat/>
    <w:uiPriority w:val="0"/>
    <w:pPr>
      <w:ind w:firstLine="420"/>
    </w:pPr>
  </w:style>
  <w:style w:type="paragraph" w:styleId="8">
    <w:name w:val="Body Text"/>
    <w:basedOn w:val="1"/>
    <w:next w:val="9"/>
    <w:qFormat/>
    <w:uiPriority w:val="1"/>
    <w:rPr>
      <w:sz w:val="28"/>
      <w:szCs w:val="28"/>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
    <w:name w:val="段"/>
    <w:next w:val="12"/>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2">
    <w:name w:val="正文 A"/>
    <w:next w:val="11"/>
    <w:qFormat/>
    <w:uiPriority w:val="0"/>
    <w:pPr>
      <w:widowControl w:val="0"/>
      <w:jc w:val="both"/>
    </w:pPr>
    <w:rPr>
      <w:rFonts w:ascii="Calibri" w:hAnsi="Calibri" w:eastAsia="Calibri" w:cs="Calibri"/>
      <w:color w:val="000000"/>
      <w:kern w:val="2"/>
      <w:sz w:val="21"/>
      <w:szCs w:val="21"/>
      <w:lang w:val="en-US" w:eastAsia="zh-CN" w:bidi="ar-SA"/>
    </w:rPr>
  </w:style>
  <w:style w:type="paragraph" w:styleId="13">
    <w:name w:val="Body Text Indent"/>
    <w:basedOn w:val="1"/>
    <w:next w:val="14"/>
    <w:qFormat/>
    <w:uiPriority w:val="0"/>
    <w:pPr>
      <w:ind w:firstLine="645"/>
    </w:pPr>
    <w:rPr>
      <w:rFonts w:ascii="楷体_GB2312" w:eastAsia="楷体_GB2312"/>
      <w:sz w:val="32"/>
      <w:szCs w:val="32"/>
    </w:rPr>
  </w:style>
  <w:style w:type="paragraph" w:styleId="14">
    <w:name w:val="envelope return"/>
    <w:basedOn w:val="1"/>
    <w:qFormat/>
    <w:uiPriority w:val="0"/>
    <w:pPr>
      <w:snapToGrid w:val="0"/>
    </w:pPr>
    <w:rPr>
      <w:rFonts w:ascii="Arial" w:hAnsi="Arial"/>
    </w:rPr>
  </w:style>
  <w:style w:type="paragraph" w:styleId="15">
    <w:name w:val="Plain Text"/>
    <w:basedOn w:val="1"/>
    <w:qFormat/>
    <w:uiPriority w:val="0"/>
    <w:rPr>
      <w:rFonts w:ascii="宋体" w:hAnsi="Courier New"/>
    </w:rPr>
  </w:style>
  <w:style w:type="paragraph" w:styleId="16">
    <w:name w:val="Date"/>
    <w:basedOn w:val="1"/>
    <w:next w:val="1"/>
    <w:qFormat/>
    <w:uiPriority w:val="0"/>
    <w:rPr>
      <w:sz w:val="24"/>
      <w:szCs w:val="24"/>
    </w:rPr>
  </w:style>
  <w:style w:type="paragraph" w:styleId="17">
    <w:name w:val="Balloon Text"/>
    <w:basedOn w:val="1"/>
    <w:link w:val="147"/>
    <w:qFormat/>
    <w:uiPriority w:val="0"/>
    <w:rPr>
      <w:sz w:val="18"/>
      <w:szCs w:val="18"/>
    </w:rPr>
  </w:style>
  <w:style w:type="paragraph" w:styleId="18">
    <w:name w:val="footer"/>
    <w:basedOn w:val="1"/>
    <w:link w:val="71"/>
    <w:qFormat/>
    <w:uiPriority w:val="0"/>
    <w:pPr>
      <w:tabs>
        <w:tab w:val="center" w:pos="4153"/>
        <w:tab w:val="right" w:pos="8306"/>
      </w:tabs>
      <w:snapToGrid w:val="0"/>
      <w:jc w:val="left"/>
    </w:pPr>
    <w:rPr>
      <w:sz w:val="18"/>
      <w:szCs w:val="18"/>
    </w:rPr>
  </w:style>
  <w:style w:type="paragraph" w:styleId="19">
    <w:name w:val="header"/>
    <w:basedOn w:val="1"/>
    <w:link w:val="72"/>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qFormat/>
    <w:uiPriority w:val="0"/>
    <w:pPr>
      <w:ind w:left="200" w:hanging="200" w:hangingChars="200"/>
    </w:pPr>
  </w:style>
  <w:style w:type="paragraph" w:styleId="21">
    <w:name w:val="Normal (Web)"/>
    <w:basedOn w:val="1"/>
    <w:qFormat/>
    <w:uiPriority w:val="99"/>
    <w:pPr>
      <w:spacing w:before="100" w:beforeAutospacing="1" w:after="100" w:afterAutospacing="1"/>
      <w:jc w:val="left"/>
    </w:pPr>
    <w:rPr>
      <w:rFonts w:ascii="宋体" w:hAnsi="宋体" w:cs="宋体"/>
      <w:kern w:val="0"/>
      <w:sz w:val="24"/>
    </w:rPr>
  </w:style>
  <w:style w:type="paragraph" w:styleId="22">
    <w:name w:val="Body Text First Indent"/>
    <w:basedOn w:val="1"/>
    <w:qFormat/>
    <w:uiPriority w:val="99"/>
    <w:pPr>
      <w:ind w:firstLine="420" w:firstLineChars="100"/>
    </w:pPr>
  </w:style>
  <w:style w:type="paragraph" w:styleId="23">
    <w:name w:val="Body Text First Indent 2"/>
    <w:basedOn w:val="13"/>
    <w:next w:val="1"/>
    <w:qFormat/>
    <w:uiPriority w:val="0"/>
    <w:pPr>
      <w:spacing w:line="360" w:lineRule="auto"/>
      <w:ind w:firstLine="420" w:firstLineChars="200"/>
    </w:pPr>
    <w:rPr>
      <w:rFonts w:ascii="宋体" w:hAnsi="宋体" w:eastAsia="宋体"/>
      <w:sz w:val="21"/>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rFonts w:cs="Times New Roman"/>
      <w:b/>
      <w:bCs/>
    </w:rPr>
  </w:style>
  <w:style w:type="character" w:styleId="28">
    <w:name w:val="page number"/>
    <w:basedOn w:val="26"/>
    <w:qFormat/>
    <w:uiPriority w:val="0"/>
  </w:style>
  <w:style w:type="character" w:styleId="29">
    <w:name w:val="FollowedHyperlink"/>
    <w:qFormat/>
    <w:uiPriority w:val="0"/>
    <w:rPr>
      <w:color w:val="800080"/>
    </w:rPr>
  </w:style>
  <w:style w:type="character" w:styleId="30">
    <w:name w:val="Emphasis"/>
    <w:qFormat/>
    <w:uiPriority w:val="0"/>
  </w:style>
  <w:style w:type="character" w:styleId="31">
    <w:name w:val="Hyperlink"/>
    <w:qFormat/>
    <w:uiPriority w:val="0"/>
    <w:rPr>
      <w:color w:val="0000FF"/>
    </w:rPr>
  </w:style>
  <w:style w:type="paragraph" w:customStyle="1" w:styleId="32">
    <w:name w:val="Heading1"/>
    <w:basedOn w:val="1"/>
    <w:next w:val="1"/>
    <w:link w:val="60"/>
    <w:qFormat/>
    <w:uiPriority w:val="0"/>
    <w:pPr>
      <w:keepNext/>
      <w:jc w:val="center"/>
    </w:pPr>
    <w:rPr>
      <w:rFonts w:ascii="楷体_GB2312" w:eastAsia="楷体_GB2312"/>
      <w:sz w:val="28"/>
      <w:szCs w:val="28"/>
    </w:rPr>
  </w:style>
  <w:style w:type="paragraph" w:customStyle="1" w:styleId="33">
    <w:name w:val="Heading2"/>
    <w:basedOn w:val="1"/>
    <w:next w:val="34"/>
    <w:qFormat/>
    <w:uiPriority w:val="0"/>
    <w:pPr>
      <w:keepNext/>
      <w:keepLines/>
      <w:spacing w:before="260" w:after="260" w:line="416" w:lineRule="auto"/>
      <w:jc w:val="center"/>
    </w:pPr>
    <w:rPr>
      <w:rFonts w:ascii="Arial" w:hAnsi="Arial" w:eastAsia="幼圆" w:cs="Arial"/>
      <w:b/>
      <w:bCs/>
      <w:sz w:val="44"/>
      <w:szCs w:val="44"/>
    </w:rPr>
  </w:style>
  <w:style w:type="paragraph" w:customStyle="1" w:styleId="34">
    <w:name w:val="NormalIndent"/>
    <w:basedOn w:val="1"/>
    <w:link w:val="62"/>
    <w:qFormat/>
    <w:uiPriority w:val="0"/>
    <w:pPr>
      <w:ind w:firstLine="420"/>
    </w:pPr>
  </w:style>
  <w:style w:type="paragraph" w:customStyle="1" w:styleId="35">
    <w:name w:val="Heading3"/>
    <w:basedOn w:val="1"/>
    <w:next w:val="34"/>
    <w:link w:val="63"/>
    <w:qFormat/>
    <w:uiPriority w:val="0"/>
    <w:pPr>
      <w:keepNext/>
      <w:keepLines/>
      <w:spacing w:before="260" w:after="260" w:line="416" w:lineRule="auto"/>
    </w:pPr>
    <w:rPr>
      <w:rFonts w:cs="Times New Roman"/>
      <w:b/>
      <w:bCs/>
      <w:sz w:val="32"/>
      <w:szCs w:val="32"/>
    </w:rPr>
  </w:style>
  <w:style w:type="paragraph" w:customStyle="1" w:styleId="36">
    <w:name w:val="Heading4"/>
    <w:basedOn w:val="1"/>
    <w:next w:val="1"/>
    <w:link w:val="64"/>
    <w:qFormat/>
    <w:uiPriority w:val="0"/>
    <w:pPr>
      <w:keepNext/>
      <w:keepLines/>
      <w:spacing w:before="280" w:after="290" w:line="376" w:lineRule="auto"/>
    </w:pPr>
    <w:rPr>
      <w:rFonts w:ascii="Cambria" w:hAnsi="Cambria"/>
      <w:b/>
      <w:sz w:val="28"/>
      <w:szCs w:val="28"/>
    </w:rPr>
  </w:style>
  <w:style w:type="paragraph" w:customStyle="1" w:styleId="37">
    <w:name w:val="Heading5"/>
    <w:basedOn w:val="1"/>
    <w:next w:val="1"/>
    <w:qFormat/>
    <w:uiPriority w:val="0"/>
    <w:pPr>
      <w:keepNext/>
    </w:pPr>
    <w:rPr>
      <w:rFonts w:ascii="宋体"/>
      <w:color w:val="000000"/>
      <w:kern w:val="0"/>
      <w:sz w:val="28"/>
      <w:szCs w:val="28"/>
    </w:rPr>
  </w:style>
  <w:style w:type="paragraph" w:customStyle="1" w:styleId="38">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9">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0">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1">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2">
    <w:name w:val="NormalCharacter"/>
    <w:semiHidden/>
    <w:qFormat/>
    <w:uiPriority w:val="0"/>
  </w:style>
  <w:style w:type="table" w:customStyle="1" w:styleId="43">
    <w:name w:val="TableNormal"/>
    <w:semiHidden/>
    <w:qFormat/>
    <w:uiPriority w:val="0"/>
    <w:tblPr>
      <w:tblCellMar>
        <w:top w:w="0" w:type="dxa"/>
        <w:left w:w="0" w:type="dxa"/>
        <w:bottom w:w="0" w:type="dxa"/>
        <w:right w:w="0" w:type="dxa"/>
      </w:tblCellMar>
    </w:tblPr>
  </w:style>
  <w:style w:type="character" w:customStyle="1" w:styleId="44">
    <w:name w:val="htmlSamp"/>
    <w:qFormat/>
    <w:uiPriority w:val="0"/>
    <w:rPr>
      <w:rFonts w:ascii="monospace" w:hAnsi="monospace" w:eastAsia="monospace"/>
    </w:rPr>
  </w:style>
  <w:style w:type="character" w:customStyle="1" w:styleId="45">
    <w:name w:val="PageNumber"/>
    <w:basedOn w:val="42"/>
    <w:qFormat/>
    <w:uiPriority w:val="0"/>
  </w:style>
  <w:style w:type="character" w:customStyle="1" w:styleId="46">
    <w:name w:val="HtmlVar"/>
    <w:qFormat/>
    <w:uiPriority w:val="0"/>
  </w:style>
  <w:style w:type="character" w:customStyle="1" w:styleId="47">
    <w:name w:val="HtmlKbd"/>
    <w:qFormat/>
    <w:uiPriority w:val="0"/>
    <w:rPr>
      <w:rFonts w:ascii="monospace" w:hAnsi="monospace" w:eastAsia="monospace"/>
      <w:sz w:val="20"/>
    </w:rPr>
  </w:style>
  <w:style w:type="character" w:customStyle="1" w:styleId="48">
    <w:name w:val="HtmlDfn"/>
    <w:qFormat/>
    <w:uiPriority w:val="0"/>
  </w:style>
  <w:style w:type="character" w:customStyle="1" w:styleId="49">
    <w:name w:val="HtmlCite"/>
    <w:qFormat/>
    <w:uiPriority w:val="0"/>
  </w:style>
  <w:style w:type="character" w:customStyle="1" w:styleId="50">
    <w:name w:val="HtmlAcronym"/>
    <w:basedOn w:val="42"/>
    <w:qFormat/>
    <w:uiPriority w:val="0"/>
  </w:style>
  <w:style w:type="character" w:customStyle="1" w:styleId="51">
    <w:name w:val="HtmlTt"/>
    <w:qFormat/>
    <w:uiPriority w:val="0"/>
    <w:rPr>
      <w:rFonts w:ascii="monospace" w:hAnsi="monospace" w:eastAsia="monospace"/>
      <w:sz w:val="20"/>
    </w:rPr>
  </w:style>
  <w:style w:type="character" w:customStyle="1" w:styleId="52">
    <w:name w:val="AnnotationReference"/>
    <w:semiHidden/>
    <w:qFormat/>
    <w:uiPriority w:val="0"/>
    <w:rPr>
      <w:sz w:val="21"/>
      <w:szCs w:val="21"/>
    </w:rPr>
  </w:style>
  <w:style w:type="character" w:customStyle="1" w:styleId="53">
    <w:name w:val="HtmlCode"/>
    <w:qFormat/>
    <w:uiPriority w:val="0"/>
    <w:rPr>
      <w:rFonts w:ascii="monospace" w:hAnsi="monospace" w:eastAsia="monospace"/>
      <w:sz w:val="20"/>
    </w:rPr>
  </w:style>
  <w:style w:type="character" w:customStyle="1" w:styleId="54">
    <w:name w:val="UserStyle_0"/>
    <w:link w:val="55"/>
    <w:qFormat/>
    <w:locked/>
    <w:uiPriority w:val="0"/>
    <w:rPr>
      <w:rFonts w:ascii="Calibri" w:hAnsi="Calibri"/>
      <w:sz w:val="24"/>
      <w:szCs w:val="24"/>
      <w:lang w:eastAsia="en-US" w:bidi="en-US"/>
    </w:rPr>
  </w:style>
  <w:style w:type="paragraph" w:customStyle="1" w:styleId="55">
    <w:name w:val="UserStyle_1"/>
    <w:basedOn w:val="1"/>
    <w:link w:val="54"/>
    <w:qFormat/>
    <w:uiPriority w:val="0"/>
    <w:pPr>
      <w:ind w:left="720"/>
      <w:contextualSpacing/>
      <w:jc w:val="left"/>
    </w:pPr>
    <w:rPr>
      <w:kern w:val="0"/>
      <w:sz w:val="24"/>
      <w:szCs w:val="24"/>
      <w:lang w:eastAsia="en-US" w:bidi="en-US"/>
    </w:rPr>
  </w:style>
  <w:style w:type="character" w:customStyle="1" w:styleId="56">
    <w:name w:val="UserStyle_2"/>
    <w:basedOn w:val="42"/>
    <w:qFormat/>
    <w:uiPriority w:val="0"/>
  </w:style>
  <w:style w:type="character" w:customStyle="1" w:styleId="57">
    <w:name w:val="UserStyle_3"/>
    <w:basedOn w:val="42"/>
    <w:qFormat/>
    <w:uiPriority w:val="0"/>
  </w:style>
  <w:style w:type="character" w:customStyle="1" w:styleId="58">
    <w:name w:val="UserStyle_4"/>
    <w:link w:val="59"/>
    <w:qFormat/>
    <w:uiPriority w:val="0"/>
    <w:rPr>
      <w:rFonts w:eastAsia="宋体"/>
      <w:kern w:val="2"/>
      <w:sz w:val="21"/>
      <w:szCs w:val="21"/>
      <w:lang w:val="en-US" w:eastAsia="zh-CN" w:bidi="ar-SA"/>
    </w:rPr>
  </w:style>
  <w:style w:type="paragraph" w:customStyle="1" w:styleId="59">
    <w:name w:val="NavPane"/>
    <w:basedOn w:val="1"/>
    <w:link w:val="58"/>
    <w:semiHidden/>
    <w:qFormat/>
    <w:uiPriority w:val="0"/>
    <w:pPr>
      <w:shd w:val="clear" w:color="auto" w:fill="000080"/>
    </w:pPr>
  </w:style>
  <w:style w:type="character" w:customStyle="1" w:styleId="60">
    <w:name w:val="UserStyle_5"/>
    <w:link w:val="32"/>
    <w:qFormat/>
    <w:uiPriority w:val="0"/>
    <w:rPr>
      <w:rFonts w:ascii="楷体_GB2312" w:eastAsia="楷体_GB2312"/>
      <w:kern w:val="2"/>
      <w:sz w:val="28"/>
      <w:szCs w:val="28"/>
    </w:rPr>
  </w:style>
  <w:style w:type="character" w:customStyle="1" w:styleId="61">
    <w:name w:val="UserStyle_6"/>
    <w:qFormat/>
    <w:uiPriority w:val="0"/>
    <w:rPr>
      <w:color w:val="999999"/>
    </w:rPr>
  </w:style>
  <w:style w:type="character" w:customStyle="1" w:styleId="62">
    <w:name w:val="UserStyle_7"/>
    <w:link w:val="34"/>
    <w:qFormat/>
    <w:uiPriority w:val="0"/>
    <w:rPr>
      <w:kern w:val="2"/>
      <w:sz w:val="21"/>
      <w:szCs w:val="21"/>
    </w:rPr>
  </w:style>
  <w:style w:type="character" w:customStyle="1" w:styleId="63">
    <w:name w:val="UserStyle_8"/>
    <w:link w:val="35"/>
    <w:qFormat/>
    <w:uiPriority w:val="0"/>
    <w:rPr>
      <w:rFonts w:eastAsia="宋体" w:cs="Times New Roman"/>
      <w:b/>
      <w:bCs/>
      <w:kern w:val="2"/>
      <w:sz w:val="32"/>
      <w:szCs w:val="32"/>
      <w:lang w:val="en-US" w:eastAsia="zh-CN" w:bidi="ar-SA"/>
    </w:rPr>
  </w:style>
  <w:style w:type="character" w:customStyle="1" w:styleId="64">
    <w:name w:val="UserStyle_9"/>
    <w:link w:val="36"/>
    <w:qFormat/>
    <w:uiPriority w:val="0"/>
    <w:rPr>
      <w:rFonts w:ascii="Cambria" w:hAnsi="Cambria" w:eastAsia="宋体"/>
      <w:b/>
      <w:kern w:val="2"/>
      <w:sz w:val="28"/>
      <w:szCs w:val="28"/>
    </w:rPr>
  </w:style>
  <w:style w:type="character" w:customStyle="1" w:styleId="65">
    <w:name w:val="UserStyle_10"/>
    <w:link w:val="66"/>
    <w:semiHidden/>
    <w:qFormat/>
    <w:uiPriority w:val="0"/>
    <w:rPr>
      <w:kern w:val="2"/>
      <w:sz w:val="21"/>
      <w:szCs w:val="21"/>
    </w:rPr>
  </w:style>
  <w:style w:type="paragraph" w:customStyle="1" w:styleId="66">
    <w:name w:val="AnnotationText"/>
    <w:basedOn w:val="1"/>
    <w:link w:val="65"/>
    <w:semiHidden/>
    <w:qFormat/>
    <w:uiPriority w:val="0"/>
    <w:pPr>
      <w:jc w:val="left"/>
    </w:pPr>
  </w:style>
  <w:style w:type="character" w:customStyle="1" w:styleId="67">
    <w:name w:val="UserStyle_11"/>
    <w:link w:val="68"/>
    <w:qFormat/>
    <w:uiPriority w:val="0"/>
    <w:rPr>
      <w:rFonts w:ascii="宋体" w:hAnsi="Courier New"/>
      <w:kern w:val="2"/>
      <w:sz w:val="21"/>
      <w:szCs w:val="21"/>
    </w:rPr>
  </w:style>
  <w:style w:type="paragraph" w:customStyle="1" w:styleId="68">
    <w:name w:val="PlainText"/>
    <w:basedOn w:val="1"/>
    <w:link w:val="67"/>
    <w:qFormat/>
    <w:uiPriority w:val="0"/>
    <w:rPr>
      <w:rFonts w:ascii="宋体" w:hAnsi="Courier New"/>
    </w:rPr>
  </w:style>
  <w:style w:type="character" w:customStyle="1" w:styleId="69">
    <w:name w:val="UserStyle_12"/>
    <w:link w:val="70"/>
    <w:semiHidden/>
    <w:qFormat/>
    <w:uiPriority w:val="0"/>
    <w:rPr>
      <w:kern w:val="2"/>
      <w:sz w:val="18"/>
      <w:szCs w:val="18"/>
    </w:rPr>
  </w:style>
  <w:style w:type="paragraph" w:customStyle="1" w:styleId="70">
    <w:name w:val="Acetate"/>
    <w:basedOn w:val="1"/>
    <w:link w:val="69"/>
    <w:semiHidden/>
    <w:qFormat/>
    <w:uiPriority w:val="0"/>
    <w:rPr>
      <w:sz w:val="18"/>
      <w:szCs w:val="18"/>
    </w:rPr>
  </w:style>
  <w:style w:type="character" w:customStyle="1" w:styleId="71">
    <w:name w:val="页脚 Char"/>
    <w:link w:val="18"/>
    <w:qFormat/>
    <w:uiPriority w:val="0"/>
    <w:rPr>
      <w:kern w:val="2"/>
      <w:sz w:val="18"/>
      <w:szCs w:val="18"/>
    </w:rPr>
  </w:style>
  <w:style w:type="character" w:customStyle="1" w:styleId="72">
    <w:name w:val="页眉 Char"/>
    <w:link w:val="19"/>
    <w:qFormat/>
    <w:uiPriority w:val="0"/>
    <w:rPr>
      <w:kern w:val="2"/>
      <w:sz w:val="18"/>
      <w:szCs w:val="18"/>
    </w:rPr>
  </w:style>
  <w:style w:type="character" w:customStyle="1" w:styleId="73">
    <w:name w:val="UserStyle_15"/>
    <w:qFormat/>
    <w:uiPriority w:val="0"/>
    <w:rPr>
      <w:rFonts w:ascii="宋体" w:hAnsi="宋体" w:eastAsia="宋体"/>
      <w:sz w:val="28"/>
      <w:szCs w:val="28"/>
      <w:lang w:val="en-US" w:eastAsia="zh-CN" w:bidi="ar-SA"/>
    </w:rPr>
  </w:style>
  <w:style w:type="character" w:customStyle="1" w:styleId="74">
    <w:name w:val="UserStyle_16"/>
    <w:basedOn w:val="42"/>
    <w:qFormat/>
    <w:uiPriority w:val="0"/>
    <w:rPr>
      <w:rFonts w:ascii="宋体" w:hAnsi="宋体" w:eastAsia="宋体"/>
      <w:color w:val="000000"/>
      <w:sz w:val="22"/>
      <w:szCs w:val="22"/>
    </w:rPr>
  </w:style>
  <w:style w:type="character" w:customStyle="1" w:styleId="75">
    <w:name w:val="UserStyle_17"/>
    <w:qFormat/>
    <w:uiPriority w:val="0"/>
    <w:rPr>
      <w:shd w:val="clear" w:color="auto" w:fill="EEEEEE"/>
    </w:rPr>
  </w:style>
  <w:style w:type="character" w:customStyle="1" w:styleId="76">
    <w:name w:val="UserStyle_18"/>
    <w:link w:val="77"/>
    <w:qFormat/>
    <w:uiPriority w:val="0"/>
    <w:rPr>
      <w:rFonts w:ascii="Tahoma" w:hAnsi="Tahoma" w:eastAsia="宋体"/>
      <w:kern w:val="2"/>
      <w:sz w:val="24"/>
      <w:szCs w:val="24"/>
      <w:lang w:val="en-US" w:eastAsia="zh-CN" w:bidi="ar-SA"/>
    </w:rPr>
  </w:style>
  <w:style w:type="paragraph" w:customStyle="1" w:styleId="77">
    <w:name w:val="UserStyle_19"/>
    <w:basedOn w:val="59"/>
    <w:link w:val="76"/>
    <w:qFormat/>
    <w:uiPriority w:val="0"/>
    <w:pPr>
      <w:snapToGrid w:val="0"/>
      <w:spacing w:line="360" w:lineRule="auto"/>
    </w:pPr>
    <w:rPr>
      <w:rFonts w:ascii="Tahoma" w:hAnsi="Tahoma"/>
      <w:sz w:val="24"/>
      <w:szCs w:val="24"/>
    </w:rPr>
  </w:style>
  <w:style w:type="character" w:customStyle="1" w:styleId="78">
    <w:name w:val="UserStyle_20"/>
    <w:qFormat/>
    <w:uiPriority w:val="0"/>
    <w:rPr>
      <w:rFonts w:eastAsia="宋体"/>
      <w:b/>
      <w:spacing w:val="-2"/>
      <w:sz w:val="24"/>
      <w:lang w:val="en-US" w:eastAsia="zh-CN" w:bidi="ar-SA"/>
    </w:rPr>
  </w:style>
  <w:style w:type="character" w:customStyle="1" w:styleId="79">
    <w:name w:val="UserStyle_21"/>
    <w:link w:val="80"/>
    <w:qFormat/>
    <w:uiPriority w:val="0"/>
    <w:rPr>
      <w:b/>
      <w:kern w:val="2"/>
      <w:sz w:val="30"/>
      <w:szCs w:val="28"/>
      <w:lang w:val="en-US" w:eastAsia="zh-CN" w:bidi="ar-SA"/>
    </w:rPr>
  </w:style>
  <w:style w:type="paragraph" w:customStyle="1" w:styleId="80">
    <w:name w:val="UserStyle_22"/>
    <w:next w:val="1"/>
    <w:link w:val="79"/>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1">
    <w:name w:val="UserStyle_23"/>
    <w:basedOn w:val="42"/>
    <w:qFormat/>
    <w:uiPriority w:val="0"/>
  </w:style>
  <w:style w:type="paragraph" w:customStyle="1" w:styleId="82">
    <w:name w:val="TOC4"/>
    <w:basedOn w:val="1"/>
    <w:next w:val="1"/>
    <w:semiHidden/>
    <w:qFormat/>
    <w:uiPriority w:val="0"/>
    <w:pPr>
      <w:ind w:left="630"/>
      <w:jc w:val="left"/>
    </w:pPr>
  </w:style>
  <w:style w:type="paragraph" w:customStyle="1" w:styleId="83">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4">
    <w:name w:val="BodyTextIndent2"/>
    <w:basedOn w:val="1"/>
    <w:qFormat/>
    <w:uiPriority w:val="0"/>
    <w:pPr>
      <w:ind w:left="630" w:firstLine="645"/>
    </w:pPr>
    <w:rPr>
      <w:rFonts w:ascii="Arial" w:hAnsi="Arial" w:eastAsia="仿宋_GB2312"/>
      <w:sz w:val="32"/>
      <w:szCs w:val="32"/>
    </w:rPr>
  </w:style>
  <w:style w:type="paragraph" w:customStyle="1" w:styleId="85">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6">
    <w:name w:val="EnvelopeReturn"/>
    <w:basedOn w:val="1"/>
    <w:qFormat/>
    <w:uiPriority w:val="0"/>
    <w:pPr>
      <w:snapToGrid w:val="0"/>
    </w:pPr>
    <w:rPr>
      <w:rFonts w:ascii="Arial" w:hAnsi="Arial"/>
    </w:rPr>
  </w:style>
  <w:style w:type="paragraph" w:customStyle="1" w:styleId="87">
    <w:name w:val="BodyTextIndent"/>
    <w:basedOn w:val="1"/>
    <w:next w:val="86"/>
    <w:qFormat/>
    <w:uiPriority w:val="0"/>
    <w:pPr>
      <w:ind w:firstLine="645"/>
    </w:pPr>
    <w:rPr>
      <w:rFonts w:ascii="楷体_GB2312" w:eastAsia="楷体_GB2312"/>
      <w:sz w:val="32"/>
      <w:szCs w:val="32"/>
    </w:rPr>
  </w:style>
  <w:style w:type="paragraph" w:customStyle="1" w:styleId="88">
    <w:name w:val="BodyText3"/>
    <w:basedOn w:val="1"/>
    <w:qFormat/>
    <w:uiPriority w:val="0"/>
    <w:rPr>
      <w:rFonts w:ascii="仿宋_GB2312" w:hAnsi="Arial" w:eastAsia="仿宋_GB2312"/>
      <w:sz w:val="32"/>
      <w:szCs w:val="32"/>
    </w:rPr>
  </w:style>
  <w:style w:type="paragraph" w:customStyle="1" w:styleId="89">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0">
    <w:name w:val="List2"/>
    <w:basedOn w:val="1"/>
    <w:qFormat/>
    <w:uiPriority w:val="0"/>
    <w:pPr>
      <w:ind w:left="100" w:leftChars="200" w:hanging="200" w:hangingChars="200"/>
    </w:pPr>
  </w:style>
  <w:style w:type="paragraph" w:customStyle="1" w:styleId="91">
    <w:name w:val="List3"/>
    <w:basedOn w:val="1"/>
    <w:qFormat/>
    <w:uiPriority w:val="0"/>
    <w:pPr>
      <w:ind w:left="100" w:leftChars="400" w:hanging="200" w:hangingChars="200"/>
    </w:pPr>
  </w:style>
  <w:style w:type="paragraph" w:customStyle="1" w:styleId="92">
    <w:name w:val="Index1"/>
    <w:basedOn w:val="1"/>
    <w:next w:val="1"/>
    <w:semiHidden/>
    <w:qFormat/>
    <w:uiPriority w:val="0"/>
    <w:pPr>
      <w:spacing w:line="240" w:lineRule="atLeast"/>
    </w:pPr>
    <w:rPr>
      <w:rFonts w:cs="Times New Roman"/>
      <w:b/>
      <w:bCs/>
    </w:rPr>
  </w:style>
  <w:style w:type="paragraph" w:customStyle="1" w:styleId="93">
    <w:name w:val="BodyText2"/>
    <w:basedOn w:val="1"/>
    <w:qFormat/>
    <w:uiPriority w:val="0"/>
    <w:pPr>
      <w:jc w:val="center"/>
    </w:pPr>
    <w:rPr>
      <w:rFonts w:ascii="楷体_GB2312" w:eastAsia="楷体_GB2312"/>
      <w:sz w:val="28"/>
      <w:szCs w:val="28"/>
    </w:rPr>
  </w:style>
  <w:style w:type="paragraph" w:customStyle="1" w:styleId="94">
    <w:name w:val="ToCaption"/>
    <w:basedOn w:val="1"/>
    <w:next w:val="1"/>
    <w:semiHidden/>
    <w:qFormat/>
    <w:uiPriority w:val="0"/>
    <w:pPr>
      <w:ind w:left="840" w:hanging="420"/>
    </w:pPr>
  </w:style>
  <w:style w:type="paragraph" w:customStyle="1" w:styleId="95">
    <w:name w:val="BodyTextIndent3"/>
    <w:basedOn w:val="1"/>
    <w:qFormat/>
    <w:uiPriority w:val="0"/>
    <w:pPr>
      <w:ind w:left="645" w:firstLine="645"/>
    </w:pPr>
    <w:rPr>
      <w:rFonts w:ascii="Arial" w:hAnsi="Arial" w:eastAsia="仿宋_GB2312"/>
      <w:color w:val="FFFF00"/>
      <w:sz w:val="32"/>
      <w:szCs w:val="32"/>
    </w:rPr>
  </w:style>
  <w:style w:type="paragraph" w:customStyle="1" w:styleId="96">
    <w:name w:val="TOC6"/>
    <w:basedOn w:val="1"/>
    <w:next w:val="1"/>
    <w:semiHidden/>
    <w:qFormat/>
    <w:uiPriority w:val="0"/>
    <w:pPr>
      <w:ind w:left="1050"/>
      <w:jc w:val="left"/>
    </w:pPr>
  </w:style>
  <w:style w:type="paragraph" w:customStyle="1" w:styleId="97">
    <w:name w:val="BodyText1I2"/>
    <w:basedOn w:val="87"/>
    <w:qFormat/>
    <w:uiPriority w:val="0"/>
    <w:pPr>
      <w:spacing w:line="360" w:lineRule="auto"/>
      <w:ind w:firstLine="420" w:firstLineChars="200"/>
    </w:pPr>
    <w:rPr>
      <w:rFonts w:ascii="宋体" w:hAnsi="宋体" w:eastAsia="宋体"/>
      <w:sz w:val="21"/>
      <w:szCs w:val="20"/>
    </w:rPr>
  </w:style>
  <w:style w:type="paragraph" w:customStyle="1" w:styleId="98">
    <w:name w:val="AnnotationSubject"/>
    <w:basedOn w:val="66"/>
    <w:next w:val="66"/>
    <w:semiHidden/>
    <w:qFormat/>
    <w:uiPriority w:val="0"/>
    <w:rPr>
      <w:rFonts w:cs="Times New Roman"/>
      <w:b/>
      <w:bCs/>
    </w:rPr>
  </w:style>
  <w:style w:type="paragraph" w:customStyle="1" w:styleId="99">
    <w:name w:val="TOC2"/>
    <w:basedOn w:val="1"/>
    <w:next w:val="1"/>
    <w:semiHidden/>
    <w:qFormat/>
    <w:uiPriority w:val="0"/>
    <w:pPr>
      <w:ind w:left="210"/>
      <w:jc w:val="left"/>
    </w:pPr>
    <w:rPr>
      <w:smallCaps/>
      <w:szCs w:val="24"/>
    </w:rPr>
  </w:style>
  <w:style w:type="paragraph" w:customStyle="1" w:styleId="100">
    <w:name w:val="TOC8"/>
    <w:basedOn w:val="1"/>
    <w:next w:val="1"/>
    <w:semiHidden/>
    <w:qFormat/>
    <w:uiPriority w:val="0"/>
    <w:pPr>
      <w:ind w:left="1470"/>
      <w:jc w:val="left"/>
    </w:pPr>
  </w:style>
  <w:style w:type="paragraph" w:customStyle="1" w:styleId="101">
    <w:name w:val="TOC7"/>
    <w:basedOn w:val="1"/>
    <w:next w:val="1"/>
    <w:semiHidden/>
    <w:qFormat/>
    <w:uiPriority w:val="0"/>
    <w:pPr>
      <w:ind w:left="1260"/>
      <w:jc w:val="left"/>
    </w:pPr>
  </w:style>
  <w:style w:type="paragraph" w:customStyle="1" w:styleId="102">
    <w:name w:val="BodyText"/>
    <w:basedOn w:val="1"/>
    <w:qFormat/>
    <w:uiPriority w:val="0"/>
    <w:rPr>
      <w:rFonts w:ascii="楷体_GB2312" w:hAnsi="Arial" w:eastAsia="楷体_GB2312"/>
      <w:sz w:val="28"/>
      <w:szCs w:val="28"/>
    </w:rPr>
  </w:style>
  <w:style w:type="paragraph" w:customStyle="1" w:styleId="103">
    <w:name w:val="TOC9"/>
    <w:basedOn w:val="1"/>
    <w:next w:val="1"/>
    <w:semiHidden/>
    <w:qFormat/>
    <w:uiPriority w:val="0"/>
    <w:pPr>
      <w:ind w:left="1680"/>
      <w:jc w:val="left"/>
    </w:pPr>
  </w:style>
  <w:style w:type="paragraph" w:customStyle="1" w:styleId="104">
    <w:name w:val="TOC3"/>
    <w:basedOn w:val="1"/>
    <w:next w:val="1"/>
    <w:semiHidden/>
    <w:qFormat/>
    <w:uiPriority w:val="0"/>
    <w:pPr>
      <w:ind w:left="420"/>
      <w:jc w:val="left"/>
    </w:pPr>
    <w:rPr>
      <w:i/>
      <w:iCs/>
      <w:szCs w:val="24"/>
    </w:rPr>
  </w:style>
  <w:style w:type="paragraph" w:customStyle="1" w:styleId="105">
    <w:name w:val="TOC5"/>
    <w:basedOn w:val="1"/>
    <w:next w:val="1"/>
    <w:semiHidden/>
    <w:qFormat/>
    <w:uiPriority w:val="0"/>
    <w:pPr>
      <w:ind w:left="840"/>
      <w:jc w:val="left"/>
    </w:pPr>
  </w:style>
  <w:style w:type="paragraph" w:customStyle="1" w:styleId="106">
    <w:name w:val="BlockQuote"/>
    <w:basedOn w:val="1"/>
    <w:qFormat/>
    <w:uiPriority w:val="0"/>
    <w:pPr>
      <w:spacing w:after="120"/>
      <w:ind w:left="1440" w:leftChars="700" w:right="1440" w:rightChars="700"/>
    </w:pPr>
  </w:style>
  <w:style w:type="paragraph" w:customStyle="1" w:styleId="107">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8">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9">
    <w:name w:val="179"/>
    <w:basedOn w:val="1"/>
    <w:qFormat/>
    <w:uiPriority w:val="0"/>
    <w:pPr>
      <w:ind w:left="720"/>
      <w:contextualSpacing/>
      <w:jc w:val="left"/>
    </w:pPr>
    <w:rPr>
      <w:rFonts w:ascii="Calibri" w:hAnsi="Calibri"/>
      <w:kern w:val="0"/>
      <w:sz w:val="24"/>
      <w:szCs w:val="24"/>
      <w:lang w:eastAsia="en-US" w:bidi="en-US"/>
    </w:rPr>
  </w:style>
  <w:style w:type="paragraph" w:customStyle="1" w:styleId="110">
    <w:name w:val="UserStyle_26"/>
    <w:basedOn w:val="1"/>
    <w:qFormat/>
    <w:uiPriority w:val="0"/>
    <w:pPr>
      <w:tabs>
        <w:tab w:val="left" w:pos="-720"/>
      </w:tabs>
    </w:pPr>
    <w:rPr>
      <w:spacing w:val="-3"/>
      <w:kern w:val="0"/>
      <w:sz w:val="24"/>
      <w:szCs w:val="20"/>
      <w:lang w:val="en-AU" w:eastAsia="en-US"/>
    </w:rPr>
  </w:style>
  <w:style w:type="paragraph" w:customStyle="1" w:styleId="111">
    <w:name w:val="UserStyle_27"/>
    <w:basedOn w:val="1"/>
    <w:next w:val="1"/>
    <w:qFormat/>
    <w:uiPriority w:val="0"/>
    <w:pPr>
      <w:jc w:val="center"/>
    </w:pPr>
    <w:rPr>
      <w:sz w:val="24"/>
    </w:rPr>
  </w:style>
  <w:style w:type="paragraph" w:customStyle="1" w:styleId="112">
    <w:name w:val="UserStyle_28"/>
    <w:basedOn w:val="1"/>
    <w:qFormat/>
    <w:uiPriority w:val="0"/>
    <w:pPr>
      <w:jc w:val="left"/>
    </w:pPr>
    <w:rPr>
      <w:kern w:val="0"/>
      <w:sz w:val="20"/>
      <w:szCs w:val="20"/>
      <w:lang w:val="de-DE" w:eastAsia="de-DE"/>
    </w:rPr>
  </w:style>
  <w:style w:type="paragraph" w:customStyle="1" w:styleId="113">
    <w:name w:val="UserStyle_29"/>
    <w:basedOn w:val="1"/>
    <w:qFormat/>
    <w:uiPriority w:val="0"/>
    <w:pPr>
      <w:tabs>
        <w:tab w:val="left" w:pos="360"/>
      </w:tabs>
      <w:ind w:firstLine="200" w:firstLineChars="200"/>
    </w:pPr>
    <w:rPr>
      <w:sz w:val="28"/>
      <w:szCs w:val="30"/>
    </w:rPr>
  </w:style>
  <w:style w:type="paragraph" w:customStyle="1" w:styleId="114">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5">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6">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7">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8">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9">
    <w:name w:val="UserStyle_35"/>
    <w:basedOn w:val="111"/>
    <w:qFormat/>
    <w:uiPriority w:val="0"/>
    <w:pPr>
      <w:jc w:val="left"/>
    </w:pPr>
  </w:style>
  <w:style w:type="paragraph" w:customStyle="1" w:styleId="120">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1">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2">
    <w:name w:val="UserStyle_38"/>
    <w:basedOn w:val="1"/>
    <w:qFormat/>
    <w:uiPriority w:val="0"/>
    <w:pPr>
      <w:spacing w:before="120"/>
      <w:jc w:val="left"/>
    </w:pPr>
    <w:rPr>
      <w:rFonts w:cs="Times New Roman"/>
      <w:bCs/>
      <w:kern w:val="0"/>
      <w:sz w:val="20"/>
      <w:szCs w:val="20"/>
      <w:lang w:val="de-DE" w:eastAsia="de-DE"/>
    </w:rPr>
  </w:style>
  <w:style w:type="paragraph" w:customStyle="1" w:styleId="123">
    <w:name w:val="UserStyle_39"/>
    <w:basedOn w:val="59"/>
    <w:qFormat/>
    <w:uiPriority w:val="0"/>
    <w:pPr>
      <w:snapToGrid w:val="0"/>
      <w:spacing w:line="360" w:lineRule="auto"/>
    </w:pPr>
    <w:rPr>
      <w:rFonts w:ascii="Tahoma" w:hAnsi="Tahoma"/>
      <w:sz w:val="24"/>
      <w:szCs w:val="24"/>
    </w:rPr>
  </w:style>
  <w:style w:type="paragraph" w:customStyle="1" w:styleId="124">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5">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6">
    <w:name w:val="UserStyle_42"/>
    <w:basedOn w:val="1"/>
    <w:qFormat/>
    <w:uiPriority w:val="0"/>
    <w:pPr>
      <w:snapToGrid w:val="0"/>
      <w:jc w:val="left"/>
    </w:pPr>
    <w:rPr>
      <w:rFonts w:ascii="Arial Unicode MS" w:hAnsi="Arial Unicode MS"/>
      <w:szCs w:val="24"/>
    </w:rPr>
  </w:style>
  <w:style w:type="paragraph" w:customStyle="1" w:styleId="127">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8">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9">
    <w:name w:val="UserStyle_45"/>
    <w:basedOn w:val="59"/>
    <w:qFormat/>
    <w:uiPriority w:val="0"/>
    <w:rPr>
      <w:rFonts w:ascii="Tahoma" w:hAnsi="Tahoma"/>
      <w:sz w:val="24"/>
      <w:szCs w:val="24"/>
    </w:rPr>
  </w:style>
  <w:style w:type="paragraph" w:customStyle="1" w:styleId="130">
    <w:name w:val="UserStyle_46"/>
    <w:basedOn w:val="1"/>
    <w:qFormat/>
    <w:uiPriority w:val="0"/>
    <w:pPr>
      <w:spacing w:line="360" w:lineRule="auto"/>
    </w:pPr>
    <w:rPr>
      <w:kern w:val="0"/>
      <w:sz w:val="24"/>
      <w:szCs w:val="20"/>
    </w:rPr>
  </w:style>
  <w:style w:type="paragraph" w:customStyle="1" w:styleId="131">
    <w:name w:val="UserStyle_47"/>
    <w:basedOn w:val="1"/>
    <w:qFormat/>
    <w:uiPriority w:val="0"/>
    <w:pPr>
      <w:numPr>
        <w:ilvl w:val="0"/>
        <w:numId w:val="3"/>
      </w:numPr>
    </w:pPr>
    <w:rPr>
      <w:rFonts w:ascii="宋体" w:hAnsi="宋体"/>
      <w:kern w:val="0"/>
    </w:rPr>
  </w:style>
  <w:style w:type="paragraph" w:customStyle="1" w:styleId="132">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3">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4">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5">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6">
    <w:name w:val="UserStyle_52"/>
    <w:basedOn w:val="1"/>
    <w:next w:val="95"/>
    <w:qFormat/>
    <w:uiPriority w:val="0"/>
    <w:pPr>
      <w:spacing w:line="360" w:lineRule="auto"/>
      <w:ind w:firstLine="420"/>
    </w:pPr>
    <w:rPr>
      <w:color w:val="FF0000"/>
      <w:sz w:val="24"/>
      <w:szCs w:val="24"/>
    </w:rPr>
  </w:style>
  <w:style w:type="paragraph" w:customStyle="1" w:styleId="137">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8">
    <w:name w:val="UserStyle_54"/>
    <w:basedOn w:val="1"/>
    <w:next w:val="102"/>
    <w:qFormat/>
    <w:uiPriority w:val="0"/>
    <w:pPr>
      <w:spacing w:after="120"/>
    </w:pPr>
    <w:rPr>
      <w:rFonts w:ascii="宋体" w:hAnsi="Arial" w:cs="Times New Roman"/>
      <w:bCs/>
      <w:iCs/>
      <w:szCs w:val="24"/>
    </w:rPr>
  </w:style>
  <w:style w:type="paragraph" w:customStyle="1" w:styleId="139">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0">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1">
    <w:name w:val="TableGrid"/>
    <w:basedOn w:val="43"/>
    <w:qFormat/>
    <w:uiPriority w:val="0"/>
    <w:tblPr>
      <w:tblCellMar>
        <w:top w:w="0" w:type="dxa"/>
        <w:left w:w="0" w:type="dxa"/>
        <w:bottom w:w="0" w:type="dxa"/>
        <w:right w:w="0" w:type="dxa"/>
      </w:tblCellMar>
    </w:tblPr>
  </w:style>
  <w:style w:type="paragraph" w:styleId="142">
    <w:name w:val="List Paragraph"/>
    <w:basedOn w:val="1"/>
    <w:qFormat/>
    <w:uiPriority w:val="34"/>
    <w:pPr>
      <w:ind w:left="720"/>
      <w:contextualSpacing/>
      <w:jc w:val="left"/>
    </w:pPr>
    <w:rPr>
      <w:rFonts w:ascii="Calibri" w:hAnsi="Calibri"/>
      <w:kern w:val="0"/>
      <w:sz w:val="24"/>
      <w:lang w:eastAsia="en-US" w:bidi="en-US"/>
    </w:rPr>
  </w:style>
  <w:style w:type="paragraph" w:customStyle="1" w:styleId="143">
    <w:name w:val="Default"/>
    <w:next w:val="144"/>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5">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6">
    <w:name w:val="正文1"/>
    <w:basedOn w:val="1"/>
    <w:qFormat/>
    <w:uiPriority w:val="0"/>
    <w:pPr>
      <w:spacing w:line="440" w:lineRule="exact"/>
      <w:ind w:right="-167" w:rightChars="-167"/>
    </w:pPr>
    <w:rPr>
      <w:b/>
    </w:rPr>
  </w:style>
  <w:style w:type="character" w:customStyle="1" w:styleId="147">
    <w:name w:val="批注框文本 Char"/>
    <w:basedOn w:val="26"/>
    <w:link w:val="17"/>
    <w:qFormat/>
    <w:uiPriority w:val="0"/>
    <w:rPr>
      <w:rFonts w:cstheme="minorBidi"/>
      <w:kern w:val="2"/>
      <w:sz w:val="18"/>
      <w:szCs w:val="18"/>
    </w:rPr>
  </w:style>
  <w:style w:type="character" w:customStyle="1" w:styleId="148">
    <w:name w:val="nth-of-type(2)"/>
    <w:basedOn w:val="26"/>
    <w:qFormat/>
    <w:uiPriority w:val="0"/>
  </w:style>
  <w:style w:type="character" w:customStyle="1" w:styleId="149">
    <w:name w:val="nth-of-type(2)1"/>
    <w:basedOn w:val="26"/>
    <w:qFormat/>
    <w:uiPriority w:val="0"/>
  </w:style>
  <w:style w:type="character" w:customStyle="1" w:styleId="150">
    <w:name w:val="nth-of-type(2)2"/>
    <w:basedOn w:val="26"/>
    <w:qFormat/>
    <w:uiPriority w:val="0"/>
  </w:style>
  <w:style w:type="character" w:customStyle="1" w:styleId="151">
    <w:name w:val="nth-of-type(2)3"/>
    <w:basedOn w:val="26"/>
    <w:qFormat/>
    <w:uiPriority w:val="0"/>
  </w:style>
  <w:style w:type="character" w:customStyle="1" w:styleId="152">
    <w:name w:val="nth-of-type(1)"/>
    <w:basedOn w:val="26"/>
    <w:qFormat/>
    <w:uiPriority w:val="0"/>
  </w:style>
  <w:style w:type="character" w:customStyle="1" w:styleId="153">
    <w:name w:val="nth-of-type(1)1"/>
    <w:basedOn w:val="26"/>
    <w:qFormat/>
    <w:uiPriority w:val="0"/>
  </w:style>
  <w:style w:type="character" w:customStyle="1" w:styleId="154">
    <w:name w:val="nth-of-type(1)2"/>
    <w:basedOn w:val="26"/>
    <w:qFormat/>
    <w:uiPriority w:val="0"/>
  </w:style>
  <w:style w:type="character" w:customStyle="1" w:styleId="155">
    <w:name w:val="first-of-type"/>
    <w:basedOn w:val="26"/>
    <w:qFormat/>
    <w:uiPriority w:val="0"/>
  </w:style>
  <w:style w:type="character" w:customStyle="1" w:styleId="156">
    <w:name w:val="first-of-type1"/>
    <w:basedOn w:val="26"/>
    <w:qFormat/>
    <w:uiPriority w:val="0"/>
  </w:style>
  <w:style w:type="character" w:customStyle="1" w:styleId="157">
    <w:name w:val="apple-converted-space"/>
    <w:basedOn w:val="26"/>
    <w:qFormat/>
    <w:uiPriority w:val="0"/>
  </w:style>
  <w:style w:type="paragraph" w:customStyle="1" w:styleId="158">
    <w:name w:val="纯文本1"/>
    <w:basedOn w:val="1"/>
    <w:qFormat/>
    <w:uiPriority w:val="0"/>
    <w:rPr>
      <w:rFonts w:ascii="宋体" w:hAnsi="Courier New"/>
      <w:sz w:val="28"/>
    </w:rPr>
  </w:style>
  <w:style w:type="paragraph" w:customStyle="1" w:styleId="159">
    <w:name w:val="Table Paragraph"/>
    <w:basedOn w:val="1"/>
    <w:qFormat/>
    <w:uiPriority w:val="1"/>
    <w:rPr>
      <w:rFonts w:cs="Times New Roman"/>
      <w:szCs w:val="24"/>
    </w:rPr>
  </w:style>
  <w:style w:type="paragraph" w:customStyle="1" w:styleId="160">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7"/>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B8C260-A530-426F-8444-A6B30A856145}">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22258</Words>
  <Characters>23885</Characters>
  <Lines>201</Lines>
  <Paragraphs>56</Paragraphs>
  <TotalTime>30</TotalTime>
  <ScaleCrop>false</ScaleCrop>
  <LinksUpToDate>false</LinksUpToDate>
  <CharactersWithSpaces>26107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2022-06-21T00:56:00Z</dcterms:created>
  <dc:creator>Administrator</dc:creator>
  <cp:lastModifiedBy>赵萌</cp:lastModifiedBy>
  <cp:lastPrinted>2022-06-20T01:11:00Z</cp:lastPrinted>
  <dcterms:modified xsi:type="dcterms:W3CDTF">2022-06-21T02:58:18Z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9F80F8BCDA0F4E60A5462450DFD83EA4</vt:lpwstr>
  </property>
</Properties>
</file>