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1084" w:firstLineChars="300"/>
        <w:rPr>
          <w:rStyle w:val="47"/>
          <w:rFonts w:ascii="宋体" w:hAnsi="宋体" w:cs="宋体"/>
          <w:b/>
          <w:sz w:val="36"/>
        </w:rPr>
      </w:pPr>
      <w:r>
        <w:rPr>
          <w:rStyle w:val="47"/>
          <w:rFonts w:hint="eastAsia" w:ascii="宋体" w:hAnsi="宋体" w:cs="宋体"/>
          <w:b/>
          <w:sz w:val="36"/>
        </w:rPr>
        <w:t>项目编号：2022-038W</w:t>
      </w:r>
    </w:p>
    <w:p>
      <w:pPr>
        <w:rPr>
          <w:rStyle w:val="47"/>
          <w:rFonts w:ascii="宋体" w:hAnsi="宋体" w:cs="宋体"/>
          <w:b/>
          <w:sz w:val="36"/>
          <w:szCs w:val="36"/>
        </w:rPr>
      </w:pPr>
    </w:p>
    <w:p>
      <w:pPr>
        <w:rPr>
          <w:rStyle w:val="47"/>
          <w:rFonts w:ascii="宋体" w:hAnsi="宋体" w:cs="宋体"/>
          <w:b/>
          <w:sz w:val="36"/>
          <w:szCs w:val="36"/>
        </w:rPr>
      </w:pPr>
    </w:p>
    <w:p>
      <w:pPr>
        <w:rPr>
          <w:rStyle w:val="47"/>
          <w:rFonts w:ascii="宋体" w:hAnsi="宋体" w:cs="宋体"/>
          <w:b/>
          <w:sz w:val="36"/>
          <w:szCs w:val="36"/>
        </w:rPr>
      </w:pPr>
    </w:p>
    <w:p>
      <w:pPr>
        <w:jc w:val="center"/>
      </w:pPr>
      <w:r>
        <w:rPr>
          <w:rStyle w:val="47"/>
          <w:rFonts w:hint="eastAsia" w:ascii="宋体" w:hAnsi="宋体" w:cs="宋体"/>
          <w:b/>
          <w:sz w:val="36"/>
          <w:szCs w:val="36"/>
        </w:rPr>
        <w:t>项目名称：盐城工业职业技术学院药品经营实训软件</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2022年11月</w:t>
      </w:r>
      <w:r>
        <w:rPr>
          <w:rStyle w:val="47"/>
          <w:rFonts w:hint="eastAsia" w:ascii="宋体" w:hAnsi="宋体" w:cs="宋体"/>
          <w:sz w:val="36"/>
          <w:szCs w:val="36"/>
          <w:lang w:val="en-US" w:eastAsia="zh-CN"/>
        </w:rPr>
        <w:t>9</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6" w:type="first"/>
          <w:headerReference r:id="rId3" w:type="default"/>
          <w:footerReference r:id="rId5" w:type="default"/>
          <w:pgSz w:w="11906" w:h="16838"/>
          <w:pgMar w:top="1418" w:right="1588" w:bottom="1418" w:left="1365" w:header="851" w:footer="907" w:gutter="0"/>
          <w:pgNumType w:fmt="decimal" w:start="1"/>
          <w:cols w:space="720" w:num="1"/>
          <w:titlePg/>
          <w:docGrid w:type="lines" w:linePitch="290" w:charSpace="0"/>
        </w:sectPr>
      </w:pPr>
    </w:p>
    <w:p>
      <w:pPr>
        <w:pStyle w:val="2"/>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bookmarkStart w:id="61" w:name="_GoBack"/>
      <w:bookmarkEnd w:id="61"/>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1</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5</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16</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第四章</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_Toc17926 \h </w:instrText>
          </w:r>
          <w:r>
            <w:rPr>
              <w:rFonts w:hint="eastAsia" w:ascii="宋体" w:hAnsi="宋体" w:cs="宋体"/>
              <w:sz w:val="36"/>
              <w:szCs w:val="36"/>
            </w:rPr>
            <w:fldChar w:fldCharType="separate"/>
          </w:r>
          <w:r>
            <w:rPr>
              <w:rFonts w:hint="eastAsia" w:ascii="宋体" w:hAnsi="宋体" w:cs="宋体"/>
              <w:sz w:val="36"/>
              <w:szCs w:val="36"/>
            </w:rPr>
            <w:t>16</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22</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31</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footerReference r:id="rId8" w:type="first"/>
              <w:footerReference r:id="rId7" w:type="default"/>
              <w:pgSz w:w="11906" w:h="16838"/>
              <w:pgMar w:top="1418" w:right="1588" w:bottom="1418" w:left="1365" w:header="851" w:footer="907" w:gutter="0"/>
              <w:pgNumType w:fmt="decimal"/>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盐城工业职业技术学院药品经营实训软件招标公告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盐城工业职业技术学院药品经营实训软件</w:t>
      </w:r>
      <w:r>
        <w:rPr>
          <w:rStyle w:val="47"/>
          <w:rFonts w:hint="eastAsia" w:ascii="宋体" w:hAnsi="宋体" w:cs="宋体"/>
          <w:bCs/>
          <w:sz w:val="24"/>
          <w:szCs w:val="24"/>
        </w:rPr>
        <w:t>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30</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2022-</w:t>
      </w:r>
      <w:r>
        <w:rPr>
          <w:rStyle w:val="47"/>
          <w:rFonts w:hint="eastAsia" w:ascii="宋体" w:hAnsi="宋体" w:cs="宋体"/>
          <w:sz w:val="24"/>
          <w:szCs w:val="24"/>
          <w:u w:val="single"/>
          <w:lang w:eastAsia="zh-CN"/>
        </w:rPr>
        <w:t>038</w:t>
      </w:r>
      <w:r>
        <w:rPr>
          <w:rStyle w:val="47"/>
          <w:rFonts w:hint="eastAsia" w:ascii="宋体" w:hAnsi="宋体" w:cs="宋体"/>
          <w:sz w:val="24"/>
          <w:szCs w:val="24"/>
          <w:u w:val="single"/>
        </w:rPr>
        <w:t>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盐城工业职业技术学院药品经营实训软件</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Fonts w:hint="eastAsia" w:ascii="宋体" w:hAnsi="宋体" w:cs="宋体"/>
          <w:bCs/>
          <w:color w:val="000000" w:themeColor="text1"/>
          <w:u w:val="single"/>
          <w:lang w:eastAsia="zh-CN"/>
          <w14:textFill>
            <w14:solidFill>
              <w14:schemeClr w14:val="tx1"/>
            </w14:solidFill>
          </w14:textFill>
        </w:rPr>
        <w:t>35.6</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盐城工业职业技术学院药品经营实训软件的</w:t>
      </w:r>
      <w:r>
        <w:rPr>
          <w:rStyle w:val="47"/>
          <w:rFonts w:hint="eastAsia" w:ascii="宋体" w:hAnsi="宋体" w:cs="宋体"/>
          <w:color w:val="000000" w:themeColor="text1"/>
          <w:sz w:val="24"/>
          <w:szCs w:val="24"/>
          <w14:textFill>
            <w14:solidFill>
              <w14:schemeClr w14:val="tx1"/>
            </w14:solidFill>
          </w14:textFill>
        </w:rPr>
        <w:t>采购、供应、运输、安装及就位、调试、维保、售前、售后等相关伴随服务，具体产品名称、数量、规格及技术参数等以招标文件为准，采购人保留对上述采购规模进行调整的权利</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color w:val="000000" w:themeColor="text1"/>
          <w:sz w:val="24"/>
          <w:szCs w:val="24"/>
          <w:u w:val="single"/>
          <w14:textFill>
            <w14:solidFill>
              <w14:schemeClr w14:val="tx1"/>
            </w14:solidFill>
          </w14:textFill>
        </w:rPr>
        <w:t>项目合同签订后</w:t>
      </w:r>
      <w:r>
        <w:rPr>
          <w:rStyle w:val="47"/>
          <w:rFonts w:ascii="宋体" w:hAnsi="宋体" w:cs="宋体"/>
          <w:color w:val="000000" w:themeColor="text1"/>
          <w:sz w:val="24"/>
          <w:szCs w:val="24"/>
          <w:u w:val="single"/>
          <w14:textFill>
            <w14:solidFill>
              <w14:schemeClr w14:val="tx1"/>
            </w14:solidFill>
          </w14:textFill>
        </w:rPr>
        <w:t>20</w:t>
      </w:r>
      <w:r>
        <w:rPr>
          <w:rStyle w:val="47"/>
          <w:rFonts w:hint="eastAsia" w:ascii="宋体" w:hAnsi="宋体" w:cs="宋体"/>
          <w:color w:val="000000" w:themeColor="text1"/>
          <w:sz w:val="24"/>
          <w:szCs w:val="24"/>
          <w:u w:val="single"/>
          <w14:textFill>
            <w14:solidFill>
              <w14:schemeClr w14:val="tx1"/>
            </w14:solidFill>
          </w14:textFill>
        </w:rPr>
        <w:t>日历天内完成供货、 安装及调试。（如甲方需要延时交付，可另行约定时间）</w:t>
      </w:r>
      <w:r>
        <w:rPr>
          <w:rStyle w:val="47"/>
          <w:rFonts w:hint="eastAsia" w:ascii="宋体" w:hAnsi="宋体" w:cs="宋体"/>
          <w:color w:val="000000" w:themeColor="text1"/>
          <w:sz w:val="24"/>
          <w:szCs w:val="24"/>
          <w14:textFill>
            <w14:solidFill>
              <w14:schemeClr w14:val="tx1"/>
            </w14:solidFill>
          </w14:textFill>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spacing w:line="46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方式：符合资格要求的投标人可自行下载采购文件，采购文件见江苏省政府采购网或盐城市政府采购网或盐城工业职业技术学院招标采购网本公告附件。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9</w:t>
      </w:r>
      <w:r>
        <w:rPr>
          <w:rFonts w:hint="eastAsia" w:ascii="宋体" w:hAnsi="宋体" w:cs="宋体"/>
          <w:bCs/>
          <w:sz w:val="24"/>
          <w:szCs w:val="24"/>
        </w:rPr>
        <w:t>日至2022年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21</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single" w:color="000000"/>
        </w:rPr>
        <w:t>2022</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30</w:t>
      </w:r>
      <w:r>
        <w:rPr>
          <w:rStyle w:val="47"/>
          <w:rFonts w:hint="eastAsia" w:ascii="宋体" w:hAnsi="宋体" w:cs="宋体"/>
          <w:bCs/>
          <w:sz w:val="24"/>
          <w:szCs w:val="24"/>
          <w:u w:val="single" w:color="000000"/>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地点：盐城工业职业技术学院（盐城市解放南路285号）后勤服务中心四楼402开标室。</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(一)因疫情防控需要，为确保校园安全，</w:t>
      </w:r>
      <w:r>
        <w:rPr>
          <w:rStyle w:val="47"/>
          <w:rFonts w:hint="eastAsia" w:asciiTheme="minorEastAsia" w:hAnsiTheme="minorEastAsia" w:eastAsiaTheme="minorEastAsia" w:cstheme="minorEastAsia"/>
          <w:b/>
          <w:bCs/>
          <w:sz w:val="24"/>
          <w:szCs w:val="24"/>
        </w:rPr>
        <w:t>投标人须持有48小时内核酸检测阴性证明</w:t>
      </w:r>
      <w:r>
        <w:rPr>
          <w:rStyle w:val="47"/>
          <w:rFonts w:hint="eastAsia" w:asciiTheme="minorEastAsia" w:hAnsiTheme="minorEastAsia" w:eastAsiaTheme="minorEastAsia" w:cstheme="minorEastAsia"/>
          <w:sz w:val="24"/>
          <w:szCs w:val="24"/>
        </w:rPr>
        <w:t>进入盐城工业职业技术学院校区时应服从下列疫情防控措施：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（1）投标前10天内与确诊/疑似病例或无症状感染者有密切接触的人员，以及与密切接触者接触的次密切接触者，一律不得进校。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（2）投标前10天内接触过境外归国人员（未解除隔离的），按次密切接触者处置，一律不得进校。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（8）各投标项目授权代表限1人进入校园，项目授权代表进入校园时须全程佩戴口罩，做好手部消毒及投标文件等消毒防护工作。</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（10）投标人未如实报告个人信息，承担相应责任和法律后果，引发问题学校可取消其中标资格。</w:t>
      </w:r>
    </w:p>
    <w:p>
      <w:pPr>
        <w:snapToGrid w:val="0"/>
        <w:spacing w:line="360" w:lineRule="auto"/>
        <w:ind w:firstLine="480" w:firstLineChars="200"/>
        <w:rPr>
          <w:rStyle w:val="47"/>
          <w:rFonts w:asciiTheme="minorEastAsia" w:hAnsiTheme="minorEastAsia" w:eastAsiaTheme="minorEastAsia" w:cstheme="minorEastAsia"/>
          <w:sz w:val="24"/>
          <w:szCs w:val="24"/>
        </w:rPr>
      </w:pPr>
      <w:r>
        <w:rPr>
          <w:rStyle w:val="47"/>
          <w:rFonts w:hint="eastAsia" w:asciiTheme="minorEastAsia" w:hAnsiTheme="minorEastAsia" w:eastAsiaTheme="minorEastAsia" w:cstheme="minorEastAsia"/>
          <w:sz w:val="24"/>
          <w:szCs w:val="24"/>
        </w:rPr>
        <w:t>请各投标人预留好相应时间，配合做好上述管控措施。</w:t>
      </w:r>
    </w:p>
    <w:p>
      <w:pPr>
        <w:numPr>
          <w:ilvl w:val="0"/>
          <w:numId w:val="4"/>
        </w:num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项目联系人：王老师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联系电话：13815582307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0" w:leftChars="0" w:right="1470"/>
        <w:rPr>
          <w:rStyle w:val="47"/>
          <w:rFonts w:ascii="宋体" w:hAnsi="宋体" w:cs="宋体"/>
          <w:sz w:val="24"/>
          <w:szCs w:val="24"/>
        </w:rPr>
      </w:pPr>
    </w:p>
    <w:p>
      <w:pPr>
        <w:pStyle w:val="38"/>
        <w:spacing w:before="0" w:after="0" w:line="240" w:lineRule="auto"/>
        <w:outlineLvl w:val="0"/>
        <w:rPr>
          <w:rStyle w:val="47"/>
          <w:rFonts w:ascii="宋体" w:hAnsi="宋体" w:eastAsia="宋体" w:cs="宋体"/>
          <w:b w:val="0"/>
          <w:bCs w:val="0"/>
        </w:rPr>
      </w:pPr>
      <w:bookmarkStart w:id="1" w:name="_Toc21663"/>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w:t>
      </w:r>
      <w:r>
        <w:rPr>
          <w:rStyle w:val="47"/>
          <w:rFonts w:hint="eastAsia" w:ascii="宋体" w:hAnsi="宋体" w:cs="宋体"/>
          <w:sz w:val="24"/>
          <w:szCs w:val="24"/>
          <w:lang w:eastAsia="zh-CN"/>
        </w:rPr>
        <w:t>038</w:t>
      </w:r>
      <w:r>
        <w:rPr>
          <w:rStyle w:val="47"/>
          <w:rFonts w:hint="eastAsia" w:ascii="宋体" w:hAnsi="宋体" w:cs="宋体"/>
          <w:sz w:val="24"/>
          <w:szCs w:val="24"/>
        </w:rPr>
        <w:t>元的直接按3</w:t>
      </w:r>
      <w:r>
        <w:rPr>
          <w:rStyle w:val="47"/>
          <w:rFonts w:hint="eastAsia" w:ascii="宋体" w:hAnsi="宋体" w:cs="宋体"/>
          <w:sz w:val="24"/>
          <w:szCs w:val="24"/>
          <w:lang w:eastAsia="zh-CN"/>
        </w:rPr>
        <w:t>038</w:t>
      </w:r>
      <w:r>
        <w:rPr>
          <w:rStyle w:val="47"/>
          <w:rFonts w:hint="eastAsia" w:ascii="宋体" w:hAnsi="宋体" w:cs="宋体"/>
          <w:sz w:val="24"/>
          <w:szCs w:val="24"/>
        </w:rPr>
        <w:t>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招标文件的修改将在江苏省政府采购网或盐城市政府采购网或江苏省政府采购网或盐城市政府采购网或盐城工业职业技术学院招标采购网”公布，补充文件将作为招标文件的组成部分，并对投标人具有约束力。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将在“江苏省政府采购网或盐城市政府采购网或盐城工业职业技术学院招标采购网”发布中标公告，公告期限为1个工作日。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pStyle w:val="37"/>
        <w:outlineLvl w:val="0"/>
        <w:rPr>
          <w:rStyle w:val="47"/>
          <w:rFonts w:ascii="宋体" w:hAnsi="宋体" w:eastAsia="宋体" w:cs="宋体"/>
          <w:b/>
          <w:sz w:val="44"/>
        </w:rPr>
      </w:pPr>
      <w:bookmarkStart w:id="4" w:name="_Toc19468"/>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盐城工业职业技术学院药品经营实训软件</w:t>
      </w:r>
    </w:p>
    <w:p>
      <w:pPr>
        <w:pStyle w:val="73"/>
        <w:snapToGrid w:val="0"/>
        <w:spacing w:line="420" w:lineRule="exact"/>
        <w:ind w:firstLine="480" w:firstLineChars="200"/>
        <w:jc w:val="left"/>
        <w:rPr>
          <w:rStyle w:val="47"/>
          <w:rFonts w:ascii="Times New Roman" w:hAnsi="宋体" w:cs="Times New Roman"/>
          <w:sz w:val="24"/>
          <w:szCs w:val="24"/>
          <w:u w:val="single" w:color="000000"/>
        </w:rPr>
      </w:pPr>
      <w:r>
        <w:rPr>
          <w:rStyle w:val="47"/>
          <w:rFonts w:hAnsi="宋体"/>
          <w:sz w:val="24"/>
          <w:szCs w:val="24"/>
        </w:rPr>
        <w:t>项目编号：</w:t>
      </w:r>
      <w:r>
        <w:rPr>
          <w:rStyle w:val="47"/>
          <w:rFonts w:hint="eastAsia" w:ascii="Times New Roman" w:hAnsi="宋体" w:cs="Times New Roman"/>
          <w:sz w:val="24"/>
          <w:szCs w:val="24"/>
          <w:u w:val="single" w:color="000000"/>
        </w:rPr>
        <w:t>2022-</w:t>
      </w:r>
      <w:r>
        <w:rPr>
          <w:rStyle w:val="47"/>
          <w:rFonts w:hint="eastAsia" w:ascii="Times New Roman" w:hAnsi="宋体" w:cs="Times New Roman"/>
          <w:sz w:val="24"/>
          <w:szCs w:val="24"/>
          <w:u w:val="single" w:color="000000"/>
          <w:lang w:eastAsia="zh-CN"/>
        </w:rPr>
        <w:t>038</w:t>
      </w:r>
      <w:r>
        <w:rPr>
          <w:rStyle w:val="47"/>
          <w:rFonts w:hint="eastAsia" w:ascii="Times New Roman" w:hAnsi="宋体" w:cs="Times New Roman"/>
          <w:sz w:val="24"/>
          <w:szCs w:val="24"/>
          <w:u w:val="single" w:color="000000"/>
        </w:rPr>
        <w:t>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盐城工业职业技术学院药品经营实训软件</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1.1 项目名称：盐城工业职业技术学院药品经营实训软件。</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 型号规格及其他要求：详按项目技术需求。</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1.3 数量（单位）：详按项目技术需求。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2.1本合同金额为（大写）：（小写）：______元人民币。</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本合同金额按实结算。</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w:t>
      </w:r>
      <w:r>
        <w:rPr>
          <w:rFonts w:hint="eastAsia"/>
          <w:b/>
          <w:bCs/>
          <w:color w:val="000000" w:themeColor="text1"/>
          <w:kern w:val="2"/>
          <w14:textFill>
            <w14:solidFill>
              <w14:schemeClr w14:val="tx1"/>
            </w14:solidFill>
          </w14:textFill>
        </w:rPr>
        <w:t>质保期  年</w:t>
      </w:r>
      <w:r>
        <w:rPr>
          <w:rFonts w:hint="eastAsia"/>
          <w:color w:val="000000" w:themeColor="text1"/>
          <w:kern w:val="2"/>
          <w14:textFill>
            <w14:solidFill>
              <w14:schemeClr w14:val="tx1"/>
            </w14:solidFill>
          </w14:textFill>
        </w:rPr>
        <w:t>（具体以投标时承诺为准）。（自交货验收合格之日起计）</w:t>
      </w:r>
    </w:p>
    <w:p>
      <w:pPr>
        <w:spacing w:line="500" w:lineRule="exac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8.3、中标人须设有维修服务电话</w:t>
      </w:r>
      <w:r>
        <w:rPr>
          <w:rFonts w:hint="eastAsia"/>
          <w:color w:val="000000" w:themeColor="text1"/>
          <w14:textFill>
            <w14:solidFill>
              <w14:schemeClr w14:val="tx1"/>
            </w14:solidFill>
          </w14:textFill>
        </w:rPr>
        <w:t>，负责解答用户在设备使用中遇到的问题，及时提出解决问题的建议和操作方法。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九、交货期、交货方式及交货地点</w:t>
      </w:r>
    </w:p>
    <w:p>
      <w:pPr>
        <w:pStyle w:val="19"/>
        <w:spacing w:before="0" w:beforeAutospacing="0" w:after="0" w:afterAutospacing="0" w:line="50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 交货期：</w:t>
      </w:r>
      <w:r>
        <w:rPr>
          <w:rFonts w:ascii="Times New Roman" w:hAnsi="Times New Roman"/>
          <w:bCs/>
          <w:szCs w:val="28"/>
        </w:rPr>
        <w:t>自收到中标通知书</w:t>
      </w:r>
      <w:r>
        <w:rPr>
          <w:rFonts w:hint="eastAsia" w:ascii="Times New Roman" w:hAnsi="Times New Roman"/>
          <w:b/>
          <w:color w:val="000000" w:themeColor="text1"/>
          <w:szCs w:val="28"/>
          <w14:textFill>
            <w14:solidFill>
              <w14:schemeClr w14:val="tx1"/>
            </w14:solidFill>
          </w14:textFill>
        </w:rPr>
        <w:t>2</w:t>
      </w:r>
      <w:r>
        <w:rPr>
          <w:rFonts w:ascii="Times New Roman" w:hAnsi="Times New Roman"/>
          <w:b/>
          <w:color w:val="000000" w:themeColor="text1"/>
          <w:szCs w:val="28"/>
          <w14:textFill>
            <w14:solidFill>
              <w14:schemeClr w14:val="tx1"/>
            </w14:solidFill>
          </w14:textFill>
        </w:rPr>
        <w:t>0个</w:t>
      </w:r>
      <w:r>
        <w:rPr>
          <w:rFonts w:hint="eastAsia" w:ascii="Times New Roman" w:hAnsi="Times New Roman"/>
          <w:b/>
          <w:color w:val="000000" w:themeColor="text1"/>
          <w:szCs w:val="28"/>
          <w14:textFill>
            <w14:solidFill>
              <w14:schemeClr w14:val="tx1"/>
            </w14:solidFill>
          </w14:textFill>
        </w:rPr>
        <w:t>日历天内</w:t>
      </w:r>
      <w:r>
        <w:rPr>
          <w:rFonts w:ascii="Times New Roman" w:hAnsi="Times New Roman"/>
          <w:bCs/>
          <w:szCs w:val="28"/>
        </w:rPr>
        <w:t>交货和安装培训，提交的货物依据招标文件上的技术规格要求和国家有关质量标准进行现场初步验收，外观、说明书符合招标文件技术要求的，给予签收，初步验收不合格的不予签收；交货前供应商应对产品作出全面检查和对验收文件进行整理，并列出清单，作为采购方收货验收和使用的技术条件依据，检验的结果应随货物交给采购单位。</w:t>
      </w:r>
      <w:r>
        <w:rPr>
          <w:rFonts w:hint="eastAsia"/>
          <w:color w:val="000000" w:themeColor="text1"/>
          <w14:textFill>
            <w14:solidFill>
              <w14:schemeClr w14:val="tx1"/>
            </w14:solidFill>
          </w14:textFill>
        </w:rPr>
        <w:t>（如甲方需要延时交付，可另行约定时间）</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w:t>
      </w:r>
      <w:r>
        <w:rPr>
          <w:rFonts w:hint="eastAsia"/>
          <w:color w:val="000000" w:themeColor="text1"/>
          <w:kern w:val="2"/>
          <w:lang w:eastAsia="zh-TW"/>
          <w14:textFill>
            <w14:solidFill>
              <w14:schemeClr w14:val="tx1"/>
            </w14:solidFill>
          </w14:textFill>
        </w:rPr>
        <w:t>送货上门、安装与调试</w:t>
      </w:r>
      <w:r>
        <w:rPr>
          <w:rFonts w:hint="eastAsia"/>
          <w:color w:val="000000" w:themeColor="text1"/>
          <w:kern w:val="2"/>
          <w14:textFill>
            <w14:solidFill>
              <w14:schemeClr w14:val="tx1"/>
            </w14:solidFill>
          </w14:textFill>
        </w:rPr>
        <w:t>。</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9.3 交货地点：</w:t>
      </w:r>
      <w:r>
        <w:rPr>
          <w:rFonts w:hint="eastAsia"/>
          <w:color w:val="000000" w:themeColor="text1"/>
          <w:kern w:val="2"/>
          <w:lang w:eastAsia="zh-TW"/>
          <w14:textFill>
            <w14:solidFill>
              <w14:schemeClr w14:val="tx1"/>
            </w14:solidFill>
          </w14:textFill>
        </w:rPr>
        <w:t>甲方指定地点。</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标范围内容全部完成并经安装调试、培训结束，验收合格后付总价的90%；余款一年后根据售后服务情况付总价的5%；验收合格满三年根据售后服务情况付总价的5%。乙方必须提供增值税专用发票，否则甲方有权不付款。</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b/>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b/>
          <w:color w:val="000000" w:themeColor="text1"/>
          <w:kern w:val="2"/>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footerReference r:id="rId9" w:type="default"/>
          <w:pgSz w:w="11906" w:h="16838"/>
          <w:pgMar w:top="1418" w:right="1417" w:bottom="1418" w:left="1417" w:header="851" w:footer="907" w:gutter="0"/>
          <w:pgNumType w:fmt="decimal"/>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hint="eastAsia" w:ascii="宋体" w:hAnsi="宋体" w:eastAsia="宋体" w:cs="宋体"/>
          <w:b w:val="0"/>
          <w:bCs/>
          <w:sz w:val="44"/>
        </w:rPr>
      </w:pPr>
      <w:r>
        <w:rPr>
          <w:rStyle w:val="47"/>
          <w:rFonts w:hint="eastAsia" w:ascii="宋体" w:hAnsi="宋体" w:eastAsia="宋体" w:cs="宋体"/>
          <w:b w:val="0"/>
          <w:bCs/>
          <w:sz w:val="44"/>
        </w:rPr>
        <w:t>第四章 项目需求</w:t>
      </w:r>
      <w:bookmarkEnd w:id="5"/>
    </w:p>
    <w:p>
      <w:pPr>
        <w:ind w:right="210"/>
        <w:jc w:val="left"/>
        <w:rPr>
          <w:rFonts w:ascii="宋体" w:hAnsi="宋体" w:cs="宋体"/>
          <w:sz w:val="24"/>
          <w:szCs w:val="24"/>
        </w:rPr>
      </w:pPr>
      <w:bookmarkStart w:id="6" w:name="_Toc32259"/>
      <w:r>
        <w:rPr>
          <w:rFonts w:hint="eastAsia" w:ascii="宋体" w:hAnsi="宋体" w:cs="宋体"/>
          <w:b/>
          <w:color w:val="000000"/>
          <w:sz w:val="24"/>
          <w:szCs w:val="24"/>
        </w:rPr>
        <w:t>一、项目具体技术要求</w:t>
      </w:r>
    </w:p>
    <w:tbl>
      <w:tblPr>
        <w:tblStyle w:val="22"/>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840"/>
        <w:gridCol w:w="7806"/>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416" w:type="dxa"/>
            <w:tcBorders>
              <w:tl2br w:val="nil"/>
              <w:tr2bl w:val="nil"/>
            </w:tcBorders>
            <w:vAlign w:val="center"/>
          </w:tcPr>
          <w:p>
            <w:pPr>
              <w:jc w:val="center"/>
              <w:rPr>
                <w:rFonts w:ascii="宋体" w:hAnsi="宋体" w:cs="宋体"/>
                <w:b/>
              </w:rPr>
            </w:pPr>
            <w:r>
              <w:rPr>
                <w:rFonts w:hint="eastAsia" w:ascii="宋体" w:hAnsi="宋体" w:cs="宋体"/>
                <w:b/>
              </w:rPr>
              <w:t>序号</w:t>
            </w:r>
          </w:p>
        </w:tc>
        <w:tc>
          <w:tcPr>
            <w:tcW w:w="840" w:type="dxa"/>
            <w:tcBorders>
              <w:tl2br w:val="nil"/>
              <w:tr2bl w:val="nil"/>
            </w:tcBorders>
            <w:vAlign w:val="center"/>
          </w:tcPr>
          <w:p>
            <w:pPr>
              <w:jc w:val="center"/>
              <w:rPr>
                <w:rFonts w:ascii="宋体" w:hAnsi="宋体" w:cs="宋体"/>
                <w:b/>
              </w:rPr>
            </w:pPr>
            <w:r>
              <w:rPr>
                <w:rFonts w:hint="eastAsia" w:ascii="宋体" w:hAnsi="宋体" w:cs="宋体"/>
                <w:b/>
              </w:rPr>
              <w:t>名 称</w:t>
            </w:r>
          </w:p>
        </w:tc>
        <w:tc>
          <w:tcPr>
            <w:tcW w:w="7806" w:type="dxa"/>
            <w:tcBorders>
              <w:tl2br w:val="nil"/>
              <w:tr2bl w:val="nil"/>
            </w:tcBorders>
            <w:vAlign w:val="center"/>
          </w:tcPr>
          <w:p>
            <w:pPr>
              <w:jc w:val="center"/>
              <w:rPr>
                <w:rFonts w:ascii="宋体" w:hAnsi="宋体" w:cs="宋体"/>
                <w:b/>
              </w:rPr>
            </w:pPr>
            <w:r>
              <w:rPr>
                <w:rFonts w:hint="eastAsia" w:ascii="宋体" w:hAnsi="宋体" w:cs="宋体"/>
                <w:b/>
              </w:rPr>
              <w:t>主要技术参数</w:t>
            </w:r>
          </w:p>
        </w:tc>
        <w:tc>
          <w:tcPr>
            <w:tcW w:w="752" w:type="dxa"/>
            <w:tcBorders>
              <w:tl2br w:val="nil"/>
              <w:tr2bl w:val="nil"/>
            </w:tcBorders>
            <w:vAlign w:val="center"/>
          </w:tcPr>
          <w:p>
            <w:pPr>
              <w:jc w:val="center"/>
              <w:rPr>
                <w:rFonts w:ascii="宋体" w:hAnsi="宋体" w:cs="宋体"/>
                <w:b/>
              </w:rPr>
            </w:pPr>
            <w:r>
              <w:rPr>
                <w:rFonts w:hint="eastAsia" w:ascii="宋体" w:hAnsi="宋体" w:cs="宋体"/>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0" w:hRule="atLeast"/>
          <w:jc w:val="center"/>
        </w:trPr>
        <w:tc>
          <w:tcPr>
            <w:tcW w:w="416" w:type="dxa"/>
            <w:tcBorders>
              <w:tl2br w:val="nil"/>
              <w:tr2bl w:val="nil"/>
            </w:tcBorders>
            <w:vAlign w:val="center"/>
          </w:tcPr>
          <w:p>
            <w:pPr>
              <w:jc w:val="center"/>
              <w:rPr>
                <w:rFonts w:ascii="宋体" w:hAnsi="宋体" w:cs="宋体"/>
              </w:rPr>
            </w:pPr>
            <w:r>
              <w:rPr>
                <w:rFonts w:hint="eastAsia" w:ascii="宋体" w:hAnsi="宋体" w:cs="宋体"/>
              </w:rPr>
              <w:t>1</w:t>
            </w:r>
          </w:p>
        </w:tc>
        <w:tc>
          <w:tcPr>
            <w:tcW w:w="840" w:type="dxa"/>
            <w:tcBorders>
              <w:tl2br w:val="nil"/>
              <w:tr2bl w:val="nil"/>
            </w:tcBorders>
            <w:vAlign w:val="center"/>
          </w:tcPr>
          <w:p>
            <w:pPr>
              <w:autoSpaceDE w:val="0"/>
              <w:autoSpaceDN w:val="0"/>
              <w:adjustRightInd w:val="0"/>
              <w:jc w:val="left"/>
              <w:rPr>
                <w:rFonts w:ascii="宋体" w:hAnsi="宋体" w:cs="宋体"/>
              </w:rPr>
            </w:pPr>
            <w:r>
              <w:rPr>
                <w:rFonts w:hint="eastAsia" w:ascii="宋体" w:hAnsi="宋体" w:cs="宋体"/>
                <w:b/>
                <w:bCs/>
                <w:color w:val="000000"/>
                <w:kern w:val="0"/>
              </w:rPr>
              <w:t>药品经营虚拟仿真实训系统</w:t>
            </w:r>
          </w:p>
        </w:tc>
        <w:tc>
          <w:tcPr>
            <w:tcW w:w="7806" w:type="dxa"/>
            <w:tcBorders>
              <w:tl2br w:val="nil"/>
              <w:tr2bl w:val="nil"/>
            </w:tcBorders>
          </w:tcPr>
          <w:p>
            <w:pPr>
              <w:numPr>
                <w:ilvl w:val="0"/>
                <w:numId w:val="5"/>
              </w:numPr>
              <w:jc w:val="left"/>
              <w:textAlignment w:val="top"/>
              <w:rPr>
                <w:rFonts w:ascii="宋体" w:hAnsi="宋体" w:cs="宋体"/>
              </w:rPr>
            </w:pPr>
            <w:r>
              <w:rPr>
                <w:rFonts w:hint="eastAsia" w:ascii="宋体" w:hAnsi="宋体" w:cs="宋体"/>
              </w:rPr>
              <w:t>技术要求：</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软件在校内局域网不限制使用学生的数量，拥有永久使用权，且采用最新版GSP标准的要求进行课程设计和情景设计，保证实训课程内容的准确性和专业性。软件适用于医药商品基础、零售药店实务、实用医药综合知识与技能、医药商品购销、GSP实务等药品经营专业课程的仿真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软件提供真实的药品批发企业的仿真场景，符合中国批发企业实际的采购员、采购经理、质管员、质量负责人、收货员、验收员、保管员等岗位的形象和着装，在虚拟真实的场景中完成岗位模拟实训，软件中的背景资料须取自真实批发企业的实际单据。流程须涵盖药品采购、收货验收、储存、养护、销售、出库、运输核心岗位、代表性工作任务。需提供场景的图片和岗位职员工作过程仿真情景的图片，不少于6个情景。</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 实训功能</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药品经营仿真实训模块含有实训简介、实训指南、理论强化、达标测验、岗位实训及考核、赛证融通、实训数据、实训报告和实训评价、学情分析、在线讨论等功能。</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1.1.1实训简介：能够清晰说明药品经营实训的企业背景、实训岗位和工作内容，以及实训的目标等；</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1.1.2实训指南：详细展示药品经营各岗位实训的操作步骤，学生可以在线随时查看，指导学生完成技能实训；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1.1.3理论强化：提供药品经营理论知识强化学习功能，让学生在实训前进一步强化岗位实训过程中必备的理论知识，并且以视频或动画的形式进行专项知识强化教学，包含采购员、收货员、验收员、保管员等岗位工作过程教学视频不低于5个，以教学动画和企业岗位实际拍摄视频包装剪辑形成，单个教学视频不低于4分钟。</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1.1.4企业认知：提供药品批发企业的仓储区和办公区的3D仿真情景，学生可以在完全仿真的情景中参观药品批发企业，了解仓储区和办公区的功能区设置和生产作业情景。学生可以根据左侧的区域导航菜单快速进入功能区，也可以通过鼠标和键盘控制视角在厂区中自由参观，进入功能区后有功能区的介绍及温湿度模拟。</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1.1.5实训操作：</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① 药品采购岗位操作实训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提供首营企业审核（生产企业和经营企业）、首营品种审核（国产品种和进口品种）、制定采购计划（正常采购和超量采购）、药品购进退出（普通药品和冷藏药品）四个环节的岗位仿真操作实训。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② 药品收货岗位操作实训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提供普通药品收货、冷藏药品收货和退回药品收货的岗位仿真操作实训，包含运输工具的检查、核对药品单据和信息、药品码盘、填写单据并进行单据交接。</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③ 药品验收岗位操作实训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提供普通药品验收、退回药品验收、特殊药品验收的岗位仿真操作实训，实训功能包括核对药品、检查检验报告书、抽取样品、检查样品、封箱还原、填写药品验收记录、整理单据。</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系统的实训知识点要符合药品购销1+X的考点要求以及行业职业技能大赛的热点知识。</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④ 药品保管岗位操作实训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包括药品入库、药品出库、冷藏药品出库工作过程实训，仿真实训的情景中体现保管员使用手持终端的动作，并且库房中按质量状态实行色标管理，能够合理安排和调度普通药品的储存库位，能够准确复核出出库药品，能够进行库存盘点，能进行营业场所、仓库的温、湿度记录及调控。</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⑤ 药品养护岗位操作实训</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提供疑问药品的处理以及库存药品盘点的工作过程实训，学生在系统中模拟锁定疑问药品的过程，并对药品进行复检，对不合格药品进行移库操作，并建立不合格药品的记录。实训过程中可采用长按鼠标左键旋转药箱，查看具体信息。</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⑥ 药品销售</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提供新客户资格审核和药品销售的工作过程实训，学生在系统中完成客户资料的维护、进行客户资料审批并建档。并在情景中完成销售过程的模拟，开具销售单、拣选药品、出库复核、开具发票并安排车辆配送。</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⑦ 药品运输</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提供药品装箱发货、药品装车发货、冷藏药品委托运输的工作过程实训。学生要完成药品装箱的整个工作过程。</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在实训过程中，系统有对主要实训操作步骤、过程以及算法、公式的原理的解释说明，并有实训提示。当前的实训环节和步骤能够在操作界面中进行详细展示，正确引导学生开展实训操作；</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1.1.6实训数据：实训数据真实记录学生的学习和实训情况，有记录，可评判，可回溯，并支持教师和学生随时查询；</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1.1.7实训考核：考核点设置结合实训的操作步骤及实训内容，且与实训操作步骤相关联，能对学生的实训操作和知识学习起到考核作用；要能够生成考核报告；</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1.1.8实训报告：实训报告需展现学生实训的主要过程、简要的实训结果和成绩，学生也可以对本次实训进行评价和总结；</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1.1.9在线讨论：要支持学生针对本实训进行线上交流、沟通，相互促进、相互学习。</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1.1.10赛证融通：提供药品购销1+X证书知识点训练和教学资源。包含赛证知识梳理、理论题库练习、药品验收仿真实操训练功能。</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软件具有自动评判的功能，对学生根据资料填写的表单进行内容识别并判断填写内容的准确性。在3D仿真工作过程中可查看人物的工牌，有公司、姓名、部门、职务等信息，有工作任务背景材料和描述，仿真情景更加真实。</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1.1.11学情分析</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教师端具有查看实训进度、实训成绩和学情分析的功能。教师可以控制实训进度，进行开始实训、结束实训、实训重置等操作，且可以查看在线详情。其中在线详情可以查看学生的实训开始时间、操作频率、完成状态。教师可对当前课程内本应用的所有参与学习学生的成绩以EXCEL形式导出。</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bCs/>
                <w:color w:val="000000"/>
                <w:kern w:val="0"/>
              </w:rPr>
              <w:t>1.1.12其他功能描述</w:t>
            </w:r>
          </w:p>
          <w:p>
            <w:pPr>
              <w:widowControl w:val="0"/>
              <w:spacing w:line="360" w:lineRule="auto"/>
              <w:ind w:firstLine="420" w:firstLineChars="200"/>
              <w:jc w:val="left"/>
              <w:textAlignment w:val="auto"/>
              <w:rPr>
                <w:rFonts w:ascii="宋体" w:hAnsi="宋体" w:cs="宋体"/>
              </w:rPr>
            </w:pPr>
            <w:r>
              <w:rPr>
                <w:rFonts w:hint="eastAsia" w:ascii="宋体" w:hAnsi="宋体" w:cs="宋体"/>
                <w:bCs/>
                <w:color w:val="000000"/>
                <w:kern w:val="0"/>
              </w:rPr>
              <w:t>系统工作过程介绍及工作要点解说都带有交互配音，且采用符合企业岗位员工特点的角色进行配音。系统的情景资料和情景中药品信息会自动适配当年度的药品储存要求，不存在过期药品或过期单据对实训课程的影响。</w:t>
            </w:r>
          </w:p>
        </w:tc>
        <w:tc>
          <w:tcPr>
            <w:tcW w:w="752" w:type="dxa"/>
            <w:tcBorders>
              <w:tl2br w:val="nil"/>
              <w:tr2bl w:val="nil"/>
            </w:tcBorders>
            <w:vAlign w:val="center"/>
          </w:tcPr>
          <w:p>
            <w:pPr>
              <w:autoSpaceDE w:val="0"/>
              <w:autoSpaceDN w:val="0"/>
              <w:adjustRightInd w:val="0"/>
              <w:jc w:val="center"/>
              <w:rPr>
                <w:rFonts w:ascii="宋体" w:hAnsi="宋体" w:cs="宋体"/>
              </w:rPr>
            </w:pPr>
            <w:r>
              <w:rPr>
                <w:rFonts w:hint="eastAsia" w:ascii="宋体" w:hAnsi="宋体" w:cs="宋体"/>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416" w:type="dxa"/>
            <w:tcBorders>
              <w:tl2br w:val="nil"/>
              <w:tr2bl w:val="nil"/>
            </w:tcBorders>
            <w:vAlign w:val="center"/>
          </w:tcPr>
          <w:p>
            <w:pPr>
              <w:jc w:val="center"/>
              <w:rPr>
                <w:rFonts w:ascii="宋体" w:hAnsi="宋体" w:cs="宋体"/>
              </w:rPr>
            </w:pPr>
            <w:r>
              <w:rPr>
                <w:rFonts w:hint="eastAsia" w:ascii="宋体" w:hAnsi="宋体" w:cs="宋体"/>
              </w:rPr>
              <w:t>2</w:t>
            </w:r>
          </w:p>
        </w:tc>
        <w:tc>
          <w:tcPr>
            <w:tcW w:w="840" w:type="dxa"/>
            <w:tcBorders>
              <w:tl2br w:val="nil"/>
              <w:tr2bl w:val="nil"/>
            </w:tcBorders>
            <w:vAlign w:val="center"/>
          </w:tcPr>
          <w:p>
            <w:pPr>
              <w:autoSpaceDE w:val="0"/>
              <w:autoSpaceDN w:val="0"/>
              <w:adjustRightInd w:val="0"/>
              <w:jc w:val="left"/>
              <w:rPr>
                <w:rFonts w:ascii="宋体" w:hAnsi="宋体" w:cs="宋体"/>
                <w:b/>
                <w:bCs/>
                <w:color w:val="000000"/>
                <w:kern w:val="0"/>
              </w:rPr>
            </w:pPr>
            <w:r>
              <w:rPr>
                <w:rFonts w:hint="eastAsia" w:ascii="宋体" w:hAnsi="宋体" w:cs="宋体"/>
                <w:b/>
                <w:bCs/>
                <w:color w:val="000000"/>
                <w:kern w:val="0"/>
              </w:rPr>
              <w:t>药店布局设计教学软件</w:t>
            </w:r>
          </w:p>
        </w:tc>
        <w:tc>
          <w:tcPr>
            <w:tcW w:w="7806" w:type="dxa"/>
            <w:tcBorders>
              <w:tl2br w:val="nil"/>
              <w:tr2bl w:val="nil"/>
            </w:tcBorders>
          </w:tcPr>
          <w:p>
            <w:pPr>
              <w:widowControl w:val="0"/>
              <w:spacing w:line="360" w:lineRule="auto"/>
              <w:ind w:firstLine="420" w:firstLineChars="200"/>
              <w:textAlignment w:val="auto"/>
              <w:rPr>
                <w:rFonts w:ascii="宋体" w:hAnsi="宋体" w:cs="宋体"/>
                <w:kern w:val="0"/>
              </w:rPr>
            </w:pPr>
            <w:r>
              <w:rPr>
                <w:rFonts w:hint="eastAsia" w:ascii="宋体" w:hAnsi="宋体" w:cs="宋体"/>
                <w:kern w:val="0"/>
              </w:rPr>
              <w:t>1、软件采用C/S架构，校园内局域网不限制学生的使用数量。</w:t>
            </w:r>
          </w:p>
          <w:p>
            <w:pPr>
              <w:widowControl w:val="0"/>
              <w:spacing w:line="360" w:lineRule="auto"/>
              <w:ind w:firstLine="420" w:firstLineChars="200"/>
              <w:textAlignment w:val="auto"/>
              <w:rPr>
                <w:rFonts w:ascii="宋体" w:hAnsi="宋体" w:cs="宋体"/>
                <w:kern w:val="0"/>
              </w:rPr>
            </w:pPr>
            <w:r>
              <w:rPr>
                <w:rFonts w:hint="eastAsia" w:ascii="宋体" w:hAnsi="宋体" w:cs="宋体"/>
                <w:kern w:val="0"/>
              </w:rPr>
              <w:t>2、功能要求</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（1）能够按照GSP储存及布局要求，自由布置零售药店的设施设备、货架货柜、促销工具、分类标识、证件制度等物品，完成药店布局模拟操作。</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（2）学生端包括新建作业、提交作业、我的作业、药店模板等功能。</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（3）系统需提供商超药店和社区药店两种大小的药店场景，根据现实药店内容，提供真实药店布局示例情景，学生能够选择一种类型的空药店进行药店布局操作。</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（4）教师端端应提供教师管理、班级管理、学生管理、作业管理等功能，教师能够自己管理系统用户。</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（5）教师端能够查看不同班级的每个学生提交的布局作业，并在3D场景中查看学生的药店布局情景，根据布局效果进行批注、打分。</w:t>
            </w:r>
          </w:p>
          <w:p>
            <w:pPr>
              <w:widowControl w:val="0"/>
              <w:spacing w:line="360" w:lineRule="auto"/>
              <w:ind w:firstLine="420" w:firstLineChars="200"/>
              <w:textAlignment w:val="auto"/>
              <w:rPr>
                <w:rFonts w:ascii="宋体" w:hAnsi="宋体" w:cs="宋体"/>
                <w:kern w:val="0"/>
              </w:rPr>
            </w:pPr>
            <w:r>
              <w:rPr>
                <w:rFonts w:hint="eastAsia" w:ascii="宋体" w:hAnsi="宋体" w:cs="宋体"/>
                <w:kern w:val="0"/>
              </w:rPr>
              <w:t>3、 场景要求</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（1）采集真实的商超药店和社区药店信息，提供1:1的药店空场景3D模型，用于学生布局练习。</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（2）药店模板布局符合GSP标准，并设有处方药区、非处方药区、非药品区三个大区及中药饮片区和阴凉柜、冷藏柜、含麻含特专柜、拆零专柜四个专柜及花车等。</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（3）系统内提供的药店布局3D模型，根据实际尺寸1:1建模制作。</w:t>
            </w:r>
          </w:p>
          <w:p>
            <w:pPr>
              <w:widowControl w:val="0"/>
              <w:spacing w:line="360" w:lineRule="auto"/>
              <w:ind w:firstLine="420" w:firstLineChars="200"/>
              <w:textAlignment w:val="auto"/>
              <w:rPr>
                <w:rFonts w:ascii="宋体" w:hAnsi="宋体" w:cs="宋体"/>
                <w:kern w:val="0"/>
              </w:rPr>
            </w:pPr>
            <w:r>
              <w:rPr>
                <w:rFonts w:hint="eastAsia" w:ascii="宋体" w:hAnsi="宋体" w:cs="宋体"/>
                <w:kern w:val="0"/>
              </w:rPr>
              <w:t>4、操作要求</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1）软件模型库包含设备设施、货架货柜、促销工具、分类标识牌、证件制度五种药店布局素材，其中设施设备数量不少于15个，包含货架、堆头、促销车、收银台、专柜、气球、花篮等。不同类型和形状的货架货柜数量不少于30个，其他模型数量不少于50个，分类标识牌、证件制度需按照GSP标准规定，数量齐全。</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（2）软件中符合真实的药店布局样例库不少于6套，包含大中小型药店，供学生学习及使用。</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3）学生布局时，按住塑标左键将单体模型拖拽到3D药店场景中，用鼠标左键点击场景中的单体模型，显示选中模型距离相近物体边界的距离，并提供上下、左右、前后3个方向的操作箭头，选中箭头按住鼠标左键，可操作拖拽模型位置，滑动鼠标滚轮时模型在水平方向跟随旋转，并提供漫游、顶视、环视三种不同视角操作模式，帮助学生分析布局合理性。</w:t>
            </w:r>
          </w:p>
          <w:p>
            <w:pPr>
              <w:widowControl w:val="0"/>
              <w:spacing w:line="360" w:lineRule="auto"/>
              <w:ind w:firstLine="420" w:firstLineChars="200"/>
              <w:jc w:val="left"/>
              <w:textAlignment w:val="auto"/>
              <w:rPr>
                <w:rFonts w:ascii="宋体" w:hAnsi="宋体" w:cs="宋体"/>
                <w:bCs/>
                <w:color w:val="000000"/>
                <w:kern w:val="0"/>
              </w:rPr>
            </w:pPr>
            <w:r>
              <w:rPr>
                <w:rFonts w:hint="eastAsia" w:ascii="宋体" w:hAnsi="宋体" w:cs="宋体"/>
                <w:kern w:val="0"/>
              </w:rPr>
              <w:t>（4）教师查看学生布局作业时，在布局合理优秀或者布局错误的地方，点击鼠标左键，设置作业批注，指导学生合理布局</w:t>
            </w:r>
          </w:p>
        </w:tc>
        <w:tc>
          <w:tcPr>
            <w:tcW w:w="752" w:type="dxa"/>
            <w:tcBorders>
              <w:tl2br w:val="nil"/>
              <w:tr2bl w:val="nil"/>
            </w:tcBorders>
            <w:vAlign w:val="center"/>
          </w:tcPr>
          <w:p>
            <w:pPr>
              <w:autoSpaceDE w:val="0"/>
              <w:autoSpaceDN w:val="0"/>
              <w:adjustRightInd w:val="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416" w:type="dxa"/>
            <w:tcBorders>
              <w:tl2br w:val="nil"/>
              <w:tr2bl w:val="nil"/>
            </w:tcBorders>
            <w:vAlign w:val="center"/>
          </w:tcPr>
          <w:p>
            <w:pPr>
              <w:jc w:val="center"/>
              <w:rPr>
                <w:rFonts w:ascii="宋体" w:hAnsi="宋体" w:cs="宋体"/>
              </w:rPr>
            </w:pPr>
          </w:p>
        </w:tc>
        <w:tc>
          <w:tcPr>
            <w:tcW w:w="840" w:type="dxa"/>
            <w:tcBorders>
              <w:tl2br w:val="nil"/>
              <w:tr2bl w:val="nil"/>
            </w:tcBorders>
            <w:vAlign w:val="center"/>
          </w:tcPr>
          <w:p>
            <w:pPr>
              <w:autoSpaceDE w:val="0"/>
              <w:autoSpaceDN w:val="0"/>
              <w:adjustRightInd w:val="0"/>
              <w:jc w:val="left"/>
              <w:rPr>
                <w:rFonts w:ascii="宋体" w:hAnsi="宋体" w:cs="宋体"/>
                <w:b/>
                <w:bCs/>
                <w:color w:val="000000"/>
                <w:kern w:val="0"/>
              </w:rPr>
            </w:pPr>
            <w:r>
              <w:rPr>
                <w:rFonts w:hint="eastAsia" w:ascii="宋体" w:hAnsi="宋体" w:cs="宋体"/>
                <w:b/>
                <w:bCs/>
                <w:color w:val="000000"/>
                <w:kern w:val="0"/>
              </w:rPr>
              <w:t>3.“药神联盟”小程序</w:t>
            </w:r>
          </w:p>
        </w:tc>
        <w:tc>
          <w:tcPr>
            <w:tcW w:w="7806" w:type="dxa"/>
            <w:tcBorders>
              <w:tl2br w:val="nil"/>
              <w:tr2bl w:val="nil"/>
            </w:tcBorders>
          </w:tcPr>
          <w:p>
            <w:pPr>
              <w:widowControl w:val="0"/>
              <w:spacing w:line="360" w:lineRule="auto"/>
              <w:ind w:firstLine="420" w:firstLineChars="200"/>
              <w:textAlignment w:val="auto"/>
              <w:rPr>
                <w:rFonts w:ascii="宋体" w:hAnsi="宋体" w:cs="宋体"/>
                <w:kern w:val="0"/>
              </w:rPr>
            </w:pPr>
            <w:r>
              <w:rPr>
                <w:rFonts w:hint="eastAsia" w:ascii="宋体" w:hAnsi="宋体" w:cs="宋体"/>
                <w:kern w:val="0"/>
              </w:rPr>
              <w:t>1、软件采用B/S架构，微信小程序搜索“药神联盟”即可登录学习。</w:t>
            </w:r>
          </w:p>
          <w:p>
            <w:pPr>
              <w:widowControl w:val="0"/>
              <w:spacing w:line="360" w:lineRule="auto"/>
              <w:ind w:firstLine="420" w:firstLineChars="200"/>
              <w:textAlignment w:val="auto"/>
              <w:rPr>
                <w:rFonts w:ascii="宋体" w:hAnsi="宋体" w:cs="宋体"/>
                <w:kern w:val="0"/>
              </w:rPr>
            </w:pPr>
            <w:r>
              <w:rPr>
                <w:rFonts w:hint="eastAsia" w:ascii="宋体" w:hAnsi="宋体" w:cs="宋体"/>
                <w:kern w:val="0"/>
              </w:rPr>
              <w:t>2、药神联盟软件适用于医药商品基础、零售药店实务、实用医药综合知识与技能等课程的药品记忆实训。</w:t>
            </w:r>
          </w:p>
          <w:p>
            <w:pPr>
              <w:widowControl w:val="0"/>
              <w:spacing w:line="360" w:lineRule="auto"/>
              <w:ind w:firstLine="420" w:firstLineChars="200"/>
              <w:textAlignment w:val="auto"/>
              <w:rPr>
                <w:rFonts w:ascii="宋体" w:hAnsi="宋体" w:cs="宋体"/>
                <w:kern w:val="0"/>
              </w:rPr>
            </w:pPr>
            <w:r>
              <w:rPr>
                <w:rFonts w:hint="eastAsia" w:ascii="宋体" w:hAnsi="宋体" w:cs="宋体"/>
                <w:kern w:val="0"/>
              </w:rPr>
              <w:t>3、功能要求</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（1）基于药品功能用途进行药品分类，满足《国家基本药物目录》品类要求；</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（2）软件分为教师端和学生端，教师端可以设置药品分类学习相关参数，学生端能进行药品分类记忆练习；</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（3）学生端包括关卡练习、关卡测试、药神竞赛、药神考试、积分查询、积分排行等功能，能够按照药品功能名和商品名两种形式进行记忆训练；</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（4）采用药品分类小游戏形式，能以娱乐的形式让学生学习药品及分类。</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（5）教师能够根据教学进度自由配置关卡，设置是否开通关卡。</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（6）教师能够查看各项练习积分、成绩排名，及时掌握学生学习和考试情况。</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（7）教师端后台提供班级分析、行为分析、分数统计、提升分析等多种统计图表，用于教师分析学生学习行为和学习结果，掌握学生学习情况。</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（8）软件内置药品数量不少于900种，教师端后台可根据学校老师教学需要，自行维护药品信息，无限扩展药品数量。</w:t>
            </w:r>
          </w:p>
          <w:p>
            <w:pPr>
              <w:widowControl w:val="0"/>
              <w:spacing w:line="360" w:lineRule="auto"/>
              <w:ind w:firstLine="420" w:firstLineChars="200"/>
              <w:textAlignment w:val="auto"/>
              <w:rPr>
                <w:rFonts w:ascii="宋体" w:hAnsi="宋体" w:cs="宋体"/>
                <w:kern w:val="0"/>
              </w:rPr>
            </w:pPr>
            <w:r>
              <w:rPr>
                <w:rFonts w:hint="eastAsia" w:ascii="宋体" w:hAnsi="宋体" w:cs="宋体"/>
                <w:kern w:val="0"/>
              </w:rPr>
              <w:t>4、学习及考核要求</w:t>
            </w:r>
          </w:p>
          <w:p>
            <w:pPr>
              <w:widowControl w:val="0"/>
              <w:spacing w:line="360" w:lineRule="auto"/>
              <w:ind w:firstLine="420" w:firstLineChars="200"/>
              <w:textAlignment w:val="auto"/>
              <w:rPr>
                <w:rFonts w:ascii="宋体" w:hAnsi="宋体" w:cs="宋体"/>
                <w:kern w:val="0"/>
              </w:rPr>
            </w:pPr>
            <w:r>
              <w:rPr>
                <w:rFonts w:hint="eastAsia" w:ascii="宋体" w:hAnsi="宋体" w:cs="宋体"/>
                <w:kern w:val="0"/>
              </w:rPr>
              <w:t>要满足关卡练习、关卡测试、药神竞赛、药神考试四种学习及考核模式：</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（1）后台教师端可设置学生关卡练习、关卡测试、药神竞赛、药神考试四种模式的基础参数设置。</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（2）教师可以自己创建关卡，设置关卡中的品种，学生能够通过关卡练习和关卡测试获取积分，在关卡测试下，必须在规定时间和限定步数内正确完成药品分类，才能获得关卡通关标识。</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（3）教师可以通过药神竞赛功能组织校内药品识记竞赛活动，能够设置竞赛限时和限错机会，学生在规定时限内获得的积分按由高到低进行排名，全校排名前50同学可实时在学生端展示。</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（4）教师端后台能够随时进行考试组卷，选择考试的药品类别，设置考试时限、错误机会、口令等信息，学生跟口令领取试卷进行考试。</w:t>
            </w:r>
          </w:p>
          <w:p>
            <w:pPr>
              <w:widowControl w:val="0"/>
              <w:spacing w:line="360" w:lineRule="auto"/>
              <w:ind w:firstLine="315" w:firstLineChars="150"/>
              <w:textAlignment w:val="auto"/>
              <w:rPr>
                <w:rFonts w:ascii="宋体" w:hAnsi="宋体" w:cs="宋体"/>
                <w:kern w:val="0"/>
              </w:rPr>
            </w:pPr>
            <w:r>
              <w:rPr>
                <w:rFonts w:hint="eastAsia" w:ascii="宋体" w:hAnsi="宋体" w:cs="宋体"/>
                <w:kern w:val="0"/>
              </w:rPr>
              <w:t>（5）教师端后台需能够设置四种不同模式的综合计分占比，同时可查看每种模式的积分排行、通关排行、竞赛得分、考试成绩以及按比例分配后的总成绩。</w:t>
            </w:r>
          </w:p>
        </w:tc>
        <w:tc>
          <w:tcPr>
            <w:tcW w:w="752" w:type="dxa"/>
            <w:tcBorders>
              <w:tl2br w:val="nil"/>
              <w:tr2bl w:val="nil"/>
            </w:tcBorders>
            <w:vAlign w:val="center"/>
          </w:tcPr>
          <w:p>
            <w:pPr>
              <w:autoSpaceDE w:val="0"/>
              <w:autoSpaceDN w:val="0"/>
              <w:adjustRightInd w:val="0"/>
              <w:jc w:val="center"/>
              <w:rPr>
                <w:rFonts w:ascii="宋体" w:hAnsi="宋体" w:cs="宋体"/>
              </w:rPr>
            </w:pPr>
          </w:p>
        </w:tc>
      </w:tr>
    </w:tbl>
    <w:p/>
    <w:p>
      <w:pPr>
        <w:spacing w:line="400" w:lineRule="exact"/>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备注：</w:t>
      </w:r>
    </w:p>
    <w:p>
      <w:pPr>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1、投标费用包括乙方安装、调试、培训、质保期服务、各项税费、交通费、管理费及合同实施过程中不可预见费用等。</w:t>
      </w:r>
    </w:p>
    <w:p>
      <w:pPr>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2、货物名称内容必须与投标文件中货物名称内容一致。</w:t>
      </w:r>
    </w:p>
    <w:p>
      <w:pPr>
        <w:spacing w:line="360" w:lineRule="auto"/>
        <w:ind w:firstLine="210" w:firstLineChars="1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3、本项目需开具增值税专用发票。</w:t>
      </w:r>
    </w:p>
    <w:p>
      <w:pPr>
        <w:ind w:right="210"/>
        <w:jc w:val="left"/>
        <w:rPr>
          <w:rFonts w:hint="eastAsia" w:ascii="宋体" w:hAnsi="宋体" w:cs="宋体"/>
          <w:b/>
          <w:color w:val="000000"/>
          <w:sz w:val="24"/>
          <w:szCs w:val="24"/>
        </w:rPr>
      </w:pPr>
      <w:r>
        <w:rPr>
          <w:rFonts w:hint="eastAsia" w:ascii="宋体" w:hAnsi="宋体" w:cs="宋体"/>
          <w:b/>
          <w:color w:val="000000"/>
          <w:sz w:val="24"/>
          <w:szCs w:val="24"/>
        </w:rPr>
        <w:t>二、售后服务要求</w:t>
      </w:r>
    </w:p>
    <w:p>
      <w:pPr>
        <w:spacing w:line="360" w:lineRule="auto"/>
        <w:ind w:firstLine="240" w:firstLineChars="1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标人提供的所有软件产品不涉及知识产权纠纷，质保期内软件不限版本不限次数升级和维护（不收取额外费用），投标人负责保修其产品及其附件（非收费上门服务），</w:t>
      </w:r>
      <w:r>
        <w:rPr>
          <w:rFonts w:hint="eastAsia" w:ascii="宋体" w:hAnsi="宋体" w:cs="宋体"/>
          <w:color w:val="000000" w:themeColor="text1"/>
          <w:sz w:val="24"/>
          <w:szCs w:val="24"/>
          <w14:textFill>
            <w14:solidFill>
              <w14:schemeClr w14:val="tx1"/>
            </w14:solidFill>
          </w14:textFill>
        </w:rPr>
        <w:t>免费质保及系统升级时间5年。</w:t>
      </w:r>
    </w:p>
    <w:p>
      <w:pPr>
        <w:spacing w:line="360" w:lineRule="auto"/>
        <w:ind w:firstLine="240" w:firstLineChars="1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自收到中标通知书20个</w:t>
      </w:r>
      <w:r>
        <w:rPr>
          <w:rFonts w:hint="eastAsia" w:ascii="宋体" w:hAnsi="宋体" w:cs="宋体"/>
          <w:color w:val="000000" w:themeColor="text1"/>
          <w:sz w:val="24"/>
          <w:szCs w:val="24"/>
          <w14:textFill>
            <w14:solidFill>
              <w14:schemeClr w14:val="tx1"/>
            </w14:solidFill>
          </w14:textFill>
        </w:rPr>
        <w:t>日历天内</w:t>
      </w:r>
      <w:r>
        <w:rPr>
          <w:rFonts w:ascii="宋体" w:hAnsi="宋体" w:cs="宋体"/>
          <w:color w:val="000000" w:themeColor="text1"/>
          <w:sz w:val="24"/>
          <w:szCs w:val="24"/>
          <w14:textFill>
            <w14:solidFill>
              <w14:schemeClr w14:val="tx1"/>
            </w14:solidFill>
          </w14:textFill>
        </w:rPr>
        <w:t>交货和安装培训</w:t>
      </w:r>
      <w:r>
        <w:rPr>
          <w:rFonts w:hint="eastAsia" w:ascii="宋体" w:hAnsi="宋体" w:cs="宋体"/>
          <w:color w:val="000000" w:themeColor="text1"/>
          <w:sz w:val="24"/>
          <w:szCs w:val="24"/>
          <w:lang w:eastAsia="zh-CN"/>
          <w14:textFill>
            <w14:solidFill>
              <w14:schemeClr w14:val="tx1"/>
            </w14:solidFill>
          </w14:textFill>
        </w:rPr>
        <w:t>。</w:t>
      </w:r>
    </w:p>
    <w:p>
      <w:pPr>
        <w:pStyle w:val="2"/>
        <w:rPr>
          <w:color w:val="000000" w:themeColor="text1"/>
          <w14:textFill>
            <w14:solidFill>
              <w14:schemeClr w14:val="tx1"/>
            </w14:solidFill>
          </w14:textFill>
        </w:rPr>
      </w:pPr>
    </w:p>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hint="eastAsia"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（3）企业标准请参照《关于印发中小企业划型标准规定的通知》（工信部联企业[2011]300号）文件规定自行填写。</w:t>
      </w:r>
      <w:r>
        <w:rPr>
          <w:rFonts w:hint="eastAsia"/>
          <w:b/>
          <w:szCs w:val="24"/>
        </w:rPr>
        <w:t>本采购标的的所属行业为软件和信息技术服务业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84"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分项</w:t>
            </w:r>
          </w:p>
        </w:tc>
        <w:tc>
          <w:tcPr>
            <w:tcW w:w="815"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分值</w:t>
            </w:r>
          </w:p>
        </w:tc>
        <w:tc>
          <w:tcPr>
            <w:tcW w:w="6595" w:type="dxa"/>
            <w:vAlign w:val="center"/>
          </w:tcPr>
          <w:p>
            <w:pPr>
              <w:spacing w:line="320" w:lineRule="exac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p>
            <w:pPr>
              <w:spacing w:line="320" w:lineRule="exact"/>
              <w:jc w:val="center"/>
              <w:rPr>
                <w:rFonts w:ascii="宋体" w:hAnsi="宋体" w:cs="宋体"/>
                <w:b/>
                <w:bCs/>
                <w:color w:val="000000" w:themeColor="text1"/>
                <w14:textFill>
                  <w14:solidFill>
                    <w14:schemeClr w14:val="tx1"/>
                  </w14:solidFill>
                </w14:textFill>
              </w:rPr>
            </w:pPr>
          </w:p>
        </w:tc>
        <w:tc>
          <w:tcPr>
            <w:tcW w:w="815" w:type="dxa"/>
            <w:vAlign w:val="center"/>
          </w:tcPr>
          <w:p>
            <w:pPr>
              <w:spacing w:line="320" w:lineRule="exact"/>
              <w:jc w:val="center"/>
              <w:rPr>
                <w:rFonts w:ascii="宋体" w:hAnsi="宋体" w:cs="宋体"/>
                <w:b/>
                <w:bCs/>
                <w:color w:val="000000" w:themeColor="text1"/>
                <w14:textFill>
                  <w14:solidFill>
                    <w14:schemeClr w14:val="tx1"/>
                  </w14:solidFill>
                </w14:textFill>
              </w:rPr>
            </w:pPr>
            <w:r>
              <w:rPr>
                <w:rFonts w:hint="eastAsia" w:ascii="宋体" w:hAnsi="宋体" w:cs="宋体"/>
                <w:iCs/>
                <w:color w:val="000000" w:themeColor="text1"/>
                <w14:textFill>
                  <w14:solidFill>
                    <w14:schemeClr w14:val="tx1"/>
                  </w14:solidFill>
                </w14:textFill>
              </w:rPr>
              <w:t>50分</w:t>
            </w:r>
          </w:p>
        </w:tc>
        <w:tc>
          <w:tcPr>
            <w:tcW w:w="6595" w:type="dxa"/>
            <w:vAlign w:val="center"/>
          </w:tcPr>
          <w:p>
            <w:pPr>
              <w:spacing w:line="32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价格分统一采用低价优先法计算，即满足招标文件要求且投标价格最低的投标报价为评标基准价，其价格分为满分。其他投标人的价格分统一按照下列公式计算：</w:t>
            </w:r>
          </w:p>
          <w:p>
            <w:pPr>
              <w:spacing w:line="32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投标报价得分=(评标基准价／投标报价)×50，小数点后保留2位。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产品技术参数</w:t>
            </w:r>
          </w:p>
          <w:p>
            <w:pPr>
              <w:spacing w:line="320" w:lineRule="exact"/>
              <w:jc w:val="center"/>
              <w:rPr>
                <w:rFonts w:ascii="宋体" w:hAnsi="宋体" w:cs="宋体"/>
                <w:color w:val="000000" w:themeColor="text1"/>
                <w14:textFill>
                  <w14:solidFill>
                    <w14:schemeClr w14:val="tx1"/>
                  </w14:solidFill>
                </w14:textFill>
              </w:rPr>
            </w:pP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28</w:t>
            </w:r>
            <w:r>
              <w:rPr>
                <w:rFonts w:hint="eastAsia" w:ascii="宋体" w:hAnsi="宋体" w:cs="宋体"/>
                <w:color w:val="000000" w:themeColor="text1"/>
                <w14:textFill>
                  <w14:solidFill>
                    <w14:schemeClr w14:val="tx1"/>
                  </w14:solidFill>
                </w14:textFill>
              </w:rPr>
              <w:t>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投标人提供的投标产品技术参数完全满足招标文件要求的得28分。有一条不满足的扣2分，总分扣完为止。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投标人的综合实力</w:t>
            </w: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3分</w:t>
            </w:r>
          </w:p>
        </w:tc>
        <w:tc>
          <w:tcPr>
            <w:tcW w:w="6595" w:type="dxa"/>
            <w:vAlign w:val="center"/>
          </w:tcPr>
          <w:p>
            <w:pPr>
              <w:spacing w:line="264"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（1）通过ISO9001质量管理体系认证的；  </w:t>
            </w:r>
          </w:p>
          <w:p>
            <w:pPr>
              <w:spacing w:line="264"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（2）属于高新技术企业的；</w:t>
            </w:r>
          </w:p>
          <w:p>
            <w:pPr>
              <w:spacing w:line="264"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3</w:t>
            </w:r>
            <w:r>
              <w:rPr>
                <w:rFonts w:hint="eastAsia" w:ascii="宋体" w:hAnsi="宋体" w:cs="宋体"/>
                <w:color w:val="000000" w:themeColor="text1"/>
                <w14:textFill>
                  <w14:solidFill>
                    <w14:schemeClr w14:val="tx1"/>
                  </w14:solidFill>
                </w14:textFill>
              </w:rPr>
              <w:t>）通过</w:t>
            </w:r>
            <w:r>
              <w:rPr>
                <w:rFonts w:ascii="宋体" w:hAnsi="宋体" w:cs="宋体"/>
                <w:color w:val="000000" w:themeColor="text1"/>
                <w14:textFill>
                  <w14:solidFill>
                    <w14:schemeClr w14:val="tx1"/>
                  </w14:solidFill>
                </w14:textFill>
              </w:rPr>
              <w:t>ISO27001信息安全管理体系</w:t>
            </w:r>
            <w:r>
              <w:rPr>
                <w:rFonts w:hint="eastAsia" w:ascii="宋体" w:hAnsi="宋体" w:cs="宋体"/>
                <w:color w:val="000000" w:themeColor="text1"/>
                <w14:textFill>
                  <w14:solidFill>
                    <w14:schemeClr w14:val="tx1"/>
                  </w14:solidFill>
                </w14:textFill>
              </w:rPr>
              <w:t>认证的；</w:t>
            </w:r>
          </w:p>
          <w:p>
            <w:pPr>
              <w:spacing w:line="320" w:lineRule="exact"/>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以上全部证书需提供证书复印件并加盖投标单位公章，每提供一项得</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rPr>
              <w:t>同类业绩</w:t>
            </w:r>
          </w:p>
        </w:tc>
        <w:tc>
          <w:tcPr>
            <w:tcW w:w="815" w:type="dxa"/>
            <w:vAlign w:val="center"/>
          </w:tcPr>
          <w:p>
            <w:pPr>
              <w:spacing w:line="320" w:lineRule="exact"/>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w:t>
            </w:r>
            <w:r>
              <w:rPr>
                <w:rFonts w:hint="eastAsia" w:ascii="宋体" w:hAnsi="宋体" w:cs="宋体"/>
                <w:color w:val="000000" w:themeColor="text1"/>
                <w14:textFill>
                  <w14:solidFill>
                    <w14:schemeClr w14:val="tx1"/>
                  </w14:solidFill>
                </w14:textFill>
              </w:rPr>
              <w:t>分</w:t>
            </w:r>
          </w:p>
        </w:tc>
        <w:tc>
          <w:tcPr>
            <w:tcW w:w="6595" w:type="dxa"/>
            <w:vAlign w:val="center"/>
          </w:tcPr>
          <w:p>
            <w:pPr>
              <w:jc w:val="left"/>
              <w:rPr>
                <w:rFonts w:ascii="宋体" w:hAnsi="宋体" w:cs="宋体"/>
              </w:rPr>
            </w:pPr>
            <w:r>
              <w:rPr>
                <w:rFonts w:hint="eastAsia" w:ascii="宋体" w:hAnsi="宋体" w:cs="宋体"/>
              </w:rPr>
              <w:t>供应商提供自2020年01月01日至今已完成的同类业绩合同（同类业绩：药品经营类虚拟仿真实训系统），每提供一份加</w:t>
            </w:r>
            <w:r>
              <w:rPr>
                <w:rFonts w:ascii="宋体" w:hAnsi="宋体" w:cs="宋体"/>
              </w:rPr>
              <w:t>2</w:t>
            </w:r>
            <w:r>
              <w:rPr>
                <w:rFonts w:hint="eastAsia" w:ascii="宋体" w:hAnsi="宋体" w:cs="宋体"/>
              </w:rPr>
              <w:t>分，最高得</w:t>
            </w:r>
            <w:r>
              <w:rPr>
                <w:rFonts w:ascii="宋体" w:hAnsi="宋体" w:cs="宋体"/>
              </w:rPr>
              <w:t>6</w:t>
            </w:r>
            <w:r>
              <w:rPr>
                <w:rFonts w:hint="eastAsia" w:ascii="宋体" w:hAnsi="宋体" w:cs="宋体"/>
              </w:rPr>
              <w:t>分；</w:t>
            </w:r>
          </w:p>
          <w:p>
            <w:pPr>
              <w:jc w:val="left"/>
              <w:rPr>
                <w:rFonts w:ascii="宋体" w:hAnsi="宋体" w:cs="宋体"/>
                <w:color w:val="000000" w:themeColor="text1"/>
                <w14:textFill>
                  <w14:solidFill>
                    <w14:schemeClr w14:val="tx1"/>
                  </w14:solidFill>
                </w14:textFill>
              </w:rPr>
            </w:pPr>
            <w:r>
              <w:rPr>
                <w:rFonts w:hint="eastAsia" w:ascii="宋体" w:hAnsi="宋体" w:cs="宋体"/>
              </w:rPr>
              <w:t>注：提供完整合同复印件加盖投标单位公章，否则不得分；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培训方案</w:t>
            </w:r>
          </w:p>
        </w:tc>
        <w:tc>
          <w:tcPr>
            <w:tcW w:w="815" w:type="dxa"/>
            <w:vAlign w:val="center"/>
          </w:tcPr>
          <w:p>
            <w:pPr>
              <w:spacing w:line="320" w:lineRule="exact"/>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按照项目培训安排的优劣进行比较评价：</w:t>
            </w:r>
          </w:p>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第一档，培训计划及培训内容方面安排合理可行，满足用户要求，得2（不含）-</w:t>
            </w:r>
            <w:r>
              <w:rPr>
                <w:rFonts w:ascii="宋体" w:hAnsi="宋体" w:cs="宋体"/>
                <w:color w:val="000000" w:themeColor="text1"/>
                <w14:textFill>
                  <w14:solidFill>
                    <w14:schemeClr w14:val="tx1"/>
                  </w14:solidFill>
                </w14:textFill>
              </w:rPr>
              <w:t>4</w:t>
            </w:r>
            <w:r>
              <w:rPr>
                <w:rFonts w:hint="eastAsia" w:ascii="宋体" w:hAnsi="宋体" w:cs="宋体"/>
                <w:color w:val="000000" w:themeColor="text1"/>
                <w14:textFill>
                  <w14:solidFill>
                    <w14:schemeClr w14:val="tx1"/>
                  </w14:solidFill>
                </w14:textFill>
              </w:rPr>
              <w:t>分；</w:t>
            </w:r>
          </w:p>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第二档，培训计划及培训内容方面安排合理可行，满足用户要求，但有不足之处，得1（不含）-</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分；</w:t>
            </w:r>
          </w:p>
          <w:p>
            <w:pPr>
              <w:spacing w:line="320" w:lineRule="exact"/>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14:textFill>
                  <w14:solidFill>
                    <w14:schemeClr w14:val="tx1"/>
                  </w14:solidFill>
                </w14:textFill>
              </w:rPr>
              <w:t>第三档，无培训计划或培训内容方面安排有缺陷，得0-1分</w:t>
            </w:r>
            <w:r>
              <w:rPr>
                <w:rFonts w:hint="eastAsia" w:ascii="宋体" w:hAnsi="宋体" w:cs="宋体"/>
                <w:color w:val="000000" w:themeColor="text1"/>
                <w:lang w:eastAsia="zh-CN"/>
                <w14:textFill>
                  <w14:solidFill>
                    <w14:schemeClr w14:val="tx1"/>
                  </w14:solidFill>
                </w14:textFill>
              </w:rPr>
              <w:t>；</w:t>
            </w:r>
          </w:p>
          <w:p>
            <w:pPr>
              <w:spacing w:line="320" w:lineRule="exact"/>
              <w:jc w:val="left"/>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精确到小数点后1位。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ascii="宋体" w:hAnsi="宋体" w:cs="宋体"/>
                <w:color w:val="000000" w:themeColor="text1"/>
                <w14:textFill>
                  <w14:solidFill>
                    <w14:schemeClr w14:val="tx1"/>
                  </w14:solidFill>
                </w14:textFill>
              </w:rPr>
            </w:pPr>
            <w:r>
              <w:rPr>
                <w:rFonts w:hint="eastAsia" w:ascii="宋体" w:hAnsi="宋体" w:cs="宋体"/>
              </w:rPr>
              <w:t>案例演示</w:t>
            </w:r>
          </w:p>
        </w:tc>
        <w:tc>
          <w:tcPr>
            <w:tcW w:w="815" w:type="dxa"/>
            <w:vAlign w:val="center"/>
          </w:tcPr>
          <w:p>
            <w:pPr>
              <w:spacing w:line="320" w:lineRule="exact"/>
              <w:jc w:val="left"/>
              <w:rPr>
                <w:rFonts w:ascii="宋体" w:hAnsi="宋体" w:cs="宋体"/>
                <w:color w:val="FF0000"/>
              </w:rPr>
            </w:pPr>
            <w:r>
              <w:rPr>
                <w:rFonts w:hint="eastAsia" w:ascii="宋体" w:hAnsi="宋体" w:cs="宋体"/>
                <w:color w:val="000000" w:themeColor="text1"/>
                <w14:textFill>
                  <w14:solidFill>
                    <w14:schemeClr w14:val="tx1"/>
                  </w14:solidFill>
                </w14:textFill>
              </w:rPr>
              <w:t>9分</w:t>
            </w:r>
          </w:p>
        </w:tc>
        <w:tc>
          <w:tcPr>
            <w:tcW w:w="6595" w:type="dxa"/>
            <w:vAlign w:val="center"/>
          </w:tcPr>
          <w:p>
            <w:pPr>
              <w:spacing w:line="320" w:lineRule="exact"/>
              <w:jc w:val="left"/>
              <w:rPr>
                <w:rFonts w:ascii="宋体" w:hAnsi="宋体" w:cs="宋体"/>
                <w:color w:val="000000" w:themeColor="text1"/>
                <w14:textFill>
                  <w14:solidFill>
                    <w14:schemeClr w14:val="tx1"/>
                  </w14:solidFill>
                </w14:textFill>
              </w:rPr>
            </w:pPr>
            <w:r>
              <w:rPr>
                <w:rFonts w:hint="eastAsia" w:ascii="宋体" w:hAnsi="宋体" w:cs="宋体"/>
              </w:rPr>
              <w:t>投标方需要提供满足招标参数的软件功能演示，需要使用真实软件演示，</w:t>
            </w:r>
            <w:r>
              <w:rPr>
                <w:rFonts w:hint="eastAsia" w:ascii="宋体" w:hAnsi="宋体" w:cs="宋体"/>
                <w:color w:val="000000" w:themeColor="text1"/>
                <w14:textFill>
                  <w14:solidFill>
                    <w14:schemeClr w14:val="tx1"/>
                  </w14:solidFill>
                </w14:textFill>
              </w:rPr>
              <w:t>由评委抽取每个软件两项功能，现场演示符合参数要求的得1.5分，不满足不得分，最高得9分。</w:t>
            </w:r>
            <w:r>
              <w:rPr>
                <w:rFonts w:hint="eastAsia" w:ascii="宋体" w:hAnsi="宋体" w:cs="宋体"/>
              </w:rPr>
              <w:t>软件功能演示使用视频或图片的不得分。演示时间10分钟左右。</w:t>
            </w:r>
          </w:p>
        </w:tc>
      </w:tr>
    </w:tbl>
    <w:p>
      <w:pPr>
        <w:rPr>
          <w:rStyle w:val="47"/>
          <w:rFonts w:ascii="宋体" w:hAnsi="宋体" w:cs="宋体"/>
        </w:rPr>
      </w:pPr>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pStyle w:val="7"/>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ascii="宋体" w:hAnsi="宋体" w:cs="宋体"/>
          <w:color w:val="000000" w:themeColor="text1"/>
          <w:sz w:val="24"/>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ind w:firstLine="480" w:firstLineChars="200"/>
        <w:outlineLvl w:val="0"/>
        <w:rPr>
          <w:rFonts w:ascii="宋体" w:hAnsi="宋体" w:cs="宋体"/>
          <w:color w:val="000000" w:themeColor="text1"/>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十、中小企业声明函</w:t>
      </w:r>
      <w:bookmarkEnd w:id="25"/>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6" w:name="_Toc13879"/>
      <w:r>
        <w:rPr>
          <w:rFonts w:hint="eastAsia" w:ascii="宋体" w:hAnsi="宋体" w:cs="宋体"/>
          <w:color w:val="000000" w:themeColor="text1"/>
          <w:sz w:val="24"/>
          <w14:textFill>
            <w14:solidFill>
              <w14:schemeClr w14:val="tx1"/>
            </w14:solidFill>
          </w14:textFill>
        </w:rPr>
        <w:t>十一、盐城市政府采购事前信用承诺书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28" w:name="_Hlt26955070"/>
      <w:bookmarkEnd w:id="28"/>
      <w:bookmarkStart w:id="29" w:name="_格式3__银行出具的资信证明"/>
      <w:bookmarkEnd w:id="29"/>
      <w:bookmarkStart w:id="30" w:name="_Hlt26671380"/>
      <w:bookmarkEnd w:id="30"/>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pStyle w:val="7"/>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2"/>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6"/>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6"/>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5" w:name="_Toc10977"/>
      <w:bookmarkStart w:id="36" w:name="_Toc11803"/>
      <w:bookmarkStart w:id="37" w:name="_Toc515647824"/>
      <w:bookmarkStart w:id="38" w:name="_Toc13776"/>
    </w:p>
    <w:bookmarkEnd w:id="35"/>
    <w:bookmarkEnd w:id="36"/>
    <w:bookmarkEnd w:id="37"/>
    <w:bookmarkEnd w:id="38"/>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pgNumType w:fmt="decimal"/>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39"/>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7"/>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0" w:name="_Hlt26955054"/>
      <w:bookmarkEnd w:id="40"/>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1"/>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7"/>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2"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2"/>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3" w:name="_Hlt24879081"/>
      <w:bookmarkEnd w:id="43"/>
      <w:bookmarkStart w:id="44" w:name="_Hlt26671374"/>
      <w:bookmarkEnd w:id="44"/>
      <w:bookmarkStart w:id="45" w:name="_Hlt26609391"/>
      <w:bookmarkEnd w:id="45"/>
      <w:bookmarkStart w:id="46" w:name="_Hlt26955056"/>
      <w:bookmarkEnd w:id="46"/>
      <w:bookmarkStart w:id="47" w:name="_Hlt26782999"/>
      <w:bookmarkEnd w:id="47"/>
      <w:bookmarkStart w:id="48" w:name="_Hlt26955064"/>
      <w:bookmarkEnd w:id="48"/>
      <w:bookmarkStart w:id="49" w:name="_Hlt26671372"/>
      <w:bookmarkEnd w:id="49"/>
      <w:bookmarkStart w:id="50" w:name="_Hlt26580838"/>
      <w:bookmarkEnd w:id="50"/>
      <w:bookmarkStart w:id="51" w:name="_Hlt26671343"/>
      <w:bookmarkEnd w:id="51"/>
      <w:bookmarkStart w:id="52" w:name="_Hlt26955066"/>
      <w:bookmarkEnd w:id="52"/>
      <w:bookmarkStart w:id="53" w:name="_Hlt26609389"/>
      <w:bookmarkEnd w:id="53"/>
      <w:bookmarkStart w:id="54"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5" w:name="_Toc8363"/>
      <w:r>
        <w:rPr>
          <w:rFonts w:hint="eastAsia" w:ascii="宋体" w:hAnsi="宋体" w:cs="宋体"/>
          <w:color w:val="000000" w:themeColor="text1"/>
          <w:sz w:val="32"/>
          <w:szCs w:val="32"/>
          <w14:textFill>
            <w14:solidFill>
              <w14:schemeClr w14:val="tx1"/>
            </w14:solidFill>
          </w14:textFill>
        </w:rPr>
        <w:t>九、技术方案、服务承诺等</w:t>
      </w:r>
      <w:bookmarkEnd w:id="54"/>
      <w:bookmarkEnd w:id="55"/>
      <w:bookmarkStart w:id="56" w:name="_格式2__法定代表人授权书"/>
      <w:bookmarkEnd w:id="56"/>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pStyle w:val="2"/>
        <w:rPr>
          <w:rFonts w:ascii="宋体" w:hAnsi="宋体" w:cs="宋体"/>
          <w:color w:val="000000" w:themeColor="text1"/>
          <w14:textFill>
            <w14:solidFill>
              <w14:schemeClr w14:val="tx1"/>
            </w14:solidFill>
          </w14:textFill>
        </w:rPr>
      </w:pPr>
    </w:p>
    <w:p>
      <w:pPr>
        <w:numPr>
          <w:ilvl w:val="0"/>
          <w:numId w:val="8"/>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pgNumType w:fmt="decimal"/>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7"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7"/>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1790"/>
      <w:r>
        <w:rPr>
          <w:rFonts w:hint="eastAsia" w:ascii="宋体" w:hAnsi="宋体" w:cs="宋体"/>
          <w:color w:val="000000" w:themeColor="text1"/>
          <w:sz w:val="24"/>
          <w:szCs w:val="24"/>
          <w14:textFill>
            <w14:solidFill>
              <w14:schemeClr w14:val="tx1"/>
            </w14:solidFill>
          </w14:textFill>
        </w:rPr>
        <w:t>法定代表人签名：</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27882"/>
      <w:r>
        <w:rPr>
          <w:rFonts w:hint="eastAsia" w:ascii="宋体" w:hAnsi="宋体" w:cs="宋体"/>
          <w:color w:val="000000" w:themeColor="text1"/>
          <w:sz w:val="24"/>
          <w:szCs w:val="24"/>
          <w14:textFill>
            <w14:solidFill>
              <w14:schemeClr w14:val="tx1"/>
            </w14:solidFill>
          </w14:textFill>
        </w:rPr>
        <w:t>单位名称（盖章）：</w:t>
      </w:r>
      <w:bookmarkEnd w:id="59"/>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385"/>
      <w:r>
        <w:rPr>
          <w:rFonts w:hint="eastAsia" w:ascii="宋体" w:hAnsi="宋体" w:cs="宋体"/>
          <w:color w:val="000000" w:themeColor="text1"/>
          <w:sz w:val="24"/>
          <w:szCs w:val="24"/>
          <w14:textFill>
            <w14:solidFill>
              <w14:schemeClr w14:val="tx1"/>
            </w14:solidFill>
          </w14:textFill>
        </w:rPr>
        <w:t>年    月    日</w:t>
      </w:r>
      <w:bookmarkEnd w:id="60"/>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pgNumType w:fmt="decimal"/>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RS7NAAAAADAQAADwAAAAAAAAABACAAAAAiAAAAZHJzL2Rv&#10;d25yZXYueG1sUEsBAhQAFAAAAAgAh07iQJRS5DfQAQAAmgMAAA4AAAAAAAAAAQAgAAAAHwEAAGRy&#10;cy9lMm9Eb2MueG1sUEsFBgAAAAAGAAYAWQEAAGE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RS7NAAAAADAQAADwAAAAAAAAABACAAAAAiAAAAZHJzL2Rv&#10;d25yZXYueG1sUEsBAhQAFAAAAAgAh07iQLqd9vHQAQAAmgMAAA4AAAAAAAAAAQAgAAAAHwEAAGRy&#10;cy9lMm9Eb2MueG1sUEsFBgAAAAAGAAYAWQEAAGE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90500" cy="131445"/>
              <wp:effectExtent l="0" t="0" r="0" b="0"/>
              <wp:wrapNone/>
              <wp:docPr id="8" name="文本框 1026"/>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15pt;mso-position-horizontal:center;mso-position-horizontal-relative:margin;mso-wrap-style:none;z-index:25166643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ipFLs0AAAAAMBAAAPAAAAAAAAAAEAIAAAACIAAABkcnMvZG93&#10;bnJldi54bWxQSwECFAAUAAAACACHTuJAMF52H88BAACaAwAADgAAAAAAAAABACAAAAAfAQAAZHJz&#10;L2Uyb0RvYy54bWxQSwUGAAAAAAYABgBZAQAAYA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- 2 -</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90500" cy="131445"/>
              <wp:effectExtent l="0" t="0" r="0" b="0"/>
              <wp:wrapNone/>
              <wp:docPr id="9" name="文本框 1025"/>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0.35pt;width:15pt;mso-position-horizontal:center;mso-position-horizontal-relative:margin;mso-wrap-style:none;z-index:25166745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qRS7NAAAAADAQAADwAAAAAAAAABACAAAAAiAAAAZHJzL2Rv&#10;d25yZXYueG1sUEsBAhQAFAAAAAgAh07iQA3aOZfQAQAAmgMAAA4AAAAAAAAAAQAgAAAAHwEAAGRy&#10;cy9lMm9Eb2MueG1sUEsFBgAAAAAGAAYAWQEAAGE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915035" cy="147955"/>
              <wp:effectExtent l="0" t="0" r="0" b="0"/>
              <wp:wrapNone/>
              <wp:docPr id="6" name="文本框 6"/>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a:noFill/>
                      </a:ln>
                      <a:effectLst/>
                    </wps:spPr>
                    <wps:txbx>
                      <w:txbxContent>
                        <w:p>
                          <w:pPr>
                            <w:pStyle w:val="16"/>
                            <w:rPr>
                              <w:rStyle w:val="26"/>
                              <w:rFonts w:ascii="宋体" w:hAnsi="宋体"/>
                            </w:rPr>
                          </w:pPr>
                          <w:r>
                            <w:rPr>
                              <w:rStyle w:val="26"/>
                              <w:rFonts w:ascii="宋体" w:hAnsi="宋体"/>
                            </w:rPr>
                            <w:t xml:space="preserve">第 </w:t>
                          </w:r>
                          <w:r>
                            <w:rPr>
                              <w:rStyle w:val="26"/>
                              <w:rFonts w:ascii="宋体" w:hAnsi="宋体"/>
                            </w:rPr>
                            <w:fldChar w:fldCharType="begin"/>
                          </w:r>
                          <w:r>
                            <w:rPr>
                              <w:rStyle w:val="26"/>
                              <w:rFonts w:ascii="宋体" w:hAnsi="宋体"/>
                            </w:rPr>
                            <w:instrText xml:space="preserve"> PAGE  \* MERGEFORMAT </w:instrText>
                          </w:r>
                          <w:r>
                            <w:rPr>
                              <w:rStyle w:val="26"/>
                              <w:rFonts w:ascii="宋体" w:hAnsi="宋体"/>
                            </w:rPr>
                            <w:fldChar w:fldCharType="separate"/>
                          </w:r>
                          <w:r>
                            <w:rPr>
                              <w:rStyle w:val="26"/>
                              <w:rFonts w:ascii="宋体" w:hAnsi="宋体"/>
                            </w:rPr>
                            <w:t>1</w:t>
                          </w:r>
                          <w:r>
                            <w:rPr>
                              <w:rStyle w:val="26"/>
                              <w:rFonts w:ascii="宋体" w:hAnsi="宋体"/>
                            </w:rPr>
                            <w:fldChar w:fldCharType="end"/>
                          </w:r>
                          <w:r>
                            <w:rPr>
                              <w:rStyle w:val="26"/>
                              <w:rFonts w:ascii="宋体" w:hAnsi="宋体"/>
                            </w:rPr>
                            <w:t xml:space="preserve"> 页 共 </w:t>
                          </w:r>
                          <w:r>
                            <w:rPr>
                              <w:rStyle w:val="26"/>
                              <w:rFonts w:ascii="宋体" w:hAnsi="宋体"/>
                            </w:rPr>
                            <w:fldChar w:fldCharType="begin"/>
                          </w:r>
                          <w:r>
                            <w:rPr>
                              <w:rStyle w:val="26"/>
                              <w:rFonts w:ascii="宋体" w:hAnsi="宋体"/>
                            </w:rPr>
                            <w:instrText xml:space="preserve"> NUMPAGES  \* MERGEFORMAT </w:instrText>
                          </w:r>
                          <w:r>
                            <w:rPr>
                              <w:rStyle w:val="26"/>
                              <w:rFonts w:ascii="宋体" w:hAnsi="宋体"/>
                            </w:rPr>
                            <w:fldChar w:fldCharType="separate"/>
                          </w:r>
                          <w:r>
                            <w:rPr>
                              <w:rStyle w:val="26"/>
                              <w:rFonts w:ascii="宋体" w:hAnsi="宋体"/>
                            </w:rPr>
                            <w:t>51</w:t>
                          </w:r>
                          <w:r>
                            <w:rPr>
                              <w:rStyle w:val="26"/>
                              <w:rFonts w:ascii="宋体" w:hAnsi="宋体"/>
                            </w:rPr>
                            <w:fldChar w:fldCharType="end"/>
                          </w:r>
                          <w:r>
                            <w:rPr>
                              <w:rStyle w:val="26"/>
                              <w:rFonts w:ascii="宋体" w:hAnsi="宋体"/>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6438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&#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Dt6q30gAAAAQBAAAPAAAAAAAAAAEAIAAAACIAAABk&#10;cnMvZG93bnJldi54bWxQSwECFAAUAAAACACHTuJAkgJVmdMBAAClAwAADgAAAAAAAAABACAAAAAh&#10;AQAAZHJzL2Uyb0RvYy54bWxQSwUGAAAAAAYABgBZAQAAZgUAAAAA&#10;">
              <v:fill on="f" focussize="0,0"/>
              <v:stroke on="f"/>
              <v:imagedata o:title=""/>
              <o:lock v:ext="edit" aspectratio="f"/>
              <v:textbox inset="0mm,0mm,0mm,0mm" style="mso-fit-shape-to-text:t;">
                <w:txbxContent>
                  <w:p>
                    <w:pPr>
                      <w:pStyle w:val="16"/>
                      <w:rPr>
                        <w:rStyle w:val="26"/>
                        <w:rFonts w:ascii="宋体" w:hAnsi="宋体"/>
                      </w:rPr>
                    </w:pPr>
                    <w:r>
                      <w:rPr>
                        <w:rStyle w:val="26"/>
                        <w:rFonts w:ascii="宋体" w:hAnsi="宋体"/>
                      </w:rPr>
                      <w:t xml:space="preserve">第 </w:t>
                    </w:r>
                    <w:r>
                      <w:rPr>
                        <w:rStyle w:val="26"/>
                        <w:rFonts w:ascii="宋体" w:hAnsi="宋体"/>
                      </w:rPr>
                      <w:fldChar w:fldCharType="begin"/>
                    </w:r>
                    <w:r>
                      <w:rPr>
                        <w:rStyle w:val="26"/>
                        <w:rFonts w:ascii="宋体" w:hAnsi="宋体"/>
                      </w:rPr>
                      <w:instrText xml:space="preserve"> PAGE  \* MERGEFORMAT </w:instrText>
                    </w:r>
                    <w:r>
                      <w:rPr>
                        <w:rStyle w:val="26"/>
                        <w:rFonts w:ascii="宋体" w:hAnsi="宋体"/>
                      </w:rPr>
                      <w:fldChar w:fldCharType="separate"/>
                    </w:r>
                    <w:r>
                      <w:rPr>
                        <w:rStyle w:val="26"/>
                        <w:rFonts w:ascii="宋体" w:hAnsi="宋体"/>
                      </w:rPr>
                      <w:t>1</w:t>
                    </w:r>
                    <w:r>
                      <w:rPr>
                        <w:rStyle w:val="26"/>
                        <w:rFonts w:ascii="宋体" w:hAnsi="宋体"/>
                      </w:rPr>
                      <w:fldChar w:fldCharType="end"/>
                    </w:r>
                    <w:r>
                      <w:rPr>
                        <w:rStyle w:val="26"/>
                        <w:rFonts w:ascii="宋体" w:hAnsi="宋体"/>
                      </w:rPr>
                      <w:t xml:space="preserve"> 页 共 </w:t>
                    </w:r>
                    <w:r>
                      <w:rPr>
                        <w:rStyle w:val="26"/>
                        <w:rFonts w:ascii="宋体" w:hAnsi="宋体"/>
                      </w:rPr>
                      <w:fldChar w:fldCharType="begin"/>
                    </w:r>
                    <w:r>
                      <w:rPr>
                        <w:rStyle w:val="26"/>
                        <w:rFonts w:ascii="宋体" w:hAnsi="宋体"/>
                      </w:rPr>
                      <w:instrText xml:space="preserve"> NUMPAGES  \* MERGEFORMAT </w:instrText>
                    </w:r>
                    <w:r>
                      <w:rPr>
                        <w:rStyle w:val="26"/>
                        <w:rFonts w:ascii="宋体" w:hAnsi="宋体"/>
                      </w:rPr>
                      <w:fldChar w:fldCharType="separate"/>
                    </w:r>
                    <w:r>
                      <w:rPr>
                        <w:rStyle w:val="26"/>
                        <w:rFonts w:ascii="宋体" w:hAnsi="宋体"/>
                      </w:rPr>
                      <w:t>51</w:t>
                    </w:r>
                    <w:r>
                      <w:rPr>
                        <w:rStyle w:val="26"/>
                        <w:rFonts w:ascii="宋体" w:hAnsi="宋体"/>
                      </w:rPr>
                      <w:fldChar w:fldCharType="end"/>
                    </w:r>
                    <w:r>
                      <w:rPr>
                        <w:rStyle w:val="26"/>
                        <w:rFonts w:ascii="宋体" w:hAnsi="宋体"/>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972185" cy="147955"/>
              <wp:effectExtent l="0" t="0" r="0" b="0"/>
              <wp:wrapNone/>
              <wp:docPr id="5" name="文本框 10"/>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a:noFill/>
                      </a:ln>
                      <a:effectLst/>
                    </wps:spPr>
                    <wps:txbx>
                      <w:txbxContent>
                        <w:p>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1.65pt;width:76.55pt;mso-position-horizontal:center;mso-position-horizontal-relative:margin;mso-wrap-style:none;z-index:251663360;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J2k0NIAAAAEAQAADwAAAAAAAAABACAAAAAiAAAA&#10;ZHJzL2Rvd25yZXYueG1sUEsBAhQAFAAAAAgAh07iQGioUiHUAQAApgMAAA4AAAAAAAAAAQAgAAAA&#10;IQEAAGRycy9lMm9Eb2MueG1sUEsFBgAAAAAGAAYAWQEAAGc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0" b="0"/>
              <wp:wrapNone/>
              <wp:docPr id="3" name="文本框 24"/>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6350">
                        <a:noFill/>
                      </a:ln>
                      <a:effectLst/>
                    </wps:spPr>
                    <wps:txbx>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1.65pt;width:76.55pt;mso-position-horizontal:center;mso-position-horizontal-relative:margin;mso-wrap-style:none;z-index:251662336;mso-width-relative:page;mso-height-relative:page;" filled="f" stroked="f" coordsize="21600,21600" o:gfxdata="UEsDBAoAAAAAAIdO4kAAAAAAAAAAAAAAAAAEAAAAZHJzL1BLAwQUAAAACACHTuJAQMXxm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DF8ZnSAAAABAEAAA8AAAAAAAAA&#10;AQAgAAAAIgAAAGRycy9kb3ducmV2LnhtbFBLAQIUABQAAAAIAIdO4kCNeksW3gEAAK8DAAAOAAAA&#10;AAAAAAEAIAAAACEBAABkcnMvZTJvRG9jLnhtbFBLBQYAAAAABgAGAFkBAABxBQ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972185" cy="147955"/>
              <wp:effectExtent l="0" t="0" r="0" b="0"/>
              <wp:wrapNone/>
              <wp:docPr id="4" name="文本框 25"/>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6350">
                        <a:noFill/>
                      </a:ln>
                      <a:effectLst/>
                    </wps:spPr>
                    <wps:txbx>
                      <w:txbxContent>
                        <w:p>
                          <w:pPr>
                            <w:pStyle w:val="16"/>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1.65pt;width:76.55pt;mso-position-horizontal:center;mso-position-horizontal-relative:margin;mso-wrap-style:none;z-index:251662336;mso-width-relative:page;mso-height-relative:page;" filled="f" stroked="f" coordsize="21600,21600" o:gfxdata="UEsDBAoAAAAAAIdO4kAAAAAAAAAAAAAAAAAEAAAAZHJzL1BLAwQUAAAACACHTuJAQMXxm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xfGZ0gAAAAQBAAAPAAAAAAAA&#10;AAEAIAAAACIAAABkcnMvZG93bnJldi54bWxQSwECFAAUAAAACACHTuJAcyZI998BAACvAwAADgAA&#10;AAAAAAABACAAAAAhAQAAZHJzL2Uyb0RvYy54bWxQSwUGAAAAAAYABgBZAQAAcg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038</w:t>
    </w:r>
    <w:r>
      <w:rPr>
        <w:rFonts w:hint="eastAsia" w:ascii="隶书" w:hAnsi="隶书" w:eastAsia="隶书" w:cs="隶书"/>
        <w:sz w:val="24"/>
        <w:szCs w:val="24"/>
      </w:rPr>
      <w:t>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w:t>
    </w:r>
    <w:r>
      <w:rPr>
        <w:rFonts w:hint="eastAsia" w:ascii="隶书" w:hAnsi="隶书" w:eastAsia="隶书" w:cs="隶书"/>
        <w:sz w:val="24"/>
        <w:szCs w:val="24"/>
        <w:lang w:eastAsia="zh-CN"/>
      </w:rPr>
      <w:t>038</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color w:val="auto"/>
        <w:spacing w:val="40"/>
        <w:kern w:val="2"/>
        <w:sz w:val="21"/>
      </w:rPr>
      <w:t>2022-0</w:t>
    </w:r>
    <w:r>
      <w:rPr>
        <w:rFonts w:hint="eastAsia" w:ascii="Times New Roman" w:hAnsi="Times New Roman" w:eastAsia="隶书" w:cs="Times New Roman"/>
        <w:color w:val="auto"/>
        <w:spacing w:val="40"/>
        <w:kern w:val="2"/>
        <w:sz w:val="21"/>
        <w:lang w:val="en-US" w:eastAsia="zh-CN"/>
      </w:rPr>
      <w:t>38W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w:t>
    </w:r>
    <w:r>
      <w:rPr>
        <w:rFonts w:hint="eastAsia" w:ascii="隶书" w:hAnsi="隶书" w:eastAsia="隶书" w:cs="隶书"/>
        <w:sz w:val="24"/>
        <w:szCs w:val="24"/>
        <w:lang w:eastAsia="zh-CN"/>
      </w:rPr>
      <w:t>038</w:t>
    </w:r>
    <w:r>
      <w:rPr>
        <w:rFonts w:hint="eastAsia" w:ascii="隶书" w:hAnsi="隶书" w:eastAsia="隶书" w:cs="隶书"/>
        <w:sz w:val="24"/>
        <w:szCs w:val="24"/>
      </w:rPr>
      <w:t>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A0ED0"/>
    <w:multiLevelType w:val="singleLevel"/>
    <w:tmpl w:val="817A0ED0"/>
    <w:lvl w:ilvl="0" w:tentative="0">
      <w:start w:val="1"/>
      <w:numFmt w:val="chineseCounting"/>
      <w:suff w:val="nothing"/>
      <w:lvlText w:val="%1、"/>
      <w:lvlJc w:val="left"/>
      <w:rPr>
        <w:rFonts w:hint="eastAsia"/>
      </w:rPr>
    </w:lvl>
  </w:abstractNum>
  <w:abstractNum w:abstractNumId="1">
    <w:nsid w:val="D306E330"/>
    <w:multiLevelType w:val="singleLevel"/>
    <w:tmpl w:val="D306E330"/>
    <w:lvl w:ilvl="0" w:tentative="0">
      <w:start w:val="2"/>
      <w:numFmt w:val="chineseCounting"/>
      <w:suff w:val="nothing"/>
      <w:lvlText w:val="（%1）"/>
      <w:lvlJc w:val="left"/>
      <w:pPr>
        <w:textAlignment w:val="baseline"/>
      </w:pPr>
    </w:lvl>
  </w:abstractNum>
  <w:abstractNum w:abstractNumId="2">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5">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6">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7">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7"/>
  </w:num>
  <w:num w:numId="2">
    <w:abstractNumId w:val="2"/>
  </w:num>
  <w:num w:numId="3">
    <w:abstractNumId w:val="6"/>
  </w:num>
  <w:num w:numId="4">
    <w:abstractNumId w:val="1"/>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iZmIxY2ZiNzg0NjFkYTM1MDM1ZjljNjg4M2E1YWMifQ=="/>
  </w:docVars>
  <w:rsids>
    <w:rsidRoot w:val="00F868A9"/>
    <w:rsid w:val="00003AB4"/>
    <w:rsid w:val="00045760"/>
    <w:rsid w:val="000570EF"/>
    <w:rsid w:val="0006668D"/>
    <w:rsid w:val="0007632E"/>
    <w:rsid w:val="00091821"/>
    <w:rsid w:val="000B38C7"/>
    <w:rsid w:val="0011280D"/>
    <w:rsid w:val="00131057"/>
    <w:rsid w:val="001726A6"/>
    <w:rsid w:val="00177C98"/>
    <w:rsid w:val="001A2403"/>
    <w:rsid w:val="001D5807"/>
    <w:rsid w:val="00217C7C"/>
    <w:rsid w:val="00223C79"/>
    <w:rsid w:val="00233923"/>
    <w:rsid w:val="00241131"/>
    <w:rsid w:val="00275521"/>
    <w:rsid w:val="002800DE"/>
    <w:rsid w:val="002A07A1"/>
    <w:rsid w:val="002C41D3"/>
    <w:rsid w:val="003220F7"/>
    <w:rsid w:val="003367B6"/>
    <w:rsid w:val="00360929"/>
    <w:rsid w:val="003A223F"/>
    <w:rsid w:val="003A63FB"/>
    <w:rsid w:val="003A7ED9"/>
    <w:rsid w:val="003D4620"/>
    <w:rsid w:val="00410119"/>
    <w:rsid w:val="004112BF"/>
    <w:rsid w:val="00426342"/>
    <w:rsid w:val="004269CB"/>
    <w:rsid w:val="004521C1"/>
    <w:rsid w:val="004558DC"/>
    <w:rsid w:val="00467A1B"/>
    <w:rsid w:val="00472EDC"/>
    <w:rsid w:val="004A0482"/>
    <w:rsid w:val="004A24CE"/>
    <w:rsid w:val="004C48B9"/>
    <w:rsid w:val="004D2539"/>
    <w:rsid w:val="004D2FC9"/>
    <w:rsid w:val="004E2324"/>
    <w:rsid w:val="004F3B21"/>
    <w:rsid w:val="00503F25"/>
    <w:rsid w:val="0050794D"/>
    <w:rsid w:val="00591F49"/>
    <w:rsid w:val="005B06C2"/>
    <w:rsid w:val="005B2CFB"/>
    <w:rsid w:val="005F3329"/>
    <w:rsid w:val="00606780"/>
    <w:rsid w:val="00623144"/>
    <w:rsid w:val="006308FE"/>
    <w:rsid w:val="00637636"/>
    <w:rsid w:val="006C13AB"/>
    <w:rsid w:val="006E3A7B"/>
    <w:rsid w:val="00721560"/>
    <w:rsid w:val="00780C34"/>
    <w:rsid w:val="00791354"/>
    <w:rsid w:val="007B3E85"/>
    <w:rsid w:val="0081482D"/>
    <w:rsid w:val="00814D01"/>
    <w:rsid w:val="00860E15"/>
    <w:rsid w:val="00864D58"/>
    <w:rsid w:val="00891713"/>
    <w:rsid w:val="008C14CD"/>
    <w:rsid w:val="008D617C"/>
    <w:rsid w:val="008E3DAB"/>
    <w:rsid w:val="009069A2"/>
    <w:rsid w:val="00913371"/>
    <w:rsid w:val="009343EF"/>
    <w:rsid w:val="0097078B"/>
    <w:rsid w:val="009C11B1"/>
    <w:rsid w:val="009D0747"/>
    <w:rsid w:val="00A1183C"/>
    <w:rsid w:val="00A6255B"/>
    <w:rsid w:val="00AA7C70"/>
    <w:rsid w:val="00AE15AF"/>
    <w:rsid w:val="00AE261D"/>
    <w:rsid w:val="00AF1655"/>
    <w:rsid w:val="00AF2F44"/>
    <w:rsid w:val="00AF482F"/>
    <w:rsid w:val="00B357E1"/>
    <w:rsid w:val="00B715BD"/>
    <w:rsid w:val="00B717E6"/>
    <w:rsid w:val="00B719DD"/>
    <w:rsid w:val="00B8533E"/>
    <w:rsid w:val="00BA7076"/>
    <w:rsid w:val="00BE4AD4"/>
    <w:rsid w:val="00C05334"/>
    <w:rsid w:val="00C157C0"/>
    <w:rsid w:val="00C31CC3"/>
    <w:rsid w:val="00C945B7"/>
    <w:rsid w:val="00CB1BB5"/>
    <w:rsid w:val="00CC6812"/>
    <w:rsid w:val="00CC72B1"/>
    <w:rsid w:val="00D613B4"/>
    <w:rsid w:val="00D71667"/>
    <w:rsid w:val="00D75F94"/>
    <w:rsid w:val="00DB1A97"/>
    <w:rsid w:val="00DD536A"/>
    <w:rsid w:val="00DF61E5"/>
    <w:rsid w:val="00E24938"/>
    <w:rsid w:val="00E4006C"/>
    <w:rsid w:val="00E675DD"/>
    <w:rsid w:val="00E918E1"/>
    <w:rsid w:val="00E9328D"/>
    <w:rsid w:val="00EA1A99"/>
    <w:rsid w:val="00EA2ECC"/>
    <w:rsid w:val="00EC1238"/>
    <w:rsid w:val="00EE1E73"/>
    <w:rsid w:val="00F05A81"/>
    <w:rsid w:val="00F539A2"/>
    <w:rsid w:val="00F661FE"/>
    <w:rsid w:val="00F66810"/>
    <w:rsid w:val="00F868A9"/>
    <w:rsid w:val="00FA774C"/>
    <w:rsid w:val="00FA7AFD"/>
    <w:rsid w:val="00FD0CEF"/>
    <w:rsid w:val="00FF1275"/>
    <w:rsid w:val="00FF194A"/>
    <w:rsid w:val="00FF1E0C"/>
    <w:rsid w:val="01F86D30"/>
    <w:rsid w:val="020866C9"/>
    <w:rsid w:val="02A54946"/>
    <w:rsid w:val="031F6792"/>
    <w:rsid w:val="05E53B14"/>
    <w:rsid w:val="06AA3A95"/>
    <w:rsid w:val="077C4CBC"/>
    <w:rsid w:val="08FC324B"/>
    <w:rsid w:val="0BA17C72"/>
    <w:rsid w:val="0BE57562"/>
    <w:rsid w:val="0D7B4325"/>
    <w:rsid w:val="0E261538"/>
    <w:rsid w:val="0F5541A7"/>
    <w:rsid w:val="10837167"/>
    <w:rsid w:val="11C53F90"/>
    <w:rsid w:val="12082FD7"/>
    <w:rsid w:val="134F427F"/>
    <w:rsid w:val="1394626A"/>
    <w:rsid w:val="1395361E"/>
    <w:rsid w:val="15EB1115"/>
    <w:rsid w:val="18041C24"/>
    <w:rsid w:val="19D21F7E"/>
    <w:rsid w:val="1B2A6182"/>
    <w:rsid w:val="1B7B3068"/>
    <w:rsid w:val="1BC2228E"/>
    <w:rsid w:val="1C4A5552"/>
    <w:rsid w:val="1D0C2F27"/>
    <w:rsid w:val="1D7A2DDE"/>
    <w:rsid w:val="1DA73FC9"/>
    <w:rsid w:val="1EBA0E38"/>
    <w:rsid w:val="1F2B6305"/>
    <w:rsid w:val="20D6799C"/>
    <w:rsid w:val="21F8049E"/>
    <w:rsid w:val="230A6FF9"/>
    <w:rsid w:val="23B833C4"/>
    <w:rsid w:val="23D96B85"/>
    <w:rsid w:val="24B6415E"/>
    <w:rsid w:val="25593628"/>
    <w:rsid w:val="26435EC5"/>
    <w:rsid w:val="27C52CB5"/>
    <w:rsid w:val="284E1359"/>
    <w:rsid w:val="2EB102D0"/>
    <w:rsid w:val="2ED17DCD"/>
    <w:rsid w:val="2EFB2475"/>
    <w:rsid w:val="31176B77"/>
    <w:rsid w:val="34510903"/>
    <w:rsid w:val="346B0561"/>
    <w:rsid w:val="348876BC"/>
    <w:rsid w:val="36330438"/>
    <w:rsid w:val="3744261E"/>
    <w:rsid w:val="3872122D"/>
    <w:rsid w:val="38CF3E86"/>
    <w:rsid w:val="39755785"/>
    <w:rsid w:val="3A8C4051"/>
    <w:rsid w:val="3B5326F5"/>
    <w:rsid w:val="3BCB58D4"/>
    <w:rsid w:val="3DC2196D"/>
    <w:rsid w:val="3E0554C3"/>
    <w:rsid w:val="3E0702BE"/>
    <w:rsid w:val="3E9C353C"/>
    <w:rsid w:val="40396E60"/>
    <w:rsid w:val="404E3DFB"/>
    <w:rsid w:val="4142108B"/>
    <w:rsid w:val="42557B5A"/>
    <w:rsid w:val="468F36CE"/>
    <w:rsid w:val="477544A9"/>
    <w:rsid w:val="4B355DB5"/>
    <w:rsid w:val="4B5300A9"/>
    <w:rsid w:val="4BD72A88"/>
    <w:rsid w:val="4CDF4FD7"/>
    <w:rsid w:val="4D2F7C0C"/>
    <w:rsid w:val="4D8959A6"/>
    <w:rsid w:val="4E703810"/>
    <w:rsid w:val="4E7D03A6"/>
    <w:rsid w:val="4FEA69E5"/>
    <w:rsid w:val="53D00760"/>
    <w:rsid w:val="5B8047E9"/>
    <w:rsid w:val="5C01420A"/>
    <w:rsid w:val="5C172F4C"/>
    <w:rsid w:val="5C2B17E4"/>
    <w:rsid w:val="5D51151E"/>
    <w:rsid w:val="5E284F41"/>
    <w:rsid w:val="5EDE50B8"/>
    <w:rsid w:val="620E4996"/>
    <w:rsid w:val="622D342E"/>
    <w:rsid w:val="63483C8F"/>
    <w:rsid w:val="63704B2A"/>
    <w:rsid w:val="63E27DDC"/>
    <w:rsid w:val="66B45BC9"/>
    <w:rsid w:val="67E64767"/>
    <w:rsid w:val="681206DC"/>
    <w:rsid w:val="687674CE"/>
    <w:rsid w:val="689E2536"/>
    <w:rsid w:val="69142D6C"/>
    <w:rsid w:val="692A771C"/>
    <w:rsid w:val="6A1723AE"/>
    <w:rsid w:val="6B08451F"/>
    <w:rsid w:val="6B932704"/>
    <w:rsid w:val="6BB04F86"/>
    <w:rsid w:val="6EB62D31"/>
    <w:rsid w:val="6F370BF8"/>
    <w:rsid w:val="70416EFC"/>
    <w:rsid w:val="72BA3B44"/>
    <w:rsid w:val="73E906CA"/>
    <w:rsid w:val="741D2E7E"/>
    <w:rsid w:val="74697003"/>
    <w:rsid w:val="74A5063C"/>
    <w:rsid w:val="752F59CE"/>
    <w:rsid w:val="756048F2"/>
    <w:rsid w:val="76BE394D"/>
    <w:rsid w:val="76CB0355"/>
    <w:rsid w:val="7B036C80"/>
    <w:rsid w:val="7B2D3BB7"/>
    <w:rsid w:val="7B545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6">
    <w:name w:val="Normal Indent"/>
    <w:basedOn w:val="1"/>
    <w:qFormat/>
    <w:uiPriority w:val="0"/>
    <w:pPr>
      <w:ind w:firstLine="420"/>
    </w:p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2"/>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next w:val="3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字符"/>
    <w:link w:val="16"/>
    <w:qFormat/>
    <w:uiPriority w:val="0"/>
    <w:rPr>
      <w:kern w:val="2"/>
      <w:sz w:val="18"/>
      <w:szCs w:val="18"/>
    </w:rPr>
  </w:style>
  <w:style w:type="character" w:customStyle="1" w:styleId="77">
    <w:name w:val="页眉 字符"/>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字符"/>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23460</Words>
  <Characters>24728</Characters>
  <Lines>203</Lines>
  <Paragraphs>57</Paragraphs>
  <TotalTime>1</TotalTime>
  <ScaleCrop>false</ScaleCrop>
  <LinksUpToDate>false</LinksUpToDate>
  <CharactersWithSpaces>26891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2022-11-03T02:17:00Z</dcterms:created>
  <dc:creator>Administrator</dc:creator>
  <cp:lastModifiedBy>赵萌</cp:lastModifiedBy>
  <cp:lastPrinted>2022-10-21T01:34:00Z</cp:lastPrinted>
  <dcterms:modified xsi:type="dcterms:W3CDTF">2022-11-09T08:24:43Z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332CD0D25F31460CA44A7944C3703CDB</vt:lpwstr>
  </property>
</Properties>
</file>