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cs="宋体"/>
          <w:color w:val="auto"/>
          <w:sz w:val="36"/>
        </w:rPr>
      </w:pPr>
    </w:p>
    <w:p>
      <w:pPr>
        <w:rPr>
          <w:rFonts w:hint="eastAsia" w:ascii="宋体" w:hAnsi="宋体" w:cs="宋体"/>
          <w:color w:val="auto"/>
          <w:sz w:val="36"/>
        </w:rPr>
      </w:pPr>
    </w:p>
    <w:p>
      <w:pPr>
        <w:rPr>
          <w:rFonts w:hint="eastAsia" w:ascii="宋体" w:hAnsi="宋体" w:cs="宋体"/>
          <w:color w:val="auto"/>
          <w:sz w:val="36"/>
        </w:rPr>
      </w:pPr>
    </w:p>
    <w:p>
      <w:pPr>
        <w:rPr>
          <w:rFonts w:hint="eastAsia" w:ascii="宋体" w:hAnsi="宋体" w:cs="宋体"/>
          <w:color w:val="auto"/>
          <w:sz w:val="36"/>
        </w:rPr>
      </w:pPr>
    </w:p>
    <w:p>
      <w:pPr>
        <w:rPr>
          <w:rFonts w:hint="eastAsia" w:ascii="宋体" w:hAnsi="宋体" w:cs="宋体"/>
          <w:color w:val="auto"/>
          <w:sz w:val="36"/>
        </w:rPr>
      </w:pPr>
    </w:p>
    <w:p>
      <w:pPr>
        <w:jc w:val="center"/>
        <w:rPr>
          <w:rFonts w:hint="eastAsia" w:ascii="宋体" w:hAnsi="宋体" w:cs="宋体"/>
          <w:b/>
          <w:color w:val="auto"/>
          <w:sz w:val="84"/>
        </w:rPr>
      </w:pPr>
      <w:r>
        <w:rPr>
          <w:rFonts w:hint="eastAsia" w:ascii="宋体" w:hAnsi="宋体" w:cs="宋体"/>
          <w:b/>
          <w:color w:val="auto"/>
          <w:sz w:val="84"/>
        </w:rPr>
        <w:t>招 标 文 件</w:t>
      </w:r>
    </w:p>
    <w:p>
      <w:pPr>
        <w:rPr>
          <w:rFonts w:hint="eastAsia" w:ascii="宋体" w:hAnsi="宋体" w:cs="宋体"/>
          <w:b/>
          <w:color w:val="auto"/>
          <w:sz w:val="32"/>
        </w:rPr>
      </w:pPr>
    </w:p>
    <w:p>
      <w:pPr>
        <w:jc w:val="center"/>
        <w:rPr>
          <w:rFonts w:hint="eastAsia" w:ascii="宋体" w:hAnsi="宋体" w:cs="宋体"/>
          <w:b/>
          <w:color w:val="auto"/>
          <w:sz w:val="32"/>
        </w:rPr>
      </w:pPr>
    </w:p>
    <w:p>
      <w:pPr>
        <w:jc w:val="center"/>
        <w:rPr>
          <w:rFonts w:hint="eastAsia" w:ascii="宋体" w:hAnsi="宋体" w:cs="宋体"/>
          <w:b/>
          <w:color w:val="auto"/>
          <w:sz w:val="32"/>
        </w:rPr>
      </w:pPr>
    </w:p>
    <w:p>
      <w:pPr>
        <w:jc w:val="center"/>
        <w:rPr>
          <w:rFonts w:hint="eastAsia" w:ascii="宋体" w:hAnsi="宋体" w:cs="宋体"/>
          <w:b/>
          <w:color w:val="auto"/>
          <w:sz w:val="32"/>
        </w:rPr>
      </w:pPr>
    </w:p>
    <w:p>
      <w:pPr>
        <w:ind w:firstLine="723" w:firstLineChars="200"/>
        <w:rPr>
          <w:rFonts w:hint="eastAsia" w:ascii="宋体" w:hAnsi="宋体" w:cs="宋体"/>
          <w:b/>
          <w:color w:val="auto"/>
          <w:sz w:val="36"/>
        </w:rPr>
      </w:pPr>
      <w:r>
        <w:rPr>
          <w:rFonts w:hint="eastAsia" w:ascii="宋体" w:hAnsi="宋体" w:cs="宋体"/>
          <w:b/>
          <w:color w:val="auto"/>
          <w:sz w:val="36"/>
        </w:rPr>
        <w:t>项目编号：2021-013Q</w:t>
      </w:r>
    </w:p>
    <w:p>
      <w:pPr>
        <w:jc w:val="center"/>
        <w:rPr>
          <w:rFonts w:hint="eastAsia" w:ascii="宋体" w:hAnsi="宋体" w:cs="宋体"/>
          <w:b/>
          <w:color w:val="auto"/>
          <w:sz w:val="32"/>
        </w:rPr>
      </w:pPr>
    </w:p>
    <w:p>
      <w:pPr>
        <w:jc w:val="center"/>
        <w:rPr>
          <w:rFonts w:hint="eastAsia" w:ascii="宋体" w:hAnsi="宋体" w:cs="宋体"/>
          <w:b/>
          <w:color w:val="auto"/>
          <w:sz w:val="32"/>
        </w:rPr>
      </w:pPr>
    </w:p>
    <w:p>
      <w:pPr>
        <w:ind w:left="2525" w:leftChars="342" w:hanging="1807" w:hangingChars="500"/>
        <w:rPr>
          <w:rFonts w:hint="eastAsia" w:ascii="宋体" w:hAnsi="宋体" w:cs="宋体"/>
          <w:b/>
          <w:color w:val="auto"/>
          <w:sz w:val="36"/>
          <w:szCs w:val="36"/>
        </w:rPr>
      </w:pPr>
      <w:r>
        <w:rPr>
          <w:rFonts w:hint="eastAsia" w:ascii="宋体" w:hAnsi="宋体" w:cs="宋体"/>
          <w:b/>
          <w:color w:val="auto"/>
          <w:sz w:val="36"/>
          <w:szCs w:val="36"/>
        </w:rPr>
        <w:t>项目名称：盐城工业职业技术学院网络课程采购项目</w:t>
      </w:r>
    </w:p>
    <w:p>
      <w:pPr>
        <w:ind w:firstLine="602" w:firstLineChars="200"/>
        <w:rPr>
          <w:rFonts w:hint="eastAsia" w:ascii="宋体" w:hAnsi="宋体" w:cs="宋体"/>
          <w:b/>
          <w:color w:val="auto"/>
          <w:sz w:val="30"/>
          <w:szCs w:val="30"/>
        </w:rPr>
      </w:pPr>
    </w:p>
    <w:p>
      <w:pPr>
        <w:rPr>
          <w:rFonts w:hint="eastAsia" w:ascii="宋体" w:hAnsi="宋体" w:cs="宋体"/>
          <w:b/>
          <w:color w:val="auto"/>
          <w:sz w:val="32"/>
        </w:rPr>
      </w:pPr>
    </w:p>
    <w:p>
      <w:pPr>
        <w:rPr>
          <w:rFonts w:hint="eastAsia" w:ascii="宋体" w:hAnsi="宋体" w:cs="宋体"/>
          <w:b/>
          <w:color w:val="auto"/>
          <w:sz w:val="32"/>
        </w:rPr>
      </w:pPr>
    </w:p>
    <w:p>
      <w:pPr>
        <w:rPr>
          <w:rFonts w:hint="eastAsia" w:ascii="宋体" w:hAnsi="宋体" w:cs="宋体"/>
          <w:b/>
          <w:color w:val="auto"/>
          <w:sz w:val="32"/>
        </w:rPr>
      </w:pPr>
    </w:p>
    <w:p>
      <w:pPr>
        <w:rPr>
          <w:rFonts w:hint="eastAsia" w:ascii="宋体" w:hAnsi="宋体" w:cs="宋体"/>
          <w:b/>
          <w:color w:val="auto"/>
          <w:sz w:val="32"/>
        </w:rPr>
      </w:pPr>
    </w:p>
    <w:p>
      <w:pPr>
        <w:spacing w:line="460" w:lineRule="exact"/>
        <w:ind w:firstLine="723" w:firstLineChars="200"/>
        <w:jc w:val="center"/>
        <w:rPr>
          <w:rFonts w:hint="eastAsia" w:ascii="宋体" w:hAnsi="宋体" w:cs="宋体"/>
          <w:b/>
          <w:color w:val="auto"/>
          <w:sz w:val="36"/>
          <w:szCs w:val="36"/>
          <w:lang w:bidi="ar"/>
        </w:rPr>
      </w:pPr>
      <w:r>
        <w:rPr>
          <w:rFonts w:hint="eastAsia" w:ascii="宋体" w:hAnsi="宋体" w:cs="宋体"/>
          <w:b/>
          <w:color w:val="auto"/>
          <w:sz w:val="36"/>
          <w:szCs w:val="36"/>
          <w:lang w:bidi="ar"/>
        </w:rPr>
        <w:t>盐城工业职业技术学院</w:t>
      </w:r>
    </w:p>
    <w:p>
      <w:pPr>
        <w:spacing w:line="460" w:lineRule="exact"/>
        <w:ind w:firstLine="723" w:firstLineChars="200"/>
        <w:jc w:val="center"/>
        <w:rPr>
          <w:rFonts w:hint="eastAsia"/>
          <w:color w:val="auto"/>
        </w:rPr>
      </w:pPr>
      <w:r>
        <w:rPr>
          <w:rFonts w:hint="eastAsia" w:ascii="宋体" w:hAnsi="宋体" w:cs="宋体"/>
          <w:b/>
          <w:color w:val="auto"/>
          <w:sz w:val="36"/>
          <w:szCs w:val="36"/>
          <w:lang w:bidi="ar"/>
        </w:rPr>
        <w:t>江苏全盛工程造价事务所有限公司</w:t>
      </w:r>
    </w:p>
    <w:p>
      <w:pPr>
        <w:jc w:val="center"/>
        <w:rPr>
          <w:rFonts w:hint="eastAsia" w:ascii="宋体" w:hAnsi="宋体" w:cs="宋体"/>
          <w:b/>
          <w:color w:val="auto"/>
          <w:sz w:val="36"/>
          <w:szCs w:val="36"/>
        </w:rPr>
      </w:pPr>
      <w:r>
        <w:rPr>
          <w:rFonts w:hint="eastAsia" w:ascii="宋体" w:hAnsi="宋体" w:cs="宋体"/>
          <w:b/>
          <w:color w:val="auto"/>
          <w:sz w:val="36"/>
          <w:szCs w:val="36"/>
          <w:lang w:bidi="ar"/>
        </w:rPr>
        <w:t xml:space="preserve"> 2021年</w:t>
      </w:r>
      <w:r>
        <w:rPr>
          <w:rFonts w:hint="eastAsia" w:ascii="宋体" w:hAnsi="宋体" w:cs="宋体"/>
          <w:b/>
          <w:color w:val="auto"/>
          <w:sz w:val="36"/>
          <w:szCs w:val="36"/>
          <w:lang w:val="en-US" w:eastAsia="zh-CN" w:bidi="ar"/>
        </w:rPr>
        <w:t>7</w:t>
      </w:r>
      <w:r>
        <w:rPr>
          <w:rFonts w:hint="eastAsia" w:ascii="宋体" w:hAnsi="宋体" w:cs="宋体"/>
          <w:b/>
          <w:color w:val="auto"/>
          <w:sz w:val="36"/>
          <w:szCs w:val="36"/>
          <w:lang w:bidi="ar"/>
        </w:rPr>
        <w:t xml:space="preserve">月 </w:t>
      </w:r>
      <w:r>
        <w:rPr>
          <w:rFonts w:hint="eastAsia" w:ascii="宋体" w:hAnsi="宋体" w:cs="宋体"/>
          <w:b/>
          <w:color w:val="auto"/>
          <w:sz w:val="36"/>
          <w:szCs w:val="36"/>
          <w:lang w:val="en-US" w:eastAsia="zh-CN" w:bidi="ar"/>
        </w:rPr>
        <w:t>14</w:t>
      </w:r>
      <w:r>
        <w:rPr>
          <w:rFonts w:hint="eastAsia" w:ascii="宋体" w:hAnsi="宋体" w:cs="宋体"/>
          <w:b/>
          <w:color w:val="auto"/>
          <w:sz w:val="36"/>
          <w:szCs w:val="36"/>
          <w:lang w:bidi="ar"/>
        </w:rPr>
        <w:t xml:space="preserve"> 日</w:t>
      </w:r>
    </w:p>
    <w:p>
      <w:pPr>
        <w:spacing w:line="480" w:lineRule="auto"/>
        <w:jc w:val="center"/>
        <w:outlineLvl w:val="0"/>
        <w:rPr>
          <w:rFonts w:hint="eastAsia" w:ascii="宋体" w:hAnsi="宋体" w:cs="宋体"/>
          <w:color w:val="auto"/>
        </w:rPr>
      </w:pPr>
      <w:r>
        <w:rPr>
          <w:rFonts w:hint="eastAsia" w:ascii="宋体" w:hAnsi="宋体" w:cs="宋体"/>
          <w:b/>
          <w:color w:val="auto"/>
        </w:rPr>
        <w:br w:type="page"/>
      </w:r>
      <w:bookmarkStart w:id="0" w:name="_Toc120614210"/>
      <w:bookmarkStart w:id="1" w:name="_Toc523127445"/>
      <w:bookmarkStart w:id="2" w:name="_Toc16938516"/>
      <w:bookmarkStart w:id="3" w:name="_Toc20823272"/>
      <w:bookmarkStart w:id="4" w:name="_Toc479757206"/>
      <w:bookmarkStart w:id="5" w:name="_Toc513029200"/>
    </w:p>
    <w:p>
      <w:pPr>
        <w:spacing w:line="480" w:lineRule="auto"/>
        <w:jc w:val="center"/>
        <w:outlineLvl w:val="0"/>
        <w:rPr>
          <w:rFonts w:hint="eastAsia" w:ascii="宋体" w:hAnsi="宋体" w:cs="宋体"/>
          <w:b/>
          <w:color w:val="auto"/>
          <w:sz w:val="44"/>
        </w:rPr>
      </w:pPr>
      <w:r>
        <w:rPr>
          <w:rFonts w:hint="eastAsia" w:ascii="宋体" w:hAnsi="宋体" w:cs="宋体"/>
          <w:b/>
          <w:color w:val="auto"/>
          <w:sz w:val="44"/>
        </w:rPr>
        <w:t>总  目  录</w:t>
      </w:r>
    </w:p>
    <w:p>
      <w:pPr>
        <w:spacing w:line="480" w:lineRule="auto"/>
        <w:rPr>
          <w:rFonts w:hint="eastAsia" w:ascii="宋体" w:hAnsi="宋体" w:cs="宋体"/>
          <w:b/>
          <w:color w:val="auto"/>
          <w:sz w:val="28"/>
        </w:rPr>
      </w:pPr>
    </w:p>
    <w:p>
      <w:pPr>
        <w:numPr>
          <w:ilvl w:val="0"/>
          <w:numId w:val="4"/>
        </w:numPr>
        <w:spacing w:line="480" w:lineRule="auto"/>
        <w:outlineLvl w:val="0"/>
        <w:rPr>
          <w:rFonts w:hint="eastAsia" w:ascii="宋体" w:hAnsi="宋体" w:cs="宋体"/>
          <w:color w:val="auto"/>
          <w:sz w:val="32"/>
        </w:rPr>
      </w:pPr>
      <w:r>
        <w:rPr>
          <w:rFonts w:hint="eastAsia" w:ascii="宋体" w:hAnsi="宋体" w:cs="宋体"/>
          <w:color w:val="auto"/>
          <w:sz w:val="36"/>
        </w:rPr>
        <w:t xml:space="preserve">招标公告…………………………………… </w:t>
      </w:r>
    </w:p>
    <w:p>
      <w:pPr>
        <w:numPr>
          <w:ilvl w:val="0"/>
          <w:numId w:val="4"/>
        </w:numPr>
        <w:spacing w:line="480" w:lineRule="auto"/>
        <w:outlineLvl w:val="0"/>
        <w:rPr>
          <w:rFonts w:hint="eastAsia" w:ascii="宋体" w:hAnsi="宋体" w:cs="宋体"/>
          <w:color w:val="auto"/>
          <w:sz w:val="36"/>
        </w:rPr>
      </w:pPr>
      <w:r>
        <w:rPr>
          <w:rFonts w:hint="eastAsia" w:ascii="宋体" w:hAnsi="宋体" w:cs="宋体"/>
          <w:bCs/>
          <w:color w:val="auto"/>
          <w:sz w:val="36"/>
          <w:szCs w:val="36"/>
        </w:rPr>
        <w:t>投标人须知</w:t>
      </w:r>
      <w:r>
        <w:rPr>
          <w:rFonts w:hint="eastAsia" w:ascii="宋体" w:hAnsi="宋体" w:cs="宋体"/>
          <w:color w:val="auto"/>
          <w:sz w:val="36"/>
          <w:szCs w:val="36"/>
        </w:rPr>
        <w:t>…</w:t>
      </w:r>
      <w:r>
        <w:rPr>
          <w:rFonts w:hint="eastAsia" w:ascii="宋体" w:hAnsi="宋体" w:cs="宋体"/>
          <w:color w:val="auto"/>
          <w:sz w:val="36"/>
        </w:rPr>
        <w:t xml:space="preserve">………………………………  </w:t>
      </w:r>
    </w:p>
    <w:p>
      <w:pPr>
        <w:numPr>
          <w:ilvl w:val="0"/>
          <w:numId w:val="4"/>
        </w:numPr>
        <w:spacing w:line="480" w:lineRule="auto"/>
        <w:outlineLvl w:val="0"/>
        <w:rPr>
          <w:rFonts w:hint="eastAsia" w:ascii="宋体" w:hAnsi="宋体" w:cs="宋体"/>
          <w:color w:val="auto"/>
          <w:sz w:val="36"/>
        </w:rPr>
      </w:pPr>
      <w:r>
        <w:rPr>
          <w:rFonts w:hint="eastAsia" w:ascii="宋体" w:hAnsi="宋体" w:cs="宋体"/>
          <w:color w:val="auto"/>
          <w:sz w:val="36"/>
        </w:rPr>
        <w:t>合同条款及格式……………………………</w:t>
      </w:r>
    </w:p>
    <w:p>
      <w:pPr>
        <w:numPr>
          <w:ilvl w:val="0"/>
          <w:numId w:val="4"/>
        </w:numPr>
        <w:spacing w:line="480" w:lineRule="auto"/>
        <w:outlineLvl w:val="0"/>
        <w:rPr>
          <w:rFonts w:hint="eastAsia" w:ascii="宋体" w:hAnsi="宋体" w:cs="宋体"/>
          <w:color w:val="auto"/>
          <w:sz w:val="36"/>
        </w:rPr>
      </w:pPr>
      <w:r>
        <w:rPr>
          <w:rFonts w:hint="eastAsia" w:ascii="宋体" w:hAnsi="宋体" w:cs="宋体"/>
          <w:color w:val="auto"/>
          <w:sz w:val="36"/>
        </w:rPr>
        <w:t>项目需求……………………………………</w:t>
      </w:r>
    </w:p>
    <w:p>
      <w:pPr>
        <w:numPr>
          <w:ilvl w:val="0"/>
          <w:numId w:val="4"/>
        </w:numPr>
        <w:spacing w:line="480" w:lineRule="auto"/>
        <w:outlineLvl w:val="0"/>
        <w:rPr>
          <w:rFonts w:hint="eastAsia" w:ascii="宋体" w:hAnsi="宋体" w:cs="宋体"/>
          <w:color w:val="auto"/>
          <w:sz w:val="36"/>
        </w:rPr>
      </w:pPr>
      <w:r>
        <w:rPr>
          <w:rFonts w:hint="eastAsia" w:ascii="宋体" w:hAnsi="宋体" w:cs="宋体"/>
          <w:bCs/>
          <w:color w:val="auto"/>
          <w:sz w:val="36"/>
          <w:szCs w:val="36"/>
        </w:rPr>
        <w:t>评标方法与评标标准</w:t>
      </w:r>
      <w:r>
        <w:rPr>
          <w:rFonts w:hint="eastAsia" w:ascii="宋体" w:hAnsi="宋体" w:cs="宋体"/>
          <w:color w:val="auto"/>
          <w:sz w:val="36"/>
        </w:rPr>
        <w:t>………………………</w:t>
      </w:r>
    </w:p>
    <w:p>
      <w:pPr>
        <w:numPr>
          <w:ilvl w:val="0"/>
          <w:numId w:val="4"/>
        </w:numPr>
        <w:spacing w:line="480" w:lineRule="auto"/>
        <w:outlineLvl w:val="0"/>
        <w:rPr>
          <w:rFonts w:hint="eastAsia" w:ascii="宋体" w:hAnsi="宋体" w:cs="宋体"/>
          <w:color w:val="auto"/>
          <w:sz w:val="36"/>
        </w:rPr>
      </w:pPr>
      <w:r>
        <w:rPr>
          <w:rFonts w:hint="eastAsia" w:ascii="宋体" w:hAnsi="宋体" w:cs="宋体"/>
          <w:color w:val="auto"/>
          <w:sz w:val="36"/>
        </w:rPr>
        <w:t>投标文件格式………………………………</w:t>
      </w:r>
    </w:p>
    <w:p>
      <w:pPr>
        <w:pStyle w:val="3"/>
        <w:rPr>
          <w:rFonts w:hint="eastAsia" w:ascii="宋体" w:hAnsi="宋体" w:eastAsia="宋体" w:cs="宋体"/>
          <w:bCs/>
          <w:color w:val="auto"/>
          <w:sz w:val="44"/>
        </w:rPr>
      </w:pPr>
    </w:p>
    <w:p>
      <w:pPr>
        <w:pStyle w:val="3"/>
        <w:rPr>
          <w:rFonts w:hint="eastAsia" w:ascii="宋体" w:hAnsi="宋体" w:eastAsia="宋体" w:cs="宋体"/>
          <w:bCs/>
          <w:color w:val="auto"/>
          <w:sz w:val="44"/>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jc w:val="cente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pStyle w:val="3"/>
        <w:jc w:val="both"/>
        <w:rPr>
          <w:rFonts w:hint="eastAsia" w:ascii="宋体" w:hAnsi="宋体" w:eastAsia="宋体" w:cs="宋体"/>
          <w:color w:val="auto"/>
          <w:sz w:val="21"/>
          <w:szCs w:val="21"/>
        </w:rPr>
      </w:pPr>
    </w:p>
    <w:p>
      <w:pPr>
        <w:rPr>
          <w:rFonts w:hint="eastAsia" w:ascii="宋体" w:hAnsi="宋体" w:cs="宋体"/>
          <w:color w:val="auto"/>
        </w:rPr>
      </w:pPr>
    </w:p>
    <w:p>
      <w:pPr>
        <w:rPr>
          <w:rFonts w:hint="eastAsia" w:ascii="宋体" w:hAnsi="宋体" w:cs="宋体"/>
          <w:color w:val="auto"/>
        </w:rPr>
      </w:pPr>
    </w:p>
    <w:p>
      <w:pPr>
        <w:pStyle w:val="3"/>
        <w:rPr>
          <w:rFonts w:hint="eastAsia" w:ascii="宋体" w:hAnsi="宋体" w:eastAsia="宋体" w:cs="宋体"/>
          <w:b/>
          <w:bCs/>
          <w:color w:val="auto"/>
          <w:sz w:val="44"/>
          <w:szCs w:val="44"/>
        </w:rPr>
      </w:pPr>
      <w:r>
        <w:rPr>
          <w:rFonts w:hint="eastAsia" w:ascii="宋体" w:hAnsi="宋体" w:eastAsia="宋体" w:cs="宋体"/>
          <w:b/>
          <w:bCs/>
          <w:color w:val="auto"/>
          <w:sz w:val="44"/>
          <w:szCs w:val="44"/>
        </w:rPr>
        <w:t xml:space="preserve">第一章  </w:t>
      </w:r>
      <w:bookmarkEnd w:id="0"/>
      <w:r>
        <w:rPr>
          <w:rFonts w:hint="eastAsia" w:ascii="宋体" w:hAnsi="宋体" w:eastAsia="宋体" w:cs="宋体"/>
          <w:b/>
          <w:bCs/>
          <w:color w:val="auto"/>
          <w:sz w:val="44"/>
          <w:szCs w:val="44"/>
        </w:rPr>
        <w:t>招标公告</w:t>
      </w:r>
    </w:p>
    <w:p>
      <w:pPr>
        <w:pStyle w:val="3"/>
        <w:tabs>
          <w:tab w:val="left" w:pos="0"/>
          <w:tab w:val="left" w:pos="3165"/>
          <w:tab w:val="center" w:pos="4153"/>
        </w:tabs>
        <w:autoSpaceDE w:val="0"/>
        <w:autoSpaceDN w:val="0"/>
        <w:adjustRightInd w:val="0"/>
        <w:spacing w:line="360" w:lineRule="auto"/>
        <w:rPr>
          <w:rFonts w:hint="eastAsia" w:ascii="宋体" w:hAnsi="宋体" w:eastAsia="宋体" w:cs="宋体"/>
          <w:b/>
          <w:bCs/>
          <w:color w:val="auto"/>
        </w:rPr>
      </w:pPr>
      <w:bookmarkStart w:id="6" w:name="_Toc28359001"/>
      <w:bookmarkStart w:id="7" w:name="_Toc35393789"/>
      <w:r>
        <w:rPr>
          <w:rFonts w:hint="eastAsia" w:ascii="宋体" w:hAnsi="宋体" w:eastAsia="宋体" w:cs="宋体"/>
          <w:b/>
          <w:bCs/>
          <w:color w:val="auto"/>
        </w:rPr>
        <w:t>盐城工业职业技术学院网络课程采购项目招标公告</w:t>
      </w:r>
      <w:bookmarkEnd w:id="6"/>
      <w:bookmarkEnd w:id="7"/>
    </w:p>
    <w:p>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项目概况</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u w:val="single"/>
        </w:rPr>
        <w:t>盐城工业职业技术学院网络课程采购项目</w:t>
      </w:r>
      <w:r>
        <w:rPr>
          <w:rFonts w:hint="eastAsia" w:ascii="宋体" w:hAnsi="宋体" w:cs="宋体"/>
          <w:bCs/>
          <w:color w:val="auto"/>
          <w:sz w:val="24"/>
          <w:szCs w:val="24"/>
        </w:rPr>
        <w:t>的潜在投标人应在</w:t>
      </w:r>
      <w:r>
        <w:rPr>
          <w:rFonts w:hint="eastAsia" w:ascii="宋体" w:hAnsi="宋体" w:cs="宋体"/>
          <w:bCs/>
          <w:color w:val="auto"/>
          <w:sz w:val="24"/>
          <w:szCs w:val="24"/>
          <w:u w:val="single"/>
        </w:rPr>
        <w:t>盐城市政府采购网和盐城工业职业技术学院招标采购网</w:t>
      </w:r>
      <w:r>
        <w:rPr>
          <w:rFonts w:hint="eastAsia" w:ascii="宋体" w:hAnsi="宋体" w:cs="宋体"/>
          <w:bCs/>
          <w:color w:val="auto"/>
          <w:sz w:val="24"/>
          <w:szCs w:val="24"/>
        </w:rPr>
        <w:t>获</w:t>
      </w:r>
      <w:r>
        <w:rPr>
          <w:rFonts w:hint="eastAsia" w:ascii="宋体" w:hAnsi="宋体" w:cs="宋体"/>
          <w:color w:val="auto"/>
          <w:sz w:val="24"/>
          <w:szCs w:val="24"/>
        </w:rPr>
        <w:t>取招标文件，并于</w:t>
      </w:r>
      <w:r>
        <w:rPr>
          <w:rFonts w:hint="eastAsia" w:ascii="宋体" w:hAnsi="宋体" w:cs="宋体"/>
          <w:color w:val="auto"/>
          <w:sz w:val="24"/>
          <w:szCs w:val="24"/>
          <w:u w:val="single"/>
        </w:rPr>
        <w:t>2021</w:t>
      </w:r>
      <w:r>
        <w:rPr>
          <w:rFonts w:hint="eastAsia" w:ascii="宋体" w:hAnsi="宋体" w:cs="宋体"/>
          <w:bCs/>
          <w:color w:val="auto"/>
          <w:sz w:val="24"/>
          <w:szCs w:val="24"/>
          <w:u w:val="single"/>
        </w:rPr>
        <w:t>年</w:t>
      </w:r>
      <w:r>
        <w:rPr>
          <w:rFonts w:hint="eastAsia" w:ascii="宋体" w:hAnsi="宋体" w:cs="宋体"/>
          <w:bCs/>
          <w:color w:val="auto"/>
          <w:sz w:val="24"/>
          <w:szCs w:val="24"/>
          <w:u w:val="single"/>
          <w:lang w:val="en-US" w:eastAsia="zh-CN"/>
        </w:rPr>
        <w:t>8</w:t>
      </w:r>
      <w:r>
        <w:rPr>
          <w:rFonts w:hint="eastAsia" w:ascii="宋体" w:hAnsi="宋体" w:cs="宋体"/>
          <w:bCs/>
          <w:color w:val="auto"/>
          <w:sz w:val="24"/>
          <w:szCs w:val="24"/>
          <w:u w:val="single"/>
        </w:rPr>
        <w:t xml:space="preserve">月 </w:t>
      </w:r>
      <w:r>
        <w:rPr>
          <w:rFonts w:hint="eastAsia" w:ascii="宋体" w:hAnsi="宋体" w:cs="宋体"/>
          <w:bCs/>
          <w:color w:val="auto"/>
          <w:sz w:val="24"/>
          <w:szCs w:val="24"/>
          <w:u w:val="single"/>
          <w:lang w:val="en-US" w:eastAsia="zh-CN"/>
        </w:rPr>
        <w:t>4</w:t>
      </w:r>
      <w:r>
        <w:rPr>
          <w:rFonts w:hint="eastAsia" w:ascii="宋体" w:hAnsi="宋体" w:cs="宋体"/>
          <w:bCs/>
          <w:color w:val="auto"/>
          <w:sz w:val="24"/>
          <w:szCs w:val="24"/>
          <w:u w:val="single"/>
        </w:rPr>
        <w:t xml:space="preserve"> 日9点00分（</w:t>
      </w:r>
      <w:r>
        <w:rPr>
          <w:rFonts w:hint="eastAsia" w:ascii="宋体" w:hAnsi="宋体" w:cs="宋体"/>
          <w:bCs/>
          <w:color w:val="auto"/>
          <w:sz w:val="24"/>
          <w:szCs w:val="24"/>
        </w:rPr>
        <w:t>北京时间）前递交投标文件</w:t>
      </w:r>
      <w:r>
        <w:rPr>
          <w:rFonts w:hint="eastAsia" w:ascii="宋体" w:hAnsi="宋体" w:cs="宋体"/>
          <w:color w:val="auto"/>
          <w:sz w:val="24"/>
          <w:szCs w:val="24"/>
        </w:rPr>
        <w:t>。</w:t>
      </w:r>
    </w:p>
    <w:p>
      <w:pPr>
        <w:spacing w:line="460" w:lineRule="exact"/>
        <w:rPr>
          <w:rFonts w:hint="eastAsia" w:ascii="宋体" w:hAnsi="宋体" w:cs="宋体"/>
          <w:color w:val="auto"/>
          <w:sz w:val="24"/>
          <w:szCs w:val="24"/>
        </w:rPr>
      </w:pPr>
    </w:p>
    <w:p>
      <w:pPr>
        <w:pStyle w:val="3"/>
        <w:tabs>
          <w:tab w:val="left" w:pos="0"/>
          <w:tab w:val="left" w:pos="3165"/>
          <w:tab w:val="center" w:pos="4153"/>
        </w:tabs>
        <w:autoSpaceDE w:val="0"/>
        <w:autoSpaceDN w:val="0"/>
        <w:adjustRightInd w:val="0"/>
        <w:spacing w:line="460" w:lineRule="exact"/>
        <w:jc w:val="left"/>
        <w:rPr>
          <w:rFonts w:hint="eastAsia" w:ascii="宋体" w:hAnsi="宋体" w:eastAsia="宋体" w:cs="宋体"/>
          <w:b/>
          <w:bCs/>
          <w:color w:val="auto"/>
          <w:sz w:val="24"/>
          <w:szCs w:val="24"/>
        </w:rPr>
      </w:pPr>
      <w:bookmarkStart w:id="8" w:name="_Toc28359002"/>
      <w:bookmarkStart w:id="9" w:name="_Toc35393790"/>
      <w:bookmarkStart w:id="10" w:name="_Toc35393621"/>
      <w:bookmarkStart w:id="11" w:name="_Toc28359079"/>
      <w:bookmarkStart w:id="12" w:name="_Hlk24379207"/>
      <w:r>
        <w:rPr>
          <w:rFonts w:hint="eastAsia" w:ascii="宋体" w:hAnsi="宋体" w:eastAsia="宋体" w:cs="宋体"/>
          <w:b/>
          <w:bCs/>
          <w:color w:val="auto"/>
          <w:sz w:val="24"/>
          <w:szCs w:val="24"/>
        </w:rPr>
        <w:t>一、项目基本情况</w:t>
      </w:r>
      <w:bookmarkEnd w:id="8"/>
      <w:bookmarkEnd w:id="9"/>
      <w:bookmarkEnd w:id="10"/>
      <w:bookmarkEnd w:id="11"/>
    </w:p>
    <w:p>
      <w:pPr>
        <w:spacing w:line="46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rPr>
        <w:t>项目编号：</w:t>
      </w:r>
      <w:r>
        <w:rPr>
          <w:rFonts w:hint="eastAsia" w:ascii="宋体" w:hAnsi="宋体" w:cs="宋体"/>
          <w:color w:val="auto"/>
          <w:sz w:val="24"/>
          <w:szCs w:val="24"/>
          <w:u w:val="single"/>
          <w:lang w:bidi="ar"/>
        </w:rPr>
        <w:t>2021-013Q</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bCs/>
          <w:color w:val="auto"/>
          <w:sz w:val="24"/>
          <w:szCs w:val="24"/>
          <w:u w:val="single"/>
        </w:rPr>
        <w:t>盐城工业职业技术学院网络课程采购项目</w:t>
      </w:r>
    </w:p>
    <w:bookmarkEnd w:id="12"/>
    <w:p>
      <w:pPr>
        <w:pStyle w:val="40"/>
        <w:spacing w:before="0" w:beforeAutospacing="0" w:after="0" w:afterAutospacing="0"/>
        <w:ind w:firstLine="480" w:firstLineChars="200"/>
        <w:rPr>
          <w:rFonts w:hint="eastAsia"/>
          <w:color w:val="auto"/>
          <w:u w:val="single"/>
        </w:rPr>
      </w:pPr>
      <w:r>
        <w:rPr>
          <w:rFonts w:hint="eastAsia"/>
          <w:color w:val="auto"/>
        </w:rPr>
        <w:t>预算金额：</w:t>
      </w:r>
      <w:r>
        <w:rPr>
          <w:rFonts w:hint="eastAsia"/>
          <w:color w:val="auto"/>
          <w:kern w:val="2"/>
          <w:u w:val="single"/>
        </w:rPr>
        <w:t>15万元/年（3年共计45万元）。</w:t>
      </w:r>
    </w:p>
    <w:p>
      <w:pPr>
        <w:tabs>
          <w:tab w:val="left" w:pos="900"/>
        </w:tabs>
        <w:spacing w:line="44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rPr>
        <w:t>最高限价：</w:t>
      </w:r>
      <w:r>
        <w:rPr>
          <w:rFonts w:hint="eastAsia" w:ascii="宋体" w:hAnsi="宋体" w:cs="宋体"/>
          <w:color w:val="auto"/>
          <w:sz w:val="24"/>
          <w:szCs w:val="24"/>
          <w:u w:val="single"/>
        </w:rPr>
        <w:t>人民币15万元/年（3年共计45万元）。投标人的投标报价不得超过最高限价。</w:t>
      </w:r>
    </w:p>
    <w:p>
      <w:pPr>
        <w:pStyle w:val="40"/>
        <w:spacing w:before="0" w:beforeAutospacing="0" w:after="0" w:afterAutospacing="0"/>
        <w:ind w:firstLine="480" w:firstLineChars="200"/>
        <w:rPr>
          <w:rFonts w:hint="eastAsia"/>
          <w:color w:val="auto"/>
          <w:u w:val="single"/>
        </w:rPr>
      </w:pPr>
      <w:r>
        <w:rPr>
          <w:rFonts w:hint="eastAsia"/>
          <w:color w:val="auto"/>
        </w:rPr>
        <w:t>采购需求：</w:t>
      </w:r>
      <w:r>
        <w:rPr>
          <w:rFonts w:hint="eastAsia"/>
          <w:color w:val="auto"/>
          <w:u w:val="single"/>
        </w:rPr>
        <w:t>具体内容及要求详见项目需求，招标人保留适当变更的权利。</w:t>
      </w:r>
    </w:p>
    <w:p>
      <w:pPr>
        <w:pStyle w:val="40"/>
        <w:spacing w:before="0" w:beforeAutospacing="0" w:after="0" w:afterAutospacing="0"/>
        <w:ind w:firstLine="480" w:firstLineChars="200"/>
        <w:rPr>
          <w:rFonts w:hint="eastAsia"/>
          <w:color w:val="auto"/>
        </w:rPr>
      </w:pPr>
      <w:r>
        <w:rPr>
          <w:rFonts w:hint="eastAsia"/>
          <w:color w:val="auto"/>
        </w:rPr>
        <w:t>合同履行期限：</w:t>
      </w:r>
      <w:r>
        <w:rPr>
          <w:rFonts w:hint="eastAsia"/>
          <w:color w:val="auto"/>
          <w:u w:val="single"/>
        </w:rPr>
        <w:t>本项目委托服务期为三年。</w:t>
      </w:r>
      <w:r>
        <w:rPr>
          <w:rFonts w:hint="eastAsia"/>
          <w:color w:val="auto"/>
          <w:sz w:val="28"/>
          <w:szCs w:val="28"/>
          <w:u w:val="single"/>
        </w:rPr>
        <w:t>服</w:t>
      </w:r>
      <w:r>
        <w:rPr>
          <w:rFonts w:hint="eastAsia"/>
          <w:color w:val="auto"/>
          <w:kern w:val="2"/>
          <w:u w:val="single"/>
        </w:rPr>
        <w:t>务期从2021年9月选课开始，到2024年7月结课以后。</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本项目</w:t>
      </w:r>
      <w:r>
        <w:rPr>
          <w:rFonts w:hint="eastAsia" w:ascii="宋体" w:hAnsi="宋体" w:cs="宋体"/>
          <w:color w:val="auto"/>
          <w:sz w:val="24"/>
          <w:szCs w:val="24"/>
          <w:u w:val="single"/>
        </w:rPr>
        <w:t>不接受</w:t>
      </w:r>
      <w:r>
        <w:rPr>
          <w:rFonts w:hint="eastAsia" w:ascii="宋体" w:hAnsi="宋体" w:cs="宋体"/>
          <w:color w:val="auto"/>
          <w:sz w:val="24"/>
          <w:szCs w:val="24"/>
        </w:rPr>
        <w:t>联合体投标。</w:t>
      </w:r>
      <w:bookmarkStart w:id="13" w:name="_Toc28359003"/>
      <w:bookmarkStart w:id="14" w:name="_Toc35393622"/>
      <w:bookmarkStart w:id="15" w:name="_Toc28359080"/>
      <w:bookmarkStart w:id="16" w:name="_Toc35393791"/>
      <w:bookmarkStart w:id="17" w:name="_Toc35393623"/>
      <w:bookmarkStart w:id="18" w:name="_Toc35393792"/>
      <w:bookmarkStart w:id="19" w:name="_Toc28359004"/>
      <w:bookmarkStart w:id="20" w:name="_Toc28359081"/>
    </w:p>
    <w:bookmarkEnd w:id="13"/>
    <w:bookmarkEnd w:id="14"/>
    <w:bookmarkEnd w:id="15"/>
    <w:bookmarkEnd w:id="16"/>
    <w:p>
      <w:pPr>
        <w:spacing w:line="460" w:lineRule="exact"/>
        <w:rPr>
          <w:rFonts w:hint="eastAsia" w:ascii="宋体" w:hAnsi="宋体" w:cs="宋体"/>
          <w:b/>
          <w:bCs/>
          <w:color w:val="auto"/>
          <w:sz w:val="24"/>
          <w:szCs w:val="24"/>
        </w:rPr>
      </w:pPr>
      <w:r>
        <w:rPr>
          <w:rFonts w:hint="eastAsia" w:ascii="宋体" w:hAnsi="宋体" w:cs="宋体"/>
          <w:b/>
          <w:bCs/>
          <w:color w:val="auto"/>
          <w:sz w:val="24"/>
          <w:szCs w:val="24"/>
        </w:rPr>
        <w:t>二、申请人的资格要求：</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1.满足《中华人民共和国政府采购法》第二十二条规定，并提供下列材料；</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（1）法人或者其他组织的营业执照等证明文件，自然人的身份证明；</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（2）上一年度的财务报表（成立不满一年不需提供）；（2020年度财务报表）</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（3）依法缴纳税收和社会保障资金的相关材料；（提供参加本次采购活动2020年9月-2021年5月（至少一个月）依法缴纳税收和社会保障资金的相关材料。）</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（4）具备履行合同所必需的设备和专业技术能力的书面声明；</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（5）参加政府采购活动前3年内在经营活动中没有重大违法记录的书面声明；</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2.落实政府采购政策需满足的资格要求：/。</w:t>
      </w:r>
    </w:p>
    <w:bookmarkEnd w:id="17"/>
    <w:bookmarkEnd w:id="18"/>
    <w:bookmarkEnd w:id="19"/>
    <w:bookmarkEnd w:id="20"/>
    <w:p>
      <w:pPr>
        <w:spacing w:line="460" w:lineRule="exact"/>
        <w:ind w:firstLine="480" w:firstLineChars="200"/>
        <w:rPr>
          <w:rFonts w:hint="eastAsia" w:ascii="宋体" w:hAnsi="宋体" w:cs="宋体"/>
          <w:color w:val="auto"/>
          <w:sz w:val="24"/>
          <w:szCs w:val="24"/>
        </w:rPr>
      </w:pPr>
      <w:bookmarkStart w:id="21" w:name="_Toc28359082"/>
      <w:bookmarkStart w:id="22" w:name="_Toc28359005"/>
      <w:bookmarkStart w:id="23" w:name="_Toc35393793"/>
      <w:bookmarkStart w:id="24" w:name="_Toc35393624"/>
      <w:r>
        <w:rPr>
          <w:rFonts w:hint="eastAsia" w:ascii="宋体" w:hAnsi="宋体" w:cs="宋体"/>
          <w:color w:val="auto"/>
          <w:sz w:val="24"/>
          <w:szCs w:val="24"/>
        </w:rPr>
        <w:t>3.本项目的特定资格要求：</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（1）未被“信用中国”网站（www.creditchina.gov.cn）列入失信被执行人、重大税收违法案件当事人名单、政府采购严重失信行为记录名单。</w:t>
      </w:r>
    </w:p>
    <w:p>
      <w:pPr>
        <w:spacing w:line="460" w:lineRule="exact"/>
        <w:ind w:firstLine="480" w:firstLineChars="200"/>
        <w:rPr>
          <w:rFonts w:hint="eastAsia" w:ascii="宋体" w:hAnsi="宋体" w:cs="宋体"/>
          <w:b/>
          <w:bCs/>
          <w:color w:val="auto"/>
          <w:sz w:val="24"/>
          <w:szCs w:val="24"/>
        </w:rPr>
      </w:pPr>
      <w:r>
        <w:rPr>
          <w:rFonts w:hint="eastAsia" w:ascii="宋体" w:hAnsi="宋体" w:cs="宋体"/>
          <w:color w:val="auto"/>
          <w:sz w:val="24"/>
          <w:szCs w:val="24"/>
        </w:rPr>
        <w:t>（2）单位负责人为同一人或者存在直接控股、管理关系的不同供应商，不得参加同一合同项下的政府采购活动。</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三、获取招标文件</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时间：自公告之日起至投标截止时间前1日</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地点：盐城市政府采购网和盐城工业职业技术学院招标采购网</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方式：符合资格要求的投标人可自行下载采购文件，采购文件见盐城市政府采购网和盐城工业职业技术学院招标采购网本公告附件。</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售价：人民币500元在开标现场现金交纳。</w:t>
      </w:r>
    </w:p>
    <w:p>
      <w:pPr>
        <w:pStyle w:val="3"/>
        <w:tabs>
          <w:tab w:val="left" w:pos="0"/>
          <w:tab w:val="left" w:pos="3165"/>
          <w:tab w:val="center" w:pos="4153"/>
        </w:tabs>
        <w:autoSpaceDE w:val="0"/>
        <w:autoSpaceDN w:val="0"/>
        <w:adjustRightInd w:val="0"/>
        <w:spacing w:line="46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四、提交投标文件</w:t>
      </w:r>
      <w:bookmarkEnd w:id="21"/>
      <w:bookmarkEnd w:id="22"/>
      <w:r>
        <w:rPr>
          <w:rFonts w:hint="eastAsia" w:ascii="宋体" w:hAnsi="宋体" w:eastAsia="宋体" w:cs="宋体"/>
          <w:b/>
          <w:bCs/>
          <w:color w:val="auto"/>
          <w:sz w:val="24"/>
          <w:szCs w:val="24"/>
        </w:rPr>
        <w:t>截止时间、开标时间和地点</w:t>
      </w:r>
      <w:bookmarkEnd w:id="23"/>
      <w:bookmarkEnd w:id="24"/>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2021</w:t>
      </w:r>
      <w:r>
        <w:rPr>
          <w:rFonts w:hint="eastAsia" w:ascii="宋体" w:hAnsi="宋体" w:cs="宋体"/>
          <w:bCs/>
          <w:color w:val="auto"/>
          <w:sz w:val="24"/>
          <w:szCs w:val="24"/>
          <w:u w:val="single"/>
        </w:rPr>
        <w:t>年</w:t>
      </w:r>
      <w:r>
        <w:rPr>
          <w:rFonts w:hint="eastAsia" w:ascii="宋体" w:hAnsi="宋体" w:cs="宋体"/>
          <w:bCs/>
          <w:color w:val="auto"/>
          <w:sz w:val="24"/>
          <w:szCs w:val="24"/>
          <w:u w:val="single"/>
          <w:lang w:val="en-US" w:eastAsia="zh-CN"/>
        </w:rPr>
        <w:t>8</w:t>
      </w:r>
      <w:r>
        <w:rPr>
          <w:rFonts w:hint="eastAsia" w:ascii="宋体" w:hAnsi="宋体" w:cs="宋体"/>
          <w:bCs/>
          <w:color w:val="auto"/>
          <w:sz w:val="24"/>
          <w:szCs w:val="24"/>
          <w:u w:val="single"/>
        </w:rPr>
        <w:t xml:space="preserve">月 </w:t>
      </w:r>
      <w:r>
        <w:rPr>
          <w:rFonts w:hint="eastAsia" w:ascii="宋体" w:hAnsi="宋体" w:cs="宋体"/>
          <w:bCs/>
          <w:color w:val="auto"/>
          <w:sz w:val="24"/>
          <w:szCs w:val="24"/>
          <w:u w:val="single"/>
          <w:lang w:val="en-US" w:eastAsia="zh-CN"/>
        </w:rPr>
        <w:t>4</w:t>
      </w:r>
      <w:r>
        <w:rPr>
          <w:rFonts w:hint="eastAsia" w:ascii="宋体" w:hAnsi="宋体" w:cs="宋体"/>
          <w:bCs/>
          <w:color w:val="auto"/>
          <w:sz w:val="24"/>
          <w:szCs w:val="24"/>
          <w:u w:val="single"/>
        </w:rPr>
        <w:t xml:space="preserve"> 日9点00分</w:t>
      </w:r>
      <w:r>
        <w:rPr>
          <w:rFonts w:hint="eastAsia" w:ascii="宋体" w:hAnsi="宋体" w:cs="宋体"/>
          <w:color w:val="auto"/>
          <w:sz w:val="24"/>
          <w:szCs w:val="24"/>
        </w:rPr>
        <w:t>（北京时间）</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地点：盐城工业职业技术学院（盐城市解放南路285号）后勤服务中心四楼402开标室。</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hint="eastAsia" w:ascii="宋体" w:hAnsi="宋体" w:eastAsia="宋体" w:cs="宋体"/>
          <w:b/>
          <w:bCs/>
          <w:color w:val="auto"/>
          <w:sz w:val="24"/>
          <w:szCs w:val="24"/>
        </w:rPr>
      </w:pPr>
      <w:bookmarkStart w:id="25" w:name="_Toc35393794"/>
      <w:bookmarkStart w:id="26" w:name="_Toc28359084"/>
      <w:bookmarkStart w:id="27" w:name="_Toc35393625"/>
      <w:bookmarkStart w:id="28" w:name="_Toc28359007"/>
      <w:r>
        <w:rPr>
          <w:rFonts w:hint="eastAsia" w:ascii="宋体" w:hAnsi="宋体" w:eastAsia="宋体" w:cs="宋体"/>
          <w:b/>
          <w:bCs/>
          <w:color w:val="auto"/>
          <w:sz w:val="24"/>
          <w:szCs w:val="24"/>
        </w:rPr>
        <w:t>五、公告期限</w:t>
      </w:r>
    </w:p>
    <w:p>
      <w:pPr>
        <w:adjustRightInd w:val="0"/>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自本公告发布之日起5个工作日。</w:t>
      </w:r>
    </w:p>
    <w:bookmarkEnd w:id="25"/>
    <w:bookmarkEnd w:id="26"/>
    <w:bookmarkEnd w:id="27"/>
    <w:bookmarkEnd w:id="28"/>
    <w:p>
      <w:pPr>
        <w:pStyle w:val="3"/>
        <w:tabs>
          <w:tab w:val="left" w:pos="0"/>
          <w:tab w:val="left" w:pos="3165"/>
          <w:tab w:val="center" w:pos="4153"/>
        </w:tabs>
        <w:autoSpaceDE w:val="0"/>
        <w:autoSpaceDN w:val="0"/>
        <w:adjustRightInd w:val="0"/>
        <w:snapToGrid w:val="0"/>
        <w:spacing w:line="360" w:lineRule="auto"/>
        <w:ind w:firstLine="482" w:firstLineChars="200"/>
        <w:jc w:val="left"/>
        <w:rPr>
          <w:rFonts w:hint="eastAsia" w:ascii="宋体" w:hAnsi="宋体" w:eastAsia="宋体" w:cs="宋体"/>
          <w:b/>
          <w:bCs/>
          <w:color w:val="auto"/>
          <w:sz w:val="24"/>
          <w:szCs w:val="24"/>
        </w:rPr>
      </w:pPr>
      <w:bookmarkStart w:id="29" w:name="_Toc35393626"/>
      <w:bookmarkStart w:id="30" w:name="_Toc35393795"/>
      <w:bookmarkStart w:id="31" w:name="_Toc35393627"/>
      <w:bookmarkStart w:id="32" w:name="_Toc35393796"/>
      <w:bookmarkStart w:id="33" w:name="_Toc28359008"/>
      <w:bookmarkStart w:id="34" w:name="_Toc28359085"/>
      <w:r>
        <w:rPr>
          <w:rFonts w:hint="eastAsia" w:ascii="宋体" w:hAnsi="宋体" w:eastAsia="宋体" w:cs="宋体"/>
          <w:b/>
          <w:bCs/>
          <w:color w:val="auto"/>
          <w:sz w:val="24"/>
          <w:szCs w:val="24"/>
        </w:rPr>
        <w:t>六、其他补充事宜</w:t>
      </w:r>
      <w:bookmarkEnd w:id="29"/>
      <w:bookmarkEnd w:id="30"/>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(一)因疫情防控需要，为确保校园安全，投标人进入盐城工业职业技术学院校区时应服从下列疫情防控措施：</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（1）投标人从解放南路东门进出；投标人车辆一律不得进入校园。</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（2）各投标人项目授权代表限1人进入校园；项目授权代表进入校园时须自行配戴口罩、做好手部消毒及投标文件等消毒防护工作。</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（4）投标人进入校园后应在指定地点参与投标活动，不到非相关场所活动；投标工作结束后应立即离开校园，不逗留。</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请各投标人预留好相应时间，配合做好上述管控措施。</w:t>
      </w:r>
    </w:p>
    <w:p>
      <w:pPr>
        <w:numPr>
          <w:ilvl w:val="0"/>
          <w:numId w:val="5"/>
        </w:num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投标文件制作份数要求：正本份数：1份，副本份数：4份。</w:t>
      </w:r>
    </w:p>
    <w:p>
      <w:pPr>
        <w:pStyle w:val="3"/>
        <w:tabs>
          <w:tab w:val="left" w:pos="0"/>
          <w:tab w:val="left" w:pos="3165"/>
          <w:tab w:val="center" w:pos="4153"/>
        </w:tabs>
        <w:autoSpaceDE w:val="0"/>
        <w:autoSpaceDN w:val="0"/>
        <w:adjustRightInd w:val="0"/>
        <w:spacing w:line="46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七、对本次招标提出询问，请按以下方式联系。</w:t>
      </w:r>
      <w:bookmarkEnd w:id="31"/>
      <w:bookmarkEnd w:id="32"/>
      <w:bookmarkEnd w:id="33"/>
      <w:bookmarkEnd w:id="34"/>
    </w:p>
    <w:p>
      <w:pPr>
        <w:spacing w:line="460" w:lineRule="exact"/>
        <w:ind w:firstLine="480" w:firstLineChars="200"/>
        <w:rPr>
          <w:rFonts w:hint="eastAsia" w:ascii="宋体" w:hAnsi="宋体" w:cs="宋体"/>
          <w:color w:val="auto"/>
          <w:sz w:val="24"/>
          <w:szCs w:val="24"/>
        </w:rPr>
      </w:pPr>
      <w:bookmarkStart w:id="35" w:name="_Toc35393637"/>
      <w:bookmarkStart w:id="36" w:name="_Toc28359096"/>
      <w:bookmarkStart w:id="37" w:name="_Toc28359019"/>
      <w:bookmarkStart w:id="38" w:name="_Toc35393806"/>
      <w:r>
        <w:rPr>
          <w:rFonts w:hint="eastAsia" w:ascii="宋体" w:hAnsi="宋体" w:cs="宋体"/>
          <w:color w:val="auto"/>
          <w:sz w:val="24"/>
          <w:szCs w:val="24"/>
        </w:rPr>
        <w:t>1.采购人信息</w:t>
      </w:r>
      <w:bookmarkEnd w:id="35"/>
      <w:bookmarkEnd w:id="36"/>
      <w:bookmarkEnd w:id="37"/>
      <w:bookmarkEnd w:id="38"/>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名称：盐城工业职业技术学院</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地址：盐城工业职业技术学院后勤服务中心四楼405室招标办公室</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联系人：赵老师             </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联系电话：0515-88588707</w:t>
      </w:r>
    </w:p>
    <w:p>
      <w:pPr>
        <w:spacing w:line="460" w:lineRule="exact"/>
        <w:ind w:firstLine="480" w:firstLineChars="200"/>
        <w:rPr>
          <w:rFonts w:hint="eastAsia" w:ascii="宋体" w:hAnsi="宋体" w:cs="宋体"/>
          <w:color w:val="auto"/>
          <w:sz w:val="24"/>
          <w:szCs w:val="24"/>
        </w:rPr>
      </w:pPr>
      <w:bookmarkStart w:id="39" w:name="_Toc28359097"/>
      <w:bookmarkStart w:id="40" w:name="_Toc28359020"/>
      <w:bookmarkStart w:id="41" w:name="_Toc35393638"/>
      <w:bookmarkStart w:id="42" w:name="_Toc35393807"/>
      <w:r>
        <w:rPr>
          <w:rFonts w:hint="eastAsia" w:ascii="宋体" w:hAnsi="宋体" w:cs="宋体"/>
          <w:color w:val="auto"/>
          <w:sz w:val="24"/>
          <w:szCs w:val="24"/>
        </w:rPr>
        <w:t>2.采购代理机构信息</w:t>
      </w:r>
      <w:bookmarkEnd w:id="39"/>
      <w:bookmarkEnd w:id="40"/>
      <w:bookmarkEnd w:id="41"/>
      <w:bookmarkEnd w:id="42"/>
    </w:p>
    <w:p>
      <w:pPr>
        <w:spacing w:line="460" w:lineRule="exact"/>
        <w:ind w:firstLine="480" w:firstLineChars="200"/>
        <w:rPr>
          <w:rFonts w:hint="eastAsia" w:ascii="宋体" w:hAnsi="宋体" w:cs="宋体"/>
          <w:color w:val="auto"/>
          <w:sz w:val="24"/>
          <w:szCs w:val="24"/>
        </w:rPr>
      </w:pPr>
      <w:bookmarkStart w:id="43" w:name="_Toc35393639"/>
      <w:bookmarkStart w:id="44" w:name="_Toc35393808"/>
      <w:bookmarkStart w:id="45" w:name="_Toc28359098"/>
      <w:bookmarkStart w:id="46" w:name="_Toc28359021"/>
      <w:r>
        <w:rPr>
          <w:rFonts w:hint="eastAsia" w:ascii="宋体" w:hAnsi="宋体" w:cs="宋体"/>
          <w:color w:val="auto"/>
          <w:sz w:val="24"/>
          <w:szCs w:val="24"/>
        </w:rPr>
        <w:t>名称：江苏全盛工程造价事务所有限公司</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地址：盐城市人民南路华邦国际东厦A区22楼2203室</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联系人：朱玲娜            </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联系电话：18751450656</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3.项目联系方式</w:t>
      </w:r>
      <w:bookmarkEnd w:id="43"/>
      <w:bookmarkEnd w:id="44"/>
      <w:bookmarkEnd w:id="45"/>
      <w:bookmarkEnd w:id="46"/>
    </w:p>
    <w:p>
      <w:pPr>
        <w:tabs>
          <w:tab w:val="left" w:pos="900"/>
        </w:tabs>
        <w:spacing w:line="440" w:lineRule="exact"/>
        <w:ind w:firstLine="480" w:firstLineChars="200"/>
        <w:rPr>
          <w:rFonts w:hint="eastAsia" w:ascii="宋体" w:hAnsi="宋体" w:cs="宋体"/>
          <w:color w:val="auto"/>
          <w:sz w:val="24"/>
        </w:rPr>
      </w:pPr>
      <w:r>
        <w:rPr>
          <w:rFonts w:hint="eastAsia" w:ascii="宋体" w:hAnsi="宋体" w:cs="宋体"/>
          <w:color w:val="auto"/>
          <w:sz w:val="24"/>
          <w:szCs w:val="24"/>
        </w:rPr>
        <w:t>项目联系人：</w:t>
      </w:r>
      <w:r>
        <w:rPr>
          <w:rFonts w:hint="eastAsia" w:ascii="宋体" w:hAnsi="宋体" w:cs="宋体"/>
          <w:color w:val="auto"/>
          <w:sz w:val="24"/>
        </w:rPr>
        <w:t>相老师</w:t>
      </w:r>
    </w:p>
    <w:p>
      <w:pPr>
        <w:tabs>
          <w:tab w:val="left" w:pos="900"/>
        </w:tabs>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联系电话：17856903218</w:t>
      </w:r>
    </w:p>
    <w:p>
      <w:pPr>
        <w:tabs>
          <w:tab w:val="left" w:pos="900"/>
        </w:tabs>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对项目需求部分的询问、质疑请向</w:t>
      </w:r>
      <w:r>
        <w:rPr>
          <w:rFonts w:hint="eastAsia" w:ascii="宋体" w:hAnsi="宋体" w:cs="宋体"/>
          <w:color w:val="auto"/>
          <w:sz w:val="24"/>
          <w:szCs w:val="24"/>
          <w:lang w:val="en-US" w:eastAsia="zh-CN"/>
        </w:rPr>
        <w:t>项目联系人</w:t>
      </w:r>
      <w:r>
        <w:rPr>
          <w:rFonts w:hint="eastAsia" w:ascii="宋体" w:hAnsi="宋体" w:cs="宋体"/>
          <w:color w:val="auto"/>
          <w:sz w:val="24"/>
          <w:szCs w:val="24"/>
        </w:rPr>
        <w:t>提出，由</w:t>
      </w:r>
      <w:r>
        <w:rPr>
          <w:rFonts w:hint="eastAsia" w:ascii="宋体" w:hAnsi="宋体" w:cs="宋体"/>
          <w:color w:val="auto"/>
          <w:sz w:val="24"/>
          <w:szCs w:val="24"/>
          <w:lang w:val="en-US" w:eastAsia="zh-CN"/>
        </w:rPr>
        <w:t>项目联系人</w:t>
      </w:r>
      <w:r>
        <w:rPr>
          <w:rFonts w:hint="eastAsia" w:ascii="宋体" w:hAnsi="宋体" w:cs="宋体"/>
          <w:color w:val="auto"/>
          <w:sz w:val="24"/>
          <w:szCs w:val="24"/>
        </w:rPr>
        <w:t>答复。</w:t>
      </w:r>
    </w:p>
    <w:p>
      <w:pPr>
        <w:tabs>
          <w:tab w:val="left" w:pos="900"/>
        </w:tabs>
        <w:spacing w:line="440" w:lineRule="exact"/>
        <w:ind w:firstLine="480" w:firstLineChars="200"/>
        <w:rPr>
          <w:rFonts w:hint="eastAsia" w:ascii="宋体" w:hAnsi="宋体" w:cs="宋体"/>
          <w:color w:val="auto"/>
          <w:sz w:val="24"/>
          <w:szCs w:val="24"/>
        </w:rPr>
      </w:pPr>
    </w:p>
    <w:p>
      <w:pPr>
        <w:tabs>
          <w:tab w:val="left" w:pos="900"/>
        </w:tabs>
        <w:spacing w:line="440" w:lineRule="exact"/>
        <w:ind w:firstLine="480" w:firstLineChars="200"/>
        <w:rPr>
          <w:rFonts w:hint="eastAsia" w:ascii="宋体" w:hAnsi="宋体" w:cs="宋体"/>
          <w:color w:val="auto"/>
          <w:sz w:val="24"/>
          <w:szCs w:val="24"/>
        </w:rPr>
      </w:pPr>
      <w:bookmarkStart w:id="222" w:name="_GoBack"/>
      <w:bookmarkEnd w:id="222"/>
    </w:p>
    <w:p>
      <w:pPr>
        <w:widowControl/>
        <w:jc w:val="left"/>
        <w:rPr>
          <w:rFonts w:hint="eastAsia" w:ascii="宋体" w:hAnsi="宋体" w:cs="宋体"/>
          <w:color w:val="auto"/>
          <w:sz w:val="28"/>
          <w:szCs w:val="28"/>
        </w:rPr>
      </w:pPr>
    </w:p>
    <w:p>
      <w:pPr>
        <w:pStyle w:val="3"/>
        <w:rPr>
          <w:rFonts w:hint="eastAsia" w:ascii="宋体" w:hAnsi="宋体" w:eastAsia="宋体" w:cs="宋体"/>
          <w:color w:val="auto"/>
        </w:rPr>
      </w:pPr>
    </w:p>
    <w:p>
      <w:pPr>
        <w:widowControl/>
        <w:jc w:val="left"/>
        <w:rPr>
          <w:rFonts w:hint="eastAsia" w:ascii="宋体" w:hAnsi="宋体" w:cs="宋体"/>
          <w:color w:val="auto"/>
          <w:sz w:val="28"/>
          <w:szCs w:val="28"/>
        </w:rPr>
      </w:pPr>
    </w:p>
    <w:p>
      <w:pPr>
        <w:rPr>
          <w:rFonts w:hint="eastAsia" w:ascii="宋体" w:hAnsi="宋体" w:cs="宋体"/>
          <w:bCs/>
          <w:color w:val="auto"/>
          <w:sz w:val="24"/>
        </w:rPr>
      </w:pPr>
    </w:p>
    <w:p>
      <w:pPr>
        <w:pStyle w:val="4"/>
        <w:spacing w:before="0" w:after="0" w:line="240" w:lineRule="auto"/>
        <w:rPr>
          <w:rFonts w:hint="eastAsia" w:ascii="宋体" w:hAnsi="宋体" w:eastAsia="宋体" w:cs="宋体"/>
          <w:b w:val="0"/>
          <w:bCs w:val="0"/>
          <w:color w:val="auto"/>
        </w:rPr>
      </w:pPr>
      <w:bookmarkStart w:id="47" w:name="_Toc120614211"/>
      <w:r>
        <w:rPr>
          <w:rFonts w:hint="eastAsia" w:ascii="宋体" w:hAnsi="宋体" w:eastAsia="宋体" w:cs="宋体"/>
          <w:color w:val="auto"/>
        </w:rPr>
        <w:br w:type="page"/>
      </w:r>
      <w:bookmarkEnd w:id="1"/>
      <w:bookmarkEnd w:id="2"/>
      <w:bookmarkEnd w:id="3"/>
      <w:bookmarkEnd w:id="4"/>
      <w:bookmarkEnd w:id="5"/>
      <w:bookmarkEnd w:id="47"/>
      <w:bookmarkStart w:id="48" w:name="_Toc513029242"/>
      <w:bookmarkStart w:id="49" w:name="_Toc20823314"/>
      <w:bookmarkStart w:id="50" w:name="_Toc16938558"/>
      <w:bookmarkStart w:id="51" w:name="_Toc120614221"/>
      <w:bookmarkStart w:id="52" w:name="_Toc479757207"/>
      <w:r>
        <w:rPr>
          <w:rFonts w:hint="eastAsia" w:ascii="宋体" w:hAnsi="宋体" w:eastAsia="宋体" w:cs="宋体"/>
          <w:color w:val="auto"/>
        </w:rPr>
        <w:t xml:space="preserve">第二章  </w:t>
      </w:r>
      <w:bookmarkStart w:id="53" w:name="_Toc513029202"/>
      <w:bookmarkStart w:id="54" w:name="_Toc120614213"/>
      <w:bookmarkStart w:id="55" w:name="_Toc20823274"/>
      <w:bookmarkStart w:id="56" w:name="_Toc16938518"/>
      <w:r>
        <w:rPr>
          <w:rFonts w:hint="eastAsia" w:ascii="宋体" w:hAnsi="宋体" w:eastAsia="宋体" w:cs="宋体"/>
          <w:color w:val="auto"/>
        </w:rPr>
        <w:t>投标人须知</w:t>
      </w:r>
      <w:bookmarkEnd w:id="53"/>
      <w:bookmarkEnd w:id="54"/>
      <w:bookmarkEnd w:id="55"/>
      <w:bookmarkEnd w:id="56"/>
    </w:p>
    <w:p>
      <w:pPr>
        <w:pStyle w:val="6"/>
        <w:spacing w:before="0" w:after="0" w:line="440" w:lineRule="exact"/>
        <w:ind w:firstLine="482" w:firstLineChars="200"/>
        <w:rPr>
          <w:rFonts w:hint="eastAsia" w:ascii="宋体" w:hAnsi="宋体" w:cs="宋体"/>
          <w:color w:val="auto"/>
          <w:sz w:val="24"/>
          <w:szCs w:val="24"/>
        </w:rPr>
      </w:pPr>
      <w:bookmarkStart w:id="57" w:name="_Toc513029203"/>
      <w:bookmarkStart w:id="58" w:name="_Toc20823275"/>
      <w:bookmarkStart w:id="59" w:name="_Toc16938519"/>
      <w:bookmarkStart w:id="60" w:name="_Toc120614214"/>
      <w:r>
        <w:rPr>
          <w:rFonts w:hint="eastAsia" w:ascii="宋体" w:hAnsi="宋体" w:cs="宋体"/>
          <w:color w:val="auto"/>
          <w:sz w:val="24"/>
          <w:szCs w:val="24"/>
        </w:rPr>
        <w:t>一、总则</w:t>
      </w:r>
      <w:bookmarkEnd w:id="57"/>
      <w:bookmarkEnd w:id="58"/>
      <w:bookmarkEnd w:id="59"/>
      <w:bookmarkEnd w:id="60"/>
    </w:p>
    <w:p>
      <w:pPr>
        <w:pStyle w:val="2"/>
        <w:spacing w:before="0" w:after="0" w:line="440" w:lineRule="exact"/>
        <w:ind w:firstLine="480" w:firstLineChars="200"/>
        <w:rPr>
          <w:rFonts w:hint="eastAsia" w:ascii="宋体" w:hAnsi="宋体" w:cs="宋体"/>
          <w:b w:val="0"/>
          <w:color w:val="auto"/>
          <w:sz w:val="24"/>
          <w:szCs w:val="24"/>
        </w:rPr>
      </w:pPr>
      <w:bookmarkStart w:id="61" w:name="_Hlt16619475"/>
      <w:bookmarkEnd w:id="61"/>
      <w:bookmarkStart w:id="62" w:name="_Toc458694821"/>
      <w:bookmarkStart w:id="63" w:name="_Toc16938520"/>
      <w:bookmarkStart w:id="64" w:name="_Toc20823276"/>
      <w:bookmarkStart w:id="65" w:name="_Toc513029204"/>
      <w:r>
        <w:rPr>
          <w:rFonts w:hint="eastAsia" w:ascii="宋体" w:hAnsi="宋体" w:cs="宋体"/>
          <w:b w:val="0"/>
          <w:color w:val="auto"/>
          <w:sz w:val="24"/>
          <w:szCs w:val="24"/>
        </w:rPr>
        <w:t>1</w:t>
      </w:r>
      <w:bookmarkEnd w:id="62"/>
      <w:r>
        <w:rPr>
          <w:rFonts w:hint="eastAsia" w:ascii="宋体" w:hAnsi="宋体" w:cs="宋体"/>
          <w:b w:val="0"/>
          <w:color w:val="auto"/>
          <w:sz w:val="24"/>
          <w:szCs w:val="24"/>
        </w:rPr>
        <w:t>、招标方式</w:t>
      </w:r>
      <w:bookmarkEnd w:id="63"/>
      <w:bookmarkEnd w:id="64"/>
      <w:bookmarkEnd w:id="65"/>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 本次招标采取公开招标方式，本招标文件仅适用于招标公告中所述项目。</w:t>
      </w:r>
    </w:p>
    <w:p>
      <w:pPr>
        <w:pStyle w:val="2"/>
        <w:spacing w:before="0" w:after="0" w:line="440" w:lineRule="exact"/>
        <w:ind w:firstLine="480" w:firstLineChars="200"/>
        <w:rPr>
          <w:rFonts w:hint="eastAsia" w:ascii="宋体" w:hAnsi="宋体" w:cs="宋体"/>
          <w:b w:val="0"/>
          <w:color w:val="auto"/>
          <w:sz w:val="24"/>
          <w:szCs w:val="24"/>
        </w:rPr>
      </w:pPr>
      <w:bookmarkStart w:id="66" w:name="_Toc16938521"/>
      <w:bookmarkStart w:id="67" w:name="_Toc20823277"/>
      <w:bookmarkStart w:id="68" w:name="_Toc513029205"/>
      <w:r>
        <w:rPr>
          <w:rFonts w:hint="eastAsia" w:ascii="宋体" w:hAnsi="宋体" w:cs="宋体"/>
          <w:b w:val="0"/>
          <w:color w:val="auto"/>
          <w:sz w:val="24"/>
          <w:szCs w:val="24"/>
        </w:rPr>
        <w:t>2、合格的投标人</w:t>
      </w:r>
      <w:bookmarkEnd w:id="66"/>
      <w:bookmarkEnd w:id="67"/>
      <w:bookmarkEnd w:id="68"/>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2.1满足招标公告中供应商的资格要求的规定。</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2.2 满足本文件实质性条款的规定。</w:t>
      </w:r>
    </w:p>
    <w:p>
      <w:pPr>
        <w:pStyle w:val="2"/>
        <w:spacing w:before="0" w:after="0" w:line="440" w:lineRule="exact"/>
        <w:ind w:firstLine="480" w:firstLineChars="200"/>
        <w:rPr>
          <w:rFonts w:hint="eastAsia" w:ascii="宋体" w:hAnsi="宋体" w:cs="宋体"/>
          <w:b w:val="0"/>
          <w:color w:val="auto"/>
          <w:sz w:val="24"/>
          <w:szCs w:val="24"/>
        </w:rPr>
      </w:pPr>
      <w:bookmarkStart w:id="69" w:name="_Toc20823278"/>
      <w:bookmarkStart w:id="70" w:name="_Toc16938522"/>
      <w:bookmarkStart w:id="71" w:name="_Toc513029206"/>
      <w:r>
        <w:rPr>
          <w:rFonts w:hint="eastAsia" w:ascii="宋体" w:hAnsi="宋体" w:cs="宋体"/>
          <w:b w:val="0"/>
          <w:color w:val="auto"/>
          <w:sz w:val="24"/>
          <w:szCs w:val="24"/>
        </w:rPr>
        <w:t>3、适用法律</w:t>
      </w:r>
      <w:bookmarkEnd w:id="69"/>
      <w:bookmarkEnd w:id="70"/>
      <w:bookmarkEnd w:id="71"/>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 本次招标及由此产生的合同受中华人民共和国有关的法律法规制约和保护。</w:t>
      </w:r>
    </w:p>
    <w:p>
      <w:pPr>
        <w:pStyle w:val="2"/>
        <w:spacing w:before="0" w:after="0" w:line="440" w:lineRule="exact"/>
        <w:ind w:firstLine="480" w:firstLineChars="200"/>
        <w:rPr>
          <w:rFonts w:hint="eastAsia" w:ascii="宋体" w:hAnsi="宋体" w:cs="宋体"/>
          <w:b w:val="0"/>
          <w:color w:val="auto"/>
          <w:sz w:val="24"/>
          <w:szCs w:val="24"/>
        </w:rPr>
      </w:pPr>
      <w:bookmarkStart w:id="72" w:name="_Toc20823279"/>
      <w:bookmarkStart w:id="73" w:name="_Toc16938523"/>
      <w:bookmarkStart w:id="74" w:name="_Toc462564067"/>
      <w:bookmarkStart w:id="75" w:name="_Toc513029207"/>
      <w:r>
        <w:rPr>
          <w:rFonts w:hint="eastAsia" w:ascii="宋体" w:hAnsi="宋体" w:cs="宋体"/>
          <w:b w:val="0"/>
          <w:color w:val="auto"/>
          <w:sz w:val="24"/>
          <w:szCs w:val="24"/>
        </w:rPr>
        <w:t>4、投标费用</w:t>
      </w:r>
      <w:bookmarkEnd w:id="72"/>
      <w:bookmarkEnd w:id="73"/>
      <w:bookmarkEnd w:id="74"/>
      <w:bookmarkEnd w:id="75"/>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4.1</w:t>
      </w:r>
      <w:r>
        <w:rPr>
          <w:rFonts w:hint="eastAsia" w:ascii="宋体" w:hAnsi="宋体" w:cs="宋体"/>
          <w:color w:val="auto"/>
          <w:sz w:val="24"/>
          <w:szCs w:val="24"/>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4.2</w:t>
      </w:r>
      <w:r>
        <w:rPr>
          <w:rFonts w:hint="eastAsia" w:ascii="宋体" w:hAnsi="宋体" w:cs="宋体"/>
          <w:color w:val="auto"/>
          <w:sz w:val="24"/>
          <w:szCs w:val="24"/>
          <w:lang w:bidi="ar"/>
        </w:rPr>
        <w:t>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2"/>
        <w:spacing w:before="0" w:after="0" w:line="440" w:lineRule="exact"/>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5、招标文件的约束力</w:t>
      </w:r>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5.1</w:t>
      </w:r>
      <w:r>
        <w:rPr>
          <w:rFonts w:hint="eastAsia" w:ascii="宋体" w:hAnsi="宋体" w:cs="宋体"/>
          <w:color w:val="auto"/>
          <w:sz w:val="24"/>
          <w:szCs w:val="24"/>
        </w:rPr>
        <w:t xml:space="preserve"> 投标人一旦参加本项目采购活动，即被认为接受了本招标文件的规定和约束，并且视为自招标公告期限届满之日起知道或应当知道自身权益是否受到了损害。</w:t>
      </w:r>
    </w:p>
    <w:p>
      <w:pPr>
        <w:pStyle w:val="2"/>
        <w:spacing w:before="0" w:after="0" w:line="440" w:lineRule="exact"/>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6、招标文件的解释</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6.1 本招标文件由采购人或采购代理机构负责解释。</w:t>
      </w:r>
    </w:p>
    <w:p>
      <w:pPr>
        <w:pStyle w:val="6"/>
        <w:spacing w:before="0" w:after="0" w:line="440" w:lineRule="exact"/>
        <w:ind w:firstLine="482" w:firstLineChars="200"/>
        <w:rPr>
          <w:rFonts w:hint="eastAsia" w:ascii="宋体" w:hAnsi="宋体" w:cs="宋体"/>
          <w:color w:val="auto"/>
          <w:sz w:val="24"/>
          <w:szCs w:val="24"/>
        </w:rPr>
      </w:pPr>
      <w:bookmarkStart w:id="76" w:name="_Toc120614215"/>
      <w:bookmarkStart w:id="77" w:name="_Toc513029209"/>
      <w:bookmarkStart w:id="78" w:name="_Toc16938525"/>
      <w:bookmarkStart w:id="79" w:name="_Toc20823281"/>
      <w:r>
        <w:rPr>
          <w:rFonts w:hint="eastAsia" w:ascii="宋体" w:hAnsi="宋体" w:cs="宋体"/>
          <w:color w:val="auto"/>
          <w:sz w:val="24"/>
          <w:szCs w:val="24"/>
        </w:rPr>
        <w:t>二、招标文件</w:t>
      </w:r>
      <w:bookmarkEnd w:id="76"/>
      <w:bookmarkEnd w:id="77"/>
      <w:bookmarkEnd w:id="78"/>
      <w:bookmarkEnd w:id="79"/>
    </w:p>
    <w:p>
      <w:pPr>
        <w:pStyle w:val="2"/>
        <w:spacing w:before="0" w:after="0" w:line="440" w:lineRule="exact"/>
        <w:ind w:firstLine="480" w:firstLineChars="200"/>
        <w:rPr>
          <w:rFonts w:hint="eastAsia" w:ascii="宋体" w:hAnsi="宋体" w:cs="宋体"/>
          <w:b w:val="0"/>
          <w:color w:val="auto"/>
          <w:sz w:val="24"/>
          <w:szCs w:val="24"/>
        </w:rPr>
      </w:pPr>
      <w:bookmarkStart w:id="80" w:name="_Toc16938526"/>
      <w:bookmarkStart w:id="81" w:name="_Toc513029210"/>
      <w:bookmarkStart w:id="82" w:name="_Toc20823282"/>
      <w:r>
        <w:rPr>
          <w:rFonts w:hint="eastAsia" w:ascii="宋体" w:hAnsi="宋体" w:cs="宋体"/>
          <w:b w:val="0"/>
          <w:color w:val="auto"/>
          <w:sz w:val="24"/>
          <w:szCs w:val="24"/>
        </w:rPr>
        <w:t>7、招标文件构成</w:t>
      </w:r>
      <w:bookmarkEnd w:id="80"/>
      <w:bookmarkEnd w:id="81"/>
      <w:bookmarkEnd w:id="82"/>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7.1</w:t>
      </w:r>
      <w:r>
        <w:rPr>
          <w:rFonts w:hint="eastAsia" w:ascii="宋体" w:hAnsi="宋体" w:cs="宋体"/>
          <w:color w:val="auto"/>
          <w:sz w:val="24"/>
          <w:szCs w:val="24"/>
        </w:rPr>
        <w:t xml:space="preserve"> 招标文件有以下部分组成：</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（1）招标公告</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（2）投标人须知</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（3）合同条款及格式</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（4）项目技术要求</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（5）评标方法与评标标准</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（6）投标文件格式</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请仔细检查招标文件是否齐全，如有缺漏请立即与采购人或采购代理机构联系解决。</w:t>
      </w:r>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7.2</w:t>
      </w:r>
      <w:r>
        <w:rPr>
          <w:rFonts w:hint="eastAsia" w:ascii="宋体" w:hAnsi="宋体" w:cs="宋体"/>
          <w:color w:val="auto"/>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
        <w:spacing w:before="0" w:after="0" w:line="440" w:lineRule="exact"/>
        <w:ind w:firstLine="480" w:firstLineChars="200"/>
        <w:rPr>
          <w:rFonts w:hint="eastAsia" w:ascii="宋体" w:hAnsi="宋体" w:cs="宋体"/>
          <w:b w:val="0"/>
          <w:color w:val="auto"/>
          <w:sz w:val="24"/>
          <w:szCs w:val="24"/>
        </w:rPr>
      </w:pPr>
      <w:bookmarkStart w:id="83" w:name="_Toc16938527"/>
      <w:bookmarkStart w:id="84" w:name="_Toc462564070"/>
      <w:bookmarkStart w:id="85" w:name="_Toc20823283"/>
      <w:bookmarkStart w:id="86" w:name="_Toc513029211"/>
      <w:r>
        <w:rPr>
          <w:rFonts w:hint="eastAsia" w:ascii="宋体" w:hAnsi="宋体" w:cs="宋体"/>
          <w:b w:val="0"/>
          <w:color w:val="auto"/>
          <w:sz w:val="24"/>
          <w:szCs w:val="24"/>
        </w:rPr>
        <w:t>8、招标文件的</w:t>
      </w:r>
      <w:bookmarkEnd w:id="83"/>
      <w:bookmarkEnd w:id="84"/>
      <w:bookmarkEnd w:id="85"/>
      <w:bookmarkEnd w:id="86"/>
      <w:r>
        <w:rPr>
          <w:rFonts w:hint="eastAsia" w:ascii="宋体" w:hAnsi="宋体" w:cs="宋体"/>
          <w:b w:val="0"/>
          <w:color w:val="auto"/>
          <w:sz w:val="24"/>
          <w:szCs w:val="24"/>
        </w:rPr>
        <w:t>询问</w:t>
      </w:r>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8.1</w:t>
      </w:r>
      <w:r>
        <w:rPr>
          <w:rFonts w:hint="eastAsia" w:ascii="宋体" w:hAnsi="宋体" w:cs="宋体"/>
          <w:color w:val="auto"/>
          <w:sz w:val="24"/>
          <w:szCs w:val="24"/>
        </w:rPr>
        <w:t xml:space="preserve"> 任何要求对招标文件进行询问的投标人，应在投标截止日期</w:t>
      </w:r>
      <w:r>
        <w:rPr>
          <w:rFonts w:hint="eastAsia" w:ascii="宋体" w:hAnsi="宋体" w:cs="宋体"/>
          <w:b/>
          <w:color w:val="auto"/>
          <w:sz w:val="24"/>
          <w:szCs w:val="24"/>
        </w:rPr>
        <w:t>十日</w:t>
      </w:r>
      <w:r>
        <w:rPr>
          <w:rFonts w:hint="eastAsia" w:ascii="宋体" w:hAnsi="宋体" w:cs="宋体"/>
          <w:color w:val="auto"/>
          <w:sz w:val="24"/>
          <w:szCs w:val="24"/>
        </w:rPr>
        <w:t>前按招标公告中的通讯地址，向采购人或采购代理机构提出。</w:t>
      </w:r>
    </w:p>
    <w:p>
      <w:pPr>
        <w:pStyle w:val="2"/>
        <w:spacing w:before="0" w:after="0" w:line="440" w:lineRule="exact"/>
        <w:ind w:firstLine="480" w:firstLineChars="200"/>
        <w:rPr>
          <w:rFonts w:hint="eastAsia" w:ascii="宋体" w:hAnsi="宋体" w:cs="宋体"/>
          <w:b w:val="0"/>
          <w:color w:val="auto"/>
          <w:sz w:val="24"/>
          <w:szCs w:val="24"/>
        </w:rPr>
      </w:pPr>
      <w:bookmarkStart w:id="87" w:name="_Toc462564071"/>
      <w:bookmarkStart w:id="88" w:name="_Toc513029212"/>
      <w:bookmarkStart w:id="89" w:name="_Toc20823284"/>
      <w:bookmarkStart w:id="90" w:name="_Toc16938528"/>
      <w:r>
        <w:rPr>
          <w:rFonts w:hint="eastAsia" w:ascii="宋体" w:hAnsi="宋体" w:cs="宋体"/>
          <w:b w:val="0"/>
          <w:color w:val="auto"/>
          <w:sz w:val="24"/>
          <w:szCs w:val="24"/>
        </w:rPr>
        <w:t>9、招标文件的修改</w:t>
      </w:r>
      <w:bookmarkEnd w:id="87"/>
      <w:bookmarkEnd w:id="88"/>
      <w:bookmarkEnd w:id="89"/>
      <w:bookmarkEnd w:id="90"/>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9.1</w:t>
      </w:r>
      <w:r>
        <w:rPr>
          <w:rFonts w:hint="eastAsia" w:ascii="宋体" w:hAnsi="宋体" w:cs="宋体"/>
          <w:color w:val="auto"/>
          <w:sz w:val="24"/>
          <w:szCs w:val="24"/>
        </w:rPr>
        <w:t xml:space="preserve"> 在投标截止时间前，采购人或采购代理机构可以对招标文件进行修改。</w:t>
      </w:r>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9.2</w:t>
      </w:r>
      <w:r>
        <w:rPr>
          <w:rFonts w:hint="eastAsia" w:ascii="宋体" w:hAnsi="宋体" w:cs="宋体"/>
          <w:color w:val="auto"/>
          <w:sz w:val="24"/>
          <w:szCs w:val="24"/>
        </w:rPr>
        <w:t>采购人或采购代理机构有权依法推迟投标截止日期和开标日期。</w:t>
      </w:r>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9.3</w:t>
      </w:r>
      <w:r>
        <w:rPr>
          <w:rFonts w:hint="eastAsia" w:ascii="宋体" w:hAnsi="宋体" w:cs="宋体"/>
          <w:color w:val="auto"/>
          <w:sz w:val="24"/>
          <w:szCs w:val="24"/>
        </w:rPr>
        <w:t>招标文件的修改将在</w:t>
      </w:r>
      <w:r>
        <w:rPr>
          <w:rFonts w:hint="eastAsia" w:ascii="宋体" w:hAnsi="宋体" w:cs="宋体"/>
          <w:bCs/>
          <w:color w:val="auto"/>
          <w:sz w:val="24"/>
          <w:szCs w:val="24"/>
          <w:lang w:bidi="ar"/>
        </w:rPr>
        <w:t>盐城市政府采购网和盐城工业职业技术学院招标采购网</w:t>
      </w:r>
      <w:r>
        <w:rPr>
          <w:rFonts w:hint="eastAsia" w:ascii="宋体" w:hAnsi="宋体" w:cs="宋体"/>
          <w:color w:val="auto"/>
          <w:sz w:val="24"/>
          <w:szCs w:val="24"/>
        </w:rPr>
        <w:t>公布，补充文件将作为招标文件的组成部分，并对投标人具有约束力。</w:t>
      </w:r>
    </w:p>
    <w:p>
      <w:pPr>
        <w:pStyle w:val="6"/>
        <w:spacing w:before="0" w:after="0" w:line="440" w:lineRule="exact"/>
        <w:ind w:firstLine="482" w:firstLineChars="200"/>
        <w:rPr>
          <w:rFonts w:hint="eastAsia" w:ascii="宋体" w:hAnsi="宋体" w:cs="宋体"/>
          <w:color w:val="auto"/>
          <w:sz w:val="24"/>
          <w:szCs w:val="24"/>
        </w:rPr>
      </w:pPr>
      <w:bookmarkStart w:id="91" w:name="_Toc16938529"/>
      <w:bookmarkStart w:id="92" w:name="_Toc120614216"/>
      <w:bookmarkStart w:id="93" w:name="_Toc462564072"/>
      <w:bookmarkStart w:id="94" w:name="_Toc20823285"/>
      <w:bookmarkStart w:id="95" w:name="_Toc513029213"/>
      <w:r>
        <w:rPr>
          <w:rFonts w:hint="eastAsia" w:ascii="宋体" w:hAnsi="宋体" w:cs="宋体"/>
          <w:color w:val="auto"/>
          <w:sz w:val="24"/>
          <w:szCs w:val="24"/>
        </w:rPr>
        <w:t>三、投标文件的编制</w:t>
      </w:r>
      <w:bookmarkEnd w:id="91"/>
      <w:bookmarkEnd w:id="92"/>
      <w:bookmarkEnd w:id="93"/>
      <w:bookmarkEnd w:id="94"/>
      <w:bookmarkEnd w:id="95"/>
    </w:p>
    <w:p>
      <w:pPr>
        <w:pStyle w:val="2"/>
        <w:spacing w:before="0" w:after="0" w:line="440" w:lineRule="exact"/>
        <w:ind w:firstLine="480" w:firstLineChars="200"/>
        <w:rPr>
          <w:rFonts w:hint="eastAsia" w:ascii="宋体" w:hAnsi="宋体" w:cs="宋体"/>
          <w:color w:val="auto"/>
          <w:sz w:val="24"/>
          <w:szCs w:val="24"/>
        </w:rPr>
      </w:pPr>
      <w:bookmarkStart w:id="96" w:name="_Toc16938530"/>
      <w:bookmarkStart w:id="97" w:name="_Toc20823286"/>
      <w:bookmarkStart w:id="98" w:name="_Toc513029214"/>
      <w:bookmarkStart w:id="99" w:name="_Toc462564073"/>
      <w:r>
        <w:rPr>
          <w:rFonts w:hint="eastAsia" w:ascii="宋体" w:hAnsi="宋体" w:cs="宋体"/>
          <w:b w:val="0"/>
          <w:color w:val="auto"/>
          <w:sz w:val="24"/>
          <w:szCs w:val="24"/>
        </w:rPr>
        <w:t>10、投标文件的语言及度量衡单位</w:t>
      </w:r>
      <w:bookmarkEnd w:id="96"/>
      <w:bookmarkEnd w:id="97"/>
      <w:bookmarkEnd w:id="98"/>
      <w:bookmarkEnd w:id="99"/>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10.1</w:t>
      </w:r>
      <w:r>
        <w:rPr>
          <w:rFonts w:hint="eastAsia" w:ascii="宋体" w:hAnsi="宋体" w:cs="宋体"/>
          <w:color w:val="auto"/>
          <w:sz w:val="24"/>
          <w:szCs w:val="24"/>
        </w:rPr>
        <w:t xml:space="preserve"> 投标人提交的投标文件以及投标人与采购人或采购代理机构就有关投标的所有来往通知、函件和文件均应使用</w:t>
      </w:r>
      <w:r>
        <w:rPr>
          <w:rFonts w:hint="eastAsia" w:ascii="宋体" w:hAnsi="宋体" w:cs="宋体"/>
          <w:b/>
          <w:bCs/>
          <w:color w:val="auto"/>
          <w:sz w:val="24"/>
          <w:szCs w:val="24"/>
        </w:rPr>
        <w:t>简体中文</w:t>
      </w:r>
      <w:r>
        <w:rPr>
          <w:rFonts w:hint="eastAsia" w:ascii="宋体" w:hAnsi="宋体" w:cs="宋体"/>
          <w:color w:val="auto"/>
          <w:sz w:val="24"/>
          <w:szCs w:val="24"/>
        </w:rPr>
        <w:t>。</w:t>
      </w:r>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10.2</w:t>
      </w:r>
      <w:r>
        <w:rPr>
          <w:rFonts w:hint="eastAsia" w:ascii="宋体" w:hAnsi="宋体" w:cs="宋体"/>
          <w:color w:val="auto"/>
          <w:sz w:val="24"/>
          <w:szCs w:val="24"/>
        </w:rPr>
        <w:t xml:space="preserve"> 除技术性能另有规定外，投标文件所使用的度量衡单位，均须采用国家法定计量单位。</w:t>
      </w:r>
    </w:p>
    <w:p>
      <w:pPr>
        <w:pStyle w:val="2"/>
        <w:spacing w:before="0" w:after="0" w:line="440" w:lineRule="exact"/>
        <w:ind w:firstLine="480" w:firstLineChars="200"/>
        <w:rPr>
          <w:rFonts w:hint="eastAsia" w:ascii="宋体" w:hAnsi="宋体" w:cs="宋体"/>
          <w:b w:val="0"/>
          <w:color w:val="auto"/>
          <w:sz w:val="24"/>
          <w:szCs w:val="24"/>
        </w:rPr>
      </w:pPr>
      <w:bookmarkStart w:id="100" w:name="_Toc16938531"/>
      <w:bookmarkStart w:id="101" w:name="_Toc462564074"/>
      <w:bookmarkStart w:id="102" w:name="_Toc513029215"/>
      <w:bookmarkStart w:id="103" w:name="_Toc20823287"/>
      <w:r>
        <w:rPr>
          <w:rFonts w:hint="eastAsia" w:ascii="宋体" w:hAnsi="宋体" w:cs="宋体"/>
          <w:b w:val="0"/>
          <w:color w:val="auto"/>
          <w:sz w:val="24"/>
          <w:szCs w:val="24"/>
        </w:rPr>
        <w:t>11、投标文件构成</w:t>
      </w:r>
      <w:bookmarkEnd w:id="100"/>
      <w:bookmarkEnd w:id="101"/>
      <w:bookmarkEnd w:id="102"/>
      <w:bookmarkEnd w:id="103"/>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11.1</w:t>
      </w:r>
      <w:r>
        <w:rPr>
          <w:rFonts w:hint="eastAsia" w:ascii="宋体" w:hAnsi="宋体" w:cs="宋体"/>
          <w:color w:val="auto"/>
          <w:sz w:val="24"/>
          <w:szCs w:val="24"/>
        </w:rPr>
        <w:t xml:space="preserve"> 投标人编写的投标文件应包括资信证明文件、投标配置与分项报价表、供货一览表、技术参数响应及偏离表、商务条款响应及偏离表、技术及售后服务承诺书、投标函、开标一览表等部分；</w:t>
      </w:r>
    </w:p>
    <w:p>
      <w:pPr>
        <w:snapToGrid w:val="0"/>
        <w:spacing w:line="440" w:lineRule="exact"/>
        <w:ind w:firstLine="480" w:firstLineChars="200"/>
        <w:rPr>
          <w:rFonts w:hint="eastAsia" w:ascii="宋体" w:hAnsi="宋体" w:cs="宋体"/>
          <w:b/>
          <w:color w:val="auto"/>
          <w:sz w:val="24"/>
        </w:rPr>
      </w:pPr>
      <w:r>
        <w:rPr>
          <w:rFonts w:hint="eastAsia" w:ascii="宋体" w:hAnsi="宋体" w:cs="宋体"/>
          <w:color w:val="auto"/>
          <w:sz w:val="24"/>
          <w:szCs w:val="24"/>
        </w:rPr>
        <w:t>11.2</w:t>
      </w:r>
      <w:r>
        <w:rPr>
          <w:rFonts w:hint="eastAsia" w:ascii="宋体" w:hAnsi="宋体" w:cs="宋体"/>
          <w:b/>
          <w:color w:val="auto"/>
          <w:sz w:val="24"/>
          <w:szCs w:val="24"/>
        </w:rPr>
        <w:t xml:space="preserve"> </w:t>
      </w:r>
      <w:r>
        <w:rPr>
          <w:rFonts w:hint="eastAsia" w:ascii="宋体" w:hAnsi="宋体" w:cs="宋体"/>
          <w:color w:val="auto"/>
          <w:sz w:val="24"/>
          <w:szCs w:val="24"/>
        </w:rPr>
        <w:t>投标人应将投标文件按顺序装订成册，并编制投标文件资料目录。</w:t>
      </w:r>
    </w:p>
    <w:p>
      <w:pPr>
        <w:spacing w:line="440" w:lineRule="exact"/>
        <w:ind w:firstLine="482" w:firstLineChars="200"/>
        <w:rPr>
          <w:rFonts w:hint="eastAsia" w:ascii="宋体" w:hAnsi="宋体" w:cs="宋体"/>
          <w:color w:val="auto"/>
          <w:sz w:val="24"/>
          <w:szCs w:val="24"/>
        </w:rPr>
      </w:pPr>
      <w:r>
        <w:rPr>
          <w:rFonts w:hint="eastAsia" w:ascii="宋体" w:hAnsi="宋体" w:cs="宋体"/>
          <w:b/>
          <w:color w:val="auto"/>
          <w:sz w:val="24"/>
        </w:rPr>
        <w:t>以上材料需提供原件及复印件, 复印件加盖单位法人章、法定代表人章印（或签署），原件不必装订，直接封在档案袋内密封后提交，并将原件资料清单放在封袋内。</w:t>
      </w:r>
    </w:p>
    <w:p>
      <w:pPr>
        <w:pStyle w:val="2"/>
        <w:spacing w:before="0" w:after="0" w:line="440" w:lineRule="exact"/>
        <w:ind w:firstLine="480" w:firstLineChars="200"/>
        <w:rPr>
          <w:rFonts w:hint="eastAsia" w:ascii="宋体" w:hAnsi="宋体" w:cs="宋体"/>
          <w:b w:val="0"/>
          <w:color w:val="auto"/>
          <w:sz w:val="24"/>
          <w:szCs w:val="24"/>
        </w:rPr>
      </w:pPr>
      <w:bookmarkStart w:id="104" w:name="_Hlt26954838"/>
      <w:bookmarkEnd w:id="104"/>
      <w:bookmarkStart w:id="105" w:name="_Hlt26670360"/>
      <w:bookmarkEnd w:id="105"/>
      <w:bookmarkStart w:id="106" w:name="_Hlt26668975"/>
      <w:bookmarkEnd w:id="106"/>
      <w:bookmarkStart w:id="107" w:name="_Toc49090509"/>
      <w:bookmarkStart w:id="108" w:name="_Toc14577357"/>
      <w:bookmarkStart w:id="109" w:name="_Toc513029219"/>
      <w:bookmarkStart w:id="110" w:name="_Toc49090507"/>
      <w:bookmarkStart w:id="111" w:name="_Toc513029216"/>
      <w:bookmarkStart w:id="112" w:name="_Toc14577354"/>
      <w:r>
        <w:rPr>
          <w:rFonts w:hint="eastAsia" w:ascii="宋体" w:hAnsi="宋体" w:cs="宋体"/>
          <w:b w:val="0"/>
          <w:color w:val="auto"/>
          <w:sz w:val="24"/>
          <w:szCs w:val="24"/>
        </w:rPr>
        <w:t>12、证明投标人资格及符合招标文件规定的文件</w:t>
      </w:r>
      <w:bookmarkEnd w:id="107"/>
      <w:bookmarkEnd w:id="108"/>
      <w:bookmarkEnd w:id="109"/>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12.1</w:t>
      </w:r>
      <w:bookmarkStart w:id="113" w:name="_Hlt26668999"/>
      <w:bookmarkEnd w:id="113"/>
      <w:r>
        <w:rPr>
          <w:rFonts w:hint="eastAsia" w:ascii="宋体" w:hAnsi="宋体" w:cs="宋体"/>
          <w:color w:val="auto"/>
          <w:sz w:val="24"/>
          <w:szCs w:val="24"/>
        </w:rPr>
        <w:t>投标人应按要求提交资格证明文件及符合招标文件规定的文件。</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12.2投标人应提交证明其有资格参加投标和中标后有能力独立履行合同的文件。</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12.3投标人除必须具有履行合同所需提供的货物以及服务的能力外，还必须具备相应的财务、技术方面的能力。</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12.4投标人应提交根据合同要求提供的证明货物以及服务质量合格以及符合招标文件规定的证明文件。</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12.5证明投标人所提供货物及服务与招标文件的要求相一致的文件可以是手册、图纸、文字资料和数据</w:t>
      </w:r>
      <w:r>
        <w:rPr>
          <w:rFonts w:hint="eastAsia" w:ascii="宋体" w:hAnsi="宋体" w:cs="宋体"/>
          <w:bCs/>
          <w:color w:val="auto"/>
          <w:sz w:val="24"/>
          <w:szCs w:val="24"/>
        </w:rPr>
        <w:t>。</w:t>
      </w:r>
    </w:p>
    <w:bookmarkEnd w:id="110"/>
    <w:bookmarkEnd w:id="111"/>
    <w:bookmarkEnd w:id="112"/>
    <w:p>
      <w:pPr>
        <w:pStyle w:val="2"/>
        <w:spacing w:before="0" w:after="0" w:line="440" w:lineRule="exact"/>
        <w:ind w:firstLine="480" w:firstLineChars="200"/>
        <w:rPr>
          <w:rFonts w:hint="eastAsia" w:ascii="宋体" w:hAnsi="宋体" w:cs="宋体"/>
          <w:b w:val="0"/>
          <w:color w:val="auto"/>
          <w:sz w:val="24"/>
          <w:szCs w:val="24"/>
        </w:rPr>
      </w:pPr>
      <w:bookmarkStart w:id="114" w:name="_Toc14577355"/>
      <w:bookmarkStart w:id="115" w:name="_Toc49090508"/>
      <w:r>
        <w:rPr>
          <w:rFonts w:hint="eastAsia" w:ascii="宋体" w:hAnsi="宋体" w:cs="宋体"/>
          <w:b w:val="0"/>
          <w:color w:val="auto"/>
          <w:sz w:val="24"/>
          <w:szCs w:val="24"/>
        </w:rPr>
        <w:t>13、供货一览表和投标配置与分项报价</w:t>
      </w:r>
      <w:bookmarkEnd w:id="114"/>
      <w:bookmarkStart w:id="116" w:name="_Hlt26670373"/>
      <w:bookmarkEnd w:id="116"/>
      <w:r>
        <w:rPr>
          <w:rFonts w:hint="eastAsia" w:ascii="宋体" w:hAnsi="宋体" w:cs="宋体"/>
          <w:b w:val="0"/>
          <w:color w:val="auto"/>
          <w:sz w:val="24"/>
          <w:szCs w:val="24"/>
        </w:rPr>
        <w:t>表</w:t>
      </w:r>
      <w:bookmarkEnd w:id="115"/>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13.1</w:t>
      </w:r>
      <w:r>
        <w:rPr>
          <w:rFonts w:hint="eastAsia" w:ascii="宋体" w:hAnsi="宋体" w:cs="宋体"/>
          <w:color w:val="auto"/>
          <w:sz w:val="24"/>
          <w:szCs w:val="24"/>
        </w:rPr>
        <w:t xml:space="preserve"> 投</w:t>
      </w:r>
      <w:bookmarkStart w:id="117" w:name="_Hlt26954840"/>
      <w:bookmarkEnd w:id="117"/>
      <w:r>
        <w:rPr>
          <w:rFonts w:hint="eastAsia" w:ascii="宋体" w:hAnsi="宋体" w:cs="宋体"/>
          <w:color w:val="auto"/>
          <w:sz w:val="24"/>
          <w:szCs w:val="24"/>
        </w:rPr>
        <w:t>标人应按照招标文件规定格式填报供货一览表、投标配置与分项报价表</w:t>
      </w:r>
      <w:bookmarkStart w:id="118" w:name="_Hlt26670399"/>
      <w:bookmarkEnd w:id="118"/>
      <w:r>
        <w:rPr>
          <w:rFonts w:hint="eastAsia" w:ascii="宋体" w:hAnsi="宋体" w:cs="宋体"/>
          <w:color w:val="auto"/>
          <w:sz w:val="24"/>
          <w:szCs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13.2</w:t>
      </w:r>
      <w:r>
        <w:rPr>
          <w:rFonts w:hint="eastAsia" w:ascii="宋体" w:hAnsi="宋体" w:cs="宋体"/>
          <w:color w:val="auto"/>
          <w:sz w:val="24"/>
          <w:szCs w:val="24"/>
        </w:rPr>
        <w:t xml:space="preserve"> 标的物</w:t>
      </w:r>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采购人需求的货物供应、安装，调试及有关技术服务等</w:t>
      </w:r>
      <w:r>
        <w:rPr>
          <w:rFonts w:hint="eastAsia" w:ascii="宋体" w:hAnsi="宋体" w:cs="宋体"/>
          <w:color w:val="auto"/>
          <w:sz w:val="24"/>
          <w:szCs w:val="24"/>
        </w:rPr>
        <w:t>。</w:t>
      </w:r>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13.3</w:t>
      </w:r>
      <w:r>
        <w:rPr>
          <w:rFonts w:hint="eastAsia" w:ascii="宋体" w:hAnsi="宋体" w:cs="宋体"/>
          <w:bCs/>
          <w:color w:val="auto"/>
          <w:sz w:val="24"/>
          <w:szCs w:val="24"/>
        </w:rPr>
        <w:t>有关费用处理</w:t>
      </w:r>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13.4</w:t>
      </w:r>
      <w:r>
        <w:rPr>
          <w:rFonts w:hint="eastAsia" w:ascii="宋体" w:hAnsi="宋体" w:cs="宋体"/>
          <w:bCs/>
          <w:color w:val="auto"/>
          <w:sz w:val="24"/>
          <w:szCs w:val="24"/>
        </w:rPr>
        <w:t>其它费用处理</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招标文件未列明，而投标人认为必需的费用也需列入报价。</w:t>
      </w:r>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13.5</w:t>
      </w:r>
      <w:r>
        <w:rPr>
          <w:rFonts w:hint="eastAsia" w:ascii="宋体" w:hAnsi="宋体" w:cs="宋体"/>
          <w:bCs/>
          <w:color w:val="auto"/>
          <w:sz w:val="24"/>
          <w:szCs w:val="24"/>
        </w:rPr>
        <w:t>投标货币</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投标文件中的货物</w:t>
      </w:r>
      <w:r>
        <w:rPr>
          <w:rFonts w:hint="eastAsia" w:ascii="宋体" w:hAnsi="宋体" w:cs="宋体"/>
          <w:color w:val="auto"/>
          <w:sz w:val="24"/>
          <w:szCs w:val="24"/>
        </w:rPr>
        <w:t>及服务</w:t>
      </w:r>
      <w:r>
        <w:rPr>
          <w:rFonts w:hint="eastAsia" w:ascii="宋体" w:hAnsi="宋体" w:cs="宋体"/>
          <w:bCs/>
          <w:color w:val="auto"/>
          <w:sz w:val="24"/>
          <w:szCs w:val="24"/>
        </w:rPr>
        <w:t>单价和总价无特殊规定的采用人民币报价，以元为单位标注。</w:t>
      </w:r>
      <w:r>
        <w:rPr>
          <w:rFonts w:hint="eastAsia" w:ascii="宋体" w:hAnsi="宋体" w:cs="宋体"/>
          <w:color w:val="auto"/>
          <w:sz w:val="24"/>
          <w:szCs w:val="24"/>
        </w:rPr>
        <w:t>招标文件中另有规定的按规定执行。</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13.6</w:t>
      </w:r>
      <w:r>
        <w:rPr>
          <w:rFonts w:hint="eastAsia" w:ascii="宋体" w:hAnsi="宋体" w:cs="宋体"/>
          <w:bCs/>
          <w:color w:val="auto"/>
          <w:sz w:val="24"/>
          <w:szCs w:val="24"/>
        </w:rPr>
        <w:t xml:space="preserve"> 投标配置与分项报价表上的价格应按下列方式分开填写</w:t>
      </w:r>
      <w:r>
        <w:rPr>
          <w:rFonts w:hint="eastAsia" w:ascii="宋体" w:hAnsi="宋体" w:cs="宋体"/>
          <w:color w:val="auto"/>
          <w:sz w:val="24"/>
          <w:szCs w:val="24"/>
        </w:rPr>
        <w:t>：</w:t>
      </w:r>
    </w:p>
    <w:p>
      <w:pPr>
        <w:spacing w:line="440" w:lineRule="exact"/>
        <w:ind w:firstLine="480" w:firstLineChars="200"/>
        <w:rPr>
          <w:rFonts w:hint="eastAsia" w:ascii="宋体" w:hAnsi="宋体" w:cs="宋体"/>
          <w:bCs/>
          <w:color w:val="auto"/>
          <w:sz w:val="24"/>
          <w:szCs w:val="24"/>
        </w:rPr>
      </w:pPr>
      <w:bookmarkStart w:id="119" w:name="_Hlt26954842"/>
      <w:bookmarkEnd w:id="119"/>
      <w:bookmarkStart w:id="120" w:name="_Hlt26670403"/>
      <w:bookmarkEnd w:id="120"/>
      <w:bookmarkStart w:id="121" w:name="_Hlt26954844"/>
      <w:bookmarkEnd w:id="121"/>
      <w:bookmarkStart w:id="122" w:name="_Hlt26668983"/>
      <w:bookmarkEnd w:id="122"/>
      <w:bookmarkStart w:id="123" w:name="_Hlt26670425"/>
      <w:bookmarkEnd w:id="123"/>
      <w:r>
        <w:rPr>
          <w:rFonts w:hint="eastAsia" w:ascii="宋体" w:hAnsi="宋体" w:cs="宋体"/>
          <w:bCs/>
          <w:color w:val="auto"/>
          <w:sz w:val="24"/>
          <w:szCs w:val="24"/>
        </w:rPr>
        <w:t xml:space="preserve">13.6.1 </w:t>
      </w:r>
      <w:r>
        <w:rPr>
          <w:rFonts w:hint="eastAsia" w:ascii="宋体" w:hAnsi="宋体" w:cs="宋体"/>
          <w:color w:val="auto"/>
          <w:sz w:val="24"/>
          <w:szCs w:val="24"/>
        </w:rPr>
        <w:t>项目总价：包括</w:t>
      </w:r>
      <w:r>
        <w:rPr>
          <w:rFonts w:hint="eastAsia" w:ascii="宋体" w:hAnsi="宋体" w:cs="宋体"/>
          <w:bCs/>
          <w:color w:val="auto"/>
          <w:sz w:val="24"/>
          <w:szCs w:val="24"/>
        </w:rPr>
        <w:t>买方需求的货物价格</w:t>
      </w:r>
      <w:r>
        <w:rPr>
          <w:rFonts w:hint="eastAsia" w:ascii="宋体" w:hAnsi="宋体" w:cs="宋体"/>
          <w:color w:val="auto"/>
          <w:sz w:val="24"/>
          <w:szCs w:val="24"/>
        </w:rPr>
        <w:t>、</w:t>
      </w:r>
      <w:r>
        <w:rPr>
          <w:rFonts w:hint="eastAsia" w:ascii="宋体" w:hAnsi="宋体" w:cs="宋体"/>
          <w:bCs/>
          <w:color w:val="auto"/>
          <w:sz w:val="24"/>
          <w:szCs w:val="24"/>
        </w:rPr>
        <w:t>质量保证费用、培训费用及售后服务费用，项目在指定地点、环境交付、安装、调试、验收所需费用和所有</w:t>
      </w:r>
      <w:r>
        <w:rPr>
          <w:rFonts w:hint="eastAsia" w:ascii="宋体" w:hAnsi="宋体" w:cs="宋体"/>
          <w:color w:val="auto"/>
          <w:sz w:val="24"/>
          <w:szCs w:val="24"/>
        </w:rPr>
        <w:t>相关税金费用</w:t>
      </w:r>
      <w:r>
        <w:rPr>
          <w:rFonts w:hint="eastAsia" w:ascii="宋体" w:hAnsi="宋体" w:cs="宋体"/>
          <w:bCs/>
          <w:color w:val="auto"/>
          <w:sz w:val="24"/>
          <w:szCs w:val="24"/>
        </w:rPr>
        <w:t>及为完成整个项目所产生的其它所有费用。</w:t>
      </w:r>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13.6.2</w:t>
      </w:r>
      <w:r>
        <w:rPr>
          <w:rFonts w:hint="eastAsia" w:ascii="宋体" w:hAnsi="宋体" w:cs="宋体"/>
          <w:bCs/>
          <w:color w:val="auto"/>
          <w:sz w:val="24"/>
          <w:szCs w:val="24"/>
        </w:rPr>
        <w:t>项目单价按投标配置及分项报价表中要求填报。</w:t>
      </w:r>
      <w:bookmarkStart w:id="124" w:name="_Hlt26954846"/>
      <w:bookmarkEnd w:id="124"/>
      <w:bookmarkStart w:id="125" w:name="_Hlt26954731"/>
      <w:bookmarkEnd w:id="125"/>
      <w:bookmarkStart w:id="126" w:name="_Hlt26670486"/>
      <w:bookmarkEnd w:id="126"/>
      <w:bookmarkStart w:id="127" w:name="_Hlt26670482"/>
      <w:bookmarkEnd w:id="127"/>
      <w:bookmarkStart w:id="128" w:name="_Hlt26954848"/>
      <w:bookmarkEnd w:id="128"/>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14</w:t>
      </w:r>
      <w:r>
        <w:rPr>
          <w:rFonts w:hint="eastAsia" w:ascii="宋体" w:hAnsi="宋体" w:cs="宋体"/>
          <w:b/>
          <w:bCs/>
          <w:color w:val="auto"/>
          <w:sz w:val="24"/>
          <w:szCs w:val="24"/>
        </w:rPr>
        <w:t>、</w:t>
      </w:r>
      <w:r>
        <w:rPr>
          <w:rFonts w:hint="eastAsia" w:ascii="宋体" w:hAnsi="宋体" w:cs="宋体"/>
          <w:color w:val="auto"/>
          <w:sz w:val="24"/>
          <w:szCs w:val="24"/>
        </w:rPr>
        <w:t>技术参数响应及偏离表、商务条款响应及偏离表及投标货物说明</w:t>
      </w:r>
    </w:p>
    <w:p>
      <w:pPr>
        <w:autoSpaceDE w:val="0"/>
        <w:autoSpaceDN w:val="0"/>
        <w:adjustRightInd w:val="0"/>
        <w:spacing w:line="440" w:lineRule="exact"/>
        <w:ind w:firstLine="480" w:firstLineChars="200"/>
        <w:rPr>
          <w:rFonts w:hint="eastAsia" w:ascii="宋体" w:hAnsi="宋体" w:cs="宋体"/>
          <w:color w:val="auto"/>
          <w:sz w:val="24"/>
          <w:szCs w:val="24"/>
          <w:lang w:val="zh-CN"/>
        </w:rPr>
      </w:pPr>
      <w:r>
        <w:rPr>
          <w:rFonts w:hint="eastAsia" w:ascii="宋体" w:hAnsi="宋体" w:cs="宋体"/>
          <w:bCs/>
          <w:color w:val="auto"/>
          <w:sz w:val="24"/>
          <w:szCs w:val="24"/>
          <w:lang w:val="zh-CN"/>
        </w:rPr>
        <w:t>14.1</w:t>
      </w:r>
      <w:r>
        <w:rPr>
          <w:rFonts w:hint="eastAsia" w:ascii="宋体" w:hAnsi="宋体" w:cs="宋体"/>
          <w:color w:val="auto"/>
          <w:sz w:val="24"/>
          <w:szCs w:val="24"/>
          <w:lang w:val="zh-CN"/>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hint="eastAsia" w:ascii="宋体" w:hAnsi="宋体" w:cs="宋体"/>
          <w:color w:val="auto"/>
          <w:sz w:val="24"/>
          <w:szCs w:val="24"/>
          <w:lang w:val="zh-CN"/>
        </w:rPr>
      </w:pPr>
      <w:r>
        <w:rPr>
          <w:rFonts w:hint="eastAsia" w:ascii="宋体" w:hAnsi="宋体" w:cs="宋体"/>
          <w:color w:val="auto"/>
          <w:sz w:val="24"/>
          <w:szCs w:val="24"/>
          <w:lang w:val="zh-CN"/>
        </w:rPr>
        <w:t>14.2 提供参加本项目类似案例简介；</w:t>
      </w:r>
    </w:p>
    <w:p>
      <w:pPr>
        <w:tabs>
          <w:tab w:val="left" w:pos="1035"/>
        </w:tabs>
        <w:autoSpaceDE w:val="0"/>
        <w:autoSpaceDN w:val="0"/>
        <w:adjustRightInd w:val="0"/>
        <w:spacing w:line="440" w:lineRule="exact"/>
        <w:ind w:firstLine="480" w:firstLineChars="200"/>
        <w:rPr>
          <w:rFonts w:hint="eastAsia" w:ascii="宋体" w:hAnsi="宋体" w:cs="宋体"/>
          <w:color w:val="auto"/>
          <w:sz w:val="24"/>
          <w:szCs w:val="24"/>
          <w:lang w:val="zh-CN"/>
        </w:rPr>
      </w:pPr>
      <w:r>
        <w:rPr>
          <w:rFonts w:hint="eastAsia" w:ascii="宋体" w:hAnsi="宋体" w:cs="宋体"/>
          <w:color w:val="auto"/>
          <w:sz w:val="24"/>
          <w:szCs w:val="24"/>
          <w:lang w:val="zh-CN"/>
        </w:rPr>
        <w:t>14.3 培训计划；</w:t>
      </w:r>
    </w:p>
    <w:p>
      <w:pPr>
        <w:tabs>
          <w:tab w:val="left" w:pos="1035"/>
        </w:tabs>
        <w:autoSpaceDE w:val="0"/>
        <w:autoSpaceDN w:val="0"/>
        <w:adjustRightInd w:val="0"/>
        <w:spacing w:line="440" w:lineRule="exact"/>
        <w:ind w:firstLine="480" w:firstLineChars="200"/>
        <w:rPr>
          <w:rFonts w:hint="eastAsia" w:ascii="宋体" w:hAnsi="宋体" w:cs="宋体"/>
          <w:color w:val="auto"/>
          <w:sz w:val="24"/>
          <w:szCs w:val="24"/>
          <w:lang w:val="zh-CN"/>
        </w:rPr>
      </w:pPr>
      <w:r>
        <w:rPr>
          <w:rFonts w:hint="eastAsia" w:ascii="宋体" w:hAnsi="宋体" w:cs="宋体"/>
          <w:color w:val="auto"/>
          <w:sz w:val="24"/>
          <w:szCs w:val="24"/>
          <w:lang w:val="zh-CN"/>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hint="eastAsia" w:ascii="宋体" w:hAnsi="宋体" w:cs="宋体"/>
          <w:color w:val="auto"/>
          <w:sz w:val="24"/>
          <w:szCs w:val="24"/>
          <w:lang w:val="zh-CN"/>
        </w:rPr>
      </w:pPr>
      <w:r>
        <w:rPr>
          <w:rFonts w:hint="eastAsia" w:ascii="宋体" w:hAnsi="宋体" w:cs="宋体"/>
          <w:color w:val="auto"/>
          <w:sz w:val="24"/>
          <w:szCs w:val="24"/>
          <w:lang w:val="zh-CN"/>
        </w:rPr>
        <w:t>14.5 投标人认为需要的其他技术文件或说明。</w:t>
      </w:r>
    </w:p>
    <w:p>
      <w:pPr>
        <w:tabs>
          <w:tab w:val="left" w:pos="1035"/>
        </w:tabs>
        <w:autoSpaceDE w:val="0"/>
        <w:autoSpaceDN w:val="0"/>
        <w:adjustRightInd w:val="0"/>
        <w:spacing w:line="440" w:lineRule="exact"/>
        <w:ind w:firstLine="480" w:firstLineChars="200"/>
        <w:rPr>
          <w:rFonts w:hint="eastAsia" w:ascii="宋体" w:hAnsi="宋体" w:cs="宋体"/>
          <w:color w:val="auto"/>
          <w:sz w:val="24"/>
          <w:szCs w:val="24"/>
          <w:lang w:val="zh-CN"/>
        </w:rPr>
      </w:pPr>
      <w:r>
        <w:rPr>
          <w:rFonts w:hint="eastAsia" w:ascii="宋体" w:hAnsi="宋体" w:cs="宋体"/>
          <w:bCs/>
          <w:color w:val="auto"/>
          <w:sz w:val="24"/>
          <w:szCs w:val="24"/>
        </w:rPr>
        <w:t>15、</w:t>
      </w:r>
      <w:r>
        <w:rPr>
          <w:rFonts w:hint="eastAsia" w:ascii="宋体" w:hAnsi="宋体" w:cs="宋体"/>
          <w:color w:val="auto"/>
          <w:sz w:val="24"/>
          <w:szCs w:val="24"/>
        </w:rPr>
        <w:t>服务承诺及售后服务机构、人员的情况介绍</w:t>
      </w:r>
    </w:p>
    <w:p>
      <w:pPr>
        <w:tabs>
          <w:tab w:val="left" w:pos="1035"/>
        </w:tabs>
        <w:autoSpaceDE w:val="0"/>
        <w:autoSpaceDN w:val="0"/>
        <w:adjustRightInd w:val="0"/>
        <w:spacing w:line="440" w:lineRule="exact"/>
        <w:ind w:firstLine="480" w:firstLineChars="200"/>
        <w:rPr>
          <w:rFonts w:hint="eastAsia" w:ascii="宋体" w:hAnsi="宋体" w:cs="宋体"/>
          <w:color w:val="auto"/>
          <w:sz w:val="24"/>
          <w:szCs w:val="24"/>
          <w:lang w:val="zh-CN"/>
        </w:rPr>
      </w:pPr>
      <w:r>
        <w:rPr>
          <w:rFonts w:hint="eastAsia" w:ascii="宋体" w:hAnsi="宋体" w:cs="宋体"/>
          <w:bCs/>
          <w:color w:val="auto"/>
          <w:sz w:val="24"/>
          <w:szCs w:val="24"/>
        </w:rPr>
        <w:t>15、1</w:t>
      </w:r>
      <w:r>
        <w:rPr>
          <w:rFonts w:hint="eastAsia" w:ascii="宋体" w:hAnsi="宋体" w:cs="宋体"/>
          <w:color w:val="auto"/>
          <w:sz w:val="24"/>
          <w:szCs w:val="24"/>
        </w:rPr>
        <w:t>投标人的服务承诺应按不低于招标文件中商务要求的标准。</w:t>
      </w:r>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15、2</w:t>
      </w:r>
      <w:r>
        <w:rPr>
          <w:rFonts w:hint="eastAsia" w:ascii="宋体" w:hAnsi="宋体" w:cs="宋体"/>
          <w:color w:val="auto"/>
          <w:sz w:val="24"/>
          <w:szCs w:val="24"/>
        </w:rPr>
        <w:t>提供投标人有关售后服务的管理制度、售后服务机构的分布情况、售后服务人员的数量、素质、技术水平及售后服务的反应能力。</w:t>
      </w:r>
    </w:p>
    <w:p>
      <w:pPr>
        <w:pStyle w:val="2"/>
        <w:spacing w:before="0" w:after="0" w:line="440" w:lineRule="exact"/>
        <w:ind w:firstLine="480" w:firstLineChars="200"/>
        <w:rPr>
          <w:rFonts w:hint="eastAsia" w:ascii="宋体" w:hAnsi="宋体" w:cs="宋体"/>
          <w:b w:val="0"/>
          <w:color w:val="auto"/>
          <w:sz w:val="24"/>
          <w:szCs w:val="24"/>
        </w:rPr>
      </w:pPr>
      <w:bookmarkStart w:id="129" w:name="_Toc14577359"/>
      <w:bookmarkStart w:id="130" w:name="_Toc49090510"/>
      <w:r>
        <w:rPr>
          <w:rFonts w:hint="eastAsia" w:ascii="宋体" w:hAnsi="宋体" w:cs="宋体"/>
          <w:b w:val="0"/>
          <w:color w:val="auto"/>
          <w:sz w:val="24"/>
          <w:szCs w:val="24"/>
        </w:rPr>
        <w:t>16、投标函和开标一览表</w:t>
      </w:r>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16.1</w:t>
      </w:r>
      <w:r>
        <w:rPr>
          <w:rFonts w:hint="eastAsia" w:ascii="宋体" w:hAnsi="宋体" w:cs="宋体"/>
          <w:color w:val="auto"/>
          <w:sz w:val="24"/>
          <w:szCs w:val="24"/>
        </w:rPr>
        <w:t xml:space="preserve"> 投标人应按照招标文件中提供的格式完整、正确填写投标函、开标一览表。</w:t>
      </w:r>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16.2</w:t>
      </w:r>
      <w:r>
        <w:rPr>
          <w:rFonts w:hint="eastAsia" w:ascii="宋体" w:hAnsi="宋体" w:cs="宋体"/>
          <w:color w:val="auto"/>
          <w:sz w:val="24"/>
          <w:szCs w:val="24"/>
        </w:rPr>
        <w:t xml:space="preserve"> </w:t>
      </w:r>
      <w:r>
        <w:rPr>
          <w:rFonts w:hint="eastAsia" w:ascii="宋体" w:hAnsi="宋体" w:cs="宋体"/>
          <w:bCs/>
          <w:color w:val="auto"/>
          <w:sz w:val="24"/>
          <w:szCs w:val="24"/>
        </w:rPr>
        <w:t>开标一览表中的价格应与投标文件中投标配置与分项报价表中的价格一致，如不一致，</w:t>
      </w:r>
      <w:r>
        <w:rPr>
          <w:rFonts w:hint="eastAsia" w:ascii="宋体" w:hAnsi="宋体" w:cs="宋体"/>
          <w:color w:val="auto"/>
          <w:sz w:val="24"/>
          <w:szCs w:val="24"/>
        </w:rPr>
        <w:t>不作为无效投标处理</w:t>
      </w:r>
      <w:r>
        <w:rPr>
          <w:rFonts w:hint="eastAsia" w:ascii="宋体" w:hAnsi="宋体" w:cs="宋体"/>
          <w:bCs/>
          <w:color w:val="auto"/>
          <w:sz w:val="24"/>
          <w:szCs w:val="24"/>
        </w:rPr>
        <w:t>，但评标时按开标一览表中价格为准</w:t>
      </w:r>
      <w:r>
        <w:rPr>
          <w:rFonts w:hint="eastAsia" w:ascii="宋体" w:hAnsi="宋体" w:cs="宋体"/>
          <w:b/>
          <w:bCs/>
          <w:color w:val="auto"/>
          <w:sz w:val="24"/>
          <w:szCs w:val="24"/>
        </w:rPr>
        <w:t>。</w:t>
      </w:r>
    </w:p>
    <w:bookmarkEnd w:id="129"/>
    <w:bookmarkEnd w:id="130"/>
    <w:p>
      <w:pPr>
        <w:pStyle w:val="2"/>
        <w:spacing w:before="0" w:after="0" w:line="440" w:lineRule="exact"/>
        <w:ind w:firstLine="480" w:firstLineChars="200"/>
        <w:rPr>
          <w:rFonts w:hint="eastAsia" w:ascii="宋体" w:hAnsi="宋体" w:cs="宋体"/>
          <w:b w:val="0"/>
          <w:color w:val="auto"/>
          <w:sz w:val="24"/>
          <w:szCs w:val="24"/>
        </w:rPr>
      </w:pPr>
      <w:bookmarkStart w:id="131" w:name="_Hlt26954850"/>
      <w:bookmarkEnd w:id="131"/>
      <w:bookmarkStart w:id="132" w:name="_Hlt26954734"/>
      <w:bookmarkEnd w:id="132"/>
      <w:bookmarkStart w:id="133" w:name="_Hlt26670489"/>
      <w:bookmarkEnd w:id="133"/>
      <w:bookmarkStart w:id="134" w:name="_Toc49090511"/>
      <w:bookmarkStart w:id="135" w:name="_Toc14577360"/>
      <w:r>
        <w:rPr>
          <w:rFonts w:hint="eastAsia" w:ascii="宋体" w:hAnsi="宋体" w:cs="宋体"/>
          <w:b w:val="0"/>
          <w:color w:val="auto"/>
          <w:sz w:val="24"/>
          <w:szCs w:val="24"/>
        </w:rPr>
        <w:t>17、投标有效期</w:t>
      </w:r>
      <w:bookmarkEnd w:id="134"/>
      <w:bookmarkEnd w:id="135"/>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17.1</w:t>
      </w:r>
      <w:r>
        <w:rPr>
          <w:rFonts w:hint="eastAsia" w:ascii="宋体" w:hAnsi="宋体" w:cs="宋体"/>
          <w:bCs/>
          <w:color w:val="auto"/>
          <w:sz w:val="24"/>
          <w:szCs w:val="24"/>
        </w:rPr>
        <w:t xml:space="preserve"> 投标有效期为采购人或采购代理机构规定的开标之日后</w:t>
      </w:r>
      <w:r>
        <w:rPr>
          <w:rFonts w:hint="eastAsia" w:ascii="宋体" w:hAnsi="宋体" w:cs="宋体"/>
          <w:b/>
          <w:color w:val="auto"/>
          <w:sz w:val="24"/>
          <w:szCs w:val="24"/>
          <w:u w:val="single"/>
        </w:rPr>
        <w:t>六十（60）天</w:t>
      </w:r>
      <w:r>
        <w:rPr>
          <w:rFonts w:hint="eastAsia" w:ascii="宋体" w:hAnsi="宋体" w:cs="宋体"/>
          <w:bCs/>
          <w:color w:val="auto"/>
          <w:sz w:val="24"/>
          <w:szCs w:val="24"/>
        </w:rPr>
        <w:t>。投标有效期比规定短的将被视为非响应性投标而予以拒绝。</w:t>
      </w:r>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17.2</w:t>
      </w:r>
      <w:r>
        <w:rPr>
          <w:rFonts w:hint="eastAsia" w:ascii="宋体" w:hAnsi="宋体" w:cs="宋体"/>
          <w:bCs/>
          <w:color w:val="auto"/>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Fonts w:hint="eastAsia" w:ascii="宋体" w:hAnsi="宋体" w:cs="宋体"/>
          <w:color w:val="auto"/>
          <w:sz w:val="24"/>
          <w:szCs w:val="24"/>
        </w:rPr>
        <w:t>采购人或采购代理机构在接到投标人书面答复后，将在原投标有效期满后五日内</w:t>
      </w:r>
      <w:r>
        <w:rPr>
          <w:rFonts w:hint="eastAsia" w:ascii="宋体" w:hAnsi="宋体" w:cs="宋体"/>
          <w:b/>
          <w:bCs/>
          <w:color w:val="auto"/>
          <w:sz w:val="24"/>
          <w:szCs w:val="24"/>
        </w:rPr>
        <w:t>无息退还其投标保证金</w:t>
      </w:r>
      <w:r>
        <w:rPr>
          <w:rFonts w:hint="eastAsia" w:ascii="宋体" w:hAnsi="宋体" w:cs="宋体"/>
          <w:color w:val="auto"/>
          <w:sz w:val="24"/>
          <w:szCs w:val="24"/>
        </w:rPr>
        <w:t>。</w:t>
      </w:r>
      <w:r>
        <w:rPr>
          <w:rFonts w:hint="eastAsia" w:ascii="宋体" w:hAnsi="宋体" w:cs="宋体"/>
          <w:bCs/>
          <w:color w:val="auto"/>
          <w:sz w:val="24"/>
          <w:szCs w:val="24"/>
        </w:rPr>
        <w:t>同意延长投标有效期的投标人既不能要求也不允许修改其投标文件。第16条有关投标保证金的规定在延长期内继续有效</w:t>
      </w:r>
      <w:r>
        <w:rPr>
          <w:rFonts w:hint="eastAsia" w:ascii="宋体" w:hAnsi="宋体" w:cs="宋体"/>
          <w:color w:val="auto"/>
          <w:sz w:val="24"/>
          <w:szCs w:val="24"/>
        </w:rPr>
        <w:t>，同时受投标有效期约束的所有权利与义务均延长至新的有效期</w:t>
      </w:r>
      <w:r>
        <w:rPr>
          <w:rFonts w:hint="eastAsia" w:ascii="宋体" w:hAnsi="宋体" w:cs="宋体"/>
          <w:bCs/>
          <w:color w:val="auto"/>
          <w:sz w:val="24"/>
          <w:szCs w:val="24"/>
        </w:rPr>
        <w:t>。</w:t>
      </w:r>
    </w:p>
    <w:p>
      <w:pPr>
        <w:pStyle w:val="2"/>
        <w:spacing w:before="0" w:after="0" w:line="440" w:lineRule="exact"/>
        <w:ind w:firstLine="480" w:firstLineChars="200"/>
        <w:rPr>
          <w:rFonts w:hint="eastAsia" w:ascii="宋体" w:hAnsi="宋体" w:cs="宋体"/>
          <w:b w:val="0"/>
          <w:color w:val="auto"/>
          <w:sz w:val="24"/>
          <w:szCs w:val="24"/>
        </w:rPr>
      </w:pPr>
      <w:bookmarkStart w:id="136" w:name="_Hlt26954852"/>
      <w:bookmarkEnd w:id="136"/>
      <w:bookmarkStart w:id="137" w:name="_Hlt26954739"/>
      <w:bookmarkEnd w:id="137"/>
      <w:bookmarkStart w:id="138" w:name="_Toc49090512"/>
      <w:bookmarkStart w:id="139" w:name="_Toc14577361"/>
      <w:r>
        <w:rPr>
          <w:rFonts w:hint="eastAsia" w:ascii="宋体" w:hAnsi="宋体" w:cs="宋体"/>
          <w:b w:val="0"/>
          <w:color w:val="auto"/>
          <w:sz w:val="24"/>
          <w:szCs w:val="24"/>
        </w:rPr>
        <w:t>18、投标文件份数和签署</w:t>
      </w:r>
      <w:bookmarkEnd w:id="138"/>
      <w:bookmarkEnd w:id="139"/>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18.1</w:t>
      </w:r>
      <w:r>
        <w:rPr>
          <w:rFonts w:hint="eastAsia" w:ascii="宋体" w:hAnsi="宋体" w:cs="宋体"/>
          <w:b/>
          <w:color w:val="auto"/>
          <w:sz w:val="24"/>
          <w:szCs w:val="24"/>
        </w:rPr>
        <w:t xml:space="preserve"> </w:t>
      </w:r>
      <w:r>
        <w:rPr>
          <w:rFonts w:hint="eastAsia" w:ascii="宋体" w:hAnsi="宋体" w:cs="宋体"/>
          <w:bCs/>
          <w:color w:val="auto"/>
          <w:sz w:val="24"/>
          <w:szCs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18.2</w:t>
      </w:r>
      <w:r>
        <w:rPr>
          <w:rFonts w:hint="eastAsia" w:ascii="宋体" w:hAnsi="宋体" w:cs="宋体"/>
          <w:b/>
          <w:color w:val="auto"/>
          <w:sz w:val="24"/>
          <w:szCs w:val="24"/>
        </w:rPr>
        <w:t xml:space="preserve"> </w:t>
      </w:r>
      <w:r>
        <w:rPr>
          <w:rFonts w:hint="eastAsia" w:ascii="宋体" w:hAnsi="宋体" w:cs="宋体"/>
          <w:color w:val="auto"/>
          <w:sz w:val="24"/>
          <w:szCs w:val="24"/>
        </w:rPr>
        <w:t>投标文件正本中，</w:t>
      </w:r>
      <w:r>
        <w:rPr>
          <w:rFonts w:hint="eastAsia" w:ascii="宋体" w:hAnsi="宋体" w:cs="宋体"/>
          <w:bCs/>
          <w:color w:val="auto"/>
          <w:sz w:val="24"/>
          <w:szCs w:val="24"/>
        </w:rPr>
        <w:t>招标文件要求必须提供原件的按照要求提供，文</w:t>
      </w:r>
      <w:r>
        <w:rPr>
          <w:rFonts w:hint="eastAsia" w:ascii="宋体" w:hAnsi="宋体" w:cs="宋体"/>
          <w:color w:val="auto"/>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18.3</w:t>
      </w:r>
      <w:r>
        <w:rPr>
          <w:rFonts w:hint="eastAsia" w:ascii="宋体" w:hAnsi="宋体" w:cs="宋体"/>
          <w:bCs/>
          <w:color w:val="auto"/>
          <w:sz w:val="24"/>
          <w:szCs w:val="24"/>
        </w:rPr>
        <w:t xml:space="preserve"> 除投标人对错处做必要修改外，投标文件不得行间插字、涂改或增删。如有修改错漏处，必须由投标文件签署人签字或盖章。</w:t>
      </w:r>
    </w:p>
    <w:p>
      <w:pPr>
        <w:pStyle w:val="6"/>
        <w:spacing w:before="0" w:after="0" w:line="440" w:lineRule="exact"/>
        <w:ind w:firstLine="482" w:firstLineChars="200"/>
        <w:rPr>
          <w:rFonts w:hint="eastAsia" w:ascii="宋体" w:hAnsi="宋体" w:cs="宋体"/>
          <w:color w:val="auto"/>
          <w:sz w:val="24"/>
          <w:szCs w:val="24"/>
        </w:rPr>
      </w:pPr>
      <w:bookmarkStart w:id="140" w:name="_Toc120614217"/>
      <w:bookmarkStart w:id="141" w:name="_Toc20823296"/>
      <w:bookmarkStart w:id="142" w:name="_Toc513029224"/>
      <w:bookmarkStart w:id="143" w:name="_Toc16938540"/>
      <w:r>
        <w:rPr>
          <w:rFonts w:hint="eastAsia" w:ascii="宋体" w:hAnsi="宋体" w:cs="宋体"/>
          <w:color w:val="auto"/>
          <w:sz w:val="24"/>
          <w:szCs w:val="24"/>
        </w:rPr>
        <w:t>四、投标文件的递交</w:t>
      </w:r>
      <w:bookmarkEnd w:id="140"/>
      <w:bookmarkEnd w:id="141"/>
      <w:bookmarkEnd w:id="142"/>
      <w:bookmarkEnd w:id="143"/>
    </w:p>
    <w:p>
      <w:pPr>
        <w:pStyle w:val="2"/>
        <w:spacing w:before="0" w:after="0" w:line="440" w:lineRule="exact"/>
        <w:ind w:firstLine="480" w:firstLineChars="200"/>
        <w:rPr>
          <w:rFonts w:hint="eastAsia" w:ascii="宋体" w:hAnsi="宋体" w:cs="宋体"/>
          <w:b w:val="0"/>
          <w:color w:val="auto"/>
          <w:sz w:val="24"/>
          <w:szCs w:val="24"/>
        </w:rPr>
      </w:pPr>
      <w:bookmarkStart w:id="144" w:name="_Toc20823297"/>
      <w:bookmarkStart w:id="145" w:name="_Toc513029225"/>
      <w:bookmarkStart w:id="146" w:name="_Toc16938541"/>
      <w:bookmarkStart w:id="147" w:name="_Toc462564084"/>
      <w:r>
        <w:rPr>
          <w:rFonts w:hint="eastAsia" w:ascii="宋体" w:hAnsi="宋体" w:cs="宋体"/>
          <w:b w:val="0"/>
          <w:color w:val="auto"/>
          <w:sz w:val="24"/>
          <w:szCs w:val="24"/>
        </w:rPr>
        <w:t>19、投标文件的密封和标记</w:t>
      </w:r>
      <w:bookmarkEnd w:id="144"/>
      <w:bookmarkEnd w:id="145"/>
      <w:bookmarkEnd w:id="146"/>
      <w:bookmarkEnd w:id="147"/>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19.1</w:t>
      </w:r>
      <w:r>
        <w:rPr>
          <w:rFonts w:hint="eastAsia" w:ascii="宋体" w:hAnsi="宋体" w:cs="宋体"/>
          <w:bCs/>
          <w:color w:val="auto"/>
          <w:sz w:val="24"/>
          <w:szCs w:val="24"/>
        </w:rPr>
        <w:t>投标人应将投标文件正本和所有副本密封，不论投标人中标与否，投标文件均不退回。</w:t>
      </w:r>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19.2</w:t>
      </w:r>
      <w:r>
        <w:rPr>
          <w:rFonts w:hint="eastAsia" w:ascii="宋体" w:hAnsi="宋体" w:cs="宋体"/>
          <w:bCs/>
          <w:color w:val="auto"/>
          <w:sz w:val="24"/>
          <w:szCs w:val="24"/>
        </w:rPr>
        <w:t xml:space="preserve"> 密封的投标文件应：</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19.2.1 注明投标人名称，如因标注不清而产生的后果由投标人自负。按招标公告中注明的地址送达；</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19.2.2  注明投标项目名称、标书编号及包号。</w:t>
      </w:r>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19.2.3</w:t>
      </w:r>
      <w:r>
        <w:rPr>
          <w:rFonts w:hint="eastAsia" w:ascii="宋体" w:hAnsi="宋体" w:cs="宋体"/>
          <w:bCs/>
          <w:color w:val="auto"/>
          <w:sz w:val="24"/>
          <w:szCs w:val="24"/>
        </w:rPr>
        <w:t xml:space="preserve">  未按要求密封和加写标记，采购人和采购代理机构对误投或过早启封概不负责。对由此造成提前开封的投标文件，采购人和采购代理机构将予以拒绝。</w:t>
      </w:r>
    </w:p>
    <w:p>
      <w:pPr>
        <w:pStyle w:val="2"/>
        <w:spacing w:before="0" w:after="0" w:line="440" w:lineRule="exact"/>
        <w:ind w:firstLine="480" w:firstLineChars="200"/>
        <w:rPr>
          <w:rFonts w:hint="eastAsia" w:ascii="宋体" w:hAnsi="宋体" w:cs="宋体"/>
          <w:b w:val="0"/>
          <w:color w:val="auto"/>
          <w:sz w:val="24"/>
          <w:szCs w:val="24"/>
        </w:rPr>
      </w:pPr>
      <w:bookmarkStart w:id="148" w:name="_Toc20823298"/>
      <w:bookmarkStart w:id="149" w:name="_Toc16938542"/>
      <w:bookmarkStart w:id="150" w:name="_Toc513029226"/>
      <w:r>
        <w:rPr>
          <w:rFonts w:hint="eastAsia" w:ascii="宋体" w:hAnsi="宋体" w:cs="宋体"/>
          <w:b w:val="0"/>
          <w:color w:val="auto"/>
          <w:sz w:val="24"/>
          <w:szCs w:val="24"/>
        </w:rPr>
        <w:t>20、投标截止日期</w:t>
      </w:r>
      <w:bookmarkEnd w:id="148"/>
      <w:bookmarkEnd w:id="149"/>
      <w:bookmarkEnd w:id="150"/>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20.1</w:t>
      </w:r>
      <w:r>
        <w:rPr>
          <w:rFonts w:hint="eastAsia" w:ascii="宋体" w:hAnsi="宋体" w:cs="宋体"/>
          <w:bCs/>
          <w:color w:val="auto"/>
          <w:sz w:val="24"/>
          <w:szCs w:val="24"/>
        </w:rPr>
        <w:t xml:space="preserve"> 采购人和采购代理机构收到投标文件的时间不得迟于招标公告中规定的截止时间。</w:t>
      </w:r>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20.2</w:t>
      </w:r>
      <w:r>
        <w:rPr>
          <w:rFonts w:hint="eastAsia" w:ascii="宋体" w:hAnsi="宋体" w:cs="宋体"/>
          <w:bCs/>
          <w:color w:val="auto"/>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2"/>
        <w:spacing w:before="0" w:after="0" w:line="440" w:lineRule="exact"/>
        <w:ind w:firstLine="480" w:firstLineChars="200"/>
        <w:rPr>
          <w:rFonts w:hint="eastAsia" w:ascii="宋体" w:hAnsi="宋体" w:cs="宋体"/>
          <w:b w:val="0"/>
          <w:color w:val="auto"/>
          <w:sz w:val="24"/>
          <w:szCs w:val="24"/>
        </w:rPr>
      </w:pPr>
      <w:bookmarkStart w:id="151" w:name="_Toc513029227"/>
      <w:bookmarkStart w:id="152" w:name="_Toc20823299"/>
      <w:bookmarkStart w:id="153" w:name="_Toc16938543"/>
      <w:r>
        <w:rPr>
          <w:rFonts w:hint="eastAsia" w:ascii="宋体" w:hAnsi="宋体" w:cs="宋体"/>
          <w:b w:val="0"/>
          <w:color w:val="auto"/>
          <w:sz w:val="24"/>
          <w:szCs w:val="24"/>
        </w:rPr>
        <w:t>21、迟交的投标文件</w:t>
      </w:r>
      <w:bookmarkEnd w:id="151"/>
      <w:bookmarkEnd w:id="152"/>
      <w:bookmarkEnd w:id="153"/>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21.1</w:t>
      </w:r>
      <w:r>
        <w:rPr>
          <w:rFonts w:hint="eastAsia" w:ascii="宋体" w:hAnsi="宋体" w:cs="宋体"/>
          <w:bCs/>
          <w:color w:val="auto"/>
          <w:sz w:val="24"/>
          <w:szCs w:val="24"/>
        </w:rPr>
        <w:t xml:space="preserve"> 采购人和采购代理机构拒绝接收在其规定的投标截止时间后递交的任何投标文件。</w:t>
      </w:r>
    </w:p>
    <w:p>
      <w:pPr>
        <w:pStyle w:val="2"/>
        <w:spacing w:before="0" w:after="0" w:line="440" w:lineRule="exact"/>
        <w:ind w:firstLine="480" w:firstLineChars="200"/>
        <w:rPr>
          <w:rFonts w:hint="eastAsia" w:ascii="宋体" w:hAnsi="宋体" w:cs="宋体"/>
          <w:b w:val="0"/>
          <w:color w:val="auto"/>
          <w:sz w:val="24"/>
          <w:szCs w:val="24"/>
        </w:rPr>
      </w:pPr>
      <w:bookmarkStart w:id="154" w:name="_Toc513029228"/>
      <w:bookmarkStart w:id="155" w:name="_Toc20823300"/>
      <w:bookmarkStart w:id="156" w:name="_Toc16938544"/>
      <w:r>
        <w:rPr>
          <w:rFonts w:hint="eastAsia" w:ascii="宋体" w:hAnsi="宋体" w:cs="宋体"/>
          <w:b w:val="0"/>
          <w:color w:val="auto"/>
          <w:sz w:val="24"/>
          <w:szCs w:val="24"/>
        </w:rPr>
        <w:t>22、投标文件的修改和撤回</w:t>
      </w:r>
      <w:bookmarkEnd w:id="154"/>
      <w:bookmarkEnd w:id="155"/>
      <w:bookmarkEnd w:id="156"/>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22.1</w:t>
      </w:r>
      <w:r>
        <w:rPr>
          <w:rFonts w:hint="eastAsia" w:ascii="宋体" w:hAnsi="宋体" w:cs="宋体"/>
          <w:bCs/>
          <w:color w:val="auto"/>
          <w:sz w:val="24"/>
          <w:szCs w:val="24"/>
        </w:rPr>
        <w:t xml:space="preserve"> 投标人在递交投标文件后，可以修改或撤回其投标文件，但这种修改和撤回，必须在规定的投标截止时间前，以书面形式</w:t>
      </w:r>
      <w:r>
        <w:rPr>
          <w:rFonts w:hint="eastAsia" w:ascii="宋体" w:hAnsi="宋体" w:cs="宋体"/>
          <w:color w:val="auto"/>
          <w:sz w:val="24"/>
          <w:szCs w:val="24"/>
        </w:rPr>
        <w:t>通知采购人或采购代理机构，修改或撤回其投标文件。</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22.2</w:t>
      </w:r>
      <w:r>
        <w:rPr>
          <w:rFonts w:hint="eastAsia" w:ascii="宋体" w:hAnsi="宋体" w:cs="宋体"/>
          <w:bCs/>
          <w:color w:val="auto"/>
          <w:sz w:val="24"/>
          <w:szCs w:val="24"/>
        </w:rPr>
        <w:t xml:space="preserve"> 投标人的修改或撤回文件应按规定进行编制、密封、标记和发送，并应在封套上加注“修改”或“撤回”字样。</w:t>
      </w:r>
      <w:r>
        <w:rPr>
          <w:rFonts w:hint="eastAsia" w:ascii="宋体" w:hAnsi="宋体" w:cs="宋体"/>
          <w:color w:val="auto"/>
          <w:sz w:val="24"/>
          <w:szCs w:val="24"/>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22.3</w:t>
      </w:r>
      <w:r>
        <w:rPr>
          <w:rFonts w:hint="eastAsia" w:ascii="宋体" w:hAnsi="宋体" w:cs="宋体"/>
          <w:bCs/>
          <w:color w:val="auto"/>
          <w:sz w:val="24"/>
          <w:szCs w:val="24"/>
        </w:rPr>
        <w:t xml:space="preserve"> 在投标截止时间之后，投标人不得对其投标文件作任何修改。</w:t>
      </w:r>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22.4</w:t>
      </w:r>
      <w:r>
        <w:rPr>
          <w:rFonts w:hint="eastAsia" w:ascii="宋体" w:hAnsi="宋体" w:cs="宋体"/>
          <w:bCs/>
          <w:color w:val="auto"/>
          <w:sz w:val="24"/>
          <w:szCs w:val="24"/>
        </w:rPr>
        <w:t xml:space="preserve"> 在投标截止时间至招标文件中规定的投标有效期满之间的这段时间内，投标人不得撤回其投标，否则其投标保证金将不予退还。</w:t>
      </w:r>
    </w:p>
    <w:p>
      <w:pPr>
        <w:pStyle w:val="6"/>
        <w:spacing w:before="0" w:after="0" w:line="440" w:lineRule="exact"/>
        <w:ind w:firstLine="482" w:firstLineChars="200"/>
        <w:rPr>
          <w:rFonts w:hint="eastAsia" w:ascii="宋体" w:hAnsi="宋体" w:cs="宋体"/>
          <w:color w:val="auto"/>
          <w:sz w:val="24"/>
          <w:szCs w:val="24"/>
        </w:rPr>
      </w:pPr>
      <w:bookmarkStart w:id="157" w:name="_Toc513029229"/>
      <w:bookmarkStart w:id="158" w:name="_Toc20823301"/>
      <w:bookmarkStart w:id="159" w:name="_Toc16938545"/>
      <w:bookmarkStart w:id="160" w:name="_Toc120614218"/>
      <w:r>
        <w:rPr>
          <w:rFonts w:hint="eastAsia" w:ascii="宋体" w:hAnsi="宋体" w:cs="宋体"/>
          <w:color w:val="auto"/>
          <w:sz w:val="24"/>
          <w:szCs w:val="24"/>
        </w:rPr>
        <w:t>五、开标与评标</w:t>
      </w:r>
      <w:bookmarkEnd w:id="157"/>
      <w:bookmarkEnd w:id="158"/>
      <w:bookmarkEnd w:id="159"/>
      <w:bookmarkEnd w:id="160"/>
    </w:p>
    <w:p>
      <w:pPr>
        <w:pStyle w:val="2"/>
        <w:spacing w:before="0" w:after="0" w:line="440" w:lineRule="exact"/>
        <w:ind w:firstLine="480" w:firstLineChars="200"/>
        <w:rPr>
          <w:rFonts w:hint="eastAsia" w:ascii="宋体" w:hAnsi="宋体" w:cs="宋体"/>
          <w:b w:val="0"/>
          <w:color w:val="auto"/>
          <w:sz w:val="24"/>
          <w:szCs w:val="24"/>
        </w:rPr>
      </w:pPr>
      <w:bookmarkStart w:id="161" w:name="_Toc20823302"/>
      <w:bookmarkStart w:id="162" w:name="_Toc513029230"/>
      <w:bookmarkStart w:id="163" w:name="_Toc16938546"/>
      <w:r>
        <w:rPr>
          <w:rFonts w:hint="eastAsia" w:ascii="宋体" w:hAnsi="宋体" w:cs="宋体"/>
          <w:b w:val="0"/>
          <w:color w:val="auto"/>
          <w:sz w:val="24"/>
          <w:szCs w:val="24"/>
        </w:rPr>
        <w:t>23、开标</w:t>
      </w:r>
      <w:bookmarkEnd w:id="161"/>
      <w:bookmarkEnd w:id="162"/>
      <w:bookmarkEnd w:id="163"/>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23.1</w:t>
      </w:r>
      <w:r>
        <w:rPr>
          <w:rFonts w:hint="eastAsia" w:ascii="宋体" w:hAnsi="宋体" w:cs="宋体"/>
          <w:bCs/>
          <w:color w:val="auto"/>
          <w:sz w:val="24"/>
          <w:szCs w:val="24"/>
        </w:rPr>
        <w:t xml:space="preserve"> 采购人和采购代理机构将在招标公告中规定的时间和地点组织公开开标</w:t>
      </w:r>
      <w:r>
        <w:rPr>
          <w:rFonts w:hint="eastAsia" w:ascii="宋体" w:hAnsi="宋体" w:cs="宋体"/>
          <w:color w:val="auto"/>
          <w:sz w:val="24"/>
          <w:szCs w:val="24"/>
        </w:rPr>
        <w:t>。投标人应委派携带有效证件的代表准时参加，参加开标的代表需签名以证明其出席。</w:t>
      </w:r>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23.2</w:t>
      </w:r>
      <w:r>
        <w:rPr>
          <w:rFonts w:hint="eastAsia" w:ascii="宋体" w:hAnsi="宋体" w:cs="宋体"/>
          <w:color w:val="auto"/>
          <w:sz w:val="24"/>
          <w:szCs w:val="24"/>
        </w:rPr>
        <w:t>开标仪式由采购人或采购代理机构组织，采购人代表</w:t>
      </w:r>
      <w:r>
        <w:rPr>
          <w:rFonts w:hint="eastAsia" w:ascii="宋体" w:hAnsi="宋体" w:cs="宋体"/>
          <w:b/>
          <w:color w:val="auto"/>
          <w:sz w:val="24"/>
          <w:szCs w:val="24"/>
        </w:rPr>
        <w:t>(需提供单位授权函)</w:t>
      </w:r>
      <w:r>
        <w:rPr>
          <w:rFonts w:hint="eastAsia" w:ascii="宋体" w:hAnsi="宋体" w:cs="宋体"/>
          <w:color w:val="auto"/>
          <w:sz w:val="24"/>
          <w:szCs w:val="24"/>
        </w:rPr>
        <w:t>、监管代表、投标人代表等参加。</w:t>
      </w:r>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23.3</w:t>
      </w:r>
      <w:r>
        <w:rPr>
          <w:rFonts w:hint="eastAsia" w:ascii="宋体" w:hAnsi="宋体" w:cs="宋体"/>
          <w:b/>
          <w:color w:val="auto"/>
          <w:sz w:val="24"/>
          <w:szCs w:val="24"/>
        </w:rPr>
        <w:t xml:space="preserve"> </w:t>
      </w:r>
      <w:r>
        <w:rPr>
          <w:rFonts w:hint="eastAsia" w:ascii="宋体" w:hAnsi="宋体" w:cs="宋体"/>
          <w:bCs/>
          <w:color w:val="auto"/>
          <w:sz w:val="24"/>
          <w:szCs w:val="24"/>
        </w:rPr>
        <w:t>按照规定同意撤回的投标将不予开封。</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23.5 采购人或采购代理机构将指定专人负责开标记录并存档备查，各投标人需仔细核对开标记录相关内容并签字确认。</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23.6 投标人在报价时不允许采用选择性报价，否则将被视为无效投标。</w:t>
      </w:r>
    </w:p>
    <w:p>
      <w:pPr>
        <w:pStyle w:val="2"/>
        <w:spacing w:before="0" w:after="0" w:line="440" w:lineRule="exact"/>
        <w:ind w:firstLine="480" w:firstLineChars="200"/>
        <w:rPr>
          <w:rFonts w:hint="eastAsia" w:ascii="宋体" w:hAnsi="宋体" w:cs="宋体"/>
          <w:b w:val="0"/>
          <w:color w:val="auto"/>
          <w:sz w:val="24"/>
          <w:szCs w:val="24"/>
        </w:rPr>
      </w:pPr>
      <w:bookmarkStart w:id="164" w:name="_Toc513029231"/>
      <w:bookmarkStart w:id="165" w:name="_Toc20823303"/>
      <w:bookmarkStart w:id="166" w:name="_Toc16938547"/>
      <w:r>
        <w:rPr>
          <w:rFonts w:hint="eastAsia" w:ascii="宋体" w:hAnsi="宋体" w:cs="宋体"/>
          <w:b w:val="0"/>
          <w:color w:val="auto"/>
          <w:sz w:val="24"/>
          <w:szCs w:val="24"/>
        </w:rPr>
        <w:t>24、资格审查</w:t>
      </w:r>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24.1</w:t>
      </w:r>
      <w:r>
        <w:rPr>
          <w:rFonts w:hint="eastAsia" w:ascii="宋体" w:hAnsi="宋体" w:cs="宋体"/>
          <w:bCs/>
          <w:color w:val="auto"/>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440" w:lineRule="exact"/>
        <w:ind w:firstLine="480" w:firstLineChars="200"/>
        <w:textAlignment w:val="baseline"/>
        <w:rPr>
          <w:rFonts w:hint="eastAsia" w:ascii="宋体" w:hAnsi="宋体" w:cs="宋体"/>
          <w:color w:val="auto"/>
          <w:sz w:val="24"/>
          <w:szCs w:val="24"/>
        </w:rPr>
      </w:pPr>
      <w:r>
        <w:rPr>
          <w:rFonts w:hint="eastAsia" w:ascii="宋体" w:hAnsi="宋体" w:cs="宋体"/>
          <w:color w:val="auto"/>
          <w:sz w:val="24"/>
          <w:szCs w:val="24"/>
        </w:rPr>
        <w:t>合格投标人不足3家的，不得评标。</w:t>
      </w:r>
    </w:p>
    <w:p>
      <w:pPr>
        <w:pStyle w:val="2"/>
        <w:spacing w:before="0" w:after="0" w:line="440" w:lineRule="exact"/>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25、评标委员会</w:t>
      </w:r>
    </w:p>
    <w:p>
      <w:pPr>
        <w:spacing w:line="440" w:lineRule="exact"/>
        <w:ind w:firstLine="480" w:firstLineChars="200"/>
        <w:rPr>
          <w:rFonts w:hint="eastAsia" w:ascii="宋体" w:hAnsi="宋体" w:cs="宋体"/>
          <w:b/>
          <w:color w:val="auto"/>
          <w:sz w:val="24"/>
          <w:szCs w:val="24"/>
        </w:rPr>
      </w:pPr>
      <w:r>
        <w:rPr>
          <w:rFonts w:hint="eastAsia" w:ascii="宋体" w:hAnsi="宋体" w:cs="宋体"/>
          <w:color w:val="auto"/>
          <w:sz w:val="24"/>
          <w:szCs w:val="24"/>
        </w:rPr>
        <w:t>25.1</w:t>
      </w:r>
      <w:r>
        <w:rPr>
          <w:rFonts w:hint="eastAsia" w:ascii="宋体" w:hAnsi="宋体" w:cs="宋体"/>
          <w:b/>
          <w:color w:val="auto"/>
          <w:sz w:val="24"/>
          <w:szCs w:val="24"/>
        </w:rPr>
        <w:t xml:space="preserve"> </w:t>
      </w:r>
      <w:r>
        <w:rPr>
          <w:rFonts w:hint="eastAsia" w:ascii="宋体" w:hAnsi="宋体" w:cs="宋体"/>
          <w:color w:val="auto"/>
          <w:sz w:val="24"/>
          <w:szCs w:val="24"/>
        </w:rPr>
        <w:t>资格审查通过后，采购人将组织评标委员会（以下简称评委会）进行评标。</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25.2 评委会由采购人代表和有关技术、经济等方面的专家组成，且人员构成符合政府采购有关规定。</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25.3评委会独立工作，负责评审所有投标文件并确定中标侯选人。</w:t>
      </w:r>
    </w:p>
    <w:p>
      <w:pPr>
        <w:pStyle w:val="2"/>
        <w:spacing w:before="0" w:after="0" w:line="440" w:lineRule="exact"/>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26、评标过程的保密与公正</w:t>
      </w:r>
    </w:p>
    <w:bookmarkEnd w:id="164"/>
    <w:bookmarkEnd w:id="165"/>
    <w:bookmarkEnd w:id="166"/>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26.1</w:t>
      </w:r>
      <w:r>
        <w:rPr>
          <w:rFonts w:hint="eastAsia" w:ascii="宋体" w:hAnsi="宋体" w:cs="宋体"/>
          <w:bCs/>
          <w:color w:val="auto"/>
          <w:sz w:val="24"/>
          <w:szCs w:val="24"/>
        </w:rPr>
        <w:t>公开开标后，直至签订合同之日止，凡是与审查、澄清、评价和比较投标的有关资料以及授标建议等，采购人、评委、采购人和采购代理机构均不得向投标人或与评标无关的其他人员透露。</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26.2在评标过程中，投标人不得以任何行为影响评标过程，否则其投标文件将被作为无效投标文件。</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26.3在评标期间，采购人或采购代理机构将设专门人员与投标人联系。</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26.4 采购人、采购代理机构和评标委员会不向落标的投标人解释未中标原因，也不公布评标过程中的相关细节。</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26.5 采用综合评分法的项目，未中标的投标人如需了解自己的评审得分及排序情况，可向采购人提出申请。</w:t>
      </w:r>
    </w:p>
    <w:p>
      <w:pPr>
        <w:pStyle w:val="2"/>
        <w:spacing w:before="0" w:after="0" w:line="440" w:lineRule="exact"/>
        <w:ind w:firstLine="480" w:firstLineChars="200"/>
        <w:rPr>
          <w:rFonts w:hint="eastAsia" w:ascii="宋体" w:hAnsi="宋体" w:cs="宋体"/>
          <w:b w:val="0"/>
          <w:color w:val="auto"/>
          <w:sz w:val="24"/>
          <w:szCs w:val="24"/>
        </w:rPr>
      </w:pPr>
      <w:bookmarkStart w:id="167" w:name="_Toc513029232"/>
      <w:bookmarkStart w:id="168" w:name="_Toc16938548"/>
      <w:bookmarkStart w:id="169" w:name="_Toc20823304"/>
      <w:r>
        <w:rPr>
          <w:rFonts w:hint="eastAsia" w:ascii="宋体" w:hAnsi="宋体" w:cs="宋体"/>
          <w:b w:val="0"/>
          <w:color w:val="auto"/>
          <w:sz w:val="24"/>
          <w:szCs w:val="24"/>
        </w:rPr>
        <w:t>27、投标的澄清</w:t>
      </w:r>
      <w:bookmarkEnd w:id="167"/>
      <w:bookmarkEnd w:id="168"/>
      <w:bookmarkEnd w:id="169"/>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27.3 接到评委会澄清要求的投标人如未按规定做出澄清，其风险由投标人自行承担。</w:t>
      </w:r>
    </w:p>
    <w:p>
      <w:pPr>
        <w:pStyle w:val="2"/>
        <w:spacing w:before="0" w:after="0" w:line="440" w:lineRule="exact"/>
        <w:ind w:firstLine="480" w:firstLineChars="200"/>
        <w:rPr>
          <w:rFonts w:hint="eastAsia" w:ascii="宋体" w:hAnsi="宋体" w:cs="宋体"/>
          <w:b w:val="0"/>
          <w:color w:val="auto"/>
          <w:sz w:val="24"/>
          <w:szCs w:val="24"/>
        </w:rPr>
      </w:pPr>
      <w:bookmarkStart w:id="170" w:name="_Toc16938549"/>
      <w:bookmarkStart w:id="171" w:name="_Toc513029233"/>
      <w:bookmarkStart w:id="172" w:name="_Toc20823305"/>
      <w:r>
        <w:rPr>
          <w:rFonts w:hint="eastAsia" w:ascii="宋体" w:hAnsi="宋体" w:cs="宋体"/>
          <w:b w:val="0"/>
          <w:color w:val="auto"/>
          <w:sz w:val="24"/>
          <w:szCs w:val="24"/>
        </w:rPr>
        <w:t>28、对投标文件的评审</w:t>
      </w:r>
      <w:bookmarkEnd w:id="170"/>
      <w:bookmarkEnd w:id="171"/>
      <w:bookmarkEnd w:id="172"/>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28.1</w:t>
      </w:r>
      <w:r>
        <w:rPr>
          <w:rFonts w:hint="eastAsia" w:ascii="宋体" w:hAnsi="宋体" w:cs="宋体"/>
          <w:bCs/>
          <w:color w:val="auto"/>
          <w:sz w:val="24"/>
          <w:szCs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auto"/>
          <w:sz w:val="24"/>
          <w:szCs w:val="24"/>
        </w:rPr>
        <w:t>评委决定投标文件的响应性只根据投标文件本身的内容，而不寻求外部的证据。</w:t>
      </w:r>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28.3</w:t>
      </w:r>
      <w:r>
        <w:rPr>
          <w:rFonts w:hint="eastAsia" w:ascii="宋体" w:hAnsi="宋体" w:cs="宋体"/>
          <w:bCs/>
          <w:color w:val="auto"/>
          <w:sz w:val="24"/>
          <w:szCs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28.4</w:t>
      </w:r>
      <w:r>
        <w:rPr>
          <w:rFonts w:hint="eastAsia" w:ascii="宋体" w:hAnsi="宋体" w:cs="宋体"/>
          <w:bCs/>
          <w:color w:val="auto"/>
          <w:sz w:val="24"/>
          <w:szCs w:val="24"/>
        </w:rPr>
        <w:t>评委会将对确定为实质性响应的投标进行进一步审核，看其是否有计算上或累加上的算术错误，修正错误的原则如下：</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（1）投标文件中开标一览表内容与投标文件中相应内容不一致的，以开标一览表为准。</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（2）大写金额和小写金额不一致的，以大写金额为准。</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（3）单价金额小数点或者百分比有明显错位的，以开标一览表的总价为准，并修改单价。</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（4）总价金额与按单价汇总金额不一致的，以单价金额计算结果为准。</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同时出现两种以上错误的，按照前款规定的顺序修正。</w:t>
      </w:r>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28.5</w:t>
      </w:r>
      <w:r>
        <w:rPr>
          <w:rFonts w:hint="eastAsia" w:ascii="宋体" w:hAnsi="宋体" w:cs="宋体"/>
          <w:bCs/>
          <w:color w:val="auto"/>
          <w:sz w:val="24"/>
          <w:szCs w:val="24"/>
        </w:rPr>
        <w:t>评委会将按上述修正错误的方法调整投标文件中的投标报价，调整后的价格应对投标人具有约束力。如果投标人不接受修正后的价格，则其投标将被拒绝。</w:t>
      </w:r>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28.6</w:t>
      </w:r>
      <w:r>
        <w:rPr>
          <w:rFonts w:hint="eastAsia" w:ascii="宋体" w:hAnsi="宋体" w:cs="宋体"/>
          <w:bCs/>
          <w:color w:val="auto"/>
          <w:sz w:val="24"/>
          <w:szCs w:val="24"/>
        </w:rPr>
        <w:t>评委会将允许修正投标文件中不构成重大偏离的、微小的、非正规的、不一致的或不规则的地方，但这些修改不能影响任何投标人相应的名次排列。</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28.7</w:t>
      </w:r>
      <w:r>
        <w:rPr>
          <w:rFonts w:hint="eastAsia" w:ascii="宋体" w:hAnsi="宋体" w:cs="宋体"/>
          <w:b/>
          <w:color w:val="auto"/>
          <w:sz w:val="24"/>
          <w:szCs w:val="24"/>
        </w:rPr>
        <w:t>采用最低评标价法的采购项目，</w:t>
      </w:r>
      <w:r>
        <w:rPr>
          <w:rFonts w:hint="eastAsia" w:ascii="宋体" w:hAnsi="宋体" w:cs="宋体"/>
          <w:color w:val="auto"/>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hint="eastAsia" w:ascii="宋体" w:hAnsi="宋体" w:cs="宋体"/>
          <w:color w:val="auto"/>
          <w:sz w:val="24"/>
          <w:szCs w:val="24"/>
        </w:rPr>
      </w:pPr>
      <w:r>
        <w:rPr>
          <w:rFonts w:hint="eastAsia" w:ascii="宋体" w:hAnsi="宋体" w:cs="宋体"/>
          <w:b/>
          <w:color w:val="auto"/>
          <w:sz w:val="24"/>
          <w:szCs w:val="24"/>
        </w:rPr>
        <w:t>使用综合评分法的采购项目，</w:t>
      </w:r>
      <w:r>
        <w:rPr>
          <w:rFonts w:hint="eastAsia" w:ascii="宋体" w:hAnsi="宋体" w:cs="宋体"/>
          <w:color w:val="auto"/>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hint="eastAsia" w:ascii="宋体" w:hAnsi="宋体" w:cs="宋体"/>
          <w:color w:val="auto"/>
          <w:sz w:val="24"/>
          <w:szCs w:val="24"/>
        </w:rPr>
      </w:pPr>
      <w:r>
        <w:rPr>
          <w:rFonts w:hint="eastAsia" w:ascii="宋体" w:hAnsi="宋体" w:cs="宋体"/>
          <w:b/>
          <w:color w:val="auto"/>
          <w:sz w:val="24"/>
          <w:szCs w:val="24"/>
        </w:rPr>
        <w:t>非单一产品采购项目，</w:t>
      </w:r>
      <w:r>
        <w:rPr>
          <w:rFonts w:hint="eastAsia" w:ascii="宋体" w:hAnsi="宋体" w:cs="宋体"/>
          <w:color w:val="auto"/>
          <w:sz w:val="24"/>
          <w:szCs w:val="24"/>
        </w:rPr>
        <w:t>采购人应当根据采购项目技术构成、产品价格比重等合理确定核心产品，并在招标文件中载明。多家投标人提供的核心产品品牌相同的，按前两款规定处理。 (87号令第31条)</w:t>
      </w:r>
    </w:p>
    <w:p>
      <w:pPr>
        <w:pStyle w:val="2"/>
        <w:spacing w:before="0" w:after="0" w:line="440" w:lineRule="exact"/>
        <w:ind w:firstLine="480" w:firstLineChars="200"/>
        <w:rPr>
          <w:rFonts w:hint="eastAsia" w:ascii="宋体" w:hAnsi="宋体" w:cs="宋体"/>
          <w:b w:val="0"/>
          <w:color w:val="auto"/>
          <w:sz w:val="24"/>
          <w:szCs w:val="24"/>
        </w:rPr>
      </w:pPr>
      <w:bookmarkStart w:id="173" w:name="_Toc513029234"/>
      <w:bookmarkStart w:id="174" w:name="_Toc16938550"/>
      <w:bookmarkStart w:id="175" w:name="_Toc20823306"/>
      <w:r>
        <w:rPr>
          <w:rFonts w:hint="eastAsia" w:ascii="宋体" w:hAnsi="宋体" w:cs="宋体"/>
          <w:b w:val="0"/>
          <w:color w:val="auto"/>
          <w:sz w:val="24"/>
          <w:szCs w:val="24"/>
        </w:rPr>
        <w:t>29、</w:t>
      </w:r>
      <w:bookmarkEnd w:id="173"/>
      <w:bookmarkEnd w:id="174"/>
      <w:bookmarkEnd w:id="175"/>
      <w:r>
        <w:rPr>
          <w:rFonts w:hint="eastAsia" w:ascii="宋体" w:hAnsi="宋体" w:cs="宋体"/>
          <w:b w:val="0"/>
          <w:color w:val="auto"/>
          <w:sz w:val="24"/>
          <w:szCs w:val="24"/>
        </w:rPr>
        <w:t>无效投标条款和废标条款</w:t>
      </w:r>
    </w:p>
    <w:p>
      <w:pPr>
        <w:spacing w:line="440" w:lineRule="exact"/>
        <w:ind w:firstLine="480" w:firstLineChars="200"/>
        <w:rPr>
          <w:rFonts w:hint="eastAsia" w:ascii="宋体" w:hAnsi="宋体" w:cs="宋体"/>
          <w:bCs/>
          <w:color w:val="auto"/>
          <w:sz w:val="24"/>
          <w:szCs w:val="24"/>
        </w:rPr>
      </w:pPr>
      <w:bookmarkStart w:id="176" w:name="_Toc16938551"/>
      <w:bookmarkStart w:id="177" w:name="_Toc20823307"/>
      <w:bookmarkStart w:id="178" w:name="_Toc513029235"/>
      <w:r>
        <w:rPr>
          <w:rFonts w:hint="eastAsia" w:ascii="宋体" w:hAnsi="宋体" w:cs="宋体"/>
          <w:bCs/>
          <w:color w:val="auto"/>
          <w:sz w:val="24"/>
          <w:szCs w:val="24"/>
        </w:rPr>
        <w:t>29.1无效投标条款</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29.1.1未按照招标文件规定要求密封、签署、盖章的；</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29.1.2投标人在报价时采用选择性报价；</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29.1.3投标人不具备招标文件中规定资格要求的；</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29.1.4投标人的报价超过了采购预算或最高限价的；</w:t>
      </w:r>
    </w:p>
    <w:p>
      <w:pPr>
        <w:spacing w:line="440" w:lineRule="exact"/>
        <w:ind w:firstLine="480" w:firstLineChars="200"/>
        <w:rPr>
          <w:rFonts w:hint="eastAsia" w:ascii="宋体" w:hAnsi="宋体" w:cs="宋体"/>
          <w:bCs/>
          <w:i/>
          <w:color w:val="auto"/>
          <w:sz w:val="24"/>
          <w:szCs w:val="24"/>
          <w:u w:val="single"/>
        </w:rPr>
      </w:pPr>
      <w:r>
        <w:rPr>
          <w:rFonts w:hint="eastAsia" w:ascii="宋体" w:hAnsi="宋体" w:cs="宋体"/>
          <w:bCs/>
          <w:color w:val="auto"/>
          <w:sz w:val="24"/>
          <w:szCs w:val="24"/>
        </w:rPr>
        <w:t>29.1.5未通过符合性检查的；</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29.1.6不符合招标文件中规定的其他实质性要求和条件的；</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29.1.7 投标人串通投标；</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29.1.8 投标文件含有采购人不能接受的附加条件的。</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29.1.10其他法律、法规及本招标文件规定的属无效投标的情形。</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 xml:space="preserve">29.2废标条款：                                                                                                                                                                                                                                                                                                                                                                                                                                                                                                                                                                                                                                                                                                                                                                                                                                                                                                                                                                                                                                                                                                                                                                                                                                                                                                                                                                                                                                                                         </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29.2.1符合专业条件的供应商或者对招标文件作实质响应的供应商不足三家的；</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29.2.2出现影响采购公正的违法、违规行为的；</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29.2.3因重大变故，采购任务取消的；</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29.2.4评标委员会认定招标文件存在歧义、 重大缺陷导致评审工作无法进行。</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29.3 投标截止时间结束后参加投标的供应商不足三家的处理：</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29.3.1如出现投标截止时间结束后参加投标的供应商或者在评标期间对招标文件做出实质响应的供应商不足三家情况，按财政部第八十七号令第四十三条的规定执行。</w:t>
      </w:r>
    </w:p>
    <w:p>
      <w:pPr>
        <w:pStyle w:val="6"/>
        <w:spacing w:before="0" w:after="0" w:line="440" w:lineRule="exact"/>
        <w:ind w:firstLine="482" w:firstLineChars="200"/>
        <w:rPr>
          <w:rFonts w:hint="eastAsia" w:ascii="宋体" w:hAnsi="宋体" w:cs="宋体"/>
          <w:color w:val="auto"/>
          <w:sz w:val="24"/>
          <w:szCs w:val="24"/>
        </w:rPr>
      </w:pPr>
      <w:bookmarkStart w:id="179" w:name="_Toc120614219"/>
      <w:r>
        <w:rPr>
          <w:rFonts w:hint="eastAsia" w:ascii="宋体" w:hAnsi="宋体" w:cs="宋体"/>
          <w:color w:val="auto"/>
          <w:sz w:val="24"/>
          <w:szCs w:val="24"/>
        </w:rPr>
        <w:t>六、</w:t>
      </w:r>
      <w:bookmarkEnd w:id="176"/>
      <w:bookmarkEnd w:id="177"/>
      <w:bookmarkEnd w:id="178"/>
      <w:r>
        <w:rPr>
          <w:rFonts w:hint="eastAsia" w:ascii="宋体" w:hAnsi="宋体" w:cs="宋体"/>
          <w:color w:val="auto"/>
          <w:sz w:val="24"/>
          <w:szCs w:val="24"/>
        </w:rPr>
        <w:t>定标</w:t>
      </w:r>
      <w:bookmarkEnd w:id="179"/>
    </w:p>
    <w:p>
      <w:pPr>
        <w:pStyle w:val="2"/>
        <w:spacing w:before="0" w:after="0" w:line="440" w:lineRule="exact"/>
        <w:ind w:firstLine="480" w:firstLineChars="200"/>
        <w:rPr>
          <w:rFonts w:hint="eastAsia" w:ascii="宋体" w:hAnsi="宋体" w:cs="宋体"/>
          <w:b w:val="0"/>
          <w:color w:val="auto"/>
          <w:sz w:val="24"/>
          <w:szCs w:val="24"/>
        </w:rPr>
      </w:pPr>
      <w:bookmarkStart w:id="180" w:name="_Toc513029238"/>
      <w:bookmarkStart w:id="181" w:name="_Toc20823310"/>
      <w:bookmarkStart w:id="182" w:name="_Toc16938554"/>
      <w:r>
        <w:rPr>
          <w:rFonts w:hint="eastAsia" w:ascii="宋体" w:hAnsi="宋体" w:cs="宋体"/>
          <w:b w:val="0"/>
          <w:color w:val="auto"/>
          <w:sz w:val="24"/>
          <w:szCs w:val="24"/>
        </w:rPr>
        <w:t>30、</w:t>
      </w:r>
      <w:bookmarkEnd w:id="180"/>
      <w:r>
        <w:rPr>
          <w:rFonts w:hint="eastAsia" w:ascii="宋体" w:hAnsi="宋体" w:cs="宋体"/>
          <w:b w:val="0"/>
          <w:color w:val="auto"/>
          <w:sz w:val="24"/>
          <w:szCs w:val="24"/>
        </w:rPr>
        <w:t>确定</w:t>
      </w:r>
      <w:bookmarkEnd w:id="181"/>
      <w:bookmarkEnd w:id="182"/>
      <w:r>
        <w:rPr>
          <w:rFonts w:hint="eastAsia" w:ascii="宋体" w:hAnsi="宋体" w:cs="宋体"/>
          <w:b w:val="0"/>
          <w:color w:val="auto"/>
          <w:sz w:val="24"/>
          <w:szCs w:val="24"/>
        </w:rPr>
        <w:t>中标单位</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30.1评委会根据本招标文件规定评标方法与评标标准向采购人推荐出中标候选人。</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30.2 采购人应根据评委会推荐的中标候选人确定中标供应商。</w:t>
      </w:r>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30.3采购人</w:t>
      </w:r>
      <w:r>
        <w:rPr>
          <w:rFonts w:hint="eastAsia" w:ascii="宋体" w:hAnsi="宋体" w:cs="宋体"/>
          <w:color w:val="auto"/>
          <w:sz w:val="24"/>
          <w:szCs w:val="24"/>
        </w:rPr>
        <w:t>将在盐城市政府采购网和盐城工业职业技术学院招标采购网发布中标公告，公告期限为1个工作日。</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30.4若有充分证据证明，中标供应商出现下列情况之一的，一经查实，将被取消中标资格：</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30.4.1提供虚假材料谋取中标的；</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30.4.2向采购人或采购代理机构行贿或者提供其他不正当利益的；</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30.4.3恶意竞争，投标总报价明显低于其自身合理成本且又无法提供证明的；</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30.4.4属于本文件规定的无效条件，但在评标过程中又未被评委会发现的；</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30.4.5与采购人或者其他供应商恶意串通的；</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30.4.6采取不正当手段诋毁、排挤其他供应商的；</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30.4.7不符合法律、法规的规定的。</w:t>
      </w:r>
      <w:bookmarkStart w:id="183" w:name="_Toc200451960"/>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30.5. </w:t>
      </w:r>
      <w:r>
        <w:rPr>
          <w:rFonts w:hint="eastAsia" w:ascii="宋体" w:hAnsi="宋体" w:cs="宋体"/>
          <w:color w:val="auto"/>
          <w:kern w:val="0"/>
          <w:sz w:val="24"/>
          <w:szCs w:val="24"/>
        </w:rPr>
        <w:t>有下列情形之一的，视为投标人串通投标，投标无效：</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30.5.1不同投标人的投标文件由同一单位或者个人编制。</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30.5.2不同投标人委托同一单位或者个人办理投标事宜。</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30.5.3 不同投标人的投标文件载明的项目管理成员或者联系人员为同一人。</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30.5.4不同投标人的投标文件异常一致或者投标报价呈规律性差异。</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30.5.5不同投标人的投标文件相互混装。</w:t>
      </w:r>
    </w:p>
    <w:p>
      <w:pPr>
        <w:pStyle w:val="2"/>
        <w:tabs>
          <w:tab w:val="left" w:pos="4120"/>
        </w:tabs>
        <w:spacing w:before="0" w:after="0" w:line="440" w:lineRule="exact"/>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31、质疑处理</w:t>
      </w:r>
      <w:bookmarkEnd w:id="183"/>
      <w:r>
        <w:rPr>
          <w:rFonts w:hint="eastAsia" w:ascii="宋体" w:hAnsi="宋体" w:cs="宋体"/>
          <w:b w:val="0"/>
          <w:color w:val="auto"/>
          <w:sz w:val="24"/>
          <w:szCs w:val="24"/>
        </w:rPr>
        <w:tab/>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31.1.1</w:t>
      </w:r>
      <w:r>
        <w:rPr>
          <w:rFonts w:hint="eastAsia" w:ascii="宋体" w:hAnsi="宋体" w:cs="宋体"/>
          <w:color w:val="auto"/>
          <w:kern w:val="0"/>
          <w:sz w:val="24"/>
          <w:szCs w:val="24"/>
        </w:rPr>
        <w:t>对可以质疑的招标文件提出质疑的，为收到招标文件之日或者招标文件公告期限届满之日；</w:t>
      </w:r>
      <w:r>
        <w:rPr>
          <w:rFonts w:hint="eastAsia" w:ascii="宋体" w:hAnsi="宋体" w:cs="宋体"/>
          <w:color w:val="auto"/>
          <w:kern w:val="0"/>
          <w:sz w:val="24"/>
          <w:szCs w:val="24"/>
        </w:rPr>
        <w:br w:type="textWrapping"/>
      </w:r>
      <w:r>
        <w:rPr>
          <w:rFonts w:hint="eastAsia" w:ascii="宋体" w:hAnsi="宋体" w:cs="宋体"/>
          <w:color w:val="auto"/>
          <w:kern w:val="0"/>
          <w:sz w:val="24"/>
          <w:szCs w:val="24"/>
        </w:rPr>
        <w:t>　　</w:t>
      </w:r>
      <w:r>
        <w:rPr>
          <w:rFonts w:hint="eastAsia" w:ascii="宋体" w:hAnsi="宋体" w:cs="宋体"/>
          <w:color w:val="auto"/>
          <w:sz w:val="24"/>
          <w:szCs w:val="24"/>
        </w:rPr>
        <w:t>31.1.2</w:t>
      </w:r>
      <w:r>
        <w:rPr>
          <w:rFonts w:hint="eastAsia" w:ascii="宋体" w:hAnsi="宋体" w:cs="宋体"/>
          <w:color w:val="auto"/>
          <w:kern w:val="0"/>
          <w:sz w:val="24"/>
          <w:szCs w:val="24"/>
        </w:rPr>
        <w:t>对采购过程提出质疑的，为各采购程序环节结束之日；</w:t>
      </w:r>
      <w:r>
        <w:rPr>
          <w:rFonts w:hint="eastAsia" w:ascii="宋体" w:hAnsi="宋体" w:cs="宋体"/>
          <w:color w:val="auto"/>
          <w:kern w:val="0"/>
          <w:sz w:val="24"/>
          <w:szCs w:val="24"/>
        </w:rPr>
        <w:br w:type="textWrapping"/>
      </w:r>
      <w:r>
        <w:rPr>
          <w:rFonts w:hint="eastAsia" w:ascii="宋体" w:hAnsi="宋体" w:cs="宋体"/>
          <w:color w:val="auto"/>
          <w:kern w:val="0"/>
          <w:sz w:val="24"/>
          <w:szCs w:val="24"/>
        </w:rPr>
        <w:t>　　</w:t>
      </w:r>
      <w:r>
        <w:rPr>
          <w:rFonts w:hint="eastAsia" w:ascii="宋体" w:hAnsi="宋体" w:cs="宋体"/>
          <w:color w:val="auto"/>
          <w:sz w:val="24"/>
          <w:szCs w:val="24"/>
        </w:rPr>
        <w:t>31.1.3</w:t>
      </w:r>
      <w:r>
        <w:rPr>
          <w:rFonts w:hint="eastAsia" w:ascii="宋体" w:hAnsi="宋体" w:cs="宋体"/>
          <w:color w:val="auto"/>
          <w:kern w:val="0"/>
          <w:sz w:val="24"/>
          <w:szCs w:val="24"/>
        </w:rPr>
        <w:t>对中标结果提出质疑的，为中标结果公告期限届满之日。</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31.3未参加投标活动的供应商或在投标活动中自身权益未受到损害的供应商所提出的质疑不予受理。</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31.4质疑函应当包括下列内容：</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31.4.1质疑投标人的名称、地址、邮编、联系人、联系电话；</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31.4.2具体的质疑事项及明确的请求；</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31.4.3认为自己合法权益受到损害或可能受到损害的相关证据材料；</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31.4.4提起质疑的日期；</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31.4.5质疑函应当署名：质疑人为自然人的，应当由本人签字并附有效身份证</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2"/>
        <w:spacing w:before="0" w:after="0" w:line="440" w:lineRule="exact"/>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32、中标通知书</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32.l</w:t>
      </w:r>
      <w:r>
        <w:rPr>
          <w:rFonts w:hint="eastAsia" w:ascii="宋体" w:hAnsi="宋体" w:cs="宋体"/>
          <w:b/>
          <w:color w:val="auto"/>
          <w:sz w:val="24"/>
          <w:szCs w:val="24"/>
        </w:rPr>
        <w:t xml:space="preserve"> </w:t>
      </w:r>
      <w:r>
        <w:rPr>
          <w:rFonts w:hint="eastAsia" w:ascii="宋体" w:hAnsi="宋体" w:cs="宋体"/>
          <w:color w:val="auto"/>
          <w:sz w:val="24"/>
          <w:szCs w:val="24"/>
        </w:rPr>
        <w:t>中标结果确定后，采购人将向中标供应商发出中标通知书。</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6"/>
        <w:spacing w:before="0" w:after="0" w:line="440" w:lineRule="exact"/>
        <w:ind w:firstLine="482" w:firstLineChars="200"/>
        <w:rPr>
          <w:rFonts w:hint="eastAsia" w:ascii="宋体" w:hAnsi="宋体" w:cs="宋体"/>
          <w:color w:val="auto"/>
          <w:sz w:val="24"/>
          <w:szCs w:val="24"/>
        </w:rPr>
      </w:pPr>
      <w:bookmarkStart w:id="184" w:name="_Toc120614220"/>
      <w:bookmarkStart w:id="185" w:name="_Toc20823308"/>
      <w:bookmarkStart w:id="186" w:name="_Toc513029236"/>
      <w:bookmarkStart w:id="187" w:name="_Toc16938552"/>
      <w:r>
        <w:rPr>
          <w:rFonts w:hint="eastAsia" w:ascii="宋体" w:hAnsi="宋体" w:cs="宋体"/>
          <w:color w:val="auto"/>
          <w:sz w:val="24"/>
          <w:szCs w:val="24"/>
        </w:rPr>
        <w:t>七、合同</w:t>
      </w:r>
      <w:bookmarkEnd w:id="184"/>
      <w:r>
        <w:rPr>
          <w:rFonts w:hint="eastAsia" w:ascii="宋体" w:hAnsi="宋体" w:cs="宋体"/>
          <w:color w:val="auto"/>
          <w:sz w:val="24"/>
          <w:szCs w:val="24"/>
        </w:rPr>
        <w:t>签订相关事项</w:t>
      </w:r>
    </w:p>
    <w:bookmarkEnd w:id="185"/>
    <w:bookmarkEnd w:id="186"/>
    <w:bookmarkEnd w:id="187"/>
    <w:p>
      <w:pPr>
        <w:pStyle w:val="2"/>
        <w:spacing w:before="0" w:after="0" w:line="440" w:lineRule="exact"/>
        <w:ind w:firstLine="480" w:firstLineChars="200"/>
        <w:rPr>
          <w:rFonts w:hint="eastAsia" w:ascii="宋体" w:hAnsi="宋体" w:cs="宋体"/>
          <w:b w:val="0"/>
          <w:color w:val="auto"/>
          <w:sz w:val="24"/>
          <w:szCs w:val="24"/>
        </w:rPr>
      </w:pPr>
      <w:bookmarkStart w:id="188" w:name="_Toc513029237"/>
      <w:bookmarkStart w:id="189" w:name="_Toc16938553"/>
      <w:bookmarkStart w:id="190" w:name="_Toc20823309"/>
      <w:r>
        <w:rPr>
          <w:rFonts w:hint="eastAsia" w:ascii="宋体" w:hAnsi="宋体" w:cs="宋体"/>
          <w:b w:val="0"/>
          <w:color w:val="auto"/>
          <w:sz w:val="24"/>
          <w:szCs w:val="24"/>
        </w:rPr>
        <w:t>33. 签订合同</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33</w:t>
      </w:r>
      <w:r>
        <w:rPr>
          <w:rFonts w:hint="eastAsia" w:ascii="宋体" w:hAnsi="宋体" w:cs="宋体"/>
          <w:color w:val="auto"/>
          <w:sz w:val="24"/>
          <w:szCs w:val="24"/>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33.2</w:t>
      </w:r>
      <w:r>
        <w:rPr>
          <w:rFonts w:hint="eastAsia" w:ascii="宋体" w:hAnsi="宋体" w:cs="宋体"/>
          <w:b/>
          <w:color w:val="auto"/>
          <w:sz w:val="24"/>
          <w:szCs w:val="24"/>
        </w:rPr>
        <w:t xml:space="preserve"> </w:t>
      </w:r>
      <w:r>
        <w:rPr>
          <w:rFonts w:hint="eastAsia" w:ascii="宋体" w:hAnsi="宋体" w:cs="宋体"/>
          <w:color w:val="auto"/>
          <w:sz w:val="24"/>
          <w:szCs w:val="24"/>
        </w:rPr>
        <w:t>招标文件、中标供应商的投标文件及招标过程中有关澄清、承诺文件均应作为合同附件。</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2"/>
        <w:spacing w:before="0" w:after="0" w:line="440" w:lineRule="exact"/>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34、货物和服务的追加、减少和添购。</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hint="eastAsia" w:ascii="宋体" w:hAnsi="宋体" w:cs="宋体"/>
          <w:b/>
          <w:color w:val="auto"/>
          <w:sz w:val="24"/>
          <w:szCs w:val="24"/>
        </w:rPr>
      </w:pPr>
      <w:r>
        <w:rPr>
          <w:rFonts w:hint="eastAsia" w:ascii="宋体" w:hAnsi="宋体" w:cs="宋体"/>
          <w:color w:val="auto"/>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bookmarkEnd w:id="188"/>
    <w:bookmarkEnd w:id="189"/>
    <w:bookmarkEnd w:id="190"/>
    <w:p>
      <w:pPr>
        <w:tabs>
          <w:tab w:val="left" w:pos="900"/>
        </w:tabs>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35、履约保证金</w:t>
      </w:r>
    </w:p>
    <w:p>
      <w:pPr>
        <w:tabs>
          <w:tab w:val="left" w:pos="900"/>
        </w:tabs>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36、政府采购履约资金扶持政策</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w:t>
      </w:r>
    </w:p>
    <w:p>
      <w:pPr>
        <w:spacing w:line="440" w:lineRule="exact"/>
        <w:ind w:firstLine="480" w:firstLineChars="200"/>
        <w:rPr>
          <w:rFonts w:hint="eastAsia" w:ascii="宋体" w:hAnsi="宋体" w:cs="宋体"/>
          <w:b/>
          <w:color w:val="auto"/>
          <w:sz w:val="24"/>
          <w:szCs w:val="24"/>
        </w:rPr>
      </w:pPr>
      <w:r>
        <w:rPr>
          <w:rFonts w:hint="eastAsia" w:ascii="宋体" w:hAnsi="宋体" w:cs="宋体"/>
          <w:bCs/>
          <w:color w:val="auto"/>
          <w:sz w:val="24"/>
          <w:szCs w:val="24"/>
        </w:rPr>
        <w:t>37、样品</w:t>
      </w:r>
    </w:p>
    <w:p>
      <w:pPr>
        <w:pStyle w:val="5"/>
        <w:spacing w:line="440" w:lineRule="exact"/>
        <w:ind w:firstLine="480" w:firstLineChars="200"/>
        <w:rPr>
          <w:rFonts w:hint="eastAsia" w:ascii="宋体" w:hAnsi="宋体" w:cs="宋体"/>
          <w:color w:val="auto"/>
          <w:sz w:val="24"/>
        </w:rPr>
      </w:pPr>
      <w:r>
        <w:rPr>
          <w:rFonts w:hint="eastAsia" w:ascii="宋体" w:hAnsi="宋体" w:cs="宋体"/>
          <w:bCs/>
          <w:color w:val="auto"/>
          <w:sz w:val="24"/>
          <w:szCs w:val="24"/>
        </w:rPr>
        <w:t>采购人、采购代理机构一般不得要求投标人提供样品，仅凭书面方式不能准确描述采购需求或者需要对样品进行主观判断以确认是否满足采购需求等特殊情况除外。</w:t>
      </w:r>
      <w:r>
        <w:rPr>
          <w:rFonts w:hint="eastAsia" w:ascii="宋体" w:hAnsi="宋体" w:cs="宋体"/>
          <w:bCs/>
          <w:color w:val="auto"/>
          <w:sz w:val="24"/>
          <w:szCs w:val="24"/>
        </w:rPr>
        <w:br w:type="textWrapping"/>
      </w:r>
      <w:r>
        <w:rPr>
          <w:rFonts w:hint="eastAsia" w:ascii="宋体" w:hAnsi="宋体" w:cs="宋体"/>
          <w:bCs/>
          <w:color w:val="auto"/>
          <w:sz w:val="24"/>
          <w:szCs w:val="24"/>
        </w:rPr>
        <w:t>　　要求投标人提供样品的，应当在招标文件中明确规定样品制作的标准和要求、是否需要随样品提交相关检测报告、样品的评审方法以及评审标准。需要随样品提交检测报告的，还应当规定检测机构的要求、检测内容等。</w:t>
      </w:r>
      <w:r>
        <w:rPr>
          <w:rFonts w:hint="eastAsia" w:ascii="宋体" w:hAnsi="宋体" w:cs="宋体"/>
          <w:bCs/>
          <w:color w:val="auto"/>
          <w:sz w:val="24"/>
          <w:szCs w:val="24"/>
        </w:rPr>
        <w:br w:type="textWrapping"/>
      </w:r>
      <w:r>
        <w:rPr>
          <w:rFonts w:hint="eastAsia" w:ascii="宋体" w:hAnsi="宋体" w:cs="宋体"/>
          <w:bCs/>
          <w:color w:val="auto"/>
          <w:sz w:val="24"/>
          <w:szCs w:val="24"/>
        </w:rPr>
        <w:t>　　采购活动结束后，对于未中标人提供的样品，应当及时退还或者经未中标人同意后自行处理；对于中标人提供的样品，应当按照招标文件的规定进行保管、封存，并作为履约验收的参考。</w:t>
      </w:r>
    </w:p>
    <w:p>
      <w:pPr>
        <w:adjustRightInd w:val="0"/>
        <w:snapToGrid w:val="0"/>
        <w:spacing w:line="360" w:lineRule="auto"/>
        <w:ind w:firstLine="480" w:firstLineChars="200"/>
        <w:rPr>
          <w:rFonts w:hint="eastAsia" w:ascii="宋体" w:hAnsi="宋体" w:cs="宋体"/>
          <w:color w:val="auto"/>
          <w:sz w:val="24"/>
          <w:szCs w:val="24"/>
        </w:rPr>
      </w:pPr>
    </w:p>
    <w:p>
      <w:pPr>
        <w:pStyle w:val="5"/>
        <w:adjustRightInd w:val="0"/>
        <w:snapToGrid w:val="0"/>
        <w:spacing w:line="360" w:lineRule="auto"/>
        <w:ind w:firstLine="480" w:firstLineChars="200"/>
        <w:rPr>
          <w:rFonts w:hint="eastAsia" w:ascii="宋体" w:hAnsi="宋体" w:cs="宋体"/>
          <w:color w:val="auto"/>
          <w:sz w:val="24"/>
        </w:rPr>
      </w:pPr>
    </w:p>
    <w:p>
      <w:pPr>
        <w:pStyle w:val="5"/>
        <w:spacing w:line="440" w:lineRule="exact"/>
        <w:ind w:firstLine="480" w:firstLineChars="200"/>
        <w:rPr>
          <w:rFonts w:hint="eastAsia" w:ascii="宋体" w:hAnsi="宋体" w:cs="宋体"/>
          <w:color w:val="auto"/>
          <w:sz w:val="24"/>
        </w:rPr>
      </w:pPr>
    </w:p>
    <w:p>
      <w:pPr>
        <w:pStyle w:val="3"/>
        <w:jc w:val="both"/>
        <w:rPr>
          <w:rFonts w:hint="eastAsia" w:ascii="宋体" w:hAnsi="宋体" w:eastAsia="宋体" w:cs="宋体"/>
          <w:b/>
          <w:color w:val="auto"/>
          <w:sz w:val="44"/>
        </w:rPr>
      </w:pPr>
    </w:p>
    <w:p>
      <w:pPr>
        <w:pStyle w:val="3"/>
        <w:jc w:val="both"/>
        <w:rPr>
          <w:rFonts w:hint="eastAsia" w:ascii="宋体" w:hAnsi="宋体" w:eastAsia="宋体" w:cs="宋体"/>
          <w:b/>
          <w:color w:val="auto"/>
          <w:sz w:val="44"/>
        </w:rPr>
      </w:pPr>
    </w:p>
    <w:p>
      <w:pPr>
        <w:pStyle w:val="3"/>
        <w:jc w:val="both"/>
        <w:rPr>
          <w:rFonts w:hint="eastAsia" w:ascii="宋体" w:hAnsi="宋体" w:eastAsia="宋体" w:cs="宋体"/>
          <w:b/>
          <w:color w:val="auto"/>
          <w:sz w:val="44"/>
        </w:rPr>
      </w:pPr>
    </w:p>
    <w:p>
      <w:pPr>
        <w:pStyle w:val="3"/>
        <w:rPr>
          <w:rFonts w:hint="eastAsia" w:ascii="宋体" w:hAnsi="宋体" w:eastAsia="宋体" w:cs="宋体"/>
          <w:b/>
          <w:color w:val="auto"/>
          <w:sz w:val="44"/>
        </w:rPr>
      </w:pPr>
      <w:r>
        <w:rPr>
          <w:rFonts w:hint="eastAsia" w:ascii="宋体" w:hAnsi="宋体" w:eastAsia="宋体" w:cs="宋体"/>
          <w:b/>
          <w:color w:val="auto"/>
          <w:sz w:val="44"/>
        </w:rPr>
        <w:br w:type="page"/>
      </w:r>
      <w:r>
        <w:rPr>
          <w:rFonts w:hint="eastAsia" w:ascii="宋体" w:hAnsi="宋体" w:eastAsia="宋体" w:cs="宋体"/>
          <w:b/>
          <w:color w:val="auto"/>
          <w:sz w:val="44"/>
        </w:rPr>
        <w:t>第三章  合同条款及</w:t>
      </w:r>
      <w:bookmarkEnd w:id="48"/>
      <w:bookmarkEnd w:id="49"/>
      <w:bookmarkEnd w:id="50"/>
      <w:bookmarkEnd w:id="51"/>
      <w:bookmarkEnd w:id="52"/>
      <w:r>
        <w:rPr>
          <w:rFonts w:hint="eastAsia" w:ascii="宋体" w:hAnsi="宋体" w:eastAsia="宋体" w:cs="宋体"/>
          <w:b/>
          <w:color w:val="auto"/>
          <w:sz w:val="44"/>
        </w:rPr>
        <w:t>格式</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lang w:bidi="ar"/>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hint="eastAsia" w:ascii="宋体" w:hAnsi="宋体" w:cs="宋体"/>
          <w:b/>
          <w:color w:val="auto"/>
          <w:sz w:val="30"/>
        </w:rPr>
      </w:pPr>
    </w:p>
    <w:p>
      <w:pPr>
        <w:snapToGrid w:val="0"/>
        <w:spacing w:line="440" w:lineRule="exact"/>
        <w:ind w:firstLine="602" w:firstLineChars="200"/>
        <w:jc w:val="center"/>
        <w:outlineLvl w:val="0"/>
        <w:rPr>
          <w:rFonts w:hint="eastAsia" w:ascii="宋体" w:hAnsi="宋体" w:cs="宋体"/>
          <w:b/>
          <w:color w:val="auto"/>
          <w:sz w:val="30"/>
          <w:szCs w:val="20"/>
        </w:rPr>
      </w:pPr>
      <w:r>
        <w:rPr>
          <w:rFonts w:hint="eastAsia" w:ascii="宋体" w:hAnsi="宋体" w:cs="宋体"/>
          <w:b/>
          <w:color w:val="auto"/>
          <w:sz w:val="30"/>
          <w:lang w:bidi="ar"/>
        </w:rPr>
        <w:t>采购合同</w:t>
      </w:r>
    </w:p>
    <w:p>
      <w:pPr>
        <w:spacing w:line="440" w:lineRule="exact"/>
        <w:ind w:firstLine="480" w:firstLineChars="200"/>
        <w:rPr>
          <w:rFonts w:hint="eastAsia" w:ascii="宋体" w:hAnsi="宋体" w:cs="宋体"/>
          <w:bCs/>
          <w:color w:val="auto"/>
          <w:sz w:val="24"/>
          <w:u w:val="single"/>
          <w:lang w:bidi="ar"/>
        </w:rPr>
      </w:pPr>
      <w:r>
        <w:rPr>
          <w:rFonts w:hint="eastAsia" w:ascii="宋体" w:hAnsi="宋体" w:cs="宋体"/>
          <w:bCs/>
          <w:color w:val="auto"/>
          <w:sz w:val="24"/>
          <w:lang w:bidi="ar"/>
        </w:rPr>
        <w:t>项目名称：</w:t>
      </w:r>
      <w:r>
        <w:rPr>
          <w:rFonts w:hint="eastAsia" w:ascii="宋体" w:hAnsi="宋体" w:cs="宋体"/>
          <w:bCs/>
          <w:color w:val="auto"/>
          <w:sz w:val="24"/>
          <w:u w:val="single"/>
          <w:lang w:bidi="ar"/>
        </w:rPr>
        <w:t>盐城工业职业技术学院网络课程采购项目</w:t>
      </w:r>
    </w:p>
    <w:p>
      <w:pPr>
        <w:spacing w:line="440" w:lineRule="exact"/>
        <w:ind w:firstLine="480" w:firstLineChars="200"/>
        <w:rPr>
          <w:rFonts w:hint="eastAsia" w:ascii="宋体" w:hAnsi="宋体" w:cs="宋体"/>
          <w:bCs/>
          <w:color w:val="auto"/>
          <w:sz w:val="24"/>
          <w:lang w:bidi="ar"/>
        </w:rPr>
      </w:pPr>
      <w:r>
        <w:rPr>
          <w:rFonts w:hint="eastAsia" w:ascii="宋体" w:hAnsi="宋体" w:cs="宋体"/>
          <w:bCs/>
          <w:color w:val="auto"/>
          <w:sz w:val="24"/>
          <w:lang w:bidi="ar"/>
        </w:rPr>
        <w:t>项目招标采购</w:t>
      </w:r>
    </w:p>
    <w:p>
      <w:pPr>
        <w:pStyle w:val="40"/>
        <w:widowControl w:val="0"/>
        <w:snapToGrid w:val="0"/>
        <w:spacing w:before="0" w:beforeAutospacing="0" w:after="0" w:afterAutospacing="0" w:line="460" w:lineRule="exact"/>
        <w:ind w:firstLine="480" w:firstLineChars="200"/>
        <w:rPr>
          <w:rFonts w:hint="eastAsia"/>
          <w:color w:val="auto"/>
        </w:rPr>
      </w:pPr>
      <w:r>
        <w:rPr>
          <w:rFonts w:hint="eastAsia"/>
          <w:color w:val="auto"/>
          <w:kern w:val="2"/>
          <w:lang w:bidi="ar"/>
        </w:rPr>
        <w:t>项目编号：</w:t>
      </w:r>
      <w:r>
        <w:rPr>
          <w:rFonts w:hint="eastAsia"/>
          <w:color w:val="auto"/>
          <w:kern w:val="2"/>
          <w:u w:val="single"/>
          <w:lang w:bidi="ar"/>
        </w:rPr>
        <w:t>2021-013Q</w:t>
      </w:r>
    </w:p>
    <w:p>
      <w:pPr>
        <w:pStyle w:val="40"/>
        <w:widowControl w:val="0"/>
        <w:snapToGrid w:val="0"/>
        <w:spacing w:before="0" w:beforeAutospacing="0" w:after="0" w:afterAutospacing="0" w:line="460" w:lineRule="exact"/>
        <w:ind w:firstLine="480" w:firstLineChars="200"/>
        <w:jc w:val="both"/>
        <w:rPr>
          <w:rFonts w:hint="eastAsia"/>
          <w:color w:val="auto"/>
        </w:rPr>
      </w:pPr>
      <w:r>
        <w:rPr>
          <w:rFonts w:hint="eastAsia"/>
          <w:color w:val="auto"/>
          <w:kern w:val="2"/>
          <w:lang w:bidi="ar"/>
        </w:rPr>
        <w:t>甲方：（买方）</w:t>
      </w:r>
      <w:r>
        <w:rPr>
          <w:rFonts w:hint="eastAsia"/>
          <w:color w:val="auto"/>
          <w:kern w:val="2"/>
          <w:u w:val="single"/>
          <w:lang w:bidi="ar"/>
        </w:rPr>
        <w:t>盐城工业职业技术学院</w:t>
      </w:r>
    </w:p>
    <w:p>
      <w:pPr>
        <w:pStyle w:val="40"/>
        <w:widowControl w:val="0"/>
        <w:snapToGrid w:val="0"/>
        <w:spacing w:before="0" w:beforeAutospacing="0" w:after="0" w:afterAutospacing="0" w:line="460" w:lineRule="exact"/>
        <w:ind w:firstLine="480" w:firstLineChars="200"/>
        <w:jc w:val="both"/>
        <w:rPr>
          <w:rFonts w:hint="eastAsia"/>
          <w:color w:val="auto"/>
          <w:u w:val="single"/>
        </w:rPr>
      </w:pPr>
      <w:r>
        <w:rPr>
          <w:rFonts w:hint="eastAsia"/>
          <w:color w:val="auto"/>
          <w:kern w:val="2"/>
          <w:lang w:bidi="ar"/>
        </w:rPr>
        <w:t>乙方：（卖方）</w:t>
      </w:r>
      <w:r>
        <w:rPr>
          <w:rFonts w:hint="eastAsia"/>
          <w:color w:val="auto"/>
          <w:kern w:val="2"/>
          <w:u w:val="single"/>
          <w:lang w:bidi="ar"/>
        </w:rPr>
        <w:t xml:space="preserve">                          </w:t>
      </w:r>
    </w:p>
    <w:p>
      <w:pPr>
        <w:spacing w:line="460" w:lineRule="exact"/>
        <w:ind w:firstLine="480" w:firstLineChars="200"/>
        <w:rPr>
          <w:rFonts w:hint="eastAsia" w:ascii="宋体" w:hAnsi="宋体" w:cs="宋体"/>
          <w:b/>
          <w:color w:val="auto"/>
          <w:sz w:val="24"/>
          <w:szCs w:val="24"/>
        </w:rPr>
      </w:pPr>
      <w:r>
        <w:rPr>
          <w:rFonts w:hint="eastAsia" w:ascii="宋体" w:hAnsi="宋体" w:cs="宋体"/>
          <w:color w:val="auto"/>
          <w:sz w:val="24"/>
          <w:szCs w:val="24"/>
          <w:lang w:bidi="ar"/>
        </w:rPr>
        <w:t>甲、乙双方根据</w:t>
      </w:r>
      <w:r>
        <w:rPr>
          <w:rFonts w:hint="eastAsia" w:ascii="宋体" w:hAnsi="宋体" w:cs="宋体"/>
          <w:bCs/>
          <w:color w:val="auto"/>
          <w:sz w:val="24"/>
          <w:u w:val="single"/>
          <w:lang w:bidi="ar"/>
        </w:rPr>
        <w:t>盐城工业职业技术学院网络课程采购项目</w:t>
      </w:r>
      <w:r>
        <w:rPr>
          <w:rFonts w:hint="eastAsia" w:ascii="宋体" w:hAnsi="宋体" w:cs="宋体"/>
          <w:color w:val="auto"/>
          <w:sz w:val="24"/>
          <w:szCs w:val="24"/>
          <w:lang w:bidi="ar"/>
        </w:rPr>
        <w:t>公开招标的结果，签署本合同。</w:t>
      </w:r>
    </w:p>
    <w:p>
      <w:pPr>
        <w:pStyle w:val="40"/>
        <w:widowControl w:val="0"/>
        <w:snapToGrid w:val="0"/>
        <w:spacing w:before="0" w:beforeAutospacing="0" w:after="0" w:afterAutospacing="0" w:line="460" w:lineRule="exact"/>
        <w:ind w:firstLine="482" w:firstLineChars="200"/>
        <w:jc w:val="both"/>
        <w:rPr>
          <w:rFonts w:hint="eastAsia"/>
          <w:b/>
          <w:color w:val="auto"/>
        </w:rPr>
      </w:pPr>
      <w:r>
        <w:rPr>
          <w:rFonts w:hint="eastAsia"/>
          <w:b/>
          <w:color w:val="auto"/>
          <w:kern w:val="2"/>
          <w:lang w:bidi="ar"/>
        </w:rPr>
        <w:t>一、项目内容</w:t>
      </w:r>
    </w:p>
    <w:p>
      <w:pPr>
        <w:pStyle w:val="40"/>
        <w:widowControl w:val="0"/>
        <w:snapToGrid w:val="0"/>
        <w:spacing w:before="0" w:beforeAutospacing="0" w:after="0" w:afterAutospacing="0" w:line="460" w:lineRule="exact"/>
        <w:ind w:firstLine="480" w:firstLineChars="200"/>
        <w:jc w:val="both"/>
        <w:rPr>
          <w:rFonts w:hint="eastAsia"/>
          <w:color w:val="auto"/>
        </w:rPr>
      </w:pPr>
      <w:r>
        <w:rPr>
          <w:rFonts w:hint="eastAsia"/>
          <w:color w:val="auto"/>
          <w:kern w:val="2"/>
          <w:lang w:bidi="ar"/>
        </w:rPr>
        <w:t>1.1 项目名称：</w:t>
      </w:r>
      <w:r>
        <w:rPr>
          <w:rFonts w:hint="eastAsia"/>
          <w:bCs/>
          <w:color w:val="auto"/>
          <w:u w:val="single"/>
          <w:lang w:bidi="ar"/>
        </w:rPr>
        <w:t>盐城工业职业技术学院网络课程采购项目</w:t>
      </w:r>
      <w:r>
        <w:rPr>
          <w:rFonts w:hint="eastAsia"/>
          <w:color w:val="auto"/>
          <w:kern w:val="2"/>
          <w:u w:val="single"/>
          <w:lang w:bidi="ar"/>
        </w:rPr>
        <w:t>。</w:t>
      </w:r>
    </w:p>
    <w:p>
      <w:pPr>
        <w:pStyle w:val="40"/>
        <w:widowControl w:val="0"/>
        <w:snapToGrid w:val="0"/>
        <w:spacing w:before="0" w:beforeAutospacing="0" w:after="0" w:afterAutospacing="0" w:line="460" w:lineRule="exact"/>
        <w:ind w:firstLine="480" w:firstLineChars="200"/>
        <w:jc w:val="both"/>
        <w:rPr>
          <w:rFonts w:hint="eastAsia"/>
          <w:color w:val="auto"/>
        </w:rPr>
      </w:pPr>
      <w:r>
        <w:rPr>
          <w:rFonts w:hint="eastAsia"/>
          <w:color w:val="auto"/>
          <w:kern w:val="2"/>
          <w:lang w:bidi="ar"/>
        </w:rPr>
        <w:t>1.2 型号规格及其他要求：</w:t>
      </w:r>
      <w:r>
        <w:rPr>
          <w:rFonts w:hint="eastAsia"/>
          <w:color w:val="auto"/>
          <w:kern w:val="2"/>
          <w:u w:val="single"/>
          <w:lang w:bidi="ar"/>
        </w:rPr>
        <w:t>详按项目技术需求</w:t>
      </w:r>
      <w:r>
        <w:rPr>
          <w:rFonts w:hint="eastAsia"/>
          <w:color w:val="auto"/>
          <w:kern w:val="2"/>
          <w:lang w:bidi="ar"/>
        </w:rPr>
        <w:t>。</w:t>
      </w:r>
    </w:p>
    <w:p>
      <w:pPr>
        <w:pStyle w:val="40"/>
        <w:widowControl w:val="0"/>
        <w:snapToGrid w:val="0"/>
        <w:spacing w:before="0" w:beforeAutospacing="0" w:after="0" w:afterAutospacing="0" w:line="460" w:lineRule="exact"/>
        <w:ind w:firstLine="480" w:firstLineChars="200"/>
        <w:jc w:val="both"/>
        <w:rPr>
          <w:rFonts w:hint="eastAsia"/>
          <w:color w:val="auto"/>
        </w:rPr>
      </w:pPr>
      <w:r>
        <w:rPr>
          <w:rFonts w:hint="eastAsia"/>
          <w:color w:val="auto"/>
          <w:kern w:val="2"/>
          <w:lang w:bidi="ar"/>
        </w:rPr>
        <w:t>1.3 数量（单位）：</w:t>
      </w:r>
      <w:r>
        <w:rPr>
          <w:rFonts w:hint="eastAsia"/>
          <w:color w:val="auto"/>
          <w:kern w:val="2"/>
          <w:u w:val="single"/>
          <w:lang w:bidi="ar"/>
        </w:rPr>
        <w:t>详按项目技术需求</w:t>
      </w:r>
      <w:r>
        <w:rPr>
          <w:rFonts w:hint="eastAsia"/>
          <w:color w:val="auto"/>
          <w:kern w:val="2"/>
          <w:lang w:bidi="ar"/>
        </w:rPr>
        <w:t>。</w:t>
      </w:r>
    </w:p>
    <w:p>
      <w:pPr>
        <w:pStyle w:val="40"/>
        <w:widowControl w:val="0"/>
        <w:snapToGrid w:val="0"/>
        <w:spacing w:before="0" w:beforeAutospacing="0" w:after="0" w:afterAutospacing="0" w:line="460" w:lineRule="exact"/>
        <w:ind w:firstLine="482" w:firstLineChars="200"/>
        <w:jc w:val="both"/>
        <w:rPr>
          <w:rFonts w:hint="eastAsia"/>
          <w:b/>
          <w:color w:val="auto"/>
        </w:rPr>
      </w:pPr>
      <w:r>
        <w:rPr>
          <w:rFonts w:hint="eastAsia"/>
          <w:b/>
          <w:color w:val="auto"/>
          <w:kern w:val="2"/>
          <w:lang w:bidi="ar"/>
        </w:rPr>
        <w:t>二、合同金额</w:t>
      </w:r>
    </w:p>
    <w:p>
      <w:pPr>
        <w:pStyle w:val="40"/>
        <w:widowControl w:val="0"/>
        <w:snapToGrid w:val="0"/>
        <w:spacing w:before="0" w:beforeAutospacing="0" w:after="0" w:afterAutospacing="0" w:line="460" w:lineRule="exact"/>
        <w:ind w:firstLine="480" w:firstLineChars="200"/>
        <w:jc w:val="both"/>
        <w:rPr>
          <w:rFonts w:hint="eastAsia"/>
          <w:color w:val="auto"/>
          <w:kern w:val="2"/>
          <w:lang w:bidi="ar"/>
        </w:rPr>
      </w:pPr>
      <w:r>
        <w:rPr>
          <w:rFonts w:hint="eastAsia"/>
          <w:color w:val="auto"/>
          <w:kern w:val="2"/>
          <w:lang w:bidi="ar"/>
        </w:rPr>
        <w:t>2.1 本合同金额为（大写）：</w:t>
      </w:r>
      <w:r>
        <w:rPr>
          <w:rFonts w:hint="eastAsia"/>
          <w:color w:val="auto"/>
          <w:kern w:val="2"/>
          <w:u w:val="single"/>
          <w:lang w:bidi="ar"/>
        </w:rPr>
        <w:t xml:space="preserve">       </w:t>
      </w:r>
      <w:r>
        <w:rPr>
          <w:rFonts w:hint="eastAsia"/>
          <w:color w:val="auto"/>
          <w:kern w:val="2"/>
          <w:lang w:bidi="ar"/>
        </w:rPr>
        <w:t>（小写）：______元人民币或其他币种。</w:t>
      </w:r>
    </w:p>
    <w:p>
      <w:pPr>
        <w:spacing w:line="360" w:lineRule="auto"/>
        <w:ind w:firstLine="480" w:firstLineChars="200"/>
        <w:rPr>
          <w:rFonts w:hint="eastAsia" w:ascii="宋体" w:hAnsi="宋体" w:cs="宋体"/>
          <w:color w:val="auto"/>
          <w:lang w:bidi="ar"/>
        </w:rPr>
      </w:pPr>
      <w:r>
        <w:rPr>
          <w:rFonts w:hint="eastAsia" w:ascii="宋体" w:hAnsi="宋体" w:cs="宋体"/>
          <w:color w:val="auto"/>
          <w:sz w:val="24"/>
          <w:szCs w:val="24"/>
        </w:rPr>
        <w:t>2.2 本合同金额按年结算。</w:t>
      </w:r>
    </w:p>
    <w:p>
      <w:pPr>
        <w:pStyle w:val="40"/>
        <w:widowControl w:val="0"/>
        <w:snapToGrid w:val="0"/>
        <w:spacing w:before="0" w:beforeAutospacing="0" w:after="0" w:afterAutospacing="0" w:line="460" w:lineRule="exact"/>
        <w:ind w:firstLine="482" w:firstLineChars="200"/>
        <w:jc w:val="both"/>
        <w:rPr>
          <w:rFonts w:hint="eastAsia"/>
          <w:b/>
          <w:color w:val="auto"/>
        </w:rPr>
      </w:pPr>
      <w:r>
        <w:rPr>
          <w:rFonts w:hint="eastAsia"/>
          <w:b/>
          <w:color w:val="auto"/>
          <w:kern w:val="2"/>
          <w:lang w:bidi="ar"/>
        </w:rPr>
        <w:t>三、技术资料</w:t>
      </w:r>
    </w:p>
    <w:p>
      <w:pPr>
        <w:spacing w:line="460" w:lineRule="exact"/>
        <w:ind w:firstLine="480" w:firstLineChars="200"/>
        <w:rPr>
          <w:rFonts w:hint="eastAsia" w:ascii="宋体" w:hAnsi="宋体" w:cs="宋体"/>
          <w:bCs/>
          <w:color w:val="auto"/>
          <w:sz w:val="24"/>
        </w:rPr>
      </w:pPr>
      <w:r>
        <w:rPr>
          <w:rFonts w:hint="eastAsia" w:ascii="宋体" w:hAnsi="宋体" w:cs="宋体"/>
          <w:bCs/>
          <w:color w:val="auto"/>
          <w:sz w:val="24"/>
          <w:lang w:bidi="ar"/>
        </w:rPr>
        <w:t>3.1乙方应按招标文件规定的时间向甲方提供使用货物和服务的有关技术资料。</w:t>
      </w:r>
    </w:p>
    <w:p>
      <w:pPr>
        <w:spacing w:line="460" w:lineRule="exact"/>
        <w:ind w:firstLine="480" w:firstLineChars="200"/>
        <w:rPr>
          <w:rFonts w:hint="eastAsia" w:ascii="宋体" w:hAnsi="宋体" w:cs="宋体"/>
          <w:bCs/>
          <w:color w:val="auto"/>
          <w:sz w:val="24"/>
        </w:rPr>
      </w:pPr>
      <w:r>
        <w:rPr>
          <w:rFonts w:hint="eastAsia" w:ascii="宋体" w:hAnsi="宋体" w:cs="宋体"/>
          <w:bCs/>
          <w:color w:val="auto"/>
          <w:sz w:val="24"/>
          <w:lang w:bidi="ar"/>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0"/>
        <w:widowControl w:val="0"/>
        <w:snapToGrid w:val="0"/>
        <w:spacing w:before="0" w:beforeAutospacing="0" w:after="0" w:afterAutospacing="0" w:line="460" w:lineRule="exact"/>
        <w:ind w:firstLine="482" w:firstLineChars="200"/>
        <w:jc w:val="both"/>
        <w:rPr>
          <w:rFonts w:hint="eastAsia"/>
          <w:b/>
          <w:color w:val="auto"/>
        </w:rPr>
      </w:pPr>
      <w:r>
        <w:rPr>
          <w:rFonts w:hint="eastAsia"/>
          <w:b/>
          <w:color w:val="auto"/>
          <w:kern w:val="2"/>
          <w:lang w:bidi="ar"/>
        </w:rPr>
        <w:t>四、知识产权</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szCs w:val="24"/>
        </w:rPr>
        <w:t>4.1乙</w:t>
      </w:r>
      <w:r>
        <w:rPr>
          <w:rFonts w:hint="eastAsia" w:ascii="宋体" w:hAnsi="宋体" w:cs="宋体"/>
          <w:color w:val="auto"/>
          <w:sz w:val="24"/>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4.2 乙方应积极维护甲方合法权益，除指定撰写代理人，不以任何形式向任何第三方泄露甲方任何技术资料，否则乙方将承担因泄密给甲方造成的损失。</w:t>
      </w:r>
    </w:p>
    <w:p>
      <w:pPr>
        <w:pStyle w:val="40"/>
        <w:widowControl w:val="0"/>
        <w:snapToGrid w:val="0"/>
        <w:spacing w:before="0" w:beforeAutospacing="0" w:after="0" w:afterAutospacing="0" w:line="460" w:lineRule="exact"/>
        <w:ind w:firstLine="482" w:firstLineChars="200"/>
        <w:jc w:val="both"/>
        <w:rPr>
          <w:rFonts w:hint="eastAsia"/>
          <w:color w:val="auto"/>
          <w:u w:val="single"/>
        </w:rPr>
      </w:pPr>
      <w:r>
        <w:rPr>
          <w:rFonts w:hint="eastAsia"/>
          <w:b/>
          <w:color w:val="auto"/>
          <w:kern w:val="2"/>
          <w:lang w:bidi="ar"/>
        </w:rPr>
        <w:t>五、产权担保</w:t>
      </w:r>
    </w:p>
    <w:p>
      <w:pPr>
        <w:pStyle w:val="40"/>
        <w:widowControl w:val="0"/>
        <w:snapToGrid w:val="0"/>
        <w:spacing w:before="0" w:beforeAutospacing="0" w:after="0" w:afterAutospacing="0" w:line="460" w:lineRule="exact"/>
        <w:ind w:firstLine="480" w:firstLineChars="200"/>
        <w:jc w:val="both"/>
        <w:rPr>
          <w:rFonts w:hint="eastAsia"/>
          <w:color w:val="auto"/>
          <w:u w:val="single"/>
        </w:rPr>
      </w:pPr>
      <w:r>
        <w:rPr>
          <w:rFonts w:hint="eastAsia"/>
          <w:color w:val="auto"/>
          <w:kern w:val="2"/>
          <w:lang w:bidi="ar"/>
        </w:rPr>
        <w:t>5.1乙方保证所交付的货物</w:t>
      </w:r>
      <w:r>
        <w:rPr>
          <w:rFonts w:hint="eastAsia"/>
          <w:bCs/>
          <w:color w:val="auto"/>
          <w:kern w:val="2"/>
          <w:szCs w:val="21"/>
          <w:lang w:bidi="ar"/>
        </w:rPr>
        <w:t>和服务</w:t>
      </w:r>
      <w:r>
        <w:rPr>
          <w:rFonts w:hint="eastAsia"/>
          <w:color w:val="auto"/>
          <w:kern w:val="2"/>
          <w:lang w:bidi="ar"/>
        </w:rPr>
        <w:t>的所有权完全属于乙方且无任何抵押、查封等产权瑕疵。</w:t>
      </w:r>
    </w:p>
    <w:p>
      <w:pPr>
        <w:pStyle w:val="40"/>
        <w:widowControl w:val="0"/>
        <w:snapToGrid w:val="0"/>
        <w:spacing w:before="0" w:beforeAutospacing="0" w:after="0" w:afterAutospacing="0" w:line="460" w:lineRule="exact"/>
        <w:ind w:firstLine="482" w:firstLineChars="200"/>
        <w:jc w:val="both"/>
        <w:rPr>
          <w:rFonts w:hint="eastAsia"/>
          <w:b/>
          <w:color w:val="auto"/>
        </w:rPr>
      </w:pPr>
      <w:r>
        <w:rPr>
          <w:rFonts w:hint="eastAsia"/>
          <w:b/>
          <w:color w:val="auto"/>
          <w:kern w:val="2"/>
          <w:lang w:bidi="ar"/>
        </w:rPr>
        <w:t>六、履约保证金</w:t>
      </w:r>
    </w:p>
    <w:p>
      <w:pPr>
        <w:pStyle w:val="40"/>
        <w:widowControl w:val="0"/>
        <w:snapToGrid w:val="0"/>
        <w:spacing w:before="0" w:beforeAutospacing="0" w:after="0" w:afterAutospacing="0" w:line="460" w:lineRule="exact"/>
        <w:ind w:firstLine="480" w:firstLineChars="200"/>
        <w:jc w:val="both"/>
        <w:rPr>
          <w:rFonts w:hint="eastAsia"/>
          <w:color w:val="auto"/>
        </w:rPr>
      </w:pPr>
      <w:r>
        <w:rPr>
          <w:rFonts w:hint="eastAsia"/>
          <w:color w:val="auto"/>
          <w:kern w:val="2"/>
          <w:lang w:bidi="ar"/>
        </w:rPr>
        <w:t>6.1乙方交纳人民币______元作为本合同的履约保证金（合同金额的5%）。</w:t>
      </w:r>
    </w:p>
    <w:p>
      <w:pPr>
        <w:snapToGrid w:val="0"/>
        <w:spacing w:line="46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lang w:bidi="ar"/>
        </w:rPr>
        <w:t>七、转包或分包</w:t>
      </w:r>
    </w:p>
    <w:p>
      <w:pPr>
        <w:snapToGrid w:val="0"/>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bidi="ar"/>
        </w:rPr>
        <w:t>7.1本合同范围的货物</w:t>
      </w:r>
      <w:r>
        <w:rPr>
          <w:rFonts w:hint="eastAsia" w:ascii="宋体" w:hAnsi="宋体" w:cs="宋体"/>
          <w:bCs/>
          <w:color w:val="auto"/>
          <w:sz w:val="24"/>
          <w:lang w:bidi="ar"/>
        </w:rPr>
        <w:t>和服务</w:t>
      </w:r>
      <w:r>
        <w:rPr>
          <w:rFonts w:hint="eastAsia" w:ascii="宋体" w:hAnsi="宋体" w:cs="宋体"/>
          <w:color w:val="auto"/>
          <w:sz w:val="24"/>
          <w:szCs w:val="24"/>
          <w:lang w:bidi="ar"/>
        </w:rPr>
        <w:t>，应由乙方直接供应，不得转让他人供应；</w:t>
      </w:r>
    </w:p>
    <w:p>
      <w:pPr>
        <w:snapToGrid w:val="0"/>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bidi="ar"/>
        </w:rPr>
        <w:t>7.2 除非得到甲方的书面同意，乙方不得部分分包给他人供应。</w:t>
      </w:r>
    </w:p>
    <w:p>
      <w:pPr>
        <w:pStyle w:val="24"/>
        <w:snapToGrid w:val="0"/>
        <w:spacing w:line="440" w:lineRule="exact"/>
        <w:ind w:firstLine="480" w:firstLineChars="200"/>
        <w:rPr>
          <w:rFonts w:hint="eastAsia" w:hAnsi="宋体" w:cs="宋体"/>
          <w:color w:val="auto"/>
          <w:sz w:val="24"/>
          <w:szCs w:val="24"/>
          <w:lang w:bidi="ar"/>
        </w:rPr>
      </w:pPr>
      <w:r>
        <w:rPr>
          <w:rFonts w:hint="eastAsia" w:hAnsi="宋体" w:cs="宋体"/>
          <w:color w:val="auto"/>
          <w:sz w:val="24"/>
          <w:szCs w:val="24"/>
          <w:lang w:bidi="ar"/>
        </w:rPr>
        <w:t>7.3如有转让和未经甲方同意的分包行为，甲方有权给予终止合同。</w:t>
      </w:r>
    </w:p>
    <w:p>
      <w:pPr>
        <w:pStyle w:val="24"/>
        <w:snapToGrid w:val="0"/>
        <w:spacing w:line="440" w:lineRule="exact"/>
        <w:ind w:firstLine="482" w:firstLineChars="200"/>
        <w:rPr>
          <w:rFonts w:hint="eastAsia" w:hAnsi="宋体" w:cs="宋体"/>
          <w:color w:val="auto"/>
          <w:sz w:val="24"/>
          <w:szCs w:val="24"/>
        </w:rPr>
      </w:pPr>
      <w:r>
        <w:rPr>
          <w:rFonts w:hint="eastAsia" w:hAnsi="宋体" w:cs="宋体"/>
          <w:b/>
          <w:color w:val="auto"/>
          <w:sz w:val="24"/>
          <w:szCs w:val="24"/>
        </w:rPr>
        <w:t>八、委托服务期</w:t>
      </w:r>
    </w:p>
    <w:p>
      <w:pPr>
        <w:snapToGrid w:val="0"/>
        <w:spacing w:line="460" w:lineRule="exact"/>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8.1委托服务期为3年，服务期从2021年9月选课开始，到2024年7月结课以后。</w:t>
      </w:r>
    </w:p>
    <w:p>
      <w:pPr>
        <w:pStyle w:val="24"/>
        <w:numPr>
          <w:ilvl w:val="0"/>
          <w:numId w:val="6"/>
        </w:numPr>
        <w:snapToGrid w:val="0"/>
        <w:spacing w:line="440" w:lineRule="exact"/>
        <w:ind w:firstLine="482" w:firstLineChars="200"/>
        <w:rPr>
          <w:rFonts w:hint="eastAsia" w:hAnsi="宋体" w:cs="宋体"/>
          <w:b/>
          <w:color w:val="auto"/>
          <w:sz w:val="24"/>
          <w:szCs w:val="24"/>
        </w:rPr>
      </w:pPr>
      <w:r>
        <w:rPr>
          <w:rFonts w:hint="eastAsia" w:hAnsi="宋体" w:cs="宋体"/>
          <w:b/>
          <w:color w:val="auto"/>
          <w:sz w:val="24"/>
          <w:szCs w:val="24"/>
        </w:rPr>
        <w:t>服务期、服务方式及服务地点</w:t>
      </w:r>
    </w:p>
    <w:p>
      <w:pPr>
        <w:pStyle w:val="40"/>
        <w:spacing w:before="0" w:beforeAutospacing="0" w:after="0" w:afterAutospacing="0"/>
        <w:ind w:firstLine="480" w:firstLineChars="200"/>
        <w:rPr>
          <w:rFonts w:hint="eastAsia"/>
          <w:color w:val="auto"/>
          <w:kern w:val="2"/>
          <w:lang w:bidi="ar"/>
        </w:rPr>
      </w:pPr>
      <w:r>
        <w:rPr>
          <w:rFonts w:hint="eastAsia"/>
          <w:color w:val="auto"/>
          <w:kern w:val="2"/>
          <w:lang w:bidi="ar"/>
        </w:rPr>
        <w:t>9.1.售后服务要求</w:t>
      </w:r>
    </w:p>
    <w:p>
      <w:pPr>
        <w:pStyle w:val="40"/>
        <w:spacing w:before="0" w:beforeAutospacing="0" w:after="0" w:afterAutospacing="0"/>
        <w:ind w:firstLine="480" w:firstLineChars="200"/>
        <w:rPr>
          <w:rFonts w:hint="eastAsia"/>
          <w:color w:val="auto"/>
          <w:kern w:val="2"/>
          <w:lang w:bidi="ar"/>
        </w:rPr>
      </w:pPr>
      <w:r>
        <w:rPr>
          <w:rFonts w:hint="eastAsia"/>
          <w:color w:val="auto"/>
          <w:kern w:val="2"/>
          <w:lang w:bidi="ar"/>
        </w:rPr>
        <w:t>（1）网络必修课要求针对每一学期学校开课的各二级学院的情况，分别建立独立的课程学习/服务班级/群，分别提供课程学习支持服务并随时进行答疑响应。供应商须定期向各开课学院分别提供学生学习进度监控、课程访问统计分析、学习诚信监控等教学运行数据，以及各学院学生学习数据异常名单，每学期不少于4次。（每个月一次）</w:t>
      </w:r>
    </w:p>
    <w:p>
      <w:pPr>
        <w:pStyle w:val="40"/>
        <w:spacing w:before="0" w:beforeAutospacing="0" w:after="0" w:afterAutospacing="0"/>
        <w:ind w:firstLine="480" w:firstLineChars="200"/>
        <w:rPr>
          <w:rFonts w:hint="eastAsia"/>
          <w:color w:val="auto"/>
          <w:kern w:val="2"/>
          <w:lang w:bidi="ar"/>
        </w:rPr>
      </w:pPr>
      <w:r>
        <w:rPr>
          <w:rFonts w:hint="eastAsia"/>
          <w:color w:val="auto"/>
          <w:kern w:val="2"/>
          <w:lang w:bidi="ar"/>
        </w:rPr>
        <w:t>（2）网络选修课要求在每学期开课前就每门课程建立课程学习班/群，统一进行课程学习服务并随时答疑响应。供应商须定期向学校分别提供各门选修课程学生学习进度监控、课程访问统计分析、学习诚信监控等教学运行数据，以及各门课程选课学生学习数据异常名单，每学期不少于4次。（每个月一次）</w:t>
      </w:r>
    </w:p>
    <w:p>
      <w:pPr>
        <w:pStyle w:val="40"/>
        <w:spacing w:before="0" w:beforeAutospacing="0" w:after="0" w:afterAutospacing="0"/>
        <w:ind w:firstLine="480" w:firstLineChars="200"/>
        <w:rPr>
          <w:rFonts w:hint="eastAsia"/>
          <w:color w:val="auto"/>
          <w:kern w:val="2"/>
          <w:lang w:bidi="ar"/>
        </w:rPr>
      </w:pPr>
      <w:r>
        <w:rPr>
          <w:rFonts w:hint="eastAsia"/>
          <w:color w:val="auto"/>
          <w:kern w:val="2"/>
          <w:lang w:bidi="ar"/>
        </w:rPr>
        <w:t>（3）开课后两周内，服务商应将学生登录学习统计情况报送学校，以便学校及时掌握学生学习动态，督促学生完成在线学习任务，保证在线学习质量。</w:t>
      </w:r>
    </w:p>
    <w:p>
      <w:pPr>
        <w:pStyle w:val="40"/>
        <w:spacing w:before="0" w:beforeAutospacing="0" w:after="0" w:afterAutospacing="0"/>
        <w:ind w:firstLine="480" w:firstLineChars="200"/>
        <w:rPr>
          <w:rFonts w:hint="eastAsia"/>
          <w:color w:val="auto"/>
          <w:kern w:val="2"/>
          <w:lang w:bidi="ar"/>
        </w:rPr>
      </w:pPr>
      <w:r>
        <w:rPr>
          <w:rFonts w:hint="eastAsia"/>
          <w:color w:val="auto"/>
          <w:kern w:val="2"/>
          <w:lang w:bidi="ar"/>
        </w:rPr>
        <w:t>（4）数据存贮、备份及分析报告。学生在平台学习的数据由服务商负责保存，保存期限不低于5年。最终成绩数据（含分项目成绩、总成绩。提交最终成绩电子档、纸质档加盖供应商单位公章）每学期报送学校一次；供应商每学期提供全校网络课程学生学习情况分析报告（电子档、纸质档加盖服务商单位公章）。</w:t>
      </w:r>
    </w:p>
    <w:p>
      <w:pPr>
        <w:pStyle w:val="40"/>
        <w:spacing w:before="0" w:beforeAutospacing="0" w:after="0" w:afterAutospacing="0"/>
        <w:ind w:firstLine="480" w:firstLineChars="200"/>
        <w:rPr>
          <w:rFonts w:hint="eastAsia"/>
          <w:color w:val="auto"/>
          <w:kern w:val="2"/>
          <w:lang w:bidi="ar"/>
        </w:rPr>
      </w:pPr>
      <w:r>
        <w:rPr>
          <w:rFonts w:hint="eastAsia"/>
          <w:color w:val="auto"/>
          <w:kern w:val="2"/>
          <w:lang w:bidi="ar"/>
        </w:rPr>
        <w:t>（5）供应商负责免费将网络学习平台与我校教务管理平台有效对接，保证学生选课、成绩导入等相应工作顺利完成。</w:t>
      </w:r>
    </w:p>
    <w:p>
      <w:pPr>
        <w:pStyle w:val="40"/>
        <w:spacing w:before="0" w:beforeAutospacing="0" w:after="0" w:afterAutospacing="0"/>
        <w:ind w:firstLine="480" w:firstLineChars="200"/>
        <w:rPr>
          <w:rFonts w:hint="eastAsia"/>
          <w:color w:val="auto"/>
          <w:kern w:val="2"/>
          <w:lang w:bidi="ar"/>
        </w:rPr>
      </w:pPr>
      <w:r>
        <w:rPr>
          <w:rFonts w:hint="eastAsia"/>
          <w:color w:val="auto"/>
          <w:kern w:val="2"/>
          <w:lang w:bidi="ar"/>
        </w:rPr>
        <w:t>9.2.质保要求</w:t>
      </w:r>
    </w:p>
    <w:p>
      <w:pPr>
        <w:pStyle w:val="24"/>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lang w:eastAsia="zh-TW" w:bidi="ar"/>
        </w:rPr>
        <w:t>工期</w:t>
      </w:r>
      <w:r>
        <w:rPr>
          <w:rFonts w:hint="eastAsia" w:hAnsi="宋体" w:cs="宋体"/>
          <w:color w:val="auto"/>
          <w:sz w:val="24"/>
          <w:szCs w:val="24"/>
          <w:lang w:bidi="ar"/>
        </w:rPr>
        <w:t>1</w:t>
      </w:r>
      <w:r>
        <w:rPr>
          <w:rFonts w:hint="eastAsia" w:hAnsi="宋体" w:cs="宋体"/>
          <w:color w:val="auto"/>
          <w:sz w:val="24"/>
          <w:szCs w:val="24"/>
          <w:lang w:eastAsia="zh-TW" w:bidi="ar"/>
        </w:rPr>
        <w:t>0天，</w:t>
      </w:r>
      <w:r>
        <w:rPr>
          <w:rFonts w:hint="eastAsia" w:hAnsi="宋体" w:cs="宋体"/>
          <w:color w:val="auto"/>
          <w:sz w:val="24"/>
          <w:szCs w:val="24"/>
          <w:lang w:bidi="ar"/>
        </w:rPr>
        <w:t>服务从2021年9月选课开始，到2024年7月结课以后。（合同期3年</w:t>
      </w:r>
    </w:p>
    <w:p>
      <w:pPr>
        <w:pStyle w:val="24"/>
        <w:snapToGrid w:val="0"/>
        <w:spacing w:line="440" w:lineRule="exact"/>
        <w:ind w:firstLine="480" w:firstLineChars="200"/>
        <w:rPr>
          <w:rFonts w:hint="eastAsia" w:hAnsi="宋体" w:cs="宋体"/>
          <w:bCs/>
          <w:color w:val="auto"/>
          <w:sz w:val="24"/>
          <w:szCs w:val="24"/>
        </w:rPr>
      </w:pPr>
      <w:r>
        <w:rPr>
          <w:rFonts w:hint="eastAsia" w:hAnsi="宋体" w:cs="宋体"/>
          <w:bCs/>
          <w:color w:val="auto"/>
          <w:sz w:val="24"/>
          <w:szCs w:val="24"/>
        </w:rPr>
        <w:t>9.3 服务方式：</w:t>
      </w:r>
      <w:r>
        <w:rPr>
          <w:rFonts w:hint="eastAsia" w:hAnsi="宋体" w:cs="宋体"/>
          <w:color w:val="auto"/>
          <w:sz w:val="24"/>
          <w:szCs w:val="24"/>
          <w:u w:val="single"/>
        </w:rPr>
        <w:t>现场服务及满足服务实际需要和甲方要求。</w:t>
      </w:r>
    </w:p>
    <w:p>
      <w:pPr>
        <w:pStyle w:val="24"/>
        <w:snapToGrid w:val="0"/>
        <w:spacing w:line="440" w:lineRule="exact"/>
        <w:ind w:firstLine="480" w:firstLineChars="200"/>
        <w:rPr>
          <w:rFonts w:hint="eastAsia" w:hAnsi="宋体" w:cs="宋体"/>
          <w:color w:val="auto"/>
          <w:sz w:val="24"/>
          <w:szCs w:val="24"/>
        </w:rPr>
      </w:pPr>
      <w:r>
        <w:rPr>
          <w:rFonts w:hint="eastAsia" w:hAnsi="宋体" w:cs="宋体"/>
          <w:bCs/>
          <w:color w:val="auto"/>
          <w:sz w:val="24"/>
          <w:szCs w:val="24"/>
        </w:rPr>
        <w:t>9.4 服务地点：</w:t>
      </w:r>
      <w:r>
        <w:rPr>
          <w:rFonts w:hint="eastAsia" w:hAnsi="宋体" w:cs="宋体"/>
          <w:color w:val="auto"/>
          <w:sz w:val="24"/>
          <w:szCs w:val="24"/>
          <w:u w:val="single"/>
        </w:rPr>
        <w:t>盐城工业职业技术学院及满足服务实际需要和甲方要求。</w:t>
      </w:r>
    </w:p>
    <w:p>
      <w:pPr>
        <w:pStyle w:val="24"/>
        <w:snapToGrid w:val="0"/>
        <w:spacing w:line="440" w:lineRule="exact"/>
        <w:ind w:firstLine="482" w:firstLineChars="200"/>
        <w:rPr>
          <w:rFonts w:hint="eastAsia" w:hAnsi="宋体" w:cs="宋体"/>
          <w:b/>
          <w:color w:val="auto"/>
          <w:sz w:val="24"/>
          <w:szCs w:val="24"/>
        </w:rPr>
      </w:pPr>
      <w:r>
        <w:rPr>
          <w:rFonts w:hint="eastAsia" w:hAnsi="宋体" w:cs="宋体"/>
          <w:b/>
          <w:color w:val="auto"/>
          <w:sz w:val="24"/>
          <w:szCs w:val="24"/>
        </w:rPr>
        <w:t>十、合同款支付</w:t>
      </w:r>
    </w:p>
    <w:p>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10.1 检查验收：通过检查验收合格后（合格条件为：开课正常、平台运行顺畅、基本功能实现、学生成绩和</w:t>
      </w:r>
      <w:r>
        <w:rPr>
          <w:rFonts w:hint="eastAsia" w:ascii="宋体" w:hAnsi="宋体" w:cs="宋体"/>
          <w:color w:val="auto"/>
          <w:lang w:bidi="ar"/>
        </w:rPr>
        <w:t>学生学习情况分析报告准确及时报送学校、服务质量优良。）</w:t>
      </w:r>
      <w:r>
        <w:rPr>
          <w:rFonts w:hint="eastAsia" w:ascii="宋体" w:hAnsi="宋体" w:cs="宋体"/>
          <w:color w:val="auto"/>
          <w:sz w:val="24"/>
          <w:szCs w:val="24"/>
        </w:rPr>
        <w:t>，按下述支付方式支付费用。如检查验收不通过，学校不予付费并有权解除合同。</w:t>
      </w:r>
    </w:p>
    <w:p>
      <w:pPr>
        <w:snapToGrid w:val="0"/>
        <w:spacing w:line="440" w:lineRule="exact"/>
        <w:ind w:firstLine="480" w:firstLineChars="200"/>
        <w:rPr>
          <w:rFonts w:ascii="宋体" w:hAnsi="宋体" w:cs="宋体"/>
          <w:color w:val="auto"/>
          <w:sz w:val="24"/>
          <w:szCs w:val="24"/>
        </w:rPr>
      </w:pPr>
      <w:r>
        <w:rPr>
          <w:rFonts w:ascii="宋体" w:hAnsi="宋体" w:cs="宋体"/>
          <w:color w:val="auto"/>
          <w:sz w:val="24"/>
          <w:szCs w:val="24"/>
        </w:rPr>
        <w:t>10.2</w:t>
      </w:r>
      <w:r>
        <w:rPr>
          <w:rFonts w:hint="eastAsia" w:ascii="宋体" w:hAnsi="宋体" w:cs="宋体"/>
          <w:color w:val="auto"/>
          <w:sz w:val="24"/>
          <w:szCs w:val="24"/>
        </w:rPr>
        <w:t>付款方式：</w:t>
      </w:r>
      <w:r>
        <w:rPr>
          <w:rFonts w:hint="eastAsia" w:ascii="宋体" w:hAnsi="宋体" w:cs="宋体"/>
          <w:color w:val="auto"/>
          <w:sz w:val="24"/>
          <w:szCs w:val="24"/>
          <w:u w:val="single"/>
        </w:rPr>
        <w:t>本项目一学年支付一次，一学年结束验收合格后支付当年款项。</w:t>
      </w:r>
    </w:p>
    <w:p>
      <w:pPr>
        <w:snapToGrid w:val="0"/>
        <w:spacing w:line="44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十一.税费</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11.1本合同执行中相关的一切税费均由乙方负担。</w:t>
      </w:r>
    </w:p>
    <w:p>
      <w:pPr>
        <w:pStyle w:val="24"/>
        <w:snapToGrid w:val="0"/>
        <w:spacing w:line="440" w:lineRule="exact"/>
        <w:ind w:firstLine="482" w:firstLineChars="200"/>
        <w:rPr>
          <w:rFonts w:hint="eastAsia" w:hAnsi="宋体" w:cs="宋体"/>
          <w:color w:val="auto"/>
          <w:sz w:val="24"/>
          <w:szCs w:val="24"/>
        </w:rPr>
      </w:pPr>
      <w:r>
        <w:rPr>
          <w:rFonts w:hint="eastAsia" w:hAnsi="宋体" w:cs="宋体"/>
          <w:b/>
          <w:color w:val="auto"/>
          <w:sz w:val="24"/>
          <w:szCs w:val="24"/>
        </w:rPr>
        <w:t>十二、服务内容</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盐城工业职业技术学院网络课程及相关管理协助工作，具体包括但不限于：</w:t>
      </w:r>
    </w:p>
    <w:p>
      <w:pPr>
        <w:pStyle w:val="40"/>
        <w:spacing w:before="0" w:beforeAutospacing="0" w:after="0" w:afterAutospacing="0"/>
        <w:ind w:firstLine="480" w:firstLineChars="200"/>
        <w:rPr>
          <w:rFonts w:hint="eastAsia"/>
          <w:color w:val="auto"/>
          <w:kern w:val="2"/>
        </w:rPr>
      </w:pPr>
      <w:r>
        <w:rPr>
          <w:rFonts w:hint="eastAsia"/>
          <w:color w:val="auto"/>
          <w:kern w:val="2"/>
        </w:rPr>
        <w:t>（1）网络必修课（7门）：英语、职业生涯规划、大学生心理健康、军事理论教育、劳动教育、就业创业指导、国家安全教育。</w:t>
      </w:r>
    </w:p>
    <w:p>
      <w:pPr>
        <w:pStyle w:val="40"/>
        <w:spacing w:before="0" w:beforeAutospacing="0" w:after="0" w:afterAutospacing="0"/>
        <w:ind w:firstLine="480" w:firstLineChars="200"/>
        <w:rPr>
          <w:rFonts w:hint="eastAsia"/>
          <w:color w:val="auto"/>
          <w:kern w:val="2"/>
        </w:rPr>
      </w:pPr>
      <w:r>
        <w:rPr>
          <w:rFonts w:hint="eastAsia"/>
          <w:color w:val="auto"/>
          <w:kern w:val="2"/>
        </w:rPr>
        <w:t>（2）网络通识选修课（8门）：美术鉴赏、书法鉴赏、戏剧鉴赏、艺术导论、音乐鉴赏、舞蹈鉴赏、人文基础、党史国史</w:t>
      </w:r>
    </w:p>
    <w:p>
      <w:pPr>
        <w:pStyle w:val="40"/>
        <w:spacing w:before="0" w:beforeAutospacing="0" w:after="0" w:afterAutospacing="0"/>
        <w:ind w:firstLine="480" w:firstLineChars="200"/>
        <w:rPr>
          <w:color w:val="auto"/>
          <w:kern w:val="2"/>
        </w:rPr>
      </w:pPr>
      <w:r>
        <w:rPr>
          <w:rFonts w:hint="eastAsia"/>
          <w:color w:val="auto"/>
          <w:kern w:val="2"/>
        </w:rPr>
        <w:t>（3）网络课程平台专用移动学习客户端软件（APP）1套</w:t>
      </w:r>
    </w:p>
    <w:p>
      <w:pPr>
        <w:pStyle w:val="40"/>
        <w:spacing w:before="0" w:beforeAutospacing="0" w:after="0" w:afterAutospacing="0"/>
        <w:ind w:firstLine="480" w:firstLineChars="200"/>
        <w:rPr>
          <w:rFonts w:hint="eastAsia"/>
          <w:color w:val="auto"/>
          <w:kern w:val="2"/>
        </w:rPr>
      </w:pPr>
      <w:r>
        <w:rPr>
          <w:rFonts w:hint="eastAsia"/>
          <w:color w:val="auto"/>
          <w:kern w:val="2"/>
        </w:rPr>
        <w:t>（4）网络课程平台与盐城工业职业技术学院教务管理系统有效对接。</w:t>
      </w:r>
    </w:p>
    <w:p>
      <w:pPr>
        <w:pStyle w:val="24"/>
        <w:snapToGrid w:val="0"/>
        <w:spacing w:line="440" w:lineRule="exact"/>
        <w:ind w:firstLine="482" w:firstLineChars="200"/>
        <w:rPr>
          <w:rFonts w:hint="eastAsia" w:hAnsi="宋体" w:cs="宋体"/>
          <w:b/>
          <w:color w:val="auto"/>
          <w:sz w:val="24"/>
          <w:szCs w:val="24"/>
        </w:rPr>
      </w:pPr>
      <w:r>
        <w:rPr>
          <w:rFonts w:hint="eastAsia" w:hAnsi="宋体" w:cs="宋体"/>
          <w:b/>
          <w:color w:val="auto"/>
          <w:sz w:val="24"/>
          <w:szCs w:val="24"/>
        </w:rPr>
        <w:t>十三、违约责任</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13.1甲方无故逾期验收和办理合同款支付手续的,甲方应按逾期付款总额每日万分之五向乙方支付违约金。</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13.2 乙方逾期交付服务成果的，乙方应按逾期交货总额每日千分之六向甲方支付违约金，由甲方从待付合同款中扣除。逾期超过约定日期10个工作日不能提供服务成果的，甲方可解除本合同。乙方因逾期提供服务成果或因其他违约行为导致甲方解除合同的，乙方应向甲方支付合同总值5%的违约金，如造成甲方损失超过违约金的，超出部分由乙方继续承担赔偿责任。</w:t>
      </w:r>
    </w:p>
    <w:p>
      <w:pPr>
        <w:pStyle w:val="24"/>
        <w:snapToGrid w:val="0"/>
        <w:spacing w:line="440" w:lineRule="exact"/>
        <w:ind w:firstLine="482" w:firstLineChars="200"/>
        <w:rPr>
          <w:rFonts w:hint="eastAsia" w:hAnsi="宋体" w:cs="宋体"/>
          <w:b/>
          <w:color w:val="auto"/>
          <w:sz w:val="24"/>
          <w:szCs w:val="24"/>
        </w:rPr>
      </w:pPr>
      <w:r>
        <w:rPr>
          <w:rFonts w:hint="eastAsia" w:hAnsi="宋体" w:cs="宋体"/>
          <w:b/>
          <w:color w:val="auto"/>
          <w:sz w:val="24"/>
          <w:szCs w:val="24"/>
        </w:rPr>
        <w:t>十四、不可抗力事件处理</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14.1 在合同有效期内，任何一方因不可抗力事件导致不能履行合同，则合同履行期可延长，其延长期与不可抗力影响期相同。</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14.2 不可抗力事件发生后，应立即通知对方，并寄送有关权威机构出具的证明。</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14.3 不可抗力事件延续120天以上，双方应通过友好协商，确定是否继续履行合同。</w:t>
      </w:r>
    </w:p>
    <w:p>
      <w:pPr>
        <w:pStyle w:val="24"/>
        <w:snapToGrid w:val="0"/>
        <w:spacing w:line="440" w:lineRule="exact"/>
        <w:ind w:firstLine="482" w:firstLineChars="200"/>
        <w:rPr>
          <w:rFonts w:hint="eastAsia" w:hAnsi="宋体" w:cs="宋体"/>
          <w:b/>
          <w:color w:val="auto"/>
          <w:sz w:val="24"/>
          <w:szCs w:val="24"/>
        </w:rPr>
      </w:pPr>
      <w:r>
        <w:rPr>
          <w:rFonts w:hint="eastAsia" w:hAnsi="宋体" w:cs="宋体"/>
          <w:b/>
          <w:color w:val="auto"/>
          <w:sz w:val="24"/>
          <w:szCs w:val="24"/>
        </w:rPr>
        <w:t>十五、诉讼</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15.1 双方在执行合同中所发生的一切争议，应通过协商解决。如协商不成，可向合同签订地法院起诉，合同签订地在此约定为盐城市。</w:t>
      </w:r>
    </w:p>
    <w:p>
      <w:pPr>
        <w:pStyle w:val="24"/>
        <w:snapToGrid w:val="0"/>
        <w:spacing w:line="440" w:lineRule="exact"/>
        <w:ind w:firstLine="482" w:firstLineChars="200"/>
        <w:rPr>
          <w:rFonts w:hint="eastAsia" w:hAnsi="宋体" w:cs="宋体"/>
          <w:b/>
          <w:color w:val="auto"/>
          <w:sz w:val="24"/>
          <w:szCs w:val="24"/>
        </w:rPr>
      </w:pPr>
      <w:r>
        <w:rPr>
          <w:rFonts w:hint="eastAsia" w:hAnsi="宋体" w:cs="宋体"/>
          <w:b/>
          <w:color w:val="auto"/>
          <w:sz w:val="24"/>
          <w:szCs w:val="24"/>
        </w:rPr>
        <w:t>十六、合同生效及其它</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16.1 合同经双方法定代表人或授权委托代表人签字并加盖单位公章后生效。</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16.2本合同未尽事宜，遵照《合同法》有关条文执行。</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16.3 本合同正本一式二份，副本一式六份，具有同等法律效力。</w:t>
      </w:r>
    </w:p>
    <w:p>
      <w:pPr>
        <w:pStyle w:val="24"/>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 xml:space="preserve">  </w:t>
      </w:r>
    </w:p>
    <w:p>
      <w:pPr>
        <w:pStyle w:val="24"/>
        <w:snapToGrid w:val="0"/>
        <w:spacing w:line="440" w:lineRule="exact"/>
        <w:ind w:firstLine="720" w:firstLineChars="300"/>
        <w:rPr>
          <w:rFonts w:hint="eastAsia" w:hAnsi="宋体" w:cs="宋体"/>
          <w:color w:val="auto"/>
          <w:sz w:val="24"/>
          <w:szCs w:val="24"/>
        </w:rPr>
      </w:pPr>
      <w:r>
        <w:rPr>
          <w:rFonts w:hint="eastAsia" w:hAnsi="宋体" w:cs="宋体"/>
          <w:color w:val="auto"/>
          <w:sz w:val="24"/>
          <w:szCs w:val="24"/>
        </w:rPr>
        <w:t xml:space="preserve">甲方：                                   乙方： </w:t>
      </w:r>
    </w:p>
    <w:p>
      <w:pPr>
        <w:pStyle w:val="24"/>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 xml:space="preserve">  地址：                                   地址： </w:t>
      </w:r>
    </w:p>
    <w:p>
      <w:pPr>
        <w:pStyle w:val="24"/>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 xml:space="preserve">  法定代表人或授权代表：                   法定代表人或授权代表：</w:t>
      </w:r>
    </w:p>
    <w:p>
      <w:pPr>
        <w:pStyle w:val="24"/>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 xml:space="preserve">  采购部门负责人：</w:t>
      </w:r>
    </w:p>
    <w:p>
      <w:pPr>
        <w:pStyle w:val="24"/>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 xml:space="preserve">  联系电话：                               联系电话：</w:t>
      </w:r>
    </w:p>
    <w:p>
      <w:pPr>
        <w:pStyle w:val="24"/>
        <w:snapToGrid w:val="0"/>
        <w:spacing w:line="440" w:lineRule="exact"/>
        <w:ind w:firstLine="480" w:firstLineChars="200"/>
        <w:rPr>
          <w:rFonts w:hint="eastAsia" w:hAnsi="宋体" w:cs="宋体"/>
          <w:color w:val="auto"/>
          <w:sz w:val="24"/>
          <w:szCs w:val="24"/>
        </w:rPr>
      </w:pPr>
    </w:p>
    <w:p>
      <w:pPr>
        <w:pStyle w:val="24"/>
        <w:snapToGrid w:val="0"/>
        <w:spacing w:before="120" w:after="120"/>
        <w:rPr>
          <w:rFonts w:hint="eastAsia" w:hAnsi="宋体" w:cs="宋体"/>
          <w:color w:val="auto"/>
          <w:sz w:val="24"/>
          <w:szCs w:val="24"/>
        </w:rPr>
      </w:pPr>
    </w:p>
    <w:p>
      <w:pPr>
        <w:pStyle w:val="24"/>
        <w:snapToGrid w:val="0"/>
        <w:spacing w:before="120" w:after="120"/>
        <w:rPr>
          <w:rFonts w:hint="eastAsia" w:hAnsi="宋体" w:cs="宋体"/>
          <w:color w:val="auto"/>
          <w:sz w:val="24"/>
          <w:szCs w:val="24"/>
        </w:rPr>
      </w:pPr>
      <w:r>
        <w:rPr>
          <w:rFonts w:hint="eastAsia" w:hAnsi="宋体" w:cs="宋体"/>
          <w:color w:val="auto"/>
        </w:rPr>
        <w:t xml:space="preserve">                                        </w:t>
      </w:r>
      <w:r>
        <w:rPr>
          <w:rFonts w:hint="eastAsia" w:hAnsi="宋体" w:cs="宋体"/>
          <w:color w:val="auto"/>
          <w:sz w:val="24"/>
          <w:szCs w:val="24"/>
        </w:rPr>
        <w:t xml:space="preserve">  签订日期：      年  月  日</w:t>
      </w:r>
    </w:p>
    <w:p>
      <w:pPr>
        <w:pStyle w:val="24"/>
        <w:snapToGrid w:val="0"/>
        <w:spacing w:before="120" w:after="120"/>
        <w:rPr>
          <w:rFonts w:hint="eastAsia" w:hAnsi="宋体" w:cs="宋体"/>
          <w:color w:val="auto"/>
          <w:sz w:val="24"/>
          <w:szCs w:val="24"/>
        </w:rPr>
      </w:pPr>
    </w:p>
    <w:p>
      <w:pPr>
        <w:pStyle w:val="24"/>
        <w:snapToGrid w:val="0"/>
        <w:spacing w:before="120" w:after="120"/>
        <w:rPr>
          <w:rFonts w:hint="eastAsia" w:hAnsi="宋体" w:cs="宋体"/>
          <w:color w:val="auto"/>
          <w:sz w:val="24"/>
          <w:szCs w:val="24"/>
        </w:rPr>
      </w:pPr>
    </w:p>
    <w:p>
      <w:pPr>
        <w:pStyle w:val="24"/>
        <w:snapToGrid w:val="0"/>
        <w:spacing w:before="120" w:after="120"/>
        <w:rPr>
          <w:rFonts w:hint="eastAsia" w:hAnsi="宋体" w:cs="宋体"/>
          <w:color w:val="auto"/>
          <w:sz w:val="24"/>
          <w:szCs w:val="24"/>
        </w:rPr>
      </w:pPr>
    </w:p>
    <w:p>
      <w:pPr>
        <w:pStyle w:val="24"/>
        <w:snapToGrid w:val="0"/>
        <w:spacing w:before="120" w:after="120"/>
        <w:rPr>
          <w:rFonts w:hint="eastAsia" w:hAnsi="宋体" w:cs="宋体"/>
          <w:color w:val="auto"/>
          <w:sz w:val="24"/>
          <w:szCs w:val="24"/>
        </w:rPr>
      </w:pPr>
    </w:p>
    <w:p>
      <w:pPr>
        <w:pStyle w:val="3"/>
        <w:numPr>
          <w:ilvl w:val="0"/>
          <w:numId w:val="7"/>
        </w:numPr>
        <w:ind w:firstLine="2871" w:firstLineChars="650"/>
        <w:jc w:val="both"/>
        <w:rPr>
          <w:rFonts w:hint="eastAsia" w:ascii="宋体" w:hAnsi="宋体" w:eastAsia="宋体" w:cs="宋体"/>
          <w:b/>
          <w:color w:val="auto"/>
          <w:sz w:val="44"/>
        </w:rPr>
      </w:pPr>
      <w:bookmarkStart w:id="191" w:name="_Toc120614244"/>
      <w:bookmarkStart w:id="192" w:name="_Toc20823346"/>
      <w:bookmarkStart w:id="193" w:name="_Toc16938590"/>
      <w:bookmarkStart w:id="194" w:name="_Toc479757211"/>
      <w:bookmarkStart w:id="195" w:name="_Toc462564139"/>
      <w:r>
        <w:rPr>
          <w:rFonts w:hint="eastAsia" w:ascii="宋体" w:hAnsi="宋体" w:eastAsia="宋体" w:cs="宋体"/>
          <w:b/>
          <w:color w:val="auto"/>
          <w:sz w:val="44"/>
        </w:rPr>
        <w:t>项目技术需求</w:t>
      </w:r>
      <w:bookmarkEnd w:id="191"/>
      <w:bookmarkEnd w:id="192"/>
      <w:bookmarkEnd w:id="193"/>
    </w:p>
    <w:p>
      <w:pPr>
        <w:numPr>
          <w:ilvl w:val="0"/>
          <w:numId w:val="8"/>
        </w:numPr>
        <w:spacing w:line="500" w:lineRule="exact"/>
        <w:ind w:firstLine="480"/>
        <w:rPr>
          <w:rFonts w:hint="eastAsia" w:ascii="宋体" w:hAnsi="宋体" w:cs="宋体"/>
          <w:color w:val="auto"/>
        </w:rPr>
      </w:pPr>
      <w:bookmarkStart w:id="196" w:name="_Toc49090575"/>
      <w:bookmarkStart w:id="197" w:name="_Toc26554093"/>
      <w:bookmarkStart w:id="198" w:name="_Toc120614281"/>
      <w:r>
        <w:rPr>
          <w:rFonts w:hint="eastAsia" w:ascii="宋体" w:hAnsi="宋体" w:cs="宋体"/>
          <w:color w:val="auto"/>
          <w:sz w:val="24"/>
          <w:szCs w:val="24"/>
        </w:rPr>
        <w:t>项目需求：</w:t>
      </w:r>
    </w:p>
    <w:p>
      <w:pPr>
        <w:pStyle w:val="40"/>
        <w:numPr>
          <w:ilvl w:val="0"/>
          <w:numId w:val="9"/>
        </w:numPr>
        <w:spacing w:before="0" w:beforeAutospacing="0" w:after="0" w:afterAutospacing="0"/>
        <w:ind w:firstLine="482" w:firstLineChars="200"/>
        <w:rPr>
          <w:rFonts w:hint="eastAsia"/>
          <w:b/>
          <w:bCs/>
          <w:color w:val="auto"/>
        </w:rPr>
      </w:pPr>
      <w:r>
        <w:rPr>
          <w:rFonts w:hint="eastAsia"/>
          <w:b/>
          <w:bCs/>
          <w:color w:val="auto"/>
        </w:rPr>
        <w:t>项目概况：</w:t>
      </w:r>
    </w:p>
    <w:p>
      <w:pPr>
        <w:pStyle w:val="40"/>
        <w:spacing w:before="0" w:beforeAutospacing="0" w:after="0" w:afterAutospacing="0"/>
        <w:ind w:firstLine="480" w:firstLineChars="200"/>
        <w:rPr>
          <w:rFonts w:hint="eastAsia"/>
          <w:color w:val="auto"/>
        </w:rPr>
      </w:pPr>
      <w:r>
        <w:rPr>
          <w:rFonts w:hint="eastAsia"/>
          <w:color w:val="auto"/>
        </w:rPr>
        <w:t>为有效解决我校专任教师缺口大、通识选修课校内信息化教学资源缺乏、部分课程体系建设短板等问题，本着一切为了学生、提升我校的学生综合素养，培养德智体美劳全面发展的社会主义建设者和接班人，根据人才培养方案的要求，参照学校以前的做法，决定公开采购一批优质网络课程，包括网络必修课和网络通识选修课。</w:t>
      </w:r>
    </w:p>
    <w:p>
      <w:pPr>
        <w:pStyle w:val="40"/>
        <w:spacing w:before="0" w:beforeAutospacing="0" w:after="0" w:afterAutospacing="0"/>
        <w:ind w:firstLine="480" w:firstLineChars="200"/>
        <w:rPr>
          <w:rFonts w:hint="eastAsia"/>
          <w:color w:val="auto"/>
        </w:rPr>
      </w:pPr>
      <w:r>
        <w:rPr>
          <w:rFonts w:hint="eastAsia"/>
          <w:color w:val="auto"/>
        </w:rPr>
        <w:t>（1）网络必修课（7门）：英语、职业生涯规划、大学生心理健康、军事理论教育、劳动教育、就业创业指导、国家安全教育。</w:t>
      </w:r>
    </w:p>
    <w:p>
      <w:pPr>
        <w:pStyle w:val="40"/>
        <w:spacing w:before="0" w:beforeAutospacing="0" w:after="0" w:afterAutospacing="0"/>
        <w:ind w:firstLine="480" w:firstLineChars="200"/>
        <w:rPr>
          <w:rFonts w:hint="eastAsia"/>
          <w:color w:val="auto"/>
        </w:rPr>
      </w:pPr>
      <w:r>
        <w:rPr>
          <w:rFonts w:hint="eastAsia"/>
          <w:color w:val="auto"/>
        </w:rPr>
        <w:t>（2）网络通识选修课（8门）：美术鉴赏、书法鉴赏、戏剧鉴赏、艺术导论、音乐鉴赏、舞蹈鉴赏、人文基础、党史国史</w:t>
      </w:r>
    </w:p>
    <w:p>
      <w:pPr>
        <w:pStyle w:val="40"/>
        <w:spacing w:before="0" w:beforeAutospacing="0" w:after="0" w:afterAutospacing="0"/>
        <w:ind w:firstLine="480" w:firstLineChars="200"/>
        <w:rPr>
          <w:rFonts w:hint="eastAsia"/>
          <w:color w:val="auto"/>
        </w:rPr>
      </w:pPr>
      <w:r>
        <w:rPr>
          <w:rFonts w:hint="eastAsia"/>
          <w:color w:val="auto"/>
        </w:rPr>
        <w:t>（3）网络课程平台专用移动学习客户端软件（APP）1套</w:t>
      </w:r>
    </w:p>
    <w:p>
      <w:pPr>
        <w:pStyle w:val="40"/>
        <w:spacing w:before="0" w:beforeAutospacing="0" w:after="0" w:afterAutospacing="0"/>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（4）供应商负责免费将网络学习平台与我校教务管理平台有效对接，保证学生选课、成绩导入等相应工作顺利完成。</w:t>
      </w:r>
    </w:p>
    <w:p>
      <w:pPr>
        <w:pStyle w:val="40"/>
        <w:spacing w:before="0" w:beforeAutospacing="0" w:after="0" w:afterAutospacing="0"/>
        <w:ind w:firstLine="482" w:firstLineChars="200"/>
        <w:rPr>
          <w:rFonts w:hint="eastAsia"/>
          <w:b/>
          <w:bCs/>
          <w:color w:val="auto"/>
          <w:kern w:val="2"/>
        </w:rPr>
      </w:pPr>
      <w:r>
        <w:rPr>
          <w:rFonts w:hint="eastAsia"/>
          <w:b/>
          <w:bCs/>
          <w:color w:val="auto"/>
          <w:kern w:val="2"/>
        </w:rPr>
        <w:t>2、网络课程采购内容：</w:t>
      </w:r>
    </w:p>
    <w:p>
      <w:pPr>
        <w:pStyle w:val="40"/>
        <w:spacing w:before="0" w:beforeAutospacing="0" w:after="0" w:afterAutospacing="0"/>
        <w:ind w:firstLine="480" w:firstLineChars="200"/>
        <w:rPr>
          <w:rFonts w:hint="eastAsia"/>
          <w:color w:val="auto"/>
          <w:kern w:val="2"/>
          <w:lang w:eastAsia="zh-TW"/>
        </w:rPr>
      </w:pPr>
      <w:r>
        <w:rPr>
          <w:rFonts w:hint="eastAsia"/>
          <w:color w:val="auto"/>
          <w:kern w:val="2"/>
          <w:lang w:eastAsia="zh-TW"/>
        </w:rPr>
        <w:t>为了满足学校开课需求，提供课程应符合以下数量要求。</w:t>
      </w:r>
    </w:p>
    <w:p>
      <w:pPr>
        <w:pStyle w:val="40"/>
        <w:spacing w:before="0" w:beforeAutospacing="0" w:after="0" w:afterAutospacing="0"/>
        <w:ind w:firstLine="480" w:firstLineChars="200"/>
        <w:rPr>
          <w:rFonts w:hint="eastAsia"/>
          <w:color w:val="auto"/>
          <w:kern w:val="2"/>
          <w:lang w:eastAsia="zh-TW"/>
        </w:rPr>
      </w:pPr>
      <w:r>
        <w:rPr>
          <w:rFonts w:hint="eastAsia"/>
          <w:color w:val="auto"/>
          <w:kern w:val="2"/>
          <w:lang w:eastAsia="zh-TW"/>
        </w:rPr>
        <w:t>（1）课程总量不低于100门。</w:t>
      </w:r>
    </w:p>
    <w:p>
      <w:pPr>
        <w:pStyle w:val="40"/>
        <w:spacing w:before="0" w:beforeAutospacing="0" w:after="0" w:afterAutospacing="0"/>
        <w:ind w:firstLine="480" w:firstLineChars="200"/>
        <w:rPr>
          <w:rFonts w:hint="eastAsia"/>
          <w:color w:val="auto"/>
          <w:kern w:val="2"/>
          <w:lang w:eastAsia="zh-TW"/>
        </w:rPr>
      </w:pPr>
      <w:r>
        <w:rPr>
          <w:rFonts w:hint="eastAsia"/>
          <w:color w:val="auto"/>
          <w:kern w:val="2"/>
          <w:lang w:eastAsia="zh-TW"/>
        </w:rPr>
        <w:t>（2）至少包含以下1</w:t>
      </w:r>
      <w:r>
        <w:rPr>
          <w:rFonts w:hint="eastAsia"/>
          <w:color w:val="auto"/>
          <w:kern w:val="2"/>
        </w:rPr>
        <w:t>5</w:t>
      </w:r>
      <w:r>
        <w:rPr>
          <w:rFonts w:hint="eastAsia"/>
          <w:color w:val="auto"/>
          <w:kern w:val="2"/>
          <w:lang w:eastAsia="zh-TW"/>
        </w:rPr>
        <w:t>门课程：</w:t>
      </w:r>
    </w:p>
    <w:tbl>
      <w:tblPr>
        <w:tblStyle w:val="45"/>
        <w:tblW w:w="7655"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300"/>
        <w:gridCol w:w="771"/>
        <w:gridCol w:w="748"/>
        <w:gridCol w:w="712"/>
        <w:gridCol w:w="666"/>
        <w:gridCol w:w="992"/>
        <w:gridCol w:w="127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012" w:type="dxa"/>
            <w:gridSpan w:val="5"/>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学校课程要求</w:t>
            </w:r>
          </w:p>
        </w:tc>
        <w:tc>
          <w:tcPr>
            <w:tcW w:w="3643" w:type="dxa"/>
            <w:gridSpan w:val="4"/>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网络课程相关主要参数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课程名称</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课程性质</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课时</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学分</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网络课程名称</w:t>
            </w: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视频个数/总时长</w:t>
            </w: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师资来源</w:t>
            </w:r>
          </w:p>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（主讲人及单位）</w:t>
            </w:r>
          </w:p>
        </w:tc>
        <w:tc>
          <w:tcPr>
            <w:tcW w:w="70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rPr>
              <w:t>1</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rPr>
              <w:t>英语</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rPr>
              <w:t>必修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rPr>
              <w:t>32</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rPr>
              <w:t>2</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70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职业生涯规划</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必修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70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大学生心理健康</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必修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32</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70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军事理论教育</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必修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18</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70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劳动教育</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必修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70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国家安全教育</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必修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70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就业创业指导</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必修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70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美术鉴赏</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选修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32</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70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书法鉴赏</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选修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32</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70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戏剧鉴赏</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选修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32</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70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艺术导论</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选修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32</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70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12</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音乐鉴赏</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选修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32</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70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舞蹈鉴赏</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选修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32</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70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14</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人文基础</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选修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32</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70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党史国史</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选修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32</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70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r>
    </w:tbl>
    <w:p>
      <w:pPr>
        <w:spacing w:line="48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说明：以上每一门课程，平台商应提供两个或以上的网络课程名称供校方选择。</w:t>
      </w:r>
    </w:p>
    <w:p>
      <w:pPr>
        <w:pStyle w:val="40"/>
        <w:spacing w:before="0" w:beforeAutospacing="0" w:after="0" w:afterAutospacing="0"/>
        <w:ind w:firstLine="480" w:firstLineChars="200"/>
        <w:rPr>
          <w:rFonts w:hint="eastAsia"/>
          <w:color w:val="auto"/>
          <w:kern w:val="2"/>
          <w:lang w:eastAsia="zh-TW"/>
        </w:rPr>
      </w:pPr>
      <w:r>
        <w:rPr>
          <w:rFonts w:hint="eastAsia"/>
          <w:color w:val="auto"/>
          <w:kern w:val="2"/>
          <w:lang w:eastAsia="zh-TW"/>
        </w:rPr>
        <w:t>（3）网络课程平台专用移动学习客户端软件（APP）1套</w:t>
      </w:r>
    </w:p>
    <w:p>
      <w:pPr>
        <w:pStyle w:val="40"/>
        <w:spacing w:before="0" w:beforeAutospacing="0" w:after="0" w:afterAutospacing="0"/>
        <w:ind w:firstLine="480" w:firstLineChars="200"/>
        <w:rPr>
          <w:rFonts w:hint="eastAsia"/>
          <w:color w:val="auto"/>
          <w:kern w:val="2"/>
          <w:lang w:eastAsia="zh-TW"/>
        </w:rPr>
      </w:pPr>
      <w:r>
        <w:rPr>
          <w:rFonts w:hint="eastAsia"/>
          <w:color w:val="auto"/>
          <w:kern w:val="2"/>
          <w:lang w:eastAsia="zh-TW"/>
        </w:rPr>
        <w:t>本次采购的网络课程使用时间为2021-2022学年1学期。服务从2021年9月选课开始，到2022年7月结课以后为止。上述列出的采购课程清单为2021-2022学年第1学期采购课程清单，以后各学期将根据学校教学需要对采购课程清单进行调整与更换（保持课程总数一致）。</w:t>
      </w:r>
    </w:p>
    <w:p>
      <w:pPr>
        <w:pStyle w:val="40"/>
        <w:spacing w:before="0" w:beforeAutospacing="0" w:after="0" w:afterAutospacing="0"/>
        <w:ind w:firstLine="482" w:firstLineChars="200"/>
        <w:rPr>
          <w:rFonts w:hint="eastAsia"/>
          <w:b/>
          <w:bCs/>
          <w:color w:val="auto"/>
          <w:kern w:val="2"/>
        </w:rPr>
      </w:pPr>
      <w:r>
        <w:rPr>
          <w:rFonts w:hint="eastAsia"/>
          <w:b/>
          <w:bCs/>
          <w:color w:val="auto"/>
          <w:kern w:val="2"/>
        </w:rPr>
        <w:t>3、网络课程技术参数</w:t>
      </w:r>
    </w:p>
    <w:p>
      <w:pPr>
        <w:pStyle w:val="40"/>
        <w:spacing w:before="0" w:beforeAutospacing="0" w:after="0" w:afterAutospacing="0"/>
        <w:ind w:firstLine="480" w:firstLineChars="200"/>
        <w:rPr>
          <w:rFonts w:hint="eastAsia"/>
          <w:color w:val="auto"/>
          <w:kern w:val="2"/>
          <w:lang w:eastAsia="zh-TW"/>
        </w:rPr>
      </w:pPr>
      <w:r>
        <w:rPr>
          <w:rFonts w:hint="eastAsia"/>
          <w:color w:val="auto"/>
          <w:kern w:val="2"/>
          <w:lang w:eastAsia="zh-TW"/>
        </w:rPr>
        <w:t>采购的网络必修课和选修课须在线开课一年以上，课程质量高，课程设计合理，有完整的课程教学视频、课程内容介绍、习题作业、讨论等且题库丰富。</w:t>
      </w:r>
    </w:p>
    <w:p>
      <w:pPr>
        <w:pStyle w:val="40"/>
        <w:spacing w:before="0" w:beforeAutospacing="0" w:after="0" w:afterAutospacing="0"/>
        <w:ind w:firstLine="480" w:firstLineChars="200"/>
        <w:rPr>
          <w:rFonts w:hint="eastAsia"/>
          <w:color w:val="auto"/>
          <w:kern w:val="2"/>
          <w:lang w:eastAsia="zh-TW"/>
        </w:rPr>
      </w:pPr>
      <w:r>
        <w:rPr>
          <w:rFonts w:hint="eastAsia"/>
          <w:color w:val="auto"/>
          <w:kern w:val="2"/>
          <w:lang w:eastAsia="zh-TW"/>
        </w:rPr>
        <w:t>（1）课程视频：课程必需高清拍摄，可在线以720P以上清晰度流畅播放。</w:t>
      </w:r>
    </w:p>
    <w:p>
      <w:pPr>
        <w:pStyle w:val="40"/>
        <w:spacing w:before="0" w:beforeAutospacing="0" w:after="0" w:afterAutospacing="0"/>
        <w:ind w:firstLine="480" w:firstLineChars="200"/>
        <w:rPr>
          <w:rFonts w:hint="eastAsia"/>
          <w:color w:val="auto"/>
          <w:kern w:val="2"/>
          <w:lang w:eastAsia="zh-TW"/>
        </w:rPr>
      </w:pPr>
      <w:r>
        <w:rPr>
          <w:rFonts w:hint="eastAsia"/>
          <w:color w:val="auto"/>
          <w:kern w:val="2"/>
          <w:lang w:eastAsia="zh-TW"/>
        </w:rPr>
        <w:t>（2）课程题库：课程题库需包括单选题、多选题、判断题、填空题、简答题等五种题型。课程视频数量多于20个的，每门课程配套题库题目数量应不少于120道。试题更新频率不低于每学年一次，以系统标注题库上传时间为准。为提高考核的科学性，日常作业题目应当与期末考试题目有所区别，题库中需明确标明两类题目区分。</w:t>
      </w:r>
    </w:p>
    <w:p>
      <w:pPr>
        <w:pStyle w:val="40"/>
        <w:spacing w:before="0" w:beforeAutospacing="0" w:after="0" w:afterAutospacing="0"/>
        <w:ind w:firstLine="480" w:firstLineChars="200"/>
        <w:rPr>
          <w:rFonts w:hint="eastAsia"/>
          <w:color w:val="auto"/>
          <w:kern w:val="2"/>
          <w:lang w:eastAsia="zh-TW"/>
        </w:rPr>
      </w:pPr>
      <w:r>
        <w:rPr>
          <w:rFonts w:hint="eastAsia"/>
          <w:color w:val="auto"/>
          <w:kern w:val="2"/>
          <w:lang w:eastAsia="zh-TW"/>
        </w:rPr>
        <w:t>（3）期末考试需提供难、中、易三种难度供用户选择。其中难度为“易”的试卷需包括单选题、多选题、判断题三种题型；难度为“中”的试卷需包括单选题、多选题、判断题、填空题四种题型；难度为“难”的试卷需包括单选题、多选题、判断题、填空题、简答题。</w:t>
      </w:r>
    </w:p>
    <w:p>
      <w:pPr>
        <w:pStyle w:val="40"/>
        <w:spacing w:before="0" w:beforeAutospacing="0" w:after="0" w:afterAutospacing="0"/>
        <w:ind w:firstLine="480" w:firstLineChars="200"/>
        <w:rPr>
          <w:rFonts w:hint="eastAsia"/>
          <w:color w:val="auto"/>
          <w:kern w:val="2"/>
          <w:lang w:eastAsia="zh-TW"/>
        </w:rPr>
      </w:pPr>
      <w:r>
        <w:rPr>
          <w:rFonts w:hint="eastAsia"/>
          <w:color w:val="auto"/>
          <w:kern w:val="2"/>
          <w:lang w:eastAsia="zh-TW"/>
        </w:rPr>
        <w:t>（4）有完善的课程运行学情监督系统，学生在线学习课程时需支持进度记忆，支持防止拖拽、防止跳集观看，支持当前活动窗口探测、防止观看课程时进行其他活动。系统支持取消防拖拽、防跳集、当前窗口探测等功能；支持长时间无活动自动停止播放。</w:t>
      </w:r>
    </w:p>
    <w:p>
      <w:pPr>
        <w:pStyle w:val="40"/>
        <w:spacing w:before="0" w:beforeAutospacing="0" w:after="0" w:afterAutospacing="0"/>
        <w:ind w:firstLine="480" w:firstLineChars="200"/>
        <w:rPr>
          <w:rFonts w:hint="eastAsia"/>
          <w:color w:val="auto"/>
          <w:kern w:val="2"/>
          <w:lang w:eastAsia="zh-TW"/>
        </w:rPr>
      </w:pPr>
      <w:r>
        <w:rPr>
          <w:rFonts w:hint="eastAsia"/>
          <w:color w:val="auto"/>
          <w:kern w:val="2"/>
          <w:lang w:eastAsia="zh-TW"/>
        </w:rPr>
        <w:t>（5）版权问题：供应商已解决课程版权事宜，不会给学校带来版权纠纷，不会因为相关争议影响学校正常使用，需提供投标课程的主讲教师授权协议或版权问题承诺书。</w:t>
      </w:r>
    </w:p>
    <w:p>
      <w:pPr>
        <w:pStyle w:val="40"/>
        <w:spacing w:before="0" w:beforeAutospacing="0" w:after="0" w:afterAutospacing="0"/>
        <w:ind w:firstLine="482" w:firstLineChars="200"/>
        <w:rPr>
          <w:rFonts w:hint="eastAsia"/>
          <w:b/>
          <w:bCs/>
          <w:color w:val="auto"/>
          <w:kern w:val="2"/>
        </w:rPr>
      </w:pPr>
      <w:r>
        <w:rPr>
          <w:rFonts w:hint="eastAsia"/>
          <w:b/>
          <w:bCs/>
          <w:color w:val="auto"/>
          <w:kern w:val="2"/>
        </w:rPr>
        <w:t>4.赠送网络课程要求</w:t>
      </w:r>
    </w:p>
    <w:p>
      <w:pPr>
        <w:pStyle w:val="40"/>
        <w:spacing w:before="0" w:beforeAutospacing="0" w:after="0" w:afterAutospacing="0"/>
        <w:ind w:firstLine="480" w:firstLineChars="200"/>
        <w:rPr>
          <w:rFonts w:hint="eastAsia"/>
          <w:color w:val="auto"/>
          <w:kern w:val="2"/>
        </w:rPr>
      </w:pPr>
      <w:r>
        <w:rPr>
          <w:rFonts w:hint="eastAsia"/>
          <w:color w:val="auto"/>
          <w:kern w:val="2"/>
        </w:rPr>
        <w:t>赠送学校通识教育拓展模块课程不少于10个主题，要求如下。</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keepNext w:val="0"/>
              <w:keepLines w:val="0"/>
              <w:widowControl/>
              <w:suppressLineNumbers w:val="0"/>
              <w:spacing w:before="0" w:beforeAutospacing="0" w:after="0" w:afterAutospacing="0" w:line="440" w:lineRule="exact"/>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417" w:type="dxa"/>
            <w:noWrap w:val="0"/>
            <w:vAlign w:val="top"/>
          </w:tcPr>
          <w:p>
            <w:pPr>
              <w:keepNext w:val="0"/>
              <w:keepLines w:val="0"/>
              <w:widowControl/>
              <w:suppressLineNumbers w:val="0"/>
              <w:spacing w:before="0" w:beforeAutospacing="0" w:after="0" w:afterAutospacing="0" w:line="440" w:lineRule="exact"/>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主题</w:t>
            </w:r>
          </w:p>
        </w:tc>
        <w:tc>
          <w:tcPr>
            <w:tcW w:w="6033" w:type="dxa"/>
            <w:noWrap w:val="0"/>
            <w:vAlign w:val="top"/>
          </w:tcPr>
          <w:p>
            <w:pPr>
              <w:keepNext w:val="0"/>
              <w:keepLines w:val="0"/>
              <w:widowControl/>
              <w:suppressLineNumbers w:val="0"/>
              <w:spacing w:before="0" w:beforeAutospacing="0" w:after="0" w:afterAutospacing="0" w:line="440" w:lineRule="exact"/>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46" w:type="dxa"/>
            <w:noWrap w:val="0"/>
            <w:vAlign w:val="center"/>
          </w:tcPr>
          <w:p>
            <w:pPr>
              <w:keepNext w:val="0"/>
              <w:keepLines w:val="0"/>
              <w:widowControl/>
              <w:suppressLineNumbers w:val="0"/>
              <w:spacing w:before="0" w:beforeAutospacing="0" w:after="0" w:afterAutospacing="0" w:line="300" w:lineRule="exact"/>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417" w:type="dxa"/>
            <w:noWrap w:val="0"/>
            <w:vAlign w:val="center"/>
          </w:tcPr>
          <w:p>
            <w:pPr>
              <w:keepNext w:val="0"/>
              <w:keepLines w:val="0"/>
              <w:widowControl/>
              <w:suppressLineNumbers w:val="0"/>
              <w:spacing w:before="0" w:beforeAutospacing="0" w:after="0" w:afterAutospacing="0" w:line="300" w:lineRule="exact"/>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经典导读类</w:t>
            </w:r>
          </w:p>
        </w:tc>
        <w:tc>
          <w:tcPr>
            <w:tcW w:w="6033" w:type="dxa"/>
            <w:noWrap w:val="0"/>
            <w:vAlign w:val="top"/>
          </w:tcPr>
          <w:p>
            <w:pPr>
              <w:keepNext w:val="0"/>
              <w:keepLines w:val="0"/>
              <w:widowControl/>
              <w:suppressLineNumbers w:val="0"/>
              <w:spacing w:before="0" w:beforeAutospacing="0" w:after="0" w:afterAutospacing="0" w:line="300" w:lineRule="exact"/>
              <w:ind w:left="0" w:right="0" w:firstLine="420" w:firstLineChars="200"/>
              <w:rPr>
                <w:rFonts w:hint="eastAsia" w:ascii="宋体" w:hAnsi="宋体" w:eastAsia="宋体" w:cs="宋体"/>
                <w:color w:val="auto"/>
                <w:szCs w:val="21"/>
              </w:rPr>
            </w:pPr>
            <w:r>
              <w:rPr>
                <w:rFonts w:hint="eastAsia" w:ascii="宋体" w:hAnsi="宋体" w:eastAsia="宋体" w:cs="宋体"/>
                <w:color w:val="auto"/>
                <w:szCs w:val="21"/>
              </w:rPr>
              <w:t>覆盖哲学、历史、文学、社会、科学、国学各领域经典。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keepNext w:val="0"/>
              <w:keepLines w:val="0"/>
              <w:widowControl/>
              <w:suppressLineNumbers w:val="0"/>
              <w:spacing w:before="0" w:beforeAutospacing="0" w:after="0" w:afterAutospacing="0" w:line="300" w:lineRule="exact"/>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417" w:type="dxa"/>
            <w:noWrap w:val="0"/>
            <w:vAlign w:val="center"/>
          </w:tcPr>
          <w:p>
            <w:pPr>
              <w:keepNext w:val="0"/>
              <w:keepLines w:val="0"/>
              <w:widowControl/>
              <w:suppressLineNumbers w:val="0"/>
              <w:spacing w:before="0" w:beforeAutospacing="0" w:after="0" w:afterAutospacing="0" w:line="300" w:lineRule="exact"/>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国学知识类</w:t>
            </w:r>
          </w:p>
        </w:tc>
        <w:tc>
          <w:tcPr>
            <w:tcW w:w="6033" w:type="dxa"/>
            <w:noWrap w:val="0"/>
            <w:vAlign w:val="top"/>
          </w:tcPr>
          <w:p>
            <w:pPr>
              <w:keepNext w:val="0"/>
              <w:keepLines w:val="0"/>
              <w:widowControl/>
              <w:suppressLineNumbers w:val="0"/>
              <w:spacing w:before="0" w:beforeAutospacing="0" w:after="0" w:afterAutospacing="0" w:line="300" w:lineRule="exact"/>
              <w:ind w:left="0" w:right="0" w:firstLine="420" w:firstLineChars="200"/>
              <w:rPr>
                <w:rFonts w:hint="eastAsia" w:ascii="宋体" w:hAnsi="宋体" w:eastAsia="宋体" w:cs="宋体"/>
                <w:color w:val="auto"/>
                <w:szCs w:val="21"/>
              </w:rPr>
            </w:pPr>
            <w:r>
              <w:rPr>
                <w:rFonts w:hint="eastAsia" w:ascii="宋体" w:hAnsi="宋体" w:eastAsia="宋体" w:cs="宋体"/>
                <w:color w:val="auto"/>
                <w:szCs w:val="21"/>
              </w:rPr>
              <w:t>介绍中国诸子百家思想、经典著作、传统文化、中医、技术等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keepNext w:val="0"/>
              <w:keepLines w:val="0"/>
              <w:widowControl/>
              <w:suppressLineNumbers w:val="0"/>
              <w:spacing w:before="0" w:beforeAutospacing="0" w:after="0" w:afterAutospacing="0" w:line="300" w:lineRule="exact"/>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417" w:type="dxa"/>
            <w:noWrap w:val="0"/>
            <w:vAlign w:val="center"/>
          </w:tcPr>
          <w:p>
            <w:pPr>
              <w:keepNext w:val="0"/>
              <w:keepLines w:val="0"/>
              <w:widowControl/>
              <w:suppressLineNumbers w:val="0"/>
              <w:spacing w:before="0" w:beforeAutospacing="0" w:after="0" w:afterAutospacing="0" w:line="300" w:lineRule="exact"/>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经济管理</w:t>
            </w:r>
          </w:p>
        </w:tc>
        <w:tc>
          <w:tcPr>
            <w:tcW w:w="6033" w:type="dxa"/>
            <w:noWrap w:val="0"/>
            <w:vAlign w:val="top"/>
          </w:tcPr>
          <w:p>
            <w:pPr>
              <w:keepNext w:val="0"/>
              <w:keepLines w:val="0"/>
              <w:widowControl/>
              <w:suppressLineNumbers w:val="0"/>
              <w:spacing w:before="0" w:beforeAutospacing="0" w:after="0" w:afterAutospacing="0" w:line="300" w:lineRule="exact"/>
              <w:ind w:left="0" w:right="0" w:firstLine="420" w:firstLineChars="200"/>
              <w:rPr>
                <w:rFonts w:hint="eastAsia" w:ascii="宋体" w:hAnsi="宋体" w:eastAsia="宋体" w:cs="宋体"/>
                <w:color w:val="auto"/>
                <w:szCs w:val="21"/>
              </w:rPr>
            </w:pPr>
            <w:r>
              <w:rPr>
                <w:rFonts w:hint="eastAsia" w:ascii="宋体" w:hAnsi="宋体" w:eastAsia="宋体" w:cs="宋体"/>
                <w:color w:val="auto"/>
                <w:szCs w:val="21"/>
              </w:rPr>
              <w:t>以经管领域为分类维度，呈现经济学、社会学、管理学中不同的思想流派、基础理论与经典著作，带领学生理解经管与社会领域的知识、理解周围的世界。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keepNext w:val="0"/>
              <w:keepLines w:val="0"/>
              <w:widowControl/>
              <w:suppressLineNumbers w:val="0"/>
              <w:spacing w:before="0" w:beforeAutospacing="0" w:after="0" w:afterAutospacing="0" w:line="300" w:lineRule="exact"/>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417" w:type="dxa"/>
            <w:noWrap w:val="0"/>
            <w:vAlign w:val="center"/>
          </w:tcPr>
          <w:p>
            <w:pPr>
              <w:keepNext w:val="0"/>
              <w:keepLines w:val="0"/>
              <w:widowControl/>
              <w:suppressLineNumbers w:val="0"/>
              <w:spacing w:before="0" w:beforeAutospacing="0" w:after="0" w:afterAutospacing="0" w:line="300" w:lineRule="exact"/>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科学技术</w:t>
            </w:r>
          </w:p>
        </w:tc>
        <w:tc>
          <w:tcPr>
            <w:tcW w:w="6033" w:type="dxa"/>
            <w:noWrap w:val="0"/>
            <w:vAlign w:val="top"/>
          </w:tcPr>
          <w:p>
            <w:pPr>
              <w:keepNext w:val="0"/>
              <w:keepLines w:val="0"/>
              <w:widowControl/>
              <w:suppressLineNumbers w:val="0"/>
              <w:spacing w:before="0" w:beforeAutospacing="0" w:after="0" w:afterAutospacing="0" w:line="300" w:lineRule="exact"/>
              <w:ind w:left="0" w:right="0" w:firstLine="420" w:firstLineChars="200"/>
              <w:rPr>
                <w:rFonts w:hint="eastAsia" w:ascii="宋体" w:hAnsi="宋体" w:eastAsia="宋体" w:cs="宋体"/>
                <w:color w:val="auto"/>
                <w:szCs w:val="21"/>
              </w:rPr>
            </w:pPr>
            <w:r>
              <w:rPr>
                <w:rFonts w:hint="eastAsia" w:ascii="宋体" w:hAnsi="宋体" w:eastAsia="宋体" w:cs="宋体"/>
                <w:color w:val="auto"/>
                <w:szCs w:val="21"/>
              </w:rPr>
              <w:t>以科学领域的基础科学与前沿领域为分类维度，浓缩20世纪以来人类科学发展的伟大历程，带领学生了解科学的奥秘、把握科技的发展方向。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keepNext w:val="0"/>
              <w:keepLines w:val="0"/>
              <w:widowControl/>
              <w:suppressLineNumbers w:val="0"/>
              <w:spacing w:before="0" w:beforeAutospacing="0" w:after="0" w:afterAutospacing="0" w:line="300" w:lineRule="exact"/>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1417" w:type="dxa"/>
            <w:noWrap w:val="0"/>
            <w:vAlign w:val="center"/>
          </w:tcPr>
          <w:p>
            <w:pPr>
              <w:keepNext w:val="0"/>
              <w:keepLines w:val="0"/>
              <w:widowControl/>
              <w:suppressLineNumbers w:val="0"/>
              <w:spacing w:before="0" w:beforeAutospacing="0" w:after="0" w:afterAutospacing="0" w:line="300" w:lineRule="exact"/>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艺术经典</w:t>
            </w:r>
          </w:p>
        </w:tc>
        <w:tc>
          <w:tcPr>
            <w:tcW w:w="6033" w:type="dxa"/>
            <w:noWrap w:val="0"/>
            <w:vAlign w:val="top"/>
          </w:tcPr>
          <w:p>
            <w:pPr>
              <w:keepNext w:val="0"/>
              <w:keepLines w:val="0"/>
              <w:widowControl/>
              <w:suppressLineNumbers w:val="0"/>
              <w:spacing w:before="0" w:beforeAutospacing="0" w:after="0" w:afterAutospacing="0" w:line="300" w:lineRule="exact"/>
              <w:ind w:left="0" w:right="0" w:firstLine="420" w:firstLineChars="200"/>
              <w:rPr>
                <w:rFonts w:hint="eastAsia" w:ascii="宋体" w:hAnsi="宋体" w:eastAsia="宋体" w:cs="宋体"/>
                <w:color w:val="auto"/>
                <w:szCs w:val="21"/>
              </w:rPr>
            </w:pPr>
            <w:r>
              <w:rPr>
                <w:rFonts w:hint="eastAsia" w:ascii="宋体" w:hAnsi="宋体" w:eastAsia="宋体" w:cs="宋体"/>
                <w:color w:val="auto"/>
                <w:szCs w:val="21"/>
              </w:rPr>
              <w:t>以艺术的不同形式为分类维度，涵盖艺术领域中音乐、绘画、建筑、戏曲等不同领域的思想与名作，带领学生提升个人审美品味与生活意趣。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46" w:type="dxa"/>
            <w:noWrap w:val="0"/>
            <w:vAlign w:val="center"/>
          </w:tcPr>
          <w:p>
            <w:pPr>
              <w:keepNext w:val="0"/>
              <w:keepLines w:val="0"/>
              <w:widowControl/>
              <w:suppressLineNumbers w:val="0"/>
              <w:spacing w:before="0" w:beforeAutospacing="0" w:after="0" w:afterAutospacing="0" w:line="300" w:lineRule="exact"/>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1417" w:type="dxa"/>
            <w:noWrap w:val="0"/>
            <w:vAlign w:val="center"/>
          </w:tcPr>
          <w:p>
            <w:pPr>
              <w:keepNext w:val="0"/>
              <w:keepLines w:val="0"/>
              <w:widowControl/>
              <w:suppressLineNumbers w:val="0"/>
              <w:spacing w:before="0" w:beforeAutospacing="0" w:after="0" w:afterAutospacing="0" w:line="300" w:lineRule="exact"/>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身心健康</w:t>
            </w:r>
          </w:p>
        </w:tc>
        <w:tc>
          <w:tcPr>
            <w:tcW w:w="6033" w:type="dxa"/>
            <w:noWrap w:val="0"/>
            <w:vAlign w:val="top"/>
          </w:tcPr>
          <w:p>
            <w:pPr>
              <w:keepNext w:val="0"/>
              <w:keepLines w:val="0"/>
              <w:widowControl/>
              <w:suppressLineNumbers w:val="0"/>
              <w:spacing w:before="0" w:beforeAutospacing="0" w:after="0" w:afterAutospacing="0" w:line="300" w:lineRule="exact"/>
              <w:ind w:left="0" w:right="0" w:firstLine="420" w:firstLineChars="200"/>
              <w:rPr>
                <w:rFonts w:hint="eastAsia" w:ascii="宋体" w:hAnsi="宋体" w:eastAsia="宋体" w:cs="宋体"/>
                <w:color w:val="auto"/>
                <w:szCs w:val="21"/>
              </w:rPr>
            </w:pPr>
            <w:r>
              <w:rPr>
                <w:rFonts w:hint="eastAsia" w:ascii="宋体" w:hAnsi="宋体" w:eastAsia="宋体" w:cs="宋体"/>
                <w:color w:val="auto"/>
                <w:szCs w:val="21"/>
              </w:rPr>
              <w:t>培养健康意识，传播健康知识，帮助学生在面对个人健康问题及突发事件时，有能力保障个人健康，有余力协助维护他人健康。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keepNext w:val="0"/>
              <w:keepLines w:val="0"/>
              <w:widowControl/>
              <w:suppressLineNumbers w:val="0"/>
              <w:spacing w:before="0" w:beforeAutospacing="0" w:after="0" w:afterAutospacing="0" w:line="300" w:lineRule="exact"/>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1417" w:type="dxa"/>
            <w:noWrap w:val="0"/>
            <w:vAlign w:val="center"/>
          </w:tcPr>
          <w:p>
            <w:pPr>
              <w:keepNext w:val="0"/>
              <w:keepLines w:val="0"/>
              <w:widowControl/>
              <w:suppressLineNumbers w:val="0"/>
              <w:spacing w:before="0" w:beforeAutospacing="0" w:after="0" w:afterAutospacing="0" w:line="300" w:lineRule="exact"/>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人际沟通</w:t>
            </w:r>
          </w:p>
        </w:tc>
        <w:tc>
          <w:tcPr>
            <w:tcW w:w="6033" w:type="dxa"/>
            <w:noWrap w:val="0"/>
            <w:vAlign w:val="top"/>
          </w:tcPr>
          <w:p>
            <w:pPr>
              <w:keepNext w:val="0"/>
              <w:keepLines w:val="0"/>
              <w:widowControl/>
              <w:suppressLineNumbers w:val="0"/>
              <w:spacing w:before="0" w:beforeAutospacing="0" w:after="0" w:afterAutospacing="0" w:line="300" w:lineRule="exact"/>
              <w:ind w:left="0" w:right="0" w:firstLine="420" w:firstLineChars="200"/>
              <w:rPr>
                <w:rFonts w:hint="eastAsia" w:ascii="宋体" w:hAnsi="宋体" w:eastAsia="宋体" w:cs="宋体"/>
                <w:color w:val="auto"/>
                <w:szCs w:val="21"/>
              </w:rPr>
            </w:pPr>
            <w:r>
              <w:rPr>
                <w:rFonts w:hint="eastAsia" w:ascii="宋体" w:hAnsi="宋体" w:eastAsia="宋体" w:cs="宋体"/>
                <w:color w:val="auto"/>
                <w:szCs w:val="21"/>
              </w:rPr>
              <w:t>人与人之间交往不仅仅涉及到语言沟通，还包括个人形象、礼仪、心理等一系列范畴，全方位了解相关知识才能达到有效的人际沟通。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keepNext w:val="0"/>
              <w:keepLines w:val="0"/>
              <w:widowControl/>
              <w:suppressLineNumbers w:val="0"/>
              <w:spacing w:before="0" w:beforeAutospacing="0" w:after="0" w:afterAutospacing="0" w:line="300" w:lineRule="exact"/>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1417" w:type="dxa"/>
            <w:noWrap w:val="0"/>
            <w:vAlign w:val="center"/>
          </w:tcPr>
          <w:p>
            <w:pPr>
              <w:keepNext w:val="0"/>
              <w:keepLines w:val="0"/>
              <w:widowControl/>
              <w:suppressLineNumbers w:val="0"/>
              <w:spacing w:before="0" w:beforeAutospacing="0" w:after="0" w:afterAutospacing="0" w:line="300" w:lineRule="exact"/>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职场技能</w:t>
            </w:r>
          </w:p>
        </w:tc>
        <w:tc>
          <w:tcPr>
            <w:tcW w:w="6033" w:type="dxa"/>
            <w:noWrap w:val="0"/>
            <w:vAlign w:val="top"/>
          </w:tcPr>
          <w:p>
            <w:pPr>
              <w:keepNext w:val="0"/>
              <w:keepLines w:val="0"/>
              <w:widowControl/>
              <w:suppressLineNumbers w:val="0"/>
              <w:spacing w:before="0" w:beforeAutospacing="0" w:after="0" w:afterAutospacing="0" w:line="300" w:lineRule="exact"/>
              <w:ind w:left="0" w:right="0" w:firstLine="420" w:firstLineChars="200"/>
              <w:rPr>
                <w:rFonts w:hint="eastAsia" w:ascii="宋体" w:hAnsi="宋体" w:eastAsia="宋体" w:cs="宋体"/>
                <w:color w:val="auto"/>
                <w:szCs w:val="21"/>
              </w:rPr>
            </w:pPr>
            <w:r>
              <w:rPr>
                <w:rFonts w:hint="eastAsia" w:ascii="宋体" w:hAnsi="宋体" w:eastAsia="宋体" w:cs="宋体"/>
                <w:color w:val="auto"/>
                <w:szCs w:val="21"/>
              </w:rPr>
              <w:t>职场不仅仅对一个人的专业能力有很高要求，也涉及求职、面试、办公软件、数据统计与分析等一系列技能的应用。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keepNext w:val="0"/>
              <w:keepLines w:val="0"/>
              <w:widowControl/>
              <w:suppressLineNumbers w:val="0"/>
              <w:spacing w:before="0" w:beforeAutospacing="0" w:after="0" w:afterAutospacing="0" w:line="300" w:lineRule="exact"/>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1417" w:type="dxa"/>
            <w:noWrap w:val="0"/>
            <w:vAlign w:val="center"/>
          </w:tcPr>
          <w:p>
            <w:pPr>
              <w:keepNext w:val="0"/>
              <w:keepLines w:val="0"/>
              <w:widowControl/>
              <w:suppressLineNumbers w:val="0"/>
              <w:spacing w:before="0" w:beforeAutospacing="0" w:after="0" w:afterAutospacing="0" w:line="300" w:lineRule="exact"/>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高效管理</w:t>
            </w:r>
          </w:p>
        </w:tc>
        <w:tc>
          <w:tcPr>
            <w:tcW w:w="6033" w:type="dxa"/>
            <w:noWrap w:val="0"/>
            <w:vAlign w:val="top"/>
          </w:tcPr>
          <w:p>
            <w:pPr>
              <w:keepNext w:val="0"/>
              <w:keepLines w:val="0"/>
              <w:widowControl/>
              <w:suppressLineNumbers w:val="0"/>
              <w:spacing w:before="0" w:beforeAutospacing="0" w:after="0" w:afterAutospacing="0" w:line="300" w:lineRule="exact"/>
              <w:ind w:left="0" w:right="0" w:firstLine="420" w:firstLineChars="200"/>
              <w:rPr>
                <w:rFonts w:hint="eastAsia" w:ascii="宋体" w:hAnsi="宋体" w:eastAsia="宋体" w:cs="宋体"/>
                <w:color w:val="auto"/>
                <w:szCs w:val="21"/>
              </w:rPr>
            </w:pPr>
            <w:r>
              <w:rPr>
                <w:rFonts w:hint="eastAsia" w:ascii="宋体" w:hAnsi="宋体" w:eastAsia="宋体" w:cs="宋体"/>
                <w:color w:val="auto"/>
                <w:szCs w:val="21"/>
              </w:rPr>
              <w:t>管理能力是个人职业发展到一定程度后必须掌握的技能，只有掌握全面的管理能力，才能协助团队取得预期的目标。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keepNext w:val="0"/>
              <w:keepLines w:val="0"/>
              <w:widowControl/>
              <w:suppressLineNumbers w:val="0"/>
              <w:spacing w:before="0" w:beforeAutospacing="0" w:after="0" w:afterAutospacing="0" w:line="300" w:lineRule="exact"/>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1417" w:type="dxa"/>
            <w:noWrap w:val="0"/>
            <w:vAlign w:val="center"/>
          </w:tcPr>
          <w:p>
            <w:pPr>
              <w:keepNext w:val="0"/>
              <w:keepLines w:val="0"/>
              <w:widowControl/>
              <w:suppressLineNumbers w:val="0"/>
              <w:spacing w:before="0" w:beforeAutospacing="0" w:after="0" w:afterAutospacing="0" w:line="300" w:lineRule="exact"/>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创造创新</w:t>
            </w:r>
          </w:p>
        </w:tc>
        <w:tc>
          <w:tcPr>
            <w:tcW w:w="6033" w:type="dxa"/>
            <w:noWrap w:val="0"/>
            <w:vAlign w:val="top"/>
          </w:tcPr>
          <w:p>
            <w:pPr>
              <w:keepNext w:val="0"/>
              <w:keepLines w:val="0"/>
              <w:widowControl/>
              <w:suppressLineNumbers w:val="0"/>
              <w:spacing w:before="0" w:beforeAutospacing="0" w:after="0" w:afterAutospacing="0" w:line="300" w:lineRule="exact"/>
              <w:ind w:left="0" w:right="0" w:firstLine="420" w:firstLineChars="200"/>
              <w:rPr>
                <w:rFonts w:hint="eastAsia" w:ascii="宋体" w:hAnsi="宋体" w:eastAsia="宋体" w:cs="宋体"/>
                <w:color w:val="auto"/>
                <w:szCs w:val="21"/>
              </w:rPr>
            </w:pPr>
            <w:r>
              <w:rPr>
                <w:rFonts w:hint="eastAsia" w:ascii="宋体" w:hAnsi="宋体" w:eastAsia="宋体" w:cs="宋体"/>
                <w:color w:val="auto"/>
                <w:szCs w:val="21"/>
              </w:rPr>
              <w:t>创新是科技乃至文明能够不断发展的最强动力，个人工作过程中学会创新的理论并积极实践是推动个人事业不断发展前行的重要因素。</w:t>
            </w:r>
          </w:p>
        </w:tc>
      </w:tr>
    </w:tbl>
    <w:p>
      <w:pPr>
        <w:pStyle w:val="40"/>
        <w:spacing w:before="0" w:beforeAutospacing="0" w:after="0" w:afterAutospacing="0"/>
        <w:ind w:firstLine="480" w:firstLineChars="200"/>
        <w:rPr>
          <w:rFonts w:hint="eastAsia"/>
          <w:color w:val="auto"/>
          <w:kern w:val="2"/>
        </w:rPr>
      </w:pPr>
      <w:r>
        <w:rPr>
          <w:rFonts w:hint="eastAsia"/>
          <w:color w:val="auto"/>
          <w:kern w:val="2"/>
        </w:rPr>
        <w:t>该通识教育拓展模块课程学习考核方法要求必须以积分制模式进行。学生在系统内发生学习行为时，系统可以根据校方预先设置的分数值，自动记录其行为对应的分数。可以积分的学习行为需至少包含以下所有操作行为：登录、视频观看时长、阅读时长、测验题、讨论、学习笔记、线下活动。所有积分维度允许用户自定义对应分值。</w:t>
      </w:r>
    </w:p>
    <w:p>
      <w:pPr>
        <w:pStyle w:val="40"/>
        <w:spacing w:before="0" w:beforeAutospacing="0" w:after="0" w:afterAutospacing="0"/>
        <w:ind w:firstLine="482" w:firstLineChars="200"/>
        <w:rPr>
          <w:rFonts w:hint="eastAsia"/>
          <w:b/>
          <w:bCs/>
          <w:color w:val="auto"/>
          <w:kern w:val="2"/>
        </w:rPr>
      </w:pPr>
      <w:r>
        <w:rPr>
          <w:rFonts w:hint="eastAsia"/>
          <w:b/>
          <w:bCs/>
          <w:color w:val="auto"/>
          <w:kern w:val="2"/>
        </w:rPr>
        <w:t>5.课程平台要求</w:t>
      </w:r>
    </w:p>
    <w:p>
      <w:pPr>
        <w:pStyle w:val="40"/>
        <w:spacing w:before="0" w:beforeAutospacing="0" w:after="0" w:afterAutospacing="0"/>
        <w:ind w:firstLine="480" w:firstLineChars="200"/>
        <w:rPr>
          <w:rFonts w:hint="eastAsia"/>
          <w:color w:val="auto"/>
          <w:kern w:val="2"/>
        </w:rPr>
      </w:pPr>
      <w:r>
        <w:rPr>
          <w:rFonts w:hint="eastAsia"/>
          <w:color w:val="auto"/>
          <w:kern w:val="2"/>
        </w:rPr>
        <w:t>（1）平台备选课程数量要求</w:t>
      </w:r>
    </w:p>
    <w:p>
      <w:pPr>
        <w:pStyle w:val="40"/>
        <w:spacing w:before="0" w:beforeAutospacing="0" w:after="0" w:afterAutospacing="0"/>
        <w:ind w:firstLine="480" w:firstLineChars="200"/>
        <w:rPr>
          <w:rFonts w:hint="eastAsia"/>
          <w:color w:val="auto"/>
          <w:kern w:val="2"/>
        </w:rPr>
      </w:pPr>
      <w:r>
        <w:rPr>
          <w:rFonts w:hint="eastAsia"/>
          <w:color w:val="auto"/>
          <w:kern w:val="2"/>
        </w:rPr>
        <w:t>由于本次招标列出的是学校2021-2022学年第1学期采购的网络课程清单，学校将根据各学期课程教学需要，对采购的课程内容进行调整或更换。为了满足学校开课需求，供应商提供的网络课程平台上的网络课程总量应不低于100门，且各类课程要分别达到相应的课程备选要求。</w:t>
      </w:r>
    </w:p>
    <w:p>
      <w:pPr>
        <w:widowControl/>
        <w:spacing w:line="440" w:lineRule="exact"/>
        <w:ind w:firstLine="480" w:firstLineChars="200"/>
        <w:jc w:val="left"/>
        <w:rPr>
          <w:rFonts w:hint="eastAsia" w:ascii="宋体" w:hAnsi="宋体" w:cs="宋体"/>
          <w:color w:val="auto"/>
          <w:sz w:val="24"/>
          <w:szCs w:val="24"/>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134"/>
        <w:gridCol w:w="5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keepNext w:val="0"/>
              <w:keepLines w:val="0"/>
              <w:suppressLineNumbers w:val="0"/>
              <w:spacing w:before="0" w:beforeAutospacing="0" w:after="0" w:afterAutospacing="0"/>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课程主题</w:t>
            </w:r>
          </w:p>
        </w:tc>
        <w:tc>
          <w:tcPr>
            <w:tcW w:w="1134" w:type="dxa"/>
            <w:noWrap w:val="0"/>
            <w:tcMar>
              <w:left w:w="28" w:type="dxa"/>
              <w:right w:w="28" w:type="dxa"/>
            </w:tcMar>
            <w:vAlign w:val="center"/>
          </w:tcPr>
          <w:p>
            <w:pPr>
              <w:keepNext w:val="0"/>
              <w:keepLines w:val="0"/>
              <w:suppressLineNumbers w:val="0"/>
              <w:spacing w:before="0" w:beforeAutospacing="0" w:after="0" w:afterAutospacing="0"/>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备选门数</w:t>
            </w:r>
          </w:p>
        </w:tc>
        <w:tc>
          <w:tcPr>
            <w:tcW w:w="5182" w:type="dxa"/>
            <w:noWrap w:val="0"/>
            <w:vAlign w:val="center"/>
          </w:tcPr>
          <w:p>
            <w:pPr>
              <w:keepNext w:val="0"/>
              <w:keepLines w:val="0"/>
              <w:suppressLineNumbers w:val="0"/>
              <w:spacing w:before="0" w:beforeAutospacing="0" w:after="0" w:afterAutospacing="0"/>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详细要求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keepNext w:val="0"/>
              <w:keepLines w:val="0"/>
              <w:suppressLineNumbers w:val="0"/>
              <w:snapToGrid w:val="0"/>
              <w:spacing w:before="0" w:beforeAutospacing="0" w:after="0" w:afterAutospacing="0"/>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英语</w:t>
            </w:r>
          </w:p>
        </w:tc>
        <w:tc>
          <w:tcPr>
            <w:tcW w:w="1134" w:type="dxa"/>
            <w:noWrap w:val="0"/>
            <w:tcMar>
              <w:left w:w="28" w:type="dxa"/>
              <w:right w:w="28" w:type="dxa"/>
            </w:tcMar>
            <w:vAlign w:val="center"/>
          </w:tcPr>
          <w:p>
            <w:pPr>
              <w:keepNext w:val="0"/>
              <w:keepLines w:val="0"/>
              <w:suppressLineNumbers w:val="0"/>
              <w:snapToGrid w:val="0"/>
              <w:spacing w:before="0" w:beforeAutospacing="0" w:after="0" w:afterAutospacing="0"/>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5182" w:type="dxa"/>
            <w:noWrap w:val="0"/>
            <w:tcMar>
              <w:left w:w="0" w:type="dxa"/>
              <w:right w:w="0" w:type="dxa"/>
            </w:tcMar>
            <w:vAlign w:val="center"/>
          </w:tcPr>
          <w:p>
            <w:pPr>
              <w:keepNext w:val="0"/>
              <w:keepLines w:val="0"/>
              <w:suppressLineNumbers w:val="0"/>
              <w:snapToGrid w:val="0"/>
              <w:spacing w:before="0" w:beforeAutospacing="0" w:after="0" w:afterAutospacing="0"/>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以学生网上练习为主（至少10套4级真题训练，写作训练、真题讲解）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keepNext w:val="0"/>
              <w:keepLines w:val="0"/>
              <w:suppressLineNumbers w:val="0"/>
              <w:snapToGrid w:val="0"/>
              <w:spacing w:before="0" w:beforeAutospacing="0" w:after="0" w:afterAutospacing="0"/>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劳动教育</w:t>
            </w:r>
          </w:p>
        </w:tc>
        <w:tc>
          <w:tcPr>
            <w:tcW w:w="1134" w:type="dxa"/>
            <w:noWrap w:val="0"/>
            <w:tcMar>
              <w:left w:w="28" w:type="dxa"/>
              <w:right w:w="28" w:type="dxa"/>
            </w:tcMar>
            <w:vAlign w:val="center"/>
          </w:tcPr>
          <w:p>
            <w:pPr>
              <w:keepNext w:val="0"/>
              <w:keepLines w:val="0"/>
              <w:suppressLineNumbers w:val="0"/>
              <w:snapToGrid w:val="0"/>
              <w:spacing w:before="0" w:beforeAutospacing="0" w:after="0" w:afterAutospacing="0"/>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5182" w:type="dxa"/>
            <w:noWrap w:val="0"/>
            <w:tcMar>
              <w:left w:w="0" w:type="dxa"/>
              <w:right w:w="0" w:type="dxa"/>
            </w:tcMar>
            <w:vAlign w:val="center"/>
          </w:tcPr>
          <w:p>
            <w:pPr>
              <w:keepNext w:val="0"/>
              <w:keepLines w:val="0"/>
              <w:suppressLineNumbers w:val="0"/>
              <w:snapToGrid w:val="0"/>
              <w:spacing w:before="0" w:beforeAutospacing="0" w:after="0" w:afterAutospacing="0"/>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符合中共中央、国务院印发了《关于全面加强新时代大中小学劳动教育的意见》文件精神要求，以劳动精神、劳模精神、工匠精神为主。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keepNext w:val="0"/>
              <w:keepLines w:val="0"/>
              <w:suppressLineNumbers w:val="0"/>
              <w:snapToGrid w:val="0"/>
              <w:spacing w:before="0" w:beforeAutospacing="0" w:after="0" w:afterAutospacing="0"/>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大学生心理健康</w:t>
            </w:r>
          </w:p>
        </w:tc>
        <w:tc>
          <w:tcPr>
            <w:tcW w:w="1134" w:type="dxa"/>
            <w:noWrap w:val="0"/>
            <w:tcMar>
              <w:left w:w="28" w:type="dxa"/>
              <w:right w:w="28" w:type="dxa"/>
            </w:tcMar>
            <w:vAlign w:val="center"/>
          </w:tcPr>
          <w:p>
            <w:pPr>
              <w:keepNext w:val="0"/>
              <w:keepLines w:val="0"/>
              <w:suppressLineNumbers w:val="0"/>
              <w:snapToGrid w:val="0"/>
              <w:spacing w:before="0" w:beforeAutospacing="0" w:after="0" w:afterAutospacing="0"/>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5182" w:type="dxa"/>
            <w:noWrap w:val="0"/>
            <w:tcMar>
              <w:left w:w="0" w:type="dxa"/>
              <w:right w:w="0" w:type="dxa"/>
            </w:tcMar>
            <w:vAlign w:val="center"/>
          </w:tcPr>
          <w:p>
            <w:pPr>
              <w:keepNext w:val="0"/>
              <w:keepLines w:val="0"/>
              <w:suppressLineNumbers w:val="0"/>
              <w:snapToGrid w:val="0"/>
              <w:spacing w:before="0" w:beforeAutospacing="0" w:after="0" w:afterAutospacing="0"/>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符合教育部教党〔2018〕41号《高等学校学生心理健康教育指导纲要》内容要求。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center"/>
          </w:tcPr>
          <w:p>
            <w:pPr>
              <w:keepNext w:val="0"/>
              <w:keepLines w:val="0"/>
              <w:suppressLineNumbers w:val="0"/>
              <w:snapToGrid w:val="0"/>
              <w:spacing w:before="0" w:beforeAutospacing="0" w:after="0" w:afterAutospacing="0"/>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大学生职业生涯规划</w:t>
            </w:r>
          </w:p>
        </w:tc>
        <w:tc>
          <w:tcPr>
            <w:tcW w:w="1134" w:type="dxa"/>
            <w:noWrap w:val="0"/>
            <w:tcMar>
              <w:left w:w="28" w:type="dxa"/>
              <w:right w:w="28" w:type="dxa"/>
            </w:tcMar>
            <w:vAlign w:val="center"/>
          </w:tcPr>
          <w:p>
            <w:pPr>
              <w:keepNext w:val="0"/>
              <w:keepLines w:val="0"/>
              <w:suppressLineNumbers w:val="0"/>
              <w:snapToGrid w:val="0"/>
              <w:spacing w:before="0" w:beforeAutospacing="0" w:after="0" w:afterAutospacing="0"/>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5182" w:type="dxa"/>
            <w:noWrap w:val="0"/>
            <w:tcMar>
              <w:left w:w="0" w:type="dxa"/>
              <w:right w:w="0" w:type="dxa"/>
            </w:tcMar>
            <w:vAlign w:val="center"/>
          </w:tcPr>
          <w:p>
            <w:pPr>
              <w:keepNext w:val="0"/>
              <w:keepLines w:val="0"/>
              <w:suppressLineNumbers w:val="0"/>
              <w:snapToGrid w:val="0"/>
              <w:spacing w:before="0" w:beforeAutospacing="0" w:after="0" w:afterAutospacing="0"/>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符合教育部教高厅〔2007〕7号《大学生职业发展与就业指导课程教学要求》内容要求。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keepNext w:val="0"/>
              <w:keepLines w:val="0"/>
              <w:suppressLineNumbers w:val="0"/>
              <w:snapToGrid w:val="0"/>
              <w:spacing w:before="0" w:beforeAutospacing="0" w:after="0" w:afterAutospacing="0"/>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就业创业指导</w:t>
            </w:r>
          </w:p>
        </w:tc>
        <w:tc>
          <w:tcPr>
            <w:tcW w:w="1134" w:type="dxa"/>
            <w:noWrap w:val="0"/>
            <w:tcMar>
              <w:left w:w="28" w:type="dxa"/>
              <w:right w:w="28" w:type="dxa"/>
            </w:tcMar>
            <w:vAlign w:val="center"/>
          </w:tcPr>
          <w:p>
            <w:pPr>
              <w:keepNext w:val="0"/>
              <w:keepLines w:val="0"/>
              <w:suppressLineNumbers w:val="0"/>
              <w:snapToGrid w:val="0"/>
              <w:spacing w:before="0" w:beforeAutospacing="0" w:after="0" w:afterAutospacing="0"/>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5182" w:type="dxa"/>
            <w:noWrap w:val="0"/>
            <w:tcMar>
              <w:left w:w="0" w:type="dxa"/>
              <w:right w:w="0" w:type="dxa"/>
            </w:tcMar>
            <w:vAlign w:val="center"/>
          </w:tcPr>
          <w:p>
            <w:pPr>
              <w:keepNext w:val="0"/>
              <w:keepLines w:val="0"/>
              <w:suppressLineNumbers w:val="0"/>
              <w:snapToGrid w:val="0"/>
              <w:spacing w:before="0" w:beforeAutospacing="0" w:after="0" w:afterAutospacing="0"/>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符合教育部教高厅〔2007〕7号《大学生职业发展与就业指导课程教学要求》内容要求。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keepNext w:val="0"/>
              <w:keepLines w:val="0"/>
              <w:suppressLineNumbers w:val="0"/>
              <w:snapToGrid w:val="0"/>
              <w:spacing w:before="0" w:beforeAutospacing="0" w:after="0" w:afterAutospacing="0"/>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军事理论教育</w:t>
            </w:r>
          </w:p>
        </w:tc>
        <w:tc>
          <w:tcPr>
            <w:tcW w:w="1134" w:type="dxa"/>
            <w:noWrap w:val="0"/>
            <w:tcMar>
              <w:left w:w="28" w:type="dxa"/>
              <w:right w:w="28" w:type="dxa"/>
            </w:tcMar>
            <w:vAlign w:val="center"/>
          </w:tcPr>
          <w:p>
            <w:pPr>
              <w:keepNext w:val="0"/>
              <w:keepLines w:val="0"/>
              <w:suppressLineNumbers w:val="0"/>
              <w:snapToGrid w:val="0"/>
              <w:spacing w:before="0" w:beforeAutospacing="0" w:after="0" w:afterAutospacing="0"/>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5182" w:type="dxa"/>
            <w:noWrap w:val="0"/>
            <w:tcMar>
              <w:left w:w="0" w:type="dxa"/>
              <w:right w:w="0" w:type="dxa"/>
            </w:tcMar>
            <w:vAlign w:val="center"/>
          </w:tcPr>
          <w:p>
            <w:pPr>
              <w:keepNext w:val="0"/>
              <w:keepLines w:val="0"/>
              <w:suppressLineNumbers w:val="0"/>
              <w:snapToGrid w:val="0"/>
              <w:spacing w:before="0" w:beforeAutospacing="0" w:after="0" w:afterAutospacing="0"/>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需覆盖教育部教体艺〔2019〕1号《普通高等学校军事课教学大纲》所有军事理论部分教学内容。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keepNext w:val="0"/>
              <w:keepLines w:val="0"/>
              <w:suppressLineNumbers w:val="0"/>
              <w:snapToGrid w:val="0"/>
              <w:spacing w:before="0" w:beforeAutospacing="0" w:after="0" w:afterAutospacing="0"/>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国家安全教育</w:t>
            </w:r>
          </w:p>
        </w:tc>
        <w:tc>
          <w:tcPr>
            <w:tcW w:w="1134" w:type="dxa"/>
            <w:noWrap w:val="0"/>
            <w:tcMar>
              <w:left w:w="28" w:type="dxa"/>
              <w:right w:w="28" w:type="dxa"/>
            </w:tcMar>
            <w:vAlign w:val="center"/>
          </w:tcPr>
          <w:p>
            <w:pPr>
              <w:keepNext w:val="0"/>
              <w:keepLines w:val="0"/>
              <w:suppressLineNumbers w:val="0"/>
              <w:snapToGrid w:val="0"/>
              <w:spacing w:before="0" w:beforeAutospacing="0" w:after="0" w:afterAutospacing="0"/>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5182" w:type="dxa"/>
            <w:noWrap w:val="0"/>
            <w:tcMar>
              <w:left w:w="0" w:type="dxa"/>
              <w:right w:w="0" w:type="dxa"/>
            </w:tcMar>
            <w:vAlign w:val="center"/>
          </w:tcPr>
          <w:p>
            <w:pPr>
              <w:keepNext w:val="0"/>
              <w:keepLines w:val="0"/>
              <w:suppressLineNumbers w:val="0"/>
              <w:snapToGrid w:val="0"/>
              <w:spacing w:before="0" w:beforeAutospacing="0" w:after="0" w:afterAutospacing="0"/>
              <w:ind w:left="0" w:right="0"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符合国家《大中小学国家安全教育指导纲要》文件要求。</w:t>
            </w:r>
          </w:p>
        </w:tc>
      </w:tr>
    </w:tbl>
    <w:p>
      <w:pPr>
        <w:pStyle w:val="40"/>
        <w:spacing w:before="0" w:beforeAutospacing="0" w:after="0" w:afterAutospacing="0"/>
        <w:ind w:firstLine="480" w:firstLineChars="200"/>
        <w:rPr>
          <w:rFonts w:hint="eastAsia"/>
          <w:color w:val="auto"/>
          <w:kern w:val="2"/>
        </w:rPr>
      </w:pPr>
      <w:r>
        <w:rPr>
          <w:rFonts w:hint="eastAsia"/>
          <w:color w:val="auto"/>
          <w:kern w:val="2"/>
        </w:rPr>
        <w:t>（2）平台课程其他要求</w:t>
      </w:r>
    </w:p>
    <w:p>
      <w:pPr>
        <w:pStyle w:val="40"/>
        <w:spacing w:before="0" w:beforeAutospacing="0" w:after="0" w:afterAutospacing="0"/>
        <w:ind w:firstLine="480" w:firstLineChars="200"/>
        <w:rPr>
          <w:rFonts w:hint="eastAsia"/>
          <w:color w:val="auto"/>
          <w:kern w:val="2"/>
        </w:rPr>
      </w:pPr>
      <w:r>
        <w:rPr>
          <w:rFonts w:hint="eastAsia"/>
          <w:color w:val="auto"/>
          <w:kern w:val="2"/>
        </w:rPr>
        <w:t>1）师资来源：包含985、211、双一流高校、中国科学院、中国工程院、中国社会科学院、国外知名高校等国内外知名院校和科研机构。必修课程中每一门课程至少保证提供一个由高等职业院校的教师主讲，以保证课程开设的针对性、实效性。</w:t>
      </w:r>
    </w:p>
    <w:p>
      <w:pPr>
        <w:pStyle w:val="40"/>
        <w:spacing w:before="0" w:beforeAutospacing="0" w:after="0" w:afterAutospacing="0"/>
        <w:ind w:firstLine="480" w:firstLineChars="200"/>
        <w:rPr>
          <w:rFonts w:hint="eastAsia"/>
          <w:color w:val="auto"/>
          <w:kern w:val="2"/>
        </w:rPr>
      </w:pPr>
      <w:r>
        <w:rPr>
          <w:rFonts w:hint="eastAsia"/>
          <w:color w:val="auto"/>
          <w:kern w:val="2"/>
        </w:rPr>
        <w:t>2）辅学资源：每门课程除了完善的教学视频外，必须至少包含与本门课程相关的图书及专题，以丰富学生的课外学习。相关电子版参考文献至少10册、专题至少4个。</w:t>
      </w:r>
    </w:p>
    <w:p>
      <w:pPr>
        <w:pStyle w:val="40"/>
        <w:spacing w:before="0" w:beforeAutospacing="0" w:after="0" w:afterAutospacing="0"/>
        <w:ind w:firstLine="480" w:firstLineChars="200"/>
        <w:rPr>
          <w:rFonts w:hint="eastAsia"/>
          <w:color w:val="auto"/>
          <w:kern w:val="2"/>
        </w:rPr>
      </w:pPr>
      <w:r>
        <w:rPr>
          <w:rFonts w:hint="eastAsia"/>
          <w:color w:val="auto"/>
          <w:kern w:val="2"/>
        </w:rPr>
        <w:t>3）课程相关：每门课程需要配有完善的教学大纲，相关试题库(选择题、判断题、填空题、简答题)；每门课程包含150道左右练习题，试题每年更新一次。</w:t>
      </w:r>
    </w:p>
    <w:p>
      <w:pPr>
        <w:pStyle w:val="40"/>
        <w:spacing w:before="0" w:beforeAutospacing="0" w:after="0" w:afterAutospacing="0"/>
        <w:ind w:firstLine="480" w:firstLineChars="200"/>
        <w:rPr>
          <w:rFonts w:hint="eastAsia"/>
          <w:color w:val="auto"/>
          <w:kern w:val="2"/>
        </w:rPr>
      </w:pPr>
      <w:r>
        <w:rPr>
          <w:rFonts w:hint="eastAsia"/>
          <w:color w:val="auto"/>
          <w:kern w:val="2"/>
        </w:rPr>
        <w:t>4）提供经典导读课配套纸质教学资料不少于2册，须为正式出版物，供应商享有相关出版权利并提供至少10本纸质图书。</w:t>
      </w:r>
    </w:p>
    <w:p>
      <w:pPr>
        <w:pStyle w:val="40"/>
        <w:spacing w:before="0" w:beforeAutospacing="0" w:after="0" w:afterAutospacing="0"/>
        <w:ind w:firstLine="480" w:firstLineChars="200"/>
        <w:rPr>
          <w:rFonts w:hint="eastAsia"/>
          <w:color w:val="auto"/>
          <w:kern w:val="2"/>
        </w:rPr>
      </w:pPr>
      <w:r>
        <w:rPr>
          <w:rFonts w:hint="eastAsia"/>
          <w:color w:val="auto"/>
          <w:kern w:val="2"/>
        </w:rPr>
        <w:t>5）预中标后学校将对技术指标进行逐一验证，功能欠缺严重者，学校将不予接受。</w:t>
      </w:r>
    </w:p>
    <w:p>
      <w:pPr>
        <w:spacing w:line="500" w:lineRule="exact"/>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二、质 量：</w:t>
      </w:r>
    </w:p>
    <w:p>
      <w:pPr>
        <w:spacing w:line="5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符合招标人要求。</w:t>
      </w:r>
    </w:p>
    <w:p>
      <w:pPr>
        <w:pStyle w:val="40"/>
        <w:spacing w:before="0" w:beforeAutospacing="0" w:after="0" w:afterAutospacing="0"/>
        <w:ind w:firstLine="482" w:firstLineChars="200"/>
        <w:rPr>
          <w:rFonts w:hint="eastAsia"/>
          <w:b/>
          <w:bCs/>
          <w:color w:val="auto"/>
        </w:rPr>
      </w:pPr>
      <w:r>
        <w:rPr>
          <w:rFonts w:hint="eastAsia"/>
          <w:b/>
          <w:bCs/>
          <w:color w:val="auto"/>
        </w:rPr>
        <w:t>三、服务期：</w:t>
      </w:r>
    </w:p>
    <w:p>
      <w:pPr>
        <w:pStyle w:val="40"/>
        <w:spacing w:before="0" w:beforeAutospacing="0" w:after="0" w:afterAutospacing="0"/>
        <w:ind w:firstLine="480" w:firstLineChars="200"/>
        <w:rPr>
          <w:rFonts w:hint="eastAsia"/>
          <w:color w:val="auto"/>
        </w:rPr>
      </w:pPr>
      <w:r>
        <w:rPr>
          <w:rFonts w:hint="eastAsia"/>
          <w:color w:val="auto"/>
          <w:kern w:val="2"/>
        </w:rPr>
        <w:t>服务有效期自合同生效日起算，有效期三年。服务期从2021年9月选课开始，到2024年7月结课以后。</w:t>
      </w:r>
      <w:r>
        <w:rPr>
          <w:rFonts w:hint="eastAsia"/>
          <w:color w:val="auto"/>
        </w:rPr>
        <w:t>投标人提供的所有服务都应是满足业主的要求。网络课程采购服务完成后，如甲方要求对原项目提供必要的补充性服务的，乙方应当满足。</w:t>
      </w:r>
    </w:p>
    <w:p>
      <w:pPr>
        <w:pStyle w:val="40"/>
        <w:spacing w:before="0" w:beforeAutospacing="0" w:after="0" w:afterAutospacing="0"/>
        <w:ind w:firstLine="482" w:firstLineChars="200"/>
        <w:rPr>
          <w:rFonts w:hint="eastAsia"/>
          <w:b/>
          <w:bCs/>
          <w:color w:val="auto"/>
        </w:rPr>
      </w:pPr>
      <w:r>
        <w:rPr>
          <w:rFonts w:hint="eastAsia"/>
          <w:b/>
          <w:bCs/>
          <w:color w:val="auto"/>
        </w:rPr>
        <w:t>四、售后服务</w:t>
      </w:r>
    </w:p>
    <w:p>
      <w:pPr>
        <w:pStyle w:val="40"/>
        <w:spacing w:before="0" w:beforeAutospacing="0" w:after="0" w:afterAutospacing="0"/>
        <w:ind w:firstLine="482" w:firstLineChars="200"/>
        <w:rPr>
          <w:rFonts w:hint="eastAsia"/>
          <w:b/>
          <w:bCs/>
          <w:color w:val="auto"/>
        </w:rPr>
      </w:pPr>
      <w:r>
        <w:rPr>
          <w:rFonts w:hint="eastAsia"/>
          <w:b/>
          <w:bCs/>
          <w:color w:val="auto"/>
        </w:rPr>
        <w:t>1.售后服务要求</w:t>
      </w:r>
    </w:p>
    <w:p>
      <w:pPr>
        <w:pStyle w:val="40"/>
        <w:spacing w:before="0" w:beforeAutospacing="0" w:after="0" w:afterAutospacing="0"/>
        <w:ind w:firstLine="480" w:firstLineChars="200"/>
        <w:rPr>
          <w:rFonts w:hint="eastAsia"/>
          <w:color w:val="auto"/>
        </w:rPr>
      </w:pPr>
      <w:r>
        <w:rPr>
          <w:rFonts w:hint="eastAsia"/>
          <w:color w:val="auto"/>
        </w:rPr>
        <w:t>（1）网络必修课要求针对每一学期学校开课的各二级学院的情况，分别建立独立的课程学习/服务班级/群，分别提供课程学习支持服务并随时进行答疑响应。供应商须定期向各开课学院分别提供学生学习进度监控、课程访问统计分析、学习诚信监控等教学运行数据，以及各学院学生学习数据异常名单，每学期不少于4次。（每个月一次）</w:t>
      </w:r>
    </w:p>
    <w:p>
      <w:pPr>
        <w:pStyle w:val="40"/>
        <w:spacing w:before="0" w:beforeAutospacing="0" w:after="0" w:afterAutospacing="0"/>
        <w:ind w:firstLine="480" w:firstLineChars="200"/>
        <w:rPr>
          <w:rFonts w:hint="eastAsia"/>
          <w:color w:val="auto"/>
        </w:rPr>
      </w:pPr>
      <w:r>
        <w:rPr>
          <w:rFonts w:hint="eastAsia"/>
          <w:color w:val="auto"/>
        </w:rPr>
        <w:t>（2）网络选修课要求在每学期开课前就每门课程建立课程学习班/群，统一进行课程学习服务并随时答疑响应。供应商须定期向学校分别提供各门选修课程学生学习进度监控、课程访问统计分析、学习诚信监控等教学运行数据，以及各门课程选课学生学习数据异常名单，每学期不少于4次。（每个月一次）</w:t>
      </w:r>
    </w:p>
    <w:p>
      <w:pPr>
        <w:pStyle w:val="40"/>
        <w:spacing w:before="0" w:beforeAutospacing="0" w:after="0" w:afterAutospacing="0"/>
        <w:ind w:firstLine="480" w:firstLineChars="200"/>
        <w:rPr>
          <w:rFonts w:hint="eastAsia"/>
          <w:color w:val="auto"/>
        </w:rPr>
      </w:pPr>
      <w:r>
        <w:rPr>
          <w:rFonts w:hint="eastAsia"/>
          <w:color w:val="auto"/>
        </w:rPr>
        <w:t>（3）开课后两周内，服务商应将学生登录学习统计情况报送学校，以便学校及时掌握学生学习动态，督促学生完成在线学习任务，保证在线学习质量。</w:t>
      </w:r>
    </w:p>
    <w:p>
      <w:pPr>
        <w:pStyle w:val="40"/>
        <w:spacing w:before="0" w:beforeAutospacing="0" w:after="0" w:afterAutospacing="0"/>
        <w:ind w:firstLine="480" w:firstLineChars="200"/>
        <w:rPr>
          <w:rFonts w:hint="eastAsia"/>
          <w:color w:val="auto"/>
        </w:rPr>
      </w:pPr>
      <w:r>
        <w:rPr>
          <w:rFonts w:hint="eastAsia"/>
          <w:color w:val="auto"/>
        </w:rPr>
        <w:t>（4）数据存贮、备份及分析报告。学生在平台学习的数据由服务商负责保存，保存期限不低于5年。最终成绩数据（含分项目成绩、总成绩。提交最终成绩电子档、纸质档加盖供应商单位公章）每学期报送学校一次；供应商每学期提供全校网络课程学生学习情况分析报告（电子档、纸质档加盖服务商单位公章）。</w:t>
      </w:r>
    </w:p>
    <w:p>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五、安 全：此项目必须确保安全，若因中标人原因发生的不安全问题，由中标人自行负责处理并承担一切责任。</w:t>
      </w:r>
    </w:p>
    <w:p>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六、付 款：本项目无预付款，验收合格后按年度中标价标准支付，</w:t>
      </w:r>
      <w:r>
        <w:rPr>
          <w:rFonts w:hint="eastAsia" w:ascii="宋体" w:hAnsi="宋体" w:cs="宋体"/>
          <w:color w:val="auto"/>
          <w:sz w:val="24"/>
          <w:szCs w:val="24"/>
          <w:u w:val="single"/>
        </w:rPr>
        <w:t>一学年支付一次，一学年结束后支付当年款项</w:t>
      </w:r>
    </w:p>
    <w:p>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七、结 算： 本项目采用固定单价报价，合同实施过程中中标单价不作调整。</w:t>
      </w:r>
    </w:p>
    <w:p>
      <w:pPr>
        <w:ind w:firstLine="560" w:firstLineChars="200"/>
        <w:rPr>
          <w:rFonts w:hint="eastAsia" w:ascii="宋体" w:hAnsi="宋体" w:cs="宋体"/>
          <w:bCs/>
          <w:color w:val="auto"/>
          <w:sz w:val="28"/>
          <w:szCs w:val="28"/>
        </w:rPr>
      </w:pPr>
    </w:p>
    <w:p>
      <w:pPr>
        <w:pStyle w:val="3"/>
        <w:rPr>
          <w:rFonts w:hint="eastAsia" w:ascii="宋体" w:hAnsi="宋体" w:eastAsia="宋体" w:cs="宋体"/>
          <w:bCs/>
          <w:color w:val="auto"/>
        </w:rPr>
      </w:pPr>
    </w:p>
    <w:p>
      <w:pPr>
        <w:rPr>
          <w:rFonts w:hint="eastAsia" w:ascii="宋体" w:hAnsi="宋体" w:cs="宋体"/>
          <w:bCs/>
          <w:color w:val="auto"/>
          <w:sz w:val="28"/>
          <w:szCs w:val="28"/>
        </w:rPr>
      </w:pPr>
    </w:p>
    <w:p>
      <w:pPr>
        <w:pStyle w:val="3"/>
        <w:rPr>
          <w:rFonts w:hint="eastAsia" w:ascii="宋体" w:hAnsi="宋体" w:eastAsia="宋体" w:cs="宋体"/>
          <w:color w:val="auto"/>
        </w:rPr>
      </w:pPr>
    </w:p>
    <w:p>
      <w:pPr>
        <w:pStyle w:val="40"/>
        <w:jc w:val="center"/>
        <w:rPr>
          <w:rFonts w:hint="eastAsia"/>
          <w:b/>
          <w:color w:val="auto"/>
          <w:sz w:val="44"/>
        </w:rPr>
      </w:pPr>
    </w:p>
    <w:p>
      <w:pPr>
        <w:pStyle w:val="40"/>
        <w:jc w:val="center"/>
        <w:rPr>
          <w:rFonts w:hint="eastAsia"/>
          <w:b/>
          <w:color w:val="auto"/>
          <w:sz w:val="44"/>
        </w:rPr>
      </w:pPr>
    </w:p>
    <w:p>
      <w:pPr>
        <w:pStyle w:val="40"/>
        <w:jc w:val="center"/>
        <w:rPr>
          <w:rFonts w:hint="eastAsia"/>
          <w:b/>
          <w:color w:val="auto"/>
          <w:sz w:val="44"/>
        </w:rPr>
      </w:pPr>
    </w:p>
    <w:p>
      <w:pPr>
        <w:pStyle w:val="40"/>
        <w:jc w:val="both"/>
        <w:rPr>
          <w:rFonts w:hint="eastAsia"/>
          <w:b/>
          <w:color w:val="auto"/>
          <w:sz w:val="44"/>
        </w:rPr>
      </w:pPr>
    </w:p>
    <w:p>
      <w:pPr>
        <w:pStyle w:val="40"/>
        <w:jc w:val="center"/>
        <w:rPr>
          <w:rFonts w:hint="eastAsia"/>
          <w:b/>
          <w:color w:val="auto"/>
          <w:sz w:val="44"/>
        </w:rPr>
      </w:pPr>
      <w:r>
        <w:rPr>
          <w:rFonts w:hint="eastAsia"/>
          <w:b/>
          <w:color w:val="auto"/>
          <w:sz w:val="44"/>
        </w:rPr>
        <w:t>第五章  评标方法与评标标准</w:t>
      </w:r>
    </w:p>
    <w:p>
      <w:pPr>
        <w:rPr>
          <w:rFonts w:hint="eastAsia" w:ascii="宋体" w:hAnsi="宋体" w:cs="宋体"/>
          <w:color w:val="auto"/>
        </w:rPr>
      </w:pPr>
    </w:p>
    <w:p>
      <w:pPr>
        <w:adjustRightInd w:val="0"/>
        <w:snapToGrid w:val="0"/>
        <w:spacing w:line="360" w:lineRule="auto"/>
        <w:rPr>
          <w:rFonts w:hint="eastAsia" w:ascii="宋体" w:hAnsi="宋体" w:cs="宋体"/>
          <w:b/>
          <w:bCs/>
          <w:color w:val="auto"/>
          <w:sz w:val="24"/>
          <w:szCs w:val="24"/>
        </w:rPr>
      </w:pPr>
      <w:r>
        <w:rPr>
          <w:rFonts w:hint="eastAsia" w:ascii="宋体" w:hAnsi="宋体" w:cs="宋体"/>
          <w:b/>
          <w:bCs/>
          <w:color w:val="auto"/>
          <w:sz w:val="24"/>
          <w:szCs w:val="24"/>
        </w:rPr>
        <w:t>一、评标方法与定标原则</w:t>
      </w:r>
    </w:p>
    <w:p>
      <w:pPr>
        <w:snapToGrid w:val="0"/>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评委会将对确定为实质性响应招标文件要求的投标文件进行评价和比较,评标采用综合评分法确定中标候选人。评标结果按评审后得分由高到低顺序排列。得分相同的，</w:t>
      </w:r>
      <w:r>
        <w:rPr>
          <w:rFonts w:hint="eastAsia" w:ascii="宋体" w:hAnsi="宋体" w:cs="宋体"/>
          <w:bCs/>
          <w:color w:val="auto"/>
          <w:sz w:val="24"/>
          <w:szCs w:val="24"/>
          <w:lang w:eastAsia="zh-TW"/>
        </w:rPr>
        <w:t>按技术指标优劣顺序排列</w:t>
      </w:r>
      <w:r>
        <w:rPr>
          <w:rFonts w:hint="eastAsia" w:ascii="宋体" w:hAnsi="宋体" w:cs="宋体"/>
          <w:bCs/>
          <w:color w:val="auto"/>
          <w:sz w:val="24"/>
          <w:szCs w:val="24"/>
        </w:rPr>
        <w:t>。得分且投标报价相同的并列。投标文件满足招标文件全部实质性要求，且按照评审因素的量化指标评审得分最高和次高的投标人为排名第一中标候选人。</w:t>
      </w:r>
    </w:p>
    <w:p>
      <w:pPr>
        <w:pStyle w:val="40"/>
        <w:adjustRightInd w:val="0"/>
        <w:snapToGrid w:val="0"/>
        <w:spacing w:before="0" w:beforeAutospacing="0" w:after="0" w:afterAutospacing="0" w:line="360" w:lineRule="auto"/>
        <w:ind w:firstLine="482" w:firstLineChars="200"/>
        <w:rPr>
          <w:rFonts w:hint="eastAsia"/>
          <w:b/>
          <w:bCs/>
          <w:color w:val="auto"/>
        </w:rPr>
      </w:pPr>
      <w:r>
        <w:rPr>
          <w:rFonts w:hint="eastAsia"/>
          <w:b/>
          <w:bCs/>
          <w:color w:val="auto"/>
        </w:rPr>
        <w:t>二、评标标准</w:t>
      </w:r>
    </w:p>
    <w:p>
      <w:pPr>
        <w:snapToGrid w:val="0"/>
        <w:spacing w:line="360" w:lineRule="auto"/>
        <w:ind w:firstLine="480" w:firstLineChars="200"/>
        <w:rPr>
          <w:rFonts w:hint="eastAsia"/>
          <w:color w:val="auto"/>
          <w:lang w:eastAsia="zh-TW"/>
        </w:rPr>
      </w:pPr>
      <w:r>
        <w:rPr>
          <w:rFonts w:hint="eastAsia" w:ascii="宋体" w:hAnsi="宋体" w:cs="宋体"/>
          <w:bCs/>
          <w:color w:val="auto"/>
          <w:sz w:val="24"/>
          <w:szCs w:val="24"/>
        </w:rPr>
        <w:t>本项目评分总分值为100分。</w:t>
      </w:r>
    </w:p>
    <w:tbl>
      <w:tblPr>
        <w:tblStyle w:val="45"/>
        <w:tblpPr w:leftFromText="180" w:rightFromText="180" w:vertAnchor="text" w:horzAnchor="page" w:tblpX="1614" w:tblpY="396"/>
        <w:tblOverlap w:val="never"/>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032"/>
        <w:gridCol w:w="543"/>
        <w:gridCol w:w="6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814" w:type="dxa"/>
            <w:gridSpan w:val="2"/>
            <w:noWrap w:val="0"/>
            <w:vAlign w:val="top"/>
          </w:tcPr>
          <w:p>
            <w:pPr>
              <w:keepNext w:val="0"/>
              <w:keepLines w:val="0"/>
              <w:suppressLineNumbers w:val="0"/>
              <w:spacing w:before="0" w:beforeAutospacing="0" w:after="0" w:afterAutospacing="0" w:line="276" w:lineRule="auto"/>
              <w:ind w:left="0" w:right="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评分项目</w:t>
            </w:r>
          </w:p>
        </w:tc>
        <w:tc>
          <w:tcPr>
            <w:tcW w:w="543" w:type="dxa"/>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分值</w:t>
            </w:r>
          </w:p>
        </w:tc>
        <w:tc>
          <w:tcPr>
            <w:tcW w:w="6590" w:type="dxa"/>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82" w:type="dxa"/>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r>
              <w:rPr>
                <w:rFonts w:hint="eastAsia" w:ascii="宋体" w:hAnsi="宋体" w:eastAsia="宋体" w:cs="宋体"/>
                <w:b/>
                <w:color w:val="auto"/>
                <w:sz w:val="18"/>
                <w:szCs w:val="18"/>
              </w:rPr>
              <w:t>价格分（50）</w:t>
            </w:r>
          </w:p>
        </w:tc>
        <w:tc>
          <w:tcPr>
            <w:tcW w:w="1032" w:type="dxa"/>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r>
              <w:rPr>
                <w:rFonts w:hint="eastAsia" w:ascii="宋体" w:hAnsi="宋体" w:eastAsia="宋体" w:cs="宋体"/>
                <w:color w:val="auto"/>
                <w:sz w:val="18"/>
                <w:szCs w:val="18"/>
              </w:rPr>
              <w:t>网络课程</w:t>
            </w:r>
          </w:p>
        </w:tc>
        <w:tc>
          <w:tcPr>
            <w:tcW w:w="543" w:type="dxa"/>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r>
              <w:rPr>
                <w:rFonts w:hint="eastAsia" w:ascii="宋体" w:hAnsi="宋体" w:eastAsia="宋体" w:cs="宋体"/>
                <w:color w:val="auto"/>
                <w:sz w:val="18"/>
                <w:szCs w:val="18"/>
              </w:rPr>
              <w:t>50</w:t>
            </w:r>
          </w:p>
        </w:tc>
        <w:tc>
          <w:tcPr>
            <w:tcW w:w="6590" w:type="dxa"/>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s="宋体"/>
                <w:color w:val="auto"/>
                <w:sz w:val="18"/>
                <w:szCs w:val="18"/>
              </w:rPr>
            </w:pPr>
            <w:r>
              <w:rPr>
                <w:rFonts w:hint="eastAsia" w:ascii="宋体" w:hAnsi="宋体" w:eastAsia="宋体" w:cs="宋体"/>
                <w:color w:val="auto"/>
                <w:sz w:val="18"/>
                <w:szCs w:val="18"/>
              </w:rPr>
              <w:t>本次招标，以进入详细评审的各投标人对网络必修课程的评标价的最低值为A值，A值为价格分的满分，即50分。其他投标人的价格分统一按照以下公式计算：投标人评标价得分=（A／该投标人评标价）×50。小数点保留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82" w:type="dxa"/>
            <w:vMerge w:val="restart"/>
            <w:noWrap w:val="0"/>
            <w:vAlign w:val="top"/>
          </w:tcPr>
          <w:p>
            <w:pPr>
              <w:keepNext w:val="0"/>
              <w:keepLines w:val="0"/>
              <w:suppressLineNumbers w:val="0"/>
              <w:spacing w:before="0" w:beforeAutospacing="0" w:after="0" w:afterAutospacing="0" w:line="276" w:lineRule="auto"/>
              <w:ind w:left="0" w:right="0"/>
              <w:jc w:val="center"/>
              <w:rPr>
                <w:rFonts w:hint="eastAsia" w:ascii="宋体" w:hAnsi="宋体" w:eastAsia="宋体" w:cs="宋体"/>
                <w:b/>
                <w:color w:val="auto"/>
                <w:sz w:val="18"/>
                <w:szCs w:val="18"/>
              </w:rPr>
            </w:pPr>
          </w:p>
          <w:p>
            <w:pPr>
              <w:keepNext w:val="0"/>
              <w:keepLines w:val="0"/>
              <w:suppressLineNumbers w:val="0"/>
              <w:spacing w:before="0" w:beforeAutospacing="0" w:after="0" w:afterAutospacing="0" w:line="276" w:lineRule="auto"/>
              <w:ind w:left="0" w:right="0"/>
              <w:jc w:val="center"/>
              <w:rPr>
                <w:rFonts w:hint="eastAsia" w:ascii="宋体" w:hAnsi="宋体" w:eastAsia="宋体" w:cs="宋体"/>
                <w:b/>
                <w:color w:val="auto"/>
                <w:sz w:val="18"/>
                <w:szCs w:val="18"/>
              </w:rPr>
            </w:pPr>
          </w:p>
          <w:p>
            <w:pPr>
              <w:keepNext w:val="0"/>
              <w:keepLines w:val="0"/>
              <w:suppressLineNumbers w:val="0"/>
              <w:spacing w:before="0" w:beforeAutospacing="0" w:after="0" w:afterAutospacing="0" w:line="276" w:lineRule="auto"/>
              <w:ind w:left="0" w:right="0"/>
              <w:jc w:val="center"/>
              <w:rPr>
                <w:rFonts w:hint="eastAsia" w:ascii="宋体" w:hAnsi="宋体" w:eastAsia="宋体" w:cs="宋体"/>
                <w:b/>
                <w:color w:val="auto"/>
                <w:sz w:val="18"/>
                <w:szCs w:val="18"/>
              </w:rPr>
            </w:pPr>
          </w:p>
          <w:p>
            <w:pPr>
              <w:keepNext w:val="0"/>
              <w:keepLines w:val="0"/>
              <w:suppressLineNumbers w:val="0"/>
              <w:spacing w:before="0" w:beforeAutospacing="0" w:after="0" w:afterAutospacing="0" w:line="276" w:lineRule="auto"/>
              <w:ind w:left="0" w:right="0"/>
              <w:jc w:val="center"/>
              <w:rPr>
                <w:rFonts w:hint="eastAsia" w:ascii="宋体" w:hAnsi="宋体" w:eastAsia="宋体" w:cs="宋体"/>
                <w:b/>
                <w:color w:val="auto"/>
                <w:sz w:val="18"/>
                <w:szCs w:val="18"/>
              </w:rPr>
            </w:pPr>
          </w:p>
          <w:p>
            <w:pPr>
              <w:keepNext w:val="0"/>
              <w:keepLines w:val="0"/>
              <w:suppressLineNumbers w:val="0"/>
              <w:spacing w:before="0" w:beforeAutospacing="0" w:after="0" w:afterAutospacing="0" w:line="276" w:lineRule="auto"/>
              <w:ind w:left="0" w:right="0"/>
              <w:jc w:val="center"/>
              <w:rPr>
                <w:rFonts w:hint="eastAsia" w:ascii="宋体" w:hAnsi="宋体" w:eastAsia="宋体" w:cs="宋体"/>
                <w:b/>
                <w:color w:val="auto"/>
                <w:sz w:val="18"/>
                <w:szCs w:val="18"/>
              </w:rPr>
            </w:pPr>
          </w:p>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r>
              <w:rPr>
                <w:rFonts w:hint="eastAsia" w:ascii="宋体" w:hAnsi="宋体" w:eastAsia="宋体" w:cs="宋体"/>
                <w:b/>
                <w:color w:val="auto"/>
                <w:sz w:val="18"/>
                <w:szCs w:val="18"/>
              </w:rPr>
              <w:t>商务分(20分)</w:t>
            </w:r>
          </w:p>
        </w:tc>
        <w:tc>
          <w:tcPr>
            <w:tcW w:w="1032" w:type="dxa"/>
            <w:vMerge w:val="restart"/>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p>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p>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p>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p>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r>
              <w:rPr>
                <w:rFonts w:hint="eastAsia" w:ascii="宋体" w:hAnsi="宋体" w:eastAsia="宋体" w:cs="宋体"/>
                <w:color w:val="auto"/>
                <w:sz w:val="18"/>
                <w:szCs w:val="18"/>
              </w:rPr>
              <w:t>认证资质</w:t>
            </w:r>
          </w:p>
        </w:tc>
        <w:tc>
          <w:tcPr>
            <w:tcW w:w="543" w:type="dxa"/>
            <w:vMerge w:val="restart"/>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r>
              <w:rPr>
                <w:rFonts w:hint="eastAsia" w:ascii="宋体" w:hAnsi="宋体" w:eastAsia="宋体" w:cs="宋体"/>
                <w:color w:val="auto"/>
                <w:sz w:val="18"/>
                <w:szCs w:val="18"/>
              </w:rPr>
              <w:t>10</w:t>
            </w:r>
          </w:p>
        </w:tc>
        <w:tc>
          <w:tcPr>
            <w:tcW w:w="6590" w:type="dxa"/>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s="宋体"/>
                <w:color w:val="auto"/>
                <w:sz w:val="18"/>
                <w:szCs w:val="18"/>
              </w:rPr>
            </w:pPr>
            <w:r>
              <w:rPr>
                <w:rFonts w:hint="eastAsia" w:ascii="宋体" w:hAnsi="宋体" w:eastAsia="宋体" w:cs="宋体"/>
                <w:color w:val="auto"/>
                <w:sz w:val="18"/>
                <w:szCs w:val="18"/>
              </w:rPr>
              <w:t>投标人取得ISO9001质量管理体系认证证书的，得2分；不提供不得分。（提供有效证书复印件并加盖公章，未提供不得分）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82" w:type="dxa"/>
            <w:vMerge w:val="continue"/>
            <w:noWrap w:val="0"/>
            <w:vAlign w:val="top"/>
          </w:tcPr>
          <w:p>
            <w:pPr>
              <w:keepNext w:val="0"/>
              <w:keepLines w:val="0"/>
              <w:suppressLineNumbers w:val="0"/>
              <w:spacing w:before="0" w:beforeAutospacing="0" w:after="0" w:afterAutospacing="0" w:line="276" w:lineRule="auto"/>
              <w:ind w:left="0" w:right="0"/>
              <w:rPr>
                <w:rFonts w:hint="eastAsia" w:ascii="宋体" w:hAnsi="宋体" w:eastAsia="宋体" w:cs="宋体"/>
                <w:color w:val="auto"/>
                <w:sz w:val="18"/>
                <w:szCs w:val="18"/>
              </w:rPr>
            </w:pPr>
          </w:p>
        </w:tc>
        <w:tc>
          <w:tcPr>
            <w:tcW w:w="1032" w:type="dxa"/>
            <w:vMerge w:val="continue"/>
            <w:noWrap w:val="0"/>
            <w:vAlign w:val="center"/>
          </w:tcPr>
          <w:p>
            <w:pPr>
              <w:keepNext w:val="0"/>
              <w:keepLines w:val="0"/>
              <w:suppressLineNumbers w:val="0"/>
              <w:spacing w:before="0" w:beforeAutospacing="0" w:after="0" w:afterAutospacing="0" w:line="276" w:lineRule="auto"/>
              <w:ind w:left="0" w:right="0"/>
              <w:rPr>
                <w:rFonts w:hint="eastAsia" w:ascii="宋体" w:hAnsi="宋体" w:eastAsia="宋体" w:cs="宋体"/>
                <w:color w:val="auto"/>
                <w:sz w:val="18"/>
                <w:szCs w:val="18"/>
              </w:rPr>
            </w:pPr>
          </w:p>
        </w:tc>
        <w:tc>
          <w:tcPr>
            <w:tcW w:w="543" w:type="dxa"/>
            <w:vMerge w:val="continue"/>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p>
        </w:tc>
        <w:tc>
          <w:tcPr>
            <w:tcW w:w="6590" w:type="dxa"/>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s="宋体"/>
                <w:color w:val="auto"/>
                <w:sz w:val="18"/>
                <w:szCs w:val="18"/>
              </w:rPr>
            </w:pPr>
            <w:r>
              <w:rPr>
                <w:rFonts w:hint="eastAsia" w:ascii="宋体" w:hAnsi="宋体" w:eastAsia="宋体" w:cs="宋体"/>
                <w:color w:val="auto"/>
                <w:sz w:val="18"/>
                <w:szCs w:val="18"/>
              </w:rPr>
              <w:t>投标人具有出版物经营许可证书的得2分，不提供不得分。（提供有效证书复印件并加盖公章，未提供不得分）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82" w:type="dxa"/>
            <w:vMerge w:val="continue"/>
            <w:noWrap w:val="0"/>
            <w:vAlign w:val="top"/>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p>
        </w:tc>
        <w:tc>
          <w:tcPr>
            <w:tcW w:w="1032" w:type="dxa"/>
            <w:vMerge w:val="continue"/>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p>
        </w:tc>
        <w:tc>
          <w:tcPr>
            <w:tcW w:w="543" w:type="dxa"/>
            <w:vMerge w:val="continue"/>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p>
        </w:tc>
        <w:tc>
          <w:tcPr>
            <w:tcW w:w="6590" w:type="dxa"/>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s="宋体"/>
                <w:color w:val="auto"/>
                <w:sz w:val="18"/>
                <w:szCs w:val="18"/>
              </w:rPr>
            </w:pPr>
            <w:r>
              <w:rPr>
                <w:rFonts w:hint="eastAsia" w:ascii="宋体" w:hAnsi="宋体" w:eastAsia="宋体" w:cs="宋体"/>
                <w:color w:val="auto"/>
                <w:sz w:val="18"/>
                <w:szCs w:val="18"/>
              </w:rPr>
              <w:t>投标人具有教育视频软件著作权登记证书的得2分，不提供不得分。（提供有效证书复印件并加盖公章，未提供不得分）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82" w:type="dxa"/>
            <w:vMerge w:val="continue"/>
            <w:noWrap w:val="0"/>
            <w:vAlign w:val="top"/>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p>
        </w:tc>
        <w:tc>
          <w:tcPr>
            <w:tcW w:w="1032" w:type="dxa"/>
            <w:vMerge w:val="continue"/>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p>
        </w:tc>
        <w:tc>
          <w:tcPr>
            <w:tcW w:w="543" w:type="dxa"/>
            <w:vMerge w:val="continue"/>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p>
        </w:tc>
        <w:tc>
          <w:tcPr>
            <w:tcW w:w="6590" w:type="dxa"/>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s="宋体"/>
                <w:color w:val="auto"/>
                <w:sz w:val="18"/>
                <w:szCs w:val="18"/>
              </w:rPr>
            </w:pPr>
            <w:r>
              <w:rPr>
                <w:rFonts w:hint="eastAsia" w:ascii="宋体" w:hAnsi="宋体" w:eastAsia="宋体" w:cs="宋体"/>
                <w:color w:val="auto"/>
                <w:sz w:val="18"/>
                <w:szCs w:val="18"/>
              </w:rPr>
              <w:t>投标人具有移动学习管理系统证书的得2分，不提供不得分。（提供有效证书复印件并加盖公章，未提供不得分）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82" w:type="dxa"/>
            <w:vMerge w:val="continue"/>
            <w:noWrap w:val="0"/>
            <w:vAlign w:val="top"/>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p>
        </w:tc>
        <w:tc>
          <w:tcPr>
            <w:tcW w:w="1032" w:type="dxa"/>
            <w:vMerge w:val="continue"/>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p>
        </w:tc>
        <w:tc>
          <w:tcPr>
            <w:tcW w:w="543" w:type="dxa"/>
            <w:vMerge w:val="continue"/>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p>
        </w:tc>
        <w:tc>
          <w:tcPr>
            <w:tcW w:w="6590" w:type="dxa"/>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s="宋体"/>
                <w:color w:val="auto"/>
                <w:sz w:val="18"/>
                <w:szCs w:val="18"/>
              </w:rPr>
            </w:pPr>
            <w:r>
              <w:rPr>
                <w:rFonts w:hint="eastAsia" w:ascii="宋体" w:hAnsi="宋体" w:eastAsia="宋体" w:cs="宋体"/>
                <w:color w:val="auto"/>
                <w:sz w:val="18"/>
                <w:szCs w:val="18"/>
              </w:rPr>
              <w:t>投标人具有广播电视节目制作经营许可证的得</w:t>
            </w:r>
            <w:r>
              <w:rPr>
                <w:rFonts w:ascii="宋体" w:hAnsi="宋体" w:eastAsia="宋体" w:cs="宋体"/>
                <w:color w:val="auto"/>
                <w:sz w:val="18"/>
                <w:szCs w:val="18"/>
              </w:rPr>
              <w:t>2</w:t>
            </w:r>
            <w:r>
              <w:rPr>
                <w:rFonts w:hint="eastAsia" w:ascii="宋体" w:hAnsi="宋体" w:eastAsia="宋体" w:cs="宋体"/>
                <w:color w:val="auto"/>
                <w:sz w:val="18"/>
                <w:szCs w:val="18"/>
              </w:rPr>
              <w:t>分，不提供不得分。（提供有效证书复印件并加盖公章，未提供不得分）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782" w:type="dxa"/>
            <w:vMerge w:val="continue"/>
            <w:noWrap w:val="0"/>
            <w:vAlign w:val="top"/>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p>
        </w:tc>
        <w:tc>
          <w:tcPr>
            <w:tcW w:w="1032" w:type="dxa"/>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r>
              <w:rPr>
                <w:rFonts w:hint="eastAsia" w:ascii="宋体" w:hAnsi="宋体" w:eastAsia="宋体" w:cs="宋体"/>
                <w:color w:val="auto"/>
                <w:sz w:val="18"/>
                <w:szCs w:val="18"/>
              </w:rPr>
              <w:t>投标单位业绩</w:t>
            </w:r>
          </w:p>
        </w:tc>
        <w:tc>
          <w:tcPr>
            <w:tcW w:w="543" w:type="dxa"/>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r>
              <w:rPr>
                <w:rFonts w:hint="eastAsia" w:ascii="宋体" w:hAnsi="宋体" w:eastAsia="宋体" w:cs="宋体"/>
                <w:color w:val="auto"/>
                <w:sz w:val="18"/>
                <w:szCs w:val="18"/>
              </w:rPr>
              <w:t>10</w:t>
            </w:r>
          </w:p>
        </w:tc>
        <w:tc>
          <w:tcPr>
            <w:tcW w:w="6590" w:type="dxa"/>
            <w:noWrap w:val="0"/>
            <w:vAlign w:val="center"/>
          </w:tcPr>
          <w:p>
            <w:pPr>
              <w:pStyle w:val="88"/>
              <w:keepNext w:val="0"/>
              <w:keepLines w:val="0"/>
              <w:suppressLineNumbers w:val="0"/>
              <w:autoSpaceDE/>
              <w:autoSpaceDN/>
              <w:spacing w:before="0" w:beforeAutospacing="0" w:after="0" w:afterAutospacing="0" w:line="240" w:lineRule="exact"/>
              <w:ind w:left="0" w:right="0" w:firstLine="0"/>
              <w:rPr>
                <w:rFonts w:hint="eastAsia" w:eastAsia="宋体" w:cs="宋体"/>
                <w:color w:val="auto"/>
                <w:kern w:val="2"/>
                <w:sz w:val="18"/>
                <w:szCs w:val="18"/>
              </w:rPr>
            </w:pPr>
            <w:r>
              <w:rPr>
                <w:rFonts w:hint="eastAsia" w:eastAsia="宋体" w:cs="宋体"/>
                <w:color w:val="auto"/>
                <w:kern w:val="2"/>
                <w:sz w:val="18"/>
                <w:szCs w:val="18"/>
              </w:rPr>
              <w:t>供应商自2018年1月1日以来承揽或完成的类似网络课程项目业绩的，每提供1份得1分，最高得5分。提供项目的合同复印件并加盖公章，合同中需体现时间、标的内容，否则不得分。</w:t>
            </w:r>
          </w:p>
          <w:p>
            <w:pPr>
              <w:pStyle w:val="88"/>
              <w:keepNext w:val="0"/>
              <w:keepLines w:val="0"/>
              <w:suppressLineNumbers w:val="0"/>
              <w:autoSpaceDE/>
              <w:autoSpaceDN/>
              <w:spacing w:before="0" w:beforeAutospacing="0" w:after="0" w:afterAutospacing="0" w:line="240" w:lineRule="exact"/>
              <w:ind w:left="0" w:right="0" w:firstLine="0"/>
              <w:rPr>
                <w:rFonts w:hint="eastAsia" w:eastAsia="宋体" w:cs="宋体"/>
                <w:color w:val="auto"/>
                <w:kern w:val="2"/>
                <w:sz w:val="18"/>
                <w:szCs w:val="18"/>
              </w:rPr>
            </w:pPr>
            <w:r>
              <w:rPr>
                <w:rFonts w:hint="eastAsia" w:eastAsia="宋体" w:cs="宋体"/>
                <w:color w:val="auto"/>
                <w:kern w:val="2"/>
                <w:sz w:val="18"/>
                <w:szCs w:val="18"/>
              </w:rPr>
              <w:t>供应商自2018年1月1日以来承揽或完成过高校网络课程项目业绩的，每提供1个高校用户业绩得1分，最高得</w:t>
            </w:r>
            <w:r>
              <w:rPr>
                <w:rFonts w:eastAsia="宋体" w:cs="宋体"/>
                <w:color w:val="auto"/>
                <w:kern w:val="2"/>
                <w:sz w:val="18"/>
                <w:szCs w:val="18"/>
              </w:rPr>
              <w:t>10</w:t>
            </w:r>
            <w:r>
              <w:rPr>
                <w:rFonts w:hint="eastAsia" w:eastAsia="宋体" w:cs="宋体"/>
                <w:color w:val="auto"/>
                <w:kern w:val="2"/>
                <w:sz w:val="18"/>
                <w:szCs w:val="18"/>
              </w:rPr>
              <w:t>分。提供项目的合同复印件并加盖公章合同中需体现时间、标的内容，否则不得分。</w:t>
            </w:r>
          </w:p>
          <w:p>
            <w:pPr>
              <w:pStyle w:val="88"/>
              <w:keepNext w:val="0"/>
              <w:keepLines w:val="0"/>
              <w:suppressLineNumbers w:val="0"/>
              <w:autoSpaceDE/>
              <w:autoSpaceDN/>
              <w:spacing w:before="0" w:beforeAutospacing="0" w:after="0" w:afterAutospacing="0" w:line="240" w:lineRule="exact"/>
              <w:ind w:left="0" w:right="0" w:firstLine="0"/>
              <w:jc w:val="both"/>
              <w:rPr>
                <w:rFonts w:hint="eastAsia" w:eastAsia="宋体" w:cs="宋体"/>
                <w:color w:val="auto"/>
                <w:kern w:val="2"/>
                <w:sz w:val="18"/>
                <w:szCs w:val="18"/>
              </w:rPr>
            </w:pPr>
            <w:r>
              <w:rPr>
                <w:rFonts w:hint="eastAsia" w:eastAsia="宋体" w:cs="宋体"/>
                <w:color w:val="auto"/>
                <w:kern w:val="2"/>
                <w:sz w:val="18"/>
                <w:szCs w:val="18"/>
              </w:rPr>
              <w:t>一个项目只能计一次。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782" w:type="dxa"/>
            <w:vMerge w:val="restart"/>
            <w:noWrap w:val="0"/>
            <w:vAlign w:val="top"/>
          </w:tcPr>
          <w:p>
            <w:pPr>
              <w:keepNext w:val="0"/>
              <w:keepLines w:val="0"/>
              <w:suppressLineNumbers w:val="0"/>
              <w:spacing w:before="0" w:beforeAutospacing="0" w:after="0" w:afterAutospacing="0" w:line="276" w:lineRule="auto"/>
              <w:ind w:left="0" w:right="0"/>
              <w:jc w:val="center"/>
              <w:rPr>
                <w:rFonts w:hint="eastAsia" w:ascii="宋体" w:hAnsi="宋体" w:eastAsia="宋体" w:cs="宋体"/>
                <w:b/>
                <w:color w:val="auto"/>
                <w:sz w:val="18"/>
                <w:szCs w:val="18"/>
              </w:rPr>
            </w:pPr>
          </w:p>
          <w:p>
            <w:pPr>
              <w:keepNext w:val="0"/>
              <w:keepLines w:val="0"/>
              <w:suppressLineNumbers w:val="0"/>
              <w:spacing w:before="0" w:beforeAutospacing="0" w:after="0" w:afterAutospacing="0" w:line="276" w:lineRule="auto"/>
              <w:ind w:left="0" w:right="0"/>
              <w:jc w:val="center"/>
              <w:rPr>
                <w:rFonts w:hint="eastAsia" w:ascii="宋体" w:hAnsi="宋体" w:eastAsia="宋体" w:cs="宋体"/>
                <w:b/>
                <w:color w:val="auto"/>
                <w:sz w:val="18"/>
                <w:szCs w:val="18"/>
              </w:rPr>
            </w:pPr>
          </w:p>
          <w:p>
            <w:pPr>
              <w:keepNext w:val="0"/>
              <w:keepLines w:val="0"/>
              <w:suppressLineNumbers w:val="0"/>
              <w:spacing w:before="0" w:beforeAutospacing="0" w:after="0" w:afterAutospacing="0" w:line="276" w:lineRule="auto"/>
              <w:ind w:left="0" w:right="0"/>
              <w:jc w:val="center"/>
              <w:rPr>
                <w:rFonts w:hint="eastAsia" w:ascii="宋体" w:hAnsi="宋体" w:eastAsia="宋体" w:cs="宋体"/>
                <w:b/>
                <w:color w:val="auto"/>
                <w:sz w:val="18"/>
                <w:szCs w:val="18"/>
              </w:rPr>
            </w:pPr>
          </w:p>
          <w:p>
            <w:pPr>
              <w:keepNext w:val="0"/>
              <w:keepLines w:val="0"/>
              <w:suppressLineNumbers w:val="0"/>
              <w:spacing w:before="0" w:beforeAutospacing="0" w:after="0" w:afterAutospacing="0" w:line="276" w:lineRule="auto"/>
              <w:ind w:left="0" w:right="0"/>
              <w:jc w:val="center"/>
              <w:rPr>
                <w:rFonts w:hint="eastAsia" w:ascii="宋体" w:hAnsi="宋体" w:eastAsia="宋体" w:cs="宋体"/>
                <w:b/>
                <w:color w:val="auto"/>
                <w:sz w:val="18"/>
                <w:szCs w:val="18"/>
              </w:rPr>
            </w:pPr>
          </w:p>
          <w:p>
            <w:pPr>
              <w:keepNext w:val="0"/>
              <w:keepLines w:val="0"/>
              <w:suppressLineNumbers w:val="0"/>
              <w:spacing w:before="0" w:beforeAutospacing="0" w:after="0" w:afterAutospacing="0" w:line="276" w:lineRule="auto"/>
              <w:ind w:left="0" w:right="0"/>
              <w:jc w:val="center"/>
              <w:rPr>
                <w:rFonts w:hint="eastAsia" w:ascii="宋体" w:hAnsi="宋体" w:eastAsia="宋体" w:cs="宋体"/>
                <w:b/>
                <w:color w:val="auto"/>
                <w:sz w:val="18"/>
                <w:szCs w:val="18"/>
              </w:rPr>
            </w:pPr>
          </w:p>
          <w:p>
            <w:pPr>
              <w:keepNext w:val="0"/>
              <w:keepLines w:val="0"/>
              <w:suppressLineNumbers w:val="0"/>
              <w:spacing w:before="0" w:beforeAutospacing="0" w:after="0" w:afterAutospacing="0" w:line="276" w:lineRule="auto"/>
              <w:ind w:left="0" w:right="0"/>
              <w:jc w:val="center"/>
              <w:rPr>
                <w:rFonts w:hint="eastAsia" w:ascii="宋体" w:hAnsi="宋体" w:eastAsia="宋体" w:cs="宋体"/>
                <w:b/>
                <w:color w:val="auto"/>
                <w:sz w:val="18"/>
                <w:szCs w:val="18"/>
              </w:rPr>
            </w:pPr>
          </w:p>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r>
              <w:rPr>
                <w:rFonts w:hint="eastAsia" w:ascii="宋体" w:hAnsi="宋体" w:eastAsia="宋体" w:cs="宋体"/>
                <w:b/>
                <w:color w:val="auto"/>
                <w:sz w:val="18"/>
                <w:szCs w:val="18"/>
              </w:rPr>
              <w:t>技术分(30分)</w:t>
            </w:r>
          </w:p>
        </w:tc>
        <w:tc>
          <w:tcPr>
            <w:tcW w:w="1032" w:type="dxa"/>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r>
              <w:rPr>
                <w:rFonts w:hint="eastAsia" w:ascii="宋体" w:hAnsi="宋体" w:eastAsia="宋体" w:cs="宋体"/>
                <w:color w:val="auto"/>
                <w:sz w:val="18"/>
                <w:szCs w:val="18"/>
              </w:rPr>
              <w:t>课程内容、技术指标</w:t>
            </w:r>
          </w:p>
        </w:tc>
        <w:tc>
          <w:tcPr>
            <w:tcW w:w="543" w:type="dxa"/>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r>
              <w:rPr>
                <w:rFonts w:hint="eastAsia" w:ascii="宋体" w:hAnsi="宋体" w:eastAsia="宋体" w:cs="宋体"/>
                <w:color w:val="auto"/>
                <w:sz w:val="18"/>
                <w:szCs w:val="18"/>
              </w:rPr>
              <w:t>7</w:t>
            </w:r>
          </w:p>
        </w:tc>
        <w:tc>
          <w:tcPr>
            <w:tcW w:w="6590" w:type="dxa"/>
            <w:noWrap w:val="0"/>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auto"/>
                <w:sz w:val="18"/>
                <w:szCs w:val="18"/>
              </w:rPr>
            </w:pPr>
            <w:r>
              <w:rPr>
                <w:rFonts w:hint="eastAsia" w:ascii="宋体" w:hAnsi="宋体" w:eastAsia="宋体" w:cs="宋体"/>
                <w:bCs/>
                <w:color w:val="auto"/>
                <w:kern w:val="0"/>
                <w:sz w:val="18"/>
                <w:szCs w:val="18"/>
              </w:rPr>
              <w:t>1、</w:t>
            </w:r>
            <w:r>
              <w:rPr>
                <w:rFonts w:hint="eastAsia" w:ascii="宋体" w:hAnsi="宋体" w:eastAsia="宋体" w:cs="宋体"/>
                <w:color w:val="auto"/>
                <w:sz w:val="18"/>
                <w:szCs w:val="18"/>
              </w:rPr>
              <w:t>本次采购课程内容中必须包含的课程内容清单，不满足者扣5分。</w:t>
            </w:r>
          </w:p>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auto"/>
                <w:sz w:val="18"/>
                <w:szCs w:val="18"/>
              </w:rPr>
            </w:pPr>
            <w:r>
              <w:rPr>
                <w:rFonts w:hint="eastAsia" w:ascii="宋体" w:hAnsi="宋体" w:eastAsia="宋体" w:cs="宋体"/>
                <w:bCs/>
                <w:color w:val="auto"/>
                <w:kern w:val="0"/>
                <w:sz w:val="18"/>
                <w:szCs w:val="18"/>
              </w:rPr>
              <w:t>2、</w:t>
            </w:r>
            <w:r>
              <w:rPr>
                <w:rFonts w:hint="eastAsia" w:ascii="宋体" w:hAnsi="宋体" w:eastAsia="宋体" w:cs="宋体"/>
                <w:color w:val="auto"/>
                <w:sz w:val="18"/>
                <w:szCs w:val="18"/>
              </w:rPr>
              <w:t>网络课程技术参数与服务要求条款不满足者每个扣1分，扣完为止。</w:t>
            </w:r>
          </w:p>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auto"/>
                <w:sz w:val="18"/>
                <w:szCs w:val="18"/>
              </w:rPr>
            </w:pPr>
            <w:r>
              <w:rPr>
                <w:rFonts w:hint="eastAsia" w:ascii="宋体" w:hAnsi="宋体" w:eastAsia="宋体" w:cs="宋体"/>
                <w:color w:val="auto"/>
                <w:sz w:val="18"/>
                <w:szCs w:val="18"/>
              </w:rPr>
              <w:t>注：提供虚假参数及证明文件者，取消投标资格，中标后取消中标资格。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82" w:type="dxa"/>
            <w:vMerge w:val="continue"/>
            <w:noWrap w:val="0"/>
            <w:vAlign w:val="top"/>
          </w:tcPr>
          <w:p>
            <w:pPr>
              <w:keepNext w:val="0"/>
              <w:keepLines w:val="0"/>
              <w:suppressLineNumbers w:val="0"/>
              <w:spacing w:before="0" w:beforeAutospacing="0" w:after="0" w:afterAutospacing="0" w:line="276" w:lineRule="auto"/>
              <w:ind w:left="0" w:right="0"/>
              <w:jc w:val="center"/>
              <w:rPr>
                <w:rFonts w:hint="eastAsia" w:ascii="宋体" w:hAnsi="宋体" w:eastAsia="宋体" w:cs="宋体"/>
                <w:b/>
                <w:color w:val="auto"/>
                <w:sz w:val="18"/>
                <w:szCs w:val="18"/>
              </w:rPr>
            </w:pPr>
          </w:p>
        </w:tc>
        <w:tc>
          <w:tcPr>
            <w:tcW w:w="1032" w:type="dxa"/>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r>
              <w:rPr>
                <w:rFonts w:hint="eastAsia" w:ascii="宋体" w:hAnsi="宋体" w:eastAsia="宋体" w:cs="宋体"/>
                <w:color w:val="auto"/>
                <w:sz w:val="18"/>
                <w:szCs w:val="18"/>
              </w:rPr>
              <w:t>拓展模块课程内容</w:t>
            </w:r>
          </w:p>
        </w:tc>
        <w:tc>
          <w:tcPr>
            <w:tcW w:w="543" w:type="dxa"/>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6590" w:type="dxa"/>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s="宋体"/>
                <w:color w:val="auto"/>
                <w:sz w:val="18"/>
                <w:szCs w:val="18"/>
              </w:rPr>
            </w:pPr>
            <w:r>
              <w:rPr>
                <w:rFonts w:hint="eastAsia" w:ascii="宋体" w:hAnsi="宋体" w:eastAsia="宋体" w:cs="宋体"/>
                <w:color w:val="auto"/>
                <w:sz w:val="18"/>
                <w:szCs w:val="18"/>
              </w:rPr>
              <w:t>网络通识教育拓展模块课程10门且包含内容不少于10个主题。不满足者，每个主题扣1分，扣完为止。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782" w:type="dxa"/>
            <w:vMerge w:val="continue"/>
            <w:noWrap w:val="0"/>
            <w:vAlign w:val="top"/>
          </w:tcPr>
          <w:p>
            <w:pPr>
              <w:keepNext w:val="0"/>
              <w:keepLines w:val="0"/>
              <w:suppressLineNumbers w:val="0"/>
              <w:spacing w:before="0" w:beforeAutospacing="0" w:after="0" w:afterAutospacing="0" w:line="276" w:lineRule="auto"/>
              <w:ind w:left="0" w:right="0"/>
              <w:jc w:val="center"/>
              <w:rPr>
                <w:rFonts w:hint="eastAsia" w:ascii="宋体" w:hAnsi="宋体" w:eastAsia="宋体" w:cs="宋体"/>
                <w:b/>
                <w:color w:val="auto"/>
                <w:sz w:val="18"/>
                <w:szCs w:val="18"/>
              </w:rPr>
            </w:pPr>
          </w:p>
        </w:tc>
        <w:tc>
          <w:tcPr>
            <w:tcW w:w="1032" w:type="dxa"/>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r>
              <w:rPr>
                <w:rFonts w:hint="eastAsia" w:ascii="宋体" w:hAnsi="宋体" w:eastAsia="宋体" w:cs="宋体"/>
                <w:color w:val="auto"/>
                <w:sz w:val="18"/>
                <w:szCs w:val="18"/>
              </w:rPr>
              <w:t>课程平台要求</w:t>
            </w:r>
          </w:p>
        </w:tc>
        <w:tc>
          <w:tcPr>
            <w:tcW w:w="543" w:type="dxa"/>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r>
              <w:rPr>
                <w:rFonts w:hint="eastAsia" w:ascii="宋体" w:hAnsi="宋体" w:eastAsia="宋体" w:cs="宋体"/>
                <w:color w:val="auto"/>
                <w:sz w:val="18"/>
                <w:szCs w:val="18"/>
              </w:rPr>
              <w:t>5</w:t>
            </w:r>
          </w:p>
        </w:tc>
        <w:tc>
          <w:tcPr>
            <w:tcW w:w="6590" w:type="dxa"/>
            <w:noWrap w:val="0"/>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auto"/>
                <w:sz w:val="18"/>
                <w:szCs w:val="18"/>
              </w:rPr>
            </w:pPr>
            <w:r>
              <w:rPr>
                <w:rFonts w:hint="eastAsia" w:ascii="宋体" w:hAnsi="宋体" w:eastAsia="宋体" w:cs="宋体"/>
                <w:color w:val="auto"/>
                <w:sz w:val="18"/>
                <w:szCs w:val="18"/>
              </w:rPr>
              <w:t>1.供应商提供的网络课程平台上的网络课程总量且各类课程分别达到相应的课程备选要求。不满足者扣2分。</w:t>
            </w:r>
          </w:p>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auto"/>
                <w:sz w:val="18"/>
                <w:szCs w:val="18"/>
              </w:rPr>
            </w:pPr>
            <w:r>
              <w:rPr>
                <w:rFonts w:hint="eastAsia" w:ascii="宋体" w:hAnsi="宋体" w:eastAsia="宋体" w:cs="宋体"/>
                <w:color w:val="auto"/>
                <w:sz w:val="18"/>
                <w:szCs w:val="18"/>
              </w:rPr>
              <w:t>2.平台课程其他要求，不满足者每个扣1分，扣完为止。</w:t>
            </w:r>
          </w:p>
          <w:p>
            <w:pPr>
              <w:pStyle w:val="105"/>
              <w:keepNext w:val="0"/>
              <w:keepLines w:val="0"/>
              <w:suppressLineNumbers w:val="0"/>
              <w:spacing w:before="0" w:beforeAutospacing="0" w:after="0" w:afterAutospacing="0" w:line="240" w:lineRule="exact"/>
              <w:ind w:left="0" w:right="0"/>
              <w:rPr>
                <w:rFonts w:hint="eastAsia" w:ascii="宋体" w:hAnsi="宋体" w:eastAsia="宋体" w:cs="宋体"/>
                <w:color w:val="auto"/>
                <w:sz w:val="18"/>
                <w:szCs w:val="18"/>
                <w:lang w:eastAsia="zh-CN"/>
              </w:rPr>
            </w:pPr>
            <w:r>
              <w:rPr>
                <w:rFonts w:hint="eastAsia" w:ascii="宋体" w:hAnsi="宋体" w:eastAsia="宋体" w:cs="宋体"/>
                <w:color w:val="auto"/>
                <w:kern w:val="2"/>
                <w:sz w:val="18"/>
                <w:szCs w:val="18"/>
                <w:lang w:eastAsia="zh-CN" w:bidi="ar-SA"/>
              </w:rPr>
              <w:t>注：提供虚假参数及证明文件者，取消投标资格，中标后取消中标资格。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82" w:type="dxa"/>
            <w:vMerge w:val="continue"/>
            <w:noWrap w:val="0"/>
            <w:vAlign w:val="top"/>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p>
        </w:tc>
        <w:tc>
          <w:tcPr>
            <w:tcW w:w="1032" w:type="dxa"/>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r>
              <w:rPr>
                <w:rFonts w:hint="eastAsia" w:ascii="宋体" w:hAnsi="宋体" w:eastAsia="宋体" w:cs="宋体"/>
                <w:color w:val="auto"/>
                <w:sz w:val="18"/>
                <w:szCs w:val="18"/>
              </w:rPr>
              <w:t>演示</w:t>
            </w:r>
          </w:p>
        </w:tc>
        <w:tc>
          <w:tcPr>
            <w:tcW w:w="543" w:type="dxa"/>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r>
              <w:rPr>
                <w:rFonts w:hint="eastAsia" w:ascii="宋体" w:hAnsi="宋体" w:eastAsia="宋体" w:cs="宋体"/>
                <w:color w:val="auto"/>
                <w:sz w:val="18"/>
                <w:szCs w:val="18"/>
              </w:rPr>
              <w:t>10</w:t>
            </w:r>
          </w:p>
        </w:tc>
        <w:tc>
          <w:tcPr>
            <w:tcW w:w="6590" w:type="dxa"/>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s="宋体"/>
                <w:bCs/>
                <w:color w:val="auto"/>
                <w:kern w:val="0"/>
                <w:sz w:val="18"/>
                <w:szCs w:val="18"/>
              </w:rPr>
            </w:pPr>
            <w:r>
              <w:rPr>
                <w:rFonts w:hint="eastAsia" w:ascii="宋体" w:hAnsi="宋体" w:eastAsia="宋体" w:cs="宋体"/>
                <w:bCs/>
                <w:color w:val="auto"/>
                <w:kern w:val="0"/>
                <w:sz w:val="18"/>
                <w:szCs w:val="18"/>
              </w:rPr>
              <w:t>演示内容：</w:t>
            </w:r>
          </w:p>
          <w:p>
            <w:pPr>
              <w:keepNext w:val="0"/>
              <w:keepLines w:val="0"/>
              <w:suppressLineNumbers w:val="0"/>
              <w:spacing w:before="0" w:beforeAutospacing="0" w:after="0" w:afterAutospacing="0" w:line="240" w:lineRule="exact"/>
              <w:ind w:left="0" w:right="0"/>
              <w:rPr>
                <w:rFonts w:hint="eastAsia" w:ascii="宋体" w:hAnsi="宋体" w:eastAsia="宋体" w:cs="宋体"/>
                <w:bCs/>
                <w:color w:val="auto"/>
                <w:kern w:val="0"/>
                <w:sz w:val="18"/>
                <w:szCs w:val="18"/>
              </w:rPr>
            </w:pPr>
            <w:r>
              <w:rPr>
                <w:rFonts w:hint="eastAsia" w:ascii="宋体" w:hAnsi="宋体" w:eastAsia="宋体" w:cs="宋体"/>
                <w:bCs/>
                <w:color w:val="auto"/>
                <w:kern w:val="0"/>
                <w:sz w:val="18"/>
                <w:szCs w:val="18"/>
              </w:rPr>
              <w:t>一、网络通识课程资源：通识教育课程体系；师资力量；学习平台的操作（视频防拖拽、人脸识别）；通识素养测评系统；服务。（共3分）</w:t>
            </w:r>
          </w:p>
          <w:p>
            <w:pPr>
              <w:keepNext w:val="0"/>
              <w:keepLines w:val="0"/>
              <w:suppressLineNumbers w:val="0"/>
              <w:spacing w:before="0" w:beforeAutospacing="0" w:after="0" w:afterAutospacing="0" w:line="240" w:lineRule="exact"/>
              <w:ind w:left="0" w:right="0"/>
              <w:rPr>
                <w:rFonts w:hint="eastAsia" w:ascii="宋体" w:hAnsi="宋体" w:eastAsia="宋体" w:cs="宋体"/>
                <w:bCs/>
                <w:color w:val="auto"/>
                <w:kern w:val="0"/>
                <w:sz w:val="18"/>
                <w:szCs w:val="18"/>
              </w:rPr>
            </w:pPr>
            <w:r>
              <w:rPr>
                <w:rFonts w:hint="eastAsia" w:ascii="宋体" w:hAnsi="宋体" w:eastAsia="宋体" w:cs="宋体"/>
                <w:bCs/>
                <w:color w:val="auto"/>
                <w:kern w:val="0"/>
                <w:sz w:val="18"/>
                <w:szCs w:val="18"/>
              </w:rPr>
              <w:t>二、积分学习形式网络课程资源：课程内容呈现形式；内容及分类；积分设置规则。（共2分）</w:t>
            </w:r>
          </w:p>
          <w:p>
            <w:pPr>
              <w:keepNext w:val="0"/>
              <w:keepLines w:val="0"/>
              <w:suppressLineNumbers w:val="0"/>
              <w:spacing w:before="0" w:beforeAutospacing="0" w:after="0" w:afterAutospacing="0" w:line="240" w:lineRule="exact"/>
              <w:ind w:left="0" w:right="0"/>
              <w:rPr>
                <w:rFonts w:hint="eastAsia" w:ascii="宋体" w:hAnsi="宋体" w:eastAsia="宋体" w:cs="宋体"/>
                <w:bCs/>
                <w:color w:val="auto"/>
                <w:kern w:val="0"/>
                <w:sz w:val="18"/>
                <w:szCs w:val="18"/>
              </w:rPr>
            </w:pPr>
            <w:r>
              <w:rPr>
                <w:rFonts w:hint="eastAsia" w:ascii="宋体" w:hAnsi="宋体" w:eastAsia="宋体" w:cs="宋体"/>
                <w:bCs/>
                <w:color w:val="auto"/>
                <w:kern w:val="0"/>
                <w:sz w:val="18"/>
                <w:szCs w:val="18"/>
              </w:rPr>
              <w:t>三、以下内容为现场必须演示项（共5分。每个不满足者的扣1分，扣完为止。不演示不得分。）：</w:t>
            </w:r>
          </w:p>
          <w:p>
            <w:pPr>
              <w:keepNext w:val="0"/>
              <w:keepLines w:val="0"/>
              <w:suppressLineNumbers w:val="0"/>
              <w:spacing w:before="0" w:beforeAutospacing="0" w:after="0" w:afterAutospacing="0" w:line="240" w:lineRule="exact"/>
              <w:ind w:left="0" w:right="0"/>
              <w:rPr>
                <w:rFonts w:hint="eastAsia" w:ascii="宋体" w:hAnsi="宋体" w:eastAsia="宋体" w:cs="宋体"/>
                <w:bCs/>
                <w:color w:val="auto"/>
                <w:kern w:val="0"/>
                <w:sz w:val="18"/>
                <w:szCs w:val="18"/>
              </w:rPr>
            </w:pPr>
            <w:r>
              <w:rPr>
                <w:rFonts w:hint="eastAsia" w:ascii="宋体" w:hAnsi="宋体" w:eastAsia="宋体" w:cs="宋体"/>
                <w:bCs/>
                <w:color w:val="auto"/>
                <w:kern w:val="0"/>
                <w:sz w:val="18"/>
                <w:szCs w:val="18"/>
              </w:rPr>
              <w:t>1、课程均可按用户具体需求克隆至其账号进行增、删、改。</w:t>
            </w:r>
          </w:p>
          <w:p>
            <w:pPr>
              <w:keepNext w:val="0"/>
              <w:keepLines w:val="0"/>
              <w:suppressLineNumbers w:val="0"/>
              <w:spacing w:before="0" w:beforeAutospacing="0" w:after="0" w:afterAutospacing="0" w:line="240" w:lineRule="exact"/>
              <w:ind w:left="0" w:right="0"/>
              <w:rPr>
                <w:rFonts w:hint="eastAsia" w:ascii="宋体" w:hAnsi="宋体" w:eastAsia="宋体" w:cs="宋体"/>
                <w:bCs/>
                <w:color w:val="auto"/>
                <w:kern w:val="0"/>
                <w:sz w:val="18"/>
                <w:szCs w:val="18"/>
              </w:rPr>
            </w:pPr>
            <w:r>
              <w:rPr>
                <w:rFonts w:hint="eastAsia" w:ascii="宋体" w:hAnsi="宋体" w:eastAsia="宋体" w:cs="宋体"/>
                <w:bCs/>
                <w:color w:val="auto"/>
                <w:kern w:val="0"/>
                <w:sz w:val="18"/>
                <w:szCs w:val="18"/>
              </w:rPr>
              <w:t>2、通识教育拓展模块课程，均以积分方式进行通识教育学习。</w:t>
            </w:r>
          </w:p>
          <w:p>
            <w:pPr>
              <w:keepNext w:val="0"/>
              <w:keepLines w:val="0"/>
              <w:suppressLineNumbers w:val="0"/>
              <w:spacing w:before="0" w:beforeAutospacing="0" w:after="0" w:afterAutospacing="0" w:line="240" w:lineRule="exact"/>
              <w:ind w:left="0" w:right="0"/>
              <w:rPr>
                <w:rFonts w:hint="eastAsia" w:ascii="宋体" w:hAnsi="宋体" w:eastAsia="宋体" w:cs="宋体"/>
                <w:bCs/>
                <w:color w:val="auto"/>
                <w:kern w:val="0"/>
                <w:sz w:val="18"/>
                <w:szCs w:val="18"/>
              </w:rPr>
            </w:pPr>
            <w:r>
              <w:rPr>
                <w:rFonts w:hint="eastAsia" w:ascii="宋体" w:hAnsi="宋体" w:eastAsia="宋体" w:cs="宋体"/>
                <w:bCs/>
                <w:color w:val="auto"/>
                <w:kern w:val="0"/>
                <w:sz w:val="18"/>
                <w:szCs w:val="18"/>
              </w:rPr>
              <w:t>3、提供课程期末考试难、中、易三种难度题型。</w:t>
            </w:r>
          </w:p>
          <w:p>
            <w:pPr>
              <w:keepNext w:val="0"/>
              <w:keepLines w:val="0"/>
              <w:suppressLineNumbers w:val="0"/>
              <w:spacing w:before="0" w:beforeAutospacing="0" w:after="0" w:afterAutospacing="0" w:line="240" w:lineRule="exact"/>
              <w:ind w:left="0" w:right="0"/>
              <w:rPr>
                <w:rFonts w:hint="eastAsia" w:ascii="宋体" w:hAnsi="宋体" w:eastAsia="宋体" w:cs="宋体"/>
                <w:bCs/>
                <w:color w:val="auto"/>
                <w:kern w:val="0"/>
                <w:sz w:val="18"/>
                <w:szCs w:val="18"/>
              </w:rPr>
            </w:pPr>
            <w:r>
              <w:rPr>
                <w:rFonts w:hint="eastAsia" w:ascii="宋体" w:hAnsi="宋体" w:eastAsia="宋体" w:cs="宋体"/>
                <w:bCs/>
                <w:color w:val="auto"/>
                <w:kern w:val="0"/>
                <w:sz w:val="18"/>
                <w:szCs w:val="18"/>
              </w:rPr>
              <w:t>4、支持在线考试功能。</w:t>
            </w:r>
          </w:p>
          <w:p>
            <w:pPr>
              <w:pStyle w:val="5"/>
              <w:keepNext w:val="0"/>
              <w:keepLines w:val="0"/>
              <w:suppressLineNumbers w:val="0"/>
              <w:spacing w:before="0" w:beforeAutospacing="0" w:after="0" w:afterAutospacing="0" w:line="240" w:lineRule="exact"/>
              <w:ind w:left="0" w:right="0" w:firstLine="0"/>
              <w:rPr>
                <w:rFonts w:hint="eastAsia" w:ascii="宋体" w:hAnsi="宋体" w:eastAsia="宋体" w:cs="宋体"/>
                <w:bCs/>
                <w:color w:val="auto"/>
                <w:sz w:val="18"/>
                <w:szCs w:val="18"/>
              </w:rPr>
            </w:pPr>
            <w:r>
              <w:rPr>
                <w:rFonts w:hint="eastAsia" w:ascii="宋体" w:hAnsi="宋体" w:eastAsia="宋体" w:cs="宋体"/>
                <w:bCs/>
                <w:color w:val="auto"/>
                <w:sz w:val="18"/>
                <w:szCs w:val="18"/>
              </w:rPr>
              <w:t>5、学生在线学习课程时，支持防止拖拽、防止跳集观看，支持当前活动窗口探测、防止观看课程时进行其他活动。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82" w:type="dxa"/>
            <w:vMerge w:val="continue"/>
            <w:noWrap w:val="0"/>
            <w:vAlign w:val="top"/>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p>
        </w:tc>
        <w:tc>
          <w:tcPr>
            <w:tcW w:w="1032" w:type="dxa"/>
            <w:vMerge w:val="restart"/>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r>
              <w:rPr>
                <w:rFonts w:hint="eastAsia" w:ascii="宋体" w:hAnsi="宋体" w:eastAsia="宋体" w:cs="宋体"/>
                <w:color w:val="auto"/>
                <w:sz w:val="18"/>
                <w:szCs w:val="18"/>
              </w:rPr>
              <w:t>售后服务保障</w:t>
            </w:r>
          </w:p>
        </w:tc>
        <w:tc>
          <w:tcPr>
            <w:tcW w:w="543" w:type="dxa"/>
            <w:vMerge w:val="restart"/>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r>
              <w:rPr>
                <w:rFonts w:hint="eastAsia" w:ascii="宋体" w:hAnsi="宋体" w:eastAsia="宋体" w:cs="宋体"/>
                <w:color w:val="auto"/>
                <w:sz w:val="18"/>
                <w:szCs w:val="18"/>
              </w:rPr>
              <w:t>5</w:t>
            </w:r>
          </w:p>
        </w:tc>
        <w:tc>
          <w:tcPr>
            <w:tcW w:w="6590" w:type="dxa"/>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s="宋体"/>
                <w:color w:val="auto"/>
                <w:sz w:val="18"/>
                <w:szCs w:val="18"/>
              </w:rPr>
            </w:pPr>
            <w:r>
              <w:rPr>
                <w:rFonts w:hint="eastAsia" w:ascii="宋体" w:hAnsi="宋体" w:eastAsia="宋体" w:cs="宋体"/>
                <w:color w:val="auto"/>
                <w:sz w:val="18"/>
                <w:szCs w:val="18"/>
              </w:rPr>
              <w:t>投标人具有完善的系统服务保障体系，保障体系完整可行得2分，保障体系较完整、较可行得1分，保障体系基本可行得1分，不提供不得分。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782" w:type="dxa"/>
            <w:vMerge w:val="continue"/>
            <w:noWrap w:val="0"/>
            <w:vAlign w:val="top"/>
          </w:tcPr>
          <w:p>
            <w:pPr>
              <w:keepNext w:val="0"/>
              <w:keepLines w:val="0"/>
              <w:suppressLineNumbers w:val="0"/>
              <w:spacing w:before="0" w:beforeAutospacing="0" w:after="0" w:afterAutospacing="0" w:line="276" w:lineRule="auto"/>
              <w:ind w:left="0" w:right="0"/>
              <w:rPr>
                <w:rFonts w:hint="eastAsia" w:ascii="宋体" w:hAnsi="宋体" w:eastAsia="宋体" w:cs="宋体"/>
                <w:color w:val="auto"/>
                <w:sz w:val="18"/>
                <w:szCs w:val="18"/>
              </w:rPr>
            </w:pPr>
          </w:p>
        </w:tc>
        <w:tc>
          <w:tcPr>
            <w:tcW w:w="1032" w:type="dxa"/>
            <w:vMerge w:val="continue"/>
            <w:noWrap w:val="0"/>
            <w:vAlign w:val="center"/>
          </w:tcPr>
          <w:p>
            <w:pPr>
              <w:keepNext w:val="0"/>
              <w:keepLines w:val="0"/>
              <w:suppressLineNumbers w:val="0"/>
              <w:spacing w:before="0" w:beforeAutospacing="0" w:after="0" w:afterAutospacing="0" w:line="276" w:lineRule="auto"/>
              <w:ind w:left="0" w:right="0"/>
              <w:rPr>
                <w:rFonts w:hint="eastAsia" w:ascii="宋体" w:hAnsi="宋体" w:eastAsia="宋体" w:cs="宋体"/>
                <w:color w:val="auto"/>
                <w:sz w:val="18"/>
                <w:szCs w:val="18"/>
              </w:rPr>
            </w:pPr>
          </w:p>
        </w:tc>
        <w:tc>
          <w:tcPr>
            <w:tcW w:w="543" w:type="dxa"/>
            <w:vMerge w:val="continue"/>
            <w:noWrap w:val="0"/>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cs="宋体"/>
                <w:color w:val="auto"/>
                <w:sz w:val="18"/>
                <w:szCs w:val="18"/>
              </w:rPr>
            </w:pPr>
          </w:p>
        </w:tc>
        <w:tc>
          <w:tcPr>
            <w:tcW w:w="6590" w:type="dxa"/>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s="宋体"/>
                <w:color w:val="auto"/>
                <w:sz w:val="18"/>
                <w:szCs w:val="18"/>
              </w:rPr>
            </w:pPr>
            <w:r>
              <w:rPr>
                <w:rFonts w:hint="eastAsia" w:ascii="宋体" w:hAnsi="宋体" w:eastAsia="宋体" w:cs="宋体"/>
                <w:color w:val="auto"/>
                <w:sz w:val="18"/>
                <w:szCs w:val="18"/>
              </w:rPr>
              <w:t>评委根据投标人针对本项目提供的工程技术人员配备情况及服务响应时间进行打分。人员配备齐全并提供承诺得</w:t>
            </w:r>
            <w:r>
              <w:rPr>
                <w:rFonts w:ascii="宋体" w:hAnsi="宋体" w:eastAsia="宋体" w:cs="宋体"/>
                <w:color w:val="auto"/>
                <w:sz w:val="18"/>
                <w:szCs w:val="18"/>
              </w:rPr>
              <w:t>3</w:t>
            </w:r>
            <w:r>
              <w:rPr>
                <w:rFonts w:hint="eastAsia" w:ascii="宋体" w:hAnsi="宋体" w:eastAsia="宋体" w:cs="宋体"/>
                <w:color w:val="auto"/>
                <w:sz w:val="18"/>
                <w:szCs w:val="18"/>
              </w:rPr>
              <w:t>分，人员配备较齐全并提供承诺得</w:t>
            </w:r>
            <w:r>
              <w:rPr>
                <w:rFonts w:ascii="宋体" w:hAnsi="宋体" w:eastAsia="宋体" w:cs="宋体"/>
                <w:color w:val="auto"/>
                <w:sz w:val="18"/>
                <w:szCs w:val="18"/>
              </w:rPr>
              <w:t>2</w:t>
            </w:r>
            <w:r>
              <w:rPr>
                <w:rFonts w:hint="eastAsia" w:ascii="宋体" w:hAnsi="宋体" w:eastAsia="宋体" w:cs="宋体"/>
                <w:color w:val="auto"/>
                <w:sz w:val="18"/>
                <w:szCs w:val="18"/>
              </w:rPr>
              <w:t>分，人员配备基本齐全并提供承诺得1分。提供人员名单不少于10人并提供投标人为其缴纳的近6个月社保证明及承诺原件，不提供不得分。</w:t>
            </w:r>
          </w:p>
        </w:tc>
      </w:tr>
    </w:tbl>
    <w:p>
      <w:pPr>
        <w:pStyle w:val="3"/>
        <w:rPr>
          <w:rFonts w:hint="eastAsia" w:ascii="宋体" w:hAnsi="宋体" w:eastAsia="宋体" w:cs="宋体"/>
          <w:b/>
          <w:color w:val="auto"/>
          <w:sz w:val="44"/>
        </w:rPr>
      </w:pPr>
    </w:p>
    <w:p>
      <w:pPr>
        <w:rPr>
          <w:rFonts w:hint="eastAsia" w:ascii="宋体" w:hAnsi="宋体" w:cs="宋体"/>
          <w:b/>
          <w:color w:val="auto"/>
          <w:sz w:val="44"/>
        </w:rPr>
      </w:pPr>
    </w:p>
    <w:p>
      <w:pPr>
        <w:pStyle w:val="3"/>
        <w:rPr>
          <w:rFonts w:hint="eastAsia" w:ascii="宋体" w:hAnsi="宋体" w:eastAsia="宋体" w:cs="宋体"/>
          <w:b/>
          <w:color w:val="auto"/>
          <w:sz w:val="44"/>
        </w:rPr>
      </w:pPr>
    </w:p>
    <w:p>
      <w:pPr>
        <w:rPr>
          <w:rFonts w:hint="eastAsia" w:ascii="宋体" w:hAnsi="宋体" w:cs="宋体"/>
          <w:b/>
          <w:color w:val="auto"/>
          <w:sz w:val="44"/>
        </w:rPr>
      </w:pPr>
    </w:p>
    <w:p>
      <w:pPr>
        <w:pStyle w:val="3"/>
        <w:rPr>
          <w:rFonts w:hint="eastAsia" w:ascii="宋体" w:hAnsi="宋体" w:eastAsia="宋体" w:cs="宋体"/>
          <w:b/>
          <w:color w:val="auto"/>
          <w:sz w:val="44"/>
        </w:rPr>
      </w:pPr>
    </w:p>
    <w:p>
      <w:pPr>
        <w:rPr>
          <w:rFonts w:hint="eastAsia" w:ascii="宋体" w:hAnsi="宋体" w:cs="宋体"/>
          <w:b/>
          <w:color w:val="auto"/>
          <w:sz w:val="44"/>
        </w:rPr>
      </w:pPr>
    </w:p>
    <w:p>
      <w:pPr>
        <w:pStyle w:val="3"/>
        <w:rPr>
          <w:rFonts w:hint="eastAsia" w:ascii="宋体" w:hAnsi="宋体" w:eastAsia="宋体" w:cs="宋体"/>
          <w:b/>
          <w:color w:val="auto"/>
          <w:sz w:val="44"/>
        </w:rPr>
      </w:pPr>
    </w:p>
    <w:p>
      <w:pPr>
        <w:rPr>
          <w:rFonts w:hint="eastAsia" w:ascii="宋体" w:hAnsi="宋体" w:cs="宋体"/>
          <w:b/>
          <w:color w:val="auto"/>
          <w:sz w:val="44"/>
        </w:rPr>
      </w:pPr>
    </w:p>
    <w:p>
      <w:pPr>
        <w:pStyle w:val="3"/>
        <w:rPr>
          <w:rFonts w:hint="eastAsia" w:ascii="宋体" w:hAnsi="宋体" w:eastAsia="宋体" w:cs="宋体"/>
          <w:b/>
          <w:color w:val="auto"/>
          <w:sz w:val="44"/>
        </w:rPr>
      </w:pPr>
    </w:p>
    <w:p>
      <w:pPr>
        <w:rPr>
          <w:rFonts w:hint="eastAsia" w:ascii="宋体" w:hAnsi="宋体" w:cs="宋体"/>
          <w:color w:val="auto"/>
        </w:rPr>
      </w:pPr>
    </w:p>
    <w:p>
      <w:pPr>
        <w:pStyle w:val="3"/>
        <w:jc w:val="both"/>
        <w:rPr>
          <w:rFonts w:hint="eastAsia" w:ascii="宋体" w:hAnsi="宋体" w:eastAsia="宋体" w:cs="宋体"/>
          <w:b/>
          <w:color w:val="auto"/>
          <w:sz w:val="44"/>
        </w:rPr>
      </w:pPr>
    </w:p>
    <w:p>
      <w:pPr>
        <w:rPr>
          <w:rFonts w:hint="eastAsia" w:ascii="宋体" w:hAnsi="宋体" w:cs="宋体"/>
          <w:color w:val="auto"/>
        </w:rPr>
      </w:pPr>
    </w:p>
    <w:p>
      <w:pPr>
        <w:pStyle w:val="3"/>
        <w:rPr>
          <w:rFonts w:hint="eastAsia" w:ascii="宋体" w:hAnsi="宋体" w:eastAsia="宋体" w:cs="宋体"/>
          <w:b/>
          <w:color w:val="auto"/>
          <w:sz w:val="44"/>
        </w:rPr>
      </w:pPr>
      <w:r>
        <w:rPr>
          <w:rFonts w:hint="eastAsia" w:ascii="宋体" w:hAnsi="宋体" w:eastAsia="宋体" w:cs="宋体"/>
          <w:b/>
          <w:color w:val="auto"/>
          <w:sz w:val="44"/>
        </w:rPr>
        <w:t>第六章  投标</w:t>
      </w:r>
      <w:bookmarkEnd w:id="196"/>
      <w:bookmarkEnd w:id="197"/>
      <w:bookmarkEnd w:id="198"/>
      <w:r>
        <w:rPr>
          <w:rFonts w:hint="eastAsia" w:ascii="宋体" w:hAnsi="宋体" w:eastAsia="宋体" w:cs="宋体"/>
          <w:b/>
          <w:color w:val="auto"/>
          <w:sz w:val="44"/>
        </w:rPr>
        <w:t>文件格式</w:t>
      </w:r>
    </w:p>
    <w:p>
      <w:pPr>
        <w:jc w:val="center"/>
        <w:rPr>
          <w:rFonts w:hint="eastAsia" w:ascii="宋体" w:hAnsi="宋体" w:cs="宋体"/>
          <w:b/>
          <w:color w:val="auto"/>
          <w:sz w:val="72"/>
        </w:rPr>
      </w:pPr>
      <w:bookmarkStart w:id="199" w:name="_Hlt26671244"/>
      <w:bookmarkEnd w:id="199"/>
      <w:bookmarkStart w:id="200" w:name="_Hlt26955039"/>
      <w:bookmarkEnd w:id="200"/>
      <w:bookmarkStart w:id="201" w:name="_Toc120614282"/>
      <w:bookmarkStart w:id="202" w:name="_Toc49090576"/>
      <w:bookmarkStart w:id="203" w:name="_Toc26554094"/>
    </w:p>
    <w:p>
      <w:pPr>
        <w:jc w:val="center"/>
        <w:rPr>
          <w:rFonts w:hint="eastAsia" w:ascii="宋体" w:hAnsi="宋体" w:cs="宋体"/>
          <w:b/>
          <w:color w:val="auto"/>
          <w:sz w:val="72"/>
        </w:rPr>
      </w:pPr>
      <w:r>
        <w:rPr>
          <w:rFonts w:hint="eastAsia" w:ascii="宋体" w:hAnsi="宋体" w:cs="宋体"/>
          <w:b/>
          <w:color w:val="auto"/>
          <w:sz w:val="72"/>
        </w:rPr>
        <w:t>投  标  文  件</w:t>
      </w:r>
    </w:p>
    <w:p>
      <w:pPr>
        <w:jc w:val="center"/>
        <w:rPr>
          <w:rFonts w:hint="eastAsia" w:ascii="宋体" w:hAnsi="宋体" w:cs="宋体"/>
          <w:b/>
          <w:color w:val="auto"/>
          <w:sz w:val="72"/>
        </w:rPr>
      </w:pPr>
      <w:r>
        <w:rPr>
          <w:rFonts w:hint="eastAsia" w:ascii="宋体" w:hAnsi="宋体" w:cs="宋体"/>
          <w:b/>
          <w:color w:val="auto"/>
          <w:sz w:val="36"/>
        </w:rPr>
        <w:t>（正或副本）</w:t>
      </w:r>
    </w:p>
    <w:p>
      <w:pPr>
        <w:jc w:val="center"/>
        <w:rPr>
          <w:rFonts w:hint="eastAsia" w:ascii="宋体" w:hAnsi="宋体" w:cs="宋体"/>
          <w:b/>
          <w:color w:val="auto"/>
          <w:sz w:val="72"/>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ind w:firstLine="1084" w:firstLineChars="300"/>
        <w:rPr>
          <w:rFonts w:hint="eastAsia" w:ascii="宋体" w:hAnsi="宋体" w:cs="宋体"/>
          <w:b/>
          <w:color w:val="auto"/>
          <w:sz w:val="36"/>
        </w:rPr>
      </w:pPr>
      <w:r>
        <w:rPr>
          <w:rFonts w:hint="eastAsia" w:ascii="宋体" w:hAnsi="宋体" w:cs="宋体"/>
          <w:b/>
          <w:color w:val="auto"/>
          <w:sz w:val="36"/>
        </w:rPr>
        <w:t>项 目 名 称：</w:t>
      </w:r>
      <w:r>
        <w:rPr>
          <w:rFonts w:hint="eastAsia" w:ascii="宋体" w:hAnsi="宋体" w:cs="宋体"/>
          <w:b/>
          <w:color w:val="auto"/>
          <w:sz w:val="36"/>
          <w:u w:val="single"/>
        </w:rPr>
        <w:t xml:space="preserve">               </w:t>
      </w:r>
    </w:p>
    <w:p>
      <w:pPr>
        <w:ind w:firstLine="1084" w:firstLineChars="300"/>
        <w:rPr>
          <w:rFonts w:hint="eastAsia" w:ascii="宋体" w:hAnsi="宋体" w:cs="宋体"/>
          <w:b/>
          <w:color w:val="auto"/>
          <w:sz w:val="36"/>
          <w:u w:val="single"/>
        </w:rPr>
      </w:pPr>
      <w:r>
        <w:rPr>
          <w:rFonts w:hint="eastAsia" w:ascii="宋体" w:hAnsi="宋体" w:cs="宋体"/>
          <w:b/>
          <w:color w:val="auto"/>
          <w:sz w:val="36"/>
        </w:rPr>
        <w:t>招 标 编 号：</w:t>
      </w:r>
      <w:r>
        <w:rPr>
          <w:rFonts w:hint="eastAsia" w:ascii="宋体" w:hAnsi="宋体" w:cs="宋体"/>
          <w:b/>
          <w:color w:val="auto"/>
          <w:sz w:val="36"/>
          <w:u w:val="single"/>
        </w:rPr>
        <w:t xml:space="preserve">               </w:t>
      </w:r>
    </w:p>
    <w:p>
      <w:pPr>
        <w:rPr>
          <w:rFonts w:hint="eastAsia" w:ascii="宋体" w:hAnsi="宋体" w:cs="宋体"/>
          <w:b/>
          <w:color w:val="auto"/>
          <w:sz w:val="36"/>
          <w:u w:val="single"/>
        </w:rPr>
      </w:pPr>
      <w:r>
        <w:rPr>
          <w:rFonts w:hint="eastAsia" w:ascii="宋体" w:hAnsi="宋体" w:cs="宋体"/>
          <w:b/>
          <w:color w:val="auto"/>
          <w:sz w:val="36"/>
        </w:rPr>
        <w:t xml:space="preserve">      投标人名称 ：</w:t>
      </w:r>
      <w:r>
        <w:rPr>
          <w:rFonts w:hint="eastAsia" w:ascii="宋体" w:hAnsi="宋体" w:cs="宋体"/>
          <w:b/>
          <w:color w:val="auto"/>
          <w:sz w:val="36"/>
          <w:u w:val="single"/>
        </w:rPr>
        <w:t xml:space="preserve">               </w:t>
      </w:r>
    </w:p>
    <w:p>
      <w:pPr>
        <w:rPr>
          <w:rFonts w:hint="eastAsia" w:ascii="宋体" w:hAnsi="宋体" w:cs="宋体"/>
          <w:b/>
          <w:color w:val="auto"/>
          <w:sz w:val="36"/>
        </w:rPr>
      </w:pPr>
      <w:r>
        <w:rPr>
          <w:rFonts w:hint="eastAsia" w:ascii="宋体" w:hAnsi="宋体" w:cs="宋体"/>
          <w:b/>
          <w:color w:val="auto"/>
          <w:sz w:val="36"/>
        </w:rPr>
        <w:t xml:space="preserve">      日      期 ：</w:t>
      </w:r>
      <w:r>
        <w:rPr>
          <w:rFonts w:hint="eastAsia" w:ascii="宋体" w:hAnsi="宋体" w:cs="宋体"/>
          <w:b/>
          <w:color w:val="auto"/>
          <w:sz w:val="36"/>
          <w:u w:val="single"/>
        </w:rPr>
        <w:t xml:space="preserve">               </w:t>
      </w:r>
    </w:p>
    <w:p>
      <w:pPr>
        <w:spacing w:line="440" w:lineRule="exact"/>
        <w:jc w:val="center"/>
        <w:rPr>
          <w:rFonts w:hint="eastAsia" w:ascii="宋体" w:hAnsi="宋体" w:cs="宋体"/>
          <w:b/>
          <w:bCs/>
          <w:color w:val="auto"/>
          <w:sz w:val="32"/>
          <w:szCs w:val="32"/>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jc w:val="center"/>
        <w:rPr>
          <w:rFonts w:hint="eastAsia" w:ascii="宋体" w:hAnsi="宋体" w:cs="宋体"/>
          <w:b/>
          <w:color w:val="auto"/>
          <w:sz w:val="30"/>
          <w:szCs w:val="30"/>
        </w:rPr>
      </w:pPr>
      <w:r>
        <w:rPr>
          <w:rFonts w:hint="eastAsia" w:ascii="宋体" w:hAnsi="宋体" w:cs="宋体"/>
          <w:color w:val="auto"/>
          <w:sz w:val="24"/>
        </w:rPr>
        <w:br w:type="page"/>
      </w:r>
      <w:r>
        <w:rPr>
          <w:rFonts w:hint="eastAsia" w:ascii="宋体" w:hAnsi="宋体" w:cs="宋体"/>
          <w:b/>
          <w:color w:val="auto"/>
          <w:sz w:val="30"/>
          <w:szCs w:val="30"/>
        </w:rPr>
        <w:t>评分索引表</w:t>
      </w:r>
    </w:p>
    <w:p>
      <w:pPr>
        <w:spacing w:line="440" w:lineRule="exact"/>
        <w:jc w:val="center"/>
        <w:rPr>
          <w:rFonts w:hint="eastAsia" w:ascii="宋体" w:hAnsi="宋体" w:cs="宋体"/>
          <w:b/>
          <w:color w:val="auto"/>
          <w:sz w:val="30"/>
          <w:szCs w:val="30"/>
        </w:rPr>
      </w:pP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pPr>
              <w:pStyle w:val="72"/>
              <w:keepNext w:val="0"/>
              <w:keepLines w:val="0"/>
              <w:suppressLineNumbers w:val="0"/>
              <w:shd w:val="clear" w:color="auto" w:fill="FFFFFF"/>
              <w:spacing w:before="0" w:beforeAutospacing="0" w:after="0" w:afterAutospacing="0" w:line="265" w:lineRule="atLeast"/>
              <w:ind w:left="420" w:right="0"/>
              <w:jc w:val="center"/>
              <w:rPr>
                <w:rFonts w:hint="eastAsia" w:ascii="宋体" w:hAnsi="宋体" w:eastAsia="宋体" w:cs="宋体"/>
                <w:b/>
                <w:bCs/>
                <w:color w:val="auto"/>
                <w:lang w:eastAsia="zh-CN"/>
              </w:rPr>
            </w:pPr>
            <w:r>
              <w:rPr>
                <w:rFonts w:hint="eastAsia" w:ascii="宋体" w:hAnsi="宋体" w:eastAsia="宋体" w:cs="宋体"/>
                <w:b/>
                <w:color w:val="auto"/>
              </w:rPr>
              <w:t>评分项目</w:t>
            </w:r>
          </w:p>
        </w:tc>
        <w:tc>
          <w:tcPr>
            <w:tcW w:w="3570"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b/>
                <w:color w:val="auto"/>
              </w:rPr>
            </w:pPr>
            <w:r>
              <w:rPr>
                <w:rFonts w:hint="eastAsia" w:ascii="宋体" w:hAnsi="宋体" w:eastAsia="宋体" w:cs="宋体"/>
                <w:b/>
                <w:color w:val="auto"/>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val="0"/>
            <w:vAlign w:val="top"/>
          </w:tcPr>
          <w:p>
            <w:pPr>
              <w:pStyle w:val="72"/>
              <w:keepNext w:val="0"/>
              <w:keepLines w:val="0"/>
              <w:suppressLineNumbers w:val="0"/>
              <w:shd w:val="clear" w:color="auto" w:fill="FFFFFF"/>
              <w:spacing w:before="0" w:beforeAutospacing="0" w:after="0" w:afterAutospacing="0" w:line="265" w:lineRule="atLeast"/>
              <w:ind w:left="420" w:right="0"/>
              <w:jc w:val="both"/>
              <w:rPr>
                <w:rFonts w:hint="eastAsia" w:ascii="宋体" w:hAnsi="宋体" w:eastAsia="宋体" w:cs="宋体"/>
                <w:b/>
                <w:color w:val="auto"/>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b/>
                <w:color w:val="auto"/>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val="0"/>
            <w:vAlign w:val="top"/>
          </w:tcPr>
          <w:p>
            <w:pPr>
              <w:pStyle w:val="72"/>
              <w:keepNext w:val="0"/>
              <w:keepLines w:val="0"/>
              <w:suppressLineNumbers w:val="0"/>
              <w:shd w:val="clear" w:color="auto" w:fill="FFFFFF"/>
              <w:spacing w:before="0" w:beforeAutospacing="0" w:after="0" w:afterAutospacing="0" w:line="265" w:lineRule="atLeast"/>
              <w:ind w:left="420" w:right="0"/>
              <w:jc w:val="both"/>
              <w:rPr>
                <w:rFonts w:hint="eastAsia" w:ascii="宋体" w:hAnsi="宋体" w:eastAsia="宋体"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pPr>
              <w:pStyle w:val="72"/>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color w:val="auto"/>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pPr>
              <w:pStyle w:val="72"/>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color w:val="auto"/>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pPr>
              <w:pStyle w:val="72"/>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color w:val="auto"/>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pPr>
              <w:pStyle w:val="72"/>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color w:val="auto"/>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pPr>
              <w:pStyle w:val="72"/>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color w:val="auto"/>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pPr>
              <w:pStyle w:val="72"/>
              <w:keepNext w:val="0"/>
              <w:keepLines w:val="0"/>
              <w:suppressLineNumbers w:val="0"/>
              <w:shd w:val="clear" w:color="auto" w:fill="FFFFFF"/>
              <w:spacing w:before="0" w:beforeAutospacing="0" w:after="0" w:afterAutospacing="0" w:line="265" w:lineRule="atLeast"/>
              <w:ind w:left="420" w:right="0"/>
              <w:jc w:val="both"/>
              <w:rPr>
                <w:rFonts w:hint="eastAsia" w:ascii="宋体" w:hAnsi="宋体" w:eastAsia="宋体"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val="0"/>
            <w:vAlign w:val="top"/>
          </w:tcPr>
          <w:p>
            <w:pPr>
              <w:pStyle w:val="72"/>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color w:val="auto"/>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val="0"/>
            <w:vAlign w:val="top"/>
          </w:tcPr>
          <w:p>
            <w:pPr>
              <w:pStyle w:val="72"/>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color w:val="auto"/>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val="0"/>
            <w:vAlign w:val="top"/>
          </w:tcPr>
          <w:p>
            <w:pPr>
              <w:pStyle w:val="72"/>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color w:val="auto"/>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val="0"/>
            <w:vAlign w:val="top"/>
          </w:tcPr>
          <w:p>
            <w:pPr>
              <w:pStyle w:val="72"/>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color w:val="auto"/>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val="0"/>
            <w:vAlign w:val="top"/>
          </w:tcPr>
          <w:p>
            <w:pPr>
              <w:pStyle w:val="72"/>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color w:val="auto"/>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pPr>
              <w:pStyle w:val="72"/>
              <w:keepNext w:val="0"/>
              <w:keepLines w:val="0"/>
              <w:suppressLineNumbers w:val="0"/>
              <w:shd w:val="clear" w:color="auto" w:fill="FFFFFF"/>
              <w:spacing w:before="0" w:beforeAutospacing="0" w:after="0" w:afterAutospacing="0" w:line="265" w:lineRule="atLeast"/>
              <w:ind w:left="420" w:right="0"/>
              <w:jc w:val="both"/>
              <w:rPr>
                <w:rFonts w:hint="eastAsia" w:ascii="宋体" w:hAnsi="宋体" w:eastAsia="宋体" w:cs="宋体"/>
                <w:b/>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pPr>
              <w:pStyle w:val="72"/>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b/>
                <w:bCs/>
                <w:color w:val="auto"/>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pPr>
              <w:pStyle w:val="72"/>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color w:val="auto"/>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pPr>
              <w:pStyle w:val="72"/>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b/>
                <w:bCs/>
                <w:color w:val="auto"/>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val="0"/>
            <w:vAlign w:val="top"/>
          </w:tcPr>
          <w:p>
            <w:pPr>
              <w:pStyle w:val="72"/>
              <w:keepNext w:val="0"/>
              <w:keepLines w:val="0"/>
              <w:suppressLineNumbers w:val="0"/>
              <w:shd w:val="clear" w:color="auto" w:fill="FFFFFF"/>
              <w:spacing w:before="0" w:beforeAutospacing="0" w:after="0" w:afterAutospacing="0" w:line="265" w:lineRule="atLeast"/>
              <w:ind w:left="420" w:right="0"/>
              <w:jc w:val="both"/>
              <w:rPr>
                <w:rFonts w:hint="eastAsia" w:ascii="宋体" w:hAnsi="宋体" w:eastAsia="宋体" w:cs="宋体"/>
                <w:b/>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val="0"/>
            <w:vAlign w:val="top"/>
          </w:tcPr>
          <w:p>
            <w:pPr>
              <w:pStyle w:val="72"/>
              <w:keepNext w:val="0"/>
              <w:keepLines w:val="0"/>
              <w:suppressLineNumbers w:val="0"/>
              <w:shd w:val="clear" w:color="auto" w:fill="FFFFFF"/>
              <w:spacing w:before="0" w:beforeAutospacing="0" w:after="0" w:afterAutospacing="0" w:line="265" w:lineRule="atLeast"/>
              <w:ind w:left="0" w:right="0" w:firstLine="480" w:firstLineChars="200"/>
              <w:rPr>
                <w:rFonts w:hint="eastAsia" w:ascii="宋体" w:hAnsi="宋体" w:eastAsia="宋体" w:cs="宋体"/>
                <w:color w:val="auto"/>
                <w:szCs w:val="21"/>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val="0"/>
            <w:vAlign w:val="top"/>
          </w:tcPr>
          <w:p>
            <w:pPr>
              <w:pStyle w:val="72"/>
              <w:keepNext w:val="0"/>
              <w:keepLines w:val="0"/>
              <w:suppressLineNumbers w:val="0"/>
              <w:shd w:val="clear" w:color="auto" w:fill="FFFFFF"/>
              <w:spacing w:before="0" w:beforeAutospacing="0" w:after="0" w:afterAutospacing="0" w:line="265" w:lineRule="atLeast"/>
              <w:ind w:left="0" w:right="0" w:firstLine="480" w:firstLineChars="200"/>
              <w:rPr>
                <w:rFonts w:hint="eastAsia" w:ascii="宋体" w:hAnsi="宋体" w:eastAsia="宋体" w:cs="宋体"/>
                <w:color w:val="auto"/>
                <w:lang w:eastAsia="zh-CN"/>
              </w:rPr>
            </w:pPr>
          </w:p>
        </w:tc>
        <w:tc>
          <w:tcPr>
            <w:tcW w:w="3570" w:type="dxa"/>
            <w:tcBorders>
              <w:bottom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rPr>
            </w:pPr>
          </w:p>
        </w:tc>
      </w:tr>
    </w:tbl>
    <w:p>
      <w:pPr>
        <w:rPr>
          <w:rFonts w:hint="eastAsia" w:ascii="宋体" w:hAnsi="宋体" w:cs="宋体"/>
          <w:color w:val="auto"/>
        </w:rPr>
      </w:pPr>
    </w:p>
    <w:p>
      <w:pPr>
        <w:ind w:firstLine="1084" w:firstLineChars="300"/>
        <w:jc w:val="center"/>
        <w:rPr>
          <w:rFonts w:hint="eastAsia" w:ascii="宋体" w:hAnsi="宋体" w:cs="宋体"/>
          <w:b/>
          <w:bCs/>
          <w:color w:val="auto"/>
          <w:sz w:val="32"/>
          <w:szCs w:val="32"/>
        </w:rPr>
      </w:pPr>
      <w:r>
        <w:rPr>
          <w:rFonts w:hint="eastAsia" w:ascii="宋体" w:hAnsi="宋体" w:cs="宋体"/>
          <w:b/>
          <w:color w:val="auto"/>
          <w:sz w:val="36"/>
          <w:u w:val="single"/>
        </w:rPr>
        <w:br w:type="page"/>
      </w:r>
      <w:r>
        <w:rPr>
          <w:rFonts w:hint="eastAsia" w:ascii="宋体" w:hAnsi="宋体" w:cs="宋体"/>
          <w:b/>
          <w:bCs/>
          <w:color w:val="auto"/>
          <w:sz w:val="32"/>
          <w:szCs w:val="32"/>
        </w:rPr>
        <w:t>投标主要文件目录</w:t>
      </w:r>
    </w:p>
    <w:p>
      <w:pPr>
        <w:spacing w:line="440" w:lineRule="exact"/>
        <w:jc w:val="center"/>
        <w:rPr>
          <w:rFonts w:hint="eastAsia" w:ascii="宋体" w:hAnsi="宋体" w:cs="宋体"/>
          <w:b/>
          <w:bCs/>
          <w:color w:val="auto"/>
          <w:sz w:val="32"/>
          <w:szCs w:val="32"/>
        </w:rPr>
      </w:pPr>
    </w:p>
    <w:p>
      <w:pPr>
        <w:ind w:firstLine="480" w:firstLineChars="200"/>
        <w:rPr>
          <w:rFonts w:hint="eastAsia" w:ascii="宋体" w:hAnsi="宋体" w:cs="宋体"/>
          <w:color w:val="auto"/>
          <w:sz w:val="24"/>
        </w:rPr>
      </w:pPr>
      <w:r>
        <w:rPr>
          <w:rFonts w:hint="eastAsia" w:ascii="宋体" w:hAnsi="宋体" w:cs="宋体"/>
          <w:color w:val="auto"/>
          <w:sz w:val="24"/>
        </w:rPr>
        <w:t>一、</w:t>
      </w:r>
      <w:r>
        <w:rPr>
          <w:rFonts w:hint="eastAsia" w:ascii="宋体" w:hAnsi="宋体" w:cs="宋体"/>
          <w:bCs/>
          <w:color w:val="auto"/>
          <w:sz w:val="24"/>
        </w:rPr>
        <w:t>资信证明文件要求</w:t>
      </w:r>
    </w:p>
    <w:p>
      <w:pPr>
        <w:ind w:firstLine="482" w:firstLineChars="200"/>
        <w:rPr>
          <w:rFonts w:hint="eastAsia" w:ascii="宋体" w:hAnsi="宋体" w:cs="宋体"/>
          <w:color w:val="auto"/>
          <w:sz w:val="24"/>
        </w:rPr>
      </w:pPr>
      <w:r>
        <w:rPr>
          <w:rFonts w:hint="eastAsia" w:ascii="宋体" w:hAnsi="宋体" w:cs="宋体"/>
          <w:b/>
          <w:bCs/>
          <w:color w:val="auto"/>
          <w:sz w:val="24"/>
        </w:rPr>
        <w:t>二</w:t>
      </w:r>
      <w:r>
        <w:rPr>
          <w:rFonts w:hint="eastAsia" w:ascii="宋体" w:hAnsi="宋体" w:cs="宋体"/>
          <w:color w:val="auto"/>
          <w:sz w:val="24"/>
        </w:rPr>
        <w:t>、资格性审查响应对照表</w:t>
      </w:r>
    </w:p>
    <w:p>
      <w:pPr>
        <w:ind w:firstLine="480" w:firstLineChars="200"/>
        <w:rPr>
          <w:rFonts w:hint="eastAsia" w:ascii="宋体" w:hAnsi="宋体" w:cs="宋体"/>
          <w:bCs/>
          <w:color w:val="auto"/>
          <w:sz w:val="24"/>
        </w:rPr>
      </w:pPr>
      <w:r>
        <w:rPr>
          <w:rFonts w:hint="eastAsia" w:ascii="宋体" w:hAnsi="宋体" w:cs="宋体"/>
          <w:color w:val="auto"/>
          <w:sz w:val="24"/>
        </w:rPr>
        <w:t>三、符合性检查响应对照表</w:t>
      </w:r>
    </w:p>
    <w:p>
      <w:pPr>
        <w:ind w:firstLine="480" w:firstLineChars="200"/>
        <w:rPr>
          <w:rFonts w:hint="eastAsia" w:ascii="宋体" w:hAnsi="宋体" w:cs="宋体"/>
          <w:color w:val="auto"/>
          <w:sz w:val="24"/>
        </w:rPr>
      </w:pPr>
      <w:r>
        <w:rPr>
          <w:rFonts w:hint="eastAsia" w:ascii="宋体" w:hAnsi="宋体" w:cs="宋体"/>
          <w:color w:val="auto"/>
          <w:sz w:val="24"/>
        </w:rPr>
        <w:t>四、投标函</w:t>
      </w:r>
    </w:p>
    <w:p>
      <w:pPr>
        <w:ind w:firstLine="480" w:firstLineChars="200"/>
        <w:rPr>
          <w:rFonts w:hint="eastAsia" w:ascii="宋体" w:hAnsi="宋体" w:cs="宋体"/>
          <w:color w:val="auto"/>
          <w:sz w:val="24"/>
        </w:rPr>
      </w:pPr>
      <w:r>
        <w:rPr>
          <w:rFonts w:hint="eastAsia" w:ascii="宋体" w:hAnsi="宋体" w:cs="宋体"/>
          <w:color w:val="auto"/>
          <w:sz w:val="24"/>
        </w:rPr>
        <w:t>五</w:t>
      </w:r>
      <w:r>
        <w:rPr>
          <w:rFonts w:hint="eastAsia" w:ascii="宋体" w:hAnsi="宋体" w:cs="宋体"/>
          <w:b/>
          <w:bCs/>
          <w:color w:val="auto"/>
          <w:sz w:val="24"/>
        </w:rPr>
        <w:t>、</w:t>
      </w:r>
      <w:r>
        <w:rPr>
          <w:rFonts w:hint="eastAsia" w:ascii="宋体" w:hAnsi="宋体" w:cs="宋体"/>
          <w:color w:val="auto"/>
          <w:sz w:val="24"/>
        </w:rPr>
        <w:t>开标一览表</w:t>
      </w:r>
    </w:p>
    <w:p>
      <w:pPr>
        <w:ind w:firstLine="480" w:firstLineChars="200"/>
        <w:rPr>
          <w:rFonts w:hint="eastAsia" w:ascii="宋体" w:hAnsi="宋体" w:cs="宋体"/>
          <w:color w:val="auto"/>
          <w:sz w:val="24"/>
        </w:rPr>
      </w:pPr>
      <w:r>
        <w:rPr>
          <w:rFonts w:hint="eastAsia" w:ascii="宋体" w:hAnsi="宋体" w:cs="宋体"/>
          <w:color w:val="auto"/>
          <w:sz w:val="24"/>
          <w:szCs w:val="24"/>
        </w:rPr>
        <w:t>六、技术参数响应及偏离表</w:t>
      </w:r>
    </w:p>
    <w:p>
      <w:pPr>
        <w:ind w:firstLine="480" w:firstLineChars="200"/>
        <w:rPr>
          <w:rFonts w:hint="eastAsia" w:ascii="宋体" w:hAnsi="宋体" w:cs="宋体"/>
          <w:color w:val="auto"/>
          <w:sz w:val="24"/>
        </w:rPr>
      </w:pPr>
      <w:r>
        <w:rPr>
          <w:rFonts w:hint="eastAsia" w:ascii="宋体" w:hAnsi="宋体" w:cs="宋体"/>
          <w:color w:val="auto"/>
          <w:sz w:val="24"/>
        </w:rPr>
        <w:t>七、商务条款响应及偏离表</w:t>
      </w:r>
    </w:p>
    <w:p>
      <w:pPr>
        <w:ind w:firstLine="480" w:firstLineChars="200"/>
        <w:rPr>
          <w:rFonts w:hint="eastAsia" w:ascii="宋体" w:hAnsi="宋体" w:cs="宋体"/>
          <w:color w:val="auto"/>
          <w:sz w:val="24"/>
        </w:rPr>
      </w:pPr>
      <w:r>
        <w:rPr>
          <w:rFonts w:hint="eastAsia" w:ascii="宋体" w:hAnsi="宋体" w:cs="宋体"/>
          <w:color w:val="auto"/>
          <w:sz w:val="24"/>
        </w:rPr>
        <w:t>八、技术方案、服务承诺等</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九、盐城市政府采购事前信用承诺书</w:t>
      </w: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napToGrid w:val="0"/>
        <w:spacing w:before="50" w:after="50"/>
        <w:jc w:val="center"/>
        <w:rPr>
          <w:rFonts w:hint="eastAsia" w:ascii="宋体" w:hAnsi="宋体" w:cs="宋体"/>
          <w:b/>
          <w:bCs/>
          <w:color w:val="auto"/>
          <w:sz w:val="32"/>
          <w:szCs w:val="32"/>
        </w:rPr>
      </w:pPr>
      <w:r>
        <w:rPr>
          <w:rFonts w:hint="eastAsia" w:ascii="宋体" w:hAnsi="宋体" w:cs="宋体"/>
          <w:color w:val="auto"/>
          <w:sz w:val="24"/>
        </w:rPr>
        <w:br w:type="page"/>
      </w:r>
      <w:r>
        <w:rPr>
          <w:rFonts w:hint="eastAsia" w:ascii="宋体" w:hAnsi="宋体" w:cs="宋体"/>
          <w:color w:val="auto"/>
          <w:sz w:val="32"/>
          <w:szCs w:val="32"/>
        </w:rPr>
        <w:t>一、</w:t>
      </w:r>
      <w:r>
        <w:rPr>
          <w:rFonts w:hint="eastAsia" w:ascii="宋体" w:hAnsi="宋体" w:cs="宋体"/>
          <w:b/>
          <w:bCs/>
          <w:color w:val="auto"/>
          <w:sz w:val="32"/>
          <w:szCs w:val="32"/>
        </w:rPr>
        <w:t>资信证明文件要求</w:t>
      </w:r>
    </w:p>
    <w:p>
      <w:pPr>
        <w:snapToGrid w:val="0"/>
        <w:spacing w:before="50" w:after="50"/>
        <w:rPr>
          <w:rFonts w:hint="eastAsia" w:ascii="宋体" w:hAnsi="宋体" w:cs="宋体"/>
          <w:i/>
          <w:color w:val="auto"/>
          <w:szCs w:val="24"/>
          <w:u w:val="single"/>
        </w:rPr>
      </w:pPr>
    </w:p>
    <w:p>
      <w:pPr>
        <w:snapToGrid w:val="0"/>
        <w:spacing w:line="500" w:lineRule="exact"/>
        <w:ind w:firstLine="482" w:firstLineChars="200"/>
        <w:rPr>
          <w:rFonts w:hint="eastAsia" w:ascii="宋体" w:hAnsi="宋体" w:cs="宋体"/>
          <w:color w:val="auto"/>
          <w:sz w:val="24"/>
          <w:szCs w:val="20"/>
        </w:rPr>
      </w:pPr>
      <w:r>
        <w:rPr>
          <w:rFonts w:hint="eastAsia" w:ascii="宋体" w:hAnsi="宋体" w:cs="宋体"/>
          <w:b/>
          <w:bCs/>
          <w:color w:val="auto"/>
          <w:sz w:val="24"/>
        </w:rPr>
        <w:t>1、实质性资格证明文件目录</w:t>
      </w:r>
    </w:p>
    <w:p>
      <w:pPr>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文件1 法人或者其他组织的营业执照等证明文件，自然人的身份证明（复印件）</w:t>
      </w:r>
    </w:p>
    <w:p>
      <w:pPr>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文件2 上一年度财务状况报表（复印件，成立不满一年不需提供）</w:t>
      </w:r>
    </w:p>
    <w:p>
      <w:pPr>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文件3 依法缴纳税收和社会保障资金的相关材料（复印件）</w:t>
      </w:r>
    </w:p>
    <w:p>
      <w:pPr>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文件4 具备履行合同所必需的设备和专业技术能力的书面声明</w:t>
      </w:r>
    </w:p>
    <w:p>
      <w:pPr>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文件5 参加政府采购活动前 3 年内在经营活动中没有重大违法记录的书面声明</w:t>
      </w:r>
    </w:p>
    <w:p>
      <w:pPr>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文件6 法人授权书</w:t>
      </w:r>
    </w:p>
    <w:p>
      <w:pPr>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文件7未被“信用中国”网站（www.creditchina.gov.cn）列入失信被执行人、重大税收违法案件当事人名单、政府采购严重失信行为记录名单的网上查询截图（查询日期为采购公告发布之日当天或以后任一时间）。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2、非实质性资信证明文件目录</w:t>
      </w:r>
    </w:p>
    <w:p>
      <w:pPr>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格式1 《企业申明函》</w:t>
      </w:r>
    </w:p>
    <w:p>
      <w:pPr>
        <w:pStyle w:val="3"/>
        <w:rPr>
          <w:rFonts w:hint="eastAsia" w:ascii="宋体" w:hAnsi="宋体" w:eastAsia="宋体" w:cs="宋体"/>
          <w:color w:val="auto"/>
        </w:rPr>
      </w:pPr>
    </w:p>
    <w:p>
      <w:pPr>
        <w:pStyle w:val="5"/>
        <w:spacing w:line="0" w:lineRule="atLeast"/>
        <w:rPr>
          <w:rFonts w:hint="eastAsia" w:ascii="宋体" w:hAnsi="宋体" w:cs="宋体"/>
          <w:color w:val="auto"/>
          <w:sz w:val="24"/>
          <w:szCs w:val="24"/>
        </w:rPr>
      </w:pPr>
    </w:p>
    <w:p>
      <w:pPr>
        <w:pStyle w:val="5"/>
        <w:spacing w:line="0" w:lineRule="atLeast"/>
        <w:rPr>
          <w:rFonts w:hint="eastAsia" w:ascii="宋体" w:hAnsi="宋体" w:cs="宋体"/>
          <w:color w:val="auto"/>
          <w:sz w:val="24"/>
          <w:szCs w:val="24"/>
        </w:rPr>
      </w:pPr>
    </w:p>
    <w:p>
      <w:pPr>
        <w:pStyle w:val="5"/>
        <w:spacing w:line="0" w:lineRule="atLeast"/>
        <w:rPr>
          <w:rFonts w:hint="eastAsia" w:ascii="宋体" w:hAnsi="宋体" w:cs="宋体"/>
          <w:color w:val="auto"/>
          <w:sz w:val="24"/>
          <w:szCs w:val="24"/>
        </w:rPr>
      </w:pPr>
    </w:p>
    <w:p>
      <w:pPr>
        <w:pStyle w:val="5"/>
        <w:spacing w:line="0" w:lineRule="atLeast"/>
        <w:rPr>
          <w:rFonts w:hint="eastAsia" w:ascii="宋体" w:hAnsi="宋体" w:cs="宋体"/>
          <w:color w:val="auto"/>
          <w:sz w:val="24"/>
          <w:szCs w:val="24"/>
        </w:rPr>
      </w:pPr>
    </w:p>
    <w:p>
      <w:pPr>
        <w:pStyle w:val="5"/>
        <w:spacing w:line="0" w:lineRule="atLeast"/>
        <w:rPr>
          <w:rFonts w:hint="eastAsia" w:ascii="宋体" w:hAnsi="宋体" w:cs="宋体"/>
          <w:color w:val="auto"/>
          <w:sz w:val="24"/>
          <w:szCs w:val="24"/>
        </w:rPr>
      </w:pPr>
    </w:p>
    <w:p>
      <w:pPr>
        <w:pStyle w:val="5"/>
        <w:spacing w:line="0" w:lineRule="atLeast"/>
        <w:rPr>
          <w:rFonts w:hint="eastAsia" w:ascii="宋体" w:hAnsi="宋体" w:cs="宋体"/>
          <w:color w:val="auto"/>
          <w:sz w:val="24"/>
          <w:szCs w:val="24"/>
        </w:rPr>
      </w:pPr>
    </w:p>
    <w:p>
      <w:pPr>
        <w:pStyle w:val="5"/>
        <w:spacing w:line="0" w:lineRule="atLeast"/>
        <w:rPr>
          <w:rFonts w:hint="eastAsia" w:ascii="宋体" w:hAnsi="宋体" w:cs="宋体"/>
          <w:color w:val="auto"/>
          <w:sz w:val="24"/>
          <w:szCs w:val="24"/>
        </w:rPr>
      </w:pPr>
    </w:p>
    <w:p>
      <w:pPr>
        <w:pStyle w:val="5"/>
        <w:spacing w:line="0" w:lineRule="atLeast"/>
        <w:rPr>
          <w:rFonts w:hint="eastAsia" w:ascii="宋体" w:hAnsi="宋体" w:cs="宋体"/>
          <w:color w:val="auto"/>
          <w:sz w:val="24"/>
          <w:szCs w:val="24"/>
        </w:rPr>
      </w:pPr>
    </w:p>
    <w:p>
      <w:pPr>
        <w:pStyle w:val="5"/>
        <w:spacing w:line="0" w:lineRule="atLeast"/>
        <w:rPr>
          <w:rFonts w:hint="eastAsia" w:ascii="宋体" w:hAnsi="宋体" w:cs="宋体"/>
          <w:color w:val="auto"/>
          <w:sz w:val="24"/>
          <w:szCs w:val="24"/>
        </w:rPr>
      </w:pPr>
    </w:p>
    <w:p>
      <w:pPr>
        <w:pStyle w:val="5"/>
        <w:spacing w:line="0" w:lineRule="atLeast"/>
        <w:rPr>
          <w:rFonts w:hint="eastAsia" w:ascii="宋体" w:hAnsi="宋体" w:cs="宋体"/>
          <w:color w:val="auto"/>
          <w:sz w:val="24"/>
          <w:szCs w:val="24"/>
        </w:rPr>
      </w:pPr>
    </w:p>
    <w:p>
      <w:pPr>
        <w:pStyle w:val="5"/>
        <w:spacing w:line="0" w:lineRule="atLeast"/>
        <w:rPr>
          <w:rFonts w:hint="eastAsia" w:ascii="宋体" w:hAnsi="宋体" w:cs="宋体"/>
          <w:color w:val="auto"/>
          <w:sz w:val="24"/>
          <w:szCs w:val="24"/>
        </w:rPr>
      </w:pPr>
    </w:p>
    <w:p>
      <w:pPr>
        <w:pStyle w:val="5"/>
        <w:spacing w:line="0" w:lineRule="atLeast"/>
        <w:rPr>
          <w:rFonts w:hint="eastAsia" w:ascii="宋体" w:hAnsi="宋体" w:cs="宋体"/>
          <w:color w:val="auto"/>
          <w:sz w:val="24"/>
          <w:szCs w:val="24"/>
        </w:rPr>
      </w:pPr>
    </w:p>
    <w:p>
      <w:pPr>
        <w:pStyle w:val="5"/>
        <w:spacing w:line="0" w:lineRule="atLeast"/>
        <w:rPr>
          <w:rFonts w:hint="eastAsia" w:ascii="宋体" w:hAnsi="宋体" w:cs="宋体"/>
          <w:color w:val="auto"/>
          <w:sz w:val="24"/>
          <w:szCs w:val="24"/>
        </w:rPr>
      </w:pPr>
    </w:p>
    <w:p>
      <w:pPr>
        <w:pStyle w:val="5"/>
        <w:spacing w:line="0" w:lineRule="atLeast"/>
        <w:rPr>
          <w:rFonts w:hint="eastAsia" w:ascii="宋体" w:hAnsi="宋体" w:cs="宋体"/>
          <w:color w:val="auto"/>
          <w:sz w:val="24"/>
          <w:szCs w:val="24"/>
        </w:rPr>
      </w:pPr>
    </w:p>
    <w:p>
      <w:pPr>
        <w:pStyle w:val="5"/>
        <w:spacing w:line="0" w:lineRule="atLeast"/>
        <w:rPr>
          <w:rFonts w:hint="eastAsia" w:ascii="宋体" w:hAnsi="宋体" w:cs="宋体"/>
          <w:color w:val="auto"/>
          <w:sz w:val="24"/>
          <w:szCs w:val="24"/>
        </w:rPr>
      </w:pPr>
    </w:p>
    <w:p>
      <w:pPr>
        <w:pStyle w:val="5"/>
        <w:spacing w:line="0" w:lineRule="atLeast"/>
        <w:ind w:firstLine="0"/>
        <w:rPr>
          <w:rFonts w:hint="eastAsia" w:ascii="宋体" w:hAnsi="宋体" w:cs="宋体"/>
          <w:color w:val="auto"/>
          <w:sz w:val="24"/>
          <w:szCs w:val="24"/>
        </w:rPr>
      </w:pPr>
    </w:p>
    <w:p>
      <w:pPr>
        <w:pStyle w:val="6"/>
        <w:jc w:val="center"/>
        <w:rPr>
          <w:rFonts w:hint="eastAsia" w:ascii="宋体" w:hAnsi="宋体" w:cs="宋体"/>
          <w:b w:val="0"/>
          <w:bCs w:val="0"/>
          <w:color w:val="auto"/>
          <w:sz w:val="28"/>
          <w:szCs w:val="28"/>
        </w:rPr>
      </w:pPr>
      <w:r>
        <w:rPr>
          <w:rFonts w:hint="eastAsia" w:ascii="宋体" w:hAnsi="宋体" w:cs="宋体"/>
          <w:color w:val="auto"/>
          <w:sz w:val="28"/>
          <w:szCs w:val="28"/>
        </w:rPr>
        <w:t>具备履行合同所必需的设备和专业技术能力的书面声明</w:t>
      </w:r>
    </w:p>
    <w:p>
      <w:pPr>
        <w:spacing w:line="460" w:lineRule="exact"/>
        <w:ind w:firstLine="492"/>
        <w:rPr>
          <w:rFonts w:hint="eastAsia" w:ascii="宋体" w:hAnsi="宋体" w:cs="宋体"/>
          <w:bCs/>
          <w:color w:val="auto"/>
          <w:sz w:val="24"/>
          <w:szCs w:val="24"/>
        </w:rPr>
      </w:pPr>
      <w:r>
        <w:rPr>
          <w:rFonts w:hint="eastAsia" w:ascii="宋体" w:hAnsi="宋体" w:cs="宋体"/>
          <w:bCs/>
          <w:color w:val="auto"/>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hint="eastAsia" w:ascii="宋体" w:hAnsi="宋体" w:cs="宋体"/>
          <w:bCs/>
          <w:color w:val="auto"/>
          <w:sz w:val="24"/>
          <w:szCs w:val="24"/>
        </w:rPr>
      </w:pPr>
      <w:r>
        <w:rPr>
          <w:rFonts w:hint="eastAsia" w:ascii="宋体" w:hAnsi="宋体" w:cs="宋体"/>
          <w:bCs/>
          <w:color w:val="auto"/>
          <w:sz w:val="24"/>
          <w:szCs w:val="24"/>
        </w:rPr>
        <w:t>主要设备有：</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w:t>
      </w:r>
    </w:p>
    <w:p>
      <w:pPr>
        <w:spacing w:line="460" w:lineRule="exact"/>
        <w:ind w:firstLine="492"/>
        <w:rPr>
          <w:rFonts w:hint="eastAsia" w:ascii="宋体" w:hAnsi="宋体" w:cs="宋体"/>
          <w:bCs/>
          <w:color w:val="auto"/>
          <w:sz w:val="24"/>
          <w:szCs w:val="24"/>
        </w:rPr>
      </w:pPr>
      <w:r>
        <w:rPr>
          <w:rFonts w:hint="eastAsia" w:ascii="宋体" w:hAnsi="宋体" w:cs="宋体"/>
          <w:bCs/>
          <w:color w:val="auto"/>
          <w:sz w:val="24"/>
          <w:szCs w:val="24"/>
        </w:rPr>
        <w:t>主要专业技术能力有：</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w:t>
      </w:r>
    </w:p>
    <w:p>
      <w:pPr>
        <w:spacing w:line="460" w:lineRule="exact"/>
        <w:ind w:firstLine="492"/>
        <w:rPr>
          <w:rFonts w:hint="eastAsia" w:ascii="宋体" w:hAnsi="宋体" w:cs="宋体"/>
          <w:bCs/>
          <w:color w:val="auto"/>
          <w:sz w:val="24"/>
          <w:szCs w:val="24"/>
        </w:rPr>
      </w:pPr>
    </w:p>
    <w:p>
      <w:pPr>
        <w:spacing w:line="460" w:lineRule="exact"/>
        <w:ind w:firstLine="492"/>
        <w:rPr>
          <w:rFonts w:hint="eastAsia" w:ascii="宋体" w:hAnsi="宋体" w:cs="宋体"/>
          <w:bCs/>
          <w:color w:val="auto"/>
          <w:sz w:val="24"/>
          <w:szCs w:val="24"/>
        </w:rPr>
      </w:pPr>
    </w:p>
    <w:p>
      <w:pPr>
        <w:spacing w:line="460" w:lineRule="exact"/>
        <w:ind w:firstLine="492"/>
        <w:rPr>
          <w:rFonts w:hint="eastAsia" w:ascii="宋体" w:hAnsi="宋体" w:cs="宋体"/>
          <w:bCs/>
          <w:color w:val="auto"/>
          <w:sz w:val="24"/>
          <w:szCs w:val="24"/>
        </w:rPr>
      </w:pPr>
    </w:p>
    <w:p>
      <w:pPr>
        <w:spacing w:line="460" w:lineRule="exact"/>
        <w:rPr>
          <w:rFonts w:hint="eastAsia" w:ascii="宋体" w:hAnsi="宋体" w:cs="宋体"/>
          <w:bCs/>
          <w:color w:val="auto"/>
          <w:sz w:val="24"/>
          <w:szCs w:val="24"/>
        </w:rPr>
      </w:pPr>
      <w:r>
        <w:rPr>
          <w:rFonts w:hint="eastAsia" w:ascii="宋体" w:hAnsi="宋体" w:cs="宋体"/>
          <w:bCs/>
          <w:color w:val="auto"/>
          <w:sz w:val="24"/>
          <w:szCs w:val="24"/>
        </w:rPr>
        <w:t xml:space="preserve">                                       供应商名称（公章）：</w:t>
      </w:r>
    </w:p>
    <w:p>
      <w:pPr>
        <w:spacing w:line="460" w:lineRule="exact"/>
        <w:rPr>
          <w:rFonts w:hint="eastAsia" w:ascii="宋体" w:hAnsi="宋体" w:cs="宋体"/>
          <w:bCs/>
          <w:color w:val="auto"/>
          <w:sz w:val="24"/>
          <w:szCs w:val="24"/>
        </w:rPr>
      </w:pPr>
      <w:r>
        <w:rPr>
          <w:rFonts w:hint="eastAsia" w:ascii="宋体" w:hAnsi="宋体" w:cs="宋体"/>
          <w:bCs/>
          <w:color w:val="auto"/>
          <w:sz w:val="24"/>
          <w:szCs w:val="24"/>
        </w:rPr>
        <w:t xml:space="preserve">                                     </w:t>
      </w:r>
    </w:p>
    <w:p>
      <w:pPr>
        <w:spacing w:line="460" w:lineRule="exact"/>
        <w:jc w:val="right"/>
        <w:rPr>
          <w:rFonts w:hint="eastAsia" w:ascii="宋体" w:hAnsi="宋体" w:cs="宋体"/>
          <w:bCs/>
          <w:color w:val="auto"/>
          <w:sz w:val="24"/>
          <w:szCs w:val="24"/>
        </w:rPr>
      </w:pPr>
      <w:r>
        <w:rPr>
          <w:rFonts w:hint="eastAsia" w:ascii="宋体" w:hAnsi="宋体" w:cs="宋体"/>
          <w:bCs/>
          <w:color w:val="auto"/>
          <w:sz w:val="24"/>
          <w:szCs w:val="24"/>
        </w:rPr>
        <w:t>日期：</w:t>
      </w:r>
      <w:r>
        <w:rPr>
          <w:rFonts w:hint="eastAsia" w:ascii="宋体" w:hAnsi="宋体" w:cs="宋体"/>
          <w:bCs/>
          <w:color w:val="auto"/>
          <w:sz w:val="24"/>
          <w:szCs w:val="24"/>
          <w:u w:val="single"/>
        </w:rPr>
        <w:t xml:space="preserve">    年    月    日</w:t>
      </w:r>
    </w:p>
    <w:p>
      <w:pPr>
        <w:pStyle w:val="6"/>
        <w:jc w:val="center"/>
        <w:rPr>
          <w:rFonts w:hint="eastAsia" w:ascii="宋体" w:hAnsi="宋体" w:cs="宋体"/>
          <w:color w:val="auto"/>
          <w:sz w:val="28"/>
          <w:szCs w:val="28"/>
        </w:rPr>
      </w:pPr>
      <w:r>
        <w:rPr>
          <w:rFonts w:hint="eastAsia" w:ascii="宋体" w:hAnsi="宋体" w:cs="宋体"/>
          <w:color w:val="auto"/>
          <w:sz w:val="28"/>
          <w:szCs w:val="28"/>
        </w:rPr>
        <w:br w:type="page"/>
      </w:r>
      <w:r>
        <w:rPr>
          <w:rFonts w:hint="eastAsia" w:ascii="宋体" w:hAnsi="宋体" w:cs="宋体"/>
          <w:color w:val="auto"/>
          <w:sz w:val="28"/>
          <w:szCs w:val="28"/>
        </w:rPr>
        <w:t>参加政府采购活动前 3 年内在经营活动中没有重大违法记录的书面声明</w:t>
      </w:r>
    </w:p>
    <w:p>
      <w:pPr>
        <w:spacing w:line="460" w:lineRule="exact"/>
        <w:rPr>
          <w:rFonts w:hint="eastAsia" w:ascii="宋体" w:hAnsi="宋体" w:cs="宋体"/>
          <w:b/>
          <w:bCs/>
          <w:color w:val="auto"/>
          <w:sz w:val="28"/>
          <w:szCs w:val="28"/>
        </w:rPr>
      </w:pPr>
      <w:r>
        <w:rPr>
          <w:rFonts w:hint="eastAsia" w:ascii="宋体" w:hAnsi="宋体" w:cs="宋体"/>
          <w:b/>
          <w:bCs/>
          <w:color w:val="auto"/>
          <w:sz w:val="28"/>
          <w:szCs w:val="28"/>
        </w:rPr>
        <w:t xml:space="preserve">                          </w:t>
      </w:r>
    </w:p>
    <w:p>
      <w:pPr>
        <w:jc w:val="center"/>
        <w:rPr>
          <w:rFonts w:hint="eastAsia" w:ascii="宋体" w:hAnsi="宋体" w:cs="宋体"/>
          <w:b/>
          <w:bCs/>
          <w:color w:val="auto"/>
          <w:sz w:val="44"/>
          <w:szCs w:val="44"/>
        </w:rPr>
      </w:pPr>
      <w:r>
        <w:rPr>
          <w:rFonts w:hint="eastAsia" w:ascii="宋体" w:hAnsi="宋体" w:cs="宋体"/>
          <w:b/>
          <w:bCs/>
          <w:color w:val="auto"/>
          <w:sz w:val="44"/>
          <w:szCs w:val="44"/>
        </w:rPr>
        <w:t>声  明</w:t>
      </w:r>
    </w:p>
    <w:p>
      <w:pPr>
        <w:spacing w:line="460" w:lineRule="exact"/>
        <w:rPr>
          <w:rFonts w:hint="eastAsia" w:ascii="宋体" w:hAnsi="宋体" w:cs="宋体"/>
          <w:bCs/>
          <w:color w:val="auto"/>
          <w:sz w:val="24"/>
          <w:szCs w:val="24"/>
        </w:rPr>
      </w:pPr>
      <w:r>
        <w:rPr>
          <w:rFonts w:hint="eastAsia" w:ascii="宋体" w:hAnsi="宋体" w:cs="宋体"/>
          <w:b/>
          <w:bCs/>
          <w:color w:val="auto"/>
          <w:sz w:val="28"/>
          <w:szCs w:val="28"/>
        </w:rPr>
        <w:t xml:space="preserve">   </w:t>
      </w:r>
      <w:r>
        <w:rPr>
          <w:rFonts w:hint="eastAsia" w:ascii="宋体" w:hAnsi="宋体" w:cs="宋体"/>
          <w:b/>
          <w:bCs/>
          <w:color w:val="auto"/>
          <w:sz w:val="24"/>
          <w:szCs w:val="24"/>
        </w:rPr>
        <w:t xml:space="preserve"> </w:t>
      </w:r>
      <w:r>
        <w:rPr>
          <w:rFonts w:hint="eastAsia" w:ascii="宋体" w:hAnsi="宋体" w:cs="宋体"/>
          <w:bCs/>
          <w:color w:val="auto"/>
          <w:sz w:val="24"/>
          <w:szCs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hint="eastAsia" w:ascii="宋体" w:hAnsi="宋体" w:cs="宋体"/>
          <w:bCs/>
          <w:color w:val="auto"/>
          <w:sz w:val="24"/>
          <w:szCs w:val="24"/>
        </w:rPr>
      </w:pPr>
      <w:r>
        <w:rPr>
          <w:rFonts w:hint="eastAsia" w:ascii="宋体" w:hAnsi="宋体" w:cs="宋体"/>
          <w:bCs/>
          <w:color w:val="auto"/>
          <w:sz w:val="24"/>
          <w:szCs w:val="24"/>
        </w:rPr>
        <w:t xml:space="preserve">                          </w:t>
      </w:r>
    </w:p>
    <w:p>
      <w:pPr>
        <w:spacing w:line="460" w:lineRule="exact"/>
        <w:ind w:firstLine="3120" w:firstLineChars="1300"/>
        <w:rPr>
          <w:rFonts w:hint="eastAsia" w:ascii="宋体" w:hAnsi="宋体" w:cs="宋体"/>
          <w:bCs/>
          <w:color w:val="auto"/>
          <w:sz w:val="24"/>
          <w:szCs w:val="24"/>
        </w:rPr>
      </w:pPr>
      <w:r>
        <w:rPr>
          <w:rFonts w:hint="eastAsia" w:ascii="宋体" w:hAnsi="宋体" w:cs="宋体"/>
          <w:bCs/>
          <w:color w:val="auto"/>
          <w:sz w:val="24"/>
          <w:szCs w:val="24"/>
        </w:rPr>
        <w:t>供应商名称（公章）：</w:t>
      </w:r>
    </w:p>
    <w:p>
      <w:pPr>
        <w:spacing w:line="460" w:lineRule="exact"/>
        <w:ind w:firstLine="3120" w:firstLineChars="1300"/>
        <w:rPr>
          <w:rFonts w:hint="eastAsia" w:ascii="宋体" w:hAnsi="宋体" w:cs="宋体"/>
          <w:bCs/>
          <w:color w:val="auto"/>
          <w:sz w:val="24"/>
          <w:szCs w:val="24"/>
        </w:rPr>
      </w:pPr>
      <w:r>
        <w:rPr>
          <w:rFonts w:hint="eastAsia" w:ascii="宋体" w:hAnsi="宋体" w:cs="宋体"/>
          <w:bCs/>
          <w:color w:val="auto"/>
          <w:sz w:val="24"/>
          <w:szCs w:val="24"/>
        </w:rPr>
        <w:t>授权代表签字：</w:t>
      </w:r>
      <w:r>
        <w:rPr>
          <w:rFonts w:hint="eastAsia" w:ascii="宋体" w:hAnsi="宋体" w:cs="宋体"/>
          <w:bCs/>
          <w:color w:val="auto"/>
          <w:sz w:val="24"/>
          <w:szCs w:val="24"/>
          <w:u w:val="single"/>
        </w:rPr>
        <w:t xml:space="preserve">              </w:t>
      </w:r>
    </w:p>
    <w:p>
      <w:pPr>
        <w:spacing w:line="460" w:lineRule="exact"/>
        <w:rPr>
          <w:rFonts w:hint="eastAsia" w:ascii="宋体" w:hAnsi="宋体" w:cs="宋体"/>
          <w:bCs/>
          <w:color w:val="auto"/>
          <w:sz w:val="24"/>
          <w:szCs w:val="24"/>
        </w:rPr>
      </w:pPr>
      <w:r>
        <w:rPr>
          <w:rFonts w:hint="eastAsia" w:ascii="宋体" w:hAnsi="宋体" w:cs="宋体"/>
          <w:bCs/>
          <w:color w:val="auto"/>
          <w:sz w:val="24"/>
          <w:szCs w:val="24"/>
        </w:rPr>
        <w:t xml:space="preserve">                          日期：</w:t>
      </w:r>
      <w:r>
        <w:rPr>
          <w:rFonts w:hint="eastAsia" w:ascii="宋体" w:hAnsi="宋体" w:cs="宋体"/>
          <w:bCs/>
          <w:color w:val="auto"/>
          <w:sz w:val="24"/>
          <w:szCs w:val="24"/>
          <w:u w:val="single"/>
        </w:rPr>
        <w:t xml:space="preserve">           年    月    日</w:t>
      </w:r>
    </w:p>
    <w:p>
      <w:pPr>
        <w:spacing w:line="460" w:lineRule="exact"/>
        <w:rPr>
          <w:rFonts w:hint="eastAsia" w:ascii="宋体" w:hAnsi="宋体" w:cs="宋体"/>
          <w:bCs/>
          <w:color w:val="auto"/>
          <w:sz w:val="28"/>
          <w:szCs w:val="28"/>
        </w:rPr>
      </w:pPr>
    </w:p>
    <w:p>
      <w:pPr>
        <w:spacing w:line="460" w:lineRule="exact"/>
        <w:rPr>
          <w:rFonts w:hint="eastAsia" w:ascii="宋体" w:hAnsi="宋体" w:cs="宋体"/>
          <w:bCs/>
          <w:color w:val="auto"/>
          <w:sz w:val="28"/>
          <w:szCs w:val="28"/>
        </w:rPr>
      </w:pPr>
    </w:p>
    <w:p>
      <w:pPr>
        <w:spacing w:line="460" w:lineRule="exact"/>
        <w:rPr>
          <w:rFonts w:hint="eastAsia" w:ascii="宋体" w:hAnsi="宋体" w:cs="宋体"/>
          <w:bCs/>
          <w:color w:val="auto"/>
          <w:sz w:val="28"/>
          <w:szCs w:val="28"/>
        </w:rPr>
      </w:pPr>
    </w:p>
    <w:p>
      <w:pPr>
        <w:spacing w:line="460" w:lineRule="exact"/>
        <w:rPr>
          <w:rFonts w:hint="eastAsia" w:ascii="宋体" w:hAnsi="宋体" w:cs="宋体"/>
          <w:bCs/>
          <w:color w:val="auto"/>
          <w:sz w:val="28"/>
          <w:szCs w:val="28"/>
        </w:rPr>
      </w:pPr>
    </w:p>
    <w:p>
      <w:pPr>
        <w:spacing w:line="460" w:lineRule="exact"/>
        <w:rPr>
          <w:rFonts w:hint="eastAsia" w:ascii="宋体" w:hAnsi="宋体" w:cs="宋体"/>
          <w:bCs/>
          <w:color w:val="auto"/>
          <w:sz w:val="28"/>
          <w:szCs w:val="28"/>
        </w:rPr>
      </w:pPr>
    </w:p>
    <w:p>
      <w:pPr>
        <w:spacing w:line="460" w:lineRule="exact"/>
        <w:rPr>
          <w:rFonts w:hint="eastAsia" w:ascii="宋体" w:hAnsi="宋体" w:cs="宋体"/>
          <w:bCs/>
          <w:color w:val="auto"/>
          <w:sz w:val="28"/>
          <w:szCs w:val="28"/>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pStyle w:val="6"/>
        <w:jc w:val="center"/>
        <w:rPr>
          <w:rFonts w:hint="eastAsia" w:ascii="宋体" w:hAnsi="宋体" w:cs="宋体"/>
          <w:color w:val="auto"/>
          <w:sz w:val="28"/>
          <w:szCs w:val="28"/>
        </w:rPr>
      </w:pPr>
      <w:r>
        <w:rPr>
          <w:rFonts w:hint="eastAsia" w:ascii="宋体" w:hAnsi="宋体" w:cs="宋体"/>
          <w:color w:val="auto"/>
          <w:sz w:val="28"/>
          <w:szCs w:val="28"/>
        </w:rPr>
        <w:t>法人授权书</w:t>
      </w:r>
    </w:p>
    <w:p>
      <w:pPr>
        <w:pStyle w:val="87"/>
        <w:ind w:firstLine="480"/>
        <w:rPr>
          <w:rFonts w:hint="eastAsia" w:ascii="宋体" w:hAnsi="宋体" w:cs="宋体"/>
          <w:color w:val="auto"/>
          <w:sz w:val="24"/>
          <w:szCs w:val="24"/>
        </w:rPr>
      </w:pPr>
      <w:r>
        <w:rPr>
          <w:rFonts w:hint="eastAsia" w:ascii="宋体" w:hAnsi="宋体" w:cs="宋体"/>
          <w:color w:val="auto"/>
          <w:sz w:val="24"/>
          <w:szCs w:val="24"/>
        </w:rPr>
        <w:t>本授权书声明：____________（供应商名称）授权________________（被授权人的姓名）为我方就</w:t>
      </w:r>
      <w:r>
        <w:rPr>
          <w:rFonts w:hint="eastAsia" w:ascii="宋体" w:hAnsi="宋体" w:cs="宋体"/>
          <w:color w:val="auto"/>
          <w:sz w:val="24"/>
          <w:szCs w:val="24"/>
          <w:u w:val="single"/>
        </w:rPr>
        <w:t>2020-013Q</w:t>
      </w:r>
      <w:r>
        <w:rPr>
          <w:rFonts w:hint="eastAsia" w:ascii="宋体" w:hAnsi="宋体" w:cs="宋体"/>
          <w:color w:val="auto"/>
          <w:sz w:val="24"/>
          <w:szCs w:val="24"/>
        </w:rPr>
        <w:t>号项目采购活动的合法代理人，以本公司名义全权处理一切与该项目采购有关的事务。</w:t>
      </w:r>
    </w:p>
    <w:p>
      <w:pPr>
        <w:pStyle w:val="87"/>
        <w:ind w:firstLine="480"/>
        <w:rPr>
          <w:rFonts w:hint="eastAsia" w:ascii="宋体" w:hAnsi="宋体" w:cs="宋体"/>
          <w:color w:val="auto"/>
          <w:sz w:val="24"/>
          <w:szCs w:val="24"/>
        </w:rPr>
      </w:pPr>
      <w:r>
        <w:rPr>
          <w:rFonts w:hint="eastAsia" w:ascii="宋体" w:hAnsi="宋体" w:cs="宋体"/>
          <w:color w:val="auto"/>
          <w:sz w:val="24"/>
          <w:szCs w:val="24"/>
        </w:rPr>
        <w:t>本授权书于______年____月____日起生效，特此声明。</w:t>
      </w:r>
    </w:p>
    <w:p>
      <w:pPr>
        <w:pStyle w:val="87"/>
        <w:ind w:firstLine="0" w:firstLineChars="0"/>
        <w:rPr>
          <w:rFonts w:hint="eastAsia" w:ascii="宋体" w:hAnsi="宋体" w:cs="宋体"/>
          <w:color w:val="auto"/>
          <w:sz w:val="24"/>
          <w:szCs w:val="24"/>
        </w:rPr>
      </w:pPr>
      <w:r>
        <w:rPr>
          <w:rFonts w:hint="eastAsia" w:ascii="宋体" w:hAnsi="宋体" w:cs="宋体"/>
          <w:color w:val="auto"/>
          <w:sz w:val="24"/>
          <w:szCs w:val="24"/>
        </w:rPr>
        <w:t xml:space="preserve">          代理人（被授权人）：_______________________</w:t>
      </w:r>
    </w:p>
    <w:p>
      <w:pPr>
        <w:pStyle w:val="87"/>
        <w:ind w:firstLine="0" w:firstLineChars="0"/>
        <w:rPr>
          <w:rFonts w:hint="eastAsia" w:ascii="宋体" w:hAnsi="宋体" w:cs="宋体"/>
          <w:color w:val="auto"/>
          <w:sz w:val="24"/>
          <w:szCs w:val="24"/>
        </w:rPr>
      </w:pPr>
      <w:r>
        <w:rPr>
          <w:rFonts w:hint="eastAsia" w:ascii="宋体" w:hAnsi="宋体" w:cs="宋体"/>
          <w:color w:val="auto"/>
          <w:sz w:val="24"/>
          <w:szCs w:val="24"/>
        </w:rPr>
        <w:t xml:space="preserve">         </w:t>
      </w:r>
    </w:p>
    <w:p>
      <w:pPr>
        <w:pStyle w:val="87"/>
        <w:ind w:firstLine="0" w:firstLineChars="0"/>
        <w:rPr>
          <w:rFonts w:hint="eastAsia" w:ascii="宋体" w:hAnsi="宋体" w:cs="宋体"/>
          <w:color w:val="auto"/>
          <w:sz w:val="24"/>
          <w:szCs w:val="24"/>
        </w:rPr>
      </w:pPr>
      <w:r>
        <w:rPr>
          <w:rFonts w:hint="eastAsia" w:ascii="宋体" w:hAnsi="宋体" w:cs="宋体"/>
          <w:color w:val="auto"/>
          <w:sz w:val="24"/>
          <w:szCs w:val="24"/>
        </w:rPr>
        <w:t xml:space="preserve">          单位名称：_____________________________________</w:t>
      </w:r>
    </w:p>
    <w:p>
      <w:pPr>
        <w:pStyle w:val="87"/>
        <w:ind w:firstLine="480"/>
        <w:rPr>
          <w:rFonts w:hint="eastAsia" w:ascii="宋体" w:hAnsi="宋体" w:cs="宋体"/>
          <w:color w:val="auto"/>
          <w:sz w:val="24"/>
          <w:szCs w:val="24"/>
        </w:rPr>
      </w:pPr>
    </w:p>
    <w:p>
      <w:pPr>
        <w:pStyle w:val="87"/>
        <w:ind w:firstLine="0" w:firstLineChars="0"/>
        <w:rPr>
          <w:rFonts w:hint="eastAsia" w:ascii="宋体" w:hAnsi="宋体" w:cs="宋体"/>
          <w:color w:val="auto"/>
          <w:sz w:val="24"/>
          <w:szCs w:val="24"/>
        </w:rPr>
      </w:pPr>
      <w:r>
        <w:rPr>
          <w:rFonts w:hint="eastAsia" w:ascii="宋体" w:hAnsi="宋体" w:cs="宋体"/>
          <w:color w:val="auto"/>
          <w:sz w:val="24"/>
          <w:szCs w:val="24"/>
        </w:rPr>
        <w:t xml:space="preserve">          授权单位盖章：_________________________________</w:t>
      </w:r>
    </w:p>
    <w:p>
      <w:pPr>
        <w:pStyle w:val="87"/>
        <w:ind w:firstLine="480"/>
        <w:rPr>
          <w:rFonts w:hint="eastAsia" w:ascii="宋体" w:hAnsi="宋体" w:cs="宋体"/>
          <w:color w:val="auto"/>
          <w:sz w:val="24"/>
          <w:szCs w:val="24"/>
        </w:rPr>
      </w:pPr>
      <w:r>
        <w:rPr>
          <w:rFonts w:hint="eastAsia" w:ascii="宋体" w:hAnsi="宋体" w:cs="宋体"/>
          <w:color w:val="auto"/>
          <w:sz w:val="24"/>
          <w:szCs w:val="24"/>
        </w:rPr>
        <w:t xml:space="preserve">      单位名称：_____________________________________</w:t>
      </w:r>
    </w:p>
    <w:p>
      <w:pPr>
        <w:pStyle w:val="87"/>
        <w:ind w:firstLine="480"/>
        <w:rPr>
          <w:rFonts w:hint="eastAsia" w:ascii="宋体" w:hAnsi="宋体" w:cs="宋体"/>
          <w:color w:val="auto"/>
          <w:sz w:val="24"/>
          <w:szCs w:val="24"/>
          <w:u w:val="single"/>
        </w:rPr>
      </w:pPr>
      <w:r>
        <w:rPr>
          <w:rFonts w:hint="eastAsia" w:ascii="宋体" w:hAnsi="宋体" w:cs="宋体"/>
          <w:color w:val="auto"/>
          <w:sz w:val="24"/>
          <w:szCs w:val="24"/>
        </w:rPr>
        <w:t xml:space="preserve">      地址：</w:t>
      </w:r>
      <w:r>
        <w:rPr>
          <w:rFonts w:hint="eastAsia" w:ascii="宋体" w:hAnsi="宋体" w:cs="宋体"/>
          <w:color w:val="auto"/>
          <w:sz w:val="24"/>
          <w:szCs w:val="24"/>
          <w:u w:val="single"/>
        </w:rPr>
        <w:t xml:space="preserve">                                         </w:t>
      </w:r>
    </w:p>
    <w:p>
      <w:pPr>
        <w:pStyle w:val="87"/>
        <w:ind w:firstLine="480"/>
        <w:rPr>
          <w:rFonts w:hint="eastAsia" w:ascii="宋体" w:hAnsi="宋体" w:cs="宋体"/>
          <w:color w:val="auto"/>
          <w:sz w:val="24"/>
          <w:szCs w:val="24"/>
        </w:rPr>
      </w:pPr>
      <w:r>
        <w:rPr>
          <w:rFonts w:hint="eastAsia" w:ascii="宋体" w:hAnsi="宋体" w:cs="宋体"/>
          <w:color w:val="auto"/>
          <w:sz w:val="24"/>
          <w:szCs w:val="24"/>
        </w:rPr>
        <w:t xml:space="preserve">      日期：                    </w:t>
      </w:r>
    </w:p>
    <w:p>
      <w:pPr>
        <w:pStyle w:val="6"/>
        <w:rPr>
          <w:rFonts w:hint="eastAsia" w:ascii="宋体" w:hAnsi="宋体" w:cs="宋体"/>
          <w:color w:val="auto"/>
          <w:sz w:val="24"/>
          <w:szCs w:val="24"/>
        </w:rPr>
      </w:pPr>
      <w:bookmarkStart w:id="204" w:name="_Hlt26955070"/>
      <w:bookmarkEnd w:id="204"/>
      <w:bookmarkStart w:id="205" w:name="_格式3__银行出具的资信证明"/>
      <w:bookmarkEnd w:id="205"/>
      <w:bookmarkStart w:id="206" w:name="_Hlt26671380"/>
      <w:bookmarkEnd w:id="206"/>
    </w:p>
    <w:p>
      <w:pPr>
        <w:pStyle w:val="5"/>
        <w:rPr>
          <w:rFonts w:hint="eastAsia" w:ascii="宋体" w:hAnsi="宋体" w:cs="宋体"/>
          <w:color w:val="auto"/>
        </w:rPr>
      </w:pPr>
    </w:p>
    <w:p>
      <w:pPr>
        <w:pStyle w:val="5"/>
        <w:rPr>
          <w:rFonts w:hint="eastAsia" w:ascii="宋体" w:hAnsi="宋体" w:cs="宋体"/>
          <w:color w:val="auto"/>
        </w:rPr>
      </w:pPr>
    </w:p>
    <w:p>
      <w:pPr>
        <w:pStyle w:val="5"/>
        <w:rPr>
          <w:rFonts w:hint="eastAsia" w:ascii="宋体" w:hAnsi="宋体" w:cs="宋体"/>
          <w:color w:val="auto"/>
        </w:rPr>
      </w:pPr>
    </w:p>
    <w:p>
      <w:pPr>
        <w:pStyle w:val="5"/>
        <w:rPr>
          <w:rFonts w:hint="eastAsia" w:ascii="宋体" w:hAnsi="宋体" w:cs="宋体"/>
          <w:color w:val="auto"/>
        </w:rPr>
      </w:pPr>
    </w:p>
    <w:p>
      <w:pPr>
        <w:pStyle w:val="5"/>
        <w:rPr>
          <w:rFonts w:hint="eastAsia" w:ascii="宋体" w:hAnsi="宋体" w:cs="宋体"/>
          <w:color w:val="auto"/>
        </w:rPr>
      </w:pPr>
    </w:p>
    <w:p>
      <w:pPr>
        <w:pStyle w:val="5"/>
        <w:rPr>
          <w:rFonts w:hint="eastAsia" w:ascii="宋体" w:hAnsi="宋体" w:cs="宋体"/>
          <w:color w:val="auto"/>
        </w:rPr>
      </w:pPr>
    </w:p>
    <w:p>
      <w:pPr>
        <w:pStyle w:val="5"/>
        <w:rPr>
          <w:rFonts w:hint="eastAsia" w:ascii="宋体" w:hAnsi="宋体" w:cs="宋体"/>
          <w:color w:val="auto"/>
        </w:rPr>
      </w:pPr>
    </w:p>
    <w:p>
      <w:pPr>
        <w:pStyle w:val="5"/>
        <w:rPr>
          <w:rFonts w:hint="eastAsia" w:ascii="宋体" w:hAnsi="宋体" w:cs="宋体"/>
          <w:color w:val="auto"/>
        </w:rPr>
      </w:pPr>
    </w:p>
    <w:p>
      <w:pPr>
        <w:pStyle w:val="5"/>
        <w:rPr>
          <w:rFonts w:hint="eastAsia" w:ascii="宋体" w:hAnsi="宋体" w:cs="宋体"/>
          <w:color w:val="auto"/>
        </w:rPr>
      </w:pPr>
    </w:p>
    <w:p>
      <w:pPr>
        <w:pStyle w:val="5"/>
        <w:rPr>
          <w:rFonts w:hint="eastAsia" w:ascii="宋体" w:hAnsi="宋体" w:cs="宋体"/>
          <w:color w:val="auto"/>
        </w:rPr>
      </w:pPr>
    </w:p>
    <w:p>
      <w:pPr>
        <w:pStyle w:val="5"/>
        <w:rPr>
          <w:rFonts w:hint="eastAsia" w:ascii="宋体" w:hAnsi="宋体" w:cs="宋体"/>
          <w:color w:val="auto"/>
        </w:rPr>
      </w:pPr>
    </w:p>
    <w:p>
      <w:pPr>
        <w:pStyle w:val="5"/>
        <w:rPr>
          <w:rFonts w:hint="eastAsia" w:ascii="宋体" w:hAnsi="宋体" w:cs="宋体"/>
          <w:color w:val="auto"/>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560" w:lineRule="exact"/>
        <w:rPr>
          <w:rFonts w:hint="eastAsia" w:ascii="宋体" w:hAnsi="宋体" w:cs="宋体"/>
          <w:bCs/>
          <w:color w:val="auto"/>
          <w:sz w:val="24"/>
        </w:rPr>
      </w:pPr>
    </w:p>
    <w:p>
      <w:pPr>
        <w:snapToGrid w:val="0"/>
        <w:spacing w:before="50" w:after="50"/>
        <w:jc w:val="center"/>
        <w:rPr>
          <w:rFonts w:hint="eastAsia" w:ascii="宋体" w:hAnsi="宋体" w:cs="宋体"/>
          <w:color w:val="auto"/>
          <w:sz w:val="32"/>
          <w:szCs w:val="32"/>
        </w:rPr>
      </w:pPr>
      <w:r>
        <w:rPr>
          <w:rFonts w:hint="eastAsia" w:ascii="宋体" w:hAnsi="宋体" w:cs="宋体"/>
          <w:color w:val="auto"/>
          <w:sz w:val="32"/>
          <w:szCs w:val="32"/>
        </w:rPr>
        <w:t>二、资格性审查响应对照表（格式）</w:t>
      </w:r>
    </w:p>
    <w:p>
      <w:pPr>
        <w:ind w:firstLine="309"/>
        <w:rPr>
          <w:rFonts w:hint="eastAsia" w:ascii="宋体" w:hAnsi="宋体" w:cs="宋体"/>
          <w:color w:val="auto"/>
          <w:sz w:val="24"/>
          <w:szCs w:val="24"/>
        </w:rPr>
      </w:pPr>
      <w:r>
        <w:rPr>
          <w:rFonts w:hint="eastAsia" w:ascii="宋体" w:hAnsi="宋体" w:cs="宋体"/>
          <w:color w:val="auto"/>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color w:val="auto"/>
              </w:rPr>
            </w:pPr>
            <w:r>
              <w:rPr>
                <w:rFonts w:hint="eastAsia" w:ascii="宋体" w:hAnsi="宋体" w:eastAsia="宋体" w:cs="宋体"/>
                <w:b/>
                <w:color w:val="auto"/>
              </w:rPr>
              <w:t>序号</w:t>
            </w:r>
          </w:p>
        </w:tc>
        <w:tc>
          <w:tcPr>
            <w:tcW w:w="5447"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color w:val="auto"/>
              </w:rPr>
            </w:pPr>
            <w:r>
              <w:rPr>
                <w:rFonts w:hint="eastAsia" w:ascii="宋体" w:hAnsi="宋体" w:eastAsia="宋体" w:cs="宋体"/>
                <w:b/>
                <w:color w:val="auto"/>
              </w:rPr>
              <w:t>资格性审查响应内容</w:t>
            </w:r>
          </w:p>
        </w:tc>
        <w:tc>
          <w:tcPr>
            <w:tcW w:w="1680"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color w:val="auto"/>
              </w:rPr>
            </w:pPr>
            <w:r>
              <w:rPr>
                <w:rFonts w:hint="eastAsia" w:ascii="宋体" w:hAnsi="宋体" w:eastAsia="宋体" w:cs="宋体"/>
                <w:b/>
                <w:color w:val="auto"/>
              </w:rPr>
              <w:t>是否响应</w:t>
            </w:r>
          </w:p>
          <w:p>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color w:val="auto"/>
              </w:rPr>
            </w:pPr>
            <w:r>
              <w:rPr>
                <w:rFonts w:hint="eastAsia" w:ascii="宋体" w:hAnsi="宋体" w:eastAsia="宋体" w:cs="宋体"/>
                <w:b/>
                <w:color w:val="auto"/>
              </w:rPr>
              <w:t>（填是或者否）</w:t>
            </w:r>
          </w:p>
        </w:tc>
        <w:tc>
          <w:tcPr>
            <w:tcW w:w="1785"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color w:val="auto"/>
              </w:rPr>
            </w:pPr>
            <w:r>
              <w:rPr>
                <w:rFonts w:hint="eastAsia" w:ascii="宋体" w:hAnsi="宋体" w:eastAsia="宋体" w:cs="宋体"/>
                <w:b/>
                <w:color w:val="auto"/>
              </w:rPr>
              <w:t>投标文件中的</w:t>
            </w:r>
          </w:p>
          <w:p>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color w:val="auto"/>
              </w:rPr>
            </w:pPr>
            <w:r>
              <w:rPr>
                <w:rFonts w:hint="eastAsia" w:ascii="宋体" w:hAnsi="宋体" w:eastAsia="宋体" w:cs="宋体"/>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rPr>
            </w:pPr>
            <w:r>
              <w:rPr>
                <w:rFonts w:hint="eastAsia" w:ascii="宋体" w:hAnsi="宋体" w:eastAsia="宋体" w:cs="宋体"/>
                <w:b/>
                <w:color w:val="auto"/>
              </w:rPr>
              <w:t>1</w:t>
            </w:r>
          </w:p>
        </w:tc>
        <w:tc>
          <w:tcPr>
            <w:tcW w:w="5447" w:type="dxa"/>
            <w:noWrap w:val="0"/>
            <w:vAlign w:val="center"/>
          </w:tcPr>
          <w:p>
            <w:pPr>
              <w:keepNext w:val="0"/>
              <w:keepLines w:val="0"/>
              <w:suppressLineNumbers w:val="0"/>
              <w:spacing w:before="0" w:beforeAutospacing="0" w:after="0" w:afterAutospacing="0" w:line="480" w:lineRule="exact"/>
              <w:ind w:left="0" w:right="0"/>
              <w:jc w:val="center"/>
              <w:rPr>
                <w:rFonts w:hint="eastAsia" w:ascii="宋体" w:hAnsi="宋体" w:eastAsia="宋体" w:cs="宋体"/>
                <w:iCs/>
                <w:color w:val="auto"/>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r>
              <w:rPr>
                <w:rFonts w:hint="eastAsia" w:ascii="宋体" w:hAnsi="宋体" w:eastAsia="宋体" w:cs="宋体"/>
                <w:color w:val="auto"/>
              </w:rPr>
              <w:t>2</w:t>
            </w:r>
          </w:p>
        </w:tc>
        <w:tc>
          <w:tcPr>
            <w:tcW w:w="5447" w:type="dxa"/>
            <w:noWrap w:val="0"/>
            <w:vAlign w:val="center"/>
          </w:tcPr>
          <w:p>
            <w:pPr>
              <w:keepNext w:val="0"/>
              <w:keepLines w:val="0"/>
              <w:suppressLineNumbers w:val="0"/>
              <w:spacing w:before="0" w:beforeAutospacing="0" w:after="0" w:afterAutospacing="0" w:line="480" w:lineRule="exact"/>
              <w:ind w:left="0" w:right="0"/>
              <w:jc w:val="center"/>
              <w:rPr>
                <w:rFonts w:hint="eastAsia" w:ascii="宋体" w:hAnsi="宋体" w:eastAsia="宋体" w:cs="宋体"/>
                <w:iCs/>
                <w:color w:val="auto"/>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r>
              <w:rPr>
                <w:rFonts w:hint="eastAsia" w:ascii="宋体" w:hAnsi="宋体" w:eastAsia="宋体" w:cs="宋体"/>
                <w:color w:val="auto"/>
              </w:rPr>
              <w:t>3</w:t>
            </w:r>
          </w:p>
        </w:tc>
        <w:tc>
          <w:tcPr>
            <w:tcW w:w="5447" w:type="dxa"/>
            <w:noWrap w:val="0"/>
            <w:vAlign w:val="center"/>
          </w:tcPr>
          <w:p>
            <w:pPr>
              <w:keepNext w:val="0"/>
              <w:keepLines w:val="0"/>
              <w:suppressLineNumbers w:val="0"/>
              <w:spacing w:before="0" w:beforeAutospacing="0" w:after="0" w:afterAutospacing="0" w:line="480" w:lineRule="exact"/>
              <w:ind w:left="0" w:right="0"/>
              <w:jc w:val="center"/>
              <w:rPr>
                <w:rFonts w:hint="eastAsia" w:ascii="宋体" w:hAnsi="宋体" w:eastAsia="宋体" w:cs="宋体"/>
                <w:iCs/>
                <w:color w:val="auto"/>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r>
              <w:rPr>
                <w:rFonts w:hint="eastAsia" w:ascii="宋体" w:hAnsi="宋体" w:eastAsia="宋体" w:cs="宋体"/>
                <w:color w:val="auto"/>
              </w:rPr>
              <w:t>4</w:t>
            </w:r>
          </w:p>
        </w:tc>
        <w:tc>
          <w:tcPr>
            <w:tcW w:w="54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Cs/>
                <w:color w:val="auto"/>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r>
              <w:rPr>
                <w:rFonts w:hint="eastAsia" w:ascii="宋体" w:hAnsi="宋体" w:eastAsia="宋体" w:cs="宋体"/>
                <w:color w:val="auto"/>
              </w:rPr>
              <w:t>5</w:t>
            </w:r>
          </w:p>
        </w:tc>
        <w:tc>
          <w:tcPr>
            <w:tcW w:w="5447" w:type="dxa"/>
            <w:noWrap w:val="0"/>
            <w:vAlign w:val="center"/>
          </w:tcPr>
          <w:p>
            <w:pPr>
              <w:keepNext w:val="0"/>
              <w:keepLines w:val="0"/>
              <w:suppressLineNumbers w:val="0"/>
              <w:snapToGrid w:val="0"/>
              <w:spacing w:before="0" w:beforeAutospacing="0" w:after="0" w:afterAutospacing="0" w:line="590" w:lineRule="atLeast"/>
              <w:ind w:left="0" w:right="0"/>
              <w:jc w:val="center"/>
              <w:rPr>
                <w:rFonts w:hint="eastAsia" w:ascii="宋体" w:hAnsi="宋体" w:eastAsia="宋体" w:cs="宋体"/>
                <w:iCs/>
                <w:color w:val="auto"/>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r>
              <w:rPr>
                <w:rFonts w:hint="eastAsia" w:ascii="宋体" w:hAnsi="宋体" w:eastAsia="宋体" w:cs="宋体"/>
                <w:color w:val="auto"/>
              </w:rPr>
              <w:t>6</w:t>
            </w:r>
          </w:p>
        </w:tc>
        <w:tc>
          <w:tcPr>
            <w:tcW w:w="5447" w:type="dxa"/>
            <w:noWrap w:val="0"/>
            <w:vAlign w:val="center"/>
          </w:tcPr>
          <w:p>
            <w:pPr>
              <w:keepNext w:val="0"/>
              <w:keepLines w:val="0"/>
              <w:suppressLineNumbers w:val="0"/>
              <w:snapToGrid w:val="0"/>
              <w:spacing w:before="0" w:beforeAutospacing="0" w:after="0" w:afterAutospacing="0" w:line="590" w:lineRule="atLeast"/>
              <w:ind w:left="0" w:right="0"/>
              <w:jc w:val="center"/>
              <w:rPr>
                <w:rFonts w:hint="eastAsia" w:ascii="宋体" w:hAnsi="宋体" w:eastAsia="宋体" w:cs="宋体"/>
                <w:iCs/>
                <w:color w:val="auto"/>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r>
              <w:rPr>
                <w:rFonts w:hint="eastAsia" w:ascii="宋体" w:hAnsi="宋体" w:eastAsia="宋体" w:cs="宋体"/>
                <w:color w:val="auto"/>
              </w:rPr>
              <w:t>7</w:t>
            </w:r>
          </w:p>
        </w:tc>
        <w:tc>
          <w:tcPr>
            <w:tcW w:w="5447" w:type="dxa"/>
            <w:noWrap w:val="0"/>
            <w:vAlign w:val="center"/>
          </w:tcPr>
          <w:p>
            <w:pPr>
              <w:keepNext w:val="0"/>
              <w:keepLines w:val="0"/>
              <w:suppressLineNumbers w:val="0"/>
              <w:snapToGrid w:val="0"/>
              <w:spacing w:before="0" w:beforeAutospacing="0" w:after="0" w:afterAutospacing="0" w:line="590" w:lineRule="atLeast"/>
              <w:ind w:left="0" w:right="0"/>
              <w:jc w:val="center"/>
              <w:rPr>
                <w:rFonts w:hint="eastAsia" w:ascii="宋体" w:hAnsi="宋体" w:eastAsia="宋体" w:cs="宋体"/>
                <w:iCs/>
                <w:color w:val="auto"/>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r>
    </w:tbl>
    <w:p>
      <w:pPr>
        <w:spacing w:line="440" w:lineRule="exact"/>
        <w:ind w:firstLine="480" w:firstLineChars="200"/>
        <w:rPr>
          <w:rFonts w:hint="eastAsia" w:ascii="宋体" w:hAnsi="宋体" w:cs="宋体"/>
          <w:color w:val="auto"/>
          <w:sz w:val="24"/>
        </w:rPr>
      </w:pPr>
    </w:p>
    <w:bookmarkEnd w:id="201"/>
    <w:bookmarkEnd w:id="202"/>
    <w:bookmarkEnd w:id="203"/>
    <w:p>
      <w:pPr>
        <w:snapToGrid w:val="0"/>
        <w:spacing w:before="50" w:after="50"/>
        <w:rPr>
          <w:rFonts w:hint="eastAsia" w:ascii="宋体" w:hAnsi="宋体" w:cs="宋体"/>
          <w:color w:val="auto"/>
          <w:sz w:val="44"/>
        </w:rPr>
      </w:pPr>
      <w:r>
        <w:rPr>
          <w:rFonts w:hint="eastAsia" w:ascii="宋体" w:hAnsi="宋体" w:cs="宋体"/>
          <w:color w:val="auto"/>
          <w:sz w:val="44"/>
        </w:rPr>
        <w:t xml:space="preserve"> </w:t>
      </w:r>
    </w:p>
    <w:p>
      <w:pPr>
        <w:snapToGrid w:val="0"/>
        <w:spacing w:before="50" w:after="50"/>
        <w:rPr>
          <w:rFonts w:hint="eastAsia" w:ascii="宋体" w:hAnsi="宋体" w:cs="宋体"/>
          <w:color w:val="auto"/>
          <w:sz w:val="44"/>
        </w:rPr>
      </w:pPr>
    </w:p>
    <w:p>
      <w:pPr>
        <w:snapToGrid w:val="0"/>
        <w:spacing w:before="50" w:after="50"/>
        <w:rPr>
          <w:rFonts w:hint="eastAsia" w:ascii="宋体" w:hAnsi="宋体" w:cs="宋体"/>
          <w:color w:val="auto"/>
          <w:sz w:val="44"/>
        </w:rPr>
      </w:pPr>
    </w:p>
    <w:p>
      <w:pPr>
        <w:snapToGrid w:val="0"/>
        <w:spacing w:before="50" w:after="50"/>
        <w:rPr>
          <w:rFonts w:hint="eastAsia" w:ascii="宋体" w:hAnsi="宋体" w:cs="宋体"/>
          <w:color w:val="auto"/>
          <w:sz w:val="44"/>
        </w:rPr>
      </w:pPr>
    </w:p>
    <w:p>
      <w:pPr>
        <w:snapToGrid w:val="0"/>
        <w:spacing w:before="50" w:after="50"/>
        <w:rPr>
          <w:rFonts w:hint="eastAsia" w:ascii="宋体" w:hAnsi="宋体" w:cs="宋体"/>
          <w:color w:val="auto"/>
          <w:sz w:val="44"/>
        </w:rPr>
      </w:pPr>
    </w:p>
    <w:p>
      <w:pPr>
        <w:snapToGrid w:val="0"/>
        <w:spacing w:before="50" w:after="50"/>
        <w:jc w:val="center"/>
        <w:rPr>
          <w:rFonts w:hint="eastAsia" w:ascii="宋体" w:hAnsi="宋体" w:cs="宋体"/>
          <w:color w:val="auto"/>
          <w:sz w:val="32"/>
          <w:szCs w:val="32"/>
        </w:rPr>
      </w:pPr>
    </w:p>
    <w:p>
      <w:pPr>
        <w:snapToGrid w:val="0"/>
        <w:spacing w:before="50" w:after="50"/>
        <w:jc w:val="center"/>
        <w:rPr>
          <w:rFonts w:hint="eastAsia" w:ascii="宋体" w:hAnsi="宋体" w:cs="宋体"/>
          <w:color w:val="auto"/>
          <w:sz w:val="32"/>
          <w:szCs w:val="32"/>
        </w:rPr>
      </w:pPr>
    </w:p>
    <w:p>
      <w:pPr>
        <w:snapToGrid w:val="0"/>
        <w:spacing w:before="50" w:after="50"/>
        <w:jc w:val="center"/>
        <w:rPr>
          <w:rFonts w:hint="eastAsia" w:ascii="宋体" w:hAnsi="宋体" w:cs="宋体"/>
          <w:color w:val="auto"/>
          <w:sz w:val="32"/>
          <w:szCs w:val="32"/>
        </w:rPr>
      </w:pPr>
      <w:r>
        <w:rPr>
          <w:rFonts w:hint="eastAsia" w:ascii="宋体" w:hAnsi="宋体" w:cs="宋体"/>
          <w:color w:val="auto"/>
          <w:sz w:val="32"/>
          <w:szCs w:val="32"/>
        </w:rPr>
        <w:t>三、符合性检查响应对照表（格式）</w:t>
      </w:r>
    </w:p>
    <w:p>
      <w:pPr>
        <w:ind w:firstLine="309"/>
        <w:rPr>
          <w:rFonts w:hint="eastAsia" w:ascii="宋体" w:hAnsi="宋体" w:cs="宋体"/>
          <w:color w:val="auto"/>
          <w:sz w:val="24"/>
          <w:szCs w:val="24"/>
        </w:rPr>
      </w:pPr>
      <w:r>
        <w:rPr>
          <w:rFonts w:hint="eastAsia" w:ascii="宋体" w:hAnsi="宋体" w:cs="宋体"/>
          <w:color w:val="auto"/>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color w:val="auto"/>
              </w:rPr>
            </w:pPr>
            <w:r>
              <w:rPr>
                <w:rFonts w:hint="eastAsia" w:ascii="宋体" w:hAnsi="宋体" w:eastAsia="宋体" w:cs="宋体"/>
                <w:b/>
                <w:color w:val="auto"/>
              </w:rPr>
              <w:t>序号</w:t>
            </w:r>
          </w:p>
        </w:tc>
        <w:tc>
          <w:tcPr>
            <w:tcW w:w="5447"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color w:val="auto"/>
              </w:rPr>
            </w:pPr>
            <w:r>
              <w:rPr>
                <w:rFonts w:hint="eastAsia" w:ascii="宋体" w:hAnsi="宋体" w:eastAsia="宋体" w:cs="宋体"/>
                <w:b/>
                <w:color w:val="auto"/>
              </w:rPr>
              <w:t>符合性检查响应内容</w:t>
            </w:r>
          </w:p>
        </w:tc>
        <w:tc>
          <w:tcPr>
            <w:tcW w:w="1680"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color w:val="auto"/>
              </w:rPr>
            </w:pPr>
            <w:r>
              <w:rPr>
                <w:rFonts w:hint="eastAsia" w:ascii="宋体" w:hAnsi="宋体" w:eastAsia="宋体" w:cs="宋体"/>
                <w:b/>
                <w:color w:val="auto"/>
              </w:rPr>
              <w:t>是否响应</w:t>
            </w:r>
          </w:p>
          <w:p>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color w:val="auto"/>
              </w:rPr>
            </w:pPr>
            <w:r>
              <w:rPr>
                <w:rFonts w:hint="eastAsia" w:ascii="宋体" w:hAnsi="宋体" w:eastAsia="宋体" w:cs="宋体"/>
                <w:b/>
                <w:color w:val="auto"/>
              </w:rPr>
              <w:t>（填是或者否）</w:t>
            </w:r>
          </w:p>
        </w:tc>
        <w:tc>
          <w:tcPr>
            <w:tcW w:w="1785"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color w:val="auto"/>
              </w:rPr>
            </w:pPr>
            <w:r>
              <w:rPr>
                <w:rFonts w:hint="eastAsia" w:ascii="宋体" w:hAnsi="宋体" w:eastAsia="宋体" w:cs="宋体"/>
                <w:b/>
                <w:color w:val="auto"/>
              </w:rPr>
              <w:t>投标文件中的</w:t>
            </w:r>
          </w:p>
          <w:p>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color w:val="auto"/>
              </w:rPr>
            </w:pPr>
            <w:r>
              <w:rPr>
                <w:rFonts w:hint="eastAsia" w:ascii="宋体" w:hAnsi="宋体" w:eastAsia="宋体" w:cs="宋体"/>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rPr>
            </w:pPr>
            <w:r>
              <w:rPr>
                <w:rFonts w:hint="eastAsia" w:ascii="宋体" w:hAnsi="宋体" w:eastAsia="宋体" w:cs="宋体"/>
                <w:b/>
                <w:color w:val="auto"/>
              </w:rPr>
              <w:t>1</w:t>
            </w:r>
          </w:p>
        </w:tc>
        <w:tc>
          <w:tcPr>
            <w:tcW w:w="5447" w:type="dxa"/>
            <w:noWrap w:val="0"/>
            <w:vAlign w:val="center"/>
          </w:tcPr>
          <w:p>
            <w:pPr>
              <w:keepNext w:val="0"/>
              <w:keepLines w:val="0"/>
              <w:suppressLineNumbers w:val="0"/>
              <w:spacing w:before="0" w:beforeAutospacing="0" w:after="0" w:afterAutospacing="0" w:line="480" w:lineRule="exact"/>
              <w:ind w:left="0" w:right="0"/>
              <w:jc w:val="center"/>
              <w:rPr>
                <w:rFonts w:hint="eastAsia" w:ascii="宋体" w:hAnsi="宋体" w:eastAsia="宋体" w:cs="宋体"/>
                <w:iCs/>
                <w:color w:val="auto"/>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r>
              <w:rPr>
                <w:rFonts w:hint="eastAsia" w:ascii="宋体" w:hAnsi="宋体" w:eastAsia="宋体" w:cs="宋体"/>
                <w:color w:val="auto"/>
              </w:rPr>
              <w:t>2</w:t>
            </w:r>
          </w:p>
        </w:tc>
        <w:tc>
          <w:tcPr>
            <w:tcW w:w="5447" w:type="dxa"/>
            <w:noWrap w:val="0"/>
            <w:vAlign w:val="center"/>
          </w:tcPr>
          <w:p>
            <w:pPr>
              <w:keepNext w:val="0"/>
              <w:keepLines w:val="0"/>
              <w:suppressLineNumbers w:val="0"/>
              <w:spacing w:before="0" w:beforeAutospacing="0" w:after="0" w:afterAutospacing="0" w:line="480" w:lineRule="exact"/>
              <w:ind w:left="0" w:right="0"/>
              <w:jc w:val="center"/>
              <w:rPr>
                <w:rFonts w:hint="eastAsia" w:ascii="宋体" w:hAnsi="宋体" w:eastAsia="宋体" w:cs="宋体"/>
                <w:iCs/>
                <w:color w:val="auto"/>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r>
              <w:rPr>
                <w:rFonts w:hint="eastAsia" w:ascii="宋体" w:hAnsi="宋体" w:eastAsia="宋体" w:cs="宋体"/>
                <w:color w:val="auto"/>
              </w:rPr>
              <w:t>3</w:t>
            </w:r>
          </w:p>
        </w:tc>
        <w:tc>
          <w:tcPr>
            <w:tcW w:w="5447" w:type="dxa"/>
            <w:noWrap w:val="0"/>
            <w:vAlign w:val="center"/>
          </w:tcPr>
          <w:p>
            <w:pPr>
              <w:keepNext w:val="0"/>
              <w:keepLines w:val="0"/>
              <w:suppressLineNumbers w:val="0"/>
              <w:spacing w:before="0" w:beforeAutospacing="0" w:after="0" w:afterAutospacing="0" w:line="480" w:lineRule="exact"/>
              <w:ind w:left="0" w:right="0"/>
              <w:jc w:val="center"/>
              <w:rPr>
                <w:rFonts w:hint="eastAsia" w:ascii="宋体" w:hAnsi="宋体" w:eastAsia="宋体" w:cs="宋体"/>
                <w:iCs/>
                <w:color w:val="auto"/>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r>
              <w:rPr>
                <w:rFonts w:hint="eastAsia" w:ascii="宋体" w:hAnsi="宋体" w:eastAsia="宋体" w:cs="宋体"/>
                <w:color w:val="auto"/>
              </w:rPr>
              <w:t>4</w:t>
            </w:r>
          </w:p>
        </w:tc>
        <w:tc>
          <w:tcPr>
            <w:tcW w:w="54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Cs/>
                <w:color w:val="auto"/>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r>
              <w:rPr>
                <w:rFonts w:hint="eastAsia" w:ascii="宋体" w:hAnsi="宋体" w:eastAsia="宋体" w:cs="宋体"/>
                <w:color w:val="auto"/>
              </w:rPr>
              <w:t>5</w:t>
            </w:r>
          </w:p>
        </w:tc>
        <w:tc>
          <w:tcPr>
            <w:tcW w:w="5447" w:type="dxa"/>
            <w:noWrap w:val="0"/>
            <w:vAlign w:val="center"/>
          </w:tcPr>
          <w:p>
            <w:pPr>
              <w:keepNext w:val="0"/>
              <w:keepLines w:val="0"/>
              <w:suppressLineNumbers w:val="0"/>
              <w:snapToGrid w:val="0"/>
              <w:spacing w:before="0" w:beforeAutospacing="0" w:after="0" w:afterAutospacing="0" w:line="590" w:lineRule="atLeast"/>
              <w:ind w:left="0" w:right="0"/>
              <w:jc w:val="center"/>
              <w:rPr>
                <w:rFonts w:hint="eastAsia" w:ascii="宋体" w:hAnsi="宋体" w:eastAsia="宋体" w:cs="宋体"/>
                <w:iCs/>
                <w:color w:val="auto"/>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r>
              <w:rPr>
                <w:rFonts w:hint="eastAsia" w:ascii="宋体" w:hAnsi="宋体" w:eastAsia="宋体" w:cs="宋体"/>
                <w:color w:val="auto"/>
              </w:rPr>
              <w:t>6</w:t>
            </w:r>
          </w:p>
        </w:tc>
        <w:tc>
          <w:tcPr>
            <w:tcW w:w="5447" w:type="dxa"/>
            <w:noWrap w:val="0"/>
            <w:vAlign w:val="center"/>
          </w:tcPr>
          <w:p>
            <w:pPr>
              <w:keepNext w:val="0"/>
              <w:keepLines w:val="0"/>
              <w:suppressLineNumbers w:val="0"/>
              <w:snapToGrid w:val="0"/>
              <w:spacing w:before="0" w:beforeAutospacing="0" w:after="0" w:afterAutospacing="0" w:line="590" w:lineRule="atLeast"/>
              <w:ind w:left="0" w:right="0"/>
              <w:jc w:val="center"/>
              <w:rPr>
                <w:rFonts w:hint="eastAsia" w:ascii="宋体" w:hAnsi="宋体" w:eastAsia="宋体" w:cs="宋体"/>
                <w:iCs/>
                <w:color w:val="auto"/>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r>
              <w:rPr>
                <w:rFonts w:hint="eastAsia" w:ascii="宋体" w:hAnsi="宋体" w:eastAsia="宋体" w:cs="宋体"/>
                <w:color w:val="auto"/>
              </w:rPr>
              <w:t>7</w:t>
            </w:r>
          </w:p>
        </w:tc>
        <w:tc>
          <w:tcPr>
            <w:tcW w:w="5447" w:type="dxa"/>
            <w:noWrap w:val="0"/>
            <w:vAlign w:val="center"/>
          </w:tcPr>
          <w:p>
            <w:pPr>
              <w:keepNext w:val="0"/>
              <w:keepLines w:val="0"/>
              <w:suppressLineNumbers w:val="0"/>
              <w:snapToGrid w:val="0"/>
              <w:spacing w:before="0" w:beforeAutospacing="0" w:after="0" w:afterAutospacing="0" w:line="590" w:lineRule="atLeast"/>
              <w:ind w:left="0" w:right="0"/>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招标文件中的其他实质性要求</w:t>
            </w: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r>
    </w:tbl>
    <w:p>
      <w:pPr>
        <w:snapToGrid w:val="0"/>
        <w:spacing w:before="50" w:after="50"/>
        <w:rPr>
          <w:rFonts w:hint="eastAsia" w:ascii="宋体" w:hAnsi="宋体" w:cs="宋体"/>
          <w:color w:val="auto"/>
          <w:sz w:val="44"/>
        </w:rPr>
      </w:pPr>
    </w:p>
    <w:p>
      <w:pPr>
        <w:snapToGrid w:val="0"/>
        <w:spacing w:before="50" w:after="50"/>
        <w:rPr>
          <w:rFonts w:hint="eastAsia" w:ascii="宋体" w:hAnsi="宋体" w:cs="宋体"/>
          <w:color w:val="auto"/>
          <w:sz w:val="44"/>
        </w:rPr>
      </w:pPr>
    </w:p>
    <w:p>
      <w:pPr>
        <w:snapToGrid w:val="0"/>
        <w:spacing w:before="50" w:after="50"/>
        <w:rPr>
          <w:rFonts w:hint="eastAsia" w:ascii="宋体" w:hAnsi="宋体" w:cs="宋体"/>
          <w:color w:val="auto"/>
          <w:sz w:val="44"/>
        </w:rPr>
      </w:pPr>
    </w:p>
    <w:p>
      <w:pPr>
        <w:snapToGrid w:val="0"/>
        <w:spacing w:before="50" w:after="50"/>
        <w:rPr>
          <w:rFonts w:hint="eastAsia" w:ascii="宋体" w:hAnsi="宋体" w:cs="宋体"/>
          <w:color w:val="auto"/>
          <w:sz w:val="44"/>
        </w:rPr>
      </w:pPr>
    </w:p>
    <w:p>
      <w:pPr>
        <w:snapToGrid w:val="0"/>
        <w:spacing w:before="50" w:after="50"/>
        <w:rPr>
          <w:rFonts w:hint="eastAsia" w:ascii="宋体" w:hAnsi="宋体" w:cs="宋体"/>
          <w:color w:val="auto"/>
          <w:sz w:val="32"/>
          <w:szCs w:val="32"/>
        </w:rPr>
      </w:pPr>
      <w:r>
        <w:rPr>
          <w:rFonts w:hint="eastAsia" w:ascii="宋体" w:hAnsi="宋体" w:cs="宋体"/>
          <w:color w:val="auto"/>
          <w:sz w:val="32"/>
          <w:szCs w:val="32"/>
        </w:rPr>
        <w:t xml:space="preserve">           </w:t>
      </w:r>
      <w:bookmarkStart w:id="207" w:name="_Toc120614284"/>
    </w:p>
    <w:p>
      <w:pPr>
        <w:snapToGrid w:val="0"/>
        <w:spacing w:before="50" w:after="50"/>
        <w:rPr>
          <w:rFonts w:hint="eastAsia" w:ascii="宋体" w:hAnsi="宋体" w:cs="宋体"/>
          <w:color w:val="auto"/>
          <w:sz w:val="24"/>
          <w:szCs w:val="24"/>
        </w:rPr>
      </w:pPr>
    </w:p>
    <w:p>
      <w:pPr>
        <w:snapToGrid w:val="0"/>
        <w:spacing w:before="50" w:after="50"/>
        <w:jc w:val="center"/>
        <w:rPr>
          <w:rFonts w:hint="eastAsia" w:ascii="宋体" w:hAnsi="宋体" w:cs="宋体"/>
          <w:color w:val="auto"/>
          <w:sz w:val="32"/>
          <w:szCs w:val="32"/>
        </w:rPr>
      </w:pPr>
    </w:p>
    <w:p>
      <w:pPr>
        <w:snapToGrid w:val="0"/>
        <w:spacing w:before="50" w:after="50"/>
        <w:jc w:val="center"/>
        <w:rPr>
          <w:rFonts w:hint="eastAsia" w:ascii="宋体" w:hAnsi="宋体" w:cs="宋体"/>
          <w:color w:val="auto"/>
          <w:sz w:val="32"/>
          <w:szCs w:val="32"/>
        </w:rPr>
      </w:pPr>
      <w:r>
        <w:rPr>
          <w:rFonts w:hint="eastAsia" w:ascii="宋体" w:hAnsi="宋体" w:cs="宋体"/>
          <w:color w:val="auto"/>
          <w:sz w:val="32"/>
          <w:szCs w:val="32"/>
        </w:rPr>
        <w:t>四、投标函（格式）</w:t>
      </w:r>
    </w:p>
    <w:p>
      <w:pPr>
        <w:pStyle w:val="97"/>
        <w:spacing w:before="0" w:after="0" w:line="420" w:lineRule="exact"/>
        <w:ind w:firstLine="0"/>
        <w:rPr>
          <w:rFonts w:hint="eastAsia" w:ascii="宋体" w:hAnsi="宋体" w:cs="宋体"/>
          <w:color w:val="auto"/>
          <w:kern w:val="2"/>
        </w:rPr>
      </w:pPr>
      <w:r>
        <w:rPr>
          <w:rFonts w:hint="eastAsia" w:ascii="宋体" w:hAnsi="宋体" w:cs="宋体"/>
          <w:color w:val="auto"/>
          <w:kern w:val="2"/>
        </w:rPr>
        <w:t>致：</w:t>
      </w:r>
      <w:r>
        <w:rPr>
          <w:rFonts w:hint="eastAsia" w:ascii="宋体" w:hAnsi="宋体" w:cs="宋体"/>
          <w:color w:val="auto"/>
          <w:kern w:val="2"/>
          <w:u w:val="single"/>
        </w:rPr>
        <w:t>盐城工业职业技术学院</w:t>
      </w:r>
    </w:p>
    <w:p>
      <w:pPr>
        <w:pStyle w:val="97"/>
        <w:spacing w:before="0" w:after="0" w:line="420" w:lineRule="exact"/>
        <w:ind w:firstLineChars="200"/>
        <w:rPr>
          <w:rFonts w:hint="eastAsia" w:ascii="宋体" w:hAnsi="宋体" w:cs="宋体"/>
          <w:color w:val="auto"/>
          <w:kern w:val="2"/>
        </w:rPr>
      </w:pPr>
      <w:r>
        <w:rPr>
          <w:rFonts w:hint="eastAsia" w:ascii="宋体" w:hAnsi="宋体" w:cs="宋体"/>
          <w:color w:val="auto"/>
          <w:kern w:val="2"/>
        </w:rPr>
        <w:t>根据贵方的</w:t>
      </w:r>
      <w:r>
        <w:rPr>
          <w:rFonts w:hint="eastAsia" w:ascii="宋体" w:hAnsi="宋体" w:cs="宋体"/>
          <w:color w:val="auto"/>
          <w:kern w:val="2"/>
          <w:u w:val="single"/>
        </w:rPr>
        <w:t>2021-013Q号</w:t>
      </w:r>
      <w:r>
        <w:rPr>
          <w:rFonts w:hint="eastAsia" w:ascii="宋体" w:hAnsi="宋体" w:cs="宋体"/>
          <w:color w:val="auto"/>
          <w:kern w:val="2"/>
        </w:rPr>
        <w:t>招标文件，正式授权下述签字人_________________(姓名)代表我方______________（投标人的名称），全权处理本次项目投标的有关事宜。</w:t>
      </w:r>
    </w:p>
    <w:p>
      <w:pPr>
        <w:pStyle w:val="97"/>
        <w:spacing w:before="0" w:after="0" w:line="420" w:lineRule="exact"/>
        <w:ind w:firstLineChars="200"/>
        <w:rPr>
          <w:rFonts w:hint="eastAsia" w:ascii="宋体" w:hAnsi="宋体" w:cs="宋体"/>
          <w:color w:val="auto"/>
          <w:kern w:val="2"/>
        </w:rPr>
      </w:pPr>
      <w:r>
        <w:rPr>
          <w:rFonts w:hint="eastAsia" w:ascii="宋体" w:hAnsi="宋体" w:cs="宋体"/>
          <w:color w:val="auto"/>
          <w:kern w:val="2"/>
        </w:rPr>
        <w:t>据此函，__________签字人兹宣布同意如下：</w:t>
      </w:r>
    </w:p>
    <w:p>
      <w:pPr>
        <w:pStyle w:val="97"/>
        <w:spacing w:before="0" w:after="0" w:line="420" w:lineRule="exact"/>
        <w:rPr>
          <w:rFonts w:hint="eastAsia" w:ascii="宋体" w:hAnsi="宋体" w:cs="宋体"/>
          <w:color w:val="auto"/>
          <w:kern w:val="2"/>
        </w:rPr>
      </w:pPr>
      <w:r>
        <w:rPr>
          <w:rFonts w:hint="eastAsia" w:ascii="宋体" w:hAnsi="宋体" w:cs="宋体"/>
          <w:color w:val="auto"/>
          <w:kern w:val="2"/>
        </w:rPr>
        <w:t>1.按招标文件规定的各项要求，向买方提供所需货物与服务。</w:t>
      </w:r>
    </w:p>
    <w:p>
      <w:pPr>
        <w:pStyle w:val="97"/>
        <w:spacing w:before="0" w:after="0" w:line="420" w:lineRule="exact"/>
        <w:ind w:firstLineChars="200"/>
        <w:rPr>
          <w:rFonts w:hint="eastAsia" w:ascii="宋体" w:hAnsi="宋体" w:cs="宋体"/>
          <w:color w:val="auto"/>
          <w:kern w:val="2"/>
        </w:rPr>
      </w:pPr>
      <w:r>
        <w:rPr>
          <w:rFonts w:hint="eastAsia" w:ascii="宋体" w:hAnsi="宋体" w:cs="宋体"/>
          <w:color w:val="auto"/>
          <w:kern w:val="2"/>
        </w:rPr>
        <w:t>2.我们完全理解贵方不一定将合同授予最低报价的投标人。</w:t>
      </w:r>
    </w:p>
    <w:p>
      <w:pPr>
        <w:pStyle w:val="97"/>
        <w:spacing w:before="0" w:after="0" w:line="420" w:lineRule="exact"/>
        <w:ind w:firstLineChars="200"/>
        <w:rPr>
          <w:rFonts w:hint="eastAsia"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pPr>
        <w:pStyle w:val="97"/>
        <w:spacing w:before="0" w:after="0" w:line="420" w:lineRule="exact"/>
        <w:rPr>
          <w:rFonts w:hint="eastAsia" w:ascii="宋体" w:hAnsi="宋体" w:cs="宋体"/>
          <w:color w:val="auto"/>
          <w:kern w:val="2"/>
        </w:rPr>
      </w:pPr>
      <w:r>
        <w:rPr>
          <w:rFonts w:hint="eastAsia" w:ascii="宋体" w:hAnsi="宋体" w:cs="宋体"/>
          <w:color w:val="auto"/>
          <w:kern w:val="2"/>
        </w:rPr>
        <w:t>4.我们同意从规定的开标日期起遵循本投标文件，并在规定的投标有效期期满之前均具有约束力。</w:t>
      </w:r>
    </w:p>
    <w:p>
      <w:pPr>
        <w:pStyle w:val="97"/>
        <w:spacing w:before="0" w:after="0" w:line="420" w:lineRule="exact"/>
        <w:rPr>
          <w:rFonts w:hint="eastAsia" w:ascii="宋体" w:hAnsi="宋体" w:cs="宋体"/>
          <w:color w:val="auto"/>
          <w:kern w:val="2"/>
        </w:rPr>
      </w:pPr>
      <w:r>
        <w:rPr>
          <w:rFonts w:hint="eastAsia" w:ascii="宋体" w:hAnsi="宋体" w:cs="宋体"/>
          <w:color w:val="auto"/>
          <w:kern w:val="2"/>
        </w:rPr>
        <w:t>5.如果在开标后规定的投标有效期内撤回投标或中标后拒绝签订合同，</w:t>
      </w:r>
      <w:r>
        <w:rPr>
          <w:rFonts w:hint="eastAsia" w:ascii="宋体" w:hAnsi="宋体" w:cs="宋体"/>
          <w:color w:val="auto"/>
        </w:rPr>
        <w:t>则按照国家相关法律法规受到相应处罚</w:t>
      </w:r>
      <w:r>
        <w:rPr>
          <w:rFonts w:hint="eastAsia" w:ascii="宋体" w:hAnsi="宋体" w:cs="宋体"/>
          <w:color w:val="auto"/>
          <w:kern w:val="2"/>
        </w:rPr>
        <w:t>。</w:t>
      </w:r>
    </w:p>
    <w:p>
      <w:pPr>
        <w:pStyle w:val="97"/>
        <w:spacing w:before="0" w:after="0" w:line="420" w:lineRule="exact"/>
        <w:rPr>
          <w:rFonts w:hint="eastAsia" w:ascii="宋体" w:hAnsi="宋体" w:cs="宋体"/>
          <w:color w:val="auto"/>
          <w:kern w:val="2"/>
        </w:rPr>
      </w:pPr>
      <w:r>
        <w:rPr>
          <w:rFonts w:hint="eastAsia" w:ascii="宋体" w:hAnsi="宋体" w:cs="宋体"/>
          <w:color w:val="auto"/>
          <w:kern w:val="2"/>
        </w:rPr>
        <w:t>6.同意向贵方提供贵方可能另外要求的与投标有关的任何证据或资料，并保证我方已提供和将要提供的文件是真实的、准确的。</w:t>
      </w:r>
    </w:p>
    <w:p>
      <w:pPr>
        <w:pStyle w:val="97"/>
        <w:spacing w:before="0" w:after="0" w:line="420" w:lineRule="exact"/>
        <w:rPr>
          <w:rFonts w:hint="eastAsia" w:ascii="宋体" w:hAnsi="宋体" w:cs="宋体"/>
          <w:color w:val="auto"/>
          <w:kern w:val="2"/>
        </w:rPr>
      </w:pPr>
      <w:r>
        <w:rPr>
          <w:rFonts w:hint="eastAsia" w:ascii="宋体" w:hAnsi="宋体" w:cs="宋体"/>
          <w:color w:val="auto"/>
          <w:kern w:val="2"/>
        </w:rPr>
        <w:t>7.一旦我方中标,我方将根据招标文件的规定，严格履行合同的责任和义务,并保证在招标文件规定的时间完成项目，交付买方验收、使用。</w:t>
      </w:r>
    </w:p>
    <w:p>
      <w:pPr>
        <w:pStyle w:val="97"/>
        <w:spacing w:before="0" w:after="0" w:line="420" w:lineRule="exact"/>
        <w:ind w:left="425" w:firstLine="0"/>
        <w:rPr>
          <w:rFonts w:hint="eastAsia" w:ascii="宋体" w:hAnsi="宋体" w:cs="宋体"/>
          <w:color w:val="auto"/>
          <w:kern w:val="2"/>
        </w:rPr>
      </w:pPr>
      <w:r>
        <w:rPr>
          <w:rFonts w:hint="eastAsia" w:ascii="宋体" w:hAnsi="宋体" w:cs="宋体"/>
          <w:color w:val="auto"/>
          <w:kern w:val="2"/>
        </w:rPr>
        <w:t>8.与本投标有关的正式通讯地址为：</w:t>
      </w:r>
    </w:p>
    <w:p>
      <w:pPr>
        <w:pStyle w:val="97"/>
        <w:spacing w:before="0" w:after="0" w:line="420" w:lineRule="exact"/>
        <w:ind w:left="420" w:leftChars="200" w:firstLineChars="200"/>
        <w:rPr>
          <w:rFonts w:hint="eastAsia" w:ascii="宋体" w:hAnsi="宋体" w:cs="宋体"/>
          <w:color w:val="auto"/>
          <w:kern w:val="2"/>
        </w:rPr>
      </w:pPr>
      <w:r>
        <w:rPr>
          <w:rFonts w:hint="eastAsia" w:ascii="宋体" w:hAnsi="宋体" w:cs="宋体"/>
          <w:color w:val="auto"/>
          <w:kern w:val="2"/>
        </w:rPr>
        <w:t>地          址：</w:t>
      </w:r>
    </w:p>
    <w:p>
      <w:pPr>
        <w:pStyle w:val="97"/>
        <w:spacing w:before="0" w:after="0" w:line="420" w:lineRule="exact"/>
        <w:ind w:left="420" w:leftChars="200" w:firstLineChars="200"/>
        <w:rPr>
          <w:rFonts w:hint="eastAsia" w:ascii="宋体" w:hAnsi="宋体" w:cs="宋体"/>
          <w:color w:val="auto"/>
          <w:kern w:val="2"/>
        </w:rPr>
      </w:pPr>
      <w:r>
        <w:rPr>
          <w:rFonts w:hint="eastAsia" w:ascii="宋体" w:hAnsi="宋体" w:cs="宋体"/>
          <w:color w:val="auto"/>
          <w:kern w:val="2"/>
        </w:rPr>
        <w:t>邮          编：</w:t>
      </w:r>
    </w:p>
    <w:p>
      <w:pPr>
        <w:pStyle w:val="97"/>
        <w:spacing w:before="0" w:after="0" w:line="420" w:lineRule="exact"/>
        <w:ind w:left="420" w:leftChars="200" w:firstLineChars="200"/>
        <w:rPr>
          <w:rFonts w:hint="eastAsia" w:ascii="宋体" w:hAnsi="宋体" w:cs="宋体"/>
          <w:color w:val="auto"/>
          <w:kern w:val="2"/>
        </w:rPr>
      </w:pPr>
      <w:r>
        <w:rPr>
          <w:rFonts w:hint="eastAsia" w:ascii="宋体" w:hAnsi="宋体" w:cs="宋体"/>
          <w:color w:val="auto"/>
          <w:kern w:val="2"/>
        </w:rPr>
        <w:t>电          话：</w:t>
      </w:r>
    </w:p>
    <w:p>
      <w:pPr>
        <w:pStyle w:val="97"/>
        <w:spacing w:before="0" w:after="0" w:line="420" w:lineRule="exact"/>
        <w:ind w:left="420" w:leftChars="200" w:firstLineChars="200"/>
        <w:rPr>
          <w:rFonts w:hint="eastAsia" w:ascii="宋体" w:hAnsi="宋体" w:cs="宋体"/>
          <w:color w:val="auto"/>
          <w:kern w:val="2"/>
        </w:rPr>
      </w:pPr>
      <w:r>
        <w:rPr>
          <w:rFonts w:hint="eastAsia" w:ascii="宋体" w:hAnsi="宋体" w:cs="宋体"/>
          <w:color w:val="auto"/>
          <w:kern w:val="2"/>
        </w:rPr>
        <w:t>传          真：</w:t>
      </w:r>
    </w:p>
    <w:p>
      <w:pPr>
        <w:pStyle w:val="97"/>
        <w:spacing w:before="0" w:after="0" w:line="420" w:lineRule="exact"/>
        <w:ind w:left="420" w:leftChars="200" w:firstLineChars="200"/>
        <w:rPr>
          <w:rFonts w:hint="eastAsia" w:ascii="宋体" w:hAnsi="宋体" w:cs="宋体"/>
          <w:color w:val="auto"/>
          <w:kern w:val="2"/>
        </w:rPr>
      </w:pPr>
      <w:r>
        <w:rPr>
          <w:rFonts w:hint="eastAsia" w:ascii="宋体" w:hAnsi="宋体" w:cs="宋体"/>
          <w:color w:val="auto"/>
          <w:kern w:val="2"/>
        </w:rPr>
        <w:t>投标人开户行：</w:t>
      </w:r>
    </w:p>
    <w:p>
      <w:pPr>
        <w:pStyle w:val="97"/>
        <w:spacing w:before="0" w:after="0" w:line="420" w:lineRule="exact"/>
        <w:ind w:left="420" w:leftChars="200" w:firstLineChars="200"/>
        <w:rPr>
          <w:rFonts w:hint="eastAsia" w:ascii="宋体" w:hAnsi="宋体" w:cs="宋体"/>
          <w:color w:val="auto"/>
          <w:kern w:val="2"/>
        </w:rPr>
      </w:pPr>
      <w:r>
        <w:rPr>
          <w:rFonts w:hint="eastAsia" w:ascii="宋体" w:hAnsi="宋体" w:cs="宋体"/>
          <w:color w:val="auto"/>
          <w:kern w:val="2"/>
        </w:rPr>
        <w:t xml:space="preserve">账          户： </w:t>
      </w:r>
    </w:p>
    <w:p>
      <w:pPr>
        <w:pStyle w:val="97"/>
        <w:spacing w:before="0" w:after="0" w:line="420" w:lineRule="exact"/>
        <w:ind w:left="420" w:leftChars="200" w:firstLineChars="200"/>
        <w:rPr>
          <w:rFonts w:hint="eastAsia" w:ascii="宋体" w:hAnsi="宋体" w:cs="宋体"/>
          <w:color w:val="auto"/>
          <w:kern w:val="2"/>
        </w:rPr>
      </w:pPr>
      <w:r>
        <w:rPr>
          <w:rFonts w:hint="eastAsia" w:ascii="宋体" w:hAnsi="宋体" w:cs="宋体"/>
          <w:color w:val="auto"/>
          <w:kern w:val="2"/>
        </w:rPr>
        <w:t xml:space="preserve">投标人授权代表姓名（签字）： </w:t>
      </w:r>
    </w:p>
    <w:p>
      <w:pPr>
        <w:pStyle w:val="97"/>
        <w:spacing w:before="0" w:after="0" w:line="420" w:lineRule="exact"/>
        <w:ind w:left="420" w:leftChars="200" w:firstLineChars="200"/>
        <w:rPr>
          <w:rFonts w:hint="eastAsia" w:ascii="宋体" w:hAnsi="宋体" w:cs="宋体"/>
          <w:color w:val="auto"/>
          <w:kern w:val="2"/>
        </w:rPr>
      </w:pPr>
      <w:r>
        <w:rPr>
          <w:rFonts w:hint="eastAsia" w:ascii="宋体" w:hAnsi="宋体" w:cs="宋体"/>
          <w:color w:val="auto"/>
          <w:kern w:val="2"/>
        </w:rPr>
        <w:t xml:space="preserve">投标人名称（公章）： </w:t>
      </w:r>
    </w:p>
    <w:p>
      <w:pPr>
        <w:pStyle w:val="97"/>
        <w:spacing w:before="0" w:after="0" w:line="420" w:lineRule="exact"/>
        <w:ind w:left="420" w:leftChars="200" w:firstLineChars="200"/>
        <w:rPr>
          <w:rFonts w:hint="eastAsia" w:ascii="宋体" w:hAnsi="宋体" w:cs="宋体"/>
          <w:color w:val="auto"/>
          <w:kern w:val="2"/>
        </w:rPr>
      </w:pPr>
      <w:r>
        <w:rPr>
          <w:rFonts w:hint="eastAsia" w:ascii="宋体" w:hAnsi="宋体" w:cs="宋体"/>
          <w:color w:val="auto"/>
          <w:kern w:val="2"/>
        </w:rPr>
        <w:t>日           期：________年____月____日</w:t>
      </w:r>
    </w:p>
    <w:p>
      <w:pPr>
        <w:snapToGrid w:val="0"/>
        <w:spacing w:before="50" w:after="145" w:afterLines="50"/>
        <w:jc w:val="left"/>
        <w:rPr>
          <w:rFonts w:hint="eastAsia" w:ascii="宋体" w:hAnsi="宋体" w:cs="宋体"/>
          <w:color w:val="auto"/>
          <w:sz w:val="24"/>
          <w:szCs w:val="24"/>
        </w:rPr>
      </w:pPr>
      <w:r>
        <w:rPr>
          <w:rFonts w:hint="eastAsia" w:ascii="宋体" w:hAnsi="宋体" w:cs="宋体"/>
          <w:color w:val="auto"/>
          <w:sz w:val="24"/>
          <w:szCs w:val="24"/>
        </w:rPr>
        <w:t xml:space="preserve">          </w:t>
      </w:r>
    </w:p>
    <w:p>
      <w:pPr>
        <w:jc w:val="center"/>
        <w:rPr>
          <w:rFonts w:hint="eastAsia" w:ascii="宋体" w:hAnsi="宋体" w:cs="宋体"/>
          <w:b/>
          <w:color w:val="auto"/>
          <w:sz w:val="32"/>
          <w:szCs w:val="32"/>
        </w:rPr>
      </w:pPr>
    </w:p>
    <w:p>
      <w:pPr>
        <w:jc w:val="center"/>
        <w:rPr>
          <w:rFonts w:hint="eastAsia" w:ascii="宋体" w:hAnsi="宋体" w:cs="宋体"/>
          <w:b/>
          <w:color w:val="auto"/>
          <w:sz w:val="32"/>
          <w:szCs w:val="32"/>
        </w:rPr>
      </w:pPr>
    </w:p>
    <w:p>
      <w:pPr>
        <w:snapToGrid w:val="0"/>
        <w:spacing w:before="50" w:after="50"/>
        <w:jc w:val="center"/>
        <w:rPr>
          <w:rFonts w:hint="eastAsia" w:ascii="宋体" w:hAnsi="宋体" w:cs="宋体"/>
          <w:color w:val="auto"/>
          <w:sz w:val="32"/>
          <w:szCs w:val="32"/>
        </w:rPr>
      </w:pPr>
    </w:p>
    <w:p>
      <w:pPr>
        <w:numPr>
          <w:ilvl w:val="0"/>
          <w:numId w:val="10"/>
        </w:numPr>
        <w:snapToGrid w:val="0"/>
        <w:spacing w:before="50" w:after="50"/>
        <w:jc w:val="center"/>
        <w:rPr>
          <w:rFonts w:hint="eastAsia" w:ascii="宋体" w:hAnsi="宋体" w:cs="宋体"/>
          <w:color w:val="auto"/>
          <w:sz w:val="32"/>
          <w:szCs w:val="32"/>
        </w:rPr>
      </w:pPr>
      <w:r>
        <w:rPr>
          <w:rFonts w:hint="eastAsia" w:ascii="宋体" w:hAnsi="宋体" w:cs="宋体"/>
          <w:color w:val="auto"/>
          <w:sz w:val="32"/>
          <w:szCs w:val="32"/>
        </w:rPr>
        <w:t>开标一览表（格式）</w:t>
      </w:r>
    </w:p>
    <w:p>
      <w:pPr>
        <w:pStyle w:val="3"/>
        <w:jc w:val="both"/>
        <w:rPr>
          <w:rFonts w:hint="eastAsia" w:ascii="宋体" w:hAnsi="宋体" w:eastAsia="宋体" w:cs="宋体"/>
          <w:color w:val="auto"/>
        </w:rPr>
      </w:pPr>
    </w:p>
    <w:tbl>
      <w:tblPr>
        <w:tblStyle w:val="45"/>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noWrap w:val="0"/>
            <w:vAlign w:val="center"/>
          </w:tcPr>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Cs w:val="28"/>
              </w:rPr>
            </w:pPr>
            <w:r>
              <w:rPr>
                <w:rFonts w:hint="eastAsia" w:ascii="宋体" w:hAnsi="宋体" w:eastAsia="宋体" w:cs="宋体"/>
                <w:color w:val="auto"/>
                <w:szCs w:val="28"/>
              </w:rPr>
              <w:t>项 目 编 号</w:t>
            </w:r>
          </w:p>
        </w:tc>
        <w:tc>
          <w:tcPr>
            <w:tcW w:w="7445" w:type="dxa"/>
            <w:noWrap w:val="0"/>
            <w:vAlign w:val="center"/>
          </w:tcPr>
          <w:p>
            <w:pPr>
              <w:pStyle w:val="4"/>
              <w:suppressLineNumbers w:val="0"/>
              <w:spacing w:beforeAutospacing="0" w:afterAutospacing="0"/>
              <w:ind w:left="0" w:right="0" w:firstLine="689" w:firstLineChars="245"/>
              <w:jc w:val="both"/>
              <w:outlineLvl w:val="1"/>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noWrap w:val="0"/>
            <w:vAlign w:val="center"/>
          </w:tcPr>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Cs w:val="28"/>
              </w:rPr>
            </w:pPr>
            <w:r>
              <w:rPr>
                <w:rFonts w:hint="eastAsia" w:ascii="宋体" w:hAnsi="宋体" w:eastAsia="宋体" w:cs="宋体"/>
                <w:color w:val="auto"/>
                <w:szCs w:val="28"/>
              </w:rPr>
              <w:t>项 目 名 称</w:t>
            </w:r>
          </w:p>
        </w:tc>
        <w:tc>
          <w:tcPr>
            <w:tcW w:w="7445" w:type="dxa"/>
            <w:noWrap w:val="0"/>
            <w:vAlign w:val="center"/>
          </w:tcPr>
          <w:p>
            <w:pPr>
              <w:pStyle w:val="4"/>
              <w:suppressLineNumbers w:val="0"/>
              <w:spacing w:beforeAutospacing="0" w:afterAutospacing="0"/>
              <w:ind w:left="0" w:right="0"/>
              <w:jc w:val="both"/>
              <w:outlineLvl w:val="1"/>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5" w:hRule="atLeast"/>
        </w:trPr>
        <w:tc>
          <w:tcPr>
            <w:tcW w:w="10145" w:type="dxa"/>
            <w:gridSpan w:val="2"/>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8"/>
              </w:rPr>
            </w:pPr>
            <w:r>
              <w:rPr>
                <w:rFonts w:hint="eastAsia" w:ascii="宋体" w:hAnsi="宋体" w:eastAsia="宋体" w:cs="宋体"/>
                <w:color w:val="auto"/>
                <w:szCs w:val="28"/>
              </w:rPr>
              <w:t>项目投标报价：（大写）</w:t>
            </w:r>
            <w:r>
              <w:rPr>
                <w:rFonts w:hint="eastAsia" w:ascii="宋体" w:hAnsi="宋体" w:eastAsia="宋体" w:cs="宋体"/>
                <w:color w:val="auto"/>
                <w:szCs w:val="28"/>
                <w:u w:val="single"/>
              </w:rPr>
              <w:t xml:space="preserve">                       </w:t>
            </w:r>
            <w:r>
              <w:rPr>
                <w:rFonts w:hint="eastAsia" w:ascii="宋体" w:hAnsi="宋体" w:eastAsia="宋体" w:cs="宋体"/>
                <w:color w:val="auto"/>
                <w:szCs w:val="28"/>
              </w:rPr>
              <w:t>，小写：</w:t>
            </w:r>
            <w:r>
              <w:rPr>
                <w:rFonts w:hint="eastAsia" w:ascii="宋体" w:hAnsi="宋体" w:eastAsia="宋体" w:cs="宋体"/>
                <w:color w:val="auto"/>
                <w:szCs w:val="28"/>
                <w:u w:val="single"/>
              </w:rPr>
              <w:t xml:space="preserve">                     </w:t>
            </w:r>
            <w:r>
              <w:rPr>
                <w:rFonts w:hint="eastAsia" w:ascii="宋体" w:hAnsi="宋体" w:eastAsia="宋体" w:cs="宋体"/>
                <w:color w:val="auto"/>
                <w:szCs w:val="28"/>
              </w:rPr>
              <w:t xml:space="preserve"> </w:t>
            </w:r>
          </w:p>
          <w:p>
            <w:pPr>
              <w:pStyle w:val="40"/>
              <w:keepNext w:val="0"/>
              <w:keepLines w:val="0"/>
              <w:suppressLineNumbers w:val="0"/>
              <w:spacing w:before="0" w:beforeAutospacing="0" w:after="0" w:afterAutospacing="0"/>
              <w:ind w:left="0" w:right="0" w:firstLine="420" w:firstLineChars="200"/>
              <w:rPr>
                <w:rFonts w:hint="eastAsia" w:eastAsia="宋体"/>
                <w:color w:val="auto"/>
                <w:kern w:val="2"/>
                <w:sz w:val="21"/>
                <w:szCs w:val="28"/>
              </w:rPr>
            </w:pPr>
            <w:r>
              <w:rPr>
                <w:rFonts w:hint="eastAsia" w:eastAsia="宋体"/>
                <w:color w:val="auto"/>
                <w:kern w:val="2"/>
                <w:sz w:val="21"/>
                <w:szCs w:val="28"/>
              </w:rPr>
              <w:t>注：上述投标报价指优质网络课程，包括网络必修课和网络通识选修课</w:t>
            </w:r>
          </w:p>
          <w:p>
            <w:pPr>
              <w:pStyle w:val="40"/>
              <w:keepNext w:val="0"/>
              <w:keepLines w:val="0"/>
              <w:suppressLineNumbers w:val="0"/>
              <w:spacing w:before="0" w:beforeAutospacing="0" w:after="0" w:afterAutospacing="0"/>
              <w:ind w:left="0" w:right="0" w:firstLine="420" w:firstLineChars="200"/>
              <w:rPr>
                <w:rFonts w:hint="eastAsia" w:eastAsia="宋体"/>
                <w:color w:val="auto"/>
                <w:kern w:val="2"/>
                <w:sz w:val="21"/>
                <w:szCs w:val="28"/>
              </w:rPr>
            </w:pPr>
            <w:r>
              <w:rPr>
                <w:rFonts w:hint="eastAsia" w:eastAsia="宋体"/>
                <w:color w:val="auto"/>
                <w:kern w:val="2"/>
                <w:sz w:val="21"/>
                <w:szCs w:val="28"/>
              </w:rPr>
              <w:t>（1）网络必修课（7门）：英语、职业生涯规划、大学生心理健康、军事理论教育、劳动教育、就业创业指导、国家安全教育。</w:t>
            </w:r>
          </w:p>
          <w:p>
            <w:pPr>
              <w:pStyle w:val="40"/>
              <w:keepNext w:val="0"/>
              <w:keepLines w:val="0"/>
              <w:suppressLineNumbers w:val="0"/>
              <w:spacing w:before="0" w:beforeAutospacing="0" w:after="0" w:afterAutospacing="0"/>
              <w:ind w:left="0" w:right="0" w:firstLine="420" w:firstLineChars="200"/>
              <w:rPr>
                <w:rFonts w:hint="eastAsia" w:eastAsia="宋体"/>
                <w:color w:val="auto"/>
                <w:kern w:val="2"/>
                <w:sz w:val="21"/>
                <w:szCs w:val="28"/>
              </w:rPr>
            </w:pPr>
            <w:r>
              <w:rPr>
                <w:rFonts w:hint="eastAsia" w:eastAsia="宋体"/>
                <w:color w:val="auto"/>
                <w:kern w:val="2"/>
                <w:sz w:val="21"/>
                <w:szCs w:val="28"/>
              </w:rPr>
              <w:t>（2）网络通识选修课（8门）：美术鉴赏、书法鉴赏、戏剧鉴赏、艺术导论、音乐鉴赏、舞蹈鉴赏、人文基础、党史国史</w:t>
            </w:r>
          </w:p>
          <w:p>
            <w:pPr>
              <w:pStyle w:val="40"/>
              <w:keepNext w:val="0"/>
              <w:keepLines w:val="0"/>
              <w:suppressLineNumbers w:val="0"/>
              <w:spacing w:before="0" w:beforeAutospacing="0" w:after="0" w:afterAutospacing="0"/>
              <w:ind w:left="0" w:right="0" w:firstLine="420" w:firstLineChars="200"/>
              <w:rPr>
                <w:rFonts w:hint="eastAsia" w:eastAsia="宋体"/>
                <w:color w:val="auto"/>
                <w:kern w:val="2"/>
                <w:sz w:val="21"/>
                <w:szCs w:val="28"/>
              </w:rPr>
            </w:pPr>
            <w:r>
              <w:rPr>
                <w:rFonts w:hint="eastAsia" w:eastAsia="宋体"/>
                <w:color w:val="auto"/>
                <w:kern w:val="2"/>
                <w:sz w:val="21"/>
                <w:szCs w:val="28"/>
              </w:rPr>
              <w:t>（3）网络课程平台专用移动学习客户端软件（APP）1套</w:t>
            </w:r>
          </w:p>
          <w:p>
            <w:pPr>
              <w:keepNext w:val="0"/>
              <w:keepLines w:val="0"/>
              <w:suppressLineNumbers w:val="0"/>
              <w:spacing w:before="0" w:beforeAutospacing="0" w:after="0" w:afterAutospacing="0"/>
              <w:ind w:left="0" w:right="0"/>
              <w:rPr>
                <w:rFonts w:hint="eastAsia" w:ascii="宋体" w:hAnsi="宋体" w:eastAsia="宋体" w:cs="宋体"/>
                <w:color w:val="auto"/>
                <w:szCs w:val="28"/>
              </w:rPr>
            </w:pPr>
            <w:r>
              <w:rPr>
                <w:rFonts w:hint="eastAsia" w:ascii="宋体" w:hAnsi="宋体" w:eastAsia="宋体" w:cs="宋体"/>
                <w:color w:val="auto"/>
                <w:szCs w:val="28"/>
              </w:rPr>
              <w:t>由招标人与中标单位在签订合同前在最高限价以内商定。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8"/>
              </w:rPr>
            </w:pPr>
            <w:r>
              <w:rPr>
                <w:rFonts w:hint="eastAsia" w:ascii="宋体" w:hAnsi="宋体" w:eastAsia="宋体" w:cs="宋体"/>
                <w:color w:val="auto"/>
                <w:szCs w:val="28"/>
              </w:rPr>
              <w:t xml:space="preserve">项目负责人：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8"/>
              </w:rPr>
            </w:pPr>
            <w:r>
              <w:rPr>
                <w:rFonts w:hint="eastAsia" w:ascii="宋体" w:hAnsi="宋体" w:eastAsia="宋体" w:cs="宋体"/>
                <w:color w:val="auto"/>
                <w:szCs w:val="28"/>
              </w:rPr>
              <w:t xml:space="preserve">项目实施时间（供期或工期）： </w:t>
            </w:r>
          </w:p>
        </w:tc>
      </w:tr>
    </w:tbl>
    <w:p>
      <w:pPr>
        <w:spacing w:line="180" w:lineRule="atLeast"/>
        <w:rPr>
          <w:rFonts w:hint="eastAsia" w:ascii="宋体" w:hAnsi="宋体" w:cs="宋体"/>
          <w:color w:val="auto"/>
          <w:szCs w:val="28"/>
        </w:rPr>
      </w:pPr>
      <w:r>
        <w:rPr>
          <w:rFonts w:hint="eastAsia" w:ascii="宋体" w:hAnsi="宋体" w:cs="宋体"/>
          <w:color w:val="auto"/>
          <w:szCs w:val="28"/>
        </w:rPr>
        <w:t>填写说明：</w:t>
      </w:r>
    </w:p>
    <w:p>
      <w:pPr>
        <w:numPr>
          <w:ilvl w:val="0"/>
          <w:numId w:val="11"/>
        </w:numPr>
        <w:rPr>
          <w:rFonts w:hint="eastAsia" w:ascii="宋体" w:hAnsi="宋体" w:cs="宋体"/>
          <w:color w:val="auto"/>
          <w:sz w:val="24"/>
        </w:rPr>
      </w:pPr>
      <w:r>
        <w:rPr>
          <w:rFonts w:hint="eastAsia" w:ascii="宋体" w:hAnsi="宋体" w:cs="宋体"/>
          <w:color w:val="auto"/>
          <w:sz w:val="24"/>
        </w:rPr>
        <w:t>开标一览表不得填报选择性报价，否则将作为无效投标；</w:t>
      </w:r>
    </w:p>
    <w:p>
      <w:pPr>
        <w:numPr>
          <w:ilvl w:val="0"/>
          <w:numId w:val="11"/>
        </w:numPr>
        <w:rPr>
          <w:rFonts w:hint="eastAsia" w:ascii="宋体" w:hAnsi="宋体" w:cs="宋体"/>
          <w:color w:val="auto"/>
          <w:sz w:val="24"/>
        </w:rPr>
      </w:pPr>
      <w:r>
        <w:rPr>
          <w:rFonts w:hint="eastAsia" w:ascii="宋体" w:hAnsi="宋体" w:cs="宋体"/>
          <w:color w:val="auto"/>
          <w:sz w:val="24"/>
        </w:rPr>
        <w:t>开标一览表中报价与投标分项明细报价表中不符时时，以开标一览表为准；</w:t>
      </w:r>
    </w:p>
    <w:p>
      <w:pPr>
        <w:ind w:firstLine="2640" w:firstLineChars="600"/>
        <w:rPr>
          <w:rFonts w:hint="eastAsia" w:ascii="宋体" w:hAnsi="宋体" w:cs="宋体"/>
          <w:color w:val="auto"/>
          <w:sz w:val="44"/>
        </w:rPr>
      </w:pPr>
    </w:p>
    <w:p>
      <w:pPr>
        <w:ind w:firstLine="480"/>
        <w:rPr>
          <w:rFonts w:hint="eastAsia" w:ascii="宋体" w:hAnsi="宋体" w:cs="宋体"/>
          <w:color w:val="auto"/>
          <w:sz w:val="24"/>
        </w:rPr>
      </w:pPr>
    </w:p>
    <w:p>
      <w:pPr>
        <w:ind w:firstLine="480"/>
        <w:rPr>
          <w:rFonts w:hint="eastAsia" w:ascii="宋体" w:hAnsi="宋体" w:cs="宋体"/>
          <w:color w:val="auto"/>
          <w:sz w:val="24"/>
        </w:rPr>
      </w:pPr>
    </w:p>
    <w:p>
      <w:pPr>
        <w:ind w:firstLine="480"/>
        <w:jc w:val="right"/>
        <w:rPr>
          <w:rFonts w:hint="eastAsia" w:ascii="宋体" w:hAnsi="宋体" w:cs="宋体"/>
          <w:color w:val="auto"/>
          <w:sz w:val="24"/>
        </w:rPr>
      </w:pPr>
      <w:r>
        <w:rPr>
          <w:rFonts w:hint="eastAsia" w:ascii="宋体" w:hAnsi="宋体" w:cs="宋体"/>
          <w:bCs/>
          <w:color w:val="auto"/>
          <w:sz w:val="24"/>
        </w:rPr>
        <w:t>供应商名称（公章）：</w:t>
      </w:r>
    </w:p>
    <w:p>
      <w:pPr>
        <w:ind w:firstLine="480"/>
        <w:rPr>
          <w:rFonts w:hint="eastAsia" w:ascii="宋体" w:hAnsi="宋体" w:cs="宋体"/>
          <w:color w:val="auto"/>
          <w:sz w:val="24"/>
        </w:rPr>
      </w:pPr>
      <w:r>
        <w:rPr>
          <w:rFonts w:hint="eastAsia" w:ascii="宋体" w:hAnsi="宋体" w:cs="宋体"/>
          <w:color w:val="auto"/>
          <w:sz w:val="24"/>
        </w:rPr>
        <w:t xml:space="preserve">                                              日期：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jc w:val="center"/>
        <w:rPr>
          <w:rFonts w:hint="eastAsia" w:ascii="宋体" w:hAnsi="宋体" w:cs="宋体"/>
          <w:b/>
          <w:color w:val="auto"/>
          <w:sz w:val="32"/>
          <w:szCs w:val="32"/>
        </w:rPr>
      </w:pPr>
    </w:p>
    <w:p>
      <w:pPr>
        <w:jc w:val="center"/>
        <w:rPr>
          <w:rFonts w:hint="eastAsia" w:ascii="宋体" w:hAnsi="宋体" w:cs="宋体"/>
          <w:b/>
          <w:color w:val="auto"/>
          <w:sz w:val="32"/>
          <w:szCs w:val="32"/>
        </w:rPr>
      </w:pPr>
    </w:p>
    <w:p>
      <w:pPr>
        <w:snapToGrid w:val="0"/>
        <w:spacing w:before="50" w:after="50"/>
        <w:rPr>
          <w:rFonts w:hint="eastAsia" w:ascii="宋体" w:hAnsi="宋体" w:cs="宋体"/>
          <w:color w:val="auto"/>
          <w:sz w:val="32"/>
          <w:szCs w:val="32"/>
        </w:rPr>
        <w:sectPr>
          <w:headerReference r:id="rId3" w:type="default"/>
          <w:footerReference r:id="rId4" w:type="default"/>
          <w:pgSz w:w="11906" w:h="16838"/>
          <w:pgMar w:top="1417" w:right="1588" w:bottom="1417" w:left="1365" w:header="851" w:footer="907" w:gutter="0"/>
          <w:pgNumType w:fmt="numberInDash"/>
          <w:cols w:space="720" w:num="1"/>
          <w:docGrid w:type="lines" w:linePitch="290" w:charSpace="0"/>
        </w:sectPr>
      </w:pPr>
    </w:p>
    <w:p>
      <w:pPr>
        <w:rPr>
          <w:rFonts w:hint="eastAsia" w:ascii="宋体" w:hAnsi="宋体" w:cs="宋体"/>
          <w:color w:val="auto"/>
        </w:rPr>
      </w:pPr>
    </w:p>
    <w:p>
      <w:pPr>
        <w:snapToGrid w:val="0"/>
        <w:spacing w:before="50" w:after="50"/>
        <w:jc w:val="center"/>
        <w:rPr>
          <w:rFonts w:hint="eastAsia" w:ascii="宋体" w:hAnsi="宋体" w:cs="宋体"/>
          <w:color w:val="auto"/>
          <w:sz w:val="32"/>
          <w:szCs w:val="32"/>
        </w:rPr>
      </w:pPr>
      <w:r>
        <w:rPr>
          <w:rFonts w:hint="eastAsia" w:ascii="宋体" w:hAnsi="宋体" w:cs="宋体"/>
          <w:color w:val="auto"/>
          <w:sz w:val="32"/>
          <w:szCs w:val="32"/>
        </w:rPr>
        <w:t>六、技术参数响应及偏离表（如有）</w:t>
      </w:r>
    </w:p>
    <w:p>
      <w:pPr>
        <w:rPr>
          <w:rFonts w:hint="eastAsia" w:ascii="宋体" w:hAnsi="宋体" w:cs="宋体"/>
          <w:color w:val="auto"/>
          <w:sz w:val="24"/>
          <w:szCs w:val="24"/>
        </w:rPr>
      </w:pPr>
      <w:r>
        <w:rPr>
          <w:rFonts w:hint="eastAsia" w:ascii="宋体" w:hAnsi="宋体" w:cs="宋体"/>
          <w:color w:val="auto"/>
          <w:sz w:val="24"/>
          <w:szCs w:val="24"/>
        </w:rPr>
        <w:t xml:space="preserve">投标人全称（加盖公章）：       </w:t>
      </w:r>
    </w:p>
    <w:tbl>
      <w:tblPr>
        <w:tblStyle w:val="45"/>
        <w:tblW w:w="9073"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300"/>
        <w:gridCol w:w="771"/>
        <w:gridCol w:w="748"/>
        <w:gridCol w:w="712"/>
        <w:gridCol w:w="666"/>
        <w:gridCol w:w="992"/>
        <w:gridCol w:w="1276"/>
        <w:gridCol w:w="538"/>
        <w:gridCol w:w="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012" w:type="dxa"/>
            <w:gridSpan w:val="5"/>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盐城工业职业技术学院课程要求</w:t>
            </w:r>
          </w:p>
        </w:tc>
        <w:tc>
          <w:tcPr>
            <w:tcW w:w="3472" w:type="dxa"/>
            <w:gridSpan w:val="4"/>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网络课程相关主要参数</w:t>
            </w:r>
          </w:p>
        </w:tc>
        <w:tc>
          <w:tcPr>
            <w:tcW w:w="880" w:type="dxa"/>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auto"/>
                <w:szCs w:val="21"/>
              </w:rPr>
            </w:pPr>
            <w:r>
              <w:rPr>
                <w:rFonts w:hint="eastAsia" w:ascii="宋体" w:hAnsi="宋体" w:eastAsia="宋体" w:cs="宋体"/>
                <w:color w:val="auto"/>
                <w:szCs w:val="21"/>
              </w:rPr>
              <w:t>超出、符合或偏离</w:t>
            </w:r>
          </w:p>
        </w:tc>
        <w:tc>
          <w:tcPr>
            <w:tcW w:w="70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r>
              <w:rPr>
                <w:rFonts w:hint="eastAsia" w:ascii="宋体" w:hAnsi="宋体" w:eastAsia="宋体" w:cs="宋体"/>
                <w:color w:val="auto"/>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课程名称</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课程性质</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课时</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学分</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网络课程名称</w:t>
            </w: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视频个数/总时长</w:t>
            </w: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师资来源</w:t>
            </w:r>
          </w:p>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（主讲人及单位）</w:t>
            </w:r>
          </w:p>
        </w:tc>
        <w:tc>
          <w:tcPr>
            <w:tcW w:w="53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课时</w:t>
            </w:r>
          </w:p>
        </w:tc>
        <w:tc>
          <w:tcPr>
            <w:tcW w:w="880"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c>
          <w:tcPr>
            <w:tcW w:w="709"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rPr>
              <w:t>1</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rPr>
              <w:t>英语</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rPr>
              <w:t>必修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rPr>
              <w:t>32</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rPr>
              <w:t>2</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53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c>
          <w:tcPr>
            <w:tcW w:w="709"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职业生涯规划</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必修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53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c>
          <w:tcPr>
            <w:tcW w:w="709"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大学生心理健康</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必修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32</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53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c>
          <w:tcPr>
            <w:tcW w:w="709"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军事理论教育</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必修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18</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53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c>
          <w:tcPr>
            <w:tcW w:w="709"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劳动教育</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必修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53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c>
          <w:tcPr>
            <w:tcW w:w="709"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国家安全教育</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必修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53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c>
          <w:tcPr>
            <w:tcW w:w="709"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就业创业指导</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必修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53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c>
          <w:tcPr>
            <w:tcW w:w="709"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美术鉴赏</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选修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32</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53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c>
          <w:tcPr>
            <w:tcW w:w="709"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书法鉴赏</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选修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32</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53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c>
          <w:tcPr>
            <w:tcW w:w="709"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戏剧鉴赏</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选修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32</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53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c>
          <w:tcPr>
            <w:tcW w:w="709"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艺术导论</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选修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32</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53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c>
          <w:tcPr>
            <w:tcW w:w="709"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12</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音乐鉴赏</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选修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32</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53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c>
          <w:tcPr>
            <w:tcW w:w="709"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舞蹈鉴赏</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选修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32</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53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c>
          <w:tcPr>
            <w:tcW w:w="709"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14</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人文基础</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选修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32</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53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c>
          <w:tcPr>
            <w:tcW w:w="709"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13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党史国史</w:t>
            </w:r>
          </w:p>
        </w:tc>
        <w:tc>
          <w:tcPr>
            <w:tcW w:w="77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选修</w:t>
            </w:r>
          </w:p>
        </w:tc>
        <w:tc>
          <w:tcPr>
            <w:tcW w:w="74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32</w:t>
            </w:r>
          </w:p>
        </w:tc>
        <w:tc>
          <w:tcPr>
            <w:tcW w:w="71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66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992"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1276"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53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c>
          <w:tcPr>
            <w:tcW w:w="709"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rPr>
            </w:pPr>
          </w:p>
        </w:tc>
      </w:tr>
    </w:tbl>
    <w:p>
      <w:pPr>
        <w:rPr>
          <w:rFonts w:ascii="宋体" w:hAnsi="宋体" w:cs="宋体"/>
          <w:color w:val="auto"/>
          <w:sz w:val="24"/>
          <w:szCs w:val="24"/>
        </w:rPr>
      </w:pPr>
      <w:r>
        <w:rPr>
          <w:rFonts w:hint="eastAsia" w:ascii="宋体" w:hAnsi="宋体" w:cs="宋体"/>
          <w:color w:val="auto"/>
          <w:sz w:val="24"/>
          <w:szCs w:val="24"/>
        </w:rPr>
        <w:t>法定代表人或授权代表签字：</w:t>
      </w:r>
    </w:p>
    <w:p>
      <w:pPr>
        <w:pStyle w:val="3"/>
        <w:rPr>
          <w:rFonts w:hint="eastAsia"/>
          <w:color w:val="auto"/>
        </w:rPr>
      </w:pPr>
    </w:p>
    <w:p>
      <w:pPr>
        <w:rPr>
          <w:rFonts w:hint="eastAsia" w:ascii="宋体" w:hAnsi="宋体" w:cs="宋体"/>
          <w:color w:val="auto"/>
          <w:sz w:val="24"/>
          <w:szCs w:val="24"/>
        </w:rPr>
      </w:pPr>
      <w:r>
        <w:rPr>
          <w:rFonts w:hint="eastAsia" w:ascii="宋体" w:hAnsi="宋体" w:cs="宋体"/>
          <w:color w:val="auto"/>
          <w:sz w:val="24"/>
          <w:szCs w:val="24"/>
        </w:rPr>
        <w:t>注：1、按照基本技术要求详细填列。</w:t>
      </w:r>
    </w:p>
    <w:p>
      <w:pPr>
        <w:numPr>
          <w:ilvl w:val="0"/>
          <w:numId w:val="12"/>
        </w:numPr>
        <w:rPr>
          <w:rFonts w:hint="eastAsia" w:ascii="宋体" w:hAnsi="宋体" w:cs="宋体"/>
          <w:color w:val="auto"/>
          <w:sz w:val="24"/>
          <w:szCs w:val="24"/>
        </w:rPr>
      </w:pPr>
      <w:r>
        <w:rPr>
          <w:rFonts w:hint="eastAsia" w:ascii="宋体" w:hAnsi="宋体" w:cs="宋体"/>
          <w:color w:val="auto"/>
          <w:sz w:val="24"/>
          <w:szCs w:val="24"/>
        </w:rPr>
        <w:t>行数不够，可自行添加。</w:t>
      </w:r>
    </w:p>
    <w:p>
      <w:pPr>
        <w:spacing w:line="360" w:lineRule="auto"/>
        <w:ind w:firstLine="480"/>
        <w:rPr>
          <w:rFonts w:hint="eastAsia" w:ascii="宋体" w:hAnsi="宋体" w:cs="宋体"/>
          <w:bCs/>
          <w:color w:val="auto"/>
          <w:sz w:val="24"/>
        </w:rPr>
      </w:pPr>
      <w:r>
        <w:rPr>
          <w:rFonts w:hint="eastAsia" w:ascii="宋体" w:hAnsi="宋体" w:cs="宋体"/>
          <w:bCs/>
          <w:color w:val="auto"/>
          <w:sz w:val="24"/>
        </w:rPr>
        <w:t>3、技术偏离表应针对项目需求逐条应答。</w:t>
      </w:r>
    </w:p>
    <w:p>
      <w:pPr>
        <w:rPr>
          <w:rFonts w:hint="eastAsia" w:ascii="宋体" w:hAnsi="宋体" w:cs="宋体"/>
          <w:color w:val="auto"/>
          <w:sz w:val="24"/>
          <w:szCs w:val="24"/>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bookmarkEnd w:id="207"/>
    <w:p>
      <w:pPr>
        <w:snapToGrid w:val="0"/>
        <w:spacing w:before="50" w:after="50"/>
        <w:jc w:val="center"/>
        <w:rPr>
          <w:rFonts w:hint="eastAsia" w:ascii="宋体" w:hAnsi="宋体" w:cs="宋体"/>
          <w:color w:val="auto"/>
          <w:sz w:val="32"/>
          <w:szCs w:val="32"/>
        </w:rPr>
      </w:pPr>
      <w:bookmarkStart w:id="208" w:name="_Hlt26955054"/>
      <w:bookmarkEnd w:id="208"/>
      <w:r>
        <w:rPr>
          <w:rFonts w:hint="eastAsia" w:ascii="宋体" w:hAnsi="宋体" w:cs="宋体"/>
          <w:color w:val="auto"/>
          <w:sz w:val="32"/>
          <w:szCs w:val="32"/>
        </w:rPr>
        <w:t>七、商务条款响应及偏离表（如有）</w:t>
      </w:r>
    </w:p>
    <w:p>
      <w:pPr>
        <w:jc w:val="center"/>
        <w:rPr>
          <w:rFonts w:hint="eastAsia" w:ascii="宋体" w:hAnsi="宋体" w:cs="宋体"/>
          <w:color w:val="auto"/>
          <w:sz w:val="24"/>
          <w:szCs w:val="24"/>
        </w:rPr>
      </w:pPr>
    </w:p>
    <w:p>
      <w:pPr>
        <w:rPr>
          <w:rFonts w:hint="eastAsia" w:ascii="宋体" w:hAnsi="宋体" w:cs="宋体"/>
          <w:color w:val="auto"/>
          <w:sz w:val="24"/>
          <w:szCs w:val="24"/>
        </w:rPr>
      </w:pPr>
      <w:r>
        <w:rPr>
          <w:rFonts w:hint="eastAsia" w:ascii="宋体" w:hAnsi="宋体" w:cs="宋体"/>
          <w:color w:val="auto"/>
          <w:sz w:val="24"/>
          <w:szCs w:val="24"/>
        </w:rPr>
        <w:t xml:space="preserve">投标人全称（加盖公章）： </w:t>
      </w:r>
    </w:p>
    <w:tbl>
      <w:tblPr>
        <w:tblStyle w:val="4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szCs w:val="20"/>
              </w:rPr>
            </w:pPr>
            <w:r>
              <w:rPr>
                <w:rFonts w:hint="eastAsia" w:ascii="宋体" w:hAnsi="宋体" w:eastAsia="宋体" w:cs="宋体"/>
                <w:color w:val="auto"/>
                <w:sz w:val="24"/>
              </w:rPr>
              <w:t>项目</w:t>
            </w:r>
          </w:p>
        </w:tc>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szCs w:val="20"/>
              </w:rPr>
            </w:pPr>
            <w:r>
              <w:rPr>
                <w:rFonts w:hint="eastAsia" w:ascii="宋体" w:hAnsi="宋体" w:eastAsia="宋体" w:cs="宋体"/>
                <w:color w:val="auto"/>
                <w:sz w:val="24"/>
              </w:rPr>
              <w:t>招标文件要求</w:t>
            </w: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szCs w:val="20"/>
              </w:rPr>
            </w:pPr>
            <w:r>
              <w:rPr>
                <w:rFonts w:hint="eastAsia" w:ascii="宋体" w:hAnsi="宋体" w:eastAsia="宋体" w:cs="宋体"/>
                <w:color w:val="auto"/>
                <w:sz w:val="24"/>
              </w:rPr>
              <w:t>是否响应</w:t>
            </w:r>
          </w:p>
        </w:tc>
        <w:tc>
          <w:tcPr>
            <w:tcW w:w="30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szCs w:val="20"/>
              </w:rPr>
            </w:pPr>
            <w:r>
              <w:rPr>
                <w:rFonts w:hint="eastAsia" w:ascii="宋体" w:hAnsi="宋体" w:eastAsia="宋体" w:cs="宋体"/>
                <w:color w:val="auto"/>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szCs w:val="20"/>
              </w:rPr>
            </w:pPr>
            <w:r>
              <w:rPr>
                <w:rFonts w:hint="eastAsia" w:ascii="宋体" w:hAnsi="宋体" w:eastAsia="宋体" w:cs="宋体"/>
                <w:color w:val="auto"/>
                <w:sz w:val="24"/>
              </w:rPr>
              <w:t>服务期</w:t>
            </w:r>
          </w:p>
        </w:tc>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szCs w:val="20"/>
              </w:rPr>
            </w:pPr>
            <w:r>
              <w:rPr>
                <w:rFonts w:hint="eastAsia" w:ascii="宋体" w:hAnsi="宋体" w:eastAsia="宋体" w:cs="宋体"/>
                <w:color w:val="auto"/>
                <w:sz w:val="24"/>
              </w:rPr>
              <w:t>服务内容</w:t>
            </w:r>
          </w:p>
        </w:tc>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rPr>
            </w:pPr>
            <w:r>
              <w:rPr>
                <w:rFonts w:hint="eastAsia" w:ascii="宋体" w:hAnsi="宋体" w:eastAsia="宋体" w:cs="宋体"/>
                <w:color w:val="auto"/>
                <w:sz w:val="24"/>
              </w:rPr>
              <w:t>服务方式</w:t>
            </w:r>
          </w:p>
        </w:tc>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43" w:right="0"/>
              <w:rPr>
                <w:rFonts w:hint="eastAsia" w:ascii="宋体" w:hAnsi="宋体" w:eastAsia="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43" w:right="0"/>
              <w:rPr>
                <w:rFonts w:hint="eastAsia" w:ascii="宋体" w:hAnsi="宋体" w:eastAsia="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rPr>
            </w:pPr>
            <w:r>
              <w:rPr>
                <w:rFonts w:hint="eastAsia" w:ascii="宋体" w:hAnsi="宋体" w:eastAsia="宋体" w:cs="宋体"/>
                <w:color w:val="auto"/>
                <w:sz w:val="24"/>
              </w:rPr>
              <w:t>服务质量</w:t>
            </w:r>
          </w:p>
        </w:tc>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43" w:right="0"/>
              <w:rPr>
                <w:rFonts w:hint="eastAsia" w:ascii="宋体" w:hAnsi="宋体" w:eastAsia="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43" w:right="0"/>
              <w:rPr>
                <w:rFonts w:hint="eastAsia" w:ascii="宋体" w:hAnsi="宋体" w:eastAsia="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rPr>
            </w:pPr>
            <w:r>
              <w:rPr>
                <w:rFonts w:hint="eastAsia" w:ascii="宋体" w:hAnsi="宋体" w:eastAsia="宋体" w:cs="宋体"/>
                <w:color w:val="auto"/>
                <w:sz w:val="24"/>
              </w:rPr>
              <w:t>服务地点</w:t>
            </w:r>
          </w:p>
        </w:tc>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rPr>
            </w:pPr>
          </w:p>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43" w:right="0"/>
              <w:rPr>
                <w:rFonts w:hint="eastAsia" w:ascii="宋体" w:hAnsi="宋体" w:eastAsia="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43" w:right="0"/>
              <w:rPr>
                <w:rFonts w:hint="eastAsia" w:ascii="宋体" w:hAnsi="宋体" w:eastAsia="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szCs w:val="20"/>
              </w:rPr>
            </w:pPr>
            <w:r>
              <w:rPr>
                <w:rFonts w:hint="eastAsia" w:ascii="宋体" w:hAnsi="宋体" w:eastAsia="宋体" w:cs="宋体"/>
                <w:color w:val="auto"/>
                <w:sz w:val="24"/>
              </w:rPr>
              <w:t>付款方式</w:t>
            </w:r>
          </w:p>
        </w:tc>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szCs w:val="20"/>
              </w:rPr>
            </w:pPr>
            <w:r>
              <w:rPr>
                <w:rFonts w:hint="eastAsia" w:ascii="宋体" w:hAnsi="宋体" w:eastAsia="宋体" w:cs="宋体"/>
                <w:color w:val="auto"/>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szCs w:val="20"/>
              </w:rPr>
            </w:pPr>
          </w:p>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szCs w:val="20"/>
              </w:rPr>
            </w:pPr>
            <w:r>
              <w:rPr>
                <w:rFonts w:hint="eastAsia" w:ascii="宋体" w:hAnsi="宋体" w:eastAsia="宋体" w:cs="宋体"/>
                <w:color w:val="auto"/>
                <w:sz w:val="24"/>
              </w:rPr>
              <w:t>其他</w:t>
            </w:r>
          </w:p>
        </w:tc>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color w:val="auto"/>
                <w:sz w:val="24"/>
                <w:szCs w:val="20"/>
              </w:rPr>
            </w:pPr>
          </w:p>
        </w:tc>
      </w:tr>
    </w:tbl>
    <w:p>
      <w:pPr>
        <w:rPr>
          <w:rFonts w:hint="eastAsia" w:ascii="宋体" w:hAnsi="宋体" w:cs="宋体"/>
          <w:color w:val="auto"/>
          <w:sz w:val="24"/>
          <w:szCs w:val="24"/>
        </w:rPr>
      </w:pPr>
      <w:r>
        <w:rPr>
          <w:rFonts w:hint="eastAsia" w:ascii="宋体" w:hAnsi="宋体" w:cs="宋体"/>
          <w:color w:val="auto"/>
          <w:sz w:val="24"/>
          <w:szCs w:val="24"/>
        </w:rPr>
        <w:t xml:space="preserve">       </w:t>
      </w:r>
    </w:p>
    <w:p>
      <w:pPr>
        <w:rPr>
          <w:rFonts w:hint="eastAsia" w:ascii="宋体" w:hAnsi="宋体" w:cs="宋体"/>
          <w:color w:val="auto"/>
          <w:sz w:val="24"/>
          <w:szCs w:val="24"/>
        </w:rPr>
      </w:pPr>
      <w:r>
        <w:rPr>
          <w:rFonts w:hint="eastAsia" w:ascii="宋体" w:hAnsi="宋体" w:cs="宋体"/>
          <w:color w:val="auto"/>
          <w:sz w:val="24"/>
          <w:szCs w:val="24"/>
        </w:rPr>
        <w:t>法定代表人或授权代表签字：</w:t>
      </w:r>
    </w:p>
    <w:p>
      <w:pPr>
        <w:pStyle w:val="5"/>
        <w:rPr>
          <w:rFonts w:hint="eastAsia" w:ascii="宋体" w:hAnsi="宋体" w:cs="宋体"/>
          <w:color w:val="auto"/>
        </w:rPr>
      </w:pPr>
    </w:p>
    <w:p>
      <w:pPr>
        <w:pStyle w:val="5"/>
        <w:rPr>
          <w:rFonts w:hint="eastAsia" w:ascii="宋体" w:hAnsi="宋体" w:cs="宋体"/>
          <w:color w:val="auto"/>
        </w:rPr>
      </w:pPr>
    </w:p>
    <w:p>
      <w:pPr>
        <w:spacing w:line="480" w:lineRule="auto"/>
        <w:rPr>
          <w:rFonts w:hint="eastAsia" w:ascii="宋体" w:hAnsi="宋体" w:cs="宋体"/>
          <w:color w:val="auto"/>
          <w:sz w:val="30"/>
        </w:rPr>
      </w:pPr>
      <w:bookmarkStart w:id="209" w:name="_Hlt26580838"/>
      <w:bookmarkEnd w:id="209"/>
      <w:bookmarkStart w:id="210" w:name="_Hlt26782999"/>
      <w:bookmarkEnd w:id="210"/>
      <w:bookmarkStart w:id="211" w:name="_Hlt26609391"/>
      <w:bookmarkEnd w:id="211"/>
      <w:bookmarkStart w:id="212" w:name="_Hlt26671343"/>
      <w:bookmarkEnd w:id="212"/>
      <w:bookmarkStart w:id="213" w:name="_Hlt26671372"/>
      <w:bookmarkEnd w:id="213"/>
      <w:bookmarkStart w:id="214" w:name="_Hlt26955064"/>
      <w:bookmarkEnd w:id="214"/>
      <w:bookmarkStart w:id="215" w:name="_Hlt26955056"/>
      <w:bookmarkEnd w:id="215"/>
      <w:bookmarkStart w:id="216" w:name="_Hlt24879081"/>
      <w:bookmarkEnd w:id="216"/>
      <w:r>
        <w:rPr>
          <w:rFonts w:hint="eastAsia" w:ascii="宋体" w:hAnsi="宋体" w:cs="宋体"/>
          <w:color w:val="auto"/>
          <w:sz w:val="30"/>
        </w:rPr>
        <w:t xml:space="preserve">    </w:t>
      </w:r>
      <w:bookmarkStart w:id="217" w:name="_Hlt26955066"/>
      <w:bookmarkEnd w:id="217"/>
      <w:bookmarkStart w:id="218" w:name="_Hlt26609389"/>
      <w:bookmarkEnd w:id="218"/>
      <w:bookmarkStart w:id="219" w:name="_Hlt26671374"/>
      <w:bookmarkEnd w:id="219"/>
      <w:bookmarkStart w:id="220" w:name="_Toc462564146"/>
    </w:p>
    <w:p>
      <w:pPr>
        <w:pStyle w:val="5"/>
        <w:ind w:firstLine="0"/>
        <w:rPr>
          <w:rFonts w:hint="eastAsia" w:ascii="宋体" w:hAnsi="宋体" w:cs="宋体"/>
          <w:color w:val="auto"/>
          <w:sz w:val="24"/>
        </w:rPr>
      </w:pPr>
    </w:p>
    <w:p>
      <w:pPr>
        <w:snapToGrid w:val="0"/>
        <w:spacing w:before="50" w:after="50"/>
        <w:ind w:left="2520"/>
        <w:rPr>
          <w:rFonts w:hint="eastAsia" w:ascii="宋体" w:hAnsi="宋体" w:cs="宋体"/>
          <w:color w:val="auto"/>
          <w:sz w:val="32"/>
          <w:szCs w:val="32"/>
        </w:rPr>
      </w:pPr>
      <w:r>
        <w:rPr>
          <w:rFonts w:hint="eastAsia" w:ascii="宋体" w:hAnsi="宋体" w:cs="宋体"/>
          <w:color w:val="auto"/>
          <w:sz w:val="32"/>
          <w:szCs w:val="32"/>
        </w:rPr>
        <w:br w:type="page"/>
      </w:r>
      <w:r>
        <w:rPr>
          <w:rFonts w:hint="eastAsia" w:ascii="宋体" w:hAnsi="宋体" w:cs="宋体"/>
          <w:color w:val="auto"/>
          <w:sz w:val="32"/>
          <w:szCs w:val="32"/>
        </w:rPr>
        <w:t>八、技术方案、服务承诺等</w:t>
      </w:r>
      <w:bookmarkEnd w:id="194"/>
      <w:bookmarkEnd w:id="195"/>
      <w:bookmarkEnd w:id="220"/>
      <w:bookmarkStart w:id="221" w:name="_格式2__法定代表人授权书"/>
      <w:bookmarkEnd w:id="221"/>
    </w:p>
    <w:p>
      <w:pPr>
        <w:pStyle w:val="17"/>
        <w:rPr>
          <w:rFonts w:hint="eastAsia" w:ascii="宋体" w:hAnsi="宋体" w:eastAsia="宋体" w:cs="宋体"/>
          <w:color w:val="auto"/>
        </w:rPr>
      </w:pPr>
    </w:p>
    <w:p>
      <w:pPr>
        <w:pStyle w:val="17"/>
        <w:rPr>
          <w:rFonts w:hint="eastAsia" w:ascii="宋体" w:hAnsi="宋体" w:eastAsia="宋体" w:cs="宋体"/>
          <w:color w:val="auto"/>
        </w:rPr>
      </w:pPr>
    </w:p>
    <w:p>
      <w:pPr>
        <w:pStyle w:val="17"/>
        <w:rPr>
          <w:rFonts w:hint="eastAsia" w:ascii="宋体" w:hAnsi="宋体" w:eastAsia="宋体" w:cs="宋体"/>
          <w:color w:val="auto"/>
        </w:rPr>
      </w:pPr>
    </w:p>
    <w:p>
      <w:pPr>
        <w:pStyle w:val="17"/>
        <w:rPr>
          <w:rFonts w:hint="eastAsia" w:ascii="宋体" w:hAnsi="宋体" w:eastAsia="宋体" w:cs="宋体"/>
          <w:color w:val="auto"/>
        </w:rPr>
      </w:pPr>
    </w:p>
    <w:p>
      <w:pPr>
        <w:pStyle w:val="17"/>
        <w:rPr>
          <w:rFonts w:hint="eastAsia" w:ascii="宋体" w:hAnsi="宋体" w:eastAsia="宋体" w:cs="宋体"/>
          <w:color w:val="auto"/>
        </w:rPr>
      </w:pPr>
    </w:p>
    <w:p>
      <w:pPr>
        <w:pStyle w:val="17"/>
        <w:rPr>
          <w:rFonts w:hint="eastAsia" w:ascii="宋体" w:hAnsi="宋体" w:eastAsia="宋体" w:cs="宋体"/>
          <w:color w:val="auto"/>
        </w:rPr>
      </w:pPr>
    </w:p>
    <w:p>
      <w:pPr>
        <w:pStyle w:val="17"/>
        <w:rPr>
          <w:rFonts w:hint="eastAsia" w:ascii="宋体" w:hAnsi="宋体" w:eastAsia="宋体" w:cs="宋体"/>
          <w:color w:val="auto"/>
        </w:rPr>
      </w:pPr>
    </w:p>
    <w:p>
      <w:pPr>
        <w:pStyle w:val="17"/>
        <w:rPr>
          <w:rFonts w:hint="eastAsia" w:ascii="宋体" w:hAnsi="宋体" w:eastAsia="宋体" w:cs="宋体"/>
          <w:color w:val="auto"/>
        </w:rPr>
      </w:pPr>
    </w:p>
    <w:p>
      <w:pPr>
        <w:pStyle w:val="17"/>
        <w:rPr>
          <w:rFonts w:hint="eastAsia" w:ascii="宋体" w:hAnsi="宋体" w:eastAsia="宋体" w:cs="宋体"/>
          <w:color w:val="auto"/>
        </w:rPr>
      </w:pPr>
    </w:p>
    <w:p>
      <w:pPr>
        <w:pStyle w:val="17"/>
        <w:rPr>
          <w:rFonts w:hint="eastAsia" w:ascii="宋体" w:hAnsi="宋体" w:eastAsia="宋体" w:cs="宋体"/>
          <w:color w:val="auto"/>
        </w:rPr>
      </w:pPr>
    </w:p>
    <w:p>
      <w:pPr>
        <w:pStyle w:val="17"/>
        <w:rPr>
          <w:rFonts w:hint="eastAsia" w:ascii="宋体" w:hAnsi="宋体" w:eastAsia="宋体" w:cs="宋体"/>
          <w:color w:val="auto"/>
        </w:rPr>
      </w:pPr>
    </w:p>
    <w:p>
      <w:pPr>
        <w:pStyle w:val="17"/>
        <w:rPr>
          <w:rFonts w:hint="eastAsia" w:ascii="宋体" w:hAnsi="宋体" w:eastAsia="宋体" w:cs="宋体"/>
          <w:color w:val="auto"/>
        </w:rPr>
      </w:pPr>
    </w:p>
    <w:p>
      <w:pPr>
        <w:pStyle w:val="17"/>
        <w:rPr>
          <w:rFonts w:hint="eastAsia" w:ascii="宋体" w:hAnsi="宋体" w:eastAsia="宋体" w:cs="宋体"/>
          <w:color w:val="auto"/>
        </w:rPr>
      </w:pPr>
    </w:p>
    <w:p>
      <w:pPr>
        <w:pStyle w:val="17"/>
        <w:rPr>
          <w:rFonts w:hint="eastAsia" w:ascii="宋体" w:hAnsi="宋体" w:eastAsia="宋体" w:cs="宋体"/>
          <w:color w:val="auto"/>
        </w:rPr>
      </w:pPr>
    </w:p>
    <w:p>
      <w:pPr>
        <w:pStyle w:val="17"/>
        <w:rPr>
          <w:rFonts w:hint="eastAsia" w:ascii="宋体" w:hAnsi="宋体" w:eastAsia="宋体" w:cs="宋体"/>
          <w:color w:val="auto"/>
        </w:rPr>
      </w:pPr>
    </w:p>
    <w:p>
      <w:pPr>
        <w:pStyle w:val="17"/>
        <w:rPr>
          <w:rFonts w:hint="eastAsia" w:ascii="宋体" w:hAnsi="宋体" w:eastAsia="宋体" w:cs="宋体"/>
          <w:color w:val="auto"/>
        </w:rPr>
      </w:pPr>
    </w:p>
    <w:p>
      <w:pPr>
        <w:pStyle w:val="17"/>
        <w:rPr>
          <w:rFonts w:hint="eastAsia" w:ascii="宋体" w:hAnsi="宋体" w:eastAsia="宋体" w:cs="宋体"/>
          <w:color w:val="auto"/>
        </w:rPr>
      </w:pPr>
    </w:p>
    <w:p>
      <w:pPr>
        <w:pStyle w:val="17"/>
        <w:rPr>
          <w:rFonts w:hint="eastAsia" w:ascii="宋体" w:hAnsi="宋体" w:eastAsia="宋体" w:cs="宋体"/>
          <w:color w:val="auto"/>
        </w:rPr>
      </w:pPr>
    </w:p>
    <w:p>
      <w:pPr>
        <w:pStyle w:val="17"/>
        <w:rPr>
          <w:rFonts w:hint="eastAsia" w:ascii="宋体" w:hAnsi="宋体" w:eastAsia="宋体" w:cs="宋体"/>
          <w:color w:val="auto"/>
        </w:rPr>
      </w:pPr>
    </w:p>
    <w:p>
      <w:pPr>
        <w:pStyle w:val="17"/>
        <w:rPr>
          <w:rFonts w:hint="eastAsia" w:ascii="宋体" w:hAnsi="宋体" w:eastAsia="宋体" w:cs="宋体"/>
          <w:color w:val="auto"/>
        </w:rPr>
      </w:pPr>
    </w:p>
    <w:p>
      <w:pPr>
        <w:pStyle w:val="17"/>
        <w:rPr>
          <w:rFonts w:hint="eastAsia" w:ascii="宋体" w:hAnsi="宋体" w:eastAsia="宋体" w:cs="宋体"/>
          <w:color w:val="auto"/>
        </w:rPr>
      </w:pPr>
    </w:p>
    <w:p>
      <w:pPr>
        <w:pStyle w:val="17"/>
        <w:rPr>
          <w:rFonts w:hint="eastAsia" w:ascii="宋体" w:hAnsi="宋体" w:eastAsia="宋体" w:cs="宋体"/>
          <w:color w:val="auto"/>
        </w:rPr>
      </w:pPr>
    </w:p>
    <w:p>
      <w:pPr>
        <w:pStyle w:val="17"/>
        <w:rPr>
          <w:rFonts w:hint="eastAsia" w:ascii="宋体" w:hAnsi="宋体" w:eastAsia="宋体" w:cs="宋体"/>
          <w:color w:val="auto"/>
        </w:rPr>
      </w:pPr>
    </w:p>
    <w:p>
      <w:pPr>
        <w:widowControl/>
        <w:spacing w:line="460" w:lineRule="exact"/>
        <w:ind w:firstLine="640" w:firstLineChars="200"/>
        <w:jc w:val="center"/>
        <w:rPr>
          <w:rFonts w:hint="eastAsia" w:ascii="宋体" w:hAnsi="宋体" w:cs="宋体"/>
          <w:color w:val="auto"/>
          <w:sz w:val="32"/>
        </w:rPr>
      </w:pPr>
      <w:r>
        <w:rPr>
          <w:rFonts w:hint="eastAsia" w:ascii="宋体" w:hAnsi="宋体" w:cs="宋体"/>
          <w:color w:val="auto"/>
          <w:sz w:val="32"/>
        </w:rPr>
        <w:t>九、盐城市政府采购事前信用承诺书</w:t>
      </w:r>
    </w:p>
    <w:p>
      <w:pPr>
        <w:widowControl/>
        <w:spacing w:line="460" w:lineRule="exact"/>
        <w:ind w:firstLine="640" w:firstLineChars="200"/>
        <w:jc w:val="left"/>
        <w:rPr>
          <w:rFonts w:hint="eastAsia" w:ascii="宋体" w:hAnsi="宋体" w:cs="宋体"/>
          <w:color w:val="auto"/>
          <w:sz w:val="32"/>
        </w:rPr>
      </w:pPr>
    </w:p>
    <w:p>
      <w:pPr>
        <w:widowControl/>
        <w:adjustRightInd w:val="0"/>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为营造我市公开、公平、公正、诚实守信的政府采购交易环境，树立诚信守法的投标人形象，本人代表本单位作出以下承诺：</w:t>
      </w:r>
    </w:p>
    <w:p>
      <w:pPr>
        <w:widowControl/>
        <w:adjustRightInd w:val="0"/>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adjustRightInd w:val="0"/>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adjustRightInd w:val="0"/>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（三）严格依照国家和省、市关于政府采购的法律、法规、规章、规范性文件，参加政府采购投标活动；积极履行社会责任，促进廉政建设；</w:t>
      </w:r>
    </w:p>
    <w:p>
      <w:pPr>
        <w:widowControl/>
        <w:adjustRightInd w:val="0"/>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（四）严格遵守即时信息公示规定，及时维护和更新维护和更新盐城市政府采购网中与本单位相关的信息；</w:t>
      </w:r>
    </w:p>
    <w:p>
      <w:pPr>
        <w:widowControl/>
        <w:adjustRightInd w:val="0"/>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adjustRightInd w:val="0"/>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（六）自觉接受政府、行业组织、社会公众、新闻舆论的监督；</w:t>
      </w:r>
    </w:p>
    <w:p>
      <w:pPr>
        <w:widowControl/>
        <w:adjustRightInd w:val="0"/>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adjustRightInd w:val="0"/>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（八）本人已认真阅读了上述承诺，并向本单位员工作了宣传教育。</w:t>
      </w:r>
    </w:p>
    <w:p>
      <w:pPr>
        <w:widowControl/>
        <w:adjustRightInd w:val="0"/>
        <w:snapToGrid w:val="0"/>
        <w:spacing w:line="360" w:lineRule="auto"/>
        <w:ind w:firstLine="480" w:firstLineChars="200"/>
        <w:jc w:val="left"/>
        <w:rPr>
          <w:rFonts w:hint="eastAsia" w:ascii="宋体" w:hAnsi="宋体" w:cs="宋体"/>
          <w:color w:val="auto"/>
          <w:sz w:val="24"/>
          <w:szCs w:val="24"/>
        </w:rPr>
      </w:pPr>
    </w:p>
    <w:p>
      <w:pPr>
        <w:widowControl/>
        <w:adjustRightInd w:val="0"/>
        <w:snapToGrid w:val="0"/>
        <w:spacing w:line="360" w:lineRule="auto"/>
        <w:ind w:firstLine="480" w:firstLineChars="200"/>
        <w:jc w:val="center"/>
        <w:rPr>
          <w:rFonts w:hint="eastAsia" w:ascii="宋体" w:hAnsi="宋体" w:cs="宋体"/>
          <w:color w:val="auto"/>
          <w:sz w:val="24"/>
          <w:szCs w:val="24"/>
        </w:rPr>
      </w:pPr>
      <w:r>
        <w:rPr>
          <w:rFonts w:hint="eastAsia" w:ascii="宋体" w:hAnsi="宋体" w:cs="宋体"/>
          <w:color w:val="auto"/>
          <w:sz w:val="24"/>
          <w:szCs w:val="24"/>
        </w:rPr>
        <w:t xml:space="preserve">                 法定代表人签名：</w:t>
      </w:r>
    </w:p>
    <w:p>
      <w:pPr>
        <w:widowControl/>
        <w:adjustRightInd w:val="0"/>
        <w:snapToGrid w:val="0"/>
        <w:spacing w:line="360" w:lineRule="auto"/>
        <w:ind w:firstLine="480" w:firstLineChars="200"/>
        <w:jc w:val="center"/>
        <w:rPr>
          <w:rFonts w:hint="eastAsia" w:ascii="宋体" w:hAnsi="宋体" w:cs="宋体"/>
          <w:color w:val="auto"/>
          <w:sz w:val="24"/>
          <w:szCs w:val="24"/>
        </w:rPr>
      </w:pPr>
      <w:r>
        <w:rPr>
          <w:rFonts w:hint="eastAsia" w:ascii="宋体" w:hAnsi="宋体" w:cs="宋体"/>
          <w:color w:val="auto"/>
          <w:sz w:val="24"/>
          <w:szCs w:val="24"/>
        </w:rPr>
        <w:t xml:space="preserve">                   单位名称（盖章）：</w:t>
      </w:r>
    </w:p>
    <w:p>
      <w:pPr>
        <w:widowControl/>
        <w:adjustRightInd w:val="0"/>
        <w:snapToGrid w:val="0"/>
        <w:spacing w:line="360" w:lineRule="auto"/>
        <w:ind w:firstLine="480" w:firstLineChars="200"/>
        <w:jc w:val="center"/>
        <w:rPr>
          <w:rFonts w:hint="eastAsia" w:ascii="宋体" w:hAnsi="宋体" w:cs="宋体"/>
          <w:color w:val="auto"/>
          <w:sz w:val="24"/>
          <w:szCs w:val="24"/>
        </w:rPr>
      </w:pPr>
      <w:r>
        <w:rPr>
          <w:rFonts w:hint="eastAsia" w:ascii="宋体" w:hAnsi="宋体" w:cs="宋体"/>
          <w:color w:val="auto"/>
          <w:sz w:val="24"/>
          <w:szCs w:val="24"/>
        </w:rPr>
        <w:t xml:space="preserve">                      年    月    日</w:t>
      </w:r>
    </w:p>
    <w:p>
      <w:pPr>
        <w:pStyle w:val="17"/>
        <w:rPr>
          <w:rFonts w:hint="eastAsia" w:ascii="宋体" w:hAnsi="宋体" w:eastAsia="宋体" w:cs="宋体"/>
          <w:color w:val="auto"/>
        </w:rPr>
      </w:pPr>
    </w:p>
    <w:sectPr>
      <w:pgSz w:w="11906" w:h="16838"/>
      <w:pgMar w:top="1417" w:right="1588" w:bottom="1417" w:left="1365" w:header="851" w:footer="907" w:gutter="0"/>
      <w:pgNumType w:fmt="numberInDas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w:t>
    </w:r>
    <w:r>
      <w:t xml:space="preserve"> 26 -</w:t>
    </w:r>
    <w:r>
      <w:rPr>
        <w:lang w:val="zh-CN"/>
      </w:rP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lang w:bidi="ar"/>
      </w:rPr>
      <w:t>2021-013Q</w:t>
    </w:r>
    <w:r>
      <w:rPr>
        <w:rFonts w:hint="eastAsia" w:ascii="Times New Roman" w:hAnsi="隶书" w:eastAsia="隶书" w:cs="隶书"/>
        <w:color w:val="000000"/>
        <w:spacing w:val="40"/>
        <w:kern w:val="2"/>
        <w:sz w:val="21"/>
        <w:szCs w:val="21"/>
        <w:lang w:bidi="ar"/>
      </w:rPr>
      <w:t>招标文件</w:t>
    </w:r>
  </w:p>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D9626"/>
    <w:multiLevelType w:val="singleLevel"/>
    <w:tmpl w:val="9E5D9626"/>
    <w:lvl w:ilvl="0" w:tentative="0">
      <w:start w:val="1"/>
      <w:numFmt w:val="decimal"/>
      <w:suff w:val="nothing"/>
      <w:lvlText w:val="%1、"/>
      <w:lvlJc w:val="left"/>
    </w:lvl>
  </w:abstractNum>
  <w:abstractNum w:abstractNumId="1">
    <w:nsid w:val="D306E330"/>
    <w:multiLevelType w:val="singleLevel"/>
    <w:tmpl w:val="D306E330"/>
    <w:lvl w:ilvl="0" w:tentative="0">
      <w:start w:val="2"/>
      <w:numFmt w:val="chineseCounting"/>
      <w:suff w:val="nothing"/>
      <w:lvlText w:val="（%1）"/>
      <w:lvlJc w:val="left"/>
      <w:rPr>
        <w:rFonts w:hint="eastAsia"/>
      </w:rPr>
    </w:lvl>
  </w:abstractNum>
  <w:abstractNum w:abstractNumId="2">
    <w:nsid w:val="06784D56"/>
    <w:multiLevelType w:val="singleLevel"/>
    <w:tmpl w:val="06784D56"/>
    <w:lvl w:ilvl="0" w:tentative="0">
      <w:start w:val="1"/>
      <w:numFmt w:val="upperLetter"/>
      <w:pStyle w:val="91"/>
      <w:lvlText w:val="附录%1."/>
      <w:lvlJc w:val="left"/>
      <w:pPr>
        <w:tabs>
          <w:tab w:val="left" w:pos="907"/>
        </w:tabs>
        <w:ind w:left="907" w:hanging="907"/>
      </w:pPr>
      <w:rPr>
        <w:rFonts w:hint="eastAsia"/>
      </w:rPr>
    </w:lvl>
  </w:abstractNum>
  <w:abstractNum w:abstractNumId="3">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644F86A"/>
    <w:multiLevelType w:val="singleLevel"/>
    <w:tmpl w:val="1644F86A"/>
    <w:lvl w:ilvl="0" w:tentative="0">
      <w:start w:val="4"/>
      <w:numFmt w:val="chineseCounting"/>
      <w:suff w:val="space"/>
      <w:lvlText w:val="第%1章"/>
      <w:lvlJc w:val="left"/>
      <w:rPr>
        <w:rFonts w:hint="eastAsia"/>
      </w:rPr>
    </w:lvl>
  </w:abstractNum>
  <w:abstractNum w:abstractNumId="5">
    <w:nsid w:val="23A4EF28"/>
    <w:multiLevelType w:val="singleLevel"/>
    <w:tmpl w:val="23A4EF28"/>
    <w:lvl w:ilvl="0" w:tentative="0">
      <w:start w:val="9"/>
      <w:numFmt w:val="chineseCounting"/>
      <w:suff w:val="nothing"/>
      <w:lvlText w:val="%1、"/>
      <w:lvlJc w:val="left"/>
      <w:rPr>
        <w:rFonts w:hint="eastAsia"/>
      </w:rPr>
    </w:lvl>
  </w:abstractNum>
  <w:abstractNum w:abstractNumId="6">
    <w:nsid w:val="23CA3DFE"/>
    <w:multiLevelType w:val="singleLevel"/>
    <w:tmpl w:val="23CA3DFE"/>
    <w:lvl w:ilvl="0" w:tentative="0">
      <w:start w:val="1"/>
      <w:numFmt w:val="decimal"/>
      <w:lvlText w:val="%1、"/>
      <w:lvlJc w:val="left"/>
      <w:pPr>
        <w:tabs>
          <w:tab w:val="left" w:pos="480"/>
        </w:tabs>
        <w:ind w:left="480" w:hanging="480"/>
      </w:pPr>
    </w:lvl>
  </w:abstractNum>
  <w:abstractNum w:abstractNumId="7">
    <w:nsid w:val="34620FCE"/>
    <w:multiLevelType w:val="singleLevel"/>
    <w:tmpl w:val="34620FCE"/>
    <w:lvl w:ilvl="0" w:tentative="0">
      <w:start w:val="5"/>
      <w:numFmt w:val="chineseCounting"/>
      <w:suff w:val="nothing"/>
      <w:lvlText w:val="%1、"/>
      <w:lvlJc w:val="left"/>
      <w:rPr>
        <w:rFonts w:hint="eastAsia"/>
      </w:rPr>
    </w:lvl>
  </w:abstractNum>
  <w:abstractNum w:abstractNumId="8">
    <w:nsid w:val="420C153B"/>
    <w:multiLevelType w:val="multilevel"/>
    <w:tmpl w:val="420C153B"/>
    <w:lvl w:ilvl="0" w:tentative="0">
      <w:start w:val="1"/>
      <w:numFmt w:val="decimal"/>
      <w:pStyle w:val="10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0">
    <w:nsid w:val="6626CC40"/>
    <w:multiLevelType w:val="singleLevel"/>
    <w:tmpl w:val="6626CC40"/>
    <w:lvl w:ilvl="0" w:tentative="0">
      <w:start w:val="1"/>
      <w:numFmt w:val="chineseCounting"/>
      <w:suff w:val="nothing"/>
      <w:lvlText w:val="%1、"/>
      <w:lvlJc w:val="left"/>
      <w:pPr>
        <w:ind w:left="150"/>
      </w:pPr>
      <w:rPr>
        <w:rFonts w:hint="eastAsia"/>
      </w:rPr>
    </w:lvl>
  </w:abstractNum>
  <w:abstractNum w:abstractNumId="11">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9"/>
  </w:num>
  <w:num w:numId="2">
    <w:abstractNumId w:val="2"/>
  </w:num>
  <w:num w:numId="3">
    <w:abstractNumId w:val="8"/>
  </w:num>
  <w:num w:numId="4">
    <w:abstractNumId w:val="11"/>
  </w:num>
  <w:num w:numId="5">
    <w:abstractNumId w:val="1"/>
  </w:num>
  <w:num w:numId="6">
    <w:abstractNumId w:val="5"/>
  </w:num>
  <w:num w:numId="7">
    <w:abstractNumId w:val="4"/>
  </w:num>
  <w:num w:numId="8">
    <w:abstractNumId w:val="10"/>
  </w:num>
  <w:num w:numId="9">
    <w:abstractNumId w:val="0"/>
  </w:num>
  <w:num w:numId="10">
    <w:abstractNumId w:val="7"/>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05"/>
  <w:drawingGridVerticalSpacing w:val="14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AF1"/>
    <w:rsid w:val="000021F1"/>
    <w:rsid w:val="00003DC7"/>
    <w:rsid w:val="00005139"/>
    <w:rsid w:val="000060F7"/>
    <w:rsid w:val="000065F6"/>
    <w:rsid w:val="00006B61"/>
    <w:rsid w:val="00006BCB"/>
    <w:rsid w:val="000114A6"/>
    <w:rsid w:val="00012B1C"/>
    <w:rsid w:val="00014F7E"/>
    <w:rsid w:val="0001609A"/>
    <w:rsid w:val="00016776"/>
    <w:rsid w:val="000177E7"/>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4AA1"/>
    <w:rsid w:val="00036863"/>
    <w:rsid w:val="000440A4"/>
    <w:rsid w:val="00045D22"/>
    <w:rsid w:val="00046B9E"/>
    <w:rsid w:val="0005153E"/>
    <w:rsid w:val="000544A7"/>
    <w:rsid w:val="0005513D"/>
    <w:rsid w:val="00055BC4"/>
    <w:rsid w:val="00056AE9"/>
    <w:rsid w:val="00057ADA"/>
    <w:rsid w:val="000605BB"/>
    <w:rsid w:val="0006121F"/>
    <w:rsid w:val="00062851"/>
    <w:rsid w:val="00062C51"/>
    <w:rsid w:val="0006579C"/>
    <w:rsid w:val="0006657E"/>
    <w:rsid w:val="00066E0B"/>
    <w:rsid w:val="000704C0"/>
    <w:rsid w:val="00071631"/>
    <w:rsid w:val="00072A72"/>
    <w:rsid w:val="00073884"/>
    <w:rsid w:val="00073CD4"/>
    <w:rsid w:val="000742E4"/>
    <w:rsid w:val="00076A17"/>
    <w:rsid w:val="000824BA"/>
    <w:rsid w:val="00082C5C"/>
    <w:rsid w:val="00082F11"/>
    <w:rsid w:val="0008366C"/>
    <w:rsid w:val="000837A2"/>
    <w:rsid w:val="00084B83"/>
    <w:rsid w:val="00085AAC"/>
    <w:rsid w:val="00090BB5"/>
    <w:rsid w:val="0009388C"/>
    <w:rsid w:val="000939A7"/>
    <w:rsid w:val="00094CD5"/>
    <w:rsid w:val="000956B3"/>
    <w:rsid w:val="00096A17"/>
    <w:rsid w:val="00096BDF"/>
    <w:rsid w:val="0009760F"/>
    <w:rsid w:val="000A2FC6"/>
    <w:rsid w:val="000A41F7"/>
    <w:rsid w:val="000A535D"/>
    <w:rsid w:val="000A5684"/>
    <w:rsid w:val="000B1517"/>
    <w:rsid w:val="000B7486"/>
    <w:rsid w:val="000B7669"/>
    <w:rsid w:val="000C0376"/>
    <w:rsid w:val="000C0CA5"/>
    <w:rsid w:val="000C1440"/>
    <w:rsid w:val="000C3447"/>
    <w:rsid w:val="000C3B7F"/>
    <w:rsid w:val="000C4A8C"/>
    <w:rsid w:val="000C6DBE"/>
    <w:rsid w:val="000C7D2E"/>
    <w:rsid w:val="000D004D"/>
    <w:rsid w:val="000D12F6"/>
    <w:rsid w:val="000D24A9"/>
    <w:rsid w:val="000D5CD6"/>
    <w:rsid w:val="000D640F"/>
    <w:rsid w:val="000E0296"/>
    <w:rsid w:val="000E1348"/>
    <w:rsid w:val="000E4679"/>
    <w:rsid w:val="000E6362"/>
    <w:rsid w:val="000F17DF"/>
    <w:rsid w:val="000F1C96"/>
    <w:rsid w:val="000F299B"/>
    <w:rsid w:val="000F2FA5"/>
    <w:rsid w:val="000F3196"/>
    <w:rsid w:val="000F3822"/>
    <w:rsid w:val="000F3C65"/>
    <w:rsid w:val="000F4765"/>
    <w:rsid w:val="000F5749"/>
    <w:rsid w:val="000F7AE6"/>
    <w:rsid w:val="00101213"/>
    <w:rsid w:val="0010432D"/>
    <w:rsid w:val="00105C21"/>
    <w:rsid w:val="001062AB"/>
    <w:rsid w:val="001065A0"/>
    <w:rsid w:val="00106600"/>
    <w:rsid w:val="00106A54"/>
    <w:rsid w:val="00110803"/>
    <w:rsid w:val="00113C44"/>
    <w:rsid w:val="00115161"/>
    <w:rsid w:val="00115439"/>
    <w:rsid w:val="00116CC8"/>
    <w:rsid w:val="00116DBE"/>
    <w:rsid w:val="001209A8"/>
    <w:rsid w:val="00120B27"/>
    <w:rsid w:val="001216F8"/>
    <w:rsid w:val="0012335D"/>
    <w:rsid w:val="00126079"/>
    <w:rsid w:val="00127CC7"/>
    <w:rsid w:val="00130A9A"/>
    <w:rsid w:val="001319A2"/>
    <w:rsid w:val="001320A5"/>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950"/>
    <w:rsid w:val="00151BCA"/>
    <w:rsid w:val="0015339B"/>
    <w:rsid w:val="0015366A"/>
    <w:rsid w:val="001539B3"/>
    <w:rsid w:val="001542EE"/>
    <w:rsid w:val="00154675"/>
    <w:rsid w:val="00155193"/>
    <w:rsid w:val="001553EC"/>
    <w:rsid w:val="00155CB8"/>
    <w:rsid w:val="001569DC"/>
    <w:rsid w:val="00157965"/>
    <w:rsid w:val="00161885"/>
    <w:rsid w:val="00162263"/>
    <w:rsid w:val="001639BC"/>
    <w:rsid w:val="00163DB6"/>
    <w:rsid w:val="00163ED5"/>
    <w:rsid w:val="00164ABA"/>
    <w:rsid w:val="0016506B"/>
    <w:rsid w:val="00167B47"/>
    <w:rsid w:val="001705EF"/>
    <w:rsid w:val="0017062E"/>
    <w:rsid w:val="00170855"/>
    <w:rsid w:val="00173EEF"/>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B2DEF"/>
    <w:rsid w:val="001B5050"/>
    <w:rsid w:val="001B73A0"/>
    <w:rsid w:val="001B7E61"/>
    <w:rsid w:val="001C14B1"/>
    <w:rsid w:val="001C373D"/>
    <w:rsid w:val="001C5C56"/>
    <w:rsid w:val="001C5F27"/>
    <w:rsid w:val="001D01DB"/>
    <w:rsid w:val="001D1657"/>
    <w:rsid w:val="001D4A32"/>
    <w:rsid w:val="001D6773"/>
    <w:rsid w:val="001D6B89"/>
    <w:rsid w:val="001D6E74"/>
    <w:rsid w:val="001D702A"/>
    <w:rsid w:val="001E13DE"/>
    <w:rsid w:val="001E1981"/>
    <w:rsid w:val="001E2637"/>
    <w:rsid w:val="001E61A6"/>
    <w:rsid w:val="001E7A14"/>
    <w:rsid w:val="001F110F"/>
    <w:rsid w:val="001F15A6"/>
    <w:rsid w:val="001F1B38"/>
    <w:rsid w:val="001F2972"/>
    <w:rsid w:val="001F3E1F"/>
    <w:rsid w:val="001F5085"/>
    <w:rsid w:val="001F7971"/>
    <w:rsid w:val="002015B0"/>
    <w:rsid w:val="00201E97"/>
    <w:rsid w:val="00203A07"/>
    <w:rsid w:val="00210ECA"/>
    <w:rsid w:val="00211A2F"/>
    <w:rsid w:val="00213857"/>
    <w:rsid w:val="00213E9A"/>
    <w:rsid w:val="002142E2"/>
    <w:rsid w:val="00215C57"/>
    <w:rsid w:val="002173E8"/>
    <w:rsid w:val="00217582"/>
    <w:rsid w:val="002178D7"/>
    <w:rsid w:val="00217A24"/>
    <w:rsid w:val="00220546"/>
    <w:rsid w:val="002206A2"/>
    <w:rsid w:val="00223B19"/>
    <w:rsid w:val="00224864"/>
    <w:rsid w:val="002248B3"/>
    <w:rsid w:val="00225AFD"/>
    <w:rsid w:val="00230D01"/>
    <w:rsid w:val="00231963"/>
    <w:rsid w:val="00233012"/>
    <w:rsid w:val="002330E9"/>
    <w:rsid w:val="00234032"/>
    <w:rsid w:val="00236135"/>
    <w:rsid w:val="00243056"/>
    <w:rsid w:val="0024324A"/>
    <w:rsid w:val="002440FD"/>
    <w:rsid w:val="00244357"/>
    <w:rsid w:val="00244C9A"/>
    <w:rsid w:val="00244FFE"/>
    <w:rsid w:val="00247653"/>
    <w:rsid w:val="00250A8C"/>
    <w:rsid w:val="00254FD3"/>
    <w:rsid w:val="002561D3"/>
    <w:rsid w:val="00256269"/>
    <w:rsid w:val="00260723"/>
    <w:rsid w:val="002607A3"/>
    <w:rsid w:val="00260BB7"/>
    <w:rsid w:val="00262FF0"/>
    <w:rsid w:val="002636B3"/>
    <w:rsid w:val="002664E2"/>
    <w:rsid w:val="0027038C"/>
    <w:rsid w:val="002716FB"/>
    <w:rsid w:val="0027505D"/>
    <w:rsid w:val="002751D4"/>
    <w:rsid w:val="00280A99"/>
    <w:rsid w:val="00281581"/>
    <w:rsid w:val="00281895"/>
    <w:rsid w:val="00287E9A"/>
    <w:rsid w:val="002910ED"/>
    <w:rsid w:val="00291D3C"/>
    <w:rsid w:val="0029219F"/>
    <w:rsid w:val="00293E8A"/>
    <w:rsid w:val="00293F75"/>
    <w:rsid w:val="00294281"/>
    <w:rsid w:val="00296F36"/>
    <w:rsid w:val="00297496"/>
    <w:rsid w:val="002975F4"/>
    <w:rsid w:val="002976E3"/>
    <w:rsid w:val="002A1D98"/>
    <w:rsid w:val="002A257F"/>
    <w:rsid w:val="002A2FE1"/>
    <w:rsid w:val="002A31C4"/>
    <w:rsid w:val="002A5EB4"/>
    <w:rsid w:val="002B340B"/>
    <w:rsid w:val="002B3493"/>
    <w:rsid w:val="002B3A14"/>
    <w:rsid w:val="002B3F6A"/>
    <w:rsid w:val="002B49AD"/>
    <w:rsid w:val="002B5887"/>
    <w:rsid w:val="002B758B"/>
    <w:rsid w:val="002B7C5D"/>
    <w:rsid w:val="002C14F9"/>
    <w:rsid w:val="002C57E1"/>
    <w:rsid w:val="002C5A53"/>
    <w:rsid w:val="002C5DC3"/>
    <w:rsid w:val="002C639D"/>
    <w:rsid w:val="002D0440"/>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D17"/>
    <w:rsid w:val="002F0DD3"/>
    <w:rsid w:val="002F160B"/>
    <w:rsid w:val="002F39C9"/>
    <w:rsid w:val="002F5991"/>
    <w:rsid w:val="002F6543"/>
    <w:rsid w:val="002F7432"/>
    <w:rsid w:val="0030004D"/>
    <w:rsid w:val="003007AD"/>
    <w:rsid w:val="0030300C"/>
    <w:rsid w:val="00303B22"/>
    <w:rsid w:val="00305902"/>
    <w:rsid w:val="0030792E"/>
    <w:rsid w:val="00307D8B"/>
    <w:rsid w:val="003100C5"/>
    <w:rsid w:val="003102E4"/>
    <w:rsid w:val="00311404"/>
    <w:rsid w:val="00311F7A"/>
    <w:rsid w:val="00314A50"/>
    <w:rsid w:val="00314CE0"/>
    <w:rsid w:val="003161E0"/>
    <w:rsid w:val="0031718B"/>
    <w:rsid w:val="00320AF9"/>
    <w:rsid w:val="0032284B"/>
    <w:rsid w:val="00322C31"/>
    <w:rsid w:val="0032383B"/>
    <w:rsid w:val="00324629"/>
    <w:rsid w:val="00324942"/>
    <w:rsid w:val="00325F10"/>
    <w:rsid w:val="00327962"/>
    <w:rsid w:val="0033180A"/>
    <w:rsid w:val="00332BD1"/>
    <w:rsid w:val="00340404"/>
    <w:rsid w:val="00341B1F"/>
    <w:rsid w:val="00342232"/>
    <w:rsid w:val="00342F58"/>
    <w:rsid w:val="00344A42"/>
    <w:rsid w:val="00345172"/>
    <w:rsid w:val="00345847"/>
    <w:rsid w:val="00345904"/>
    <w:rsid w:val="00346DB2"/>
    <w:rsid w:val="00351E99"/>
    <w:rsid w:val="00352805"/>
    <w:rsid w:val="00352E10"/>
    <w:rsid w:val="00361414"/>
    <w:rsid w:val="0036323C"/>
    <w:rsid w:val="003637A9"/>
    <w:rsid w:val="00364C10"/>
    <w:rsid w:val="00364D92"/>
    <w:rsid w:val="003651A8"/>
    <w:rsid w:val="0036697F"/>
    <w:rsid w:val="00366A7D"/>
    <w:rsid w:val="00370538"/>
    <w:rsid w:val="00370EE3"/>
    <w:rsid w:val="00371669"/>
    <w:rsid w:val="003723DE"/>
    <w:rsid w:val="0037409D"/>
    <w:rsid w:val="00374A1A"/>
    <w:rsid w:val="0037542D"/>
    <w:rsid w:val="003757DC"/>
    <w:rsid w:val="003757FE"/>
    <w:rsid w:val="0037639C"/>
    <w:rsid w:val="00376BFC"/>
    <w:rsid w:val="00380344"/>
    <w:rsid w:val="003805A7"/>
    <w:rsid w:val="003813A4"/>
    <w:rsid w:val="00381970"/>
    <w:rsid w:val="0038206F"/>
    <w:rsid w:val="00382C6A"/>
    <w:rsid w:val="00382E67"/>
    <w:rsid w:val="003837A1"/>
    <w:rsid w:val="003837C7"/>
    <w:rsid w:val="00383877"/>
    <w:rsid w:val="00384669"/>
    <w:rsid w:val="00384843"/>
    <w:rsid w:val="00384B1E"/>
    <w:rsid w:val="00386BE7"/>
    <w:rsid w:val="00386DF4"/>
    <w:rsid w:val="00387E7E"/>
    <w:rsid w:val="00391A1F"/>
    <w:rsid w:val="00391F59"/>
    <w:rsid w:val="003942C1"/>
    <w:rsid w:val="003955A2"/>
    <w:rsid w:val="00397211"/>
    <w:rsid w:val="003A09F4"/>
    <w:rsid w:val="003A10B4"/>
    <w:rsid w:val="003A10F5"/>
    <w:rsid w:val="003A1A6E"/>
    <w:rsid w:val="003A454B"/>
    <w:rsid w:val="003A4E67"/>
    <w:rsid w:val="003A5ED9"/>
    <w:rsid w:val="003A72E5"/>
    <w:rsid w:val="003B367D"/>
    <w:rsid w:val="003B3E7D"/>
    <w:rsid w:val="003B559E"/>
    <w:rsid w:val="003B59D9"/>
    <w:rsid w:val="003B5D45"/>
    <w:rsid w:val="003B62CF"/>
    <w:rsid w:val="003B6952"/>
    <w:rsid w:val="003B6DB5"/>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2D05"/>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2F87"/>
    <w:rsid w:val="003F3D20"/>
    <w:rsid w:val="003F3D3D"/>
    <w:rsid w:val="003F4477"/>
    <w:rsid w:val="003F4A55"/>
    <w:rsid w:val="003F4F24"/>
    <w:rsid w:val="003F4FAB"/>
    <w:rsid w:val="003F5A9B"/>
    <w:rsid w:val="003F5CA7"/>
    <w:rsid w:val="004007DB"/>
    <w:rsid w:val="00400C8B"/>
    <w:rsid w:val="004024F1"/>
    <w:rsid w:val="00403EE9"/>
    <w:rsid w:val="004043A2"/>
    <w:rsid w:val="00405121"/>
    <w:rsid w:val="0041079B"/>
    <w:rsid w:val="00410D40"/>
    <w:rsid w:val="00411141"/>
    <w:rsid w:val="00412922"/>
    <w:rsid w:val="00412A51"/>
    <w:rsid w:val="00414707"/>
    <w:rsid w:val="00414E62"/>
    <w:rsid w:val="00416102"/>
    <w:rsid w:val="0041786D"/>
    <w:rsid w:val="0042033E"/>
    <w:rsid w:val="004207BA"/>
    <w:rsid w:val="00420952"/>
    <w:rsid w:val="00420ECB"/>
    <w:rsid w:val="0042200D"/>
    <w:rsid w:val="00422355"/>
    <w:rsid w:val="00423691"/>
    <w:rsid w:val="004248EB"/>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41C8"/>
    <w:rsid w:val="0045494F"/>
    <w:rsid w:val="00455782"/>
    <w:rsid w:val="0046208D"/>
    <w:rsid w:val="00462769"/>
    <w:rsid w:val="004635F0"/>
    <w:rsid w:val="0047140D"/>
    <w:rsid w:val="004717D9"/>
    <w:rsid w:val="00472192"/>
    <w:rsid w:val="00472FDE"/>
    <w:rsid w:val="00474521"/>
    <w:rsid w:val="00474B80"/>
    <w:rsid w:val="00475C95"/>
    <w:rsid w:val="004765B6"/>
    <w:rsid w:val="00477688"/>
    <w:rsid w:val="00481BCD"/>
    <w:rsid w:val="0048224C"/>
    <w:rsid w:val="00482715"/>
    <w:rsid w:val="004837DF"/>
    <w:rsid w:val="00484CB3"/>
    <w:rsid w:val="004874B1"/>
    <w:rsid w:val="0049146C"/>
    <w:rsid w:val="00491A79"/>
    <w:rsid w:val="0049301E"/>
    <w:rsid w:val="004939DA"/>
    <w:rsid w:val="00494B59"/>
    <w:rsid w:val="00494C4F"/>
    <w:rsid w:val="004957EF"/>
    <w:rsid w:val="004A099A"/>
    <w:rsid w:val="004A4374"/>
    <w:rsid w:val="004A4795"/>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0D38"/>
    <w:rsid w:val="004F2C95"/>
    <w:rsid w:val="004F34A8"/>
    <w:rsid w:val="004F4AE0"/>
    <w:rsid w:val="004F526C"/>
    <w:rsid w:val="004F54BA"/>
    <w:rsid w:val="005000FE"/>
    <w:rsid w:val="00500D41"/>
    <w:rsid w:val="00502660"/>
    <w:rsid w:val="00503685"/>
    <w:rsid w:val="00504FB2"/>
    <w:rsid w:val="00505733"/>
    <w:rsid w:val="00506B42"/>
    <w:rsid w:val="005118AB"/>
    <w:rsid w:val="00512034"/>
    <w:rsid w:val="005142D5"/>
    <w:rsid w:val="00514D3A"/>
    <w:rsid w:val="00514F73"/>
    <w:rsid w:val="00527C3A"/>
    <w:rsid w:val="00532ED5"/>
    <w:rsid w:val="00533AE1"/>
    <w:rsid w:val="00533FB8"/>
    <w:rsid w:val="005340AF"/>
    <w:rsid w:val="00535FA1"/>
    <w:rsid w:val="005361E9"/>
    <w:rsid w:val="0054082E"/>
    <w:rsid w:val="0054132B"/>
    <w:rsid w:val="00541D5A"/>
    <w:rsid w:val="00542A4C"/>
    <w:rsid w:val="005448F9"/>
    <w:rsid w:val="00545C97"/>
    <w:rsid w:val="00546111"/>
    <w:rsid w:val="0054631A"/>
    <w:rsid w:val="005474A7"/>
    <w:rsid w:val="00547F1A"/>
    <w:rsid w:val="00551078"/>
    <w:rsid w:val="005528D7"/>
    <w:rsid w:val="0055319A"/>
    <w:rsid w:val="00553209"/>
    <w:rsid w:val="00553A93"/>
    <w:rsid w:val="00553E41"/>
    <w:rsid w:val="00556ACF"/>
    <w:rsid w:val="00557A2E"/>
    <w:rsid w:val="005619A4"/>
    <w:rsid w:val="00563148"/>
    <w:rsid w:val="00564925"/>
    <w:rsid w:val="00565404"/>
    <w:rsid w:val="005662B1"/>
    <w:rsid w:val="005700F5"/>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5052"/>
    <w:rsid w:val="005966F6"/>
    <w:rsid w:val="00597A56"/>
    <w:rsid w:val="00597AD8"/>
    <w:rsid w:val="005A0E90"/>
    <w:rsid w:val="005A1B17"/>
    <w:rsid w:val="005A26D5"/>
    <w:rsid w:val="005A5060"/>
    <w:rsid w:val="005A71B8"/>
    <w:rsid w:val="005B0841"/>
    <w:rsid w:val="005B220B"/>
    <w:rsid w:val="005B296B"/>
    <w:rsid w:val="005B2A20"/>
    <w:rsid w:val="005B317C"/>
    <w:rsid w:val="005B5728"/>
    <w:rsid w:val="005B6660"/>
    <w:rsid w:val="005B666F"/>
    <w:rsid w:val="005B6B13"/>
    <w:rsid w:val="005B713F"/>
    <w:rsid w:val="005C1AC2"/>
    <w:rsid w:val="005C226F"/>
    <w:rsid w:val="005C31A5"/>
    <w:rsid w:val="005C54A5"/>
    <w:rsid w:val="005C5E1B"/>
    <w:rsid w:val="005C7F76"/>
    <w:rsid w:val="005D0E31"/>
    <w:rsid w:val="005D0FF6"/>
    <w:rsid w:val="005D1814"/>
    <w:rsid w:val="005D2582"/>
    <w:rsid w:val="005D2F4F"/>
    <w:rsid w:val="005D45E2"/>
    <w:rsid w:val="005D4F77"/>
    <w:rsid w:val="005D50E5"/>
    <w:rsid w:val="005D622B"/>
    <w:rsid w:val="005D6EAC"/>
    <w:rsid w:val="005D7231"/>
    <w:rsid w:val="005D74B4"/>
    <w:rsid w:val="005E041E"/>
    <w:rsid w:val="005E066A"/>
    <w:rsid w:val="005E08F0"/>
    <w:rsid w:val="005E0D27"/>
    <w:rsid w:val="005E209B"/>
    <w:rsid w:val="005E2853"/>
    <w:rsid w:val="005E3525"/>
    <w:rsid w:val="005E6190"/>
    <w:rsid w:val="005E6D04"/>
    <w:rsid w:val="005E711C"/>
    <w:rsid w:val="005E74E2"/>
    <w:rsid w:val="005E78FF"/>
    <w:rsid w:val="005E797D"/>
    <w:rsid w:val="005F1F14"/>
    <w:rsid w:val="005F2D59"/>
    <w:rsid w:val="005F37C7"/>
    <w:rsid w:val="005F4260"/>
    <w:rsid w:val="005F4702"/>
    <w:rsid w:val="005F5F5F"/>
    <w:rsid w:val="005F6011"/>
    <w:rsid w:val="005F688B"/>
    <w:rsid w:val="00600EF7"/>
    <w:rsid w:val="006013D6"/>
    <w:rsid w:val="0060313A"/>
    <w:rsid w:val="00605458"/>
    <w:rsid w:val="0060612E"/>
    <w:rsid w:val="00606422"/>
    <w:rsid w:val="00610966"/>
    <w:rsid w:val="00611A6B"/>
    <w:rsid w:val="00611B75"/>
    <w:rsid w:val="00612785"/>
    <w:rsid w:val="00615124"/>
    <w:rsid w:val="00617A49"/>
    <w:rsid w:val="00617E8B"/>
    <w:rsid w:val="006233E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342"/>
    <w:rsid w:val="00653D99"/>
    <w:rsid w:val="00654444"/>
    <w:rsid w:val="00654E03"/>
    <w:rsid w:val="00655FB0"/>
    <w:rsid w:val="006605C3"/>
    <w:rsid w:val="00663932"/>
    <w:rsid w:val="006646FE"/>
    <w:rsid w:val="006653B1"/>
    <w:rsid w:val="0066550E"/>
    <w:rsid w:val="006655F4"/>
    <w:rsid w:val="00667DF2"/>
    <w:rsid w:val="00671016"/>
    <w:rsid w:val="00671C9E"/>
    <w:rsid w:val="006721A6"/>
    <w:rsid w:val="00672F92"/>
    <w:rsid w:val="006730DF"/>
    <w:rsid w:val="00673969"/>
    <w:rsid w:val="00674DA6"/>
    <w:rsid w:val="00674E96"/>
    <w:rsid w:val="00675047"/>
    <w:rsid w:val="006757A0"/>
    <w:rsid w:val="00677195"/>
    <w:rsid w:val="006772C8"/>
    <w:rsid w:val="00677933"/>
    <w:rsid w:val="0068010E"/>
    <w:rsid w:val="006809A1"/>
    <w:rsid w:val="00681716"/>
    <w:rsid w:val="00681E38"/>
    <w:rsid w:val="00682057"/>
    <w:rsid w:val="00682B2A"/>
    <w:rsid w:val="00684434"/>
    <w:rsid w:val="006852A3"/>
    <w:rsid w:val="006861EC"/>
    <w:rsid w:val="00686340"/>
    <w:rsid w:val="0068645D"/>
    <w:rsid w:val="006865A6"/>
    <w:rsid w:val="006926C2"/>
    <w:rsid w:val="0069416E"/>
    <w:rsid w:val="00694BB8"/>
    <w:rsid w:val="006958E0"/>
    <w:rsid w:val="00697A44"/>
    <w:rsid w:val="006A0347"/>
    <w:rsid w:val="006A0505"/>
    <w:rsid w:val="006A40D6"/>
    <w:rsid w:val="006A46FB"/>
    <w:rsid w:val="006A6A8C"/>
    <w:rsid w:val="006B0BFF"/>
    <w:rsid w:val="006B1F13"/>
    <w:rsid w:val="006B21C1"/>
    <w:rsid w:val="006B31B9"/>
    <w:rsid w:val="006B60FB"/>
    <w:rsid w:val="006C2552"/>
    <w:rsid w:val="006C3AAD"/>
    <w:rsid w:val="006C4BEC"/>
    <w:rsid w:val="006C6A72"/>
    <w:rsid w:val="006D253D"/>
    <w:rsid w:val="006D3461"/>
    <w:rsid w:val="006D3599"/>
    <w:rsid w:val="006D4BF1"/>
    <w:rsid w:val="006E04C0"/>
    <w:rsid w:val="006E1F31"/>
    <w:rsid w:val="006E288A"/>
    <w:rsid w:val="006E4B96"/>
    <w:rsid w:val="006E4D62"/>
    <w:rsid w:val="006E7129"/>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3AD7"/>
    <w:rsid w:val="00724BA4"/>
    <w:rsid w:val="00730623"/>
    <w:rsid w:val="00731ABA"/>
    <w:rsid w:val="00734AAC"/>
    <w:rsid w:val="0073782C"/>
    <w:rsid w:val="00737840"/>
    <w:rsid w:val="00740D6F"/>
    <w:rsid w:val="00740F5D"/>
    <w:rsid w:val="00741C57"/>
    <w:rsid w:val="0074243F"/>
    <w:rsid w:val="00742A78"/>
    <w:rsid w:val="00744352"/>
    <w:rsid w:val="0074612B"/>
    <w:rsid w:val="00747EEB"/>
    <w:rsid w:val="007526D9"/>
    <w:rsid w:val="007544E5"/>
    <w:rsid w:val="0075607C"/>
    <w:rsid w:val="007565CD"/>
    <w:rsid w:val="00756DD4"/>
    <w:rsid w:val="00761192"/>
    <w:rsid w:val="00761B03"/>
    <w:rsid w:val="00762D54"/>
    <w:rsid w:val="00762E7D"/>
    <w:rsid w:val="007656B3"/>
    <w:rsid w:val="00766122"/>
    <w:rsid w:val="00766753"/>
    <w:rsid w:val="00766F33"/>
    <w:rsid w:val="0077182E"/>
    <w:rsid w:val="007729B6"/>
    <w:rsid w:val="00772AF3"/>
    <w:rsid w:val="0077516D"/>
    <w:rsid w:val="00775AB0"/>
    <w:rsid w:val="0077632D"/>
    <w:rsid w:val="0078081B"/>
    <w:rsid w:val="00783A8D"/>
    <w:rsid w:val="00784C9B"/>
    <w:rsid w:val="007854A7"/>
    <w:rsid w:val="00785824"/>
    <w:rsid w:val="00785C62"/>
    <w:rsid w:val="00785CA4"/>
    <w:rsid w:val="00785E00"/>
    <w:rsid w:val="0078681D"/>
    <w:rsid w:val="00786A14"/>
    <w:rsid w:val="00790456"/>
    <w:rsid w:val="00791200"/>
    <w:rsid w:val="00792334"/>
    <w:rsid w:val="007926F2"/>
    <w:rsid w:val="0079372E"/>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5192"/>
    <w:rsid w:val="007B5CFB"/>
    <w:rsid w:val="007B613E"/>
    <w:rsid w:val="007B7166"/>
    <w:rsid w:val="007B792E"/>
    <w:rsid w:val="007C1147"/>
    <w:rsid w:val="007C2B22"/>
    <w:rsid w:val="007C2FF3"/>
    <w:rsid w:val="007C375B"/>
    <w:rsid w:val="007C6419"/>
    <w:rsid w:val="007D0549"/>
    <w:rsid w:val="007D1019"/>
    <w:rsid w:val="007D2B49"/>
    <w:rsid w:val="007D57D4"/>
    <w:rsid w:val="007D7B4A"/>
    <w:rsid w:val="007D7F35"/>
    <w:rsid w:val="007E086A"/>
    <w:rsid w:val="007E0DC0"/>
    <w:rsid w:val="007E13A4"/>
    <w:rsid w:val="007E15B4"/>
    <w:rsid w:val="007E4057"/>
    <w:rsid w:val="007E4FD4"/>
    <w:rsid w:val="007E5F65"/>
    <w:rsid w:val="007F015D"/>
    <w:rsid w:val="007F0A0A"/>
    <w:rsid w:val="007F0EF3"/>
    <w:rsid w:val="007F2F27"/>
    <w:rsid w:val="007F3CBF"/>
    <w:rsid w:val="007F3FF3"/>
    <w:rsid w:val="007F5B3A"/>
    <w:rsid w:val="007F5CE5"/>
    <w:rsid w:val="007F5E90"/>
    <w:rsid w:val="007F61D0"/>
    <w:rsid w:val="007F7178"/>
    <w:rsid w:val="007F762F"/>
    <w:rsid w:val="008006D8"/>
    <w:rsid w:val="00801A93"/>
    <w:rsid w:val="00804038"/>
    <w:rsid w:val="00804FD1"/>
    <w:rsid w:val="00805308"/>
    <w:rsid w:val="00805348"/>
    <w:rsid w:val="00805771"/>
    <w:rsid w:val="00806934"/>
    <w:rsid w:val="00806E4E"/>
    <w:rsid w:val="00807832"/>
    <w:rsid w:val="008100F5"/>
    <w:rsid w:val="008106A3"/>
    <w:rsid w:val="00810A8D"/>
    <w:rsid w:val="00810F19"/>
    <w:rsid w:val="008140CE"/>
    <w:rsid w:val="00817230"/>
    <w:rsid w:val="008179F9"/>
    <w:rsid w:val="00817EC4"/>
    <w:rsid w:val="00821B77"/>
    <w:rsid w:val="008220F7"/>
    <w:rsid w:val="00822AF1"/>
    <w:rsid w:val="008249BE"/>
    <w:rsid w:val="00824A0D"/>
    <w:rsid w:val="00824BC4"/>
    <w:rsid w:val="00824F16"/>
    <w:rsid w:val="00825E64"/>
    <w:rsid w:val="00826376"/>
    <w:rsid w:val="008306E7"/>
    <w:rsid w:val="00830B78"/>
    <w:rsid w:val="00831C73"/>
    <w:rsid w:val="00831ED5"/>
    <w:rsid w:val="0083559D"/>
    <w:rsid w:val="00836173"/>
    <w:rsid w:val="00836F4D"/>
    <w:rsid w:val="00837842"/>
    <w:rsid w:val="00841AB6"/>
    <w:rsid w:val="008441DE"/>
    <w:rsid w:val="00844726"/>
    <w:rsid w:val="00844D3B"/>
    <w:rsid w:val="008473C8"/>
    <w:rsid w:val="00852DCA"/>
    <w:rsid w:val="00856B7C"/>
    <w:rsid w:val="008571C5"/>
    <w:rsid w:val="00860414"/>
    <w:rsid w:val="008618CB"/>
    <w:rsid w:val="00864C4D"/>
    <w:rsid w:val="00866542"/>
    <w:rsid w:val="00867C09"/>
    <w:rsid w:val="00871945"/>
    <w:rsid w:val="00871A21"/>
    <w:rsid w:val="00871E98"/>
    <w:rsid w:val="00873C3E"/>
    <w:rsid w:val="008746B5"/>
    <w:rsid w:val="008753E1"/>
    <w:rsid w:val="00881711"/>
    <w:rsid w:val="008832F8"/>
    <w:rsid w:val="008858D1"/>
    <w:rsid w:val="00885EA5"/>
    <w:rsid w:val="0088773B"/>
    <w:rsid w:val="00887A46"/>
    <w:rsid w:val="008925CC"/>
    <w:rsid w:val="00892845"/>
    <w:rsid w:val="00892AFD"/>
    <w:rsid w:val="008931CC"/>
    <w:rsid w:val="0089490E"/>
    <w:rsid w:val="00897744"/>
    <w:rsid w:val="008A26E2"/>
    <w:rsid w:val="008A397D"/>
    <w:rsid w:val="008A51F4"/>
    <w:rsid w:val="008A63E4"/>
    <w:rsid w:val="008A65F1"/>
    <w:rsid w:val="008B1D69"/>
    <w:rsid w:val="008B3D5C"/>
    <w:rsid w:val="008B5535"/>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2DB"/>
    <w:rsid w:val="008E369E"/>
    <w:rsid w:val="008E4C10"/>
    <w:rsid w:val="008E4CA2"/>
    <w:rsid w:val="008E5AF8"/>
    <w:rsid w:val="008E6062"/>
    <w:rsid w:val="008E74FF"/>
    <w:rsid w:val="008E7CEA"/>
    <w:rsid w:val="008E7E66"/>
    <w:rsid w:val="008F0698"/>
    <w:rsid w:val="008F10B8"/>
    <w:rsid w:val="008F2A5D"/>
    <w:rsid w:val="008F593E"/>
    <w:rsid w:val="008F682E"/>
    <w:rsid w:val="008F6BD2"/>
    <w:rsid w:val="008F7B07"/>
    <w:rsid w:val="008F7B43"/>
    <w:rsid w:val="008F7FEB"/>
    <w:rsid w:val="00900246"/>
    <w:rsid w:val="00901081"/>
    <w:rsid w:val="00901C9E"/>
    <w:rsid w:val="00902060"/>
    <w:rsid w:val="00902773"/>
    <w:rsid w:val="00902A5B"/>
    <w:rsid w:val="00902D64"/>
    <w:rsid w:val="00904BE6"/>
    <w:rsid w:val="009076A7"/>
    <w:rsid w:val="0091369E"/>
    <w:rsid w:val="00914E35"/>
    <w:rsid w:val="009170C0"/>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3F3F"/>
    <w:rsid w:val="009450F7"/>
    <w:rsid w:val="009476B7"/>
    <w:rsid w:val="00950791"/>
    <w:rsid w:val="00950F1C"/>
    <w:rsid w:val="00952F16"/>
    <w:rsid w:val="0095318A"/>
    <w:rsid w:val="00953603"/>
    <w:rsid w:val="00953D4F"/>
    <w:rsid w:val="00953D99"/>
    <w:rsid w:val="009540B3"/>
    <w:rsid w:val="009611DC"/>
    <w:rsid w:val="009614B9"/>
    <w:rsid w:val="00961B5B"/>
    <w:rsid w:val="00961C6D"/>
    <w:rsid w:val="009625BD"/>
    <w:rsid w:val="0096536B"/>
    <w:rsid w:val="009657AC"/>
    <w:rsid w:val="00965AB4"/>
    <w:rsid w:val="00967E3C"/>
    <w:rsid w:val="00970D68"/>
    <w:rsid w:val="00970DDE"/>
    <w:rsid w:val="00972B53"/>
    <w:rsid w:val="00972BBD"/>
    <w:rsid w:val="00973CD7"/>
    <w:rsid w:val="009759EB"/>
    <w:rsid w:val="00976444"/>
    <w:rsid w:val="00977021"/>
    <w:rsid w:val="009802B4"/>
    <w:rsid w:val="00985049"/>
    <w:rsid w:val="00985097"/>
    <w:rsid w:val="0098525D"/>
    <w:rsid w:val="00990942"/>
    <w:rsid w:val="009911AA"/>
    <w:rsid w:val="00991B92"/>
    <w:rsid w:val="009922DE"/>
    <w:rsid w:val="00992537"/>
    <w:rsid w:val="00994401"/>
    <w:rsid w:val="00994BD6"/>
    <w:rsid w:val="0099727E"/>
    <w:rsid w:val="009A12C4"/>
    <w:rsid w:val="009A36A4"/>
    <w:rsid w:val="009A4019"/>
    <w:rsid w:val="009A4BB3"/>
    <w:rsid w:val="009A530D"/>
    <w:rsid w:val="009A6363"/>
    <w:rsid w:val="009B04BD"/>
    <w:rsid w:val="009B0B41"/>
    <w:rsid w:val="009B1E73"/>
    <w:rsid w:val="009B2DCD"/>
    <w:rsid w:val="009B7A54"/>
    <w:rsid w:val="009C0036"/>
    <w:rsid w:val="009C0E3E"/>
    <w:rsid w:val="009C1580"/>
    <w:rsid w:val="009C2EB5"/>
    <w:rsid w:val="009C383E"/>
    <w:rsid w:val="009C4A2D"/>
    <w:rsid w:val="009C5274"/>
    <w:rsid w:val="009C6772"/>
    <w:rsid w:val="009C79C1"/>
    <w:rsid w:val="009D2762"/>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9F78F7"/>
    <w:rsid w:val="00A004E1"/>
    <w:rsid w:val="00A023E9"/>
    <w:rsid w:val="00A0267C"/>
    <w:rsid w:val="00A02D07"/>
    <w:rsid w:val="00A052A2"/>
    <w:rsid w:val="00A05A8F"/>
    <w:rsid w:val="00A069F9"/>
    <w:rsid w:val="00A0798A"/>
    <w:rsid w:val="00A07AE0"/>
    <w:rsid w:val="00A116C5"/>
    <w:rsid w:val="00A13395"/>
    <w:rsid w:val="00A13AED"/>
    <w:rsid w:val="00A13D69"/>
    <w:rsid w:val="00A169B5"/>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C12"/>
    <w:rsid w:val="00A340AC"/>
    <w:rsid w:val="00A35638"/>
    <w:rsid w:val="00A37614"/>
    <w:rsid w:val="00A42456"/>
    <w:rsid w:val="00A436CC"/>
    <w:rsid w:val="00A438FE"/>
    <w:rsid w:val="00A4415C"/>
    <w:rsid w:val="00A46EE5"/>
    <w:rsid w:val="00A515A5"/>
    <w:rsid w:val="00A51940"/>
    <w:rsid w:val="00A5420C"/>
    <w:rsid w:val="00A545B6"/>
    <w:rsid w:val="00A55DAE"/>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76E43"/>
    <w:rsid w:val="00A802C0"/>
    <w:rsid w:val="00A80887"/>
    <w:rsid w:val="00A8123C"/>
    <w:rsid w:val="00A813A5"/>
    <w:rsid w:val="00A81744"/>
    <w:rsid w:val="00A8483F"/>
    <w:rsid w:val="00A85BFF"/>
    <w:rsid w:val="00A90378"/>
    <w:rsid w:val="00A911C5"/>
    <w:rsid w:val="00A92DAF"/>
    <w:rsid w:val="00A932DB"/>
    <w:rsid w:val="00A97664"/>
    <w:rsid w:val="00AA1E45"/>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6AA0"/>
    <w:rsid w:val="00AC6F7A"/>
    <w:rsid w:val="00AC6FC4"/>
    <w:rsid w:val="00AC779B"/>
    <w:rsid w:val="00AD0C62"/>
    <w:rsid w:val="00AD1A04"/>
    <w:rsid w:val="00AD4439"/>
    <w:rsid w:val="00AD5379"/>
    <w:rsid w:val="00AD5B78"/>
    <w:rsid w:val="00AD6BBC"/>
    <w:rsid w:val="00AD7E7D"/>
    <w:rsid w:val="00AE1523"/>
    <w:rsid w:val="00AE17D6"/>
    <w:rsid w:val="00AE2971"/>
    <w:rsid w:val="00AE2AF0"/>
    <w:rsid w:val="00AE3657"/>
    <w:rsid w:val="00AE3DE8"/>
    <w:rsid w:val="00AE5977"/>
    <w:rsid w:val="00AE5C2B"/>
    <w:rsid w:val="00AE6164"/>
    <w:rsid w:val="00AE6616"/>
    <w:rsid w:val="00AE6F19"/>
    <w:rsid w:val="00AE7655"/>
    <w:rsid w:val="00AF399B"/>
    <w:rsid w:val="00AF3C23"/>
    <w:rsid w:val="00AF5109"/>
    <w:rsid w:val="00AF68BD"/>
    <w:rsid w:val="00B01B10"/>
    <w:rsid w:val="00B04E8A"/>
    <w:rsid w:val="00B103F0"/>
    <w:rsid w:val="00B10B2B"/>
    <w:rsid w:val="00B13BD8"/>
    <w:rsid w:val="00B16832"/>
    <w:rsid w:val="00B17262"/>
    <w:rsid w:val="00B177E7"/>
    <w:rsid w:val="00B22DE7"/>
    <w:rsid w:val="00B245AB"/>
    <w:rsid w:val="00B2583C"/>
    <w:rsid w:val="00B25AA0"/>
    <w:rsid w:val="00B25BAB"/>
    <w:rsid w:val="00B260BA"/>
    <w:rsid w:val="00B26136"/>
    <w:rsid w:val="00B26BE5"/>
    <w:rsid w:val="00B275CC"/>
    <w:rsid w:val="00B2769E"/>
    <w:rsid w:val="00B301A6"/>
    <w:rsid w:val="00B31CB8"/>
    <w:rsid w:val="00B31F85"/>
    <w:rsid w:val="00B321B6"/>
    <w:rsid w:val="00B3408E"/>
    <w:rsid w:val="00B34EB2"/>
    <w:rsid w:val="00B35352"/>
    <w:rsid w:val="00B35DF2"/>
    <w:rsid w:val="00B35EE6"/>
    <w:rsid w:val="00B36FE3"/>
    <w:rsid w:val="00B37C3B"/>
    <w:rsid w:val="00B423E7"/>
    <w:rsid w:val="00B42595"/>
    <w:rsid w:val="00B4386D"/>
    <w:rsid w:val="00B43B1C"/>
    <w:rsid w:val="00B446F3"/>
    <w:rsid w:val="00B44A65"/>
    <w:rsid w:val="00B52F51"/>
    <w:rsid w:val="00B53B58"/>
    <w:rsid w:val="00B54AF8"/>
    <w:rsid w:val="00B552BB"/>
    <w:rsid w:val="00B55C65"/>
    <w:rsid w:val="00B57615"/>
    <w:rsid w:val="00B62C7E"/>
    <w:rsid w:val="00B6330B"/>
    <w:rsid w:val="00B63F50"/>
    <w:rsid w:val="00B65159"/>
    <w:rsid w:val="00B6582C"/>
    <w:rsid w:val="00B66178"/>
    <w:rsid w:val="00B66B46"/>
    <w:rsid w:val="00B66D0E"/>
    <w:rsid w:val="00B67007"/>
    <w:rsid w:val="00B701C5"/>
    <w:rsid w:val="00B7127A"/>
    <w:rsid w:val="00B718AC"/>
    <w:rsid w:val="00B71DD3"/>
    <w:rsid w:val="00B75925"/>
    <w:rsid w:val="00B76482"/>
    <w:rsid w:val="00B8030E"/>
    <w:rsid w:val="00B80FF2"/>
    <w:rsid w:val="00B82ED6"/>
    <w:rsid w:val="00B83205"/>
    <w:rsid w:val="00B849FF"/>
    <w:rsid w:val="00B86B36"/>
    <w:rsid w:val="00B90992"/>
    <w:rsid w:val="00B9156A"/>
    <w:rsid w:val="00B92207"/>
    <w:rsid w:val="00B928F9"/>
    <w:rsid w:val="00B937C3"/>
    <w:rsid w:val="00B938DC"/>
    <w:rsid w:val="00B93F55"/>
    <w:rsid w:val="00B95B1F"/>
    <w:rsid w:val="00B968AA"/>
    <w:rsid w:val="00BA23A6"/>
    <w:rsid w:val="00BA23E5"/>
    <w:rsid w:val="00BA27E1"/>
    <w:rsid w:val="00BA2857"/>
    <w:rsid w:val="00BA3A6A"/>
    <w:rsid w:val="00BA3CBD"/>
    <w:rsid w:val="00BA4130"/>
    <w:rsid w:val="00BA42CD"/>
    <w:rsid w:val="00BA6FB5"/>
    <w:rsid w:val="00BB0693"/>
    <w:rsid w:val="00BB0753"/>
    <w:rsid w:val="00BB18F2"/>
    <w:rsid w:val="00BB2C25"/>
    <w:rsid w:val="00BB3CAB"/>
    <w:rsid w:val="00BB3DBA"/>
    <w:rsid w:val="00BB43C6"/>
    <w:rsid w:val="00BB7602"/>
    <w:rsid w:val="00BC2661"/>
    <w:rsid w:val="00BC3ACB"/>
    <w:rsid w:val="00BC4133"/>
    <w:rsid w:val="00BC576C"/>
    <w:rsid w:val="00BD2CDD"/>
    <w:rsid w:val="00BD4B00"/>
    <w:rsid w:val="00BD6526"/>
    <w:rsid w:val="00BD7047"/>
    <w:rsid w:val="00BD7587"/>
    <w:rsid w:val="00BD79DD"/>
    <w:rsid w:val="00BD7F3E"/>
    <w:rsid w:val="00BE343C"/>
    <w:rsid w:val="00BE4440"/>
    <w:rsid w:val="00BE459E"/>
    <w:rsid w:val="00BE6114"/>
    <w:rsid w:val="00BE721E"/>
    <w:rsid w:val="00BF0152"/>
    <w:rsid w:val="00BF03A6"/>
    <w:rsid w:val="00BF13F1"/>
    <w:rsid w:val="00BF27A8"/>
    <w:rsid w:val="00BF30A9"/>
    <w:rsid w:val="00BF3B89"/>
    <w:rsid w:val="00BF3CF9"/>
    <w:rsid w:val="00BF3FCB"/>
    <w:rsid w:val="00BF6622"/>
    <w:rsid w:val="00BF7806"/>
    <w:rsid w:val="00BF7F23"/>
    <w:rsid w:val="00C0056A"/>
    <w:rsid w:val="00C00A71"/>
    <w:rsid w:val="00C0164B"/>
    <w:rsid w:val="00C038A6"/>
    <w:rsid w:val="00C06DEB"/>
    <w:rsid w:val="00C07E2C"/>
    <w:rsid w:val="00C10207"/>
    <w:rsid w:val="00C102E5"/>
    <w:rsid w:val="00C107C5"/>
    <w:rsid w:val="00C110AA"/>
    <w:rsid w:val="00C116E6"/>
    <w:rsid w:val="00C11B62"/>
    <w:rsid w:val="00C13432"/>
    <w:rsid w:val="00C1372B"/>
    <w:rsid w:val="00C13B01"/>
    <w:rsid w:val="00C14773"/>
    <w:rsid w:val="00C163C2"/>
    <w:rsid w:val="00C170B7"/>
    <w:rsid w:val="00C17500"/>
    <w:rsid w:val="00C209FA"/>
    <w:rsid w:val="00C21933"/>
    <w:rsid w:val="00C2244B"/>
    <w:rsid w:val="00C22760"/>
    <w:rsid w:val="00C22796"/>
    <w:rsid w:val="00C22CFD"/>
    <w:rsid w:val="00C233A4"/>
    <w:rsid w:val="00C24537"/>
    <w:rsid w:val="00C26D1F"/>
    <w:rsid w:val="00C302D0"/>
    <w:rsid w:val="00C30F62"/>
    <w:rsid w:val="00C319A5"/>
    <w:rsid w:val="00C34AAA"/>
    <w:rsid w:val="00C42A82"/>
    <w:rsid w:val="00C42B1B"/>
    <w:rsid w:val="00C439B6"/>
    <w:rsid w:val="00C46772"/>
    <w:rsid w:val="00C47053"/>
    <w:rsid w:val="00C47119"/>
    <w:rsid w:val="00C5319A"/>
    <w:rsid w:val="00C53413"/>
    <w:rsid w:val="00C539E6"/>
    <w:rsid w:val="00C57D5C"/>
    <w:rsid w:val="00C57DB4"/>
    <w:rsid w:val="00C60B35"/>
    <w:rsid w:val="00C60ECA"/>
    <w:rsid w:val="00C6304B"/>
    <w:rsid w:val="00C65365"/>
    <w:rsid w:val="00C65D18"/>
    <w:rsid w:val="00C722C8"/>
    <w:rsid w:val="00C73A3A"/>
    <w:rsid w:val="00C74005"/>
    <w:rsid w:val="00C74501"/>
    <w:rsid w:val="00C7629C"/>
    <w:rsid w:val="00C777BF"/>
    <w:rsid w:val="00C8169D"/>
    <w:rsid w:val="00C83570"/>
    <w:rsid w:val="00C86775"/>
    <w:rsid w:val="00C86C62"/>
    <w:rsid w:val="00C877E8"/>
    <w:rsid w:val="00C90398"/>
    <w:rsid w:val="00C9051A"/>
    <w:rsid w:val="00C9055C"/>
    <w:rsid w:val="00C92D92"/>
    <w:rsid w:val="00C93017"/>
    <w:rsid w:val="00C9394D"/>
    <w:rsid w:val="00C95A0B"/>
    <w:rsid w:val="00C97BF9"/>
    <w:rsid w:val="00C97D58"/>
    <w:rsid w:val="00CA0DCF"/>
    <w:rsid w:val="00CA1014"/>
    <w:rsid w:val="00CA1138"/>
    <w:rsid w:val="00CA1878"/>
    <w:rsid w:val="00CA365B"/>
    <w:rsid w:val="00CA46F9"/>
    <w:rsid w:val="00CA5F9D"/>
    <w:rsid w:val="00CA6819"/>
    <w:rsid w:val="00CA6FCC"/>
    <w:rsid w:val="00CA7540"/>
    <w:rsid w:val="00CB0854"/>
    <w:rsid w:val="00CB2283"/>
    <w:rsid w:val="00CB295A"/>
    <w:rsid w:val="00CB341F"/>
    <w:rsid w:val="00CB39AB"/>
    <w:rsid w:val="00CB52BA"/>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DF5"/>
    <w:rsid w:val="00CE0001"/>
    <w:rsid w:val="00CE036D"/>
    <w:rsid w:val="00CE22B8"/>
    <w:rsid w:val="00CE2F45"/>
    <w:rsid w:val="00CE3068"/>
    <w:rsid w:val="00CE3A72"/>
    <w:rsid w:val="00CE54C2"/>
    <w:rsid w:val="00CE6435"/>
    <w:rsid w:val="00CF21D5"/>
    <w:rsid w:val="00CF2417"/>
    <w:rsid w:val="00CF2829"/>
    <w:rsid w:val="00CF3162"/>
    <w:rsid w:val="00CF3D91"/>
    <w:rsid w:val="00CF6AD4"/>
    <w:rsid w:val="00D006A5"/>
    <w:rsid w:val="00D00AF5"/>
    <w:rsid w:val="00D0129A"/>
    <w:rsid w:val="00D021FC"/>
    <w:rsid w:val="00D05012"/>
    <w:rsid w:val="00D05A5E"/>
    <w:rsid w:val="00D0629A"/>
    <w:rsid w:val="00D07080"/>
    <w:rsid w:val="00D07106"/>
    <w:rsid w:val="00D07F84"/>
    <w:rsid w:val="00D17568"/>
    <w:rsid w:val="00D20E60"/>
    <w:rsid w:val="00D2100A"/>
    <w:rsid w:val="00D23157"/>
    <w:rsid w:val="00D23991"/>
    <w:rsid w:val="00D23ADD"/>
    <w:rsid w:val="00D24774"/>
    <w:rsid w:val="00D25267"/>
    <w:rsid w:val="00D25334"/>
    <w:rsid w:val="00D26601"/>
    <w:rsid w:val="00D27B74"/>
    <w:rsid w:val="00D31598"/>
    <w:rsid w:val="00D32C72"/>
    <w:rsid w:val="00D33264"/>
    <w:rsid w:val="00D33B81"/>
    <w:rsid w:val="00D360E8"/>
    <w:rsid w:val="00D3742E"/>
    <w:rsid w:val="00D40ED6"/>
    <w:rsid w:val="00D42716"/>
    <w:rsid w:val="00D44E89"/>
    <w:rsid w:val="00D45970"/>
    <w:rsid w:val="00D45B4E"/>
    <w:rsid w:val="00D45E1D"/>
    <w:rsid w:val="00D46EA2"/>
    <w:rsid w:val="00D4716D"/>
    <w:rsid w:val="00D5292D"/>
    <w:rsid w:val="00D529F8"/>
    <w:rsid w:val="00D5436F"/>
    <w:rsid w:val="00D54745"/>
    <w:rsid w:val="00D555A5"/>
    <w:rsid w:val="00D5567B"/>
    <w:rsid w:val="00D55B3E"/>
    <w:rsid w:val="00D5645B"/>
    <w:rsid w:val="00D61D9A"/>
    <w:rsid w:val="00D66E21"/>
    <w:rsid w:val="00D679B9"/>
    <w:rsid w:val="00D679E6"/>
    <w:rsid w:val="00D67C8B"/>
    <w:rsid w:val="00D724E9"/>
    <w:rsid w:val="00D74CC2"/>
    <w:rsid w:val="00D7540F"/>
    <w:rsid w:val="00D76F78"/>
    <w:rsid w:val="00D77F56"/>
    <w:rsid w:val="00D804A6"/>
    <w:rsid w:val="00D816E0"/>
    <w:rsid w:val="00D81A5D"/>
    <w:rsid w:val="00D83E03"/>
    <w:rsid w:val="00D8437D"/>
    <w:rsid w:val="00D853EA"/>
    <w:rsid w:val="00D8631C"/>
    <w:rsid w:val="00D86C36"/>
    <w:rsid w:val="00D86F2D"/>
    <w:rsid w:val="00D878E1"/>
    <w:rsid w:val="00D92B15"/>
    <w:rsid w:val="00D932F2"/>
    <w:rsid w:val="00D94997"/>
    <w:rsid w:val="00D96127"/>
    <w:rsid w:val="00D969FC"/>
    <w:rsid w:val="00DA217B"/>
    <w:rsid w:val="00DA30DA"/>
    <w:rsid w:val="00DA3414"/>
    <w:rsid w:val="00DA4484"/>
    <w:rsid w:val="00DA4861"/>
    <w:rsid w:val="00DA6158"/>
    <w:rsid w:val="00DA6A64"/>
    <w:rsid w:val="00DB1505"/>
    <w:rsid w:val="00DB2D21"/>
    <w:rsid w:val="00DB34C7"/>
    <w:rsid w:val="00DB708C"/>
    <w:rsid w:val="00DC0D67"/>
    <w:rsid w:val="00DC1868"/>
    <w:rsid w:val="00DC3032"/>
    <w:rsid w:val="00DC387B"/>
    <w:rsid w:val="00DC5456"/>
    <w:rsid w:val="00DC62C5"/>
    <w:rsid w:val="00DD02EC"/>
    <w:rsid w:val="00DD0AD0"/>
    <w:rsid w:val="00DD13F8"/>
    <w:rsid w:val="00DD2841"/>
    <w:rsid w:val="00DD2F31"/>
    <w:rsid w:val="00DD3208"/>
    <w:rsid w:val="00DD3248"/>
    <w:rsid w:val="00DD38BA"/>
    <w:rsid w:val="00DD5363"/>
    <w:rsid w:val="00DD5B0C"/>
    <w:rsid w:val="00DD6776"/>
    <w:rsid w:val="00DE0372"/>
    <w:rsid w:val="00DE152E"/>
    <w:rsid w:val="00DE1B47"/>
    <w:rsid w:val="00DE1CA0"/>
    <w:rsid w:val="00DE1D38"/>
    <w:rsid w:val="00DE2652"/>
    <w:rsid w:val="00DE4E0E"/>
    <w:rsid w:val="00DE53A7"/>
    <w:rsid w:val="00DE56E4"/>
    <w:rsid w:val="00DE626E"/>
    <w:rsid w:val="00DE62F8"/>
    <w:rsid w:val="00DF1AF8"/>
    <w:rsid w:val="00DF1F97"/>
    <w:rsid w:val="00DF208C"/>
    <w:rsid w:val="00DF237D"/>
    <w:rsid w:val="00DF260A"/>
    <w:rsid w:val="00DF2D03"/>
    <w:rsid w:val="00DF2DED"/>
    <w:rsid w:val="00DF3A76"/>
    <w:rsid w:val="00DF62FA"/>
    <w:rsid w:val="00DF76C7"/>
    <w:rsid w:val="00E00769"/>
    <w:rsid w:val="00E012D5"/>
    <w:rsid w:val="00E016D7"/>
    <w:rsid w:val="00E01E85"/>
    <w:rsid w:val="00E03A36"/>
    <w:rsid w:val="00E04178"/>
    <w:rsid w:val="00E045E8"/>
    <w:rsid w:val="00E046E7"/>
    <w:rsid w:val="00E0586F"/>
    <w:rsid w:val="00E05C4C"/>
    <w:rsid w:val="00E06CA9"/>
    <w:rsid w:val="00E06F34"/>
    <w:rsid w:val="00E07FCD"/>
    <w:rsid w:val="00E10EC6"/>
    <w:rsid w:val="00E12F79"/>
    <w:rsid w:val="00E15484"/>
    <w:rsid w:val="00E1552E"/>
    <w:rsid w:val="00E1579A"/>
    <w:rsid w:val="00E167C1"/>
    <w:rsid w:val="00E1753D"/>
    <w:rsid w:val="00E20F22"/>
    <w:rsid w:val="00E216DE"/>
    <w:rsid w:val="00E22142"/>
    <w:rsid w:val="00E227A3"/>
    <w:rsid w:val="00E22A22"/>
    <w:rsid w:val="00E23180"/>
    <w:rsid w:val="00E241AF"/>
    <w:rsid w:val="00E25CEE"/>
    <w:rsid w:val="00E2632E"/>
    <w:rsid w:val="00E26579"/>
    <w:rsid w:val="00E30739"/>
    <w:rsid w:val="00E32A02"/>
    <w:rsid w:val="00E32A85"/>
    <w:rsid w:val="00E32EBE"/>
    <w:rsid w:val="00E3491B"/>
    <w:rsid w:val="00E36DBF"/>
    <w:rsid w:val="00E37549"/>
    <w:rsid w:val="00E40AEB"/>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D5B"/>
    <w:rsid w:val="00E71F88"/>
    <w:rsid w:val="00E729DC"/>
    <w:rsid w:val="00E75FA0"/>
    <w:rsid w:val="00E772E6"/>
    <w:rsid w:val="00E802EC"/>
    <w:rsid w:val="00E81490"/>
    <w:rsid w:val="00E816BF"/>
    <w:rsid w:val="00E82551"/>
    <w:rsid w:val="00E847CA"/>
    <w:rsid w:val="00E84A4E"/>
    <w:rsid w:val="00E8533E"/>
    <w:rsid w:val="00E87E93"/>
    <w:rsid w:val="00E87F9C"/>
    <w:rsid w:val="00E911A8"/>
    <w:rsid w:val="00E91295"/>
    <w:rsid w:val="00E91AD5"/>
    <w:rsid w:val="00E93252"/>
    <w:rsid w:val="00E95320"/>
    <w:rsid w:val="00E9538C"/>
    <w:rsid w:val="00EA08D7"/>
    <w:rsid w:val="00EA2217"/>
    <w:rsid w:val="00EA233D"/>
    <w:rsid w:val="00EA2767"/>
    <w:rsid w:val="00EA4DFA"/>
    <w:rsid w:val="00EA56B7"/>
    <w:rsid w:val="00EA5D39"/>
    <w:rsid w:val="00EA768F"/>
    <w:rsid w:val="00EB1143"/>
    <w:rsid w:val="00EB4180"/>
    <w:rsid w:val="00EB52B6"/>
    <w:rsid w:val="00EB721A"/>
    <w:rsid w:val="00EC1B66"/>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A56"/>
    <w:rsid w:val="00EE2F55"/>
    <w:rsid w:val="00EE37A5"/>
    <w:rsid w:val="00EE533C"/>
    <w:rsid w:val="00EE61AB"/>
    <w:rsid w:val="00EF1390"/>
    <w:rsid w:val="00EF205B"/>
    <w:rsid w:val="00EF2926"/>
    <w:rsid w:val="00EF3F43"/>
    <w:rsid w:val="00EF5CEE"/>
    <w:rsid w:val="00F004BE"/>
    <w:rsid w:val="00F00797"/>
    <w:rsid w:val="00F020C5"/>
    <w:rsid w:val="00F02D71"/>
    <w:rsid w:val="00F02DA0"/>
    <w:rsid w:val="00F037A1"/>
    <w:rsid w:val="00F03D0B"/>
    <w:rsid w:val="00F04417"/>
    <w:rsid w:val="00F053AC"/>
    <w:rsid w:val="00F07DBB"/>
    <w:rsid w:val="00F110C3"/>
    <w:rsid w:val="00F12C7A"/>
    <w:rsid w:val="00F12F80"/>
    <w:rsid w:val="00F12FCD"/>
    <w:rsid w:val="00F1323F"/>
    <w:rsid w:val="00F14FC9"/>
    <w:rsid w:val="00F161E6"/>
    <w:rsid w:val="00F167F2"/>
    <w:rsid w:val="00F17771"/>
    <w:rsid w:val="00F20956"/>
    <w:rsid w:val="00F20D5E"/>
    <w:rsid w:val="00F23819"/>
    <w:rsid w:val="00F23A7D"/>
    <w:rsid w:val="00F24B7E"/>
    <w:rsid w:val="00F259E4"/>
    <w:rsid w:val="00F260D1"/>
    <w:rsid w:val="00F31145"/>
    <w:rsid w:val="00F319D9"/>
    <w:rsid w:val="00F31A21"/>
    <w:rsid w:val="00F32044"/>
    <w:rsid w:val="00F3303E"/>
    <w:rsid w:val="00F33253"/>
    <w:rsid w:val="00F35327"/>
    <w:rsid w:val="00F36186"/>
    <w:rsid w:val="00F367E9"/>
    <w:rsid w:val="00F3734B"/>
    <w:rsid w:val="00F41B26"/>
    <w:rsid w:val="00F42EEA"/>
    <w:rsid w:val="00F451DA"/>
    <w:rsid w:val="00F46660"/>
    <w:rsid w:val="00F50636"/>
    <w:rsid w:val="00F52024"/>
    <w:rsid w:val="00F545FC"/>
    <w:rsid w:val="00F54AB2"/>
    <w:rsid w:val="00F55753"/>
    <w:rsid w:val="00F55A0C"/>
    <w:rsid w:val="00F562E1"/>
    <w:rsid w:val="00F56DF8"/>
    <w:rsid w:val="00F57D77"/>
    <w:rsid w:val="00F602A2"/>
    <w:rsid w:val="00F60482"/>
    <w:rsid w:val="00F624D8"/>
    <w:rsid w:val="00F64E04"/>
    <w:rsid w:val="00F67483"/>
    <w:rsid w:val="00F7258A"/>
    <w:rsid w:val="00F72D18"/>
    <w:rsid w:val="00F73F6F"/>
    <w:rsid w:val="00F7451A"/>
    <w:rsid w:val="00F74655"/>
    <w:rsid w:val="00F75623"/>
    <w:rsid w:val="00F75ABD"/>
    <w:rsid w:val="00F76C25"/>
    <w:rsid w:val="00F810CE"/>
    <w:rsid w:val="00F82B31"/>
    <w:rsid w:val="00F84762"/>
    <w:rsid w:val="00F85996"/>
    <w:rsid w:val="00F85C3B"/>
    <w:rsid w:val="00F8692A"/>
    <w:rsid w:val="00F86BE7"/>
    <w:rsid w:val="00F87BF8"/>
    <w:rsid w:val="00F87FF1"/>
    <w:rsid w:val="00F909D7"/>
    <w:rsid w:val="00F90AC9"/>
    <w:rsid w:val="00F91684"/>
    <w:rsid w:val="00F92B92"/>
    <w:rsid w:val="00F941DB"/>
    <w:rsid w:val="00F959A1"/>
    <w:rsid w:val="00F95A88"/>
    <w:rsid w:val="00F95EA9"/>
    <w:rsid w:val="00F96A51"/>
    <w:rsid w:val="00F97BC7"/>
    <w:rsid w:val="00F97BD9"/>
    <w:rsid w:val="00FA07C2"/>
    <w:rsid w:val="00FA0BB6"/>
    <w:rsid w:val="00FA0C7A"/>
    <w:rsid w:val="00FA2A37"/>
    <w:rsid w:val="00FA34F4"/>
    <w:rsid w:val="00FA3F40"/>
    <w:rsid w:val="00FA4460"/>
    <w:rsid w:val="00FA4EB4"/>
    <w:rsid w:val="00FA6239"/>
    <w:rsid w:val="00FA6763"/>
    <w:rsid w:val="00FA6A26"/>
    <w:rsid w:val="00FA7DEC"/>
    <w:rsid w:val="00FB0532"/>
    <w:rsid w:val="00FB1BFB"/>
    <w:rsid w:val="00FB3D8D"/>
    <w:rsid w:val="00FB41A1"/>
    <w:rsid w:val="00FB5C3D"/>
    <w:rsid w:val="00FB606A"/>
    <w:rsid w:val="00FB682E"/>
    <w:rsid w:val="00FC05DB"/>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543B"/>
    <w:rsid w:val="00FF15C6"/>
    <w:rsid w:val="00FF2264"/>
    <w:rsid w:val="00FF2980"/>
    <w:rsid w:val="00FF5306"/>
    <w:rsid w:val="00FF6EF0"/>
    <w:rsid w:val="028E0FBA"/>
    <w:rsid w:val="036C5B85"/>
    <w:rsid w:val="03CD2A40"/>
    <w:rsid w:val="061A3A5E"/>
    <w:rsid w:val="06DA0035"/>
    <w:rsid w:val="06DD2A3E"/>
    <w:rsid w:val="06FC0BD1"/>
    <w:rsid w:val="07537D8D"/>
    <w:rsid w:val="099005DD"/>
    <w:rsid w:val="099E54B7"/>
    <w:rsid w:val="0AB438A8"/>
    <w:rsid w:val="0B7404F1"/>
    <w:rsid w:val="0B750BFE"/>
    <w:rsid w:val="0B9A58EE"/>
    <w:rsid w:val="0BD06502"/>
    <w:rsid w:val="0C285B16"/>
    <w:rsid w:val="0CAC0D20"/>
    <w:rsid w:val="0CB0770E"/>
    <w:rsid w:val="0D902489"/>
    <w:rsid w:val="0DC77FD1"/>
    <w:rsid w:val="0FE720EF"/>
    <w:rsid w:val="101B66E2"/>
    <w:rsid w:val="107873A8"/>
    <w:rsid w:val="11A95D80"/>
    <w:rsid w:val="12563822"/>
    <w:rsid w:val="12D90647"/>
    <w:rsid w:val="13917AF6"/>
    <w:rsid w:val="13C00ACC"/>
    <w:rsid w:val="16120435"/>
    <w:rsid w:val="16512FFB"/>
    <w:rsid w:val="16562BE9"/>
    <w:rsid w:val="16855166"/>
    <w:rsid w:val="16872148"/>
    <w:rsid w:val="18184CED"/>
    <w:rsid w:val="19E2542C"/>
    <w:rsid w:val="1C0C1537"/>
    <w:rsid w:val="1CB47594"/>
    <w:rsid w:val="1D8D1823"/>
    <w:rsid w:val="1DBD7429"/>
    <w:rsid w:val="1E245C22"/>
    <w:rsid w:val="1FED3B02"/>
    <w:rsid w:val="202F5142"/>
    <w:rsid w:val="20377E69"/>
    <w:rsid w:val="20823E91"/>
    <w:rsid w:val="220B0320"/>
    <w:rsid w:val="23B25BC1"/>
    <w:rsid w:val="24684E55"/>
    <w:rsid w:val="24FD3BFF"/>
    <w:rsid w:val="27233DA8"/>
    <w:rsid w:val="275978C1"/>
    <w:rsid w:val="275F3615"/>
    <w:rsid w:val="28A8690F"/>
    <w:rsid w:val="29395EDB"/>
    <w:rsid w:val="295A6C21"/>
    <w:rsid w:val="296E77CC"/>
    <w:rsid w:val="2A186894"/>
    <w:rsid w:val="2B556D8B"/>
    <w:rsid w:val="2BF94B05"/>
    <w:rsid w:val="2C4A2609"/>
    <w:rsid w:val="2D025BA4"/>
    <w:rsid w:val="2D1D6F93"/>
    <w:rsid w:val="2D255B2E"/>
    <w:rsid w:val="2D9E4D2B"/>
    <w:rsid w:val="2E656801"/>
    <w:rsid w:val="2E8A07BD"/>
    <w:rsid w:val="2EC152C1"/>
    <w:rsid w:val="306D6FBD"/>
    <w:rsid w:val="308F4CF9"/>
    <w:rsid w:val="30D763BF"/>
    <w:rsid w:val="32093A30"/>
    <w:rsid w:val="35577B35"/>
    <w:rsid w:val="37105028"/>
    <w:rsid w:val="398F69F5"/>
    <w:rsid w:val="39957D5B"/>
    <w:rsid w:val="3A323F12"/>
    <w:rsid w:val="3C5D2E55"/>
    <w:rsid w:val="3C7025C7"/>
    <w:rsid w:val="3C8B7266"/>
    <w:rsid w:val="3D8457B7"/>
    <w:rsid w:val="3D9703B1"/>
    <w:rsid w:val="3DA45504"/>
    <w:rsid w:val="3F1B3A07"/>
    <w:rsid w:val="40195DA0"/>
    <w:rsid w:val="40965737"/>
    <w:rsid w:val="4132380B"/>
    <w:rsid w:val="420B6D31"/>
    <w:rsid w:val="42431CC8"/>
    <w:rsid w:val="42BD1230"/>
    <w:rsid w:val="43CC2D11"/>
    <w:rsid w:val="43E63BD7"/>
    <w:rsid w:val="445E613C"/>
    <w:rsid w:val="455948CC"/>
    <w:rsid w:val="45994BC6"/>
    <w:rsid w:val="46552398"/>
    <w:rsid w:val="46D90278"/>
    <w:rsid w:val="48094A78"/>
    <w:rsid w:val="48306EE4"/>
    <w:rsid w:val="48B44438"/>
    <w:rsid w:val="493B5BD0"/>
    <w:rsid w:val="49BF2877"/>
    <w:rsid w:val="4A0601AC"/>
    <w:rsid w:val="4AF02B05"/>
    <w:rsid w:val="4AFF7111"/>
    <w:rsid w:val="4DB13004"/>
    <w:rsid w:val="4DF70AF7"/>
    <w:rsid w:val="4E30322A"/>
    <w:rsid w:val="4E4E42A3"/>
    <w:rsid w:val="50440F93"/>
    <w:rsid w:val="50623A14"/>
    <w:rsid w:val="515F22AF"/>
    <w:rsid w:val="51877C0C"/>
    <w:rsid w:val="51B97CC5"/>
    <w:rsid w:val="51D100F5"/>
    <w:rsid w:val="534A15B2"/>
    <w:rsid w:val="535A22F5"/>
    <w:rsid w:val="53715A8B"/>
    <w:rsid w:val="5408165A"/>
    <w:rsid w:val="55280D7F"/>
    <w:rsid w:val="55926BA1"/>
    <w:rsid w:val="5697129D"/>
    <w:rsid w:val="589C3B71"/>
    <w:rsid w:val="58C26E9B"/>
    <w:rsid w:val="59C564D6"/>
    <w:rsid w:val="5A127462"/>
    <w:rsid w:val="5AD12546"/>
    <w:rsid w:val="5CA05437"/>
    <w:rsid w:val="5D2D3F61"/>
    <w:rsid w:val="5DCD0713"/>
    <w:rsid w:val="5E4467FA"/>
    <w:rsid w:val="5E91745A"/>
    <w:rsid w:val="5EA23BE9"/>
    <w:rsid w:val="5FC23A99"/>
    <w:rsid w:val="60C2301D"/>
    <w:rsid w:val="60F954CA"/>
    <w:rsid w:val="615A7538"/>
    <w:rsid w:val="61B24459"/>
    <w:rsid w:val="62FA104D"/>
    <w:rsid w:val="639413D1"/>
    <w:rsid w:val="63CE1FF0"/>
    <w:rsid w:val="64283A5F"/>
    <w:rsid w:val="649E033F"/>
    <w:rsid w:val="65625852"/>
    <w:rsid w:val="65846229"/>
    <w:rsid w:val="66A56E0D"/>
    <w:rsid w:val="67CB0233"/>
    <w:rsid w:val="68485D83"/>
    <w:rsid w:val="69026EF3"/>
    <w:rsid w:val="69D8078F"/>
    <w:rsid w:val="6A41228D"/>
    <w:rsid w:val="6B047A4E"/>
    <w:rsid w:val="6B0A6015"/>
    <w:rsid w:val="6BEA0B22"/>
    <w:rsid w:val="6BF5735C"/>
    <w:rsid w:val="6C480AB5"/>
    <w:rsid w:val="6D69131E"/>
    <w:rsid w:val="6D754FE7"/>
    <w:rsid w:val="6D8132A7"/>
    <w:rsid w:val="6DFB7772"/>
    <w:rsid w:val="6E826BC5"/>
    <w:rsid w:val="6EC77533"/>
    <w:rsid w:val="6EE1672F"/>
    <w:rsid w:val="6F1D4630"/>
    <w:rsid w:val="705B7179"/>
    <w:rsid w:val="715E40B2"/>
    <w:rsid w:val="71EC79AC"/>
    <w:rsid w:val="72B536B2"/>
    <w:rsid w:val="72C03C99"/>
    <w:rsid w:val="7338289F"/>
    <w:rsid w:val="73F12F09"/>
    <w:rsid w:val="7459405D"/>
    <w:rsid w:val="754C46B4"/>
    <w:rsid w:val="75906F6B"/>
    <w:rsid w:val="75CE2848"/>
    <w:rsid w:val="779B3589"/>
    <w:rsid w:val="789C09C7"/>
    <w:rsid w:val="78AD72C7"/>
    <w:rsid w:val="78D6061E"/>
    <w:rsid w:val="795534C5"/>
    <w:rsid w:val="7A743D1D"/>
    <w:rsid w:val="7BBB6F0C"/>
    <w:rsid w:val="7EBB11CE"/>
    <w:rsid w:val="7EDC0238"/>
    <w:rsid w:val="7F037E93"/>
    <w:rsid w:val="7F5E50D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link w:val="63"/>
    <w:qFormat/>
    <w:uiPriority w:val="0"/>
    <w:pPr>
      <w:keepNext/>
      <w:keepLines/>
      <w:spacing w:before="260" w:after="260" w:line="416" w:lineRule="auto"/>
      <w:outlineLvl w:val="2"/>
    </w:pPr>
    <w:rPr>
      <w:b/>
      <w:bCs/>
      <w:sz w:val="32"/>
      <w:szCs w:val="32"/>
    </w:rPr>
  </w:style>
  <w:style w:type="paragraph" w:styleId="2">
    <w:name w:val="heading 4"/>
    <w:basedOn w:val="1"/>
    <w:next w:val="1"/>
    <w:link w:val="64"/>
    <w:qFormat/>
    <w:uiPriority w:val="0"/>
    <w:pPr>
      <w:keepNext/>
      <w:keepLines/>
      <w:spacing w:before="280" w:after="290" w:line="376" w:lineRule="auto"/>
      <w:outlineLvl w:val="3"/>
    </w:pPr>
    <w:rPr>
      <w:rFonts w:ascii="Cambria" w:hAnsi="Cambria"/>
      <w:b/>
      <w:sz w:val="28"/>
      <w:szCs w:val="28"/>
    </w:rPr>
  </w:style>
  <w:style w:type="paragraph" w:styleId="7">
    <w:name w:val="heading 5"/>
    <w:basedOn w:val="1"/>
    <w:next w:val="5"/>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qFormat/>
    <w:uiPriority w:val="0"/>
  </w:style>
  <w:style w:type="table" w:default="1" w:styleId="45">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5">
    <w:name w:val="Normal Indent"/>
    <w:basedOn w:val="1"/>
    <w:link w:val="62"/>
    <w:qFormat/>
    <w:uiPriority w:val="0"/>
    <w:pPr>
      <w:ind w:firstLine="420"/>
    </w:p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style>
  <w:style w:type="paragraph" w:styleId="14">
    <w:name w:val="Document Map"/>
    <w:basedOn w:val="1"/>
    <w:link w:val="65"/>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qFormat/>
    <w:uiPriority w:val="0"/>
    <w:rPr>
      <w:rFonts w:ascii="仿宋_GB2312" w:hAnsi="Arial" w:eastAsia="仿宋_GB2312"/>
      <w:sz w:val="32"/>
      <w:szCs w:val="32"/>
    </w:rPr>
  </w:style>
  <w:style w:type="paragraph" w:styleId="17">
    <w:name w:val="Body Text"/>
    <w:basedOn w:val="1"/>
    <w:next w:val="1"/>
    <w:qFormat/>
    <w:uiPriority w:val="0"/>
    <w:rPr>
      <w:rFonts w:ascii="楷体_GB2312" w:hAnsi="Arial" w:eastAsia="楷体_GB2312"/>
      <w:sz w:val="28"/>
      <w:szCs w:val="28"/>
    </w:rPr>
  </w:style>
  <w:style w:type="paragraph" w:styleId="18">
    <w:name w:val="Body Text Indent"/>
    <w:basedOn w:val="1"/>
    <w:next w:val="19"/>
    <w:qFormat/>
    <w:uiPriority w:val="0"/>
    <w:pPr>
      <w:ind w:firstLine="645"/>
    </w:pPr>
    <w:rPr>
      <w:rFonts w:ascii="楷体_GB2312" w:eastAsia="楷体_GB2312"/>
      <w:sz w:val="32"/>
      <w:szCs w:val="32"/>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99"/>
    <w:pPr>
      <w:spacing w:after="120"/>
      <w:ind w:left="1440" w:leftChars="700" w:right="1440" w:rightChars="7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66"/>
    <w:qFormat/>
    <w:uiPriority w:val="0"/>
    <w:rPr>
      <w:rFonts w:ascii="宋体" w:hAnsi="Courier New"/>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link w:val="67"/>
    <w:qFormat/>
    <w:uiPriority w:val="0"/>
    <w:pPr>
      <w:tabs>
        <w:tab w:val="center" w:pos="4153"/>
        <w:tab w:val="right" w:pos="8306"/>
      </w:tabs>
      <w:snapToGrid w:val="0"/>
      <w:jc w:val="left"/>
    </w:pPr>
    <w:rPr>
      <w:sz w:val="18"/>
      <w:szCs w:val="18"/>
    </w:rPr>
  </w:style>
  <w:style w:type="paragraph" w:styleId="30">
    <w:name w:val="header"/>
    <w:basedOn w:val="1"/>
    <w:link w:val="6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b/>
      <w:bCs/>
    </w:rPr>
  </w:style>
  <w:style w:type="paragraph" w:styleId="42">
    <w:name w:val="annotation subject"/>
    <w:basedOn w:val="15"/>
    <w:next w:val="15"/>
    <w:semiHidden/>
    <w:qFormat/>
    <w:uiPriority w:val="0"/>
    <w:rPr>
      <w:b/>
      <w:bCs/>
    </w:rPr>
  </w:style>
  <w:style w:type="paragraph" w:styleId="43">
    <w:name w:val="Body Text First Indent"/>
    <w:basedOn w:val="17"/>
    <w:next w:val="1"/>
    <w:qFormat/>
    <w:uiPriority w:val="0"/>
    <w:pPr>
      <w:spacing w:line="360" w:lineRule="auto"/>
      <w:ind w:firstLine="200" w:firstLineChars="200"/>
    </w:pPr>
    <w:rPr>
      <w:rFonts w:ascii="仿宋_GB2312" w:eastAsia="仿宋_GB2312"/>
      <w:sz w:val="30"/>
      <w:szCs w:val="30"/>
    </w:rPr>
  </w:style>
  <w:style w:type="paragraph" w:styleId="44">
    <w:name w:val="Body Text First Indent 2"/>
    <w:basedOn w:val="18"/>
    <w:qFormat/>
    <w:uiPriority w:val="0"/>
    <w:pPr>
      <w:spacing w:line="360" w:lineRule="auto"/>
      <w:ind w:firstLine="420" w:firstLineChars="200"/>
    </w:pPr>
    <w:rPr>
      <w:rFonts w:ascii="宋体" w:hAnsi="宋体" w:eastAsia="宋体"/>
      <w:sz w:val="21"/>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none"/>
    </w:rPr>
  </w:style>
  <w:style w:type="character" w:styleId="51">
    <w:name w:val="Emphasis"/>
    <w:qFormat/>
    <w:uiPriority w:val="0"/>
  </w:style>
  <w:style w:type="character" w:styleId="52">
    <w:name w:val="HTML Definition"/>
    <w:qFormat/>
    <w:uiPriority w:val="0"/>
  </w:style>
  <w:style w:type="character" w:styleId="53">
    <w:name w:val="HTML Typewriter"/>
    <w:qFormat/>
    <w:uiPriority w:val="0"/>
    <w:rPr>
      <w:rFonts w:hint="default" w:ascii="monospace" w:hAnsi="monospace" w:eastAsia="monospace" w:cs="monospace"/>
      <w:sz w:val="20"/>
    </w:rPr>
  </w:style>
  <w:style w:type="character" w:styleId="54">
    <w:name w:val="HTML Acronym"/>
    <w:qFormat/>
    <w:uiPriority w:val="0"/>
  </w:style>
  <w:style w:type="character" w:styleId="55">
    <w:name w:val="HTML Variable"/>
    <w:qFormat/>
    <w:uiPriority w:val="0"/>
  </w:style>
  <w:style w:type="character" w:styleId="56">
    <w:name w:val="Hyperlink"/>
    <w:qFormat/>
    <w:uiPriority w:val="0"/>
    <w:rPr>
      <w:color w:val="0000FF"/>
      <w:u w:val="none"/>
    </w:rPr>
  </w:style>
  <w:style w:type="character" w:styleId="57">
    <w:name w:val="HTML Code"/>
    <w:qFormat/>
    <w:uiPriority w:val="0"/>
    <w:rPr>
      <w:rFonts w:ascii="monospace" w:hAnsi="monospace" w:eastAsia="monospace" w:cs="monospace"/>
      <w:sz w:val="20"/>
    </w:rPr>
  </w:style>
  <w:style w:type="character" w:styleId="58">
    <w:name w:val="annotation reference"/>
    <w:semiHidden/>
    <w:qFormat/>
    <w:uiPriority w:val="0"/>
    <w:rPr>
      <w:sz w:val="21"/>
      <w:szCs w:val="21"/>
    </w:rPr>
  </w:style>
  <w:style w:type="character" w:styleId="59">
    <w:name w:val="HTML Cite"/>
    <w:qFormat/>
    <w:uiPriority w:val="0"/>
  </w:style>
  <w:style w:type="character" w:styleId="60">
    <w:name w:val="HTML Keyboard"/>
    <w:qFormat/>
    <w:uiPriority w:val="0"/>
    <w:rPr>
      <w:rFonts w:hint="default" w:ascii="monospace" w:hAnsi="monospace" w:eastAsia="monospace" w:cs="monospace"/>
      <w:sz w:val="20"/>
    </w:rPr>
  </w:style>
  <w:style w:type="character" w:styleId="61">
    <w:name w:val="HTML Sample"/>
    <w:qFormat/>
    <w:uiPriority w:val="0"/>
    <w:rPr>
      <w:rFonts w:hint="default" w:ascii="monospace" w:hAnsi="monospace" w:eastAsia="monospace" w:cs="monospace"/>
    </w:rPr>
  </w:style>
  <w:style w:type="character" w:customStyle="1" w:styleId="62">
    <w:name w:val="正文缩进 字符"/>
    <w:link w:val="5"/>
    <w:qFormat/>
    <w:uiPriority w:val="0"/>
    <w:rPr>
      <w:kern w:val="2"/>
      <w:sz w:val="21"/>
      <w:szCs w:val="21"/>
    </w:rPr>
  </w:style>
  <w:style w:type="character" w:customStyle="1" w:styleId="63">
    <w:name w:val="标题 3 字符"/>
    <w:link w:val="6"/>
    <w:qFormat/>
    <w:uiPriority w:val="0"/>
    <w:rPr>
      <w:rFonts w:eastAsia="宋体"/>
      <w:b/>
      <w:bCs/>
      <w:kern w:val="2"/>
      <w:sz w:val="32"/>
      <w:szCs w:val="32"/>
      <w:lang w:val="en-US" w:eastAsia="zh-CN" w:bidi="ar-SA"/>
    </w:rPr>
  </w:style>
  <w:style w:type="character" w:customStyle="1" w:styleId="64">
    <w:name w:val="标题 4 字符"/>
    <w:link w:val="2"/>
    <w:qFormat/>
    <w:uiPriority w:val="0"/>
    <w:rPr>
      <w:rFonts w:ascii="Cambria" w:hAnsi="Cambria" w:eastAsia="宋体" w:cs="Times New Roman"/>
      <w:b/>
      <w:kern w:val="2"/>
      <w:sz w:val="28"/>
      <w:szCs w:val="28"/>
    </w:rPr>
  </w:style>
  <w:style w:type="character" w:customStyle="1" w:styleId="65">
    <w:name w:val="文档结构图 字符"/>
    <w:link w:val="14"/>
    <w:qFormat/>
    <w:uiPriority w:val="0"/>
    <w:rPr>
      <w:rFonts w:eastAsia="宋体"/>
      <w:kern w:val="2"/>
      <w:sz w:val="21"/>
      <w:szCs w:val="21"/>
      <w:lang w:val="en-US" w:eastAsia="zh-CN" w:bidi="ar-SA"/>
    </w:rPr>
  </w:style>
  <w:style w:type="character" w:customStyle="1" w:styleId="66">
    <w:name w:val="纯文本 字符"/>
    <w:link w:val="24"/>
    <w:qFormat/>
    <w:uiPriority w:val="0"/>
    <w:rPr>
      <w:rFonts w:ascii="宋体" w:hAnsi="Courier New" w:cs="Courier New"/>
      <w:kern w:val="2"/>
      <w:sz w:val="21"/>
      <w:szCs w:val="21"/>
    </w:rPr>
  </w:style>
  <w:style w:type="character" w:customStyle="1" w:styleId="67">
    <w:name w:val="页脚 字符"/>
    <w:link w:val="29"/>
    <w:qFormat/>
    <w:uiPriority w:val="0"/>
    <w:rPr>
      <w:kern w:val="2"/>
      <w:sz w:val="18"/>
      <w:szCs w:val="18"/>
    </w:rPr>
  </w:style>
  <w:style w:type="character" w:customStyle="1" w:styleId="68">
    <w:name w:val="页眉 字符"/>
    <w:link w:val="30"/>
    <w:qFormat/>
    <w:uiPriority w:val="0"/>
    <w:rPr>
      <w:kern w:val="2"/>
      <w:sz w:val="18"/>
      <w:szCs w:val="18"/>
    </w:rPr>
  </w:style>
  <w:style w:type="character" w:customStyle="1" w:styleId="69">
    <w:name w:val="hover"/>
    <w:qFormat/>
    <w:uiPriority w:val="0"/>
    <w:rPr>
      <w:shd w:val="clear" w:color="auto" w:fill="EEEEEE"/>
    </w:rPr>
  </w:style>
  <w:style w:type="character" w:customStyle="1" w:styleId="70">
    <w:name w:val="old"/>
    <w:qFormat/>
    <w:uiPriority w:val="0"/>
    <w:rPr>
      <w:color w:val="999999"/>
    </w:rPr>
  </w:style>
  <w:style w:type="character" w:customStyle="1" w:styleId="71">
    <w:name w:val="列出段落 Char"/>
    <w:link w:val="72"/>
    <w:qFormat/>
    <w:locked/>
    <w:uiPriority w:val="0"/>
    <w:rPr>
      <w:rFonts w:ascii="Calibri" w:hAnsi="Calibri"/>
      <w:sz w:val="24"/>
      <w:szCs w:val="24"/>
      <w:lang w:eastAsia="en-US" w:bidi="en-US"/>
    </w:rPr>
  </w:style>
  <w:style w:type="paragraph" w:customStyle="1" w:styleId="72">
    <w:name w:val="列出段落1"/>
    <w:basedOn w:val="1"/>
    <w:link w:val="71"/>
    <w:qFormat/>
    <w:uiPriority w:val="0"/>
    <w:pPr>
      <w:widowControl/>
      <w:ind w:left="720"/>
      <w:contextualSpacing/>
      <w:jc w:val="left"/>
    </w:pPr>
    <w:rPr>
      <w:rFonts w:ascii="Calibri" w:hAnsi="Calibri"/>
      <w:kern w:val="0"/>
      <w:sz w:val="24"/>
      <w:szCs w:val="24"/>
      <w:lang w:eastAsia="en-US" w:bidi="en-US"/>
    </w:rPr>
  </w:style>
  <w:style w:type="character" w:customStyle="1" w:styleId="73">
    <w:name w:val="二级目录 Char"/>
    <w:link w:val="74"/>
    <w:uiPriority w:val="0"/>
    <w:rPr>
      <w:b/>
      <w:kern w:val="2"/>
      <w:sz w:val="30"/>
      <w:szCs w:val="28"/>
      <w:lang w:val="en-US" w:eastAsia="zh-CN" w:bidi="ar-SA"/>
    </w:rPr>
  </w:style>
  <w:style w:type="paragraph" w:customStyle="1" w:styleId="74">
    <w:name w:val="二级目录"/>
    <w:next w:val="1"/>
    <w:link w:val="73"/>
    <w:uiPriority w:val="0"/>
    <w:pPr>
      <w:numPr>
        <w:ilvl w:val="0"/>
        <w:numId w:val="2"/>
      </w:numPr>
      <w:tabs>
        <w:tab w:val="left" w:pos="1145"/>
      </w:tabs>
      <w:outlineLvl w:val="1"/>
    </w:pPr>
    <w:rPr>
      <w:rFonts w:ascii="Times New Roman" w:hAnsi="Times New Roman" w:eastAsia="宋体" w:cs="Times New Roman"/>
      <w:b/>
      <w:kern w:val="2"/>
      <w:sz w:val="30"/>
      <w:szCs w:val="28"/>
      <w:lang w:val="en-US" w:eastAsia="zh-CN" w:bidi="ar-SA"/>
    </w:rPr>
  </w:style>
  <w:style w:type="character" w:customStyle="1" w:styleId="75">
    <w:name w:val="hour_am"/>
    <w:uiPriority w:val="0"/>
  </w:style>
  <w:style w:type="character" w:customStyle="1" w:styleId="76">
    <w:name w:val="glyphicon"/>
    <w:uiPriority w:val="0"/>
  </w:style>
  <w:style w:type="character" w:customStyle="1" w:styleId="77">
    <w:name w:val="font5 Char"/>
    <w:qFormat/>
    <w:uiPriority w:val="0"/>
    <w:rPr>
      <w:rFonts w:ascii="宋体" w:hAnsi="宋体" w:eastAsia="宋体"/>
      <w:sz w:val="28"/>
      <w:szCs w:val="28"/>
      <w:lang w:val="en-US" w:eastAsia="zh-CN" w:bidi="ar-SA"/>
    </w:rPr>
  </w:style>
  <w:style w:type="character" w:customStyle="1" w:styleId="78">
    <w:name w:val="hour_pm"/>
    <w:qFormat/>
    <w:uiPriority w:val="0"/>
  </w:style>
  <w:style w:type="character" w:customStyle="1" w:styleId="79">
    <w:name w:val=" Char Char Char Char Char"/>
    <w:link w:val="80"/>
    <w:qFormat/>
    <w:uiPriority w:val="0"/>
    <w:rPr>
      <w:rFonts w:ascii="Tahoma" w:hAnsi="Tahoma" w:eastAsia="宋体"/>
      <w:kern w:val="2"/>
      <w:sz w:val="24"/>
      <w:szCs w:val="24"/>
      <w:lang w:val="en-US" w:eastAsia="zh-CN" w:bidi="ar-SA"/>
    </w:rPr>
  </w:style>
  <w:style w:type="paragraph" w:customStyle="1" w:styleId="80">
    <w:name w:val=" Char Char Char Char"/>
    <w:basedOn w:val="14"/>
    <w:link w:val="79"/>
    <w:qFormat/>
    <w:uiPriority w:val="0"/>
    <w:pPr>
      <w:adjustRightInd w:val="0"/>
      <w:snapToGrid w:val="0"/>
      <w:spacing w:line="360" w:lineRule="auto"/>
    </w:pPr>
    <w:rPr>
      <w:rFonts w:ascii="Tahoma" w:hAnsi="Tahoma"/>
      <w:sz w:val="24"/>
      <w:szCs w:val="24"/>
    </w:rPr>
  </w:style>
  <w:style w:type="paragraph" w:customStyle="1" w:styleId="81">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2">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3">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4">
    <w:name w:val="table_1stline"/>
    <w:basedOn w:val="1"/>
    <w:uiPriority w:val="0"/>
    <w:pPr>
      <w:widowControl/>
      <w:spacing w:before="120"/>
      <w:jc w:val="left"/>
    </w:pPr>
    <w:rPr>
      <w:bCs/>
      <w:kern w:val="0"/>
      <w:sz w:val="20"/>
      <w:szCs w:val="20"/>
      <w:lang w:val="de-DE" w:eastAsia="de-DE"/>
    </w:rPr>
  </w:style>
  <w:style w:type="paragraph" w:customStyle="1" w:styleId="85">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6">
    <w:name w:val="table_lines"/>
    <w:basedOn w:val="1"/>
    <w:qFormat/>
    <w:uiPriority w:val="0"/>
    <w:pPr>
      <w:widowControl/>
      <w:jc w:val="left"/>
    </w:pPr>
    <w:rPr>
      <w:kern w:val="0"/>
      <w:sz w:val="20"/>
      <w:szCs w:val="20"/>
      <w:lang w:val="de-DE" w:eastAsia="de-DE"/>
    </w:rPr>
  </w:style>
  <w:style w:type="paragraph" w:customStyle="1" w:styleId="87">
    <w:name w:val="Char"/>
    <w:basedOn w:val="1"/>
    <w:qFormat/>
    <w:uiPriority w:val="0"/>
    <w:pPr>
      <w:tabs>
        <w:tab w:val="left" w:pos="360"/>
      </w:tabs>
      <w:ind w:firstLine="200" w:firstLineChars="200"/>
    </w:pPr>
    <w:rPr>
      <w:sz w:val="28"/>
      <w:szCs w:val="30"/>
    </w:rPr>
  </w:style>
  <w:style w:type="paragraph" w:customStyle="1" w:styleId="88">
    <w:name w:val="Default"/>
    <w:qFormat/>
    <w:uiPriority w:val="0"/>
    <w:pPr>
      <w:widowControl w:val="0"/>
      <w:autoSpaceDE w:val="0"/>
      <w:autoSpaceDN w:val="0"/>
      <w:ind w:left="5120" w:firstLine="4608"/>
    </w:pPr>
    <w:rPr>
      <w:rFonts w:ascii="宋体" w:hAnsi="宋体" w:eastAsia="Malgun Gothic" w:cs="Times New Roman"/>
      <w:lang w:val="en-US" w:eastAsia="zh-CN" w:bidi="ar-SA"/>
    </w:rPr>
  </w:style>
  <w:style w:type="paragraph" w:customStyle="1" w:styleId="89">
    <w:name w:val="Index4"/>
    <w:basedOn w:val="1"/>
    <w:next w:val="1"/>
    <w:qFormat/>
    <w:uiPriority w:val="99"/>
    <w:pPr>
      <w:ind w:left="600" w:leftChars="600"/>
    </w:pPr>
    <w:rPr>
      <w:rFonts w:ascii="Verdana" w:hAnsi="Verdana"/>
      <w:szCs w:val="20"/>
    </w:rPr>
  </w:style>
  <w:style w:type="paragraph" w:customStyle="1" w:styleId="9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1">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2">
    <w:name w:val="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4">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5">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6">
    <w:name w:val="无间隔1"/>
    <w:qFormat/>
    <w:uiPriority w:val="5"/>
    <w:rPr>
      <w:rFonts w:ascii="Calibri" w:hAnsi="Calibri" w:eastAsia="Calibri" w:cs="Times New Roman"/>
      <w:sz w:val="22"/>
      <w:szCs w:val="22"/>
      <w:lang w:val="en-US" w:eastAsia="zh-CN" w:bidi="ar-SA"/>
    </w:rPr>
  </w:style>
  <w:style w:type="paragraph" w:customStyle="1" w:styleId="97">
    <w:name w:val="普通正文"/>
    <w:basedOn w:val="1"/>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8">
    <w:name w:val=" Char Char Char Char Char Char Char Char Char Char"/>
    <w:basedOn w:val="1"/>
    <w:uiPriority w:val="0"/>
    <w:pPr>
      <w:adjustRightInd w:val="0"/>
      <w:spacing w:line="360" w:lineRule="auto"/>
    </w:pPr>
    <w:rPr>
      <w:kern w:val="0"/>
      <w:sz w:val="24"/>
      <w:szCs w:val="20"/>
    </w:rPr>
  </w:style>
  <w:style w:type="paragraph" w:customStyle="1" w:styleId="99">
    <w:name w:val="Char Char Char Char"/>
    <w:basedOn w:val="14"/>
    <w:qFormat/>
    <w:uiPriority w:val="0"/>
    <w:pPr>
      <w:adjustRightInd w:val="0"/>
      <w:snapToGrid w:val="0"/>
      <w:spacing w:line="360" w:lineRule="auto"/>
    </w:pPr>
    <w:rPr>
      <w:rFonts w:ascii="Tahoma" w:hAnsi="Tahoma"/>
      <w:sz w:val="24"/>
      <w:szCs w:val="24"/>
    </w:rPr>
  </w:style>
  <w:style w:type="paragraph" w:customStyle="1" w:styleId="10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1">
    <w:name w:val="Body Text(ch)"/>
    <w:basedOn w:val="1"/>
    <w:next w:val="17"/>
    <w:qFormat/>
    <w:uiPriority w:val="0"/>
    <w:pPr>
      <w:spacing w:after="120"/>
    </w:pPr>
    <w:rPr>
      <w:rFonts w:ascii="宋体" w:hAnsi="Arial"/>
      <w:bCs/>
      <w:iCs/>
      <w:szCs w:val="24"/>
    </w:rPr>
  </w:style>
  <w:style w:type="paragraph" w:customStyle="1" w:styleId="102">
    <w:name w:val=" Char"/>
    <w:basedOn w:val="14"/>
    <w:qFormat/>
    <w:uiPriority w:val="0"/>
    <w:rPr>
      <w:rFonts w:ascii="Tahoma" w:hAnsi="Tahoma"/>
      <w:sz w:val="24"/>
      <w:szCs w:val="24"/>
    </w:rPr>
  </w:style>
  <w:style w:type="paragraph" w:customStyle="1" w:styleId="10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4">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styleId="105">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6">
    <w:name w:val="Normal_19"/>
    <w:next w:val="107"/>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107">
    <w:name w:val="段_0"/>
    <w:next w:val="10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8">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9">
    <w:name w:val="样式1"/>
    <w:basedOn w:val="1"/>
    <w:uiPriority w:val="0"/>
    <w:pPr>
      <w:numPr>
        <w:ilvl w:val="0"/>
        <w:numId w:val="3"/>
      </w:numPr>
      <w:adjustRightInd w:val="0"/>
      <w:textAlignment w:val="baseline"/>
    </w:pPr>
    <w:rPr>
      <w:rFonts w:ascii="宋体" w:hAnsi="宋体"/>
      <w:kern w:val="0"/>
    </w:rPr>
  </w:style>
  <w:style w:type="paragraph" w:customStyle="1" w:styleId="110">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1">
    <w:name w:val="4"/>
    <w:basedOn w:val="1"/>
    <w:next w:val="35"/>
    <w:qFormat/>
    <w:uiPriority w:val="0"/>
    <w:pPr>
      <w:spacing w:line="360" w:lineRule="auto"/>
      <w:ind w:firstLine="420"/>
    </w:pPr>
    <w:rPr>
      <w:color w:val="FF0000"/>
      <w:sz w:val="24"/>
      <w:szCs w:val="24"/>
    </w:rPr>
  </w:style>
  <w:style w:type="paragraph" w:customStyle="1" w:styleId="112">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3">
    <w:name w:val="font5"/>
    <w:basedOn w:val="1"/>
    <w:qFormat/>
    <w:uiPriority w:val="0"/>
    <w:pPr>
      <w:widowControl/>
      <w:spacing w:before="100" w:beforeAutospacing="1" w:after="100" w:afterAutospacing="1"/>
      <w:jc w:val="left"/>
    </w:pPr>
    <w:rPr>
      <w:rFonts w:hint="eastAsia" w:ascii="宋体" w:hAnsi="宋体"/>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Template>
  <Pages>44</Pages>
  <Words>3905</Words>
  <Characters>22259</Characters>
  <Lines>185</Lines>
  <Paragraphs>52</Paragraphs>
  <TotalTime>1</TotalTime>
  <ScaleCrop>false</ScaleCrop>
  <LinksUpToDate>false</LinksUpToDate>
  <CharactersWithSpaces>26112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2021-07-10T04:51:00Z</dcterms:created>
  <dc:creator>政府采购中心</dc:creator>
  <cp:lastModifiedBy>赵萌</cp:lastModifiedBy>
  <cp:lastPrinted>2017-09-29T09:02:00Z</cp:lastPrinted>
  <dcterms:modified xsi:type="dcterms:W3CDTF">2021-07-14T02:37:19Z</dcterms:modified>
  <dc:title>江苏卫生信息系统业务软件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1FC000E25C674EEA956AE2D73CD52729</vt:lpwstr>
  </property>
</Properties>
</file>