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3"/>
          <w:rFonts w:cs="宋体"/>
          <w:color w:val="000000" w:themeColor="text1"/>
          <w:sz w:val="36"/>
          <w:szCs w:val="21"/>
        </w:rPr>
      </w:pPr>
    </w:p>
    <w:p>
      <w:pPr>
        <w:rPr>
          <w:rStyle w:val="43"/>
          <w:rFonts w:ascii="宋体" w:hAnsi="宋体" w:cs="宋体"/>
          <w:color w:val="000000" w:themeColor="text1"/>
          <w:sz w:val="36"/>
        </w:rPr>
      </w:pPr>
    </w:p>
    <w:p>
      <w:pPr>
        <w:jc w:val="center"/>
        <w:rPr>
          <w:rStyle w:val="43"/>
          <w:rFonts w:ascii="宋体" w:hAnsi="宋体" w:cs="宋体"/>
          <w:b/>
          <w:color w:val="000000" w:themeColor="text1"/>
          <w:sz w:val="84"/>
        </w:rPr>
      </w:pPr>
      <w:r>
        <w:rPr>
          <w:rStyle w:val="43"/>
          <w:rFonts w:hint="eastAsia" w:ascii="宋体" w:hAnsi="宋体" w:cs="宋体"/>
          <w:b/>
          <w:color w:val="000000" w:themeColor="text1"/>
          <w:sz w:val="84"/>
        </w:rPr>
        <w:t>招 标 文 件</w:t>
      </w:r>
    </w:p>
    <w:p>
      <w:pPr>
        <w:rPr>
          <w:rStyle w:val="43"/>
          <w:rFonts w:ascii="宋体" w:hAnsi="宋体" w:cs="宋体"/>
          <w:b/>
          <w:color w:val="000000" w:themeColor="text1"/>
          <w:sz w:val="32"/>
        </w:rPr>
      </w:pPr>
    </w:p>
    <w:p>
      <w:pPr>
        <w:jc w:val="center"/>
        <w:rPr>
          <w:rStyle w:val="43"/>
          <w:rFonts w:ascii="宋体" w:hAnsi="宋体" w:cs="宋体"/>
          <w:b/>
          <w:color w:val="000000" w:themeColor="text1"/>
          <w:sz w:val="32"/>
        </w:rPr>
      </w:pPr>
    </w:p>
    <w:p>
      <w:pPr>
        <w:pStyle w:val="23"/>
        <w:rPr>
          <w:rFonts w:cs="宋体"/>
          <w:color w:val="000000" w:themeColor="text1"/>
        </w:rPr>
      </w:pPr>
    </w:p>
    <w:p>
      <w:pPr>
        <w:jc w:val="center"/>
        <w:rPr>
          <w:rStyle w:val="43"/>
          <w:rFonts w:ascii="宋体" w:hAnsi="宋体" w:cs="宋体"/>
          <w:b/>
          <w:color w:val="000000" w:themeColor="text1"/>
          <w:sz w:val="32"/>
        </w:rPr>
      </w:pPr>
    </w:p>
    <w:p>
      <w:pPr>
        <w:jc w:val="center"/>
        <w:rPr>
          <w:rStyle w:val="43"/>
          <w:rFonts w:ascii="宋体" w:hAnsi="宋体" w:cs="宋体"/>
          <w:b/>
          <w:color w:val="000000" w:themeColor="text1"/>
          <w:sz w:val="32"/>
        </w:rPr>
      </w:pPr>
    </w:p>
    <w:p>
      <w:pPr>
        <w:ind w:firstLine="723" w:firstLineChars="200"/>
        <w:rPr>
          <w:rStyle w:val="43"/>
          <w:rFonts w:hint="eastAsia" w:ascii="宋体" w:hAnsi="宋体" w:eastAsia="宋体" w:cs="宋体"/>
          <w:b/>
          <w:color w:val="000000" w:themeColor="text1"/>
          <w:sz w:val="36"/>
          <w:lang w:eastAsia="zh-CN"/>
        </w:rPr>
      </w:pPr>
      <w:r>
        <w:rPr>
          <w:rStyle w:val="43"/>
          <w:rFonts w:hint="eastAsia" w:ascii="宋体" w:hAnsi="宋体" w:cs="宋体"/>
          <w:b/>
          <w:color w:val="000000" w:themeColor="text1"/>
          <w:sz w:val="36"/>
        </w:rPr>
        <w:t>项目编号：2022-</w:t>
      </w:r>
      <w:r>
        <w:rPr>
          <w:rStyle w:val="43"/>
          <w:rFonts w:hint="eastAsia" w:ascii="宋体" w:hAnsi="宋体" w:cs="宋体"/>
          <w:b/>
          <w:color w:val="000000" w:themeColor="text1"/>
          <w:sz w:val="36"/>
          <w:lang w:eastAsia="zh-CN"/>
        </w:rPr>
        <w:t>025W</w:t>
      </w:r>
    </w:p>
    <w:p>
      <w:pPr>
        <w:jc w:val="center"/>
        <w:rPr>
          <w:rStyle w:val="43"/>
          <w:rFonts w:ascii="宋体" w:hAnsi="宋体" w:cs="宋体"/>
          <w:b/>
          <w:color w:val="000000" w:themeColor="text1"/>
          <w:sz w:val="32"/>
        </w:rPr>
      </w:pPr>
    </w:p>
    <w:p>
      <w:pPr>
        <w:jc w:val="center"/>
        <w:rPr>
          <w:rStyle w:val="43"/>
          <w:rFonts w:ascii="宋体" w:hAnsi="宋体" w:cs="宋体"/>
          <w:b/>
          <w:color w:val="000000" w:themeColor="text1"/>
          <w:sz w:val="32"/>
        </w:rPr>
      </w:pPr>
    </w:p>
    <w:p>
      <w:pPr>
        <w:ind w:left="2525" w:leftChars="342" w:hanging="1807" w:hangingChars="500"/>
        <w:rPr>
          <w:rStyle w:val="43"/>
          <w:rFonts w:ascii="宋体" w:hAnsi="宋体" w:cs="宋体"/>
          <w:b/>
          <w:color w:val="000000" w:themeColor="text1"/>
          <w:sz w:val="30"/>
          <w:szCs w:val="30"/>
        </w:rPr>
      </w:pPr>
      <w:r>
        <w:rPr>
          <w:rStyle w:val="43"/>
          <w:rFonts w:hint="eastAsia" w:ascii="宋体" w:hAnsi="宋体" w:cs="宋体"/>
          <w:b/>
          <w:color w:val="000000" w:themeColor="text1"/>
          <w:sz w:val="36"/>
          <w:szCs w:val="36"/>
        </w:rPr>
        <w:t>项目名称：盐城工业职业技术学院宿舍物业管理服务</w:t>
      </w:r>
    </w:p>
    <w:p>
      <w:pPr>
        <w:pStyle w:val="23"/>
        <w:ind w:firstLine="0" w:firstLineChars="0"/>
        <w:rPr>
          <w:rStyle w:val="43"/>
          <w:rFonts w:cs="宋体"/>
          <w:b/>
          <w:color w:val="000000" w:themeColor="text1"/>
          <w:sz w:val="32"/>
          <w:szCs w:val="21"/>
        </w:rPr>
      </w:pPr>
    </w:p>
    <w:p>
      <w:pPr>
        <w:pStyle w:val="23"/>
        <w:ind w:firstLine="643"/>
        <w:rPr>
          <w:rStyle w:val="43"/>
          <w:rFonts w:cs="宋体"/>
          <w:b/>
          <w:color w:val="000000" w:themeColor="text1"/>
          <w:sz w:val="32"/>
          <w:szCs w:val="21"/>
        </w:rPr>
      </w:pPr>
    </w:p>
    <w:p>
      <w:pPr>
        <w:pStyle w:val="103"/>
        <w:rPr>
          <w:rStyle w:val="43"/>
          <w:rFonts w:ascii="宋体" w:hAnsi="宋体" w:eastAsia="宋体" w:cs="宋体"/>
          <w:b/>
          <w:color w:val="000000" w:themeColor="text1"/>
          <w:sz w:val="32"/>
        </w:rPr>
      </w:pPr>
    </w:p>
    <w:p>
      <w:pPr>
        <w:pStyle w:val="103"/>
        <w:rPr>
          <w:rStyle w:val="43"/>
          <w:rFonts w:ascii="宋体" w:hAnsi="宋体" w:eastAsia="宋体" w:cs="宋体"/>
          <w:b/>
          <w:color w:val="000000" w:themeColor="text1"/>
          <w:sz w:val="32"/>
        </w:rPr>
      </w:pPr>
    </w:p>
    <w:p>
      <w:pPr>
        <w:spacing w:afterLines="100" w:line="360" w:lineRule="auto"/>
        <w:ind w:firstLine="1080" w:firstLineChars="300"/>
        <w:rPr>
          <w:rStyle w:val="43"/>
          <w:rFonts w:ascii="宋体" w:hAnsi="宋体" w:cs="宋体"/>
          <w:bCs/>
          <w:color w:val="000000" w:themeColor="text1"/>
          <w:sz w:val="36"/>
          <w:szCs w:val="36"/>
        </w:rPr>
      </w:pPr>
      <w:r>
        <w:rPr>
          <w:rStyle w:val="43"/>
          <w:rFonts w:hint="eastAsia" w:ascii="宋体" w:hAnsi="宋体" w:cs="宋体"/>
          <w:bCs/>
          <w:color w:val="000000" w:themeColor="text1"/>
          <w:sz w:val="36"/>
          <w:szCs w:val="36"/>
        </w:rPr>
        <w:t>采购人：盐城工业职业技术学院</w:t>
      </w:r>
    </w:p>
    <w:p>
      <w:pPr>
        <w:pStyle w:val="2"/>
        <w:spacing w:line="360" w:lineRule="auto"/>
        <w:ind w:left="0" w:leftChars="0" w:right="0" w:rightChars="0" w:firstLine="1080" w:firstLineChars="300"/>
        <w:rPr>
          <w:rStyle w:val="43"/>
          <w:rFonts w:ascii="宋体" w:hAnsi="宋体" w:cs="宋体"/>
          <w:bCs/>
          <w:color w:val="000000" w:themeColor="text1"/>
          <w:sz w:val="36"/>
          <w:szCs w:val="36"/>
        </w:rPr>
      </w:pPr>
      <w:r>
        <w:rPr>
          <w:rStyle w:val="43"/>
          <w:rFonts w:hint="eastAsia" w:ascii="宋体" w:hAnsi="宋体" w:cs="宋体"/>
          <w:bCs/>
          <w:color w:val="000000" w:themeColor="text1"/>
          <w:sz w:val="36"/>
          <w:szCs w:val="36"/>
        </w:rPr>
        <w:t>代理人：江苏伟业项目管理有限公司</w:t>
      </w:r>
    </w:p>
    <w:p>
      <w:pPr>
        <w:jc w:val="center"/>
        <w:rPr>
          <w:rStyle w:val="43"/>
          <w:rFonts w:ascii="宋体" w:hAnsi="宋体" w:cs="宋体"/>
          <w:color w:val="000000" w:themeColor="text1"/>
          <w:sz w:val="36"/>
          <w:szCs w:val="36"/>
        </w:rPr>
      </w:pPr>
    </w:p>
    <w:p>
      <w:pPr>
        <w:jc w:val="center"/>
        <w:rPr>
          <w:rStyle w:val="43"/>
          <w:rFonts w:ascii="宋体" w:hAnsi="宋体" w:cs="宋体"/>
          <w:color w:val="000000" w:themeColor="text1"/>
          <w:sz w:val="36"/>
          <w:szCs w:val="36"/>
        </w:rPr>
      </w:pPr>
      <w:r>
        <w:rPr>
          <w:rStyle w:val="43"/>
          <w:rFonts w:hint="eastAsia" w:ascii="宋体" w:hAnsi="宋体" w:cs="宋体"/>
          <w:color w:val="000000" w:themeColor="text1"/>
          <w:sz w:val="36"/>
          <w:szCs w:val="36"/>
        </w:rPr>
        <w:t>2022年7月</w:t>
      </w:r>
      <w:r>
        <w:rPr>
          <w:rStyle w:val="43"/>
          <w:rFonts w:hint="eastAsia" w:ascii="宋体" w:hAnsi="宋体" w:cs="宋体"/>
          <w:color w:val="000000" w:themeColor="text1"/>
          <w:sz w:val="36"/>
          <w:szCs w:val="36"/>
          <w:lang w:val="en-US" w:eastAsia="zh-CN"/>
        </w:rPr>
        <w:t>15</w:t>
      </w:r>
      <w:r>
        <w:rPr>
          <w:rStyle w:val="43"/>
          <w:rFonts w:hint="eastAsia" w:ascii="宋体" w:hAnsi="宋体" w:cs="宋体"/>
          <w:color w:val="000000" w:themeColor="text1"/>
          <w:sz w:val="36"/>
          <w:szCs w:val="36"/>
        </w:rPr>
        <w:t>日</w:t>
      </w:r>
    </w:p>
    <w:p>
      <w:pPr>
        <w:spacing w:line="480" w:lineRule="auto"/>
        <w:rPr>
          <w:rStyle w:val="43"/>
          <w:rFonts w:ascii="宋体" w:hAnsi="宋体" w:cs="宋体"/>
          <w:color w:val="000000" w:themeColor="text1"/>
        </w:rPr>
      </w:pPr>
    </w:p>
    <w:p>
      <w:pPr>
        <w:pStyle w:val="23"/>
        <w:rPr>
          <w:rFonts w:cs="宋体"/>
          <w:color w:val="000000" w:themeColor="text1"/>
        </w:rPr>
      </w:pPr>
    </w:p>
    <w:p>
      <w:pPr>
        <w:spacing w:line="480" w:lineRule="auto"/>
        <w:jc w:val="center"/>
        <w:rPr>
          <w:rStyle w:val="43"/>
          <w:rFonts w:ascii="宋体" w:hAnsi="宋体" w:cs="宋体"/>
          <w:b/>
          <w:color w:val="000000" w:themeColor="text1"/>
          <w:sz w:val="44"/>
        </w:rPr>
      </w:pPr>
      <w:r>
        <w:rPr>
          <w:rStyle w:val="43"/>
          <w:rFonts w:hint="eastAsia" w:ascii="宋体" w:hAnsi="宋体" w:cs="宋体"/>
          <w:b/>
          <w:color w:val="000000" w:themeColor="text1"/>
          <w:sz w:val="44"/>
        </w:rPr>
        <w:t>总  目  录</w:t>
      </w:r>
    </w:p>
    <w:p>
      <w:pPr>
        <w:spacing w:line="480" w:lineRule="auto"/>
        <w:rPr>
          <w:rStyle w:val="43"/>
          <w:rFonts w:ascii="宋体" w:hAnsi="宋体" w:cs="宋体"/>
          <w:b/>
          <w:color w:val="000000" w:themeColor="text1"/>
          <w:sz w:val="28"/>
        </w:rPr>
      </w:pPr>
    </w:p>
    <w:sdt>
      <w:sdtPr>
        <w:rPr>
          <w:rFonts w:ascii="宋体" w:hAnsi="宋体" w:eastAsia="楷体_GB2312"/>
          <w:color w:val="000000" w:themeColor="text1"/>
          <w:sz w:val="28"/>
          <w:szCs w:val="28"/>
        </w:rPr>
        <w:id w:val="147461321"/>
        <w:docPartObj>
          <w:docPartGallery w:val="Table of Contents"/>
          <w:docPartUnique/>
        </w:docPartObj>
      </w:sdtPr>
      <w:sdtEndPr>
        <w:rPr>
          <w:rFonts w:ascii="宋体" w:hAnsi="宋体" w:eastAsia="楷体_GB2312" w:cs="宋体"/>
          <w:bCs/>
          <w:color w:val="000000" w:themeColor="text1"/>
          <w:sz w:val="28"/>
          <w:szCs w:val="28"/>
        </w:rPr>
      </w:sdtEndPr>
      <w:sdtContent>
        <w:p>
          <w:pPr>
            <w:jc w:val="center"/>
            <w:rPr>
              <w:color w:val="000000" w:themeColor="text1"/>
            </w:rPr>
          </w:pPr>
        </w:p>
        <w:p>
          <w:pPr>
            <w:pStyle w:val="161"/>
            <w:tabs>
              <w:tab w:val="right" w:leader="dot" w:pos="8953"/>
            </w:tabs>
            <w:rPr>
              <w:rFonts w:ascii="宋体" w:hAnsi="宋体" w:cs="宋体"/>
              <w:color w:val="000000" w:themeColor="text1"/>
              <w:sz w:val="36"/>
              <w:szCs w:val="36"/>
            </w:rPr>
          </w:pPr>
          <w:r>
            <w:rPr>
              <w:rStyle w:val="43"/>
              <w:color w:val="000000" w:themeColor="text1"/>
              <w:sz w:val="44"/>
            </w:rPr>
            <w:fldChar w:fldCharType="begin"/>
          </w:r>
          <w:r>
            <w:rPr>
              <w:rStyle w:val="43"/>
              <w:rFonts w:ascii="宋体" w:hAnsi="宋体" w:cs="宋体"/>
              <w:bCs/>
              <w:color w:val="000000" w:themeColor="text1"/>
              <w:sz w:val="44"/>
            </w:rPr>
            <w:instrText xml:space="preserve">TOC \o "1-1" \h \u </w:instrText>
          </w:r>
          <w:r>
            <w:rPr>
              <w:rStyle w:val="43"/>
              <w:color w:val="000000" w:themeColor="text1"/>
              <w:sz w:val="44"/>
            </w:rPr>
            <w:fldChar w:fldCharType="separate"/>
          </w:r>
          <w:r>
            <w:rPr>
              <w:color w:val="000000" w:themeColor="text1"/>
            </w:rPr>
            <w:fldChar w:fldCharType="begin"/>
          </w:r>
          <w:r>
            <w:rPr>
              <w:color w:val="000000" w:themeColor="text1"/>
            </w:rPr>
            <w:instrText xml:space="preserve"> HYPERLINK \l "_Toc18878" </w:instrText>
          </w:r>
          <w:r>
            <w:rPr>
              <w:color w:val="000000" w:themeColor="text1"/>
            </w:rPr>
            <w:fldChar w:fldCharType="separate"/>
          </w:r>
          <w:r>
            <w:rPr>
              <w:rFonts w:hint="eastAsia" w:ascii="宋体" w:hAnsi="宋体" w:cs="宋体"/>
              <w:b/>
              <w:color w:val="000000" w:themeColor="text1"/>
              <w:sz w:val="36"/>
              <w:szCs w:val="36"/>
            </w:rPr>
            <w:t xml:space="preserve">第一章  </w:t>
          </w:r>
          <w:r>
            <w:rPr>
              <w:rFonts w:hint="eastAsia" w:ascii="宋体" w:hAnsi="宋体" w:cs="宋体"/>
              <w:bCs/>
              <w:color w:val="000000" w:themeColor="text1"/>
              <w:sz w:val="36"/>
              <w:szCs w:val="36"/>
            </w:rPr>
            <w:t>招标公告</w:t>
          </w:r>
          <w:r>
            <w:rPr>
              <w:rFonts w:hint="eastAsia" w:ascii="宋体" w:hAnsi="宋体" w:cs="宋体"/>
              <w:bCs/>
              <w:color w:val="000000" w:themeColor="text1"/>
              <w:sz w:val="36"/>
              <w:szCs w:val="36"/>
            </w:rPr>
            <w:tab/>
          </w:r>
          <w:r>
            <w:rPr>
              <w:rFonts w:hint="eastAsia" w:ascii="宋体" w:hAnsi="宋体" w:cs="宋体"/>
              <w:bCs/>
              <w:color w:val="000000" w:themeColor="text1"/>
              <w:sz w:val="36"/>
              <w:szCs w:val="36"/>
            </w:rPr>
            <w:fldChar w:fldCharType="begin"/>
          </w:r>
          <w:r>
            <w:rPr>
              <w:rFonts w:hint="eastAsia" w:ascii="宋体" w:hAnsi="宋体" w:cs="宋体"/>
              <w:bCs/>
              <w:color w:val="000000" w:themeColor="text1"/>
              <w:sz w:val="36"/>
              <w:szCs w:val="36"/>
            </w:rPr>
            <w:instrText xml:space="preserve"> PAGEREF _Toc18878 \h </w:instrText>
          </w:r>
          <w:r>
            <w:rPr>
              <w:rFonts w:hint="eastAsia" w:ascii="宋体" w:hAnsi="宋体" w:cs="宋体"/>
              <w:bCs/>
              <w:color w:val="000000" w:themeColor="text1"/>
              <w:sz w:val="36"/>
              <w:szCs w:val="36"/>
            </w:rPr>
            <w:fldChar w:fldCharType="separate"/>
          </w:r>
          <w:r>
            <w:rPr>
              <w:rFonts w:hint="eastAsia" w:ascii="宋体" w:hAnsi="宋体" w:cs="宋体"/>
              <w:bCs/>
              <w:color w:val="000000" w:themeColor="text1"/>
              <w:sz w:val="36"/>
              <w:szCs w:val="36"/>
            </w:rPr>
            <w:t>3</w:t>
          </w:r>
          <w:r>
            <w:rPr>
              <w:rFonts w:hint="eastAsia" w:ascii="宋体" w:hAnsi="宋体" w:cs="宋体"/>
              <w:bCs/>
              <w:color w:val="000000" w:themeColor="text1"/>
              <w:sz w:val="36"/>
              <w:szCs w:val="36"/>
            </w:rPr>
            <w:fldChar w:fldCharType="end"/>
          </w:r>
          <w:r>
            <w:rPr>
              <w:rFonts w:hint="eastAsia" w:ascii="宋体" w:hAnsi="宋体" w:cs="宋体"/>
              <w:bCs/>
              <w:color w:val="000000" w:themeColor="text1"/>
              <w:sz w:val="36"/>
              <w:szCs w:val="36"/>
            </w:rPr>
            <w:fldChar w:fldCharType="end"/>
          </w:r>
        </w:p>
        <w:p>
          <w:pPr>
            <w:pStyle w:val="161"/>
            <w:tabs>
              <w:tab w:val="right" w:leader="dot" w:pos="8953"/>
            </w:tabs>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"_Toc21663" </w:instrText>
          </w:r>
          <w:r>
            <w:rPr>
              <w:color w:val="000000" w:themeColor="text1"/>
            </w:rPr>
            <w:fldChar w:fldCharType="separate"/>
          </w:r>
          <w:r>
            <w:rPr>
              <w:rFonts w:hint="eastAsia" w:ascii="宋体" w:hAnsi="宋体" w:cs="宋体"/>
              <w:b/>
              <w:bCs/>
              <w:color w:val="000000" w:themeColor="text1"/>
              <w:sz w:val="36"/>
              <w:szCs w:val="36"/>
            </w:rPr>
            <w:t>第二章</w:t>
          </w:r>
          <w:r>
            <w:rPr>
              <w:rFonts w:hint="eastAsia" w:ascii="宋体" w:hAnsi="宋体" w:cs="宋体"/>
              <w:color w:val="000000" w:themeColor="text1"/>
              <w:sz w:val="36"/>
              <w:szCs w:val="36"/>
            </w:rPr>
            <w:t xml:space="preserve">  投标人须知</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_Toc21663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8</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61"/>
            <w:tabs>
              <w:tab w:val="right" w:leader="dot" w:pos="8953"/>
            </w:tabs>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"_Toc19468" </w:instrText>
          </w:r>
          <w:r>
            <w:rPr>
              <w:color w:val="000000" w:themeColor="text1"/>
            </w:rPr>
            <w:fldChar w:fldCharType="separate"/>
          </w:r>
          <w:r>
            <w:rPr>
              <w:rFonts w:hint="eastAsia" w:ascii="宋体" w:hAnsi="宋体" w:cs="宋体"/>
              <w:b/>
              <w:bCs/>
              <w:color w:val="000000" w:themeColor="text1"/>
              <w:sz w:val="36"/>
              <w:szCs w:val="36"/>
            </w:rPr>
            <w:t>第三章</w:t>
          </w:r>
          <w:r>
            <w:rPr>
              <w:rFonts w:hint="eastAsia" w:ascii="宋体" w:hAnsi="宋体" w:cs="宋体"/>
              <w:color w:val="000000" w:themeColor="text1"/>
              <w:sz w:val="36"/>
              <w:szCs w:val="36"/>
            </w:rPr>
            <w:t xml:space="preserve">  合同条款及格式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_Toc19468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21</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61"/>
            <w:tabs>
              <w:tab w:val="right" w:leader="dot" w:pos="8953"/>
            </w:tabs>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"_Toc17926" </w:instrText>
          </w:r>
          <w:r>
            <w:rPr>
              <w:color w:val="000000" w:themeColor="text1"/>
            </w:rPr>
            <w:fldChar w:fldCharType="separate"/>
          </w:r>
          <w:r>
            <w:rPr>
              <w:rFonts w:hint="eastAsia" w:ascii="宋体" w:hAnsi="宋体" w:cs="宋体"/>
              <w:b/>
              <w:bCs/>
              <w:color w:val="000000" w:themeColor="text1"/>
              <w:sz w:val="36"/>
              <w:szCs w:val="36"/>
            </w:rPr>
            <w:t>第四章</w:t>
          </w:r>
          <w:r>
            <w:rPr>
              <w:rFonts w:hint="eastAsia" w:ascii="宋体" w:hAnsi="宋体" w:cs="宋体"/>
              <w:color w:val="000000" w:themeColor="text1"/>
              <w:sz w:val="36"/>
              <w:szCs w:val="36"/>
            </w:rPr>
            <w:t xml:space="preserve"> 项目需求</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_Toc17926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26</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61"/>
            <w:tabs>
              <w:tab w:val="right" w:leader="dot" w:pos="8953"/>
            </w:tabs>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"_Toc32259" </w:instrText>
          </w:r>
          <w:r>
            <w:rPr>
              <w:color w:val="000000" w:themeColor="text1"/>
            </w:rPr>
            <w:fldChar w:fldCharType="separate"/>
          </w:r>
          <w:r>
            <w:rPr>
              <w:rFonts w:hint="eastAsia" w:ascii="宋体" w:hAnsi="宋体" w:cs="宋体"/>
              <w:b/>
              <w:bCs/>
              <w:color w:val="000000" w:themeColor="text1"/>
              <w:sz w:val="36"/>
              <w:szCs w:val="36"/>
            </w:rPr>
            <w:t>第五章</w:t>
          </w:r>
          <w:r>
            <w:rPr>
              <w:rFonts w:hint="eastAsia" w:ascii="宋体" w:hAnsi="宋体" w:cs="宋体"/>
              <w:color w:val="000000" w:themeColor="text1"/>
              <w:sz w:val="36"/>
              <w:szCs w:val="36"/>
            </w:rPr>
            <w:t xml:space="preserve">  评标方法与评标标准</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_Toc32259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27</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61"/>
            <w:tabs>
              <w:tab w:val="right" w:leader="dot" w:pos="8953"/>
            </w:tabs>
            <w:rPr>
              <w:color w:val="000000" w:themeColor="text1"/>
            </w:rPr>
          </w:pPr>
          <w:r>
            <w:rPr>
              <w:color w:val="000000" w:themeColor="text1"/>
            </w:rPr>
            <w:fldChar w:fldCharType="begin"/>
          </w:r>
          <w:r>
            <w:rPr>
              <w:color w:val="000000" w:themeColor="text1"/>
            </w:rPr>
            <w:instrText xml:space="preserve"> HYPERLINK \l "_Toc20541" </w:instrText>
          </w:r>
          <w:r>
            <w:rPr>
              <w:color w:val="000000" w:themeColor="text1"/>
            </w:rPr>
            <w:fldChar w:fldCharType="separate"/>
          </w:r>
          <w:r>
            <w:rPr>
              <w:rFonts w:hint="eastAsia" w:ascii="宋体" w:hAnsi="宋体" w:cs="宋体"/>
              <w:b/>
              <w:bCs/>
              <w:color w:val="000000" w:themeColor="text1"/>
              <w:sz w:val="36"/>
              <w:szCs w:val="36"/>
            </w:rPr>
            <w:t>第六章</w:t>
          </w:r>
          <w:r>
            <w:rPr>
              <w:rFonts w:hint="eastAsia" w:ascii="宋体" w:hAnsi="宋体" w:cs="宋体"/>
              <w:color w:val="000000" w:themeColor="text1"/>
              <w:sz w:val="36"/>
              <w:szCs w:val="36"/>
            </w:rPr>
            <w:t xml:space="preserve">  投标文件格式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_Toc20541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35</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61"/>
            <w:tabs>
              <w:tab w:val="right" w:leader="dot" w:pos="8953"/>
            </w:tabs>
            <w:rPr>
              <w:color w:val="000000" w:themeColor="text1"/>
            </w:rPr>
          </w:pPr>
        </w:p>
        <w:p>
          <w:pPr>
            <w:pStyle w:val="33"/>
            <w:jc w:val="both"/>
            <w:rPr>
              <w:rFonts w:ascii="宋体" w:hAnsi="宋体" w:eastAsia="宋体" w:cs="宋体"/>
              <w:bCs/>
              <w:color w:val="000000" w:themeColor="text1"/>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ascii="宋体" w:hAnsi="宋体" w:eastAsia="宋体" w:cs="宋体"/>
              <w:bCs/>
              <w:color w:val="000000" w:themeColor="text1"/>
            </w:rPr>
            <w:fldChar w:fldCharType="end"/>
          </w:r>
        </w:p>
      </w:sdtContent>
    </w:sdt>
    <w:p>
      <w:pPr>
        <w:pStyle w:val="33"/>
        <w:outlineLvl w:val="0"/>
        <w:rPr>
          <w:rStyle w:val="43"/>
          <w:rFonts w:ascii="宋体" w:hAnsi="宋体" w:eastAsia="宋体" w:cs="宋体"/>
          <w:b/>
          <w:bCs/>
          <w:color w:val="000000" w:themeColor="text1"/>
          <w:sz w:val="44"/>
          <w:szCs w:val="44"/>
        </w:rPr>
      </w:pPr>
      <w:bookmarkStart w:id="0" w:name="_Toc18878"/>
      <w:r>
        <w:rPr>
          <w:rStyle w:val="43"/>
          <w:rFonts w:hint="eastAsia" w:ascii="宋体" w:hAnsi="宋体" w:eastAsia="宋体" w:cs="宋体"/>
          <w:b/>
          <w:bCs/>
          <w:color w:val="000000" w:themeColor="text1"/>
          <w:sz w:val="44"/>
          <w:szCs w:val="44"/>
        </w:rPr>
        <w:t>第一章  招标公告</w:t>
      </w:r>
      <w:bookmarkEnd w:id="0"/>
    </w:p>
    <w:p>
      <w:pPr>
        <w:pStyle w:val="33"/>
        <w:tabs>
          <w:tab w:val="left" w:pos="0"/>
          <w:tab w:val="left" w:pos="3165"/>
          <w:tab w:val="center" w:pos="4153"/>
        </w:tabs>
        <w:spacing w:line="360" w:lineRule="auto"/>
        <w:rPr>
          <w:rStyle w:val="43"/>
          <w:rFonts w:ascii="宋体" w:hAnsi="宋体" w:eastAsia="宋体" w:cs="宋体"/>
          <w:b/>
          <w:bCs/>
          <w:color w:val="000000" w:themeColor="text1"/>
        </w:rPr>
      </w:pPr>
      <w:r>
        <w:rPr>
          <w:rStyle w:val="43"/>
          <w:rFonts w:hint="eastAsia" w:ascii="宋体" w:hAnsi="宋体" w:eastAsia="宋体" w:cs="宋体"/>
          <w:b/>
          <w:bCs/>
          <w:color w:val="000000" w:themeColor="text1"/>
          <w:sz w:val="32"/>
          <w:szCs w:val="32"/>
        </w:rPr>
        <w:t>盐城工业职业技术学院宿舍物业管理服务招标公告</w:t>
      </w:r>
    </w:p>
    <w:p>
      <w:pPr>
        <w:pBdr>
          <w:top w:val="single" w:color="000000" w:sz="4" w:space="1"/>
          <w:left w:val="single" w:color="000000" w:sz="4" w:space="4"/>
          <w:bottom w:val="single" w:color="000000" w:sz="4" w:space="1"/>
          <w:right w:val="single" w:color="000000" w:sz="4" w:space="4"/>
        </w:pBdr>
        <w:spacing w:line="460" w:lineRule="exac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u w:val="single" w:color="000000"/>
        </w:rPr>
        <w:t>盐城工业职业技术学院宿舍物业管理服务</w:t>
      </w:r>
      <w:r>
        <w:rPr>
          <w:rStyle w:val="43"/>
          <w:rFonts w:hint="eastAsia" w:ascii="宋体" w:hAnsi="宋体" w:cs="宋体"/>
          <w:bCs/>
          <w:color w:val="000000" w:themeColor="text1"/>
          <w:sz w:val="24"/>
          <w:szCs w:val="24"/>
        </w:rPr>
        <w:t>的潜在投标人应在“</w:t>
      </w:r>
      <w:r>
        <w:rPr>
          <w:rStyle w:val="43"/>
          <w:rFonts w:hint="eastAsia" w:ascii="宋体" w:hAnsi="宋体" w:cs="宋体"/>
          <w:bCs/>
          <w:color w:val="000000" w:themeColor="text1"/>
          <w:sz w:val="24"/>
          <w:szCs w:val="24"/>
          <w:u w:val="single"/>
        </w:rPr>
        <w:t>江苏省政府采购网或盐城市政府采购网或盐城工业职业技术学院招标采购网”</w:t>
      </w:r>
      <w:r>
        <w:rPr>
          <w:rStyle w:val="43"/>
          <w:rFonts w:hint="eastAsia" w:ascii="宋体" w:hAnsi="宋体" w:cs="宋体"/>
          <w:bCs/>
          <w:color w:val="000000" w:themeColor="text1"/>
          <w:sz w:val="24"/>
          <w:szCs w:val="24"/>
        </w:rPr>
        <w:t>获</w:t>
      </w:r>
      <w:r>
        <w:rPr>
          <w:rStyle w:val="43"/>
          <w:rFonts w:hint="eastAsia" w:ascii="宋体" w:hAnsi="宋体" w:cs="宋体"/>
          <w:color w:val="000000" w:themeColor="text1"/>
          <w:sz w:val="24"/>
          <w:szCs w:val="24"/>
        </w:rPr>
        <w:t>取招标文件，并于</w:t>
      </w:r>
      <w:r>
        <w:rPr>
          <w:rStyle w:val="43"/>
          <w:rFonts w:hint="eastAsia" w:ascii="宋体" w:hAnsi="宋体" w:cs="宋体"/>
          <w:color w:val="000000" w:themeColor="text1"/>
          <w:sz w:val="24"/>
          <w:szCs w:val="24"/>
          <w:u w:val="single" w:color="000000"/>
        </w:rPr>
        <w:t>2022</w:t>
      </w:r>
      <w:r>
        <w:rPr>
          <w:rStyle w:val="43"/>
          <w:rFonts w:hint="eastAsia" w:ascii="宋体" w:hAnsi="宋体" w:cs="宋体"/>
          <w:bCs/>
          <w:color w:val="000000" w:themeColor="text1"/>
          <w:sz w:val="24"/>
          <w:szCs w:val="24"/>
          <w:u w:val="single" w:color="000000"/>
        </w:rPr>
        <w:t>年</w:t>
      </w:r>
      <w:r>
        <w:rPr>
          <w:rStyle w:val="43"/>
          <w:rFonts w:hint="eastAsia" w:ascii="宋体" w:hAnsi="宋体" w:cs="宋体"/>
          <w:bCs/>
          <w:color w:val="000000" w:themeColor="text1"/>
          <w:sz w:val="24"/>
          <w:szCs w:val="24"/>
          <w:u w:val="single" w:color="000000"/>
          <w:lang w:val="en-US" w:eastAsia="zh-CN"/>
        </w:rPr>
        <w:t>8</w:t>
      </w:r>
      <w:r>
        <w:rPr>
          <w:rStyle w:val="43"/>
          <w:rFonts w:hint="eastAsia" w:ascii="宋体" w:hAnsi="宋体" w:cs="宋体"/>
          <w:bCs/>
          <w:color w:val="000000" w:themeColor="text1"/>
          <w:sz w:val="24"/>
          <w:szCs w:val="24"/>
          <w:u w:val="single" w:color="000000"/>
        </w:rPr>
        <w:t>月</w:t>
      </w:r>
      <w:r>
        <w:rPr>
          <w:rStyle w:val="43"/>
          <w:rFonts w:hint="eastAsia" w:ascii="宋体" w:hAnsi="宋体" w:cs="宋体"/>
          <w:bCs/>
          <w:color w:val="000000" w:themeColor="text1"/>
          <w:sz w:val="24"/>
          <w:szCs w:val="24"/>
          <w:u w:val="single" w:color="000000"/>
          <w:lang w:val="en-US" w:eastAsia="zh-CN"/>
        </w:rPr>
        <w:t>9</w:t>
      </w:r>
      <w:r>
        <w:rPr>
          <w:rStyle w:val="43"/>
          <w:rFonts w:hint="eastAsia" w:ascii="宋体" w:hAnsi="宋体" w:cs="宋体"/>
          <w:bCs/>
          <w:color w:val="000000" w:themeColor="text1"/>
          <w:sz w:val="24"/>
          <w:szCs w:val="24"/>
          <w:u w:val="single" w:color="000000"/>
        </w:rPr>
        <w:t>日</w:t>
      </w:r>
      <w:r>
        <w:rPr>
          <w:rStyle w:val="43"/>
          <w:rFonts w:hint="eastAsia" w:ascii="宋体" w:hAnsi="宋体" w:cs="宋体"/>
          <w:bCs/>
          <w:color w:val="000000" w:themeColor="text1"/>
          <w:sz w:val="24"/>
          <w:szCs w:val="24"/>
          <w:u w:val="single" w:color="000000"/>
          <w:lang w:val="en-US" w:eastAsia="zh-CN"/>
        </w:rPr>
        <w:t>9</w:t>
      </w:r>
      <w:r>
        <w:rPr>
          <w:rStyle w:val="43"/>
          <w:rFonts w:hint="eastAsia" w:ascii="宋体" w:hAnsi="宋体" w:cs="宋体"/>
          <w:bCs/>
          <w:color w:val="000000" w:themeColor="text1"/>
          <w:sz w:val="24"/>
          <w:szCs w:val="24"/>
          <w:u w:val="single" w:color="000000"/>
        </w:rPr>
        <w:t>点00分（</w:t>
      </w:r>
      <w:r>
        <w:rPr>
          <w:rStyle w:val="43"/>
          <w:rFonts w:hint="eastAsia" w:ascii="宋体" w:hAnsi="宋体" w:cs="宋体"/>
          <w:bCs/>
          <w:color w:val="000000" w:themeColor="text1"/>
          <w:sz w:val="24"/>
          <w:szCs w:val="24"/>
        </w:rPr>
        <w:t>北京时间）前递交投标文件</w:t>
      </w:r>
      <w:r>
        <w:rPr>
          <w:rStyle w:val="43"/>
          <w:rFonts w:hint="eastAsia" w:ascii="宋体" w:hAnsi="宋体" w:cs="宋体"/>
          <w:color w:val="000000" w:themeColor="text1"/>
          <w:sz w:val="24"/>
          <w:szCs w:val="24"/>
        </w:rPr>
        <w:t>。</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一、项目基本情况</w:t>
      </w:r>
    </w:p>
    <w:p>
      <w:pPr>
        <w:snapToGrid w:val="0"/>
        <w:spacing w:line="360" w:lineRule="auto"/>
        <w:ind w:firstLine="480" w:firstLineChars="200"/>
        <w:rPr>
          <w:rStyle w:val="43"/>
          <w:rFonts w:hint="eastAsia" w:ascii="宋体" w:hAnsi="宋体" w:eastAsia="宋体" w:cs="宋体"/>
          <w:color w:val="000000" w:themeColor="text1"/>
          <w:sz w:val="24"/>
          <w:szCs w:val="24"/>
          <w:lang w:eastAsia="zh-CN"/>
        </w:rPr>
      </w:pPr>
      <w:r>
        <w:rPr>
          <w:rStyle w:val="43"/>
          <w:rFonts w:hint="eastAsia" w:ascii="宋体" w:hAnsi="宋体" w:cs="宋体"/>
          <w:color w:val="000000" w:themeColor="text1"/>
          <w:sz w:val="24"/>
          <w:szCs w:val="24"/>
        </w:rPr>
        <w:t>项目编号：</w:t>
      </w:r>
      <w:r>
        <w:rPr>
          <w:rStyle w:val="43"/>
          <w:rFonts w:hint="eastAsia" w:ascii="宋体" w:hAnsi="宋体" w:cs="宋体"/>
          <w:color w:val="000000" w:themeColor="text1"/>
          <w:sz w:val="24"/>
          <w:szCs w:val="24"/>
          <w:u w:val="single"/>
        </w:rPr>
        <w:t>2022-</w:t>
      </w:r>
      <w:r>
        <w:rPr>
          <w:rStyle w:val="43"/>
          <w:rFonts w:hint="eastAsia" w:ascii="宋体" w:hAnsi="宋体" w:cs="宋体"/>
          <w:color w:val="000000" w:themeColor="text1"/>
          <w:sz w:val="24"/>
          <w:szCs w:val="24"/>
          <w:u w:val="single"/>
          <w:lang w:eastAsia="zh-CN"/>
        </w:rPr>
        <w:t>025W</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项目名称：</w:t>
      </w:r>
      <w:r>
        <w:rPr>
          <w:rStyle w:val="43"/>
          <w:rFonts w:hint="eastAsia" w:ascii="宋体" w:hAnsi="宋体" w:cs="宋体"/>
          <w:color w:val="000000" w:themeColor="text1"/>
          <w:sz w:val="24"/>
          <w:szCs w:val="24"/>
          <w:u w:val="single"/>
        </w:rPr>
        <w:t>盐城工业职业技术学院宿舍物业管理服务</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最高限价：140万元/年。</w:t>
      </w:r>
    </w:p>
    <w:p>
      <w:pPr>
        <w:pStyle w:val="143"/>
        <w:widowControl w:val="0"/>
        <w:tabs>
          <w:tab w:val="left" w:pos="0"/>
        </w:tabs>
        <w:adjustRightInd w:val="0"/>
        <w:snapToGrid w:val="0"/>
        <w:spacing w:line="360" w:lineRule="auto"/>
        <w:ind w:left="0" w:firstLine="480" w:firstLineChars="200"/>
        <w:rPr>
          <w:rStyle w:val="43"/>
          <w:rFonts w:ascii="宋体" w:hAnsi="宋体" w:cs="宋体"/>
          <w:color w:val="000000" w:themeColor="text1"/>
          <w:szCs w:val="24"/>
          <w:lang w:eastAsia="zh-CN"/>
        </w:rPr>
      </w:pPr>
      <w:r>
        <w:rPr>
          <w:rStyle w:val="43"/>
          <w:rFonts w:hint="eastAsia" w:ascii="宋体" w:hAnsi="宋体" w:cs="宋体"/>
          <w:color w:val="000000" w:themeColor="text1"/>
          <w:szCs w:val="24"/>
          <w:lang w:eastAsia="zh-CN"/>
        </w:rPr>
        <w:t>采购需求：盐城工业职业技术学院宿舍物业管理服务，</w:t>
      </w:r>
      <w:r>
        <w:rPr>
          <w:rFonts w:hint="eastAsia" w:asciiTheme="minorEastAsia" w:hAnsiTheme="minorEastAsia"/>
          <w:color w:val="000000" w:themeColor="text1"/>
          <w:lang w:eastAsia="zh-CN"/>
        </w:rPr>
        <w:t>物业服务内容包括学生宿舍物业管理、宿舍保洁、</w:t>
      </w:r>
      <w:r>
        <w:rPr>
          <w:rFonts w:asciiTheme="minorEastAsia" w:hAnsiTheme="minorEastAsia"/>
          <w:color w:val="000000" w:themeColor="text1"/>
          <w:lang w:eastAsia="zh-CN"/>
        </w:rPr>
        <w:t>教师值班室保洁</w:t>
      </w:r>
      <w:r>
        <w:rPr>
          <w:rFonts w:hint="eastAsia" w:asciiTheme="minorEastAsia" w:hAnsiTheme="minorEastAsia"/>
          <w:color w:val="000000" w:themeColor="text1"/>
          <w:lang w:eastAsia="zh-CN"/>
        </w:rPr>
        <w:t>。此期委托管理为服务、管理、育人三位一体全方位的管理，乙方必须按甲方的要求及投标书(投标书为合同附件)所承诺和确立的管理服务项目及质量标准实施管理。</w:t>
      </w:r>
      <w:r>
        <w:rPr>
          <w:rStyle w:val="43"/>
          <w:rFonts w:hint="eastAsia" w:ascii="宋体" w:hAnsi="宋体" w:cs="宋体"/>
          <w:color w:val="000000" w:themeColor="text1"/>
          <w:szCs w:val="24"/>
          <w:lang w:eastAsia="zh-CN"/>
        </w:rPr>
        <w:t>具体详见项目需求，招标人保留对上述招标范围进行适当调整的权利。</w:t>
      </w:r>
    </w:p>
    <w:p>
      <w:pPr>
        <w:pStyle w:val="143"/>
        <w:widowControl w:val="0"/>
        <w:tabs>
          <w:tab w:val="left" w:pos="0"/>
        </w:tabs>
        <w:adjustRightInd w:val="0"/>
        <w:snapToGrid w:val="0"/>
        <w:spacing w:line="360" w:lineRule="auto"/>
        <w:ind w:left="0" w:firstLine="480" w:firstLineChars="200"/>
        <w:rPr>
          <w:rFonts w:ascii="宋体" w:hAnsi="宋体"/>
          <w:color w:val="000000" w:themeColor="text1"/>
          <w:lang w:eastAsia="zh-CN"/>
        </w:rPr>
      </w:pPr>
      <w:r>
        <w:rPr>
          <w:rFonts w:hint="eastAsia" w:ascii="宋体" w:hAnsi="宋体"/>
          <w:color w:val="000000" w:themeColor="text1"/>
          <w:lang w:eastAsia="zh-CN"/>
        </w:rPr>
        <w:t>合同履行期限：合同履行期限暂定2年，合同一年一签。第一年服务合同结束后，满意率达85%则续签下一年服务合同，否则采购人有权终止合同。</w:t>
      </w:r>
    </w:p>
    <w:p>
      <w:pPr>
        <w:pStyle w:val="143"/>
        <w:widowControl w:val="0"/>
        <w:tabs>
          <w:tab w:val="left" w:pos="0"/>
        </w:tabs>
        <w:adjustRightInd w:val="0"/>
        <w:snapToGrid w:val="0"/>
        <w:spacing w:line="360" w:lineRule="auto"/>
        <w:ind w:left="0" w:firstLine="480" w:firstLineChars="200"/>
        <w:rPr>
          <w:rFonts w:ascii="宋体" w:hAnsi="宋体"/>
          <w:color w:val="000000" w:themeColor="text1"/>
          <w:lang w:eastAsia="zh-CN"/>
        </w:rPr>
      </w:pPr>
      <w:r>
        <w:rPr>
          <w:rFonts w:hint="eastAsia" w:ascii="宋体" w:hAnsi="宋体"/>
          <w:color w:val="000000" w:themeColor="text1"/>
          <w:lang w:eastAsia="zh-CN"/>
        </w:rPr>
        <w:t>本项目不接受联合体投标。</w:t>
      </w:r>
    </w:p>
    <w:p>
      <w:pPr>
        <w:pStyle w:val="33"/>
        <w:widowControl w:val="0"/>
        <w:tabs>
          <w:tab w:val="left" w:pos="0"/>
          <w:tab w:val="left" w:pos="3165"/>
          <w:tab w:val="center" w:pos="4153"/>
        </w:tabs>
        <w:adjustRightInd w:val="0"/>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二、投标人的资格要求：</w:t>
      </w:r>
    </w:p>
    <w:p>
      <w:pPr>
        <w:widowControl w:val="0"/>
        <w:adjustRightInd w:val="0"/>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（1）法人或者其他组织的营业执照等证明文件，自然人的身份证明；</w:t>
      </w:r>
    </w:p>
    <w:p>
      <w:pPr>
        <w:widowControl w:val="0"/>
        <w:adjustRightInd w:val="0"/>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（2）上一年度（2021年）的财务报表（成立不满一年不需提供）；</w:t>
      </w:r>
    </w:p>
    <w:p>
      <w:pPr>
        <w:widowControl w:val="0"/>
        <w:adjustRightInd w:val="0"/>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（3）依法缴纳税收和社会保障资金的相关材料，依法免税或不需要缴纳社会保障资金的，应提供相应文件证明材料；</w:t>
      </w:r>
    </w:p>
    <w:p>
      <w:pPr>
        <w:widowControl w:val="0"/>
        <w:adjustRightInd w:val="0"/>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（4）具备履行合同所必需的设备和专业技术能力的书面声明；</w:t>
      </w:r>
    </w:p>
    <w:p>
      <w:pPr>
        <w:widowControl w:val="0"/>
        <w:adjustRightInd w:val="0"/>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（5）参加政府采购活动前3年内在经营活动中没有重大违法记录的书面声明；</w:t>
      </w:r>
    </w:p>
    <w:p>
      <w:pPr>
        <w:adjustRightInd w:val="0"/>
        <w:snapToGrid w:val="0"/>
        <w:spacing w:line="336"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2.落实政府采购政策需满足的资格要求：本项目专门面向中小企业采购的项目，投标供应商必须为中小微企业，不接受非中小微企业参与本项目的投标。</w:t>
      </w:r>
    </w:p>
    <w:p>
      <w:pPr>
        <w:widowControl w:val="0"/>
        <w:adjustRightInd w:val="0"/>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3.本项目的特定资格要求：</w:t>
      </w:r>
    </w:p>
    <w:p>
      <w:pPr>
        <w:widowControl w:val="0"/>
        <w:adjustRightInd w:val="0"/>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（1）招标人谢绝联合体和杜绝挂靠单位参与本项目的投标，中标后不得以任何方式进行转包与分包。</w:t>
      </w:r>
    </w:p>
    <w:p>
      <w:pPr>
        <w:widowControl w:val="0"/>
        <w:adjustRightInd w:val="0"/>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（2）投标人单位法人为同一人或者存在直接控股、管理关系的不同投标人，不得参加同一标段投标活动。</w:t>
      </w:r>
    </w:p>
    <w:p>
      <w:pPr>
        <w:widowControl w:val="0"/>
        <w:adjustRightInd w:val="0"/>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（3）未被列入“信用中国”网站（www.creditchina.gov.cn）失信被执行人名单、重大税收违法案件当事人名单和中国政府采购网（www.ccgp.gov.cn）政府采购严重违法失信行为记录名单。</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三、获取招标文件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时间：自公告之日起至投标截止时间前1日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地点：江苏省政府采购网或盐城市政府采购网或盐城工业职业技术学院招标采购网</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3"/>
          <w:rFonts w:ascii="宋体" w:hAnsi="宋体" w:cs="宋体"/>
          <w:color w:val="000000" w:themeColor="text1"/>
          <w:sz w:val="24"/>
          <w:szCs w:val="24"/>
        </w:rPr>
      </w:pPr>
      <w:r>
        <w:rPr>
          <w:rFonts w:hint="eastAsia" w:ascii="宋体" w:hAnsi="宋体" w:cs="宋体"/>
          <w:bCs/>
          <w:color w:val="000000" w:themeColor="text1"/>
          <w:sz w:val="24"/>
          <w:szCs w:val="24"/>
        </w:rPr>
        <w:t>报名时间及地点：本公告发布后凡具备上述资格条件，并自愿参加本项目投标的投标人应于</w:t>
      </w:r>
      <w:bookmarkStart w:id="21" w:name="_GoBack"/>
      <w:r>
        <w:rPr>
          <w:rFonts w:hint="eastAsia" w:ascii="宋体" w:hAnsi="宋体" w:cs="宋体"/>
          <w:bCs/>
          <w:color w:val="000000" w:themeColor="text1"/>
          <w:sz w:val="24"/>
          <w:szCs w:val="24"/>
        </w:rPr>
        <w:t>2022年</w:t>
      </w:r>
      <w:r>
        <w:rPr>
          <w:rFonts w:hint="eastAsia" w:ascii="宋体" w:hAnsi="宋体" w:cs="宋体"/>
          <w:bCs/>
          <w:color w:val="000000" w:themeColor="text1"/>
          <w:sz w:val="24"/>
          <w:szCs w:val="24"/>
          <w:lang w:val="en-US" w:eastAsia="zh-CN"/>
        </w:rPr>
        <w:t>7</w:t>
      </w:r>
      <w:r>
        <w:rPr>
          <w:rFonts w:hint="eastAsia" w:ascii="宋体" w:hAnsi="宋体" w:cs="宋体"/>
          <w:bCs/>
          <w:color w:val="000000" w:themeColor="text1"/>
          <w:sz w:val="24"/>
          <w:szCs w:val="24"/>
        </w:rPr>
        <w:t>月</w:t>
      </w:r>
      <w:r>
        <w:rPr>
          <w:rFonts w:hint="eastAsia" w:ascii="宋体" w:hAnsi="宋体" w:cs="宋体"/>
          <w:bCs/>
          <w:color w:val="000000" w:themeColor="text1"/>
          <w:sz w:val="24"/>
          <w:szCs w:val="24"/>
          <w:lang w:val="en-US" w:eastAsia="zh-CN"/>
        </w:rPr>
        <w:t>15</w:t>
      </w:r>
      <w:r>
        <w:rPr>
          <w:rFonts w:hint="eastAsia" w:ascii="宋体" w:hAnsi="宋体" w:cs="宋体"/>
          <w:bCs/>
          <w:color w:val="000000" w:themeColor="text1"/>
          <w:sz w:val="24"/>
          <w:szCs w:val="24"/>
        </w:rPr>
        <w:t>日至2022年</w:t>
      </w:r>
      <w:r>
        <w:rPr>
          <w:rFonts w:hint="eastAsia" w:ascii="宋体" w:hAnsi="宋体" w:cs="宋体"/>
          <w:bCs/>
          <w:color w:val="000000" w:themeColor="text1"/>
          <w:sz w:val="24"/>
          <w:szCs w:val="24"/>
          <w:lang w:val="en-US" w:eastAsia="zh-CN"/>
        </w:rPr>
        <w:t>7</w:t>
      </w:r>
      <w:r>
        <w:rPr>
          <w:rFonts w:hint="eastAsia" w:ascii="宋体" w:hAnsi="宋体" w:cs="宋体"/>
          <w:bCs/>
          <w:color w:val="000000" w:themeColor="text1"/>
          <w:sz w:val="24"/>
          <w:szCs w:val="24"/>
        </w:rPr>
        <w:t>月</w:t>
      </w:r>
      <w:r>
        <w:rPr>
          <w:rFonts w:hint="eastAsia" w:ascii="宋体" w:hAnsi="宋体" w:cs="宋体"/>
          <w:bCs/>
          <w:color w:val="000000" w:themeColor="text1"/>
          <w:sz w:val="24"/>
          <w:szCs w:val="24"/>
          <w:lang w:val="en-US" w:eastAsia="zh-CN"/>
        </w:rPr>
        <w:t>29</w:t>
      </w:r>
      <w:r>
        <w:rPr>
          <w:rFonts w:hint="eastAsia" w:ascii="宋体" w:hAnsi="宋体" w:cs="宋体"/>
          <w:bCs/>
          <w:color w:val="000000" w:themeColor="text1"/>
          <w:sz w:val="24"/>
          <w:szCs w:val="24"/>
        </w:rPr>
        <w:t>日</w:t>
      </w:r>
      <w:bookmarkEnd w:id="21"/>
      <w:r>
        <w:rPr>
          <w:rFonts w:hint="eastAsia" w:ascii="宋体" w:hAnsi="宋体" w:cs="宋体"/>
          <w:bCs/>
          <w:color w:val="000000" w:themeColor="text1"/>
          <w:sz w:val="24"/>
          <w:szCs w:val="24"/>
        </w:rPr>
        <w:t>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售价：人民币500元，售后不退。</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四、提交投标文件截止时间、开标时间和地点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时间：</w:t>
      </w:r>
      <w:r>
        <w:rPr>
          <w:rStyle w:val="43"/>
          <w:rFonts w:hint="eastAsia" w:ascii="宋体" w:hAnsi="宋体" w:cs="宋体"/>
          <w:color w:val="000000" w:themeColor="text1"/>
          <w:sz w:val="24"/>
          <w:szCs w:val="24"/>
          <w:u w:val="single" w:color="000000"/>
        </w:rPr>
        <w:t>2022</w:t>
      </w:r>
      <w:r>
        <w:rPr>
          <w:rStyle w:val="43"/>
          <w:rFonts w:hint="eastAsia" w:ascii="宋体" w:hAnsi="宋体" w:cs="宋体"/>
          <w:bCs/>
          <w:color w:val="000000" w:themeColor="text1"/>
          <w:sz w:val="24"/>
          <w:szCs w:val="24"/>
          <w:u w:val="single" w:color="000000"/>
        </w:rPr>
        <w:t>年</w:t>
      </w:r>
      <w:r>
        <w:rPr>
          <w:rStyle w:val="43"/>
          <w:rFonts w:hint="eastAsia" w:ascii="宋体" w:hAnsi="宋体" w:cs="宋体"/>
          <w:bCs/>
          <w:color w:val="000000" w:themeColor="text1"/>
          <w:sz w:val="24"/>
          <w:szCs w:val="24"/>
          <w:u w:val="single" w:color="000000"/>
          <w:lang w:val="en-US" w:eastAsia="zh-CN"/>
        </w:rPr>
        <w:t>8</w:t>
      </w:r>
      <w:r>
        <w:rPr>
          <w:rStyle w:val="43"/>
          <w:rFonts w:hint="eastAsia" w:ascii="宋体" w:hAnsi="宋体" w:cs="宋体"/>
          <w:bCs/>
          <w:color w:val="000000" w:themeColor="text1"/>
          <w:sz w:val="24"/>
          <w:szCs w:val="24"/>
          <w:u w:val="single" w:color="000000"/>
        </w:rPr>
        <w:t>月</w:t>
      </w:r>
      <w:r>
        <w:rPr>
          <w:rStyle w:val="43"/>
          <w:rFonts w:hint="eastAsia" w:ascii="宋体" w:hAnsi="宋体" w:cs="宋体"/>
          <w:bCs/>
          <w:color w:val="000000" w:themeColor="text1"/>
          <w:sz w:val="24"/>
          <w:szCs w:val="24"/>
          <w:u w:val="single" w:color="000000"/>
          <w:lang w:val="en-US" w:eastAsia="zh-CN"/>
        </w:rPr>
        <w:t>9</w:t>
      </w:r>
      <w:r>
        <w:rPr>
          <w:rStyle w:val="43"/>
          <w:rFonts w:hint="eastAsia" w:ascii="宋体" w:hAnsi="宋体" w:cs="宋体"/>
          <w:bCs/>
          <w:color w:val="000000" w:themeColor="text1"/>
          <w:sz w:val="24"/>
          <w:szCs w:val="24"/>
          <w:u w:val="single" w:color="000000"/>
        </w:rPr>
        <w:t>日</w:t>
      </w:r>
      <w:r>
        <w:rPr>
          <w:rStyle w:val="43"/>
          <w:rFonts w:hint="eastAsia" w:ascii="宋体" w:hAnsi="宋体" w:cs="宋体"/>
          <w:bCs/>
          <w:color w:val="000000" w:themeColor="text1"/>
          <w:sz w:val="24"/>
          <w:szCs w:val="24"/>
          <w:u w:val="single" w:color="000000"/>
          <w:lang w:val="en-US" w:eastAsia="zh-CN"/>
        </w:rPr>
        <w:t>9</w:t>
      </w:r>
      <w:r>
        <w:rPr>
          <w:rStyle w:val="43"/>
          <w:rFonts w:hint="eastAsia" w:ascii="宋体" w:hAnsi="宋体" w:cs="宋体"/>
          <w:bCs/>
          <w:color w:val="000000" w:themeColor="text1"/>
          <w:sz w:val="24"/>
          <w:szCs w:val="24"/>
          <w:u w:val="single" w:color="000000"/>
        </w:rPr>
        <w:t>点00分</w:t>
      </w:r>
      <w:r>
        <w:rPr>
          <w:rStyle w:val="43"/>
          <w:rFonts w:hint="eastAsia" w:ascii="宋体" w:hAnsi="宋体" w:cs="宋体"/>
          <w:color w:val="000000" w:themeColor="text1"/>
          <w:sz w:val="24"/>
          <w:szCs w:val="24"/>
        </w:rPr>
        <w:t>（北京时间）</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地点：盐城工业职业技术学院（盐城市解放南路285号）后勤服务中心四楼402开标室。</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五、公告期限</w:t>
      </w:r>
    </w:p>
    <w:p>
      <w:pPr>
        <w:snapToGrid w:val="0"/>
        <w:spacing w:line="360" w:lineRule="auto"/>
        <w:ind w:firstLine="480" w:firstLineChars="200"/>
        <w:rPr>
          <w:rStyle w:val="43"/>
          <w:rFonts w:ascii="宋体" w:hAnsi="宋体" w:cs="宋体"/>
          <w:color w:val="000000" w:themeColor="text1"/>
          <w:kern w:val="0"/>
          <w:sz w:val="24"/>
          <w:szCs w:val="24"/>
        </w:rPr>
      </w:pPr>
      <w:r>
        <w:rPr>
          <w:rStyle w:val="43"/>
          <w:rFonts w:hint="eastAsia" w:ascii="宋体" w:hAnsi="宋体" w:cs="宋体"/>
          <w:color w:val="000000" w:themeColor="text1"/>
          <w:kern w:val="0"/>
          <w:sz w:val="24"/>
          <w:szCs w:val="24"/>
        </w:rPr>
        <w:t>自本公告发布之日起5个工作日。</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六、其他补充事宜</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(一)因疫情防控需要，为确保校园安全，</w:t>
      </w:r>
      <w:r>
        <w:rPr>
          <w:rStyle w:val="43"/>
          <w:rFonts w:hint="eastAsia" w:asciiTheme="minorEastAsia" w:hAnsiTheme="minorEastAsia" w:eastAsiaTheme="minorEastAsia" w:cstheme="minorEastAsia"/>
          <w:b/>
          <w:bCs/>
          <w:color w:val="000000" w:themeColor="text1"/>
          <w:sz w:val="24"/>
          <w:szCs w:val="24"/>
        </w:rPr>
        <w:t>投标人须持有48小时内核酸检测阴性证明</w:t>
      </w:r>
      <w:r>
        <w:rPr>
          <w:rStyle w:val="43"/>
          <w:rFonts w:hint="eastAsia" w:asciiTheme="minorEastAsia" w:hAnsiTheme="minorEastAsia" w:eastAsiaTheme="minorEastAsia" w:cstheme="minorEastAsia"/>
          <w:color w:val="000000" w:themeColor="text1"/>
          <w:sz w:val="24"/>
          <w:szCs w:val="24"/>
        </w:rPr>
        <w:t>进入盐城工业职业技术学院校区，并应服从下列疫情防控措施：</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（1）投标前7天内与确诊/疑似病例或无症状感染者有密切接触的人员，以及与密切接触者接触的次密切接触者，一律不得进校。</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（2）投标前14天内接触过境外归国人员（未解除隔离的），按次密切接触者处置，一律不得进校。</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（3）投标前7天内有疫情中高风险地区（以开标前一日权威发布的疫情风险等级区域划分为依据）旅居史的人员，一律不得进校。</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（5）投标前7天内出现发热或呼吸道症状的人员，经当地医院就诊治疗，排除新冠病毒感染并在身体康复后，须持有48小时内核酸检测阴性证明，或者能够出示包括48小时内核酸检测阴性证明的健康码。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（10）投标人未如实报告个人信息，承担相应责任和法律后果，引发问题学校可取消其中标资格。</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请各投标人预留好相应时间，配合做好上述管控措施。</w:t>
      </w:r>
    </w:p>
    <w:p>
      <w:pPr>
        <w:numPr>
          <w:ilvl w:val="0"/>
          <w:numId w:val="4"/>
        </w:num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rPr>
      </w:pPr>
      <w:r>
        <w:rPr>
          <w:rFonts w:hint="eastAsia" w:ascii="宋体" w:hAnsi="宋体" w:cs="宋体"/>
          <w:b/>
          <w:bCs/>
          <w:color w:val="000000" w:themeColor="text1"/>
          <w:sz w:val="24"/>
        </w:rPr>
        <w:t>七、本项目投标保证金</w:t>
      </w:r>
    </w:p>
    <w:p>
      <w:pPr>
        <w:pStyle w:val="33"/>
        <w:tabs>
          <w:tab w:val="left" w:pos="0"/>
          <w:tab w:val="left" w:pos="3165"/>
          <w:tab w:val="center" w:pos="4153"/>
        </w:tabs>
        <w:snapToGrid w:val="0"/>
        <w:spacing w:line="360" w:lineRule="auto"/>
        <w:ind w:firstLine="480" w:firstLineChars="200"/>
        <w:jc w:val="left"/>
        <w:rPr>
          <w:rStyle w:val="43"/>
          <w:rFonts w:ascii="宋体" w:hAnsi="宋体" w:eastAsia="宋体" w:cs="宋体"/>
          <w:color w:val="000000" w:themeColor="text1"/>
          <w:sz w:val="24"/>
          <w:szCs w:val="24"/>
        </w:rPr>
      </w:pPr>
      <w:r>
        <w:rPr>
          <w:rStyle w:val="43"/>
          <w:rFonts w:hint="eastAsia" w:ascii="宋体" w:hAnsi="宋体" w:eastAsia="宋体" w:cs="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八、对本次招标提出询问，请按以下方式联系。</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1.采购人信息</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名称：盐城工业职业技术学院</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地址：盐城市解放南路285号</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 xml:space="preserve">联系人：赵老师             </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联系电话：0515-88588707</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2.采购代理机构信息</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名称：江苏伟业项目管理有限公司</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地址：盐城市金融城四号楼1103</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 xml:space="preserve">联系人：周鹏              </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联系电话：13024494996</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3.项目联系方式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项目负责人：张老师</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联系电话：13770011137</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对项目需求部分的询问、质疑请向使用部门提出，询问、质疑由项目联系人负责答复。</w:t>
      </w:r>
    </w:p>
    <w:p>
      <w:pPr>
        <w:snapToGrid w:val="0"/>
        <w:spacing w:line="360" w:lineRule="auto"/>
        <w:ind w:firstLine="480" w:firstLineChars="200"/>
        <w:rPr>
          <w:rStyle w:val="43"/>
          <w:rFonts w:ascii="宋体" w:hAnsi="宋体" w:cs="宋体"/>
          <w:color w:val="000000" w:themeColor="text1"/>
          <w:sz w:val="24"/>
          <w:szCs w:val="24"/>
        </w:rPr>
      </w:pPr>
    </w:p>
    <w:p>
      <w:pPr>
        <w:pStyle w:val="2"/>
        <w:ind w:left="1470" w:right="1470"/>
        <w:rPr>
          <w:rStyle w:val="43"/>
          <w:rFonts w:ascii="宋体" w:hAnsi="宋体" w:cs="宋体"/>
          <w:color w:val="000000" w:themeColor="text1"/>
          <w:sz w:val="24"/>
          <w:szCs w:val="24"/>
        </w:rPr>
      </w:pPr>
    </w:p>
    <w:p>
      <w:pPr>
        <w:pStyle w:val="2"/>
        <w:ind w:left="1470" w:right="1470"/>
        <w:rPr>
          <w:rStyle w:val="43"/>
          <w:rFonts w:ascii="宋体" w:hAnsi="宋体" w:cs="宋体"/>
          <w:color w:val="000000" w:themeColor="text1"/>
          <w:sz w:val="24"/>
          <w:szCs w:val="24"/>
        </w:rPr>
      </w:pPr>
    </w:p>
    <w:p>
      <w:pPr>
        <w:pStyle w:val="2"/>
        <w:ind w:left="1470" w:right="1470"/>
        <w:rPr>
          <w:rStyle w:val="43"/>
          <w:rFonts w:ascii="宋体" w:hAnsi="宋体" w:cs="宋体"/>
          <w:color w:val="000000" w:themeColor="text1"/>
          <w:sz w:val="24"/>
          <w:szCs w:val="24"/>
        </w:rPr>
      </w:pPr>
    </w:p>
    <w:p>
      <w:pPr>
        <w:pStyle w:val="2"/>
        <w:ind w:left="1470" w:right="1470"/>
        <w:rPr>
          <w:rStyle w:val="43"/>
          <w:rFonts w:ascii="宋体" w:hAnsi="宋体" w:cs="宋体"/>
          <w:color w:val="000000" w:themeColor="text1"/>
          <w:sz w:val="24"/>
          <w:szCs w:val="24"/>
        </w:rPr>
      </w:pPr>
    </w:p>
    <w:p>
      <w:pPr>
        <w:pStyle w:val="2"/>
        <w:ind w:left="1470" w:right="1470"/>
        <w:rPr>
          <w:rStyle w:val="43"/>
          <w:rFonts w:ascii="宋体" w:hAnsi="宋体" w:cs="宋体"/>
          <w:color w:val="000000" w:themeColor="text1"/>
          <w:sz w:val="24"/>
          <w:szCs w:val="24"/>
        </w:rPr>
      </w:pPr>
    </w:p>
    <w:p>
      <w:pPr>
        <w:pStyle w:val="2"/>
        <w:ind w:left="1470" w:right="1470"/>
        <w:rPr>
          <w:rStyle w:val="43"/>
          <w:rFonts w:ascii="宋体" w:hAnsi="宋体" w:cs="宋体"/>
          <w:color w:val="000000" w:themeColor="text1"/>
          <w:sz w:val="24"/>
          <w:szCs w:val="24"/>
        </w:rPr>
      </w:pPr>
    </w:p>
    <w:p>
      <w:pPr>
        <w:pStyle w:val="2"/>
        <w:ind w:left="1470" w:right="1470"/>
        <w:rPr>
          <w:rStyle w:val="43"/>
          <w:rFonts w:ascii="宋体" w:hAnsi="宋体" w:cs="宋体"/>
          <w:color w:val="000000" w:themeColor="text1"/>
          <w:sz w:val="24"/>
          <w:szCs w:val="24"/>
        </w:rPr>
      </w:pPr>
    </w:p>
    <w:p>
      <w:pPr>
        <w:pStyle w:val="2"/>
        <w:ind w:left="1470" w:right="1470"/>
        <w:rPr>
          <w:rStyle w:val="43"/>
          <w:rFonts w:ascii="宋体" w:hAnsi="宋体" w:cs="宋体"/>
          <w:color w:val="000000" w:themeColor="text1"/>
          <w:sz w:val="24"/>
          <w:szCs w:val="24"/>
        </w:rPr>
      </w:pPr>
    </w:p>
    <w:p>
      <w:pPr>
        <w:pStyle w:val="34"/>
        <w:spacing w:before="0" w:after="0" w:line="240" w:lineRule="auto"/>
        <w:jc w:val="center"/>
        <w:outlineLvl w:val="0"/>
        <w:rPr>
          <w:rStyle w:val="43"/>
          <w:rFonts w:ascii="宋体" w:hAnsi="宋体" w:eastAsia="宋体" w:cs="宋体"/>
          <w:b w:val="0"/>
          <w:bCs w:val="0"/>
          <w:color w:val="000000" w:themeColor="text1"/>
        </w:rPr>
      </w:pPr>
      <w:bookmarkStart w:id="1" w:name="_Toc21663"/>
      <w:r>
        <w:rPr>
          <w:rStyle w:val="43"/>
          <w:rFonts w:hint="eastAsia" w:ascii="宋体" w:hAnsi="宋体" w:eastAsia="宋体" w:cs="宋体"/>
          <w:color w:val="000000" w:themeColor="text1"/>
        </w:rPr>
        <w:t>第二章  投标人须知</w:t>
      </w:r>
      <w:bookmarkEnd w:id="1"/>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一、总则</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1、招标方式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1.1 本次招标采取公开招标方式，本招标文件仅适用于招标公告中所述项目。</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2、合格的投标人</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2.1满足招标公告中供应商的资格要求的规定。</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2.2 满足本文件实质性条款的规定。</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3、适用法律</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 本次招标及由此产生的合同受中华人民共和国有关的法律法规制约和保护。</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4、投标费用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4.1</w:t>
      </w:r>
      <w:r>
        <w:rPr>
          <w:rStyle w:val="43"/>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4.2本项目每个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5、招标文件的约束力</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5.1</w:t>
      </w:r>
      <w:r>
        <w:rPr>
          <w:rStyle w:val="43"/>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6、招标文件的解释</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6.1 本招标文件由采购人或采购代理机构负责解释。</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二、招标文件</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7、招标文件构成</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7.1</w:t>
      </w:r>
      <w:r>
        <w:rPr>
          <w:rStyle w:val="43"/>
          <w:rFonts w:hint="eastAsia" w:ascii="宋体" w:hAnsi="宋体" w:cs="宋体"/>
          <w:color w:val="000000" w:themeColor="text1"/>
          <w:sz w:val="24"/>
          <w:szCs w:val="24"/>
        </w:rPr>
        <w:t xml:space="preserve"> 招标文件有以下部分组成：</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（1）招标公告</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（2）投标人须知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（3）合同条款及格式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（4）项目需求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（5）评标方法与评标标准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（6）投标文件格式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7.2</w:t>
      </w:r>
      <w:r>
        <w:rPr>
          <w:rStyle w:val="43"/>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8、招标文件的询问</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8.1</w:t>
      </w:r>
      <w:r>
        <w:rPr>
          <w:rStyle w:val="43"/>
          <w:rFonts w:hint="eastAsia" w:ascii="宋体" w:hAnsi="宋体" w:cs="宋体"/>
          <w:color w:val="000000" w:themeColor="text1"/>
          <w:sz w:val="24"/>
          <w:szCs w:val="24"/>
        </w:rPr>
        <w:t xml:space="preserve"> 任何要求对招标文件进行询问的投标人，应在投标截止日期</w:t>
      </w:r>
      <w:r>
        <w:rPr>
          <w:rStyle w:val="43"/>
          <w:rFonts w:hint="eastAsia" w:ascii="宋体" w:hAnsi="宋体" w:cs="宋体"/>
          <w:b/>
          <w:color w:val="000000" w:themeColor="text1"/>
          <w:sz w:val="24"/>
          <w:szCs w:val="24"/>
        </w:rPr>
        <w:t>十日</w:t>
      </w:r>
      <w:r>
        <w:rPr>
          <w:rStyle w:val="43"/>
          <w:rFonts w:hint="eastAsia" w:ascii="宋体" w:hAnsi="宋体" w:cs="宋体"/>
          <w:color w:val="000000" w:themeColor="text1"/>
          <w:sz w:val="24"/>
          <w:szCs w:val="24"/>
        </w:rPr>
        <w:t>前按招标公告中的通讯地址，向采购人或采购代理机构提出。</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9、招标文件的修改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9.1</w:t>
      </w:r>
      <w:r>
        <w:rPr>
          <w:rStyle w:val="43"/>
          <w:rFonts w:hint="eastAsia" w:ascii="宋体" w:hAnsi="宋体" w:cs="宋体"/>
          <w:color w:val="000000" w:themeColor="text1"/>
          <w:sz w:val="24"/>
          <w:szCs w:val="24"/>
        </w:rPr>
        <w:t xml:space="preserve"> 在投标截止时间前，采购人或采购代理机构可以对招标文件进行修改。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9.2</w:t>
      </w:r>
      <w:r>
        <w:rPr>
          <w:rStyle w:val="43"/>
          <w:rFonts w:hint="eastAsia" w:ascii="宋体" w:hAnsi="宋体" w:cs="宋体"/>
          <w:color w:val="000000" w:themeColor="text1"/>
          <w:sz w:val="24"/>
          <w:szCs w:val="24"/>
        </w:rPr>
        <w:t>采购人或采购代理机构有权依法推迟投标截止日期和开标日期。</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9.3</w:t>
      </w:r>
      <w:r>
        <w:rPr>
          <w:rStyle w:val="43"/>
          <w:rFonts w:hint="eastAsia" w:ascii="宋体" w:hAnsi="宋体" w:cs="宋体"/>
          <w:color w:val="000000" w:themeColor="text1"/>
          <w:sz w:val="24"/>
          <w:szCs w:val="24"/>
        </w:rPr>
        <w:t>招标文件的修改将在盐城工业职业技术学院招标采购网公布，补充文件将作为招标文件的组成部分，并对投标人具有约束力。</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三、投标文件的编制</w:t>
      </w:r>
    </w:p>
    <w:p>
      <w:pPr>
        <w:pStyle w:val="37"/>
        <w:snapToGrid w:val="0"/>
        <w:spacing w:before="0" w:after="0"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 w:val="0"/>
          <w:bCs/>
          <w:color w:val="000000" w:themeColor="text1"/>
          <w:sz w:val="24"/>
          <w:szCs w:val="24"/>
        </w:rPr>
        <w:t>10、投标文件的语言及度量衡单位</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10.1</w:t>
      </w:r>
      <w:r>
        <w:rPr>
          <w:rStyle w:val="43"/>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Style w:val="43"/>
          <w:rFonts w:hint="eastAsia" w:ascii="宋体" w:hAnsi="宋体" w:cs="宋体"/>
          <w:b/>
          <w:bCs/>
          <w:color w:val="000000" w:themeColor="text1"/>
          <w:sz w:val="24"/>
          <w:szCs w:val="24"/>
        </w:rPr>
        <w:t>简体中文</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10.2</w:t>
      </w:r>
      <w:r>
        <w:rPr>
          <w:rStyle w:val="43"/>
          <w:rFonts w:hint="eastAsia" w:ascii="宋体" w:hAnsi="宋体" w:cs="宋体"/>
          <w:color w:val="000000" w:themeColor="text1"/>
          <w:sz w:val="24"/>
          <w:szCs w:val="24"/>
        </w:rPr>
        <w:t xml:space="preserve"> 除技术性能另有规定外，投标文件所使用的度量衡单位，均须采用国家法定计量单位。</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11、投标文件构成</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11.1</w:t>
      </w:r>
      <w:r>
        <w:rPr>
          <w:rStyle w:val="43"/>
          <w:rFonts w:hint="eastAsia" w:ascii="宋体" w:hAnsi="宋体" w:cs="宋体"/>
          <w:color w:val="000000" w:themeColor="text1"/>
          <w:sz w:val="24"/>
          <w:szCs w:val="24"/>
        </w:rPr>
        <w:t xml:space="preserve"> 投标人编写的投标文件应包括资信证明文件、投标函、开标一览表等部分；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11.2投标人应将投标文件按顺序装订成册，并编制投标文件资料目录。</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12、证明投标人资格及符合招标文件规定的文件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12.1投标人应按要求提交资格证明文件及符合招标文件规定的文件。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12.5证明投标人所提供货物及服务与招标文件的要求相一致的文件可以是手册、图纸、文字资料和数据</w:t>
      </w:r>
      <w:r>
        <w:rPr>
          <w:rStyle w:val="43"/>
          <w:rFonts w:hint="eastAsia" w:ascii="宋体" w:hAnsi="宋体" w:cs="宋体"/>
          <w:bCs/>
          <w:color w:val="000000" w:themeColor="text1"/>
          <w:sz w:val="24"/>
          <w:szCs w:val="24"/>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13、供货一览表和投标配置与分项报价表</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13.1</w:t>
      </w:r>
      <w:r>
        <w:rPr>
          <w:rStyle w:val="43"/>
          <w:rFonts w:hint="eastAsia" w:ascii="宋体" w:hAnsi="宋体" w:cs="宋体"/>
          <w:color w:val="000000" w:themeColor="text1"/>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13.2</w:t>
      </w:r>
      <w:r>
        <w:rPr>
          <w:rStyle w:val="43"/>
          <w:rFonts w:hint="eastAsia" w:ascii="宋体" w:hAnsi="宋体" w:cs="宋体"/>
          <w:color w:val="000000" w:themeColor="text1"/>
          <w:sz w:val="24"/>
          <w:szCs w:val="24"/>
        </w:rPr>
        <w:t xml:space="preserve"> 标的物</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采购人需求的货物供应、安装，调试及有关技术服务等</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13.3有关费用处理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13.4</w:t>
      </w:r>
      <w:r>
        <w:rPr>
          <w:rStyle w:val="43"/>
          <w:rFonts w:hint="eastAsia" w:ascii="宋体" w:hAnsi="宋体" w:cs="宋体"/>
          <w:bCs/>
          <w:color w:val="000000" w:themeColor="text1"/>
          <w:sz w:val="24"/>
          <w:szCs w:val="24"/>
        </w:rPr>
        <w:t>其它费用处理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招标文件未列明，而投标人认为必需的费用也需列入报价。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13.5</w:t>
      </w:r>
      <w:r>
        <w:rPr>
          <w:rStyle w:val="43"/>
          <w:rFonts w:hint="eastAsia" w:ascii="宋体" w:hAnsi="宋体" w:cs="宋体"/>
          <w:bCs/>
          <w:color w:val="000000" w:themeColor="text1"/>
          <w:sz w:val="24"/>
          <w:szCs w:val="24"/>
        </w:rPr>
        <w:t>投标货币</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投标文件中的货物</w:t>
      </w:r>
      <w:r>
        <w:rPr>
          <w:rStyle w:val="43"/>
          <w:rFonts w:hint="eastAsia" w:ascii="宋体" w:hAnsi="宋体" w:cs="宋体"/>
          <w:color w:val="000000" w:themeColor="text1"/>
          <w:sz w:val="24"/>
          <w:szCs w:val="24"/>
        </w:rPr>
        <w:t>及服务</w:t>
      </w:r>
      <w:r>
        <w:rPr>
          <w:rStyle w:val="43"/>
          <w:rFonts w:hint="eastAsia" w:ascii="宋体" w:hAnsi="宋体" w:cs="宋体"/>
          <w:bCs/>
          <w:color w:val="000000" w:themeColor="text1"/>
          <w:sz w:val="24"/>
          <w:szCs w:val="24"/>
        </w:rPr>
        <w:t>单价和总价无特殊规定的采用人民币报价，以元为单位标注。</w:t>
      </w:r>
      <w:r>
        <w:rPr>
          <w:rStyle w:val="43"/>
          <w:rFonts w:hint="eastAsia" w:ascii="宋体" w:hAnsi="宋体" w:cs="宋体"/>
          <w:color w:val="000000" w:themeColor="text1"/>
          <w:sz w:val="24"/>
          <w:szCs w:val="24"/>
        </w:rPr>
        <w:t>招标文件中另有规定的按规定执行。</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13.6</w:t>
      </w:r>
      <w:r>
        <w:rPr>
          <w:rStyle w:val="43"/>
          <w:rFonts w:hint="eastAsia" w:ascii="宋体" w:hAnsi="宋体" w:cs="宋体"/>
          <w:bCs/>
          <w:color w:val="000000" w:themeColor="text1"/>
          <w:sz w:val="24"/>
          <w:szCs w:val="24"/>
        </w:rPr>
        <w:t xml:space="preserve"> 投标配置与分项报价表上的价格应按下列方式分开填写</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 xml:space="preserve">13.6.1 </w:t>
      </w:r>
      <w:r>
        <w:rPr>
          <w:rStyle w:val="43"/>
          <w:rFonts w:hint="eastAsia" w:ascii="宋体" w:hAnsi="宋体" w:cs="宋体"/>
          <w:color w:val="000000" w:themeColor="text1"/>
          <w:sz w:val="24"/>
          <w:szCs w:val="24"/>
        </w:rPr>
        <w:t>项目总价：本次招标项目投标人根据现场实际情况、招标人提供的项目需求、自身实力、结合市场行情按一年服务期报价，此报价应包括为完成招标文件及项目需求中的所有内容。即主要包含但不限于所有配备人员工资及节假日加班费等补助、社保费、区域清洁费、所有耗材和设施设备费、办公费、固定资产折旧费、法定税费及公众责任保险费和合理利润，还应包括：管理、劳务、培训、体检、国家法定假日加班、高温补助、服装、保修、特殊岗位补贴、宣传服务、风险、税金及政策性文件规定等各项应有费用，以及为完成招标文件规定服务工作所涉及到的一切相关费用。测算价格时，所有服务人员工资不得低于盐城市最新公布的市区最低标准并按规定交纳社保，投标人必须严格按照国家相关法律、法规及盐城市劳动用人规定测算人员工资和社保及其他费用等，否则将被视作为未实质性响应招标文件并作无效标书处理。用工制度必须按国家《劳动法》、《江苏省劳动管理条例》等有关规定执行。各类风险和政策性调整等风险已包括在投标报价中，最终结算时除合同约定调整外一律不予调整。</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13.6.2</w:t>
      </w:r>
      <w:r>
        <w:rPr>
          <w:rStyle w:val="43"/>
          <w:rFonts w:hint="eastAsia" w:ascii="宋体" w:hAnsi="宋体" w:cs="宋体"/>
          <w:bCs/>
          <w:color w:val="000000" w:themeColor="text1"/>
          <w:sz w:val="24"/>
          <w:szCs w:val="24"/>
        </w:rPr>
        <w:t>项目单价按投标配置及分项报价表中要求填报。</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14</w:t>
      </w:r>
      <w:r>
        <w:rPr>
          <w:rStyle w:val="43"/>
          <w:rFonts w:hint="eastAsia" w:ascii="宋体" w:hAnsi="宋体" w:cs="宋体"/>
          <w:b/>
          <w:bCs/>
          <w:color w:val="000000" w:themeColor="text1"/>
          <w:sz w:val="24"/>
          <w:szCs w:val="24"/>
        </w:rPr>
        <w:t>、</w:t>
      </w:r>
      <w:r>
        <w:rPr>
          <w:rStyle w:val="43"/>
          <w:rFonts w:hint="eastAsia" w:ascii="宋体" w:hAnsi="宋体" w:cs="宋体"/>
          <w:color w:val="000000" w:themeColor="text1"/>
          <w:sz w:val="24"/>
          <w:szCs w:val="24"/>
        </w:rPr>
        <w:t>技术参数响应及偏离表、商务条款响应及偏离表及投标货物说明</w:t>
      </w:r>
    </w:p>
    <w:p>
      <w:pPr>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bCs/>
          <w:color w:val="000000" w:themeColor="text1"/>
          <w:sz w:val="24"/>
          <w:szCs w:val="24"/>
          <w:lang w:val="zh-CN"/>
        </w:rPr>
        <w:t>14.1</w:t>
      </w:r>
      <w:r>
        <w:rPr>
          <w:rStyle w:val="43"/>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14.3 培训计划；</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14.5 投标人认为需要的其他技术文件或说明。</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bCs/>
          <w:color w:val="000000" w:themeColor="text1"/>
          <w:sz w:val="24"/>
          <w:szCs w:val="24"/>
        </w:rPr>
        <w:t>1</w:t>
      </w:r>
      <w:r>
        <w:rPr>
          <w:rStyle w:val="43"/>
          <w:rFonts w:hint="eastAsia" w:ascii="宋体" w:hAnsi="宋体" w:cs="宋体"/>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bCs/>
          <w:color w:val="000000" w:themeColor="text1"/>
          <w:sz w:val="24"/>
          <w:szCs w:val="24"/>
        </w:rPr>
        <w:t>15.1</w:t>
      </w:r>
      <w:r>
        <w:rPr>
          <w:rStyle w:val="43"/>
          <w:rFonts w:hint="eastAsia" w:ascii="宋体" w:hAnsi="宋体" w:cs="宋体"/>
          <w:color w:val="000000" w:themeColor="text1"/>
          <w:sz w:val="24"/>
          <w:szCs w:val="24"/>
        </w:rPr>
        <w:t>投标人的服务承诺应按不低于招标文件中商务要求的标准。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15.2</w:t>
      </w:r>
      <w:r>
        <w:rPr>
          <w:rStyle w:val="43"/>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16、投标函和开标一览表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16.1</w:t>
      </w:r>
      <w:r>
        <w:rPr>
          <w:rStyle w:val="43"/>
          <w:rFonts w:hint="eastAsia" w:ascii="宋体" w:hAnsi="宋体" w:cs="宋体"/>
          <w:color w:val="000000" w:themeColor="text1"/>
          <w:sz w:val="24"/>
          <w:szCs w:val="24"/>
        </w:rPr>
        <w:t xml:space="preserve"> 投标人应按照招标文件中提供的格式完整、正确填写投标函、开标一览表。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16.2开标一览表中的价格应与投标文件中投标配置与分项报价表中的价格一致，如不一致，</w:t>
      </w:r>
      <w:r>
        <w:rPr>
          <w:rStyle w:val="43"/>
          <w:rFonts w:hint="eastAsia" w:ascii="宋体" w:hAnsi="宋体" w:cs="宋体"/>
          <w:color w:val="000000" w:themeColor="text1"/>
          <w:sz w:val="24"/>
          <w:szCs w:val="24"/>
        </w:rPr>
        <w:t>不作为无效投标处理</w:t>
      </w:r>
      <w:r>
        <w:rPr>
          <w:rStyle w:val="43"/>
          <w:rFonts w:hint="eastAsia" w:ascii="宋体" w:hAnsi="宋体" w:cs="宋体"/>
          <w:bCs/>
          <w:color w:val="000000" w:themeColor="text1"/>
          <w:sz w:val="24"/>
          <w:szCs w:val="24"/>
        </w:rPr>
        <w:t>，但评标时按开标一览表中价格为准</w:t>
      </w:r>
      <w:r>
        <w:rPr>
          <w:rStyle w:val="43"/>
          <w:rFonts w:hint="eastAsia" w:ascii="宋体" w:hAnsi="宋体" w:cs="宋体"/>
          <w:b/>
          <w:bCs/>
          <w:color w:val="000000" w:themeColor="text1"/>
          <w:sz w:val="24"/>
          <w:szCs w:val="24"/>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17、投标有效期</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17.1</w:t>
      </w:r>
      <w:r>
        <w:rPr>
          <w:rStyle w:val="43"/>
          <w:rFonts w:hint="eastAsia" w:ascii="宋体" w:hAnsi="宋体" w:cs="宋体"/>
          <w:bCs/>
          <w:color w:val="000000" w:themeColor="text1"/>
          <w:sz w:val="24"/>
          <w:szCs w:val="24"/>
        </w:rPr>
        <w:t xml:space="preserve"> 投标有效期为采购人或采购代理机构规定的开标之日后</w:t>
      </w:r>
      <w:r>
        <w:rPr>
          <w:rStyle w:val="43"/>
          <w:rFonts w:hint="eastAsia" w:ascii="宋体" w:hAnsi="宋体" w:cs="宋体"/>
          <w:b/>
          <w:color w:val="000000" w:themeColor="text1"/>
          <w:sz w:val="24"/>
          <w:szCs w:val="24"/>
          <w:u w:val="single" w:color="000000"/>
        </w:rPr>
        <w:t>六十（60）天</w:t>
      </w:r>
      <w:r>
        <w:rPr>
          <w:rStyle w:val="43"/>
          <w:rFonts w:hint="eastAsia" w:ascii="宋体" w:hAnsi="宋体" w:cs="宋体"/>
          <w:bCs/>
          <w:color w:val="000000" w:themeColor="text1"/>
          <w:sz w:val="24"/>
          <w:szCs w:val="24"/>
        </w:rPr>
        <w:t>。投标有效期比规定短的将被视为非响应性投标而予以拒绝。</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17.2</w:t>
      </w:r>
      <w:r>
        <w:rPr>
          <w:rStyle w:val="43"/>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3"/>
          <w:rFonts w:hint="eastAsia" w:ascii="宋体" w:hAnsi="宋体" w:cs="宋体"/>
          <w:color w:val="000000" w:themeColor="text1"/>
          <w:sz w:val="24"/>
          <w:szCs w:val="24"/>
        </w:rPr>
        <w:t>。</w:t>
      </w:r>
      <w:r>
        <w:rPr>
          <w:rStyle w:val="43"/>
          <w:rFonts w:hint="eastAsia" w:ascii="宋体" w:hAnsi="宋体" w:cs="宋体"/>
          <w:bCs/>
          <w:color w:val="000000" w:themeColor="text1"/>
          <w:sz w:val="24"/>
          <w:szCs w:val="24"/>
        </w:rPr>
        <w:t>同意延长投标有效期的投标人既不能要求也不允许修改其投标文件。</w:t>
      </w:r>
      <w:r>
        <w:rPr>
          <w:rStyle w:val="43"/>
          <w:rFonts w:hint="eastAsia" w:ascii="宋体" w:hAnsi="宋体" w:cs="宋体"/>
          <w:color w:val="000000" w:themeColor="text1"/>
          <w:sz w:val="24"/>
          <w:szCs w:val="24"/>
        </w:rPr>
        <w:t>受投标有效期约束的所有权利与义务均延长至新的有效期</w:t>
      </w:r>
      <w:r>
        <w:rPr>
          <w:rStyle w:val="43"/>
          <w:rFonts w:hint="eastAsia" w:ascii="宋体" w:hAnsi="宋体" w:cs="宋体"/>
          <w:bCs/>
          <w:color w:val="000000" w:themeColor="text1"/>
          <w:sz w:val="24"/>
          <w:szCs w:val="24"/>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18、投标文件份数和签署</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18.1</w:t>
      </w:r>
      <w:r>
        <w:rPr>
          <w:rStyle w:val="43"/>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18.2投标文件正本中，</w:t>
      </w:r>
      <w:r>
        <w:rPr>
          <w:rStyle w:val="43"/>
          <w:rFonts w:hint="eastAsia" w:ascii="宋体" w:hAnsi="宋体" w:cs="宋体"/>
          <w:bCs/>
          <w:color w:val="000000" w:themeColor="text1"/>
          <w:sz w:val="24"/>
          <w:szCs w:val="24"/>
        </w:rPr>
        <w:t>招标文件要求必须提供原件的按照要求提供，文</w:t>
      </w:r>
      <w:r>
        <w:rPr>
          <w:rStyle w:val="43"/>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18.3</w:t>
      </w:r>
      <w:r>
        <w:rPr>
          <w:rStyle w:val="43"/>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四、投标文件的递交</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19、投标文件的密封和标记</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19.1</w:t>
      </w:r>
      <w:r>
        <w:rPr>
          <w:rStyle w:val="43"/>
          <w:rFonts w:hint="eastAsia" w:ascii="宋体" w:hAnsi="宋体" w:cs="宋体"/>
          <w:bCs/>
          <w:color w:val="000000" w:themeColor="text1"/>
          <w:sz w:val="24"/>
          <w:szCs w:val="24"/>
        </w:rPr>
        <w:t>投标人应将投标文件正本和所有副本密封，不论投标人中标与否，投标文件均不退回。</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19.2</w:t>
      </w:r>
      <w:r>
        <w:rPr>
          <w:rStyle w:val="43"/>
          <w:rFonts w:hint="eastAsia" w:ascii="宋体" w:hAnsi="宋体" w:cs="宋体"/>
          <w:bCs/>
          <w:color w:val="000000" w:themeColor="text1"/>
          <w:sz w:val="24"/>
          <w:szCs w:val="24"/>
        </w:rPr>
        <w:t xml:space="preserve"> 密封的投标文件应：</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19.2.1 注明投标人名称，如因标注不清而产生的后果由投标人自负。按招标公告中注明的地址送达；</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19.2.2  注明投标项目名称、标书编号及包号。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19.2.3</w:t>
      </w:r>
      <w:r>
        <w:rPr>
          <w:rStyle w:val="43"/>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20、投标截止日期</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20.1</w:t>
      </w:r>
      <w:r>
        <w:rPr>
          <w:rStyle w:val="43"/>
          <w:rFonts w:hint="eastAsia" w:ascii="宋体" w:hAnsi="宋体" w:cs="宋体"/>
          <w:bCs/>
          <w:color w:val="000000" w:themeColor="text1"/>
          <w:sz w:val="24"/>
          <w:szCs w:val="24"/>
        </w:rPr>
        <w:t xml:space="preserve"> 采购人和采购代理机构收到投标文件的时间不得迟于招标公告中规定的截止时间。</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20.2</w:t>
      </w:r>
      <w:r>
        <w:rPr>
          <w:rStyle w:val="43"/>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21、迟交的投标文件</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21.1</w:t>
      </w:r>
      <w:r>
        <w:rPr>
          <w:rStyle w:val="43"/>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22、投标文件的修改和撤回</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22.1</w:t>
      </w:r>
      <w:r>
        <w:rPr>
          <w:rStyle w:val="43"/>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Style w:val="43"/>
          <w:rFonts w:hint="eastAsia" w:ascii="宋体" w:hAnsi="宋体" w:cs="宋体"/>
          <w:color w:val="000000" w:themeColor="text1"/>
          <w:sz w:val="24"/>
          <w:szCs w:val="24"/>
        </w:rPr>
        <w:t>通知采购人或采购代理机构，修改或撤回其投标文件。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22.2</w:t>
      </w:r>
      <w:r>
        <w:rPr>
          <w:rStyle w:val="43"/>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Style w:val="43"/>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22.3</w:t>
      </w:r>
      <w:r>
        <w:rPr>
          <w:rStyle w:val="43"/>
          <w:rFonts w:hint="eastAsia" w:ascii="宋体" w:hAnsi="宋体" w:cs="宋体"/>
          <w:bCs/>
          <w:color w:val="000000" w:themeColor="text1"/>
          <w:sz w:val="24"/>
          <w:szCs w:val="24"/>
        </w:rPr>
        <w:t xml:space="preserve"> 在投标截止时间之后，投标人不得对其投标文件作任何修改。</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22.4</w:t>
      </w:r>
      <w:r>
        <w:rPr>
          <w:rStyle w:val="43"/>
          <w:rFonts w:hint="eastAsia" w:ascii="宋体" w:hAnsi="宋体" w:cs="宋体"/>
          <w:bCs/>
          <w:color w:val="000000" w:themeColor="text1"/>
          <w:sz w:val="24"/>
          <w:szCs w:val="24"/>
        </w:rPr>
        <w:t xml:space="preserve"> 在投标截止时间至招标文件中规定的投标有效期满之间的这段时间内，投标人不得撤回其投标，否则按照国家相关法律法规受到相应处罚。</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五、开标与评标</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23、开标</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23.1</w:t>
      </w:r>
      <w:r>
        <w:rPr>
          <w:rStyle w:val="43"/>
          <w:rFonts w:hint="eastAsia" w:ascii="宋体" w:hAnsi="宋体" w:cs="宋体"/>
          <w:bCs/>
          <w:color w:val="000000" w:themeColor="text1"/>
          <w:sz w:val="24"/>
          <w:szCs w:val="24"/>
        </w:rPr>
        <w:t xml:space="preserve"> 采购人和采购代理机构将在招标公告中规定的时间和地点组织公开开标</w:t>
      </w:r>
      <w:r>
        <w:rPr>
          <w:rStyle w:val="43"/>
          <w:rFonts w:hint="eastAsia" w:ascii="宋体" w:hAnsi="宋体" w:cs="宋体"/>
          <w:color w:val="000000" w:themeColor="text1"/>
          <w:sz w:val="24"/>
          <w:szCs w:val="24"/>
        </w:rPr>
        <w:t>。投标人应委派携带有效证件的代表准时参加，参加开标的代表需签名以证明其出席。</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23.2</w:t>
      </w:r>
      <w:r>
        <w:rPr>
          <w:rStyle w:val="43"/>
          <w:rFonts w:hint="eastAsia" w:ascii="宋体" w:hAnsi="宋体" w:cs="宋体"/>
          <w:color w:val="000000" w:themeColor="text1"/>
          <w:sz w:val="24"/>
          <w:szCs w:val="24"/>
        </w:rPr>
        <w:t>开标仪式由采购人或采购代理机构组织，采购人代表</w:t>
      </w:r>
      <w:r>
        <w:rPr>
          <w:rStyle w:val="43"/>
          <w:rFonts w:hint="eastAsia" w:ascii="宋体" w:hAnsi="宋体" w:cs="宋体"/>
          <w:b/>
          <w:color w:val="000000" w:themeColor="text1"/>
          <w:sz w:val="24"/>
          <w:szCs w:val="24"/>
        </w:rPr>
        <w:t>(需提供单位授权函)</w:t>
      </w:r>
      <w:r>
        <w:rPr>
          <w:rStyle w:val="43"/>
          <w:rFonts w:hint="eastAsia" w:ascii="宋体" w:hAnsi="宋体" w:cs="宋体"/>
          <w:color w:val="000000" w:themeColor="text1"/>
          <w:sz w:val="24"/>
          <w:szCs w:val="24"/>
        </w:rPr>
        <w:t>、监管代表、投标人代表等参加。</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23.3</w:t>
      </w:r>
      <w:r>
        <w:rPr>
          <w:rStyle w:val="43"/>
          <w:rFonts w:hint="eastAsia" w:ascii="宋体" w:hAnsi="宋体" w:cs="宋体"/>
          <w:bCs/>
          <w:color w:val="000000" w:themeColor="text1"/>
          <w:sz w:val="24"/>
          <w:szCs w:val="24"/>
        </w:rPr>
        <w:t>按照规定同意撤回的投标将不予开封。</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23.6 投标人在报价时不允许采用选择性报价，否则将被视为无效投标。</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24、资格审查</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24.1</w:t>
      </w:r>
      <w:r>
        <w:rPr>
          <w:rStyle w:val="43"/>
          <w:rFonts w:hint="eastAsia" w:ascii="宋体" w:hAnsi="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合格投标人不足3家的，不得评标。</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25、评标委员会</w:t>
      </w:r>
    </w:p>
    <w:p>
      <w:pPr>
        <w:snapToGrid w:val="0"/>
        <w:spacing w:line="360" w:lineRule="auto"/>
        <w:ind w:firstLine="480" w:firstLineChars="200"/>
        <w:rPr>
          <w:rStyle w:val="43"/>
          <w:rFonts w:ascii="宋体" w:hAnsi="宋体" w:cs="宋体"/>
          <w:b/>
          <w:color w:val="000000" w:themeColor="text1"/>
          <w:sz w:val="24"/>
          <w:szCs w:val="24"/>
        </w:rPr>
      </w:pPr>
      <w:r>
        <w:rPr>
          <w:rStyle w:val="43"/>
          <w:rFonts w:hint="eastAsia" w:ascii="宋体" w:hAnsi="宋体" w:cs="宋体"/>
          <w:color w:val="000000" w:themeColor="text1"/>
          <w:sz w:val="24"/>
          <w:szCs w:val="24"/>
        </w:rPr>
        <w:t>25.1资格审查通过后，采购人将组织评标委员会（以下简称评委会）进行评标。</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25.2 评委会由采购人代表和有关技术、经济等方面的专家组成，且人员构成符合政府采购有关规定。</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25.3评委会独立工作，负责评审所有投标文件并确定中标候选人。</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26、评标过程的保密与公正</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26.1</w:t>
      </w:r>
      <w:r>
        <w:rPr>
          <w:rStyle w:val="43"/>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26.2在评标过程中，投标人不得以任何行为影响评标过程，否则其投标文件将被作为无效投标文件。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26.3在评标期间，采购人或采购代理机构将设专门人员与投标人联系。</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26.5 采用综合评分法的项目，未中标的投标人如需了解自己的评审得分及排序情况，可向采购人提出申请。</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27、投标的澄清</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27.3 接到评委会澄清要求的投标人如未按规定做出澄清，其风险由投标人自行承担。</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28、对投标文件的评审</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28.1</w:t>
      </w:r>
      <w:r>
        <w:rPr>
          <w:rStyle w:val="43"/>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3"/>
          <w:rFonts w:hint="eastAsia" w:ascii="宋体" w:hAnsi="宋体" w:cs="宋体"/>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28.3</w:t>
      </w:r>
      <w:r>
        <w:rPr>
          <w:rStyle w:val="43"/>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28.4</w:t>
      </w:r>
      <w:r>
        <w:rPr>
          <w:rStyle w:val="43"/>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（2）大写金额和小写金额不一致的，以大写金额为准。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（4）总价金额与按单价汇总金额不一致的，以单价金额计算结果为准。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同时出现两种以上错误的，按照前款规定的顺序修正。</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28.5</w:t>
      </w:r>
      <w:r>
        <w:rPr>
          <w:rStyle w:val="43"/>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28.6</w:t>
      </w:r>
      <w:r>
        <w:rPr>
          <w:rStyle w:val="43"/>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28.7</w:t>
      </w:r>
      <w:r>
        <w:rPr>
          <w:rStyle w:val="43"/>
          <w:rFonts w:hint="eastAsia" w:ascii="宋体" w:hAnsi="宋体" w:cs="宋体"/>
          <w:b/>
          <w:color w:val="000000" w:themeColor="text1"/>
          <w:sz w:val="24"/>
          <w:szCs w:val="24"/>
        </w:rPr>
        <w:t>采用最低评标价法的采购项目，</w:t>
      </w:r>
      <w:r>
        <w:rPr>
          <w:rStyle w:val="43"/>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3"/>
          <w:rFonts w:ascii="宋体" w:hAnsi="宋体" w:cs="宋体"/>
          <w:color w:val="000000" w:themeColor="text1"/>
          <w:sz w:val="24"/>
          <w:szCs w:val="24"/>
        </w:rPr>
      </w:pPr>
      <w:r>
        <w:rPr>
          <w:rStyle w:val="43"/>
          <w:rFonts w:hint="eastAsia" w:ascii="宋体" w:hAnsi="宋体" w:cs="宋体"/>
          <w:b/>
          <w:color w:val="000000" w:themeColor="text1"/>
          <w:sz w:val="24"/>
          <w:szCs w:val="24"/>
        </w:rPr>
        <w:t>使用综合评分法的采购项目，</w:t>
      </w:r>
      <w:r>
        <w:rPr>
          <w:rStyle w:val="43"/>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3"/>
          <w:rFonts w:ascii="宋体" w:hAnsi="宋体" w:cs="宋体"/>
          <w:color w:val="000000" w:themeColor="text1"/>
          <w:sz w:val="24"/>
          <w:szCs w:val="24"/>
        </w:rPr>
      </w:pPr>
      <w:r>
        <w:rPr>
          <w:rStyle w:val="43"/>
          <w:rFonts w:hint="eastAsia" w:ascii="宋体" w:hAnsi="宋体" w:cs="宋体"/>
          <w:b/>
          <w:color w:val="000000" w:themeColor="text1"/>
          <w:sz w:val="24"/>
          <w:szCs w:val="24"/>
        </w:rPr>
        <w:t>非单一产品采购项目，</w:t>
      </w:r>
      <w:r>
        <w:rPr>
          <w:rStyle w:val="43"/>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29、无效投标条款和废标条款</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29.1无效投标条款</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29.1.1未按要求交纳投标保证金的（本项目无要求）；</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29.1.2未按照招标文件规定要求密封、签署、盖章的；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29.1.3投标人在报价时采用选择性报价；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29.1.4投标人不具备招标文件中规定资格要求的；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29.1.5投标人的报价超过了采购预算或最高限价的；</w:t>
      </w:r>
    </w:p>
    <w:p>
      <w:pPr>
        <w:snapToGrid w:val="0"/>
        <w:spacing w:line="360" w:lineRule="auto"/>
        <w:ind w:firstLine="480" w:firstLineChars="200"/>
        <w:rPr>
          <w:rStyle w:val="43"/>
          <w:rFonts w:ascii="宋体" w:hAnsi="宋体" w:cs="宋体"/>
          <w:bCs/>
          <w:i/>
          <w:color w:val="000000" w:themeColor="text1"/>
          <w:sz w:val="24"/>
          <w:szCs w:val="24"/>
          <w:u w:val="single" w:color="000000"/>
        </w:rPr>
      </w:pPr>
      <w:r>
        <w:rPr>
          <w:rStyle w:val="43"/>
          <w:rFonts w:hint="eastAsia" w:ascii="宋体" w:hAnsi="宋体" w:cs="宋体"/>
          <w:bCs/>
          <w:color w:val="000000" w:themeColor="text1"/>
          <w:sz w:val="24"/>
          <w:szCs w:val="24"/>
        </w:rPr>
        <w:t>29.1.6未通过符合性检查的；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29.1.7不符合招标文件中规定的其他实质性要求和条件的；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29.1.8 投标人串通投标；</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29.1.9  投标文件含有采购人不能接受的附加条件的。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29.1.11其他法律、法规及本招标文件规定的属无效投标的情形。</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 xml:space="preserve">29.2废标条款：                                                                                                                                                                                                                                                                                                                                                                                                                                                                                                                                                                                                                                                                                                                                                                                                                                                                                                                                                                                                                                                                                                                                                                                                                                                                                                                                                                                                                                                                         </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29.2.2出现影响采购公正的违法、违规行为的；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29.2.3因重大变故，采购任务取消的；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29.2.4评标委员会认定招标文件存在歧义、 重大缺陷导致评审工作无法进行。</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29.3 投标截止时间结束后参加投标的供应商不足三家的处理：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六、定标</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30、确定中标单位</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30.2 采购人应根据评委会推荐的中标候选人确定中标供应商。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30.3采购人</w:t>
      </w:r>
      <w:r>
        <w:rPr>
          <w:rStyle w:val="43"/>
          <w:rFonts w:hint="eastAsia" w:ascii="宋体" w:hAnsi="宋体" w:cs="宋体"/>
          <w:color w:val="000000" w:themeColor="text1"/>
          <w:sz w:val="24"/>
          <w:szCs w:val="24"/>
        </w:rPr>
        <w:t>将在“盐城工业职业技术学院招标采购网”发布中标公告，公告期限为1个工作日。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.4若有充分证据证明，中标供应商出现下列情况之一的，一经查实，将被取消中标资格：</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.4.1提供虚假材料谋取中标的；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.4.2向采购人或采购代理机构行贿或者提供其他不正当利益的；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.4.3恶意竞争，投标总报价明显低于其自身合理成本且又无法提供证明的；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30.4.4属于本文件规定的无效条件，但在评标过程中又未被评委会发现的；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30.4.5与采购人或者其他供应商恶意串通的；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30.4.6采取不正当手段诋毁、排挤其他供应商的；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30.4.7不符合法律、法规的规定的。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 xml:space="preserve">30.5. </w:t>
      </w:r>
      <w:r>
        <w:rPr>
          <w:rStyle w:val="43"/>
          <w:rFonts w:hint="eastAsia" w:ascii="宋体" w:hAnsi="宋体" w:cs="宋体"/>
          <w:color w:val="000000" w:themeColor="text1"/>
          <w:kern w:val="0"/>
          <w:sz w:val="24"/>
          <w:szCs w:val="24"/>
        </w:rPr>
        <w:t>有下列情形之一的，视为投标人串通投标，投标无效：</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30.5.1不同投标人的投标文件由同一单位或者个人编制。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30.5.2不同投标人委托同一单位或者个人办理投标事宜。</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30.5.4不同投标人的投标文件异常一致或者投标报价呈规律性差异。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30.5.5不同投标人的投标文件相互混装。</w:t>
      </w:r>
    </w:p>
    <w:p>
      <w:pPr>
        <w:pStyle w:val="37"/>
        <w:tabs>
          <w:tab w:val="left" w:pos="4120"/>
        </w:tabs>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31、质疑处理</w:t>
      </w:r>
      <w:r>
        <w:rPr>
          <w:rStyle w:val="43"/>
          <w:rFonts w:hint="eastAsia" w:ascii="宋体" w:hAnsi="宋体" w:cs="宋体"/>
          <w:b w:val="0"/>
          <w:color w:val="000000" w:themeColor="text1"/>
          <w:sz w:val="24"/>
          <w:szCs w:val="24"/>
        </w:rPr>
        <w:tab/>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31.1.1</w:t>
      </w:r>
      <w:r>
        <w:rPr>
          <w:rStyle w:val="43"/>
          <w:rFonts w:hint="eastAsia" w:ascii="宋体" w:hAnsi="宋体" w:cs="宋体"/>
          <w:color w:val="000000" w:themeColor="text1"/>
          <w:kern w:val="0"/>
          <w:sz w:val="24"/>
          <w:szCs w:val="24"/>
        </w:rPr>
        <w:t>对可以质疑的招标文件提出质疑的，为收到招标文件之日或者招标文件公告期限届满之日；</w:t>
      </w:r>
      <w:r>
        <w:rPr>
          <w:rStyle w:val="43"/>
          <w:rFonts w:hint="eastAsia" w:ascii="宋体" w:hAnsi="宋体" w:cs="宋体"/>
          <w:color w:val="000000" w:themeColor="text1"/>
          <w:kern w:val="0"/>
          <w:sz w:val="24"/>
          <w:szCs w:val="24"/>
        </w:rPr>
        <w:br w:type="textWrapping"/>
      </w:r>
      <w:r>
        <w:rPr>
          <w:rStyle w:val="43"/>
          <w:rFonts w:hint="eastAsia" w:ascii="宋体" w:hAnsi="宋体" w:cs="宋体"/>
          <w:color w:val="000000" w:themeColor="text1"/>
          <w:kern w:val="0"/>
          <w:sz w:val="24"/>
          <w:szCs w:val="24"/>
        </w:rPr>
        <w:t>　　</w:t>
      </w:r>
      <w:r>
        <w:rPr>
          <w:rStyle w:val="43"/>
          <w:rFonts w:hint="eastAsia" w:ascii="宋体" w:hAnsi="宋体" w:cs="宋体"/>
          <w:color w:val="000000" w:themeColor="text1"/>
          <w:sz w:val="24"/>
          <w:szCs w:val="24"/>
        </w:rPr>
        <w:t>31.1.2</w:t>
      </w:r>
      <w:r>
        <w:rPr>
          <w:rStyle w:val="43"/>
          <w:rFonts w:hint="eastAsia" w:ascii="宋体" w:hAnsi="宋体" w:cs="宋体"/>
          <w:color w:val="000000" w:themeColor="text1"/>
          <w:kern w:val="0"/>
          <w:sz w:val="24"/>
          <w:szCs w:val="24"/>
        </w:rPr>
        <w:t>对采购过程提出质疑的，为各采购程序环节结束之日；</w:t>
      </w:r>
      <w:r>
        <w:rPr>
          <w:rStyle w:val="43"/>
          <w:rFonts w:hint="eastAsia" w:ascii="宋体" w:hAnsi="宋体" w:cs="宋体"/>
          <w:color w:val="000000" w:themeColor="text1"/>
          <w:kern w:val="0"/>
          <w:sz w:val="24"/>
          <w:szCs w:val="24"/>
        </w:rPr>
        <w:br w:type="textWrapping"/>
      </w:r>
      <w:r>
        <w:rPr>
          <w:rStyle w:val="43"/>
          <w:rFonts w:hint="eastAsia" w:ascii="宋体" w:hAnsi="宋体" w:cs="宋体"/>
          <w:color w:val="000000" w:themeColor="text1"/>
          <w:kern w:val="0"/>
          <w:sz w:val="24"/>
          <w:szCs w:val="24"/>
        </w:rPr>
        <w:t>　　</w:t>
      </w:r>
      <w:r>
        <w:rPr>
          <w:rStyle w:val="43"/>
          <w:rFonts w:hint="eastAsia" w:ascii="宋体" w:hAnsi="宋体" w:cs="宋体"/>
          <w:color w:val="000000" w:themeColor="text1"/>
          <w:sz w:val="24"/>
          <w:szCs w:val="24"/>
        </w:rPr>
        <w:t>31.1.3</w:t>
      </w:r>
      <w:r>
        <w:rPr>
          <w:rStyle w:val="43"/>
          <w:rFonts w:hint="eastAsia" w:ascii="宋体" w:hAnsi="宋体" w:cs="宋体"/>
          <w:color w:val="000000" w:themeColor="text1"/>
          <w:kern w:val="0"/>
          <w:sz w:val="24"/>
          <w:szCs w:val="24"/>
        </w:rPr>
        <w:t>对中标结果提出质疑的，为中标结果公告期限届满之日。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31.4质疑函应当包括下列内容：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31.4.1质疑投标人的名称、地址、邮编、联系人、联系电话；</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31.4.2具体的质疑事项及明确的请求；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31.4.3认为自己合法权益受到损害或可能受到损害的相关证据材料；</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31.4.4提起质疑的日期；</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32、中标通知书</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32.l中标结果确定后，采购人将向中标供应商发出中标通知书。</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七、合同签订相关事项</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33. 签订合同</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33</w:t>
      </w:r>
      <w:r>
        <w:rPr>
          <w:rStyle w:val="43"/>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34、货物和服务的追加、减少和添购。</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3"/>
          <w:rFonts w:ascii="宋体" w:hAnsi="宋体" w:cs="宋体"/>
          <w:b/>
          <w:color w:val="000000" w:themeColor="text1"/>
          <w:sz w:val="24"/>
          <w:szCs w:val="24"/>
        </w:rPr>
      </w:pPr>
      <w:r>
        <w:rPr>
          <w:rStyle w:val="43"/>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35、履约保证金</w:t>
      </w:r>
    </w:p>
    <w:p>
      <w:pPr>
        <w:tabs>
          <w:tab w:val="left" w:pos="900"/>
        </w:tabs>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3"/>
          <w:rFonts w:ascii="宋体" w:hAnsi="宋体" w:cs="宋体"/>
          <w:color w:val="000000" w:themeColor="text1"/>
          <w:sz w:val="24"/>
          <w:szCs w:val="24"/>
        </w:rPr>
      </w:pPr>
      <w:r>
        <w:rPr>
          <w:rStyle w:val="43"/>
          <w:rFonts w:hint="eastAsia" w:ascii="宋体" w:hAnsi="宋体" w:cs="宋体"/>
          <w:b/>
          <w:color w:val="000000" w:themeColor="text1"/>
          <w:sz w:val="24"/>
          <w:szCs w:val="24"/>
        </w:rPr>
        <w:t>36、政府采购履约资金扶持政策</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3"/>
          <w:rFonts w:ascii="宋体" w:hAnsi="宋体" w:cs="宋体"/>
          <w:b/>
          <w:bCs/>
          <w:color w:val="000000" w:themeColor="text1"/>
          <w:sz w:val="24"/>
          <w:szCs w:val="24"/>
        </w:rPr>
      </w:pPr>
      <w:r>
        <w:rPr>
          <w:rStyle w:val="43"/>
          <w:rFonts w:hint="eastAsia" w:ascii="宋体" w:hAnsi="宋体" w:cs="宋体"/>
          <w:b/>
          <w:bCs/>
          <w:color w:val="000000" w:themeColor="text1"/>
          <w:sz w:val="24"/>
          <w:szCs w:val="24"/>
        </w:rPr>
        <w:t>八、其他</w:t>
      </w:r>
    </w:p>
    <w:p>
      <w:pPr>
        <w:snapToGrid w:val="0"/>
        <w:spacing w:line="360" w:lineRule="auto"/>
        <w:ind w:firstLine="482" w:firstLineChars="200"/>
        <w:rPr>
          <w:rStyle w:val="43"/>
          <w:rFonts w:ascii="宋体" w:hAnsi="宋体" w:cs="宋体"/>
          <w:b/>
          <w:color w:val="000000" w:themeColor="text1"/>
          <w:sz w:val="44"/>
          <w:szCs w:val="28"/>
        </w:rPr>
      </w:pPr>
      <w:r>
        <w:rPr>
          <w:rStyle w:val="43"/>
          <w:rFonts w:hint="eastAsia" w:ascii="宋体" w:hAnsi="宋体" w:cs="宋体"/>
          <w:b/>
          <w:color w:val="000000" w:themeColor="text1"/>
          <w:sz w:val="24"/>
          <w:szCs w:val="24"/>
        </w:rPr>
        <w:t>37、样品：</w:t>
      </w:r>
      <w:r>
        <w:rPr>
          <w:rStyle w:val="43"/>
          <w:rFonts w:hint="eastAsia" w:ascii="宋体" w:hAnsi="宋体" w:cs="宋体"/>
          <w:color w:val="000000" w:themeColor="text1"/>
          <w:sz w:val="24"/>
          <w:szCs w:val="24"/>
        </w:rPr>
        <w:t>无</w:t>
      </w:r>
    </w:p>
    <w:p>
      <w:pPr>
        <w:rPr>
          <w:rStyle w:val="43"/>
          <w:rFonts w:ascii="宋体" w:hAnsi="宋体" w:cs="宋体"/>
          <w:b/>
          <w:color w:val="000000" w:themeColor="text1"/>
          <w:sz w:val="44"/>
        </w:rPr>
      </w:pPr>
    </w:p>
    <w:p>
      <w:pPr>
        <w:pStyle w:val="23"/>
        <w:ind w:firstLine="883"/>
        <w:rPr>
          <w:rStyle w:val="43"/>
          <w:rFonts w:cs="宋体"/>
          <w:b/>
          <w:color w:val="000000" w:themeColor="text1"/>
          <w:sz w:val="44"/>
          <w:szCs w:val="21"/>
        </w:rPr>
      </w:pPr>
    </w:p>
    <w:p>
      <w:pPr>
        <w:rPr>
          <w:rStyle w:val="43"/>
          <w:rFonts w:cs="宋体"/>
          <w:b/>
          <w:color w:val="000000" w:themeColor="text1"/>
          <w:sz w:val="44"/>
        </w:rPr>
      </w:pPr>
    </w:p>
    <w:p>
      <w:pPr>
        <w:pStyle w:val="2"/>
        <w:ind w:left="1470" w:right="1470"/>
        <w:rPr>
          <w:rStyle w:val="43"/>
          <w:rFonts w:cs="宋体"/>
          <w:b/>
          <w:color w:val="000000" w:themeColor="text1"/>
          <w:sz w:val="44"/>
        </w:rPr>
      </w:pPr>
    </w:p>
    <w:p>
      <w:pPr>
        <w:pStyle w:val="2"/>
        <w:ind w:left="1470" w:right="1470"/>
        <w:rPr>
          <w:rStyle w:val="43"/>
          <w:rFonts w:cs="宋体"/>
          <w:b/>
          <w:color w:val="000000" w:themeColor="text1"/>
          <w:sz w:val="44"/>
        </w:rPr>
      </w:pPr>
    </w:p>
    <w:p>
      <w:pPr>
        <w:pStyle w:val="2"/>
        <w:ind w:left="1470" w:right="1470"/>
        <w:rPr>
          <w:rStyle w:val="43"/>
          <w:rFonts w:cs="宋体"/>
          <w:b/>
          <w:color w:val="000000" w:themeColor="text1"/>
          <w:sz w:val="44"/>
        </w:rPr>
      </w:pPr>
    </w:p>
    <w:p>
      <w:pPr>
        <w:pStyle w:val="2"/>
        <w:ind w:left="1470" w:right="1470"/>
        <w:rPr>
          <w:rStyle w:val="43"/>
          <w:rFonts w:cs="宋体"/>
          <w:b/>
          <w:color w:val="000000" w:themeColor="text1"/>
          <w:sz w:val="44"/>
        </w:rPr>
      </w:pPr>
    </w:p>
    <w:p>
      <w:pPr>
        <w:pStyle w:val="2"/>
        <w:ind w:left="1470" w:right="1470"/>
        <w:rPr>
          <w:rStyle w:val="43"/>
          <w:rFonts w:cs="宋体"/>
          <w:b/>
          <w:color w:val="000000" w:themeColor="text1"/>
          <w:sz w:val="44"/>
        </w:rPr>
      </w:pPr>
    </w:p>
    <w:p>
      <w:pPr>
        <w:pStyle w:val="2"/>
        <w:ind w:left="1470" w:right="1470"/>
        <w:rPr>
          <w:rStyle w:val="43"/>
          <w:rFonts w:cs="宋体"/>
          <w:b/>
          <w:color w:val="000000" w:themeColor="text1"/>
          <w:sz w:val="44"/>
        </w:rPr>
      </w:pPr>
    </w:p>
    <w:p>
      <w:pPr>
        <w:pStyle w:val="2"/>
        <w:ind w:left="1470" w:right="1470"/>
        <w:rPr>
          <w:rStyle w:val="43"/>
          <w:rFonts w:cs="宋体"/>
          <w:b/>
          <w:color w:val="000000" w:themeColor="text1"/>
          <w:sz w:val="44"/>
        </w:rPr>
      </w:pPr>
    </w:p>
    <w:p>
      <w:pPr>
        <w:pStyle w:val="2"/>
        <w:ind w:left="1470" w:right="1470"/>
        <w:rPr>
          <w:rStyle w:val="43"/>
          <w:rFonts w:cs="宋体"/>
          <w:b/>
          <w:color w:val="000000" w:themeColor="text1"/>
          <w:sz w:val="44"/>
        </w:rPr>
      </w:pPr>
    </w:p>
    <w:p>
      <w:pPr>
        <w:pStyle w:val="2"/>
        <w:ind w:left="1470" w:right="1470"/>
        <w:rPr>
          <w:rStyle w:val="43"/>
          <w:rFonts w:cs="宋体"/>
          <w:b/>
          <w:color w:val="000000" w:themeColor="text1"/>
          <w:sz w:val="44"/>
        </w:rPr>
      </w:pPr>
    </w:p>
    <w:p>
      <w:pPr>
        <w:pStyle w:val="2"/>
        <w:ind w:left="1470" w:right="1470"/>
        <w:rPr>
          <w:rStyle w:val="43"/>
          <w:rFonts w:cs="宋体"/>
          <w:b/>
          <w:color w:val="000000" w:themeColor="text1"/>
          <w:sz w:val="44"/>
        </w:rPr>
      </w:pPr>
    </w:p>
    <w:p>
      <w:pPr>
        <w:pStyle w:val="33"/>
        <w:outlineLvl w:val="0"/>
        <w:rPr>
          <w:rStyle w:val="43"/>
          <w:rFonts w:ascii="宋体" w:hAnsi="宋体" w:eastAsia="宋体" w:cs="宋体"/>
          <w:b/>
          <w:color w:val="000000" w:themeColor="text1"/>
          <w:sz w:val="44"/>
        </w:rPr>
      </w:pPr>
      <w:bookmarkStart w:id="2" w:name="_Toc19468"/>
      <w:r>
        <w:rPr>
          <w:rStyle w:val="43"/>
          <w:rFonts w:hint="eastAsia" w:ascii="宋体" w:hAnsi="宋体" w:eastAsia="宋体" w:cs="宋体"/>
          <w:b/>
          <w:color w:val="000000" w:themeColor="text1"/>
          <w:sz w:val="44"/>
        </w:rPr>
        <w:t>第三章  合同条款及格式</w:t>
      </w:r>
      <w:bookmarkEnd w:id="2"/>
    </w:p>
    <w:p>
      <w:pPr>
        <w:spacing w:line="440" w:lineRule="exact"/>
        <w:ind w:firstLine="480" w:firstLineChars="200"/>
        <w:rPr>
          <w:rStyle w:val="43"/>
          <w:rFonts w:ascii="宋体" w:hAnsi="宋体" w:cs="宋体"/>
          <w:bCs/>
          <w:color w:val="000000" w:themeColor="text1"/>
          <w:sz w:val="24"/>
        </w:rPr>
      </w:pPr>
      <w:r>
        <w:rPr>
          <w:rStyle w:val="43"/>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pacing w:line="360" w:lineRule="auto"/>
        <w:jc w:val="center"/>
        <w:rPr>
          <w:rFonts w:ascii="宋体" w:hAnsi="宋体" w:cs="宋体"/>
          <w:b/>
          <w:bCs/>
          <w:color w:val="000000" w:themeColor="text1"/>
          <w:kern w:val="0"/>
          <w:sz w:val="28"/>
          <w:szCs w:val="28"/>
        </w:rPr>
      </w:pPr>
      <w:bookmarkStart w:id="3" w:name="_Toc17926"/>
      <w:r>
        <w:rPr>
          <w:rFonts w:hint="eastAsia" w:ascii="宋体" w:hAnsi="宋体" w:cs="宋体"/>
          <w:b/>
          <w:bCs/>
          <w:color w:val="000000" w:themeColor="text1"/>
          <w:kern w:val="0"/>
          <w:sz w:val="28"/>
          <w:szCs w:val="28"/>
        </w:rPr>
        <w:t>合 同 协 议 书</w:t>
      </w:r>
    </w:p>
    <w:p>
      <w:pPr>
        <w:adjustRightInd w:val="0"/>
        <w:snapToGrid w:val="0"/>
        <w:spacing w:line="360" w:lineRule="auto"/>
        <w:ind w:firstLine="480" w:firstLineChars="200"/>
        <w:rPr>
          <w:rFonts w:ascii="宋体" w:hAnsi="宋体" w:cs="宋体"/>
          <w:color w:val="000000" w:themeColor="text1"/>
          <w:sz w:val="24"/>
          <w:szCs w:val="24"/>
          <w:u w:val="single"/>
        </w:rPr>
      </w:pPr>
      <w:r>
        <w:rPr>
          <w:rFonts w:hint="eastAsia" w:ascii="宋体" w:hAnsi="宋体" w:cs="宋体"/>
          <w:color w:val="000000" w:themeColor="text1"/>
          <w:sz w:val="24"/>
          <w:szCs w:val="24"/>
        </w:rPr>
        <w:t>项目名称：</w:t>
      </w:r>
      <w:r>
        <w:rPr>
          <w:rFonts w:hint="eastAsia" w:ascii="宋体" w:hAnsi="宋体" w:cs="宋体"/>
          <w:color w:val="000000" w:themeColor="text1"/>
          <w:sz w:val="24"/>
          <w:szCs w:val="24"/>
          <w:u w:val="single"/>
        </w:rPr>
        <w:t>盐城工业职业技术学院宿舍物业管理服务项目</w:t>
      </w:r>
    </w:p>
    <w:p>
      <w:pPr>
        <w:adjustRightInd w:val="0"/>
        <w:snapToGrid w:val="0"/>
        <w:spacing w:line="360" w:lineRule="auto"/>
        <w:ind w:firstLine="480" w:firstLineChars="200"/>
        <w:rPr>
          <w:rFonts w:hint="eastAsia" w:ascii="宋体" w:hAnsi="宋体" w:eastAsia="宋体" w:cs="宋体"/>
          <w:b/>
          <w:bCs/>
          <w:color w:val="000000" w:themeColor="text1"/>
          <w:sz w:val="24"/>
          <w:szCs w:val="24"/>
          <w:lang w:eastAsia="zh-CN"/>
        </w:rPr>
      </w:pPr>
      <w:r>
        <w:rPr>
          <w:rFonts w:hint="eastAsia" w:ascii="宋体" w:hAnsi="宋体" w:cs="宋体"/>
          <w:color w:val="000000" w:themeColor="text1"/>
          <w:sz w:val="24"/>
          <w:szCs w:val="24"/>
        </w:rPr>
        <w:t>项目编号：</w:t>
      </w:r>
      <w:r>
        <w:rPr>
          <w:rFonts w:hint="eastAsia" w:ascii="宋体" w:hAnsi="宋体" w:cs="宋体"/>
          <w:bCs/>
          <w:color w:val="000000" w:themeColor="text1"/>
          <w:sz w:val="24"/>
          <w:szCs w:val="24"/>
          <w:u w:val="single"/>
        </w:rPr>
        <w:t>2022-</w:t>
      </w:r>
      <w:r>
        <w:rPr>
          <w:rFonts w:hint="eastAsia" w:ascii="宋体" w:hAnsi="宋体" w:cs="宋体"/>
          <w:bCs/>
          <w:color w:val="000000" w:themeColor="text1"/>
          <w:sz w:val="24"/>
          <w:szCs w:val="24"/>
          <w:u w:val="single"/>
          <w:lang w:eastAsia="zh-CN"/>
        </w:rPr>
        <w:t>025W</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招标单位：</w:t>
      </w:r>
      <w:r>
        <w:rPr>
          <w:rFonts w:hint="eastAsia" w:ascii="宋体" w:hAnsi="宋体" w:cs="宋体"/>
          <w:bCs/>
          <w:color w:val="000000" w:themeColor="text1"/>
          <w:sz w:val="24"/>
          <w:szCs w:val="24"/>
          <w:u w:val="single"/>
        </w:rPr>
        <w:t>盐城工业职业技术学院</w:t>
      </w:r>
      <w:r>
        <w:rPr>
          <w:rFonts w:hint="eastAsia" w:ascii="宋体" w:hAnsi="宋体" w:cs="宋体"/>
          <w:color w:val="000000" w:themeColor="text1"/>
          <w:sz w:val="24"/>
          <w:szCs w:val="24"/>
        </w:rPr>
        <w:t>（以下简称甲方）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中标单位：（以下简称乙方）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根据《中华人民共和国民法典》、《政府采购法》、《物业管理条例》和《江苏省物业管理条例》及有关规定，为明确甲、乙双方在</w:t>
      </w:r>
      <w:r>
        <w:rPr>
          <w:rFonts w:hint="eastAsia" w:ascii="宋体" w:hAnsi="宋体" w:cs="宋体"/>
          <w:bCs/>
          <w:color w:val="000000" w:themeColor="text1"/>
          <w:sz w:val="24"/>
          <w:szCs w:val="24"/>
          <w:u w:val="single"/>
        </w:rPr>
        <w:t>盐城工业职业技术学院宿舍物业管理服务项目</w:t>
      </w:r>
      <w:r>
        <w:rPr>
          <w:rFonts w:hint="eastAsia" w:ascii="宋体" w:hAnsi="宋体" w:cs="宋体"/>
          <w:color w:val="000000" w:themeColor="text1"/>
          <w:sz w:val="24"/>
          <w:szCs w:val="24"/>
        </w:rPr>
        <w:t>中的权利、义务和经济责任，经甲、乙双方协商同意签订本合同。</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一、项目名称：</w:t>
      </w:r>
      <w:r>
        <w:rPr>
          <w:rFonts w:hint="eastAsia" w:ascii="宋体" w:hAnsi="宋体" w:cs="宋体"/>
          <w:bCs/>
          <w:color w:val="000000" w:themeColor="text1"/>
          <w:sz w:val="24"/>
          <w:szCs w:val="24"/>
        </w:rPr>
        <w:t>盐城工业职业技术学院宿舍物业管理服务项目</w:t>
      </w:r>
      <w:r>
        <w:rPr>
          <w:rFonts w:hint="eastAsia" w:ascii="宋体" w:hAnsi="宋体" w:cs="宋体"/>
          <w:b/>
          <w:color w:val="000000" w:themeColor="text1"/>
          <w:sz w:val="24"/>
          <w:szCs w:val="24"/>
        </w:rPr>
        <w:t>。</w:t>
      </w:r>
    </w:p>
    <w:p>
      <w:pPr>
        <w:adjustRightInd w:val="0"/>
        <w:snapToGrid w:val="0"/>
        <w:spacing w:line="360" w:lineRule="auto"/>
        <w:ind w:firstLine="482" w:firstLineChars="200"/>
        <w:outlineLvl w:val="1"/>
        <w:rPr>
          <w:rFonts w:ascii="宋体" w:hAnsi="宋体" w:cs="宋体"/>
          <w:bCs/>
          <w:color w:val="000000" w:themeColor="text1"/>
          <w:sz w:val="24"/>
          <w:szCs w:val="24"/>
        </w:rPr>
      </w:pPr>
      <w:r>
        <w:rPr>
          <w:rFonts w:hint="eastAsia" w:ascii="宋体" w:hAnsi="宋体" w:cs="宋体"/>
          <w:b/>
          <w:color w:val="000000" w:themeColor="text1"/>
          <w:sz w:val="24"/>
          <w:szCs w:val="24"/>
        </w:rPr>
        <w:t>二、项目地点：</w:t>
      </w:r>
      <w:r>
        <w:rPr>
          <w:rFonts w:hint="eastAsia" w:ascii="宋体" w:hAnsi="宋体" w:cs="宋体"/>
          <w:bCs/>
          <w:color w:val="000000" w:themeColor="text1"/>
          <w:sz w:val="24"/>
          <w:szCs w:val="24"/>
        </w:rPr>
        <w:t>盐城市职教园区（盐城市解放南路285号）。学院占地588亩，在校师生员工9000余人，建筑面积21万多平方米。</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三</w:t>
      </w:r>
      <w:r>
        <w:rPr>
          <w:rFonts w:hint="eastAsia"/>
          <w:b/>
          <w:color w:val="000000" w:themeColor="text1"/>
        </w:rPr>
        <w:t>、</w:t>
      </w:r>
      <w:r>
        <w:rPr>
          <w:rFonts w:hint="eastAsia" w:ascii="宋体" w:hAnsi="宋体" w:cs="宋体"/>
          <w:b/>
          <w:color w:val="000000" w:themeColor="text1"/>
          <w:sz w:val="24"/>
          <w:szCs w:val="24"/>
        </w:rPr>
        <w:t>采购范围及内容：</w:t>
      </w:r>
      <w:r>
        <w:rPr>
          <w:rFonts w:hint="eastAsia" w:asciiTheme="minorEastAsia" w:hAnsiTheme="minorEastAsia"/>
          <w:color w:val="000000" w:themeColor="text1"/>
          <w:sz w:val="24"/>
        </w:rPr>
        <w:t>学生公寓包括：1-9号楼（5个组团），留学生公寓，教师值班室；约1445间宿舍，约8410个床位。物业服务内容包括学生宿舍物业管理、文化氛围营造、宿舍保洁、</w:t>
      </w:r>
      <w:r>
        <w:rPr>
          <w:rFonts w:asciiTheme="minorEastAsia" w:hAnsiTheme="minorEastAsia"/>
          <w:color w:val="000000" w:themeColor="text1"/>
          <w:sz w:val="24"/>
        </w:rPr>
        <w:t>教师值班室保洁</w:t>
      </w:r>
      <w:r>
        <w:rPr>
          <w:rFonts w:hint="eastAsia" w:asciiTheme="minorEastAsia" w:hAnsiTheme="minorEastAsia"/>
          <w:color w:val="000000" w:themeColor="text1"/>
          <w:sz w:val="24"/>
        </w:rPr>
        <w:t>。此期委托管理为服务、管理、育人三位一体全方位的管理，乙方必须按甲方的要求及投标书(投标书为合同附件)所承诺和确立的管理服务项目及质量标准实施管理。在物业管理区域内，乙方提供的物业管理服务包括以下内容：1、物业共用部位的维修养护；2、服务、管理、育人氛围营造；3、物业共用部位和相关场地的清洁卫生服务；4、车辆停放管理服务；5、公共秩序维护、安全防范、消防等事项的协助管理；6、装饰装修管理服务；7、学生公寓区内宿舍检查与日常管理、教师值班室卫生清洁和日常管理；8、物业档案资料管理；</w:t>
      </w:r>
      <w:r>
        <w:rPr>
          <w:rFonts w:asciiTheme="minorEastAsia" w:hAnsiTheme="minorEastAsia"/>
          <w:color w:val="000000" w:themeColor="text1"/>
          <w:sz w:val="24"/>
        </w:rPr>
        <w:t>9</w:t>
      </w:r>
      <w:r>
        <w:rPr>
          <w:rFonts w:hint="eastAsia" w:asciiTheme="minorEastAsia" w:hAnsiTheme="minorEastAsia"/>
          <w:color w:val="000000" w:themeColor="text1"/>
          <w:sz w:val="24"/>
        </w:rPr>
        <w:t>、合同与标书约定的其他物业服务。</w:t>
      </w:r>
    </w:p>
    <w:p>
      <w:pPr>
        <w:tabs>
          <w:tab w:val="left" w:pos="632"/>
          <w:tab w:val="left" w:pos="2828"/>
        </w:tabs>
        <w:adjustRightInd w:val="0"/>
        <w:snapToGrid w:val="0"/>
        <w:spacing w:line="360" w:lineRule="auto"/>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四、服务要求和服务标准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详见招标文件</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五、秩序管理服务费用及支付方式</w:t>
      </w:r>
    </w:p>
    <w:p>
      <w:pPr>
        <w:tabs>
          <w:tab w:val="left" w:pos="632"/>
          <w:tab w:val="left" w:pos="2828"/>
        </w:tabs>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5.1 秩序管理服务人民币总价为元/年。</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5.2 全年各项物业服务费合计人民币/年；结算方式按季度结算，每个季度支付乙方。在按时、按质完成服务任务,经职能部门考核合格，下一季度上旬，结清上一季度的物业管理费。乙方需向甲方提供正规发票。</w:t>
      </w:r>
    </w:p>
    <w:p>
      <w:pPr>
        <w:tabs>
          <w:tab w:val="left" w:pos="632"/>
          <w:tab w:val="left" w:pos="2828"/>
        </w:tabs>
        <w:adjustRightInd w:val="0"/>
        <w:snapToGrid w:val="0"/>
        <w:spacing w:line="360" w:lineRule="auto"/>
        <w:ind w:firstLine="480" w:firstLineChars="200"/>
        <w:rPr>
          <w:rFonts w:ascii="宋体" w:hAnsi="宋体" w:cs="宋体"/>
          <w:b/>
          <w:bCs/>
          <w:color w:val="000000" w:themeColor="text1"/>
          <w:sz w:val="24"/>
          <w:szCs w:val="24"/>
        </w:rPr>
      </w:pPr>
      <w:r>
        <w:rPr>
          <w:rFonts w:hint="eastAsia" w:ascii="宋体" w:hAnsi="宋体" w:cs="宋体"/>
          <w:color w:val="000000" w:themeColor="text1"/>
          <w:sz w:val="24"/>
          <w:szCs w:val="24"/>
        </w:rPr>
        <w:t>注：按以上付款，无任何银行利息，一律通过银行结转。</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六、乙方必须按时发放服务人员工资，如造成特别严重后果或不良影响的，甲方可立即解除合同，有权从履约保证金中得到补偿，并追究相关责任。</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七、服务期限</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 服务期限：</w:t>
      </w:r>
      <w:r>
        <w:rPr>
          <w:rFonts w:hint="eastAsia" w:ascii="宋体" w:hAnsi="宋体" w:cs="宋体"/>
          <w:color w:val="000000" w:themeColor="text1"/>
          <w:sz w:val="24"/>
          <w:szCs w:val="24"/>
          <w:u w:val="single"/>
        </w:rPr>
        <w:t>两年，中标经公示无异议后先签一年合同，一年期满后经考核合格签第二年合同。</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起止时间：2022年月日-2023年月日</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7.2 乙方在接到甲方书面通知之日起七日内，派有关人员至校区提供管理服务。</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八、考核要求</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8.1 秩序管理服务费的支付依据《盐城工业职业技术学院物业管理考核细则》等文件逐月考核、奖惩。乙方必须认真组织物管服务人员学习《盐城工业职业技术学院物业管理考核细则》，学校将据此每月对服务工作进行考核督查及测评，满意率不达标的，限期整改，直至解除合同，同时考核督查中发现的问题按考核办法扣除一定数量的费用或作为处罚。</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8.2 乙方在发放服务人员工资时，应结合服务单位对服务人员服务情况的考核情况。</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九、甲方的权利义务</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9.1 甲方权利：</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9.1.1 审定乙方拟定的年度秩序管理服务计划和方案；</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9.1.2 甲方有权对乙方的秩序管理服务工作和投标书、承诺书、考核标准、合同履行情况进行监督检查，考核、监督乙方管理工作的实施及相关制度和《投标文件》执行情况，对发现的问题，乙方应及时整改，针对乙方未达标或考核不合格的情况提出整改要求并扣除相应的秩序管理服务费用；甲方下达整改通知后，乙方逾期仍达不到承诺目标，甲方有权视情节对乙方实施处罚，直至终止合同；</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9.1.3 在合同履行期间，如乙方中途无故退出或发生责任事故，给甲方带来不良影响的，或者因乙方工作不力，严重影响甲方正常工作秩序的，甲方有权终止本合同，并要求乙方给予经济赔偿；</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9.1.4对拒绝、不服从或抵触甲方领导指挥的乙方使用人员，甲方有权要求乙方进行调换，否则甲方有权终止本合同，并对乙方进行经济处罚；</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9.1.5监督、指导乙方人员在区域内的一切行为和活动；乙方聘用的秩序管理服务人员进场前应征求甲方的意见。如甲方或服务单位对个别秩序管理服务人员不满意，乙方应予以调换。</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9.1.7依据相关法律、法规规定享有的其他权利。</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9.2 甲方义务：</w:t>
      </w:r>
    </w:p>
    <w:p>
      <w:pPr>
        <w:tabs>
          <w:tab w:val="left" w:pos="632"/>
          <w:tab w:val="left" w:pos="2828"/>
        </w:tabs>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9.2.1 甲方应向乙方移交秩序管理服务所必需的资料。</w:t>
      </w:r>
    </w:p>
    <w:p>
      <w:pPr>
        <w:tabs>
          <w:tab w:val="left" w:pos="632"/>
          <w:tab w:val="left" w:pos="2828"/>
        </w:tabs>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9.2.2 按照合同约定按时足额支付秩序管理服务费；</w:t>
      </w:r>
    </w:p>
    <w:p>
      <w:pPr>
        <w:tabs>
          <w:tab w:val="left" w:pos="632"/>
          <w:tab w:val="left" w:pos="2828"/>
        </w:tabs>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9.2.3 协助乙方做好秩序管理服务工作和宣传教育、文化活动；</w:t>
      </w:r>
    </w:p>
    <w:p>
      <w:pPr>
        <w:tabs>
          <w:tab w:val="left" w:pos="632"/>
          <w:tab w:val="left" w:pos="2828"/>
        </w:tabs>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9.2.4 协助乙方规范对区域内人员违反法规、规章的行为；</w:t>
      </w:r>
    </w:p>
    <w:p>
      <w:pPr>
        <w:tabs>
          <w:tab w:val="left" w:pos="632"/>
          <w:tab w:val="left" w:pos="2828"/>
        </w:tabs>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9.2.5 协调、配合乙方共同处理本合同生效前发生的相关遗留问题；</w:t>
      </w:r>
    </w:p>
    <w:p>
      <w:pPr>
        <w:tabs>
          <w:tab w:val="left" w:pos="632"/>
          <w:tab w:val="left" w:pos="2828"/>
        </w:tabs>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9.2.6 法律、法规规定的其他义务。</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十、乙方的权利义务</w:t>
      </w:r>
    </w:p>
    <w:p>
      <w:pPr>
        <w:tabs>
          <w:tab w:val="left" w:pos="210"/>
          <w:tab w:val="left" w:pos="420"/>
          <w:tab w:val="left" w:pos="640"/>
        </w:tabs>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10.1 乙方权利：</w:t>
      </w:r>
    </w:p>
    <w:p>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10.1.1 按照国家和有关物业管理、秩序管理服务的技术标准、行业规范以及本服务合同进行管理，提供专业化的服务；</w:t>
      </w:r>
    </w:p>
    <w:p>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10.1.2 按照本合同和有关规定向甲方收取秩序管理服务费用；</w:t>
      </w:r>
    </w:p>
    <w:p>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10.1.3 根据甲方授权，制定必要的规章制度，并以有效方式督促辖区内人员遵守；</w:t>
      </w:r>
    </w:p>
    <w:p>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10.1.4 根据甲方授权，采取规劝、警告等措施制止区域内人员违反公众管理制度的行为；</w:t>
      </w:r>
    </w:p>
    <w:p>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10.1.5 依照法律、法规规定和本合同约定享有的其他权利。</w:t>
      </w:r>
    </w:p>
    <w:p>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10.2 乙方义务：</w:t>
      </w:r>
    </w:p>
    <w:p>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10.2.1 全面贯彻执行国家物业管理、秩序管理服务的法规、政策，全面遵守《招标文件》的要求，执行《投标文件》的承诺，接受甲方的检查、考核和监督，接受物业管理、秩序管理行政主管部门等的监督和指导。</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10.2.2 及时向甲方通告本区域内有关秩序管理服务的重大事项，及时处理投诉，接受甲方的监督管理；</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10.2.3 在承接秩序管理服务时，应当对物业共用部位、共用设施设备进行查验，并做好书面记录和签认工作；</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10.2.4 结合本秩序管理服务区域的实际情况，编制年度管理等计划经甲方批准后组织实施；</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10.2.5 协助做好本秩序管理服务区域内的安全防范工作，发生安全事故时，在采取应急措施的同时，及时向有关行政管理部门报告，保护好现场、协助做好救助工作；秩序维护员在维护本秩序管理服务区域的公共秩序时，要履行职责，不得侵害公民的合法权益；</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10.2.6 本合同终止或出现本合同约定终止情形时，乙方应当在接到通知七日内将物业管理用房和秩序管理服务相关资料、物件、设施及时如数地移交给甲方并撤出前委托管理区域，不得以任何理由拒绝或拖延；</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10.2.7法律、法规规定的其他义务。</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十一、违约赔偿</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11.1 若因房屋建筑质量，设备设施质量或安装技术等原因，达不到使用功能，造成重大安全事故的，其直接原因以法定机构或行业主管部门的鉴定为准，甲乙双方应依此作为对责任方进行追责的依据，其责任方将承担相应赔偿责任。</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11.2 甲方不履行本合同约定的义务，乙方可要求甲方履行，由此造成乙方或第三方的损失，甲方应承担相应的责任；</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11.3 乙方违反本合同约定，乙方如发生将本秩序管理服务转包、转让、违规出现违法现象或在履行合约单方中途退出的，甲方将中止本合同，不予退还履约保证金并有权追究乙方其它责任；</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11.4 乙方应严格履行合同的约定，若因乙方导致合同不能正常履行或无故单方解除合同，则应承担合同价10%的违约金和由此造成的后果，给甲方造成的损失，应赔偿相应损失。</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十二、不可抗力</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12.1 如果甲、乙双方中任何一方由于战争、严重火灾、水灾、台风和地震以及其他经甲、乙双方同意属于不可抗力的事故，致使合同履行受阻时，履行合同的期限应予延长，延长的期限应相当于事故所影响的时间。</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12.2 受事故影响的一方应在不可抗力的事故发生后尽快以电报或电传通知另一方。如果不可抗力影响时间延续120天以上的，甲、乙双方应通过友好协商在合理的时间内达成进一步履行合同的协议。</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十三、履约保证金</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13.1 本项目履约保证金为合同价的5%，即人民币 </w:t>
      </w:r>
      <w:r>
        <w:rPr>
          <w:rFonts w:hint="eastAsia" w:ascii="宋体" w:hAnsi="宋体" w:cs="宋体"/>
          <w:color w:val="000000" w:themeColor="text1"/>
          <w:sz w:val="24"/>
          <w:szCs w:val="24"/>
          <w:u w:val="single"/>
        </w:rPr>
        <w:t xml:space="preserve">       （¥：   ）</w:t>
      </w:r>
      <w:r>
        <w:rPr>
          <w:rFonts w:hint="eastAsia" w:ascii="宋体" w:hAnsi="宋体" w:cs="宋体"/>
          <w:color w:val="000000" w:themeColor="text1"/>
          <w:sz w:val="24"/>
          <w:szCs w:val="24"/>
        </w:rPr>
        <w:t>，于本项目结束后无息退还。</w:t>
      </w:r>
      <w:r>
        <w:rPr>
          <w:rFonts w:hint="eastAsia" w:ascii="宋体" w:hAnsi="宋体" w:cs="宋体"/>
          <w:bCs/>
          <w:color w:val="000000" w:themeColor="text1"/>
          <w:sz w:val="24"/>
          <w:szCs w:val="24"/>
        </w:rPr>
        <w:t>在签订合同前，中标人须向采购人交纳履约保证金（以转帐或电汇或网汇形式汇转至采购人指定帐户）。履约保证金用以约束中标人在合同履行中的行为，弥补合同执行中由于自身行为可能给采购人带来的各种损失。</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13.2 如乙方未能履行合同规定的任何义务，甲方有权从履约保证金中得到补偿。</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十四、争议</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甲、乙双方应通过友好协商，解决在执行本合同中所发生的或与本合同有关的一切争议，如协商仍得不到解决，任何一方均可依法向项目所在地人民法院起诉。在诉讼过程中，除提交诉讼的争议部分外，合同其余部分继续履行。</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十五、违约终止合同</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甲方在乙方违约的情况下，如果：</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15.1.1 如果乙方未能履行合同规定的其他义务，乙方在收到甲方发出的违约通知后15天内，或经甲方书面认可延长的时间内未能纠正其过失。甲方可向乙方发出书面通知，终止部分或全部合同。在这种情况下，并不影响甲方向乙方提出的索赔。</w:t>
      </w:r>
    </w:p>
    <w:p>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在甲方根据上述第16.1条规定，终止了全部或部分合同，甲方可以依其认为适当的条件和方法购买与未履行类似的服务，乙方应对购买类似服务所超出的费用负责。而且乙方还应继续执行合同中未终止的部分。</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十六、转包和分包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甲方不允许乙方将本项目转包给任何第三方。否则，甲方有权终止合同，乙方的履约保证金将不予退还。转包造成甲方损失的，乙方应承担相应赔偿责任，从到期的合同款中扣除。</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16.2 未经甲方同意，乙方也不得采用分包的形式履行合同，否则，甲方有权终止合同，乙方的履约保证金将不予退还。分包造成甲方损失的，乙方应承担相应赔偿责任，从合同款中扣除。</w:t>
      </w:r>
    </w:p>
    <w:p>
      <w:pPr>
        <w:adjustRightInd w:val="0"/>
        <w:snapToGrid w:val="0"/>
        <w:spacing w:line="360" w:lineRule="auto"/>
        <w:ind w:firstLine="482" w:firstLineChars="200"/>
        <w:outlineLvl w:val="1"/>
        <w:rPr>
          <w:rFonts w:ascii="宋体" w:hAnsi="宋体" w:cs="宋体"/>
          <w:b/>
          <w:color w:val="000000" w:themeColor="text1"/>
          <w:sz w:val="24"/>
          <w:szCs w:val="24"/>
        </w:rPr>
      </w:pPr>
      <w:r>
        <w:rPr>
          <w:rFonts w:hint="eastAsia" w:ascii="宋体" w:hAnsi="宋体" w:cs="宋体"/>
          <w:b/>
          <w:color w:val="000000" w:themeColor="text1"/>
          <w:sz w:val="24"/>
          <w:szCs w:val="24"/>
        </w:rPr>
        <w:t xml:space="preserve">十七、其他 </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本项目招标文件和乙方的投标文件中（以及投标时承诺）被甲方认可的部分为本合同的不可分割的组成部分，与本合同具有同样效力。</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17.2 乙方自行协调解决本项目实施过程中发生的各种矛盾，甲方不承担任何费用和责任，服务期不顺延；乙方已到项目现场踏勘以充分了解项目位置、情况、道路及任何其他影响承包价的情况，任何因忽视或误解项目情况而导致的索赔不被批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17.3 乙方在服务过程中必须确保安全，如造成各种人身伤害、财产损失或其他事故，均由乙方负责处理和经济赔偿，甲方不承担任何责任。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17.4 本合同中的未尽事宜，招标文件中有规定的，按招标文件中的规定处理；没有规定的，双方可协商后进行补充，以书面形式签订补充协议，补充协议与本合同具同等效力。本合同之附件均为本合同不可分割的组成部分，与本合同具有同等的法律效力。</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17.5 本合同期满后，乙方达到了约定管理目标且使用人反映良好，在招标时同等条件下，乙方拥有优先续约权。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17.6 合同修改：欲对合同条款进行任何改动，均须由甲、乙双方协商一致，并签署书面的合同修改书。若未协商一致并形成书面文件的，则继续履行本合同约定。</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17.7 合同期满本合同自然终止。双方如续订合同，应在本合同期满60日前向对方提出书面意见。</w:t>
      </w:r>
    </w:p>
    <w:p>
      <w:pPr>
        <w:adjustRightInd w:val="0"/>
        <w:snapToGrid w:val="0"/>
        <w:spacing w:line="360" w:lineRule="auto"/>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17.8 如因乙方未及时为秩序管理服务人员办理保险等劳动用工相关手续或违反相关规定的，责任均由乙方承担，与甲方无关。</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17.9本合同一式拾份，以中文书写，甲方执捌份、乙方执贰份，经甲、乙双方签字盖章后生效。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合同签订时间：</w:t>
      </w:r>
      <w:r>
        <w:rPr>
          <w:rFonts w:hint="eastAsia" w:ascii="宋体" w:hAnsi="宋体" w:cs="宋体"/>
          <w:color w:val="000000" w:themeColor="text1"/>
          <w:sz w:val="24"/>
          <w:szCs w:val="24"/>
          <w:u w:val="single"/>
        </w:rPr>
        <w:t>2022年   月   日</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签订地点：</w:t>
      </w:r>
      <w:r>
        <w:rPr>
          <w:rFonts w:hint="eastAsia" w:ascii="宋体" w:hAnsi="宋体" w:cs="宋体"/>
          <w:color w:val="000000" w:themeColor="text1"/>
          <w:sz w:val="24"/>
          <w:szCs w:val="24"/>
          <w:u w:val="single"/>
        </w:rPr>
        <w:t>盐城工业职业技术学院</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甲方：（盖章）：                              乙方：（盖章）：</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单位地址：                                  单位地址：</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法定代表人（签章）：                         法定代表人（签章）：</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委托代理人（签字）：                         委托代理人（签字）：</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电    话：                                   电    话：</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开户银行：                                   开户银行：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帐    号：                                   帐    号：</w:t>
      </w:r>
    </w:p>
    <w:p>
      <w:pPr>
        <w:pStyle w:val="32"/>
        <w:rPr>
          <w:color w:val="000000" w:themeColor="text1"/>
        </w:rPr>
      </w:pPr>
    </w:p>
    <w:p>
      <w:pPr>
        <w:pStyle w:val="32"/>
        <w:rPr>
          <w:color w:val="000000" w:themeColor="text1"/>
        </w:rPr>
      </w:pPr>
    </w:p>
    <w:p>
      <w:pPr>
        <w:pStyle w:val="32"/>
        <w:rPr>
          <w:color w:val="000000" w:themeColor="text1"/>
        </w:rPr>
      </w:pPr>
    </w:p>
    <w:p>
      <w:pPr>
        <w:pStyle w:val="32"/>
        <w:rPr>
          <w:color w:val="000000" w:themeColor="text1"/>
        </w:rPr>
      </w:pPr>
    </w:p>
    <w:p>
      <w:pPr>
        <w:pStyle w:val="32"/>
        <w:rPr>
          <w:color w:val="000000" w:themeColor="text1"/>
        </w:rPr>
      </w:pPr>
    </w:p>
    <w:p>
      <w:pPr>
        <w:pStyle w:val="32"/>
        <w:rPr>
          <w:color w:val="000000" w:themeColor="text1"/>
        </w:rPr>
      </w:pPr>
    </w:p>
    <w:p>
      <w:pPr>
        <w:pStyle w:val="32"/>
        <w:rPr>
          <w:color w:val="000000" w:themeColor="text1"/>
        </w:rPr>
      </w:pPr>
    </w:p>
    <w:p>
      <w:pPr>
        <w:pStyle w:val="32"/>
        <w:rPr>
          <w:color w:val="000000" w:themeColor="text1"/>
        </w:rPr>
      </w:pPr>
    </w:p>
    <w:p>
      <w:pPr>
        <w:pStyle w:val="32"/>
        <w:rPr>
          <w:color w:val="000000" w:themeColor="text1"/>
        </w:rPr>
      </w:pPr>
    </w:p>
    <w:p>
      <w:pPr>
        <w:pStyle w:val="32"/>
        <w:rPr>
          <w:color w:val="000000" w:themeColor="text1"/>
        </w:rPr>
      </w:pPr>
    </w:p>
    <w:p>
      <w:pPr>
        <w:pStyle w:val="32"/>
        <w:rPr>
          <w:color w:val="000000" w:themeColor="text1"/>
        </w:rPr>
      </w:pPr>
    </w:p>
    <w:p>
      <w:pPr>
        <w:pStyle w:val="32"/>
        <w:rPr>
          <w:color w:val="000000" w:themeColor="text1"/>
        </w:rPr>
      </w:pPr>
    </w:p>
    <w:p>
      <w:pPr>
        <w:pStyle w:val="32"/>
        <w:rPr>
          <w:color w:val="000000" w:themeColor="text1"/>
        </w:rPr>
      </w:pPr>
    </w:p>
    <w:p>
      <w:pPr>
        <w:pStyle w:val="32"/>
        <w:rPr>
          <w:color w:val="000000" w:themeColor="text1"/>
        </w:rPr>
      </w:pPr>
    </w:p>
    <w:p>
      <w:pPr>
        <w:pStyle w:val="32"/>
        <w:rPr>
          <w:color w:val="000000" w:themeColor="text1"/>
        </w:rPr>
      </w:pPr>
    </w:p>
    <w:p>
      <w:pPr>
        <w:pStyle w:val="33"/>
        <w:spacing w:line="360" w:lineRule="auto"/>
        <w:outlineLvl w:val="0"/>
        <w:rPr>
          <w:rStyle w:val="43"/>
          <w:rFonts w:hint="eastAsia" w:ascii="宋体" w:hAnsi="宋体" w:eastAsia="宋体" w:cs="宋体"/>
          <w:b/>
          <w:color w:val="000000" w:themeColor="text1"/>
          <w:sz w:val="44"/>
        </w:rPr>
      </w:pPr>
    </w:p>
    <w:p>
      <w:pPr>
        <w:rPr>
          <w:rStyle w:val="43"/>
          <w:rFonts w:hint="eastAsia" w:ascii="宋体" w:hAnsi="宋体" w:eastAsia="宋体" w:cs="宋体"/>
          <w:b/>
          <w:color w:val="000000" w:themeColor="text1"/>
          <w:sz w:val="44"/>
        </w:rPr>
      </w:pPr>
    </w:p>
    <w:p>
      <w:pPr>
        <w:pStyle w:val="2"/>
        <w:rPr>
          <w:rStyle w:val="43"/>
          <w:rFonts w:hint="eastAsia" w:ascii="宋体" w:hAnsi="宋体" w:eastAsia="宋体" w:cs="宋体"/>
          <w:b/>
          <w:color w:val="000000" w:themeColor="text1"/>
          <w:sz w:val="44"/>
        </w:rPr>
      </w:pPr>
    </w:p>
    <w:p>
      <w:pPr>
        <w:pStyle w:val="2"/>
        <w:rPr>
          <w:rStyle w:val="43"/>
          <w:rFonts w:hint="eastAsia" w:ascii="宋体" w:hAnsi="宋体" w:eastAsia="宋体" w:cs="宋体"/>
          <w:b/>
          <w:color w:val="000000" w:themeColor="text1"/>
          <w:sz w:val="44"/>
        </w:rPr>
      </w:pPr>
    </w:p>
    <w:p>
      <w:pPr>
        <w:pStyle w:val="33"/>
        <w:spacing w:line="360" w:lineRule="auto"/>
        <w:outlineLvl w:val="0"/>
        <w:rPr>
          <w:rStyle w:val="43"/>
          <w:rFonts w:ascii="宋体" w:hAnsi="宋体" w:eastAsia="宋体" w:cs="宋体"/>
          <w:b/>
          <w:color w:val="000000" w:themeColor="text1"/>
          <w:sz w:val="24"/>
          <w:szCs w:val="24"/>
        </w:rPr>
      </w:pPr>
      <w:r>
        <w:rPr>
          <w:rStyle w:val="43"/>
          <w:rFonts w:hint="eastAsia" w:ascii="宋体" w:hAnsi="宋体" w:eastAsia="宋体" w:cs="宋体"/>
          <w:b/>
          <w:color w:val="000000" w:themeColor="text1"/>
          <w:sz w:val="44"/>
        </w:rPr>
        <w:t>第四章 项目需求</w:t>
      </w:r>
      <w:bookmarkEnd w:id="3"/>
    </w:p>
    <w:p>
      <w:pPr>
        <w:spacing w:line="440" w:lineRule="exact"/>
        <w:ind w:firstLine="482" w:firstLineChars="200"/>
        <w:rPr>
          <w:rFonts w:asciiTheme="minorEastAsia" w:hAnsiTheme="minorEastAsia"/>
          <w:b/>
          <w:bCs/>
          <w:color w:val="000000" w:themeColor="text1"/>
          <w:sz w:val="24"/>
        </w:rPr>
      </w:pPr>
      <w:bookmarkStart w:id="4" w:name="_Toc32259"/>
      <w:r>
        <w:rPr>
          <w:rFonts w:hint="eastAsia" w:asciiTheme="minorEastAsia" w:hAnsiTheme="minorEastAsia"/>
          <w:b/>
          <w:bCs/>
          <w:color w:val="000000" w:themeColor="text1"/>
          <w:sz w:val="24"/>
        </w:rPr>
        <w:t>一、项目概况</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盐城工业职业技术学院是一所省属公办普通高等学校，学校校区坐落在盐城市职教园区（盐城市解放南路285号）。学院占地588亩，在校师生员工9000多人，建筑面积21多万平方米。</w:t>
      </w:r>
    </w:p>
    <w:p>
      <w:pPr>
        <w:spacing w:line="440" w:lineRule="exact"/>
        <w:ind w:firstLine="480" w:firstLineChars="200"/>
        <w:rPr>
          <w:rFonts w:ascii="宋体" w:hAnsi="宋体"/>
          <w:color w:val="000000" w:themeColor="text1"/>
          <w:sz w:val="24"/>
        </w:rPr>
      </w:pPr>
      <w:r>
        <w:rPr>
          <w:rFonts w:hint="eastAsia" w:asciiTheme="minorEastAsia" w:hAnsiTheme="minorEastAsia"/>
          <w:color w:val="000000" w:themeColor="text1"/>
          <w:sz w:val="24"/>
        </w:rPr>
        <w:t>学生公寓包括：1-9号楼（5个组团），留学生公寓，教师值班室；约1445间宿舍，约8410个床位。物业服务内容包括学生宿舍物业管理、宿舍保洁、</w:t>
      </w:r>
      <w:r>
        <w:rPr>
          <w:rFonts w:asciiTheme="minorEastAsia" w:hAnsiTheme="minorEastAsia"/>
          <w:color w:val="000000" w:themeColor="text1"/>
          <w:sz w:val="24"/>
        </w:rPr>
        <w:t>教师值班室保洁</w:t>
      </w:r>
      <w:r>
        <w:rPr>
          <w:rFonts w:hint="eastAsia" w:asciiTheme="minorEastAsia" w:hAnsiTheme="minorEastAsia"/>
          <w:color w:val="000000" w:themeColor="text1"/>
          <w:sz w:val="24"/>
        </w:rPr>
        <w:t>。此期委托管理为服务、管理、育人三位一体全方位的管理，乙方必须按甲方的要求及投标书(投标书为合同附件)所承诺和确立的管理服务项目及质量标准实施管理。在物业管理区域内，乙方提供的物业管理服务包括以下内容：1、物业共用部位的维修养护；2、服务、管理、育人氛围营造；3、物业共用部位和相关场地的清洁卫生服务；4、车辆停放管理服务；5、公共秩序维护、安全防范、消防等事项的协助管理；6、装饰装修协助管理服务；7、学生公寓区内宿舍检查与日常管理、教师值班室卫生清洁和日常管理；8、物业档案资料管理；</w:t>
      </w:r>
      <w:r>
        <w:rPr>
          <w:rFonts w:asciiTheme="minorEastAsia" w:hAnsiTheme="minorEastAsia"/>
          <w:color w:val="000000" w:themeColor="text1"/>
          <w:sz w:val="24"/>
        </w:rPr>
        <w:t>9</w:t>
      </w:r>
      <w:r>
        <w:rPr>
          <w:rFonts w:hint="eastAsia" w:asciiTheme="minorEastAsia" w:hAnsiTheme="minorEastAsia"/>
          <w:color w:val="000000" w:themeColor="text1"/>
          <w:sz w:val="24"/>
        </w:rPr>
        <w:t>、合同与标书约定的其他物业服</w:t>
      </w:r>
      <w:r>
        <w:rPr>
          <w:rFonts w:hint="eastAsia" w:ascii="宋体" w:hAnsi="宋体"/>
          <w:color w:val="000000" w:themeColor="text1"/>
          <w:sz w:val="24"/>
        </w:rPr>
        <w:t>务。</w:t>
      </w:r>
    </w:p>
    <w:p>
      <w:pPr>
        <w:spacing w:line="440" w:lineRule="exact"/>
        <w:ind w:firstLine="560" w:firstLineChars="200"/>
        <w:rPr>
          <w:rFonts w:asciiTheme="minorEastAsia" w:hAnsiTheme="minorEastAsia"/>
          <w:b/>
          <w:bCs/>
          <w:color w:val="000000" w:themeColor="text1"/>
          <w:sz w:val="24"/>
        </w:rPr>
      </w:pPr>
      <w:r>
        <w:rPr>
          <w:rFonts w:hint="eastAsia" w:ascii="黑体" w:hAnsi="宋体" w:eastAsia="黑体"/>
          <w:color w:val="000000" w:themeColor="text1"/>
          <w:sz w:val="28"/>
          <w:szCs w:val="28"/>
        </w:rPr>
        <w:t>二、</w:t>
      </w:r>
      <w:r>
        <w:rPr>
          <w:rFonts w:hint="eastAsia" w:asciiTheme="minorEastAsia" w:hAnsiTheme="minorEastAsia"/>
          <w:b/>
          <w:bCs/>
          <w:color w:val="000000" w:themeColor="text1"/>
          <w:sz w:val="24"/>
        </w:rPr>
        <w:t>物业服务人员配备要求</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915"/>
        <w:gridCol w:w="1515"/>
        <w:gridCol w:w="826"/>
        <w:gridCol w:w="1949"/>
        <w:gridCol w:w="102"/>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213"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岗位（工作）名称</w:t>
            </w:r>
          </w:p>
        </w:tc>
        <w:tc>
          <w:tcPr>
            <w:tcW w:w="915"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人数</w:t>
            </w:r>
          </w:p>
        </w:tc>
        <w:tc>
          <w:tcPr>
            <w:tcW w:w="1515"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学历要求</w:t>
            </w:r>
          </w:p>
        </w:tc>
        <w:tc>
          <w:tcPr>
            <w:tcW w:w="826"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性别</w:t>
            </w:r>
          </w:p>
        </w:tc>
        <w:tc>
          <w:tcPr>
            <w:tcW w:w="1949"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年龄要求</w:t>
            </w:r>
          </w:p>
        </w:tc>
        <w:tc>
          <w:tcPr>
            <w:tcW w:w="2870" w:type="dxa"/>
            <w:gridSpan w:val="2"/>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13"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项目负责人</w:t>
            </w:r>
          </w:p>
        </w:tc>
        <w:tc>
          <w:tcPr>
            <w:tcW w:w="915"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1</w:t>
            </w:r>
          </w:p>
        </w:tc>
        <w:tc>
          <w:tcPr>
            <w:tcW w:w="1515"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专科及以上</w:t>
            </w:r>
          </w:p>
        </w:tc>
        <w:tc>
          <w:tcPr>
            <w:tcW w:w="826"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不</w:t>
            </w:r>
            <w:r>
              <w:rPr>
                <w:rFonts w:ascii="宋体" w:hAnsi="宋体" w:cs="Times New Roman"/>
                <w:color w:val="000000" w:themeColor="text1"/>
                <w:sz w:val="20"/>
                <w:szCs w:val="20"/>
              </w:rPr>
              <w:t>限</w:t>
            </w:r>
          </w:p>
        </w:tc>
        <w:tc>
          <w:tcPr>
            <w:tcW w:w="1949" w:type="dxa"/>
            <w:vAlign w:val="center"/>
          </w:tcPr>
          <w:p>
            <w:pPr>
              <w:widowControl/>
              <w:spacing w:line="400" w:lineRule="exact"/>
              <w:rPr>
                <w:rFonts w:ascii="宋体" w:hAnsi="宋体" w:cs="Times New Roman"/>
                <w:color w:val="000000" w:themeColor="text1"/>
                <w:sz w:val="20"/>
                <w:szCs w:val="20"/>
              </w:rPr>
            </w:pPr>
            <w:r>
              <w:rPr>
                <w:rFonts w:hint="eastAsia" w:ascii="宋体" w:hAnsi="宋体" w:cs="Times New Roman"/>
                <w:color w:val="000000" w:themeColor="text1"/>
                <w:sz w:val="20"/>
                <w:szCs w:val="20"/>
              </w:rPr>
              <w:t>男性：</w:t>
            </w:r>
            <w:r>
              <w:rPr>
                <w:rFonts w:ascii="宋体" w:hAnsi="宋体" w:cs="Times New Roman"/>
                <w:color w:val="000000" w:themeColor="text1"/>
                <w:sz w:val="20"/>
                <w:szCs w:val="20"/>
              </w:rPr>
              <w:t>55</w:t>
            </w:r>
            <w:r>
              <w:rPr>
                <w:rFonts w:hint="eastAsia" w:ascii="宋体" w:hAnsi="宋体" w:cs="Times New Roman"/>
                <w:color w:val="000000" w:themeColor="text1"/>
                <w:sz w:val="20"/>
                <w:szCs w:val="20"/>
              </w:rPr>
              <w:t>周岁以下</w:t>
            </w:r>
          </w:p>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女性：</w:t>
            </w:r>
            <w:r>
              <w:rPr>
                <w:rFonts w:ascii="宋体" w:hAnsi="宋体" w:cs="Times New Roman"/>
                <w:color w:val="000000" w:themeColor="text1"/>
                <w:sz w:val="20"/>
                <w:szCs w:val="20"/>
              </w:rPr>
              <w:t>50</w:t>
            </w:r>
            <w:r>
              <w:rPr>
                <w:rFonts w:hint="eastAsia" w:ascii="宋体" w:hAnsi="宋体" w:cs="Times New Roman"/>
                <w:color w:val="000000" w:themeColor="text1"/>
                <w:sz w:val="20"/>
                <w:szCs w:val="20"/>
              </w:rPr>
              <w:t>周岁以下</w:t>
            </w:r>
          </w:p>
        </w:tc>
        <w:tc>
          <w:tcPr>
            <w:tcW w:w="2870" w:type="dxa"/>
            <w:gridSpan w:val="2"/>
            <w:vAlign w:val="center"/>
          </w:tcPr>
          <w:p>
            <w:pPr>
              <w:widowControl w:val="0"/>
              <w:spacing w:line="240" w:lineRule="exact"/>
              <w:rPr>
                <w:rFonts w:ascii="宋体" w:hAnsi="宋体" w:cs="Times New Roman"/>
                <w:color w:val="000000" w:themeColor="text1"/>
                <w:sz w:val="20"/>
                <w:szCs w:val="20"/>
              </w:rPr>
            </w:pPr>
            <w:r>
              <w:rPr>
                <w:rFonts w:hint="eastAsia" w:ascii="宋体" w:hAnsi="宋体" w:cs="Times New Roman"/>
                <w:color w:val="000000" w:themeColor="text1"/>
                <w:sz w:val="20"/>
                <w:szCs w:val="20"/>
              </w:rPr>
              <w:t>协助学校做好信息化管理工作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13"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宿管人员</w:t>
            </w:r>
          </w:p>
        </w:tc>
        <w:tc>
          <w:tcPr>
            <w:tcW w:w="915"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24</w:t>
            </w:r>
          </w:p>
        </w:tc>
        <w:tc>
          <w:tcPr>
            <w:tcW w:w="1515"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高中及以上</w:t>
            </w:r>
          </w:p>
        </w:tc>
        <w:tc>
          <w:tcPr>
            <w:tcW w:w="826" w:type="dxa"/>
            <w:vMerge w:val="restart"/>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不</w:t>
            </w:r>
            <w:r>
              <w:rPr>
                <w:rFonts w:ascii="宋体" w:hAnsi="宋体" w:cs="Times New Roman"/>
                <w:color w:val="000000" w:themeColor="text1"/>
                <w:sz w:val="20"/>
                <w:szCs w:val="20"/>
              </w:rPr>
              <w:t>限</w:t>
            </w:r>
          </w:p>
        </w:tc>
        <w:tc>
          <w:tcPr>
            <w:tcW w:w="1949"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男性：</w:t>
            </w:r>
            <w:r>
              <w:rPr>
                <w:rFonts w:ascii="宋体" w:hAnsi="宋体" w:cs="Times New Roman"/>
                <w:color w:val="000000" w:themeColor="text1"/>
                <w:sz w:val="20"/>
                <w:szCs w:val="20"/>
              </w:rPr>
              <w:t>55</w:t>
            </w:r>
            <w:r>
              <w:rPr>
                <w:rFonts w:hint="eastAsia" w:ascii="宋体" w:hAnsi="宋体" w:cs="Times New Roman"/>
                <w:color w:val="000000" w:themeColor="text1"/>
                <w:sz w:val="20"/>
                <w:szCs w:val="20"/>
              </w:rPr>
              <w:t>周岁以下</w:t>
            </w:r>
          </w:p>
          <w:p>
            <w:pPr>
              <w:widowControl/>
              <w:spacing w:line="400" w:lineRule="exact"/>
              <w:jc w:val="left"/>
              <w:rPr>
                <w:rFonts w:ascii="宋体" w:hAnsi="宋体" w:cs="Times New Roman"/>
                <w:color w:val="000000" w:themeColor="text1"/>
                <w:sz w:val="20"/>
                <w:szCs w:val="20"/>
              </w:rPr>
            </w:pPr>
            <w:r>
              <w:rPr>
                <w:rFonts w:hint="eastAsia" w:ascii="宋体" w:hAnsi="宋体" w:cs="Times New Roman"/>
                <w:color w:val="000000" w:themeColor="text1"/>
                <w:sz w:val="20"/>
                <w:szCs w:val="20"/>
              </w:rPr>
              <w:t>女性：</w:t>
            </w:r>
            <w:r>
              <w:rPr>
                <w:rFonts w:ascii="宋体" w:hAnsi="宋体" w:cs="Times New Roman"/>
                <w:color w:val="000000" w:themeColor="text1"/>
                <w:sz w:val="20"/>
                <w:szCs w:val="20"/>
              </w:rPr>
              <w:t>50</w:t>
            </w:r>
            <w:r>
              <w:rPr>
                <w:rFonts w:hint="eastAsia" w:ascii="宋体" w:hAnsi="宋体" w:cs="Times New Roman"/>
                <w:color w:val="000000" w:themeColor="text1"/>
                <w:sz w:val="20"/>
                <w:szCs w:val="20"/>
              </w:rPr>
              <w:t>周岁以下</w:t>
            </w:r>
          </w:p>
        </w:tc>
        <w:tc>
          <w:tcPr>
            <w:tcW w:w="2870" w:type="dxa"/>
            <w:gridSpan w:val="2"/>
            <w:vMerge w:val="restart"/>
            <w:vAlign w:val="center"/>
          </w:tcPr>
          <w:p>
            <w:pPr>
              <w:widowControl w:val="0"/>
              <w:spacing w:line="400" w:lineRule="exact"/>
              <w:rPr>
                <w:rFonts w:ascii="宋体" w:hAnsi="宋体" w:cs="Times New Roman"/>
                <w:color w:val="000000" w:themeColor="text1"/>
                <w:sz w:val="20"/>
                <w:szCs w:val="20"/>
              </w:rPr>
            </w:pPr>
            <w:r>
              <w:rPr>
                <w:rFonts w:hint="eastAsia" w:ascii="宋体" w:hAnsi="宋体" w:cs="Times New Roman"/>
                <w:color w:val="000000" w:themeColor="text1"/>
                <w:sz w:val="20"/>
                <w:szCs w:val="20"/>
              </w:rPr>
              <w:t>女</w:t>
            </w:r>
            <w:r>
              <w:rPr>
                <w:rFonts w:ascii="宋体" w:hAnsi="宋体" w:cs="Times New Roman"/>
                <w:color w:val="000000" w:themeColor="text1"/>
                <w:sz w:val="20"/>
                <w:szCs w:val="20"/>
              </w:rPr>
              <w:t>生宿舍</w:t>
            </w:r>
            <w:r>
              <w:rPr>
                <w:rFonts w:hint="eastAsia" w:ascii="宋体" w:hAnsi="宋体" w:cs="Times New Roman"/>
                <w:color w:val="000000" w:themeColor="text1"/>
                <w:sz w:val="20"/>
                <w:szCs w:val="20"/>
              </w:rPr>
              <w:t>楼仅限</w:t>
            </w:r>
            <w:r>
              <w:rPr>
                <w:rFonts w:ascii="宋体" w:hAnsi="宋体" w:cs="Times New Roman"/>
                <w:color w:val="000000" w:themeColor="text1"/>
                <w:sz w:val="20"/>
                <w:szCs w:val="20"/>
              </w:rPr>
              <w:t>女性</w:t>
            </w:r>
            <w:r>
              <w:rPr>
                <w:rFonts w:hint="eastAsia" w:ascii="宋体" w:hAnsi="宋体" w:cs="Times New Roman"/>
                <w:color w:val="000000" w:themeColor="text1"/>
                <w:sz w:val="20"/>
                <w:szCs w:val="20"/>
              </w:rPr>
              <w:t>宿</w:t>
            </w:r>
            <w:r>
              <w:rPr>
                <w:rFonts w:ascii="宋体" w:hAnsi="宋体" w:cs="Times New Roman"/>
                <w:color w:val="000000" w:themeColor="text1"/>
                <w:sz w:val="20"/>
                <w:szCs w:val="20"/>
              </w:rPr>
              <w:t>管人员，</w:t>
            </w:r>
            <w:r>
              <w:rPr>
                <w:rFonts w:hint="eastAsia" w:ascii="宋体" w:hAnsi="宋体" w:cs="Times New Roman"/>
                <w:color w:val="000000" w:themeColor="text1"/>
                <w:sz w:val="20"/>
                <w:szCs w:val="20"/>
              </w:rPr>
              <w:t>留学生公寓宿管人员4人须具有简单英语沟通能力，身体健康，体检合格</w:t>
            </w:r>
            <w:r>
              <w:rPr>
                <w:rFonts w:ascii="宋体" w:hAnsi="宋体" w:cs="Times New Roman"/>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13"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保洁人员</w:t>
            </w:r>
          </w:p>
        </w:tc>
        <w:tc>
          <w:tcPr>
            <w:tcW w:w="915" w:type="dxa"/>
            <w:vAlign w:val="center"/>
          </w:tcPr>
          <w:p>
            <w:pPr>
              <w:widowControl/>
              <w:spacing w:line="400" w:lineRule="exact"/>
              <w:jc w:val="center"/>
              <w:rPr>
                <w:rFonts w:ascii="宋体" w:hAnsi="宋体" w:cs="Times New Roman"/>
                <w:b/>
                <w:bCs/>
                <w:color w:val="000000" w:themeColor="text1"/>
                <w:sz w:val="20"/>
                <w:szCs w:val="20"/>
              </w:rPr>
            </w:pPr>
            <w:r>
              <w:rPr>
                <w:rFonts w:ascii="宋体" w:hAnsi="宋体" w:cs="Times New Roman"/>
                <w:color w:val="000000" w:themeColor="text1"/>
                <w:sz w:val="20"/>
                <w:szCs w:val="20"/>
              </w:rPr>
              <w:t>10</w:t>
            </w:r>
          </w:p>
        </w:tc>
        <w:tc>
          <w:tcPr>
            <w:tcW w:w="1515" w:type="dxa"/>
            <w:vAlign w:val="center"/>
          </w:tcPr>
          <w:p>
            <w:pPr>
              <w:widowControl/>
              <w:spacing w:line="40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初中及以上</w:t>
            </w:r>
          </w:p>
        </w:tc>
        <w:tc>
          <w:tcPr>
            <w:tcW w:w="826" w:type="dxa"/>
            <w:vMerge w:val="continue"/>
            <w:vAlign w:val="center"/>
          </w:tcPr>
          <w:p>
            <w:pPr>
              <w:widowControl/>
              <w:spacing w:line="400" w:lineRule="exact"/>
              <w:jc w:val="center"/>
              <w:rPr>
                <w:rFonts w:ascii="宋体" w:hAnsi="宋体" w:cs="Times New Roman"/>
                <w:color w:val="000000" w:themeColor="text1"/>
                <w:sz w:val="20"/>
                <w:szCs w:val="20"/>
              </w:rPr>
            </w:pPr>
          </w:p>
        </w:tc>
        <w:tc>
          <w:tcPr>
            <w:tcW w:w="1949" w:type="dxa"/>
            <w:vAlign w:val="center"/>
          </w:tcPr>
          <w:p>
            <w:pPr>
              <w:widowControl w:val="0"/>
              <w:spacing w:line="400" w:lineRule="exact"/>
              <w:jc w:val="left"/>
              <w:rPr>
                <w:rFonts w:ascii="宋体" w:hAnsi="宋体" w:cs="Times New Roman"/>
                <w:color w:val="000000" w:themeColor="text1"/>
                <w:sz w:val="20"/>
                <w:szCs w:val="20"/>
              </w:rPr>
            </w:pPr>
            <w:r>
              <w:rPr>
                <w:rFonts w:hint="eastAsia" w:ascii="宋体" w:hAnsi="宋体" w:cs="Times New Roman"/>
                <w:color w:val="000000" w:themeColor="text1"/>
                <w:sz w:val="20"/>
                <w:szCs w:val="20"/>
              </w:rPr>
              <w:t>男性：</w:t>
            </w:r>
            <w:r>
              <w:rPr>
                <w:rFonts w:ascii="宋体" w:hAnsi="宋体" w:cs="Times New Roman"/>
                <w:color w:val="000000" w:themeColor="text1"/>
                <w:sz w:val="20"/>
                <w:szCs w:val="20"/>
              </w:rPr>
              <w:t>55</w:t>
            </w:r>
            <w:r>
              <w:rPr>
                <w:rFonts w:hint="eastAsia" w:ascii="宋体" w:hAnsi="宋体" w:cs="Times New Roman"/>
                <w:color w:val="000000" w:themeColor="text1"/>
                <w:sz w:val="20"/>
                <w:szCs w:val="20"/>
              </w:rPr>
              <w:t>周岁以下</w:t>
            </w:r>
          </w:p>
          <w:p>
            <w:pPr>
              <w:widowControl w:val="0"/>
              <w:spacing w:line="400" w:lineRule="exact"/>
              <w:jc w:val="left"/>
              <w:rPr>
                <w:rFonts w:ascii="宋体" w:hAnsi="宋体" w:cs="Times New Roman"/>
                <w:color w:val="000000" w:themeColor="text1"/>
                <w:sz w:val="20"/>
                <w:szCs w:val="20"/>
              </w:rPr>
            </w:pPr>
            <w:r>
              <w:rPr>
                <w:rFonts w:hint="eastAsia" w:ascii="宋体" w:hAnsi="宋体" w:cs="Times New Roman"/>
                <w:color w:val="000000" w:themeColor="text1"/>
                <w:sz w:val="20"/>
                <w:szCs w:val="20"/>
              </w:rPr>
              <w:t>女性：5</w:t>
            </w:r>
            <w:r>
              <w:rPr>
                <w:rFonts w:ascii="宋体" w:hAnsi="宋体" w:cs="Times New Roman"/>
                <w:color w:val="000000" w:themeColor="text1"/>
                <w:sz w:val="20"/>
                <w:szCs w:val="20"/>
              </w:rPr>
              <w:t>5</w:t>
            </w:r>
            <w:r>
              <w:rPr>
                <w:rFonts w:hint="eastAsia" w:ascii="宋体" w:hAnsi="宋体" w:cs="Times New Roman"/>
                <w:color w:val="000000" w:themeColor="text1"/>
                <w:sz w:val="20"/>
                <w:szCs w:val="20"/>
              </w:rPr>
              <w:t>周岁以下</w:t>
            </w:r>
          </w:p>
        </w:tc>
        <w:tc>
          <w:tcPr>
            <w:tcW w:w="2870" w:type="dxa"/>
            <w:gridSpan w:val="2"/>
            <w:vMerge w:val="continue"/>
            <w:vAlign w:val="center"/>
          </w:tcPr>
          <w:p>
            <w:pPr>
              <w:widowControl/>
              <w:spacing w:line="400" w:lineRule="exact"/>
              <w:jc w:val="center"/>
              <w:rPr>
                <w:rFonts w:ascii="宋体" w:hAnsi="宋体" w:cs="Times New Roman"/>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13" w:type="dxa"/>
            <w:vAlign w:val="center"/>
          </w:tcPr>
          <w:p>
            <w:pPr>
              <w:widowControl/>
              <w:spacing w:line="44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小计</w:t>
            </w:r>
          </w:p>
        </w:tc>
        <w:tc>
          <w:tcPr>
            <w:tcW w:w="915" w:type="dxa"/>
            <w:vAlign w:val="center"/>
          </w:tcPr>
          <w:p>
            <w:pPr>
              <w:widowControl/>
              <w:spacing w:line="44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35</w:t>
            </w:r>
          </w:p>
        </w:tc>
        <w:tc>
          <w:tcPr>
            <w:tcW w:w="7160" w:type="dxa"/>
            <w:gridSpan w:val="5"/>
            <w:vAlign w:val="center"/>
          </w:tcPr>
          <w:p>
            <w:pPr>
              <w:widowControl/>
              <w:spacing w:line="440" w:lineRule="exact"/>
              <w:jc w:val="center"/>
              <w:rPr>
                <w:rFonts w:ascii="宋体" w:hAnsi="宋体" w:cs="Times New Roman"/>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213" w:type="dxa"/>
            <w:vAlign w:val="center"/>
          </w:tcPr>
          <w:p>
            <w:pPr>
              <w:widowControl/>
              <w:spacing w:line="440" w:lineRule="exact"/>
              <w:jc w:val="center"/>
              <w:rPr>
                <w:rFonts w:ascii="宋体" w:hAnsi="宋体" w:cs="Times New Roman"/>
                <w:color w:val="000000" w:themeColor="text1"/>
                <w:sz w:val="20"/>
                <w:szCs w:val="20"/>
              </w:rPr>
            </w:pPr>
            <w:r>
              <w:rPr>
                <w:rFonts w:hint="eastAsia" w:ascii="宋体" w:hAnsi="宋体" w:cs="Times New Roman"/>
                <w:color w:val="000000" w:themeColor="text1"/>
                <w:sz w:val="20"/>
                <w:szCs w:val="20"/>
              </w:rPr>
              <w:t>宿管服务、保洁服务范围</w:t>
            </w:r>
          </w:p>
        </w:tc>
        <w:tc>
          <w:tcPr>
            <w:tcW w:w="5307" w:type="dxa"/>
            <w:gridSpan w:val="5"/>
            <w:vAlign w:val="center"/>
          </w:tcPr>
          <w:p>
            <w:pPr>
              <w:widowControl/>
              <w:spacing w:line="440" w:lineRule="exact"/>
              <w:jc w:val="left"/>
              <w:rPr>
                <w:rFonts w:ascii="宋体" w:hAnsi="宋体" w:cs="Times New Roman"/>
                <w:color w:val="000000" w:themeColor="text1"/>
                <w:sz w:val="20"/>
                <w:szCs w:val="20"/>
              </w:rPr>
            </w:pPr>
            <w:r>
              <w:rPr>
                <w:rFonts w:hint="eastAsia" w:ascii="宋体" w:hAnsi="宋体" w:cs="Times New Roman"/>
                <w:color w:val="000000" w:themeColor="text1"/>
                <w:sz w:val="20"/>
                <w:szCs w:val="20"/>
              </w:rPr>
              <w:t>第一至第九学生公寓、留学生公寓、教师值班室的宿管与公寓内公共场所的管理、保洁等工作。</w:t>
            </w:r>
          </w:p>
        </w:tc>
        <w:tc>
          <w:tcPr>
            <w:tcW w:w="2768" w:type="dxa"/>
            <w:vAlign w:val="center"/>
          </w:tcPr>
          <w:p>
            <w:pPr>
              <w:widowControl/>
              <w:spacing w:line="440" w:lineRule="exact"/>
              <w:jc w:val="left"/>
              <w:rPr>
                <w:rFonts w:ascii="宋体" w:hAnsi="宋体" w:cs="Times New Roman"/>
                <w:color w:val="000000" w:themeColor="text1"/>
                <w:sz w:val="20"/>
                <w:szCs w:val="20"/>
              </w:rPr>
            </w:pPr>
            <w:r>
              <w:rPr>
                <w:rFonts w:hint="eastAsia" w:ascii="宋体" w:hAnsi="宋体" w:cs="Times New Roman"/>
                <w:color w:val="000000" w:themeColor="text1"/>
                <w:sz w:val="20"/>
                <w:szCs w:val="20"/>
              </w:rPr>
              <w:t>由投标人根据宿管、保洁工作量配备人员与设备</w:t>
            </w:r>
          </w:p>
        </w:tc>
      </w:tr>
    </w:tbl>
    <w:p>
      <w:pPr>
        <w:spacing w:line="440" w:lineRule="exact"/>
        <w:outlineLvl w:val="1"/>
        <w:rPr>
          <w:rFonts w:ascii="宋体" w:hAnsi="宋体" w:cs="宋体"/>
          <w:color w:val="000000" w:themeColor="text1"/>
          <w:sz w:val="24"/>
        </w:rPr>
      </w:pPr>
      <w:r>
        <w:rPr>
          <w:rFonts w:hint="eastAsia" w:ascii="宋体" w:hAnsi="宋体" w:cs="宋体"/>
          <w:color w:val="000000" w:themeColor="text1"/>
          <w:sz w:val="24"/>
        </w:rPr>
        <w:t>备注:1,.宿舍管理员岗位每班2人（包括节假日）。周六、周日、法定节假日期间每天必须保证2名管理人员、1名保洁员同时在岗。</w:t>
      </w:r>
    </w:p>
    <w:p>
      <w:pPr>
        <w:spacing w:line="440" w:lineRule="exact"/>
        <w:outlineLvl w:val="1"/>
        <w:rPr>
          <w:rFonts w:ascii="宋体" w:hAnsi="宋体" w:cs="宋体"/>
          <w:color w:val="000000" w:themeColor="text1"/>
          <w:sz w:val="24"/>
        </w:rPr>
      </w:pPr>
      <w:r>
        <w:rPr>
          <w:rFonts w:hint="eastAsia" w:ascii="宋体" w:hAnsi="宋体" w:cs="宋体"/>
          <w:color w:val="000000" w:themeColor="text1"/>
          <w:sz w:val="24"/>
        </w:rPr>
        <w:t>2.由于招标单位是学校，有寒暑假，人员使用上有弹性，但因工作需要，假期间仍需一定数量的工作人员，特别提醒投标人应充分做好调研，报价时在全年人员费用支出与企业利润等方面统筹考虑。</w:t>
      </w:r>
    </w:p>
    <w:p>
      <w:pPr>
        <w:spacing w:line="440" w:lineRule="exact"/>
        <w:outlineLvl w:val="1"/>
        <w:rPr>
          <w:rFonts w:ascii="宋体" w:hAnsi="宋体" w:cs="宋体"/>
          <w:color w:val="000000" w:themeColor="text1"/>
          <w:sz w:val="24"/>
        </w:rPr>
      </w:pPr>
      <w:r>
        <w:rPr>
          <w:rFonts w:hint="eastAsia" w:ascii="宋体" w:hAnsi="宋体" w:cs="宋体"/>
          <w:color w:val="000000" w:themeColor="text1"/>
          <w:sz w:val="24"/>
        </w:rPr>
        <w:t>3.学生正常在校期间，项目负责人须在校，必须根据上表配置所需服务人员，不得减少岗位人数，所有服务人员必须服从学校管理，节假日及特殊时期严格遵守岗位职责并承担一定的学校勤务工作，各岗位具体勤务工作由学校合理分工制定。</w:t>
      </w:r>
    </w:p>
    <w:p>
      <w:pPr>
        <w:spacing w:line="440" w:lineRule="exact"/>
        <w:ind w:firstLine="482" w:firstLineChars="200"/>
        <w:rPr>
          <w:rFonts w:asciiTheme="minorEastAsia" w:hAnsiTheme="minorEastAsia"/>
          <w:b/>
          <w:bCs/>
          <w:color w:val="000000" w:themeColor="text1"/>
          <w:sz w:val="24"/>
        </w:rPr>
      </w:pPr>
      <w:r>
        <w:rPr>
          <w:rFonts w:hint="eastAsia" w:asciiTheme="minorEastAsia" w:hAnsiTheme="minorEastAsia"/>
          <w:b/>
          <w:bCs/>
          <w:color w:val="000000" w:themeColor="text1"/>
          <w:sz w:val="24"/>
        </w:rPr>
        <w:t>三、项目要求</w:t>
      </w:r>
    </w:p>
    <w:p>
      <w:pPr>
        <w:spacing w:line="440" w:lineRule="exact"/>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1.宿管服务标准</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对学生宿舍实行24小时门卫值班制度；</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采取制度约束与学生自律相结合，并密切与学工部门的联系与沟通；</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按要求和标准做好宿舍楼区域内的卫生清扫与保洁工作；</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及时做好宿舍内的日常维修报修等工作。</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爱护宿舍公共财物，不准故意破坏、拆装或搬出；</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遵守作息时间，午休或熄灯后禁止高声喧哗、哄闹；</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禁止私拉电线，私接电源，禁止使用任何超规定负荷的电器；</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禁止在宿舍内以任何形式自炊，焚烧杂物；</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禁止在宿舍区内打架、斗殴、谩骂、酗酒、赌博、划拳、聚众哄闹；</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禁止在宿舍区内乱涂乱写，张贴及宣传不健康的物品、书画；</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严禁在宿舍楼内进行任何体育性质活动或举行任何性质的舞会；</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宿舍内禁止会客，留宿外人；有特殊情况者，须经管理人员允许，进出宿舍佩戴证件，离开宿舍关好门窗，切断电源；</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男生不得随意进入女生宿舍，女生不得进入男生宿舍，严禁留宿异性，学生接待来访者在值班室进行；</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严禁小商小贩和其他无关人员，出入学生宿舍区，对出入学生宿舍可疑人员及携带物品者，管理人员有权进行询问和检查；</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学生宿舍发生案件时，要做好现场保护工作，并即时报告当地公安部门和学校保卫处；</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学生放假或毕业时，宿舍中的公共财物须经管理人员检查后，方能离校；</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所有学生必须自觉遵守上述制度，服从管理。凡无理取闹、不听劝阻，妨碍管理人员正常工作，甚至以谩骂、报复等方式对待管理人员的学生，将从重进行处置。</w:t>
      </w:r>
    </w:p>
    <w:p>
      <w:pPr>
        <w:spacing w:line="440" w:lineRule="exact"/>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2.学生宿管服务要求</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熟悉并掌握各类应急预案的运作及处置。统一着装、执证上岗，行为举止得体，使用文明规范用语，</w:t>
      </w:r>
      <w:r>
        <w:rPr>
          <w:rFonts w:ascii="宋体" w:hAnsi="宋体"/>
          <w:color w:val="000000" w:themeColor="text1"/>
          <w:sz w:val="24"/>
          <w:szCs w:val="24"/>
        </w:rPr>
        <w:t>实行岗位责任制</w:t>
      </w:r>
      <w:r>
        <w:rPr>
          <w:rFonts w:hint="eastAsia" w:ascii="宋体" w:hAnsi="宋体"/>
          <w:color w:val="000000" w:themeColor="text1"/>
          <w:sz w:val="24"/>
          <w:szCs w:val="24"/>
        </w:rPr>
        <w:t>。24小时值班，做好交、接班记录。</w:t>
      </w:r>
    </w:p>
    <w:p>
      <w:pPr>
        <w:spacing w:line="440" w:lineRule="exact"/>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学生宿舍安全管理员岗位职责：</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按时开关宿舍大门，做好值班室的具体工作（台账的建立，进出登记，情况上报等）。</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做好学生宿舍的治安保卫工作，24小时轮流巡查，因工作失误而造成学生物品丢失、被盗，学校设施及公物损坏、丢失的由物管公司按价赔偿（安全员由物管公司处罚）。</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定期不定期检查宿舍。主要检查以下内容：宿舍内学生卫生情况并做好记录；每周不少于三次巡查学生宿舍、楼层，及时消除安全隐患，发现学生使用违禁电器应立刻收交至宿管中</w:t>
      </w:r>
      <w:r>
        <w:rPr>
          <w:rFonts w:ascii="宋体" w:hAnsi="宋体"/>
          <w:color w:val="000000" w:themeColor="text1"/>
          <w:sz w:val="24"/>
          <w:szCs w:val="24"/>
        </w:rPr>
        <w:t>心</w:t>
      </w:r>
      <w:r>
        <w:rPr>
          <w:rFonts w:hint="eastAsia" w:ascii="宋体" w:hAnsi="宋体"/>
          <w:color w:val="000000" w:themeColor="text1"/>
          <w:sz w:val="24"/>
          <w:szCs w:val="24"/>
        </w:rPr>
        <w:t>，并向校方报告；是否留有非宿舍人员住宿；是否有男女生互串宿舍；消防器材是否完好，能否使用；安全通道是否畅通；宿舍是否有人非法从事经营活动；宿舍门窗是否正常关锁等。</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对宿舍内发生的情节严重事件（遗失物品、打架斗殴、火情等）除及时上报外，还应有书面形式的报告。</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教育并督查学生在宿舍内的日常行为，耐心教育指导，全力服务。</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及时报送学生宿舍维修单，并做好贵重物品出入登记。</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做好学校交付的其他工作。</w:t>
      </w:r>
    </w:p>
    <w:p>
      <w:pPr>
        <w:spacing w:line="440" w:lineRule="exact"/>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学生宿舍考核员职责：</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根据宿舍管理要求和标准每天上午、下午各进行不少于一次量化积分考核并公布（电子档案上交学校备案）。考核公平公正公开，杜绝舞弊、作假、不作为等行为一经发现严厉处罚。</w:t>
      </w:r>
    </w:p>
    <w:p>
      <w:pPr>
        <w:spacing w:line="440" w:lineRule="exact"/>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学生宿舍保洁员职责：</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楼栋每天必须全部清扫，楼梯、走廊要求干净、光亮，墙壁、扶手无污迹、无灰尘、无蜘蛛网，公用门窗明净、无灰尘，楼道垃圾每天清除2－3次，保证楼道不能有异味，勤换劳动工具，保证楼栋的保洁质量。学年末清扫毕业学生的寝室。</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及时清理、运送学生的生活垃圾至指定位置。</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协助做好水电设施等巡查报修工作。</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公寓保洁人员不得以任何名义私自进入学生宿舍，如若发现，将给予物业公司1000元/次处罚。</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对不符合要求的宿舍保洁人员，学校有权通知中标人进行更换，中标人不得以任何借口不予换人，因宿舍保洁人员人为因素影响学生宿舍安全稳定的，学校将给予物业公司一万元的处罚。</w:t>
      </w:r>
    </w:p>
    <w:p>
      <w:pPr>
        <w:spacing w:line="44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依据《盐城工业职业技术学院物业管理考核细则》逐月考核、奖惩。考核细则附后。</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按甲方的委托管理事项和物业管理工作考核奖惩办法进行物业管理，物业管理服务人员能很好地履行岗位职责并完成校方分配的勤务工作，服从校方管理，工作认真负责，服务质量能让校方满意。</w:t>
      </w:r>
    </w:p>
    <w:p>
      <w:pPr>
        <w:spacing w:line="440" w:lineRule="exact"/>
        <w:rPr>
          <w:rFonts w:asciiTheme="minorEastAsia" w:hAnsiTheme="minorEastAsia"/>
          <w:b/>
          <w:bCs/>
          <w:color w:val="000000" w:themeColor="text1"/>
          <w:sz w:val="24"/>
        </w:rPr>
      </w:pPr>
      <w:r>
        <w:rPr>
          <w:rFonts w:hint="eastAsia" w:asciiTheme="minorEastAsia" w:hAnsiTheme="minorEastAsia"/>
          <w:b/>
          <w:bCs/>
          <w:color w:val="000000" w:themeColor="text1"/>
          <w:sz w:val="24"/>
        </w:rPr>
        <w:t>四、服务年限</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rPr>
        <w:t>合同履行期限暂定2年，合同一年一签。</w:t>
      </w:r>
      <w:r>
        <w:rPr>
          <w:rFonts w:hint="eastAsia" w:ascii="宋体" w:hAnsi="宋体" w:cs="宋体"/>
          <w:color w:val="000000" w:themeColor="text1"/>
          <w:sz w:val="24"/>
          <w:szCs w:val="24"/>
        </w:rPr>
        <w:t>第一年服务合同结束后，满意率达85%则续签下一年服务合同，否则采购人有权终止合同。</w:t>
      </w:r>
    </w:p>
    <w:p>
      <w:pPr>
        <w:spacing w:line="440" w:lineRule="exact"/>
        <w:rPr>
          <w:rFonts w:asciiTheme="minorEastAsia" w:hAnsiTheme="minorEastAsia"/>
          <w:b/>
          <w:bCs/>
          <w:color w:val="000000" w:themeColor="text1"/>
          <w:sz w:val="24"/>
        </w:rPr>
      </w:pPr>
      <w:r>
        <w:rPr>
          <w:rFonts w:hint="eastAsia" w:asciiTheme="minorEastAsia" w:hAnsiTheme="minorEastAsia"/>
          <w:b/>
          <w:bCs/>
          <w:color w:val="000000" w:themeColor="text1"/>
          <w:sz w:val="24"/>
        </w:rPr>
        <w:t>五、投标报价</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1、本项目报价方式为“固定总价报价”，各投标人根据招标内容及技术服务规范要求在服务期限内报出总价。</w:t>
      </w:r>
    </w:p>
    <w:p>
      <w:pPr>
        <w:spacing w:line="440" w:lineRule="exact"/>
        <w:ind w:firstLine="482" w:firstLineChars="200"/>
        <w:rPr>
          <w:rFonts w:ascii="宋体" w:hAnsi="宋体" w:cs="宋体"/>
          <w:color w:val="000000" w:themeColor="text1"/>
          <w:sz w:val="24"/>
        </w:rPr>
      </w:pPr>
      <w:r>
        <w:rPr>
          <w:rFonts w:hint="eastAsia" w:ascii="宋体" w:hAnsi="宋体" w:cs="宋体"/>
          <w:b/>
          <w:bCs/>
          <w:color w:val="000000" w:themeColor="text1"/>
          <w:sz w:val="24"/>
          <w:szCs w:val="24"/>
        </w:rPr>
        <w:t>2、</w:t>
      </w:r>
      <w:r>
        <w:rPr>
          <w:rFonts w:hint="eastAsia" w:ascii="宋体" w:hAnsi="宋体" w:cs="宋体"/>
          <w:color w:val="000000" w:themeColor="text1"/>
          <w:sz w:val="24"/>
          <w:szCs w:val="24"/>
        </w:rPr>
        <w:t>本次招标项目投标人根据现场实际情况、招标人提供的项目需求、自身实力、结合市场行情按一年服务期报价，此报价应包括为完成招标文件及项目需求中的所有内容。即主要包含但不限于所有配备人员工资及节假日加班费等补助、社保费、区域清洁费、所有耗材和设施设备费、办公费、固定资产折旧费、法定税费及公众责任保险费和合理利润，还应包括：管理、劳务、培训、体检、国家法定假日加班、高温补助、服装、保修、特殊岗位补贴、宣传服务、风险、税金及政策性文件规定等各项应有费用，以及为完成招标文件规定服务工作所涉及到的一切相关费用。测算价格时，所有服务人员工资不得低于盐城市最新公布的市区最低标准并按规定交纳社保，投标人必须严格按照国家相关法律、法规及盐城市劳动用人规定测算人员工资和社保及其他费用等，否则将被视作为未实质性响应招标文件并作无效标书处理。用工制度必须按国家《劳动法》、《江苏省劳动管理条例》等有关规定执行。各类风险和政策性调整等风险已包括在投标报价中，最终结算时除合同约定调整外一律不予调整。</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3、由投标人法定代表人或委托代理人签署的《开标一览表》作为项目最终结算的依据。</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4、最低报价不能作为中标的保证。</w:t>
      </w:r>
    </w:p>
    <w:p>
      <w:pPr>
        <w:adjustRightInd w:val="0"/>
        <w:snapToGrid w:val="0"/>
        <w:spacing w:line="360" w:lineRule="auto"/>
        <w:ind w:firstLine="480" w:firstLineChars="200"/>
        <w:rPr>
          <w:rFonts w:ascii="宋体" w:hAnsi="宋体"/>
          <w:color w:val="000000" w:themeColor="text1"/>
          <w:szCs w:val="28"/>
        </w:rPr>
      </w:pPr>
      <w:r>
        <w:rPr>
          <w:rFonts w:hint="eastAsia" w:ascii="宋体" w:hAnsi="宋体" w:cs="宋体"/>
          <w:color w:val="000000" w:themeColor="text1"/>
          <w:sz w:val="24"/>
        </w:rPr>
        <w:t>5、如出现不合理的报价，经评标委员会评审报价低于其企业成本或明显高于市场价格的，作废标处理。</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6、人员工资测算相关说明（以下相关费用全部包含在报价中，如不按下列内容进行报价，将被定义为非实质性响应招标文件）：</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①投标人须严格遵守和执行《中华人民共和国劳动法》、盐城市劳动用工和社会保险管理规定、盐城市最低工资标准等相关法律法规，合同期中发生的一切事故、纠纷由中标人承担，采购人不承担任何责任。</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②人员费用含人员工资、社会保险、福利、服装、培训、管理费、税金等常规费用，相关费用报价要求详见第六章投标文件格式中的投标报价明细表。</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③保险费用应满足执行苏人社发[2021]113号《关于发布2022年度社会保险有关基数的通知》，社保（企业部分）不得低于上述文件标准及规定险种测算（规定险种为“五险”，指养老保险金16%、医疗保险金8%、工伤保险金0.7%、生育保险金0.9%、失业保险金0.5%）以及大病保险6元。</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人员工资及相关费用测算依据根据盐人社发〔2021〕54号《盐城市人力资源和社会保障局关于调整全市最低工资标准的通知》。</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住房公积金须按相关规定执行。</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测算费用时必须严格按照国家最新的相关法律、法规、同类项目管理成本及盐城市劳动用人规定测算人员工资成本、加班工资和社会保险及其他费用等，并为所招聘的服务人员缴纳国家规定的社会保险，否则作废标处理不予接受。用工制度必须按国家《劳动法》、《江苏省劳动管理条例》有关规定执行。</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以上费用，如行政主管部门出台新政策，以行政主管部门规定为准,否则作废标处理不予接受，后果自负。</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所提供人员的费用不得低于上述标准进行测算，否则将视为未实质性响应招标文件要求。</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④有部分岗位超时，投标人必须按照有关法律法规充分考虑加班费，节假日加班人员数不得低于采购人要求，采购人不再另外支付人员的其它任何费用。</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⑤员工福利主要由三大传统节日费（端午、中秋、春节）、员工生病住院慰问等费用组成，投标人自行考虑。</w:t>
      </w:r>
    </w:p>
    <w:p>
      <w:pPr>
        <w:adjustRightInd w:val="0"/>
        <w:snapToGrid w:val="0"/>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sz w:val="24"/>
        </w:rPr>
        <w:t>⑥由于各类活动、突击迎检、节假日期间等因素导致的费用，不论这些因素是可预测或不可预测的，均已包含在投标报价中。</w:t>
      </w:r>
    </w:p>
    <w:p>
      <w:pPr>
        <w:spacing w:line="360" w:lineRule="auto"/>
        <w:ind w:firstLine="413" w:firstLineChars="147"/>
        <w:jc w:val="left"/>
        <w:rPr>
          <w:rFonts w:ascii="宋体" w:hAnsi="宋体"/>
          <w:b/>
          <w:color w:val="000000" w:themeColor="text1"/>
          <w:sz w:val="28"/>
          <w:szCs w:val="28"/>
          <w:u w:val="single"/>
        </w:rPr>
      </w:pPr>
      <w:r>
        <w:rPr>
          <w:rFonts w:hint="eastAsia" w:ascii="宋体" w:hAnsi="宋体"/>
          <w:b/>
          <w:bCs/>
          <w:color w:val="000000" w:themeColor="text1"/>
          <w:sz w:val="28"/>
          <w:szCs w:val="28"/>
          <w:shd w:val="clear" w:color="auto" w:fill="FFFFFF"/>
        </w:rPr>
        <w:t xml:space="preserve">注：本次采购标的所属行业为 </w:t>
      </w:r>
      <w:r>
        <w:rPr>
          <w:rFonts w:hint="eastAsia" w:ascii="宋体" w:hAnsi="宋体"/>
          <w:b/>
          <w:bCs/>
          <w:color w:val="000000" w:themeColor="text1"/>
          <w:sz w:val="28"/>
          <w:szCs w:val="28"/>
          <w:u w:val="single"/>
          <w:shd w:val="clear" w:color="auto" w:fill="FFFFFF"/>
        </w:rPr>
        <w:t xml:space="preserve"> 物业管理 </w:t>
      </w:r>
      <w:r>
        <w:rPr>
          <w:rFonts w:hint="eastAsia" w:ascii="宋体" w:hAnsi="宋体"/>
          <w:b/>
          <w:bCs/>
          <w:color w:val="000000" w:themeColor="text1"/>
          <w:sz w:val="28"/>
          <w:szCs w:val="28"/>
          <w:shd w:val="clear" w:color="auto" w:fill="FFFFFF"/>
        </w:rPr>
        <w:t xml:space="preserve"> ，根据《工业和信息化部、国家统计局、国家发展和改革委员会、财政部关于印发中小企业划型标准规定的通知》（工信部联企业[2011]300号）规定的划分标准填写；</w:t>
      </w:r>
    </w:p>
    <w:p>
      <w:pPr>
        <w:pStyle w:val="2"/>
        <w:ind w:left="1470" w:right="1470"/>
        <w:rPr>
          <w:rFonts w:ascii="宋体" w:hAnsi="宋体" w:cs="宋体"/>
          <w:color w:val="000000" w:themeColor="text1"/>
          <w:kern w:val="0"/>
          <w:sz w:val="24"/>
        </w:rPr>
        <w:sectPr>
          <w:pgSz w:w="11906" w:h="16838"/>
          <w:pgMar w:top="1440" w:right="1800" w:bottom="1440" w:left="1800" w:header="851" w:footer="992" w:gutter="0"/>
          <w:cols w:space="425" w:num="1"/>
          <w:titlePg/>
          <w:docGrid w:type="lines" w:linePitch="312" w:charSpace="0"/>
        </w:sectPr>
      </w:pPr>
    </w:p>
    <w:p>
      <w:pPr>
        <w:pStyle w:val="86"/>
        <w:spacing w:before="290" w:after="290"/>
        <w:jc w:val="center"/>
        <w:outlineLvl w:val="0"/>
        <w:rPr>
          <w:rStyle w:val="43"/>
          <w:rFonts w:cs="宋体"/>
          <w:color w:val="000000" w:themeColor="text1"/>
        </w:rPr>
      </w:pPr>
      <w:r>
        <w:rPr>
          <w:rStyle w:val="43"/>
          <w:rFonts w:hint="eastAsia" w:cs="宋体"/>
          <w:b/>
          <w:color w:val="000000" w:themeColor="text1"/>
          <w:sz w:val="44"/>
        </w:rPr>
        <w:t>第五章  评标方法与评标标准</w:t>
      </w:r>
      <w:bookmarkEnd w:id="4"/>
    </w:p>
    <w:p>
      <w:pPr>
        <w:snapToGrid w:val="0"/>
        <w:spacing w:line="500" w:lineRule="exact"/>
        <w:ind w:firstLine="482" w:firstLineChars="200"/>
        <w:rPr>
          <w:rStyle w:val="43"/>
          <w:rFonts w:ascii="宋体" w:hAnsi="宋体" w:cs="宋体"/>
          <w:b/>
          <w:bCs/>
          <w:color w:val="000000" w:themeColor="text1"/>
          <w:sz w:val="24"/>
          <w:szCs w:val="24"/>
        </w:rPr>
      </w:pPr>
      <w:r>
        <w:rPr>
          <w:rStyle w:val="43"/>
          <w:rFonts w:hint="eastAsia" w:ascii="宋体" w:hAnsi="宋体" w:cs="宋体"/>
          <w:b/>
          <w:bCs/>
          <w:color w:val="000000" w:themeColor="text1"/>
          <w:sz w:val="24"/>
          <w:szCs w:val="24"/>
        </w:rPr>
        <w:t>一、评标方法与定标原则</w:t>
      </w:r>
    </w:p>
    <w:p>
      <w:pPr>
        <w:snapToGrid w:val="0"/>
        <w:spacing w:line="500" w:lineRule="exact"/>
        <w:ind w:firstLine="480" w:firstLineChars="200"/>
        <w:rPr>
          <w:rStyle w:val="43"/>
          <w:rFonts w:ascii="宋体" w:hAnsi="宋体" w:cs="宋体"/>
          <w:bCs/>
          <w:color w:val="000000" w:themeColor="text1"/>
          <w:sz w:val="24"/>
          <w:szCs w:val="24"/>
        </w:rPr>
      </w:pPr>
      <w:r>
        <w:rPr>
          <w:rFonts w:hint="eastAsia" w:ascii="宋体" w:hAnsi="宋体" w:cs="宋体"/>
          <w:bCs/>
          <w:color w:val="000000" w:themeColor="text1"/>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21"/>
        <w:adjustRightInd w:val="0"/>
        <w:snapToGrid w:val="0"/>
        <w:spacing w:before="0" w:beforeAutospacing="0" w:after="0" w:afterAutospacing="0" w:line="360" w:lineRule="auto"/>
        <w:ind w:firstLine="482" w:firstLineChars="200"/>
        <w:rPr>
          <w:b/>
          <w:bCs/>
          <w:color w:val="000000" w:themeColor="text1"/>
        </w:rPr>
      </w:pPr>
      <w:r>
        <w:rPr>
          <w:rFonts w:hint="eastAsia"/>
          <w:b/>
          <w:bCs/>
          <w:color w:val="000000" w:themeColor="text1"/>
        </w:rPr>
        <w:t>政府采购政策功能落实</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1、小微型企业价格扣除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3、监狱和戒毒企业价格扣除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5、★符合本采购文件优先采购 “环境标志产品”或“节能产品”的；必须提供“环境标志产品”或“节能产品”证明，否则不予认可。</w:t>
      </w:r>
    </w:p>
    <w:p>
      <w:pPr>
        <w:snapToGrid w:val="0"/>
        <w:spacing w:line="360" w:lineRule="auto"/>
        <w:ind w:firstLine="480" w:firstLineChars="200"/>
        <w:rPr>
          <w:rStyle w:val="43"/>
          <w:rFonts w:ascii="宋体" w:hAnsi="宋体" w:cs="宋体"/>
          <w:b/>
          <w:color w:val="000000" w:themeColor="text1"/>
          <w:sz w:val="24"/>
          <w:szCs w:val="24"/>
        </w:rPr>
      </w:pPr>
      <w:r>
        <w:rPr>
          <w:rFonts w:hint="eastAsia" w:ascii="宋体" w:hAnsi="宋体" w:cs="宋体"/>
          <w:bCs/>
          <w:color w:val="000000" w:themeColor="text1"/>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3"/>
          <w:rFonts w:ascii="宋体" w:hAnsi="宋体" w:cs="宋体"/>
          <w:color w:val="000000" w:themeColor="text1"/>
        </w:rPr>
      </w:pPr>
      <w:r>
        <w:rPr>
          <w:rStyle w:val="43"/>
          <w:rFonts w:hint="eastAsia" w:ascii="宋体" w:hAnsi="宋体" w:cs="宋体"/>
          <w:b/>
          <w:color w:val="000000" w:themeColor="text1"/>
          <w:sz w:val="24"/>
          <w:szCs w:val="24"/>
        </w:rPr>
        <w:t>二、评标标准</w:t>
      </w:r>
    </w:p>
    <w:p>
      <w:pPr>
        <w:snapToGrid w:val="0"/>
        <w:spacing w:line="440" w:lineRule="exact"/>
        <w:ind w:firstLine="480" w:firstLineChars="200"/>
        <w:rPr>
          <w:rFonts w:ascii="宋体" w:hAnsi="宋体" w:cs="宋体"/>
          <w:snapToGrid w:val="0"/>
          <w:color w:val="000000" w:themeColor="text1"/>
          <w:kern w:val="0"/>
          <w:sz w:val="24"/>
          <w:szCs w:val="24"/>
        </w:rPr>
      </w:pPr>
      <w:r>
        <w:rPr>
          <w:rFonts w:hint="eastAsia" w:ascii="宋体" w:hAnsi="宋体" w:cs="宋体"/>
          <w:snapToGrid w:val="0"/>
          <w:color w:val="000000" w:themeColor="text1"/>
          <w:kern w:val="0"/>
          <w:sz w:val="24"/>
          <w:szCs w:val="24"/>
        </w:rPr>
        <w:t>本项目评分总分值为100分。</w:t>
      </w:r>
    </w:p>
    <w:tbl>
      <w:tblPr>
        <w:tblStyle w:val="24"/>
        <w:tblW w:w="9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7"/>
        <w:gridCol w:w="984"/>
        <w:gridCol w:w="6288"/>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themeColor="text1"/>
              </w:rPr>
            </w:pPr>
            <w:r>
              <w:rPr>
                <w:rFonts w:hint="eastAsia" w:ascii="宋体" w:hAnsi="宋体" w:cs="宋体"/>
                <w:color w:val="000000" w:themeColor="text1"/>
              </w:rPr>
              <w:t>内容</w:t>
            </w:r>
          </w:p>
        </w:tc>
        <w:tc>
          <w:tcPr>
            <w:tcW w:w="7272"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themeColor="text1"/>
              </w:rPr>
            </w:pPr>
            <w:r>
              <w:rPr>
                <w:rFonts w:hint="eastAsia" w:ascii="宋体" w:hAnsi="宋体" w:cs="宋体"/>
                <w:color w:val="000000" w:themeColor="text1"/>
              </w:rPr>
              <w:t>评审标准</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themeColor="text1"/>
              </w:rPr>
            </w:pPr>
            <w:r>
              <w:rPr>
                <w:rFonts w:hint="eastAsia" w:ascii="宋体" w:hAnsi="宋体" w:cs="宋体"/>
                <w:color w:val="000000" w:themeColor="text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themeColor="text1"/>
              </w:rPr>
            </w:pPr>
            <w:r>
              <w:rPr>
                <w:rFonts w:hint="eastAsia" w:ascii="宋体" w:hAnsi="宋体" w:cs="宋体"/>
                <w:b/>
                <w:color w:val="000000" w:themeColor="text1"/>
              </w:rPr>
              <w:t>报价</w:t>
            </w:r>
          </w:p>
          <w:p>
            <w:pPr>
              <w:jc w:val="center"/>
              <w:rPr>
                <w:rFonts w:ascii="宋体" w:hAnsi="宋体" w:cs="宋体"/>
                <w:color w:val="000000" w:themeColor="text1"/>
              </w:rPr>
            </w:pPr>
            <w:r>
              <w:rPr>
                <w:rFonts w:hint="eastAsia" w:ascii="宋体" w:hAnsi="宋体" w:cs="宋体"/>
                <w:b/>
                <w:color w:val="000000" w:themeColor="text1"/>
              </w:rPr>
              <w:t>（50分）</w:t>
            </w:r>
          </w:p>
          <w:p>
            <w:pPr>
              <w:pStyle w:val="2"/>
              <w:adjustRightInd w:val="0"/>
              <w:snapToGrid w:val="0"/>
              <w:spacing w:after="0"/>
              <w:ind w:left="0" w:leftChars="0" w:right="0" w:rightChars="0"/>
              <w:rPr>
                <w:rFonts w:ascii="宋体" w:hAnsi="宋体" w:cs="宋体"/>
                <w:color w:val="000000" w:themeColor="text1"/>
              </w:rPr>
            </w:pPr>
          </w:p>
        </w:tc>
        <w:tc>
          <w:tcPr>
            <w:tcW w:w="7272"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ind w:firstLine="420" w:firstLineChars="200"/>
              <w:rPr>
                <w:color w:val="000000" w:themeColor="text1"/>
              </w:rPr>
            </w:pPr>
            <w:r>
              <w:rPr>
                <w:rFonts w:hint="eastAsia"/>
                <w:color w:val="000000" w:themeColor="text1"/>
              </w:rPr>
              <w:t>价格分统一采用低价优先法计算，即满足招标文件要求且投标价格最低的投标报价为评标基准价，其价格分为满分。其他投标人的价格分统一按照下列公式计算：</w:t>
            </w:r>
          </w:p>
          <w:p>
            <w:pPr>
              <w:spacing w:line="300" w:lineRule="exact"/>
              <w:ind w:firstLine="420" w:firstLineChars="200"/>
              <w:rPr>
                <w:color w:val="000000" w:themeColor="text1"/>
              </w:rPr>
            </w:pPr>
            <w:r>
              <w:rPr>
                <w:rFonts w:hint="eastAsia"/>
                <w:color w:val="000000" w:themeColor="text1"/>
              </w:rPr>
              <w:t>投标报价得分=(评标基准价／投标报价)×50，小数点后保留2位。</w:t>
            </w:r>
          </w:p>
          <w:p>
            <w:pPr>
              <w:spacing w:line="300" w:lineRule="exact"/>
              <w:ind w:firstLine="420" w:firstLineChars="200"/>
              <w:rPr>
                <w:color w:val="000000" w:themeColor="text1"/>
              </w:rPr>
            </w:pPr>
            <w:r>
              <w:rPr>
                <w:rFonts w:hint="eastAsia"/>
                <w:color w:val="000000" w:themeColor="text1"/>
              </w:rPr>
              <w:t>投标报价低于国家相关规定最低标准（评委依据投标人方案及现场答辩确定），本项不得分。</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Cs/>
                <w:color w:val="000000" w:themeColor="text1"/>
              </w:rPr>
            </w:pPr>
            <w:r>
              <w:rPr>
                <w:rFonts w:hint="eastAsia" w:ascii="宋体" w:hAnsi="宋体" w:cs="宋体"/>
                <w:bCs/>
                <w:color w:val="000000" w:themeColor="text1"/>
              </w:rPr>
              <w:t>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restart"/>
            <w:tcBorders>
              <w:top w:val="single" w:color="000000" w:sz="4" w:space="0"/>
              <w:left w:val="single" w:color="000000" w:sz="4" w:space="0"/>
              <w:right w:val="single" w:color="000000" w:sz="4" w:space="0"/>
            </w:tcBorders>
            <w:noWrap/>
            <w:vAlign w:val="center"/>
          </w:tcPr>
          <w:p>
            <w:pPr>
              <w:jc w:val="center"/>
              <w:rPr>
                <w:rFonts w:ascii="宋体" w:hAnsi="宋体" w:cs="宋体"/>
                <w:b/>
                <w:color w:val="000000" w:themeColor="text1"/>
              </w:rPr>
            </w:pPr>
            <w:r>
              <w:rPr>
                <w:rFonts w:hint="eastAsia" w:ascii="宋体" w:hAnsi="宋体" w:cs="宋体"/>
                <w:b/>
                <w:color w:val="000000" w:themeColor="text1"/>
              </w:rPr>
              <w:t>商务</w:t>
            </w:r>
          </w:p>
          <w:p>
            <w:pPr>
              <w:jc w:val="center"/>
              <w:rPr>
                <w:rFonts w:ascii="宋体" w:hAnsi="宋体" w:cs="宋体"/>
                <w:b/>
                <w:color w:val="000000" w:themeColor="text1"/>
              </w:rPr>
            </w:pPr>
            <w:r>
              <w:rPr>
                <w:rFonts w:hint="eastAsia" w:ascii="宋体" w:hAnsi="宋体" w:cs="宋体"/>
                <w:b/>
                <w:color w:val="000000" w:themeColor="text1"/>
              </w:rPr>
              <w:t>（</w:t>
            </w:r>
            <w:r>
              <w:rPr>
                <w:rFonts w:ascii="宋体" w:hAnsi="宋体" w:cs="宋体"/>
                <w:b/>
                <w:color w:val="000000" w:themeColor="text1"/>
              </w:rPr>
              <w:t>13</w:t>
            </w:r>
            <w:r>
              <w:rPr>
                <w:rFonts w:hint="eastAsia" w:ascii="宋体" w:hAnsi="宋体" w:cs="宋体"/>
                <w:b/>
                <w:color w:val="000000" w:themeColor="text1"/>
              </w:rPr>
              <w:t>分）</w:t>
            </w:r>
          </w:p>
        </w:tc>
        <w:tc>
          <w:tcPr>
            <w:tcW w:w="984" w:type="dxa"/>
            <w:tcBorders>
              <w:top w:val="single" w:color="000000" w:sz="4" w:space="0"/>
              <w:left w:val="single" w:color="000000" w:sz="4" w:space="0"/>
              <w:bottom w:val="single" w:color="auto" w:sz="4" w:space="0"/>
              <w:right w:val="single" w:color="auto" w:sz="4" w:space="0"/>
            </w:tcBorders>
            <w:noWrap/>
            <w:vAlign w:val="center"/>
          </w:tcPr>
          <w:p>
            <w:pPr>
              <w:rPr>
                <w:rFonts w:ascii="宋体" w:hAnsi="宋体" w:cs="宋体"/>
                <w:bCs/>
                <w:color w:val="000000" w:themeColor="text1"/>
              </w:rPr>
            </w:pPr>
            <w:r>
              <w:rPr>
                <w:rFonts w:hint="eastAsia" w:ascii="宋体" w:hAnsi="宋体" w:cs="宋体"/>
                <w:color w:val="000000" w:themeColor="text1"/>
              </w:rPr>
              <w:t>类似业绩</w:t>
            </w:r>
          </w:p>
        </w:tc>
        <w:tc>
          <w:tcPr>
            <w:tcW w:w="6288" w:type="dxa"/>
            <w:tcBorders>
              <w:top w:val="single" w:color="000000" w:sz="4" w:space="0"/>
              <w:left w:val="single" w:color="auto" w:sz="4" w:space="0"/>
              <w:bottom w:val="single" w:color="auto" w:sz="4" w:space="0"/>
              <w:right w:val="single" w:color="000000" w:sz="4" w:space="0"/>
            </w:tcBorders>
            <w:noWrap/>
            <w:vAlign w:val="center"/>
          </w:tcPr>
          <w:p>
            <w:pPr>
              <w:ind w:firstLine="420" w:firstLineChars="200"/>
              <w:rPr>
                <w:rFonts w:ascii="宋体" w:hAnsi="宋体" w:cs="宋体"/>
                <w:color w:val="000000" w:themeColor="text1"/>
              </w:rPr>
            </w:pPr>
            <w:r>
              <w:rPr>
                <w:rFonts w:hint="eastAsia" w:ascii="宋体" w:hAnsi="宋体" w:cs="宋体"/>
                <w:color w:val="000000" w:themeColor="text1"/>
              </w:rPr>
              <w:t>投标人近三年（2019年7月1日）以来每具有一项类似物业服务业绩，有一年得1分。</w:t>
            </w:r>
          </w:p>
          <w:p>
            <w:pPr>
              <w:rPr>
                <w:rFonts w:ascii="宋体" w:hAnsi="宋体" w:cs="宋体"/>
                <w:color w:val="000000" w:themeColor="text1"/>
              </w:rPr>
            </w:pPr>
            <w:r>
              <w:rPr>
                <w:rFonts w:hint="eastAsia" w:ascii="宋体" w:hAnsi="宋体" w:cs="宋体"/>
                <w:color w:val="000000" w:themeColor="text1"/>
              </w:rPr>
              <w:t>注：1.本项最高得分为3分；</w:t>
            </w:r>
          </w:p>
          <w:p>
            <w:pPr>
              <w:ind w:firstLine="420" w:firstLineChars="200"/>
              <w:rPr>
                <w:rFonts w:ascii="宋体" w:hAnsi="宋体" w:cs="宋体"/>
                <w:color w:val="000000" w:themeColor="text1"/>
              </w:rPr>
            </w:pPr>
            <w:r>
              <w:rPr>
                <w:rFonts w:hint="eastAsia" w:ascii="宋体" w:hAnsi="宋体" w:cs="宋体"/>
                <w:color w:val="000000" w:themeColor="text1"/>
              </w:rPr>
              <w:t>2.业绩得分按年计算。如类似物业服务合同期限为1年的得1分，合同期限为2年的得2分，以此类推，下同；</w:t>
            </w:r>
          </w:p>
          <w:p>
            <w:pPr>
              <w:ind w:firstLine="420" w:firstLineChars="200"/>
              <w:rPr>
                <w:rFonts w:ascii="宋体" w:hAnsi="宋体" w:cs="宋体"/>
                <w:color w:val="000000" w:themeColor="text1"/>
              </w:rPr>
            </w:pPr>
            <w:r>
              <w:rPr>
                <w:rFonts w:hint="eastAsia" w:ascii="宋体" w:hAnsi="宋体" w:cs="宋体"/>
                <w:color w:val="000000" w:themeColor="text1"/>
              </w:rPr>
              <w:t>3.类似项目包含具有一定规模的对外开放、服务性、公益性的物业服务项目。提供合同复印件，原件备查。</w:t>
            </w:r>
          </w:p>
        </w:tc>
        <w:tc>
          <w:tcPr>
            <w:tcW w:w="1050" w:type="dxa"/>
            <w:tcBorders>
              <w:top w:val="single" w:color="000000" w:sz="4" w:space="0"/>
              <w:left w:val="single" w:color="000000" w:sz="4" w:space="0"/>
              <w:bottom w:val="single" w:color="auto" w:sz="4" w:space="0"/>
              <w:right w:val="single" w:color="000000" w:sz="4" w:space="0"/>
            </w:tcBorders>
            <w:noWrap/>
            <w:vAlign w:val="center"/>
          </w:tcPr>
          <w:p>
            <w:pPr>
              <w:jc w:val="center"/>
              <w:rPr>
                <w:rFonts w:ascii="宋体" w:hAnsi="宋体" w:cs="宋体"/>
                <w:bCs/>
                <w:color w:val="000000" w:themeColor="text1"/>
              </w:rPr>
            </w:pPr>
            <w:r>
              <w:rPr>
                <w:rFonts w:hint="eastAsia" w:ascii="宋体" w:hAnsi="宋体" w:cs="宋体"/>
                <w:bCs/>
                <w:color w:val="000000" w:themeColor="text1"/>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continue"/>
            <w:tcBorders>
              <w:left w:val="single" w:color="000000" w:sz="4" w:space="0"/>
              <w:right w:val="single" w:color="000000" w:sz="4" w:space="0"/>
            </w:tcBorders>
            <w:noWrap/>
            <w:vAlign w:val="center"/>
          </w:tcPr>
          <w:p>
            <w:pPr>
              <w:jc w:val="center"/>
              <w:rPr>
                <w:rFonts w:ascii="宋体" w:hAnsi="宋体" w:cs="宋体"/>
                <w:b/>
                <w:color w:val="000000" w:themeColor="text1"/>
              </w:rPr>
            </w:pPr>
          </w:p>
        </w:tc>
        <w:tc>
          <w:tcPr>
            <w:tcW w:w="984" w:type="dxa"/>
            <w:tcBorders>
              <w:top w:val="single" w:color="auto" w:sz="4" w:space="0"/>
              <w:left w:val="single" w:color="000000" w:sz="4" w:space="0"/>
              <w:bottom w:val="single" w:color="auto" w:sz="4" w:space="0"/>
              <w:right w:val="single" w:color="auto" w:sz="4" w:space="0"/>
            </w:tcBorders>
            <w:noWrap/>
            <w:vAlign w:val="center"/>
          </w:tcPr>
          <w:p>
            <w:pPr>
              <w:jc w:val="center"/>
              <w:rPr>
                <w:rFonts w:ascii="宋体" w:hAnsi="宋体" w:cs="宋体"/>
                <w:color w:val="000000" w:themeColor="text1"/>
              </w:rPr>
            </w:pPr>
            <w:r>
              <w:rPr>
                <w:rFonts w:hint="eastAsia" w:ascii="宋体" w:hAnsi="宋体" w:cs="宋体"/>
                <w:color w:val="000000" w:themeColor="text1"/>
              </w:rPr>
              <w:t>资质</w:t>
            </w:r>
          </w:p>
          <w:p>
            <w:pPr>
              <w:jc w:val="center"/>
              <w:rPr>
                <w:rFonts w:ascii="宋体" w:hAnsi="宋体" w:cs="宋体"/>
                <w:color w:val="000000" w:themeColor="text1"/>
              </w:rPr>
            </w:pPr>
            <w:r>
              <w:rPr>
                <w:rFonts w:hint="eastAsia" w:ascii="宋体" w:hAnsi="宋体" w:cs="宋体"/>
                <w:color w:val="000000" w:themeColor="text1"/>
              </w:rPr>
              <w:t>信誉</w:t>
            </w:r>
          </w:p>
          <w:p>
            <w:pPr>
              <w:jc w:val="center"/>
              <w:rPr>
                <w:rFonts w:ascii="宋体" w:hAnsi="宋体" w:cs="宋体"/>
                <w:color w:val="000000" w:themeColor="text1"/>
              </w:rPr>
            </w:pPr>
          </w:p>
        </w:tc>
        <w:tc>
          <w:tcPr>
            <w:tcW w:w="6288" w:type="dxa"/>
            <w:tcBorders>
              <w:top w:val="single" w:color="auto" w:sz="4" w:space="0"/>
              <w:left w:val="single" w:color="auto" w:sz="4" w:space="0"/>
              <w:bottom w:val="single" w:color="auto" w:sz="4" w:space="0"/>
              <w:right w:val="single" w:color="000000" w:sz="4" w:space="0"/>
            </w:tcBorders>
            <w:noWrap/>
            <w:vAlign w:val="center"/>
          </w:tcPr>
          <w:p>
            <w:pPr>
              <w:spacing w:line="3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1.取得ISO9001质量管理体系认证证书，得1分；</w:t>
            </w:r>
          </w:p>
          <w:p>
            <w:pPr>
              <w:spacing w:line="3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2.取得环境管理体系认证证书，得1分；</w:t>
            </w:r>
          </w:p>
          <w:p>
            <w:pPr>
              <w:spacing w:line="3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3.取得中国职业安全健康管理体系认证证书得1分；</w:t>
            </w:r>
          </w:p>
          <w:p>
            <w:pPr>
              <w:spacing w:line="3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4.取得物业管理售后服务认证证书，按所有投标人提供证书级别排序，第1名得3分，第二名得1.5分，第三名得1分，其他得0.5分，不提供不得分，本项最高得3分；</w:t>
            </w:r>
          </w:p>
          <w:p>
            <w:pPr>
              <w:spacing w:line="3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注：上述证书的论证范围须符合本项目需求，且在本招标公告发布日期之前获取且在评标时仍在有效期内，并在中国国家认证认可信息公共服务平台（http://cx.cnca.cn/CertECloud/index/index/page）可查，响应文件中必须提供在此网站上查验的截图，否则不予认可。</w:t>
            </w:r>
          </w:p>
        </w:tc>
        <w:tc>
          <w:tcPr>
            <w:tcW w:w="1050" w:type="dxa"/>
            <w:tcBorders>
              <w:top w:val="single" w:color="auto" w:sz="4" w:space="0"/>
              <w:left w:val="single" w:color="000000" w:sz="4" w:space="0"/>
              <w:bottom w:val="single" w:color="auto" w:sz="4" w:space="0"/>
              <w:right w:val="single" w:color="000000" w:sz="4" w:space="0"/>
            </w:tcBorders>
            <w:noWrap/>
            <w:vAlign w:val="center"/>
          </w:tcPr>
          <w:p>
            <w:pPr>
              <w:jc w:val="center"/>
              <w:rPr>
                <w:rFonts w:ascii="宋体" w:hAnsi="宋体" w:cs="宋体"/>
                <w:bCs/>
                <w:color w:val="000000" w:themeColor="text1"/>
              </w:rPr>
            </w:pPr>
            <w:r>
              <w:rPr>
                <w:rFonts w:hint="eastAsia" w:ascii="宋体" w:hAnsi="宋体" w:cs="宋体"/>
                <w:color w:val="000000" w:themeColor="text1"/>
              </w:rPr>
              <w:t>6</w:t>
            </w:r>
            <w:r>
              <w:rPr>
                <w:rFonts w:hint="eastAsia" w:ascii="宋体" w:hAnsi="宋体" w:cs="宋体"/>
                <w:bCs/>
                <w:color w:val="000000" w:themeColor="text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continue"/>
            <w:tcBorders>
              <w:left w:val="single" w:color="000000" w:sz="4" w:space="0"/>
              <w:right w:val="single" w:color="000000" w:sz="4" w:space="0"/>
            </w:tcBorders>
            <w:noWrap/>
            <w:vAlign w:val="center"/>
          </w:tcPr>
          <w:p>
            <w:pPr>
              <w:jc w:val="center"/>
              <w:rPr>
                <w:rFonts w:ascii="宋体" w:hAnsi="宋体" w:cs="宋体"/>
                <w:b/>
                <w:color w:val="000000" w:themeColor="text1"/>
              </w:rPr>
            </w:pPr>
          </w:p>
        </w:tc>
        <w:tc>
          <w:tcPr>
            <w:tcW w:w="984" w:type="dxa"/>
            <w:tcBorders>
              <w:top w:val="single" w:color="auto" w:sz="4" w:space="0"/>
              <w:left w:val="single" w:color="000000" w:sz="4" w:space="0"/>
              <w:bottom w:val="single" w:color="auto" w:sz="4" w:space="0"/>
              <w:right w:val="single" w:color="auto" w:sz="4" w:space="0"/>
            </w:tcBorders>
            <w:noWrap/>
            <w:vAlign w:val="center"/>
          </w:tcPr>
          <w:p>
            <w:pPr>
              <w:jc w:val="center"/>
              <w:rPr>
                <w:rFonts w:ascii="宋体" w:hAnsi="宋体" w:cs="宋体"/>
                <w:color w:val="000000" w:themeColor="text1"/>
              </w:rPr>
            </w:pPr>
            <w:r>
              <w:rPr>
                <w:rFonts w:hint="eastAsia" w:ascii="宋体" w:hAnsi="宋体" w:cs="宋体"/>
                <w:color w:val="000000" w:themeColor="text1"/>
              </w:rPr>
              <w:t>派驻项目经理</w:t>
            </w:r>
          </w:p>
        </w:tc>
        <w:tc>
          <w:tcPr>
            <w:tcW w:w="6288" w:type="dxa"/>
            <w:tcBorders>
              <w:top w:val="single" w:color="auto" w:sz="4" w:space="0"/>
              <w:left w:val="single" w:color="auto" w:sz="4" w:space="0"/>
              <w:bottom w:val="single" w:color="auto" w:sz="4" w:space="0"/>
              <w:right w:val="single" w:color="000000" w:sz="4" w:space="0"/>
            </w:tcBorders>
            <w:noWrap/>
            <w:vAlign w:val="center"/>
          </w:tcPr>
          <w:p>
            <w:pPr>
              <w:spacing w:line="300" w:lineRule="exact"/>
              <w:ind w:firstLine="420" w:firstLineChars="200"/>
              <w:rPr>
                <w:rFonts w:ascii="宋体" w:hAnsi="宋体" w:cs="宋体"/>
                <w:color w:val="000000" w:themeColor="text1"/>
              </w:rPr>
            </w:pPr>
            <w:r>
              <w:rPr>
                <w:rFonts w:hint="eastAsia" w:ascii="宋体" w:hAnsi="宋体" w:cs="宋体"/>
                <w:color w:val="000000" w:themeColor="text1"/>
              </w:rPr>
              <w:t>投标人拟派驻项目经理投标人2019年7月1日以来每具有一项类似物业服务业绩，有一年得1分，最高得分为3分；提供合同复印件，原件备查。</w:t>
            </w:r>
          </w:p>
          <w:p>
            <w:pPr>
              <w:spacing w:line="300" w:lineRule="exact"/>
              <w:ind w:firstLine="420" w:firstLineChars="200"/>
              <w:rPr>
                <w:color w:val="000000" w:themeColor="text1"/>
              </w:rPr>
            </w:pPr>
            <w:r>
              <w:rPr>
                <w:rFonts w:hint="eastAsia"/>
                <w:color w:val="000000" w:themeColor="text1"/>
              </w:rPr>
              <w:t>拟派驻项目经理，本科及以上学历得1分，提供毕业证书和身份证复印件，原件备查</w:t>
            </w:r>
          </w:p>
        </w:tc>
        <w:tc>
          <w:tcPr>
            <w:tcW w:w="1050" w:type="dxa"/>
            <w:tcBorders>
              <w:top w:val="single" w:color="auto" w:sz="4" w:space="0"/>
              <w:left w:val="single" w:color="000000" w:sz="4" w:space="0"/>
              <w:bottom w:val="single" w:color="auto" w:sz="4" w:space="0"/>
              <w:right w:val="single" w:color="000000" w:sz="4" w:space="0"/>
            </w:tcBorders>
            <w:noWrap/>
            <w:vAlign w:val="center"/>
          </w:tcPr>
          <w:p>
            <w:pPr>
              <w:jc w:val="center"/>
              <w:rPr>
                <w:rFonts w:ascii="宋体" w:hAnsi="宋体" w:cs="宋体"/>
                <w:color w:val="000000" w:themeColor="text1"/>
              </w:rPr>
            </w:pPr>
            <w:r>
              <w:rPr>
                <w:rFonts w:hint="eastAsia" w:ascii="宋体" w:hAnsi="宋体" w:cs="宋体"/>
                <w:color w:val="000000" w:themeColor="text1"/>
              </w:rPr>
              <w:t>4</w:t>
            </w:r>
            <w:r>
              <w:rPr>
                <w:rFonts w:hint="eastAsia" w:ascii="宋体" w:hAnsi="宋体" w:cs="宋体"/>
                <w:bCs/>
                <w:color w:val="000000" w:themeColor="text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restart"/>
            <w:tcBorders>
              <w:top w:val="single" w:color="auto" w:sz="4" w:space="0"/>
              <w:left w:val="single" w:color="000000" w:sz="4" w:space="0"/>
              <w:right w:val="single" w:color="000000" w:sz="4" w:space="0"/>
            </w:tcBorders>
            <w:noWrap/>
            <w:vAlign w:val="center"/>
          </w:tcPr>
          <w:p>
            <w:pPr>
              <w:jc w:val="center"/>
              <w:rPr>
                <w:rFonts w:ascii="宋体" w:hAnsi="宋体" w:cs="宋体"/>
                <w:b/>
                <w:color w:val="000000" w:themeColor="text1"/>
              </w:rPr>
            </w:pPr>
            <w:r>
              <w:rPr>
                <w:rFonts w:hint="eastAsia" w:ascii="宋体" w:hAnsi="宋体" w:cs="宋体"/>
                <w:b/>
                <w:color w:val="000000" w:themeColor="text1"/>
              </w:rPr>
              <w:t>技术</w:t>
            </w:r>
          </w:p>
          <w:p>
            <w:pPr>
              <w:jc w:val="center"/>
              <w:rPr>
                <w:rFonts w:ascii="宋体" w:hAnsi="宋体" w:cs="宋体"/>
                <w:b/>
                <w:color w:val="000000" w:themeColor="text1"/>
              </w:rPr>
            </w:pPr>
            <w:r>
              <w:rPr>
                <w:rFonts w:hint="eastAsia" w:ascii="宋体" w:hAnsi="宋体" w:cs="宋体"/>
                <w:b/>
                <w:color w:val="000000" w:themeColor="text1"/>
              </w:rPr>
              <w:t>（26分）</w:t>
            </w:r>
          </w:p>
        </w:tc>
        <w:tc>
          <w:tcPr>
            <w:tcW w:w="984" w:type="dxa"/>
            <w:tcBorders>
              <w:top w:val="single" w:color="000000" w:sz="4" w:space="0"/>
              <w:left w:val="single" w:color="000000" w:sz="4" w:space="0"/>
              <w:right w:val="single" w:color="auto" w:sz="4" w:space="0"/>
            </w:tcBorders>
            <w:noWrap/>
            <w:vAlign w:val="center"/>
          </w:tcPr>
          <w:p>
            <w:pPr>
              <w:jc w:val="center"/>
              <w:rPr>
                <w:rFonts w:ascii="宋体" w:hAnsi="宋体" w:cs="宋体"/>
                <w:color w:val="000000" w:themeColor="text1"/>
              </w:rPr>
            </w:pPr>
            <w:r>
              <w:rPr>
                <w:rFonts w:hint="eastAsia" w:ascii="宋体" w:hAnsi="宋体" w:cs="宋体"/>
                <w:color w:val="000000" w:themeColor="text1"/>
              </w:rPr>
              <w:t>服务</w:t>
            </w:r>
          </w:p>
          <w:p>
            <w:pPr>
              <w:jc w:val="center"/>
              <w:rPr>
                <w:rFonts w:ascii="宋体" w:hAnsi="宋体" w:cs="宋体"/>
                <w:bCs/>
                <w:color w:val="000000" w:themeColor="text1"/>
              </w:rPr>
            </w:pPr>
            <w:r>
              <w:rPr>
                <w:rFonts w:hint="eastAsia" w:ascii="宋体" w:hAnsi="宋体" w:cs="宋体"/>
                <w:color w:val="000000" w:themeColor="text1"/>
              </w:rPr>
              <w:t>方案</w:t>
            </w:r>
          </w:p>
        </w:tc>
        <w:tc>
          <w:tcPr>
            <w:tcW w:w="6288" w:type="dxa"/>
            <w:tcBorders>
              <w:top w:val="single" w:color="000000" w:sz="4" w:space="0"/>
              <w:left w:val="single" w:color="auto" w:sz="4" w:space="0"/>
              <w:bottom w:val="single" w:color="auto" w:sz="4" w:space="0"/>
              <w:right w:val="single" w:color="000000" w:sz="4" w:space="0"/>
            </w:tcBorders>
            <w:noWrap/>
            <w:vAlign w:val="center"/>
          </w:tcPr>
          <w:p>
            <w:pPr>
              <w:ind w:firstLine="420" w:firstLineChars="200"/>
              <w:rPr>
                <w:rFonts w:ascii="宋体" w:hAnsi="宋体" w:cs="宋体"/>
                <w:color w:val="000000" w:themeColor="text1"/>
              </w:rPr>
            </w:pPr>
            <w:r>
              <w:rPr>
                <w:rFonts w:ascii="宋体" w:hAnsi="宋体" w:cs="宋体"/>
                <w:color w:val="000000" w:themeColor="text1"/>
              </w:rPr>
              <w:t>1</w:t>
            </w:r>
            <w:r>
              <w:rPr>
                <w:rFonts w:hint="eastAsia" w:ascii="宋体" w:hAnsi="宋体" w:cs="宋体"/>
                <w:color w:val="000000" w:themeColor="text1"/>
              </w:rPr>
              <w:t>、整体服务设计（6分）</w:t>
            </w:r>
          </w:p>
          <w:p>
            <w:pPr>
              <w:ind w:firstLine="420" w:firstLineChars="200"/>
              <w:rPr>
                <w:rFonts w:ascii="宋体" w:hAnsi="宋体" w:cs="宋体"/>
                <w:color w:val="000000" w:themeColor="text1"/>
              </w:rPr>
            </w:pPr>
            <w:r>
              <w:rPr>
                <w:rFonts w:hint="eastAsia" w:ascii="宋体" w:hAnsi="宋体" w:cs="宋体"/>
                <w:color w:val="000000" w:themeColor="text1"/>
              </w:rPr>
              <w:t>（1）项目整体设想和策划方案（2分）；</w:t>
            </w:r>
          </w:p>
          <w:p>
            <w:pPr>
              <w:ind w:firstLine="420" w:firstLineChars="200"/>
              <w:rPr>
                <w:rFonts w:ascii="宋体" w:hAnsi="宋体" w:cs="宋体"/>
                <w:color w:val="000000" w:themeColor="text1"/>
              </w:rPr>
            </w:pPr>
            <w:r>
              <w:rPr>
                <w:rFonts w:hint="eastAsia" w:ascii="宋体" w:hAnsi="宋体" w:cs="宋体"/>
                <w:color w:val="000000" w:themeColor="text1"/>
              </w:rPr>
              <w:t>投标人根据招标文件的相关要求及项目的特性，对本项目服务内容和项目进行总体分析（对宿舍楼宇建筑进行总体情况描述，分析特点及重难点，按照拟定的岗位人员划定责任片区），提出总体物业管理服务模式及理念，提供投标人对本项目总体分析、拟采用的管理服务总体模式、思路及目标等方案。详细完整、满足需求得2分，基本满足项目需求得1分，不完全满足或未提供不得分。</w:t>
            </w:r>
          </w:p>
          <w:p>
            <w:pPr>
              <w:ind w:firstLine="420" w:firstLineChars="200"/>
              <w:rPr>
                <w:rFonts w:ascii="宋体" w:hAnsi="宋体" w:cs="宋体"/>
                <w:color w:val="000000" w:themeColor="text1"/>
              </w:rPr>
            </w:pPr>
            <w:r>
              <w:rPr>
                <w:rFonts w:hint="eastAsia" w:ascii="宋体" w:hAnsi="宋体" w:cs="宋体"/>
                <w:color w:val="000000" w:themeColor="text1"/>
              </w:rPr>
              <w:t>（2）质量保证措施及管理规章制度情况（</w:t>
            </w:r>
            <w:r>
              <w:rPr>
                <w:rFonts w:ascii="宋体" w:hAnsi="宋体" w:cs="宋体"/>
                <w:color w:val="000000" w:themeColor="text1"/>
              </w:rPr>
              <w:t>2</w:t>
            </w:r>
            <w:r>
              <w:rPr>
                <w:rFonts w:hint="eastAsia" w:ascii="宋体" w:hAnsi="宋体" w:cs="宋体"/>
                <w:color w:val="000000" w:themeColor="text1"/>
              </w:rPr>
              <w:t>分）；</w:t>
            </w:r>
          </w:p>
          <w:p>
            <w:pPr>
              <w:ind w:firstLine="420" w:firstLineChars="200"/>
              <w:rPr>
                <w:rFonts w:ascii="宋体" w:hAnsi="宋体" w:cs="宋体"/>
                <w:color w:val="000000" w:themeColor="text1"/>
              </w:rPr>
            </w:pPr>
            <w:r>
              <w:rPr>
                <w:rFonts w:hint="eastAsia" w:ascii="宋体" w:hAnsi="宋体" w:cs="宋体"/>
                <w:color w:val="000000" w:themeColor="text1"/>
              </w:rPr>
              <w:t>投标人根据招标文件的相关要求及项目的特性，制定针对本项目的情况制定覆盖面广、可行性高、针对性强质量保证措施及管理规章制度。详细完整、满足需求得2分，基本满足项目需求得1分，不完全满足或未提供不得分。</w:t>
            </w:r>
          </w:p>
          <w:p>
            <w:pPr>
              <w:ind w:firstLine="420" w:firstLineChars="200"/>
              <w:rPr>
                <w:rFonts w:ascii="宋体" w:hAnsi="宋体" w:cs="宋体"/>
                <w:color w:val="000000" w:themeColor="text1"/>
              </w:rPr>
            </w:pPr>
            <w:r>
              <w:rPr>
                <w:rFonts w:hint="eastAsia" w:ascii="宋体" w:hAnsi="宋体" w:cs="宋体"/>
                <w:color w:val="000000" w:themeColor="text1"/>
              </w:rPr>
              <w:t>（3）物业服务开始及合同到期时的交接方案（2分）详细完整、满足需求得2分，基本满足项目需求得1分，不完全满足或未提供不得分</w:t>
            </w:r>
          </w:p>
          <w:p>
            <w:pPr>
              <w:ind w:firstLine="420" w:firstLineChars="200"/>
              <w:rPr>
                <w:rFonts w:ascii="宋体" w:hAnsi="宋体" w:cs="宋体"/>
                <w:color w:val="000000" w:themeColor="text1"/>
              </w:rPr>
            </w:pPr>
            <w:r>
              <w:rPr>
                <w:rFonts w:ascii="宋体" w:hAnsi="宋体" w:cs="宋体"/>
                <w:color w:val="000000" w:themeColor="text1"/>
              </w:rPr>
              <w:t>2</w:t>
            </w:r>
            <w:r>
              <w:rPr>
                <w:rFonts w:hint="eastAsia" w:ascii="宋体" w:hAnsi="宋体" w:cs="宋体"/>
                <w:color w:val="000000" w:themeColor="text1"/>
              </w:rPr>
              <w:t>、学生宿舍文化建设方案（4分）</w:t>
            </w:r>
          </w:p>
          <w:p>
            <w:pPr>
              <w:ind w:firstLine="420" w:firstLineChars="200"/>
              <w:rPr>
                <w:rFonts w:ascii="宋体" w:hAnsi="宋体" w:cs="宋体"/>
                <w:color w:val="000000" w:themeColor="text1"/>
              </w:rPr>
            </w:pPr>
            <w:r>
              <w:rPr>
                <w:rFonts w:hint="eastAsia" w:ascii="宋体" w:hAnsi="宋体" w:cs="宋体"/>
                <w:color w:val="000000" w:themeColor="text1"/>
              </w:rPr>
              <w:t>投标人根据招标文件的相关要求及项目的特性，投标人制定托管区域内的各类学生宿舍文化建设服务方案，积极做好三全育人，营造安全、舒适、温馨的宿舍环境，更好地促进学生全面发展和成人成才。详细完整、满足需求得4分，基本满足项目需求得2分，不完全满足或未提供不得分。</w:t>
            </w:r>
          </w:p>
          <w:p>
            <w:pPr>
              <w:ind w:firstLine="420" w:firstLineChars="200"/>
              <w:rPr>
                <w:rFonts w:ascii="宋体" w:hAnsi="宋体" w:cs="宋体"/>
                <w:color w:val="000000" w:themeColor="text1"/>
              </w:rPr>
            </w:pPr>
            <w:r>
              <w:rPr>
                <w:rFonts w:ascii="宋体" w:hAnsi="宋体" w:cs="宋体"/>
                <w:color w:val="000000" w:themeColor="text1"/>
              </w:rPr>
              <w:t>3</w:t>
            </w:r>
            <w:r>
              <w:rPr>
                <w:rFonts w:hint="eastAsia" w:ascii="宋体" w:hAnsi="宋体" w:cs="宋体"/>
                <w:color w:val="000000" w:themeColor="text1"/>
              </w:rPr>
              <w:t>、保洁工作服务方案（2分）</w:t>
            </w:r>
          </w:p>
          <w:p>
            <w:pPr>
              <w:ind w:firstLine="420" w:firstLineChars="200"/>
              <w:rPr>
                <w:rFonts w:ascii="宋体" w:hAnsi="宋体" w:cs="宋体"/>
                <w:color w:val="000000" w:themeColor="text1"/>
              </w:rPr>
            </w:pPr>
            <w:r>
              <w:rPr>
                <w:rFonts w:hint="eastAsia" w:ascii="宋体" w:hAnsi="宋体" w:cs="宋体"/>
                <w:color w:val="000000" w:themeColor="text1"/>
              </w:rPr>
              <w:t>投标人根据招标文件中的相关要求和项目的特性，制定托管区域内的环境卫生保洁服务方案及自身疫情防控和配合学校疫情防控的方案。详细完整、满足需求得2分，基本满足项目需求得1分，不完全满足或未提供不得分</w:t>
            </w:r>
          </w:p>
          <w:p>
            <w:pPr>
              <w:ind w:firstLine="420" w:firstLineChars="200"/>
              <w:rPr>
                <w:rFonts w:ascii="宋体" w:hAnsi="宋体" w:cs="宋体"/>
                <w:color w:val="000000" w:themeColor="text1"/>
              </w:rPr>
            </w:pPr>
            <w:r>
              <w:rPr>
                <w:rFonts w:ascii="宋体" w:hAnsi="宋体" w:cs="宋体"/>
                <w:color w:val="000000" w:themeColor="text1"/>
              </w:rPr>
              <w:t>4</w:t>
            </w:r>
            <w:r>
              <w:rPr>
                <w:rFonts w:hint="eastAsia" w:ascii="宋体" w:hAnsi="宋体" w:cs="宋体"/>
                <w:color w:val="000000" w:themeColor="text1"/>
              </w:rPr>
              <w:t>、值班员工作服务方案（2分）</w:t>
            </w:r>
          </w:p>
          <w:p>
            <w:pPr>
              <w:ind w:firstLine="420" w:firstLineChars="200"/>
              <w:rPr>
                <w:rFonts w:ascii="宋体" w:hAnsi="宋体" w:cs="宋体"/>
                <w:color w:val="000000" w:themeColor="text1"/>
              </w:rPr>
            </w:pPr>
            <w:r>
              <w:rPr>
                <w:rFonts w:hint="eastAsia" w:ascii="宋体" w:hAnsi="宋体" w:cs="宋体"/>
                <w:color w:val="000000" w:themeColor="text1"/>
              </w:rPr>
              <w:t>投标人根据招标文件中的相关要求和项目的特性，制定托管区域内的宿舍值班员服务方案。详细完整、满足需求得2分，基本满足项目需求得1分，不完全满足或未提供不得分。</w:t>
            </w:r>
          </w:p>
          <w:p>
            <w:pPr>
              <w:ind w:firstLine="420" w:firstLineChars="200"/>
              <w:rPr>
                <w:rFonts w:ascii="宋体" w:hAnsi="宋体" w:cs="宋体"/>
                <w:color w:val="000000" w:themeColor="text1"/>
              </w:rPr>
            </w:pPr>
            <w:r>
              <w:rPr>
                <w:rFonts w:ascii="宋体" w:hAnsi="宋体" w:cs="宋体"/>
                <w:color w:val="000000" w:themeColor="text1"/>
              </w:rPr>
              <w:t>5</w:t>
            </w:r>
            <w:r>
              <w:rPr>
                <w:rFonts w:hint="eastAsia" w:ascii="宋体" w:hAnsi="宋体" w:cs="宋体"/>
                <w:color w:val="000000" w:themeColor="text1"/>
              </w:rPr>
              <w:t>、宿管员工作服务方案（2分）</w:t>
            </w:r>
          </w:p>
          <w:p>
            <w:pPr>
              <w:ind w:firstLine="420" w:firstLineChars="200"/>
              <w:rPr>
                <w:rFonts w:ascii="宋体" w:hAnsi="宋体" w:cs="宋体"/>
                <w:color w:val="000000" w:themeColor="text1"/>
              </w:rPr>
            </w:pPr>
            <w:r>
              <w:rPr>
                <w:rFonts w:hint="eastAsia" w:ascii="宋体" w:hAnsi="宋体" w:cs="宋体"/>
                <w:color w:val="000000" w:themeColor="text1"/>
              </w:rPr>
              <w:t>投标人根据招标文件中的相关要求和项目的特性，制定托管区域内的宿舍管理员服务方案。详细完整、满足需求得2分，基本满足项目需求得1分，不完全满足或未提供不得分。</w:t>
            </w:r>
          </w:p>
          <w:p>
            <w:pPr>
              <w:ind w:firstLine="420" w:firstLineChars="200"/>
              <w:rPr>
                <w:rFonts w:ascii="宋体" w:hAnsi="宋体" w:cs="宋体"/>
                <w:color w:val="000000" w:themeColor="text1"/>
              </w:rPr>
            </w:pPr>
            <w:r>
              <w:rPr>
                <w:rFonts w:ascii="宋体" w:hAnsi="宋体" w:cs="宋体"/>
                <w:color w:val="000000" w:themeColor="text1"/>
              </w:rPr>
              <w:t>6</w:t>
            </w:r>
            <w:r>
              <w:rPr>
                <w:rFonts w:hint="eastAsia" w:ascii="宋体" w:hAnsi="宋体" w:cs="宋体"/>
                <w:color w:val="000000" w:themeColor="text1"/>
              </w:rPr>
              <w:t>、项目综合协调方案（2分）</w:t>
            </w:r>
          </w:p>
          <w:p>
            <w:pPr>
              <w:ind w:firstLine="420" w:firstLineChars="200"/>
              <w:rPr>
                <w:rFonts w:ascii="宋体" w:hAnsi="宋体" w:cs="宋体"/>
                <w:color w:val="000000" w:themeColor="text1"/>
              </w:rPr>
            </w:pPr>
            <w:r>
              <w:rPr>
                <w:rFonts w:hint="eastAsia" w:ascii="宋体" w:hAnsi="宋体" w:cs="宋体"/>
                <w:color w:val="000000" w:themeColor="text1"/>
              </w:rPr>
              <w:t>投标人根据招标文件中的相关要求和项目的特性，制定托管区域内日常管理服务工作的沟通协调方案。详细完整、满足需求得2分，基本满足项目需求得1分，不完全满足或未提供不得分。</w:t>
            </w:r>
          </w:p>
          <w:p>
            <w:pPr>
              <w:ind w:firstLine="420" w:firstLineChars="200"/>
              <w:rPr>
                <w:rFonts w:ascii="宋体" w:hAnsi="宋体" w:cs="宋体"/>
                <w:color w:val="000000" w:themeColor="text1"/>
              </w:rPr>
            </w:pPr>
            <w:r>
              <w:rPr>
                <w:rFonts w:hint="eastAsia" w:ascii="宋体" w:hAnsi="宋体" w:cs="宋体"/>
                <w:color w:val="000000" w:themeColor="text1"/>
              </w:rPr>
              <w:t>7、学生公寓应急处理预案（4分）</w:t>
            </w:r>
          </w:p>
          <w:p>
            <w:pPr>
              <w:ind w:firstLine="420" w:firstLineChars="200"/>
              <w:rPr>
                <w:rFonts w:ascii="宋体" w:hAnsi="宋体" w:cs="宋体"/>
                <w:color w:val="000000" w:themeColor="text1"/>
              </w:rPr>
            </w:pPr>
            <w:r>
              <w:rPr>
                <w:rFonts w:hint="eastAsia" w:ascii="宋体" w:hAnsi="宋体" w:cs="宋体"/>
                <w:color w:val="000000" w:themeColor="text1"/>
              </w:rPr>
              <w:t>投标人根据招标方的物业管理内容和要求及项目特性，结合物业服务管理范围能考虑到各种突发事件，并建立突发事件反应预案，以便在突发事件发生时，能第一时间赶到现场，并井然有序地处理突发事件，在最大限度内控制事态的发展，制定托管区域内的学生公寓应急处理预案。详细完整、满足需求得4分，基本满足项目需求得2分，，不完全满足或未提供不得分。</w:t>
            </w:r>
          </w:p>
          <w:p>
            <w:pPr>
              <w:ind w:firstLine="420" w:firstLineChars="200"/>
              <w:rPr>
                <w:rFonts w:ascii="宋体" w:hAnsi="宋体" w:cs="宋体"/>
                <w:color w:val="000000" w:themeColor="text1"/>
              </w:rPr>
            </w:pPr>
            <w:r>
              <w:rPr>
                <w:rFonts w:hint="eastAsia" w:ascii="宋体" w:hAnsi="宋体" w:cs="宋体"/>
                <w:color w:val="000000" w:themeColor="text1"/>
              </w:rPr>
              <w:t>8、学生宿舍搬迁方案（2分）</w:t>
            </w:r>
          </w:p>
          <w:p>
            <w:pPr>
              <w:ind w:firstLine="420" w:firstLineChars="200"/>
              <w:rPr>
                <w:rFonts w:ascii="宋体" w:hAnsi="宋体" w:cs="宋体"/>
                <w:color w:val="000000" w:themeColor="text1"/>
              </w:rPr>
            </w:pPr>
            <w:r>
              <w:rPr>
                <w:rFonts w:hint="eastAsia" w:ascii="宋体" w:hAnsi="宋体" w:cs="宋体"/>
                <w:color w:val="000000" w:themeColor="text1"/>
              </w:rPr>
              <w:t>投标人根据招标文件中的相关要求和项目的特性，制定托管区域内的学生宿舍搬迁服务方案。详细完整、满足需求得2分，基本满足项目需求得1分，不完全满足或未提供不得分。</w:t>
            </w:r>
          </w:p>
          <w:p>
            <w:pPr>
              <w:ind w:firstLine="420" w:firstLineChars="200"/>
              <w:rPr>
                <w:rFonts w:ascii="宋体" w:hAnsi="宋体" w:cs="宋体"/>
                <w:color w:val="000000" w:themeColor="text1"/>
              </w:rPr>
            </w:pPr>
            <w:r>
              <w:rPr>
                <w:rFonts w:hint="eastAsia" w:ascii="宋体" w:hAnsi="宋体" w:cs="宋体"/>
                <w:color w:val="000000" w:themeColor="text1"/>
              </w:rPr>
              <w:t>9、毕业生离校、新生接待方案（2分）</w:t>
            </w:r>
          </w:p>
          <w:p>
            <w:pPr>
              <w:ind w:firstLine="420" w:firstLineChars="200"/>
              <w:rPr>
                <w:rFonts w:ascii="宋体" w:hAnsi="宋体" w:cs="宋体"/>
                <w:color w:val="000000" w:themeColor="text1"/>
              </w:rPr>
            </w:pPr>
            <w:r>
              <w:rPr>
                <w:rFonts w:hint="eastAsia" w:ascii="宋体" w:hAnsi="宋体" w:cs="宋体"/>
                <w:color w:val="000000" w:themeColor="text1"/>
              </w:rPr>
              <w:t>投标人根据招标文件中的相关要求和项目的特性，制定托管区域内的学生毕业文明离校、新生报到接待服务方案。详细完整、满足需求得2分，基本满足项目需求得1分，不完全满足或未提供不得分。</w:t>
            </w:r>
          </w:p>
        </w:tc>
        <w:tc>
          <w:tcPr>
            <w:tcW w:w="1050" w:type="dxa"/>
            <w:tcBorders>
              <w:left w:val="single" w:color="000000" w:sz="4" w:space="0"/>
              <w:bottom w:val="single" w:color="auto" w:sz="4" w:space="0"/>
              <w:right w:val="single" w:color="000000" w:sz="4" w:space="0"/>
            </w:tcBorders>
            <w:noWrap/>
            <w:vAlign w:val="center"/>
          </w:tcPr>
          <w:p>
            <w:pPr>
              <w:jc w:val="center"/>
              <w:rPr>
                <w:rFonts w:ascii="宋体" w:hAnsi="宋体" w:cs="宋体"/>
                <w:bCs/>
                <w:color w:val="000000" w:themeColor="text1"/>
              </w:rPr>
            </w:pPr>
            <w:r>
              <w:rPr>
                <w:rFonts w:hint="eastAsia" w:ascii="宋体" w:hAnsi="宋体" w:cs="宋体"/>
                <w:color w:val="000000" w:themeColor="text1"/>
              </w:rPr>
              <w:t>26</w:t>
            </w:r>
            <w:r>
              <w:rPr>
                <w:rFonts w:hint="eastAsia" w:ascii="宋体" w:hAnsi="宋体" w:cs="宋体"/>
                <w:bCs/>
                <w:color w:val="000000" w:themeColor="text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continue"/>
            <w:tcBorders>
              <w:left w:val="single" w:color="000000" w:sz="4" w:space="0"/>
              <w:right w:val="single" w:color="000000" w:sz="4" w:space="0"/>
            </w:tcBorders>
            <w:noWrap/>
            <w:vAlign w:val="center"/>
          </w:tcPr>
          <w:p>
            <w:pPr>
              <w:rPr>
                <w:rFonts w:ascii="宋体" w:hAnsi="宋体" w:cs="宋体"/>
                <w:b/>
                <w:color w:val="000000" w:themeColor="text1"/>
              </w:rPr>
            </w:pPr>
          </w:p>
        </w:tc>
        <w:tc>
          <w:tcPr>
            <w:tcW w:w="984" w:type="dxa"/>
            <w:tcBorders>
              <w:top w:val="single" w:color="auto" w:sz="4" w:space="0"/>
              <w:left w:val="single" w:color="000000" w:sz="4" w:space="0"/>
              <w:bottom w:val="single" w:color="auto" w:sz="4" w:space="0"/>
              <w:right w:val="single" w:color="auto" w:sz="4" w:space="0"/>
            </w:tcBorders>
            <w:noWrap/>
            <w:vAlign w:val="center"/>
          </w:tcPr>
          <w:p>
            <w:pPr>
              <w:jc w:val="center"/>
              <w:rPr>
                <w:rFonts w:ascii="宋体" w:hAnsi="宋体" w:cs="宋体"/>
                <w:bCs/>
                <w:color w:val="000000" w:themeColor="text1"/>
              </w:rPr>
            </w:pPr>
            <w:r>
              <w:rPr>
                <w:rFonts w:hint="eastAsia" w:ascii="宋体" w:hAnsi="宋体" w:cs="宋体"/>
                <w:color w:val="000000" w:themeColor="text1"/>
              </w:rPr>
              <w:t>设备投入</w:t>
            </w:r>
          </w:p>
        </w:tc>
        <w:tc>
          <w:tcPr>
            <w:tcW w:w="6288" w:type="dxa"/>
            <w:tcBorders>
              <w:top w:val="single" w:color="auto" w:sz="4" w:space="0"/>
              <w:left w:val="single" w:color="auto" w:sz="4" w:space="0"/>
              <w:bottom w:val="single" w:color="auto" w:sz="4" w:space="0"/>
              <w:right w:val="single" w:color="000000" w:sz="4" w:space="0"/>
            </w:tcBorders>
            <w:noWrap/>
            <w:vAlign w:val="center"/>
          </w:tcPr>
          <w:p>
            <w:pPr>
              <w:ind w:firstLine="420" w:firstLineChars="200"/>
              <w:rPr>
                <w:rFonts w:ascii="宋体" w:hAnsi="宋体" w:cs="宋体"/>
                <w:color w:val="000000" w:themeColor="text1"/>
              </w:rPr>
            </w:pPr>
            <w:r>
              <w:rPr>
                <w:rFonts w:hint="eastAsia" w:ascii="宋体" w:hAnsi="宋体" w:cs="宋体"/>
                <w:color w:val="000000" w:themeColor="text1"/>
              </w:rPr>
              <w:t>投标人须根据招标文件的要求配备相应的设施设备，详细完整、满足需求得3分，基本满足项目需求得1.5分，不完全满足或未提供不得分。</w:t>
            </w:r>
          </w:p>
        </w:tc>
        <w:tc>
          <w:tcPr>
            <w:tcW w:w="1050" w:type="dxa"/>
            <w:tcBorders>
              <w:top w:val="single" w:color="auto" w:sz="4" w:space="0"/>
              <w:left w:val="single" w:color="000000" w:sz="4" w:space="0"/>
              <w:bottom w:val="single" w:color="auto" w:sz="4" w:space="0"/>
              <w:right w:val="single" w:color="000000" w:sz="4" w:space="0"/>
            </w:tcBorders>
            <w:noWrap/>
            <w:vAlign w:val="center"/>
          </w:tcPr>
          <w:p>
            <w:pPr>
              <w:jc w:val="center"/>
              <w:rPr>
                <w:rFonts w:ascii="宋体" w:hAnsi="宋体" w:cs="宋体"/>
                <w:b/>
                <w:color w:val="000000" w:themeColor="text1"/>
              </w:rPr>
            </w:pPr>
            <w:r>
              <w:rPr>
                <w:rFonts w:hint="eastAsia" w:ascii="宋体" w:hAnsi="宋体" w:cs="宋体"/>
                <w:color w:val="000000" w:themeColor="text1"/>
              </w:rPr>
              <w:t>3</w:t>
            </w:r>
            <w:r>
              <w:rPr>
                <w:rFonts w:hint="eastAsia" w:ascii="宋体" w:hAnsi="宋体" w:cs="宋体"/>
                <w:bCs/>
                <w:color w:val="000000" w:themeColor="text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continue"/>
            <w:tcBorders>
              <w:left w:val="single" w:color="000000" w:sz="4" w:space="0"/>
              <w:right w:val="single" w:color="000000" w:sz="4" w:space="0"/>
            </w:tcBorders>
            <w:noWrap/>
            <w:vAlign w:val="center"/>
          </w:tcPr>
          <w:p>
            <w:pPr>
              <w:rPr>
                <w:rFonts w:ascii="宋体" w:hAnsi="宋体" w:cs="宋体"/>
                <w:b/>
                <w:color w:val="000000" w:themeColor="text1"/>
              </w:rPr>
            </w:pPr>
          </w:p>
        </w:tc>
        <w:tc>
          <w:tcPr>
            <w:tcW w:w="984" w:type="dxa"/>
            <w:tcBorders>
              <w:top w:val="single" w:color="auto" w:sz="4" w:space="0"/>
              <w:left w:val="single" w:color="000000" w:sz="4" w:space="0"/>
              <w:bottom w:val="single" w:color="auto" w:sz="4" w:space="0"/>
              <w:right w:val="single" w:color="auto" w:sz="4" w:space="0"/>
            </w:tcBorders>
            <w:noWrap/>
            <w:vAlign w:val="center"/>
          </w:tcPr>
          <w:p>
            <w:pPr>
              <w:jc w:val="center"/>
              <w:rPr>
                <w:rFonts w:ascii="宋体" w:hAnsi="宋体" w:cs="宋体"/>
                <w:color w:val="000000" w:themeColor="text1"/>
              </w:rPr>
            </w:pPr>
            <w:r>
              <w:rPr>
                <w:rFonts w:hint="eastAsia" w:ascii="宋体" w:hAnsi="宋体" w:cs="宋体"/>
                <w:color w:val="000000" w:themeColor="text1"/>
              </w:rPr>
              <w:t>述标</w:t>
            </w:r>
          </w:p>
          <w:p>
            <w:pPr>
              <w:jc w:val="center"/>
              <w:rPr>
                <w:rFonts w:ascii="宋体" w:hAnsi="宋体" w:cs="宋体"/>
                <w:bCs/>
                <w:color w:val="000000" w:themeColor="text1"/>
              </w:rPr>
            </w:pPr>
            <w:r>
              <w:rPr>
                <w:rFonts w:hint="eastAsia" w:ascii="宋体" w:hAnsi="宋体" w:cs="宋体"/>
                <w:color w:val="000000" w:themeColor="text1"/>
              </w:rPr>
              <w:t>答辩</w:t>
            </w:r>
          </w:p>
        </w:tc>
        <w:tc>
          <w:tcPr>
            <w:tcW w:w="6288" w:type="dxa"/>
            <w:tcBorders>
              <w:top w:val="single" w:color="auto" w:sz="4" w:space="0"/>
              <w:left w:val="single" w:color="auto" w:sz="4" w:space="0"/>
              <w:bottom w:val="single" w:color="auto" w:sz="4" w:space="0"/>
              <w:right w:val="single" w:color="000000" w:sz="4" w:space="0"/>
            </w:tcBorders>
            <w:noWrap/>
            <w:vAlign w:val="center"/>
          </w:tcPr>
          <w:p>
            <w:pPr>
              <w:ind w:firstLine="420" w:firstLineChars="200"/>
              <w:rPr>
                <w:rFonts w:ascii="宋体" w:hAnsi="宋体" w:cs="宋体"/>
                <w:color w:val="000000" w:themeColor="text1"/>
              </w:rPr>
            </w:pPr>
            <w:r>
              <w:rPr>
                <w:rFonts w:hint="eastAsia" w:ascii="宋体" w:hAnsi="宋体" w:cs="宋体"/>
                <w:color w:val="000000" w:themeColor="text1"/>
              </w:rPr>
              <w:t>1.述标：投标人拟派驻本项目的项目负责人对宿舍服务方案、宿舍文化建设方案进行阐述，时间不超过5分钟。评委根据其阐述思路是否清晰、语言是否简练、表达是否流畅等进行评分。优：4分；良：3分；一般：2分，差：1分</w:t>
            </w:r>
          </w:p>
          <w:p>
            <w:pPr>
              <w:ind w:firstLine="420" w:firstLineChars="200"/>
              <w:rPr>
                <w:rFonts w:ascii="宋体" w:hAnsi="宋体" w:cs="宋体"/>
                <w:color w:val="000000" w:themeColor="text1"/>
              </w:rPr>
            </w:pPr>
            <w:r>
              <w:rPr>
                <w:rFonts w:hint="eastAsia" w:ascii="宋体" w:hAnsi="宋体" w:cs="宋体"/>
                <w:color w:val="000000" w:themeColor="text1"/>
              </w:rPr>
              <w:t>2.答辩：投标人拟派驻本项目的项目负责人针对评委提出的问题进行答辩。评委根据其阐述思路是否清晰、语言是否简练、表达是否流畅等进行评分。优：4分；良：3分；一般：2分，差：1分。</w:t>
            </w:r>
          </w:p>
          <w:p>
            <w:pPr>
              <w:ind w:firstLine="420" w:firstLineChars="200"/>
              <w:rPr>
                <w:color w:val="000000" w:themeColor="text1"/>
              </w:rPr>
            </w:pPr>
            <w:r>
              <w:rPr>
                <w:rFonts w:hint="eastAsia" w:ascii="宋体" w:hAnsi="宋体" w:cs="宋体"/>
                <w:color w:val="000000" w:themeColor="text1"/>
              </w:rPr>
              <w:t>答辩等级按优25%，良30%，一般25%，差20%比例取整评定。</w:t>
            </w:r>
          </w:p>
        </w:tc>
        <w:tc>
          <w:tcPr>
            <w:tcW w:w="1050" w:type="dxa"/>
            <w:tcBorders>
              <w:top w:val="single" w:color="auto" w:sz="4" w:space="0"/>
              <w:left w:val="single" w:color="000000" w:sz="4" w:space="0"/>
              <w:bottom w:val="single" w:color="auto" w:sz="4" w:space="0"/>
              <w:right w:val="single" w:color="000000" w:sz="4" w:space="0"/>
            </w:tcBorders>
            <w:noWrap/>
            <w:vAlign w:val="center"/>
          </w:tcPr>
          <w:p>
            <w:pPr>
              <w:jc w:val="center"/>
              <w:rPr>
                <w:rFonts w:ascii="宋体" w:hAnsi="宋体" w:cs="宋体"/>
                <w:b/>
                <w:color w:val="000000" w:themeColor="text1"/>
              </w:rPr>
            </w:pPr>
            <w:r>
              <w:rPr>
                <w:rFonts w:hint="eastAsia" w:ascii="宋体" w:hAnsi="宋体" w:cs="宋体"/>
                <w:color w:val="000000" w:themeColor="text1"/>
              </w:rPr>
              <w:t>8</w:t>
            </w:r>
            <w:r>
              <w:rPr>
                <w:rFonts w:hint="eastAsia" w:ascii="宋体" w:hAnsi="宋体" w:cs="宋体"/>
                <w:bCs/>
                <w:color w:val="000000" w:themeColor="text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9459" w:type="dxa"/>
            <w:gridSpan w:val="4"/>
            <w:tcBorders>
              <w:left w:val="single" w:color="000000" w:sz="4" w:space="0"/>
              <w:right w:val="single" w:color="000000" w:sz="4" w:space="0"/>
            </w:tcBorders>
            <w:noWrap/>
            <w:vAlign w:val="center"/>
          </w:tcPr>
          <w:p>
            <w:pPr>
              <w:tabs>
                <w:tab w:val="left" w:pos="1070"/>
              </w:tabs>
              <w:rPr>
                <w:rFonts w:ascii="宋体" w:hAnsi="宋体" w:cs="宋体"/>
                <w:color w:val="000000" w:themeColor="text1"/>
              </w:rPr>
            </w:pPr>
            <w:r>
              <w:rPr>
                <w:rFonts w:hint="eastAsia" w:ascii="宋体" w:hAnsi="宋体" w:cs="宋体"/>
                <w:b/>
                <w:bCs/>
                <w:color w:val="000000" w:themeColor="text1"/>
              </w:rPr>
              <w:t>特别说明：业绩合同及相关证书原件须带到投标现场备查。</w:t>
            </w:r>
          </w:p>
        </w:tc>
      </w:tr>
    </w:tbl>
    <w:p>
      <w:pPr>
        <w:spacing w:line="360" w:lineRule="auto"/>
        <w:ind w:firstLine="480" w:firstLineChars="200"/>
        <w:rPr>
          <w:rFonts w:ascii="宋体" w:hAnsi="宋体"/>
          <w:color w:val="000000" w:themeColor="text1"/>
          <w:sz w:val="24"/>
          <w:szCs w:val="24"/>
        </w:rPr>
      </w:pP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说明：</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1、若供应商提供虚假资料，一经查实取消其中标候选人资格，并向相关主管部门汇报。</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2、中标单位不得转包、分包，如果发现有转包、分包情况，则取消其中标候选人资格，并向相关主管部门汇报。</w:t>
      </w:r>
    </w:p>
    <w:p>
      <w:pPr>
        <w:spacing w:line="360" w:lineRule="auto"/>
        <w:ind w:firstLine="480" w:firstLineChars="200"/>
        <w:rPr>
          <w:rStyle w:val="43"/>
          <w:rFonts w:ascii="宋体" w:hAnsi="宋体" w:cs="宋体"/>
          <w:b/>
          <w:color w:val="000000" w:themeColor="text1"/>
          <w:sz w:val="44"/>
        </w:rPr>
      </w:pPr>
      <w:r>
        <w:rPr>
          <w:rFonts w:hint="eastAsia" w:ascii="宋体" w:hAnsi="宋体"/>
          <w:color w:val="000000" w:themeColor="text1"/>
          <w:sz w:val="24"/>
          <w:szCs w:val="24"/>
        </w:rPr>
        <w:br w:type="page"/>
      </w:r>
    </w:p>
    <w:p>
      <w:pPr>
        <w:pStyle w:val="33"/>
        <w:outlineLvl w:val="0"/>
        <w:rPr>
          <w:rStyle w:val="43"/>
          <w:rFonts w:ascii="宋体" w:hAnsi="宋体" w:eastAsia="宋体" w:cs="宋体"/>
          <w:b/>
          <w:color w:val="000000" w:themeColor="text1"/>
          <w:sz w:val="44"/>
        </w:rPr>
      </w:pPr>
      <w:bookmarkStart w:id="5" w:name="_Toc20541"/>
      <w:r>
        <w:rPr>
          <w:rStyle w:val="43"/>
          <w:rFonts w:hint="eastAsia" w:ascii="宋体" w:hAnsi="宋体" w:eastAsia="宋体" w:cs="宋体"/>
          <w:b/>
          <w:color w:val="000000" w:themeColor="text1"/>
          <w:sz w:val="44"/>
        </w:rPr>
        <w:t>第六章  投标文件格式</w:t>
      </w:r>
      <w:bookmarkEnd w:id="5"/>
    </w:p>
    <w:p>
      <w:pPr>
        <w:jc w:val="center"/>
        <w:rPr>
          <w:rStyle w:val="43"/>
          <w:rFonts w:ascii="宋体" w:hAnsi="宋体" w:cs="宋体"/>
          <w:b/>
          <w:color w:val="000000" w:themeColor="text1"/>
          <w:sz w:val="72"/>
        </w:rPr>
      </w:pPr>
    </w:p>
    <w:p>
      <w:pPr>
        <w:jc w:val="center"/>
        <w:outlineLvl w:val="0"/>
        <w:rPr>
          <w:rStyle w:val="43"/>
          <w:rFonts w:ascii="宋体" w:hAnsi="宋体" w:cs="宋体"/>
          <w:b/>
          <w:color w:val="000000" w:themeColor="text1"/>
          <w:sz w:val="72"/>
        </w:rPr>
      </w:pPr>
      <w:bookmarkStart w:id="6" w:name="_Toc26413"/>
      <w:r>
        <w:rPr>
          <w:rStyle w:val="43"/>
          <w:rFonts w:hint="eastAsia" w:ascii="宋体" w:hAnsi="宋体" w:cs="宋体"/>
          <w:b/>
          <w:color w:val="000000" w:themeColor="text1"/>
          <w:sz w:val="72"/>
        </w:rPr>
        <w:t>投  标  文  件</w:t>
      </w:r>
      <w:bookmarkEnd w:id="6"/>
    </w:p>
    <w:p>
      <w:pPr>
        <w:jc w:val="center"/>
        <w:outlineLvl w:val="0"/>
        <w:rPr>
          <w:rStyle w:val="43"/>
          <w:rFonts w:ascii="宋体" w:hAnsi="宋体" w:cs="宋体"/>
          <w:b/>
          <w:color w:val="000000" w:themeColor="text1"/>
          <w:sz w:val="72"/>
        </w:rPr>
      </w:pPr>
      <w:bookmarkStart w:id="7" w:name="_Toc17655"/>
      <w:r>
        <w:rPr>
          <w:rStyle w:val="43"/>
          <w:rFonts w:hint="eastAsia" w:ascii="宋体" w:hAnsi="宋体" w:cs="宋体"/>
          <w:b/>
          <w:color w:val="000000" w:themeColor="text1"/>
          <w:sz w:val="36"/>
        </w:rPr>
        <w:t>（正或副本）</w:t>
      </w:r>
      <w:bookmarkEnd w:id="7"/>
    </w:p>
    <w:p>
      <w:pPr>
        <w:jc w:val="center"/>
        <w:rPr>
          <w:rStyle w:val="43"/>
          <w:rFonts w:ascii="宋体" w:hAnsi="宋体" w:cs="宋体"/>
          <w:b/>
          <w:color w:val="000000" w:themeColor="text1"/>
          <w:sz w:val="72"/>
        </w:rPr>
      </w:pPr>
    </w:p>
    <w:p>
      <w:pPr>
        <w:jc w:val="center"/>
        <w:rPr>
          <w:rStyle w:val="43"/>
          <w:rFonts w:ascii="宋体" w:hAnsi="宋体" w:cs="宋体"/>
          <w:b/>
          <w:color w:val="000000" w:themeColor="text1"/>
          <w:sz w:val="36"/>
        </w:rPr>
      </w:pPr>
    </w:p>
    <w:p>
      <w:pPr>
        <w:jc w:val="center"/>
        <w:rPr>
          <w:rStyle w:val="43"/>
          <w:rFonts w:ascii="宋体" w:hAnsi="宋体" w:cs="宋体"/>
          <w:b/>
          <w:color w:val="000000" w:themeColor="text1"/>
          <w:sz w:val="36"/>
        </w:rPr>
      </w:pPr>
    </w:p>
    <w:p>
      <w:pPr>
        <w:jc w:val="center"/>
        <w:rPr>
          <w:rStyle w:val="43"/>
          <w:rFonts w:ascii="宋体" w:hAnsi="宋体" w:cs="宋体"/>
          <w:b/>
          <w:color w:val="000000" w:themeColor="text1"/>
          <w:sz w:val="36"/>
        </w:rPr>
      </w:pPr>
    </w:p>
    <w:p>
      <w:pPr>
        <w:ind w:firstLine="1084" w:firstLineChars="300"/>
        <w:outlineLvl w:val="0"/>
        <w:rPr>
          <w:rStyle w:val="43"/>
          <w:rFonts w:ascii="宋体" w:hAnsi="宋体" w:cs="宋体"/>
          <w:b/>
          <w:color w:val="000000" w:themeColor="text1"/>
          <w:sz w:val="36"/>
        </w:rPr>
      </w:pPr>
      <w:bookmarkStart w:id="8" w:name="_Toc8567"/>
      <w:r>
        <w:rPr>
          <w:rStyle w:val="43"/>
          <w:rFonts w:hint="eastAsia" w:ascii="宋体" w:hAnsi="宋体" w:cs="宋体"/>
          <w:b/>
          <w:color w:val="000000" w:themeColor="text1"/>
          <w:sz w:val="36"/>
        </w:rPr>
        <w:t>项 目 名 称：</w:t>
      </w:r>
      <w:bookmarkEnd w:id="8"/>
    </w:p>
    <w:p>
      <w:pPr>
        <w:ind w:firstLine="1084" w:firstLineChars="300"/>
        <w:outlineLvl w:val="0"/>
        <w:rPr>
          <w:rStyle w:val="43"/>
          <w:rFonts w:ascii="宋体" w:hAnsi="宋体" w:cs="宋体"/>
          <w:b/>
          <w:color w:val="000000" w:themeColor="text1"/>
          <w:sz w:val="36"/>
          <w:u w:val="single" w:color="000000"/>
        </w:rPr>
      </w:pPr>
      <w:bookmarkStart w:id="9" w:name="_Toc20815"/>
      <w:r>
        <w:rPr>
          <w:rStyle w:val="43"/>
          <w:rFonts w:hint="eastAsia" w:ascii="宋体" w:hAnsi="宋体" w:cs="宋体"/>
          <w:b/>
          <w:color w:val="000000" w:themeColor="text1"/>
          <w:sz w:val="36"/>
        </w:rPr>
        <w:t>招 标 编 号：</w:t>
      </w:r>
      <w:bookmarkEnd w:id="9"/>
    </w:p>
    <w:p>
      <w:pPr>
        <w:ind w:firstLine="1084" w:firstLineChars="300"/>
        <w:outlineLvl w:val="0"/>
        <w:rPr>
          <w:rStyle w:val="43"/>
          <w:rFonts w:ascii="宋体" w:hAnsi="宋体" w:cs="宋体"/>
          <w:b/>
          <w:color w:val="000000" w:themeColor="text1"/>
          <w:sz w:val="36"/>
          <w:u w:val="single" w:color="000000"/>
        </w:rPr>
      </w:pPr>
      <w:bookmarkStart w:id="10" w:name="_Toc15597"/>
      <w:r>
        <w:rPr>
          <w:rStyle w:val="43"/>
          <w:rFonts w:hint="eastAsia" w:ascii="宋体" w:hAnsi="宋体" w:cs="宋体"/>
          <w:b/>
          <w:color w:val="000000" w:themeColor="text1"/>
          <w:sz w:val="36"/>
        </w:rPr>
        <w:t>投标人名称 ：</w:t>
      </w:r>
      <w:bookmarkEnd w:id="10"/>
    </w:p>
    <w:p>
      <w:pPr>
        <w:ind w:firstLine="1084" w:firstLineChars="300"/>
        <w:outlineLvl w:val="0"/>
        <w:rPr>
          <w:rStyle w:val="43"/>
          <w:rFonts w:ascii="宋体" w:hAnsi="宋体" w:cs="宋体"/>
          <w:b/>
          <w:color w:val="000000" w:themeColor="text1"/>
          <w:sz w:val="36"/>
        </w:rPr>
      </w:pPr>
      <w:bookmarkStart w:id="11" w:name="_Toc26387"/>
      <w:r>
        <w:rPr>
          <w:rStyle w:val="43"/>
          <w:rFonts w:hint="eastAsia" w:ascii="宋体" w:hAnsi="宋体" w:cs="宋体"/>
          <w:b/>
          <w:color w:val="000000" w:themeColor="text1"/>
          <w:sz w:val="36"/>
        </w:rPr>
        <w:t>日      期 ：</w:t>
      </w:r>
      <w:bookmarkEnd w:id="11"/>
    </w:p>
    <w:p>
      <w:pPr>
        <w:spacing w:line="440" w:lineRule="exact"/>
        <w:jc w:val="center"/>
        <w:rPr>
          <w:rStyle w:val="43"/>
          <w:rFonts w:ascii="宋体" w:hAnsi="宋体" w:cs="宋体"/>
          <w:b/>
          <w:bCs/>
          <w:color w:val="000000" w:themeColor="text1"/>
          <w:sz w:val="32"/>
          <w:szCs w:val="32"/>
        </w:rPr>
      </w:pPr>
    </w:p>
    <w:p>
      <w:pPr>
        <w:spacing w:line="440" w:lineRule="exact"/>
        <w:ind w:firstLine="480" w:firstLineChars="200"/>
        <w:rPr>
          <w:rStyle w:val="43"/>
          <w:rFonts w:ascii="宋体" w:hAnsi="宋体" w:cs="宋体"/>
          <w:color w:val="000000" w:themeColor="text1"/>
          <w:sz w:val="24"/>
        </w:rPr>
      </w:pPr>
    </w:p>
    <w:p>
      <w:pPr>
        <w:spacing w:line="440" w:lineRule="exact"/>
        <w:ind w:firstLine="480" w:firstLineChars="200"/>
        <w:rPr>
          <w:rStyle w:val="43"/>
          <w:rFonts w:ascii="宋体" w:hAnsi="宋体" w:cs="宋体"/>
          <w:color w:val="000000" w:themeColor="text1"/>
          <w:sz w:val="24"/>
        </w:rPr>
      </w:pPr>
    </w:p>
    <w:p>
      <w:pPr>
        <w:spacing w:line="440" w:lineRule="exact"/>
        <w:rPr>
          <w:rStyle w:val="43"/>
          <w:rFonts w:ascii="宋体" w:hAnsi="宋体" w:cs="宋体"/>
          <w:color w:val="000000" w:themeColor="text1"/>
          <w:sz w:val="24"/>
        </w:rPr>
      </w:pPr>
    </w:p>
    <w:p>
      <w:pPr>
        <w:pStyle w:val="6"/>
        <w:rPr>
          <w:rStyle w:val="43"/>
          <w:rFonts w:ascii="宋体" w:hAnsi="宋体" w:eastAsia="宋体" w:cs="宋体"/>
          <w:b w:val="0"/>
          <w:color w:val="000000" w:themeColor="text1"/>
          <w:sz w:val="24"/>
          <w:szCs w:val="21"/>
        </w:rPr>
      </w:pPr>
    </w:p>
    <w:p>
      <w:pPr>
        <w:rPr>
          <w:color w:val="000000" w:themeColor="text1"/>
        </w:rPr>
      </w:pPr>
    </w:p>
    <w:p>
      <w:pPr>
        <w:rPr>
          <w:rStyle w:val="43"/>
          <w:rFonts w:ascii="宋体" w:hAnsi="宋体" w:cs="宋体"/>
          <w:color w:val="000000" w:themeColor="text1"/>
          <w:sz w:val="24"/>
        </w:rPr>
      </w:pPr>
    </w:p>
    <w:p>
      <w:pPr>
        <w:pStyle w:val="23"/>
        <w:rPr>
          <w:color w:val="000000" w:themeColor="text1"/>
        </w:rPr>
      </w:pPr>
    </w:p>
    <w:p>
      <w:pPr>
        <w:spacing w:line="440" w:lineRule="exact"/>
        <w:jc w:val="center"/>
        <w:rPr>
          <w:rFonts w:ascii="宋体" w:hAnsi="宋体" w:cs="宋体"/>
          <w:b/>
          <w:color w:val="000000" w:themeColor="text1"/>
          <w:sz w:val="30"/>
          <w:szCs w:val="30"/>
        </w:rPr>
      </w:pPr>
      <w:bookmarkStart w:id="12" w:name="_Toc17998"/>
      <w:r>
        <w:rPr>
          <w:rFonts w:hint="eastAsia" w:ascii="宋体" w:hAnsi="宋体" w:cs="宋体"/>
          <w:b/>
          <w:color w:val="000000" w:themeColor="text1"/>
          <w:sz w:val="30"/>
          <w:szCs w:val="30"/>
        </w:rPr>
        <w:t>评分索引表</w:t>
      </w:r>
    </w:p>
    <w:p>
      <w:pPr>
        <w:spacing w:line="440" w:lineRule="exact"/>
        <w:jc w:val="center"/>
        <w:rPr>
          <w:rFonts w:ascii="宋体" w:hAnsi="宋体" w:cs="宋体"/>
          <w:b/>
          <w:color w:val="000000" w:themeColor="text1"/>
          <w:sz w:val="30"/>
          <w:szCs w:val="30"/>
        </w:rPr>
      </w:pPr>
    </w:p>
    <w:tbl>
      <w:tblPr>
        <w:tblStyle w:val="24"/>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5"/>
        <w:gridCol w:w="3125"/>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05" w:type="dxa"/>
            <w:noWrap/>
          </w:tcPr>
          <w:p>
            <w:pPr>
              <w:pStyle w:val="162"/>
              <w:shd w:val="clear" w:color="auto" w:fill="FFFFFF"/>
              <w:spacing w:line="265" w:lineRule="atLeast"/>
              <w:ind w:left="420"/>
              <w:jc w:val="center"/>
              <w:rPr>
                <w:rFonts w:ascii="宋体" w:hAnsi="宋体" w:cs="宋体"/>
                <w:b/>
                <w:bCs/>
                <w:color w:val="000000" w:themeColor="text1"/>
                <w:lang w:eastAsia="zh-CN"/>
              </w:rPr>
            </w:pPr>
            <w:r>
              <w:rPr>
                <w:rFonts w:hint="eastAsia" w:ascii="宋体" w:hAnsi="宋体" w:cs="宋体"/>
                <w:b/>
                <w:color w:val="000000" w:themeColor="text1"/>
              </w:rPr>
              <w:t>评分项目</w:t>
            </w:r>
          </w:p>
        </w:tc>
        <w:tc>
          <w:tcPr>
            <w:tcW w:w="3125" w:type="dxa"/>
            <w:noWrap/>
          </w:tcPr>
          <w:p>
            <w:pPr>
              <w:jc w:val="center"/>
              <w:rPr>
                <w:rFonts w:ascii="宋体" w:hAnsi="宋体" w:cs="宋体"/>
                <w:b/>
                <w:color w:val="000000" w:themeColor="text1"/>
              </w:rPr>
            </w:pPr>
            <w:r>
              <w:rPr>
                <w:rFonts w:hint="eastAsia" w:ascii="宋体" w:hAnsi="宋体" w:cs="宋体"/>
                <w:b/>
                <w:color w:val="000000" w:themeColor="text1"/>
                <w:kern w:val="0"/>
                <w:sz w:val="24"/>
                <w:lang w:bidi="en-US"/>
              </w:rPr>
              <w:t>在投标文件中的页码位置</w:t>
            </w:r>
          </w:p>
        </w:tc>
        <w:tc>
          <w:tcPr>
            <w:tcW w:w="1741" w:type="dxa"/>
            <w:noWrap/>
          </w:tcPr>
          <w:p>
            <w:pPr>
              <w:jc w:val="center"/>
              <w:rPr>
                <w:rFonts w:ascii="宋体" w:hAnsi="宋体" w:cs="宋体"/>
                <w:b/>
                <w:color w:val="000000" w:themeColor="text1"/>
                <w:kern w:val="0"/>
                <w:sz w:val="24"/>
                <w:lang w:bidi="en-US"/>
              </w:rPr>
            </w:pPr>
            <w:r>
              <w:rPr>
                <w:rFonts w:hint="eastAsia" w:ascii="宋体" w:hAnsi="宋体" w:cs="宋体"/>
                <w:b/>
                <w:color w:val="000000" w:themeColor="text1"/>
                <w:kern w:val="0"/>
                <w:sz w:val="24"/>
                <w:lang w:bidi="en-US"/>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05" w:type="dxa"/>
            <w:noWrap/>
          </w:tcPr>
          <w:p>
            <w:pPr>
              <w:pStyle w:val="162"/>
              <w:shd w:val="clear" w:color="auto" w:fill="FFFFFF"/>
              <w:spacing w:line="265" w:lineRule="atLeast"/>
              <w:ind w:left="420"/>
              <w:jc w:val="both"/>
              <w:rPr>
                <w:rFonts w:ascii="宋体" w:hAnsi="宋体" w:cs="宋体"/>
                <w:b/>
                <w:color w:val="000000" w:themeColor="text1"/>
                <w:lang w:eastAsia="zh-CN"/>
              </w:rPr>
            </w:pPr>
          </w:p>
        </w:tc>
        <w:tc>
          <w:tcPr>
            <w:tcW w:w="3125" w:type="dxa"/>
            <w:noWrap/>
          </w:tcPr>
          <w:p>
            <w:pPr>
              <w:rPr>
                <w:rFonts w:ascii="宋体" w:hAnsi="宋体" w:cs="宋体"/>
                <w:b/>
                <w:color w:val="000000" w:themeColor="text1"/>
                <w:kern w:val="0"/>
                <w:sz w:val="24"/>
                <w:lang w:bidi="en-US"/>
              </w:rPr>
            </w:pPr>
          </w:p>
        </w:tc>
        <w:tc>
          <w:tcPr>
            <w:tcW w:w="1741" w:type="dxa"/>
            <w:noWrap/>
          </w:tcPr>
          <w:p>
            <w:pPr>
              <w:rPr>
                <w:rFonts w:ascii="宋体" w:hAnsi="宋体" w:cs="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30" w:type="dxa"/>
            <w:gridSpan w:val="2"/>
            <w:noWrap/>
          </w:tcPr>
          <w:p>
            <w:pPr>
              <w:pStyle w:val="162"/>
              <w:shd w:val="clear" w:color="auto" w:fill="FFFFFF"/>
              <w:spacing w:line="265" w:lineRule="atLeast"/>
              <w:ind w:left="420"/>
              <w:jc w:val="both"/>
              <w:rPr>
                <w:rFonts w:ascii="宋体" w:hAnsi="宋体" w:cs="宋体"/>
                <w:color w:val="000000" w:themeColor="text1"/>
                <w:lang w:eastAsia="zh-CN"/>
              </w:rPr>
            </w:pPr>
          </w:p>
        </w:tc>
        <w:tc>
          <w:tcPr>
            <w:tcW w:w="1741" w:type="dxa"/>
            <w:noWrap/>
          </w:tcPr>
          <w:p>
            <w:pPr>
              <w:pStyle w:val="162"/>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05" w:type="dxa"/>
            <w:noWrap/>
          </w:tcPr>
          <w:p>
            <w:pPr>
              <w:pStyle w:val="162"/>
              <w:shd w:val="clear" w:color="auto" w:fill="FFFFFF"/>
              <w:spacing w:line="265" w:lineRule="atLeast"/>
              <w:ind w:left="420"/>
              <w:rPr>
                <w:rFonts w:ascii="宋体" w:hAnsi="宋体" w:cs="宋体"/>
                <w:color w:val="000000" w:themeColor="text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105" w:type="dxa"/>
            <w:noWrap/>
          </w:tcPr>
          <w:p>
            <w:pPr>
              <w:pStyle w:val="162"/>
              <w:shd w:val="clear" w:color="auto" w:fill="FFFFFF"/>
              <w:spacing w:line="265" w:lineRule="atLeast"/>
              <w:ind w:left="420"/>
              <w:rPr>
                <w:rFonts w:ascii="宋体" w:hAnsi="宋体" w:cs="宋体"/>
                <w:color w:val="000000" w:themeColor="text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05" w:type="dxa"/>
            <w:noWrap/>
          </w:tcPr>
          <w:p>
            <w:pPr>
              <w:pStyle w:val="162"/>
              <w:shd w:val="clear" w:color="auto" w:fill="FFFFFF"/>
              <w:spacing w:line="265" w:lineRule="atLeast"/>
              <w:ind w:left="420"/>
              <w:rPr>
                <w:rFonts w:ascii="宋体" w:hAnsi="宋体" w:cs="宋体"/>
                <w:color w:val="000000" w:themeColor="text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05" w:type="dxa"/>
            <w:noWrap/>
          </w:tcPr>
          <w:p>
            <w:pPr>
              <w:pStyle w:val="162"/>
              <w:shd w:val="clear" w:color="auto" w:fill="FFFFFF"/>
              <w:spacing w:line="265" w:lineRule="atLeast"/>
              <w:ind w:left="420"/>
              <w:rPr>
                <w:rFonts w:ascii="宋体" w:hAnsi="宋体" w:cs="宋体"/>
                <w:color w:val="000000" w:themeColor="text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105" w:type="dxa"/>
            <w:noWrap/>
          </w:tcPr>
          <w:p>
            <w:pPr>
              <w:pStyle w:val="162"/>
              <w:shd w:val="clear" w:color="auto" w:fill="FFFFFF"/>
              <w:spacing w:line="265" w:lineRule="atLeast"/>
              <w:ind w:left="420"/>
              <w:rPr>
                <w:rFonts w:ascii="宋体" w:hAnsi="宋体" w:cs="宋体"/>
                <w:color w:val="000000" w:themeColor="text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30" w:type="dxa"/>
            <w:gridSpan w:val="2"/>
            <w:noWrap/>
          </w:tcPr>
          <w:p>
            <w:pPr>
              <w:pStyle w:val="162"/>
              <w:shd w:val="clear" w:color="auto" w:fill="FFFFFF"/>
              <w:spacing w:line="265" w:lineRule="atLeast"/>
              <w:ind w:left="420"/>
              <w:jc w:val="both"/>
              <w:rPr>
                <w:rFonts w:ascii="宋体" w:hAnsi="宋体" w:cs="宋体"/>
                <w:color w:val="000000" w:themeColor="text1"/>
                <w:lang w:eastAsia="zh-CN"/>
              </w:rPr>
            </w:pPr>
          </w:p>
        </w:tc>
        <w:tc>
          <w:tcPr>
            <w:tcW w:w="1741" w:type="dxa"/>
            <w:noWrap/>
          </w:tcPr>
          <w:p>
            <w:pPr>
              <w:pStyle w:val="162"/>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05" w:type="dxa"/>
            <w:noWrap/>
          </w:tcPr>
          <w:p>
            <w:pPr>
              <w:pStyle w:val="162"/>
              <w:shd w:val="clear" w:color="auto" w:fill="FFFFFF"/>
              <w:spacing w:line="265" w:lineRule="atLeast"/>
              <w:ind w:left="420"/>
              <w:rPr>
                <w:rFonts w:ascii="宋体" w:hAnsi="宋体" w:cs="宋体"/>
                <w:color w:val="000000" w:themeColor="text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4105" w:type="dxa"/>
            <w:noWrap/>
          </w:tcPr>
          <w:p>
            <w:pPr>
              <w:pStyle w:val="162"/>
              <w:shd w:val="clear" w:color="auto" w:fill="FFFFFF"/>
              <w:spacing w:line="265" w:lineRule="atLeast"/>
              <w:ind w:left="420"/>
              <w:rPr>
                <w:rFonts w:ascii="宋体" w:hAnsi="宋体" w:cs="宋体"/>
                <w:color w:val="000000" w:themeColor="text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105" w:type="dxa"/>
            <w:noWrap/>
          </w:tcPr>
          <w:p>
            <w:pPr>
              <w:pStyle w:val="162"/>
              <w:shd w:val="clear" w:color="auto" w:fill="FFFFFF"/>
              <w:spacing w:line="265" w:lineRule="atLeast"/>
              <w:ind w:left="420"/>
              <w:rPr>
                <w:rFonts w:ascii="宋体" w:hAnsi="宋体" w:cs="宋体"/>
                <w:color w:val="000000" w:themeColor="text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105" w:type="dxa"/>
            <w:noWrap/>
          </w:tcPr>
          <w:p>
            <w:pPr>
              <w:pStyle w:val="162"/>
              <w:shd w:val="clear" w:color="auto" w:fill="FFFFFF"/>
              <w:spacing w:line="265" w:lineRule="atLeast"/>
              <w:ind w:left="420"/>
              <w:rPr>
                <w:rFonts w:ascii="宋体" w:hAnsi="宋体" w:cs="宋体"/>
                <w:color w:val="000000" w:themeColor="text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105" w:type="dxa"/>
            <w:noWrap/>
          </w:tcPr>
          <w:p>
            <w:pPr>
              <w:pStyle w:val="162"/>
              <w:shd w:val="clear" w:color="auto" w:fill="FFFFFF"/>
              <w:spacing w:line="265" w:lineRule="atLeast"/>
              <w:ind w:left="420"/>
              <w:rPr>
                <w:rFonts w:ascii="宋体" w:hAnsi="宋体" w:cs="宋体"/>
                <w:color w:val="000000" w:themeColor="text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30" w:type="dxa"/>
            <w:gridSpan w:val="2"/>
            <w:noWrap/>
          </w:tcPr>
          <w:p>
            <w:pPr>
              <w:pStyle w:val="162"/>
              <w:shd w:val="clear" w:color="auto" w:fill="FFFFFF"/>
              <w:spacing w:line="265" w:lineRule="atLeast"/>
              <w:ind w:left="420"/>
              <w:jc w:val="both"/>
              <w:rPr>
                <w:rFonts w:ascii="宋体" w:hAnsi="宋体" w:cs="宋体"/>
                <w:b/>
                <w:color w:val="000000" w:themeColor="text1"/>
                <w:lang w:eastAsia="zh-CN"/>
              </w:rPr>
            </w:pPr>
          </w:p>
        </w:tc>
        <w:tc>
          <w:tcPr>
            <w:tcW w:w="1741" w:type="dxa"/>
            <w:noWrap/>
          </w:tcPr>
          <w:p>
            <w:pPr>
              <w:pStyle w:val="162"/>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05" w:type="dxa"/>
            <w:noWrap/>
          </w:tcPr>
          <w:p>
            <w:pPr>
              <w:pStyle w:val="162"/>
              <w:shd w:val="clear" w:color="auto" w:fill="FFFFFF"/>
              <w:spacing w:line="265" w:lineRule="atLeast"/>
              <w:ind w:left="420"/>
              <w:rPr>
                <w:rFonts w:ascii="宋体" w:hAnsi="宋体" w:cs="宋体"/>
                <w:b/>
                <w:bCs/>
                <w:color w:val="000000" w:themeColor="text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105" w:type="dxa"/>
            <w:noWrap/>
          </w:tcPr>
          <w:p>
            <w:pPr>
              <w:pStyle w:val="162"/>
              <w:shd w:val="clear" w:color="auto" w:fill="FFFFFF"/>
              <w:spacing w:line="265" w:lineRule="atLeast"/>
              <w:ind w:left="420"/>
              <w:rPr>
                <w:rFonts w:ascii="宋体" w:hAnsi="宋体" w:cs="宋体"/>
                <w:color w:val="000000" w:themeColor="text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05" w:type="dxa"/>
            <w:noWrap/>
          </w:tcPr>
          <w:p>
            <w:pPr>
              <w:pStyle w:val="162"/>
              <w:shd w:val="clear" w:color="auto" w:fill="FFFFFF"/>
              <w:spacing w:line="265" w:lineRule="atLeast"/>
              <w:ind w:left="420"/>
              <w:rPr>
                <w:rFonts w:ascii="宋体" w:hAnsi="宋体" w:cs="宋体"/>
                <w:b/>
                <w:bCs/>
                <w:color w:val="000000" w:themeColor="text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30" w:type="dxa"/>
            <w:gridSpan w:val="2"/>
            <w:noWrap/>
          </w:tcPr>
          <w:p>
            <w:pPr>
              <w:pStyle w:val="162"/>
              <w:shd w:val="clear" w:color="auto" w:fill="FFFFFF"/>
              <w:spacing w:line="265" w:lineRule="atLeast"/>
              <w:ind w:left="420"/>
              <w:jc w:val="both"/>
              <w:rPr>
                <w:rFonts w:ascii="宋体" w:hAnsi="宋体" w:cs="宋体"/>
                <w:b/>
                <w:color w:val="000000" w:themeColor="text1"/>
                <w:lang w:eastAsia="zh-CN"/>
              </w:rPr>
            </w:pPr>
          </w:p>
        </w:tc>
        <w:tc>
          <w:tcPr>
            <w:tcW w:w="1741" w:type="dxa"/>
            <w:noWrap/>
          </w:tcPr>
          <w:p>
            <w:pPr>
              <w:pStyle w:val="162"/>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105" w:type="dxa"/>
            <w:noWrap/>
          </w:tcPr>
          <w:p>
            <w:pPr>
              <w:pStyle w:val="162"/>
              <w:shd w:val="clear" w:color="auto" w:fill="FFFFFF"/>
              <w:spacing w:line="265" w:lineRule="atLeast"/>
              <w:ind w:left="0" w:firstLine="480" w:firstLineChars="200"/>
              <w:rPr>
                <w:rFonts w:ascii="宋体" w:hAnsi="宋体" w:cs="宋体"/>
                <w:color w:val="000000" w:themeColor="text1"/>
                <w:szCs w:val="21"/>
                <w:lang w:eastAsia="zh-CN"/>
              </w:rPr>
            </w:pPr>
          </w:p>
        </w:tc>
        <w:tc>
          <w:tcPr>
            <w:tcW w:w="3125" w:type="dxa"/>
            <w:noWrap/>
          </w:tcPr>
          <w:p>
            <w:pPr>
              <w:rPr>
                <w:rFonts w:ascii="宋体" w:hAnsi="宋体" w:cs="宋体"/>
                <w:color w:val="000000" w:themeColor="text1"/>
              </w:rPr>
            </w:pPr>
          </w:p>
        </w:tc>
        <w:tc>
          <w:tcPr>
            <w:tcW w:w="1741"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05" w:type="dxa"/>
            <w:tcBorders>
              <w:bottom w:val="single" w:color="auto" w:sz="4" w:space="0"/>
            </w:tcBorders>
            <w:noWrap/>
          </w:tcPr>
          <w:p>
            <w:pPr>
              <w:pStyle w:val="162"/>
              <w:shd w:val="clear" w:color="auto" w:fill="FFFFFF"/>
              <w:spacing w:line="265" w:lineRule="atLeast"/>
              <w:ind w:left="0" w:firstLine="480" w:firstLineChars="200"/>
              <w:rPr>
                <w:rFonts w:ascii="宋体" w:hAnsi="宋体" w:cs="宋体"/>
                <w:color w:val="000000" w:themeColor="text1"/>
                <w:lang w:eastAsia="zh-CN"/>
              </w:rPr>
            </w:pPr>
          </w:p>
        </w:tc>
        <w:tc>
          <w:tcPr>
            <w:tcW w:w="3125" w:type="dxa"/>
            <w:tcBorders>
              <w:bottom w:val="single" w:color="auto" w:sz="4" w:space="0"/>
            </w:tcBorders>
            <w:noWrap/>
          </w:tcPr>
          <w:p>
            <w:pPr>
              <w:rPr>
                <w:rFonts w:ascii="宋体" w:hAnsi="宋体" w:cs="宋体"/>
                <w:color w:val="000000" w:themeColor="text1"/>
              </w:rPr>
            </w:pPr>
          </w:p>
        </w:tc>
        <w:tc>
          <w:tcPr>
            <w:tcW w:w="1741" w:type="dxa"/>
            <w:tcBorders>
              <w:bottom w:val="single" w:color="auto" w:sz="4" w:space="0"/>
            </w:tcBorders>
            <w:noWrap/>
          </w:tcPr>
          <w:p>
            <w:pPr>
              <w:rPr>
                <w:rFonts w:ascii="宋体" w:hAnsi="宋体" w:cs="宋体"/>
                <w:color w:val="000000" w:themeColor="text1"/>
              </w:rPr>
            </w:pPr>
          </w:p>
        </w:tc>
      </w:tr>
    </w:tbl>
    <w:p>
      <w:pPr>
        <w:rPr>
          <w:rFonts w:ascii="宋体" w:hAnsi="宋体" w:cs="宋体"/>
          <w:color w:val="000000" w:themeColor="text1"/>
        </w:rPr>
      </w:pPr>
    </w:p>
    <w:p>
      <w:pPr>
        <w:snapToGrid w:val="0"/>
        <w:spacing w:before="50" w:after="50"/>
        <w:jc w:val="center"/>
        <w:outlineLvl w:val="0"/>
        <w:rPr>
          <w:rStyle w:val="43"/>
          <w:rFonts w:ascii="宋体" w:hAnsi="宋体" w:cs="宋体"/>
          <w:b/>
          <w:bCs/>
          <w:color w:val="000000" w:themeColor="text1"/>
          <w:sz w:val="32"/>
          <w:szCs w:val="32"/>
        </w:rPr>
      </w:pPr>
      <w:r>
        <w:rPr>
          <w:rFonts w:hint="eastAsia" w:ascii="宋体" w:hAnsi="宋体" w:cs="宋体"/>
          <w:b/>
          <w:color w:val="000000" w:themeColor="text1"/>
          <w:sz w:val="36"/>
          <w:u w:val="single"/>
        </w:rPr>
        <w:br w:type="page"/>
      </w:r>
      <w:r>
        <w:rPr>
          <w:rStyle w:val="43"/>
          <w:rFonts w:hint="eastAsia" w:ascii="宋体" w:hAnsi="宋体" w:cs="宋体"/>
          <w:color w:val="000000" w:themeColor="text1"/>
          <w:sz w:val="32"/>
          <w:szCs w:val="32"/>
        </w:rPr>
        <w:t>一、</w:t>
      </w:r>
      <w:r>
        <w:rPr>
          <w:rStyle w:val="43"/>
          <w:rFonts w:hint="eastAsia" w:ascii="宋体" w:hAnsi="宋体" w:cs="宋体"/>
          <w:b/>
          <w:bCs/>
          <w:color w:val="000000" w:themeColor="text1"/>
          <w:sz w:val="32"/>
          <w:szCs w:val="32"/>
        </w:rPr>
        <w:t>资信证明文件要求</w:t>
      </w:r>
      <w:bookmarkEnd w:id="12"/>
    </w:p>
    <w:p>
      <w:pPr>
        <w:snapToGrid w:val="0"/>
        <w:spacing w:before="50" w:after="50"/>
        <w:rPr>
          <w:rStyle w:val="43"/>
          <w:rFonts w:ascii="宋体" w:hAnsi="宋体" w:cs="宋体"/>
          <w:i/>
          <w:color w:val="000000" w:themeColor="text1"/>
          <w:szCs w:val="24"/>
          <w:u w:val="single" w:color="000000"/>
        </w:rPr>
      </w:pPr>
    </w:p>
    <w:p>
      <w:pPr>
        <w:snapToGrid w:val="0"/>
        <w:spacing w:line="500" w:lineRule="exact"/>
        <w:ind w:firstLine="482" w:firstLineChars="200"/>
        <w:rPr>
          <w:rStyle w:val="43"/>
          <w:rFonts w:ascii="宋体" w:hAnsi="宋体" w:cs="宋体"/>
          <w:color w:val="000000" w:themeColor="text1"/>
          <w:sz w:val="24"/>
          <w:szCs w:val="20"/>
        </w:rPr>
      </w:pPr>
      <w:r>
        <w:rPr>
          <w:rStyle w:val="43"/>
          <w:rFonts w:hint="eastAsia" w:ascii="宋体" w:hAnsi="宋体" w:cs="宋体"/>
          <w:b/>
          <w:bCs/>
          <w:color w:val="000000" w:themeColor="text1"/>
          <w:sz w:val="24"/>
        </w:rPr>
        <w:t>1、实质性资格证明文件目录</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（1）法人或者其他组织的营业执照等证明文件，自然人的身份证明；</w:t>
      </w:r>
      <w:r>
        <w:rPr>
          <w:rStyle w:val="43"/>
          <w:rFonts w:hint="eastAsia" w:ascii="宋体" w:hAnsi="宋体" w:cs="宋体"/>
          <w:color w:val="000000" w:themeColor="text1"/>
          <w:sz w:val="24"/>
          <w:szCs w:val="24"/>
        </w:rPr>
        <w:br w:type="textWrapping"/>
      </w:r>
      <w:r>
        <w:rPr>
          <w:rStyle w:val="43"/>
          <w:rFonts w:hint="eastAsia" w:ascii="宋体" w:hAnsi="宋体" w:cs="宋体"/>
          <w:color w:val="000000" w:themeColor="text1"/>
          <w:sz w:val="24"/>
          <w:szCs w:val="24"/>
        </w:rPr>
        <w:t>　　（2）上一年度（2021年）的财务报表（成立不满一年不需提供）；</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（3）依法缴纳税收和社会保障资金的相关材料；</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（4）具备履行合同所必需的设备和专业技术能力的书面声明；</w:t>
      </w:r>
      <w:r>
        <w:rPr>
          <w:rStyle w:val="43"/>
          <w:rFonts w:hint="eastAsia" w:ascii="宋体" w:hAnsi="宋体" w:cs="宋体"/>
          <w:color w:val="000000" w:themeColor="text1"/>
          <w:sz w:val="24"/>
          <w:szCs w:val="24"/>
        </w:rPr>
        <w:br w:type="textWrapping"/>
      </w:r>
      <w:r>
        <w:rPr>
          <w:rStyle w:val="43"/>
          <w:rFonts w:hint="eastAsia" w:ascii="宋体" w:hAnsi="宋体" w:cs="宋体"/>
          <w:color w:val="000000" w:themeColor="text1"/>
          <w:sz w:val="24"/>
          <w:szCs w:val="24"/>
        </w:rPr>
        <w:t>　　（5）参加政府采购活动前3年内在经营活动中没有重大违法记录的书面声明；</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（6）法人授权书</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（7）招标文件中规定要求提供的证明材料和投标人认为需要提供的其他材料</w:t>
      </w:r>
    </w:p>
    <w:p>
      <w:pPr>
        <w:pStyle w:val="35"/>
        <w:spacing w:line="240" w:lineRule="atLeast"/>
        <w:rPr>
          <w:rStyle w:val="43"/>
          <w:rFonts w:ascii="宋体" w:hAnsi="宋体" w:cs="宋体"/>
          <w:b/>
          <w:bCs/>
          <w:color w:val="000000" w:themeColor="text1"/>
          <w:sz w:val="24"/>
        </w:rPr>
      </w:pPr>
    </w:p>
    <w:p>
      <w:pPr>
        <w:pStyle w:val="35"/>
        <w:spacing w:line="240" w:lineRule="atLeast"/>
        <w:rPr>
          <w:rStyle w:val="43"/>
          <w:rFonts w:ascii="宋体" w:hAnsi="宋体" w:cs="宋体"/>
          <w:b/>
          <w:bCs/>
          <w:color w:val="000000" w:themeColor="text1"/>
          <w:sz w:val="24"/>
        </w:rPr>
      </w:pPr>
    </w:p>
    <w:p>
      <w:pPr>
        <w:pStyle w:val="35"/>
        <w:spacing w:line="240" w:lineRule="atLeast"/>
        <w:rPr>
          <w:rStyle w:val="43"/>
          <w:rFonts w:ascii="宋体" w:hAnsi="宋体" w:cs="宋体"/>
          <w:b/>
          <w:bCs/>
          <w:color w:val="000000" w:themeColor="text1"/>
          <w:sz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6"/>
        <w:jc w:val="center"/>
        <w:rPr>
          <w:rStyle w:val="43"/>
          <w:rFonts w:ascii="宋体" w:hAnsi="宋体" w:cs="宋体"/>
          <w:b w:val="0"/>
          <w:bCs w:val="0"/>
          <w:color w:val="000000" w:themeColor="text1"/>
          <w:sz w:val="28"/>
          <w:szCs w:val="28"/>
        </w:rPr>
      </w:pPr>
      <w:r>
        <w:rPr>
          <w:rStyle w:val="43"/>
          <w:rFonts w:hint="eastAsia" w:ascii="宋体" w:hAnsi="宋体" w:cs="宋体"/>
          <w:color w:val="000000" w:themeColor="text1"/>
          <w:sz w:val="28"/>
          <w:szCs w:val="28"/>
        </w:rPr>
        <w:t>具备履行合同所必需的设备和专业技术能力的书面声明</w:t>
      </w:r>
    </w:p>
    <w:p>
      <w:pPr>
        <w:spacing w:line="460" w:lineRule="exact"/>
        <w:ind w:firstLine="492"/>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主要设备有：。</w:t>
      </w:r>
    </w:p>
    <w:p>
      <w:pPr>
        <w:spacing w:line="460" w:lineRule="exact"/>
        <w:ind w:firstLine="492"/>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主要专业技术能力有：。</w:t>
      </w:r>
    </w:p>
    <w:p>
      <w:pPr>
        <w:spacing w:line="460" w:lineRule="exact"/>
        <w:ind w:firstLine="492"/>
        <w:rPr>
          <w:rStyle w:val="43"/>
          <w:rFonts w:ascii="宋体" w:hAnsi="宋体" w:cs="宋体"/>
          <w:bCs/>
          <w:color w:val="000000" w:themeColor="text1"/>
          <w:sz w:val="28"/>
          <w:szCs w:val="28"/>
        </w:rPr>
      </w:pPr>
    </w:p>
    <w:p>
      <w:pPr>
        <w:spacing w:line="460" w:lineRule="exact"/>
        <w:ind w:firstLine="492"/>
        <w:rPr>
          <w:rStyle w:val="43"/>
          <w:rFonts w:ascii="宋体" w:hAnsi="宋体" w:cs="宋体"/>
          <w:bCs/>
          <w:color w:val="000000" w:themeColor="text1"/>
          <w:sz w:val="28"/>
          <w:szCs w:val="28"/>
        </w:rPr>
      </w:pPr>
    </w:p>
    <w:p>
      <w:pPr>
        <w:spacing w:line="460" w:lineRule="exact"/>
        <w:ind w:firstLine="492"/>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 xml:space="preserve">                                       供应商名称（公章）：</w:t>
      </w:r>
    </w:p>
    <w:p>
      <w:pPr>
        <w:spacing w:line="460" w:lineRule="exact"/>
        <w:rPr>
          <w:rStyle w:val="43"/>
          <w:rFonts w:ascii="宋体" w:hAnsi="宋体" w:cs="宋体"/>
          <w:bCs/>
          <w:color w:val="000000" w:themeColor="text1"/>
          <w:sz w:val="28"/>
          <w:szCs w:val="28"/>
        </w:rPr>
      </w:pPr>
    </w:p>
    <w:p>
      <w:pPr>
        <w:spacing w:line="460" w:lineRule="exact"/>
        <w:jc w:val="righ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日期：</w:t>
      </w:r>
      <w:r>
        <w:rPr>
          <w:rStyle w:val="43"/>
          <w:rFonts w:hint="eastAsia" w:ascii="宋体" w:hAnsi="宋体" w:cs="宋体"/>
          <w:bCs/>
          <w:color w:val="000000" w:themeColor="text1"/>
          <w:sz w:val="28"/>
          <w:szCs w:val="28"/>
          <w:u w:val="single" w:color="000000"/>
        </w:rPr>
        <w:t xml:space="preserve">    年    月    日</w:t>
      </w:r>
    </w:p>
    <w:p>
      <w:pPr>
        <w:pStyle w:val="36"/>
        <w:jc w:val="center"/>
        <w:rPr>
          <w:rStyle w:val="43"/>
          <w:rFonts w:ascii="宋体" w:hAnsi="宋体" w:cs="宋体"/>
          <w:color w:val="000000" w:themeColor="text1"/>
          <w:sz w:val="28"/>
          <w:szCs w:val="28"/>
        </w:rPr>
      </w:pPr>
      <w:r>
        <w:rPr>
          <w:rStyle w:val="43"/>
          <w:rFonts w:hint="eastAsia" w:ascii="宋体" w:hAnsi="宋体" w:cs="宋体"/>
          <w:color w:val="000000" w:themeColor="text1"/>
          <w:sz w:val="28"/>
          <w:szCs w:val="28"/>
        </w:rPr>
        <w:br w:type="page"/>
      </w:r>
      <w:r>
        <w:rPr>
          <w:rStyle w:val="43"/>
          <w:rFonts w:hint="eastAsia" w:ascii="宋体" w:hAnsi="宋体" w:cs="宋体"/>
          <w:color w:val="000000" w:themeColor="text1"/>
          <w:sz w:val="28"/>
          <w:szCs w:val="28"/>
        </w:rPr>
        <w:t>参加政府采购活动前 3 年内在经营活动中没有重大违法记录的书面声明</w:t>
      </w:r>
    </w:p>
    <w:p>
      <w:pPr>
        <w:spacing w:line="460" w:lineRule="exact"/>
        <w:rPr>
          <w:rStyle w:val="43"/>
          <w:rFonts w:ascii="宋体" w:hAnsi="宋体" w:cs="宋体"/>
          <w:b/>
          <w:bCs/>
          <w:color w:val="000000" w:themeColor="text1"/>
          <w:sz w:val="28"/>
          <w:szCs w:val="28"/>
        </w:rPr>
      </w:pPr>
    </w:p>
    <w:p>
      <w:pPr>
        <w:jc w:val="center"/>
        <w:rPr>
          <w:rStyle w:val="43"/>
          <w:rFonts w:ascii="宋体" w:hAnsi="宋体" w:cs="宋体"/>
          <w:b/>
          <w:bCs/>
          <w:color w:val="000000" w:themeColor="text1"/>
          <w:sz w:val="44"/>
          <w:szCs w:val="44"/>
        </w:rPr>
      </w:pPr>
      <w:r>
        <w:rPr>
          <w:rStyle w:val="43"/>
          <w:rFonts w:hint="eastAsia" w:ascii="宋体" w:hAnsi="宋体" w:cs="宋体"/>
          <w:b/>
          <w:bCs/>
          <w:color w:val="000000" w:themeColor="text1"/>
          <w:sz w:val="44"/>
          <w:szCs w:val="44"/>
        </w:rPr>
        <w:t>声  明</w:t>
      </w:r>
    </w:p>
    <w:p>
      <w:pPr>
        <w:spacing w:line="460" w:lineRule="exac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3"/>
          <w:rFonts w:ascii="宋体" w:hAnsi="宋体" w:cs="宋体"/>
          <w:bCs/>
          <w:color w:val="000000" w:themeColor="text1"/>
          <w:sz w:val="28"/>
          <w:szCs w:val="28"/>
        </w:rPr>
      </w:pPr>
    </w:p>
    <w:p>
      <w:pPr>
        <w:spacing w:line="460" w:lineRule="exact"/>
        <w:ind w:firstLine="3640" w:firstLineChars="1300"/>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供应商名称（公章）：</w:t>
      </w:r>
    </w:p>
    <w:p>
      <w:pPr>
        <w:spacing w:line="460" w:lineRule="exact"/>
        <w:ind w:firstLine="3640" w:firstLineChars="1300"/>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授权代表签字：</w:t>
      </w:r>
      <w:r>
        <w:rPr>
          <w:rStyle w:val="43"/>
          <w:rFonts w:hint="eastAsia" w:ascii="宋体" w:hAnsi="宋体" w:cs="宋体"/>
          <w:bCs/>
          <w:color w:val="000000" w:themeColor="text1"/>
          <w:sz w:val="28"/>
          <w:szCs w:val="28"/>
          <w:u w:val="single" w:color="000000"/>
        </w:rPr>
        <w:t>_______________________</w:t>
      </w:r>
    </w:p>
    <w:p>
      <w:pPr>
        <w:spacing w:line="460" w:lineRule="exac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 xml:space="preserve">                          日期：</w:t>
      </w:r>
      <w:r>
        <w:rPr>
          <w:rStyle w:val="43"/>
          <w:rFonts w:hint="eastAsia" w:ascii="宋体" w:hAnsi="宋体" w:cs="宋体"/>
          <w:bCs/>
          <w:color w:val="000000" w:themeColor="text1"/>
          <w:sz w:val="28"/>
          <w:szCs w:val="28"/>
          <w:u w:val="single" w:color="000000"/>
        </w:rPr>
        <w:t>______年    月    日</w:t>
      </w: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pStyle w:val="6"/>
        <w:rPr>
          <w:color w:val="000000" w:themeColor="text1"/>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pStyle w:val="23"/>
        <w:rPr>
          <w:color w:val="000000" w:themeColor="text1"/>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pStyle w:val="5"/>
        <w:tabs>
          <w:tab w:val="left" w:pos="1275"/>
        </w:tabs>
        <w:jc w:val="center"/>
        <w:rPr>
          <w:rFonts w:hAnsi="宋体"/>
          <w:color w:val="000000" w:themeColor="text1"/>
        </w:rPr>
      </w:pPr>
      <w:r>
        <w:rPr>
          <w:rFonts w:hint="eastAsia" w:hAnsi="宋体"/>
          <w:color w:val="000000" w:themeColor="text1"/>
        </w:rPr>
        <w:t>法定代表人身份证明书</w:t>
      </w:r>
    </w:p>
    <w:p>
      <w:pPr>
        <w:rPr>
          <w:rFonts w:ascii="宋体" w:hAnsi="宋体"/>
          <w:color w:val="000000" w:themeColor="text1"/>
          <w:sz w:val="24"/>
        </w:rPr>
      </w:pP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单位名称：</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单位性质：</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地    址：</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成立时间：</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经营期限：</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姓    名：</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联系电话：</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系</w:t>
      </w:r>
      <w:r>
        <w:rPr>
          <w:rFonts w:hint="eastAsia" w:ascii="宋体" w:hAnsi="宋体"/>
          <w:color w:val="000000" w:themeColor="text1"/>
          <w:sz w:val="28"/>
          <w:szCs w:val="22"/>
          <w:u w:val="single"/>
        </w:rPr>
        <w:t xml:space="preserve">                      (</w:t>
      </w:r>
      <w:r>
        <w:rPr>
          <w:rFonts w:hint="eastAsia" w:ascii="宋体" w:hAnsi="宋体"/>
          <w:color w:val="000000" w:themeColor="text1"/>
          <w:sz w:val="28"/>
          <w:szCs w:val="22"/>
        </w:rPr>
        <w:t>投标单位名称)的法定代表人。</w:t>
      </w: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特此证明。</w:t>
      </w: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投标人：(盖章)</w:t>
      </w:r>
    </w:p>
    <w:p>
      <w:pPr>
        <w:snapToGrid w:val="0"/>
        <w:spacing w:line="480" w:lineRule="exact"/>
        <w:ind w:firstLine="560" w:firstLineChars="200"/>
        <w:jc w:val="left"/>
        <w:rPr>
          <w:rFonts w:ascii="宋体" w:hAnsi="宋体"/>
          <w:color w:val="000000" w:themeColor="text1"/>
          <w:sz w:val="28"/>
          <w:szCs w:val="22"/>
        </w:rPr>
      </w:pPr>
    </w:p>
    <w:p>
      <w:pPr>
        <w:pStyle w:val="22"/>
        <w:ind w:firstLine="280"/>
        <w:rPr>
          <w:rFonts w:ascii="宋体" w:hAnsi="宋体"/>
          <w:color w:val="000000" w:themeColor="text1"/>
          <w:sz w:val="28"/>
          <w:szCs w:val="22"/>
        </w:rPr>
      </w:pPr>
    </w:p>
    <w:p>
      <w:pPr>
        <w:snapToGrid w:val="0"/>
        <w:spacing w:line="480" w:lineRule="exact"/>
        <w:ind w:firstLine="560" w:firstLineChars="200"/>
        <w:jc w:val="left"/>
        <w:rPr>
          <w:rStyle w:val="43"/>
          <w:rFonts w:ascii="宋体" w:hAnsi="宋体" w:cs="宋体"/>
          <w:color w:val="000000" w:themeColor="text1"/>
          <w:sz w:val="28"/>
          <w:szCs w:val="28"/>
        </w:rPr>
      </w:pPr>
      <w:r>
        <w:rPr>
          <w:rFonts w:hint="eastAsia" w:ascii="宋体" w:hAnsi="宋体"/>
          <w:color w:val="000000" w:themeColor="text1"/>
          <w:sz w:val="28"/>
          <w:szCs w:val="22"/>
        </w:rPr>
        <w:t>日   期：   年   月   日</w:t>
      </w:r>
    </w:p>
    <w:p>
      <w:pPr>
        <w:pStyle w:val="36"/>
        <w:jc w:val="center"/>
        <w:rPr>
          <w:rStyle w:val="43"/>
          <w:rFonts w:ascii="宋体" w:hAnsi="宋体" w:cs="宋体"/>
          <w:color w:val="000000" w:themeColor="text1"/>
          <w:sz w:val="28"/>
          <w:szCs w:val="28"/>
        </w:rPr>
      </w:pPr>
      <w:r>
        <w:rPr>
          <w:rStyle w:val="43"/>
          <w:rFonts w:hint="eastAsia" w:ascii="宋体" w:hAnsi="宋体" w:cs="宋体"/>
          <w:color w:val="000000" w:themeColor="text1"/>
          <w:sz w:val="28"/>
          <w:szCs w:val="28"/>
        </w:rPr>
        <w:t>法人授权书</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本授权书声明：____________（供应商名称）授权________________（被授权人的姓名）为我方就号项目采购活动的合法代理人，以本公司名义全权处理一切与该项目采购有关的事务。</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本授权书于______年____月____日起生效，特此声明。</w:t>
      </w:r>
    </w:p>
    <w:p>
      <w:pPr>
        <w:pStyle w:val="114"/>
        <w:ind w:firstLineChars="0"/>
        <w:rPr>
          <w:rStyle w:val="43"/>
          <w:rFonts w:ascii="宋体" w:hAnsi="宋体" w:cs="宋体"/>
          <w:color w:val="000000" w:themeColor="text1"/>
          <w:szCs w:val="28"/>
        </w:rPr>
      </w:pPr>
      <w:r>
        <w:rPr>
          <w:rStyle w:val="43"/>
          <w:rFonts w:hint="eastAsia" w:ascii="宋体" w:hAnsi="宋体" w:cs="宋体"/>
          <w:color w:val="000000" w:themeColor="text1"/>
          <w:szCs w:val="28"/>
        </w:rPr>
        <w:t xml:space="preserve">          代理人（被授权人）：_______________________</w:t>
      </w:r>
    </w:p>
    <w:p>
      <w:pPr>
        <w:pStyle w:val="114"/>
        <w:ind w:firstLineChars="0"/>
        <w:rPr>
          <w:rStyle w:val="43"/>
          <w:rFonts w:ascii="宋体" w:hAnsi="宋体" w:cs="宋体"/>
          <w:color w:val="000000" w:themeColor="text1"/>
          <w:szCs w:val="28"/>
        </w:rPr>
      </w:pPr>
    </w:p>
    <w:p>
      <w:pPr>
        <w:pStyle w:val="114"/>
        <w:ind w:firstLineChars="0"/>
        <w:rPr>
          <w:rStyle w:val="43"/>
          <w:rFonts w:ascii="宋体" w:hAnsi="宋体" w:cs="宋体"/>
          <w:color w:val="000000" w:themeColor="text1"/>
          <w:szCs w:val="28"/>
        </w:rPr>
      </w:pPr>
      <w:r>
        <w:rPr>
          <w:rStyle w:val="43"/>
          <w:rFonts w:hint="eastAsia" w:ascii="宋体" w:hAnsi="宋体" w:cs="宋体"/>
          <w:color w:val="000000" w:themeColor="text1"/>
          <w:szCs w:val="28"/>
        </w:rPr>
        <w:t xml:space="preserve">          单位名称：_____________________________________</w:t>
      </w:r>
    </w:p>
    <w:p>
      <w:pPr>
        <w:pStyle w:val="114"/>
        <w:ind w:firstLine="560"/>
        <w:rPr>
          <w:rStyle w:val="43"/>
          <w:rFonts w:ascii="宋体" w:hAnsi="宋体" w:cs="宋体"/>
          <w:color w:val="000000" w:themeColor="text1"/>
          <w:szCs w:val="28"/>
        </w:rPr>
      </w:pPr>
    </w:p>
    <w:p>
      <w:pPr>
        <w:pStyle w:val="114"/>
        <w:ind w:firstLineChars="0"/>
        <w:rPr>
          <w:rStyle w:val="43"/>
          <w:rFonts w:ascii="宋体" w:hAnsi="宋体" w:cs="宋体"/>
          <w:color w:val="000000" w:themeColor="text1"/>
          <w:szCs w:val="28"/>
        </w:rPr>
      </w:pPr>
      <w:r>
        <w:rPr>
          <w:rStyle w:val="43"/>
          <w:rFonts w:hint="eastAsia" w:ascii="宋体" w:hAnsi="宋体" w:cs="宋体"/>
          <w:color w:val="000000" w:themeColor="text1"/>
          <w:szCs w:val="28"/>
        </w:rPr>
        <w:t xml:space="preserve">          授权单位盖章：_________________________________</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 xml:space="preserve">       单位名称：_____________________________________</w:t>
      </w:r>
    </w:p>
    <w:p>
      <w:pPr>
        <w:pStyle w:val="114"/>
        <w:ind w:firstLine="560"/>
        <w:rPr>
          <w:rStyle w:val="43"/>
          <w:rFonts w:ascii="宋体" w:hAnsi="宋体" w:cs="宋体"/>
          <w:color w:val="000000" w:themeColor="text1"/>
          <w:szCs w:val="28"/>
          <w:u w:val="single" w:color="000000"/>
        </w:rPr>
      </w:pPr>
      <w:r>
        <w:rPr>
          <w:rStyle w:val="43"/>
          <w:rFonts w:hint="eastAsia" w:ascii="宋体" w:hAnsi="宋体" w:cs="宋体"/>
          <w:color w:val="000000" w:themeColor="text1"/>
          <w:szCs w:val="28"/>
        </w:rPr>
        <w:t xml:space="preserve">       地址：_____________________________________</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 xml:space="preserve">       日期：_____________________________________                    </w:t>
      </w:r>
    </w:p>
    <w:p>
      <w:pPr>
        <w:ind w:firstLine="560" w:firstLineChars="200"/>
        <w:rPr>
          <w:rFonts w:ascii="宋体" w:hAnsi="宋体"/>
          <w:color w:val="000000" w:themeColor="text1"/>
          <w:sz w:val="28"/>
          <w:szCs w:val="22"/>
        </w:rPr>
      </w:pPr>
      <w:r>
        <w:rPr>
          <w:rFonts w:hint="eastAsia" w:ascii="宋体" w:hAnsi="宋体"/>
          <w:color w:val="000000" w:themeColor="text1"/>
          <w:sz w:val="28"/>
          <w:szCs w:val="22"/>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rPr>
            </w:pPr>
            <w:r>
              <w:rPr>
                <w:rFonts w:hint="eastAsia" w:ascii="宋体" w:hAnsi="宋体"/>
                <w:color w:val="000000" w:themeColor="text1"/>
                <w:sz w:val="28"/>
                <w:szCs w:val="22"/>
              </w:rPr>
              <w:t>(代理人身份证复印件粘贴处)</w:t>
            </w:r>
          </w:p>
        </w:tc>
      </w:tr>
    </w:tbl>
    <w:p>
      <w:pPr>
        <w:snapToGrid w:val="0"/>
        <w:spacing w:before="50" w:after="50"/>
        <w:jc w:val="center"/>
        <w:rPr>
          <w:rStyle w:val="43"/>
          <w:rFonts w:ascii="宋体" w:hAnsi="宋体" w:cs="宋体"/>
          <w:color w:val="000000" w:themeColor="text1"/>
          <w:sz w:val="32"/>
          <w:szCs w:val="32"/>
        </w:rPr>
      </w:pPr>
    </w:p>
    <w:p>
      <w:pPr>
        <w:snapToGrid w:val="0"/>
        <w:spacing w:before="50" w:after="50"/>
        <w:jc w:val="center"/>
        <w:rPr>
          <w:rStyle w:val="43"/>
          <w:rFonts w:ascii="宋体" w:hAnsi="宋体" w:cs="宋体"/>
          <w:color w:val="000000" w:themeColor="text1"/>
          <w:sz w:val="32"/>
          <w:szCs w:val="32"/>
        </w:rPr>
      </w:pPr>
    </w:p>
    <w:p>
      <w:pPr>
        <w:pStyle w:val="6"/>
        <w:rPr>
          <w:color w:val="000000" w:themeColor="text1"/>
        </w:rPr>
      </w:pPr>
    </w:p>
    <w:p>
      <w:pPr>
        <w:snapToGrid w:val="0"/>
        <w:spacing w:before="50" w:after="50"/>
        <w:jc w:val="center"/>
        <w:outlineLvl w:val="0"/>
        <w:rPr>
          <w:rStyle w:val="43"/>
          <w:rFonts w:ascii="宋体" w:hAnsi="宋体" w:cs="宋体"/>
          <w:color w:val="000000" w:themeColor="text1"/>
          <w:sz w:val="32"/>
          <w:szCs w:val="32"/>
        </w:rPr>
      </w:pPr>
      <w:bookmarkStart w:id="13" w:name="_Toc24970"/>
      <w:r>
        <w:rPr>
          <w:rStyle w:val="43"/>
          <w:rFonts w:hint="eastAsia" w:ascii="宋体" w:hAnsi="宋体" w:cs="宋体"/>
          <w:color w:val="000000" w:themeColor="text1"/>
          <w:sz w:val="32"/>
          <w:szCs w:val="32"/>
        </w:rPr>
        <w:t>二、资格性审查响应对照表（格式）</w:t>
      </w:r>
      <w:bookmarkEnd w:id="13"/>
    </w:p>
    <w:p>
      <w:pPr>
        <w:ind w:firstLine="309"/>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是否响应</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投标文件中的</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r>
              <w:rPr>
                <w:rStyle w:val="43"/>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bl>
    <w:p>
      <w:pPr>
        <w:spacing w:line="440" w:lineRule="exact"/>
        <w:ind w:firstLine="480" w:firstLineChars="200"/>
        <w:rPr>
          <w:rStyle w:val="43"/>
          <w:rFonts w:ascii="宋体" w:hAnsi="宋体" w:cs="宋体"/>
          <w:color w:val="000000" w:themeColor="text1"/>
          <w:sz w:val="2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jc w:val="center"/>
        <w:rPr>
          <w:rStyle w:val="43"/>
          <w:rFonts w:ascii="宋体" w:hAnsi="宋体" w:cs="宋体"/>
          <w:color w:val="000000" w:themeColor="text1"/>
          <w:sz w:val="32"/>
          <w:szCs w:val="32"/>
        </w:rPr>
      </w:pPr>
    </w:p>
    <w:p>
      <w:pPr>
        <w:snapToGrid w:val="0"/>
        <w:spacing w:before="50" w:after="50"/>
        <w:jc w:val="center"/>
        <w:outlineLvl w:val="0"/>
        <w:rPr>
          <w:rStyle w:val="43"/>
          <w:rFonts w:ascii="宋体" w:hAnsi="宋体" w:cs="宋体"/>
          <w:color w:val="000000" w:themeColor="text1"/>
          <w:sz w:val="32"/>
          <w:szCs w:val="32"/>
        </w:rPr>
      </w:pPr>
      <w:bookmarkStart w:id="14" w:name="_Toc12095"/>
      <w:r>
        <w:rPr>
          <w:rStyle w:val="43"/>
          <w:rFonts w:hint="eastAsia" w:ascii="宋体" w:hAnsi="宋体" w:cs="宋体"/>
          <w:color w:val="000000" w:themeColor="text1"/>
          <w:sz w:val="32"/>
          <w:szCs w:val="32"/>
        </w:rPr>
        <w:t>三、符合性检查响应对照表（格式）</w:t>
      </w:r>
      <w:bookmarkEnd w:id="14"/>
    </w:p>
    <w:p>
      <w:pPr>
        <w:ind w:firstLine="309"/>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是否响应</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投标文件中的</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r>
              <w:rPr>
                <w:rStyle w:val="43"/>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r>
              <w:rPr>
                <w:rStyle w:val="43"/>
                <w:rFonts w:hint="eastAsia" w:ascii="宋体" w:hAnsi="宋体" w:cs="宋体"/>
                <w:iCs/>
                <w:color w:val="000000" w:themeColor="text1"/>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bl>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pStyle w:val="6"/>
        <w:rPr>
          <w:color w:val="000000" w:themeColor="text1"/>
        </w:rPr>
      </w:pPr>
    </w:p>
    <w:p>
      <w:pPr>
        <w:rPr>
          <w:color w:val="000000" w:themeColor="text1"/>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24"/>
          <w:szCs w:val="24"/>
        </w:rPr>
      </w:pPr>
    </w:p>
    <w:p>
      <w:pPr>
        <w:snapToGrid w:val="0"/>
        <w:spacing w:before="50" w:after="50"/>
        <w:jc w:val="center"/>
        <w:outlineLvl w:val="0"/>
        <w:rPr>
          <w:rStyle w:val="43"/>
          <w:rFonts w:ascii="宋体" w:hAnsi="宋体" w:cs="宋体"/>
          <w:color w:val="000000" w:themeColor="text1"/>
          <w:sz w:val="32"/>
          <w:szCs w:val="32"/>
        </w:rPr>
      </w:pPr>
      <w:bookmarkStart w:id="15" w:name="_Toc18771"/>
      <w:r>
        <w:rPr>
          <w:rStyle w:val="43"/>
          <w:rFonts w:hint="eastAsia" w:ascii="宋体" w:hAnsi="宋体" w:cs="宋体"/>
          <w:color w:val="000000" w:themeColor="text1"/>
          <w:sz w:val="32"/>
          <w:szCs w:val="32"/>
        </w:rPr>
        <w:t>四、投标函（格式）</w:t>
      </w:r>
      <w:bookmarkEnd w:id="15"/>
    </w:p>
    <w:p>
      <w:pPr>
        <w:pStyle w:val="129"/>
        <w:spacing w:before="0" w:after="0" w:line="420" w:lineRule="exact"/>
        <w:ind w:firstLine="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致：</w:t>
      </w:r>
      <w:r>
        <w:rPr>
          <w:rStyle w:val="43"/>
          <w:rFonts w:hint="eastAsia" w:ascii="宋体" w:hAnsi="宋体" w:cs="宋体"/>
          <w:color w:val="000000" w:themeColor="text1"/>
          <w:kern w:val="2"/>
          <w:szCs w:val="21"/>
          <w:u w:val="single" w:color="000000"/>
        </w:rPr>
        <w:t>盐城工业职业技术学院</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根据贵方的</w:t>
      </w:r>
      <w:r>
        <w:rPr>
          <w:rStyle w:val="43"/>
          <w:rFonts w:hint="eastAsia" w:ascii="宋体" w:hAnsi="宋体" w:cs="宋体"/>
          <w:color w:val="000000" w:themeColor="text1"/>
          <w:kern w:val="2"/>
          <w:szCs w:val="21"/>
          <w:u w:val="single" w:color="000000"/>
        </w:rPr>
        <w:t xml:space="preserve">     号</w:t>
      </w:r>
      <w:r>
        <w:rPr>
          <w:rStyle w:val="43"/>
          <w:rFonts w:hint="eastAsia" w:ascii="宋体" w:hAnsi="宋体" w:cs="宋体"/>
          <w:color w:val="000000" w:themeColor="text1"/>
          <w:kern w:val="2"/>
          <w:szCs w:val="21"/>
        </w:rPr>
        <w:t>招标文件，正式授权下述签字人_________(姓名)代表我方______________（投标人的名称），全权处理本次项目投标的有关事宜。</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据此函，__________签字人兹宣布同意如下：</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1.按招标文件规定的各项要求，向买方提供所需货物与服务。</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2.我们完全理解贵方不一定将合同授予最低报价的投标人。</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3.我们已详细审核全部招标文件及其有效补充文件，我们知道必须放弃提出含糊不清或误解问题的权利。</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4.我们同意从规定的开标日期起遵循本投标文件，并在规定的投标有效期期满之前均具有约束力。</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5.如果在开标后规定的投标有效期内撤回投标或中标后拒绝签订合同，则按照国家相关法律法规受到相应处罚。</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6.同意向贵方提供贵方可能另外要求的与投标有关的任何证据或资料，并保证我方已提供和将要提供的文件是真实的、准确的。</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7.一旦我方中标,我方将根据招标文件的规定，严格履行合同的责任和义务,并保证在招标文件规定的时间完成项目，交付买方验收、使用。</w:t>
      </w:r>
    </w:p>
    <w:p>
      <w:pPr>
        <w:pStyle w:val="129"/>
        <w:spacing w:before="0" w:after="0" w:line="420" w:lineRule="exact"/>
        <w:ind w:left="425" w:firstLine="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8.与本投标有关的正式通讯地址为：</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地          址：</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邮          编：</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电          话：</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传          真：</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投标人开户行：</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 xml:space="preserve">账          户： </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 xml:space="preserve">投标人授权代表姓名（签字）： </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 xml:space="preserve">投标人名称（公章）： </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日           期：________年____月____日</w:t>
      </w:r>
    </w:p>
    <w:p>
      <w:pPr>
        <w:snapToGrid w:val="0"/>
        <w:spacing w:before="50" w:after="145"/>
        <w:jc w:val="left"/>
        <w:rPr>
          <w:rStyle w:val="43"/>
          <w:rFonts w:ascii="宋体" w:hAnsi="宋体" w:cs="宋体"/>
          <w:color w:val="000000" w:themeColor="text1"/>
          <w:sz w:val="24"/>
          <w:szCs w:val="20"/>
        </w:rPr>
      </w:pPr>
    </w:p>
    <w:p>
      <w:pPr>
        <w:jc w:val="center"/>
        <w:rPr>
          <w:rStyle w:val="43"/>
          <w:rFonts w:ascii="宋体" w:hAnsi="宋体" w:cs="宋体"/>
          <w:b/>
          <w:color w:val="000000" w:themeColor="text1"/>
          <w:sz w:val="32"/>
          <w:szCs w:val="32"/>
        </w:rPr>
      </w:pPr>
    </w:p>
    <w:p>
      <w:pPr>
        <w:pStyle w:val="23"/>
        <w:rPr>
          <w:color w:val="000000" w:themeColor="text1"/>
        </w:rPr>
      </w:pPr>
    </w:p>
    <w:p>
      <w:pPr>
        <w:snapToGrid w:val="0"/>
        <w:spacing w:before="50" w:after="50"/>
        <w:rPr>
          <w:rStyle w:val="43"/>
          <w:rFonts w:ascii="宋体" w:hAnsi="宋体" w:cs="宋体"/>
          <w:color w:val="000000" w:themeColor="text1"/>
          <w:sz w:val="32"/>
          <w:szCs w:val="32"/>
        </w:rPr>
      </w:pPr>
    </w:p>
    <w:p>
      <w:pPr>
        <w:pStyle w:val="6"/>
        <w:rPr>
          <w:color w:val="000000" w:themeColor="text1"/>
        </w:rPr>
      </w:pPr>
    </w:p>
    <w:p>
      <w:pPr>
        <w:snapToGrid w:val="0"/>
        <w:spacing w:before="50" w:after="50"/>
        <w:jc w:val="center"/>
        <w:outlineLvl w:val="0"/>
        <w:rPr>
          <w:rStyle w:val="43"/>
          <w:rFonts w:ascii="宋体" w:hAnsi="宋体" w:cs="宋体"/>
          <w:color w:val="000000" w:themeColor="text1"/>
          <w:sz w:val="32"/>
          <w:szCs w:val="32"/>
        </w:rPr>
      </w:pPr>
      <w:bookmarkStart w:id="16" w:name="_Toc3373"/>
      <w:r>
        <w:rPr>
          <w:rStyle w:val="43"/>
          <w:rFonts w:hint="eastAsia" w:ascii="宋体" w:hAnsi="宋体" w:cs="宋体"/>
          <w:color w:val="000000" w:themeColor="text1"/>
          <w:sz w:val="32"/>
          <w:szCs w:val="32"/>
        </w:rPr>
        <w:t>五、开标一览表（格式）</w:t>
      </w:r>
      <w:bookmarkEnd w:id="16"/>
    </w:p>
    <w:p>
      <w:pPr>
        <w:snapToGrid w:val="0"/>
        <w:spacing w:before="50" w:after="50"/>
        <w:jc w:val="center"/>
        <w:rPr>
          <w:rStyle w:val="43"/>
          <w:rFonts w:ascii="宋体" w:hAnsi="宋体" w:cs="宋体"/>
          <w:color w:val="000000" w:themeColor="text1"/>
          <w:sz w:val="32"/>
          <w:szCs w:val="32"/>
        </w:rPr>
      </w:pPr>
    </w:p>
    <w:tbl>
      <w:tblPr>
        <w:tblStyle w:val="2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2" w:firstLineChars="200"/>
              <w:rPr>
                <w:rStyle w:val="43"/>
                <w:rFonts w:ascii="宋体" w:hAnsi="宋体" w:cs="宋体"/>
                <w:b/>
                <w:bCs/>
                <w:color w:val="000000" w:themeColor="text1"/>
                <w:szCs w:val="28"/>
              </w:rPr>
            </w:pPr>
            <w:r>
              <w:rPr>
                <w:rStyle w:val="43"/>
                <w:rFonts w:hint="eastAsia" w:ascii="宋体" w:hAnsi="宋体" w:cs="宋体"/>
                <w:b/>
                <w:bCs/>
                <w:color w:val="000000" w:themeColor="text1"/>
                <w:szCs w:val="28"/>
              </w:rPr>
              <w:t>项目编号</w:t>
            </w:r>
          </w:p>
        </w:tc>
        <w:tc>
          <w:tcPr>
            <w:tcW w:w="6277" w:type="dxa"/>
            <w:tcBorders>
              <w:top w:val="single" w:color="000000" w:sz="4" w:space="0"/>
              <w:left w:val="single" w:color="000000" w:sz="4" w:space="0"/>
              <w:bottom w:val="single" w:color="000000" w:sz="4" w:space="0"/>
              <w:right w:val="single" w:color="000000" w:sz="4" w:space="0"/>
            </w:tcBorders>
            <w:vAlign w:val="center"/>
          </w:tcPr>
          <w:p>
            <w:pPr>
              <w:pStyle w:val="34"/>
              <w:jc w:val="both"/>
              <w:rPr>
                <w:rStyle w:val="43"/>
                <w:rFonts w:ascii="宋体" w:hAnsi="宋体" w:eastAsia="宋体" w:cs="宋体"/>
                <w:color w:val="000000" w:themeColor="text1"/>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2" w:firstLineChars="200"/>
              <w:rPr>
                <w:rStyle w:val="43"/>
                <w:rFonts w:ascii="宋体" w:hAnsi="宋体" w:cs="宋体"/>
                <w:b/>
                <w:bCs/>
                <w:color w:val="000000" w:themeColor="text1"/>
                <w:szCs w:val="28"/>
              </w:rPr>
            </w:pPr>
            <w:r>
              <w:rPr>
                <w:rStyle w:val="43"/>
                <w:rFonts w:hint="eastAsia" w:ascii="宋体" w:hAnsi="宋体" w:cs="宋体"/>
                <w:b/>
                <w:bCs/>
                <w:color w:val="000000" w:themeColor="text1"/>
                <w:szCs w:val="28"/>
              </w:rPr>
              <w:t>项目名称</w:t>
            </w:r>
          </w:p>
        </w:tc>
        <w:tc>
          <w:tcPr>
            <w:tcW w:w="6277" w:type="dxa"/>
            <w:tcBorders>
              <w:top w:val="single" w:color="000000" w:sz="4" w:space="0"/>
              <w:left w:val="single" w:color="000000" w:sz="4" w:space="0"/>
              <w:bottom w:val="single" w:color="000000" w:sz="4" w:space="0"/>
              <w:right w:val="single" w:color="000000" w:sz="4" w:space="0"/>
            </w:tcBorders>
            <w:vAlign w:val="center"/>
          </w:tcPr>
          <w:p>
            <w:pPr>
              <w:pStyle w:val="34"/>
              <w:jc w:val="both"/>
              <w:rPr>
                <w:rStyle w:val="43"/>
                <w:rFonts w:ascii="宋体" w:hAnsi="宋体" w:eastAsia="宋体" w:cs="宋体"/>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5"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rPr>
            </w:pPr>
            <w:r>
              <w:rPr>
                <w:rStyle w:val="43"/>
                <w:rFonts w:hint="eastAsia" w:ascii="宋体" w:hAnsi="宋体" w:cs="宋体"/>
                <w:b/>
                <w:bCs/>
                <w:color w:val="000000" w:themeColor="text1"/>
                <w:szCs w:val="28"/>
              </w:rPr>
              <w:t xml:space="preserve">项目投标报价：（大写）      /年，小写：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5"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rPr>
            </w:pPr>
            <w:r>
              <w:rPr>
                <w:rStyle w:val="43"/>
                <w:rFonts w:hint="eastAsia" w:ascii="宋体" w:hAnsi="宋体" w:cs="宋体"/>
                <w:b/>
                <w:bCs/>
                <w:color w:val="000000" w:themeColor="text1"/>
                <w:szCs w:val="28"/>
              </w:rPr>
              <w:t>是否提供《中小企业声明函》：是 / 否   ，见（       ）页，所属行业为</w:t>
            </w:r>
            <w:r>
              <w:rPr>
                <w:rStyle w:val="43"/>
                <w:rFonts w:hint="eastAsia" w:ascii="宋体" w:hAnsi="宋体" w:cs="宋体"/>
                <w:b/>
                <w:bCs/>
                <w:color w:val="000000" w:themeColor="text1"/>
                <w:szCs w:val="28"/>
                <w:u w:val="single"/>
              </w:rPr>
              <w:t xml:space="preserve">  物业管理</w:t>
            </w:r>
            <w:r>
              <w:rPr>
                <w:rStyle w:val="43"/>
                <w:rFonts w:hint="eastAsia" w:ascii="宋体" w:hAnsi="宋体" w:cs="宋体"/>
                <w:b/>
                <w:bCs/>
                <w:color w:val="000000" w:themeColor="text1"/>
                <w:szCs w:val="28"/>
              </w:rPr>
              <w:t xml:space="preserve">  </w:t>
            </w:r>
            <w:r>
              <w:rPr>
                <w:rStyle w:val="43"/>
                <w:rFonts w:hint="eastAsia" w:ascii="宋体" w:hAnsi="宋体" w:cs="宋体"/>
                <w:b/>
                <w:bCs/>
                <w:color w:val="000000" w:themeColor="text1"/>
                <w:szCs w:val="28"/>
                <w:u w:val="single"/>
              </w:rPr>
              <w:t xml:space="preserve">   </w:t>
            </w:r>
            <w:r>
              <w:rPr>
                <w:rStyle w:val="43"/>
                <w:rFonts w:hint="eastAsia" w:ascii="宋体" w:hAnsi="宋体" w:cs="宋体"/>
                <w:b/>
                <w:bCs/>
                <w:color w:val="000000" w:themeColor="text1"/>
                <w:szCs w:val="28"/>
              </w:rPr>
              <w:t xml:space="preserve"> </w:t>
            </w:r>
            <w:r>
              <w:rPr>
                <w:rStyle w:val="43"/>
                <w:rFonts w:hint="eastAsia" w:ascii="宋体" w:hAnsi="宋体" w:cs="宋体"/>
                <w:b/>
                <w:bCs/>
                <w:color w:val="000000" w:themeColor="text1"/>
                <w:szCs w:val="2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rPr>
            </w:pPr>
            <w:r>
              <w:rPr>
                <w:rStyle w:val="43"/>
                <w:rFonts w:hint="eastAsia" w:ascii="宋体" w:hAnsi="宋体" w:cs="宋体"/>
                <w:b/>
                <w:bCs/>
                <w:color w:val="000000" w:themeColor="text1"/>
                <w:szCs w:val="28"/>
              </w:rPr>
              <w:t>项目经理：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rPr>
            </w:pPr>
            <w:r>
              <w:rPr>
                <w:rStyle w:val="43"/>
                <w:rFonts w:hint="eastAsia" w:ascii="宋体" w:hAnsi="宋体" w:cs="宋体"/>
                <w:b/>
                <w:bCs/>
                <w:color w:val="000000" w:themeColor="text1"/>
                <w:szCs w:val="28"/>
              </w:rPr>
              <w:t>合同履行期限： 二年，中标经公示无异议后先签一年合同，一年期满后经考核合格签第二年合同。</w:t>
            </w:r>
          </w:p>
        </w:tc>
      </w:tr>
    </w:tbl>
    <w:p>
      <w:pPr>
        <w:spacing w:line="240" w:lineRule="atLeast"/>
        <w:rPr>
          <w:rStyle w:val="43"/>
          <w:rFonts w:ascii="宋体" w:hAnsi="宋体" w:cs="宋体"/>
          <w:color w:val="000000" w:themeColor="text1"/>
          <w:szCs w:val="28"/>
        </w:rPr>
      </w:pPr>
    </w:p>
    <w:p>
      <w:pPr>
        <w:spacing w:line="240" w:lineRule="atLeast"/>
        <w:rPr>
          <w:rStyle w:val="43"/>
          <w:rFonts w:ascii="宋体" w:hAnsi="宋体" w:cs="宋体"/>
          <w:color w:val="000000" w:themeColor="text1"/>
          <w:szCs w:val="28"/>
        </w:rPr>
      </w:pPr>
      <w:r>
        <w:rPr>
          <w:rStyle w:val="43"/>
          <w:rFonts w:hint="eastAsia" w:ascii="宋体" w:hAnsi="宋体" w:cs="宋体"/>
          <w:color w:val="000000" w:themeColor="text1"/>
          <w:szCs w:val="28"/>
        </w:rPr>
        <w:t>填写说明：</w:t>
      </w:r>
    </w:p>
    <w:p>
      <w:pPr>
        <w:numPr>
          <w:ilvl w:val="0"/>
          <w:numId w:val="5"/>
        </w:numPr>
        <w:rPr>
          <w:rStyle w:val="43"/>
          <w:rFonts w:ascii="宋体" w:hAnsi="宋体" w:cs="宋体"/>
          <w:color w:val="000000" w:themeColor="text1"/>
          <w:sz w:val="24"/>
        </w:rPr>
      </w:pPr>
      <w:r>
        <w:rPr>
          <w:rStyle w:val="43"/>
          <w:rFonts w:hint="eastAsia" w:ascii="宋体" w:hAnsi="宋体" w:cs="宋体"/>
          <w:color w:val="000000" w:themeColor="text1"/>
          <w:sz w:val="24"/>
        </w:rPr>
        <w:t>开标一览表不得填报选择性报价，否则将作为无效投标；</w:t>
      </w:r>
    </w:p>
    <w:p>
      <w:pPr>
        <w:numPr>
          <w:ilvl w:val="0"/>
          <w:numId w:val="5"/>
        </w:numPr>
        <w:rPr>
          <w:rStyle w:val="43"/>
          <w:rFonts w:ascii="宋体" w:hAnsi="宋体" w:cs="宋体"/>
          <w:color w:val="000000" w:themeColor="text1"/>
          <w:sz w:val="24"/>
        </w:rPr>
      </w:pPr>
      <w:r>
        <w:rPr>
          <w:rStyle w:val="43"/>
          <w:rFonts w:hint="eastAsia" w:ascii="宋体" w:hAnsi="宋体" w:cs="宋体"/>
          <w:color w:val="000000" w:themeColor="text1"/>
          <w:sz w:val="24"/>
        </w:rPr>
        <w:t>开标一览表中报价与投标分项明细报价表中不符时时，以开标一览表为准；</w:t>
      </w:r>
    </w:p>
    <w:p>
      <w:pPr>
        <w:ind w:firstLine="2640" w:firstLineChars="600"/>
        <w:rPr>
          <w:rStyle w:val="43"/>
          <w:rFonts w:ascii="宋体" w:hAnsi="宋体" w:cs="宋体"/>
          <w:color w:val="000000" w:themeColor="text1"/>
          <w:sz w:val="44"/>
        </w:rPr>
      </w:pPr>
    </w:p>
    <w:p>
      <w:pPr>
        <w:ind w:firstLine="480"/>
        <w:rPr>
          <w:rStyle w:val="43"/>
          <w:rFonts w:ascii="宋体" w:hAnsi="宋体" w:cs="宋体"/>
          <w:color w:val="000000" w:themeColor="text1"/>
          <w:sz w:val="24"/>
        </w:rPr>
      </w:pPr>
    </w:p>
    <w:p>
      <w:pPr>
        <w:ind w:firstLine="480"/>
        <w:rPr>
          <w:rStyle w:val="43"/>
          <w:rFonts w:ascii="宋体" w:hAnsi="宋体" w:cs="宋体"/>
          <w:color w:val="000000" w:themeColor="text1"/>
          <w:sz w:val="24"/>
        </w:rPr>
      </w:pPr>
    </w:p>
    <w:p>
      <w:pPr>
        <w:ind w:firstLine="480"/>
        <w:jc w:val="center"/>
        <w:rPr>
          <w:rStyle w:val="43"/>
          <w:rFonts w:ascii="宋体" w:hAnsi="宋体" w:cs="宋体"/>
          <w:color w:val="000000" w:themeColor="text1"/>
          <w:sz w:val="24"/>
        </w:rPr>
      </w:pPr>
      <w:r>
        <w:rPr>
          <w:rStyle w:val="43"/>
          <w:rFonts w:hint="eastAsia" w:ascii="宋体" w:hAnsi="宋体" w:cs="宋体"/>
          <w:bCs/>
          <w:color w:val="000000" w:themeColor="text1"/>
          <w:sz w:val="24"/>
        </w:rPr>
        <w:t xml:space="preserve">                                        供应商名称（公章）：</w:t>
      </w:r>
    </w:p>
    <w:p>
      <w:pPr>
        <w:ind w:firstLine="480"/>
        <w:rPr>
          <w:rStyle w:val="43"/>
          <w:rFonts w:ascii="宋体" w:hAnsi="宋体" w:cs="宋体"/>
          <w:color w:val="000000" w:themeColor="text1"/>
          <w:sz w:val="24"/>
        </w:rPr>
      </w:pPr>
      <w:r>
        <w:rPr>
          <w:rStyle w:val="43"/>
          <w:rFonts w:hint="eastAsia" w:ascii="宋体" w:hAnsi="宋体" w:cs="宋体"/>
          <w:color w:val="000000" w:themeColor="text1"/>
          <w:sz w:val="24"/>
        </w:rPr>
        <w:t xml:space="preserve">                                              日期： 年月日</w:t>
      </w:r>
    </w:p>
    <w:p>
      <w:pPr>
        <w:pStyle w:val="23"/>
        <w:rPr>
          <w:color w:val="000000" w:themeColor="text1"/>
        </w:rPr>
      </w:pPr>
    </w:p>
    <w:p>
      <w:pPr>
        <w:rPr>
          <w:color w:val="000000" w:themeColor="text1"/>
        </w:rPr>
      </w:pPr>
    </w:p>
    <w:p>
      <w:pPr>
        <w:snapToGrid w:val="0"/>
        <w:spacing w:before="50" w:after="50"/>
        <w:jc w:val="center"/>
        <w:outlineLvl w:val="0"/>
        <w:rPr>
          <w:rFonts w:ascii="黑体" w:eastAsia="黑体"/>
          <w:color w:val="000000" w:themeColor="text1"/>
          <w:sz w:val="32"/>
          <w:szCs w:val="32"/>
        </w:rPr>
      </w:pPr>
      <w:bookmarkStart w:id="17" w:name="_Toc30796"/>
    </w:p>
    <w:p>
      <w:pPr>
        <w:spacing w:line="360" w:lineRule="auto"/>
        <w:jc w:val="center"/>
        <w:rPr>
          <w:rFonts w:ascii="宋体" w:hAnsi="宋体"/>
          <w:b/>
          <w:bCs/>
          <w:color w:val="000000" w:themeColor="text1"/>
          <w:sz w:val="24"/>
          <w:szCs w:val="24"/>
        </w:rPr>
      </w:pPr>
    </w:p>
    <w:p>
      <w:pPr>
        <w:spacing w:line="360" w:lineRule="auto"/>
        <w:jc w:val="center"/>
        <w:rPr>
          <w:rFonts w:ascii="宋体" w:hAnsi="宋体"/>
          <w:b/>
          <w:bCs/>
          <w:color w:val="000000" w:themeColor="text1"/>
          <w:sz w:val="24"/>
          <w:szCs w:val="24"/>
        </w:rPr>
      </w:pPr>
      <w:r>
        <w:rPr>
          <w:rFonts w:hint="eastAsia" w:ascii="宋体" w:hAnsi="宋体"/>
          <w:b/>
          <w:bCs/>
          <w:color w:val="000000" w:themeColor="text1"/>
          <w:sz w:val="24"/>
          <w:szCs w:val="24"/>
        </w:rPr>
        <w:t>中小企业声明函（服务）</w:t>
      </w:r>
    </w:p>
    <w:p>
      <w:pPr>
        <w:spacing w:line="360" w:lineRule="auto"/>
        <w:rPr>
          <w:rFonts w:ascii="宋体" w:hAnsi="宋体"/>
          <w:b/>
          <w:bCs/>
          <w:color w:val="000000" w:themeColor="text1"/>
          <w:sz w:val="24"/>
          <w:szCs w:val="24"/>
        </w:rPr>
      </w:pPr>
    </w:p>
    <w:p>
      <w:pPr>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本公司郑重声明，根据《政府采购促进中小企业发展管理办法》（财库﹝2020﹞46 号）的规定，本公司参加</w:t>
      </w:r>
      <w:r>
        <w:rPr>
          <w:rFonts w:hint="eastAsia" w:ascii="宋体" w:hAnsi="宋体"/>
          <w:color w:val="000000" w:themeColor="text1"/>
          <w:sz w:val="24"/>
          <w:szCs w:val="24"/>
          <w:u w:val="single"/>
        </w:rPr>
        <w:t>（单位名称）</w:t>
      </w:r>
      <w:r>
        <w:rPr>
          <w:rFonts w:hint="eastAsia" w:ascii="宋体" w:hAnsi="宋体"/>
          <w:color w:val="000000" w:themeColor="text1"/>
          <w:sz w:val="24"/>
          <w:szCs w:val="24"/>
        </w:rPr>
        <w:t>的</w:t>
      </w:r>
      <w:r>
        <w:rPr>
          <w:rFonts w:hint="eastAsia" w:ascii="宋体" w:hAnsi="宋体"/>
          <w:color w:val="000000" w:themeColor="text1"/>
          <w:sz w:val="24"/>
          <w:szCs w:val="24"/>
          <w:u w:val="single"/>
        </w:rPr>
        <w:t>（项目名称）</w:t>
      </w:r>
      <w:r>
        <w:rPr>
          <w:rFonts w:hint="eastAsia" w:ascii="宋体" w:hAnsi="宋体"/>
          <w:color w:val="000000" w:themeColor="text1"/>
          <w:sz w:val="24"/>
          <w:szCs w:val="24"/>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w:t>
      </w:r>
      <w:r>
        <w:rPr>
          <w:rFonts w:hint="eastAsia" w:ascii="宋体" w:hAnsi="宋体"/>
          <w:color w:val="000000" w:themeColor="text1"/>
          <w:sz w:val="24"/>
          <w:szCs w:val="24"/>
          <w:u w:val="single"/>
        </w:rPr>
        <w:t xml:space="preserve">（标的名称） </w:t>
      </w:r>
      <w:r>
        <w:rPr>
          <w:rFonts w:hint="eastAsia" w:ascii="宋体" w:hAnsi="宋体"/>
          <w:color w:val="000000" w:themeColor="text1"/>
          <w:sz w:val="24"/>
          <w:szCs w:val="24"/>
        </w:rPr>
        <w:t>，属于</w:t>
      </w:r>
      <w:r>
        <w:rPr>
          <w:rFonts w:hint="eastAsia" w:ascii="宋体" w:hAnsi="宋体"/>
          <w:color w:val="000000" w:themeColor="text1"/>
          <w:sz w:val="24"/>
          <w:szCs w:val="24"/>
          <w:u w:val="single"/>
        </w:rPr>
        <w:t xml:space="preserve">  物业管理  </w:t>
      </w:r>
      <w:r>
        <w:rPr>
          <w:rFonts w:hint="eastAsia" w:ascii="宋体" w:hAnsi="宋体"/>
          <w:color w:val="000000" w:themeColor="text1"/>
          <w:sz w:val="24"/>
          <w:szCs w:val="24"/>
        </w:rPr>
        <w:t>行业；承接企业为</w:t>
      </w:r>
      <w:r>
        <w:rPr>
          <w:rFonts w:hint="eastAsia" w:ascii="宋体" w:hAnsi="宋体"/>
          <w:color w:val="000000" w:themeColor="text1"/>
          <w:sz w:val="24"/>
          <w:szCs w:val="24"/>
          <w:u w:val="single"/>
        </w:rPr>
        <w:t>（企业名称）</w:t>
      </w:r>
      <w:r>
        <w:rPr>
          <w:rFonts w:hint="eastAsia" w:ascii="宋体" w:hAnsi="宋体"/>
          <w:color w:val="000000" w:themeColor="text1"/>
          <w:sz w:val="24"/>
          <w:szCs w:val="24"/>
        </w:rPr>
        <w:t>，从业人员人，营业收入为万元，资产总额为万元，属于</w:t>
      </w:r>
      <w:r>
        <w:rPr>
          <w:rFonts w:hint="eastAsia" w:ascii="宋体" w:hAnsi="宋体"/>
          <w:color w:val="000000" w:themeColor="text1"/>
          <w:sz w:val="24"/>
          <w:szCs w:val="24"/>
          <w:u w:val="single"/>
        </w:rPr>
        <w:t>（中型企业、小型企业、微型企业）</w:t>
      </w:r>
      <w:r>
        <w:rPr>
          <w:rFonts w:hint="eastAsia" w:ascii="宋体" w:hAnsi="宋体"/>
          <w:color w:val="000000" w:themeColor="text1"/>
          <w:sz w:val="24"/>
          <w:szCs w:val="24"/>
        </w:rPr>
        <w:t>；</w:t>
      </w:r>
    </w:p>
    <w:p>
      <w:pPr>
        <w:numPr>
          <w:ilvl w:val="0"/>
          <w:numId w:val="6"/>
        </w:numPr>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u w:val="single"/>
        </w:rPr>
        <w:t xml:space="preserve">（标的名称） </w:t>
      </w:r>
      <w:r>
        <w:rPr>
          <w:rFonts w:hint="eastAsia" w:ascii="宋体" w:hAnsi="宋体"/>
          <w:color w:val="000000" w:themeColor="text1"/>
          <w:sz w:val="24"/>
          <w:szCs w:val="24"/>
        </w:rPr>
        <w:t>，属于</w:t>
      </w:r>
      <w:r>
        <w:rPr>
          <w:rFonts w:hint="eastAsia" w:ascii="宋体" w:hAnsi="宋体"/>
          <w:color w:val="000000" w:themeColor="text1"/>
          <w:sz w:val="24"/>
          <w:szCs w:val="24"/>
          <w:u w:val="single"/>
        </w:rPr>
        <w:t>物业管理</w:t>
      </w:r>
      <w:r>
        <w:rPr>
          <w:rFonts w:hint="eastAsia" w:ascii="宋体" w:hAnsi="宋体"/>
          <w:color w:val="000000" w:themeColor="text1"/>
          <w:sz w:val="24"/>
          <w:szCs w:val="24"/>
        </w:rPr>
        <w:t>行业；承接企业为</w:t>
      </w:r>
      <w:r>
        <w:rPr>
          <w:rFonts w:hint="eastAsia" w:ascii="宋体" w:hAnsi="宋体"/>
          <w:color w:val="000000" w:themeColor="text1"/>
          <w:sz w:val="24"/>
          <w:szCs w:val="24"/>
          <w:u w:val="single"/>
        </w:rPr>
        <w:t>（企业名称）</w:t>
      </w:r>
      <w:r>
        <w:rPr>
          <w:rFonts w:hint="eastAsia" w:ascii="宋体" w:hAnsi="宋体"/>
          <w:color w:val="000000" w:themeColor="text1"/>
          <w:sz w:val="24"/>
          <w:szCs w:val="24"/>
        </w:rPr>
        <w:t>，从业人员人，营业收入为万元，资产总额为万元，属于</w:t>
      </w:r>
      <w:r>
        <w:rPr>
          <w:rFonts w:hint="eastAsia" w:ascii="宋体" w:hAnsi="宋体"/>
          <w:color w:val="000000" w:themeColor="text1"/>
          <w:sz w:val="24"/>
          <w:szCs w:val="24"/>
          <w:u w:val="single"/>
        </w:rPr>
        <w:t>（中型企业、小型企业、微型企业）</w:t>
      </w:r>
      <w:r>
        <w:rPr>
          <w:rFonts w:hint="eastAsia" w:ascii="宋体" w:hAnsi="宋体"/>
          <w:color w:val="000000" w:themeColor="text1"/>
          <w:sz w:val="24"/>
          <w:szCs w:val="24"/>
        </w:rPr>
        <w:t>；</w:t>
      </w:r>
    </w:p>
    <w:p>
      <w:pPr>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w:t>
      </w:r>
    </w:p>
    <w:p>
      <w:pPr>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本企业对上述声明内容的真实性负责。如有虚假，将依法承担相应责任。</w:t>
      </w:r>
    </w:p>
    <w:p>
      <w:pPr>
        <w:spacing w:line="360" w:lineRule="auto"/>
        <w:ind w:firstLine="480" w:firstLineChars="200"/>
        <w:jc w:val="left"/>
        <w:rPr>
          <w:rFonts w:ascii="宋体" w:hAnsi="宋体"/>
          <w:color w:val="000000" w:themeColor="text1"/>
          <w:sz w:val="24"/>
          <w:szCs w:val="24"/>
        </w:rPr>
      </w:pPr>
    </w:p>
    <w:p>
      <w:pPr>
        <w:spacing w:line="360" w:lineRule="auto"/>
        <w:ind w:firstLine="4080" w:firstLineChars="1700"/>
        <w:jc w:val="left"/>
        <w:rPr>
          <w:rFonts w:ascii="宋体" w:hAnsi="宋体"/>
          <w:color w:val="000000" w:themeColor="text1"/>
          <w:sz w:val="24"/>
          <w:szCs w:val="24"/>
        </w:rPr>
      </w:pPr>
      <w:r>
        <w:rPr>
          <w:rFonts w:hint="eastAsia" w:ascii="宋体" w:hAnsi="宋体"/>
          <w:color w:val="000000" w:themeColor="text1"/>
          <w:sz w:val="24"/>
          <w:szCs w:val="24"/>
        </w:rPr>
        <w:t>企业名称（盖章）：</w:t>
      </w:r>
    </w:p>
    <w:p>
      <w:pPr>
        <w:spacing w:line="360" w:lineRule="auto"/>
        <w:ind w:firstLine="4080" w:firstLineChars="1700"/>
        <w:jc w:val="left"/>
        <w:rPr>
          <w:rFonts w:ascii="宋体" w:hAnsi="宋体"/>
          <w:color w:val="000000" w:themeColor="text1"/>
          <w:sz w:val="24"/>
          <w:szCs w:val="24"/>
        </w:rPr>
      </w:pPr>
      <w:r>
        <w:rPr>
          <w:rFonts w:hint="eastAsia" w:ascii="宋体" w:hAnsi="宋体"/>
          <w:color w:val="000000" w:themeColor="text1"/>
          <w:sz w:val="24"/>
          <w:szCs w:val="24"/>
        </w:rPr>
        <w:t>日期：</w:t>
      </w:r>
    </w:p>
    <w:p>
      <w:pPr>
        <w:spacing w:line="360" w:lineRule="auto"/>
        <w:jc w:val="center"/>
        <w:rPr>
          <w:rFonts w:ascii="宋体" w:hAnsi="宋体"/>
          <w:b/>
          <w:bCs/>
          <w:color w:val="000000" w:themeColor="text1"/>
        </w:rPr>
      </w:pPr>
    </w:p>
    <w:p>
      <w:pPr>
        <w:spacing w:line="360" w:lineRule="auto"/>
        <w:jc w:val="center"/>
        <w:rPr>
          <w:rFonts w:ascii="宋体" w:hAnsi="宋体"/>
          <w:b/>
          <w:bCs/>
          <w:color w:val="000000" w:themeColor="text1"/>
        </w:rPr>
      </w:pPr>
      <w:r>
        <w:rPr>
          <w:rFonts w:hint="eastAsia" w:ascii="宋体" w:hAnsi="宋体"/>
          <w:b/>
          <w:bCs/>
          <w:color w:val="000000" w:themeColor="text1"/>
        </w:rPr>
        <w:t>从业人员、营业收入、资产总额填报上一年度数据，无上一年度数据的新成立企业可不填报。</w:t>
      </w:r>
    </w:p>
    <w:p>
      <w:pPr>
        <w:snapToGrid w:val="0"/>
        <w:spacing w:before="50" w:after="50"/>
        <w:jc w:val="center"/>
        <w:outlineLvl w:val="0"/>
        <w:rPr>
          <w:rFonts w:ascii="黑体" w:eastAsia="黑体"/>
          <w:color w:val="000000" w:themeColor="text1"/>
          <w:sz w:val="32"/>
          <w:szCs w:val="32"/>
        </w:rPr>
      </w:pPr>
    </w:p>
    <w:p>
      <w:pPr>
        <w:snapToGrid w:val="0"/>
        <w:spacing w:before="50" w:after="50"/>
        <w:jc w:val="center"/>
        <w:outlineLvl w:val="0"/>
        <w:rPr>
          <w:rFonts w:ascii="黑体" w:eastAsia="黑体"/>
          <w:color w:val="000000" w:themeColor="text1"/>
          <w:sz w:val="32"/>
          <w:szCs w:val="32"/>
        </w:rPr>
      </w:pPr>
    </w:p>
    <w:p>
      <w:pPr>
        <w:pStyle w:val="21"/>
        <w:widowControl w:val="0"/>
        <w:snapToGrid w:val="0"/>
        <w:spacing w:before="0" w:beforeAutospacing="0" w:after="0" w:afterAutospacing="0" w:line="460" w:lineRule="exact"/>
        <w:jc w:val="center"/>
        <w:rPr>
          <w:rFonts w:ascii="黑体" w:eastAsia="黑体"/>
          <w:color w:val="000000" w:themeColor="text1"/>
          <w:sz w:val="32"/>
          <w:szCs w:val="32"/>
        </w:rPr>
      </w:pPr>
      <w:r>
        <w:rPr>
          <w:rFonts w:ascii="黑体" w:eastAsia="黑体"/>
          <w:color w:val="000000" w:themeColor="text1"/>
          <w:sz w:val="32"/>
          <w:szCs w:val="32"/>
        </w:rPr>
        <w:br w:type="page"/>
      </w:r>
    </w:p>
    <w:p>
      <w:pPr>
        <w:pStyle w:val="21"/>
        <w:widowControl w:val="0"/>
        <w:snapToGrid w:val="0"/>
        <w:spacing w:before="0" w:beforeAutospacing="0" w:after="0" w:afterAutospacing="0" w:line="460" w:lineRule="exact"/>
        <w:jc w:val="center"/>
        <w:rPr>
          <w:rFonts w:eastAsia="黑体"/>
          <w:b/>
          <w:bCs/>
          <w:color w:val="000000" w:themeColor="text1"/>
          <w:kern w:val="2"/>
        </w:rPr>
      </w:pPr>
      <w:r>
        <w:rPr>
          <w:rFonts w:hint="eastAsia" w:ascii="黑体" w:eastAsia="黑体"/>
          <w:color w:val="000000" w:themeColor="text1"/>
          <w:sz w:val="32"/>
          <w:szCs w:val="32"/>
        </w:rPr>
        <w:t>六、</w:t>
      </w:r>
      <w:bookmarkEnd w:id="17"/>
      <w:bookmarkStart w:id="18" w:name="_Toc25472"/>
      <w:r>
        <w:rPr>
          <w:rFonts w:hint="eastAsia" w:ascii="黑体" w:eastAsia="黑体"/>
          <w:color w:val="000000" w:themeColor="text1"/>
          <w:sz w:val="32"/>
          <w:szCs w:val="32"/>
        </w:rPr>
        <w:t>详细报价表</w:t>
      </w:r>
    </w:p>
    <w:p>
      <w:pPr>
        <w:spacing w:line="360" w:lineRule="exact"/>
        <w:jc w:val="center"/>
        <w:rPr>
          <w:b/>
          <w:color w:val="000000" w:themeColor="text1"/>
          <w:sz w:val="24"/>
        </w:rPr>
      </w:pPr>
      <w:r>
        <w:rPr>
          <w:rFonts w:hint="eastAsia" w:hAnsi="宋体"/>
          <w:b/>
          <w:color w:val="000000" w:themeColor="text1"/>
          <w:sz w:val="24"/>
        </w:rPr>
        <w:t>投标报价明细表</w:t>
      </w:r>
    </w:p>
    <w:p>
      <w:pPr>
        <w:pStyle w:val="159"/>
        <w:spacing w:line="400" w:lineRule="exact"/>
        <w:jc w:val="left"/>
        <w:rPr>
          <w:rFonts w:ascii="Times New Roman" w:hAnsi="Times New Roman"/>
          <w:color w:val="000000" w:themeColor="text1"/>
          <w:sz w:val="24"/>
          <w:szCs w:val="24"/>
        </w:rPr>
      </w:pPr>
      <w:r>
        <w:rPr>
          <w:rFonts w:hint="eastAsia" w:ascii="Times New Roman" w:hAnsi="宋体"/>
          <w:color w:val="000000" w:themeColor="text1"/>
          <w:sz w:val="24"/>
          <w:szCs w:val="24"/>
        </w:rPr>
        <w:t>项目名称：</w:t>
      </w:r>
    </w:p>
    <w:p>
      <w:pPr>
        <w:pStyle w:val="159"/>
        <w:spacing w:line="400" w:lineRule="exact"/>
        <w:jc w:val="left"/>
        <w:rPr>
          <w:rFonts w:hAnsi="宋体"/>
          <w:color w:val="000000" w:themeColor="text1"/>
          <w:sz w:val="24"/>
          <w:szCs w:val="24"/>
          <w:u w:val="single"/>
        </w:rPr>
      </w:pPr>
      <w:r>
        <w:rPr>
          <w:rFonts w:hint="eastAsia" w:hAnsi="宋体"/>
          <w:color w:val="000000" w:themeColor="text1"/>
          <w:sz w:val="24"/>
          <w:szCs w:val="24"/>
        </w:rPr>
        <w:t>投标人名称（公章）：</w:t>
      </w:r>
    </w:p>
    <w:tbl>
      <w:tblPr>
        <w:tblStyle w:val="24"/>
        <w:tblW w:w="9067" w:type="dxa"/>
        <w:jc w:val="center"/>
        <w:tblLayout w:type="fixed"/>
        <w:tblCellMar>
          <w:top w:w="0" w:type="dxa"/>
          <w:left w:w="108" w:type="dxa"/>
          <w:bottom w:w="0" w:type="dxa"/>
          <w:right w:w="108" w:type="dxa"/>
        </w:tblCellMar>
      </w:tblPr>
      <w:tblGrid>
        <w:gridCol w:w="840"/>
        <w:gridCol w:w="2085"/>
        <w:gridCol w:w="871"/>
        <w:gridCol w:w="1611"/>
        <w:gridCol w:w="1291"/>
        <w:gridCol w:w="2369"/>
      </w:tblGrid>
      <w:tr>
        <w:tblPrEx>
          <w:tblCellMar>
            <w:top w:w="0" w:type="dxa"/>
            <w:left w:w="108" w:type="dxa"/>
            <w:bottom w:w="0" w:type="dxa"/>
            <w:right w:w="108" w:type="dxa"/>
          </w:tblCellMar>
        </w:tblPrEx>
        <w:trPr>
          <w:trHeight w:val="415"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s="宋体"/>
                <w:color w:val="000000" w:themeColor="text1"/>
                <w:kern w:val="0"/>
              </w:rPr>
              <w:t>序号</w:t>
            </w:r>
          </w:p>
        </w:tc>
        <w:tc>
          <w:tcPr>
            <w:tcW w:w="2085" w:type="dxa"/>
            <w:tcBorders>
              <w:top w:val="single" w:color="auto" w:sz="8" w:space="0"/>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s="宋体"/>
                <w:color w:val="000000" w:themeColor="text1"/>
                <w:kern w:val="0"/>
              </w:rPr>
              <w:t>项目</w:t>
            </w:r>
          </w:p>
        </w:tc>
        <w:tc>
          <w:tcPr>
            <w:tcW w:w="871" w:type="dxa"/>
            <w:tcBorders>
              <w:top w:val="single" w:color="auto" w:sz="8" w:space="0"/>
              <w:left w:val="nil"/>
              <w:bottom w:val="single" w:color="auto" w:sz="8" w:space="0"/>
              <w:right w:val="single" w:color="auto" w:sz="8" w:space="0"/>
            </w:tcBorders>
            <w:vAlign w:val="center"/>
          </w:tcPr>
          <w:p>
            <w:pPr>
              <w:spacing w:line="380" w:lineRule="exact"/>
              <w:jc w:val="center"/>
              <w:rPr>
                <w:rFonts w:ascii="宋体" w:hAnsi="宋体" w:cs="宋体"/>
                <w:color w:val="000000" w:themeColor="text1"/>
                <w:kern w:val="0"/>
              </w:rPr>
            </w:pPr>
            <w:r>
              <w:rPr>
                <w:rFonts w:hint="eastAsia" w:ascii="宋体" w:hAnsi="宋体"/>
                <w:color w:val="000000" w:themeColor="text1"/>
                <w:kern w:val="0"/>
              </w:rPr>
              <w:t>人数</w:t>
            </w:r>
          </w:p>
        </w:tc>
        <w:tc>
          <w:tcPr>
            <w:tcW w:w="1611" w:type="dxa"/>
            <w:tcBorders>
              <w:top w:val="single" w:color="auto" w:sz="8" w:space="0"/>
              <w:left w:val="nil"/>
              <w:bottom w:val="single" w:color="auto" w:sz="8" w:space="0"/>
              <w:right w:val="single" w:color="auto" w:sz="8" w:space="0"/>
            </w:tcBorders>
            <w:vAlign w:val="center"/>
          </w:tcPr>
          <w:p>
            <w:pPr>
              <w:spacing w:line="380" w:lineRule="exact"/>
              <w:jc w:val="center"/>
              <w:rPr>
                <w:rFonts w:ascii="宋体" w:hAnsi="宋体" w:cs="宋体"/>
                <w:color w:val="000000" w:themeColor="text1"/>
                <w:kern w:val="0"/>
              </w:rPr>
            </w:pPr>
            <w:r>
              <w:rPr>
                <w:rFonts w:hint="eastAsia" w:ascii="宋体" w:hAnsi="宋体"/>
                <w:color w:val="000000" w:themeColor="text1"/>
                <w:kern w:val="0"/>
              </w:rPr>
              <w:t>单价（元/人/年）</w:t>
            </w:r>
          </w:p>
        </w:tc>
        <w:tc>
          <w:tcPr>
            <w:tcW w:w="1291" w:type="dxa"/>
            <w:tcBorders>
              <w:top w:val="single" w:color="auto" w:sz="8" w:space="0"/>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s="宋体"/>
                <w:color w:val="000000" w:themeColor="text1"/>
                <w:kern w:val="0"/>
              </w:rPr>
              <w:t>合计（元）</w:t>
            </w:r>
          </w:p>
        </w:tc>
        <w:tc>
          <w:tcPr>
            <w:tcW w:w="2369" w:type="dxa"/>
            <w:tcBorders>
              <w:top w:val="single" w:color="auto" w:sz="8" w:space="0"/>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s="宋体"/>
                <w:color w:val="000000" w:themeColor="text1"/>
                <w:kern w:val="0"/>
              </w:rPr>
              <w:t>详细说明</w:t>
            </w:r>
          </w:p>
        </w:tc>
      </w:tr>
      <w:tr>
        <w:tblPrEx>
          <w:tblCellMar>
            <w:top w:w="0" w:type="dxa"/>
            <w:left w:w="108" w:type="dxa"/>
            <w:bottom w:w="0" w:type="dxa"/>
            <w:right w:w="108" w:type="dxa"/>
          </w:tblCellMar>
        </w:tblPrEx>
        <w:trPr>
          <w:trHeight w:val="535"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
                <w:bCs/>
                <w:color w:val="000000" w:themeColor="text1"/>
                <w:kern w:val="0"/>
              </w:rPr>
            </w:pPr>
            <w:r>
              <w:rPr>
                <w:rFonts w:hint="eastAsia" w:ascii="宋体" w:hAnsi="宋体" w:cs="宋体"/>
                <w:b/>
                <w:bCs/>
                <w:color w:val="000000" w:themeColor="text1"/>
                <w:kern w:val="0"/>
              </w:rPr>
              <w:t>一</w:t>
            </w:r>
          </w:p>
        </w:tc>
        <w:tc>
          <w:tcPr>
            <w:tcW w:w="5858" w:type="dxa"/>
            <w:gridSpan w:val="4"/>
            <w:tcBorders>
              <w:top w:val="single" w:color="auto" w:sz="8" w:space="0"/>
              <w:left w:val="nil"/>
              <w:bottom w:val="single" w:color="auto" w:sz="8" w:space="0"/>
              <w:right w:val="single" w:color="auto" w:sz="8" w:space="0"/>
            </w:tcBorders>
            <w:vAlign w:val="center"/>
          </w:tcPr>
          <w:p>
            <w:pPr>
              <w:jc w:val="center"/>
              <w:rPr>
                <w:rFonts w:ascii="宋体" w:hAnsi="宋体" w:cs="宋体"/>
                <w:b/>
                <w:bCs/>
                <w:color w:val="000000" w:themeColor="text1"/>
                <w:kern w:val="0"/>
              </w:rPr>
            </w:pPr>
            <w:r>
              <w:rPr>
                <w:rFonts w:hint="eastAsia" w:ascii="宋体" w:hAnsi="宋体" w:cs="宋体"/>
                <w:b/>
                <w:bCs/>
                <w:color w:val="000000" w:themeColor="text1"/>
                <w:kern w:val="0"/>
              </w:rPr>
              <w:t>管理、服务人员工资、社会保险、公积金</w:t>
            </w:r>
          </w:p>
        </w:tc>
        <w:tc>
          <w:tcPr>
            <w:tcW w:w="2369" w:type="dxa"/>
            <w:tcBorders>
              <w:top w:val="single" w:color="auto" w:sz="8" w:space="0"/>
              <w:left w:val="nil"/>
              <w:bottom w:val="single" w:color="auto" w:sz="8" w:space="0"/>
              <w:right w:val="single" w:color="auto" w:sz="8" w:space="0"/>
            </w:tcBorders>
            <w:vAlign w:val="center"/>
          </w:tcPr>
          <w:p>
            <w:pPr>
              <w:jc w:val="center"/>
              <w:rPr>
                <w:rFonts w:ascii="宋体" w:hAnsi="宋体" w:cs="宋体"/>
                <w:b/>
                <w:bCs/>
                <w:color w:val="000000" w:themeColor="text1"/>
                <w:kern w:val="0"/>
              </w:rPr>
            </w:pPr>
          </w:p>
        </w:tc>
      </w:tr>
      <w:tr>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Calibri" w:hAnsi="Calibri" w:cs="Calibri"/>
                <w:color w:val="000000" w:themeColor="text1"/>
                <w:kern w:val="0"/>
              </w:rPr>
              <w:t>1</w:t>
            </w:r>
          </w:p>
        </w:tc>
        <w:tc>
          <w:tcPr>
            <w:tcW w:w="2085" w:type="dxa"/>
            <w:tcBorders>
              <w:top w:val="nil"/>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s="宋体"/>
                <w:color w:val="000000" w:themeColor="text1"/>
                <w:kern w:val="0"/>
              </w:rPr>
              <w:t>项目负责人</w:t>
            </w:r>
          </w:p>
        </w:tc>
        <w:tc>
          <w:tcPr>
            <w:tcW w:w="87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61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r>
              <w:rPr>
                <w:rFonts w:ascii="Calibri" w:hAnsi="Calibri" w:cs="Calibri"/>
                <w:color w:val="000000" w:themeColor="text1"/>
                <w:kern w:val="0"/>
              </w:rPr>
              <w:t>　</w:t>
            </w:r>
          </w:p>
        </w:tc>
        <w:tc>
          <w:tcPr>
            <w:tcW w:w="2369" w:type="dxa"/>
            <w:vMerge w:val="restart"/>
            <w:tcBorders>
              <w:top w:val="nil"/>
              <w:left w:val="nil"/>
              <w:right w:val="single" w:color="auto" w:sz="8" w:space="0"/>
            </w:tcBorders>
            <w:vAlign w:val="center"/>
          </w:tcPr>
          <w:p>
            <w:pPr>
              <w:ind w:firstLine="420" w:firstLineChars="200"/>
              <w:rPr>
                <w:rFonts w:cs="宋体" w:asciiTheme="minorEastAsia" w:hAnsiTheme="minorEastAsia" w:eastAsiaTheme="minorEastAsia"/>
                <w:color w:val="000000" w:themeColor="text1"/>
                <w:kern w:val="0"/>
              </w:rPr>
            </w:pPr>
            <w:r>
              <w:rPr>
                <w:rFonts w:hint="eastAsia" w:cs="宋体" w:asciiTheme="minorEastAsia" w:hAnsiTheme="minorEastAsia" w:eastAsiaTheme="minorEastAsia"/>
                <w:color w:val="000000" w:themeColor="text1"/>
                <w:kern w:val="0"/>
              </w:rPr>
              <w:t>人员工资及相关费用测算依据根据盐人社发〔2021〕54号《盐城市人力资源和社会保障局关于调整全市最低工资标准的通知》不得低于上述文件标准，否则作无效标书处理。</w:t>
            </w:r>
          </w:p>
        </w:tc>
      </w:tr>
      <w:tr>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Calibri" w:hAnsi="Calibri" w:cs="Calibri"/>
                <w:color w:val="000000" w:themeColor="text1"/>
                <w:kern w:val="0"/>
              </w:rPr>
              <w:t>2</w:t>
            </w:r>
          </w:p>
        </w:tc>
        <w:tc>
          <w:tcPr>
            <w:tcW w:w="2085" w:type="dxa"/>
            <w:tcBorders>
              <w:top w:val="nil"/>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s="宋体"/>
                <w:color w:val="000000" w:themeColor="text1"/>
                <w:kern w:val="0"/>
              </w:rPr>
              <w:t>宿管人员</w:t>
            </w:r>
          </w:p>
        </w:tc>
        <w:tc>
          <w:tcPr>
            <w:tcW w:w="87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61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2369" w:type="dxa"/>
            <w:vMerge w:val="continue"/>
            <w:tcBorders>
              <w:left w:val="nil"/>
              <w:right w:val="single" w:color="auto" w:sz="8" w:space="0"/>
            </w:tcBorders>
            <w:vAlign w:val="center"/>
          </w:tcPr>
          <w:p>
            <w:pPr>
              <w:ind w:firstLine="420" w:firstLineChars="200"/>
              <w:jc w:val="center"/>
              <w:rPr>
                <w:rFonts w:cs="宋体" w:asciiTheme="minorEastAsia" w:hAnsiTheme="minorEastAsia" w:eastAsiaTheme="minorEastAsia"/>
                <w:color w:val="000000" w:themeColor="text1"/>
                <w:kern w:val="0"/>
              </w:rPr>
            </w:pPr>
          </w:p>
        </w:tc>
      </w:tr>
      <w:tr>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Calibri" w:hAnsi="Calibri" w:cs="Calibri"/>
                <w:color w:val="000000" w:themeColor="text1"/>
                <w:kern w:val="0"/>
              </w:rPr>
              <w:t>3</w:t>
            </w:r>
          </w:p>
        </w:tc>
        <w:tc>
          <w:tcPr>
            <w:tcW w:w="2085" w:type="dxa"/>
            <w:tcBorders>
              <w:top w:val="nil"/>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s="宋体"/>
                <w:color w:val="000000" w:themeColor="text1"/>
                <w:kern w:val="0"/>
              </w:rPr>
              <w:t>保洁人员</w:t>
            </w:r>
          </w:p>
        </w:tc>
        <w:tc>
          <w:tcPr>
            <w:tcW w:w="87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61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2369" w:type="dxa"/>
            <w:vMerge w:val="continue"/>
            <w:tcBorders>
              <w:left w:val="nil"/>
              <w:bottom w:val="single" w:color="auto" w:sz="8" w:space="0"/>
              <w:right w:val="single" w:color="auto" w:sz="8" w:space="0"/>
            </w:tcBorders>
            <w:vAlign w:val="center"/>
          </w:tcPr>
          <w:p>
            <w:pPr>
              <w:ind w:firstLine="420" w:firstLineChars="200"/>
              <w:jc w:val="center"/>
              <w:rPr>
                <w:rFonts w:cs="宋体" w:asciiTheme="minorEastAsia" w:hAnsiTheme="minorEastAsia" w:eastAsiaTheme="minorEastAsia"/>
                <w:bCs/>
                <w:color w:val="000000" w:themeColor="text1"/>
                <w:kern w:val="0"/>
              </w:rPr>
            </w:pPr>
          </w:p>
        </w:tc>
      </w:tr>
      <w:tr>
        <w:tblPrEx>
          <w:tblCellMar>
            <w:top w:w="0" w:type="dxa"/>
            <w:left w:w="108" w:type="dxa"/>
            <w:bottom w:w="0" w:type="dxa"/>
            <w:right w:w="108" w:type="dxa"/>
          </w:tblCellMar>
        </w:tblPrEx>
        <w:trPr>
          <w:trHeight w:val="975" w:hRule="atLeast"/>
          <w:jc w:val="center"/>
        </w:trPr>
        <w:tc>
          <w:tcPr>
            <w:tcW w:w="9067" w:type="dxa"/>
            <w:gridSpan w:val="6"/>
            <w:tcBorders>
              <w:top w:val="nil"/>
              <w:left w:val="single" w:color="auto" w:sz="8" w:space="0"/>
              <w:bottom w:val="single" w:color="auto" w:sz="8" w:space="0"/>
              <w:right w:val="single" w:color="auto" w:sz="8" w:space="0"/>
            </w:tcBorders>
            <w:vAlign w:val="center"/>
          </w:tcPr>
          <w:p>
            <w:pPr>
              <w:ind w:firstLine="480" w:firstLineChars="200"/>
              <w:jc w:val="left"/>
              <w:rPr>
                <w:rFonts w:cs="宋体" w:asciiTheme="minorEastAsia" w:hAnsiTheme="minorEastAsia" w:eastAsiaTheme="minorEastAsia"/>
                <w:bCs/>
                <w:color w:val="000000" w:themeColor="text1"/>
                <w:kern w:val="0"/>
                <w:sz w:val="24"/>
                <w:szCs w:val="24"/>
              </w:rPr>
            </w:pPr>
            <w:r>
              <w:rPr>
                <w:rFonts w:hint="eastAsia" w:cs="宋体" w:asciiTheme="minorEastAsia" w:hAnsiTheme="minorEastAsia" w:eastAsiaTheme="minorEastAsia"/>
                <w:color w:val="000000" w:themeColor="text1"/>
                <w:sz w:val="24"/>
                <w:szCs w:val="24"/>
              </w:rPr>
              <w:t>由于招标单位是学校，有寒暑假，人员使用上有弹性，但因工作需要，假期间仍需一定数量的工作人员，</w:t>
            </w:r>
            <w:r>
              <w:rPr>
                <w:rFonts w:hint="eastAsia" w:cs="宋体" w:asciiTheme="minorEastAsia" w:hAnsiTheme="minorEastAsia" w:eastAsiaTheme="minorEastAsia"/>
                <w:color w:val="000000" w:themeColor="text1"/>
                <w:kern w:val="0"/>
                <w:sz w:val="24"/>
                <w:szCs w:val="24"/>
              </w:rPr>
              <w:t>具体按学校要求执行，投标人报价年报价。</w:t>
            </w:r>
          </w:p>
        </w:tc>
      </w:tr>
      <w:tr>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Calibri" w:hAnsi="Calibri" w:cs="Calibri"/>
                <w:color w:val="000000" w:themeColor="text1"/>
                <w:kern w:val="0"/>
              </w:rPr>
              <w:t>4</w:t>
            </w:r>
          </w:p>
        </w:tc>
        <w:tc>
          <w:tcPr>
            <w:tcW w:w="2085" w:type="dxa"/>
            <w:tcBorders>
              <w:top w:val="nil"/>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s="宋体"/>
                <w:color w:val="000000" w:themeColor="text1"/>
                <w:kern w:val="0"/>
              </w:rPr>
              <w:t>社会保险</w:t>
            </w:r>
          </w:p>
        </w:tc>
        <w:tc>
          <w:tcPr>
            <w:tcW w:w="87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61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r>
              <w:rPr>
                <w:rFonts w:ascii="Calibri" w:hAnsi="Calibri" w:cs="Calibri"/>
                <w:color w:val="000000" w:themeColor="text1"/>
                <w:kern w:val="0"/>
              </w:rPr>
              <w:t>　</w:t>
            </w:r>
          </w:p>
        </w:tc>
        <w:tc>
          <w:tcPr>
            <w:tcW w:w="2369" w:type="dxa"/>
            <w:tcBorders>
              <w:top w:val="nil"/>
              <w:left w:val="nil"/>
              <w:bottom w:val="single" w:color="auto" w:sz="8" w:space="0"/>
              <w:right w:val="single" w:color="auto" w:sz="8" w:space="0"/>
            </w:tcBorders>
            <w:vAlign w:val="center"/>
          </w:tcPr>
          <w:p>
            <w:pPr>
              <w:ind w:firstLine="420" w:firstLineChars="200"/>
              <w:jc w:val="left"/>
              <w:rPr>
                <w:rFonts w:cs="Calibri" w:asciiTheme="minorEastAsia" w:hAnsiTheme="minorEastAsia" w:eastAsiaTheme="minorEastAsia"/>
                <w:color w:val="000000" w:themeColor="text1"/>
                <w:kern w:val="0"/>
              </w:rPr>
            </w:pPr>
            <w:r>
              <w:rPr>
                <w:rFonts w:hint="eastAsia" w:cs="宋体" w:asciiTheme="minorEastAsia" w:hAnsiTheme="minorEastAsia" w:eastAsiaTheme="minorEastAsia"/>
                <w:color w:val="000000" w:themeColor="text1"/>
                <w:kern w:val="0"/>
              </w:rPr>
              <w:t>执行苏人社发[2021]113号《关于发布2022年度社会保险有关基数的通知》，社保（企业部分）不得低于上述文件标准，否则作无效标书处理。</w:t>
            </w:r>
          </w:p>
        </w:tc>
      </w:tr>
      <w:tr>
        <w:tblPrEx>
          <w:tblCellMar>
            <w:top w:w="0" w:type="dxa"/>
            <w:left w:w="108" w:type="dxa"/>
            <w:bottom w:w="0" w:type="dxa"/>
            <w:right w:w="108" w:type="dxa"/>
          </w:tblCellMar>
        </w:tblPrEx>
        <w:trPr>
          <w:trHeight w:val="509"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Calibri" w:hAnsi="Calibri" w:cs="Calibri"/>
                <w:color w:val="000000" w:themeColor="text1"/>
                <w:kern w:val="0"/>
              </w:rPr>
              <w:t>5</w:t>
            </w:r>
          </w:p>
        </w:tc>
        <w:tc>
          <w:tcPr>
            <w:tcW w:w="2085" w:type="dxa"/>
            <w:tcBorders>
              <w:top w:val="nil"/>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olor w:val="000000" w:themeColor="text1"/>
                <w:kern w:val="0"/>
              </w:rPr>
              <w:t>公积金</w:t>
            </w:r>
          </w:p>
        </w:tc>
        <w:tc>
          <w:tcPr>
            <w:tcW w:w="87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61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291" w:type="dxa"/>
            <w:tcBorders>
              <w:top w:val="nil"/>
              <w:left w:val="nil"/>
              <w:bottom w:val="single" w:color="auto" w:sz="8" w:space="0"/>
              <w:right w:val="single" w:color="auto" w:sz="8" w:space="0"/>
            </w:tcBorders>
            <w:vAlign w:val="center"/>
          </w:tcPr>
          <w:p>
            <w:pPr>
              <w:rPr>
                <w:rFonts w:ascii="Calibri" w:hAnsi="Calibri" w:cs="Calibri"/>
                <w:color w:val="000000" w:themeColor="text1"/>
                <w:kern w:val="0"/>
              </w:rPr>
            </w:pPr>
          </w:p>
        </w:tc>
        <w:tc>
          <w:tcPr>
            <w:tcW w:w="2369"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r>
      <w:tr>
        <w:tblPrEx>
          <w:tblCellMar>
            <w:top w:w="0" w:type="dxa"/>
            <w:left w:w="108" w:type="dxa"/>
            <w:bottom w:w="0" w:type="dxa"/>
            <w:right w:w="108" w:type="dxa"/>
          </w:tblCellMar>
        </w:tblPrEx>
        <w:trPr>
          <w:trHeight w:val="583"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p>
        </w:tc>
        <w:tc>
          <w:tcPr>
            <w:tcW w:w="4567" w:type="dxa"/>
            <w:gridSpan w:val="3"/>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宋体" w:hAnsi="宋体" w:cs="宋体"/>
                <w:b/>
                <w:bCs/>
                <w:color w:val="000000" w:themeColor="text1"/>
                <w:kern w:val="0"/>
              </w:rPr>
              <w:t>小计</w:t>
            </w:r>
          </w:p>
        </w:tc>
        <w:tc>
          <w:tcPr>
            <w:tcW w:w="129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2369"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r>
      <w:tr>
        <w:tblPrEx>
          <w:tblCellMar>
            <w:top w:w="0" w:type="dxa"/>
            <w:left w:w="108" w:type="dxa"/>
            <w:bottom w:w="0" w:type="dxa"/>
            <w:right w:w="108" w:type="dxa"/>
          </w:tblCellMar>
        </w:tblPrEx>
        <w:trPr>
          <w:trHeight w:val="553"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Calibri" w:hAnsi="Calibri" w:cs="Calibri"/>
                <w:color w:val="000000" w:themeColor="text1"/>
                <w:kern w:val="0"/>
              </w:rPr>
              <w:t>二</w:t>
            </w:r>
          </w:p>
        </w:tc>
        <w:tc>
          <w:tcPr>
            <w:tcW w:w="2085" w:type="dxa"/>
            <w:tcBorders>
              <w:top w:val="nil"/>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s="宋体"/>
                <w:b/>
                <w:bCs/>
                <w:color w:val="000000" w:themeColor="text1"/>
                <w:kern w:val="0"/>
              </w:rPr>
              <w:t>综合管理等费用</w:t>
            </w:r>
          </w:p>
        </w:tc>
        <w:tc>
          <w:tcPr>
            <w:tcW w:w="87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61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2369"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r>
      <w:tr>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Calibri" w:hAnsi="Calibri" w:cs="Calibri"/>
                <w:color w:val="000000" w:themeColor="text1"/>
                <w:kern w:val="0"/>
              </w:rPr>
              <w:t>1</w:t>
            </w:r>
          </w:p>
        </w:tc>
        <w:tc>
          <w:tcPr>
            <w:tcW w:w="2085" w:type="dxa"/>
            <w:tcBorders>
              <w:top w:val="nil"/>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s="宋体"/>
                <w:color w:val="000000" w:themeColor="text1"/>
                <w:kern w:val="0"/>
              </w:rPr>
              <w:t>福利费用</w:t>
            </w:r>
          </w:p>
        </w:tc>
        <w:tc>
          <w:tcPr>
            <w:tcW w:w="87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61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r>
              <w:rPr>
                <w:rFonts w:ascii="Calibri" w:hAnsi="Calibri" w:cs="Calibri"/>
                <w:color w:val="000000" w:themeColor="text1"/>
                <w:kern w:val="0"/>
              </w:rPr>
              <w:t>　</w:t>
            </w:r>
          </w:p>
        </w:tc>
        <w:tc>
          <w:tcPr>
            <w:tcW w:w="2369"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r>
      <w:tr>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Calibri" w:hAnsi="Calibri" w:cs="Calibri"/>
                <w:color w:val="000000" w:themeColor="text1"/>
                <w:kern w:val="0"/>
              </w:rPr>
              <w:t>2</w:t>
            </w:r>
          </w:p>
        </w:tc>
        <w:tc>
          <w:tcPr>
            <w:tcW w:w="2085" w:type="dxa"/>
            <w:tcBorders>
              <w:top w:val="nil"/>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s="宋体"/>
                <w:color w:val="000000" w:themeColor="text1"/>
                <w:kern w:val="0"/>
              </w:rPr>
              <w:t>服装费用</w:t>
            </w:r>
          </w:p>
        </w:tc>
        <w:tc>
          <w:tcPr>
            <w:tcW w:w="871" w:type="dxa"/>
            <w:tcBorders>
              <w:top w:val="nil"/>
              <w:left w:val="nil"/>
              <w:bottom w:val="single" w:color="auto" w:sz="8" w:space="0"/>
              <w:right w:val="single" w:color="auto" w:sz="8" w:space="0"/>
            </w:tcBorders>
            <w:vAlign w:val="center"/>
          </w:tcPr>
          <w:p>
            <w:pPr>
              <w:jc w:val="center"/>
              <w:rPr>
                <w:rFonts w:ascii="宋体" w:hAnsi="宋体" w:cs="宋体"/>
                <w:color w:val="000000" w:themeColor="text1"/>
                <w:kern w:val="0"/>
              </w:rPr>
            </w:pPr>
          </w:p>
        </w:tc>
        <w:tc>
          <w:tcPr>
            <w:tcW w:w="161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r>
              <w:rPr>
                <w:rFonts w:ascii="Calibri" w:hAnsi="Calibri" w:cs="Calibri"/>
                <w:color w:val="000000" w:themeColor="text1"/>
                <w:kern w:val="0"/>
              </w:rPr>
              <w:t>　</w:t>
            </w:r>
          </w:p>
        </w:tc>
        <w:tc>
          <w:tcPr>
            <w:tcW w:w="2369"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r>
      <w:tr>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Calibri" w:hAnsi="Calibri" w:cs="Calibri"/>
                <w:color w:val="000000" w:themeColor="text1"/>
                <w:kern w:val="0"/>
              </w:rPr>
              <w:t>3</w:t>
            </w:r>
          </w:p>
        </w:tc>
        <w:tc>
          <w:tcPr>
            <w:tcW w:w="2085" w:type="dxa"/>
            <w:tcBorders>
              <w:top w:val="nil"/>
              <w:left w:val="nil"/>
              <w:bottom w:val="single" w:color="auto" w:sz="8" w:space="0"/>
              <w:right w:val="single" w:color="auto" w:sz="8" w:space="0"/>
            </w:tcBorders>
            <w:vAlign w:val="center"/>
          </w:tcPr>
          <w:p>
            <w:pPr>
              <w:spacing w:line="380" w:lineRule="exact"/>
              <w:jc w:val="center"/>
              <w:rPr>
                <w:rFonts w:ascii="宋体" w:hAnsi="宋体"/>
                <w:color w:val="000000" w:themeColor="text1"/>
                <w:kern w:val="0"/>
              </w:rPr>
            </w:pPr>
            <w:r>
              <w:rPr>
                <w:rFonts w:hint="eastAsia" w:ascii="宋体" w:hAnsi="宋体"/>
                <w:color w:val="000000" w:themeColor="text1"/>
                <w:kern w:val="0"/>
              </w:rPr>
              <w:t>意外伤害险</w:t>
            </w:r>
          </w:p>
        </w:tc>
        <w:tc>
          <w:tcPr>
            <w:tcW w:w="871" w:type="dxa"/>
            <w:tcBorders>
              <w:top w:val="nil"/>
              <w:left w:val="nil"/>
              <w:bottom w:val="single" w:color="auto" w:sz="8" w:space="0"/>
              <w:right w:val="single" w:color="auto" w:sz="8" w:space="0"/>
            </w:tcBorders>
            <w:vAlign w:val="center"/>
          </w:tcPr>
          <w:p>
            <w:pPr>
              <w:spacing w:line="380" w:lineRule="exact"/>
              <w:jc w:val="center"/>
              <w:rPr>
                <w:rFonts w:ascii="宋体" w:hAnsi="宋体"/>
                <w:color w:val="000000" w:themeColor="text1"/>
                <w:kern w:val="0"/>
              </w:rPr>
            </w:pPr>
          </w:p>
        </w:tc>
        <w:tc>
          <w:tcPr>
            <w:tcW w:w="1611" w:type="dxa"/>
            <w:tcBorders>
              <w:top w:val="nil"/>
              <w:left w:val="nil"/>
              <w:bottom w:val="single" w:color="auto" w:sz="8" w:space="0"/>
              <w:right w:val="single" w:color="auto" w:sz="8" w:space="0"/>
            </w:tcBorders>
            <w:vAlign w:val="center"/>
          </w:tcPr>
          <w:p>
            <w:pPr>
              <w:spacing w:line="380" w:lineRule="exact"/>
              <w:jc w:val="center"/>
              <w:rPr>
                <w:rFonts w:ascii="宋体" w:hAnsi="宋体"/>
                <w:color w:val="000000" w:themeColor="text1"/>
                <w:kern w:val="0"/>
              </w:rPr>
            </w:pPr>
          </w:p>
        </w:tc>
        <w:tc>
          <w:tcPr>
            <w:tcW w:w="1291" w:type="dxa"/>
            <w:tcBorders>
              <w:top w:val="nil"/>
              <w:left w:val="nil"/>
              <w:bottom w:val="single" w:color="auto" w:sz="8" w:space="0"/>
              <w:right w:val="single" w:color="auto" w:sz="8" w:space="0"/>
            </w:tcBorders>
            <w:vAlign w:val="center"/>
          </w:tcPr>
          <w:p>
            <w:pPr>
              <w:spacing w:line="380" w:lineRule="exact"/>
              <w:jc w:val="center"/>
              <w:rPr>
                <w:rFonts w:ascii="宋体" w:hAnsi="宋体"/>
                <w:color w:val="000000" w:themeColor="text1"/>
                <w:kern w:val="0"/>
              </w:rPr>
            </w:pPr>
          </w:p>
        </w:tc>
        <w:tc>
          <w:tcPr>
            <w:tcW w:w="2369" w:type="dxa"/>
            <w:tcBorders>
              <w:top w:val="nil"/>
              <w:left w:val="nil"/>
              <w:bottom w:val="single" w:color="auto" w:sz="8" w:space="0"/>
              <w:right w:val="single" w:color="auto" w:sz="8" w:space="0"/>
            </w:tcBorders>
            <w:vAlign w:val="center"/>
          </w:tcPr>
          <w:p>
            <w:pPr>
              <w:spacing w:line="380" w:lineRule="exact"/>
              <w:jc w:val="center"/>
              <w:rPr>
                <w:rFonts w:ascii="宋体" w:hAnsi="宋体"/>
                <w:color w:val="000000" w:themeColor="text1"/>
                <w:kern w:val="0"/>
              </w:rPr>
            </w:pPr>
          </w:p>
        </w:tc>
      </w:tr>
      <w:tr>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Calibri" w:hAnsi="Calibri" w:cs="Calibri"/>
                <w:color w:val="000000" w:themeColor="text1"/>
                <w:kern w:val="0"/>
              </w:rPr>
              <w:t>4</w:t>
            </w:r>
          </w:p>
        </w:tc>
        <w:tc>
          <w:tcPr>
            <w:tcW w:w="2085" w:type="dxa"/>
            <w:tcBorders>
              <w:top w:val="nil"/>
              <w:left w:val="nil"/>
              <w:bottom w:val="single" w:color="auto" w:sz="8" w:space="0"/>
              <w:right w:val="single" w:color="auto" w:sz="8" w:space="0"/>
            </w:tcBorders>
            <w:vAlign w:val="center"/>
          </w:tcPr>
          <w:p>
            <w:pPr>
              <w:spacing w:line="380" w:lineRule="exact"/>
              <w:jc w:val="center"/>
              <w:rPr>
                <w:rFonts w:ascii="宋体" w:hAnsi="宋体"/>
                <w:color w:val="000000" w:themeColor="text1"/>
                <w:kern w:val="0"/>
              </w:rPr>
            </w:pPr>
            <w:r>
              <w:rPr>
                <w:rFonts w:hint="eastAsia" w:ascii="宋体" w:hAnsi="宋体"/>
                <w:color w:val="000000" w:themeColor="text1"/>
                <w:kern w:val="0"/>
              </w:rPr>
              <w:t>体检费</w:t>
            </w:r>
          </w:p>
        </w:tc>
        <w:tc>
          <w:tcPr>
            <w:tcW w:w="871" w:type="dxa"/>
            <w:tcBorders>
              <w:top w:val="nil"/>
              <w:left w:val="nil"/>
              <w:bottom w:val="single" w:color="auto" w:sz="8" w:space="0"/>
              <w:right w:val="single" w:color="auto" w:sz="8" w:space="0"/>
            </w:tcBorders>
            <w:vAlign w:val="center"/>
          </w:tcPr>
          <w:p>
            <w:pPr>
              <w:spacing w:line="380" w:lineRule="exact"/>
              <w:jc w:val="center"/>
              <w:rPr>
                <w:rFonts w:ascii="宋体" w:hAnsi="宋体"/>
                <w:color w:val="000000" w:themeColor="text1"/>
                <w:kern w:val="0"/>
              </w:rPr>
            </w:pPr>
          </w:p>
        </w:tc>
        <w:tc>
          <w:tcPr>
            <w:tcW w:w="1611" w:type="dxa"/>
            <w:tcBorders>
              <w:top w:val="nil"/>
              <w:left w:val="nil"/>
              <w:bottom w:val="single" w:color="auto" w:sz="8" w:space="0"/>
              <w:right w:val="single" w:color="auto" w:sz="8" w:space="0"/>
            </w:tcBorders>
            <w:vAlign w:val="center"/>
          </w:tcPr>
          <w:p>
            <w:pPr>
              <w:spacing w:line="380" w:lineRule="exact"/>
              <w:jc w:val="center"/>
              <w:rPr>
                <w:rFonts w:ascii="宋体" w:hAnsi="宋体"/>
                <w:color w:val="000000" w:themeColor="text1"/>
                <w:kern w:val="0"/>
              </w:rPr>
            </w:pPr>
          </w:p>
        </w:tc>
        <w:tc>
          <w:tcPr>
            <w:tcW w:w="1291" w:type="dxa"/>
            <w:tcBorders>
              <w:top w:val="nil"/>
              <w:left w:val="nil"/>
              <w:bottom w:val="single" w:color="auto" w:sz="8" w:space="0"/>
              <w:right w:val="single" w:color="auto" w:sz="8" w:space="0"/>
            </w:tcBorders>
            <w:vAlign w:val="center"/>
          </w:tcPr>
          <w:p>
            <w:pPr>
              <w:spacing w:line="380" w:lineRule="exact"/>
              <w:jc w:val="center"/>
              <w:rPr>
                <w:rFonts w:ascii="宋体" w:hAnsi="宋体"/>
                <w:color w:val="000000" w:themeColor="text1"/>
                <w:kern w:val="0"/>
              </w:rPr>
            </w:pPr>
          </w:p>
        </w:tc>
        <w:tc>
          <w:tcPr>
            <w:tcW w:w="2369" w:type="dxa"/>
            <w:tcBorders>
              <w:top w:val="nil"/>
              <w:left w:val="nil"/>
              <w:bottom w:val="single" w:color="auto" w:sz="8" w:space="0"/>
              <w:right w:val="single" w:color="auto" w:sz="8" w:space="0"/>
            </w:tcBorders>
            <w:vAlign w:val="center"/>
          </w:tcPr>
          <w:p>
            <w:pPr>
              <w:spacing w:line="380" w:lineRule="exact"/>
              <w:rPr>
                <w:rFonts w:ascii="宋体" w:hAnsi="宋体"/>
                <w:color w:val="000000" w:themeColor="text1"/>
                <w:kern w:val="0"/>
              </w:rPr>
            </w:pPr>
          </w:p>
        </w:tc>
      </w:tr>
      <w:tr>
        <w:tblPrEx>
          <w:tblCellMar>
            <w:top w:w="0" w:type="dxa"/>
            <w:left w:w="108" w:type="dxa"/>
            <w:bottom w:w="0" w:type="dxa"/>
            <w:right w:w="108" w:type="dxa"/>
          </w:tblCellMar>
        </w:tblPrEx>
        <w:trPr>
          <w:trHeight w:val="90"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Calibri" w:hAnsi="Calibri" w:cs="Calibri"/>
                <w:color w:val="000000" w:themeColor="text1"/>
                <w:kern w:val="0"/>
              </w:rPr>
              <w:t>5</w:t>
            </w:r>
          </w:p>
        </w:tc>
        <w:tc>
          <w:tcPr>
            <w:tcW w:w="2085" w:type="dxa"/>
            <w:tcBorders>
              <w:top w:val="nil"/>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olor w:val="000000" w:themeColor="text1"/>
                <w:kern w:val="0"/>
              </w:rPr>
              <w:t>清洁设备、工具、材料费</w:t>
            </w:r>
          </w:p>
        </w:tc>
        <w:tc>
          <w:tcPr>
            <w:tcW w:w="2482" w:type="dxa"/>
            <w:gridSpan w:val="2"/>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宋体" w:hAnsi="宋体"/>
                <w:color w:val="000000" w:themeColor="text1"/>
                <w:kern w:val="0"/>
              </w:rPr>
              <w:t>1年</w:t>
            </w:r>
          </w:p>
        </w:tc>
        <w:tc>
          <w:tcPr>
            <w:tcW w:w="129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2369" w:type="dxa"/>
            <w:tcBorders>
              <w:top w:val="nil"/>
              <w:left w:val="nil"/>
              <w:bottom w:val="single" w:color="auto" w:sz="8" w:space="0"/>
              <w:right w:val="single" w:color="auto" w:sz="8" w:space="0"/>
            </w:tcBorders>
            <w:vAlign w:val="center"/>
          </w:tcPr>
          <w:p>
            <w:pPr>
              <w:jc w:val="center"/>
              <w:rPr>
                <w:rFonts w:ascii="宋体" w:hAnsi="宋体" w:cs="宋体"/>
                <w:color w:val="000000" w:themeColor="text1"/>
                <w:kern w:val="0"/>
              </w:rPr>
            </w:pPr>
          </w:p>
        </w:tc>
      </w:tr>
      <w:tr>
        <w:tblPrEx>
          <w:tblCellMar>
            <w:top w:w="0" w:type="dxa"/>
            <w:left w:w="108" w:type="dxa"/>
            <w:bottom w:w="0" w:type="dxa"/>
            <w:right w:w="108" w:type="dxa"/>
          </w:tblCellMar>
        </w:tblPrEx>
        <w:trPr>
          <w:trHeight w:val="600"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Calibri" w:hAnsi="Calibri" w:cs="Calibri"/>
                <w:color w:val="000000" w:themeColor="text1"/>
                <w:kern w:val="0"/>
              </w:rPr>
              <w:t>6</w:t>
            </w:r>
          </w:p>
        </w:tc>
        <w:tc>
          <w:tcPr>
            <w:tcW w:w="2085" w:type="dxa"/>
            <w:tcBorders>
              <w:top w:val="nil"/>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s="宋体"/>
                <w:color w:val="000000" w:themeColor="text1"/>
                <w:kern w:val="0"/>
              </w:rPr>
              <w:t>不可预见费</w:t>
            </w:r>
          </w:p>
        </w:tc>
        <w:tc>
          <w:tcPr>
            <w:tcW w:w="2482" w:type="dxa"/>
            <w:gridSpan w:val="2"/>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宋体" w:hAnsi="宋体"/>
                <w:color w:val="000000" w:themeColor="text1"/>
                <w:kern w:val="0"/>
              </w:rPr>
              <w:t>1年</w:t>
            </w:r>
          </w:p>
        </w:tc>
        <w:tc>
          <w:tcPr>
            <w:tcW w:w="129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2369"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r>
      <w:tr>
        <w:tblPrEx>
          <w:tblCellMar>
            <w:top w:w="0" w:type="dxa"/>
            <w:left w:w="108" w:type="dxa"/>
            <w:bottom w:w="0" w:type="dxa"/>
            <w:right w:w="108" w:type="dxa"/>
          </w:tblCellMar>
        </w:tblPrEx>
        <w:trPr>
          <w:trHeight w:val="735"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Calibri" w:hAnsi="Calibri" w:cs="Calibri"/>
                <w:color w:val="000000" w:themeColor="text1"/>
                <w:kern w:val="0"/>
              </w:rPr>
              <w:t>7</w:t>
            </w:r>
          </w:p>
        </w:tc>
        <w:tc>
          <w:tcPr>
            <w:tcW w:w="2085" w:type="dxa"/>
            <w:tcBorders>
              <w:top w:val="nil"/>
              <w:left w:val="nil"/>
              <w:bottom w:val="single" w:color="auto" w:sz="8" w:space="0"/>
              <w:right w:val="single" w:color="auto" w:sz="8" w:space="0"/>
            </w:tcBorders>
            <w:vAlign w:val="center"/>
          </w:tcPr>
          <w:p>
            <w:pPr>
              <w:jc w:val="center"/>
              <w:rPr>
                <w:rFonts w:ascii="宋体" w:hAnsi="宋体" w:cs="宋体"/>
                <w:color w:val="000000" w:themeColor="text1"/>
                <w:kern w:val="0"/>
              </w:rPr>
            </w:pPr>
            <w:r>
              <w:rPr>
                <w:rFonts w:hint="eastAsia" w:ascii="宋体" w:hAnsi="宋体" w:cs="宋体"/>
                <w:color w:val="000000" w:themeColor="text1"/>
                <w:kern w:val="0"/>
              </w:rPr>
              <w:t>企业管理费及利润</w:t>
            </w:r>
          </w:p>
        </w:tc>
        <w:tc>
          <w:tcPr>
            <w:tcW w:w="2482" w:type="dxa"/>
            <w:gridSpan w:val="2"/>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宋体" w:hAnsi="宋体"/>
                <w:color w:val="000000" w:themeColor="text1"/>
                <w:kern w:val="0"/>
              </w:rPr>
              <w:t>1年</w:t>
            </w:r>
          </w:p>
        </w:tc>
        <w:tc>
          <w:tcPr>
            <w:tcW w:w="129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2369"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r>
      <w:tr>
        <w:tblPrEx>
          <w:tblCellMar>
            <w:top w:w="0" w:type="dxa"/>
            <w:left w:w="108" w:type="dxa"/>
            <w:bottom w:w="0" w:type="dxa"/>
            <w:right w:w="108" w:type="dxa"/>
          </w:tblCellMar>
        </w:tblPrEx>
        <w:trPr>
          <w:trHeight w:val="795"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b/>
                <w:color w:val="000000" w:themeColor="text1"/>
                <w:kern w:val="0"/>
              </w:rPr>
            </w:pPr>
          </w:p>
        </w:tc>
        <w:tc>
          <w:tcPr>
            <w:tcW w:w="4567" w:type="dxa"/>
            <w:gridSpan w:val="3"/>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r>
              <w:rPr>
                <w:rFonts w:hint="eastAsia" w:ascii="宋体" w:hAnsi="宋体" w:cs="宋体"/>
                <w:b/>
                <w:bCs/>
                <w:color w:val="000000" w:themeColor="text1"/>
                <w:kern w:val="0"/>
              </w:rPr>
              <w:t>小计</w:t>
            </w:r>
          </w:p>
        </w:tc>
        <w:tc>
          <w:tcPr>
            <w:tcW w:w="1291"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c>
          <w:tcPr>
            <w:tcW w:w="2369" w:type="dxa"/>
            <w:tcBorders>
              <w:top w:val="nil"/>
              <w:left w:val="nil"/>
              <w:bottom w:val="single" w:color="auto" w:sz="8" w:space="0"/>
              <w:right w:val="single" w:color="auto" w:sz="8" w:space="0"/>
            </w:tcBorders>
            <w:vAlign w:val="center"/>
          </w:tcPr>
          <w:p>
            <w:pPr>
              <w:jc w:val="center"/>
              <w:rPr>
                <w:rFonts w:ascii="Calibri" w:hAnsi="Calibri" w:cs="Calibri"/>
                <w:color w:val="000000" w:themeColor="text1"/>
                <w:kern w:val="0"/>
              </w:rPr>
            </w:pPr>
          </w:p>
        </w:tc>
      </w:tr>
      <w:tr>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b/>
                <w:bCs/>
                <w:color w:val="000000" w:themeColor="text1"/>
                <w:kern w:val="0"/>
              </w:rPr>
            </w:pPr>
            <w:r>
              <w:rPr>
                <w:rFonts w:hint="eastAsia" w:ascii="Calibri" w:hAnsi="Calibri" w:cs="Calibri"/>
                <w:b/>
                <w:bCs/>
                <w:color w:val="000000" w:themeColor="text1"/>
                <w:kern w:val="0"/>
              </w:rPr>
              <w:t>三</w:t>
            </w:r>
          </w:p>
        </w:tc>
        <w:tc>
          <w:tcPr>
            <w:tcW w:w="2085" w:type="dxa"/>
            <w:tcBorders>
              <w:top w:val="nil"/>
              <w:left w:val="nil"/>
              <w:bottom w:val="single" w:color="auto" w:sz="8" w:space="0"/>
              <w:right w:val="single" w:color="auto" w:sz="8" w:space="0"/>
            </w:tcBorders>
            <w:vAlign w:val="center"/>
          </w:tcPr>
          <w:p>
            <w:pPr>
              <w:jc w:val="center"/>
              <w:rPr>
                <w:rFonts w:ascii="宋体" w:hAnsi="宋体" w:cs="宋体"/>
                <w:b/>
                <w:bCs/>
                <w:color w:val="000000" w:themeColor="text1"/>
                <w:kern w:val="0"/>
              </w:rPr>
            </w:pPr>
            <w:r>
              <w:rPr>
                <w:rFonts w:hint="eastAsia" w:ascii="宋体" w:hAnsi="宋体" w:cs="宋体"/>
                <w:color w:val="000000" w:themeColor="text1"/>
                <w:kern w:val="0"/>
              </w:rPr>
              <w:t>税金</w:t>
            </w:r>
          </w:p>
        </w:tc>
        <w:tc>
          <w:tcPr>
            <w:tcW w:w="2482" w:type="dxa"/>
            <w:gridSpan w:val="2"/>
            <w:tcBorders>
              <w:top w:val="nil"/>
              <w:left w:val="nil"/>
              <w:bottom w:val="single" w:color="auto" w:sz="8" w:space="0"/>
              <w:right w:val="single" w:color="auto" w:sz="8" w:space="0"/>
            </w:tcBorders>
            <w:vAlign w:val="center"/>
          </w:tcPr>
          <w:p>
            <w:pPr>
              <w:spacing w:line="380" w:lineRule="exact"/>
              <w:jc w:val="center"/>
              <w:rPr>
                <w:rFonts w:ascii="Calibri" w:hAnsi="Calibri" w:cs="Calibri"/>
                <w:bCs/>
                <w:color w:val="000000" w:themeColor="text1"/>
                <w:kern w:val="0"/>
              </w:rPr>
            </w:pPr>
            <w:r>
              <w:rPr>
                <w:rFonts w:hint="eastAsia" w:ascii="宋体" w:hAnsi="宋体"/>
                <w:bCs/>
                <w:color w:val="000000" w:themeColor="text1"/>
                <w:kern w:val="0"/>
              </w:rPr>
              <w:t>1年</w:t>
            </w:r>
          </w:p>
        </w:tc>
        <w:tc>
          <w:tcPr>
            <w:tcW w:w="1291" w:type="dxa"/>
            <w:tcBorders>
              <w:top w:val="nil"/>
              <w:left w:val="nil"/>
              <w:bottom w:val="single" w:color="auto" w:sz="8" w:space="0"/>
              <w:right w:val="single" w:color="auto" w:sz="8" w:space="0"/>
            </w:tcBorders>
            <w:vAlign w:val="center"/>
          </w:tcPr>
          <w:p>
            <w:pPr>
              <w:spacing w:line="380" w:lineRule="exact"/>
              <w:jc w:val="center"/>
              <w:rPr>
                <w:rFonts w:ascii="Calibri" w:hAnsi="Calibri" w:cs="Calibri"/>
                <w:bCs/>
                <w:color w:val="000000" w:themeColor="text1"/>
                <w:kern w:val="0"/>
              </w:rPr>
            </w:pPr>
          </w:p>
        </w:tc>
        <w:tc>
          <w:tcPr>
            <w:tcW w:w="2369" w:type="dxa"/>
            <w:tcBorders>
              <w:top w:val="nil"/>
              <w:left w:val="nil"/>
              <w:bottom w:val="single" w:color="auto" w:sz="8" w:space="0"/>
              <w:right w:val="single" w:color="auto" w:sz="8" w:space="0"/>
            </w:tcBorders>
            <w:vAlign w:val="center"/>
          </w:tcPr>
          <w:p>
            <w:pPr>
              <w:spacing w:line="320" w:lineRule="exact"/>
              <w:jc w:val="center"/>
              <w:rPr>
                <w:rFonts w:ascii="宋体" w:hAnsi="宋体" w:cs="宋体"/>
                <w:color w:val="000000" w:themeColor="text1"/>
                <w:kern w:val="0"/>
              </w:rPr>
            </w:pPr>
            <w:r>
              <w:rPr>
                <w:rFonts w:ascii="宋体" w:hAnsi="宋体" w:cs="宋体"/>
                <w:color w:val="000000" w:themeColor="text1"/>
                <w:kern w:val="0"/>
              </w:rPr>
              <w:t>注明百分比例</w:t>
            </w:r>
          </w:p>
        </w:tc>
      </w:tr>
      <w:tr>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pPr>
              <w:jc w:val="center"/>
              <w:rPr>
                <w:rFonts w:ascii="Calibri" w:hAnsi="Calibri" w:cs="Calibri"/>
                <w:b/>
                <w:bCs/>
                <w:color w:val="000000" w:themeColor="text1"/>
                <w:kern w:val="0"/>
              </w:rPr>
            </w:pPr>
          </w:p>
        </w:tc>
        <w:tc>
          <w:tcPr>
            <w:tcW w:w="4567" w:type="dxa"/>
            <w:gridSpan w:val="3"/>
            <w:tcBorders>
              <w:top w:val="nil"/>
              <w:left w:val="nil"/>
              <w:bottom w:val="single" w:color="auto" w:sz="8" w:space="0"/>
              <w:right w:val="single" w:color="auto" w:sz="8" w:space="0"/>
            </w:tcBorders>
            <w:vAlign w:val="center"/>
          </w:tcPr>
          <w:p>
            <w:pPr>
              <w:jc w:val="center"/>
              <w:rPr>
                <w:rFonts w:ascii="Calibri" w:hAnsi="Calibri" w:cs="Calibri"/>
                <w:b/>
                <w:bCs/>
                <w:color w:val="000000" w:themeColor="text1"/>
                <w:kern w:val="0"/>
              </w:rPr>
            </w:pPr>
            <w:r>
              <w:rPr>
                <w:rFonts w:hint="eastAsia" w:ascii="宋体" w:hAnsi="宋体" w:cs="宋体"/>
                <w:b/>
                <w:bCs/>
                <w:color w:val="000000" w:themeColor="text1"/>
                <w:kern w:val="0"/>
              </w:rPr>
              <w:t>投标报价合计（元）</w:t>
            </w:r>
          </w:p>
        </w:tc>
        <w:tc>
          <w:tcPr>
            <w:tcW w:w="1291" w:type="dxa"/>
            <w:tcBorders>
              <w:top w:val="nil"/>
              <w:left w:val="nil"/>
              <w:bottom w:val="single" w:color="auto" w:sz="8" w:space="0"/>
              <w:right w:val="single" w:color="auto" w:sz="8" w:space="0"/>
            </w:tcBorders>
            <w:vAlign w:val="center"/>
          </w:tcPr>
          <w:p>
            <w:pPr>
              <w:jc w:val="center"/>
              <w:rPr>
                <w:rFonts w:ascii="Calibri" w:hAnsi="Calibri" w:cs="Calibri"/>
                <w:b/>
                <w:bCs/>
                <w:color w:val="000000" w:themeColor="text1"/>
                <w:kern w:val="0"/>
              </w:rPr>
            </w:pPr>
            <w:r>
              <w:rPr>
                <w:rFonts w:ascii="Calibri" w:hAnsi="Calibri" w:cs="Calibri"/>
                <w:b/>
                <w:bCs/>
                <w:color w:val="000000" w:themeColor="text1"/>
                <w:kern w:val="0"/>
              </w:rPr>
              <w:t>　</w:t>
            </w:r>
          </w:p>
        </w:tc>
        <w:tc>
          <w:tcPr>
            <w:tcW w:w="2369" w:type="dxa"/>
            <w:tcBorders>
              <w:top w:val="nil"/>
              <w:left w:val="nil"/>
              <w:bottom w:val="single" w:color="auto" w:sz="8" w:space="0"/>
              <w:right w:val="single" w:color="auto" w:sz="8" w:space="0"/>
            </w:tcBorders>
            <w:vAlign w:val="center"/>
          </w:tcPr>
          <w:p>
            <w:pPr>
              <w:jc w:val="center"/>
              <w:rPr>
                <w:rFonts w:ascii="Calibri" w:hAnsi="Calibri" w:cs="Calibri"/>
                <w:b/>
                <w:bCs/>
                <w:color w:val="000000" w:themeColor="text1"/>
                <w:kern w:val="0"/>
              </w:rPr>
            </w:pPr>
            <w:r>
              <w:rPr>
                <w:rFonts w:hint="eastAsia" w:ascii="Calibri" w:hAnsi="Calibri" w:cs="Calibri"/>
                <w:b/>
                <w:bCs/>
                <w:color w:val="000000" w:themeColor="text1"/>
                <w:kern w:val="0"/>
              </w:rPr>
              <w:t>按上述第一项至第三大项费用之和计取</w:t>
            </w:r>
          </w:p>
        </w:tc>
      </w:tr>
    </w:tbl>
    <w:p>
      <w:pPr>
        <w:pStyle w:val="129"/>
        <w:spacing w:before="0" w:after="0" w:line="420" w:lineRule="exact"/>
        <w:rPr>
          <w:rStyle w:val="43"/>
          <w:rFonts w:cs="宋体"/>
          <w:color w:val="000000" w:themeColor="text1"/>
          <w:kern w:val="2"/>
          <w:szCs w:val="21"/>
        </w:rPr>
      </w:pPr>
      <w:bookmarkStart w:id="19" w:name="OLE_LINK60"/>
      <w:r>
        <w:rPr>
          <w:rStyle w:val="43"/>
          <w:rFonts w:hint="eastAsia" w:cs="宋体"/>
          <w:color w:val="000000" w:themeColor="text1"/>
          <w:kern w:val="2"/>
          <w:szCs w:val="21"/>
        </w:rPr>
        <w:t>说明：</w:t>
      </w:r>
    </w:p>
    <w:p>
      <w:pPr>
        <w:pStyle w:val="129"/>
        <w:spacing w:before="0" w:after="0" w:line="420" w:lineRule="exact"/>
        <w:rPr>
          <w:rStyle w:val="43"/>
          <w:rFonts w:cs="宋体"/>
          <w:color w:val="000000" w:themeColor="text1"/>
          <w:kern w:val="2"/>
          <w:szCs w:val="21"/>
        </w:rPr>
      </w:pPr>
      <w:r>
        <w:rPr>
          <w:rStyle w:val="43"/>
          <w:rFonts w:hint="eastAsia" w:cs="宋体"/>
          <w:color w:val="000000" w:themeColor="text1"/>
          <w:kern w:val="2"/>
          <w:szCs w:val="21"/>
        </w:rPr>
        <w:t>1、如出现员工按国家规定不需缴纳社保及公积金，需在本表后说明相关情况。</w:t>
      </w:r>
    </w:p>
    <w:p>
      <w:pPr>
        <w:pStyle w:val="129"/>
        <w:spacing w:before="0" w:after="0" w:line="420" w:lineRule="exact"/>
        <w:rPr>
          <w:rStyle w:val="43"/>
          <w:rFonts w:cs="宋体"/>
          <w:color w:val="000000" w:themeColor="text1"/>
          <w:kern w:val="2"/>
          <w:szCs w:val="21"/>
        </w:rPr>
      </w:pPr>
      <w:r>
        <w:rPr>
          <w:rStyle w:val="43"/>
          <w:rFonts w:hint="eastAsia" w:cs="宋体"/>
          <w:color w:val="000000" w:themeColor="text1"/>
          <w:kern w:val="2"/>
          <w:szCs w:val="21"/>
        </w:rPr>
        <w:t>2、投标人必须按招标文件所提供的投标报价明细表格式报价，备注栏中的要求须完全响应，否则其投标文件将被作废标处理。</w:t>
      </w:r>
    </w:p>
    <w:p>
      <w:pPr>
        <w:pStyle w:val="129"/>
        <w:spacing w:before="0" w:after="0" w:line="420" w:lineRule="exact"/>
        <w:rPr>
          <w:rStyle w:val="43"/>
          <w:rFonts w:cs="宋体"/>
          <w:color w:val="000000" w:themeColor="text1"/>
          <w:kern w:val="2"/>
          <w:szCs w:val="21"/>
        </w:rPr>
      </w:pPr>
      <w:r>
        <w:rPr>
          <w:rStyle w:val="43"/>
          <w:rFonts w:hint="eastAsia" w:cs="宋体"/>
          <w:color w:val="000000" w:themeColor="text1"/>
          <w:kern w:val="2"/>
          <w:szCs w:val="21"/>
        </w:rPr>
        <w:t>3、每种服务只允许有一种报价，任何有选择报价将不予接受。投标人必须对投标报价明细表上全部服务进行报价，只投其中部分费用的投标文件将被拒绝。</w:t>
      </w:r>
    </w:p>
    <w:p>
      <w:pPr>
        <w:pStyle w:val="129"/>
        <w:spacing w:before="0" w:after="0" w:line="420" w:lineRule="exact"/>
        <w:rPr>
          <w:rStyle w:val="43"/>
          <w:rFonts w:cs="宋体"/>
          <w:color w:val="000000" w:themeColor="text1"/>
          <w:kern w:val="2"/>
          <w:szCs w:val="21"/>
        </w:rPr>
      </w:pPr>
      <w:r>
        <w:rPr>
          <w:rStyle w:val="43"/>
          <w:rFonts w:hint="eastAsia" w:cs="宋体"/>
          <w:color w:val="000000" w:themeColor="text1"/>
          <w:kern w:val="2"/>
          <w:szCs w:val="21"/>
        </w:rPr>
        <w:t>4、此表内容投标人可以根据企业自身情况以及现场踏勘自行补充添加。</w:t>
      </w:r>
    </w:p>
    <w:p>
      <w:pPr>
        <w:pStyle w:val="129"/>
        <w:spacing w:before="0" w:after="0" w:line="420" w:lineRule="exact"/>
        <w:rPr>
          <w:rStyle w:val="43"/>
          <w:rFonts w:cs="宋体"/>
          <w:color w:val="000000" w:themeColor="text1"/>
          <w:kern w:val="2"/>
          <w:szCs w:val="21"/>
        </w:rPr>
      </w:pPr>
      <w:r>
        <w:rPr>
          <w:rStyle w:val="43"/>
          <w:rFonts w:hint="eastAsia" w:cs="宋体"/>
          <w:color w:val="000000" w:themeColor="text1"/>
          <w:kern w:val="2"/>
          <w:szCs w:val="21"/>
        </w:rPr>
        <w:t>5、投标人报价时应充分考虑服务期内所有可能影响到的因素，一旦投标结束最终成交，除国家政策性调整除外，中标价格将不予调整。</w:t>
      </w:r>
      <w:bookmarkEnd w:id="19"/>
    </w:p>
    <w:p>
      <w:pPr>
        <w:pStyle w:val="129"/>
        <w:spacing w:before="0" w:after="0" w:line="420" w:lineRule="exact"/>
        <w:rPr>
          <w:rStyle w:val="43"/>
          <w:rFonts w:cs="宋体"/>
          <w:color w:val="000000" w:themeColor="text1"/>
          <w:kern w:val="2"/>
          <w:szCs w:val="21"/>
        </w:rPr>
      </w:pPr>
    </w:p>
    <w:p>
      <w:pPr>
        <w:pStyle w:val="129"/>
        <w:spacing w:before="0" w:after="0" w:line="420" w:lineRule="exact"/>
        <w:rPr>
          <w:rStyle w:val="43"/>
          <w:rFonts w:cs="宋体"/>
          <w:color w:val="000000" w:themeColor="text1"/>
          <w:kern w:val="2"/>
          <w:szCs w:val="21"/>
        </w:rPr>
      </w:pPr>
      <w:r>
        <w:rPr>
          <w:rStyle w:val="43"/>
          <w:rFonts w:hint="eastAsia" w:cs="宋体"/>
          <w:color w:val="000000" w:themeColor="text1"/>
          <w:kern w:val="2"/>
          <w:szCs w:val="21"/>
        </w:rPr>
        <w:t>投标人（盖章）：</w:t>
      </w:r>
    </w:p>
    <w:p>
      <w:pPr>
        <w:pStyle w:val="129"/>
        <w:spacing w:before="0" w:after="0" w:line="420" w:lineRule="exact"/>
        <w:rPr>
          <w:rStyle w:val="43"/>
          <w:rFonts w:cs="宋体"/>
          <w:color w:val="000000" w:themeColor="text1"/>
          <w:kern w:val="2"/>
          <w:szCs w:val="21"/>
        </w:rPr>
      </w:pPr>
    </w:p>
    <w:p>
      <w:pPr>
        <w:pStyle w:val="129"/>
        <w:spacing w:before="0" w:after="0" w:line="420" w:lineRule="exact"/>
        <w:rPr>
          <w:rStyle w:val="43"/>
          <w:rFonts w:cs="宋体"/>
          <w:color w:val="000000" w:themeColor="text1"/>
          <w:kern w:val="2"/>
          <w:szCs w:val="21"/>
        </w:rPr>
      </w:pPr>
      <w:r>
        <w:rPr>
          <w:rStyle w:val="43"/>
          <w:rFonts w:hint="eastAsia" w:cs="宋体"/>
          <w:color w:val="000000" w:themeColor="text1"/>
          <w:kern w:val="2"/>
          <w:szCs w:val="21"/>
        </w:rPr>
        <w:t xml:space="preserve">投标人法定代表或其授权人：（签字或盖章）             </w:t>
      </w:r>
    </w:p>
    <w:p>
      <w:pPr>
        <w:pStyle w:val="129"/>
        <w:spacing w:before="0" w:after="0" w:line="420" w:lineRule="exact"/>
        <w:rPr>
          <w:rStyle w:val="43"/>
          <w:rFonts w:cs="宋体"/>
          <w:color w:val="000000" w:themeColor="text1"/>
          <w:kern w:val="2"/>
          <w:szCs w:val="21"/>
        </w:rPr>
      </w:pPr>
    </w:p>
    <w:p>
      <w:pPr>
        <w:pStyle w:val="129"/>
        <w:spacing w:before="0" w:after="0" w:line="420" w:lineRule="exact"/>
        <w:rPr>
          <w:rStyle w:val="43"/>
          <w:rFonts w:cs="宋体"/>
          <w:color w:val="000000" w:themeColor="text1"/>
          <w:kern w:val="2"/>
          <w:szCs w:val="21"/>
        </w:rPr>
      </w:pPr>
      <w:r>
        <w:rPr>
          <w:rStyle w:val="43"/>
          <w:rFonts w:hint="eastAsia" w:cs="宋体"/>
          <w:color w:val="000000" w:themeColor="text1"/>
          <w:kern w:val="2"/>
          <w:szCs w:val="21"/>
        </w:rPr>
        <w:t xml:space="preserve"> 日    期：</w:t>
      </w:r>
    </w:p>
    <w:p>
      <w:pPr>
        <w:pStyle w:val="21"/>
        <w:jc w:val="both"/>
        <w:rPr>
          <w:b/>
          <w:color w:val="000000" w:themeColor="text1"/>
          <w:sz w:val="44"/>
        </w:rPr>
        <w:sectPr>
          <w:headerReference r:id="rId7" w:type="default"/>
          <w:footerReference r:id="rId8" w:type="default"/>
          <w:pgSz w:w="11906" w:h="16838"/>
          <w:pgMar w:top="1417" w:right="1587" w:bottom="1417" w:left="1366" w:header="851" w:footer="907" w:gutter="0"/>
          <w:pgNumType w:fmt="numberInDash"/>
          <w:cols w:space="720" w:num="1"/>
          <w:docGrid w:type="lines" w:linePitch="298" w:charSpace="0"/>
        </w:sectPr>
      </w:pPr>
    </w:p>
    <w:p>
      <w:pPr>
        <w:snapToGrid w:val="0"/>
        <w:spacing w:before="50" w:after="50"/>
        <w:jc w:val="center"/>
        <w:rPr>
          <w:rFonts w:ascii="宋体" w:hAnsi="宋体"/>
          <w:b/>
          <w:color w:val="000000" w:themeColor="text1"/>
          <w:sz w:val="32"/>
          <w:szCs w:val="32"/>
        </w:rPr>
      </w:pPr>
      <w:r>
        <w:rPr>
          <w:rStyle w:val="43"/>
          <w:rFonts w:hint="eastAsia" w:ascii="宋体" w:hAnsi="宋体" w:cs="宋体"/>
          <w:color w:val="000000" w:themeColor="text1"/>
          <w:sz w:val="32"/>
          <w:szCs w:val="32"/>
        </w:rPr>
        <w:t>七、</w:t>
      </w:r>
      <w:bookmarkStart w:id="20" w:name="_格式2__法定代表人授权书"/>
      <w:bookmarkEnd w:id="20"/>
      <w:r>
        <w:rPr>
          <w:rFonts w:hint="eastAsia" w:ascii="黑体" w:hAnsi="黑体" w:eastAsia="黑体"/>
          <w:bCs/>
          <w:color w:val="000000" w:themeColor="text1"/>
          <w:sz w:val="32"/>
          <w:szCs w:val="32"/>
        </w:rPr>
        <w:t>人员配备一览表（</w:t>
      </w:r>
      <w:r>
        <w:rPr>
          <w:rFonts w:hint="eastAsia" w:ascii="宋体" w:hAnsi="宋体"/>
          <w:b/>
          <w:color w:val="000000" w:themeColor="text1"/>
          <w:sz w:val="30"/>
          <w:szCs w:val="30"/>
        </w:rPr>
        <w:t>表格可拓展</w:t>
      </w:r>
      <w:r>
        <w:rPr>
          <w:rFonts w:hint="eastAsia" w:ascii="黑体" w:hAnsi="黑体" w:eastAsia="黑体"/>
          <w:bCs/>
          <w:color w:val="000000" w:themeColor="text1"/>
          <w:sz w:val="32"/>
          <w:szCs w:val="32"/>
        </w:rPr>
        <w:t>）</w:t>
      </w:r>
    </w:p>
    <w:p>
      <w:pPr>
        <w:pStyle w:val="159"/>
        <w:rPr>
          <w:rFonts w:hAnsi="宋体"/>
          <w:color w:val="000000" w:themeColor="text1"/>
          <w:sz w:val="21"/>
        </w:rPr>
      </w:pPr>
    </w:p>
    <w:tbl>
      <w:tblPr>
        <w:tblStyle w:val="24"/>
        <w:tblW w:w="0" w:type="auto"/>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1"/>
        <w:gridCol w:w="1014"/>
        <w:gridCol w:w="1014"/>
        <w:gridCol w:w="1906"/>
        <w:gridCol w:w="889"/>
        <w:gridCol w:w="1139"/>
        <w:gridCol w:w="1326"/>
        <w:gridCol w:w="13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741" w:type="dxa"/>
            <w:tcBorders>
              <w:top w:val="single" w:color="auto" w:sz="12"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r>
              <w:rPr>
                <w:rFonts w:hint="eastAsia" w:ascii="宋体" w:hAnsi="宋体"/>
                <w:bCs/>
                <w:color w:val="000000" w:themeColor="text1"/>
                <w:sz w:val="24"/>
                <w:szCs w:val="24"/>
              </w:rPr>
              <w:t>序号</w:t>
            </w:r>
          </w:p>
        </w:tc>
        <w:tc>
          <w:tcPr>
            <w:tcW w:w="1014" w:type="dxa"/>
            <w:tcBorders>
              <w:top w:val="single" w:color="auto" w:sz="12"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r>
              <w:rPr>
                <w:rFonts w:hint="eastAsia" w:ascii="宋体" w:hAnsi="宋体"/>
                <w:bCs/>
                <w:color w:val="000000" w:themeColor="text1"/>
                <w:sz w:val="24"/>
                <w:szCs w:val="24"/>
              </w:rPr>
              <w:t>岗位</w:t>
            </w:r>
          </w:p>
        </w:tc>
        <w:tc>
          <w:tcPr>
            <w:tcW w:w="1014" w:type="dxa"/>
            <w:tcBorders>
              <w:top w:val="single" w:color="auto" w:sz="12"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rPr>
            </w:pPr>
            <w:r>
              <w:rPr>
                <w:rFonts w:hint="eastAsia" w:ascii="宋体" w:hAnsi="宋体"/>
                <w:bCs/>
                <w:color w:val="000000" w:themeColor="text1"/>
                <w:sz w:val="24"/>
                <w:szCs w:val="24"/>
              </w:rPr>
              <w:t>姓名</w:t>
            </w:r>
          </w:p>
        </w:tc>
        <w:tc>
          <w:tcPr>
            <w:tcW w:w="1906" w:type="dxa"/>
            <w:tcBorders>
              <w:top w:val="single" w:color="auto" w:sz="12"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rPr>
            </w:pPr>
            <w:r>
              <w:rPr>
                <w:rFonts w:hint="eastAsia" w:ascii="宋体" w:hAnsi="宋体"/>
                <w:color w:val="000000" w:themeColor="text1"/>
                <w:sz w:val="24"/>
                <w:szCs w:val="24"/>
              </w:rPr>
              <w:t>身份证号</w:t>
            </w:r>
          </w:p>
        </w:tc>
        <w:tc>
          <w:tcPr>
            <w:tcW w:w="889" w:type="dxa"/>
            <w:tcBorders>
              <w:top w:val="single" w:color="auto" w:sz="12"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rPr>
            </w:pPr>
            <w:r>
              <w:rPr>
                <w:rFonts w:hint="eastAsia" w:ascii="宋体" w:hAnsi="宋体"/>
                <w:color w:val="000000" w:themeColor="text1"/>
                <w:sz w:val="24"/>
                <w:szCs w:val="24"/>
              </w:rPr>
              <w:t>学历</w:t>
            </w:r>
          </w:p>
        </w:tc>
        <w:tc>
          <w:tcPr>
            <w:tcW w:w="1139" w:type="dxa"/>
            <w:tcBorders>
              <w:top w:val="single" w:color="auto" w:sz="12"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rPr>
            </w:pPr>
            <w:r>
              <w:rPr>
                <w:rFonts w:hint="eastAsia" w:ascii="宋体" w:hAnsi="宋体"/>
                <w:color w:val="000000" w:themeColor="text1"/>
                <w:sz w:val="24"/>
                <w:szCs w:val="24"/>
              </w:rPr>
              <w:t>技术证书、级别</w:t>
            </w:r>
          </w:p>
        </w:tc>
        <w:tc>
          <w:tcPr>
            <w:tcW w:w="1326" w:type="dxa"/>
            <w:tcBorders>
              <w:top w:val="single" w:color="auto" w:sz="12"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r>
              <w:rPr>
                <w:rFonts w:hint="eastAsia" w:ascii="宋体" w:hAnsi="宋体"/>
                <w:bCs/>
                <w:color w:val="000000" w:themeColor="text1"/>
                <w:sz w:val="24"/>
                <w:szCs w:val="24"/>
              </w:rPr>
              <w:t>类似工作经验</w:t>
            </w:r>
          </w:p>
        </w:tc>
        <w:tc>
          <w:tcPr>
            <w:tcW w:w="1325" w:type="dxa"/>
            <w:tcBorders>
              <w:top w:val="single" w:color="auto" w:sz="12" w:space="0"/>
              <w:left w:val="single" w:color="auto" w:sz="6" w:space="0"/>
              <w:bottom w:val="single" w:color="auto" w:sz="6" w:space="0"/>
              <w:right w:val="single" w:color="auto" w:sz="12" w:space="0"/>
            </w:tcBorders>
            <w:noWrap/>
          </w:tcPr>
          <w:p>
            <w:pPr>
              <w:pStyle w:val="7"/>
              <w:spacing w:line="360" w:lineRule="auto"/>
              <w:ind w:firstLine="0"/>
              <w:jc w:val="center"/>
              <w:rPr>
                <w:rFonts w:ascii="宋体" w:hAnsi="宋体"/>
                <w:bCs/>
                <w:color w:val="000000" w:themeColor="text1"/>
                <w:sz w:val="24"/>
                <w:szCs w:val="24"/>
              </w:rPr>
            </w:pPr>
            <w:r>
              <w:rPr>
                <w:rFonts w:hint="eastAsia" w:ascii="宋体" w:hAnsi="宋体"/>
                <w:bCs/>
                <w:color w:val="000000" w:themeColor="text1"/>
                <w:sz w:val="24"/>
                <w:szCs w:val="24"/>
              </w:rPr>
              <w:t>是否缴纳保险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741"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r>
              <w:rPr>
                <w:rFonts w:hint="eastAsia" w:ascii="宋体" w:hAnsi="宋体"/>
                <w:bCs/>
                <w:color w:val="000000" w:themeColor="text1"/>
                <w:sz w:val="24"/>
                <w:szCs w:val="24"/>
              </w:rPr>
              <w:t>1</w:t>
            </w: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p>
        </w:tc>
        <w:tc>
          <w:tcPr>
            <w:tcW w:w="190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rPr>
            </w:pPr>
          </w:p>
        </w:tc>
        <w:tc>
          <w:tcPr>
            <w:tcW w:w="889"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rPr>
            </w:pPr>
          </w:p>
        </w:tc>
        <w:tc>
          <w:tcPr>
            <w:tcW w:w="1139"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color w:val="000000" w:themeColor="text1"/>
                <w:sz w:val="24"/>
                <w:szCs w:val="24"/>
              </w:rPr>
            </w:pP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p>
        </w:tc>
        <w:tc>
          <w:tcPr>
            <w:tcW w:w="1325"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jc w:val="center"/>
              <w:rPr>
                <w:rFonts w:ascii="宋体" w:hAnsi="宋体"/>
                <w:bCs/>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r>
              <w:rPr>
                <w:rFonts w:hint="eastAsia" w:ascii="宋体" w:hAnsi="宋体"/>
                <w:bCs/>
                <w:color w:val="000000" w:themeColor="text1"/>
                <w:sz w:val="24"/>
                <w:szCs w:val="24"/>
              </w:rPr>
              <w:t>2</w:t>
            </w: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90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889"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rPr>
            </w:pPr>
          </w:p>
        </w:tc>
        <w:tc>
          <w:tcPr>
            <w:tcW w:w="1139"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5"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r>
              <w:rPr>
                <w:rFonts w:hint="eastAsia" w:ascii="宋体" w:hAnsi="宋体"/>
                <w:bCs/>
                <w:color w:val="000000" w:themeColor="text1"/>
                <w:sz w:val="24"/>
                <w:szCs w:val="24"/>
              </w:rPr>
              <w:t>3</w:t>
            </w: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90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889"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rPr>
            </w:pPr>
          </w:p>
        </w:tc>
        <w:tc>
          <w:tcPr>
            <w:tcW w:w="1139"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5"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741"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90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889"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rPr>
            </w:pPr>
          </w:p>
        </w:tc>
        <w:tc>
          <w:tcPr>
            <w:tcW w:w="1139"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5"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741"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90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889"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rPr>
            </w:pPr>
          </w:p>
        </w:tc>
        <w:tc>
          <w:tcPr>
            <w:tcW w:w="1139"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5"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90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889"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rPr>
            </w:pPr>
          </w:p>
        </w:tc>
        <w:tc>
          <w:tcPr>
            <w:tcW w:w="1139"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5"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90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889"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rPr>
            </w:pPr>
          </w:p>
        </w:tc>
        <w:tc>
          <w:tcPr>
            <w:tcW w:w="1139"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5"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90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889"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rPr>
            </w:pPr>
          </w:p>
        </w:tc>
        <w:tc>
          <w:tcPr>
            <w:tcW w:w="1139"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5"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noWrap/>
            <w:vAlign w:val="center"/>
          </w:tcPr>
          <w:p>
            <w:pPr>
              <w:pStyle w:val="7"/>
              <w:spacing w:line="360" w:lineRule="auto"/>
              <w:ind w:firstLine="0"/>
              <w:jc w:val="center"/>
              <w:rPr>
                <w:rFonts w:ascii="宋体" w:hAnsi="宋体"/>
                <w:bCs/>
                <w:color w:val="000000" w:themeColor="text1"/>
                <w:sz w:val="24"/>
                <w:szCs w:val="24"/>
              </w:rPr>
            </w:pPr>
            <w:r>
              <w:rPr>
                <w:rFonts w:hint="eastAsia" w:ascii="宋体" w:hAnsi="宋体"/>
                <w:bCs/>
                <w:color w:val="000000" w:themeColor="text1"/>
                <w:sz w:val="24"/>
                <w:szCs w:val="24"/>
              </w:rPr>
              <w:t>..</w:t>
            </w: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014"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90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889" w:type="dxa"/>
            <w:tcBorders>
              <w:top w:val="single" w:color="auto" w:sz="6" w:space="0"/>
              <w:left w:val="single" w:color="auto" w:sz="6" w:space="0"/>
              <w:bottom w:val="single" w:color="auto" w:sz="6" w:space="0"/>
              <w:right w:val="single" w:color="auto" w:sz="6" w:space="0"/>
            </w:tcBorders>
            <w:noWrap/>
          </w:tcPr>
          <w:p>
            <w:pPr>
              <w:pStyle w:val="7"/>
              <w:spacing w:line="360" w:lineRule="auto"/>
              <w:ind w:firstLine="0"/>
              <w:rPr>
                <w:rFonts w:ascii="宋体" w:hAnsi="宋体"/>
                <w:bCs/>
                <w:color w:val="000000" w:themeColor="text1"/>
                <w:sz w:val="24"/>
                <w:szCs w:val="24"/>
              </w:rPr>
            </w:pPr>
          </w:p>
        </w:tc>
        <w:tc>
          <w:tcPr>
            <w:tcW w:w="1139"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6" w:type="dxa"/>
            <w:tcBorders>
              <w:top w:val="single" w:color="auto" w:sz="6" w:space="0"/>
              <w:left w:val="single" w:color="auto" w:sz="6" w:space="0"/>
              <w:bottom w:val="single" w:color="auto" w:sz="6"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p>
        </w:tc>
        <w:tc>
          <w:tcPr>
            <w:tcW w:w="1325" w:type="dxa"/>
            <w:tcBorders>
              <w:top w:val="single" w:color="auto" w:sz="6" w:space="0"/>
              <w:left w:val="single" w:color="auto" w:sz="6" w:space="0"/>
              <w:bottom w:val="single" w:color="auto" w:sz="6" w:space="0"/>
              <w:right w:val="single" w:color="auto" w:sz="12" w:space="0"/>
            </w:tcBorders>
            <w:noWrap/>
          </w:tcPr>
          <w:p>
            <w:pPr>
              <w:pStyle w:val="7"/>
              <w:spacing w:line="360" w:lineRule="auto"/>
              <w:ind w:firstLine="0"/>
              <w:rPr>
                <w:rFonts w:ascii="宋体" w:hAnsi="宋体"/>
                <w:bCs/>
                <w:color w:val="000000" w:themeColor="text1"/>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4" w:hRule="atLeast"/>
        </w:trPr>
        <w:tc>
          <w:tcPr>
            <w:tcW w:w="741" w:type="dxa"/>
            <w:tcBorders>
              <w:top w:val="single" w:color="auto" w:sz="6" w:space="0"/>
              <w:left w:val="single" w:color="auto" w:sz="12" w:space="0"/>
              <w:bottom w:val="single" w:color="auto" w:sz="4" w:space="0"/>
              <w:right w:val="single" w:color="auto" w:sz="6" w:space="0"/>
            </w:tcBorders>
            <w:noWrap/>
            <w:vAlign w:val="center"/>
          </w:tcPr>
          <w:p>
            <w:pPr>
              <w:pStyle w:val="7"/>
              <w:spacing w:line="360" w:lineRule="auto"/>
              <w:ind w:firstLine="0"/>
              <w:rPr>
                <w:rFonts w:ascii="宋体" w:hAnsi="宋体"/>
                <w:bCs/>
                <w:color w:val="000000" w:themeColor="text1"/>
                <w:sz w:val="24"/>
                <w:szCs w:val="24"/>
              </w:rPr>
            </w:pPr>
            <w:r>
              <w:rPr>
                <w:rFonts w:hint="eastAsia" w:ascii="宋体" w:hAnsi="宋体"/>
                <w:bCs/>
                <w:color w:val="000000" w:themeColor="text1"/>
                <w:sz w:val="24"/>
                <w:szCs w:val="24"/>
              </w:rPr>
              <w:t>合计：</w:t>
            </w:r>
          </w:p>
        </w:tc>
        <w:tc>
          <w:tcPr>
            <w:tcW w:w="7288" w:type="dxa"/>
            <w:gridSpan w:val="6"/>
            <w:tcBorders>
              <w:top w:val="single" w:color="auto" w:sz="6" w:space="0"/>
              <w:left w:val="single" w:color="auto" w:sz="6" w:space="0"/>
              <w:bottom w:val="single" w:color="auto" w:sz="4" w:space="0"/>
              <w:right w:val="single" w:color="auto" w:sz="6" w:space="0"/>
            </w:tcBorders>
            <w:noWrap/>
            <w:vAlign w:val="center"/>
          </w:tcPr>
          <w:p>
            <w:pPr>
              <w:rPr>
                <w:rFonts w:ascii="宋体" w:hAnsi="宋体"/>
                <w:color w:val="000000" w:themeColor="text1"/>
              </w:rPr>
            </w:pPr>
            <w:r>
              <w:rPr>
                <w:rFonts w:hint="eastAsia" w:ascii="宋体" w:hAnsi="宋体"/>
                <w:color w:val="000000" w:themeColor="text1"/>
              </w:rPr>
              <w:t>人</w:t>
            </w:r>
          </w:p>
        </w:tc>
        <w:tc>
          <w:tcPr>
            <w:tcW w:w="1325" w:type="dxa"/>
            <w:tcBorders>
              <w:top w:val="single" w:color="auto" w:sz="6" w:space="0"/>
              <w:left w:val="single" w:color="auto" w:sz="6" w:space="0"/>
              <w:bottom w:val="single" w:color="auto" w:sz="4" w:space="0"/>
              <w:right w:val="single" w:color="auto" w:sz="12" w:space="0"/>
            </w:tcBorders>
            <w:noWrap/>
          </w:tcPr>
          <w:p>
            <w:pPr>
              <w:pStyle w:val="7"/>
              <w:spacing w:line="360" w:lineRule="auto"/>
              <w:ind w:firstLine="0"/>
              <w:rPr>
                <w:rFonts w:ascii="宋体" w:hAnsi="宋体"/>
                <w:bCs/>
                <w:color w:val="000000" w:themeColor="text1"/>
                <w:sz w:val="24"/>
                <w:szCs w:val="24"/>
              </w:rPr>
            </w:pPr>
          </w:p>
        </w:tc>
      </w:tr>
    </w:tbl>
    <w:p>
      <w:pPr>
        <w:spacing w:line="273" w:lineRule="auto"/>
        <w:jc w:val="center"/>
        <w:rPr>
          <w:rFonts w:ascii="宋体" w:hAnsi="宋体"/>
          <w:color w:val="000000" w:themeColor="text1"/>
          <w:sz w:val="24"/>
          <w:szCs w:val="24"/>
        </w:rPr>
      </w:pPr>
    </w:p>
    <w:p>
      <w:pPr>
        <w:spacing w:line="273" w:lineRule="auto"/>
        <w:jc w:val="right"/>
        <w:rPr>
          <w:rFonts w:ascii="宋体" w:hAnsi="宋体"/>
          <w:color w:val="000000" w:themeColor="text1"/>
          <w:sz w:val="24"/>
          <w:szCs w:val="24"/>
        </w:rPr>
      </w:pPr>
      <w:r>
        <w:rPr>
          <w:rFonts w:hint="eastAsia" w:ascii="宋体" w:hAnsi="宋体"/>
          <w:color w:val="000000" w:themeColor="text1"/>
          <w:sz w:val="24"/>
          <w:szCs w:val="24"/>
        </w:rPr>
        <w:t>投标单位：</w:t>
      </w:r>
    </w:p>
    <w:p>
      <w:pPr>
        <w:pStyle w:val="159"/>
        <w:spacing w:line="273" w:lineRule="auto"/>
        <w:jc w:val="right"/>
        <w:rPr>
          <w:rFonts w:hAnsi="宋体"/>
          <w:color w:val="000000" w:themeColor="text1"/>
          <w:sz w:val="24"/>
          <w:szCs w:val="24"/>
        </w:rPr>
      </w:pPr>
      <w:r>
        <w:rPr>
          <w:rFonts w:hint="eastAsia" w:hAnsi="宋体"/>
          <w:color w:val="000000" w:themeColor="text1"/>
          <w:sz w:val="24"/>
          <w:szCs w:val="24"/>
        </w:rPr>
        <w:t>法定代表人或授权委托人：（签字或盖章）</w:t>
      </w:r>
    </w:p>
    <w:p>
      <w:pPr>
        <w:pStyle w:val="7"/>
        <w:overflowPunct w:val="0"/>
        <w:spacing w:line="273" w:lineRule="auto"/>
        <w:jc w:val="right"/>
        <w:rPr>
          <w:rFonts w:ascii="宋体" w:hAnsi="宋体"/>
          <w:color w:val="000000" w:themeColor="text1"/>
          <w:sz w:val="24"/>
          <w:szCs w:val="24"/>
        </w:rPr>
      </w:pPr>
      <w:r>
        <w:rPr>
          <w:rFonts w:hint="eastAsia" w:ascii="宋体" w:hAnsi="宋体"/>
          <w:color w:val="000000" w:themeColor="text1"/>
          <w:sz w:val="24"/>
          <w:szCs w:val="24"/>
        </w:rPr>
        <w:t>日期：    年  月  日</w:t>
      </w:r>
    </w:p>
    <w:p>
      <w:pPr>
        <w:wordWrap w:val="0"/>
        <w:spacing w:line="480" w:lineRule="auto"/>
        <w:jc w:val="right"/>
        <w:rPr>
          <w:rFonts w:ascii="宋体" w:hAnsi="宋体"/>
          <w:color w:val="000000" w:themeColor="text1"/>
        </w:rPr>
      </w:pPr>
    </w:p>
    <w:p>
      <w:pPr>
        <w:snapToGrid w:val="0"/>
        <w:spacing w:before="50" w:after="50"/>
        <w:rPr>
          <w:rFonts w:ascii="黑体" w:hAnsi="黑体" w:eastAsia="黑体"/>
          <w:color w:val="000000" w:themeColor="text1"/>
          <w:sz w:val="32"/>
          <w:szCs w:val="32"/>
        </w:rPr>
      </w:pPr>
    </w:p>
    <w:p>
      <w:pPr>
        <w:snapToGrid w:val="0"/>
        <w:spacing w:before="50" w:after="50"/>
        <w:rPr>
          <w:rFonts w:ascii="宋体" w:hAnsi="宋体"/>
          <w:color w:val="000000" w:themeColor="text1"/>
          <w:sz w:val="24"/>
          <w:szCs w:val="24"/>
        </w:rPr>
      </w:pPr>
    </w:p>
    <w:p>
      <w:pPr>
        <w:spacing w:line="360" w:lineRule="auto"/>
        <w:jc w:val="center"/>
        <w:rPr>
          <w:b/>
          <w:color w:val="000000" w:themeColor="text1"/>
          <w:sz w:val="30"/>
          <w:szCs w:val="30"/>
        </w:rPr>
      </w:pPr>
      <w:r>
        <w:rPr>
          <w:rFonts w:hint="eastAsia" w:ascii="宋体" w:hAnsi="宋体"/>
          <w:b/>
          <w:color w:val="000000" w:themeColor="text1"/>
          <w:sz w:val="30"/>
          <w:szCs w:val="30"/>
        </w:rPr>
        <w:t>八、主要管理人员表（表格可拓展）</w:t>
      </w:r>
    </w:p>
    <w:p>
      <w:pPr>
        <w:spacing w:line="360" w:lineRule="auto"/>
        <w:jc w:val="center"/>
        <w:rPr>
          <w:b/>
          <w:color w:val="000000" w:themeColor="text1"/>
          <w:sz w:val="30"/>
          <w:szCs w:val="30"/>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839"/>
        <w:gridCol w:w="1332"/>
        <w:gridCol w:w="980"/>
        <w:gridCol w:w="939"/>
        <w:gridCol w:w="997"/>
        <w:gridCol w:w="88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000000" w:themeColor="text1"/>
              </w:rPr>
            </w:pPr>
            <w:r>
              <w:rPr>
                <w:rFonts w:hint="eastAsia" w:ascii="宋体" w:hAnsi="宋体"/>
                <w:color w:val="000000" w:themeColor="text1"/>
              </w:rPr>
              <w:t>序号</w:t>
            </w:r>
          </w:p>
        </w:tc>
        <w:tc>
          <w:tcPr>
            <w:tcW w:w="1839" w:type="dxa"/>
            <w:tcBorders>
              <w:top w:val="single" w:color="auto" w:sz="4" w:space="0"/>
              <w:left w:val="nil"/>
              <w:bottom w:val="single" w:color="auto" w:sz="4" w:space="0"/>
              <w:right w:val="single" w:color="auto" w:sz="4" w:space="0"/>
            </w:tcBorders>
            <w:noWrap/>
            <w:vAlign w:val="center"/>
          </w:tcPr>
          <w:p>
            <w:pPr>
              <w:spacing w:line="360" w:lineRule="auto"/>
              <w:jc w:val="center"/>
              <w:rPr>
                <w:color w:val="000000" w:themeColor="text1"/>
              </w:rPr>
            </w:pPr>
            <w:r>
              <w:rPr>
                <w:rFonts w:hint="eastAsia" w:ascii="宋体" w:hAnsi="宋体"/>
                <w:color w:val="000000" w:themeColor="text1"/>
              </w:rPr>
              <w:t>岗位</w:t>
            </w:r>
          </w:p>
        </w:tc>
        <w:tc>
          <w:tcPr>
            <w:tcW w:w="1332" w:type="dxa"/>
            <w:tcBorders>
              <w:top w:val="single" w:color="auto" w:sz="4" w:space="0"/>
              <w:left w:val="nil"/>
              <w:bottom w:val="single" w:color="auto" w:sz="4" w:space="0"/>
              <w:right w:val="single" w:color="auto" w:sz="4" w:space="0"/>
            </w:tcBorders>
            <w:noWrap/>
            <w:vAlign w:val="center"/>
          </w:tcPr>
          <w:p>
            <w:pPr>
              <w:spacing w:line="360" w:lineRule="auto"/>
              <w:jc w:val="center"/>
              <w:rPr>
                <w:color w:val="000000" w:themeColor="text1"/>
              </w:rPr>
            </w:pPr>
            <w:r>
              <w:rPr>
                <w:rFonts w:hint="eastAsia" w:ascii="宋体" w:hAnsi="宋体"/>
                <w:color w:val="000000" w:themeColor="text1"/>
              </w:rPr>
              <w:t>姓名</w:t>
            </w:r>
          </w:p>
        </w:tc>
        <w:tc>
          <w:tcPr>
            <w:tcW w:w="980" w:type="dxa"/>
            <w:tcBorders>
              <w:top w:val="single" w:color="auto" w:sz="4" w:space="0"/>
              <w:left w:val="nil"/>
              <w:bottom w:val="single" w:color="auto" w:sz="4" w:space="0"/>
              <w:right w:val="single" w:color="auto" w:sz="4" w:space="0"/>
            </w:tcBorders>
            <w:noWrap/>
            <w:vAlign w:val="center"/>
          </w:tcPr>
          <w:p>
            <w:pPr>
              <w:spacing w:line="360" w:lineRule="auto"/>
              <w:jc w:val="center"/>
              <w:rPr>
                <w:color w:val="000000" w:themeColor="text1"/>
              </w:rPr>
            </w:pPr>
            <w:r>
              <w:rPr>
                <w:rFonts w:hint="eastAsia" w:ascii="宋体" w:hAnsi="宋体"/>
                <w:color w:val="000000" w:themeColor="text1"/>
              </w:rPr>
              <w:t>性别</w:t>
            </w:r>
          </w:p>
        </w:tc>
        <w:tc>
          <w:tcPr>
            <w:tcW w:w="939" w:type="dxa"/>
            <w:tcBorders>
              <w:top w:val="single" w:color="auto" w:sz="4" w:space="0"/>
              <w:left w:val="nil"/>
              <w:bottom w:val="single" w:color="auto" w:sz="4" w:space="0"/>
              <w:right w:val="single" w:color="auto" w:sz="4" w:space="0"/>
            </w:tcBorders>
            <w:noWrap/>
            <w:vAlign w:val="center"/>
          </w:tcPr>
          <w:p>
            <w:pPr>
              <w:spacing w:line="360" w:lineRule="auto"/>
              <w:jc w:val="center"/>
              <w:rPr>
                <w:color w:val="000000" w:themeColor="text1"/>
              </w:rPr>
            </w:pPr>
            <w:r>
              <w:rPr>
                <w:rFonts w:hint="eastAsia" w:ascii="宋体" w:hAnsi="宋体"/>
                <w:color w:val="000000" w:themeColor="text1"/>
              </w:rPr>
              <w:t>年龄</w:t>
            </w:r>
          </w:p>
        </w:tc>
        <w:tc>
          <w:tcPr>
            <w:tcW w:w="997" w:type="dxa"/>
            <w:tcBorders>
              <w:top w:val="single" w:color="auto" w:sz="4" w:space="0"/>
              <w:left w:val="nil"/>
              <w:bottom w:val="single" w:color="auto" w:sz="4" w:space="0"/>
              <w:right w:val="single" w:color="auto" w:sz="4" w:space="0"/>
            </w:tcBorders>
            <w:noWrap/>
            <w:vAlign w:val="center"/>
          </w:tcPr>
          <w:p>
            <w:pPr>
              <w:spacing w:line="360" w:lineRule="auto"/>
              <w:jc w:val="center"/>
              <w:rPr>
                <w:color w:val="000000" w:themeColor="text1"/>
              </w:rPr>
            </w:pPr>
            <w:r>
              <w:rPr>
                <w:rFonts w:hint="eastAsia" w:ascii="宋体" w:hAnsi="宋体"/>
                <w:color w:val="000000" w:themeColor="text1"/>
              </w:rPr>
              <w:t>学历</w:t>
            </w:r>
          </w:p>
        </w:tc>
        <w:tc>
          <w:tcPr>
            <w:tcW w:w="880"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color w:val="000000" w:themeColor="text1"/>
              </w:rPr>
            </w:pPr>
            <w:r>
              <w:rPr>
                <w:rFonts w:hint="eastAsia" w:ascii="宋体" w:hAnsi="宋体"/>
                <w:color w:val="000000" w:themeColor="text1"/>
              </w:rPr>
              <w:t>职称</w:t>
            </w:r>
          </w:p>
        </w:tc>
        <w:tc>
          <w:tcPr>
            <w:tcW w:w="910" w:type="dxa"/>
            <w:tcBorders>
              <w:top w:val="single" w:color="auto" w:sz="4" w:space="0"/>
              <w:left w:val="nil"/>
              <w:bottom w:val="single" w:color="auto" w:sz="4" w:space="0"/>
              <w:right w:val="single" w:color="auto" w:sz="4" w:space="0"/>
            </w:tcBorders>
            <w:noWrap/>
            <w:vAlign w:val="center"/>
          </w:tcPr>
          <w:p>
            <w:pPr>
              <w:spacing w:line="360" w:lineRule="auto"/>
              <w:jc w:val="center"/>
              <w:rPr>
                <w:color w:val="000000" w:themeColor="text1"/>
              </w:rPr>
            </w:pPr>
            <w:r>
              <w:rPr>
                <w:rFonts w:hint="eastAsia" w:ascii="宋体" w:hAnsi="宋体"/>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5" w:type="dxa"/>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rPr>
            </w:pPr>
          </w:p>
        </w:tc>
        <w:tc>
          <w:tcPr>
            <w:tcW w:w="1839" w:type="dxa"/>
            <w:tcBorders>
              <w:top w:val="single" w:color="auto" w:sz="4" w:space="0"/>
              <w:left w:val="nil"/>
              <w:bottom w:val="single" w:color="auto" w:sz="4" w:space="0"/>
              <w:right w:val="single" w:color="auto" w:sz="4" w:space="0"/>
            </w:tcBorders>
            <w:noWrap/>
          </w:tcPr>
          <w:p>
            <w:pPr>
              <w:spacing w:line="360" w:lineRule="auto"/>
              <w:rPr>
                <w:color w:val="000000" w:themeColor="text1"/>
              </w:rPr>
            </w:pPr>
          </w:p>
        </w:tc>
        <w:tc>
          <w:tcPr>
            <w:tcW w:w="1332" w:type="dxa"/>
            <w:tcBorders>
              <w:top w:val="single" w:color="auto" w:sz="4" w:space="0"/>
              <w:left w:val="nil"/>
              <w:bottom w:val="single" w:color="auto" w:sz="4" w:space="0"/>
              <w:right w:val="single" w:color="auto" w:sz="4" w:space="0"/>
            </w:tcBorders>
            <w:noWrap/>
          </w:tcPr>
          <w:p>
            <w:pPr>
              <w:spacing w:line="360" w:lineRule="auto"/>
              <w:rPr>
                <w:color w:val="000000" w:themeColor="text1"/>
              </w:rPr>
            </w:pPr>
          </w:p>
        </w:tc>
        <w:tc>
          <w:tcPr>
            <w:tcW w:w="980" w:type="dxa"/>
            <w:tcBorders>
              <w:top w:val="single" w:color="auto" w:sz="4" w:space="0"/>
              <w:left w:val="nil"/>
              <w:bottom w:val="single" w:color="auto" w:sz="4" w:space="0"/>
              <w:right w:val="single" w:color="auto" w:sz="4" w:space="0"/>
            </w:tcBorders>
            <w:noWrap/>
          </w:tcPr>
          <w:p>
            <w:pPr>
              <w:spacing w:line="360" w:lineRule="auto"/>
              <w:rPr>
                <w:color w:val="000000" w:themeColor="text1"/>
              </w:rPr>
            </w:pPr>
          </w:p>
        </w:tc>
        <w:tc>
          <w:tcPr>
            <w:tcW w:w="939" w:type="dxa"/>
            <w:tcBorders>
              <w:top w:val="single" w:color="auto" w:sz="4" w:space="0"/>
              <w:left w:val="nil"/>
              <w:bottom w:val="single" w:color="auto" w:sz="4" w:space="0"/>
              <w:right w:val="single" w:color="auto" w:sz="4" w:space="0"/>
            </w:tcBorders>
            <w:noWrap/>
            <w:vAlign w:val="center"/>
          </w:tcPr>
          <w:p>
            <w:pPr>
              <w:spacing w:line="360" w:lineRule="auto"/>
              <w:rPr>
                <w:color w:val="000000" w:themeColor="text1"/>
              </w:rPr>
            </w:pPr>
          </w:p>
        </w:tc>
        <w:tc>
          <w:tcPr>
            <w:tcW w:w="997" w:type="dxa"/>
            <w:tcBorders>
              <w:top w:val="single" w:color="auto" w:sz="4" w:space="0"/>
              <w:left w:val="nil"/>
              <w:bottom w:val="single" w:color="auto" w:sz="4" w:space="0"/>
              <w:right w:val="single" w:color="auto" w:sz="4" w:space="0"/>
            </w:tcBorders>
            <w:noWrap/>
            <w:vAlign w:val="center"/>
          </w:tcPr>
          <w:p>
            <w:pPr>
              <w:spacing w:line="360" w:lineRule="auto"/>
              <w:rPr>
                <w:color w:val="000000" w:themeColor="text1"/>
              </w:rPr>
            </w:pPr>
          </w:p>
        </w:tc>
        <w:tc>
          <w:tcPr>
            <w:tcW w:w="880" w:type="dxa"/>
            <w:tcBorders>
              <w:top w:val="single" w:color="auto" w:sz="4" w:space="0"/>
              <w:left w:val="nil"/>
              <w:bottom w:val="single" w:color="auto" w:sz="4" w:space="0"/>
              <w:right w:val="single" w:color="auto" w:sz="4" w:space="0"/>
            </w:tcBorders>
            <w:noWrap/>
            <w:vAlign w:val="center"/>
          </w:tcPr>
          <w:p>
            <w:pPr>
              <w:spacing w:line="360" w:lineRule="auto"/>
              <w:jc w:val="center"/>
              <w:rPr>
                <w:color w:val="000000" w:themeColor="text1"/>
              </w:rPr>
            </w:pPr>
          </w:p>
        </w:tc>
        <w:tc>
          <w:tcPr>
            <w:tcW w:w="910" w:type="dxa"/>
            <w:tcBorders>
              <w:top w:val="single" w:color="auto" w:sz="4" w:space="0"/>
              <w:left w:val="nil"/>
              <w:bottom w:val="single" w:color="auto" w:sz="4" w:space="0"/>
              <w:right w:val="single" w:color="auto" w:sz="4" w:space="0"/>
            </w:tcBorders>
            <w:noWrap/>
            <w:vAlign w:val="center"/>
          </w:tcPr>
          <w:p>
            <w:pPr>
              <w:spacing w:line="360" w:lineRule="auto"/>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5" w:hRule="atLeast"/>
          <w:jc w:val="center"/>
        </w:trPr>
        <w:tc>
          <w:tcPr>
            <w:tcW w:w="645" w:type="dxa"/>
            <w:vMerge w:val="continue"/>
            <w:tcBorders>
              <w:top w:val="nil"/>
              <w:left w:val="single" w:color="auto" w:sz="4" w:space="0"/>
              <w:bottom w:val="single" w:color="auto" w:sz="4" w:space="0"/>
              <w:right w:val="single" w:color="auto" w:sz="4" w:space="0"/>
            </w:tcBorders>
            <w:noWrap/>
            <w:vAlign w:val="center"/>
          </w:tcPr>
          <w:p>
            <w:pPr>
              <w:jc w:val="left"/>
              <w:rPr>
                <w:rFonts w:ascii="宋体" w:hAnsi="宋体"/>
                <w:color w:val="000000" w:themeColor="text1"/>
              </w:rPr>
            </w:pPr>
          </w:p>
        </w:tc>
        <w:tc>
          <w:tcPr>
            <w:tcW w:w="7877" w:type="dxa"/>
            <w:gridSpan w:val="7"/>
            <w:tcBorders>
              <w:top w:val="single" w:color="auto" w:sz="4" w:space="0"/>
              <w:left w:val="nil"/>
              <w:bottom w:val="single" w:color="auto" w:sz="4" w:space="0"/>
              <w:right w:val="single" w:color="auto" w:sz="4" w:space="0"/>
            </w:tcBorders>
            <w:noWrap/>
          </w:tcPr>
          <w:p>
            <w:pPr>
              <w:spacing w:line="360" w:lineRule="auto"/>
              <w:rPr>
                <w:color w:val="000000" w:themeColor="text1"/>
              </w:rPr>
            </w:pPr>
            <w:r>
              <w:rPr>
                <w:rFonts w:hint="eastAsia" w:ascii="宋体" w:hAnsi="宋体"/>
                <w:color w:val="000000" w:themeColor="text1"/>
              </w:rPr>
              <w:t>主要工作履历：</w:t>
            </w:r>
          </w:p>
        </w:tc>
      </w:tr>
    </w:tbl>
    <w:p>
      <w:pPr>
        <w:spacing w:line="360" w:lineRule="auto"/>
        <w:rPr>
          <w:rFonts w:ascii="宋体" w:hAnsi="宋体"/>
          <w:color w:val="000000" w:themeColor="text1"/>
        </w:rPr>
      </w:pPr>
    </w:p>
    <w:p>
      <w:pPr>
        <w:spacing w:line="360" w:lineRule="auto"/>
        <w:rPr>
          <w:rFonts w:ascii="宋体" w:hAnsi="宋体"/>
          <w:color w:val="000000" w:themeColor="text1"/>
        </w:rPr>
      </w:pPr>
      <w:r>
        <w:rPr>
          <w:rFonts w:hint="eastAsia" w:ascii="宋体" w:hAnsi="宋体"/>
          <w:color w:val="000000" w:themeColor="text1"/>
        </w:rPr>
        <w:t>投标人法定代表或其授权人：（签字或盖章）</w:t>
      </w:r>
    </w:p>
    <w:p>
      <w:pPr>
        <w:pStyle w:val="138"/>
        <w:jc w:val="center"/>
        <w:outlineLvl w:val="0"/>
        <w:rPr>
          <w:rStyle w:val="43"/>
          <w:rFonts w:ascii="宋体" w:hAnsi="宋体" w:cs="宋体"/>
          <w:b/>
          <w:color w:val="000000" w:themeColor="text1"/>
          <w:sz w:val="32"/>
          <w:szCs w:val="32"/>
        </w:rPr>
      </w:pPr>
      <w:r>
        <w:rPr>
          <w:rFonts w:hint="eastAsia" w:ascii="宋体" w:hAnsi="宋体"/>
          <w:b/>
          <w:color w:val="000000" w:themeColor="text1"/>
          <w:sz w:val="30"/>
          <w:szCs w:val="30"/>
        </w:rPr>
        <w:br w:type="page"/>
      </w:r>
      <w:r>
        <w:rPr>
          <w:rFonts w:hint="eastAsia" w:ascii="宋体" w:hAnsi="宋体"/>
          <w:b/>
          <w:color w:val="000000" w:themeColor="text1"/>
          <w:sz w:val="30"/>
          <w:szCs w:val="30"/>
        </w:rPr>
        <w:t>九、</w:t>
      </w:r>
      <w:r>
        <w:rPr>
          <w:rStyle w:val="43"/>
          <w:rFonts w:hint="eastAsia" w:ascii="宋体" w:hAnsi="宋体" w:cs="宋体"/>
          <w:b/>
          <w:color w:val="000000" w:themeColor="text1"/>
          <w:sz w:val="32"/>
          <w:szCs w:val="32"/>
        </w:rPr>
        <w:t>技术方案、服务承诺等</w:t>
      </w: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r>
        <w:rPr>
          <w:rFonts w:hint="eastAsia" w:ascii="宋体" w:hAnsi="宋体"/>
          <w:b/>
          <w:color w:val="000000" w:themeColor="text1"/>
          <w:sz w:val="30"/>
          <w:szCs w:val="30"/>
        </w:rPr>
        <w:t>十、招标文件中规定要求提供的证明材料和投标人认为需要提供的其他材料</w:t>
      </w: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p>
    <w:p>
      <w:pPr>
        <w:pStyle w:val="138"/>
        <w:jc w:val="center"/>
        <w:outlineLvl w:val="0"/>
        <w:rPr>
          <w:rStyle w:val="43"/>
          <w:rFonts w:ascii="宋体" w:hAnsi="宋体" w:cs="宋体"/>
          <w:b/>
          <w:color w:val="000000" w:themeColor="text1"/>
          <w:sz w:val="32"/>
          <w:szCs w:val="32"/>
        </w:rPr>
      </w:pPr>
      <w:r>
        <w:rPr>
          <w:rStyle w:val="43"/>
          <w:rFonts w:hint="eastAsia" w:ascii="宋体" w:hAnsi="宋体" w:cs="宋体"/>
          <w:b/>
          <w:color w:val="000000" w:themeColor="text1"/>
          <w:sz w:val="32"/>
          <w:szCs w:val="32"/>
        </w:rPr>
        <w:t>十</w:t>
      </w:r>
      <w:r>
        <w:rPr>
          <w:rFonts w:hint="eastAsia" w:ascii="宋体" w:hAnsi="宋体"/>
          <w:b/>
          <w:color w:val="000000" w:themeColor="text1"/>
          <w:sz w:val="30"/>
          <w:szCs w:val="30"/>
        </w:rPr>
        <w:t>一</w:t>
      </w:r>
      <w:r>
        <w:rPr>
          <w:rStyle w:val="43"/>
          <w:rFonts w:hint="eastAsia" w:ascii="宋体" w:hAnsi="宋体" w:cs="宋体"/>
          <w:b/>
          <w:color w:val="000000" w:themeColor="text1"/>
          <w:sz w:val="32"/>
          <w:szCs w:val="32"/>
        </w:rPr>
        <w:t>、盐城市政府采购事前信用承诺书</w:t>
      </w:r>
      <w:bookmarkEnd w:id="18"/>
    </w:p>
    <w:p>
      <w:pPr>
        <w:spacing w:line="500" w:lineRule="exact"/>
        <w:ind w:firstLine="480" w:firstLineChars="200"/>
        <w:jc w:val="left"/>
        <w:rPr>
          <w:rStyle w:val="43"/>
          <w:rFonts w:ascii="宋体" w:hAnsi="宋体" w:cs="宋体"/>
          <w:color w:val="000000" w:themeColor="text1"/>
          <w:sz w:val="24"/>
        </w:rPr>
      </w:pPr>
      <w:r>
        <w:rPr>
          <w:rStyle w:val="43"/>
          <w:rFonts w:hint="eastAsia" w:ascii="宋体" w:hAnsi="宋体" w:cs="宋体"/>
          <w:color w:val="000000" w:themeColor="text1"/>
          <w:sz w:val="24"/>
        </w:rPr>
        <w:t>为营造我市公开、公平、公正、诚实守信的政府采购交易环境，树立诚信守法的投标人形象，本人代表本单位作出以下承诺：</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3"/>
          <w:rFonts w:ascii="宋体" w:hAnsi="宋体" w:cs="宋体"/>
          <w:color w:val="000000" w:themeColor="text1"/>
          <w:sz w:val="24"/>
        </w:rPr>
      </w:pPr>
      <w:r>
        <w:rPr>
          <w:rStyle w:val="43"/>
          <w:rFonts w:hint="eastAsia" w:ascii="宋体" w:hAnsi="宋体" w:cs="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xml:space="preserve">   （三）严格依照国家和省、市关于政府采购的法律、法规、规章、规范性文件，参加政府采购投标活动；积极履行社会责任，促进廉政建设； </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（四）严格遵守即时信息公示规定，及时维护和更新维护和更新盐城市政府采购网中与本单位相关的信息；</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（六）自觉接受政府、行业组织、社会公众、新闻舆论的监督；</w:t>
      </w:r>
    </w:p>
    <w:p>
      <w:pPr>
        <w:spacing w:line="500" w:lineRule="exact"/>
        <w:ind w:firstLine="480" w:firstLineChars="200"/>
        <w:jc w:val="left"/>
        <w:rPr>
          <w:rStyle w:val="43"/>
          <w:rFonts w:ascii="宋体" w:hAnsi="宋体" w:cs="宋体"/>
          <w:color w:val="000000" w:themeColor="text1"/>
          <w:sz w:val="24"/>
        </w:rPr>
      </w:pPr>
      <w:r>
        <w:rPr>
          <w:rStyle w:val="43"/>
          <w:rFonts w:hint="eastAsia" w:ascii="宋体" w:hAnsi="宋体" w:cs="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（八）本人已认真阅读了上述承诺，并向本单位员工作了宣传教育。</w:t>
      </w:r>
    </w:p>
    <w:p>
      <w:pPr>
        <w:spacing w:line="500" w:lineRule="exact"/>
        <w:jc w:val="left"/>
        <w:rPr>
          <w:rStyle w:val="43"/>
          <w:rFonts w:ascii="宋体" w:hAnsi="宋体" w:cs="宋体"/>
          <w:color w:val="000000" w:themeColor="text1"/>
          <w:sz w:val="24"/>
        </w:rPr>
      </w:pPr>
    </w:p>
    <w:p>
      <w:pPr>
        <w:spacing w:line="500" w:lineRule="exact"/>
        <w:jc w:val="center"/>
        <w:rPr>
          <w:rStyle w:val="43"/>
          <w:rFonts w:ascii="宋体" w:hAnsi="宋体" w:cs="宋体"/>
          <w:color w:val="000000" w:themeColor="text1"/>
          <w:sz w:val="24"/>
        </w:rPr>
      </w:pPr>
      <w:r>
        <w:rPr>
          <w:rStyle w:val="43"/>
          <w:rFonts w:hint="eastAsia" w:ascii="宋体" w:hAnsi="宋体" w:cs="宋体"/>
          <w:color w:val="000000" w:themeColor="text1"/>
          <w:sz w:val="24"/>
        </w:rPr>
        <w:t xml:space="preserve">                 法定代表人签名：</w:t>
      </w:r>
    </w:p>
    <w:p>
      <w:pPr>
        <w:spacing w:line="500" w:lineRule="exact"/>
        <w:jc w:val="center"/>
        <w:rPr>
          <w:rStyle w:val="43"/>
          <w:rFonts w:ascii="宋体" w:hAnsi="宋体" w:cs="宋体"/>
          <w:color w:val="000000" w:themeColor="text1"/>
          <w:sz w:val="24"/>
        </w:rPr>
      </w:pPr>
      <w:r>
        <w:rPr>
          <w:rStyle w:val="43"/>
          <w:rFonts w:hint="eastAsia" w:ascii="宋体" w:hAnsi="宋体" w:cs="宋体"/>
          <w:color w:val="000000" w:themeColor="text1"/>
          <w:sz w:val="24"/>
        </w:rPr>
        <w:t xml:space="preserve">                   单位名称（盖章）：</w:t>
      </w:r>
    </w:p>
    <w:p>
      <w:pPr>
        <w:spacing w:line="500" w:lineRule="exact"/>
        <w:jc w:val="center"/>
        <w:rPr>
          <w:rStyle w:val="43"/>
          <w:rFonts w:ascii="宋体" w:hAnsi="宋体" w:cs="宋体"/>
          <w:color w:val="000000" w:themeColor="text1"/>
          <w:sz w:val="24"/>
        </w:rPr>
      </w:pPr>
      <w:r>
        <w:rPr>
          <w:rStyle w:val="43"/>
          <w:rFonts w:hint="eastAsia" w:ascii="宋体" w:hAnsi="宋体" w:cs="宋体"/>
          <w:color w:val="000000" w:themeColor="text1"/>
          <w:sz w:val="24"/>
        </w:rPr>
        <w:t xml:space="preserve">                      年    月    日</w:t>
      </w:r>
    </w:p>
    <w:p>
      <w:pPr>
        <w:pStyle w:val="138"/>
        <w:jc w:val="both"/>
        <w:rPr>
          <w:rStyle w:val="43"/>
          <w:rFonts w:ascii="宋体" w:hAnsi="宋体" w:cs="宋体"/>
          <w:color w:val="000000" w:themeColor="text1"/>
        </w:rPr>
      </w:pPr>
    </w:p>
    <w:sectPr>
      <w:headerReference r:id="rId9" w:type="default"/>
      <w:footerReference r:id="rId10"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4098" o:spid="_x0000_s4098"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33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pict>
        <v:shape id="_x0000_s4097" o:spid="_x0000_s4097"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52</w:t>
                </w:r>
                <w:r>
                  <w:fldChar w:fldCharType="end"/>
                </w:r>
              </w:p>
            </w:txbxContent>
          </v:textbox>
        </v:shape>
      </w:pic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w:t>
    </w:r>
    <w:r>
      <w:t xml:space="preserve"> 51 -</w:t>
    </w:r>
    <w:r>
      <w:rPr>
        <w:lang w:val="zh-CN"/>
      </w:rP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3"/>
      </w:rPr>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56</w:t>
                </w:r>
                <w:r>
                  <w:fldChar w:fldCharType="end"/>
                </w:r>
              </w:p>
            </w:txbxContent>
          </v:textbox>
        </v:shape>
      </w:pict>
    </w:r>
  </w:p>
  <w:p>
    <w:pPr>
      <w:pStyle w:val="18"/>
      <w:rPr>
        <w:rStyle w:val="4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025W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隶书" w:hAnsi="隶书" w:eastAsia="隶书" w:cs="隶书"/>
        <w:sz w:val="24"/>
        <w:szCs w:val="24"/>
      </w:rPr>
      <w:t>2022-</w:t>
    </w:r>
    <w:r>
      <w:rPr>
        <w:rFonts w:hint="eastAsia" w:ascii="隶书" w:hAnsi="隶书" w:eastAsia="隶书" w:cs="隶书"/>
        <w:sz w:val="24"/>
        <w:szCs w:val="24"/>
        <w:lang w:eastAsia="zh-CN"/>
      </w:rPr>
      <w:t>025W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ascii="Times New Roman" w:hAnsi="Times New Roman" w:eastAsia="隶书" w:cs="Times New Roman"/>
        <w:color w:val="FF0000"/>
        <w:spacing w:val="40"/>
        <w:kern w:val="2"/>
        <w:sz w:val="21"/>
      </w:rPr>
      <w:t>202</w:t>
    </w:r>
    <w:r>
      <w:rPr>
        <w:rFonts w:hint="eastAsia" w:ascii="Times New Roman" w:hAnsi="Times New Roman" w:eastAsia="隶书" w:cs="Times New Roman"/>
        <w:color w:val="FF0000"/>
        <w:spacing w:val="40"/>
        <w:kern w:val="2"/>
        <w:sz w:val="21"/>
      </w:rPr>
      <w:t>2</w:t>
    </w:r>
    <w:r>
      <w:rPr>
        <w:rFonts w:ascii="Times New Roman" w:hAnsi="Times New Roman" w:eastAsia="隶书" w:cs="Times New Roman"/>
        <w:color w:val="FF0000"/>
        <w:spacing w:val="40"/>
        <w:kern w:val="2"/>
        <w:sz w:val="21"/>
      </w:rPr>
      <w:t>-</w:t>
    </w:r>
    <w:r>
      <w:rPr>
        <w:rFonts w:hint="eastAsia" w:ascii="Times New Roman" w:hAnsi="Times New Roman" w:eastAsia="隶书" w:cs="Times New Roman"/>
        <w:color w:val="FF0000"/>
        <w:spacing w:val="40"/>
        <w:kern w:val="2"/>
        <w:sz w:val="21"/>
        <w:lang w:eastAsia="zh-CN"/>
      </w:rPr>
      <w:t>025W</w:t>
    </w:r>
    <w:r>
      <w:rPr>
        <w:rFonts w:hint="eastAsia" w:ascii="Times New Roman" w:hAnsi="隶书" w:eastAsia="隶书" w:cs="隶书"/>
        <w:color w:val="000000"/>
        <w:spacing w:val="40"/>
        <w:kern w:val="2"/>
        <w:sz w:val="21"/>
      </w:rPr>
      <w:t>招标文件</w:t>
    </w:r>
  </w:p>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pBdr>
        <w:bottom w:val="single" w:color="000000" w:sz="6" w:space="1"/>
      </w:pBdr>
      <w:tabs>
        <w:tab w:val="center" w:pos="4153"/>
        <w:tab w:val="right" w:pos="8306"/>
      </w:tabs>
      <w:snapToGrid w:val="0"/>
      <w:spacing w:before="0" w:after="0"/>
      <w:jc w:val="center"/>
      <w:rPr>
        <w:rStyle w:val="43"/>
        <w:rFonts w:eastAsia="隶书"/>
        <w:color w:val="FF0000"/>
        <w:spacing w:val="40"/>
        <w:sz w:val="21"/>
        <w:szCs w:val="21"/>
      </w:rPr>
    </w:pPr>
    <w:r>
      <w:rPr>
        <w:rStyle w:val="43"/>
        <w:rFonts w:hint="eastAsia" w:ascii="Times New Roman" w:hAnsi="Times New Roman" w:eastAsia="隶书"/>
        <w:spacing w:val="40"/>
        <w:kern w:val="2"/>
        <w:sz w:val="21"/>
        <w:szCs w:val="21"/>
      </w:rPr>
      <w:t>2022-</w:t>
    </w:r>
    <w:r>
      <w:rPr>
        <w:rStyle w:val="43"/>
        <w:rFonts w:hint="eastAsia" w:ascii="Times New Roman" w:hAnsi="Times New Roman" w:eastAsia="隶书"/>
        <w:spacing w:val="40"/>
        <w:kern w:val="2"/>
        <w:sz w:val="21"/>
        <w:szCs w:val="21"/>
        <w:lang w:eastAsia="zh-CN"/>
      </w:rPr>
      <w:t>025W</w:t>
    </w:r>
    <w:r>
      <w:rPr>
        <w:rStyle w:val="43"/>
        <w:rFonts w:ascii="Times New Roman" w:hAnsi="隶书" w:eastAsia="隶书"/>
        <w:spacing w:val="40"/>
        <w:kern w:val="2"/>
        <w:sz w:val="21"/>
        <w:szCs w:val="21"/>
      </w:rPr>
      <w:t>招</w:t>
    </w:r>
    <w:r>
      <w:rPr>
        <w:rStyle w:val="43"/>
        <w:rFonts w:ascii="Times New Roman" w:hAnsi="隶书" w:eastAsia="隶书"/>
        <w:color w:val="000000"/>
        <w:spacing w:val="40"/>
        <w:kern w:val="2"/>
        <w:sz w:val="21"/>
        <w:szCs w:val="21"/>
      </w:rPr>
      <w:t>标文件</w:t>
    </w:r>
  </w:p>
  <w:p>
    <w:pPr>
      <w:pStyle w:val="19"/>
      <w:pBdr>
        <w:bottom w:val="none" w:color="auto" w:sz="0" w:space="0"/>
      </w:pBdr>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1"/>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329E22CA"/>
    <w:multiLevelType w:val="multilevel"/>
    <w:tmpl w:val="329E22CA"/>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20C153B"/>
    <w:multiLevelType w:val="multilevel"/>
    <w:tmpl w:val="420C153B"/>
    <w:lvl w:ilvl="0" w:tentative="0">
      <w:start w:val="1"/>
      <w:numFmt w:val="decimal"/>
      <w:pStyle w:val="132"/>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9"/>
      <w:suff w:val="nothing"/>
      <w:lvlText w:val=""/>
      <w:lvlJc w:val="left"/>
      <w:pPr>
        <w:ind w:left="0" w:firstLine="0"/>
        <w:textAlignment w:val="baseline"/>
      </w:pPr>
    </w:lvl>
    <w:lvl w:ilvl="6" w:tentative="0">
      <w:start w:val="1"/>
      <w:numFmt w:val="decimal"/>
      <w:pStyle w:val="40"/>
      <w:suff w:val="nothing"/>
      <w:lvlText w:val=""/>
      <w:lvlJc w:val="left"/>
      <w:pPr>
        <w:ind w:left="0" w:firstLine="0"/>
        <w:textAlignment w:val="baseline"/>
      </w:pPr>
    </w:lvl>
    <w:lvl w:ilvl="7" w:tentative="0">
      <w:start w:val="1"/>
      <w:numFmt w:val="decimal"/>
      <w:pStyle w:val="41"/>
      <w:suff w:val="nothing"/>
      <w:lvlText w:val=""/>
      <w:lvlJc w:val="left"/>
      <w:pPr>
        <w:ind w:left="0" w:firstLine="0"/>
        <w:textAlignment w:val="baseline"/>
      </w:pPr>
    </w:lvl>
    <w:lvl w:ilvl="8" w:tentative="0">
      <w:start w:val="1"/>
      <w:numFmt w:val="decimal"/>
      <w:pStyle w:val="42"/>
      <w:suff w:val="nothing"/>
      <w:lvlText w:val=""/>
      <w:lvlJc w:val="left"/>
      <w:pPr>
        <w:ind w:left="0" w:firstLine="0"/>
        <w:textAlignment w:val="baseline"/>
      </w:pPr>
    </w:lvl>
  </w:abstractNum>
  <w:num w:numId="1">
    <w:abstractNumId w:val="5"/>
  </w:num>
  <w:num w:numId="2">
    <w:abstractNumId w:val="1"/>
  </w:num>
  <w:num w:numId="3">
    <w:abstractNumId w:val="4"/>
  </w:num>
  <w:num w:numId="4">
    <w:abstractNumId w:val="0"/>
  </w:num>
  <w:num w:numId="5">
    <w:abstractNumId w:val="2"/>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mUyODY3ZThkZGFmMjgwMTc1YTZmZmFlMGJhMGY3ZGEifQ=="/>
  </w:docVars>
  <w:rsids>
    <w:rsidRoot w:val="00F868A9"/>
    <w:rsid w:val="00003AB1"/>
    <w:rsid w:val="000049C3"/>
    <w:rsid w:val="0009338F"/>
    <w:rsid w:val="00096964"/>
    <w:rsid w:val="000C4B53"/>
    <w:rsid w:val="000C7C47"/>
    <w:rsid w:val="001A2403"/>
    <w:rsid w:val="00217C7C"/>
    <w:rsid w:val="00223C79"/>
    <w:rsid w:val="00265DB1"/>
    <w:rsid w:val="002A07A1"/>
    <w:rsid w:val="002C41D3"/>
    <w:rsid w:val="002F7F02"/>
    <w:rsid w:val="003174CA"/>
    <w:rsid w:val="00360929"/>
    <w:rsid w:val="003A223F"/>
    <w:rsid w:val="003A63FB"/>
    <w:rsid w:val="003D4620"/>
    <w:rsid w:val="003F5412"/>
    <w:rsid w:val="0040453A"/>
    <w:rsid w:val="00426342"/>
    <w:rsid w:val="00461168"/>
    <w:rsid w:val="00467A1B"/>
    <w:rsid w:val="004779A7"/>
    <w:rsid w:val="00481C1D"/>
    <w:rsid w:val="004C48B9"/>
    <w:rsid w:val="004D2539"/>
    <w:rsid w:val="0058455C"/>
    <w:rsid w:val="005A77D9"/>
    <w:rsid w:val="005B06C2"/>
    <w:rsid w:val="00623144"/>
    <w:rsid w:val="0062666F"/>
    <w:rsid w:val="00637636"/>
    <w:rsid w:val="00685EB4"/>
    <w:rsid w:val="006C13AB"/>
    <w:rsid w:val="006F3CFC"/>
    <w:rsid w:val="00780C34"/>
    <w:rsid w:val="00782A7B"/>
    <w:rsid w:val="007C15C6"/>
    <w:rsid w:val="00811461"/>
    <w:rsid w:val="00860E15"/>
    <w:rsid w:val="008C14CD"/>
    <w:rsid w:val="008D617C"/>
    <w:rsid w:val="008E557B"/>
    <w:rsid w:val="00913371"/>
    <w:rsid w:val="0099141E"/>
    <w:rsid w:val="009C11B1"/>
    <w:rsid w:val="009C4DB6"/>
    <w:rsid w:val="009E4F01"/>
    <w:rsid w:val="00A5537D"/>
    <w:rsid w:val="00A6255B"/>
    <w:rsid w:val="00AE2884"/>
    <w:rsid w:val="00B402DF"/>
    <w:rsid w:val="00B719DD"/>
    <w:rsid w:val="00B8533E"/>
    <w:rsid w:val="00B9145E"/>
    <w:rsid w:val="00BF0000"/>
    <w:rsid w:val="00C05334"/>
    <w:rsid w:val="00C157C0"/>
    <w:rsid w:val="00C31CC3"/>
    <w:rsid w:val="00CC6812"/>
    <w:rsid w:val="00CC72B1"/>
    <w:rsid w:val="00D10297"/>
    <w:rsid w:val="00D105FB"/>
    <w:rsid w:val="00D75F94"/>
    <w:rsid w:val="00DC3116"/>
    <w:rsid w:val="00DD4825"/>
    <w:rsid w:val="00E17255"/>
    <w:rsid w:val="00E2126F"/>
    <w:rsid w:val="00E239AB"/>
    <w:rsid w:val="00E446F8"/>
    <w:rsid w:val="00E5393F"/>
    <w:rsid w:val="00EB03BE"/>
    <w:rsid w:val="00EC1238"/>
    <w:rsid w:val="00EE7B4C"/>
    <w:rsid w:val="00F33CD0"/>
    <w:rsid w:val="00F868A9"/>
    <w:rsid w:val="00FA774C"/>
    <w:rsid w:val="00FC22BF"/>
    <w:rsid w:val="00FD0CEF"/>
    <w:rsid w:val="00FF1275"/>
    <w:rsid w:val="02065DBA"/>
    <w:rsid w:val="043351F6"/>
    <w:rsid w:val="05726DA2"/>
    <w:rsid w:val="05C545B0"/>
    <w:rsid w:val="05E53B14"/>
    <w:rsid w:val="06AA3A95"/>
    <w:rsid w:val="077C4CBC"/>
    <w:rsid w:val="08FC324B"/>
    <w:rsid w:val="0A8B169E"/>
    <w:rsid w:val="0BA17C72"/>
    <w:rsid w:val="0C6F7A05"/>
    <w:rsid w:val="0CA470B4"/>
    <w:rsid w:val="0E261538"/>
    <w:rsid w:val="0F070291"/>
    <w:rsid w:val="0F5541A7"/>
    <w:rsid w:val="11C57083"/>
    <w:rsid w:val="1394626A"/>
    <w:rsid w:val="18041C24"/>
    <w:rsid w:val="1AA64BA2"/>
    <w:rsid w:val="1AE86F11"/>
    <w:rsid w:val="1C4A5552"/>
    <w:rsid w:val="1EBA0E38"/>
    <w:rsid w:val="1F2B6305"/>
    <w:rsid w:val="1F891A35"/>
    <w:rsid w:val="213B6DE3"/>
    <w:rsid w:val="216558E5"/>
    <w:rsid w:val="23B833C4"/>
    <w:rsid w:val="24B6415E"/>
    <w:rsid w:val="27C52CB5"/>
    <w:rsid w:val="284E1359"/>
    <w:rsid w:val="2EFB2475"/>
    <w:rsid w:val="2F5A1E9B"/>
    <w:rsid w:val="31176B77"/>
    <w:rsid w:val="363E0E9D"/>
    <w:rsid w:val="3744261E"/>
    <w:rsid w:val="37812267"/>
    <w:rsid w:val="3872122D"/>
    <w:rsid w:val="38CF3E86"/>
    <w:rsid w:val="39755785"/>
    <w:rsid w:val="3B5326F5"/>
    <w:rsid w:val="3CC453ED"/>
    <w:rsid w:val="3E0702BE"/>
    <w:rsid w:val="404E3DFB"/>
    <w:rsid w:val="42557B5A"/>
    <w:rsid w:val="434B2606"/>
    <w:rsid w:val="468F36CE"/>
    <w:rsid w:val="477544A9"/>
    <w:rsid w:val="495C2B29"/>
    <w:rsid w:val="4FEA69E5"/>
    <w:rsid w:val="50C60F94"/>
    <w:rsid w:val="5B8449F1"/>
    <w:rsid w:val="5BE32F40"/>
    <w:rsid w:val="5C01420A"/>
    <w:rsid w:val="5C172F4C"/>
    <w:rsid w:val="5C2B17E4"/>
    <w:rsid w:val="5E284F41"/>
    <w:rsid w:val="5FE8024D"/>
    <w:rsid w:val="60EF5D5C"/>
    <w:rsid w:val="620E4996"/>
    <w:rsid w:val="63E27DDC"/>
    <w:rsid w:val="6864445F"/>
    <w:rsid w:val="687674CE"/>
    <w:rsid w:val="689E2536"/>
    <w:rsid w:val="692A771C"/>
    <w:rsid w:val="6B08451F"/>
    <w:rsid w:val="6BB04F86"/>
    <w:rsid w:val="6C1F43D3"/>
    <w:rsid w:val="6EB62D31"/>
    <w:rsid w:val="73E906CA"/>
    <w:rsid w:val="74A5063C"/>
    <w:rsid w:val="752F59CE"/>
    <w:rsid w:val="756048F2"/>
    <w:rsid w:val="7B2D3BB7"/>
    <w:rsid w:val="7D02395E"/>
    <w:rsid w:val="7E961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7">
    <w:name w:val="Normal Indent"/>
    <w:basedOn w:val="1"/>
    <w:qFormat/>
    <w:uiPriority w:val="0"/>
    <w:pPr>
      <w:ind w:firstLine="420"/>
    </w:pPr>
  </w:style>
  <w:style w:type="paragraph" w:styleId="8">
    <w:name w:val="Body Text"/>
    <w:basedOn w:val="1"/>
    <w:next w:val="9"/>
    <w:qFormat/>
    <w:uiPriority w:val="1"/>
    <w:rPr>
      <w:sz w:val="28"/>
      <w:szCs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Calibri" w:hAnsi="Calibri" w:eastAsia="Calibri" w:cs="Calibri"/>
      <w:color w:val="000000"/>
      <w:kern w:val="2"/>
      <w:sz w:val="21"/>
      <w:szCs w:val="21"/>
      <w:lang w:val="en-US" w:eastAsia="zh-CN" w:bidi="ar-SA"/>
    </w:rPr>
  </w:style>
  <w:style w:type="paragraph" w:styleId="13">
    <w:name w:val="Body Text Indent"/>
    <w:basedOn w:val="1"/>
    <w:next w:val="14"/>
    <w:qFormat/>
    <w:uiPriority w:val="0"/>
    <w:pPr>
      <w:ind w:firstLine="645"/>
    </w:pPr>
    <w:rPr>
      <w:rFonts w:ascii="楷体_GB2312" w:eastAsia="楷体_GB2312"/>
      <w:sz w:val="32"/>
      <w:szCs w:val="32"/>
    </w:rPr>
  </w:style>
  <w:style w:type="paragraph" w:styleId="14">
    <w:name w:val="envelope return"/>
    <w:basedOn w:val="1"/>
    <w:qFormat/>
    <w:uiPriority w:val="0"/>
    <w:pPr>
      <w:snapToGrid w:val="0"/>
    </w:pPr>
    <w:rPr>
      <w:rFonts w:ascii="Arial" w:hAnsi="Arial"/>
    </w:rPr>
  </w:style>
  <w:style w:type="paragraph" w:styleId="15">
    <w:name w:val="Plain Text"/>
    <w:basedOn w:val="1"/>
    <w:qFormat/>
    <w:uiPriority w:val="0"/>
    <w:rPr>
      <w:rFonts w:ascii="宋体" w:hAnsi="Courier New"/>
    </w:rPr>
  </w:style>
  <w:style w:type="paragraph" w:styleId="16">
    <w:name w:val="Date"/>
    <w:basedOn w:val="1"/>
    <w:next w:val="1"/>
    <w:qFormat/>
    <w:uiPriority w:val="0"/>
    <w:rPr>
      <w:sz w:val="24"/>
      <w:szCs w:val="24"/>
    </w:rPr>
  </w:style>
  <w:style w:type="paragraph" w:styleId="17">
    <w:name w:val="Balloon Text"/>
    <w:basedOn w:val="1"/>
    <w:link w:val="148"/>
    <w:qFormat/>
    <w:uiPriority w:val="0"/>
    <w:rPr>
      <w:sz w:val="18"/>
      <w:szCs w:val="18"/>
    </w:rPr>
  </w:style>
  <w:style w:type="paragraph" w:styleId="18">
    <w:name w:val="footer"/>
    <w:basedOn w:val="1"/>
    <w:link w:val="72"/>
    <w:qFormat/>
    <w:uiPriority w:val="0"/>
    <w:pPr>
      <w:tabs>
        <w:tab w:val="center" w:pos="4153"/>
        <w:tab w:val="right" w:pos="8306"/>
      </w:tabs>
      <w:snapToGrid w:val="0"/>
      <w:jc w:val="left"/>
    </w:pPr>
    <w:rPr>
      <w:sz w:val="18"/>
      <w:szCs w:val="18"/>
    </w:rPr>
  </w:style>
  <w:style w:type="paragraph" w:styleId="19">
    <w:name w:val="header"/>
    <w:basedOn w:val="1"/>
    <w:link w:val="73"/>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3"/>
    <w:next w:val="1"/>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首行缩进"/>
    <w:basedOn w:val="1"/>
    <w:qFormat/>
    <w:uiPriority w:val="0"/>
    <w:pPr>
      <w:spacing w:line="360" w:lineRule="auto"/>
      <w:ind w:firstLine="480" w:firstLineChars="200"/>
    </w:pPr>
    <w:rPr>
      <w:rFonts w:ascii="宋体" w:hAnsi="宋体" w:cs="宋体"/>
      <w:kern w:val="0"/>
      <w:sz w:val="24"/>
      <w:szCs w:val="24"/>
    </w:rPr>
  </w:style>
  <w:style w:type="paragraph" w:customStyle="1" w:styleId="33">
    <w:name w:val="Heading1"/>
    <w:basedOn w:val="1"/>
    <w:next w:val="1"/>
    <w:link w:val="61"/>
    <w:qFormat/>
    <w:uiPriority w:val="0"/>
    <w:pPr>
      <w:keepNext/>
      <w:jc w:val="center"/>
    </w:pPr>
    <w:rPr>
      <w:rFonts w:ascii="楷体_GB2312" w:eastAsia="楷体_GB2312"/>
      <w:sz w:val="28"/>
      <w:szCs w:val="28"/>
    </w:rPr>
  </w:style>
  <w:style w:type="paragraph" w:customStyle="1" w:styleId="34">
    <w:name w:val="Heading2"/>
    <w:basedOn w:val="1"/>
    <w:next w:val="35"/>
    <w:qFormat/>
    <w:uiPriority w:val="0"/>
    <w:pPr>
      <w:keepNext/>
      <w:keepLines/>
      <w:spacing w:before="260" w:after="260" w:line="416" w:lineRule="auto"/>
      <w:jc w:val="center"/>
    </w:pPr>
    <w:rPr>
      <w:rFonts w:ascii="Arial" w:hAnsi="Arial" w:eastAsia="幼圆" w:cs="Arial"/>
      <w:b/>
      <w:bCs/>
      <w:sz w:val="44"/>
      <w:szCs w:val="44"/>
    </w:rPr>
  </w:style>
  <w:style w:type="paragraph" w:customStyle="1" w:styleId="35">
    <w:name w:val="NormalIndent"/>
    <w:basedOn w:val="1"/>
    <w:link w:val="63"/>
    <w:qFormat/>
    <w:uiPriority w:val="0"/>
    <w:pPr>
      <w:ind w:firstLine="420"/>
    </w:pPr>
  </w:style>
  <w:style w:type="paragraph" w:customStyle="1" w:styleId="36">
    <w:name w:val="Heading3"/>
    <w:basedOn w:val="1"/>
    <w:next w:val="35"/>
    <w:link w:val="64"/>
    <w:qFormat/>
    <w:uiPriority w:val="0"/>
    <w:pPr>
      <w:keepNext/>
      <w:keepLines/>
      <w:spacing w:before="260" w:after="260" w:line="416" w:lineRule="auto"/>
    </w:pPr>
    <w:rPr>
      <w:rFonts w:cs="Times New Roman"/>
      <w:b/>
      <w:bCs/>
      <w:sz w:val="32"/>
      <w:szCs w:val="32"/>
    </w:rPr>
  </w:style>
  <w:style w:type="paragraph" w:customStyle="1" w:styleId="37">
    <w:name w:val="Heading4"/>
    <w:basedOn w:val="1"/>
    <w:next w:val="1"/>
    <w:link w:val="65"/>
    <w:qFormat/>
    <w:uiPriority w:val="0"/>
    <w:pPr>
      <w:keepNext/>
      <w:keepLines/>
      <w:spacing w:before="280" w:after="290" w:line="376" w:lineRule="auto"/>
    </w:pPr>
    <w:rPr>
      <w:rFonts w:ascii="Cambria" w:hAnsi="Cambria"/>
      <w:b/>
      <w:sz w:val="28"/>
      <w:szCs w:val="28"/>
    </w:rPr>
  </w:style>
  <w:style w:type="paragraph" w:customStyle="1" w:styleId="38">
    <w:name w:val="Heading5"/>
    <w:basedOn w:val="1"/>
    <w:next w:val="1"/>
    <w:qFormat/>
    <w:uiPriority w:val="0"/>
    <w:pPr>
      <w:keepNext/>
    </w:pPr>
    <w:rPr>
      <w:rFonts w:ascii="宋体"/>
      <w:color w:val="000000"/>
      <w:kern w:val="0"/>
      <w:sz w:val="28"/>
      <w:szCs w:val="28"/>
    </w:rPr>
  </w:style>
  <w:style w:type="paragraph" w:customStyle="1" w:styleId="39">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0">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1">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2">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3">
    <w:name w:val="NormalCharacter"/>
    <w:semiHidden/>
    <w:qFormat/>
    <w:uiPriority w:val="0"/>
  </w:style>
  <w:style w:type="table" w:customStyle="1" w:styleId="44">
    <w:name w:val="TableNormal"/>
    <w:semiHidden/>
    <w:qFormat/>
    <w:uiPriority w:val="0"/>
    <w:tblPr>
      <w:tblCellMar>
        <w:top w:w="0" w:type="dxa"/>
        <w:left w:w="0" w:type="dxa"/>
        <w:bottom w:w="0" w:type="dxa"/>
        <w:right w:w="0" w:type="dxa"/>
      </w:tblCellMar>
    </w:tblPr>
  </w:style>
  <w:style w:type="character" w:customStyle="1" w:styleId="45">
    <w:name w:val="htmlSamp"/>
    <w:qFormat/>
    <w:uiPriority w:val="0"/>
    <w:rPr>
      <w:rFonts w:ascii="monospace" w:hAnsi="monospace" w:eastAsia="monospace"/>
    </w:rPr>
  </w:style>
  <w:style w:type="character" w:customStyle="1" w:styleId="46">
    <w:name w:val="PageNumber"/>
    <w:basedOn w:val="43"/>
    <w:qFormat/>
    <w:uiPriority w:val="0"/>
  </w:style>
  <w:style w:type="character" w:customStyle="1" w:styleId="47">
    <w:name w:val="HtmlVar"/>
    <w:qFormat/>
    <w:uiPriority w:val="0"/>
  </w:style>
  <w:style w:type="character" w:customStyle="1" w:styleId="48">
    <w:name w:val="HtmlKbd"/>
    <w:qFormat/>
    <w:uiPriority w:val="0"/>
    <w:rPr>
      <w:rFonts w:ascii="monospace" w:hAnsi="monospace" w:eastAsia="monospace"/>
      <w:sz w:val="20"/>
    </w:rPr>
  </w:style>
  <w:style w:type="character" w:customStyle="1" w:styleId="49">
    <w:name w:val="HtmlDfn"/>
    <w:qFormat/>
    <w:uiPriority w:val="0"/>
  </w:style>
  <w:style w:type="character" w:customStyle="1" w:styleId="50">
    <w:name w:val="HtmlCite"/>
    <w:qFormat/>
    <w:uiPriority w:val="0"/>
  </w:style>
  <w:style w:type="character" w:customStyle="1" w:styleId="51">
    <w:name w:val="HtmlAcronym"/>
    <w:basedOn w:val="43"/>
    <w:qFormat/>
    <w:uiPriority w:val="0"/>
  </w:style>
  <w:style w:type="character" w:customStyle="1" w:styleId="52">
    <w:name w:val="HtmlTt"/>
    <w:qFormat/>
    <w:uiPriority w:val="0"/>
    <w:rPr>
      <w:rFonts w:ascii="monospace" w:hAnsi="monospace" w:eastAsia="monospace"/>
      <w:sz w:val="20"/>
    </w:rPr>
  </w:style>
  <w:style w:type="character" w:customStyle="1" w:styleId="53">
    <w:name w:val="AnnotationReference"/>
    <w:semiHidden/>
    <w:qFormat/>
    <w:uiPriority w:val="0"/>
    <w:rPr>
      <w:sz w:val="21"/>
      <w:szCs w:val="21"/>
    </w:rPr>
  </w:style>
  <w:style w:type="character" w:customStyle="1" w:styleId="54">
    <w:name w:val="HtmlCode"/>
    <w:qFormat/>
    <w:uiPriority w:val="0"/>
    <w:rPr>
      <w:rFonts w:ascii="monospace" w:hAnsi="monospace" w:eastAsia="monospace"/>
      <w:sz w:val="20"/>
    </w:rPr>
  </w:style>
  <w:style w:type="character" w:customStyle="1" w:styleId="55">
    <w:name w:val="UserStyle_0"/>
    <w:link w:val="56"/>
    <w:qFormat/>
    <w:locked/>
    <w:uiPriority w:val="0"/>
    <w:rPr>
      <w:rFonts w:ascii="Calibri" w:hAnsi="Calibri"/>
      <w:sz w:val="24"/>
      <w:szCs w:val="24"/>
      <w:lang w:eastAsia="en-US" w:bidi="en-US"/>
    </w:rPr>
  </w:style>
  <w:style w:type="paragraph" w:customStyle="1" w:styleId="56">
    <w:name w:val="UserStyle_1"/>
    <w:basedOn w:val="1"/>
    <w:link w:val="55"/>
    <w:qFormat/>
    <w:uiPriority w:val="0"/>
    <w:pPr>
      <w:ind w:left="720"/>
      <w:contextualSpacing/>
      <w:jc w:val="left"/>
    </w:pPr>
    <w:rPr>
      <w:kern w:val="0"/>
      <w:sz w:val="24"/>
      <w:szCs w:val="24"/>
      <w:lang w:eastAsia="en-US" w:bidi="en-US"/>
    </w:rPr>
  </w:style>
  <w:style w:type="character" w:customStyle="1" w:styleId="57">
    <w:name w:val="UserStyle_2"/>
    <w:basedOn w:val="43"/>
    <w:qFormat/>
    <w:uiPriority w:val="0"/>
  </w:style>
  <w:style w:type="character" w:customStyle="1" w:styleId="58">
    <w:name w:val="UserStyle_3"/>
    <w:basedOn w:val="43"/>
    <w:qFormat/>
    <w:uiPriority w:val="0"/>
  </w:style>
  <w:style w:type="character" w:customStyle="1" w:styleId="59">
    <w:name w:val="UserStyle_4"/>
    <w:link w:val="60"/>
    <w:qFormat/>
    <w:uiPriority w:val="0"/>
    <w:rPr>
      <w:rFonts w:eastAsia="宋体"/>
      <w:kern w:val="2"/>
      <w:sz w:val="21"/>
      <w:szCs w:val="21"/>
      <w:lang w:val="en-US" w:eastAsia="zh-CN" w:bidi="ar-SA"/>
    </w:rPr>
  </w:style>
  <w:style w:type="paragraph" w:customStyle="1" w:styleId="60">
    <w:name w:val="NavPane"/>
    <w:basedOn w:val="1"/>
    <w:link w:val="59"/>
    <w:semiHidden/>
    <w:qFormat/>
    <w:uiPriority w:val="0"/>
    <w:pPr>
      <w:shd w:val="clear" w:color="auto" w:fill="000080"/>
    </w:pPr>
  </w:style>
  <w:style w:type="character" w:customStyle="1" w:styleId="61">
    <w:name w:val="UserStyle_5"/>
    <w:link w:val="33"/>
    <w:qFormat/>
    <w:uiPriority w:val="0"/>
    <w:rPr>
      <w:rFonts w:ascii="楷体_GB2312" w:eastAsia="楷体_GB2312"/>
      <w:kern w:val="2"/>
      <w:sz w:val="28"/>
      <w:szCs w:val="28"/>
    </w:rPr>
  </w:style>
  <w:style w:type="character" w:customStyle="1" w:styleId="62">
    <w:name w:val="UserStyle_6"/>
    <w:qFormat/>
    <w:uiPriority w:val="0"/>
    <w:rPr>
      <w:color w:val="999999"/>
    </w:rPr>
  </w:style>
  <w:style w:type="character" w:customStyle="1" w:styleId="63">
    <w:name w:val="UserStyle_7"/>
    <w:link w:val="35"/>
    <w:qFormat/>
    <w:uiPriority w:val="0"/>
    <w:rPr>
      <w:kern w:val="2"/>
      <w:sz w:val="21"/>
      <w:szCs w:val="21"/>
    </w:rPr>
  </w:style>
  <w:style w:type="character" w:customStyle="1" w:styleId="64">
    <w:name w:val="UserStyle_8"/>
    <w:link w:val="36"/>
    <w:qFormat/>
    <w:uiPriority w:val="0"/>
    <w:rPr>
      <w:rFonts w:eastAsia="宋体" w:cs="Times New Roman"/>
      <w:b/>
      <w:bCs/>
      <w:kern w:val="2"/>
      <w:sz w:val="32"/>
      <w:szCs w:val="32"/>
      <w:lang w:val="en-US" w:eastAsia="zh-CN" w:bidi="ar-SA"/>
    </w:rPr>
  </w:style>
  <w:style w:type="character" w:customStyle="1" w:styleId="65">
    <w:name w:val="UserStyle_9"/>
    <w:link w:val="37"/>
    <w:qFormat/>
    <w:uiPriority w:val="0"/>
    <w:rPr>
      <w:rFonts w:ascii="Cambria" w:hAnsi="Cambria" w:eastAsia="宋体"/>
      <w:b/>
      <w:kern w:val="2"/>
      <w:sz w:val="28"/>
      <w:szCs w:val="28"/>
    </w:rPr>
  </w:style>
  <w:style w:type="character" w:customStyle="1" w:styleId="66">
    <w:name w:val="UserStyle_10"/>
    <w:link w:val="67"/>
    <w:semiHidden/>
    <w:qFormat/>
    <w:uiPriority w:val="0"/>
    <w:rPr>
      <w:kern w:val="2"/>
      <w:sz w:val="21"/>
      <w:szCs w:val="21"/>
    </w:rPr>
  </w:style>
  <w:style w:type="paragraph" w:customStyle="1" w:styleId="67">
    <w:name w:val="AnnotationText"/>
    <w:basedOn w:val="1"/>
    <w:link w:val="66"/>
    <w:semiHidden/>
    <w:qFormat/>
    <w:uiPriority w:val="0"/>
    <w:pPr>
      <w:jc w:val="left"/>
    </w:pPr>
  </w:style>
  <w:style w:type="character" w:customStyle="1" w:styleId="68">
    <w:name w:val="UserStyle_11"/>
    <w:link w:val="69"/>
    <w:qFormat/>
    <w:uiPriority w:val="0"/>
    <w:rPr>
      <w:rFonts w:ascii="宋体" w:hAnsi="Courier New"/>
      <w:kern w:val="2"/>
      <w:sz w:val="21"/>
      <w:szCs w:val="21"/>
    </w:rPr>
  </w:style>
  <w:style w:type="paragraph" w:customStyle="1" w:styleId="69">
    <w:name w:val="PlainText"/>
    <w:basedOn w:val="1"/>
    <w:link w:val="68"/>
    <w:qFormat/>
    <w:uiPriority w:val="0"/>
    <w:rPr>
      <w:rFonts w:ascii="宋体" w:hAnsi="Courier New"/>
    </w:rPr>
  </w:style>
  <w:style w:type="character" w:customStyle="1" w:styleId="70">
    <w:name w:val="UserStyle_12"/>
    <w:link w:val="71"/>
    <w:semiHidden/>
    <w:qFormat/>
    <w:uiPriority w:val="0"/>
    <w:rPr>
      <w:kern w:val="2"/>
      <w:sz w:val="18"/>
      <w:szCs w:val="18"/>
    </w:rPr>
  </w:style>
  <w:style w:type="paragraph" w:customStyle="1" w:styleId="71">
    <w:name w:val="Acetate"/>
    <w:basedOn w:val="1"/>
    <w:link w:val="70"/>
    <w:semiHidden/>
    <w:qFormat/>
    <w:uiPriority w:val="0"/>
    <w:rPr>
      <w:sz w:val="18"/>
      <w:szCs w:val="18"/>
    </w:rPr>
  </w:style>
  <w:style w:type="character" w:customStyle="1" w:styleId="72">
    <w:name w:val="页脚 Char"/>
    <w:link w:val="18"/>
    <w:qFormat/>
    <w:uiPriority w:val="0"/>
    <w:rPr>
      <w:kern w:val="2"/>
      <w:sz w:val="18"/>
      <w:szCs w:val="18"/>
    </w:rPr>
  </w:style>
  <w:style w:type="character" w:customStyle="1" w:styleId="73">
    <w:name w:val="页眉 Char"/>
    <w:link w:val="19"/>
    <w:qFormat/>
    <w:uiPriority w:val="0"/>
    <w:rPr>
      <w:kern w:val="2"/>
      <w:sz w:val="18"/>
      <w:szCs w:val="18"/>
    </w:rPr>
  </w:style>
  <w:style w:type="character" w:customStyle="1" w:styleId="74">
    <w:name w:val="UserStyle_15"/>
    <w:qFormat/>
    <w:uiPriority w:val="0"/>
    <w:rPr>
      <w:rFonts w:ascii="宋体" w:hAnsi="宋体" w:eastAsia="宋体"/>
      <w:sz w:val="28"/>
      <w:szCs w:val="28"/>
      <w:lang w:val="en-US" w:eastAsia="zh-CN" w:bidi="ar-SA"/>
    </w:rPr>
  </w:style>
  <w:style w:type="character" w:customStyle="1" w:styleId="75">
    <w:name w:val="UserStyle_16"/>
    <w:basedOn w:val="43"/>
    <w:qFormat/>
    <w:uiPriority w:val="0"/>
    <w:rPr>
      <w:rFonts w:ascii="宋体" w:hAnsi="宋体" w:eastAsia="宋体"/>
      <w:color w:val="000000"/>
      <w:sz w:val="22"/>
      <w:szCs w:val="22"/>
    </w:rPr>
  </w:style>
  <w:style w:type="character" w:customStyle="1" w:styleId="76">
    <w:name w:val="UserStyle_17"/>
    <w:qFormat/>
    <w:uiPriority w:val="0"/>
    <w:rPr>
      <w:shd w:val="clear" w:color="auto" w:fill="EEEEEE"/>
    </w:rPr>
  </w:style>
  <w:style w:type="character" w:customStyle="1" w:styleId="77">
    <w:name w:val="UserStyle_18"/>
    <w:link w:val="78"/>
    <w:qFormat/>
    <w:uiPriority w:val="0"/>
    <w:rPr>
      <w:rFonts w:ascii="Tahoma" w:hAnsi="Tahoma" w:eastAsia="宋体"/>
      <w:kern w:val="2"/>
      <w:sz w:val="24"/>
      <w:szCs w:val="24"/>
      <w:lang w:val="en-US" w:eastAsia="zh-CN" w:bidi="ar-SA"/>
    </w:rPr>
  </w:style>
  <w:style w:type="paragraph" w:customStyle="1" w:styleId="78">
    <w:name w:val="UserStyle_19"/>
    <w:basedOn w:val="60"/>
    <w:link w:val="77"/>
    <w:qFormat/>
    <w:uiPriority w:val="0"/>
    <w:pPr>
      <w:snapToGrid w:val="0"/>
      <w:spacing w:line="360" w:lineRule="auto"/>
    </w:pPr>
    <w:rPr>
      <w:rFonts w:ascii="Tahoma" w:hAnsi="Tahoma"/>
      <w:sz w:val="24"/>
      <w:szCs w:val="24"/>
    </w:rPr>
  </w:style>
  <w:style w:type="character" w:customStyle="1" w:styleId="79">
    <w:name w:val="UserStyle_20"/>
    <w:qFormat/>
    <w:uiPriority w:val="0"/>
    <w:rPr>
      <w:rFonts w:eastAsia="宋体"/>
      <w:b/>
      <w:spacing w:val="-2"/>
      <w:sz w:val="24"/>
      <w:lang w:val="en-US" w:eastAsia="zh-CN" w:bidi="ar-SA"/>
    </w:rPr>
  </w:style>
  <w:style w:type="character" w:customStyle="1" w:styleId="80">
    <w:name w:val="UserStyle_21"/>
    <w:link w:val="81"/>
    <w:qFormat/>
    <w:uiPriority w:val="0"/>
    <w:rPr>
      <w:b/>
      <w:kern w:val="2"/>
      <w:sz w:val="30"/>
      <w:szCs w:val="28"/>
      <w:lang w:val="en-US" w:eastAsia="zh-CN" w:bidi="ar-SA"/>
    </w:rPr>
  </w:style>
  <w:style w:type="paragraph" w:customStyle="1" w:styleId="81">
    <w:name w:val="UserStyle_22"/>
    <w:next w:val="1"/>
    <w:link w:val="80"/>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2">
    <w:name w:val="UserStyle_23"/>
    <w:basedOn w:val="43"/>
    <w:qFormat/>
    <w:uiPriority w:val="0"/>
  </w:style>
  <w:style w:type="paragraph" w:customStyle="1" w:styleId="83">
    <w:name w:val="TOC4"/>
    <w:basedOn w:val="1"/>
    <w:next w:val="1"/>
    <w:semiHidden/>
    <w:qFormat/>
    <w:uiPriority w:val="0"/>
    <w:pPr>
      <w:ind w:left="630"/>
      <w:jc w:val="left"/>
    </w:pPr>
  </w:style>
  <w:style w:type="paragraph" w:customStyle="1" w:styleId="84">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5">
    <w:name w:val="BodyTextIndent2"/>
    <w:basedOn w:val="1"/>
    <w:qFormat/>
    <w:uiPriority w:val="0"/>
    <w:pPr>
      <w:ind w:left="630" w:firstLine="645"/>
    </w:pPr>
    <w:rPr>
      <w:rFonts w:ascii="Arial" w:hAnsi="Arial" w:eastAsia="仿宋_GB2312"/>
      <w:sz w:val="32"/>
      <w:szCs w:val="32"/>
    </w:rPr>
  </w:style>
  <w:style w:type="paragraph" w:customStyle="1" w:styleId="86">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7">
    <w:name w:val="EnvelopeReturn"/>
    <w:basedOn w:val="1"/>
    <w:qFormat/>
    <w:uiPriority w:val="0"/>
    <w:pPr>
      <w:snapToGrid w:val="0"/>
    </w:pPr>
    <w:rPr>
      <w:rFonts w:ascii="Arial" w:hAnsi="Arial"/>
    </w:rPr>
  </w:style>
  <w:style w:type="paragraph" w:customStyle="1" w:styleId="88">
    <w:name w:val="BodyTextIndent"/>
    <w:basedOn w:val="1"/>
    <w:next w:val="87"/>
    <w:qFormat/>
    <w:uiPriority w:val="0"/>
    <w:pPr>
      <w:ind w:firstLine="645"/>
    </w:pPr>
    <w:rPr>
      <w:rFonts w:ascii="楷体_GB2312" w:eastAsia="楷体_GB2312"/>
      <w:sz w:val="32"/>
      <w:szCs w:val="32"/>
    </w:rPr>
  </w:style>
  <w:style w:type="paragraph" w:customStyle="1" w:styleId="89">
    <w:name w:val="BodyText3"/>
    <w:basedOn w:val="1"/>
    <w:qFormat/>
    <w:uiPriority w:val="0"/>
    <w:rPr>
      <w:rFonts w:ascii="仿宋_GB2312" w:hAnsi="Arial" w:eastAsia="仿宋_GB2312"/>
      <w:sz w:val="32"/>
      <w:szCs w:val="32"/>
    </w:rPr>
  </w:style>
  <w:style w:type="paragraph" w:customStyle="1" w:styleId="90">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1">
    <w:name w:val="List2"/>
    <w:basedOn w:val="1"/>
    <w:qFormat/>
    <w:uiPriority w:val="0"/>
    <w:pPr>
      <w:ind w:left="100" w:leftChars="200" w:hanging="200" w:hangingChars="200"/>
    </w:pPr>
  </w:style>
  <w:style w:type="paragraph" w:customStyle="1" w:styleId="92">
    <w:name w:val="List3"/>
    <w:basedOn w:val="1"/>
    <w:qFormat/>
    <w:uiPriority w:val="0"/>
    <w:pPr>
      <w:ind w:left="100" w:leftChars="400" w:hanging="200" w:hangingChars="200"/>
    </w:pPr>
  </w:style>
  <w:style w:type="paragraph" w:customStyle="1" w:styleId="93">
    <w:name w:val="Index1"/>
    <w:basedOn w:val="1"/>
    <w:next w:val="1"/>
    <w:semiHidden/>
    <w:qFormat/>
    <w:uiPriority w:val="0"/>
    <w:pPr>
      <w:spacing w:line="240" w:lineRule="atLeast"/>
    </w:pPr>
    <w:rPr>
      <w:rFonts w:cs="Times New Roman"/>
      <w:b/>
      <w:bCs/>
    </w:rPr>
  </w:style>
  <w:style w:type="paragraph" w:customStyle="1" w:styleId="94">
    <w:name w:val="BodyText2"/>
    <w:basedOn w:val="1"/>
    <w:qFormat/>
    <w:uiPriority w:val="0"/>
    <w:pPr>
      <w:jc w:val="center"/>
    </w:pPr>
    <w:rPr>
      <w:rFonts w:ascii="楷体_GB2312" w:eastAsia="楷体_GB2312"/>
      <w:sz w:val="28"/>
      <w:szCs w:val="28"/>
    </w:rPr>
  </w:style>
  <w:style w:type="paragraph" w:customStyle="1" w:styleId="95">
    <w:name w:val="ToCaption"/>
    <w:basedOn w:val="1"/>
    <w:next w:val="1"/>
    <w:semiHidden/>
    <w:qFormat/>
    <w:uiPriority w:val="0"/>
    <w:pPr>
      <w:ind w:left="840" w:hanging="420"/>
    </w:pPr>
  </w:style>
  <w:style w:type="paragraph" w:customStyle="1" w:styleId="96">
    <w:name w:val="BodyTextIndent3"/>
    <w:basedOn w:val="1"/>
    <w:qFormat/>
    <w:uiPriority w:val="0"/>
    <w:pPr>
      <w:ind w:left="645" w:firstLine="645"/>
    </w:pPr>
    <w:rPr>
      <w:rFonts w:ascii="Arial" w:hAnsi="Arial" w:eastAsia="仿宋_GB2312"/>
      <w:color w:val="FFFF00"/>
      <w:sz w:val="32"/>
      <w:szCs w:val="32"/>
    </w:rPr>
  </w:style>
  <w:style w:type="paragraph" w:customStyle="1" w:styleId="97">
    <w:name w:val="TOC6"/>
    <w:basedOn w:val="1"/>
    <w:next w:val="1"/>
    <w:semiHidden/>
    <w:qFormat/>
    <w:uiPriority w:val="0"/>
    <w:pPr>
      <w:ind w:left="1050"/>
      <w:jc w:val="left"/>
    </w:pPr>
  </w:style>
  <w:style w:type="paragraph" w:customStyle="1" w:styleId="98">
    <w:name w:val="BodyText1I2"/>
    <w:basedOn w:val="88"/>
    <w:qFormat/>
    <w:uiPriority w:val="0"/>
    <w:pPr>
      <w:spacing w:line="360" w:lineRule="auto"/>
      <w:ind w:firstLine="420" w:firstLineChars="200"/>
    </w:pPr>
    <w:rPr>
      <w:rFonts w:ascii="宋体" w:hAnsi="宋体" w:eastAsia="宋体"/>
      <w:sz w:val="21"/>
      <w:szCs w:val="20"/>
    </w:rPr>
  </w:style>
  <w:style w:type="paragraph" w:customStyle="1" w:styleId="99">
    <w:name w:val="AnnotationSubject"/>
    <w:basedOn w:val="67"/>
    <w:next w:val="67"/>
    <w:semiHidden/>
    <w:qFormat/>
    <w:uiPriority w:val="0"/>
    <w:rPr>
      <w:rFonts w:cs="Times New Roman"/>
      <w:b/>
      <w:bCs/>
    </w:rPr>
  </w:style>
  <w:style w:type="paragraph" w:customStyle="1" w:styleId="100">
    <w:name w:val="TOC2"/>
    <w:basedOn w:val="1"/>
    <w:next w:val="1"/>
    <w:semiHidden/>
    <w:qFormat/>
    <w:uiPriority w:val="0"/>
    <w:pPr>
      <w:ind w:left="210"/>
      <w:jc w:val="left"/>
    </w:pPr>
    <w:rPr>
      <w:smallCaps/>
      <w:szCs w:val="24"/>
    </w:rPr>
  </w:style>
  <w:style w:type="paragraph" w:customStyle="1" w:styleId="101">
    <w:name w:val="TOC8"/>
    <w:basedOn w:val="1"/>
    <w:next w:val="1"/>
    <w:semiHidden/>
    <w:qFormat/>
    <w:uiPriority w:val="0"/>
    <w:pPr>
      <w:ind w:left="1470"/>
      <w:jc w:val="left"/>
    </w:pPr>
  </w:style>
  <w:style w:type="paragraph" w:customStyle="1" w:styleId="102">
    <w:name w:val="TOC7"/>
    <w:basedOn w:val="1"/>
    <w:next w:val="1"/>
    <w:semiHidden/>
    <w:qFormat/>
    <w:uiPriority w:val="0"/>
    <w:pPr>
      <w:ind w:left="1260"/>
      <w:jc w:val="left"/>
    </w:pPr>
  </w:style>
  <w:style w:type="paragraph" w:customStyle="1" w:styleId="103">
    <w:name w:val="BodyText"/>
    <w:basedOn w:val="1"/>
    <w:qFormat/>
    <w:uiPriority w:val="0"/>
    <w:rPr>
      <w:rFonts w:ascii="楷体_GB2312" w:hAnsi="Arial" w:eastAsia="楷体_GB2312"/>
      <w:sz w:val="28"/>
      <w:szCs w:val="28"/>
    </w:rPr>
  </w:style>
  <w:style w:type="paragraph" w:customStyle="1" w:styleId="104">
    <w:name w:val="TOC9"/>
    <w:basedOn w:val="1"/>
    <w:next w:val="1"/>
    <w:semiHidden/>
    <w:qFormat/>
    <w:uiPriority w:val="0"/>
    <w:pPr>
      <w:ind w:left="1680"/>
      <w:jc w:val="left"/>
    </w:pPr>
  </w:style>
  <w:style w:type="paragraph" w:customStyle="1" w:styleId="105">
    <w:name w:val="TOC3"/>
    <w:basedOn w:val="1"/>
    <w:next w:val="1"/>
    <w:semiHidden/>
    <w:qFormat/>
    <w:uiPriority w:val="0"/>
    <w:pPr>
      <w:ind w:left="420"/>
      <w:jc w:val="left"/>
    </w:pPr>
    <w:rPr>
      <w:i/>
      <w:iCs/>
      <w:szCs w:val="24"/>
    </w:rPr>
  </w:style>
  <w:style w:type="paragraph" w:customStyle="1" w:styleId="106">
    <w:name w:val="TOC5"/>
    <w:basedOn w:val="1"/>
    <w:next w:val="1"/>
    <w:semiHidden/>
    <w:qFormat/>
    <w:uiPriority w:val="0"/>
    <w:pPr>
      <w:ind w:left="840"/>
      <w:jc w:val="left"/>
    </w:pPr>
  </w:style>
  <w:style w:type="paragraph" w:customStyle="1" w:styleId="107">
    <w:name w:val="BlockQuote"/>
    <w:basedOn w:val="1"/>
    <w:qFormat/>
    <w:uiPriority w:val="0"/>
    <w:pPr>
      <w:spacing w:after="120"/>
      <w:ind w:left="1440" w:leftChars="700" w:right="1440" w:rightChars="700"/>
    </w:pPr>
  </w:style>
  <w:style w:type="paragraph" w:customStyle="1" w:styleId="108">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9">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0">
    <w:name w:val="179"/>
    <w:basedOn w:val="1"/>
    <w:qFormat/>
    <w:uiPriority w:val="0"/>
    <w:pPr>
      <w:ind w:left="720"/>
      <w:contextualSpacing/>
      <w:jc w:val="left"/>
    </w:pPr>
    <w:rPr>
      <w:rFonts w:ascii="Calibri" w:hAnsi="Calibri"/>
      <w:kern w:val="0"/>
      <w:sz w:val="24"/>
      <w:szCs w:val="24"/>
      <w:lang w:eastAsia="en-US" w:bidi="en-US"/>
    </w:rPr>
  </w:style>
  <w:style w:type="paragraph" w:customStyle="1" w:styleId="111">
    <w:name w:val="UserStyle_26"/>
    <w:basedOn w:val="1"/>
    <w:qFormat/>
    <w:uiPriority w:val="0"/>
    <w:pPr>
      <w:tabs>
        <w:tab w:val="left" w:pos="-720"/>
      </w:tabs>
    </w:pPr>
    <w:rPr>
      <w:spacing w:val="-3"/>
      <w:kern w:val="0"/>
      <w:sz w:val="24"/>
      <w:szCs w:val="20"/>
      <w:lang w:val="en-AU" w:eastAsia="en-US"/>
    </w:rPr>
  </w:style>
  <w:style w:type="paragraph" w:customStyle="1" w:styleId="112">
    <w:name w:val="UserStyle_27"/>
    <w:basedOn w:val="1"/>
    <w:next w:val="1"/>
    <w:qFormat/>
    <w:uiPriority w:val="0"/>
    <w:pPr>
      <w:jc w:val="center"/>
    </w:pPr>
    <w:rPr>
      <w:sz w:val="24"/>
    </w:rPr>
  </w:style>
  <w:style w:type="paragraph" w:customStyle="1" w:styleId="113">
    <w:name w:val="UserStyle_28"/>
    <w:basedOn w:val="1"/>
    <w:qFormat/>
    <w:uiPriority w:val="0"/>
    <w:pPr>
      <w:jc w:val="left"/>
    </w:pPr>
    <w:rPr>
      <w:kern w:val="0"/>
      <w:sz w:val="20"/>
      <w:szCs w:val="20"/>
      <w:lang w:val="de-DE" w:eastAsia="de-DE"/>
    </w:rPr>
  </w:style>
  <w:style w:type="paragraph" w:customStyle="1" w:styleId="114">
    <w:name w:val="UserStyle_29"/>
    <w:basedOn w:val="1"/>
    <w:qFormat/>
    <w:uiPriority w:val="0"/>
    <w:pPr>
      <w:tabs>
        <w:tab w:val="left" w:pos="360"/>
      </w:tabs>
      <w:ind w:firstLine="200" w:firstLineChars="200"/>
    </w:pPr>
    <w:rPr>
      <w:sz w:val="28"/>
      <w:szCs w:val="30"/>
    </w:rPr>
  </w:style>
  <w:style w:type="paragraph" w:customStyle="1" w:styleId="115">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6">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7">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8">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0">
    <w:name w:val="UserStyle_35"/>
    <w:basedOn w:val="112"/>
    <w:qFormat/>
    <w:uiPriority w:val="0"/>
    <w:pPr>
      <w:jc w:val="left"/>
    </w:pPr>
  </w:style>
  <w:style w:type="paragraph" w:customStyle="1" w:styleId="121">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3">
    <w:name w:val="UserStyle_38"/>
    <w:basedOn w:val="1"/>
    <w:qFormat/>
    <w:uiPriority w:val="0"/>
    <w:pPr>
      <w:spacing w:before="120"/>
      <w:jc w:val="left"/>
    </w:pPr>
    <w:rPr>
      <w:rFonts w:cs="Times New Roman"/>
      <w:bCs/>
      <w:kern w:val="0"/>
      <w:sz w:val="20"/>
      <w:szCs w:val="20"/>
      <w:lang w:val="de-DE" w:eastAsia="de-DE"/>
    </w:rPr>
  </w:style>
  <w:style w:type="paragraph" w:customStyle="1" w:styleId="124">
    <w:name w:val="UserStyle_39"/>
    <w:basedOn w:val="60"/>
    <w:qFormat/>
    <w:uiPriority w:val="0"/>
    <w:pPr>
      <w:snapToGrid w:val="0"/>
      <w:spacing w:line="360" w:lineRule="auto"/>
    </w:pPr>
    <w:rPr>
      <w:rFonts w:ascii="Tahoma" w:hAnsi="Tahoma"/>
      <w:sz w:val="24"/>
      <w:szCs w:val="24"/>
    </w:rPr>
  </w:style>
  <w:style w:type="paragraph" w:customStyle="1" w:styleId="125">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6">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7">
    <w:name w:val="UserStyle_42"/>
    <w:basedOn w:val="1"/>
    <w:qFormat/>
    <w:uiPriority w:val="0"/>
    <w:pPr>
      <w:snapToGrid w:val="0"/>
      <w:jc w:val="left"/>
    </w:pPr>
    <w:rPr>
      <w:rFonts w:ascii="Arial Unicode MS" w:hAnsi="Arial Unicode MS"/>
      <w:szCs w:val="24"/>
    </w:rPr>
  </w:style>
  <w:style w:type="paragraph" w:customStyle="1" w:styleId="128">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9">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0">
    <w:name w:val="UserStyle_45"/>
    <w:basedOn w:val="60"/>
    <w:qFormat/>
    <w:uiPriority w:val="0"/>
    <w:rPr>
      <w:rFonts w:ascii="Tahoma" w:hAnsi="Tahoma"/>
      <w:sz w:val="24"/>
      <w:szCs w:val="24"/>
    </w:rPr>
  </w:style>
  <w:style w:type="paragraph" w:customStyle="1" w:styleId="131">
    <w:name w:val="UserStyle_46"/>
    <w:basedOn w:val="1"/>
    <w:qFormat/>
    <w:uiPriority w:val="0"/>
    <w:pPr>
      <w:spacing w:line="360" w:lineRule="auto"/>
    </w:pPr>
    <w:rPr>
      <w:kern w:val="0"/>
      <w:sz w:val="24"/>
      <w:szCs w:val="20"/>
    </w:rPr>
  </w:style>
  <w:style w:type="paragraph" w:customStyle="1" w:styleId="132">
    <w:name w:val="UserStyle_47"/>
    <w:basedOn w:val="1"/>
    <w:qFormat/>
    <w:uiPriority w:val="0"/>
    <w:pPr>
      <w:numPr>
        <w:ilvl w:val="0"/>
        <w:numId w:val="3"/>
      </w:numPr>
    </w:pPr>
    <w:rPr>
      <w:rFonts w:ascii="宋体" w:hAnsi="宋体"/>
      <w:kern w:val="0"/>
    </w:rPr>
  </w:style>
  <w:style w:type="paragraph" w:customStyle="1" w:styleId="133">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5">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6">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52"/>
    <w:basedOn w:val="1"/>
    <w:next w:val="96"/>
    <w:qFormat/>
    <w:uiPriority w:val="0"/>
    <w:pPr>
      <w:spacing w:line="360" w:lineRule="auto"/>
      <w:ind w:firstLine="420"/>
    </w:pPr>
    <w:rPr>
      <w:color w:val="FF0000"/>
      <w:sz w:val="24"/>
      <w:szCs w:val="24"/>
    </w:rPr>
  </w:style>
  <w:style w:type="paragraph" w:customStyle="1" w:styleId="138">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9">
    <w:name w:val="UserStyle_54"/>
    <w:basedOn w:val="1"/>
    <w:next w:val="103"/>
    <w:qFormat/>
    <w:uiPriority w:val="0"/>
    <w:pPr>
      <w:spacing w:after="120"/>
    </w:pPr>
    <w:rPr>
      <w:rFonts w:ascii="宋体" w:hAnsi="Arial" w:cs="Times New Roman"/>
      <w:bCs/>
      <w:iCs/>
      <w:szCs w:val="24"/>
    </w:rPr>
  </w:style>
  <w:style w:type="paragraph" w:customStyle="1" w:styleId="140">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1">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2">
    <w:name w:val="TableGrid"/>
    <w:basedOn w:val="44"/>
    <w:qFormat/>
    <w:uiPriority w:val="0"/>
    <w:tblPr>
      <w:tblCellMar>
        <w:top w:w="0" w:type="dxa"/>
        <w:left w:w="0" w:type="dxa"/>
        <w:bottom w:w="0" w:type="dxa"/>
        <w:right w:w="0" w:type="dxa"/>
      </w:tblCellMar>
    </w:tblPr>
  </w:style>
  <w:style w:type="paragraph" w:styleId="143">
    <w:name w:val="List Paragraph"/>
    <w:basedOn w:val="1"/>
    <w:qFormat/>
    <w:uiPriority w:val="34"/>
    <w:pPr>
      <w:ind w:left="720"/>
      <w:contextualSpacing/>
      <w:jc w:val="left"/>
    </w:pPr>
    <w:rPr>
      <w:rFonts w:ascii="Calibri" w:hAnsi="Calibri"/>
      <w:kern w:val="0"/>
      <w:sz w:val="24"/>
      <w:lang w:eastAsia="en-US" w:bidi="en-US"/>
    </w:rPr>
  </w:style>
  <w:style w:type="paragraph" w:customStyle="1" w:styleId="144">
    <w:name w:val="Default"/>
    <w:next w:val="145"/>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6">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7">
    <w:name w:val="正文1"/>
    <w:basedOn w:val="1"/>
    <w:qFormat/>
    <w:uiPriority w:val="0"/>
    <w:pPr>
      <w:spacing w:line="440" w:lineRule="exact"/>
      <w:ind w:right="-167" w:rightChars="-167"/>
    </w:pPr>
    <w:rPr>
      <w:b/>
    </w:rPr>
  </w:style>
  <w:style w:type="character" w:customStyle="1" w:styleId="148">
    <w:name w:val="批注框文本 Char"/>
    <w:basedOn w:val="26"/>
    <w:link w:val="17"/>
    <w:qFormat/>
    <w:uiPriority w:val="0"/>
    <w:rPr>
      <w:rFonts w:cstheme="minorBidi"/>
      <w:kern w:val="2"/>
      <w:sz w:val="18"/>
      <w:szCs w:val="18"/>
    </w:rPr>
  </w:style>
  <w:style w:type="character" w:customStyle="1" w:styleId="149">
    <w:name w:val="nth-of-type(2)"/>
    <w:basedOn w:val="26"/>
    <w:qFormat/>
    <w:uiPriority w:val="0"/>
  </w:style>
  <w:style w:type="character" w:customStyle="1" w:styleId="150">
    <w:name w:val="nth-of-type(2)1"/>
    <w:basedOn w:val="26"/>
    <w:qFormat/>
    <w:uiPriority w:val="0"/>
  </w:style>
  <w:style w:type="character" w:customStyle="1" w:styleId="151">
    <w:name w:val="nth-of-type(2)2"/>
    <w:basedOn w:val="26"/>
    <w:qFormat/>
    <w:uiPriority w:val="0"/>
  </w:style>
  <w:style w:type="character" w:customStyle="1" w:styleId="152">
    <w:name w:val="nth-of-type(2)3"/>
    <w:basedOn w:val="26"/>
    <w:qFormat/>
    <w:uiPriority w:val="0"/>
  </w:style>
  <w:style w:type="character" w:customStyle="1" w:styleId="153">
    <w:name w:val="nth-of-type(1)"/>
    <w:basedOn w:val="26"/>
    <w:qFormat/>
    <w:uiPriority w:val="0"/>
  </w:style>
  <w:style w:type="character" w:customStyle="1" w:styleId="154">
    <w:name w:val="nth-of-type(1)1"/>
    <w:basedOn w:val="26"/>
    <w:qFormat/>
    <w:uiPriority w:val="0"/>
  </w:style>
  <w:style w:type="character" w:customStyle="1" w:styleId="155">
    <w:name w:val="nth-of-type(1)2"/>
    <w:basedOn w:val="26"/>
    <w:qFormat/>
    <w:uiPriority w:val="0"/>
  </w:style>
  <w:style w:type="character" w:customStyle="1" w:styleId="156">
    <w:name w:val="first-of-type"/>
    <w:basedOn w:val="26"/>
    <w:qFormat/>
    <w:uiPriority w:val="0"/>
  </w:style>
  <w:style w:type="character" w:customStyle="1" w:styleId="157">
    <w:name w:val="first-of-type1"/>
    <w:basedOn w:val="26"/>
    <w:qFormat/>
    <w:uiPriority w:val="0"/>
  </w:style>
  <w:style w:type="character" w:customStyle="1" w:styleId="158">
    <w:name w:val="apple-converted-space"/>
    <w:basedOn w:val="26"/>
    <w:qFormat/>
    <w:uiPriority w:val="0"/>
  </w:style>
  <w:style w:type="paragraph" w:customStyle="1" w:styleId="159">
    <w:name w:val="纯文本1"/>
    <w:basedOn w:val="1"/>
    <w:qFormat/>
    <w:uiPriority w:val="0"/>
    <w:rPr>
      <w:rFonts w:ascii="宋体" w:hAnsi="Courier New"/>
      <w:sz w:val="28"/>
    </w:rPr>
  </w:style>
  <w:style w:type="paragraph" w:customStyle="1" w:styleId="160">
    <w:name w:val="Table Paragraph"/>
    <w:basedOn w:val="1"/>
    <w:qFormat/>
    <w:uiPriority w:val="1"/>
    <w:rPr>
      <w:rFonts w:cs="Times New Roman"/>
      <w:szCs w:val="24"/>
    </w:rPr>
  </w:style>
  <w:style w:type="paragraph" w:customStyle="1" w:styleId="161">
    <w:name w:val="WPSOffice手动目录 1"/>
    <w:qFormat/>
    <w:uiPriority w:val="0"/>
    <w:rPr>
      <w:rFonts w:ascii="Times New Roman" w:hAnsi="Times New Roman" w:eastAsia="宋体" w:cs="Times New Roman"/>
      <w:lang w:val="en-US" w:eastAsia="zh-CN" w:bidi="ar-SA"/>
    </w:rPr>
  </w:style>
  <w:style w:type="paragraph" w:customStyle="1" w:styleId="162">
    <w:name w:val="列出段落1"/>
    <w:basedOn w:val="1"/>
    <w:qFormat/>
    <w:uiPriority w:val="0"/>
    <w:pPr>
      <w:ind w:left="720"/>
      <w:contextualSpacing/>
      <w:jc w:val="left"/>
    </w:pPr>
    <w:rPr>
      <w:kern w:val="0"/>
      <w:sz w:val="24"/>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8C260-A530-426F-8444-A6B30A856145}">
  <ds:schemaRefs/>
</ds:datastoreItem>
</file>

<file path=docProps/app.xml><?xml version="1.0" encoding="utf-8"?>
<Properties xmlns="http://schemas.openxmlformats.org/officeDocument/2006/extended-properties" xmlns:vt="http://schemas.openxmlformats.org/officeDocument/2006/docPropsVTypes">
  <Template>Normal.dotm</Template>
  <Pages>56</Pages>
  <Words>4753</Words>
  <Characters>27096</Characters>
  <Lines>225</Lines>
  <Paragraphs>63</Paragraphs>
  <TotalTime>65</TotalTime>
  <ScaleCrop>false</ScaleCrop>
  <LinksUpToDate>false</LinksUpToDate>
  <CharactersWithSpaces>31786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2022-07-09T09:01:00Z</dcterms:created>
  <dc:creator>Administrator</dc:creator>
  <cp:lastModifiedBy>城市里的追梦人</cp:lastModifiedBy>
  <cp:lastPrinted>2022-06-20T01:11:00Z</cp:lastPrinted>
  <dcterms:modified xsi:type="dcterms:W3CDTF">2022-07-15T03:31:48Z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9F80F8BCDA0F4E60A5462450DFD83EA4</vt:lpwstr>
  </property>
</Properties>
</file>