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3"/>
        <w:ind w:firstLine="0" w:firstLineChars="0"/>
        <w:rPr>
          <w:rStyle w:val="42"/>
          <w:rFonts w:cs="宋体"/>
          <w:color w:val="000000" w:themeColor="text1"/>
          <w:sz w:val="36"/>
          <w:szCs w:val="21"/>
        </w:rPr>
      </w:pPr>
    </w:p>
    <w:p>
      <w:pPr>
        <w:rPr>
          <w:rStyle w:val="42"/>
          <w:rFonts w:ascii="宋体" w:hAnsi="宋体" w:cs="宋体"/>
          <w:color w:val="000000" w:themeColor="text1"/>
          <w:sz w:val="36"/>
        </w:rPr>
      </w:pPr>
    </w:p>
    <w:p>
      <w:pPr>
        <w:jc w:val="center"/>
        <w:rPr>
          <w:rStyle w:val="42"/>
          <w:rFonts w:ascii="宋体" w:hAnsi="宋体" w:cs="宋体"/>
          <w:b/>
          <w:color w:val="000000" w:themeColor="text1"/>
          <w:sz w:val="84"/>
        </w:rPr>
      </w:pPr>
      <w:r>
        <w:rPr>
          <w:rStyle w:val="42"/>
          <w:rFonts w:hint="eastAsia" w:ascii="宋体" w:hAnsi="宋体" w:cs="宋体"/>
          <w:b/>
          <w:color w:val="000000" w:themeColor="text1"/>
          <w:sz w:val="84"/>
        </w:rPr>
        <w:t>招 标 文 件</w:t>
      </w:r>
    </w:p>
    <w:p>
      <w:pP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pStyle w:val="23"/>
        <w:rPr>
          <w:rFonts w:cs="宋体"/>
          <w:color w:val="000000" w:themeColor="text1"/>
        </w:rPr>
      </w:pP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ind w:firstLine="1606" w:firstLineChars="500"/>
        <w:rPr>
          <w:rStyle w:val="42"/>
          <w:rFonts w:ascii="宋体" w:hAnsi="宋体" w:cs="宋体"/>
          <w:b/>
          <w:color w:val="000000" w:themeColor="text1"/>
          <w:sz w:val="32"/>
          <w:szCs w:val="20"/>
        </w:rPr>
      </w:pPr>
      <w:r>
        <w:rPr>
          <w:rStyle w:val="42"/>
          <w:rFonts w:hint="eastAsia" w:ascii="宋体" w:hAnsi="宋体" w:cs="宋体"/>
          <w:b/>
          <w:color w:val="000000" w:themeColor="text1"/>
          <w:sz w:val="32"/>
          <w:szCs w:val="20"/>
        </w:rPr>
        <w:t>项目编号：2021-</w:t>
      </w:r>
      <w:r>
        <w:rPr>
          <w:rStyle w:val="42"/>
          <w:rFonts w:hint="eastAsia" w:ascii="宋体" w:hAnsi="宋体" w:cs="宋体"/>
          <w:b/>
          <w:color w:val="000000" w:themeColor="text1"/>
          <w:sz w:val="32"/>
          <w:szCs w:val="20"/>
          <w:lang w:val="en-US" w:eastAsia="zh-CN"/>
        </w:rPr>
        <w:t>034W</w:t>
      </w: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2"/>
        </w:rPr>
      </w:pPr>
    </w:p>
    <w:p>
      <w:pPr>
        <w:jc w:val="center"/>
        <w:rPr>
          <w:rStyle w:val="42"/>
          <w:rFonts w:ascii="宋体" w:hAnsi="宋体" w:cs="宋体"/>
          <w:b/>
          <w:color w:val="000000" w:themeColor="text1"/>
          <w:sz w:val="30"/>
          <w:szCs w:val="30"/>
        </w:rPr>
      </w:pPr>
      <w:r>
        <w:rPr>
          <w:rStyle w:val="42"/>
          <w:rFonts w:hint="eastAsia" w:ascii="宋体" w:hAnsi="宋体" w:cs="宋体"/>
          <w:b/>
          <w:color w:val="000000" w:themeColor="text1"/>
          <w:sz w:val="32"/>
          <w:szCs w:val="32"/>
        </w:rPr>
        <w:t>项目名称：药品与健康学院电脑等设备采购项目</w:t>
      </w:r>
    </w:p>
    <w:p>
      <w:pPr>
        <w:pStyle w:val="23"/>
        <w:ind w:firstLine="0" w:firstLineChars="0"/>
        <w:rPr>
          <w:rStyle w:val="42"/>
          <w:rFonts w:cs="宋体"/>
          <w:b/>
          <w:color w:val="000000" w:themeColor="text1"/>
          <w:sz w:val="32"/>
          <w:szCs w:val="21"/>
        </w:rPr>
      </w:pPr>
    </w:p>
    <w:p>
      <w:pPr>
        <w:pStyle w:val="23"/>
        <w:ind w:firstLine="643"/>
        <w:rPr>
          <w:rStyle w:val="42"/>
          <w:rFonts w:cs="宋体"/>
          <w:b/>
          <w:color w:val="000000" w:themeColor="text1"/>
          <w:sz w:val="32"/>
          <w:szCs w:val="21"/>
        </w:rPr>
      </w:pPr>
    </w:p>
    <w:p>
      <w:pPr>
        <w:pStyle w:val="102"/>
        <w:rPr>
          <w:rStyle w:val="42"/>
          <w:rFonts w:ascii="宋体" w:hAnsi="宋体" w:eastAsia="宋体" w:cs="宋体"/>
          <w:b/>
          <w:color w:val="000000" w:themeColor="text1"/>
          <w:sz w:val="32"/>
        </w:rPr>
      </w:pPr>
    </w:p>
    <w:p>
      <w:pPr>
        <w:pStyle w:val="102"/>
        <w:rPr>
          <w:rStyle w:val="42"/>
          <w:rFonts w:ascii="宋体" w:hAnsi="宋体" w:eastAsia="宋体" w:cs="宋体"/>
          <w:b/>
          <w:color w:val="000000" w:themeColor="text1"/>
          <w:sz w:val="32"/>
        </w:rPr>
      </w:pPr>
    </w:p>
    <w:p>
      <w:pPr>
        <w:spacing w:after="240" w:line="360" w:lineRule="auto"/>
        <w:ind w:firstLine="1080" w:firstLineChars="300"/>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采购人：盐城工业职业技术学院</w:t>
      </w:r>
    </w:p>
    <w:p>
      <w:pPr>
        <w:pStyle w:val="14"/>
        <w:spacing w:after="240" w:line="360" w:lineRule="auto"/>
        <w:ind w:left="0" w:leftChars="0" w:right="0" w:rightChars="0" w:firstLine="1080" w:firstLineChars="300"/>
        <w:rPr>
          <w:rStyle w:val="42"/>
          <w:rFonts w:ascii="宋体" w:hAnsi="宋体" w:cs="宋体"/>
          <w:bCs/>
          <w:color w:val="000000" w:themeColor="text1"/>
          <w:sz w:val="36"/>
          <w:szCs w:val="36"/>
        </w:rPr>
      </w:pPr>
      <w:r>
        <w:rPr>
          <w:rStyle w:val="42"/>
          <w:rFonts w:hint="eastAsia" w:ascii="宋体" w:hAnsi="宋体" w:cs="宋体"/>
          <w:bCs/>
          <w:color w:val="000000" w:themeColor="text1"/>
          <w:sz w:val="36"/>
          <w:szCs w:val="36"/>
        </w:rPr>
        <w:t>代理人：江苏伟业项目管理有限公司</w:t>
      </w:r>
    </w:p>
    <w:p>
      <w:pPr>
        <w:jc w:val="center"/>
        <w:rPr>
          <w:rStyle w:val="42"/>
          <w:rFonts w:ascii="宋体" w:hAnsi="宋体" w:cs="宋体"/>
          <w:color w:val="000000" w:themeColor="text1"/>
          <w:sz w:val="36"/>
          <w:szCs w:val="36"/>
        </w:rPr>
      </w:pPr>
    </w:p>
    <w:p>
      <w:pPr>
        <w:jc w:val="center"/>
        <w:rPr>
          <w:rStyle w:val="42"/>
          <w:rFonts w:ascii="宋体" w:hAnsi="宋体" w:cs="宋体"/>
          <w:color w:val="000000" w:themeColor="text1"/>
          <w:sz w:val="36"/>
          <w:szCs w:val="36"/>
        </w:rPr>
      </w:pPr>
      <w:r>
        <w:rPr>
          <w:rStyle w:val="42"/>
          <w:rFonts w:hint="eastAsia" w:ascii="宋体" w:hAnsi="宋体" w:cs="宋体"/>
          <w:color w:val="000000" w:themeColor="text1"/>
          <w:sz w:val="36"/>
          <w:szCs w:val="36"/>
        </w:rPr>
        <w:t>2021年11月24日</w:t>
      </w:r>
    </w:p>
    <w:p>
      <w:pPr>
        <w:spacing w:line="480" w:lineRule="auto"/>
        <w:rPr>
          <w:rStyle w:val="42"/>
          <w:rFonts w:ascii="宋体" w:hAnsi="宋体" w:cs="宋体"/>
          <w:color w:val="000000" w:themeColor="text1"/>
        </w:rPr>
      </w:pPr>
    </w:p>
    <w:p>
      <w:pPr>
        <w:spacing w:line="480" w:lineRule="auto"/>
        <w:jc w:val="center"/>
        <w:rPr>
          <w:rStyle w:val="42"/>
          <w:rFonts w:ascii="宋体" w:hAnsi="宋体" w:cs="宋体"/>
          <w:color w:val="000000" w:themeColor="text1"/>
        </w:rPr>
      </w:pPr>
    </w:p>
    <w:p>
      <w:pPr>
        <w:pStyle w:val="23"/>
        <w:rPr>
          <w:rFonts w:cs="宋体"/>
          <w:color w:val="000000" w:themeColor="text1"/>
        </w:rPr>
      </w:pPr>
    </w:p>
    <w:p>
      <w:pPr>
        <w:spacing w:line="480" w:lineRule="auto"/>
        <w:jc w:val="center"/>
        <w:rPr>
          <w:rStyle w:val="42"/>
          <w:rFonts w:ascii="宋体" w:hAnsi="宋体" w:cs="宋体"/>
          <w:b/>
          <w:color w:val="000000" w:themeColor="text1"/>
          <w:sz w:val="44"/>
        </w:rPr>
      </w:pPr>
      <w:r>
        <w:rPr>
          <w:rStyle w:val="42"/>
          <w:rFonts w:hint="eastAsia" w:ascii="宋体" w:hAnsi="宋体" w:cs="宋体"/>
          <w:b/>
          <w:color w:val="000000" w:themeColor="text1"/>
          <w:sz w:val="44"/>
        </w:rPr>
        <w:t>总  目  录</w:t>
      </w:r>
    </w:p>
    <w:p>
      <w:pPr>
        <w:spacing w:line="480" w:lineRule="auto"/>
        <w:rPr>
          <w:rStyle w:val="42"/>
          <w:rFonts w:ascii="宋体" w:hAnsi="宋体" w:cs="宋体"/>
          <w:b/>
          <w:color w:val="000000" w:themeColor="text1"/>
          <w:sz w:val="28"/>
        </w:rPr>
      </w:pPr>
    </w:p>
    <w:sdt>
      <w:sdtPr>
        <w:rPr>
          <w:rFonts w:ascii="宋体" w:hAnsi="宋体" w:eastAsia="宋体" w:cstheme="minorBidi"/>
          <w:kern w:val="2"/>
          <w:sz w:val="21"/>
          <w:szCs w:val="21"/>
          <w:lang w:val="en-US" w:eastAsia="zh-CN" w:bidi="ar-SA"/>
        </w:rPr>
        <w:id w:val="147471564"/>
        <w15:color w:val="DBDBDB"/>
        <w:docPartObj>
          <w:docPartGallery w:val="Table of Contents"/>
          <w:docPartUnique/>
        </w:docPartObj>
      </w:sdtPr>
      <w:sdtEndPr>
        <w:rPr>
          <w:rFonts w:ascii="宋体" w:hAnsi="宋体" w:eastAsia="宋体" w:cs="宋体"/>
          <w:bCs/>
          <w:color w:val="000000" w:themeColor="text1"/>
          <w:kern w:val="2"/>
          <w:sz w:val="28"/>
          <w:szCs w:val="28"/>
          <w:lang w:val="en-US" w:eastAsia="zh-CN" w:bidi="ar-SA"/>
        </w:rPr>
      </w:sdtEndPr>
      <w:sdtContent>
        <w:p>
          <w:pPr>
            <w:spacing w:before="0" w:beforeLines="0" w:after="0" w:afterLines="0" w:line="240" w:lineRule="auto"/>
            <w:ind w:left="0" w:leftChars="0" w:right="0" w:rightChars="0" w:firstLine="0" w:firstLineChars="0"/>
            <w:jc w:val="center"/>
          </w:pPr>
        </w:p>
        <w:p>
          <w:pPr>
            <w:pStyle w:val="148"/>
            <w:tabs>
              <w:tab w:val="right" w:leader="dot" w:pos="8953"/>
            </w:tabs>
            <w:rPr>
              <w:rFonts w:hint="eastAsia" w:ascii="宋体" w:hAnsi="宋体" w:eastAsia="宋体" w:cs="宋体"/>
              <w:sz w:val="36"/>
              <w:szCs w:val="36"/>
            </w:rPr>
          </w:pPr>
          <w:r>
            <w:rPr>
              <w:rStyle w:val="42"/>
              <w:rFonts w:hint="eastAsia" w:ascii="宋体" w:hAnsi="宋体" w:eastAsia="宋体" w:cs="宋体"/>
              <w:bCs/>
              <w:color w:val="000000" w:themeColor="text1"/>
              <w:sz w:val="36"/>
              <w:szCs w:val="36"/>
            </w:rPr>
            <w:fldChar w:fldCharType="begin"/>
          </w:r>
          <w:r>
            <w:rPr>
              <w:rStyle w:val="42"/>
              <w:rFonts w:hint="eastAsia" w:ascii="宋体" w:hAnsi="宋体" w:eastAsia="宋体" w:cs="宋体"/>
              <w:bCs/>
              <w:color w:val="000000" w:themeColor="text1"/>
              <w:sz w:val="36"/>
              <w:szCs w:val="36"/>
            </w:rPr>
            <w:instrText xml:space="preserve">TOC \o "1-1" \h \u </w:instrText>
          </w:r>
          <w:r>
            <w:rPr>
              <w:rStyle w:val="42"/>
              <w:rFonts w:hint="eastAsia" w:ascii="宋体" w:hAnsi="宋体" w:eastAsia="宋体" w:cs="宋体"/>
              <w:bCs/>
              <w:color w:val="000000" w:themeColor="text1"/>
              <w:sz w:val="36"/>
              <w:szCs w:val="36"/>
            </w:rPr>
            <w:fldChar w:fldCharType="separate"/>
          </w: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_Toc24746 </w:instrText>
          </w:r>
          <w:r>
            <w:rPr>
              <w:rFonts w:hint="eastAsia" w:ascii="宋体" w:hAnsi="宋体" w:eastAsia="宋体" w:cs="宋体"/>
              <w:bCs/>
              <w:sz w:val="36"/>
              <w:szCs w:val="36"/>
            </w:rPr>
            <w:fldChar w:fldCharType="separate"/>
          </w:r>
          <w:r>
            <w:rPr>
              <w:rFonts w:hint="eastAsia" w:ascii="宋体" w:hAnsi="宋体" w:eastAsia="宋体" w:cs="宋体"/>
              <w:b/>
              <w:bCs w:val="0"/>
              <w:sz w:val="36"/>
              <w:szCs w:val="36"/>
            </w:rPr>
            <w:t>第</w:t>
          </w:r>
          <w:r>
            <w:rPr>
              <w:rFonts w:hint="eastAsia" w:ascii="宋体" w:hAnsi="宋体" w:eastAsia="宋体" w:cs="宋体"/>
              <w:b/>
              <w:bCs w:val="0"/>
              <w:sz w:val="36"/>
              <w:szCs w:val="36"/>
            </w:rPr>
            <w:t>一章</w:t>
          </w:r>
          <w:r>
            <w:rPr>
              <w:rFonts w:hint="eastAsia" w:ascii="宋体" w:hAnsi="宋体" w:eastAsia="宋体" w:cs="宋体"/>
              <w:bCs/>
              <w:sz w:val="36"/>
              <w:szCs w:val="36"/>
            </w:rPr>
            <w:t xml:space="preserve">  招标公告</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_Toc24746 \h </w:instrText>
          </w:r>
          <w:r>
            <w:rPr>
              <w:rFonts w:hint="eastAsia" w:ascii="宋体" w:hAnsi="宋体" w:eastAsia="宋体" w:cs="宋体"/>
              <w:sz w:val="36"/>
              <w:szCs w:val="36"/>
            </w:rPr>
            <w:fldChar w:fldCharType="separate"/>
          </w:r>
          <w:r>
            <w:rPr>
              <w:rFonts w:hint="eastAsia" w:ascii="宋体" w:hAnsi="宋体" w:eastAsia="宋体" w:cs="宋体"/>
              <w:sz w:val="36"/>
              <w:szCs w:val="36"/>
            </w:rPr>
            <w:t>- 3 -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_Toc5664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第二章</w:t>
          </w:r>
          <w:r>
            <w:rPr>
              <w:rFonts w:hint="eastAsia" w:ascii="宋体" w:hAnsi="宋体" w:eastAsia="宋体" w:cs="宋体"/>
              <w:sz w:val="36"/>
              <w:szCs w:val="36"/>
            </w:rPr>
            <w:t xml:space="preserve">  投标人须知</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_Toc5664 \h </w:instrText>
          </w:r>
          <w:r>
            <w:rPr>
              <w:rFonts w:hint="eastAsia" w:ascii="宋体" w:hAnsi="宋体" w:eastAsia="宋体" w:cs="宋体"/>
              <w:sz w:val="36"/>
              <w:szCs w:val="36"/>
            </w:rPr>
            <w:fldChar w:fldCharType="separate"/>
          </w:r>
          <w:r>
            <w:rPr>
              <w:rFonts w:hint="eastAsia" w:ascii="宋体" w:hAnsi="宋体" w:eastAsia="宋体" w:cs="宋体"/>
              <w:sz w:val="36"/>
              <w:szCs w:val="36"/>
            </w:rPr>
            <w:t>- 6 -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_Toc2555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第三章</w:t>
          </w:r>
          <w:r>
            <w:rPr>
              <w:rFonts w:hint="eastAsia" w:ascii="宋体" w:hAnsi="宋体" w:eastAsia="宋体" w:cs="宋体"/>
              <w:sz w:val="36"/>
              <w:szCs w:val="36"/>
            </w:rPr>
            <w:t xml:space="preserve">  合同条款及格式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_Toc2555 \h </w:instrText>
          </w:r>
          <w:r>
            <w:rPr>
              <w:rFonts w:hint="eastAsia" w:ascii="宋体" w:hAnsi="宋体" w:eastAsia="宋体" w:cs="宋体"/>
              <w:sz w:val="36"/>
              <w:szCs w:val="36"/>
            </w:rPr>
            <w:fldChar w:fldCharType="separate"/>
          </w:r>
          <w:r>
            <w:rPr>
              <w:rFonts w:hint="eastAsia" w:ascii="宋体" w:hAnsi="宋体" w:eastAsia="宋体" w:cs="宋体"/>
              <w:sz w:val="36"/>
              <w:szCs w:val="36"/>
            </w:rPr>
            <w:t>- 18 -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_Toc17696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第四章</w:t>
          </w:r>
          <w:r>
            <w:rPr>
              <w:rFonts w:hint="eastAsia" w:ascii="宋体" w:hAnsi="宋体" w:eastAsia="宋体" w:cs="宋体"/>
              <w:sz w:val="36"/>
              <w:szCs w:val="36"/>
            </w:rPr>
            <w:t xml:space="preserve"> 项目需求</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_Toc17696 \h </w:instrText>
          </w:r>
          <w:r>
            <w:rPr>
              <w:rFonts w:hint="eastAsia" w:ascii="宋体" w:hAnsi="宋体" w:eastAsia="宋体" w:cs="宋体"/>
              <w:sz w:val="36"/>
              <w:szCs w:val="36"/>
            </w:rPr>
            <w:fldChar w:fldCharType="separate"/>
          </w:r>
          <w:r>
            <w:rPr>
              <w:rFonts w:hint="eastAsia" w:ascii="宋体" w:hAnsi="宋体" w:eastAsia="宋体" w:cs="宋体"/>
              <w:sz w:val="36"/>
              <w:szCs w:val="36"/>
            </w:rPr>
            <w:t>- 24 -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_Toc5441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第五章</w:t>
          </w:r>
          <w:r>
            <w:rPr>
              <w:rFonts w:hint="eastAsia" w:ascii="宋体" w:hAnsi="宋体" w:eastAsia="宋体" w:cs="宋体"/>
              <w:sz w:val="36"/>
              <w:szCs w:val="36"/>
            </w:rPr>
            <w:t xml:space="preserve">  评标方法与评标标准</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_Toc5441 \h </w:instrText>
          </w:r>
          <w:r>
            <w:rPr>
              <w:rFonts w:hint="eastAsia" w:ascii="宋体" w:hAnsi="宋体" w:eastAsia="宋体" w:cs="宋体"/>
              <w:sz w:val="36"/>
              <w:szCs w:val="36"/>
            </w:rPr>
            <w:fldChar w:fldCharType="separate"/>
          </w:r>
          <w:r>
            <w:rPr>
              <w:rFonts w:hint="eastAsia" w:ascii="宋体" w:hAnsi="宋体" w:eastAsia="宋体" w:cs="宋体"/>
              <w:sz w:val="36"/>
              <w:szCs w:val="36"/>
            </w:rPr>
            <w:t>- 28 -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r>
            <w:rPr>
              <w:rFonts w:hint="eastAsia" w:ascii="宋体" w:hAnsi="宋体" w:eastAsia="宋体" w:cs="宋体"/>
              <w:bCs/>
              <w:color w:val="000000" w:themeColor="text1"/>
              <w:sz w:val="36"/>
              <w:szCs w:val="36"/>
            </w:rPr>
            <w:fldChar w:fldCharType="begin"/>
          </w:r>
          <w:r>
            <w:rPr>
              <w:rFonts w:hint="eastAsia" w:ascii="宋体" w:hAnsi="宋体" w:eastAsia="宋体" w:cs="宋体"/>
              <w:bCs/>
              <w:sz w:val="36"/>
              <w:szCs w:val="36"/>
            </w:rPr>
            <w:instrText xml:space="preserve"> HYPERLINK \l _Toc3874 </w:instrText>
          </w:r>
          <w:r>
            <w:rPr>
              <w:rFonts w:hint="eastAsia" w:ascii="宋体" w:hAnsi="宋体" w:eastAsia="宋体" w:cs="宋体"/>
              <w:bCs/>
              <w:sz w:val="36"/>
              <w:szCs w:val="36"/>
            </w:rPr>
            <w:fldChar w:fldCharType="separate"/>
          </w:r>
          <w:r>
            <w:rPr>
              <w:rFonts w:hint="eastAsia" w:ascii="宋体" w:hAnsi="宋体" w:eastAsia="宋体" w:cs="宋体"/>
              <w:b/>
              <w:bCs/>
              <w:sz w:val="36"/>
              <w:szCs w:val="36"/>
            </w:rPr>
            <w:t>第六章</w:t>
          </w:r>
          <w:r>
            <w:rPr>
              <w:rFonts w:hint="eastAsia" w:ascii="宋体" w:hAnsi="宋体" w:eastAsia="宋体" w:cs="宋体"/>
              <w:sz w:val="36"/>
              <w:szCs w:val="36"/>
            </w:rPr>
            <w:t xml:space="preserve">  投标文件格式</w:t>
          </w:r>
          <w:r>
            <w:rPr>
              <w:rFonts w:hint="eastAsia" w:ascii="宋体" w:hAnsi="宋体" w:eastAsia="宋体" w:cs="宋体"/>
              <w:sz w:val="36"/>
              <w:szCs w:val="36"/>
            </w:rPr>
            <w:tab/>
          </w:r>
          <w:r>
            <w:rPr>
              <w:rFonts w:hint="eastAsia" w:ascii="宋体" w:hAnsi="宋体" w:eastAsia="宋体" w:cs="宋体"/>
              <w:sz w:val="36"/>
              <w:szCs w:val="36"/>
            </w:rPr>
            <w:fldChar w:fldCharType="begin"/>
          </w:r>
          <w:r>
            <w:rPr>
              <w:rFonts w:hint="eastAsia" w:ascii="宋体" w:hAnsi="宋体" w:eastAsia="宋体" w:cs="宋体"/>
              <w:sz w:val="36"/>
              <w:szCs w:val="36"/>
            </w:rPr>
            <w:instrText xml:space="preserve"> PAGEREF _Toc3874 \h </w:instrText>
          </w:r>
          <w:r>
            <w:rPr>
              <w:rFonts w:hint="eastAsia" w:ascii="宋体" w:hAnsi="宋体" w:eastAsia="宋体" w:cs="宋体"/>
              <w:sz w:val="36"/>
              <w:szCs w:val="36"/>
            </w:rPr>
            <w:fldChar w:fldCharType="separate"/>
          </w:r>
          <w:r>
            <w:rPr>
              <w:rFonts w:hint="eastAsia" w:ascii="宋体" w:hAnsi="宋体" w:eastAsia="宋体" w:cs="宋体"/>
              <w:sz w:val="36"/>
              <w:szCs w:val="36"/>
            </w:rPr>
            <w:t>- 31 -</w:t>
          </w:r>
          <w:r>
            <w:rPr>
              <w:rFonts w:hint="eastAsia" w:ascii="宋体" w:hAnsi="宋体" w:eastAsia="宋体" w:cs="宋体"/>
              <w:sz w:val="36"/>
              <w:szCs w:val="36"/>
            </w:rPr>
            <w:fldChar w:fldCharType="end"/>
          </w:r>
          <w:r>
            <w:rPr>
              <w:rFonts w:hint="eastAsia" w:ascii="宋体" w:hAnsi="宋体" w:eastAsia="宋体" w:cs="宋体"/>
              <w:bCs/>
              <w:color w:val="000000" w:themeColor="text1"/>
              <w:sz w:val="36"/>
              <w:szCs w:val="36"/>
            </w:rPr>
            <w:fldChar w:fldCharType="end"/>
          </w:r>
        </w:p>
        <w:p>
          <w:pPr>
            <w:pStyle w:val="148"/>
            <w:tabs>
              <w:tab w:val="right" w:leader="dot" w:pos="8953"/>
            </w:tabs>
            <w:rPr>
              <w:rFonts w:hint="eastAsia" w:ascii="宋体" w:hAnsi="宋体" w:eastAsia="宋体" w:cs="宋体"/>
              <w:sz w:val="36"/>
              <w:szCs w:val="36"/>
            </w:rPr>
          </w:pPr>
        </w:p>
        <w:p>
          <w:pPr>
            <w:pStyle w:val="32"/>
            <w:jc w:val="both"/>
            <w:rPr>
              <w:rFonts w:ascii="宋体" w:hAnsi="宋体" w:eastAsia="宋体" w:cs="宋体"/>
              <w:bCs/>
              <w:color w:val="000000" w:themeColor="text1"/>
              <w:kern w:val="2"/>
              <w:sz w:val="28"/>
              <w:szCs w:val="28"/>
              <w:lang w:val="en-US" w:eastAsia="zh-CN" w:bidi="ar-SA"/>
            </w:rPr>
            <w:sectPr>
              <w:footerReference r:id="rId5" w:type="first"/>
              <w:headerReference r:id="rId3" w:type="default"/>
              <w:footerReference r:id="rId4" w:type="default"/>
              <w:pgSz w:w="11906" w:h="16838"/>
              <w:pgMar w:top="1417" w:right="1587" w:bottom="1417" w:left="1366" w:header="851" w:footer="907" w:gutter="0"/>
              <w:pgNumType w:fmt="numberInDash"/>
              <w:cols w:space="0" w:num="1"/>
              <w:docGrid w:type="lines" w:linePitch="298" w:charSpace="0"/>
            </w:sectPr>
          </w:pPr>
          <w:r>
            <w:rPr>
              <w:rFonts w:hint="eastAsia" w:ascii="宋体" w:hAnsi="宋体" w:eastAsia="宋体" w:cs="宋体"/>
              <w:bCs/>
              <w:color w:val="000000" w:themeColor="text1"/>
              <w:sz w:val="36"/>
              <w:szCs w:val="36"/>
            </w:rPr>
            <w:fldChar w:fldCharType="end"/>
          </w:r>
        </w:p>
      </w:sdtContent>
    </w:sdt>
    <w:p>
      <w:pPr>
        <w:pStyle w:val="32"/>
        <w:jc w:val="center"/>
        <w:outlineLvl w:val="0"/>
        <w:rPr>
          <w:rStyle w:val="42"/>
          <w:rFonts w:ascii="宋体" w:hAnsi="宋体" w:eastAsia="宋体" w:cs="宋体"/>
          <w:b/>
          <w:bCs/>
          <w:color w:val="000000" w:themeColor="text1"/>
          <w:sz w:val="44"/>
          <w:szCs w:val="44"/>
        </w:rPr>
      </w:pPr>
      <w:bookmarkStart w:id="0" w:name="_Toc24746"/>
      <w:r>
        <w:rPr>
          <w:rStyle w:val="42"/>
          <w:rFonts w:hint="eastAsia" w:ascii="宋体" w:hAnsi="宋体" w:eastAsia="宋体" w:cs="宋体"/>
          <w:b/>
          <w:bCs/>
          <w:color w:val="000000" w:themeColor="text1"/>
          <w:sz w:val="44"/>
          <w:szCs w:val="44"/>
        </w:rPr>
        <w:t>第一章  招标公告</w:t>
      </w:r>
      <w:bookmarkEnd w:id="0"/>
    </w:p>
    <w:p>
      <w:pPr>
        <w:pStyle w:val="32"/>
        <w:tabs>
          <w:tab w:val="left" w:pos="0"/>
          <w:tab w:val="left" w:pos="3165"/>
          <w:tab w:val="center" w:pos="4153"/>
        </w:tabs>
        <w:spacing w:line="360" w:lineRule="auto"/>
        <w:rPr>
          <w:rStyle w:val="42"/>
          <w:rFonts w:ascii="宋体" w:hAnsi="宋体" w:eastAsia="宋体" w:cs="宋体"/>
          <w:b/>
          <w:bCs/>
          <w:color w:val="000000" w:themeColor="text1"/>
        </w:rPr>
      </w:pPr>
      <w:r>
        <w:rPr>
          <w:rStyle w:val="42"/>
          <w:rFonts w:hint="eastAsia" w:ascii="宋体" w:hAnsi="宋体" w:eastAsia="宋体" w:cs="宋体"/>
          <w:b/>
          <w:bCs/>
          <w:color w:val="000000" w:themeColor="text1"/>
          <w:sz w:val="32"/>
          <w:szCs w:val="32"/>
        </w:rPr>
        <w:t>药品与健康学院电脑等设备采购项目招标公告</w:t>
      </w:r>
    </w:p>
    <w:p>
      <w:pPr>
        <w:pBdr>
          <w:top w:val="single" w:color="000000" w:sz="4" w:space="1"/>
          <w:left w:val="single" w:color="000000" w:sz="4" w:space="4"/>
          <w:bottom w:val="single" w:color="000000" w:sz="4" w:space="1"/>
          <w:right w:val="single" w:color="000000" w:sz="4" w:space="4"/>
        </w:pBdr>
        <w:spacing w:line="460" w:lineRule="exac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项目概况</w:t>
      </w:r>
    </w:p>
    <w:p>
      <w:pPr>
        <w:pBdr>
          <w:top w:val="single" w:color="000000" w:sz="4" w:space="1"/>
          <w:left w:val="single" w:color="000000" w:sz="4" w:space="4"/>
          <w:bottom w:val="single" w:color="000000" w:sz="4" w:space="1"/>
          <w:right w:val="single" w:color="000000" w:sz="4" w:space="4"/>
        </w:pBdr>
        <w:spacing w:line="460" w:lineRule="exact"/>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u w:val="single" w:color="000000"/>
        </w:rPr>
        <w:t>药品与健康学院电脑等设备采购项目</w:t>
      </w:r>
      <w:r>
        <w:rPr>
          <w:rStyle w:val="42"/>
          <w:rFonts w:hint="eastAsia" w:ascii="宋体" w:hAnsi="宋体" w:cs="宋体"/>
          <w:bCs/>
          <w:color w:val="000000" w:themeColor="text1"/>
          <w:sz w:val="24"/>
          <w:szCs w:val="24"/>
        </w:rPr>
        <w:t>的潜在投标人应在</w:t>
      </w:r>
      <w:r>
        <w:rPr>
          <w:rStyle w:val="42"/>
          <w:rFonts w:hint="eastAsia" w:ascii="宋体" w:hAnsi="宋体" w:cs="宋体"/>
          <w:bCs/>
          <w:color w:val="000000" w:themeColor="text1"/>
          <w:sz w:val="24"/>
          <w:szCs w:val="24"/>
          <w:u w:val="single"/>
        </w:rPr>
        <w:t>盐城工业职业技术学院招标采购网</w:t>
      </w:r>
      <w:r>
        <w:rPr>
          <w:rStyle w:val="42"/>
          <w:rFonts w:hint="eastAsia" w:ascii="宋体" w:hAnsi="宋体" w:cs="宋体"/>
          <w:bCs/>
          <w:color w:val="000000" w:themeColor="text1"/>
          <w:sz w:val="24"/>
          <w:szCs w:val="24"/>
        </w:rPr>
        <w:t>获</w:t>
      </w:r>
      <w:r>
        <w:rPr>
          <w:rStyle w:val="42"/>
          <w:rFonts w:hint="eastAsia" w:ascii="宋体" w:hAnsi="宋体" w:cs="宋体"/>
          <w:color w:val="000000" w:themeColor="text1"/>
          <w:sz w:val="24"/>
          <w:szCs w:val="24"/>
        </w:rPr>
        <w:t>取招标文件，并于</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16</w:t>
      </w:r>
      <w:r>
        <w:rPr>
          <w:rStyle w:val="42"/>
          <w:rFonts w:hint="eastAsia" w:ascii="宋体" w:hAnsi="宋体" w:cs="宋体"/>
          <w:bCs/>
          <w:color w:val="000000" w:themeColor="text1"/>
          <w:sz w:val="24"/>
          <w:szCs w:val="24"/>
          <w:u w:val="single" w:color="000000"/>
        </w:rPr>
        <w:t>日9点00分（</w:t>
      </w:r>
      <w:r>
        <w:rPr>
          <w:rStyle w:val="42"/>
          <w:rFonts w:hint="eastAsia" w:ascii="宋体" w:hAnsi="宋体" w:cs="宋体"/>
          <w:bCs/>
          <w:color w:val="000000" w:themeColor="text1"/>
          <w:sz w:val="24"/>
          <w:szCs w:val="24"/>
        </w:rPr>
        <w:t>北京时间）前递交投标文件</w:t>
      </w:r>
      <w:r>
        <w:rPr>
          <w:rStyle w:val="42"/>
          <w:rFonts w:hint="eastAsia" w:ascii="宋体" w:hAnsi="宋体" w:cs="宋体"/>
          <w:color w:val="000000" w:themeColor="text1"/>
          <w:sz w:val="24"/>
          <w:szCs w:val="24"/>
        </w:rPr>
        <w:t>。</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一、项目基本情况</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项目编号：2021-</w:t>
      </w:r>
      <w:r>
        <w:rPr>
          <w:rStyle w:val="42"/>
          <w:rFonts w:hint="eastAsia" w:ascii="宋体" w:hAnsi="宋体" w:cs="宋体"/>
          <w:color w:val="000000" w:themeColor="text1"/>
          <w:sz w:val="24"/>
          <w:szCs w:val="24"/>
          <w:lang w:val="en-US" w:eastAsia="zh-CN"/>
        </w:rPr>
        <w:t>034W</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项目名称：药品与健康学院电脑等设备采购项目</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最高限价：</w:t>
      </w:r>
      <w:r>
        <w:rPr>
          <w:rStyle w:val="42"/>
          <w:rFonts w:hint="eastAsia" w:ascii="宋体" w:hAnsi="宋体" w:eastAsia="宋体" w:cs="宋体"/>
          <w:color w:val="000000" w:themeColor="text1"/>
          <w:sz w:val="24"/>
          <w:szCs w:val="24"/>
        </w:rPr>
        <w:t>45万元。</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采购需求：采购学生电脑、服务期、交换机，能够满足正常的药品经营与管理专业课程教学、实习实训所必需的电脑要求，可进行药品陈列系统、市场营销综合实训与竞赛系统、药品经营管理实训系统、电子商务软件系统等专业平台软件的教学及操作，具体详见招标文件项目需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合同履行期限：合同签订30天内交货，合同签订60天内完成整个</w:t>
      </w:r>
      <w:bookmarkStart w:id="1" w:name="_Hlk86008188"/>
      <w:r>
        <w:rPr>
          <w:rStyle w:val="42"/>
          <w:rFonts w:hint="eastAsia" w:ascii="宋体" w:hAnsi="宋体" w:cs="宋体"/>
          <w:color w:val="000000" w:themeColor="text1"/>
          <w:sz w:val="24"/>
          <w:szCs w:val="24"/>
        </w:rPr>
        <w:t>药品经营实训室（401-402）</w:t>
      </w:r>
      <w:bookmarkEnd w:id="1"/>
      <w:r>
        <w:rPr>
          <w:rStyle w:val="42"/>
          <w:rFonts w:hint="eastAsia" w:ascii="宋体" w:hAnsi="宋体" w:cs="宋体"/>
          <w:color w:val="000000" w:themeColor="text1"/>
          <w:sz w:val="24"/>
          <w:szCs w:val="24"/>
        </w:rPr>
        <w:t>建设。</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本项目</w:t>
      </w:r>
      <w:r>
        <w:rPr>
          <w:rStyle w:val="42"/>
          <w:rFonts w:hint="eastAsia" w:ascii="宋体" w:hAnsi="宋体" w:cs="宋体"/>
          <w:color w:val="000000" w:themeColor="text1"/>
          <w:sz w:val="24"/>
          <w:szCs w:val="24"/>
          <w:u w:val="single" w:color="000000"/>
        </w:rPr>
        <w:t>不接受</w:t>
      </w:r>
      <w:r>
        <w:rPr>
          <w:rStyle w:val="42"/>
          <w:rFonts w:hint="eastAsia" w:ascii="宋体" w:hAnsi="宋体" w:cs="宋体"/>
          <w:color w:val="000000" w:themeColor="text1"/>
          <w:sz w:val="24"/>
          <w:szCs w:val="24"/>
        </w:rPr>
        <w:t>联合体投标。</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二、投标人的资格要求：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1.满足《中华人民共和国政府采购法》第二十二条规定，并提供下列材料；</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（1）法人或者其他组织的营业执照等证明文件，自然人的身份证明；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（2）上一年度（2020年）的财务报表（成立不满一年不需提供）；</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（3）依法缴纳税收和社会保障资金的相关材料；</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（4）具备履行合同所必需的设备和专业技术能力的书面声明；</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（5）参加政府采购活动前3年内在经营活动中没有重大违法记录的书面声明；</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2.落实政府采购政策需满足的资格要求：</w:t>
      </w:r>
      <w:r>
        <w:rPr>
          <w:rStyle w:val="42"/>
          <w:rFonts w:hint="eastAsia" w:ascii="宋体" w:hAnsi="宋体" w:cs="宋体"/>
          <w:color w:val="000000" w:themeColor="text1"/>
          <w:sz w:val="24"/>
          <w:szCs w:val="24"/>
          <w:u w:val="single" w:color="000000"/>
        </w:rPr>
        <w:t>/</w:t>
      </w:r>
      <w:r>
        <w:rPr>
          <w:rStyle w:val="42"/>
          <w:rFonts w:hint="eastAsia" w:ascii="宋体" w:hAnsi="宋体" w:cs="宋体"/>
          <w:color w:val="000000" w:themeColor="text1"/>
          <w:sz w:val="24"/>
          <w:szCs w:val="24"/>
        </w:rPr>
        <w:t>。</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3.本项目的特定资格要求：</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(1)未被列入“信用中国”网站（www.creditchina.gov.cn）失信被执行人名单、重大税收违法案件当事人名单和中国政府采购网（www.ccgp.gov.cn）政府采购严重违法失信行为记录名单。</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(2)本项目不接受联合体投标。招标人谢绝联合体和杜绝挂靠单位参与本项目的投标，中标后不得以任何方式进行转包与分包。</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(3)投标人单位负责人为同一人或者存在直接控股、管理关系的不同投标人，不得参加同一标段投标活动。</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三、获取招标文件</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时间：自公告之日起至投标截止时间前1日。</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地点：盐城工业职业技术学院招标采购网。</w:t>
      </w:r>
    </w:p>
    <w:p>
      <w:pPr>
        <w:widowControl w:val="0"/>
        <w:snapToGrid w:val="0"/>
        <w:spacing w:line="360" w:lineRule="auto"/>
        <w:ind w:firstLine="480" w:firstLineChars="200"/>
        <w:jc w:val="left"/>
        <w:textAlignment w:val="auto"/>
        <w:rPr>
          <w:rFonts w:hint="eastAsia" w:ascii="宋体" w:hAnsi="宋体" w:cs="宋体"/>
          <w:bCs/>
          <w:color w:val="000000" w:themeColor="text1"/>
          <w:sz w:val="24"/>
        </w:rPr>
      </w:pPr>
      <w:r>
        <w:rPr>
          <w:rFonts w:hint="eastAsia" w:ascii="宋体" w:hAnsi="宋体" w:cs="宋体"/>
          <w:bCs/>
          <w:color w:val="000000" w:themeColor="text1"/>
          <w:sz w:val="24"/>
        </w:rPr>
        <w:t>报名时间及地点：本公告发布后凡具备上述资格条件，并自愿参加本项目投标的投标人应于2021年</w:t>
      </w:r>
      <w:r>
        <w:rPr>
          <w:rFonts w:hint="eastAsia" w:ascii="宋体" w:hAnsi="宋体" w:cs="宋体"/>
          <w:bCs/>
          <w:color w:val="000000" w:themeColor="text1"/>
          <w:sz w:val="24"/>
          <w:lang w:val="en-US" w:eastAsia="zh-CN"/>
        </w:rPr>
        <w:t>11</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24</w:t>
      </w:r>
      <w:r>
        <w:rPr>
          <w:rFonts w:hint="eastAsia" w:ascii="宋体" w:hAnsi="宋体" w:cs="宋体"/>
          <w:bCs/>
          <w:color w:val="000000" w:themeColor="text1"/>
          <w:sz w:val="24"/>
        </w:rPr>
        <w:t>日至2021年</w:t>
      </w:r>
      <w:r>
        <w:rPr>
          <w:rFonts w:hint="eastAsia" w:ascii="宋体" w:hAnsi="宋体" w:cs="宋体"/>
          <w:bCs/>
          <w:color w:val="000000" w:themeColor="text1"/>
          <w:sz w:val="24"/>
          <w:lang w:val="en-US" w:eastAsia="zh-CN"/>
        </w:rPr>
        <w:t>12</w:t>
      </w:r>
      <w:r>
        <w:rPr>
          <w:rFonts w:hint="eastAsia" w:ascii="宋体" w:hAnsi="宋体" w:cs="宋体"/>
          <w:bCs/>
          <w:color w:val="000000" w:themeColor="text1"/>
          <w:sz w:val="24"/>
        </w:rPr>
        <w:t>月</w:t>
      </w:r>
      <w:r>
        <w:rPr>
          <w:rFonts w:hint="eastAsia" w:ascii="宋体" w:hAnsi="宋体" w:cs="宋体"/>
          <w:bCs/>
          <w:color w:val="000000" w:themeColor="text1"/>
          <w:sz w:val="24"/>
          <w:lang w:val="en-US" w:eastAsia="zh-CN"/>
        </w:rPr>
        <w:t>6日</w:t>
      </w:r>
      <w:r>
        <w:rPr>
          <w:rFonts w:hint="eastAsia" w:ascii="宋体" w:hAnsi="宋体" w:cs="宋体"/>
          <w:bCs/>
          <w:color w:val="000000" w:themeColor="text1"/>
          <w:sz w:val="24"/>
        </w:rPr>
        <w:t>委派本单位正式人员携带单位介绍信或授权委托书到盐城市金融城四号楼1103室</w:t>
      </w:r>
      <w:r>
        <w:rPr>
          <w:rFonts w:hint="eastAsia" w:ascii="宋体" w:hAnsi="宋体" w:cs="宋体"/>
          <w:bCs/>
          <w:color w:val="000000" w:themeColor="text1"/>
          <w:sz w:val="24"/>
          <w:lang w:eastAsia="zh-CN"/>
        </w:rPr>
        <w:t>（</w:t>
      </w:r>
      <w:r>
        <w:rPr>
          <w:rFonts w:hint="eastAsia" w:ascii="宋体" w:hAnsi="宋体" w:cs="宋体"/>
          <w:bCs/>
          <w:color w:val="000000" w:themeColor="text1"/>
          <w:sz w:val="24"/>
          <w:lang w:val="en-US" w:eastAsia="zh-CN"/>
        </w:rPr>
        <w:t>也可线上报名联系电话</w:t>
      </w:r>
      <w:r>
        <w:rPr>
          <w:rFonts w:hint="eastAsia" w:ascii="宋体" w:hAnsi="宋体" w:cs="宋体"/>
          <w:bCs/>
          <w:color w:val="000000" w:themeColor="text1"/>
          <w:sz w:val="24"/>
        </w:rPr>
        <w:t>13024494996</w:t>
      </w:r>
      <w:r>
        <w:rPr>
          <w:rFonts w:hint="eastAsia" w:ascii="宋体" w:hAnsi="宋体" w:cs="宋体"/>
          <w:bCs/>
          <w:color w:val="000000" w:themeColor="text1"/>
          <w:sz w:val="24"/>
          <w:lang w:val="en-US" w:eastAsia="zh-CN"/>
        </w:rPr>
        <w:t>）</w:t>
      </w:r>
      <w:r>
        <w:rPr>
          <w:rFonts w:hint="eastAsia" w:ascii="宋体" w:hAnsi="宋体" w:cs="宋体"/>
          <w:bCs/>
          <w:color w:val="000000" w:themeColor="text1"/>
          <w:sz w:val="24"/>
        </w:rPr>
        <w:t>报名且购买招标文件，逾期报名的不予接收。</w:t>
      </w:r>
    </w:p>
    <w:p>
      <w:pPr>
        <w:widowControl w:val="0"/>
        <w:snapToGrid w:val="0"/>
        <w:spacing w:line="360" w:lineRule="auto"/>
        <w:ind w:firstLine="480" w:firstLineChars="200"/>
        <w:jc w:val="left"/>
        <w:textAlignment w:val="auto"/>
        <w:rPr>
          <w:rFonts w:hint="eastAsia" w:ascii="宋体" w:hAnsi="宋体" w:cs="宋体"/>
          <w:bCs/>
          <w:color w:val="000000" w:themeColor="text1"/>
          <w:sz w:val="24"/>
        </w:rPr>
      </w:pPr>
      <w:r>
        <w:rPr>
          <w:rFonts w:hint="eastAsia" w:ascii="宋体" w:hAnsi="宋体" w:cs="宋体"/>
          <w:bCs/>
          <w:color w:val="000000" w:themeColor="text1"/>
          <w:sz w:val="24"/>
        </w:rPr>
        <w:t>售价：人民币500元</w:t>
      </w:r>
      <w:r>
        <w:rPr>
          <w:rFonts w:hint="eastAsia" w:ascii="宋体" w:hAnsi="宋体" w:cs="宋体"/>
          <w:bCs/>
          <w:color w:val="000000" w:themeColor="text1"/>
          <w:sz w:val="24"/>
          <w:lang w:eastAsia="zh-CN"/>
        </w:rPr>
        <w:t>，</w:t>
      </w:r>
      <w:r>
        <w:rPr>
          <w:rFonts w:hint="eastAsia" w:ascii="宋体" w:hAnsi="宋体" w:cs="宋体"/>
          <w:bCs/>
          <w:color w:val="000000" w:themeColor="text1"/>
          <w:sz w:val="24"/>
          <w:lang w:val="en-US" w:eastAsia="zh-CN"/>
        </w:rPr>
        <w:t>报名时缴纳，售后不退</w:t>
      </w:r>
      <w:r>
        <w:rPr>
          <w:rFonts w:hint="eastAsia" w:ascii="宋体" w:hAnsi="宋体" w:cs="宋体"/>
          <w:bCs/>
          <w:color w:val="000000" w:themeColor="text1"/>
          <w:sz w:val="24"/>
        </w:rPr>
        <w:t>。</w:t>
      </w:r>
    </w:p>
    <w:p>
      <w:pPr>
        <w:widowControl w:val="0"/>
        <w:snapToGrid w:val="0"/>
        <w:spacing w:line="360" w:lineRule="auto"/>
        <w:ind w:firstLine="480" w:firstLineChars="200"/>
        <w:jc w:val="left"/>
        <w:textAlignment w:val="auto"/>
        <w:rPr>
          <w:rFonts w:ascii="宋体" w:hAnsi="宋体" w:cs="宋体"/>
          <w:bCs/>
          <w:color w:val="000000" w:themeColor="text1"/>
          <w:sz w:val="24"/>
        </w:rPr>
      </w:pPr>
      <w:r>
        <w:rPr>
          <w:rFonts w:hint="eastAsia" w:ascii="宋体" w:hAnsi="宋体" w:cs="宋体"/>
          <w:bCs/>
          <w:color w:val="000000" w:themeColor="text1"/>
          <w:sz w:val="24"/>
        </w:rPr>
        <w:t>有关本次招标的事项若存在变动或修改，敬请及时关注盐城工业职业技术学院招标采购网发布的信息更正公告。</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四、提交投标文件截止时间、开标时间和地点</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时间：</w:t>
      </w:r>
      <w:r>
        <w:rPr>
          <w:rStyle w:val="42"/>
          <w:rFonts w:hint="eastAsia" w:ascii="宋体" w:hAnsi="宋体" w:cs="宋体"/>
          <w:color w:val="000000" w:themeColor="text1"/>
          <w:sz w:val="24"/>
          <w:szCs w:val="24"/>
          <w:u w:val="single" w:color="000000"/>
        </w:rPr>
        <w:t>2021</w:t>
      </w:r>
      <w:r>
        <w:rPr>
          <w:rStyle w:val="42"/>
          <w:rFonts w:hint="eastAsia" w:ascii="宋体" w:hAnsi="宋体" w:cs="宋体"/>
          <w:bCs/>
          <w:color w:val="000000" w:themeColor="text1"/>
          <w:sz w:val="24"/>
          <w:szCs w:val="24"/>
          <w:u w:val="single" w:color="000000"/>
        </w:rPr>
        <w:t>年</w:t>
      </w:r>
      <w:r>
        <w:rPr>
          <w:rStyle w:val="42"/>
          <w:rFonts w:hint="eastAsia" w:ascii="宋体" w:hAnsi="宋体" w:cs="宋体"/>
          <w:bCs/>
          <w:color w:val="000000" w:themeColor="text1"/>
          <w:sz w:val="24"/>
          <w:szCs w:val="24"/>
          <w:u w:val="single" w:color="000000"/>
          <w:lang w:val="en-US" w:eastAsia="zh-CN"/>
        </w:rPr>
        <w:t>12</w:t>
      </w:r>
      <w:r>
        <w:rPr>
          <w:rStyle w:val="42"/>
          <w:rFonts w:hint="eastAsia" w:ascii="宋体" w:hAnsi="宋体" w:cs="宋体"/>
          <w:bCs/>
          <w:color w:val="000000" w:themeColor="text1"/>
          <w:sz w:val="24"/>
          <w:szCs w:val="24"/>
          <w:u w:val="single" w:color="000000"/>
        </w:rPr>
        <w:t>月</w:t>
      </w:r>
      <w:r>
        <w:rPr>
          <w:rStyle w:val="42"/>
          <w:rFonts w:hint="eastAsia" w:ascii="宋体" w:hAnsi="宋体" w:cs="宋体"/>
          <w:bCs/>
          <w:color w:val="000000" w:themeColor="text1"/>
          <w:sz w:val="24"/>
          <w:szCs w:val="24"/>
          <w:u w:val="single" w:color="000000"/>
          <w:lang w:val="en-US" w:eastAsia="zh-CN"/>
        </w:rPr>
        <w:t>16</w:t>
      </w:r>
      <w:r>
        <w:rPr>
          <w:rStyle w:val="42"/>
          <w:rFonts w:hint="eastAsia" w:ascii="宋体" w:hAnsi="宋体" w:cs="宋体"/>
          <w:bCs/>
          <w:color w:val="000000" w:themeColor="text1"/>
          <w:sz w:val="24"/>
          <w:szCs w:val="24"/>
          <w:u w:val="single" w:color="000000"/>
        </w:rPr>
        <w:t>日9点00分</w:t>
      </w:r>
      <w:r>
        <w:rPr>
          <w:rStyle w:val="42"/>
          <w:rFonts w:hint="eastAsia" w:ascii="宋体" w:hAnsi="宋体" w:cs="宋体"/>
          <w:color w:val="000000" w:themeColor="text1"/>
          <w:sz w:val="24"/>
          <w:szCs w:val="24"/>
        </w:rPr>
        <w:t>（北京时间）</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地点：盐城工业职业技术学院（盐城市解放南路285号）后勤服务中心四楼402开标室。</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五、公告期限</w:t>
      </w:r>
    </w:p>
    <w:p>
      <w:pPr>
        <w:adjustRightInd w:val="0"/>
        <w:snapToGrid w:val="0"/>
        <w:spacing w:line="336" w:lineRule="auto"/>
        <w:ind w:firstLine="480" w:firstLineChars="200"/>
        <w:rPr>
          <w:rStyle w:val="42"/>
          <w:rFonts w:ascii="宋体" w:hAnsi="宋体" w:cs="宋体"/>
          <w:color w:val="000000" w:themeColor="text1"/>
          <w:kern w:val="0"/>
          <w:sz w:val="24"/>
          <w:szCs w:val="24"/>
        </w:rPr>
      </w:pPr>
      <w:r>
        <w:rPr>
          <w:rStyle w:val="42"/>
          <w:rFonts w:hint="eastAsia" w:ascii="宋体" w:hAnsi="宋体" w:cs="宋体"/>
          <w:color w:val="000000" w:themeColor="text1"/>
          <w:kern w:val="0"/>
          <w:sz w:val="24"/>
          <w:szCs w:val="24"/>
        </w:rPr>
        <w:t>自本公告发布之日起5个工作日。</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六、其他补充事宜</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(一)因疫情防控需要，为确保校园安全，投标人进入盐城工业职业技术学院校区时应服从下列疫情防控措施：</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1.投标前14天内与确诊/疑似病例或无症状感染者有密切接触的人员，以及与密切接触者接触的次密切接触者，一律不得进校。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2.投标前14天内接触过境外归国人员（未解除隔离的），按次密切接触者处置，一律不得进校。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3.投标前14天内有疫情中高风险地区（以开标前一日权威发布的疫情风险等级区域划分为依据）旅居史的人员，一律不得进校。</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4.投标前14天内有中高风险地区所在设区市的其他低风险地区旅居史的人员，须持有48小时内核酸检测阴性证明，或者能够出示包括48小时内核酸检测阴性证明的健康码。</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5.投标前14天内出现发热或呼吸道症状的人员，经当地医院就诊治疗，排除新冠病毒感染并在身体康复后，须持有48小时内核酸检测阴性证明，或者能够出示包括48小时内核酸检测阴性证明的健康码。</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6.投标人进入校园前，须在学校东门外相关工作人员处进行信息实名登记，主动出示有效“健康码”（非绿色健康码拒绝进入校园）和“行程码”，并接受体温测量（如体温≥37.3度一律不得进校园），符合要求方可进入。</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7.投标人从东门进出，车辆一律不得进入校园（如确因提供样品需要，经同意后可进校园，服从管理，在指定位置停放）。</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8.各投标项目授权代表限1人进入校园，项目授权代表进入校园时须全程配戴口罩，做好手部消毒及投标文件等消毒防护工作。</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9.投标人进入校园须由校方人员引领，直接到后勤服务楼402开标室递交投标材料并在原地等候，不得到非相关场所活动；投标工作结束后由校方人员引领立即离开校园，不逗留。各投标人预留好相应时间，配合做好上述管控措施。</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10.投标人未如实报告个人信息，承担相应责任和法律后果，引发问题学校可取消其中标资格。</w:t>
      </w:r>
      <w:r>
        <w:rPr>
          <w:rStyle w:val="42"/>
          <w:rFonts w:hint="eastAsia" w:ascii="宋体" w:hAnsi="宋体" w:cs="宋体"/>
          <w:color w:val="000000" w:themeColor="text1"/>
          <w:sz w:val="24"/>
          <w:szCs w:val="24"/>
        </w:rPr>
        <w:br w:type="textWrapping"/>
      </w:r>
      <w:r>
        <w:rPr>
          <w:rStyle w:val="42"/>
          <w:rFonts w:hint="eastAsia" w:ascii="宋体" w:hAnsi="宋体" w:cs="宋体"/>
          <w:color w:val="000000" w:themeColor="text1"/>
          <w:sz w:val="24"/>
          <w:szCs w:val="24"/>
        </w:rPr>
        <w:t xml:space="preserve">    请各投标人预留好相应时间，配合做好上述管控措施。</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(二)投标文件制作份数要求：正本份数：1份，副本份数：4份。</w:t>
      </w:r>
    </w:p>
    <w:p>
      <w:pPr>
        <w:pStyle w:val="32"/>
        <w:tabs>
          <w:tab w:val="left" w:pos="0"/>
          <w:tab w:val="left" w:pos="3165"/>
          <w:tab w:val="center" w:pos="4153"/>
        </w:tabs>
        <w:adjustRightInd w:val="0"/>
        <w:snapToGrid w:val="0"/>
        <w:spacing w:line="336" w:lineRule="auto"/>
        <w:ind w:firstLine="482" w:firstLineChars="200"/>
        <w:jc w:val="left"/>
        <w:rPr>
          <w:rStyle w:val="42"/>
          <w:rFonts w:ascii="宋体" w:hAnsi="宋体" w:eastAsia="宋体" w:cs="宋体"/>
          <w:b/>
          <w:bCs/>
          <w:color w:val="000000" w:themeColor="text1"/>
          <w:sz w:val="24"/>
          <w:szCs w:val="24"/>
        </w:rPr>
      </w:pPr>
      <w:r>
        <w:rPr>
          <w:rStyle w:val="42"/>
          <w:rFonts w:hint="eastAsia" w:ascii="宋体" w:hAnsi="宋体" w:eastAsia="宋体" w:cs="宋体"/>
          <w:b/>
          <w:bCs/>
          <w:color w:val="000000" w:themeColor="text1"/>
          <w:sz w:val="24"/>
          <w:szCs w:val="24"/>
        </w:rPr>
        <w:t>七、对本次招标提出询问，请按以下方式联系。</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1.采购人信息</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名称：盐城工业职业技术学院</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地址：盐城工业职业技术学院后勤服务中心四楼405室招标办公室</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联系人：赵老师             </w:t>
      </w:r>
    </w:p>
    <w:p>
      <w:pPr>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联系电话：0515-88588707</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2.采购代理机构信息</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名称：江苏伟业项目管理有限公司</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地址：盐城市金融城四号楼1103</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联系人：周鹏              </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联系电话：13024494996</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3.项目联系方式</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项目联系人：王岚 </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电话：0515-88583930</w:t>
      </w:r>
    </w:p>
    <w:p>
      <w:pPr>
        <w:widowControl w:val="0"/>
        <w:adjustRightInd w:val="0"/>
        <w:snapToGrid w:val="0"/>
        <w:spacing w:line="336"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对项目需求部分的询问、质疑请向项目联系人提出，询问、质疑由项目联系人负责答复。</w:t>
      </w:r>
    </w:p>
    <w:p>
      <w:pPr>
        <w:pStyle w:val="33"/>
        <w:spacing w:before="0" w:after="0" w:line="240" w:lineRule="auto"/>
        <w:outlineLvl w:val="0"/>
        <w:rPr>
          <w:rStyle w:val="42"/>
          <w:rFonts w:ascii="宋体" w:hAnsi="宋体" w:eastAsia="宋体" w:cs="宋体"/>
          <w:b w:val="0"/>
          <w:bCs w:val="0"/>
          <w:color w:val="000000" w:themeColor="text1"/>
        </w:rPr>
      </w:pPr>
      <w:bookmarkStart w:id="2" w:name="_Toc5664"/>
      <w:r>
        <w:rPr>
          <w:rStyle w:val="42"/>
          <w:rFonts w:hint="eastAsia" w:ascii="宋体" w:hAnsi="宋体" w:eastAsia="宋体" w:cs="宋体"/>
          <w:color w:val="000000" w:themeColor="text1"/>
        </w:rPr>
        <w:t>第二章  投标人须知</w:t>
      </w:r>
      <w:bookmarkEnd w:id="2"/>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一、总则</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1、招标方式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 本次招标采取公开招标方式，本招标文件仅适用于招标公告中所述项目。</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2、合格的投标人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2.1满足招标公告中供应商的资格要求的规定。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 满足本文件实质性条款的规定。</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3、适用法律</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 本次招标及由此产生的合同受中华人民共和国有关的法律法规制约和保护。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4、投标费用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4.1</w:t>
      </w:r>
      <w:r>
        <w:rPr>
          <w:rStyle w:val="42"/>
          <w:rFonts w:hint="eastAsia" w:ascii="宋体" w:hAnsi="宋体" w:cs="宋体"/>
          <w:color w:val="000000" w:themeColor="text1"/>
          <w:sz w:val="24"/>
          <w:szCs w:val="24"/>
        </w:rPr>
        <w:t xml:space="preserve"> 投标人应自行承担所有与参加投标有关的费用，无论投标过程中的做法和结果如何，采购人及采购代理机构在任何情况下均无义务和责任承担这些费用。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4.2本项目中标人与采购人签订合同前领取中标通知书时须向采购代理机构支付招标代理服务费，发改价格（2011）534号文规定的标准×40%计取，如低于3000元的直接按3000元计取。上述费用由各投标人在投标时自行综合考虑分摊含进投标报价中，且不得单列，采购人不再承担上述费用。</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5、招标文件的约束力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5.1</w:t>
      </w:r>
      <w:r>
        <w:rPr>
          <w:rStyle w:val="42"/>
          <w:rFonts w:hint="eastAsia" w:ascii="宋体" w:hAnsi="宋体" w:cs="宋体"/>
          <w:color w:val="000000" w:themeColor="text1"/>
          <w:sz w:val="24"/>
          <w:szCs w:val="24"/>
        </w:rPr>
        <w:t xml:space="preserve"> 投标人一旦参加本项目采购活动，即被认为接受了本招标文件的规定和约束，并且视为自招标公告期限届满之日起知道或应当知道自身权益是否受到了损害。</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6、招标文件的解释</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6.1 本招标文件由采购人或采购代理机构负责解释。</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二、招标文件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7、招标文件构成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7.1</w:t>
      </w:r>
      <w:r>
        <w:rPr>
          <w:rStyle w:val="42"/>
          <w:rFonts w:hint="eastAsia" w:ascii="宋体" w:hAnsi="宋体" w:cs="宋体"/>
          <w:color w:val="000000" w:themeColor="text1"/>
          <w:sz w:val="24"/>
          <w:szCs w:val="24"/>
        </w:rPr>
        <w:t xml:space="preserve"> 招标文件有以下部分组成：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（1）招标公告</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（2）投标人须知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（3）合同条款及格式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（4）项目需求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（5）评标方法与评标标准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（6）投标文件格式</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请仔细检查招标文件是否齐全，如有缺漏请立即与采购人或采购代理机构联系解决。</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7.2</w:t>
      </w:r>
      <w:r>
        <w:rPr>
          <w:rStyle w:val="42"/>
          <w:rFonts w:hint="eastAsia" w:ascii="宋体" w:hAnsi="宋体" w:cs="宋体"/>
          <w:color w:val="000000" w:themeColor="text1"/>
          <w:sz w:val="24"/>
          <w:szCs w:val="24"/>
        </w:rPr>
        <w:t xml:space="preserve"> 投标人应认真阅读招标文件中所有的事项、格式、条款和规范等要求。按招标文件要求和规定编制投标文件，并保证所提供的全部资料的真实性，以使其投标文件对招标文件作出实质性响应，否则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8、招标文件的询问</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8.1</w:t>
      </w:r>
      <w:r>
        <w:rPr>
          <w:rStyle w:val="42"/>
          <w:rFonts w:hint="eastAsia" w:ascii="宋体" w:hAnsi="宋体" w:cs="宋体"/>
          <w:color w:val="000000" w:themeColor="text1"/>
          <w:sz w:val="24"/>
          <w:szCs w:val="24"/>
        </w:rPr>
        <w:t xml:space="preserve"> 任何要求对招标文件进行询问的投标人，应在投标截止日期</w:t>
      </w:r>
      <w:r>
        <w:rPr>
          <w:rStyle w:val="42"/>
          <w:rFonts w:hint="eastAsia" w:ascii="宋体" w:hAnsi="宋体" w:cs="宋体"/>
          <w:b/>
          <w:color w:val="000000" w:themeColor="text1"/>
          <w:sz w:val="24"/>
          <w:szCs w:val="24"/>
        </w:rPr>
        <w:t>十日</w:t>
      </w:r>
      <w:r>
        <w:rPr>
          <w:rStyle w:val="42"/>
          <w:rFonts w:hint="eastAsia" w:ascii="宋体" w:hAnsi="宋体" w:cs="宋体"/>
          <w:color w:val="000000" w:themeColor="text1"/>
          <w:sz w:val="24"/>
          <w:szCs w:val="24"/>
        </w:rPr>
        <w:t>前按招标公告中的通讯地址，向采购人或采购代理机构提出。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9、招标文件的修改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9.1</w:t>
      </w:r>
      <w:r>
        <w:rPr>
          <w:rStyle w:val="42"/>
          <w:rFonts w:hint="eastAsia" w:ascii="宋体" w:hAnsi="宋体" w:cs="宋体"/>
          <w:color w:val="000000" w:themeColor="text1"/>
          <w:sz w:val="24"/>
          <w:szCs w:val="24"/>
        </w:rPr>
        <w:t xml:space="preserve"> 在投标截止时间前，采购人或采购代理机构可以对招标文件进行修改。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9.2</w:t>
      </w:r>
      <w:r>
        <w:rPr>
          <w:rStyle w:val="42"/>
          <w:rFonts w:hint="eastAsia" w:ascii="宋体" w:hAnsi="宋体" w:cs="宋体"/>
          <w:color w:val="000000" w:themeColor="text1"/>
          <w:sz w:val="24"/>
          <w:szCs w:val="24"/>
        </w:rPr>
        <w:t>采购人或采购代理机构有权依法推迟投标截止日期和开标日期。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9.3</w:t>
      </w:r>
      <w:r>
        <w:rPr>
          <w:rStyle w:val="42"/>
          <w:rFonts w:hint="eastAsia" w:ascii="宋体" w:hAnsi="宋体" w:cs="宋体"/>
          <w:color w:val="000000" w:themeColor="text1"/>
          <w:sz w:val="24"/>
          <w:szCs w:val="24"/>
        </w:rPr>
        <w:t>招标文件的修改将在</w:t>
      </w:r>
      <w:r>
        <w:rPr>
          <w:rStyle w:val="42"/>
          <w:rFonts w:hint="eastAsia" w:ascii="宋体" w:hAnsi="宋体" w:cs="宋体"/>
          <w:bCs/>
          <w:color w:val="000000" w:themeColor="text1"/>
          <w:sz w:val="24"/>
          <w:szCs w:val="24"/>
        </w:rPr>
        <w:t>盐城工业职业技术学院招标采购网</w:t>
      </w:r>
      <w:r>
        <w:rPr>
          <w:rStyle w:val="42"/>
          <w:rFonts w:hint="eastAsia" w:ascii="宋体" w:hAnsi="宋体" w:cs="宋体"/>
          <w:color w:val="000000" w:themeColor="text1"/>
          <w:sz w:val="24"/>
          <w:szCs w:val="24"/>
        </w:rPr>
        <w:t>公布，补充文件将作为招标文件的组成部分，并对投标人具有约束力。</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三、投标文件的编制</w:t>
      </w:r>
    </w:p>
    <w:p>
      <w:pPr>
        <w:pStyle w:val="36"/>
        <w:snapToGrid w:val="0"/>
        <w:spacing w:before="0" w:after="0"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 w:val="0"/>
          <w:bCs/>
          <w:color w:val="000000" w:themeColor="text1"/>
          <w:sz w:val="24"/>
          <w:szCs w:val="24"/>
        </w:rPr>
        <w:t>10、投标文件的语言及度量衡单位</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10.1</w:t>
      </w:r>
      <w:r>
        <w:rPr>
          <w:rStyle w:val="42"/>
          <w:rFonts w:hint="eastAsia" w:ascii="宋体" w:hAnsi="宋体" w:cs="宋体"/>
          <w:color w:val="000000" w:themeColor="text1"/>
          <w:sz w:val="24"/>
          <w:szCs w:val="24"/>
        </w:rPr>
        <w:t xml:space="preserve"> 投标人提交的投标文件以及投标人与采购人或采购代理机构就有关投标的所有来往通知、函件和文件均应使用</w:t>
      </w:r>
      <w:r>
        <w:rPr>
          <w:rStyle w:val="42"/>
          <w:rFonts w:hint="eastAsia" w:ascii="宋体" w:hAnsi="宋体" w:cs="宋体"/>
          <w:b/>
          <w:bCs/>
          <w:color w:val="000000" w:themeColor="text1"/>
          <w:sz w:val="24"/>
          <w:szCs w:val="24"/>
        </w:rPr>
        <w:t>简体中文</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10.2</w:t>
      </w:r>
      <w:r>
        <w:rPr>
          <w:rStyle w:val="42"/>
          <w:rFonts w:hint="eastAsia" w:ascii="宋体" w:hAnsi="宋体" w:cs="宋体"/>
          <w:color w:val="000000" w:themeColor="text1"/>
          <w:sz w:val="24"/>
          <w:szCs w:val="24"/>
        </w:rPr>
        <w:t xml:space="preserve"> 除技术性能另有规定外，投标文件所使用的度量衡单位，均须采用国家法定计量单位。</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11、投标文件构成</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11.1</w:t>
      </w:r>
      <w:r>
        <w:rPr>
          <w:rStyle w:val="42"/>
          <w:rFonts w:hint="eastAsia" w:ascii="宋体" w:hAnsi="宋体" w:cs="宋体"/>
          <w:color w:val="000000" w:themeColor="text1"/>
          <w:sz w:val="24"/>
          <w:szCs w:val="24"/>
        </w:rPr>
        <w:t xml:space="preserve"> 投标人编写的投标文件应包括资信证明文件、投标函、开标一览表等部分；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11.2投标人应将投标文件按顺序装订成册，并编制投标文件资料目录。</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12、证明投标人资格及符合招标文件规定的文件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12.1投标人应按要求提交资格证明文件及符合招标文件规定的文件。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12.2投标人应提交证明其有资格参加投标和中标后有能力独立履行合同的文件。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12.3投标人除必须具有履行合同所需提供的货物以及服务的能力外，还必须具备相应的财务、技术方面的能力。</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12.4投标人应提交根据合同要求提供的证明货物以及服务质量合格以及符合招标文件规定的证明文件。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12.5证明投标人所提供货物及服务与招标文件的要求相一致的文件可以是手册、图纸、文字资料和数据</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13、供货一览表和投标配置与分项报价表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13.1</w:t>
      </w:r>
      <w:r>
        <w:rPr>
          <w:rStyle w:val="42"/>
          <w:rFonts w:hint="eastAsia" w:ascii="宋体" w:hAnsi="宋体" w:cs="宋体"/>
          <w:color w:val="000000" w:themeColor="text1"/>
          <w:sz w:val="24"/>
          <w:szCs w:val="24"/>
        </w:rPr>
        <w:t xml:space="preserve"> 投标人应按照招标文件规定格式填报。每项货物和服务等只允许有一个报价，任何有选择的报价将不予接受(如有备选配件，备选配件的报价不属于选择的报价)。</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13.2</w:t>
      </w:r>
      <w:r>
        <w:rPr>
          <w:rStyle w:val="42"/>
          <w:rFonts w:hint="eastAsia" w:ascii="宋体" w:hAnsi="宋体" w:cs="宋体"/>
          <w:color w:val="000000" w:themeColor="text1"/>
          <w:sz w:val="24"/>
          <w:szCs w:val="24"/>
        </w:rPr>
        <w:t xml:space="preserve"> 标的物</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采购人需求的货物供应、安装，调试及有关技术服务等</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13.3有关费用处理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人的投标报价是对本次采购及相关服务提出的各项支付金额的总和，包括（但不限于）为材料、劳务、机械投入、利润、税金、管理费、规费、措施费、风险费用、招标文件规定的各项所需的全部费用、不可预见费及其它一切相关费用。凡漏项或少计均视为已包含在本次投标报价的范围以内，招标人不再另行增加费用，结算时不再调整全费用综合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13.4</w:t>
      </w:r>
      <w:r>
        <w:rPr>
          <w:rStyle w:val="42"/>
          <w:rFonts w:hint="eastAsia" w:ascii="宋体" w:hAnsi="宋体" w:cs="宋体"/>
          <w:bCs/>
          <w:color w:val="000000" w:themeColor="text1"/>
          <w:sz w:val="24"/>
          <w:szCs w:val="24"/>
        </w:rPr>
        <w:t>其它费用处理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招标文件未列明，而投标人认为必需的费用也需列入报价。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13.5</w:t>
      </w:r>
      <w:r>
        <w:rPr>
          <w:rStyle w:val="42"/>
          <w:rFonts w:hint="eastAsia" w:ascii="宋体" w:hAnsi="宋体" w:cs="宋体"/>
          <w:bCs/>
          <w:color w:val="000000" w:themeColor="text1"/>
          <w:sz w:val="24"/>
          <w:szCs w:val="24"/>
        </w:rPr>
        <w:t>投标货币</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投标文件中的货物</w:t>
      </w:r>
      <w:r>
        <w:rPr>
          <w:rStyle w:val="42"/>
          <w:rFonts w:hint="eastAsia" w:ascii="宋体" w:hAnsi="宋体" w:cs="宋体"/>
          <w:color w:val="000000" w:themeColor="text1"/>
          <w:sz w:val="24"/>
          <w:szCs w:val="24"/>
        </w:rPr>
        <w:t>及服务</w:t>
      </w:r>
      <w:r>
        <w:rPr>
          <w:rStyle w:val="42"/>
          <w:rFonts w:hint="eastAsia" w:ascii="宋体" w:hAnsi="宋体" w:cs="宋体"/>
          <w:bCs/>
          <w:color w:val="000000" w:themeColor="text1"/>
          <w:sz w:val="24"/>
          <w:szCs w:val="24"/>
        </w:rPr>
        <w:t>单价和总价无特殊规定的采用人民币报价，以元为单位标注。</w:t>
      </w:r>
      <w:r>
        <w:rPr>
          <w:rStyle w:val="42"/>
          <w:rFonts w:hint="eastAsia" w:ascii="宋体" w:hAnsi="宋体" w:cs="宋体"/>
          <w:color w:val="000000" w:themeColor="text1"/>
          <w:sz w:val="24"/>
          <w:szCs w:val="24"/>
        </w:rPr>
        <w:t>招标文件中另有规定的按规定执行。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13.6</w:t>
      </w:r>
      <w:r>
        <w:rPr>
          <w:rStyle w:val="42"/>
          <w:rFonts w:hint="eastAsia" w:ascii="宋体" w:hAnsi="宋体" w:cs="宋体"/>
          <w:bCs/>
          <w:color w:val="000000" w:themeColor="text1"/>
          <w:sz w:val="24"/>
          <w:szCs w:val="24"/>
        </w:rPr>
        <w:t xml:space="preserve"> 投标配置与分项报价表上的价格应按下列方式分开填写</w:t>
      </w:r>
      <w:r>
        <w:rPr>
          <w:rStyle w:val="42"/>
          <w:rFonts w:hint="eastAsia" w:ascii="宋体" w:hAnsi="宋体" w:cs="宋体"/>
          <w:color w:val="000000" w:themeColor="text1"/>
          <w:sz w:val="24"/>
          <w:szCs w:val="24"/>
        </w:rPr>
        <w:t>：</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13.6.1 </w:t>
      </w:r>
      <w:r>
        <w:rPr>
          <w:rStyle w:val="42"/>
          <w:rFonts w:hint="eastAsia" w:ascii="宋体" w:hAnsi="宋体" w:cs="宋体"/>
          <w:color w:val="000000" w:themeColor="text1"/>
          <w:sz w:val="24"/>
          <w:szCs w:val="24"/>
        </w:rPr>
        <w:t>项目总价：包括</w:t>
      </w:r>
      <w:r>
        <w:rPr>
          <w:rStyle w:val="42"/>
          <w:rFonts w:hint="eastAsia" w:ascii="宋体" w:hAnsi="宋体" w:cs="宋体"/>
          <w:bCs/>
          <w:color w:val="000000" w:themeColor="text1"/>
          <w:sz w:val="24"/>
          <w:szCs w:val="24"/>
        </w:rPr>
        <w:t>买方需求的货物或服务价格</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质量保证费用、培训费用及售后服务费用，项目在指定地点、环境交付、安装、调试、验收所需费用和所有</w:t>
      </w:r>
      <w:r>
        <w:rPr>
          <w:rStyle w:val="42"/>
          <w:rFonts w:hint="eastAsia" w:ascii="宋体" w:hAnsi="宋体" w:cs="宋体"/>
          <w:color w:val="000000" w:themeColor="text1"/>
          <w:sz w:val="24"/>
          <w:szCs w:val="24"/>
        </w:rPr>
        <w:t>相关税金费用</w:t>
      </w:r>
      <w:r>
        <w:rPr>
          <w:rStyle w:val="42"/>
          <w:rFonts w:hint="eastAsia" w:ascii="宋体" w:hAnsi="宋体" w:cs="宋体"/>
          <w:bCs/>
          <w:color w:val="000000" w:themeColor="text1"/>
          <w:sz w:val="24"/>
          <w:szCs w:val="24"/>
        </w:rPr>
        <w:t>及为完成整个项目所产生的其它所有费用。</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13.6.2</w:t>
      </w:r>
      <w:r>
        <w:rPr>
          <w:rStyle w:val="42"/>
          <w:rFonts w:hint="eastAsia" w:ascii="宋体" w:hAnsi="宋体" w:cs="宋体"/>
          <w:bCs/>
          <w:color w:val="000000" w:themeColor="text1"/>
          <w:sz w:val="24"/>
          <w:szCs w:val="24"/>
        </w:rPr>
        <w:t>项目单价按投标配置及分项报价表中要求填报。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14</w:t>
      </w:r>
      <w:r>
        <w:rPr>
          <w:rStyle w:val="42"/>
          <w:rFonts w:hint="eastAsia" w:ascii="宋体" w:hAnsi="宋体" w:cs="宋体"/>
          <w:b/>
          <w:bCs/>
          <w:color w:val="000000" w:themeColor="text1"/>
          <w:sz w:val="24"/>
          <w:szCs w:val="24"/>
        </w:rPr>
        <w:t>、</w:t>
      </w:r>
      <w:r>
        <w:rPr>
          <w:rStyle w:val="42"/>
          <w:rFonts w:hint="eastAsia" w:ascii="宋体" w:hAnsi="宋体" w:cs="宋体"/>
          <w:color w:val="000000" w:themeColor="text1"/>
          <w:sz w:val="24"/>
          <w:szCs w:val="24"/>
        </w:rPr>
        <w:t>技术参数响应及偏离表、商务条款响应及偏离表及投标货物说明</w:t>
      </w:r>
    </w:p>
    <w:p>
      <w:pPr>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lang w:val="zh-CN"/>
        </w:rPr>
        <w:t>14.1</w:t>
      </w:r>
      <w:r>
        <w:rPr>
          <w:rStyle w:val="42"/>
          <w:rFonts w:hint="eastAsia" w:ascii="宋体" w:hAnsi="宋体" w:cs="宋体"/>
          <w:color w:val="000000" w:themeColor="text1"/>
          <w:sz w:val="24"/>
          <w:szCs w:val="24"/>
          <w:lang w:val="zh-CN"/>
        </w:rPr>
        <w:t xml:space="preserve"> 对招标文件中的技术与商务条款要求逐项作出响应或偏离，并说明原因；</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14.2 提供参加本项目类似案例简介；</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14.3 培训计划；</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14.4 详细阐述所投货物的主要组成部分、功能设计、实现思路及关键技术；</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color w:val="000000" w:themeColor="text1"/>
          <w:sz w:val="24"/>
          <w:szCs w:val="24"/>
          <w:lang w:val="zh-CN"/>
        </w:rPr>
        <w:t>14.5 投标人认为需要的其他技术文件或说明。</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w:t>
      </w:r>
      <w:r>
        <w:rPr>
          <w:rStyle w:val="42"/>
          <w:rFonts w:hint="eastAsia" w:ascii="宋体" w:hAnsi="宋体" w:cs="宋体"/>
          <w:color w:val="000000" w:themeColor="text1"/>
          <w:sz w:val="24"/>
          <w:szCs w:val="24"/>
          <w:lang w:val="zh-CN"/>
        </w:rPr>
        <w:t>5、服务承诺及售后服务机构、人员的情况介绍</w:t>
      </w:r>
    </w:p>
    <w:p>
      <w:pPr>
        <w:tabs>
          <w:tab w:val="left" w:pos="1035"/>
        </w:tabs>
        <w:snapToGrid w:val="0"/>
        <w:spacing w:line="360" w:lineRule="auto"/>
        <w:ind w:firstLine="480" w:firstLineChars="200"/>
        <w:rPr>
          <w:rStyle w:val="42"/>
          <w:rFonts w:ascii="宋体" w:hAnsi="宋体" w:cs="宋体"/>
          <w:color w:val="000000" w:themeColor="text1"/>
          <w:sz w:val="24"/>
          <w:szCs w:val="24"/>
          <w:lang w:val="zh-CN"/>
        </w:rPr>
      </w:pPr>
      <w:r>
        <w:rPr>
          <w:rStyle w:val="42"/>
          <w:rFonts w:hint="eastAsia" w:ascii="宋体" w:hAnsi="宋体" w:cs="宋体"/>
          <w:bCs/>
          <w:color w:val="000000" w:themeColor="text1"/>
          <w:sz w:val="24"/>
          <w:szCs w:val="24"/>
        </w:rPr>
        <w:t>15.1</w:t>
      </w:r>
      <w:r>
        <w:rPr>
          <w:rStyle w:val="42"/>
          <w:rFonts w:hint="eastAsia" w:ascii="宋体" w:hAnsi="宋体" w:cs="宋体"/>
          <w:color w:val="000000" w:themeColor="text1"/>
          <w:sz w:val="24"/>
          <w:szCs w:val="24"/>
        </w:rPr>
        <w:t>投标人的服务承诺应按不低于招标文件中商务要求的标准。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15.2</w:t>
      </w:r>
      <w:r>
        <w:rPr>
          <w:rStyle w:val="42"/>
          <w:rFonts w:hint="eastAsia" w:ascii="宋体" w:hAnsi="宋体" w:cs="宋体"/>
          <w:color w:val="000000" w:themeColor="text1"/>
          <w:sz w:val="24"/>
          <w:szCs w:val="24"/>
        </w:rPr>
        <w:t>提供投标人有关售后服务的管理制度、售后服务机构的分布情况、售后服务人员的数量、素质、技术水平及售后服务的反应能力。</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16、投标函和开标一览表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16.1</w:t>
      </w:r>
      <w:r>
        <w:rPr>
          <w:rStyle w:val="42"/>
          <w:rFonts w:hint="eastAsia" w:ascii="宋体" w:hAnsi="宋体" w:cs="宋体"/>
          <w:color w:val="000000" w:themeColor="text1"/>
          <w:sz w:val="24"/>
          <w:szCs w:val="24"/>
        </w:rPr>
        <w:t xml:space="preserve"> 投标人应按照招标文件中提供的格式完整、正确填写投标函、开标一览表。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16.2开标一览表中的价格应与投标文件中投标配置与分项报价表中的价格一致，如不一致，</w:t>
      </w:r>
      <w:r>
        <w:rPr>
          <w:rStyle w:val="42"/>
          <w:rFonts w:hint="eastAsia" w:ascii="宋体" w:hAnsi="宋体" w:cs="宋体"/>
          <w:color w:val="000000" w:themeColor="text1"/>
          <w:sz w:val="24"/>
          <w:szCs w:val="24"/>
        </w:rPr>
        <w:t>不作为无效投标处理</w:t>
      </w:r>
      <w:r>
        <w:rPr>
          <w:rStyle w:val="42"/>
          <w:rFonts w:hint="eastAsia" w:ascii="宋体" w:hAnsi="宋体" w:cs="宋体"/>
          <w:bCs/>
          <w:color w:val="000000" w:themeColor="text1"/>
          <w:sz w:val="24"/>
          <w:szCs w:val="24"/>
        </w:rPr>
        <w:t>，但评标时按开标一览表中价格为准</w:t>
      </w:r>
      <w:r>
        <w:rPr>
          <w:rStyle w:val="42"/>
          <w:rFonts w:hint="eastAsia" w:ascii="宋体" w:hAnsi="宋体" w:cs="宋体"/>
          <w:b/>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17、投标有效期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17.1</w:t>
      </w:r>
      <w:r>
        <w:rPr>
          <w:rStyle w:val="42"/>
          <w:rFonts w:hint="eastAsia" w:ascii="宋体" w:hAnsi="宋体" w:cs="宋体"/>
          <w:bCs/>
          <w:color w:val="000000" w:themeColor="text1"/>
          <w:sz w:val="24"/>
          <w:szCs w:val="24"/>
        </w:rPr>
        <w:t xml:space="preserve"> 投标有效期为采购人或采购代理机构规定的开标之日后</w:t>
      </w:r>
      <w:r>
        <w:rPr>
          <w:rStyle w:val="42"/>
          <w:rFonts w:hint="eastAsia" w:ascii="宋体" w:hAnsi="宋体" w:cs="宋体"/>
          <w:b/>
          <w:color w:val="000000" w:themeColor="text1"/>
          <w:sz w:val="24"/>
          <w:szCs w:val="24"/>
          <w:u w:val="single" w:color="000000"/>
        </w:rPr>
        <w:t>六十（60）天</w:t>
      </w:r>
      <w:r>
        <w:rPr>
          <w:rStyle w:val="42"/>
          <w:rFonts w:hint="eastAsia" w:ascii="宋体" w:hAnsi="宋体" w:cs="宋体"/>
          <w:bCs/>
          <w:color w:val="000000" w:themeColor="text1"/>
          <w:sz w:val="24"/>
          <w:szCs w:val="24"/>
        </w:rPr>
        <w:t>。投标有效期比规定短的将被视为非响应性投标而予以拒绝。</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17.2</w:t>
      </w:r>
      <w:r>
        <w:rPr>
          <w:rStyle w:val="42"/>
          <w:rFonts w:hint="eastAsia" w:ascii="宋体" w:hAnsi="宋体" w:cs="宋体"/>
          <w:bCs/>
          <w:color w:val="000000" w:themeColor="text1"/>
          <w:sz w:val="24"/>
          <w:szCs w:val="24"/>
        </w:rPr>
        <w:t xml:space="preserve"> 在特殊情况下，采购人或采购代理机构于原投标有效期满之前，可向投标人提出延长投标有效期的要求。这种要求与答复均应采用书面形式。投标人可以拒绝采购人或采购代理机构的这一要求而放弃投标</w:t>
      </w:r>
      <w:r>
        <w:rPr>
          <w:rStyle w:val="42"/>
          <w:rFonts w:hint="eastAsia" w:ascii="宋体" w:hAnsi="宋体" w:cs="宋体"/>
          <w:color w:val="000000" w:themeColor="text1"/>
          <w:sz w:val="24"/>
          <w:szCs w:val="24"/>
        </w:rPr>
        <w:t>。</w:t>
      </w:r>
      <w:r>
        <w:rPr>
          <w:rStyle w:val="42"/>
          <w:rFonts w:hint="eastAsia" w:ascii="宋体" w:hAnsi="宋体" w:cs="宋体"/>
          <w:bCs/>
          <w:color w:val="000000" w:themeColor="text1"/>
          <w:sz w:val="24"/>
          <w:szCs w:val="24"/>
        </w:rPr>
        <w:t>同意延长投标有效期的投标人既不能要求也不允许修改其投标文件。</w:t>
      </w:r>
      <w:r>
        <w:rPr>
          <w:rStyle w:val="42"/>
          <w:rFonts w:hint="eastAsia" w:ascii="宋体" w:hAnsi="宋体" w:cs="宋体"/>
          <w:color w:val="000000" w:themeColor="text1"/>
          <w:sz w:val="24"/>
          <w:szCs w:val="24"/>
        </w:rPr>
        <w:t>受投标有效期约束的所有权利与义务均延长至新的有效期</w:t>
      </w:r>
      <w:r>
        <w:rPr>
          <w:rStyle w:val="42"/>
          <w:rFonts w:hint="eastAsia" w:ascii="宋体" w:hAnsi="宋体" w:cs="宋体"/>
          <w:bCs/>
          <w:color w:val="000000" w:themeColor="text1"/>
          <w:sz w:val="24"/>
          <w:szCs w:val="24"/>
        </w:rPr>
        <w:t>。</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18、投标文件份数和签署</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18.1</w:t>
      </w:r>
      <w:r>
        <w:rPr>
          <w:rStyle w:val="42"/>
          <w:rFonts w:hint="eastAsia" w:ascii="宋体" w:hAnsi="宋体" w:cs="宋体"/>
          <w:bCs/>
          <w:color w:val="000000" w:themeColor="text1"/>
          <w:sz w:val="24"/>
          <w:szCs w:val="24"/>
        </w:rPr>
        <w:t>投标人应严格按照招标公告和招标文件要求的份数准备投标文件，每份投标文件须清楚地标明“正本”或“副本”字样。一旦正本和副本不符，以正本为准。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18.2投标文件正本中，</w:t>
      </w:r>
      <w:r>
        <w:rPr>
          <w:rStyle w:val="42"/>
          <w:rFonts w:hint="eastAsia" w:ascii="宋体" w:hAnsi="宋体" w:cs="宋体"/>
          <w:bCs/>
          <w:color w:val="000000" w:themeColor="text1"/>
          <w:sz w:val="24"/>
          <w:szCs w:val="24"/>
        </w:rPr>
        <w:t>招标文件要求必须提供原件的按照要求提供，文</w:t>
      </w:r>
      <w:r>
        <w:rPr>
          <w:rStyle w:val="42"/>
          <w:rFonts w:hint="eastAsia" w:ascii="宋体" w:hAnsi="宋体" w:cs="宋体"/>
          <w:color w:val="000000" w:themeColor="text1"/>
          <w:sz w:val="24"/>
          <w:szCs w:val="24"/>
        </w:rPr>
        <w:t>字材料需打印或用不褪色墨水书写。投标文件的正本须经法定代表人或授权委托人（被授权人）签署和加盖投标人公章。 本采购文件所表述（指定）的公章是指法定名称章，不包括合同专用章、业务专用章等印章。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18.3</w:t>
      </w:r>
      <w:r>
        <w:rPr>
          <w:rStyle w:val="42"/>
          <w:rFonts w:hint="eastAsia" w:ascii="宋体" w:hAnsi="宋体" w:cs="宋体"/>
          <w:bCs/>
          <w:color w:val="000000" w:themeColor="text1"/>
          <w:sz w:val="24"/>
          <w:szCs w:val="24"/>
        </w:rPr>
        <w:t xml:space="preserve"> 除投标人对错处做必要修改外，投标文件不得行间插字、涂改或增删。如有修改错漏处，必须由投标文件签署人签字或盖章。</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四、投标文件的递交</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19、投标文件的密封和标记</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19.1</w:t>
      </w:r>
      <w:r>
        <w:rPr>
          <w:rStyle w:val="42"/>
          <w:rFonts w:hint="eastAsia" w:ascii="宋体" w:hAnsi="宋体" w:cs="宋体"/>
          <w:bCs/>
          <w:color w:val="000000" w:themeColor="text1"/>
          <w:sz w:val="24"/>
          <w:szCs w:val="24"/>
        </w:rPr>
        <w:t>投标人应将投标文件正本和所有副本密封，不论投标人中标与否，投标文件均不退回。</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w:t>
      </w:r>
      <w:r>
        <w:rPr>
          <w:rStyle w:val="42"/>
          <w:rFonts w:hint="eastAsia" w:ascii="宋体" w:hAnsi="宋体" w:cs="宋体"/>
          <w:bCs/>
          <w:color w:val="000000" w:themeColor="text1"/>
          <w:sz w:val="24"/>
          <w:szCs w:val="24"/>
        </w:rPr>
        <w:t xml:space="preserve"> 密封的投标文件应：</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19.2.1 注明投标人名称，如因标注不清而产生的后果由投标人自负。按招标公告中注明的地址送达；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19.2.2  注明投标项目名称、标书编号及包号。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19.2.3</w:t>
      </w:r>
      <w:r>
        <w:rPr>
          <w:rStyle w:val="42"/>
          <w:rFonts w:hint="eastAsia" w:ascii="宋体" w:hAnsi="宋体" w:cs="宋体"/>
          <w:bCs/>
          <w:color w:val="000000" w:themeColor="text1"/>
          <w:sz w:val="24"/>
          <w:szCs w:val="24"/>
        </w:rPr>
        <w:t xml:space="preserve">  未按要求密封和加写标记，采购人和采购代理机构对误投或过早启封概不负责。对由此造成提前开封的投标文件，采购人和采购代理机构将予以拒绝。</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20、投标截止日期</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20.1</w:t>
      </w:r>
      <w:r>
        <w:rPr>
          <w:rStyle w:val="42"/>
          <w:rFonts w:hint="eastAsia" w:ascii="宋体" w:hAnsi="宋体" w:cs="宋体"/>
          <w:bCs/>
          <w:color w:val="000000" w:themeColor="text1"/>
          <w:sz w:val="24"/>
          <w:szCs w:val="24"/>
        </w:rPr>
        <w:t xml:space="preserve"> 采购人和采购代理机构收到投标文件的时间不得迟于招标公告中规定的截止时间。</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20.2</w:t>
      </w:r>
      <w:r>
        <w:rPr>
          <w:rStyle w:val="42"/>
          <w:rFonts w:hint="eastAsia" w:ascii="宋体" w:hAnsi="宋体" w:cs="宋体"/>
          <w:bCs/>
          <w:color w:val="000000" w:themeColor="text1"/>
          <w:sz w:val="24"/>
          <w:szCs w:val="24"/>
        </w:rPr>
        <w:t xml:space="preserve"> 采购人或采购代理机构有权通过修改招标文件酌情延长投标截止日期，在此情况下，投标人的所有权利和义务以及投标人受制的截止日期均应以延长后新的截止日期为准。</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21、迟交的投标文件</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21.1</w:t>
      </w:r>
      <w:r>
        <w:rPr>
          <w:rStyle w:val="42"/>
          <w:rFonts w:hint="eastAsia" w:ascii="宋体" w:hAnsi="宋体" w:cs="宋体"/>
          <w:bCs/>
          <w:color w:val="000000" w:themeColor="text1"/>
          <w:sz w:val="24"/>
          <w:szCs w:val="24"/>
        </w:rPr>
        <w:t xml:space="preserve"> 采购人和采购代理机构拒绝接收在其规定的投标截止时间后递交的任何投标文件。</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22、投标文件的修改和撤回</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22.1</w:t>
      </w:r>
      <w:r>
        <w:rPr>
          <w:rStyle w:val="42"/>
          <w:rFonts w:hint="eastAsia" w:ascii="宋体" w:hAnsi="宋体" w:cs="宋体"/>
          <w:bCs/>
          <w:color w:val="000000" w:themeColor="text1"/>
          <w:sz w:val="24"/>
          <w:szCs w:val="24"/>
        </w:rPr>
        <w:t xml:space="preserve"> 投标人在递交投标文件后，可以修改或撤回其投标文件，但这种修改和撤回，必须在规定的投标截止时间前，以书面形式</w:t>
      </w:r>
      <w:r>
        <w:rPr>
          <w:rStyle w:val="42"/>
          <w:rFonts w:hint="eastAsia" w:ascii="宋体" w:hAnsi="宋体" w:cs="宋体"/>
          <w:color w:val="000000" w:themeColor="text1"/>
          <w:sz w:val="24"/>
          <w:szCs w:val="24"/>
        </w:rPr>
        <w:t>通知采购人或采购代理机构，修改或撤回其投标文件。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22.2</w:t>
      </w:r>
      <w:r>
        <w:rPr>
          <w:rStyle w:val="42"/>
          <w:rFonts w:hint="eastAsia" w:ascii="宋体" w:hAnsi="宋体" w:cs="宋体"/>
          <w:bCs/>
          <w:color w:val="000000" w:themeColor="text1"/>
          <w:sz w:val="24"/>
          <w:szCs w:val="24"/>
        </w:rPr>
        <w:t xml:space="preserve"> 投标人的修改或撤回文件应按规定进行编制、密封、标记和发送，并应在封套上加注“修改”或“撤回”字样。</w:t>
      </w:r>
      <w:r>
        <w:rPr>
          <w:rStyle w:val="42"/>
          <w:rFonts w:hint="eastAsia" w:ascii="宋体" w:hAnsi="宋体" w:cs="宋体"/>
          <w:color w:val="000000" w:themeColor="text1"/>
          <w:sz w:val="24"/>
          <w:szCs w:val="24"/>
        </w:rPr>
        <w:t>上述补充或修改若涉及投标报价，必须注明“最后唯一报价”字样，否则将视为有选择的报价。修改文件必须在投标截止时间前送达采购人或采购代理机构。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22.3</w:t>
      </w:r>
      <w:r>
        <w:rPr>
          <w:rStyle w:val="42"/>
          <w:rFonts w:hint="eastAsia" w:ascii="宋体" w:hAnsi="宋体" w:cs="宋体"/>
          <w:bCs/>
          <w:color w:val="000000" w:themeColor="text1"/>
          <w:sz w:val="24"/>
          <w:szCs w:val="24"/>
        </w:rPr>
        <w:t xml:space="preserve"> 在投标截止时间之后，投标人不得对其投标文件作任何修改。</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22.4</w:t>
      </w:r>
      <w:r>
        <w:rPr>
          <w:rStyle w:val="42"/>
          <w:rFonts w:hint="eastAsia" w:ascii="宋体" w:hAnsi="宋体" w:cs="宋体"/>
          <w:bCs/>
          <w:color w:val="000000" w:themeColor="text1"/>
          <w:sz w:val="24"/>
          <w:szCs w:val="24"/>
        </w:rPr>
        <w:t xml:space="preserve"> 在投标截止时间至招标文件中规定的投标有效期满之间的这段时间内，投标人不得撤回其投标，否则按照国家相关法律法规受到相应处罚。</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五、开标与评标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23、开标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23.1</w:t>
      </w:r>
      <w:r>
        <w:rPr>
          <w:rStyle w:val="42"/>
          <w:rFonts w:hint="eastAsia" w:ascii="宋体" w:hAnsi="宋体" w:cs="宋体"/>
          <w:bCs/>
          <w:color w:val="000000" w:themeColor="text1"/>
          <w:sz w:val="24"/>
          <w:szCs w:val="24"/>
        </w:rPr>
        <w:t xml:space="preserve"> 采购人和采购代理机构将在招标公告中规定的时间和地点组织公开开标</w:t>
      </w:r>
      <w:r>
        <w:rPr>
          <w:rStyle w:val="42"/>
          <w:rFonts w:hint="eastAsia" w:ascii="宋体" w:hAnsi="宋体" w:cs="宋体"/>
          <w:color w:val="000000" w:themeColor="text1"/>
          <w:sz w:val="24"/>
          <w:szCs w:val="24"/>
        </w:rPr>
        <w:t>。投标人应委派携带有效证件的代表准时参加，参加开标的代表需签名以证明其出席。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23.2</w:t>
      </w:r>
      <w:r>
        <w:rPr>
          <w:rStyle w:val="42"/>
          <w:rFonts w:hint="eastAsia" w:ascii="宋体" w:hAnsi="宋体" w:cs="宋体"/>
          <w:color w:val="000000" w:themeColor="text1"/>
          <w:sz w:val="24"/>
          <w:szCs w:val="24"/>
        </w:rPr>
        <w:t>开标仪式由采购人或采购代理机构组织，采购人代表</w:t>
      </w:r>
      <w:r>
        <w:rPr>
          <w:rStyle w:val="42"/>
          <w:rFonts w:hint="eastAsia" w:ascii="宋体" w:hAnsi="宋体" w:cs="宋体"/>
          <w:b/>
          <w:color w:val="000000" w:themeColor="text1"/>
          <w:sz w:val="24"/>
          <w:szCs w:val="24"/>
        </w:rPr>
        <w:t>(需提供单位授权函)</w:t>
      </w:r>
      <w:r>
        <w:rPr>
          <w:rStyle w:val="42"/>
          <w:rFonts w:hint="eastAsia" w:ascii="宋体" w:hAnsi="宋体" w:cs="宋体"/>
          <w:color w:val="000000" w:themeColor="text1"/>
          <w:sz w:val="24"/>
          <w:szCs w:val="24"/>
        </w:rPr>
        <w:t>、监管代表、投标人代表等参加。</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23.3</w:t>
      </w:r>
      <w:r>
        <w:rPr>
          <w:rStyle w:val="42"/>
          <w:rFonts w:hint="eastAsia" w:ascii="宋体" w:hAnsi="宋体" w:cs="宋体"/>
          <w:bCs/>
          <w:color w:val="000000" w:themeColor="text1"/>
          <w:sz w:val="24"/>
          <w:szCs w:val="24"/>
        </w:rPr>
        <w:t>按照规定同意撤回的投标将不予开封。</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23.4 开标时请投标人代表查验投标文件密封情况，确认无误后，采购人或采购代理机构当众拆封宣读每份投标文件中“开标一览表”的内容，未列入开标一览表的内容一律不在开标时宣读。开标时未宣读的投标报价信息，不得在评标时采用。</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23.5 采购人或采购代理机构将指定专人负责开标记录并存档备查，各投标人需仔细核对开标记录相关内容并签字确认。</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23.6 投标人在报价时不允许采用选择性报价，否则将被视为无效投标。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24、资格审查</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24.1</w:t>
      </w:r>
      <w:r>
        <w:rPr>
          <w:rStyle w:val="42"/>
          <w:rFonts w:hint="eastAsia" w:ascii="宋体" w:hAnsi="宋体" w:cs="宋体"/>
          <w:bCs/>
          <w:color w:val="000000" w:themeColor="text1"/>
          <w:sz w:val="24"/>
          <w:szCs w:val="24"/>
        </w:rPr>
        <w:t>依据法律法规和招标文件的约定，开标结束后，由采购人对投标文件中的资格证明文件进行审查。资格审查的结论，采购人以书面形式向评委会进行反馈。未通过资格审查的投标人，由采购人告知未通过资格审查的原因。</w:t>
      </w:r>
    </w:p>
    <w:p>
      <w:pPr>
        <w:snapToGrid w:val="0"/>
        <w:spacing w:line="360" w:lineRule="auto"/>
        <w:ind w:firstLine="480" w:firstLineChars="200"/>
        <w:jc w:val="left"/>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采购人在进行资格性审查的同时，将在“信用中国”网站（www.creditchina.gov.cn）对投标人是否被列入失信被执行人、重大税收违法案件当事人名单、政府采购严重失信行为记录名单情况进行查询，以确定投标人是否具备投标资格。查询结果将以网页打印的形式留存并归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接受联合体的项目，两个以上的自然人、法人或者其他组织组成一个联合体，以一个供应商的身份共同参加政府采购活动的,联合体成员存在不良信用记录的，视同联合体存在不良应用记录。</w:t>
      </w:r>
    </w:p>
    <w:p>
      <w:pPr>
        <w:snapToGrid w:val="0"/>
        <w:spacing w:line="360" w:lineRule="auto"/>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合格投标人不足3家的，不得评标。</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25、评标委员会</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25.1资格审查通过后，采购人将组织评标委员会（以下简称评委会）进行评标。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25.2 评委会由采购人代表和有关技术、经济等方面的专家组成，且人员构成符合政府采购有关规定。</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25.3评委会独立工作，负责评审所有投标文件并确定中标候选人。</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26、评标过程的保密与公正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26.1</w:t>
      </w:r>
      <w:r>
        <w:rPr>
          <w:rStyle w:val="42"/>
          <w:rFonts w:hint="eastAsia" w:ascii="宋体" w:hAnsi="宋体" w:cs="宋体"/>
          <w:bCs/>
          <w:color w:val="000000" w:themeColor="text1"/>
          <w:sz w:val="24"/>
          <w:szCs w:val="24"/>
        </w:rPr>
        <w:t>公开开标后，直至签订合同之日止，凡是与审查、澄清、评价和比较投标的有关资料以及授标建议等，采购人、评委、采购人和采购代理机构均不得向投标人或与评标无关的其他人员透露。</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26.2在评标过程中，投标人不得以任何行为影响评标过程，否则其投标文件将被作为无效投标文件。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26.3在评标期间，采购人或采购代理机构将设专门人员与投标人联系。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26.4 采购人、采购代理机构和评标委员会不向落标的投标人解释未中标原因，也不公布评标过程中的相关细节。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26.5 采用综合评分法的项目，未中标的投标人如需了解自己的评审得分及排序情况，可向采购人提出申请。</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27、投标的澄清</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27.1评标期间，为有助于对投标文件的审查、评价和比较，评委会有权以书面形式要求投标人对其投标文件进行澄清，但并非对每个投标人都作澄清要求。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27.2接到评委会澄清要求的投标人应派人按评委会通知的时间和地点做出书面澄清，书面澄清的内容须由投标人法人或授权代表签署，并作为投标文件的补充部分，但投标的价格和实质性的内容不得做任何更改。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27.3 接到评委会澄清要求的投标人如未按规定做出澄清，其风险由投标人自行承担。</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28、对投标文件的评审</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28.1</w:t>
      </w:r>
      <w:r>
        <w:rPr>
          <w:rStyle w:val="42"/>
          <w:rFonts w:hint="eastAsia" w:ascii="宋体" w:hAnsi="宋体" w:cs="宋体"/>
          <w:bCs/>
          <w:color w:val="000000" w:themeColor="text1"/>
          <w:sz w:val="24"/>
          <w:szCs w:val="24"/>
        </w:rPr>
        <w:t>符合性检查：依据招标文件的规定，从投标文件的有效性、完整性和对招标文件的响应程度进行审查，以确定是否对招标文件的实质性要求作出响应。</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28.2在详细评标之前，评委会将首先审查每份投标文件是否实质性响应了招标文件的要求。实质性响应的投标应该是与招标文件要求的全部条款、条件和规格相符，没有重大偏离或保留的投标。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所谓重大偏离或保留是指与招标文件规定的实质性要求存在负偏离，或者在实质上与招标文件不一致，而且限制了合同中买方和见证方的权利或投标人的义务，纠正这些偏离或保留将会对其他实质性响应要求的投标人的竞争地位产生不公正的影响。是否属于重大偏离由评委会按照少数服从多数的原则作出结论。认定</w:t>
      </w:r>
      <w:r>
        <w:rPr>
          <w:rStyle w:val="42"/>
          <w:rFonts w:hint="eastAsia" w:ascii="宋体" w:hAnsi="宋体" w:cs="宋体"/>
          <w:bCs/>
          <w:color w:val="000000" w:themeColor="text1"/>
          <w:sz w:val="24"/>
          <w:szCs w:val="24"/>
        </w:rPr>
        <w:t>评委决定投标文件的响应性只根据投标文件本身的内容，而不寻求外部的证据。</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28.3</w:t>
      </w:r>
      <w:r>
        <w:rPr>
          <w:rStyle w:val="42"/>
          <w:rFonts w:hint="eastAsia" w:ascii="宋体" w:hAnsi="宋体" w:cs="宋体"/>
          <w:bCs/>
          <w:color w:val="000000" w:themeColor="text1"/>
          <w:sz w:val="24"/>
          <w:szCs w:val="24"/>
        </w:rPr>
        <w:t>如果投标文件实质上没有响应招标文件的要求，评委会将按无效投标处理，投标人不得通过修改或撤销不合要求的偏离或保留而使其投标成为实质性响应的投标。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28.4</w:t>
      </w:r>
      <w:r>
        <w:rPr>
          <w:rStyle w:val="42"/>
          <w:rFonts w:hint="eastAsia" w:ascii="宋体" w:hAnsi="宋体" w:cs="宋体"/>
          <w:bCs/>
          <w:color w:val="000000" w:themeColor="text1"/>
          <w:sz w:val="24"/>
          <w:szCs w:val="24"/>
        </w:rPr>
        <w:t>评委会将对确定为实质性响应的投标进行进一步审核，看其是否有计算上或累加上的算术错误，修正错误的原则如下：</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（1）投标文件中开标一览表内容与投标文件中相应内容不一致的，以开标一览表为准。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（2）大写金额和小写金额不一致的，以大写金额为准。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（3）单价金额小数点或者百分比有明显错位的，以开标一览表的总价为准，并修改单价。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（4）总价金额与按单价汇总金额不一致的，以单价金额计算结果为准。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同时出现两种以上错误的，按照前款规定的顺序修正。</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28.5</w:t>
      </w:r>
      <w:r>
        <w:rPr>
          <w:rStyle w:val="42"/>
          <w:rFonts w:hint="eastAsia" w:ascii="宋体" w:hAnsi="宋体" w:cs="宋体"/>
          <w:bCs/>
          <w:color w:val="000000" w:themeColor="text1"/>
          <w:sz w:val="24"/>
          <w:szCs w:val="24"/>
        </w:rPr>
        <w:t>评委会将按上述修正错误的方法调整投标文件中的投标报价，调整后的价格应对投标人具有约束力。如果投标人不接受修正后的价格，则其投标将被拒绝，则按照国家相关法律法规受到相应处罚。</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color w:val="000000" w:themeColor="text1"/>
          <w:sz w:val="24"/>
          <w:szCs w:val="24"/>
        </w:rPr>
        <w:t>28.6</w:t>
      </w:r>
      <w:r>
        <w:rPr>
          <w:rStyle w:val="42"/>
          <w:rFonts w:hint="eastAsia" w:ascii="宋体" w:hAnsi="宋体" w:cs="宋体"/>
          <w:bCs/>
          <w:color w:val="000000" w:themeColor="text1"/>
          <w:sz w:val="24"/>
          <w:szCs w:val="24"/>
        </w:rPr>
        <w:t>评委会将允许修正投标文件中不构成重大偏离的、微小的、非正规的、不一致的或不规则的地方，但这些修改不能影响任何投标人相应的名次排列。</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28.7</w:t>
      </w:r>
      <w:r>
        <w:rPr>
          <w:rStyle w:val="42"/>
          <w:rFonts w:hint="eastAsia" w:ascii="宋体" w:hAnsi="宋体" w:cs="宋体"/>
          <w:b/>
          <w:color w:val="000000" w:themeColor="text1"/>
          <w:sz w:val="24"/>
          <w:szCs w:val="24"/>
        </w:rPr>
        <w:t>采用最低评标价法的采购项目，</w:t>
      </w:r>
      <w:r>
        <w:rPr>
          <w:rStyle w:val="42"/>
          <w:rFonts w:hint="eastAsia" w:ascii="宋体" w:hAnsi="宋体" w:cs="宋体"/>
          <w:color w:val="000000" w:themeColor="text1"/>
          <w:sz w:val="24"/>
          <w:szCs w:val="24"/>
        </w:rPr>
        <w:t>提供相同品牌产品的不同投标人参加同一合同项下投标的，以其中通过资格审查、符合性审查且报价最低的参加评标；报价相同的，由采购人或者采购人委托评标委员会按照招标文件规定的方式确定一个参加评标的投标人，招标文件未规定的采取随机抽取方式确定，其他投标无效。</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使用综合评分法的采购项目，</w:t>
      </w:r>
      <w:r>
        <w:rPr>
          <w:rStyle w:val="42"/>
          <w:rFonts w:hint="eastAsia" w:ascii="宋体" w:hAnsi="宋体" w:cs="宋体"/>
          <w:color w:val="000000" w:themeColor="text1"/>
          <w:sz w:val="24"/>
          <w:szCs w:val="24"/>
        </w:rPr>
        <w:t>提供相同品牌产品且通过资格审查、符合性审查的不同投标人参加同一合同项下投标的，按一家投标人计算，评审后得分最高的同品牌投标人获得中标人推荐资格；评审得分相同的，由采购人或者采购人委托评标委员会按照招标文件规定的方式确定一个投标人获得中标人推荐资格，招标文件未规定的采取随机抽取方式确定，其他同品牌投标人不作为中标候选人。</w:t>
      </w:r>
    </w:p>
    <w:p>
      <w:pPr>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非单一产品采购项目，</w:t>
      </w:r>
      <w:r>
        <w:rPr>
          <w:rStyle w:val="42"/>
          <w:rFonts w:hint="eastAsia" w:ascii="宋体" w:hAnsi="宋体" w:cs="宋体"/>
          <w:color w:val="000000" w:themeColor="text1"/>
          <w:sz w:val="24"/>
          <w:szCs w:val="24"/>
        </w:rPr>
        <w:t>采购人应当根据采购项目技术构成、产品价格比重等合理确定核心产品，并在招标文件中载明。多家投标人提供的核心产品品牌相同的，按前两款规定处理。 (87号令第31条)</w:t>
      </w:r>
    </w:p>
    <w:p>
      <w:pPr>
        <w:pStyle w:val="36"/>
        <w:snapToGrid w:val="0"/>
        <w:spacing w:before="0" w:after="0" w:line="360" w:lineRule="auto"/>
        <w:ind w:firstLine="480" w:firstLineChars="200"/>
        <w:rPr>
          <w:rStyle w:val="42"/>
          <w:rFonts w:ascii="宋体" w:hAnsi="宋体" w:cs="宋体"/>
          <w:b w:val="0"/>
          <w:bCs/>
          <w:color w:val="000000" w:themeColor="text1"/>
          <w:sz w:val="24"/>
          <w:szCs w:val="24"/>
        </w:rPr>
      </w:pPr>
      <w:r>
        <w:rPr>
          <w:rStyle w:val="42"/>
          <w:rFonts w:hint="eastAsia" w:ascii="宋体" w:hAnsi="宋体" w:cs="宋体"/>
          <w:b w:val="0"/>
          <w:bCs/>
          <w:color w:val="000000" w:themeColor="text1"/>
          <w:sz w:val="24"/>
          <w:szCs w:val="24"/>
        </w:rPr>
        <w:t>29、无效投标条款和废标条款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29.1无效投标条款</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29.1.1未按要求交纳投标保证金的（本项目不需要）；</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29.1.2未按照招标文件规定要求密封、签署、盖章的；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29.1.3投标人在报价时采用选择性报价；</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29.1.4投标人不具备招标文件中规定资格要求的；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29.1.5投标人的报价超过了采购预算或最高限价的；</w:t>
      </w:r>
    </w:p>
    <w:p>
      <w:pPr>
        <w:snapToGrid w:val="0"/>
        <w:spacing w:line="360" w:lineRule="auto"/>
        <w:ind w:firstLine="480" w:firstLineChars="200"/>
        <w:rPr>
          <w:rStyle w:val="42"/>
          <w:rFonts w:ascii="宋体" w:hAnsi="宋体" w:cs="宋体"/>
          <w:bCs/>
          <w:i/>
          <w:color w:val="000000" w:themeColor="text1"/>
          <w:sz w:val="24"/>
          <w:szCs w:val="24"/>
          <w:u w:val="single" w:color="000000"/>
        </w:rPr>
      </w:pPr>
      <w:r>
        <w:rPr>
          <w:rStyle w:val="42"/>
          <w:rFonts w:hint="eastAsia" w:ascii="宋体" w:hAnsi="宋体" w:cs="宋体"/>
          <w:bCs/>
          <w:color w:val="000000" w:themeColor="text1"/>
          <w:sz w:val="24"/>
          <w:szCs w:val="24"/>
        </w:rPr>
        <w:t>29.1.6未通过符合性检查的；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29.1.7不符合招标文件中规定的其他实质性要求和条件的；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29.1.8 投标人串通投标；</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29.1.9  投标文件含有采购人不能接受的附加条件的。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29.1.10 评标委员会认为投标人的报价明显低于其他通过符合性审查投标人的报价，有可能影响产品质量或者不能诚信履约的，应当要求其在评标现场合理的时间内提供书面说明，必要时提交相关证明材料；投标人不能证明其报价合理性的，评标委员会应当将其作为无效投标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29.1.11其他法律、法规及本招标文件规定的属无效投标的情形。</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 xml:space="preserve">29.2废标条款：                                                                                                                                                                                                                                                                                                                                                                                                                                                                                                                                                                                                                                                                                                                                                                                                                                                                                                                                                                                                                                                                                                                                                                                                                                                                                                                                                                                                                                                                         </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29.2.1符合专业条件的供应商或者对招标文件作实质响应的供应商不足三家的；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29.2.2出现影响采购公正的违法、违规行为的；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29.2.3因重大变故，采购任务取消的；</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29.2.4评标委员会认定招标文件存在歧义、 重大缺陷导致评审工作无法进行。</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 投标截止时间结束后参加投标的供应商不足三家的处理：</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29.3.1如出现投标截止时间结束后参加投标的供应商或者在评标期间对招标文件做出实质响应的供应商不足三家情况，按财政部第八十七号令第四十三条的规定执行。</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六、定标</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30、确定中标单位</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30.1评委会根据本招标文件规定评标方法与评标标准向采购人推荐出中标候选人。</w:t>
      </w:r>
    </w:p>
    <w:p>
      <w:pPr>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30.2 采购人应根据评委会推荐的中标候选人确定中标供应商。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30.3采购人</w:t>
      </w:r>
      <w:r>
        <w:rPr>
          <w:rStyle w:val="42"/>
          <w:rFonts w:hint="eastAsia" w:ascii="宋体" w:hAnsi="宋体" w:cs="宋体"/>
          <w:color w:val="000000" w:themeColor="text1"/>
          <w:sz w:val="24"/>
          <w:szCs w:val="24"/>
        </w:rPr>
        <w:t>将在盐城工业职业技术学院招标采购网发布中标公告，公告期限为1个工作日。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.4若有充分证据证明，中标供应商出现下列情况之一的，一经查实，将被取消中标资格：</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.4.1提供虚假材料谋取中标的；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.4.2向采购人或采购代理机构行贿或者提供其他不正当利益的；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30</w:t>
      </w:r>
      <w:r>
        <w:rPr>
          <w:rStyle w:val="42"/>
          <w:rFonts w:hint="eastAsia" w:ascii="宋体" w:hAnsi="宋体" w:cs="宋体"/>
          <w:color w:val="000000" w:themeColor="text1"/>
          <w:sz w:val="24"/>
          <w:szCs w:val="24"/>
        </w:rPr>
        <w:t>.4.3恶意竞争，投标总报价明显低于其自身合理成本且又无法提供证明的；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30.4.4属于本文件规定的无效条件，但在评标过程中又未被评委会发现的；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30.4.5与采购人或者其他供应商恶意串通的；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30.4.6采取不正当手段诋毁、排挤其他供应商的；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30.4.7不符合法律、法规的规定的。</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 xml:space="preserve">30.5. </w:t>
      </w:r>
      <w:r>
        <w:rPr>
          <w:rStyle w:val="42"/>
          <w:rFonts w:hint="eastAsia" w:ascii="宋体" w:hAnsi="宋体" w:cs="宋体"/>
          <w:color w:val="000000" w:themeColor="text1"/>
          <w:kern w:val="0"/>
          <w:sz w:val="24"/>
          <w:szCs w:val="24"/>
        </w:rPr>
        <w:t>有下列情形之一的，视为投标人串通投标，投标无效：</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30.5.1不同投标人的投标文件由同一单位或者个人编制。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30.5.2不同投标人委托同一单位或者个人办理投标事宜。</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30.5.3 不同投标人的投标文件载明的项目管理成员或者联系人员为同一人。</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30.5.4不同投标人的投标文件异常一致或者投标报价呈规律性差异。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30.5.5不同投标人的投标文件相互混装。</w:t>
      </w:r>
    </w:p>
    <w:p>
      <w:pPr>
        <w:pStyle w:val="36"/>
        <w:tabs>
          <w:tab w:val="left" w:pos="4120"/>
        </w:tabs>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31、质疑处理</w:t>
      </w:r>
      <w:r>
        <w:rPr>
          <w:rStyle w:val="42"/>
          <w:rFonts w:hint="eastAsia" w:ascii="宋体" w:hAnsi="宋体" w:cs="宋体"/>
          <w:b w:val="0"/>
          <w:color w:val="000000" w:themeColor="text1"/>
          <w:sz w:val="24"/>
          <w:szCs w:val="24"/>
        </w:rPr>
        <w:tab/>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参加投标供应商认为招标文件、采购过程和中标结果使自己的权益受到损害的，可以在知道或应知其权益受到损害之日起七个工作日内，以书面形式向采购人或采购代理机构提出质疑。上述应知其权益受到损害之日，是指：</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31.1.1</w:t>
      </w:r>
      <w:r>
        <w:rPr>
          <w:rStyle w:val="42"/>
          <w:rFonts w:hint="eastAsia" w:ascii="宋体" w:hAnsi="宋体" w:cs="宋体"/>
          <w:color w:val="000000" w:themeColor="text1"/>
          <w:kern w:val="0"/>
          <w:sz w:val="24"/>
          <w:szCs w:val="24"/>
        </w:rPr>
        <w:t>对可以质疑的招标文件提出质疑的，为收到招标文件之日或者招标文件公告期限届满之日；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31.1.2</w:t>
      </w:r>
      <w:r>
        <w:rPr>
          <w:rStyle w:val="42"/>
          <w:rFonts w:hint="eastAsia" w:ascii="宋体" w:hAnsi="宋体" w:cs="宋体"/>
          <w:color w:val="000000" w:themeColor="text1"/>
          <w:kern w:val="0"/>
          <w:sz w:val="24"/>
          <w:szCs w:val="24"/>
        </w:rPr>
        <w:t>对采购过程提出质疑的，为各采购程序环节结束之日；</w:t>
      </w:r>
      <w:r>
        <w:rPr>
          <w:rStyle w:val="42"/>
          <w:rFonts w:hint="eastAsia" w:ascii="宋体" w:hAnsi="宋体" w:cs="宋体"/>
          <w:color w:val="000000" w:themeColor="text1"/>
          <w:kern w:val="0"/>
          <w:sz w:val="24"/>
          <w:szCs w:val="24"/>
        </w:rPr>
        <w:br w:type="textWrapping"/>
      </w:r>
      <w:r>
        <w:rPr>
          <w:rStyle w:val="42"/>
          <w:rFonts w:hint="eastAsia" w:ascii="宋体" w:hAnsi="宋体" w:cs="宋体"/>
          <w:color w:val="000000" w:themeColor="text1"/>
          <w:kern w:val="0"/>
          <w:sz w:val="24"/>
          <w:szCs w:val="24"/>
        </w:rPr>
        <w:t>　　</w:t>
      </w:r>
      <w:r>
        <w:rPr>
          <w:rStyle w:val="42"/>
          <w:rFonts w:hint="eastAsia" w:ascii="宋体" w:hAnsi="宋体" w:cs="宋体"/>
          <w:color w:val="000000" w:themeColor="text1"/>
          <w:sz w:val="24"/>
          <w:szCs w:val="24"/>
        </w:rPr>
        <w:t>31.1.3</w:t>
      </w:r>
      <w:r>
        <w:rPr>
          <w:rStyle w:val="42"/>
          <w:rFonts w:hint="eastAsia" w:ascii="宋体" w:hAnsi="宋体" w:cs="宋体"/>
          <w:color w:val="000000" w:themeColor="text1"/>
          <w:kern w:val="0"/>
          <w:sz w:val="24"/>
          <w:szCs w:val="24"/>
        </w:rPr>
        <w:t>对中标结果提出质疑的，为中标结果公告期限届满之日。</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31.2质疑必须按《政府采购法》、《政府采购法实施条例》及《江苏省政府采购供应商监督管理暂行办法》的相关规定提交，未按上述要求提交的质疑函（含传真、电子邮件等）采购人和采购代理机构有权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31.3未参加投标活动的供应商或在投标活动中自身权益未受到损害的供应商所提出的质疑不予受理。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31.4质疑函应当包括下列内容：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31.4.1质疑投标人的名称、地址、邮编、联系人、联系电话；</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31.4.2具体的质疑事项及明确的请求；</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31.4.3认为自己合法权益受到损害或可能受到损害的相关证据材料；</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31.4.4提起质疑的日期；</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31.4.5质疑函应当署名：质疑人为自然人的，应当由本人签字并附有效身份证明；质疑人为法人或其他组织的，应当由法定代表人签字并加盖单位公章。（质疑人为联合体的，则联合体各方法定代表人均须签字并加盖单位公章），未按要求签字和盖章的为无效质疑，采购人和采购代理机构将不予受理。)质疑人委托代理质疑的，应当向采购人或采购代理机构提交授权委托书，并载明委托代理的具体权限和事项。</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31.5采购人或采购代理机构收到质疑函后，将对质疑的形式和内容进行审查，如质疑函内容、格式不符合规定，采购人或采购代理机构将告知质疑人进行补正。</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31.6质疑人应当在法定质疑期限内进行补正并重新提交质疑函，拒不补正或者在法定期限内未重新提交质疑函的，为无效质疑，采购人和采购代理机构将不予受理。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31.7对于内容、格式符合规定的质疑函，采购人或采购代理机构应当在收到投标供应商的书面质疑后七个工作日内作出答复，并以书面形式通知质疑供应商和其他有关供应商，但答复的内容不得涉及商业秘密。</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31.8投标人提出书面质疑必须有理、有据，不得恶意质疑或提交虚假质疑。否则，一经查实，采购人和采购代理机构有权依据政府采购的有关规定，报请政府采购监管部门对该投标人进行相应的行政处罚，并扣减其诚信记录分。</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32、中标通知书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32.l中标结果确定后，采购人将向中标供应商发出中标通知书。</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32.2中标通知书将是合同的一个组成部分。对采购人和中标供应商均具有法律效力。中标通知书发出后，采购人改变中标结果的，或者中标供应商放弃中标项目的，应当依法承担法律责任。</w:t>
      </w:r>
    </w:p>
    <w:p>
      <w:pPr>
        <w:pStyle w:val="35"/>
        <w:snapToGrid w:val="0"/>
        <w:spacing w:before="0" w:after="0" w:line="360" w:lineRule="auto"/>
        <w:ind w:firstLine="482"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七、合同签订相关事项</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33. 签订合同</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bCs/>
          <w:color w:val="000000" w:themeColor="text1"/>
          <w:sz w:val="24"/>
          <w:szCs w:val="24"/>
        </w:rPr>
        <w:t>33</w:t>
      </w:r>
      <w:r>
        <w:rPr>
          <w:rStyle w:val="42"/>
          <w:rFonts w:hint="eastAsia" w:ascii="宋体" w:hAnsi="宋体" w:cs="宋体"/>
          <w:color w:val="000000" w:themeColor="text1"/>
          <w:sz w:val="24"/>
          <w:szCs w:val="24"/>
        </w:rPr>
        <w:t>.l中标供应商应按中标通知书规定的时间、地点,按照招标文件确定的事项与采购人签订政府采购合同，且不得迟于中标通知书发出之日起三十日内，否则将取消中标资格并没收相应保证金，由此给采购人造成损失的，中标供应商还应承担赔偿责任。</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33.2招标文件、中标供应商的投标文件及招标过程中有关澄清、承诺文件均应作为合同附件。</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33.3 签订合同后，中标供应商不得将货物及其他相关服务进行转包。未经采购人同意，中标供应商也不得采用分包的形式履行合同，否则采购人有权终止合同，中标供应商的履约保证金将不予退还。转包或分包造成采购人损失的，中标供应商应承担相应赔偿责任。</w:t>
      </w:r>
    </w:p>
    <w:p>
      <w:pPr>
        <w:pStyle w:val="36"/>
        <w:snapToGrid w:val="0"/>
        <w:spacing w:before="0" w:after="0" w:line="360" w:lineRule="auto"/>
        <w:ind w:firstLine="480" w:firstLineChars="200"/>
        <w:rPr>
          <w:rStyle w:val="42"/>
          <w:rFonts w:ascii="宋体" w:hAnsi="宋体" w:cs="宋体"/>
          <w:b w:val="0"/>
          <w:color w:val="000000" w:themeColor="text1"/>
          <w:sz w:val="24"/>
          <w:szCs w:val="24"/>
        </w:rPr>
      </w:pPr>
      <w:r>
        <w:rPr>
          <w:rStyle w:val="42"/>
          <w:rFonts w:hint="eastAsia" w:ascii="宋体" w:hAnsi="宋体" w:cs="宋体"/>
          <w:b w:val="0"/>
          <w:color w:val="000000" w:themeColor="text1"/>
          <w:sz w:val="24"/>
          <w:szCs w:val="24"/>
        </w:rPr>
        <w:t>34、货物和服务的追加、减少和添购。</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34.1政府采购合同履行中，采购人需追加与合同标的相同的货物和服务的，在不改变合同其他条款的前提下，可以与中标供应商协商签订补充合同，但所有补充合同的采购金额不超过原合同金额10%。</w:t>
      </w:r>
    </w:p>
    <w:p>
      <w:pPr>
        <w:snapToGrid w:val="0"/>
        <w:spacing w:line="360" w:lineRule="auto"/>
        <w:ind w:firstLine="480" w:firstLineChars="200"/>
        <w:rPr>
          <w:rStyle w:val="42"/>
          <w:rFonts w:ascii="宋体" w:hAnsi="宋体" w:cs="宋体"/>
          <w:b/>
          <w:color w:val="000000" w:themeColor="text1"/>
          <w:sz w:val="24"/>
          <w:szCs w:val="24"/>
        </w:rPr>
      </w:pPr>
      <w:r>
        <w:rPr>
          <w:rStyle w:val="42"/>
          <w:rFonts w:hint="eastAsia" w:ascii="宋体" w:hAnsi="宋体" w:cs="宋体"/>
          <w:color w:val="000000" w:themeColor="text1"/>
          <w:sz w:val="24"/>
          <w:szCs w:val="24"/>
        </w:rPr>
        <w:t>34.2采购结束后，采购人若由于各种客观原因，必须对采购项目所牵涉的货物和服务进行适当的减少时，在双方协商一致的前提下，可以按照招标采购时的价格水平做相应的调减，并据此签订补充合同。</w:t>
      </w:r>
    </w:p>
    <w:p>
      <w:pPr>
        <w:tabs>
          <w:tab w:val="left" w:pos="900"/>
        </w:tabs>
        <w:snapToGrid w:val="0"/>
        <w:spacing w:line="360" w:lineRule="auto"/>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35、履约保证金</w:t>
      </w:r>
    </w:p>
    <w:p>
      <w:pPr>
        <w:tabs>
          <w:tab w:val="left" w:pos="900"/>
        </w:tabs>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在签订合同时，须向采购人交纳履约保证金,于合同履行后无息退还。履约保证金用以约束成交供应商在合同履行中的行为，弥补合同执行中由于自身行为可能给采购人带来的各种损失。</w:t>
      </w:r>
    </w:p>
    <w:p>
      <w:pPr>
        <w:tabs>
          <w:tab w:val="left" w:pos="900"/>
        </w:tabs>
        <w:snapToGrid w:val="0"/>
        <w:spacing w:line="360" w:lineRule="auto"/>
        <w:ind w:firstLine="482" w:firstLineChars="200"/>
        <w:rPr>
          <w:rStyle w:val="42"/>
          <w:rFonts w:ascii="宋体" w:hAnsi="宋体" w:cs="宋体"/>
          <w:color w:val="000000" w:themeColor="text1"/>
          <w:sz w:val="24"/>
          <w:szCs w:val="24"/>
        </w:rPr>
      </w:pPr>
      <w:r>
        <w:rPr>
          <w:rStyle w:val="42"/>
          <w:rFonts w:hint="eastAsia" w:ascii="宋体" w:hAnsi="宋体" w:cs="宋体"/>
          <w:b/>
          <w:color w:val="000000" w:themeColor="text1"/>
          <w:sz w:val="24"/>
          <w:szCs w:val="24"/>
        </w:rPr>
        <w:t>36、政府采购履约资金扶持政策</w:t>
      </w:r>
    </w:p>
    <w:p>
      <w:pPr>
        <w:snapToGrid w:val="0"/>
        <w:spacing w:line="360" w:lineRule="auto"/>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根据国家扶持中小企业的有关政策，在盐城市政府采购中心组织的采购项目中标的注册地在盐城的中小企业，在履约过程中如遇到资金困难，凭中标通知书可在与盐城市财政局签署了《盐城市政府采购供应商融资业务合作协议》的金融机构办理授信申请。</w:t>
      </w:r>
    </w:p>
    <w:p>
      <w:pPr>
        <w:snapToGrid w:val="0"/>
        <w:spacing w:line="360" w:lineRule="auto"/>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八、其他</w:t>
      </w:r>
    </w:p>
    <w:p>
      <w:pPr>
        <w:snapToGrid w:val="0"/>
        <w:spacing w:line="360" w:lineRule="auto"/>
        <w:ind w:firstLine="482" w:firstLineChars="200"/>
        <w:rPr>
          <w:rStyle w:val="42"/>
          <w:rFonts w:ascii="宋体" w:hAnsi="宋体" w:cs="宋体"/>
          <w:b/>
          <w:color w:val="000000" w:themeColor="text1"/>
          <w:sz w:val="44"/>
          <w:szCs w:val="28"/>
        </w:rPr>
      </w:pPr>
      <w:r>
        <w:rPr>
          <w:rStyle w:val="42"/>
          <w:rFonts w:hint="eastAsia" w:ascii="宋体" w:hAnsi="宋体" w:cs="宋体"/>
          <w:b/>
          <w:color w:val="000000" w:themeColor="text1"/>
          <w:sz w:val="24"/>
          <w:szCs w:val="24"/>
        </w:rPr>
        <w:t>37、样品：</w:t>
      </w:r>
      <w:r>
        <w:rPr>
          <w:rStyle w:val="42"/>
          <w:rFonts w:hint="eastAsia" w:ascii="宋体" w:hAnsi="宋体" w:cs="宋体"/>
          <w:color w:val="000000" w:themeColor="text1"/>
          <w:sz w:val="24"/>
          <w:szCs w:val="24"/>
        </w:rPr>
        <w:t>无</w:t>
      </w:r>
    </w:p>
    <w:p>
      <w:pPr>
        <w:rPr>
          <w:rStyle w:val="42"/>
          <w:rFonts w:ascii="宋体" w:hAnsi="宋体" w:cs="宋体"/>
          <w:b/>
          <w:color w:val="000000" w:themeColor="text1"/>
          <w:sz w:val="44"/>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883"/>
        <w:rPr>
          <w:rStyle w:val="42"/>
          <w:rFonts w:cs="宋体"/>
          <w:b/>
          <w:color w:val="000000" w:themeColor="text1"/>
          <w:sz w:val="44"/>
          <w:szCs w:val="21"/>
        </w:rPr>
      </w:pPr>
    </w:p>
    <w:p>
      <w:pPr>
        <w:pStyle w:val="23"/>
        <w:ind w:firstLine="0" w:firstLineChars="0"/>
        <w:rPr>
          <w:rStyle w:val="42"/>
          <w:rFonts w:cs="宋体"/>
          <w:b/>
          <w:color w:val="000000" w:themeColor="text1"/>
          <w:sz w:val="44"/>
          <w:szCs w:val="21"/>
        </w:rPr>
      </w:pPr>
    </w:p>
    <w:p>
      <w:pPr>
        <w:pStyle w:val="32"/>
        <w:outlineLvl w:val="0"/>
        <w:rPr>
          <w:rStyle w:val="42"/>
          <w:rFonts w:ascii="宋体" w:hAnsi="宋体" w:eastAsia="宋体" w:cs="宋体"/>
          <w:b/>
          <w:color w:val="000000" w:themeColor="text1"/>
          <w:sz w:val="44"/>
        </w:rPr>
      </w:pPr>
      <w:bookmarkStart w:id="3" w:name="_Toc2555"/>
      <w:r>
        <w:rPr>
          <w:rStyle w:val="42"/>
          <w:rFonts w:hint="eastAsia" w:ascii="宋体" w:hAnsi="宋体" w:eastAsia="宋体" w:cs="宋体"/>
          <w:b/>
          <w:color w:val="000000" w:themeColor="text1"/>
          <w:sz w:val="44"/>
        </w:rPr>
        <w:t>第三章  合同条款及格式</w:t>
      </w:r>
      <w:bookmarkEnd w:id="3"/>
    </w:p>
    <w:p>
      <w:pPr>
        <w:spacing w:line="440" w:lineRule="exact"/>
        <w:ind w:firstLine="480" w:firstLineChars="200"/>
        <w:rPr>
          <w:rStyle w:val="42"/>
          <w:rFonts w:ascii="宋体" w:hAnsi="宋体" w:cs="宋体"/>
          <w:bCs/>
          <w:color w:val="000000" w:themeColor="text1"/>
          <w:sz w:val="24"/>
        </w:rPr>
      </w:pPr>
      <w:r>
        <w:rPr>
          <w:rStyle w:val="42"/>
          <w:rFonts w:hint="eastAsia" w:ascii="宋体" w:hAnsi="宋体" w:cs="宋体"/>
          <w:bCs/>
          <w:color w:val="000000" w:themeColor="text1"/>
          <w:sz w:val="24"/>
        </w:rPr>
        <w:t>以下为中标后签定本项目合同的通用条款，中标供应商不得提出实质性的修改，关于专用条款将由采购人与中标供应商结合本项目具体情况协商后签订。</w:t>
      </w:r>
    </w:p>
    <w:p>
      <w:pPr>
        <w:snapToGrid w:val="0"/>
        <w:spacing w:line="440" w:lineRule="exact"/>
        <w:jc w:val="center"/>
        <w:rPr>
          <w:rStyle w:val="42"/>
          <w:rFonts w:ascii="宋体" w:hAnsi="宋体" w:cs="宋体"/>
          <w:b/>
          <w:color w:val="000000" w:themeColor="text1"/>
          <w:sz w:val="30"/>
          <w:szCs w:val="20"/>
        </w:rPr>
      </w:pPr>
      <w:r>
        <w:rPr>
          <w:rStyle w:val="42"/>
          <w:rFonts w:hint="eastAsia" w:ascii="宋体" w:hAnsi="宋体" w:cs="宋体"/>
          <w:b/>
          <w:color w:val="000000" w:themeColor="text1"/>
          <w:sz w:val="30"/>
        </w:rPr>
        <w:t>采购合同（格式）</w:t>
      </w:r>
    </w:p>
    <w:p>
      <w:pPr>
        <w:pStyle w:val="21"/>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项目名称：</w:t>
      </w:r>
      <w:r>
        <w:rPr>
          <w:rFonts w:hint="eastAsia"/>
          <w:color w:val="000000" w:themeColor="text1"/>
          <w:kern w:val="2"/>
          <w:u w:val="single"/>
        </w:rPr>
        <w:t>药品与健康学院电脑等设备采购项目</w:t>
      </w:r>
    </w:p>
    <w:p>
      <w:pPr>
        <w:pStyle w:val="21"/>
        <w:widowControl w:val="0"/>
        <w:snapToGrid w:val="0"/>
        <w:spacing w:before="0" w:beforeAutospacing="0" w:after="0" w:afterAutospacing="0" w:line="460" w:lineRule="exact"/>
        <w:ind w:firstLine="480" w:firstLineChars="200"/>
        <w:rPr>
          <w:color w:val="000000" w:themeColor="text1"/>
        </w:rPr>
      </w:pPr>
      <w:r>
        <w:rPr>
          <w:rFonts w:hint="eastAsia"/>
          <w:color w:val="000000" w:themeColor="text1"/>
          <w:kern w:val="2"/>
        </w:rPr>
        <w:t>项目编号：</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甲方：（买方）</w:t>
      </w:r>
      <w:r>
        <w:rPr>
          <w:rFonts w:hint="eastAsia"/>
          <w:color w:val="000000" w:themeColor="text1"/>
          <w:kern w:val="2"/>
          <w:u w:val="single"/>
        </w:rPr>
        <w:t>盐城工业职业技术学院</w:t>
      </w:r>
    </w:p>
    <w:p>
      <w:pPr>
        <w:pStyle w:val="21"/>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乙方：（卖方）</w:t>
      </w:r>
    </w:p>
    <w:p>
      <w:pPr>
        <w:spacing w:line="460" w:lineRule="exact"/>
        <w:ind w:firstLine="480" w:firstLineChars="200"/>
        <w:rPr>
          <w:rFonts w:ascii="宋体" w:hAnsi="宋体" w:cs="宋体"/>
          <w:b/>
          <w:color w:val="000000" w:themeColor="text1"/>
          <w:sz w:val="24"/>
          <w:szCs w:val="24"/>
        </w:rPr>
      </w:pPr>
      <w:r>
        <w:rPr>
          <w:rFonts w:hint="eastAsia" w:ascii="宋体" w:hAnsi="宋体" w:cs="宋体"/>
          <w:color w:val="000000" w:themeColor="text1"/>
          <w:sz w:val="24"/>
          <w:szCs w:val="24"/>
        </w:rPr>
        <w:t>甲、乙双方根据</w:t>
      </w:r>
      <w:r>
        <w:rPr>
          <w:rFonts w:hint="eastAsia" w:ascii="宋体" w:hAnsi="宋体" w:cs="宋体"/>
          <w:color w:val="000000" w:themeColor="text1"/>
          <w:sz w:val="24"/>
          <w:szCs w:val="24"/>
          <w:u w:val="single"/>
        </w:rPr>
        <w:t>药品与健康学院电脑等设备采购项目</w:t>
      </w:r>
      <w:r>
        <w:rPr>
          <w:rFonts w:hint="eastAsia" w:ascii="宋体" w:hAnsi="宋体" w:cs="宋体"/>
          <w:color w:val="000000" w:themeColor="text1"/>
          <w:sz w:val="24"/>
          <w:szCs w:val="24"/>
        </w:rPr>
        <w:t>公开招标的结果，签署本合同。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一、项目内容</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1.1 项目名称：</w:t>
      </w:r>
      <w:r>
        <w:rPr>
          <w:rFonts w:hint="eastAsia"/>
          <w:color w:val="000000" w:themeColor="text1"/>
          <w:kern w:val="2"/>
          <w:u w:val="single"/>
        </w:rPr>
        <w:t>药品与健康学院电脑等设备采购项目。</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1.2 型号规格及其他要求：</w:t>
      </w:r>
      <w:r>
        <w:rPr>
          <w:rFonts w:hint="eastAsia"/>
          <w:color w:val="000000" w:themeColor="text1"/>
          <w:kern w:val="2"/>
          <w:u w:val="single"/>
        </w:rPr>
        <w:t>详按项目需求</w:t>
      </w:r>
      <w:r>
        <w:rPr>
          <w:rFonts w:hint="eastAsia"/>
          <w:color w:val="000000" w:themeColor="text1"/>
          <w:kern w:val="2"/>
        </w:rPr>
        <w:t>。</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1.3 数量（单位）：</w:t>
      </w:r>
      <w:r>
        <w:rPr>
          <w:rFonts w:hint="eastAsia"/>
          <w:color w:val="000000" w:themeColor="text1"/>
          <w:kern w:val="2"/>
          <w:u w:val="single"/>
        </w:rPr>
        <w:t>详按项目需求</w:t>
      </w:r>
      <w:r>
        <w:rPr>
          <w:rFonts w:hint="eastAsia"/>
          <w:color w:val="000000" w:themeColor="text1"/>
          <w:kern w:val="2"/>
        </w:rPr>
        <w:t>。</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二、合同金额</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2.1 本合同金额为（大写）：（小写）：______元人民币或其他币种。</w:t>
      </w:r>
    </w:p>
    <w:p>
      <w:pPr>
        <w:pStyle w:val="21"/>
        <w:widowControl w:val="0"/>
        <w:snapToGrid w:val="0"/>
        <w:spacing w:before="0" w:beforeAutospacing="0" w:after="0" w:afterAutospacing="0" w:line="460" w:lineRule="exact"/>
        <w:ind w:firstLine="480" w:firstLineChars="200"/>
        <w:jc w:val="both"/>
        <w:rPr>
          <w:bCs/>
          <w:color w:val="000000" w:themeColor="text1"/>
          <w:kern w:val="2"/>
        </w:rPr>
      </w:pPr>
      <w:r>
        <w:rPr>
          <w:rFonts w:hint="eastAsia"/>
          <w:bCs/>
          <w:color w:val="000000" w:themeColor="text1"/>
          <w:kern w:val="2"/>
        </w:rPr>
        <w:t>招标文件的项目需求中规定的安装、调试和培训费用包括在合同金额中。合同金额包括了交付使用前的全部费用，包括但不限于所有采购成本、附件、配件、备品备件及专用工具费、运输费、保险费、培训费、安装、调试、验收费用、维保费、其他费用（如包装费、仓储费、保管费、资料费、使用耗材等以及完成本项目所需要的其他费用）、管理费、利润、风险费用、规费、招标代理费、国家对乙方征收的各种税费等涉及到的所有费用。</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三、技术资料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3.1乙方应按招标文件规定的时间向甲方提供使用货物和服务的有关技术资料。</w:t>
      </w:r>
    </w:p>
    <w:p>
      <w:pPr>
        <w:spacing w:line="460" w:lineRule="exact"/>
        <w:ind w:firstLine="480" w:firstLineChars="200"/>
        <w:rPr>
          <w:rFonts w:ascii="宋体" w:hAnsi="宋体" w:cs="宋体"/>
          <w:bCs/>
          <w:color w:val="000000" w:themeColor="text1"/>
          <w:sz w:val="24"/>
        </w:rPr>
      </w:pPr>
      <w:r>
        <w:rPr>
          <w:rFonts w:hint="eastAsia" w:ascii="宋体" w:hAnsi="宋体" w:cs="宋体"/>
          <w:bCs/>
          <w:color w:val="000000" w:themeColor="text1"/>
          <w:sz w:val="24"/>
        </w:rPr>
        <w:t>3.2 没有甲方事先书面同意，乙方不得将由甲方提供的有关合同或任何合同条文、规格、计划、图纸、样品或资料提供给与履行本合同无关的任何其他人。即使向履行本合同有关的人员提供，也应注意保密并限于履行合同的必需范围。</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四、知识产权</w:t>
      </w:r>
    </w:p>
    <w:p>
      <w:pPr>
        <w:spacing w:line="460" w:lineRule="exact"/>
        <w:ind w:firstLine="480" w:firstLineChars="200"/>
        <w:rPr>
          <w:rFonts w:ascii="宋体" w:hAnsi="宋体" w:cs="宋体"/>
          <w:color w:val="000000" w:themeColor="text1"/>
          <w:sz w:val="24"/>
        </w:rPr>
      </w:pPr>
      <w:r>
        <w:rPr>
          <w:rFonts w:hint="eastAsia" w:ascii="宋体" w:hAnsi="宋体" w:cs="宋体"/>
          <w:color w:val="000000" w:themeColor="text1"/>
          <w:sz w:val="24"/>
          <w:szCs w:val="24"/>
        </w:rPr>
        <w:t>4.1乙</w:t>
      </w:r>
      <w:r>
        <w:rPr>
          <w:rFonts w:hint="eastAsia" w:ascii="宋体" w:hAnsi="宋体" w:cs="宋体"/>
          <w:color w:val="000000" w:themeColor="text1"/>
          <w:sz w:val="24"/>
        </w:rPr>
        <w:t>方应保证甲方在使用、接受本合同货物和服务或其任何一部分时不受第三方提出侵犯其专利权、版权、商标权和工业设计权等知识产权的起诉。一旦出现侵权，由乙方负全部责任。</w:t>
      </w:r>
    </w:p>
    <w:p>
      <w:pPr>
        <w:pStyle w:val="21"/>
        <w:widowControl w:val="0"/>
        <w:snapToGrid w:val="0"/>
        <w:spacing w:before="0" w:beforeAutospacing="0" w:after="0" w:afterAutospacing="0" w:line="460" w:lineRule="exact"/>
        <w:ind w:firstLine="482" w:firstLineChars="200"/>
        <w:jc w:val="both"/>
        <w:rPr>
          <w:color w:val="000000" w:themeColor="text1"/>
          <w:u w:val="single"/>
        </w:rPr>
      </w:pPr>
      <w:r>
        <w:rPr>
          <w:rFonts w:hint="eastAsia"/>
          <w:b/>
          <w:color w:val="000000" w:themeColor="text1"/>
          <w:kern w:val="2"/>
        </w:rPr>
        <w:t>五、产权担保</w:t>
      </w:r>
    </w:p>
    <w:p>
      <w:pPr>
        <w:pStyle w:val="21"/>
        <w:widowControl w:val="0"/>
        <w:snapToGrid w:val="0"/>
        <w:spacing w:before="0" w:beforeAutospacing="0" w:after="0" w:afterAutospacing="0" w:line="460" w:lineRule="exact"/>
        <w:ind w:firstLine="480" w:firstLineChars="200"/>
        <w:jc w:val="both"/>
        <w:rPr>
          <w:color w:val="000000" w:themeColor="text1"/>
          <w:u w:val="single"/>
        </w:rPr>
      </w:pPr>
      <w:r>
        <w:rPr>
          <w:rFonts w:hint="eastAsia"/>
          <w:color w:val="000000" w:themeColor="text1"/>
          <w:kern w:val="2"/>
        </w:rPr>
        <w:t>5.1乙方保证所交付的货物</w:t>
      </w:r>
      <w:r>
        <w:rPr>
          <w:rFonts w:hint="eastAsia"/>
          <w:bCs/>
          <w:color w:val="000000" w:themeColor="text1"/>
          <w:kern w:val="2"/>
        </w:rPr>
        <w:t>和服务</w:t>
      </w:r>
      <w:r>
        <w:rPr>
          <w:rFonts w:hint="eastAsia"/>
          <w:color w:val="000000" w:themeColor="text1"/>
          <w:kern w:val="2"/>
        </w:rPr>
        <w:t>的所有权完全属于乙方且无任何抵押、查封等产权瑕疵。</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六、履约保证金</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6.1乙方交纳人民币______元作为本合同的履约保证金（合同金额的5%取整汇到采购人指定账户，验收合格后无息退还中标人）。</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七、转包或分包</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7.1本合同范围的货物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，应由乙方直接供应，不得转让他人供应；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7.2 除非得到甲方的书面同意，乙方不得部分分包给他人供应。</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7.3如有转让和未经甲方同意的分包行为，甲方有权给予终止合同。</w:t>
      </w:r>
    </w:p>
    <w:p>
      <w:pPr>
        <w:pStyle w:val="21"/>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八、质保期</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8.1、中标人须提供</w:t>
      </w:r>
      <w:r>
        <w:rPr>
          <w:rFonts w:hint="eastAsia" w:ascii="宋体" w:hAnsi="宋体" w:cs="宋体"/>
          <w:color w:val="000000" w:themeColor="text1"/>
          <w:sz w:val="24"/>
          <w:szCs w:val="24"/>
          <w:u w:val="single"/>
          <w:lang w:val="en-US" w:eastAsia="zh-CN"/>
        </w:rPr>
        <w:t xml:space="preserve">    </w:t>
      </w:r>
      <w:r>
        <w:rPr>
          <w:rFonts w:hint="eastAsia" w:ascii="宋体" w:hAnsi="宋体" w:cs="宋体"/>
          <w:color w:val="000000" w:themeColor="text1"/>
          <w:sz w:val="24"/>
          <w:szCs w:val="24"/>
        </w:rPr>
        <w:t>年</w:t>
      </w:r>
      <w:r>
        <w:rPr>
          <w:rFonts w:hint="eastAsia" w:ascii="宋体" w:hAnsi="宋体" w:cs="宋体"/>
          <w:color w:val="000000" w:themeColor="text1"/>
          <w:sz w:val="24"/>
          <w:szCs w:val="24"/>
          <w:lang w:val="en-US" w:eastAsia="zh-CN"/>
        </w:rPr>
        <w:t>(（根据投标文件里的承诺填写）</w:t>
      </w:r>
      <w:r>
        <w:rPr>
          <w:rFonts w:hint="eastAsia" w:ascii="宋体" w:hAnsi="宋体" w:cs="宋体"/>
          <w:color w:val="000000" w:themeColor="text1"/>
          <w:sz w:val="24"/>
          <w:szCs w:val="24"/>
        </w:rPr>
        <w:t>的免费质保服务。</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8.2、所有质保费用均已包含在投标报价中，质保期满后，应提供优先的有偿售后服务及按不高于投标文件中主要配件、易损件清单所报价格供应原厂零配件等。</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8.3、中标人须设有维修服务电话，负责解答用户在设备使用中遇到的问题，及时提出解决问题的建议和操作方法。</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8.4、售后服务响应时间：如设备出现故障，电话响应无法解决，中标人必须在接报修电话24 小时到现场并解决问题。</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九、交货期、交货方式、交货地点</w:t>
      </w:r>
    </w:p>
    <w:p>
      <w:pPr>
        <w:pStyle w:val="21"/>
        <w:widowControl w:val="0"/>
        <w:snapToGrid w:val="0"/>
        <w:spacing w:before="0" w:beforeAutospacing="0" w:after="0" w:afterAutospacing="0" w:line="460" w:lineRule="exact"/>
        <w:ind w:firstLine="480" w:firstLineChars="200"/>
        <w:jc w:val="both"/>
        <w:rPr>
          <w:bCs/>
          <w:color w:val="auto"/>
        </w:rPr>
      </w:pPr>
      <w:r>
        <w:rPr>
          <w:rFonts w:hint="eastAsia"/>
          <w:bCs/>
          <w:color w:val="000000" w:themeColor="text1"/>
          <w:kern w:val="2"/>
        </w:rPr>
        <w:t>9.1 交货期：</w:t>
      </w:r>
      <w:r>
        <w:rPr>
          <w:rFonts w:hint="eastAsia"/>
          <w:bCs/>
          <w:color w:val="000000" w:themeColor="text1"/>
          <w:kern w:val="2"/>
          <w:u w:val="single"/>
        </w:rPr>
        <w:t>合同签订30天内交货，合同签订60天内完成整个药品经营实训室</w:t>
      </w:r>
      <w:r>
        <w:rPr>
          <w:rFonts w:hint="eastAsia"/>
          <w:bCs/>
          <w:color w:val="auto"/>
          <w:kern w:val="2"/>
          <w:u w:val="single"/>
        </w:rPr>
        <w:t>（401-402）建设</w:t>
      </w:r>
      <w:r>
        <w:rPr>
          <w:rFonts w:hint="eastAsia"/>
          <w:color w:val="auto"/>
          <w:kern w:val="2"/>
          <w:u w:val="single"/>
        </w:rPr>
        <w:t>。</w:t>
      </w:r>
    </w:p>
    <w:p>
      <w:pPr>
        <w:pStyle w:val="21"/>
        <w:widowControl w:val="0"/>
        <w:snapToGrid w:val="0"/>
        <w:spacing w:before="0" w:beforeAutospacing="0" w:after="0" w:afterAutospacing="0" w:line="460" w:lineRule="exact"/>
        <w:ind w:firstLine="480" w:firstLineChars="200"/>
        <w:jc w:val="both"/>
        <w:rPr>
          <w:bCs/>
          <w:color w:val="000000" w:themeColor="text1"/>
        </w:rPr>
      </w:pPr>
      <w:r>
        <w:rPr>
          <w:rFonts w:hint="eastAsia"/>
          <w:bCs/>
          <w:color w:val="000000" w:themeColor="text1"/>
          <w:kern w:val="2"/>
        </w:rPr>
        <w:t>9.2 交货方式：</w:t>
      </w:r>
      <w:r>
        <w:rPr>
          <w:rFonts w:hint="eastAsia"/>
          <w:color w:val="000000" w:themeColor="text1"/>
          <w:kern w:val="2"/>
          <w:u w:val="single"/>
          <w:lang w:eastAsia="zh-TW"/>
        </w:rPr>
        <w:t>送货上门、安装与调试</w:t>
      </w:r>
      <w:r>
        <w:rPr>
          <w:rFonts w:hint="eastAsia"/>
          <w:color w:val="000000" w:themeColor="text1"/>
          <w:kern w:val="2"/>
          <w:u w:val="single"/>
        </w:rPr>
        <w:t>。</w:t>
      </w:r>
    </w:p>
    <w:p>
      <w:pPr>
        <w:pStyle w:val="21"/>
        <w:widowControl w:val="0"/>
        <w:snapToGrid w:val="0"/>
        <w:spacing w:before="0" w:beforeAutospacing="0" w:after="0" w:afterAutospacing="0" w:line="460" w:lineRule="exact"/>
        <w:ind w:firstLine="480" w:firstLineChars="200"/>
        <w:jc w:val="both"/>
        <w:rPr>
          <w:color w:val="000000" w:themeColor="text1"/>
          <w:kern w:val="2"/>
          <w:u w:val="single"/>
          <w:lang w:eastAsia="zh-TW"/>
        </w:rPr>
      </w:pPr>
      <w:r>
        <w:rPr>
          <w:rFonts w:hint="eastAsia"/>
          <w:bCs/>
          <w:color w:val="000000" w:themeColor="text1"/>
          <w:kern w:val="2"/>
        </w:rPr>
        <w:t>9.3 交货地点：</w:t>
      </w:r>
      <w:r>
        <w:rPr>
          <w:rFonts w:hint="eastAsia"/>
          <w:color w:val="000000" w:themeColor="text1"/>
          <w:kern w:val="2"/>
          <w:u w:val="single"/>
          <w:lang w:eastAsia="zh-TW"/>
        </w:rPr>
        <w:t>盐城工业职业技术学院校内甲方指定地点。</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十、货款支付</w:t>
      </w:r>
    </w:p>
    <w:p>
      <w:pPr>
        <w:snapToGrid w:val="0"/>
        <w:spacing w:line="460" w:lineRule="exact"/>
        <w:ind w:firstLine="480" w:firstLineChars="200"/>
        <w:rPr>
          <w:rFonts w:ascii="宋体" w:hAnsi="宋体" w:cs="宋体"/>
          <w:color w:val="000000" w:themeColor="text1"/>
          <w:sz w:val="24"/>
          <w:u w:val="single"/>
        </w:rPr>
      </w:pPr>
      <w:r>
        <w:rPr>
          <w:rFonts w:hint="eastAsia" w:ascii="宋体" w:hAnsi="宋体" w:cs="宋体"/>
          <w:color w:val="000000" w:themeColor="text1"/>
          <w:sz w:val="24"/>
        </w:rPr>
        <w:t>10.1 付款方式：</w:t>
      </w:r>
      <w:r>
        <w:rPr>
          <w:rFonts w:hint="eastAsia" w:ascii="宋体" w:hAnsi="宋体" w:cs="宋体"/>
          <w:color w:val="000000" w:themeColor="text1"/>
          <w:sz w:val="24"/>
          <w:u w:val="single"/>
        </w:rPr>
        <w:t>招标范围内容全部完成并经安装调试、培训结束，验收合格后付总价的90%；余款一年后根据售后服务情况付总价的5%，质保期满后根据售后服务情况结清余款。</w:t>
      </w:r>
    </w:p>
    <w:p>
      <w:pPr>
        <w:snapToGrid w:val="0"/>
        <w:spacing w:line="460" w:lineRule="exact"/>
        <w:ind w:firstLine="482" w:firstLineChars="200"/>
        <w:rPr>
          <w:rFonts w:hint="eastAsia" w:ascii="宋体" w:hAnsi="宋体" w:eastAsia="宋体" w:cs="宋体"/>
          <w:b/>
          <w:bCs/>
          <w:color w:val="000000" w:themeColor="text1"/>
          <w:sz w:val="24"/>
          <w:u w:val="none"/>
        </w:rPr>
      </w:pPr>
      <w:r>
        <w:rPr>
          <w:rFonts w:hint="eastAsia" w:ascii="宋体" w:hAnsi="宋体" w:cs="宋体"/>
          <w:b/>
          <w:color w:val="000000" w:themeColor="text1"/>
          <w:sz w:val="24"/>
          <w:szCs w:val="24"/>
        </w:rPr>
        <w:t>注：</w:t>
      </w:r>
      <w:r>
        <w:rPr>
          <w:rFonts w:hint="eastAsia" w:ascii="宋体" w:hAnsi="宋体" w:eastAsia="宋体" w:cs="宋体"/>
          <w:b/>
          <w:bCs/>
          <w:color w:val="000000" w:themeColor="text1"/>
          <w:sz w:val="24"/>
          <w:u w:val="none"/>
        </w:rPr>
        <w:t>甲方每次付款时，乙方必须提供增值税专用发票，否则甲方有权不付款。</w:t>
      </w:r>
    </w:p>
    <w:p>
      <w:pPr>
        <w:snapToGrid w:val="0"/>
        <w:spacing w:line="460" w:lineRule="exact"/>
        <w:ind w:firstLine="482" w:firstLineChars="200"/>
        <w:rPr>
          <w:rFonts w:ascii="宋体" w:hAnsi="宋体" w:cs="宋体"/>
          <w:b/>
          <w:color w:val="000000" w:themeColor="text1"/>
          <w:sz w:val="24"/>
          <w:szCs w:val="24"/>
        </w:rPr>
      </w:pPr>
      <w:r>
        <w:rPr>
          <w:rFonts w:hint="eastAsia" w:ascii="宋体" w:hAnsi="宋体" w:cs="宋体"/>
          <w:b/>
          <w:color w:val="000000" w:themeColor="text1"/>
          <w:sz w:val="24"/>
          <w:szCs w:val="24"/>
        </w:rPr>
        <w:t>十一、税费</w:t>
      </w:r>
    </w:p>
    <w:p>
      <w:pPr>
        <w:snapToGrid w:val="0"/>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11.1本合同执行中相关的一切税费均由乙方负担。</w:t>
      </w:r>
    </w:p>
    <w:p>
      <w:pPr>
        <w:pStyle w:val="21"/>
        <w:widowControl w:val="0"/>
        <w:snapToGrid w:val="0"/>
        <w:spacing w:before="0" w:beforeAutospacing="0" w:after="0" w:afterAutospacing="0" w:line="460" w:lineRule="exact"/>
        <w:ind w:firstLine="482" w:firstLineChars="200"/>
        <w:jc w:val="both"/>
        <w:rPr>
          <w:color w:val="000000" w:themeColor="text1"/>
        </w:rPr>
      </w:pPr>
      <w:r>
        <w:rPr>
          <w:rFonts w:hint="eastAsia"/>
          <w:b/>
          <w:color w:val="000000" w:themeColor="text1"/>
          <w:kern w:val="2"/>
        </w:rPr>
        <w:t>十二、质量保证及售后服务</w:t>
      </w:r>
    </w:p>
    <w:p>
      <w:pPr>
        <w:pStyle w:val="21"/>
        <w:spacing w:before="0" w:beforeAutospacing="0" w:after="0" w:afterAutospacing="0" w:line="360" w:lineRule="auto"/>
        <w:ind w:firstLine="480" w:firstLineChars="200"/>
        <w:textAlignment w:val="auto"/>
        <w:rPr>
          <w:color w:val="000000" w:themeColor="text1"/>
          <w:kern w:val="2"/>
        </w:rPr>
      </w:pPr>
      <w:r>
        <w:rPr>
          <w:rFonts w:hint="eastAsia"/>
          <w:color w:val="000000" w:themeColor="text1"/>
          <w:kern w:val="2"/>
        </w:rPr>
        <w:t>12.1 按照国家规定的标准和标书规定的标准执行。</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color w:val="000000" w:themeColor="text1"/>
          <w:sz w:val="24"/>
          <w:szCs w:val="24"/>
        </w:rPr>
        <w:t>12.2乙方应按招标文件规定的货物性能、技术要求、质量标准向甲方</w:t>
      </w:r>
      <w:r>
        <w:rPr>
          <w:rFonts w:hint="eastAsia" w:ascii="宋体" w:hAnsi="宋体" w:cs="宋体"/>
          <w:bCs/>
          <w:color w:val="000000" w:themeColor="text1"/>
          <w:sz w:val="24"/>
          <w:szCs w:val="24"/>
        </w:rPr>
        <w:t>提供的货物（含配件）应是全新的、未使用过的原装合格正品，开箱后，如</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发现有任何问题（如外观有损伤），</w:t>
      </w:r>
      <w:r>
        <w:rPr>
          <w:rFonts w:hint="eastAsia" w:ascii="宋体" w:hAnsi="宋体" w:cs="宋体"/>
          <w:color w:val="000000" w:themeColor="text1"/>
          <w:sz w:val="24"/>
          <w:szCs w:val="24"/>
        </w:rPr>
        <w:t>乙方</w:t>
      </w:r>
      <w:r>
        <w:rPr>
          <w:rFonts w:hint="eastAsia" w:ascii="宋体" w:hAnsi="宋体" w:cs="宋体"/>
          <w:bCs/>
          <w:color w:val="000000" w:themeColor="text1"/>
          <w:sz w:val="24"/>
          <w:szCs w:val="24"/>
        </w:rPr>
        <w:t>必须立即以同样型号的货物在</w:t>
      </w:r>
      <w:r>
        <w:rPr>
          <w:rFonts w:hint="eastAsia" w:ascii="宋体" w:hAnsi="宋体" w:cs="宋体"/>
          <w:color w:val="000000" w:themeColor="text1"/>
          <w:sz w:val="24"/>
          <w:szCs w:val="24"/>
        </w:rPr>
        <w:t>甲方</w:t>
      </w:r>
      <w:r>
        <w:rPr>
          <w:rFonts w:hint="eastAsia" w:ascii="宋体" w:hAnsi="宋体" w:cs="宋体"/>
          <w:bCs/>
          <w:color w:val="000000" w:themeColor="text1"/>
          <w:sz w:val="24"/>
          <w:szCs w:val="24"/>
        </w:rPr>
        <w:t>商定的时间内更换，确保其使用。供货时提供以下材料，包括：产品合格证书、技术说明书、使用说明书、用户手册（中文）、配置清单、保修单及合同中要求的其他文件资料。</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bCs/>
          <w:color w:val="000000" w:themeColor="text1"/>
          <w:sz w:val="24"/>
          <w:szCs w:val="24"/>
        </w:rPr>
        <w:t>12.3所有设备、附（配）件应具备该类产品的功能要求，无瑕疵和缺陷，质量为合格产品，同时有明确的生产厂商或制造厂商；</w:t>
      </w:r>
    </w:p>
    <w:p>
      <w:pPr>
        <w:pStyle w:val="21"/>
        <w:spacing w:before="0" w:beforeAutospacing="0" w:after="0" w:afterAutospacing="0" w:line="360" w:lineRule="auto"/>
        <w:ind w:firstLine="480" w:firstLineChars="200"/>
        <w:textAlignment w:val="auto"/>
        <w:rPr>
          <w:color w:val="000000" w:themeColor="text1"/>
          <w:kern w:val="2"/>
        </w:rPr>
      </w:pPr>
      <w:r>
        <w:rPr>
          <w:rFonts w:hint="eastAsia"/>
          <w:bCs/>
          <w:color w:val="000000" w:themeColor="text1"/>
          <w:kern w:val="2"/>
        </w:rPr>
        <w:t>12.4对于出卖的标的物，乙方应当拥有完整物权，并且乙方负有保证第三人不得向甲方主张任何权利（包括知识产权）的义务</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12.5乙方提供的货物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在质保期内因本身的质量问题发生故障，乙方应负责免费维修。对达不到技术要求者，根据实际情况，经双方协商，可按以下办法处理：</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⑴更换：由乙方承担所发生的全部费用。</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⑵贬值处理：由甲乙双方合议定价。</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⑶退货处理：乙方应退还甲方支付的合同款，同时应承担该货物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的直接费用（运输、保险、检验、货款利息及银行手续费等）。</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12.6在质保期内，乙方应对货物和服务出现的质量及安全问题负责处理解决并承担一切费用，提供7*24小时免费上门维修服务，并在接到甲方通知后在2小时响应，</w:t>
      </w:r>
      <w:r>
        <w:rPr>
          <w:rFonts w:hint="eastAsia" w:ascii="宋体" w:hAnsi="宋体" w:cs="宋体"/>
          <w:color w:val="000000" w:themeColor="text1"/>
          <w:sz w:val="24"/>
          <w:szCs w:val="24"/>
          <w:u w:val="single"/>
        </w:rPr>
        <w:t>24</w:t>
      </w:r>
      <w:r>
        <w:rPr>
          <w:rFonts w:hint="eastAsia" w:ascii="宋体" w:hAnsi="宋体" w:cs="宋体"/>
          <w:color w:val="000000" w:themeColor="text1"/>
          <w:sz w:val="24"/>
          <w:szCs w:val="24"/>
        </w:rPr>
        <w:t>小时内到达甲方现场提供免费上门维修服务直至解决问题，确保系统正常运行。如不能及时解决问题，乙方免费提供同型号的备品、备件，直至原设备修复（非收费上门服务）。质保期后提供维修维护服务。</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12.7乙方须向甲方操作人员进行免费系统培训服务，确保使用者完全会使用及操作为止。</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12.8上述的货物免费保修期，因人为因素出现的故障不在免费保修范围内。超过保修期的机器设备，终生维修，维修时只收部件成本费。</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12.9乙方提供的产品必须是满足招标方要求的全新现货。产品质量稳定且符合国家和有关部门质量检测标准及相关要求。如果投标货物实行生产许可证制度，应有生产许可证。</w:t>
      </w:r>
    </w:p>
    <w:p>
      <w:pPr>
        <w:pStyle w:val="21"/>
        <w:widowControl w:val="0"/>
        <w:snapToGrid w:val="0"/>
        <w:spacing w:before="0" w:beforeAutospacing="0" w:after="0" w:afterAutospacing="0" w:line="360" w:lineRule="auto"/>
        <w:ind w:firstLine="482" w:firstLineChars="200"/>
        <w:jc w:val="both"/>
        <w:textAlignment w:val="auto"/>
        <w:rPr>
          <w:b/>
          <w:color w:val="000000" w:themeColor="text1"/>
        </w:rPr>
      </w:pPr>
      <w:r>
        <w:rPr>
          <w:rFonts w:hint="eastAsia"/>
          <w:b/>
          <w:color w:val="000000" w:themeColor="text1"/>
          <w:kern w:val="2"/>
        </w:rPr>
        <w:t>十三、安装、调试和验收</w:t>
      </w:r>
    </w:p>
    <w:p>
      <w:pPr>
        <w:spacing w:line="360" w:lineRule="auto"/>
        <w:ind w:firstLine="480" w:firstLineChars="200"/>
        <w:textAlignment w:val="auto"/>
        <w:rPr>
          <w:rFonts w:ascii="宋体" w:hAnsi="宋体" w:cs="宋体"/>
          <w:bCs/>
          <w:color w:val="000000" w:themeColor="text1"/>
          <w:sz w:val="24"/>
          <w:szCs w:val="24"/>
        </w:rPr>
      </w:pPr>
      <w:r>
        <w:rPr>
          <w:rFonts w:hint="eastAsia" w:ascii="宋体" w:hAnsi="宋体" w:cs="宋体"/>
          <w:color w:val="000000" w:themeColor="text1"/>
          <w:sz w:val="24"/>
          <w:szCs w:val="24"/>
        </w:rPr>
        <w:t xml:space="preserve">13.1 </w:t>
      </w:r>
      <w:r>
        <w:rPr>
          <w:rFonts w:hint="eastAsia" w:ascii="宋体" w:hAnsi="宋体" w:cs="宋体"/>
          <w:bCs/>
          <w:color w:val="000000" w:themeColor="text1"/>
          <w:sz w:val="24"/>
          <w:szCs w:val="24"/>
        </w:rPr>
        <w:t>安装要求：</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 xml:space="preserve"> 甲方对乙方提交的货物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依据招标文件上的技术规格要求和国家有关质量标准进行现场初步验收，外观、说明书符合招标文件技术要求的，给予签收，初步验收不合格的不予签收。</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13.2 乙方交付前应对产品作出全面检查和对验收文件进行整理，并列出清单，作为甲方验收和使用的技术条件依据，检验的结果应一并交甲方。</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13.3 甲方对乙方提供的货物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在使用前进行调试时，乙方需负责安装并培训甲方的使用操作人员，并协助甲方一起调试，直到符合技术要求，甲方才做最终验收。</w:t>
      </w:r>
    </w:p>
    <w:p>
      <w:pPr>
        <w:spacing w:line="360" w:lineRule="auto"/>
        <w:ind w:firstLine="480" w:firstLineChars="200"/>
        <w:textAlignment w:val="auto"/>
        <w:rPr>
          <w:rFonts w:ascii="宋体" w:hAnsi="宋体" w:cs="宋体"/>
          <w:color w:val="000000" w:themeColor="text1"/>
          <w:sz w:val="24"/>
          <w:szCs w:val="24"/>
        </w:rPr>
      </w:pPr>
      <w:r>
        <w:rPr>
          <w:rFonts w:hint="eastAsia" w:ascii="宋体" w:hAnsi="宋体" w:cs="宋体"/>
          <w:color w:val="000000" w:themeColor="text1"/>
          <w:sz w:val="24"/>
          <w:szCs w:val="24"/>
        </w:rPr>
        <w:t>13.4 对技术复杂的货物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，甲方可请国家认可的专业检测机构参与初步验收及最终验收，并由其出具质量检测报告。</w:t>
      </w:r>
    </w:p>
    <w:p>
      <w:pPr>
        <w:spacing w:line="360" w:lineRule="auto"/>
        <w:ind w:firstLine="480" w:firstLineChars="200"/>
        <w:textAlignment w:val="auto"/>
        <w:rPr>
          <w:rFonts w:ascii="宋体" w:hAnsi="宋体" w:cs="宋体"/>
          <w:b/>
          <w:color w:val="000000" w:themeColor="text1"/>
        </w:rPr>
      </w:pPr>
      <w:r>
        <w:rPr>
          <w:rFonts w:hint="eastAsia" w:ascii="宋体" w:hAnsi="宋体" w:cs="宋体"/>
          <w:color w:val="000000" w:themeColor="text1"/>
          <w:sz w:val="24"/>
          <w:szCs w:val="24"/>
        </w:rPr>
        <w:t>13.5 验收时乙方必须在现场，验收完毕后作出验收结果报告；验收费用由甲乙双方协商解决。</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十四、货物包装、发运及运输</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14.1 乙方应在货物发运前对其进行满足运输距离、防潮、防震、防锈和防破损装卸等要求包装，以保证货物安全运达甲方指定地点。</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14.2 使用说明书、质量检验证明书、随配附件和工具以及清单一并附于货物内。</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14.3 乙方在货物发运手续办理完毕后24小时内或货到甲方48小时前通知甲方，以准备接货。</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14.4 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在交付甲方前发生的风险均由乙方负责。</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14.5 货物在规定的交付期限内由乙方送达甲方指定的地点视为交付，乙方同时需通知甲方货物已送达。</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十五、违约责任</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15.1 甲方无正当理由拒收货物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的，甲方向乙方偿付拒收货款总值的百分之五违约金。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15.2 甲方无故逾期验收和办理合同款支付手续的,甲方应按逾期付款总额每日万分之五向乙方支付违约金。</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15.3 乙方逾期交付货物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 xml:space="preserve">的，乙方应按逾期交货总额每日千分之六向甲方支付违约金，由甲方从待付合同款中扣除。逾期超过约定日期10个工作日不能交货的，甲方可解除本合同。乙方因逾期交货或因其他违约行为导致甲方解除合同的，乙方应向甲方支付合同总值5%的违约金，如造成甲方损失超过违约金的，超出部分由乙方继续承担赔偿责任。 </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15.4 乙方所交的货物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品种、型号、规格、技术参数、质量不符合合同规定及招标文件规定标准的，甲方有权拒收该货物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，乙方愿意更换货物但逾期交货的，按乙方逾期交货处理。乙方拒绝更换货物</w:t>
      </w:r>
      <w:r>
        <w:rPr>
          <w:rFonts w:hint="eastAsia" w:ascii="宋体" w:hAnsi="宋体" w:cs="宋体"/>
          <w:bCs/>
          <w:color w:val="000000" w:themeColor="text1"/>
          <w:sz w:val="24"/>
        </w:rPr>
        <w:t>和服务</w:t>
      </w:r>
      <w:r>
        <w:rPr>
          <w:rFonts w:hint="eastAsia" w:ascii="宋体" w:hAnsi="宋体" w:cs="宋体"/>
          <w:color w:val="000000" w:themeColor="text1"/>
          <w:sz w:val="24"/>
          <w:szCs w:val="24"/>
        </w:rPr>
        <w:t>的，甲方可单方面解除合同。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十六、不可抗力事件处理</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16.1 在合同有效期内，任何一方因不可抗力事件导致不能履行合同，则合同履行期可延长，其延长期与不可抗力影响期相同。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16.2 不可抗力事件发生后，应立即通知对方，并寄送有关权威机构出具的证明。</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16.3 不可抗力事件延续120天以上，双方应通过友好协商，确定是否继续履行合同。</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十七、诉讼</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17.1 双方在执行合同中所发生的一切争议，应通过协商解决。如协商不成，可向合同签订地法院起诉，合同签订地在此约定为盐城市。</w:t>
      </w:r>
    </w:p>
    <w:p>
      <w:pPr>
        <w:pStyle w:val="21"/>
        <w:widowControl w:val="0"/>
        <w:snapToGrid w:val="0"/>
        <w:spacing w:before="0" w:beforeAutospacing="0" w:after="0" w:afterAutospacing="0" w:line="460" w:lineRule="exact"/>
        <w:ind w:firstLine="482" w:firstLineChars="200"/>
        <w:jc w:val="both"/>
        <w:rPr>
          <w:b/>
          <w:color w:val="000000" w:themeColor="text1"/>
        </w:rPr>
      </w:pPr>
      <w:r>
        <w:rPr>
          <w:rFonts w:hint="eastAsia"/>
          <w:b/>
          <w:color w:val="000000" w:themeColor="text1"/>
          <w:kern w:val="2"/>
        </w:rPr>
        <w:t>十八、合同生效及其它</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18.1 合同经双方法定代表人或授权委托代表人签字并加盖单位公章后生效。</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18.2本合同未尽事宜，遵照《</w:t>
      </w:r>
      <w:r>
        <w:rPr>
          <w:rFonts w:hint="eastAsia" w:ascii="宋体" w:hAnsi="宋体" w:cs="宋体"/>
          <w:color w:val="000000" w:themeColor="text1"/>
          <w:sz w:val="24"/>
          <w:szCs w:val="24"/>
          <w:lang w:val="en-US" w:eastAsia="zh-CN"/>
        </w:rPr>
        <w:t>中华人民共和国</w:t>
      </w:r>
      <w:r>
        <w:rPr>
          <w:rFonts w:hint="eastAsia" w:ascii="宋体" w:hAnsi="宋体" w:cs="宋体"/>
          <w:color w:val="000000" w:themeColor="text1"/>
          <w:sz w:val="24"/>
          <w:szCs w:val="24"/>
        </w:rPr>
        <w:t>民法典》有关条文执行。</w:t>
      </w:r>
    </w:p>
    <w:p>
      <w:pPr>
        <w:spacing w:line="460" w:lineRule="exact"/>
        <w:ind w:firstLine="480" w:firstLineChars="200"/>
        <w:rPr>
          <w:rFonts w:ascii="宋体" w:hAnsi="宋体" w:cs="宋体"/>
          <w:color w:val="000000" w:themeColor="text1"/>
          <w:sz w:val="24"/>
          <w:szCs w:val="24"/>
        </w:rPr>
      </w:pPr>
      <w:r>
        <w:rPr>
          <w:rFonts w:hint="eastAsia" w:ascii="宋体" w:hAnsi="宋体" w:cs="宋体"/>
          <w:color w:val="000000" w:themeColor="text1"/>
          <w:sz w:val="24"/>
          <w:szCs w:val="24"/>
        </w:rPr>
        <w:t>18.3 本合同正本一式二份，副本一式六份，具有同等法律效力。</w:t>
      </w:r>
    </w:p>
    <w:p>
      <w:pPr>
        <w:pStyle w:val="21"/>
        <w:widowControl w:val="0"/>
        <w:snapToGrid w:val="0"/>
        <w:spacing w:before="0" w:beforeAutospacing="0" w:after="0" w:afterAutospacing="0" w:line="460" w:lineRule="exact"/>
        <w:ind w:firstLine="480" w:firstLineChars="200"/>
        <w:jc w:val="both"/>
        <w:rPr>
          <w:color w:val="000000" w:themeColor="text1"/>
        </w:rPr>
      </w:pP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 xml:space="preserve">甲方：                                   乙方：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地址：                                   地址： </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法定代表人或授权代表：                   法定代表人或授权代表：</w:t>
      </w:r>
    </w:p>
    <w:p>
      <w:pPr>
        <w:pStyle w:val="21"/>
        <w:widowControl w:val="0"/>
        <w:snapToGrid w:val="0"/>
        <w:spacing w:before="0" w:beforeAutospacing="0" w:after="0" w:afterAutospacing="0" w:line="460" w:lineRule="exact"/>
        <w:ind w:firstLine="480" w:firstLineChars="200"/>
        <w:jc w:val="both"/>
        <w:rPr>
          <w:color w:val="000000" w:themeColor="text1"/>
        </w:rPr>
      </w:pPr>
    </w:p>
    <w:p>
      <w:pPr>
        <w:pStyle w:val="21"/>
        <w:widowControl w:val="0"/>
        <w:snapToGrid w:val="0"/>
        <w:spacing w:before="0" w:beforeAutospacing="0" w:after="0" w:afterAutospacing="0" w:line="460" w:lineRule="exact"/>
        <w:ind w:firstLine="720" w:firstLineChars="300"/>
        <w:jc w:val="both"/>
        <w:rPr>
          <w:color w:val="000000" w:themeColor="text1"/>
        </w:rPr>
      </w:pPr>
      <w:r>
        <w:rPr>
          <w:rFonts w:hint="eastAsia"/>
          <w:color w:val="000000" w:themeColor="text1"/>
          <w:kern w:val="2"/>
        </w:rPr>
        <w:t>采购单位负责人：</w:t>
      </w:r>
    </w:p>
    <w:p>
      <w:pPr>
        <w:pStyle w:val="21"/>
        <w:widowControl w:val="0"/>
        <w:snapToGrid w:val="0"/>
        <w:spacing w:before="0" w:beforeAutospacing="0" w:after="0" w:afterAutospacing="0" w:line="460" w:lineRule="exact"/>
        <w:ind w:firstLine="480" w:firstLineChars="200"/>
        <w:jc w:val="both"/>
        <w:rPr>
          <w:color w:val="000000" w:themeColor="text1"/>
        </w:rPr>
      </w:pPr>
      <w:r>
        <w:rPr>
          <w:rFonts w:hint="eastAsia"/>
          <w:color w:val="000000" w:themeColor="text1"/>
          <w:kern w:val="2"/>
        </w:rPr>
        <w:t xml:space="preserve">  联系电话：                               联系电话：</w:t>
      </w:r>
    </w:p>
    <w:p>
      <w:pPr>
        <w:pStyle w:val="21"/>
        <w:widowControl w:val="0"/>
        <w:snapToGrid w:val="0"/>
        <w:spacing w:before="0" w:beforeAutospacing="0" w:after="0" w:afterAutospacing="0" w:line="460" w:lineRule="exact"/>
        <w:jc w:val="right"/>
        <w:rPr>
          <w:b/>
          <w:color w:val="000000" w:themeColor="text1"/>
          <w:sz w:val="44"/>
        </w:rPr>
      </w:pPr>
      <w:r>
        <w:rPr>
          <w:rFonts w:hint="eastAsia"/>
          <w:color w:val="000000" w:themeColor="text1"/>
          <w:kern w:val="2"/>
        </w:rPr>
        <w:t xml:space="preserve">  签订日期：      年  月  日</w:t>
      </w: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firstLine="720" w:firstLineChars="30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106"/>
        <w:ind w:left="0" w:leftChars="0" w:right="1470"/>
        <w:rPr>
          <w:rFonts w:ascii="宋体" w:hAnsi="宋体" w:cs="宋体"/>
          <w:color w:val="000000" w:themeColor="text1"/>
          <w:sz w:val="24"/>
        </w:rPr>
      </w:pPr>
    </w:p>
    <w:p>
      <w:pPr>
        <w:pStyle w:val="32"/>
        <w:spacing w:line="360" w:lineRule="auto"/>
        <w:outlineLvl w:val="0"/>
        <w:rPr>
          <w:rStyle w:val="42"/>
          <w:rFonts w:ascii="宋体" w:hAnsi="宋体" w:eastAsia="宋体" w:cs="宋体"/>
          <w:b/>
          <w:color w:val="000000" w:themeColor="text1"/>
          <w:sz w:val="24"/>
          <w:szCs w:val="24"/>
        </w:rPr>
      </w:pPr>
      <w:bookmarkStart w:id="4" w:name="_Toc17696"/>
      <w:r>
        <w:rPr>
          <w:rStyle w:val="42"/>
          <w:rFonts w:hint="eastAsia" w:ascii="宋体" w:hAnsi="宋体" w:eastAsia="宋体" w:cs="宋体"/>
          <w:b/>
          <w:color w:val="000000" w:themeColor="text1"/>
          <w:sz w:val="44"/>
        </w:rPr>
        <w:t>第四章 项目需求</w:t>
      </w:r>
      <w:bookmarkEnd w:id="4"/>
    </w:p>
    <w:p>
      <w:pPr>
        <w:adjustRightInd w:val="0"/>
        <w:snapToGrid w:val="0"/>
        <w:spacing w:line="360" w:lineRule="auto"/>
        <w:ind w:firstLine="482" w:firstLineChars="200"/>
        <w:rPr>
          <w:rFonts w:ascii="宋体" w:hAnsi="宋体" w:cs="宋体"/>
          <w:b/>
          <w:bCs/>
          <w:color w:val="000000" w:themeColor="text1"/>
          <w:sz w:val="24"/>
          <w:szCs w:val="24"/>
        </w:rPr>
      </w:pPr>
      <w:r>
        <w:rPr>
          <w:rFonts w:hint="eastAsia" w:ascii="宋体" w:hAnsi="宋体" w:cs="宋体"/>
          <w:b/>
          <w:bCs/>
          <w:color w:val="000000" w:themeColor="text1"/>
          <w:sz w:val="24"/>
          <w:szCs w:val="24"/>
        </w:rPr>
        <w:t>一、项目概况</w:t>
      </w:r>
    </w:p>
    <w:p>
      <w:pPr>
        <w:pStyle w:val="21"/>
        <w:spacing w:before="0" w:beforeAutospacing="0" w:after="0" w:afterAutospacing="0"/>
        <w:ind w:firstLine="482" w:firstLineChars="200"/>
        <w:rPr>
          <w:b/>
          <w:bCs/>
          <w:sz w:val="24"/>
          <w:szCs w:val="24"/>
        </w:rPr>
      </w:pPr>
      <w:r>
        <w:rPr>
          <w:rFonts w:hint="eastAsia"/>
          <w:b/>
          <w:bCs/>
          <w:sz w:val="24"/>
          <w:szCs w:val="24"/>
        </w:rPr>
        <w:t>1．项目用途、预期效果或要求</w:t>
      </w:r>
    </w:p>
    <w:p>
      <w:pPr>
        <w:ind w:firstLine="480" w:firstLineChars="200"/>
        <w:rPr>
          <w:rFonts w:ascii="宋体" w:hAnsi="宋体" w:cs="宋体"/>
          <w:color w:val="000000"/>
          <w:kern w:val="0"/>
          <w:sz w:val="24"/>
          <w:szCs w:val="24"/>
        </w:rPr>
      </w:pPr>
      <w:r>
        <w:rPr>
          <w:rFonts w:hint="eastAsia" w:ascii="宋体" w:hAnsi="宋体" w:cs="宋体"/>
          <w:color w:val="000000"/>
          <w:kern w:val="0"/>
          <w:sz w:val="24"/>
          <w:szCs w:val="24"/>
        </w:rPr>
        <w:t>主要包括能够满足正常的药品经营与管理专业课程教学、实习实训所必需的电脑要求，可进行药品陈列系统、市场营销综合实训与竞赛系统、药品经营管理实训系统、电子商务软件系统等专业平台软件的教学及操作。</w:t>
      </w:r>
    </w:p>
    <w:p>
      <w:pPr>
        <w:rPr>
          <w:rFonts w:ascii="宋体" w:hAnsi="宋体" w:cs="宋体"/>
          <w:sz w:val="24"/>
          <w:szCs w:val="24"/>
        </w:rPr>
      </w:pPr>
      <w:r>
        <w:rPr>
          <w:rFonts w:hint="eastAsia" w:ascii="宋体" w:hAnsi="宋体" w:cs="宋体"/>
          <w:b/>
          <w:sz w:val="24"/>
          <w:szCs w:val="24"/>
        </w:rPr>
        <w:t>二、项目具体技术要求</w:t>
      </w:r>
    </w:p>
    <w:tbl>
      <w:tblPr>
        <w:tblStyle w:val="24"/>
        <w:tblW w:w="4762" w:type="pct"/>
        <w:jc w:val="center"/>
        <w:tblLayout w:type="autofit"/>
        <w:tblCellMar>
          <w:top w:w="0" w:type="dxa"/>
          <w:left w:w="108" w:type="dxa"/>
          <w:bottom w:w="0" w:type="dxa"/>
          <w:right w:w="108" w:type="dxa"/>
        </w:tblCellMar>
      </w:tblPr>
      <w:tblGrid>
        <w:gridCol w:w="659"/>
        <w:gridCol w:w="1094"/>
        <w:gridCol w:w="6980"/>
      </w:tblGrid>
      <w:tr>
        <w:tblPrEx>
          <w:tblCellMar>
            <w:top w:w="0" w:type="dxa"/>
            <w:left w:w="108" w:type="dxa"/>
            <w:bottom w:w="0" w:type="dxa"/>
            <w:right w:w="108" w:type="dxa"/>
          </w:tblCellMar>
        </w:tblPrEx>
        <w:trPr>
          <w:trHeight w:val="213" w:hRule="atLeast"/>
          <w:jc w:val="center"/>
        </w:trPr>
        <w:tc>
          <w:tcPr>
            <w:tcW w:w="377" w:type="pct"/>
            <w:tcBorders>
              <w:top w:val="single" w:color="auto" w:sz="4" w:space="0"/>
              <w:left w:val="single" w:color="auto" w:sz="4" w:space="0"/>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序号</w:t>
            </w:r>
          </w:p>
        </w:tc>
        <w:tc>
          <w:tcPr>
            <w:tcW w:w="626"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产品</w:t>
            </w:r>
          </w:p>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名称</w:t>
            </w:r>
          </w:p>
        </w:tc>
        <w:tc>
          <w:tcPr>
            <w:tcW w:w="3995" w:type="pct"/>
            <w:tcBorders>
              <w:top w:val="single" w:color="auto" w:sz="4" w:space="0"/>
              <w:left w:val="nil"/>
              <w:bottom w:val="single" w:color="auto" w:sz="4" w:space="0"/>
              <w:right w:val="single" w:color="auto" w:sz="4" w:space="0"/>
            </w:tcBorders>
            <w:vAlign w:val="center"/>
          </w:tcPr>
          <w:p>
            <w:pPr>
              <w:jc w:val="center"/>
              <w:rPr>
                <w:rFonts w:hint="eastAsia" w:ascii="宋体" w:hAnsi="宋体" w:eastAsia="宋体" w:cs="宋体"/>
                <w:b/>
                <w:bCs/>
                <w:color w:val="000000"/>
                <w:kern w:val="0"/>
                <w:sz w:val="21"/>
                <w:szCs w:val="21"/>
              </w:rPr>
            </w:pPr>
            <w:r>
              <w:rPr>
                <w:rFonts w:hint="eastAsia" w:ascii="宋体" w:hAnsi="宋体" w:eastAsia="宋体" w:cs="宋体"/>
                <w:b/>
                <w:bCs/>
                <w:color w:val="000000"/>
                <w:kern w:val="0"/>
                <w:sz w:val="21"/>
                <w:szCs w:val="21"/>
              </w:rPr>
              <w:t>项目要求</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1</w:t>
            </w:r>
          </w:p>
        </w:tc>
        <w:tc>
          <w:tcPr>
            <w:tcW w:w="626" w:type="pct"/>
            <w:tcBorders>
              <w:top w:val="nil"/>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电脑</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50台</w:t>
            </w:r>
            <w:r>
              <w:rPr>
                <w:rFonts w:hint="eastAsia" w:ascii="宋体" w:hAnsi="宋体" w:eastAsia="宋体" w:cs="宋体"/>
                <w:color w:val="000000" w:themeColor="text1"/>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1、CPU：</w:t>
            </w:r>
            <w:r>
              <w:rPr>
                <w:rFonts w:hint="eastAsia" w:ascii="宋体" w:hAnsi="宋体" w:eastAsia="宋体" w:cs="宋体"/>
                <w:color w:val="000000" w:themeColor="text1"/>
                <w:sz w:val="21"/>
                <w:szCs w:val="21"/>
              </w:rPr>
              <w:t>IntelC</w:t>
            </w:r>
            <w:r>
              <w:rPr>
                <w:rFonts w:hint="eastAsia" w:ascii="宋体" w:hAnsi="宋体" w:eastAsia="宋体" w:cs="宋体"/>
                <w:sz w:val="21"/>
                <w:szCs w:val="21"/>
              </w:rPr>
              <w:t>orei5-10500</w:t>
            </w:r>
          </w:p>
          <w:p>
            <w:pPr>
              <w:rPr>
                <w:rFonts w:hint="eastAsia" w:ascii="宋体" w:hAnsi="宋体" w:eastAsia="宋体" w:cs="宋体"/>
                <w:sz w:val="21"/>
                <w:szCs w:val="21"/>
              </w:rPr>
            </w:pPr>
            <w:r>
              <w:rPr>
                <w:rFonts w:hint="eastAsia" w:ascii="宋体" w:hAnsi="宋体" w:eastAsia="宋体" w:cs="宋体"/>
                <w:sz w:val="21"/>
                <w:szCs w:val="21"/>
              </w:rPr>
              <w:t>2、主板Intel 470芯片组及以上</w:t>
            </w:r>
          </w:p>
          <w:p>
            <w:pPr>
              <w:rPr>
                <w:rFonts w:hint="eastAsia" w:ascii="宋体" w:hAnsi="宋体" w:eastAsia="宋体" w:cs="宋体"/>
                <w:sz w:val="21"/>
                <w:szCs w:val="21"/>
              </w:rPr>
            </w:pPr>
            <w:r>
              <w:rPr>
                <w:rFonts w:hint="eastAsia" w:ascii="宋体" w:hAnsi="宋体" w:eastAsia="宋体" w:cs="宋体"/>
                <w:sz w:val="21"/>
                <w:szCs w:val="21"/>
              </w:rPr>
              <w:t xml:space="preserve">3、内存：16G DDR4 2666MHz内存, </w:t>
            </w:r>
          </w:p>
          <w:p>
            <w:pPr>
              <w:rPr>
                <w:rFonts w:hint="eastAsia" w:ascii="宋体" w:hAnsi="宋体" w:eastAsia="宋体" w:cs="宋体"/>
                <w:sz w:val="21"/>
                <w:szCs w:val="21"/>
              </w:rPr>
            </w:pPr>
            <w:r>
              <w:rPr>
                <w:rFonts w:hint="eastAsia" w:ascii="宋体" w:hAnsi="宋体" w:eastAsia="宋体" w:cs="宋体"/>
                <w:sz w:val="21"/>
                <w:szCs w:val="21"/>
              </w:rPr>
              <w:t>4、显卡：2G独立显卡</w:t>
            </w:r>
          </w:p>
          <w:p>
            <w:pPr>
              <w:jc w:val="left"/>
              <w:rPr>
                <w:rFonts w:hint="eastAsia" w:ascii="宋体" w:hAnsi="宋体" w:eastAsia="宋体" w:cs="宋体"/>
                <w:color w:val="000000" w:themeColor="text1"/>
                <w:sz w:val="21"/>
                <w:szCs w:val="21"/>
              </w:rPr>
            </w:pPr>
            <w:r>
              <w:rPr>
                <w:rFonts w:hint="eastAsia" w:ascii="宋体" w:hAnsi="宋体" w:eastAsia="宋体" w:cs="宋体"/>
                <w:sz w:val="21"/>
                <w:szCs w:val="21"/>
              </w:rPr>
              <w:t>5、声卡：集成HD Audio</w:t>
            </w:r>
            <w:r>
              <w:rPr>
                <w:rFonts w:hint="eastAsia" w:ascii="宋体" w:hAnsi="宋体" w:eastAsia="宋体" w:cs="宋体"/>
                <w:color w:val="000000"/>
                <w:kern w:val="0"/>
                <w:sz w:val="21"/>
                <w:szCs w:val="21"/>
              </w:rPr>
              <w:t>原</w:t>
            </w:r>
            <w:r>
              <w:rPr>
                <w:rFonts w:hint="eastAsia" w:ascii="宋体" w:hAnsi="宋体" w:eastAsia="宋体" w:cs="宋体"/>
                <w:color w:val="000000" w:themeColor="text1"/>
                <w:kern w:val="0"/>
                <w:sz w:val="21"/>
                <w:szCs w:val="21"/>
              </w:rPr>
              <w:t>厂前置音频</w:t>
            </w:r>
            <w:r>
              <w:rPr>
                <w:rFonts w:hint="eastAsia" w:ascii="宋体" w:hAnsi="宋体" w:eastAsia="宋体" w:cs="宋体"/>
                <w:color w:val="000000"/>
                <w:kern w:val="0"/>
                <w:sz w:val="21"/>
                <w:szCs w:val="21"/>
              </w:rPr>
              <w:t>接口*2（音频输入</w:t>
            </w:r>
            <w:r>
              <w:rPr>
                <w:rFonts w:hint="eastAsia" w:ascii="宋体" w:hAnsi="宋体" w:eastAsia="宋体" w:cs="宋体"/>
                <w:color w:val="000000" w:themeColor="text1"/>
                <w:kern w:val="0"/>
                <w:sz w:val="21"/>
                <w:szCs w:val="21"/>
              </w:rPr>
              <w:t>接口*1，音频输出接口*1），非转接。</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6、硬盘：</w:t>
            </w:r>
            <w:r>
              <w:rPr>
                <w:rFonts w:hint="eastAsia" w:ascii="宋体" w:hAnsi="宋体" w:eastAsia="宋体" w:cs="宋体"/>
                <w:sz w:val="21"/>
                <w:szCs w:val="21"/>
              </w:rPr>
              <w:t>512 GB SSD固态硬盘，NVMe接口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7、网卡：集成10/100/1000以太网卡</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8、扩展槽：至少1个PCI-E*16、2个PCI-E*1，</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9、键盘：原厂USB有线抗菌键盘、抗菌鼠标</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10、接口：≥8个接口（其中前置≥6个USB 3.2），VGA+HDMI接口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11、显示器：同品牌21.5 寸及以上WLED ，分辨率不低于1920*1080，VGA + DVI接口</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12、不低于110/220V 310W 节能电源 顶置提手，方便搬运 立式机箱，采用蜂窝结构，机箱体积≤15L</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13、管理功能</w:t>
            </w:r>
          </w:p>
          <w:p>
            <w:pPr>
              <w:rPr>
                <w:rFonts w:hint="eastAsia" w:ascii="宋体" w:hAnsi="宋体" w:eastAsia="宋体" w:cs="宋体"/>
                <w:sz w:val="21"/>
                <w:szCs w:val="21"/>
              </w:rPr>
            </w:pPr>
            <w:r>
              <w:rPr>
                <w:rFonts w:hint="eastAsia" w:ascii="宋体" w:hAnsi="宋体" w:eastAsia="宋体" w:cs="宋体"/>
                <w:sz w:val="21"/>
                <w:szCs w:val="21"/>
              </w:rPr>
              <w:t>原厂预装win10操作系统，可实现所有的计算机终端集中统一管理。</w:t>
            </w:r>
          </w:p>
          <w:p>
            <w:pPr>
              <w:rPr>
                <w:rFonts w:hint="eastAsia" w:ascii="宋体" w:hAnsi="宋体" w:eastAsia="宋体" w:cs="宋体"/>
                <w:sz w:val="21"/>
                <w:szCs w:val="21"/>
              </w:rPr>
            </w:pPr>
            <w:r>
              <w:rPr>
                <w:rFonts w:hint="eastAsia" w:ascii="宋体" w:hAnsi="宋体" w:eastAsia="宋体" w:cs="宋体"/>
                <w:bCs/>
                <w:sz w:val="21"/>
                <w:szCs w:val="21"/>
              </w:rPr>
              <w:t>14、网络同传</w:t>
            </w:r>
            <w:r>
              <w:rPr>
                <w:rFonts w:hint="eastAsia" w:ascii="宋体" w:hAnsi="宋体" w:eastAsia="宋体" w:cs="宋体"/>
                <w:sz w:val="21"/>
                <w:szCs w:val="21"/>
              </w:rPr>
              <w:t>：支持常见的Windows10、7等和linux操作系统，同传后，自动同步时钟、分配IP和计算机名；具有防破解功能；支持数据加密传输（中标后提供计算机制造厂家证明材料）</w:t>
            </w:r>
          </w:p>
          <w:p>
            <w:pPr>
              <w:rPr>
                <w:rFonts w:hint="eastAsia" w:ascii="宋体" w:hAnsi="宋体" w:eastAsia="宋体" w:cs="宋体"/>
                <w:sz w:val="21"/>
                <w:szCs w:val="21"/>
              </w:rPr>
            </w:pPr>
            <w:r>
              <w:rPr>
                <w:rFonts w:hint="eastAsia" w:ascii="宋体" w:hAnsi="宋体" w:eastAsia="宋体" w:cs="宋体"/>
                <w:color w:val="000000" w:themeColor="text1"/>
                <w:sz w:val="21"/>
                <w:szCs w:val="21"/>
              </w:rPr>
              <w:t>15、产品需获得节能认证、环保认证、投标时提供证</w:t>
            </w:r>
            <w:r>
              <w:rPr>
                <w:rFonts w:hint="eastAsia" w:ascii="宋体" w:hAnsi="宋体" w:eastAsia="宋体" w:cs="宋体"/>
                <w:sz w:val="21"/>
                <w:szCs w:val="21"/>
              </w:rPr>
              <w:t>书复印件并加盖公章。整机3年含显示器，中标后提原厂盖章的三年质保承诺函。</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16、教学软件：中标厂商须免费赠送满足正常教学用网络教学软件，含20台电脑正版授权。</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2</w:t>
            </w:r>
          </w:p>
        </w:tc>
        <w:tc>
          <w:tcPr>
            <w:tcW w:w="626"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color w:val="000000" w:themeColor="text1"/>
                <w:sz w:val="21"/>
                <w:szCs w:val="21"/>
                <w:lang w:eastAsia="zh-CN"/>
              </w:rPr>
            </w:pPr>
            <w:r>
              <w:rPr>
                <w:rFonts w:hint="eastAsia" w:ascii="宋体" w:hAnsi="宋体" w:eastAsia="宋体" w:cs="宋体"/>
                <w:color w:val="000000" w:themeColor="text1"/>
                <w:sz w:val="21"/>
                <w:szCs w:val="21"/>
              </w:rPr>
              <w:t>服务器（含对应尺寸的机柜）</w:t>
            </w:r>
            <w:r>
              <w:rPr>
                <w:rFonts w:hint="eastAsia" w:ascii="宋体" w:hAnsi="宋体" w:eastAsia="宋体" w:cs="宋体"/>
                <w:color w:val="000000" w:themeColor="text1"/>
                <w:sz w:val="21"/>
                <w:szCs w:val="21"/>
                <w:lang w:eastAsia="zh-CN"/>
              </w:rPr>
              <w:t>（</w:t>
            </w:r>
            <w:r>
              <w:rPr>
                <w:rFonts w:hint="eastAsia" w:ascii="宋体" w:hAnsi="宋体" w:eastAsia="宋体" w:cs="宋体"/>
                <w:color w:val="000000" w:themeColor="text1"/>
                <w:sz w:val="21"/>
                <w:szCs w:val="21"/>
                <w:lang w:val="en-US" w:eastAsia="zh-CN"/>
              </w:rPr>
              <w:t>1台</w:t>
            </w:r>
            <w:r>
              <w:rPr>
                <w:rFonts w:hint="eastAsia" w:ascii="宋体" w:hAnsi="宋体" w:eastAsia="宋体" w:cs="宋体"/>
                <w:color w:val="000000" w:themeColor="text1"/>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rPr>
                <w:rFonts w:hint="eastAsia" w:ascii="宋体" w:hAnsi="宋体" w:eastAsia="宋体" w:cs="宋体"/>
                <w:sz w:val="21"/>
                <w:szCs w:val="21"/>
              </w:rPr>
            </w:pPr>
            <w:r>
              <w:rPr>
                <w:rFonts w:hint="eastAsia" w:ascii="宋体" w:hAnsi="宋体" w:eastAsia="宋体" w:cs="宋体"/>
                <w:sz w:val="21"/>
                <w:szCs w:val="21"/>
              </w:rPr>
              <w:t>1、品牌要求：知名服务器品牌</w:t>
            </w:r>
          </w:p>
          <w:p>
            <w:pPr>
              <w:rPr>
                <w:rFonts w:hint="eastAsia" w:ascii="宋体" w:hAnsi="宋体" w:eastAsia="宋体" w:cs="宋体"/>
                <w:sz w:val="21"/>
                <w:szCs w:val="21"/>
              </w:rPr>
            </w:pPr>
            <w:r>
              <w:rPr>
                <w:rFonts w:hint="eastAsia" w:ascii="宋体" w:hAnsi="宋体" w:eastAsia="宋体" w:cs="宋体"/>
                <w:sz w:val="21"/>
                <w:szCs w:val="21"/>
              </w:rPr>
              <w:t>★2、机型：2U机架式服务器</w:t>
            </w:r>
          </w:p>
          <w:p>
            <w:pPr>
              <w:rPr>
                <w:rFonts w:hint="eastAsia" w:ascii="宋体" w:hAnsi="宋体" w:eastAsia="宋体" w:cs="宋体"/>
                <w:sz w:val="21"/>
                <w:szCs w:val="21"/>
              </w:rPr>
            </w:pPr>
            <w:r>
              <w:rPr>
                <w:rFonts w:hint="eastAsia" w:ascii="宋体" w:hAnsi="宋体" w:eastAsia="宋体" w:cs="宋体"/>
                <w:sz w:val="21"/>
                <w:szCs w:val="21"/>
              </w:rPr>
              <w:t>★3、处理器：配置≥2颗Intel Xeon 4210 系列CPU</w:t>
            </w:r>
          </w:p>
          <w:p>
            <w:pPr>
              <w:rPr>
                <w:rFonts w:hint="eastAsia" w:ascii="宋体" w:hAnsi="宋体" w:eastAsia="宋体" w:cs="宋体"/>
                <w:sz w:val="21"/>
                <w:szCs w:val="21"/>
              </w:rPr>
            </w:pPr>
            <w:r>
              <w:rPr>
                <w:rFonts w:hint="eastAsia" w:ascii="宋体" w:hAnsi="宋体" w:eastAsia="宋体" w:cs="宋体"/>
                <w:sz w:val="21"/>
                <w:szCs w:val="21"/>
              </w:rPr>
              <w:t>★4、内存：配置≥32 GB DDR4 2666MHz ECC RDIMM内存，支持≥24个内存插槽，最大可支持2TB内存容量，支持内存ECC保护、内存镜像、内存热备，支持NVDIMM和NVDIMM-N内存可实现意外断电时内存数据不丢失。</w:t>
            </w:r>
          </w:p>
          <w:p>
            <w:pPr>
              <w:rPr>
                <w:rFonts w:hint="eastAsia" w:ascii="宋体" w:hAnsi="宋体" w:eastAsia="宋体" w:cs="宋体"/>
                <w:sz w:val="21"/>
                <w:szCs w:val="21"/>
              </w:rPr>
            </w:pPr>
            <w:r>
              <w:rPr>
                <w:rFonts w:hint="eastAsia" w:ascii="宋体" w:hAnsi="宋体" w:eastAsia="宋体" w:cs="宋体"/>
                <w:sz w:val="21"/>
                <w:szCs w:val="21"/>
              </w:rPr>
              <w:t>★5、硬盘：512G固态，配置≥3块2TB热插拔硬盘，支持≥12个外置热插拔硬盘，可支持SAS/SATA硬盘、SSD混插，可选支持8个NVMe U.2 SSD，可选支持2个M.2 SSD，支持RAID 0，1，5，可选支持≥2个后置热插拔2.5寸硬盘位.</w:t>
            </w:r>
          </w:p>
          <w:p>
            <w:pPr>
              <w:rPr>
                <w:rFonts w:hint="eastAsia" w:ascii="宋体" w:hAnsi="宋体" w:eastAsia="宋体" w:cs="宋体"/>
                <w:sz w:val="21"/>
                <w:szCs w:val="21"/>
              </w:rPr>
            </w:pPr>
            <w:r>
              <w:rPr>
                <w:rFonts w:hint="eastAsia" w:ascii="宋体" w:hAnsi="宋体" w:eastAsia="宋体" w:cs="宋体"/>
                <w:sz w:val="21"/>
                <w:szCs w:val="21"/>
              </w:rPr>
              <w:t>6、网卡：提供板载双口千兆网口，支持NCSI、网络唤醒，网络冗余，负载均衡等网络高级特性；</w:t>
            </w:r>
          </w:p>
          <w:p>
            <w:pPr>
              <w:rPr>
                <w:rFonts w:hint="eastAsia" w:ascii="宋体" w:hAnsi="宋体" w:eastAsia="宋体" w:cs="宋体"/>
                <w:sz w:val="21"/>
                <w:szCs w:val="21"/>
              </w:rPr>
            </w:pPr>
            <w:r>
              <w:rPr>
                <w:rFonts w:hint="eastAsia" w:ascii="宋体" w:hAnsi="宋体" w:eastAsia="宋体" w:cs="宋体"/>
                <w:sz w:val="21"/>
                <w:szCs w:val="21"/>
              </w:rPr>
              <w:t>7、扩展插槽：最大支持10个PCI-E 3.0插槽（2个专用插槽），</w:t>
            </w:r>
          </w:p>
          <w:p>
            <w:pPr>
              <w:rPr>
                <w:rFonts w:hint="eastAsia" w:ascii="宋体" w:hAnsi="宋体" w:eastAsia="宋体" w:cs="宋体"/>
                <w:sz w:val="21"/>
                <w:szCs w:val="21"/>
              </w:rPr>
            </w:pPr>
            <w:r>
              <w:rPr>
                <w:rFonts w:hint="eastAsia" w:ascii="宋体" w:hAnsi="宋体" w:eastAsia="宋体" w:cs="宋体"/>
                <w:sz w:val="21"/>
                <w:szCs w:val="21"/>
              </w:rPr>
              <w:t>8、SD卡：主板支持SD卡插槽，可实现存储系统日志及BMC日志，</w:t>
            </w:r>
          </w:p>
          <w:p>
            <w:pPr>
              <w:rPr>
                <w:rFonts w:hint="eastAsia" w:ascii="宋体" w:hAnsi="宋体" w:eastAsia="宋体" w:cs="宋体"/>
                <w:sz w:val="21"/>
                <w:szCs w:val="21"/>
              </w:rPr>
            </w:pPr>
            <w:r>
              <w:rPr>
                <w:rFonts w:hint="eastAsia" w:ascii="宋体" w:hAnsi="宋体" w:eastAsia="宋体" w:cs="宋体"/>
                <w:sz w:val="21"/>
                <w:szCs w:val="21"/>
              </w:rPr>
              <w:t>9、管理：集成系统管理芯片，提供iKVM和KVM Over IP高级管理功能，本地固件更新、错误日志，提供系统状况的可视显示；配置独立的远程管理控制端口，支持远程监控图形界面, 可实现与操作系统无关的远程对服务器的完全控制，包括远程的开机、关机、重启、虚拟设备挂载等操作；可实现监控服务器内部主要部件的状态，包括CPU、内存、硬盘、风扇、电源；</w:t>
            </w:r>
          </w:p>
          <w:p>
            <w:pPr>
              <w:rPr>
                <w:rFonts w:hint="eastAsia" w:ascii="宋体" w:hAnsi="宋体" w:eastAsia="宋体" w:cs="宋体"/>
                <w:color w:val="000000" w:themeColor="text1"/>
                <w:sz w:val="21"/>
                <w:szCs w:val="21"/>
              </w:rPr>
            </w:pPr>
            <w:r>
              <w:rPr>
                <w:rFonts w:hint="eastAsia" w:ascii="宋体" w:hAnsi="宋体" w:eastAsia="宋体" w:cs="宋体"/>
                <w:sz w:val="21"/>
                <w:szCs w:val="21"/>
              </w:rPr>
              <w:t>数据安全性:免费提供三年国家信息中心涉密数据恢复服务</w:t>
            </w:r>
            <w:r>
              <w:rPr>
                <w:rFonts w:hint="eastAsia" w:ascii="宋体" w:hAnsi="宋体" w:eastAsia="宋体" w:cs="宋体"/>
                <w:color w:val="000000" w:themeColor="text1"/>
                <w:sz w:val="21"/>
                <w:szCs w:val="21"/>
              </w:rPr>
              <w:t>；电源:配置热插拔铂金电源，功率≥550W；</w:t>
            </w:r>
          </w:p>
          <w:p>
            <w:pPr>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风扇:配置≥3个热插拔高速系统风扇</w:t>
            </w:r>
          </w:p>
          <w:p>
            <w:pPr>
              <w:spacing w:line="400" w:lineRule="exact"/>
              <w:jc w:val="left"/>
              <w:rPr>
                <w:rFonts w:hint="eastAsia" w:ascii="宋体" w:hAnsi="宋体" w:eastAsia="宋体" w:cs="宋体"/>
                <w:color w:val="000000" w:themeColor="text1"/>
                <w:sz w:val="21"/>
                <w:szCs w:val="21"/>
              </w:rPr>
            </w:pPr>
            <w:r>
              <w:rPr>
                <w:rFonts w:hint="eastAsia" w:ascii="宋体" w:hAnsi="宋体" w:eastAsia="宋体" w:cs="宋体"/>
                <w:color w:val="000000" w:themeColor="text1"/>
                <w:sz w:val="21"/>
                <w:szCs w:val="21"/>
              </w:rPr>
              <w:t>10、服务：3年原厂整机质保，3年原厂免费上门服务。</w:t>
            </w:r>
          </w:p>
          <w:p>
            <w:pPr>
              <w:rPr>
                <w:rFonts w:hint="eastAsia" w:ascii="宋体" w:hAnsi="宋体" w:eastAsia="宋体" w:cs="宋体"/>
                <w:sz w:val="21"/>
                <w:szCs w:val="21"/>
              </w:rPr>
            </w:pPr>
            <w:r>
              <w:rPr>
                <w:rFonts w:hint="eastAsia" w:ascii="宋体" w:hAnsi="宋体" w:eastAsia="宋体" w:cs="宋体"/>
                <w:color w:val="000000" w:themeColor="text1"/>
                <w:sz w:val="21"/>
                <w:szCs w:val="21"/>
              </w:rPr>
              <w:t>11、配置对应尺寸机柜</w:t>
            </w:r>
          </w:p>
        </w:tc>
      </w:tr>
      <w:tr>
        <w:tblPrEx>
          <w:tblCellMar>
            <w:top w:w="0" w:type="dxa"/>
            <w:left w:w="108" w:type="dxa"/>
            <w:bottom w:w="0" w:type="dxa"/>
            <w:right w:w="108" w:type="dxa"/>
          </w:tblCellMar>
        </w:tblPrEx>
        <w:trPr>
          <w:trHeight w:val="213" w:hRule="atLeast"/>
          <w:jc w:val="center"/>
        </w:trPr>
        <w:tc>
          <w:tcPr>
            <w:tcW w:w="377" w:type="pct"/>
            <w:tcBorders>
              <w:top w:val="nil"/>
              <w:left w:val="single" w:color="auto" w:sz="4" w:space="0"/>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kern w:val="0"/>
                <w:sz w:val="21"/>
                <w:szCs w:val="21"/>
              </w:rPr>
            </w:pPr>
            <w:r>
              <w:rPr>
                <w:rFonts w:hint="eastAsia" w:ascii="宋体" w:hAnsi="宋体" w:eastAsia="宋体" w:cs="宋体"/>
                <w:color w:val="000000"/>
                <w:kern w:val="0"/>
                <w:sz w:val="21"/>
                <w:szCs w:val="21"/>
              </w:rPr>
              <w:t>3</w:t>
            </w:r>
          </w:p>
        </w:tc>
        <w:tc>
          <w:tcPr>
            <w:tcW w:w="626" w:type="pct"/>
            <w:tcBorders>
              <w:top w:val="nil"/>
              <w:left w:val="nil"/>
              <w:bottom w:val="single" w:color="auto" w:sz="4" w:space="0"/>
              <w:right w:val="single" w:color="auto" w:sz="4" w:space="0"/>
            </w:tcBorders>
            <w:shd w:val="clear" w:color="auto" w:fill="FFFFFF"/>
            <w:vAlign w:val="center"/>
          </w:tcPr>
          <w:p>
            <w:pPr>
              <w:jc w:val="center"/>
              <w:rPr>
                <w:rFonts w:hint="eastAsia" w:ascii="宋体" w:hAnsi="宋体" w:eastAsia="宋体" w:cs="宋体"/>
                <w:color w:val="000000" w:themeColor="text1"/>
                <w:sz w:val="21"/>
                <w:szCs w:val="21"/>
                <w:lang w:eastAsia="zh-CN"/>
              </w:rPr>
            </w:pPr>
            <w:r>
              <w:rPr>
                <w:rFonts w:hint="eastAsia" w:ascii="宋体" w:hAnsi="宋体" w:eastAsia="宋体" w:cs="宋体"/>
                <w:sz w:val="21"/>
                <w:szCs w:val="21"/>
              </w:rPr>
              <w:t>交换机（含对应尺寸的机柜）</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3台</w:t>
            </w:r>
            <w:r>
              <w:rPr>
                <w:rFonts w:hint="eastAsia" w:ascii="宋体" w:hAnsi="宋体" w:eastAsia="宋体" w:cs="宋体"/>
                <w:sz w:val="21"/>
                <w:szCs w:val="21"/>
                <w:lang w:eastAsia="zh-CN"/>
              </w:rPr>
              <w:t>）</w:t>
            </w:r>
          </w:p>
        </w:tc>
        <w:tc>
          <w:tcPr>
            <w:tcW w:w="3995" w:type="pct"/>
            <w:tcBorders>
              <w:top w:val="nil"/>
              <w:left w:val="nil"/>
              <w:bottom w:val="single" w:color="auto" w:sz="4" w:space="0"/>
              <w:right w:val="single" w:color="auto" w:sz="4" w:space="0"/>
            </w:tcBorders>
            <w:shd w:val="clear" w:color="auto" w:fill="FFFFFF"/>
            <w:vAlign w:val="center"/>
          </w:tcPr>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交换容量</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336Gbps，转发率</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92Mpps，光口须含模块</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24*千兆电口+4*SFP；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VLAN：4K(数量非ID)、MAC：</w:t>
            </w:r>
            <w:r>
              <w:rPr>
                <w:rFonts w:hint="eastAsia" w:ascii="宋体" w:hAnsi="宋体" w:eastAsia="宋体" w:cs="宋体"/>
                <w:color w:val="000000" w:themeColor="text1"/>
                <w:sz w:val="21"/>
                <w:szCs w:val="21"/>
              </w:rPr>
              <w:t>≥</w:t>
            </w:r>
            <w:r>
              <w:rPr>
                <w:rFonts w:hint="eastAsia" w:ascii="宋体" w:hAnsi="宋体" w:eastAsia="宋体" w:cs="宋体"/>
                <w:bCs/>
                <w:color w:val="000000" w:themeColor="text1"/>
                <w:sz w:val="21"/>
                <w:szCs w:val="21"/>
              </w:rPr>
              <w:t>8K；</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支持半双工、全双工、自协商工作模式，支持MDI/MDI-X；</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支持IRF2（最大支持9台堆叠）；</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支持STP/RSTP/MSTP；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支持三层功能，IPv4/IPv6静态路由、RIP；</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支持端口镜像、流镜像；</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支持二层、三层、四层ACL，支持Diff-Serv QoS；</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支持Console/AUX Modem/Telnet/SSH2.0 命令行配置；</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bCs/>
                <w:color w:val="000000" w:themeColor="text1"/>
                <w:sz w:val="21"/>
                <w:szCs w:val="21"/>
              </w:rPr>
              <w:t xml:space="preserve">绿色节能设计。 </w:t>
            </w:r>
          </w:p>
          <w:p>
            <w:pPr>
              <w:numPr>
                <w:ilvl w:val="0"/>
                <w:numId w:val="5"/>
              </w:numPr>
              <w:rPr>
                <w:rFonts w:hint="eastAsia" w:ascii="宋体" w:hAnsi="宋体" w:eastAsia="宋体" w:cs="宋体"/>
                <w:bCs/>
                <w:color w:val="000000" w:themeColor="text1"/>
                <w:sz w:val="21"/>
                <w:szCs w:val="21"/>
              </w:rPr>
            </w:pPr>
            <w:r>
              <w:rPr>
                <w:rFonts w:hint="eastAsia" w:ascii="宋体" w:hAnsi="宋体" w:eastAsia="宋体" w:cs="宋体"/>
                <w:color w:val="000000" w:themeColor="text1"/>
                <w:sz w:val="21"/>
                <w:szCs w:val="21"/>
              </w:rPr>
              <w:t>服务：3年原厂整机质保，3年原厂免费上门服务。</w:t>
            </w:r>
          </w:p>
        </w:tc>
      </w:tr>
    </w:tbl>
    <w:p>
      <w:pPr>
        <w:spacing w:line="360" w:lineRule="auto"/>
        <w:ind w:firstLine="482" w:firstLineChars="200"/>
        <w:rPr>
          <w:rFonts w:hint="eastAsia" w:ascii="宋体" w:hAnsi="宋体" w:cs="宋体"/>
          <w:b/>
          <w:bCs/>
          <w:color w:val="000000" w:themeColor="text1"/>
          <w:sz w:val="24"/>
          <w:szCs w:val="24"/>
          <w:u w:val="none"/>
          <w14:textFill>
            <w14:solidFill>
              <w14:schemeClr w14:val="tx1"/>
            </w14:solidFill>
          </w14:textFill>
        </w:rPr>
      </w:pPr>
      <w:bookmarkStart w:id="39" w:name="_GoBack"/>
      <w:r>
        <w:rPr>
          <w:rFonts w:hint="eastAsia" w:ascii="宋体" w:hAnsi="宋体" w:cs="宋体"/>
          <w:b/>
          <w:bCs/>
          <w:color w:val="auto"/>
          <w:kern w:val="2"/>
          <w:sz w:val="24"/>
          <w:szCs w:val="24"/>
          <w:u w:val="none"/>
          <w:lang w:val="en-US" w:eastAsia="zh-CN" w:bidi="ar"/>
        </w:rPr>
        <w:t>注：</w:t>
      </w:r>
      <w:r>
        <w:rPr>
          <w:rFonts w:hint="eastAsia" w:ascii="宋体" w:hAnsi="宋体" w:eastAsia="宋体" w:cs="宋体"/>
          <w:b/>
          <w:bCs/>
          <w:color w:val="auto"/>
          <w:kern w:val="2"/>
          <w:sz w:val="24"/>
          <w:szCs w:val="24"/>
          <w:u w:val="none"/>
          <w:lang w:val="en-US" w:eastAsia="zh-CN" w:bidi="ar"/>
        </w:rPr>
        <w:t>自中标公示之日一周内需提供计算机原厂质保函原件。</w:t>
      </w:r>
    </w:p>
    <w:bookmarkEnd w:id="39"/>
    <w:p>
      <w:pPr>
        <w:spacing w:line="360" w:lineRule="auto"/>
        <w:ind w:firstLine="482" w:firstLineChars="200"/>
        <w:rPr>
          <w:rFonts w:ascii="宋体" w:hAnsi="宋体" w:cs="宋体"/>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三、验收条件：</w:t>
      </w:r>
      <w:r>
        <w:rPr>
          <w:rFonts w:hint="eastAsia" w:ascii="宋体" w:hAnsi="宋体" w:cs="宋体"/>
          <w:color w:val="000000" w:themeColor="text1"/>
          <w:sz w:val="24"/>
          <w:szCs w:val="24"/>
          <w14:textFill>
            <w14:solidFill>
              <w14:schemeClr w14:val="tx1"/>
            </w14:solidFill>
          </w14:textFill>
        </w:rPr>
        <w:t>招标方对投标方提交的设备和建设完成的</w:t>
      </w:r>
      <w:r>
        <w:rPr>
          <w:rFonts w:hint="eastAsia" w:ascii="宋体" w:hAnsi="宋体" w:cs="宋体"/>
          <w:bCs/>
          <w:color w:val="000000" w:themeColor="text1"/>
          <w:sz w:val="24"/>
          <w:szCs w:val="24"/>
          <w14:textFill>
            <w14:solidFill>
              <w14:schemeClr w14:val="tx1"/>
            </w14:solidFill>
          </w14:textFill>
        </w:rPr>
        <w:t>药品经营实训室（401-402）</w:t>
      </w:r>
      <w:r>
        <w:rPr>
          <w:rFonts w:hint="eastAsia" w:ascii="宋体" w:hAnsi="宋体" w:cs="宋体"/>
          <w:color w:val="000000" w:themeColor="text1"/>
          <w:sz w:val="24"/>
          <w:szCs w:val="24"/>
          <w14:textFill>
            <w14:solidFill>
              <w14:schemeClr w14:val="tx1"/>
            </w14:solidFill>
          </w14:textFill>
        </w:rPr>
        <w:t>依据招标文件上的技术规格要求和国家有关质量标准进行现场初步验收，实训室现场布置、设备种类数量、调试结果符合招标文件技术要求的，给予签收，初步验收不合格的不予签收。交付后，招标方需在二十个工作日内验收。投标方交付前应对产品作出全面检查和对验收文件进行整理，并列出清单，作为招标方验收和使用的技术条件依据，检验的结果应一并交招标方。招标方对投标方提供的货物和服务在使用前进行调试时，投标方需负责安装并培训招标方的使用操作人员，并协助招标方一起调试，直到符合技术要求，招标方才做最终验收。验收时投标方必须在现场，验收完毕后作出验收结果报告；验收费用由投标方解决。</w:t>
      </w:r>
    </w:p>
    <w:p>
      <w:pPr>
        <w:ind w:right="210" w:firstLine="482" w:firstLineChars="200"/>
        <w:jc w:val="left"/>
        <w:rPr>
          <w:rFonts w:ascii="宋体" w:hAnsi="宋体" w:cs="宋体"/>
          <w:b/>
          <w:color w:val="000000" w:themeColor="text1"/>
          <w:sz w:val="24"/>
          <w:szCs w:val="24"/>
          <w14:textFill>
            <w14:solidFill>
              <w14:schemeClr w14:val="tx1"/>
            </w14:solidFill>
          </w14:textFill>
        </w:rPr>
      </w:pPr>
      <w:r>
        <w:rPr>
          <w:rFonts w:hint="eastAsia" w:ascii="宋体" w:hAnsi="宋体" w:cs="宋体"/>
          <w:b/>
          <w:color w:val="000000" w:themeColor="text1"/>
          <w:sz w:val="24"/>
          <w:szCs w:val="24"/>
          <w14:textFill>
            <w14:solidFill>
              <w14:schemeClr w14:val="tx1"/>
            </w14:solidFill>
          </w14:textFill>
        </w:rPr>
        <w:t>四、售后服务及质保要求</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投标方应按招标文件规定的硬件性能、技术要求、质量标准向招标方提供未经使用的全新产品和服务。</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投标方提供的货物和服务在质量期内因本身的质量问题发生故障，投标方应负责免费更换。对达不到技术要求者，根据实际情况，经双方协商，可按以下办法处理：</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⑴更换：由投标方承担所发生的全部费用。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⑵贬值处理：由双方合议定价。</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⑶退货处理：投标方应退还招标方支付的合同款，同时应承担该货物和服务的直接费用（运输、保险、检验、货款利息及银行手续费等）。</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如在使用过程中发生质量问题，投标方在接到招标方通知后在24小时内到达招标方现场提供免费上门维修服务，48小时内确保系统正常运行。</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在质保期内，投标方应对软件和服务出现的质量及安全问题负责处理解决并承担一切费用。</w:t>
      </w:r>
    </w:p>
    <w:p>
      <w:pPr>
        <w:adjustRightInd w:val="0"/>
        <w:snapToGrid w:val="0"/>
        <w:spacing w:line="360" w:lineRule="auto"/>
        <w:ind w:firstLine="480" w:firstLineChars="200"/>
        <w:rPr>
          <w:rFonts w:ascii="宋体" w:hAnsi="宋体" w:cs="宋体"/>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投标方须向招标方免费提供培训服务，确保使用者完全会使用及操作为止。</w:t>
      </w:r>
    </w:p>
    <w:p>
      <w:pPr>
        <w:ind w:firstLine="480" w:firstLineChars="200"/>
        <w:rPr>
          <w:rStyle w:val="42"/>
          <w:rFonts w:ascii="宋体" w:hAnsi="宋体" w:cs="宋体"/>
          <w:b/>
          <w:color w:val="000000" w:themeColor="text1"/>
          <w:sz w:val="24"/>
          <w:szCs w:val="24"/>
          <w14:textFill>
            <w14:solidFill>
              <w14:schemeClr w14:val="tx1"/>
            </w14:solidFill>
          </w14:textFill>
        </w:rPr>
      </w:pPr>
      <w:r>
        <w:rPr>
          <w:rFonts w:hint="eastAsia" w:ascii="宋体" w:hAnsi="宋体" w:cs="宋体"/>
          <w:color w:val="000000" w:themeColor="text1"/>
          <w:sz w:val="24"/>
          <w:szCs w:val="24"/>
          <w14:textFill>
            <w14:solidFill>
              <w14:schemeClr w14:val="tx1"/>
            </w14:solidFill>
          </w14:textFill>
        </w:rPr>
        <w:t>质保期内，投标方免费提供硬件维护、硬件系统升级服务。</w:t>
      </w:r>
    </w:p>
    <w:p>
      <w:pPr>
        <w:pStyle w:val="85"/>
        <w:spacing w:before="290" w:after="290"/>
        <w:jc w:val="both"/>
        <w:rPr>
          <w:rStyle w:val="42"/>
          <w:rFonts w:cs="宋体"/>
          <w:b/>
          <w:color w:val="000000" w:themeColor="text1"/>
          <w:sz w:val="24"/>
          <w:szCs w:val="24"/>
          <w14:textFill>
            <w14:solidFill>
              <w14:schemeClr w14:val="tx1"/>
            </w14:solidFill>
          </w14:textFill>
        </w:rPr>
        <w:sectPr>
          <w:pgSz w:w="11906" w:h="16838"/>
          <w:pgMar w:top="1417" w:right="1587" w:bottom="1417" w:left="1366" w:header="851" w:footer="907" w:gutter="0"/>
          <w:pgNumType w:fmt="numberInDash"/>
          <w:cols w:space="0" w:num="1"/>
          <w:docGrid w:type="lines" w:linePitch="298" w:charSpace="0"/>
        </w:sectPr>
      </w:pPr>
    </w:p>
    <w:p>
      <w:pPr>
        <w:pStyle w:val="85"/>
        <w:spacing w:before="290" w:after="290"/>
        <w:jc w:val="center"/>
        <w:outlineLvl w:val="0"/>
        <w:rPr>
          <w:rStyle w:val="42"/>
          <w:rFonts w:cs="宋体"/>
          <w:color w:val="000000" w:themeColor="text1"/>
        </w:rPr>
      </w:pPr>
      <w:bookmarkStart w:id="5" w:name="_Toc5441"/>
      <w:r>
        <w:rPr>
          <w:rStyle w:val="42"/>
          <w:rFonts w:hint="eastAsia" w:cs="宋体"/>
          <w:b/>
          <w:color w:val="000000" w:themeColor="text1"/>
          <w:sz w:val="44"/>
        </w:rPr>
        <w:t>第五章  评标方法与评标标准</w:t>
      </w:r>
      <w:bookmarkEnd w:id="5"/>
    </w:p>
    <w:p>
      <w:pPr>
        <w:snapToGrid w:val="0"/>
        <w:spacing w:line="500" w:lineRule="exact"/>
        <w:ind w:firstLine="482" w:firstLineChars="200"/>
        <w:rPr>
          <w:rStyle w:val="42"/>
          <w:rFonts w:ascii="宋体" w:hAnsi="宋体" w:cs="宋体"/>
          <w:b/>
          <w:bCs/>
          <w:color w:val="000000" w:themeColor="text1"/>
          <w:sz w:val="24"/>
          <w:szCs w:val="24"/>
        </w:rPr>
      </w:pPr>
      <w:r>
        <w:rPr>
          <w:rStyle w:val="42"/>
          <w:rFonts w:hint="eastAsia" w:ascii="宋体" w:hAnsi="宋体" w:cs="宋体"/>
          <w:b/>
          <w:bCs/>
          <w:color w:val="000000" w:themeColor="text1"/>
          <w:sz w:val="24"/>
          <w:szCs w:val="24"/>
        </w:rPr>
        <w:t>一、评标方法与定标原则</w:t>
      </w:r>
    </w:p>
    <w:p>
      <w:pPr>
        <w:snapToGrid w:val="0"/>
        <w:spacing w:line="500" w:lineRule="exact"/>
        <w:ind w:firstLine="480" w:firstLineChars="200"/>
        <w:rPr>
          <w:rFonts w:ascii="宋体" w:hAnsi="宋体" w:cs="宋体"/>
          <w:bCs/>
          <w:color w:val="000000" w:themeColor="text1"/>
          <w:sz w:val="24"/>
          <w:szCs w:val="24"/>
        </w:rPr>
      </w:pPr>
      <w:r>
        <w:rPr>
          <w:rFonts w:hint="eastAsia" w:ascii="宋体" w:hAnsi="宋体" w:cs="宋体"/>
          <w:bCs/>
          <w:color w:val="000000" w:themeColor="text1"/>
          <w:sz w:val="24"/>
          <w:szCs w:val="24"/>
        </w:rPr>
        <w:t>评标采用综合评分法，总分为100分，评标结果按评审后得分由高到低顺序排列。得分相同的，按投标报价由低到高顺序排列。得分相同且投标报价相同的，按技术指标优劣顺序排列。投标文件满足招标文件全部实质性要求，且按照评审因素的量化指标评审得分最高的投标人为中标人。</w:t>
      </w:r>
    </w:p>
    <w:p>
      <w:pPr>
        <w:snapToGrid w:val="0"/>
        <w:spacing w:line="500" w:lineRule="exact"/>
        <w:ind w:firstLine="480" w:firstLineChars="200"/>
        <w:rPr>
          <w:rFonts w:ascii="宋体" w:hAnsi="宋体" w:cs="宋体"/>
          <w:color w:val="000000" w:themeColor="text1"/>
        </w:rPr>
      </w:pPr>
      <w:r>
        <w:rPr>
          <w:rFonts w:hint="eastAsia" w:ascii="宋体" w:hAnsi="宋体" w:cs="宋体"/>
          <w:bCs/>
          <w:color w:val="000000" w:themeColor="text1"/>
          <w:sz w:val="24"/>
          <w:szCs w:val="24"/>
        </w:rPr>
        <w:t>评标委员会认为投标人的报价明显低于其他通过符合性审查投标人的报价，有可能影响产品质量或者不能诚信履约的，评标委员会有权要求其在评标现场合理的时间内提供书面说明，必要时提交相关证明材料；投标人不能证明其报价合理性的，评标委员会将其作为无效投标处理。</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政府采购政策功能落实</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1、小微型企业价格扣除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（1）本项目对小型和微型企业产品给予10%的扣除价格，用扣除后的价格参与评审。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（2）供应商需按照采购文件的要求提供相应的《企业声明函》。</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（3）企业标准请参照《关于印发中小企业划型标准规定的通知》（工信部联企业[2011]300号）文件规定自行填写，如未按要求填写，不得享受价格扣除。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（4）在标的物采购项目中，供应商提供的标的物既有中小企业制造标的物，也有大型企业制造标的物的，不享受本办法规定的中小企业扶持政策。</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2、残疾人福利单位价格扣除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（1）本项目对残疾人福利性单位视同小型、微型企业，给予10%的价格扣除，用扣除后的价格参与评审。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（2）残疾人福利单位需按照采购文件的要求提供《残疾人福利性单位声明函》。</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（3）残疾人福利单位标准请参照《关于促进残疾人就业政府采购政策的通知》（财库〔2017〕141号），如未按要求填写，不得享受价格扣除。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3、监狱和戒毒企业价格扣除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（1）本项目对监狱和戒毒企业（简称监狱企业）视同小型、微型企业，给予10%的价格扣除，用扣除后的价格参与评审。</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（2）监狱企业参加政府采购活动时，需提供由省级以上监狱管理局、戒毒管理局(含新疆生产建设兵团)出具的属于监狱企业的证明文件。供应商如不提供上述证明文件，价格将不做相应扣除。</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（3）监狱企业标准请参照《关于政府采购支持监狱企业发展有关问题的通知》（财库[2014]68号）。</w:t>
      </w:r>
    </w:p>
    <w:p>
      <w:pPr>
        <w:snapToGrid w:val="0"/>
        <w:spacing w:line="500" w:lineRule="exact"/>
        <w:ind w:firstLine="480" w:firstLineChars="200"/>
        <w:rPr>
          <w:rStyle w:val="42"/>
          <w:rFonts w:ascii="宋体" w:hAnsi="宋体" w:cs="宋体"/>
          <w:bCs/>
          <w:color w:val="000000" w:themeColor="text1"/>
          <w:sz w:val="24"/>
          <w:szCs w:val="24"/>
        </w:rPr>
      </w:pPr>
      <w:r>
        <w:rPr>
          <w:rStyle w:val="42"/>
          <w:rFonts w:hint="eastAsia" w:ascii="宋体" w:hAnsi="宋体" w:cs="宋体"/>
          <w:bCs/>
          <w:color w:val="000000" w:themeColor="text1"/>
          <w:sz w:val="24"/>
          <w:szCs w:val="24"/>
        </w:rPr>
        <w:t>4、残疾人福利单位、监狱企业属于小型、微型企业的，不重复享受政策。</w:t>
      </w:r>
    </w:p>
    <w:p>
      <w:pPr>
        <w:snapToGrid w:val="0"/>
        <w:spacing w:line="500" w:lineRule="exact"/>
        <w:ind w:firstLine="482" w:firstLineChars="200"/>
        <w:rPr>
          <w:rStyle w:val="42"/>
          <w:rFonts w:ascii="宋体" w:hAnsi="宋体" w:cs="宋体"/>
          <w:color w:val="000000" w:themeColor="text1"/>
        </w:rPr>
      </w:pPr>
      <w:r>
        <w:rPr>
          <w:rStyle w:val="42"/>
          <w:rFonts w:hint="eastAsia" w:ascii="宋体" w:hAnsi="宋体" w:cs="宋体"/>
          <w:b/>
          <w:color w:val="000000" w:themeColor="text1"/>
          <w:sz w:val="24"/>
          <w:szCs w:val="24"/>
        </w:rPr>
        <w:t>二、评标标准</w:t>
      </w:r>
    </w:p>
    <w:tbl>
      <w:tblPr>
        <w:tblStyle w:val="24"/>
        <w:tblW w:w="914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4"/>
        <w:gridCol w:w="1124"/>
        <w:gridCol w:w="894"/>
        <w:gridCol w:w="641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8" w:hRule="atLeast"/>
          <w:jc w:val="center"/>
        </w:trPr>
        <w:tc>
          <w:tcPr>
            <w:tcW w:w="71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序号</w:t>
            </w:r>
          </w:p>
        </w:tc>
        <w:tc>
          <w:tcPr>
            <w:tcW w:w="112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评分</w:t>
            </w:r>
          </w:p>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因素</w:t>
            </w:r>
          </w:p>
        </w:tc>
        <w:tc>
          <w:tcPr>
            <w:tcW w:w="894"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分值</w:t>
            </w:r>
          </w:p>
        </w:tc>
        <w:tc>
          <w:tcPr>
            <w:tcW w:w="6410" w:type="dxa"/>
            <w:vAlign w:val="center"/>
          </w:tcPr>
          <w:p>
            <w:pPr>
              <w:spacing w:line="320" w:lineRule="exact"/>
              <w:jc w:val="center"/>
              <w:rPr>
                <w:rFonts w:hint="eastAsia" w:ascii="宋体" w:hAnsi="宋体" w:eastAsia="宋体" w:cs="宋体"/>
                <w:b/>
                <w:bCs/>
                <w:sz w:val="24"/>
                <w:szCs w:val="24"/>
              </w:rPr>
            </w:pPr>
            <w:r>
              <w:rPr>
                <w:rFonts w:hint="eastAsia" w:ascii="宋体" w:hAnsi="宋体" w:eastAsia="宋体" w:cs="宋体"/>
                <w:b/>
                <w:bCs/>
                <w:sz w:val="24"/>
                <w:szCs w:val="24"/>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1"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（一）价格分（50分）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541"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投标报价</w:t>
            </w:r>
          </w:p>
        </w:tc>
        <w:tc>
          <w:tcPr>
            <w:tcW w:w="89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50分</w:t>
            </w:r>
          </w:p>
        </w:tc>
        <w:tc>
          <w:tcPr>
            <w:tcW w:w="6410" w:type="dxa"/>
            <w:vAlign w:val="center"/>
          </w:tcPr>
          <w:p>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所有有效投标报价中满足招标文件要求，价格最低的投标报价为评标基准价，其价格分为50分，其他投标人的价格分按照下列公式计算（计算结果四舍五入保留两位小数）。</w:t>
            </w:r>
          </w:p>
          <w:p>
            <w:pPr>
              <w:spacing w:line="320" w:lineRule="exact"/>
              <w:ind w:firstLine="480" w:firstLineChars="200"/>
              <w:rPr>
                <w:rFonts w:hint="eastAsia" w:ascii="宋体" w:hAnsi="宋体" w:eastAsia="宋体" w:cs="宋体"/>
                <w:sz w:val="24"/>
                <w:szCs w:val="24"/>
              </w:rPr>
            </w:pPr>
            <w:r>
              <w:rPr>
                <w:rFonts w:hint="eastAsia" w:ascii="宋体" w:hAnsi="宋体" w:eastAsia="宋体" w:cs="宋体"/>
                <w:sz w:val="24"/>
                <w:szCs w:val="24"/>
              </w:rPr>
              <w:t>投标人报价得分＝（评标基准价/投标报价）×50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9"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（二）技术部分(30分)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2"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2.1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总体方案分</w:t>
            </w:r>
          </w:p>
        </w:tc>
        <w:tc>
          <w:tcPr>
            <w:tcW w:w="894" w:type="dxa"/>
            <w:vAlign w:val="center"/>
          </w:tcPr>
          <w:p>
            <w:pPr>
              <w:spacing w:line="3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能够充分理解项目建设背景，对需求有深入分析：技术方案思路清晰，技术路线先进，系统整体功能实用，满足招标文件需求，对要求的建设内容及其他要求进行实质响应，满足基本需求，并展示药品经营实训室（401-402）规划图和效果图，在此基础上，评委综合评价方案的合理性、可行性、完整性、可靠性、先进性等，分三档，分别得1-2分，2-4分，4-5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2.2</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技术参数要求</w:t>
            </w:r>
          </w:p>
        </w:tc>
        <w:tc>
          <w:tcPr>
            <w:tcW w:w="894" w:type="dxa"/>
            <w:vAlign w:val="center"/>
          </w:tcPr>
          <w:p>
            <w:pPr>
              <w:spacing w:line="320" w:lineRule="exact"/>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根据投标人提供的设备清单、性能质量、技术指标和系统功能要求进行评定，满足招标书要求或优于招标文件的要求得25分，打★号的有一项不满足扣2分，其他有一项不满足扣1分，扣完为止。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jc w:val="center"/>
        </w:trPr>
        <w:tc>
          <w:tcPr>
            <w:tcW w:w="9142" w:type="dxa"/>
            <w:gridSpan w:val="4"/>
            <w:vAlign w:val="center"/>
          </w:tcPr>
          <w:p>
            <w:pPr>
              <w:spacing w:line="320" w:lineRule="exact"/>
              <w:jc w:val="left"/>
              <w:rPr>
                <w:rFonts w:hint="eastAsia" w:ascii="宋体" w:hAnsi="宋体" w:eastAsia="宋体" w:cs="宋体"/>
                <w:sz w:val="24"/>
                <w:szCs w:val="24"/>
              </w:rPr>
            </w:pPr>
            <w:r>
              <w:rPr>
                <w:rFonts w:hint="eastAsia" w:ascii="宋体" w:hAnsi="宋体" w:eastAsia="宋体" w:cs="宋体"/>
                <w:sz w:val="24"/>
                <w:szCs w:val="24"/>
              </w:rPr>
              <w:t>（三）商务部分（20分）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42"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3.1</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无故障运行时间</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所投商用计算机系列产品平均无故障运行时间≥100万小时得3分，低于100万小时不得分。需提供国家</w:t>
            </w:r>
            <w:r>
              <w:rPr>
                <w:rFonts w:hint="eastAsia" w:ascii="宋体" w:hAnsi="宋体" w:eastAsia="宋体" w:cs="宋体"/>
                <w:bCs/>
                <w:color w:val="000000" w:themeColor="text1"/>
                <w:sz w:val="24"/>
                <w:szCs w:val="24"/>
              </w:rPr>
              <w:t>计算机质量监督检验中心</w:t>
            </w:r>
            <w:r>
              <w:rPr>
                <w:rFonts w:hint="eastAsia" w:ascii="宋体" w:hAnsi="宋体" w:eastAsia="宋体" w:cs="宋体"/>
                <w:color w:val="000000" w:themeColor="text1"/>
                <w:sz w:val="24"/>
                <w:szCs w:val="24"/>
              </w:rPr>
              <w:t>出具的证书复印件加盖制造厂家公章，未提供不得分。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825"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3.2</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bCs/>
                <w:sz w:val="24"/>
                <w:szCs w:val="24"/>
              </w:rPr>
              <w:t>市场份额</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5分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w:t>
            </w:r>
            <w:r>
              <w:rPr>
                <w:rFonts w:hint="eastAsia" w:ascii="宋体" w:hAnsi="宋体" w:eastAsia="宋体" w:cs="宋体"/>
                <w:bCs/>
                <w:color w:val="000000" w:themeColor="text1"/>
                <w:sz w:val="24"/>
                <w:szCs w:val="24"/>
              </w:rPr>
              <w:t>2020年全球商用电脑市场份额IDC排名</w:t>
            </w:r>
            <w:r>
              <w:rPr>
                <w:rFonts w:hint="eastAsia" w:ascii="宋体" w:hAnsi="宋体" w:eastAsia="宋体" w:cs="宋体"/>
                <w:color w:val="000000" w:themeColor="text1"/>
                <w:sz w:val="24"/>
                <w:szCs w:val="24"/>
              </w:rPr>
              <w:t>先后顺序计分，排名前三名，得5分，第三至第五名，得3分，第五至十名得1分。须提供原件或证书复印件加盖制造厂家公章，未提供不得分。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53" w:hRule="atLeast"/>
          <w:jc w:val="center"/>
        </w:trPr>
        <w:tc>
          <w:tcPr>
            <w:tcW w:w="714" w:type="dxa"/>
            <w:vMerge w:val="restart"/>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3.3</w:t>
            </w:r>
          </w:p>
        </w:tc>
        <w:tc>
          <w:tcPr>
            <w:tcW w:w="1124" w:type="dxa"/>
            <w:vMerge w:val="restart"/>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检验认证</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计算机生产厂商获得客户联络中心CCCS钻石五星认证证书、100万小时MTBF认证证书的，每项得2分，共4分。需提供相关证书复印件加盖公章，不提供不得分。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hint="eastAsia" w:ascii="宋体" w:hAnsi="宋体" w:eastAsia="宋体" w:cs="宋体"/>
                <w:sz w:val="24"/>
                <w:szCs w:val="24"/>
              </w:rPr>
            </w:pPr>
          </w:p>
        </w:tc>
        <w:tc>
          <w:tcPr>
            <w:tcW w:w="1124" w:type="dxa"/>
            <w:vMerge w:val="continue"/>
            <w:vAlign w:val="center"/>
          </w:tcPr>
          <w:p>
            <w:pPr>
              <w:spacing w:line="320" w:lineRule="exact"/>
              <w:rPr>
                <w:rFonts w:hint="eastAsia" w:ascii="宋体" w:hAnsi="宋体" w:eastAsia="宋体" w:cs="宋体"/>
                <w:sz w:val="24"/>
                <w:szCs w:val="24"/>
              </w:rPr>
            </w:pP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所投商用计算机系列产品通过箱体封闭检验认证，支持35℃的封闭环境工作2小时，并提供国家权威机构（需有CNAS认可的检测机构）的检验证书得2分。需提供复印件加盖投标人公章，未提供不得分。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48" w:hRule="atLeast"/>
          <w:jc w:val="center"/>
        </w:trPr>
        <w:tc>
          <w:tcPr>
            <w:tcW w:w="714" w:type="dxa"/>
            <w:vMerge w:val="continue"/>
            <w:vAlign w:val="center"/>
          </w:tcPr>
          <w:p>
            <w:pPr>
              <w:spacing w:line="320" w:lineRule="exact"/>
              <w:rPr>
                <w:rFonts w:hint="eastAsia" w:ascii="宋体" w:hAnsi="宋体" w:eastAsia="宋体" w:cs="宋体"/>
                <w:sz w:val="24"/>
                <w:szCs w:val="24"/>
              </w:rPr>
            </w:pPr>
          </w:p>
        </w:tc>
        <w:tc>
          <w:tcPr>
            <w:tcW w:w="1124" w:type="dxa"/>
            <w:vMerge w:val="continue"/>
            <w:vAlign w:val="center"/>
          </w:tcPr>
          <w:p>
            <w:pPr>
              <w:spacing w:line="320" w:lineRule="exact"/>
              <w:rPr>
                <w:rFonts w:hint="eastAsia" w:ascii="宋体" w:hAnsi="宋体" w:eastAsia="宋体" w:cs="宋体"/>
                <w:sz w:val="24"/>
                <w:szCs w:val="24"/>
              </w:rPr>
            </w:pPr>
          </w:p>
        </w:tc>
        <w:tc>
          <w:tcPr>
            <w:tcW w:w="894" w:type="dxa"/>
            <w:vAlign w:val="center"/>
          </w:tcPr>
          <w:p>
            <w:pPr>
              <w:spacing w:line="320" w:lineRule="exact"/>
              <w:jc w:val="center"/>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所投商用计算机系列产品有绿色环保方面认证或证书的，有一项得1分，满分2分 。需提供复印件加盖投标人公章，未提供不得分。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3.4</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投标人业绩</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投标人提供其（投标人为合同乙方）2018年1月1日以来采购合同中含有智慧教室或虚拟仿真实训室或机房等的供货业绩，每有一个得1分，最高得3分。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24" w:hRule="atLeast"/>
          <w:jc w:val="center"/>
        </w:trPr>
        <w:tc>
          <w:tcPr>
            <w:tcW w:w="71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3.5</w:t>
            </w:r>
          </w:p>
        </w:tc>
        <w:tc>
          <w:tcPr>
            <w:tcW w:w="1124" w:type="dxa"/>
            <w:vAlign w:val="center"/>
          </w:tcPr>
          <w:p>
            <w:pPr>
              <w:spacing w:line="320" w:lineRule="exact"/>
              <w:rPr>
                <w:rFonts w:hint="eastAsia" w:ascii="宋体" w:hAnsi="宋体" w:eastAsia="宋体" w:cs="宋体"/>
                <w:sz w:val="24"/>
                <w:szCs w:val="24"/>
              </w:rPr>
            </w:pPr>
            <w:r>
              <w:rPr>
                <w:rFonts w:hint="eastAsia" w:ascii="宋体" w:hAnsi="宋体" w:eastAsia="宋体" w:cs="宋体"/>
                <w:sz w:val="24"/>
                <w:szCs w:val="24"/>
              </w:rPr>
              <w:t>售后服务及培训计划</w:t>
            </w:r>
          </w:p>
        </w:tc>
        <w:tc>
          <w:tcPr>
            <w:tcW w:w="894" w:type="dxa"/>
            <w:vAlign w:val="center"/>
          </w:tcPr>
          <w:p>
            <w:pPr>
              <w:spacing w:line="320" w:lineRule="exact"/>
              <w:jc w:val="center"/>
              <w:rPr>
                <w:rFonts w:hint="eastAsia" w:ascii="宋体" w:hAnsi="宋体" w:eastAsia="宋体" w:cs="宋体"/>
                <w:sz w:val="24"/>
                <w:szCs w:val="24"/>
              </w:rPr>
            </w:pPr>
            <w:r>
              <w:rPr>
                <w:rFonts w:hint="eastAsia" w:ascii="宋体" w:hAnsi="宋体" w:eastAsia="宋体" w:cs="宋体"/>
                <w:sz w:val="24"/>
                <w:szCs w:val="24"/>
              </w:rPr>
              <w:t>3分</w:t>
            </w:r>
          </w:p>
        </w:tc>
        <w:tc>
          <w:tcPr>
            <w:tcW w:w="6410" w:type="dxa"/>
            <w:vAlign w:val="center"/>
          </w:tcPr>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（1）三年免费质保，未达到此要求的不得作为中标候选人；满三年免费质保后，每延长一年得0.5分，最高得1分；</w:t>
            </w:r>
          </w:p>
          <w:p>
            <w:pPr>
              <w:spacing w:line="320" w:lineRule="exact"/>
              <w:ind w:firstLine="480" w:firstLineChars="200"/>
              <w:rPr>
                <w:rFonts w:hint="eastAsia" w:ascii="宋体" w:hAnsi="宋体" w:eastAsia="宋体" w:cs="宋体"/>
                <w:color w:val="000000" w:themeColor="text1"/>
                <w:sz w:val="24"/>
                <w:szCs w:val="24"/>
              </w:rPr>
            </w:pPr>
            <w:r>
              <w:rPr>
                <w:rFonts w:hint="eastAsia" w:ascii="宋体" w:hAnsi="宋体" w:eastAsia="宋体" w:cs="宋体"/>
                <w:color w:val="000000" w:themeColor="text1"/>
                <w:sz w:val="24"/>
                <w:szCs w:val="24"/>
              </w:rPr>
              <w:t>（2）投标单位自供货三年内，能提供每学期一次免费上门设备检查维护；每提供1次得0.5分，最高得2分；</w:t>
            </w:r>
          </w:p>
          <w:p>
            <w:pPr>
              <w:spacing w:line="320" w:lineRule="exact"/>
              <w:ind w:firstLine="480" w:firstLineChars="200"/>
              <w:rPr>
                <w:rFonts w:hint="eastAsia" w:ascii="宋体" w:hAnsi="宋体" w:eastAsia="宋体" w:cs="宋体"/>
                <w:color w:val="000000" w:themeColor="text1"/>
                <w:sz w:val="24"/>
                <w:szCs w:val="24"/>
              </w:rPr>
            </w:pPr>
          </w:p>
        </w:tc>
      </w:tr>
    </w:tbl>
    <w:p>
      <w:pPr>
        <w:pStyle w:val="32"/>
        <w:jc w:val="both"/>
        <w:rPr>
          <w:rStyle w:val="42"/>
          <w:rFonts w:ascii="宋体" w:hAnsi="宋体" w:eastAsia="宋体" w:cs="宋体"/>
          <w:b/>
          <w:color w:val="000000" w:themeColor="text1"/>
          <w:sz w:val="44"/>
        </w:rPr>
      </w:pPr>
    </w:p>
    <w:p>
      <w:pPr>
        <w:pStyle w:val="32"/>
        <w:outlineLvl w:val="0"/>
        <w:rPr>
          <w:rStyle w:val="42"/>
          <w:rFonts w:ascii="宋体" w:hAnsi="宋体" w:eastAsia="宋体" w:cs="宋体"/>
          <w:b/>
          <w:color w:val="000000" w:themeColor="text1"/>
          <w:sz w:val="44"/>
        </w:rPr>
      </w:pPr>
      <w:bookmarkStart w:id="6" w:name="_Toc3874"/>
      <w:r>
        <w:rPr>
          <w:rStyle w:val="42"/>
          <w:rFonts w:hint="eastAsia" w:ascii="宋体" w:hAnsi="宋体" w:eastAsia="宋体" w:cs="宋体"/>
          <w:b/>
          <w:color w:val="000000" w:themeColor="text1"/>
          <w:sz w:val="44"/>
        </w:rPr>
        <w:t>第六章  投标文件格式</w:t>
      </w:r>
      <w:bookmarkEnd w:id="6"/>
      <w:r>
        <w:rPr>
          <w:rStyle w:val="42"/>
          <w:rFonts w:hint="eastAsia" w:ascii="宋体" w:hAnsi="宋体" w:eastAsia="宋体" w:cs="宋体"/>
          <w:b/>
          <w:color w:val="000000" w:themeColor="text1"/>
          <w:sz w:val="44"/>
        </w:rPr>
        <w:t xml:space="preserve"> </w:t>
      </w:r>
    </w:p>
    <w:p>
      <w:pPr>
        <w:jc w:val="center"/>
        <w:rPr>
          <w:rStyle w:val="42"/>
          <w:rFonts w:ascii="宋体" w:hAnsi="宋体" w:cs="宋体"/>
          <w:b/>
          <w:color w:val="000000" w:themeColor="text1"/>
          <w:sz w:val="72"/>
        </w:rPr>
      </w:pPr>
    </w:p>
    <w:p>
      <w:pPr>
        <w:jc w:val="center"/>
        <w:outlineLvl w:val="0"/>
        <w:rPr>
          <w:rStyle w:val="42"/>
          <w:rFonts w:ascii="宋体" w:hAnsi="宋体" w:cs="宋体"/>
          <w:b/>
          <w:color w:val="000000" w:themeColor="text1"/>
          <w:sz w:val="72"/>
        </w:rPr>
      </w:pPr>
      <w:bookmarkStart w:id="7" w:name="_Toc21990"/>
      <w:r>
        <w:rPr>
          <w:rStyle w:val="42"/>
          <w:rFonts w:hint="eastAsia" w:ascii="宋体" w:hAnsi="宋体" w:cs="宋体"/>
          <w:b/>
          <w:color w:val="000000" w:themeColor="text1"/>
          <w:sz w:val="72"/>
        </w:rPr>
        <w:t>投  标  文  件</w:t>
      </w:r>
      <w:bookmarkEnd w:id="7"/>
    </w:p>
    <w:p>
      <w:pPr>
        <w:jc w:val="center"/>
        <w:outlineLvl w:val="0"/>
        <w:rPr>
          <w:rStyle w:val="42"/>
          <w:rFonts w:ascii="宋体" w:hAnsi="宋体" w:cs="宋体"/>
          <w:b/>
          <w:color w:val="000000" w:themeColor="text1"/>
          <w:sz w:val="72"/>
        </w:rPr>
      </w:pPr>
      <w:bookmarkStart w:id="8" w:name="_Toc19156"/>
      <w:r>
        <w:rPr>
          <w:rStyle w:val="42"/>
          <w:rFonts w:hint="eastAsia" w:ascii="宋体" w:hAnsi="宋体" w:cs="宋体"/>
          <w:b/>
          <w:color w:val="000000" w:themeColor="text1"/>
          <w:sz w:val="36"/>
        </w:rPr>
        <w:t>（正或副本）</w:t>
      </w:r>
      <w:bookmarkEnd w:id="8"/>
    </w:p>
    <w:p>
      <w:pPr>
        <w:jc w:val="center"/>
        <w:rPr>
          <w:rStyle w:val="42"/>
          <w:rFonts w:ascii="宋体" w:hAnsi="宋体" w:cs="宋体"/>
          <w:b/>
          <w:color w:val="000000" w:themeColor="text1"/>
          <w:sz w:val="72"/>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jc w:val="center"/>
        <w:rPr>
          <w:rStyle w:val="42"/>
          <w:rFonts w:ascii="宋体" w:hAnsi="宋体" w:cs="宋体"/>
          <w:b/>
          <w:color w:val="000000" w:themeColor="text1"/>
          <w:sz w:val="36"/>
        </w:rPr>
      </w:pPr>
    </w:p>
    <w:p>
      <w:pPr>
        <w:ind w:firstLine="1084" w:firstLineChars="300"/>
        <w:outlineLvl w:val="0"/>
        <w:rPr>
          <w:rStyle w:val="42"/>
          <w:rFonts w:ascii="宋体" w:hAnsi="宋体" w:cs="宋体"/>
          <w:b/>
          <w:color w:val="000000" w:themeColor="text1"/>
          <w:sz w:val="36"/>
        </w:rPr>
      </w:pPr>
      <w:bookmarkStart w:id="9" w:name="_Toc7431"/>
      <w:r>
        <w:rPr>
          <w:rStyle w:val="42"/>
          <w:rFonts w:hint="eastAsia" w:ascii="宋体" w:hAnsi="宋体" w:cs="宋体"/>
          <w:b/>
          <w:color w:val="000000" w:themeColor="text1"/>
          <w:sz w:val="36"/>
        </w:rPr>
        <w:t>项 目 名 称：</w:t>
      </w:r>
      <w:bookmarkEnd w:id="9"/>
    </w:p>
    <w:p>
      <w:pPr>
        <w:ind w:firstLine="1084" w:firstLineChars="300"/>
        <w:outlineLvl w:val="0"/>
        <w:rPr>
          <w:rStyle w:val="42"/>
          <w:rFonts w:ascii="宋体" w:hAnsi="宋体" w:cs="宋体"/>
          <w:b/>
          <w:color w:val="000000" w:themeColor="text1"/>
          <w:sz w:val="36"/>
          <w:u w:val="single" w:color="000000"/>
        </w:rPr>
      </w:pPr>
      <w:bookmarkStart w:id="10" w:name="_Toc11621"/>
      <w:r>
        <w:rPr>
          <w:rStyle w:val="42"/>
          <w:rFonts w:hint="eastAsia" w:ascii="宋体" w:hAnsi="宋体" w:cs="宋体"/>
          <w:b/>
          <w:color w:val="000000" w:themeColor="text1"/>
          <w:sz w:val="36"/>
        </w:rPr>
        <w:t>招 标 编 号：</w:t>
      </w:r>
      <w:bookmarkEnd w:id="10"/>
    </w:p>
    <w:p>
      <w:pPr>
        <w:outlineLvl w:val="0"/>
        <w:rPr>
          <w:rStyle w:val="42"/>
          <w:rFonts w:ascii="宋体" w:hAnsi="宋体" w:cs="宋体"/>
          <w:b/>
          <w:color w:val="000000" w:themeColor="text1"/>
          <w:sz w:val="36"/>
          <w:u w:val="single" w:color="000000"/>
        </w:rPr>
      </w:pPr>
      <w:r>
        <w:rPr>
          <w:rStyle w:val="42"/>
          <w:rFonts w:hint="eastAsia" w:ascii="宋体" w:hAnsi="宋体" w:cs="宋体"/>
          <w:b/>
          <w:color w:val="000000" w:themeColor="text1"/>
          <w:sz w:val="36"/>
        </w:rPr>
        <w:t xml:space="preserve">      </w:t>
      </w:r>
      <w:bookmarkStart w:id="11" w:name="_Toc22934"/>
      <w:r>
        <w:rPr>
          <w:rStyle w:val="42"/>
          <w:rFonts w:hint="eastAsia" w:ascii="宋体" w:hAnsi="宋体" w:cs="宋体"/>
          <w:b/>
          <w:color w:val="000000" w:themeColor="text1"/>
          <w:sz w:val="36"/>
        </w:rPr>
        <w:t>投标人名称 ：</w:t>
      </w:r>
      <w:bookmarkEnd w:id="11"/>
    </w:p>
    <w:p>
      <w:pPr>
        <w:outlineLvl w:val="0"/>
        <w:rPr>
          <w:rStyle w:val="42"/>
          <w:rFonts w:ascii="宋体" w:hAnsi="宋体" w:cs="宋体"/>
          <w:b/>
          <w:color w:val="000000" w:themeColor="text1"/>
          <w:sz w:val="36"/>
        </w:rPr>
      </w:pPr>
      <w:r>
        <w:rPr>
          <w:rStyle w:val="42"/>
          <w:rFonts w:hint="eastAsia" w:ascii="宋体" w:hAnsi="宋体" w:cs="宋体"/>
          <w:b/>
          <w:color w:val="000000" w:themeColor="text1"/>
          <w:sz w:val="36"/>
        </w:rPr>
        <w:t xml:space="preserve">      </w:t>
      </w:r>
      <w:bookmarkStart w:id="12" w:name="_Toc9873"/>
      <w:r>
        <w:rPr>
          <w:rStyle w:val="42"/>
          <w:rFonts w:hint="eastAsia" w:ascii="宋体" w:hAnsi="宋体" w:cs="宋体"/>
          <w:b/>
          <w:color w:val="000000" w:themeColor="text1"/>
          <w:sz w:val="36"/>
        </w:rPr>
        <w:t>日      期 ：</w:t>
      </w:r>
      <w:bookmarkEnd w:id="12"/>
    </w:p>
    <w:p>
      <w:pPr>
        <w:spacing w:line="440" w:lineRule="exact"/>
        <w:jc w:val="center"/>
        <w:rPr>
          <w:rStyle w:val="42"/>
          <w:rFonts w:ascii="宋体" w:hAnsi="宋体" w:cs="宋体"/>
          <w:b/>
          <w:bCs/>
          <w:color w:val="000000" w:themeColor="text1"/>
          <w:sz w:val="32"/>
          <w:szCs w:val="32"/>
        </w:rPr>
      </w:pPr>
    </w:p>
    <w:p>
      <w:pPr>
        <w:spacing w:line="440" w:lineRule="exact"/>
        <w:ind w:firstLine="480" w:firstLineChars="200"/>
        <w:rPr>
          <w:rStyle w:val="42"/>
          <w:rFonts w:ascii="宋体" w:hAnsi="宋体" w:cs="宋体"/>
          <w:color w:val="000000" w:themeColor="text1"/>
          <w:sz w:val="24"/>
        </w:rPr>
      </w:pPr>
    </w:p>
    <w:p>
      <w:pPr>
        <w:spacing w:line="440" w:lineRule="exact"/>
        <w:ind w:firstLine="480" w:firstLineChars="200"/>
        <w:rPr>
          <w:rStyle w:val="42"/>
          <w:rFonts w:ascii="宋体" w:hAnsi="宋体" w:cs="宋体"/>
          <w:color w:val="000000" w:themeColor="text1"/>
          <w:sz w:val="24"/>
        </w:rPr>
      </w:pPr>
    </w:p>
    <w:p>
      <w:pPr>
        <w:spacing w:line="440" w:lineRule="exact"/>
        <w:rPr>
          <w:rStyle w:val="42"/>
          <w:rFonts w:ascii="宋体" w:hAnsi="宋体" w:cs="宋体"/>
          <w:color w:val="000000" w:themeColor="text1"/>
          <w:sz w:val="24"/>
        </w:rPr>
      </w:pPr>
    </w:p>
    <w:p>
      <w:pPr>
        <w:pStyle w:val="2"/>
        <w:outlineLvl w:val="9"/>
        <w:rPr>
          <w:rStyle w:val="42"/>
          <w:rFonts w:ascii="宋体" w:hAnsi="宋体" w:eastAsia="宋体" w:cs="宋体"/>
          <w:b w:val="0"/>
          <w:color w:val="000000" w:themeColor="text1"/>
          <w:sz w:val="24"/>
          <w:szCs w:val="21"/>
        </w:rPr>
      </w:pPr>
    </w:p>
    <w:p>
      <w:pPr>
        <w:rPr>
          <w:rStyle w:val="42"/>
          <w:rFonts w:ascii="宋体" w:hAnsi="宋体" w:cs="宋体"/>
          <w:color w:val="000000" w:themeColor="text1"/>
          <w:sz w:val="24"/>
        </w:rPr>
      </w:pPr>
    </w:p>
    <w:p>
      <w:pPr>
        <w:pStyle w:val="23"/>
        <w:rPr>
          <w:rFonts w:cs="宋体"/>
          <w:color w:val="000000" w:themeColor="text1"/>
        </w:rPr>
      </w:pPr>
    </w:p>
    <w:p>
      <w:pPr>
        <w:rPr>
          <w:rStyle w:val="42"/>
          <w:rFonts w:ascii="宋体" w:hAnsi="宋体" w:cs="宋体"/>
          <w:color w:val="000000" w:themeColor="text1"/>
          <w:sz w:val="24"/>
        </w:rPr>
      </w:pPr>
    </w:p>
    <w:p>
      <w:pPr>
        <w:pStyle w:val="5"/>
        <w:tabs>
          <w:tab w:val="left" w:pos="1275"/>
        </w:tabs>
        <w:ind w:left="1352" w:leftChars="644" w:firstLine="2122" w:firstLineChars="755"/>
        <w:outlineLvl w:val="9"/>
        <w:rPr>
          <w:rFonts w:ascii="宋体" w:hAnsi="宋体" w:cs="宋体"/>
          <w:color w:val="000000" w:themeColor="text1"/>
        </w:rPr>
      </w:pPr>
      <w:bookmarkStart w:id="13" w:name="_Toc64931899"/>
    </w:p>
    <w:p>
      <w:pPr>
        <w:pStyle w:val="5"/>
        <w:tabs>
          <w:tab w:val="left" w:pos="1275"/>
        </w:tabs>
        <w:ind w:left="1352" w:leftChars="644" w:firstLine="2122" w:firstLineChars="755"/>
        <w:outlineLvl w:val="9"/>
        <w:rPr>
          <w:rFonts w:ascii="宋体" w:hAnsi="宋体" w:cs="宋体"/>
          <w:color w:val="000000" w:themeColor="text1"/>
        </w:rPr>
      </w:pPr>
    </w:p>
    <w:p>
      <w:pPr>
        <w:pStyle w:val="5"/>
        <w:tabs>
          <w:tab w:val="left" w:pos="1275"/>
        </w:tabs>
        <w:ind w:left="1352" w:leftChars="644" w:firstLine="2122" w:firstLineChars="755"/>
        <w:rPr>
          <w:rFonts w:ascii="宋体" w:hAnsi="宋体" w:cs="宋体"/>
          <w:color w:val="000000" w:themeColor="text1"/>
        </w:rPr>
      </w:pPr>
      <w:r>
        <w:rPr>
          <w:rFonts w:hint="eastAsia" w:ascii="宋体" w:hAnsi="宋体" w:cs="宋体"/>
          <w:color w:val="000000" w:themeColor="text1"/>
        </w:rPr>
        <w:t>评分对照表</w:t>
      </w:r>
      <w:bookmarkEnd w:id="13"/>
    </w:p>
    <w:p>
      <w:pPr>
        <w:rPr>
          <w:rFonts w:ascii="宋体" w:hAnsi="宋体" w:cs="宋体"/>
          <w:b/>
          <w:bCs/>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17"/>
        <w:gridCol w:w="1276"/>
        <w:gridCol w:w="1276"/>
        <w:gridCol w:w="3731"/>
        <w:gridCol w:w="21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序号</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评分项目</w:t>
            </w:r>
          </w:p>
        </w:tc>
        <w:tc>
          <w:tcPr>
            <w:tcW w:w="1276"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分值</w:t>
            </w:r>
          </w:p>
        </w:tc>
        <w:tc>
          <w:tcPr>
            <w:tcW w:w="3731" w:type="dxa"/>
            <w:vAlign w:val="center"/>
          </w:tcPr>
          <w:p>
            <w:pPr>
              <w:adjustRightInd w:val="0"/>
              <w:snapToGrid w:val="0"/>
              <w:spacing w:line="480" w:lineRule="exact"/>
              <w:ind w:firstLine="422" w:firstLineChars="200"/>
              <w:jc w:val="center"/>
              <w:rPr>
                <w:rFonts w:ascii="宋体" w:hAnsi="宋体" w:cs="宋体"/>
                <w:b/>
                <w:bCs/>
                <w:color w:val="000000" w:themeColor="text1"/>
              </w:rPr>
            </w:pPr>
            <w:r>
              <w:rPr>
                <w:rFonts w:hint="eastAsia" w:ascii="宋体" w:hAnsi="宋体" w:cs="宋体"/>
                <w:b/>
                <w:bCs/>
                <w:color w:val="000000" w:themeColor="text1"/>
              </w:rPr>
              <w:t>评分细则</w:t>
            </w:r>
          </w:p>
        </w:tc>
        <w:tc>
          <w:tcPr>
            <w:tcW w:w="2194" w:type="dxa"/>
            <w:vAlign w:val="center"/>
          </w:tcPr>
          <w:p>
            <w:pPr>
              <w:adjustRightInd w:val="0"/>
              <w:snapToGrid w:val="0"/>
              <w:spacing w:line="480" w:lineRule="exact"/>
              <w:jc w:val="center"/>
              <w:rPr>
                <w:rFonts w:ascii="宋体" w:hAnsi="宋体" w:cs="宋体"/>
                <w:b/>
                <w:bCs/>
                <w:color w:val="000000" w:themeColor="text1"/>
              </w:rPr>
            </w:pPr>
            <w:r>
              <w:rPr>
                <w:rFonts w:hint="eastAsia" w:ascii="宋体" w:hAnsi="宋体" w:cs="宋体"/>
                <w:b/>
                <w:bCs/>
                <w:color w:val="000000" w:themeColor="text1"/>
              </w:rPr>
              <w:t>对应页码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1276" w:type="dxa"/>
            <w:vAlign w:val="center"/>
          </w:tcPr>
          <w:p>
            <w:pPr>
              <w:adjustRightInd w:val="0"/>
              <w:snapToGrid w:val="0"/>
              <w:spacing w:line="480" w:lineRule="exact"/>
              <w:jc w:val="center"/>
              <w:rPr>
                <w:rFonts w:ascii="宋体" w:hAnsi="宋体" w:cs="宋体"/>
                <w:bCs/>
                <w:color w:val="000000" w:themeColor="text1"/>
              </w:rPr>
            </w:pPr>
            <w:r>
              <w:rPr>
                <w:rFonts w:hint="eastAsia" w:ascii="宋体" w:hAnsi="宋体" w:cs="宋体"/>
                <w:bCs/>
                <w:color w:val="000000" w:themeColor="text1"/>
              </w:rPr>
              <w:t>…</w:t>
            </w: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r>
              <w:rPr>
                <w:rFonts w:hint="eastAsia" w:ascii="宋体" w:hAnsi="宋体" w:cs="宋体"/>
                <w:bCs/>
                <w:color w:val="000000" w:themeColor="text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817"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1276" w:type="dxa"/>
            <w:vAlign w:val="center"/>
          </w:tcPr>
          <w:p>
            <w:pPr>
              <w:adjustRightInd w:val="0"/>
              <w:snapToGrid w:val="0"/>
              <w:spacing w:line="480" w:lineRule="exact"/>
              <w:jc w:val="center"/>
              <w:rPr>
                <w:rFonts w:ascii="宋体" w:hAnsi="宋体" w:cs="宋体"/>
                <w:bCs/>
                <w:color w:val="000000" w:themeColor="text1"/>
              </w:rPr>
            </w:pPr>
          </w:p>
        </w:tc>
        <w:tc>
          <w:tcPr>
            <w:tcW w:w="3731" w:type="dxa"/>
            <w:vAlign w:val="center"/>
          </w:tcPr>
          <w:p>
            <w:pPr>
              <w:adjustRightInd w:val="0"/>
              <w:snapToGrid w:val="0"/>
              <w:spacing w:line="380" w:lineRule="exact"/>
              <w:jc w:val="left"/>
              <w:rPr>
                <w:rFonts w:ascii="宋体" w:hAnsi="宋体" w:cs="宋体"/>
                <w:snapToGrid w:val="0"/>
                <w:color w:val="000000" w:themeColor="text1"/>
                <w:kern w:val="0"/>
              </w:rPr>
            </w:pPr>
          </w:p>
        </w:tc>
        <w:tc>
          <w:tcPr>
            <w:tcW w:w="2194" w:type="dxa"/>
            <w:vAlign w:val="center"/>
          </w:tcPr>
          <w:p>
            <w:pPr>
              <w:adjustRightInd w:val="0"/>
              <w:snapToGrid w:val="0"/>
              <w:spacing w:line="380" w:lineRule="exact"/>
              <w:jc w:val="left"/>
              <w:rPr>
                <w:rFonts w:ascii="宋体" w:hAnsi="宋体" w:cs="宋体"/>
                <w:snapToGrid w:val="0"/>
                <w:color w:val="000000" w:themeColor="text1"/>
                <w:kern w:val="0"/>
              </w:rPr>
            </w:pPr>
          </w:p>
        </w:tc>
      </w:tr>
    </w:tbl>
    <w:p>
      <w:pPr>
        <w:rPr>
          <w:rFonts w:ascii="宋体" w:hAnsi="宋体" w:cs="宋体"/>
          <w:b/>
          <w:bCs/>
          <w:color w:val="000000" w:themeColor="text1"/>
          <w:sz w:val="24"/>
        </w:rPr>
      </w:pPr>
    </w:p>
    <w:p>
      <w:pPr>
        <w:rPr>
          <w:rFonts w:ascii="宋体" w:hAnsi="宋体" w:cs="宋体"/>
          <w:b/>
          <w:bCs/>
          <w:color w:val="000000" w:themeColor="text1"/>
          <w:sz w:val="24"/>
        </w:rPr>
      </w:pPr>
    </w:p>
    <w:p>
      <w:pPr>
        <w:rPr>
          <w:rFonts w:ascii="宋体" w:hAnsi="宋体" w:cs="宋体"/>
          <w:b/>
          <w:bCs/>
          <w:color w:val="000000" w:themeColor="text1"/>
          <w:sz w:val="24"/>
        </w:rPr>
      </w:pPr>
      <w:r>
        <w:rPr>
          <w:rFonts w:hint="eastAsia" w:ascii="宋体" w:hAnsi="宋体" w:cs="宋体"/>
          <w:b/>
          <w:bCs/>
          <w:color w:val="000000" w:themeColor="text1"/>
          <w:sz w:val="24"/>
        </w:rPr>
        <w:t>注：此表根据评分标准编制。</w:t>
      </w:r>
    </w:p>
    <w:p>
      <w:pPr>
        <w:pStyle w:val="22"/>
        <w:ind w:firstLine="210"/>
        <w:rPr>
          <w:rFonts w:ascii="宋体" w:hAnsi="宋体" w:cs="宋体"/>
          <w:color w:val="000000" w:themeColor="text1"/>
        </w:rPr>
      </w:pPr>
    </w:p>
    <w:p>
      <w:pPr>
        <w:ind w:firstLine="1084" w:firstLineChars="300"/>
        <w:jc w:val="center"/>
        <w:rPr>
          <w:rStyle w:val="42"/>
          <w:rFonts w:ascii="宋体" w:hAnsi="宋体"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pStyle w:val="23"/>
        <w:ind w:firstLine="723"/>
        <w:rPr>
          <w:rStyle w:val="42"/>
          <w:rFonts w:cs="宋体"/>
          <w:b/>
          <w:color w:val="000000" w:themeColor="text1"/>
          <w:sz w:val="36"/>
          <w:u w:val="single" w:color="000000"/>
        </w:rPr>
      </w:pPr>
    </w:p>
    <w:p>
      <w:pPr>
        <w:snapToGrid w:val="0"/>
        <w:spacing w:before="50" w:after="50"/>
        <w:jc w:val="center"/>
        <w:rPr>
          <w:rStyle w:val="42"/>
          <w:rFonts w:ascii="宋体" w:hAnsi="宋体" w:cs="宋体"/>
          <w:color w:val="000000" w:themeColor="text1"/>
          <w:sz w:val="32"/>
          <w:szCs w:val="32"/>
        </w:rPr>
      </w:pPr>
    </w:p>
    <w:p>
      <w:pPr>
        <w:snapToGrid w:val="0"/>
        <w:spacing w:before="50" w:after="50"/>
        <w:jc w:val="center"/>
        <w:outlineLvl w:val="0"/>
        <w:rPr>
          <w:rStyle w:val="42"/>
          <w:rFonts w:ascii="宋体" w:hAnsi="宋体" w:cs="宋体"/>
          <w:b/>
          <w:bCs/>
          <w:color w:val="000000" w:themeColor="text1"/>
          <w:sz w:val="32"/>
          <w:szCs w:val="32"/>
        </w:rPr>
      </w:pPr>
      <w:bookmarkStart w:id="14" w:name="_Toc20137"/>
      <w:r>
        <w:rPr>
          <w:rStyle w:val="42"/>
          <w:rFonts w:hint="eastAsia" w:ascii="宋体" w:hAnsi="宋体" w:cs="宋体"/>
          <w:color w:val="000000" w:themeColor="text1"/>
          <w:sz w:val="32"/>
          <w:szCs w:val="32"/>
        </w:rPr>
        <w:t>一、</w:t>
      </w:r>
      <w:r>
        <w:rPr>
          <w:rStyle w:val="42"/>
          <w:rFonts w:hint="eastAsia" w:ascii="宋体" w:hAnsi="宋体" w:cs="宋体"/>
          <w:b/>
          <w:bCs/>
          <w:color w:val="000000" w:themeColor="text1"/>
          <w:sz w:val="32"/>
          <w:szCs w:val="32"/>
        </w:rPr>
        <w:t>资信证明文件要求</w:t>
      </w:r>
      <w:bookmarkEnd w:id="14"/>
    </w:p>
    <w:p>
      <w:pPr>
        <w:snapToGrid w:val="0"/>
        <w:spacing w:before="50" w:after="50"/>
        <w:rPr>
          <w:rStyle w:val="42"/>
          <w:rFonts w:ascii="宋体" w:hAnsi="宋体" w:cs="宋体"/>
          <w:i/>
          <w:color w:val="000000" w:themeColor="text1"/>
          <w:szCs w:val="24"/>
          <w:u w:val="single" w:color="000000"/>
        </w:rPr>
      </w:pPr>
    </w:p>
    <w:p>
      <w:pPr>
        <w:snapToGrid w:val="0"/>
        <w:spacing w:line="500" w:lineRule="exact"/>
        <w:ind w:firstLine="482" w:firstLineChars="200"/>
        <w:rPr>
          <w:rStyle w:val="42"/>
          <w:rFonts w:ascii="宋体" w:hAnsi="宋体" w:cs="宋体"/>
          <w:color w:val="000000" w:themeColor="text1"/>
          <w:sz w:val="24"/>
          <w:szCs w:val="20"/>
        </w:rPr>
      </w:pPr>
      <w:r>
        <w:rPr>
          <w:rStyle w:val="42"/>
          <w:rFonts w:hint="eastAsia" w:ascii="宋体" w:hAnsi="宋体" w:cs="宋体"/>
          <w:b/>
          <w:bCs/>
          <w:color w:val="000000" w:themeColor="text1"/>
          <w:sz w:val="24"/>
        </w:rPr>
        <w:t>1、实质性资格证明文件目录</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文件1 法人或者其他组织的营业执照等证明文件，自然人的身份证明（复印件）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文件2 上一年度财务状况报表（复印件，成立不满一年不需提供）</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文件3 依法缴纳税收和社会保障资金的相关材料（复印件）</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文件4 具备履行合同所必需的设备和专业技术能力的书面声明</w:t>
      </w:r>
    </w:p>
    <w:p>
      <w:pPr>
        <w:snapToGrid w:val="0"/>
        <w:spacing w:line="500" w:lineRule="exact"/>
        <w:ind w:firstLine="480" w:firstLineChars="200"/>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文件5 参加政府采购活动前 3 年内在经营活动中没有重大违法记录的书面声明</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文件6 法人授权书</w:t>
      </w:r>
    </w:p>
    <w:p>
      <w:pPr>
        <w:snapToGrid w:val="0"/>
        <w:spacing w:line="500" w:lineRule="exact"/>
        <w:ind w:firstLine="480" w:firstLineChars="200"/>
        <w:jc w:val="left"/>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文件7 招标文件中规定要求提供的证明材料和投标人认为需要提供的其他材料（招标文件要求提供原件的必须单独封装并与投标文件一起递交，评标结束后原件退回；未要求提供原件的提供复印件加盖公章，原件自带备查）</w:t>
      </w: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b/>
          <w:bCs/>
          <w:color w:val="000000" w:themeColor="text1"/>
          <w:sz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4"/>
        <w:spacing w:line="240" w:lineRule="atLeast"/>
        <w:rPr>
          <w:rStyle w:val="42"/>
          <w:rFonts w:ascii="宋体" w:hAnsi="宋体" w:cs="宋体"/>
          <w:color w:val="000000" w:themeColor="text1"/>
          <w:sz w:val="24"/>
          <w:szCs w:val="24"/>
        </w:rPr>
      </w:pPr>
    </w:p>
    <w:p>
      <w:pPr>
        <w:pStyle w:val="35"/>
        <w:jc w:val="center"/>
        <w:rPr>
          <w:rStyle w:val="42"/>
          <w:rFonts w:ascii="宋体" w:hAnsi="宋体" w:cs="宋体"/>
          <w:b w:val="0"/>
          <w:bCs w:val="0"/>
          <w:color w:val="000000" w:themeColor="text1"/>
          <w:sz w:val="28"/>
          <w:szCs w:val="28"/>
        </w:rPr>
      </w:pPr>
      <w:r>
        <w:rPr>
          <w:rStyle w:val="42"/>
          <w:rFonts w:hint="eastAsia" w:ascii="宋体" w:hAnsi="宋体" w:cs="宋体"/>
          <w:color w:val="000000" w:themeColor="text1"/>
          <w:sz w:val="28"/>
          <w:szCs w:val="28"/>
        </w:rPr>
        <w:t>具备履行合同所必需的设备和专业技术能力的书面声明</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我公司郑重声明：我公司具备履行本项采购合同所必需的设备和专业技术能力，为履行本项采购合同我公司具备如下主要设备和主要专业技术能力：</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主要设备有：。</w:t>
      </w:r>
    </w:p>
    <w:p>
      <w:pPr>
        <w:spacing w:line="460" w:lineRule="exact"/>
        <w:ind w:firstLine="492"/>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主要专业技术能力有：。</w:t>
      </w: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ind w:firstLine="492"/>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供应商名称（公章）：</w:t>
      </w:r>
    </w:p>
    <w:p>
      <w:pPr>
        <w:spacing w:line="460" w:lineRule="exact"/>
        <w:rPr>
          <w:rStyle w:val="42"/>
          <w:rFonts w:ascii="宋体" w:hAnsi="宋体" w:cs="宋体"/>
          <w:bCs/>
          <w:color w:val="000000" w:themeColor="text1"/>
          <w:sz w:val="28"/>
          <w:szCs w:val="28"/>
        </w:rPr>
      </w:pPr>
    </w:p>
    <w:p>
      <w:pPr>
        <w:spacing w:line="460" w:lineRule="exact"/>
        <w:jc w:val="righ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日期：</w:t>
      </w:r>
      <w:r>
        <w:rPr>
          <w:rStyle w:val="42"/>
          <w:rFonts w:hint="eastAsia" w:ascii="宋体" w:hAnsi="宋体" w:cs="宋体"/>
          <w:bCs/>
          <w:color w:val="000000" w:themeColor="text1"/>
          <w:sz w:val="28"/>
          <w:szCs w:val="28"/>
          <w:u w:val="single" w:color="000000"/>
        </w:rPr>
        <w:t xml:space="preserve">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br w:type="page"/>
      </w:r>
      <w:r>
        <w:rPr>
          <w:rStyle w:val="42"/>
          <w:rFonts w:hint="eastAsia" w:ascii="宋体" w:hAnsi="宋体" w:cs="宋体"/>
          <w:color w:val="000000" w:themeColor="text1"/>
          <w:sz w:val="28"/>
          <w:szCs w:val="28"/>
        </w:rPr>
        <w:t>参加政府采购活动前 3 年内在经营活动中没有重大违法记录的书面声明</w:t>
      </w:r>
    </w:p>
    <w:p>
      <w:pPr>
        <w:spacing w:line="460" w:lineRule="exact"/>
        <w:rPr>
          <w:rStyle w:val="42"/>
          <w:rFonts w:ascii="宋体" w:hAnsi="宋体" w:cs="宋体"/>
          <w:b/>
          <w:bCs/>
          <w:color w:val="000000" w:themeColor="text1"/>
          <w:sz w:val="28"/>
          <w:szCs w:val="28"/>
        </w:rPr>
      </w:pPr>
    </w:p>
    <w:p>
      <w:pPr>
        <w:jc w:val="center"/>
        <w:rPr>
          <w:rStyle w:val="42"/>
          <w:rFonts w:ascii="宋体" w:hAnsi="宋体" w:cs="宋体"/>
          <w:b/>
          <w:bCs/>
          <w:color w:val="000000" w:themeColor="text1"/>
          <w:sz w:val="44"/>
          <w:szCs w:val="44"/>
        </w:rPr>
      </w:pPr>
      <w:r>
        <w:rPr>
          <w:rStyle w:val="42"/>
          <w:rFonts w:hint="eastAsia" w:ascii="宋体" w:hAnsi="宋体" w:cs="宋体"/>
          <w:b/>
          <w:bCs/>
          <w:color w:val="000000" w:themeColor="text1"/>
          <w:sz w:val="44"/>
          <w:szCs w:val="44"/>
        </w:rPr>
        <w:t>声  明</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我公司郑重声明：参加本次政府采购活动前 3 年内，我公司在经营活动中没有因违法经营受到刑事处罚或者责令停产停业、吊销许可证或者执照、较大数额罚款等行政处罚。</w:t>
      </w:r>
    </w:p>
    <w:p>
      <w:pPr>
        <w:spacing w:line="460" w:lineRule="exact"/>
        <w:rPr>
          <w:rStyle w:val="42"/>
          <w:rFonts w:ascii="宋体" w:hAnsi="宋体" w:cs="宋体"/>
          <w:bCs/>
          <w:color w:val="000000" w:themeColor="text1"/>
          <w:sz w:val="28"/>
          <w:szCs w:val="28"/>
        </w:rPr>
      </w:pP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供应商名称（公章）：</w:t>
      </w:r>
    </w:p>
    <w:p>
      <w:pPr>
        <w:spacing w:line="460" w:lineRule="exact"/>
        <w:ind w:firstLine="3640" w:firstLineChars="1300"/>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授权代表签字：</w:t>
      </w:r>
      <w:r>
        <w:rPr>
          <w:rStyle w:val="42"/>
          <w:rFonts w:hint="eastAsia" w:ascii="宋体" w:hAnsi="宋体" w:cs="宋体"/>
          <w:bCs/>
          <w:color w:val="000000" w:themeColor="text1"/>
          <w:sz w:val="28"/>
          <w:szCs w:val="28"/>
          <w:u w:val="single" w:color="000000"/>
        </w:rPr>
        <w:t>_______________________</w:t>
      </w:r>
    </w:p>
    <w:p>
      <w:pPr>
        <w:spacing w:line="460" w:lineRule="exact"/>
        <w:rPr>
          <w:rStyle w:val="42"/>
          <w:rFonts w:ascii="宋体" w:hAnsi="宋体" w:cs="宋体"/>
          <w:bCs/>
          <w:color w:val="000000" w:themeColor="text1"/>
          <w:sz w:val="28"/>
          <w:szCs w:val="28"/>
        </w:rPr>
      </w:pPr>
      <w:r>
        <w:rPr>
          <w:rStyle w:val="42"/>
          <w:rFonts w:hint="eastAsia" w:ascii="宋体" w:hAnsi="宋体" w:cs="宋体"/>
          <w:bCs/>
          <w:color w:val="000000" w:themeColor="text1"/>
          <w:sz w:val="28"/>
          <w:szCs w:val="28"/>
        </w:rPr>
        <w:t xml:space="preserve">                          日期：</w:t>
      </w:r>
      <w:r>
        <w:rPr>
          <w:rStyle w:val="42"/>
          <w:rFonts w:hint="eastAsia" w:ascii="宋体" w:hAnsi="宋体" w:cs="宋体"/>
          <w:bCs/>
          <w:color w:val="000000" w:themeColor="text1"/>
          <w:sz w:val="28"/>
          <w:szCs w:val="28"/>
          <w:u w:val="single" w:color="000000"/>
        </w:rPr>
        <w:t>______年    月    日</w:t>
      </w: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8"/>
          <w:szCs w:val="28"/>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23"/>
        <w:rPr>
          <w:rFonts w:cs="宋体"/>
          <w:color w:val="000000" w:themeColor="text1"/>
        </w:rPr>
      </w:pPr>
    </w:p>
    <w:p>
      <w:pPr>
        <w:pStyle w:val="23"/>
        <w:rPr>
          <w:rFonts w:cs="宋体"/>
          <w:color w:val="000000" w:themeColor="text1"/>
        </w:rPr>
      </w:pPr>
    </w:p>
    <w:p>
      <w:pPr>
        <w:spacing w:line="460" w:lineRule="exact"/>
        <w:rPr>
          <w:rStyle w:val="42"/>
          <w:rFonts w:ascii="宋体" w:hAnsi="宋体" w:cs="宋体"/>
          <w:bCs/>
          <w:color w:val="000000" w:themeColor="text1"/>
          <w:sz w:val="24"/>
        </w:rPr>
      </w:pPr>
    </w:p>
    <w:p>
      <w:pPr>
        <w:spacing w:line="460" w:lineRule="exact"/>
        <w:rPr>
          <w:rStyle w:val="42"/>
          <w:rFonts w:ascii="宋体" w:hAnsi="宋体" w:cs="宋体"/>
          <w:bCs/>
          <w:color w:val="000000" w:themeColor="text1"/>
          <w:sz w:val="24"/>
        </w:rPr>
      </w:pPr>
    </w:p>
    <w:p>
      <w:pPr>
        <w:pStyle w:val="5"/>
        <w:tabs>
          <w:tab w:val="left" w:pos="1275"/>
        </w:tabs>
        <w:jc w:val="center"/>
        <w:rPr>
          <w:rFonts w:ascii="宋体" w:hAnsi="宋体" w:cs="宋体"/>
          <w:color w:val="000000" w:themeColor="text1"/>
        </w:rPr>
      </w:pPr>
      <w:r>
        <w:rPr>
          <w:rFonts w:hint="eastAsia" w:ascii="宋体" w:hAnsi="宋体" w:cs="宋体"/>
          <w:color w:val="000000" w:themeColor="text1"/>
        </w:rPr>
        <w:t>法定代表人身份证明书</w:t>
      </w:r>
    </w:p>
    <w:p>
      <w:pPr>
        <w:rPr>
          <w:rFonts w:ascii="宋体" w:hAnsi="宋体" w:cs="宋体"/>
          <w:color w:val="000000" w:themeColor="text1"/>
          <w:sz w:val="24"/>
        </w:rPr>
      </w:pP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单位名称：</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单位性质：</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地    址：</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成立时间：</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经营期限：</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姓    名：</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联系电话：</w:t>
      </w:r>
    </w:p>
    <w:p>
      <w:pPr>
        <w:snapToGrid w:val="0"/>
        <w:spacing w:line="74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系</w:t>
      </w:r>
      <w:r>
        <w:rPr>
          <w:rFonts w:hint="eastAsia" w:ascii="宋体" w:hAnsi="宋体" w:cs="宋体"/>
          <w:color w:val="000000" w:themeColor="text1"/>
          <w:sz w:val="28"/>
          <w:szCs w:val="22"/>
          <w:u w:val="single"/>
        </w:rPr>
        <w:t xml:space="preserve">                      (</w:t>
      </w:r>
      <w:r>
        <w:rPr>
          <w:rFonts w:hint="eastAsia" w:ascii="宋体" w:hAnsi="宋体" w:cs="宋体"/>
          <w:color w:val="000000" w:themeColor="text1"/>
          <w:sz w:val="28"/>
          <w:szCs w:val="22"/>
        </w:rPr>
        <w:t>投标单位名称)的法定代表人。</w:t>
      </w: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特此证明。</w:t>
      </w: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p>
    <w:p>
      <w:pPr>
        <w:snapToGrid w:val="0"/>
        <w:spacing w:line="480" w:lineRule="exact"/>
        <w:ind w:firstLine="560" w:firstLineChars="200"/>
        <w:jc w:val="left"/>
        <w:rPr>
          <w:rFonts w:ascii="宋体" w:hAnsi="宋体" w:cs="宋体"/>
          <w:color w:val="000000" w:themeColor="text1"/>
          <w:sz w:val="28"/>
          <w:szCs w:val="22"/>
        </w:rPr>
      </w:pPr>
      <w:r>
        <w:rPr>
          <w:rFonts w:hint="eastAsia" w:ascii="宋体" w:hAnsi="宋体" w:cs="宋体"/>
          <w:color w:val="000000" w:themeColor="text1"/>
          <w:sz w:val="28"/>
          <w:szCs w:val="22"/>
        </w:rPr>
        <w:t>投标人：(盖章)</w:t>
      </w:r>
    </w:p>
    <w:p>
      <w:pPr>
        <w:snapToGrid w:val="0"/>
        <w:spacing w:line="480" w:lineRule="exact"/>
        <w:ind w:firstLine="560" w:firstLineChars="200"/>
        <w:jc w:val="left"/>
        <w:rPr>
          <w:rFonts w:ascii="宋体" w:hAnsi="宋体" w:cs="宋体"/>
          <w:color w:val="000000" w:themeColor="text1"/>
          <w:sz w:val="28"/>
          <w:szCs w:val="22"/>
        </w:rPr>
      </w:pPr>
    </w:p>
    <w:p>
      <w:pPr>
        <w:pStyle w:val="22"/>
        <w:ind w:firstLine="280"/>
        <w:rPr>
          <w:rFonts w:ascii="宋体" w:hAnsi="宋体" w:cs="宋体"/>
          <w:color w:val="000000" w:themeColor="text1"/>
          <w:sz w:val="28"/>
          <w:szCs w:val="22"/>
        </w:rPr>
      </w:pPr>
    </w:p>
    <w:p>
      <w:pPr>
        <w:snapToGrid w:val="0"/>
        <w:spacing w:line="480" w:lineRule="exact"/>
        <w:ind w:firstLine="560" w:firstLineChars="200"/>
        <w:jc w:val="left"/>
        <w:rPr>
          <w:rStyle w:val="42"/>
          <w:rFonts w:ascii="宋体" w:hAnsi="宋体" w:cs="宋体"/>
          <w:color w:val="000000" w:themeColor="text1"/>
          <w:sz w:val="28"/>
          <w:szCs w:val="28"/>
        </w:rPr>
      </w:pPr>
      <w:r>
        <w:rPr>
          <w:rFonts w:hint="eastAsia" w:ascii="宋体" w:hAnsi="宋体" w:cs="宋体"/>
          <w:color w:val="000000" w:themeColor="text1"/>
          <w:sz w:val="28"/>
          <w:szCs w:val="22"/>
        </w:rPr>
        <w:t>日   期：   年   月   日</w:t>
      </w:r>
    </w:p>
    <w:p>
      <w:pPr>
        <w:pStyle w:val="35"/>
        <w:jc w:val="center"/>
        <w:rPr>
          <w:rStyle w:val="42"/>
          <w:rFonts w:ascii="宋体" w:hAnsi="宋体" w:cs="宋体"/>
          <w:color w:val="000000" w:themeColor="text1"/>
          <w:sz w:val="28"/>
          <w:szCs w:val="28"/>
        </w:rPr>
      </w:pPr>
      <w:r>
        <w:rPr>
          <w:rStyle w:val="42"/>
          <w:rFonts w:hint="eastAsia" w:ascii="宋体" w:hAnsi="宋体" w:cs="宋体"/>
          <w:color w:val="000000" w:themeColor="text1"/>
          <w:sz w:val="28"/>
          <w:szCs w:val="28"/>
        </w:rPr>
        <w:t>法人授权书</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本授权书声明：____________（供应商名称）授权________________（被授权人的姓名）为我方就号项目采购活动的合法代理人，以本公司名义全权处理一切与该项目采购有关的事务。</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本授权书于______年____月____日起生效，特此声明。</w:t>
      </w: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代理人（被授权人）：_______________________</w:t>
      </w:r>
    </w:p>
    <w:p>
      <w:pPr>
        <w:pStyle w:val="113"/>
        <w:ind w:firstLineChars="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rPr>
      </w:pPr>
    </w:p>
    <w:p>
      <w:pPr>
        <w:pStyle w:val="113"/>
        <w:ind w:firstLineChars="0"/>
        <w:rPr>
          <w:rStyle w:val="42"/>
          <w:rFonts w:ascii="宋体" w:hAnsi="宋体" w:cs="宋体"/>
          <w:color w:val="000000" w:themeColor="text1"/>
          <w:szCs w:val="28"/>
        </w:rPr>
      </w:pPr>
      <w:r>
        <w:rPr>
          <w:rStyle w:val="42"/>
          <w:rFonts w:hint="eastAsia" w:ascii="宋体" w:hAnsi="宋体" w:cs="宋体"/>
          <w:color w:val="000000" w:themeColor="text1"/>
          <w:szCs w:val="28"/>
        </w:rPr>
        <w:t xml:space="preserve">          授权单位盖章：_________________________________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单位名称：_____________________________________</w:t>
      </w:r>
    </w:p>
    <w:p>
      <w:pPr>
        <w:pStyle w:val="113"/>
        <w:ind w:firstLine="560"/>
        <w:rPr>
          <w:rStyle w:val="42"/>
          <w:rFonts w:ascii="宋体" w:hAnsi="宋体" w:cs="宋体"/>
          <w:color w:val="000000" w:themeColor="text1"/>
          <w:szCs w:val="28"/>
          <w:u w:val="single" w:color="000000"/>
        </w:rPr>
      </w:pPr>
      <w:r>
        <w:rPr>
          <w:rStyle w:val="42"/>
          <w:rFonts w:hint="eastAsia" w:ascii="宋体" w:hAnsi="宋体" w:cs="宋体"/>
          <w:color w:val="000000" w:themeColor="text1"/>
          <w:szCs w:val="28"/>
        </w:rPr>
        <w:t xml:space="preserve">       地址：_____________________________________</w:t>
      </w:r>
    </w:p>
    <w:p>
      <w:pPr>
        <w:pStyle w:val="113"/>
        <w:ind w:firstLine="560"/>
        <w:rPr>
          <w:rStyle w:val="42"/>
          <w:rFonts w:ascii="宋体" w:hAnsi="宋体" w:cs="宋体"/>
          <w:color w:val="000000" w:themeColor="text1"/>
          <w:szCs w:val="28"/>
        </w:rPr>
      </w:pPr>
      <w:r>
        <w:rPr>
          <w:rStyle w:val="42"/>
          <w:rFonts w:hint="eastAsia" w:ascii="宋体" w:hAnsi="宋体" w:cs="宋体"/>
          <w:color w:val="000000" w:themeColor="text1"/>
          <w:szCs w:val="28"/>
        </w:rPr>
        <w:t xml:space="preserve">       日期：_____________________________________                    </w:t>
      </w:r>
    </w:p>
    <w:p>
      <w:pPr>
        <w:ind w:firstLine="560" w:firstLineChars="200"/>
        <w:rPr>
          <w:rFonts w:ascii="宋体" w:hAnsi="宋体" w:cs="宋体"/>
          <w:color w:val="000000" w:themeColor="text1"/>
          <w:sz w:val="28"/>
          <w:szCs w:val="22"/>
        </w:rPr>
      </w:pPr>
      <w:r>
        <w:rPr>
          <w:rFonts w:hint="eastAsia" w:ascii="宋体" w:hAnsi="宋体" w:cs="宋体"/>
          <w:color w:val="000000" w:themeColor="text1"/>
          <w:sz w:val="28"/>
          <w:szCs w:val="22"/>
        </w:rPr>
        <w:t>附：</w:t>
      </w:r>
    </w:p>
    <w:tbl>
      <w:tblPr>
        <w:tblStyle w:val="24"/>
        <w:tblW w:w="0" w:type="auto"/>
        <w:tblInd w:w="67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30" w:hRule="atLeast"/>
        </w:trPr>
        <w:tc>
          <w:tcPr>
            <w:tcW w:w="8253" w:type="dxa"/>
            <w:vAlign w:val="center"/>
          </w:tcPr>
          <w:p>
            <w:pPr>
              <w:jc w:val="center"/>
              <w:rPr>
                <w:rFonts w:ascii="宋体" w:hAnsi="宋体" w:cs="宋体"/>
                <w:color w:val="000000" w:themeColor="text1"/>
                <w:sz w:val="24"/>
              </w:rPr>
            </w:pPr>
            <w:r>
              <w:rPr>
                <w:rFonts w:hint="eastAsia" w:ascii="宋体" w:hAnsi="宋体" w:cs="宋体"/>
                <w:color w:val="000000" w:themeColor="text1"/>
                <w:sz w:val="28"/>
                <w:szCs w:val="22"/>
              </w:rPr>
              <w:t>(代理人身份证复印件粘贴处)</w:t>
            </w:r>
          </w:p>
        </w:tc>
      </w:tr>
    </w:tbl>
    <w:p>
      <w:pPr>
        <w:snapToGrid w:val="0"/>
        <w:spacing w:before="50" w:after="50"/>
        <w:jc w:val="center"/>
        <w:rPr>
          <w:rStyle w:val="42"/>
          <w:rFonts w:ascii="宋体" w:hAnsi="宋体" w:cs="宋体"/>
          <w:color w:val="000000" w:themeColor="text1"/>
          <w:sz w:val="32"/>
          <w:szCs w:val="32"/>
        </w:rPr>
      </w:pPr>
    </w:p>
    <w:p>
      <w:pPr>
        <w:snapToGrid w:val="0"/>
        <w:spacing w:before="50" w:after="50"/>
        <w:jc w:val="center"/>
        <w:rPr>
          <w:rStyle w:val="42"/>
          <w:rFonts w:ascii="宋体" w:hAnsi="宋体" w:cs="宋体"/>
          <w:color w:val="000000" w:themeColor="text1"/>
          <w:sz w:val="32"/>
          <w:szCs w:val="32"/>
        </w:rPr>
      </w:pPr>
    </w:p>
    <w:p>
      <w:pPr>
        <w:pStyle w:val="5"/>
        <w:outlineLvl w:val="9"/>
        <w:rPr>
          <w:rFonts w:ascii="宋体" w:hAnsi="宋体" w:cs="宋体"/>
          <w:color w:val="000000" w:themeColor="text1"/>
        </w:rPr>
      </w:pPr>
    </w:p>
    <w:p>
      <w:pPr>
        <w:snapToGrid w:val="0"/>
        <w:spacing w:before="50" w:after="50"/>
        <w:jc w:val="center"/>
        <w:outlineLvl w:val="0"/>
        <w:rPr>
          <w:rStyle w:val="42"/>
          <w:rFonts w:ascii="宋体" w:hAnsi="宋体" w:cs="宋体"/>
          <w:color w:val="000000" w:themeColor="text1"/>
          <w:sz w:val="32"/>
          <w:szCs w:val="32"/>
        </w:rPr>
      </w:pPr>
      <w:bookmarkStart w:id="15" w:name="_Toc24119"/>
      <w:r>
        <w:rPr>
          <w:rStyle w:val="42"/>
          <w:rFonts w:hint="eastAsia" w:ascii="宋体" w:hAnsi="宋体" w:cs="宋体"/>
          <w:color w:val="000000" w:themeColor="text1"/>
          <w:sz w:val="32"/>
          <w:szCs w:val="32"/>
        </w:rPr>
        <w:t>二、资格性审查响应对照表（格式）</w:t>
      </w:r>
      <w:bookmarkEnd w:id="15"/>
    </w:p>
    <w:p>
      <w:pPr>
        <w:ind w:firstLine="309"/>
        <w:rPr>
          <w:rStyle w:val="42"/>
          <w:rFonts w:ascii="宋体" w:hAnsi="宋体" w:cs="宋体"/>
          <w:color w:val="000000" w:themeColor="text1"/>
          <w:sz w:val="24"/>
          <w:szCs w:val="24"/>
        </w:rPr>
      </w:pPr>
      <w:r>
        <w:rPr>
          <w:rStyle w:val="42"/>
          <w:rFonts w:hint="eastAsia" w:ascii="宋体" w:hAnsi="宋体" w:cs="宋体"/>
          <w:color w:val="000000" w:themeColor="text1"/>
          <w:sz w:val="24"/>
          <w:szCs w:val="24"/>
        </w:rPr>
        <w:t>投标人全称（加盖公章）：</w:t>
      </w:r>
    </w:p>
    <w:tbl>
      <w:tblPr>
        <w:tblStyle w:val="24"/>
        <w:tblW w:w="9558" w:type="dxa"/>
        <w:tblInd w:w="-21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46"/>
        <w:gridCol w:w="5447"/>
        <w:gridCol w:w="1680"/>
        <w:gridCol w:w="178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82" w:hRule="atLeast"/>
        </w:trPr>
        <w:tc>
          <w:tcPr>
            <w:tcW w:w="646"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序号</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资格性审查响应内容</w:t>
            </w:r>
          </w:p>
        </w:tc>
        <w:tc>
          <w:tcPr>
            <w:tcW w:w="1680"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是否响应</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（填是或者否）</w:t>
            </w:r>
          </w:p>
        </w:tc>
        <w:tc>
          <w:tcPr>
            <w:tcW w:w="1785" w:type="dxa"/>
            <w:tcBorders>
              <w:top w:val="single" w:color="000000" w:sz="4" w:space="0"/>
              <w:left w:val="single" w:color="000000" w:sz="4" w:space="0"/>
              <w:bottom w:val="single" w:color="000000" w:sz="4" w:space="0"/>
              <w:right w:val="single" w:color="000000" w:sz="4" w:space="0"/>
            </w:tcBorders>
            <w:vAlign w:val="center"/>
          </w:tcPr>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投标文件中的</w:t>
            </w:r>
          </w:p>
          <w:p>
            <w:pPr>
              <w:snapToGrid w:val="0"/>
              <w:spacing w:line="240" w:lineRule="atLeast"/>
              <w:jc w:val="center"/>
              <w:rPr>
                <w:rStyle w:val="42"/>
                <w:rFonts w:ascii="宋体" w:hAnsi="宋体" w:cs="宋体"/>
                <w:b/>
                <w:color w:val="000000" w:themeColor="text1"/>
              </w:rPr>
            </w:pPr>
            <w:r>
              <w:rPr>
                <w:rStyle w:val="42"/>
                <w:rFonts w:hint="eastAsia" w:ascii="宋体" w:hAnsi="宋体" w:cs="宋体"/>
                <w:b/>
                <w:color w:val="000000" w:themeColor="text1"/>
              </w:rPr>
              <w:t>页码位置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r>
              <w:rPr>
                <w:rStyle w:val="42"/>
                <w:rFonts w:hint="eastAsia" w:ascii="宋体" w:hAnsi="宋体" w:cs="宋体"/>
                <w:b/>
                <w:color w:val="000000" w:themeColor="text1"/>
              </w:rPr>
              <w:t>1</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b/>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2</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3</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480" w:lineRule="exac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4</w:t>
            </w:r>
          </w:p>
        </w:tc>
        <w:tc>
          <w:tcPr>
            <w:tcW w:w="5447"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5</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6</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34" w:hRule="exact"/>
        </w:trPr>
        <w:tc>
          <w:tcPr>
            <w:tcW w:w="646"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r>
              <w:rPr>
                <w:rStyle w:val="42"/>
                <w:rFonts w:hint="eastAsia" w:ascii="宋体" w:hAnsi="宋体" w:cs="宋体"/>
                <w:color w:val="000000" w:themeColor="text1"/>
              </w:rPr>
              <w:t>7</w:t>
            </w:r>
          </w:p>
        </w:tc>
        <w:tc>
          <w:tcPr>
            <w:tcW w:w="5447" w:type="dxa"/>
            <w:tcBorders>
              <w:top w:val="single" w:color="000000" w:sz="4" w:space="0"/>
              <w:left w:val="single" w:color="000000" w:sz="4" w:space="0"/>
              <w:bottom w:val="single" w:color="000000" w:sz="4" w:space="0"/>
              <w:right w:val="single" w:color="000000" w:sz="4" w:space="0"/>
            </w:tcBorders>
            <w:vAlign w:val="center"/>
          </w:tcPr>
          <w:p>
            <w:pPr>
              <w:snapToGrid w:val="0"/>
              <w:spacing w:line="590" w:lineRule="atLeast"/>
              <w:jc w:val="center"/>
              <w:rPr>
                <w:rStyle w:val="42"/>
                <w:rFonts w:ascii="宋体" w:hAnsi="宋体" w:cs="宋体"/>
                <w:iCs/>
                <w:color w:val="000000" w:themeColor="text1"/>
                <w:sz w:val="24"/>
                <w:szCs w:val="24"/>
              </w:rPr>
            </w:pPr>
          </w:p>
        </w:tc>
        <w:tc>
          <w:tcPr>
            <w:tcW w:w="1680"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c>
          <w:tcPr>
            <w:tcW w:w="1785" w:type="dxa"/>
            <w:tcBorders>
              <w:top w:val="single" w:color="000000" w:sz="4" w:space="0"/>
              <w:left w:val="single" w:color="000000" w:sz="4" w:space="0"/>
              <w:bottom w:val="single" w:color="000000" w:sz="4" w:space="0"/>
              <w:right w:val="single" w:color="000000" w:sz="4" w:space="0"/>
            </w:tcBorders>
            <w:vAlign w:val="center"/>
          </w:tcPr>
          <w:p>
            <w:pPr>
              <w:jc w:val="center"/>
              <w:rPr>
                <w:rStyle w:val="42"/>
                <w:rFonts w:ascii="宋体" w:hAnsi="宋体" w:cs="宋体"/>
                <w:color w:val="000000" w:themeColor="text1"/>
              </w:rPr>
            </w:pPr>
          </w:p>
        </w:tc>
      </w:tr>
    </w:tbl>
    <w:p>
      <w:pPr>
        <w:spacing w:line="440" w:lineRule="exact"/>
        <w:ind w:firstLine="480" w:firstLineChars="200"/>
        <w:rPr>
          <w:rStyle w:val="42"/>
          <w:rFonts w:ascii="宋体" w:hAnsi="宋体" w:cs="宋体"/>
          <w:color w:val="000000" w:themeColor="text1"/>
          <w:sz w:val="2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snapToGrid w:val="0"/>
        <w:spacing w:before="50" w:after="50"/>
        <w:rPr>
          <w:rStyle w:val="42"/>
          <w:rFonts w:ascii="宋体" w:hAnsi="宋体" w:cs="宋体"/>
          <w:color w:val="000000" w:themeColor="text1"/>
          <w:sz w:val="44"/>
        </w:rPr>
      </w:pPr>
    </w:p>
    <w:p>
      <w:pPr>
        <w:pStyle w:val="5"/>
        <w:outlineLvl w:val="9"/>
        <w:rPr>
          <w:rFonts w:ascii="宋体" w:hAnsi="宋体" w:cs="宋体"/>
          <w:color w:val="000000" w:themeColor="text1"/>
        </w:rPr>
      </w:pPr>
    </w:p>
    <w:p>
      <w:pPr>
        <w:snapToGrid w:val="0"/>
        <w:spacing w:before="50" w:after="50"/>
        <w:rPr>
          <w:rStyle w:val="42"/>
          <w:rFonts w:ascii="宋体" w:hAnsi="宋体" w:cs="宋体"/>
          <w:color w:val="000000" w:themeColor="text1"/>
          <w:sz w:val="44"/>
        </w:rPr>
      </w:pPr>
    </w:p>
    <w:p>
      <w:pPr>
        <w:snapToGrid w:val="0"/>
        <w:spacing w:before="50" w:after="50"/>
        <w:jc w:val="center"/>
        <w:outlineLvl w:val="0"/>
        <w:rPr>
          <w:rStyle w:val="42"/>
          <w:rFonts w:ascii="宋体" w:hAnsi="宋体" w:cs="宋体"/>
          <w:color w:val="000000" w:themeColor="text1"/>
          <w:sz w:val="32"/>
          <w:szCs w:val="32"/>
        </w:rPr>
      </w:pPr>
      <w:bookmarkStart w:id="16" w:name="_Toc14649"/>
      <w:r>
        <w:rPr>
          <w:rStyle w:val="42"/>
          <w:rFonts w:hint="eastAsia" w:ascii="宋体" w:hAnsi="宋体" w:cs="宋体"/>
          <w:color w:val="000000" w:themeColor="text1"/>
          <w:sz w:val="32"/>
          <w:szCs w:val="32"/>
        </w:rPr>
        <w:t>三、投标函（格式）</w:t>
      </w:r>
      <w:bookmarkEnd w:id="16"/>
    </w:p>
    <w:p>
      <w:pPr>
        <w:pStyle w:val="128"/>
        <w:spacing w:before="0" w:after="0" w:line="420" w:lineRule="exact"/>
        <w:ind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致：</w:t>
      </w:r>
      <w:r>
        <w:rPr>
          <w:rStyle w:val="42"/>
          <w:rFonts w:hint="eastAsia" w:ascii="宋体" w:hAnsi="宋体" w:cs="宋体"/>
          <w:color w:val="000000" w:themeColor="text1"/>
          <w:kern w:val="2"/>
          <w:szCs w:val="21"/>
          <w:u w:val="single" w:color="000000"/>
        </w:rPr>
        <w:t>盐城工业职业技术学院</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根据贵方的</w:t>
      </w:r>
      <w:r>
        <w:rPr>
          <w:rStyle w:val="42"/>
          <w:rFonts w:hint="eastAsia" w:ascii="宋体" w:hAnsi="宋体" w:cs="宋体"/>
          <w:color w:val="000000" w:themeColor="text1"/>
          <w:kern w:val="2"/>
          <w:szCs w:val="21"/>
          <w:u w:val="single" w:color="000000"/>
        </w:rPr>
        <w:t xml:space="preserve">     号</w:t>
      </w:r>
      <w:r>
        <w:rPr>
          <w:rStyle w:val="42"/>
          <w:rFonts w:hint="eastAsia" w:ascii="宋体" w:hAnsi="宋体" w:cs="宋体"/>
          <w:color w:val="000000" w:themeColor="text1"/>
          <w:kern w:val="2"/>
          <w:szCs w:val="21"/>
        </w:rPr>
        <w:t>招标文件，正式授权下述签字人_________(姓名)代表我方______________（投标人的名称），全权处理本次项目投标的有关事宜。</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据此函，__________签字人兹宣布同意如下：</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1.按招标文件规定的各项要求，向买方提供所需货物与服务。</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2.我们完全理解贵方不一定将合同授予最低报价的投标人。</w:t>
      </w:r>
    </w:p>
    <w:p>
      <w:pPr>
        <w:pStyle w:val="128"/>
        <w:spacing w:before="0" w:after="0" w:line="420" w:lineRule="exact"/>
        <w:ind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3.我们已详细审核全部招标文件及其有效补充文件，我们知道必须放弃提出含糊不清或误解问题的权利。</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4.我们同意从规定的开标日期起遵循本投标文件，并在规定的投标有效期期满之前均具有约束力。</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5.如果在开标后规定的投标有效期内撤回投标或中标后拒绝签订合同，则按照国家相关法律法规受到相应处罚。</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6.同意向贵方提供贵方可能另外要求的与投标有关的任何证据或资料，并保证我方已提供和将要提供的文件是真实的、准确的。</w:t>
      </w:r>
    </w:p>
    <w:p>
      <w:pPr>
        <w:pStyle w:val="128"/>
        <w:spacing w:before="0" w:after="0" w:line="420" w:lineRule="exact"/>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7.一旦我方中标,我方将根据招标文件的规定，严格履行合同的责任和义务,并保证在招标文件规定的时间完成项目，交付买方验收、使用。</w:t>
      </w:r>
    </w:p>
    <w:p>
      <w:pPr>
        <w:pStyle w:val="128"/>
        <w:spacing w:before="0" w:after="0" w:line="420" w:lineRule="exact"/>
        <w:ind w:left="425" w:firstLine="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8.与本投标有关的正式通讯地址为：</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地          址：</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邮          编：</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电          话：</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传          真：</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投标人开户行：</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账          户：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投标人授权代表姓名（签字）：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 xml:space="preserve">投标人名称（公章）： </w:t>
      </w:r>
    </w:p>
    <w:p>
      <w:pPr>
        <w:pStyle w:val="128"/>
        <w:spacing w:before="0" w:after="0" w:line="420" w:lineRule="exact"/>
        <w:ind w:left="420" w:leftChars="200" w:firstLineChars="200"/>
        <w:rPr>
          <w:rStyle w:val="42"/>
          <w:rFonts w:ascii="宋体" w:hAnsi="宋体" w:cs="宋体"/>
          <w:color w:val="000000" w:themeColor="text1"/>
          <w:kern w:val="2"/>
          <w:szCs w:val="21"/>
        </w:rPr>
      </w:pPr>
      <w:r>
        <w:rPr>
          <w:rStyle w:val="42"/>
          <w:rFonts w:hint="eastAsia" w:ascii="宋体" w:hAnsi="宋体" w:cs="宋体"/>
          <w:color w:val="000000" w:themeColor="text1"/>
          <w:kern w:val="2"/>
          <w:szCs w:val="21"/>
        </w:rPr>
        <w:t>日           期：________年____月____日</w:t>
      </w:r>
    </w:p>
    <w:p>
      <w:pPr>
        <w:snapToGrid w:val="0"/>
        <w:spacing w:before="50" w:after="145"/>
        <w:jc w:val="left"/>
        <w:rPr>
          <w:rStyle w:val="42"/>
          <w:rFonts w:ascii="宋体" w:hAnsi="宋体" w:cs="宋体"/>
          <w:color w:val="000000" w:themeColor="text1"/>
          <w:sz w:val="24"/>
          <w:szCs w:val="20"/>
        </w:rPr>
      </w:pPr>
    </w:p>
    <w:p>
      <w:pPr>
        <w:jc w:val="center"/>
        <w:rPr>
          <w:rStyle w:val="42"/>
          <w:rFonts w:ascii="宋体" w:hAnsi="宋体" w:cs="宋体"/>
          <w:b/>
          <w:color w:val="000000" w:themeColor="text1"/>
          <w:sz w:val="32"/>
          <w:szCs w:val="32"/>
        </w:rPr>
      </w:pPr>
    </w:p>
    <w:p>
      <w:pPr>
        <w:pStyle w:val="23"/>
        <w:rPr>
          <w:rFonts w:cs="宋体"/>
          <w:color w:val="000000" w:themeColor="text1"/>
        </w:rPr>
      </w:pPr>
    </w:p>
    <w:p>
      <w:pPr>
        <w:pStyle w:val="23"/>
        <w:rPr>
          <w:rFonts w:cs="宋体"/>
          <w:color w:val="000000" w:themeColor="text1"/>
        </w:rPr>
      </w:pPr>
    </w:p>
    <w:p>
      <w:pPr>
        <w:snapToGrid w:val="0"/>
        <w:spacing w:before="50" w:after="50"/>
        <w:rPr>
          <w:rStyle w:val="42"/>
          <w:rFonts w:ascii="宋体" w:hAnsi="宋体" w:cs="宋体"/>
          <w:color w:val="000000" w:themeColor="text1"/>
          <w:sz w:val="32"/>
          <w:szCs w:val="32"/>
        </w:rPr>
      </w:pPr>
    </w:p>
    <w:p>
      <w:pPr>
        <w:snapToGrid w:val="0"/>
        <w:spacing w:before="50" w:after="50"/>
        <w:jc w:val="center"/>
        <w:outlineLvl w:val="0"/>
        <w:rPr>
          <w:rStyle w:val="42"/>
          <w:rFonts w:ascii="宋体" w:hAnsi="宋体" w:cs="宋体"/>
          <w:color w:val="000000" w:themeColor="text1"/>
          <w:sz w:val="32"/>
          <w:szCs w:val="32"/>
        </w:rPr>
      </w:pPr>
      <w:bookmarkStart w:id="17" w:name="_Toc26528"/>
      <w:r>
        <w:rPr>
          <w:rStyle w:val="42"/>
          <w:rFonts w:hint="eastAsia" w:ascii="宋体" w:hAnsi="宋体" w:cs="宋体"/>
          <w:color w:val="000000" w:themeColor="text1"/>
          <w:sz w:val="32"/>
          <w:szCs w:val="32"/>
        </w:rPr>
        <w:t>四、开标一览表（格式）</w:t>
      </w:r>
      <w:bookmarkEnd w:id="17"/>
    </w:p>
    <w:p>
      <w:pPr>
        <w:snapToGrid w:val="0"/>
        <w:spacing w:before="50" w:after="50"/>
        <w:jc w:val="center"/>
        <w:rPr>
          <w:rStyle w:val="42"/>
          <w:rFonts w:ascii="宋体" w:hAnsi="宋体" w:cs="宋体"/>
          <w:color w:val="000000" w:themeColor="text1"/>
          <w:sz w:val="32"/>
          <w:szCs w:val="32"/>
        </w:rPr>
      </w:pPr>
    </w:p>
    <w:tbl>
      <w:tblPr>
        <w:tblStyle w:val="24"/>
        <w:tblW w:w="10145" w:type="dxa"/>
        <w:tblInd w:w="-36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700"/>
        <w:gridCol w:w="744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项目编号</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u w:val="singl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789" w:hRule="atLeast"/>
        </w:trPr>
        <w:tc>
          <w:tcPr>
            <w:tcW w:w="2700" w:type="dxa"/>
            <w:tcBorders>
              <w:top w:val="single" w:color="000000" w:sz="4" w:space="0"/>
              <w:left w:val="single" w:color="000000" w:sz="4" w:space="0"/>
              <w:bottom w:val="single" w:color="000000" w:sz="4" w:space="0"/>
              <w:right w:val="single" w:color="000000" w:sz="4" w:space="0"/>
            </w:tcBorders>
            <w:vAlign w:val="center"/>
          </w:tcPr>
          <w:p>
            <w:pPr>
              <w:ind w:firstLine="420" w:firstLineChars="200"/>
              <w:rPr>
                <w:rStyle w:val="42"/>
                <w:rFonts w:ascii="宋体" w:hAnsi="宋体" w:cs="宋体"/>
                <w:color w:val="000000" w:themeColor="text1"/>
                <w:szCs w:val="28"/>
              </w:rPr>
            </w:pPr>
            <w:r>
              <w:rPr>
                <w:rStyle w:val="42"/>
                <w:rFonts w:hint="eastAsia" w:ascii="宋体" w:hAnsi="宋体" w:cs="宋体"/>
                <w:color w:val="000000" w:themeColor="text1"/>
                <w:szCs w:val="28"/>
              </w:rPr>
              <w:t>项目名称</w:t>
            </w:r>
          </w:p>
        </w:tc>
        <w:tc>
          <w:tcPr>
            <w:tcW w:w="7445" w:type="dxa"/>
            <w:tcBorders>
              <w:top w:val="single" w:color="000000" w:sz="4" w:space="0"/>
              <w:left w:val="single" w:color="000000" w:sz="4" w:space="0"/>
              <w:bottom w:val="single" w:color="000000" w:sz="4" w:space="0"/>
              <w:right w:val="single" w:color="000000" w:sz="4" w:space="0"/>
            </w:tcBorders>
            <w:vAlign w:val="center"/>
          </w:tcPr>
          <w:p>
            <w:pPr>
              <w:pStyle w:val="33"/>
              <w:jc w:val="both"/>
              <w:rPr>
                <w:rStyle w:val="42"/>
                <w:rFonts w:ascii="宋体" w:hAnsi="宋体" w:eastAsia="宋体" w:cs="宋体"/>
                <w:color w:val="000000" w:themeColor="text1"/>
                <w:sz w:val="28"/>
                <w:szCs w:val="28"/>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color w:val="000000" w:themeColor="text1"/>
                <w:szCs w:val="28"/>
              </w:rPr>
            </w:pPr>
            <w:r>
              <w:rPr>
                <w:rStyle w:val="42"/>
                <w:rFonts w:hint="eastAsia" w:ascii="宋体" w:hAnsi="宋体" w:cs="宋体"/>
                <w:b/>
                <w:bCs/>
                <w:color w:val="000000" w:themeColor="text1"/>
                <w:szCs w:val="28"/>
              </w:rPr>
              <w:t>项目投标报价：（大写）</w:t>
            </w:r>
            <w:r>
              <w:rPr>
                <w:rStyle w:val="42"/>
                <w:rFonts w:hint="eastAsia" w:ascii="宋体" w:hAnsi="宋体" w:cs="宋体"/>
                <w:color w:val="000000" w:themeColor="text1"/>
              </w:rPr>
              <w:t>_____</w:t>
            </w:r>
            <w:r>
              <w:rPr>
                <w:rStyle w:val="42"/>
                <w:rFonts w:hint="eastAsia" w:ascii="宋体" w:hAnsi="宋体" w:cs="宋体"/>
                <w:b/>
                <w:bCs/>
                <w:color w:val="000000" w:themeColor="text1"/>
                <w:sz w:val="24"/>
                <w:szCs w:val="24"/>
              </w:rPr>
              <w:t>元</w:t>
            </w:r>
            <w:r>
              <w:rPr>
                <w:rStyle w:val="42"/>
                <w:rFonts w:hint="eastAsia" w:ascii="宋体" w:hAnsi="宋体" w:cs="宋体"/>
                <w:b/>
                <w:bCs/>
                <w:color w:val="000000" w:themeColor="text1"/>
                <w:szCs w:val="28"/>
              </w:rPr>
              <w:t>，小写：</w:t>
            </w:r>
            <w:r>
              <w:rPr>
                <w:rStyle w:val="42"/>
                <w:rFonts w:hint="eastAsia" w:ascii="宋体" w:hAnsi="宋体" w:cs="宋体"/>
                <w:b/>
                <w:bCs/>
                <w:color w:val="000000" w:themeColor="text1"/>
              </w:rPr>
              <w:t>_____</w:t>
            </w:r>
            <w:r>
              <w:rPr>
                <w:rStyle w:val="42"/>
                <w:rFonts w:hint="eastAsia" w:ascii="宋体" w:hAnsi="宋体" w:cs="宋体"/>
                <w:b/>
                <w:bCs/>
                <w:color w:val="000000" w:themeColor="text1"/>
                <w:sz w:val="24"/>
                <w:szCs w:val="24"/>
              </w:rPr>
              <w:t>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Fonts w:hint="eastAsia" w:ascii="宋体" w:hAnsi="宋体" w:cs="宋体"/>
                <w:b/>
                <w:bCs/>
                <w:color w:val="000000" w:themeColor="text1"/>
                <w:szCs w:val="28"/>
              </w:rPr>
              <w:t>是否提供《企业类型声明函》：</w:t>
            </w:r>
            <w:r>
              <w:rPr>
                <w:rFonts w:hint="eastAsia" w:ascii="宋体" w:hAnsi="宋体" w:cs="宋体"/>
                <w:b/>
                <w:bCs/>
                <w:color w:val="000000" w:themeColor="text1"/>
                <w:szCs w:val="28"/>
                <w:u w:val="single"/>
              </w:rPr>
              <w:t xml:space="preserve">  是/否   </w:t>
            </w:r>
            <w:r>
              <w:rPr>
                <w:rFonts w:hint="eastAsia" w:ascii="宋体" w:hAnsi="宋体" w:cs="宋体"/>
                <w:b/>
                <w:bCs/>
                <w:color w:val="000000" w:themeColor="text1"/>
                <w:szCs w:val="28"/>
              </w:rPr>
              <w:t xml:space="preserve">           见</w:t>
            </w:r>
            <w:r>
              <w:rPr>
                <w:rFonts w:hint="eastAsia" w:ascii="宋体" w:hAnsi="宋体" w:cs="宋体"/>
                <w:b/>
                <w:bCs/>
                <w:color w:val="000000" w:themeColor="text1"/>
                <w:szCs w:val="28"/>
                <w:u w:val="single"/>
              </w:rPr>
              <w:t>（          ）</w:t>
            </w:r>
            <w:r>
              <w:rPr>
                <w:rFonts w:hint="eastAsia" w:ascii="宋体" w:hAnsi="宋体" w:cs="宋体"/>
                <w:b/>
                <w:bCs/>
                <w:color w:val="000000" w:themeColor="text1"/>
                <w:szCs w:val="28"/>
              </w:rPr>
              <w:t>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21"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项目负责人：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合同履行期限：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质保期：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cantSplit/>
          <w:trHeight w:val="807" w:hRule="atLeast"/>
        </w:trPr>
        <w:tc>
          <w:tcPr>
            <w:tcW w:w="10145" w:type="dxa"/>
            <w:gridSpan w:val="2"/>
            <w:tcBorders>
              <w:top w:val="single" w:color="000000" w:sz="4" w:space="0"/>
              <w:left w:val="single" w:color="000000" w:sz="4" w:space="0"/>
              <w:bottom w:val="single" w:color="000000" w:sz="4" w:space="0"/>
              <w:right w:val="single" w:color="000000" w:sz="4" w:space="0"/>
            </w:tcBorders>
            <w:vAlign w:val="center"/>
          </w:tcPr>
          <w:p>
            <w:pPr>
              <w:rPr>
                <w:rStyle w:val="42"/>
                <w:rFonts w:ascii="宋体" w:hAnsi="宋体" w:cs="宋体"/>
                <w:b/>
                <w:bCs/>
                <w:color w:val="000000" w:themeColor="text1"/>
                <w:szCs w:val="28"/>
              </w:rPr>
            </w:pPr>
            <w:r>
              <w:rPr>
                <w:rStyle w:val="42"/>
                <w:rFonts w:hint="eastAsia" w:ascii="宋体" w:hAnsi="宋体" w:cs="宋体"/>
                <w:b/>
                <w:bCs/>
                <w:color w:val="000000" w:themeColor="text1"/>
                <w:szCs w:val="28"/>
              </w:rPr>
              <w:t>品牌：</w:t>
            </w:r>
          </w:p>
        </w:tc>
      </w:tr>
    </w:tbl>
    <w:p>
      <w:pPr>
        <w:spacing w:line="240" w:lineRule="atLeast"/>
        <w:rPr>
          <w:rStyle w:val="42"/>
          <w:rFonts w:ascii="宋体" w:hAnsi="宋体" w:cs="宋体"/>
          <w:color w:val="000000" w:themeColor="text1"/>
          <w:szCs w:val="28"/>
        </w:rPr>
      </w:pPr>
    </w:p>
    <w:p>
      <w:pPr>
        <w:spacing w:line="240" w:lineRule="atLeast"/>
        <w:rPr>
          <w:rStyle w:val="42"/>
          <w:rFonts w:ascii="宋体" w:hAnsi="宋体" w:cs="宋体"/>
          <w:color w:val="000000" w:themeColor="text1"/>
          <w:szCs w:val="28"/>
        </w:rPr>
      </w:pPr>
      <w:r>
        <w:rPr>
          <w:rStyle w:val="42"/>
          <w:rFonts w:hint="eastAsia" w:ascii="宋体" w:hAnsi="宋体" w:cs="宋体"/>
          <w:color w:val="000000" w:themeColor="text1"/>
          <w:szCs w:val="28"/>
        </w:rPr>
        <w:t>填写说明：</w:t>
      </w:r>
    </w:p>
    <w:p>
      <w:pPr>
        <w:numPr>
          <w:ilvl w:val="0"/>
          <w:numId w:val="6"/>
        </w:numPr>
        <w:rPr>
          <w:rStyle w:val="42"/>
          <w:rFonts w:ascii="宋体" w:hAnsi="宋体" w:cs="宋体"/>
          <w:color w:val="000000" w:themeColor="text1"/>
          <w:sz w:val="24"/>
        </w:rPr>
      </w:pPr>
      <w:r>
        <w:rPr>
          <w:rStyle w:val="42"/>
          <w:rFonts w:hint="eastAsia" w:ascii="宋体" w:hAnsi="宋体" w:cs="宋体"/>
          <w:color w:val="000000" w:themeColor="text1"/>
          <w:sz w:val="24"/>
        </w:rPr>
        <w:t>开标一览表不得填报选择性报价，否则将作为无效投标；</w:t>
      </w:r>
    </w:p>
    <w:p>
      <w:pPr>
        <w:numPr>
          <w:ilvl w:val="0"/>
          <w:numId w:val="6"/>
        </w:numPr>
        <w:rPr>
          <w:rStyle w:val="42"/>
          <w:rFonts w:ascii="宋体" w:hAnsi="宋体" w:cs="宋体"/>
          <w:color w:val="000000" w:themeColor="text1"/>
          <w:sz w:val="24"/>
        </w:rPr>
      </w:pPr>
      <w:r>
        <w:rPr>
          <w:rStyle w:val="42"/>
          <w:rFonts w:hint="eastAsia" w:ascii="宋体" w:hAnsi="宋体" w:cs="宋体"/>
          <w:color w:val="000000" w:themeColor="text1"/>
          <w:sz w:val="24"/>
        </w:rPr>
        <w:t>开标一览表中报价与投标分项明细报价表中不符时时，以开标一览表为准；</w:t>
      </w:r>
    </w:p>
    <w:p>
      <w:pPr>
        <w:ind w:firstLine="2640" w:firstLineChars="600"/>
        <w:rPr>
          <w:rStyle w:val="42"/>
          <w:rFonts w:ascii="宋体" w:hAnsi="宋体" w:cs="宋体"/>
          <w:color w:val="000000" w:themeColor="text1"/>
          <w:sz w:val="44"/>
        </w:rPr>
      </w:pPr>
    </w:p>
    <w:p>
      <w:pPr>
        <w:ind w:firstLine="480"/>
        <w:rPr>
          <w:rStyle w:val="42"/>
          <w:rFonts w:ascii="宋体" w:hAnsi="宋体" w:cs="宋体"/>
          <w:color w:val="000000" w:themeColor="text1"/>
          <w:sz w:val="24"/>
        </w:rPr>
      </w:pPr>
    </w:p>
    <w:p>
      <w:pPr>
        <w:ind w:firstLine="480"/>
        <w:rPr>
          <w:rStyle w:val="42"/>
          <w:rFonts w:ascii="宋体" w:hAnsi="宋体" w:cs="宋体"/>
          <w:color w:val="000000" w:themeColor="text1"/>
          <w:sz w:val="24"/>
        </w:rPr>
      </w:pPr>
    </w:p>
    <w:p>
      <w:pPr>
        <w:ind w:firstLine="480"/>
        <w:jc w:val="center"/>
        <w:rPr>
          <w:rStyle w:val="42"/>
          <w:rFonts w:ascii="宋体" w:hAnsi="宋体" w:cs="宋体"/>
          <w:color w:val="000000" w:themeColor="text1"/>
          <w:sz w:val="24"/>
        </w:rPr>
      </w:pPr>
      <w:r>
        <w:rPr>
          <w:rStyle w:val="42"/>
          <w:rFonts w:hint="eastAsia" w:ascii="宋体" w:hAnsi="宋体" w:cs="宋体"/>
          <w:bCs/>
          <w:color w:val="000000" w:themeColor="text1"/>
          <w:sz w:val="24"/>
        </w:rPr>
        <w:t xml:space="preserve">                                        供应商名称（公章）：</w:t>
      </w:r>
    </w:p>
    <w:p>
      <w:pPr>
        <w:ind w:firstLine="480"/>
        <w:rPr>
          <w:rStyle w:val="42"/>
          <w:rFonts w:ascii="宋体" w:hAnsi="宋体" w:cs="宋体"/>
          <w:b/>
          <w:color w:val="000000" w:themeColor="text1"/>
          <w:sz w:val="32"/>
          <w:szCs w:val="32"/>
        </w:rPr>
      </w:pPr>
      <w:r>
        <w:rPr>
          <w:rStyle w:val="42"/>
          <w:rFonts w:hint="eastAsia" w:ascii="宋体" w:hAnsi="宋体" w:cs="宋体"/>
          <w:color w:val="000000" w:themeColor="text1"/>
          <w:sz w:val="24"/>
        </w:rPr>
        <w:t xml:space="preserve">                                              日期： 年月日</w:t>
      </w:r>
    </w:p>
    <w:p>
      <w:pPr>
        <w:jc w:val="center"/>
        <w:rPr>
          <w:rStyle w:val="42"/>
          <w:rFonts w:ascii="宋体" w:hAnsi="宋体" w:cs="宋体"/>
          <w:b/>
          <w:color w:val="000000" w:themeColor="text1"/>
          <w:sz w:val="32"/>
          <w:szCs w:val="32"/>
        </w:rPr>
      </w:pPr>
    </w:p>
    <w:p>
      <w:pPr>
        <w:pStyle w:val="4"/>
        <w:rPr>
          <w:rStyle w:val="42"/>
          <w:rFonts w:ascii="宋体" w:hAnsi="宋体" w:eastAsia="宋体" w:cs="宋体"/>
          <w:color w:val="000000" w:themeColor="text1"/>
          <w:sz w:val="32"/>
          <w:szCs w:val="32"/>
        </w:rPr>
      </w:pPr>
      <w:r>
        <w:rPr>
          <w:rStyle w:val="42"/>
          <w:rFonts w:hint="eastAsia" w:ascii="宋体" w:hAnsi="宋体" w:eastAsia="宋体" w:cs="宋体"/>
          <w:color w:val="000000" w:themeColor="text1"/>
          <w:sz w:val="32"/>
          <w:szCs w:val="32"/>
        </w:rPr>
        <w:t>投标分项明细报价表</w:t>
      </w:r>
    </w:p>
    <w:tbl>
      <w:tblPr>
        <w:tblStyle w:val="24"/>
        <w:tblW w:w="5104" w:type="pct"/>
        <w:jc w:val="center"/>
        <w:tblLayout w:type="autofit"/>
        <w:tblCellMar>
          <w:top w:w="0" w:type="dxa"/>
          <w:left w:w="108" w:type="dxa"/>
          <w:bottom w:w="0" w:type="dxa"/>
          <w:right w:w="108" w:type="dxa"/>
        </w:tblCellMar>
      </w:tblPr>
      <w:tblGrid>
        <w:gridCol w:w="597"/>
        <w:gridCol w:w="927"/>
        <w:gridCol w:w="5182"/>
        <w:gridCol w:w="974"/>
        <w:gridCol w:w="824"/>
        <w:gridCol w:w="856"/>
      </w:tblGrid>
      <w:tr>
        <w:tblPrEx>
          <w:tblCellMar>
            <w:top w:w="0" w:type="dxa"/>
            <w:left w:w="108" w:type="dxa"/>
            <w:bottom w:w="0" w:type="dxa"/>
            <w:right w:w="108" w:type="dxa"/>
          </w:tblCellMar>
        </w:tblPrEx>
        <w:trPr>
          <w:trHeight w:val="600" w:hRule="atLeast"/>
          <w:jc w:val="center"/>
        </w:trPr>
        <w:tc>
          <w:tcPr>
            <w:tcW w:w="319" w:type="pc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序号</w:t>
            </w:r>
          </w:p>
        </w:tc>
        <w:tc>
          <w:tcPr>
            <w:tcW w:w="495"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产品</w:t>
            </w:r>
          </w:p>
          <w:p>
            <w:pPr>
              <w:jc w:val="center"/>
              <w:rPr>
                <w:rFonts w:ascii="宋体" w:hAnsi="宋体" w:cs="宋体"/>
                <w:b/>
                <w:bCs/>
                <w:color w:val="000000"/>
                <w:kern w:val="0"/>
              </w:rPr>
            </w:pPr>
            <w:r>
              <w:rPr>
                <w:rFonts w:hint="eastAsia" w:ascii="宋体" w:hAnsi="宋体" w:cs="宋体"/>
                <w:b/>
                <w:bCs/>
                <w:color w:val="000000"/>
                <w:kern w:val="0"/>
              </w:rPr>
              <w:t>名称</w:t>
            </w:r>
          </w:p>
        </w:tc>
        <w:tc>
          <w:tcPr>
            <w:tcW w:w="2767"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项目要求</w:t>
            </w:r>
          </w:p>
        </w:tc>
        <w:tc>
          <w:tcPr>
            <w:tcW w:w="520"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数量</w:t>
            </w:r>
          </w:p>
        </w:tc>
        <w:tc>
          <w:tcPr>
            <w:tcW w:w="440"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单价</w:t>
            </w:r>
          </w:p>
        </w:tc>
        <w:tc>
          <w:tcPr>
            <w:tcW w:w="457" w:type="pct"/>
            <w:tcBorders>
              <w:top w:val="single" w:color="auto" w:sz="4" w:space="0"/>
              <w:left w:val="nil"/>
              <w:bottom w:val="single" w:color="auto" w:sz="4" w:space="0"/>
              <w:right w:val="single" w:color="auto" w:sz="4" w:space="0"/>
            </w:tcBorders>
            <w:vAlign w:val="center"/>
          </w:tcPr>
          <w:p>
            <w:pPr>
              <w:jc w:val="center"/>
              <w:rPr>
                <w:rFonts w:ascii="宋体" w:hAnsi="宋体" w:cs="宋体"/>
                <w:b/>
                <w:bCs/>
                <w:color w:val="000000"/>
                <w:kern w:val="0"/>
              </w:rPr>
            </w:pPr>
            <w:r>
              <w:rPr>
                <w:rFonts w:hint="eastAsia" w:ascii="宋体" w:hAnsi="宋体" w:cs="宋体"/>
                <w:b/>
                <w:bCs/>
                <w:color w:val="000000"/>
                <w:kern w:val="0"/>
              </w:rPr>
              <w:t>金额</w:t>
            </w: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1</w:t>
            </w:r>
          </w:p>
        </w:tc>
        <w:tc>
          <w:tcPr>
            <w:tcW w:w="495" w:type="pct"/>
            <w:tcBorders>
              <w:top w:val="nil"/>
              <w:left w:val="nil"/>
              <w:bottom w:val="single" w:color="auto" w:sz="4" w:space="0"/>
              <w:right w:val="single" w:color="auto" w:sz="4" w:space="0"/>
            </w:tcBorders>
            <w:shd w:val="clear" w:color="auto" w:fill="FFFFFF"/>
            <w:vAlign w:val="center"/>
          </w:tcPr>
          <w:p>
            <w:pPr>
              <w:rPr>
                <w:rFonts w:ascii="宋体" w:hAnsi="宋体" w:cs="宋体"/>
                <w:color w:val="000000" w:themeColor="text1"/>
              </w:rPr>
            </w:pPr>
            <w:r>
              <w:rPr>
                <w:rFonts w:hint="eastAsia" w:ascii="宋体" w:hAnsi="宋体" w:cs="宋体"/>
                <w:color w:val="000000" w:themeColor="text1"/>
              </w:rPr>
              <w:t>电脑</w:t>
            </w:r>
          </w:p>
        </w:tc>
        <w:tc>
          <w:tcPr>
            <w:tcW w:w="2767" w:type="pct"/>
            <w:tcBorders>
              <w:top w:val="nil"/>
              <w:left w:val="nil"/>
              <w:bottom w:val="single" w:color="auto" w:sz="4" w:space="0"/>
              <w:right w:val="single" w:color="auto" w:sz="4" w:space="0"/>
            </w:tcBorders>
            <w:shd w:val="clear" w:color="auto" w:fill="FFFFFF"/>
            <w:vAlign w:val="center"/>
          </w:tcPr>
          <w:p>
            <w:pPr>
              <w:rPr>
                <w:rFonts w:ascii="宋体" w:hAnsi="宋体" w:cs="宋体"/>
              </w:rPr>
            </w:pPr>
            <w:r>
              <w:rPr>
                <w:rFonts w:hint="eastAsia" w:ascii="宋体" w:hAnsi="宋体" w:cs="宋体"/>
              </w:rPr>
              <w:t>1、CPU：</w:t>
            </w:r>
            <w:r>
              <w:rPr>
                <w:rFonts w:hint="eastAsia" w:ascii="宋体" w:hAnsi="宋体" w:cs="宋体"/>
                <w:color w:val="000000" w:themeColor="text1"/>
              </w:rPr>
              <w:t>IntelC</w:t>
            </w:r>
            <w:r>
              <w:rPr>
                <w:rFonts w:hint="eastAsia" w:ascii="宋体" w:hAnsi="宋体" w:cs="宋体"/>
              </w:rPr>
              <w:t>orei5-10500</w:t>
            </w:r>
          </w:p>
          <w:p>
            <w:pPr>
              <w:rPr>
                <w:rFonts w:ascii="宋体" w:hAnsi="宋体" w:cs="宋体"/>
                <w:color w:val="000000" w:themeColor="text1"/>
              </w:rPr>
            </w:pPr>
            <w:r>
              <w:rPr>
                <w:rFonts w:hint="eastAsia" w:ascii="宋体" w:hAnsi="宋体" w:cs="宋体"/>
              </w:rPr>
              <w:t>2</w:t>
            </w:r>
            <w:r>
              <w:rPr>
                <w:rFonts w:hint="eastAsia" w:ascii="宋体" w:hAnsi="宋体" w:cs="宋体"/>
                <w:color w:val="000000" w:themeColor="text1"/>
              </w:rPr>
              <w:t>、主板Intel 470芯片组及以上</w:t>
            </w:r>
          </w:p>
          <w:p>
            <w:pPr>
              <w:rPr>
                <w:rFonts w:ascii="宋体" w:hAnsi="宋体" w:cs="宋体"/>
                <w:color w:val="000000" w:themeColor="text1"/>
              </w:rPr>
            </w:pPr>
            <w:r>
              <w:rPr>
                <w:rFonts w:hint="eastAsia" w:ascii="宋体" w:hAnsi="宋体" w:cs="宋体"/>
                <w:color w:val="000000" w:themeColor="text1"/>
              </w:rPr>
              <w:t xml:space="preserve">3、内存：16G DDR4 2666MHz内存, </w:t>
            </w:r>
          </w:p>
          <w:p>
            <w:pPr>
              <w:rPr>
                <w:rFonts w:ascii="宋体" w:hAnsi="宋体" w:cs="宋体"/>
                <w:color w:val="000000" w:themeColor="text1"/>
              </w:rPr>
            </w:pPr>
            <w:r>
              <w:rPr>
                <w:rFonts w:hint="eastAsia" w:ascii="宋体" w:hAnsi="宋体" w:cs="宋体"/>
                <w:color w:val="000000" w:themeColor="text1"/>
              </w:rPr>
              <w:t>4、显卡：2G独立显卡</w:t>
            </w:r>
          </w:p>
          <w:p>
            <w:pPr>
              <w:jc w:val="left"/>
              <w:rPr>
                <w:rFonts w:ascii="宋体" w:hAnsi="宋体" w:cs="宋体"/>
                <w:color w:val="000000" w:themeColor="text1"/>
              </w:rPr>
            </w:pPr>
            <w:r>
              <w:rPr>
                <w:rFonts w:hint="eastAsia" w:ascii="宋体" w:hAnsi="宋体" w:cs="宋体"/>
                <w:color w:val="000000" w:themeColor="text1"/>
              </w:rPr>
              <w:t>5、声卡：集成HD Audio</w:t>
            </w:r>
            <w:r>
              <w:rPr>
                <w:rFonts w:hint="eastAsia" w:ascii="宋体" w:hAnsi="宋体" w:cs="宋体"/>
                <w:color w:val="000000" w:themeColor="text1"/>
                <w:kern w:val="0"/>
              </w:rPr>
              <w:t>原厂前置音频接口*2（音频输入接口*1，音频输出接口*1），非转接。</w:t>
            </w:r>
          </w:p>
          <w:p>
            <w:pPr>
              <w:rPr>
                <w:rFonts w:ascii="宋体" w:hAnsi="宋体" w:cs="宋体"/>
                <w:color w:val="000000" w:themeColor="text1"/>
              </w:rPr>
            </w:pPr>
            <w:r>
              <w:rPr>
                <w:rFonts w:hint="eastAsia" w:ascii="宋体" w:hAnsi="宋体" w:cs="宋体"/>
                <w:color w:val="000000" w:themeColor="text1"/>
              </w:rPr>
              <w:t>6、硬盘：</w:t>
            </w:r>
            <w:r>
              <w:rPr>
                <w:rFonts w:hint="eastAsia"/>
                <w:color w:val="000000" w:themeColor="text1"/>
              </w:rPr>
              <w:t>SSD固态硬盘，NVMe接口</w:t>
            </w:r>
          </w:p>
          <w:p>
            <w:pPr>
              <w:rPr>
                <w:rFonts w:ascii="宋体" w:hAnsi="宋体" w:cs="宋体"/>
                <w:color w:val="000000" w:themeColor="text1"/>
              </w:rPr>
            </w:pPr>
            <w:r>
              <w:rPr>
                <w:rFonts w:hint="eastAsia" w:ascii="宋体" w:hAnsi="宋体" w:cs="宋体"/>
                <w:color w:val="000000" w:themeColor="text1"/>
              </w:rPr>
              <w:t>7、网卡：集成10/100/1000以太网卡，</w:t>
            </w:r>
          </w:p>
          <w:p>
            <w:pPr>
              <w:rPr>
                <w:rFonts w:ascii="宋体" w:hAnsi="宋体" w:cs="宋体"/>
                <w:color w:val="000000" w:themeColor="text1"/>
              </w:rPr>
            </w:pPr>
            <w:r>
              <w:rPr>
                <w:rFonts w:hint="eastAsia" w:ascii="宋体" w:hAnsi="宋体" w:cs="宋体"/>
                <w:color w:val="000000" w:themeColor="text1"/>
              </w:rPr>
              <w:t>8、扩展槽：至少</w:t>
            </w:r>
            <w:r>
              <w:rPr>
                <w:rFonts w:hint="eastAsia"/>
                <w:color w:val="000000" w:themeColor="text1"/>
              </w:rPr>
              <w:t>1个PCI-E*16、2个PCI-E*1</w:t>
            </w:r>
          </w:p>
          <w:p>
            <w:pPr>
              <w:rPr>
                <w:rFonts w:ascii="宋体" w:hAnsi="宋体" w:cs="宋体"/>
                <w:color w:val="000000" w:themeColor="text1"/>
              </w:rPr>
            </w:pPr>
            <w:r>
              <w:rPr>
                <w:rFonts w:hint="eastAsia" w:ascii="宋体" w:hAnsi="宋体" w:cs="宋体"/>
                <w:color w:val="000000" w:themeColor="text1"/>
              </w:rPr>
              <w:t>9、键盘、鼠标：原厂USB有线键盘、鼠标</w:t>
            </w:r>
          </w:p>
          <w:p>
            <w:pPr>
              <w:rPr>
                <w:rFonts w:ascii="宋体" w:hAnsi="宋体" w:cs="宋体"/>
                <w:color w:val="000000" w:themeColor="text1"/>
              </w:rPr>
            </w:pPr>
            <w:r>
              <w:rPr>
                <w:rFonts w:hint="eastAsia" w:ascii="宋体" w:hAnsi="宋体" w:cs="宋体"/>
                <w:color w:val="000000" w:themeColor="text1"/>
              </w:rPr>
              <w:t>10、接口：≥8个接口（其中前置≥6个USB 3.2），VGA+HDMI接口</w:t>
            </w:r>
          </w:p>
          <w:p>
            <w:pPr>
              <w:rPr>
                <w:rFonts w:ascii="宋体" w:hAnsi="宋体" w:cs="宋体"/>
                <w:color w:val="000000" w:themeColor="text1"/>
              </w:rPr>
            </w:pPr>
            <w:r>
              <w:rPr>
                <w:rFonts w:hint="eastAsia" w:ascii="宋体" w:hAnsi="宋体" w:cs="宋体"/>
                <w:color w:val="000000" w:themeColor="text1"/>
              </w:rPr>
              <w:t>11、显示器：同品牌21.5 寸及以上WLED ，分辨率不低于1920*1080，</w:t>
            </w:r>
            <w:r>
              <w:rPr>
                <w:color w:val="000000" w:themeColor="text1"/>
              </w:rPr>
              <w:t>VGA + DVI</w:t>
            </w:r>
            <w:r>
              <w:rPr>
                <w:rFonts w:hint="eastAsia" w:ascii="宋体" w:hAnsi="宋体" w:cs="宋体"/>
                <w:color w:val="000000" w:themeColor="text1"/>
              </w:rPr>
              <w:t>接口</w:t>
            </w:r>
          </w:p>
          <w:p>
            <w:pPr>
              <w:rPr>
                <w:rFonts w:ascii="宋体" w:hAnsi="宋体" w:cs="宋体"/>
                <w:color w:val="000000" w:themeColor="text1"/>
              </w:rPr>
            </w:pPr>
            <w:r>
              <w:rPr>
                <w:rFonts w:hint="eastAsia" w:ascii="宋体" w:hAnsi="宋体" w:cs="宋体"/>
                <w:color w:val="000000" w:themeColor="text1"/>
              </w:rPr>
              <w:t>12、不低于110/220V 310W 节能电源 顶置提手，方便搬运 立式机箱，采用蜂窝结构，机箱体积≤15L 13、管理功能</w:t>
            </w:r>
          </w:p>
          <w:p>
            <w:pPr>
              <w:rPr>
                <w:rFonts w:ascii="宋体" w:hAnsi="宋体" w:cs="宋体"/>
                <w:color w:val="000000" w:themeColor="text1"/>
              </w:rPr>
            </w:pPr>
            <w:r>
              <w:rPr>
                <w:rFonts w:hint="eastAsia" w:ascii="宋体" w:hAnsi="宋体" w:cs="宋体"/>
                <w:color w:val="000000" w:themeColor="text1"/>
              </w:rPr>
              <w:t>原厂预装win10操作系统。</w:t>
            </w:r>
          </w:p>
          <w:p>
            <w:pPr>
              <w:rPr>
                <w:rFonts w:ascii="宋体" w:hAnsi="宋体" w:cs="宋体"/>
                <w:color w:val="000000" w:themeColor="text1"/>
              </w:rPr>
            </w:pPr>
            <w:r>
              <w:rPr>
                <w:rFonts w:hint="eastAsia" w:ascii="宋体" w:hAnsi="宋体" w:cs="宋体"/>
                <w:color w:val="000000" w:themeColor="text1"/>
              </w:rPr>
              <w:t>可实现所有的计算机终端集中统一管理。</w:t>
            </w:r>
          </w:p>
          <w:p>
            <w:pPr>
              <w:rPr>
                <w:color w:val="000000" w:themeColor="text1"/>
              </w:rPr>
            </w:pPr>
            <w:r>
              <w:rPr>
                <w:rFonts w:hint="eastAsia"/>
                <w:bCs/>
                <w:color w:val="000000" w:themeColor="text1"/>
              </w:rPr>
              <w:t>13、网络同传</w:t>
            </w:r>
            <w:r>
              <w:rPr>
                <w:rFonts w:hint="eastAsia"/>
                <w:color w:val="000000" w:themeColor="text1"/>
              </w:rPr>
              <w:t>：支持常见的Windows</w:t>
            </w:r>
            <w:r>
              <w:rPr>
                <w:color w:val="000000" w:themeColor="text1"/>
              </w:rPr>
              <w:t>10</w:t>
            </w:r>
            <w:r>
              <w:rPr>
                <w:rFonts w:hint="eastAsia"/>
                <w:color w:val="000000" w:themeColor="text1"/>
              </w:rPr>
              <w:t>、7等和linux操作系统，同传后，自动同步时钟、分配IP和计算机名；具有防破解功能；支持数据加密传输（中标后提供计算机制造厂家证明材料）</w:t>
            </w:r>
          </w:p>
          <w:p>
            <w:pPr>
              <w:rPr>
                <w:rFonts w:ascii="宋体" w:hAnsi="宋体" w:cs="宋体"/>
                <w:color w:val="000000" w:themeColor="text1"/>
              </w:rPr>
            </w:pPr>
            <w:r>
              <w:rPr>
                <w:rFonts w:hint="eastAsia" w:ascii="宋体" w:hAnsi="宋体" w:cs="宋体"/>
                <w:color w:val="000000" w:themeColor="text1"/>
              </w:rPr>
              <w:t>14、产品需获得节能认证、环保认证、投标时提供证书复印件并加盖公章。整机3年含显示器，中标后提原厂盖章的三年质保承诺函。</w:t>
            </w:r>
          </w:p>
          <w:p>
            <w:pPr>
              <w:rPr>
                <w:rFonts w:ascii="宋体" w:hAnsi="宋体" w:cs="宋体"/>
                <w:color w:val="FF0000"/>
              </w:rPr>
            </w:pPr>
            <w:r>
              <w:rPr>
                <w:rFonts w:hint="eastAsia" w:ascii="宋体" w:hAnsi="宋体" w:cs="宋体"/>
                <w:color w:val="000000" w:themeColor="text1"/>
              </w:rPr>
              <w:t>15、教学软件：中标厂商须免费赠送满足正常教学用网络教学软件，含50台电脑正版授权。</w:t>
            </w: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50</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rPr>
            </w:pP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2</w:t>
            </w:r>
          </w:p>
        </w:tc>
        <w:tc>
          <w:tcPr>
            <w:tcW w:w="495" w:type="pct"/>
            <w:tcBorders>
              <w:top w:val="nil"/>
              <w:left w:val="nil"/>
              <w:bottom w:val="single" w:color="auto" w:sz="4" w:space="0"/>
              <w:right w:val="single" w:color="auto" w:sz="4" w:space="0"/>
            </w:tcBorders>
            <w:shd w:val="clear" w:color="auto" w:fill="FFFFFF"/>
            <w:vAlign w:val="center"/>
          </w:tcPr>
          <w:p>
            <w:pPr>
              <w:rPr>
                <w:rFonts w:ascii="宋体" w:hAnsi="宋体" w:cs="宋体"/>
                <w:color w:val="000000" w:themeColor="text1"/>
              </w:rPr>
            </w:pPr>
            <w:r>
              <w:rPr>
                <w:rFonts w:hint="eastAsia" w:ascii="宋体" w:hAnsi="宋体" w:cs="宋体"/>
                <w:color w:val="000000" w:themeColor="text1"/>
              </w:rPr>
              <w:t>服务器（含对应尺寸的机柜）</w:t>
            </w:r>
          </w:p>
        </w:tc>
        <w:tc>
          <w:tcPr>
            <w:tcW w:w="2767" w:type="pct"/>
            <w:tcBorders>
              <w:top w:val="nil"/>
              <w:left w:val="nil"/>
              <w:bottom w:val="single" w:color="auto" w:sz="4" w:space="0"/>
              <w:right w:val="single" w:color="auto" w:sz="4" w:space="0"/>
            </w:tcBorders>
            <w:shd w:val="clear" w:color="auto" w:fill="FFFFFF"/>
            <w:vAlign w:val="center"/>
          </w:tcPr>
          <w:p>
            <w:pPr>
              <w:rPr>
                <w:rFonts w:ascii="宋体" w:hAnsi="宋体" w:cs="宋体"/>
                <w:b/>
                <w:color w:val="000000" w:themeColor="text1"/>
              </w:rPr>
            </w:pPr>
            <w:r>
              <w:rPr>
                <w:rFonts w:hint="eastAsia" w:ascii="宋体" w:hAnsi="宋体" w:cs="宋体"/>
                <w:color w:val="000000" w:themeColor="text1"/>
              </w:rPr>
              <w:t>1、品牌要求：知名服务器品牌</w:t>
            </w:r>
          </w:p>
          <w:p>
            <w:pPr>
              <w:rPr>
                <w:rFonts w:ascii="宋体" w:hAnsi="宋体" w:cs="宋体"/>
                <w:color w:val="000000" w:themeColor="text1"/>
              </w:rPr>
            </w:pPr>
            <w:r>
              <w:rPr>
                <w:rFonts w:hint="eastAsia" w:ascii="宋体" w:hAnsi="宋体" w:cs="宋体"/>
                <w:color w:val="000000" w:themeColor="text1"/>
              </w:rPr>
              <w:t>★2、机型：2U机架式服务器</w:t>
            </w:r>
          </w:p>
          <w:p>
            <w:pPr>
              <w:rPr>
                <w:rFonts w:ascii="宋体" w:hAnsi="宋体" w:cs="宋体"/>
                <w:color w:val="000000" w:themeColor="text1"/>
              </w:rPr>
            </w:pPr>
            <w:r>
              <w:rPr>
                <w:rFonts w:hint="eastAsia" w:ascii="宋体" w:hAnsi="宋体" w:cs="宋体"/>
                <w:color w:val="000000" w:themeColor="text1"/>
              </w:rPr>
              <w:t>★3、处理器：配置≥2颗Intel Xeon 4210 系列CPU</w:t>
            </w:r>
          </w:p>
          <w:p>
            <w:pPr>
              <w:rPr>
                <w:rFonts w:ascii="宋体" w:hAnsi="宋体" w:cs="宋体"/>
                <w:color w:val="000000" w:themeColor="text1"/>
              </w:rPr>
            </w:pPr>
            <w:r>
              <w:rPr>
                <w:rFonts w:hint="eastAsia" w:ascii="宋体" w:hAnsi="宋体" w:cs="宋体"/>
                <w:color w:val="000000" w:themeColor="text1"/>
              </w:rPr>
              <w:t>★4、内存：配置≥32 GB DDR4 2666MHz ECC RDIMM内存，支持≥24个内存插槽，最大可支持2TB内存容量，支持内存ECC保护、内存镜像、内存热备，支持NVDIMM和NVDIMM-N内存可实现意外断电时内存数据不丢失。</w:t>
            </w:r>
          </w:p>
          <w:p>
            <w:pPr>
              <w:rPr>
                <w:rFonts w:ascii="宋体" w:hAnsi="宋体" w:cs="宋体"/>
                <w:color w:val="000000" w:themeColor="text1"/>
              </w:rPr>
            </w:pPr>
            <w:r>
              <w:rPr>
                <w:rFonts w:hint="eastAsia" w:ascii="宋体" w:hAnsi="宋体" w:cs="宋体"/>
                <w:color w:val="000000" w:themeColor="text1"/>
              </w:rPr>
              <w:t>★5、硬盘：512G固态，配置≥3块2TB热插拔硬盘，支持≥12个外置热插拔硬盘，可支持SAS/SATA硬盘、SSD混插，可选支持8个NVMe U.2 SSD，可选支持2个M.2 SSD，支持RAID 0，1，5，可选支持≥2个后置热插拔2.5寸硬盘位.</w:t>
            </w:r>
          </w:p>
          <w:p>
            <w:pPr>
              <w:rPr>
                <w:rFonts w:ascii="宋体" w:hAnsi="宋体" w:cs="宋体"/>
                <w:color w:val="000000" w:themeColor="text1"/>
              </w:rPr>
            </w:pPr>
            <w:r>
              <w:rPr>
                <w:rFonts w:hint="eastAsia" w:ascii="宋体" w:hAnsi="宋体" w:cs="宋体"/>
                <w:color w:val="000000" w:themeColor="text1"/>
              </w:rPr>
              <w:t>6、网卡：提供板载双口千兆网口，支持NCSI、网络唤醒，网络冗余，负载均衡等网络高级特性；</w:t>
            </w:r>
          </w:p>
          <w:p>
            <w:pPr>
              <w:rPr>
                <w:rFonts w:ascii="宋体" w:hAnsi="宋体" w:cs="宋体"/>
                <w:color w:val="000000" w:themeColor="text1"/>
              </w:rPr>
            </w:pPr>
            <w:r>
              <w:rPr>
                <w:rFonts w:hint="eastAsia" w:ascii="宋体" w:hAnsi="宋体" w:cs="宋体"/>
                <w:color w:val="000000" w:themeColor="text1"/>
              </w:rPr>
              <w:t>7、扩展插槽：最大支持10个PCI-E 3.0插槽（2个专用插槽），</w:t>
            </w:r>
          </w:p>
          <w:p>
            <w:pPr>
              <w:rPr>
                <w:rFonts w:ascii="宋体" w:hAnsi="宋体" w:cs="宋体"/>
                <w:color w:val="000000" w:themeColor="text1"/>
              </w:rPr>
            </w:pPr>
            <w:r>
              <w:rPr>
                <w:rFonts w:hint="eastAsia" w:ascii="宋体" w:hAnsi="宋体" w:cs="宋体"/>
                <w:color w:val="000000" w:themeColor="text1"/>
              </w:rPr>
              <w:t>8、SD卡：主板支持SD卡插槽，可实现存储系统日志及BMC日志，</w:t>
            </w:r>
          </w:p>
          <w:p>
            <w:pPr>
              <w:rPr>
                <w:rFonts w:ascii="宋体" w:hAnsi="宋体" w:cs="宋体"/>
                <w:color w:val="000000" w:themeColor="text1"/>
              </w:rPr>
            </w:pPr>
            <w:r>
              <w:rPr>
                <w:rFonts w:hint="eastAsia" w:ascii="宋体" w:hAnsi="宋体" w:cs="宋体"/>
                <w:color w:val="000000" w:themeColor="text1"/>
              </w:rPr>
              <w:t>9、管理：集成系统管理芯片，提供iKVM和KVM Over IP高级管理功能，本地固件更新、错误日志，提供系统状况的可视显示；配置独立的远程管理控制端口，支持远程监控图形界面, 可实现与操作系统无关的远程对服务器的完全控制，包括远程的开机、关机、重启、虚拟设备挂载等操作；可实现监控服务器内部主要部件的状态，包括CPU、内存、硬盘、风扇、电源；</w:t>
            </w:r>
          </w:p>
          <w:p>
            <w:pPr>
              <w:rPr>
                <w:rFonts w:ascii="宋体" w:hAnsi="宋体" w:cs="宋体"/>
                <w:color w:val="000000" w:themeColor="text1"/>
              </w:rPr>
            </w:pPr>
            <w:r>
              <w:rPr>
                <w:rFonts w:hint="eastAsia" w:ascii="宋体" w:hAnsi="宋体" w:cs="宋体"/>
                <w:color w:val="000000" w:themeColor="text1"/>
              </w:rPr>
              <w:t>数据安全性:免费提供三年国家信息中心涉密数据恢复服务；电源:配置热插拔铂金电源，功率≥550W；</w:t>
            </w:r>
          </w:p>
          <w:p>
            <w:pPr>
              <w:rPr>
                <w:rFonts w:ascii="宋体" w:hAnsi="宋体" w:cs="宋体"/>
                <w:color w:val="000000" w:themeColor="text1"/>
              </w:rPr>
            </w:pPr>
            <w:r>
              <w:rPr>
                <w:rFonts w:hint="eastAsia" w:ascii="宋体" w:hAnsi="宋体" w:cs="宋体"/>
                <w:color w:val="000000" w:themeColor="text1"/>
              </w:rPr>
              <w:t>风扇:配置≥3个热插拔高速系统风扇</w:t>
            </w:r>
          </w:p>
          <w:p>
            <w:pPr>
              <w:rPr>
                <w:rFonts w:ascii="宋体" w:hAnsi="宋体" w:cs="宋体"/>
                <w:color w:val="000000" w:themeColor="text1"/>
              </w:rPr>
            </w:pPr>
            <w:r>
              <w:rPr>
                <w:rFonts w:hint="eastAsia" w:ascii="宋体" w:hAnsi="宋体" w:cs="宋体"/>
                <w:color w:val="000000" w:themeColor="text1"/>
              </w:rPr>
              <w:t>10、服务：3年原厂整机质保，3年原厂免费上门服务。</w:t>
            </w:r>
          </w:p>
          <w:p>
            <w:r>
              <w:rPr>
                <w:rFonts w:hint="eastAsia" w:ascii="宋体" w:hAnsi="宋体" w:cs="宋体"/>
                <w:color w:val="000000" w:themeColor="text1"/>
              </w:rPr>
              <w:t>11、配置对应尺寸机柜</w:t>
            </w: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1</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r>
      <w:tr>
        <w:tblPrEx>
          <w:tblCellMar>
            <w:top w:w="0" w:type="dxa"/>
            <w:left w:w="108" w:type="dxa"/>
            <w:bottom w:w="0" w:type="dxa"/>
            <w:right w:w="108" w:type="dxa"/>
          </w:tblCellMar>
        </w:tblPrEx>
        <w:trPr>
          <w:trHeight w:val="600" w:hRule="atLeast"/>
          <w:jc w:val="center"/>
        </w:trPr>
        <w:tc>
          <w:tcPr>
            <w:tcW w:w="319" w:type="pct"/>
            <w:tcBorders>
              <w:top w:val="nil"/>
              <w:left w:val="single" w:color="auto" w:sz="4" w:space="0"/>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3</w:t>
            </w:r>
          </w:p>
        </w:tc>
        <w:tc>
          <w:tcPr>
            <w:tcW w:w="495"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bCs/>
                <w:color w:val="000000" w:themeColor="text1"/>
              </w:rPr>
            </w:pPr>
            <w:r>
              <w:rPr>
                <w:rFonts w:hint="eastAsia" w:ascii="宋体" w:hAnsi="宋体" w:cs="宋体"/>
                <w:bCs/>
                <w:color w:val="000000" w:themeColor="text1"/>
              </w:rPr>
              <w:t>交换机</w:t>
            </w:r>
            <w:r>
              <w:rPr>
                <w:rFonts w:hint="eastAsia" w:ascii="宋体" w:hAnsi="宋体" w:cs="宋体"/>
                <w:color w:val="000000" w:themeColor="text1"/>
              </w:rPr>
              <w:t>（含对应尺寸的机柜）</w:t>
            </w:r>
          </w:p>
        </w:tc>
        <w:tc>
          <w:tcPr>
            <w:tcW w:w="2767" w:type="pct"/>
            <w:tcBorders>
              <w:top w:val="nil"/>
              <w:left w:val="nil"/>
              <w:bottom w:val="single" w:color="auto" w:sz="4" w:space="0"/>
              <w:right w:val="single" w:color="auto" w:sz="4" w:space="0"/>
            </w:tcBorders>
            <w:shd w:val="clear" w:color="auto" w:fill="FFFFFF"/>
            <w:vAlign w:val="center"/>
          </w:tcPr>
          <w:p>
            <w:pPr>
              <w:rPr>
                <w:rFonts w:ascii="宋体" w:hAnsi="宋体" w:cs="宋体"/>
                <w:bCs/>
                <w:color w:val="000000" w:themeColor="text1"/>
              </w:rPr>
            </w:pPr>
            <w:r>
              <w:rPr>
                <w:rFonts w:hint="eastAsia" w:ascii="宋体" w:hAnsi="宋体" w:cs="宋体"/>
                <w:bCs/>
                <w:color w:val="000000" w:themeColor="text1"/>
              </w:rPr>
              <w:t>11、交换容量</w:t>
            </w:r>
            <w:r>
              <w:rPr>
                <w:rFonts w:hint="eastAsia" w:ascii="宋体" w:hAnsi="宋体" w:cs="宋体"/>
                <w:color w:val="000000" w:themeColor="text1"/>
              </w:rPr>
              <w:t>≥</w:t>
            </w:r>
            <w:r>
              <w:rPr>
                <w:rFonts w:hint="eastAsia" w:ascii="宋体" w:hAnsi="宋体" w:cs="宋体"/>
                <w:bCs/>
                <w:color w:val="000000" w:themeColor="text1"/>
              </w:rPr>
              <w:t>336Gbps，转发率</w:t>
            </w:r>
            <w:r>
              <w:rPr>
                <w:rFonts w:hint="eastAsia" w:ascii="宋体" w:hAnsi="宋体" w:cs="宋体"/>
                <w:color w:val="000000" w:themeColor="text1"/>
              </w:rPr>
              <w:t>≥</w:t>
            </w:r>
            <w:r>
              <w:rPr>
                <w:rFonts w:hint="eastAsia" w:ascii="宋体" w:hAnsi="宋体" w:cs="宋体"/>
                <w:bCs/>
                <w:color w:val="000000" w:themeColor="text1"/>
              </w:rPr>
              <w:t>92Mpps，</w:t>
            </w:r>
          </w:p>
          <w:p>
            <w:pPr>
              <w:rPr>
                <w:rFonts w:ascii="宋体" w:hAnsi="宋体" w:cs="宋体"/>
                <w:bCs/>
                <w:color w:val="000000" w:themeColor="text1"/>
              </w:rPr>
            </w:pPr>
            <w:r>
              <w:rPr>
                <w:rFonts w:hint="eastAsia" w:ascii="宋体" w:hAnsi="宋体" w:cs="宋体"/>
                <w:color w:val="000000" w:themeColor="text1"/>
              </w:rPr>
              <w:t>12、≥</w:t>
            </w:r>
            <w:r>
              <w:rPr>
                <w:rFonts w:hint="eastAsia" w:ascii="宋体" w:hAnsi="宋体" w:cs="宋体"/>
                <w:bCs/>
                <w:color w:val="000000" w:themeColor="text1"/>
              </w:rPr>
              <w:t>24*千兆电口+4*SFP；</w:t>
            </w:r>
          </w:p>
          <w:p>
            <w:pPr>
              <w:numPr>
                <w:ilvl w:val="0"/>
                <w:numId w:val="5"/>
              </w:numPr>
              <w:rPr>
                <w:rFonts w:ascii="宋体" w:hAnsi="宋体" w:cs="宋体"/>
                <w:bCs/>
                <w:color w:val="000000" w:themeColor="text1"/>
              </w:rPr>
            </w:pPr>
            <w:r>
              <w:rPr>
                <w:rFonts w:hint="eastAsia" w:ascii="宋体" w:hAnsi="宋体" w:cs="宋体"/>
                <w:bCs/>
                <w:color w:val="000000" w:themeColor="text1"/>
              </w:rPr>
              <w:t>VLAN：4K(数量非ID)、MAC：</w:t>
            </w:r>
            <w:r>
              <w:rPr>
                <w:rFonts w:hint="eastAsia" w:ascii="宋体" w:hAnsi="宋体" w:cs="宋体"/>
                <w:color w:val="000000" w:themeColor="text1"/>
              </w:rPr>
              <w:t>≥</w:t>
            </w:r>
            <w:r>
              <w:rPr>
                <w:rFonts w:hint="eastAsia" w:ascii="宋体" w:hAnsi="宋体" w:cs="宋体"/>
                <w:bCs/>
                <w:color w:val="000000" w:themeColor="text1"/>
              </w:rPr>
              <w:t>8K；</w:t>
            </w:r>
          </w:p>
          <w:p>
            <w:pPr>
              <w:numPr>
                <w:ilvl w:val="0"/>
                <w:numId w:val="5"/>
              </w:numPr>
              <w:rPr>
                <w:rFonts w:ascii="宋体" w:hAnsi="宋体" w:cs="宋体"/>
                <w:bCs/>
                <w:color w:val="000000" w:themeColor="text1"/>
              </w:rPr>
            </w:pPr>
            <w:r>
              <w:rPr>
                <w:rFonts w:hint="eastAsia" w:ascii="宋体" w:hAnsi="宋体" w:cs="宋体"/>
                <w:bCs/>
                <w:color w:val="000000" w:themeColor="text1"/>
              </w:rPr>
              <w:t>支持半双工、全双工、自协商工作模式，支持MDI/MDI-X；</w:t>
            </w:r>
          </w:p>
          <w:p>
            <w:pPr>
              <w:numPr>
                <w:ilvl w:val="0"/>
                <w:numId w:val="5"/>
              </w:numPr>
              <w:rPr>
                <w:rFonts w:ascii="宋体" w:hAnsi="宋体" w:cs="宋体"/>
                <w:bCs/>
                <w:color w:val="000000" w:themeColor="text1"/>
              </w:rPr>
            </w:pPr>
            <w:r>
              <w:rPr>
                <w:rFonts w:hint="eastAsia" w:ascii="宋体" w:hAnsi="宋体" w:cs="宋体"/>
                <w:bCs/>
                <w:color w:val="000000" w:themeColor="text1"/>
              </w:rPr>
              <w:t>支持IRF2（最大支持9台堆叠）；</w:t>
            </w:r>
          </w:p>
          <w:p>
            <w:pPr>
              <w:numPr>
                <w:ilvl w:val="0"/>
                <w:numId w:val="5"/>
              </w:numPr>
              <w:rPr>
                <w:rFonts w:ascii="宋体" w:hAnsi="宋体" w:cs="宋体"/>
                <w:bCs/>
                <w:color w:val="000000" w:themeColor="text1"/>
              </w:rPr>
            </w:pPr>
            <w:r>
              <w:rPr>
                <w:rFonts w:hint="eastAsia" w:ascii="宋体" w:hAnsi="宋体" w:cs="宋体"/>
                <w:bCs/>
                <w:color w:val="000000" w:themeColor="text1"/>
              </w:rPr>
              <w:t>支持STP/RSTP/MSTP；</w:t>
            </w:r>
          </w:p>
          <w:p>
            <w:pPr>
              <w:numPr>
                <w:ilvl w:val="0"/>
                <w:numId w:val="5"/>
              </w:numPr>
              <w:rPr>
                <w:rFonts w:ascii="宋体" w:hAnsi="宋体" w:cs="宋体"/>
                <w:bCs/>
                <w:color w:val="000000" w:themeColor="text1"/>
              </w:rPr>
            </w:pPr>
            <w:r>
              <w:rPr>
                <w:rFonts w:hint="eastAsia" w:ascii="宋体" w:hAnsi="宋体" w:cs="宋体"/>
                <w:bCs/>
                <w:color w:val="000000" w:themeColor="text1"/>
              </w:rPr>
              <w:t>支持三层功能，IPv4/IPv6静态路由、RIP；</w:t>
            </w:r>
          </w:p>
          <w:p>
            <w:pPr>
              <w:numPr>
                <w:ilvl w:val="0"/>
                <w:numId w:val="5"/>
              </w:numPr>
              <w:rPr>
                <w:rFonts w:ascii="宋体" w:hAnsi="宋体" w:cs="宋体"/>
                <w:bCs/>
                <w:color w:val="000000" w:themeColor="text1"/>
              </w:rPr>
            </w:pPr>
            <w:r>
              <w:rPr>
                <w:rFonts w:hint="eastAsia" w:ascii="宋体" w:hAnsi="宋体" w:cs="宋体"/>
                <w:bCs/>
                <w:color w:val="000000" w:themeColor="text1"/>
              </w:rPr>
              <w:t>支持端口镜像、流镜像；</w:t>
            </w:r>
          </w:p>
          <w:p>
            <w:pPr>
              <w:numPr>
                <w:ilvl w:val="0"/>
                <w:numId w:val="5"/>
              </w:numPr>
              <w:rPr>
                <w:rFonts w:ascii="宋体" w:hAnsi="宋体" w:cs="宋体"/>
                <w:bCs/>
                <w:color w:val="000000" w:themeColor="text1"/>
              </w:rPr>
            </w:pPr>
            <w:r>
              <w:rPr>
                <w:rFonts w:hint="eastAsia" w:ascii="宋体" w:hAnsi="宋体" w:cs="宋体"/>
                <w:bCs/>
                <w:color w:val="000000" w:themeColor="text1"/>
              </w:rPr>
              <w:t>支持二层、三层、四层ACL，支持Diff-Serv QoS；</w:t>
            </w:r>
          </w:p>
          <w:p>
            <w:pPr>
              <w:numPr>
                <w:ilvl w:val="0"/>
                <w:numId w:val="5"/>
              </w:numPr>
              <w:rPr>
                <w:rFonts w:ascii="宋体" w:hAnsi="宋体" w:cs="宋体"/>
                <w:bCs/>
                <w:color w:val="000000" w:themeColor="text1"/>
              </w:rPr>
            </w:pPr>
            <w:r>
              <w:rPr>
                <w:rFonts w:hint="eastAsia" w:ascii="宋体" w:hAnsi="宋体" w:cs="宋体"/>
                <w:bCs/>
                <w:color w:val="000000" w:themeColor="text1"/>
              </w:rPr>
              <w:t>支持Console/AUX Modem/Telnet/SSH2.0 命令行配置；</w:t>
            </w:r>
          </w:p>
          <w:p>
            <w:pPr>
              <w:numPr>
                <w:ilvl w:val="0"/>
                <w:numId w:val="5"/>
              </w:numPr>
              <w:rPr>
                <w:rFonts w:ascii="宋体" w:hAnsi="宋体" w:cs="宋体"/>
                <w:bCs/>
                <w:color w:val="000000" w:themeColor="text1"/>
              </w:rPr>
            </w:pPr>
            <w:r>
              <w:rPr>
                <w:rFonts w:hint="eastAsia" w:ascii="宋体" w:hAnsi="宋体" w:cs="宋体"/>
                <w:bCs/>
                <w:color w:val="000000" w:themeColor="text1"/>
              </w:rPr>
              <w:t xml:space="preserve">绿色节能设计。 </w:t>
            </w:r>
          </w:p>
          <w:p>
            <w:pPr>
              <w:numPr>
                <w:ilvl w:val="0"/>
                <w:numId w:val="5"/>
              </w:numPr>
              <w:rPr>
                <w:rFonts w:ascii="宋体" w:hAnsi="宋体" w:cs="宋体"/>
                <w:bCs/>
                <w:color w:val="000000" w:themeColor="text1"/>
              </w:rPr>
            </w:pPr>
            <w:r>
              <w:rPr>
                <w:rFonts w:hint="eastAsia" w:ascii="宋体" w:hAnsi="宋体" w:cs="宋体"/>
                <w:color w:val="000000" w:themeColor="text1"/>
              </w:rPr>
              <w:t>服务：3年原厂整机质保，3年原厂免费上门服务。</w:t>
            </w:r>
            <w:r>
              <w:rPr>
                <w:rFonts w:hint="eastAsia" w:ascii="宋体" w:hAnsi="宋体" w:cs="宋体"/>
                <w:bCs/>
                <w:color w:val="000000" w:themeColor="text1"/>
              </w:rPr>
              <w:t xml:space="preserve"> 提供官网截图证明 ，供货时候提供检测报告</w:t>
            </w:r>
          </w:p>
        </w:tc>
        <w:tc>
          <w:tcPr>
            <w:tcW w:w="520" w:type="pct"/>
            <w:tcBorders>
              <w:top w:val="nil"/>
              <w:left w:val="nil"/>
              <w:bottom w:val="single" w:color="auto" w:sz="4" w:space="0"/>
              <w:right w:val="single" w:color="auto" w:sz="4" w:space="0"/>
            </w:tcBorders>
            <w:shd w:val="clear" w:color="auto" w:fill="FFFFFF"/>
            <w:vAlign w:val="center"/>
          </w:tcPr>
          <w:p>
            <w:pPr>
              <w:jc w:val="center"/>
              <w:rPr>
                <w:rFonts w:ascii="宋体" w:hAnsi="宋体" w:cs="宋体"/>
                <w:color w:val="000000"/>
                <w:kern w:val="0"/>
              </w:rPr>
            </w:pPr>
            <w:r>
              <w:rPr>
                <w:rFonts w:hint="eastAsia" w:ascii="宋体" w:hAnsi="宋体" w:cs="宋体"/>
                <w:color w:val="000000"/>
                <w:kern w:val="0"/>
              </w:rPr>
              <w:t>3</w:t>
            </w:r>
          </w:p>
        </w:tc>
        <w:tc>
          <w:tcPr>
            <w:tcW w:w="440"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c>
          <w:tcPr>
            <w:tcW w:w="457" w:type="pct"/>
            <w:tcBorders>
              <w:top w:val="nil"/>
              <w:left w:val="nil"/>
              <w:bottom w:val="single" w:color="auto" w:sz="4" w:space="0"/>
              <w:right w:val="single" w:color="auto" w:sz="4" w:space="0"/>
            </w:tcBorders>
            <w:vAlign w:val="center"/>
          </w:tcPr>
          <w:p>
            <w:pPr>
              <w:jc w:val="center"/>
              <w:rPr>
                <w:rFonts w:ascii="宋体" w:hAnsi="宋体" w:cs="宋体"/>
                <w:color w:val="000000"/>
                <w:kern w:val="0"/>
              </w:rPr>
            </w:pPr>
          </w:p>
        </w:tc>
      </w:tr>
    </w:tbl>
    <w:p>
      <w:pPr>
        <w:spacing w:line="460" w:lineRule="exact"/>
        <w:rPr>
          <w:rFonts w:ascii="宋体" w:hAnsi="宋体" w:cs="宋体"/>
          <w:bCs/>
          <w:color w:val="000000" w:themeColor="text1"/>
        </w:rPr>
      </w:pPr>
    </w:p>
    <w:p>
      <w:pPr>
        <w:spacing w:line="460" w:lineRule="exact"/>
        <w:jc w:val="righ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jc w:val="righ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jc w:val="right"/>
        <w:rPr>
          <w:rFonts w:ascii="宋体" w:hAnsi="宋体" w:cs="宋体"/>
          <w:b/>
          <w:bCs/>
          <w:color w:val="000000" w:themeColor="text1"/>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cs="宋体"/>
          <w:bCs/>
          <w:color w:val="000000" w:themeColor="text1"/>
        </w:rPr>
        <w:t>日期：年月日</w:t>
      </w:r>
    </w:p>
    <w:p>
      <w:pPr>
        <w:pStyle w:val="4"/>
        <w:outlineLvl w:val="0"/>
        <w:rPr>
          <w:rFonts w:ascii="宋体" w:hAnsi="宋体" w:eastAsia="宋体" w:cs="宋体"/>
          <w:color w:val="000000" w:themeColor="text1"/>
          <w:sz w:val="32"/>
          <w:szCs w:val="32"/>
        </w:rPr>
      </w:pPr>
      <w:bookmarkStart w:id="18" w:name="_Toc18649"/>
      <w:r>
        <w:rPr>
          <w:rFonts w:hint="eastAsia" w:ascii="宋体" w:hAnsi="宋体" w:eastAsia="宋体" w:cs="宋体"/>
          <w:color w:val="000000" w:themeColor="text1"/>
          <w:sz w:val="32"/>
          <w:szCs w:val="32"/>
        </w:rPr>
        <w:t>五、投标人资格声明</w:t>
      </w:r>
      <w:bookmarkEnd w:id="18"/>
    </w:p>
    <w:tbl>
      <w:tblPr>
        <w:tblStyle w:val="24"/>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8"/>
        <w:gridCol w:w="1380"/>
        <w:gridCol w:w="1549"/>
        <w:gridCol w:w="31"/>
        <w:gridCol w:w="1518"/>
        <w:gridCol w:w="1583"/>
        <w:gridCol w:w="16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2"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投标人企业名称</w:t>
            </w:r>
          </w:p>
        </w:tc>
        <w:tc>
          <w:tcPr>
            <w:tcW w:w="7668" w:type="dxa"/>
            <w:gridSpan w:val="6"/>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7" w:hRule="atLeast"/>
        </w:trPr>
        <w:tc>
          <w:tcPr>
            <w:tcW w:w="1728" w:type="dxa"/>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地 址</w:t>
            </w:r>
          </w:p>
        </w:tc>
        <w:tc>
          <w:tcPr>
            <w:tcW w:w="7668" w:type="dxa"/>
            <w:gridSpan w:val="6"/>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主管部门</w:t>
            </w:r>
          </w:p>
        </w:tc>
        <w:tc>
          <w:tcPr>
            <w:tcW w:w="1380" w:type="dxa"/>
            <w:vAlign w:val="center"/>
          </w:tcPr>
          <w:p>
            <w:pPr>
              <w:spacing w:line="460" w:lineRule="exact"/>
              <w:rPr>
                <w:rFonts w:ascii="宋体" w:hAnsi="宋体" w:cs="宋体"/>
                <w:bCs/>
                <w:color w:val="000000" w:themeColor="text1"/>
              </w:rPr>
            </w:pPr>
          </w:p>
        </w:tc>
        <w:tc>
          <w:tcPr>
            <w:tcW w:w="1549"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法定代表人</w:t>
            </w:r>
          </w:p>
        </w:tc>
        <w:tc>
          <w:tcPr>
            <w:tcW w:w="1549" w:type="dxa"/>
            <w:gridSpan w:val="2"/>
            <w:vAlign w:val="center"/>
          </w:tcPr>
          <w:p>
            <w:pPr>
              <w:spacing w:line="460" w:lineRule="exact"/>
              <w:rPr>
                <w:rFonts w:ascii="宋体" w:hAnsi="宋体" w:cs="宋体"/>
                <w:bCs/>
                <w:color w:val="000000" w:themeColor="text1"/>
              </w:rPr>
            </w:pPr>
          </w:p>
        </w:tc>
        <w:tc>
          <w:tcPr>
            <w:tcW w:w="1583" w:type="dxa"/>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职 务</w:t>
            </w:r>
          </w:p>
        </w:tc>
        <w:tc>
          <w:tcPr>
            <w:tcW w:w="1607" w:type="dxa"/>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注册时间</w:t>
            </w:r>
          </w:p>
        </w:tc>
        <w:tc>
          <w:tcPr>
            <w:tcW w:w="2929" w:type="dxa"/>
            <w:gridSpan w:val="2"/>
          </w:tcPr>
          <w:p>
            <w:pPr>
              <w:spacing w:line="460" w:lineRule="exact"/>
              <w:rPr>
                <w:rFonts w:ascii="宋体" w:hAnsi="宋体" w:cs="宋体"/>
                <w:bCs/>
                <w:color w:val="000000" w:themeColor="text1"/>
              </w:rPr>
            </w:pP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经济类型</w:t>
            </w:r>
          </w:p>
        </w:tc>
        <w:tc>
          <w:tcPr>
            <w:tcW w:w="3190" w:type="dxa"/>
            <w:gridSpan w:val="2"/>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74" w:hRule="atLeast"/>
        </w:trPr>
        <w:tc>
          <w:tcPr>
            <w:tcW w:w="4657"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近三年内有经营活动中有无重大违法纪录</w:t>
            </w:r>
          </w:p>
        </w:tc>
        <w:tc>
          <w:tcPr>
            <w:tcW w:w="4739" w:type="dxa"/>
            <w:gridSpan w:val="4"/>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80" w:hRule="atLeast"/>
        </w:trPr>
        <w:tc>
          <w:tcPr>
            <w:tcW w:w="1728"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是否依法缴纳税收</w:t>
            </w:r>
          </w:p>
        </w:tc>
        <w:tc>
          <w:tcPr>
            <w:tcW w:w="2929" w:type="dxa"/>
            <w:gridSpan w:val="2"/>
          </w:tcPr>
          <w:p>
            <w:pPr>
              <w:spacing w:line="460" w:lineRule="exact"/>
              <w:rPr>
                <w:rFonts w:ascii="宋体" w:hAnsi="宋体" w:cs="宋体"/>
                <w:bCs/>
                <w:color w:val="000000" w:themeColor="text1"/>
              </w:rPr>
            </w:pP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是否依法缴纳社会保障资金</w:t>
            </w:r>
          </w:p>
        </w:tc>
        <w:tc>
          <w:tcPr>
            <w:tcW w:w="3190" w:type="dxa"/>
            <w:gridSpan w:val="2"/>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8" w:hRule="atLeast"/>
        </w:trPr>
        <w:tc>
          <w:tcPr>
            <w:tcW w:w="1728" w:type="dxa"/>
            <w:vMerge w:val="restart"/>
          </w:tcPr>
          <w:p>
            <w:pPr>
              <w:spacing w:line="460" w:lineRule="exact"/>
              <w:rPr>
                <w:rFonts w:ascii="宋体" w:hAnsi="宋体" w:cs="宋体"/>
                <w:bCs/>
                <w:color w:val="000000" w:themeColor="text1"/>
              </w:rPr>
            </w:pP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单</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位</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概</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况</w:t>
            </w: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注册资本</w:t>
            </w:r>
          </w:p>
        </w:tc>
        <w:tc>
          <w:tcPr>
            <w:tcW w:w="1549" w:type="dxa"/>
          </w:tcPr>
          <w:p>
            <w:pPr>
              <w:spacing w:line="460" w:lineRule="exact"/>
              <w:rPr>
                <w:rFonts w:ascii="宋体" w:hAnsi="宋体" w:cs="宋体"/>
                <w:bCs/>
                <w:color w:val="000000" w:themeColor="text1"/>
              </w:rPr>
            </w:pPr>
            <w:r>
              <w:rPr>
                <w:rFonts w:hint="eastAsia" w:ascii="宋体" w:hAnsi="宋体" w:cs="宋体"/>
                <w:bCs/>
                <w:color w:val="000000" w:themeColor="text1"/>
              </w:rPr>
              <w:t xml:space="preserve">     万元</w:t>
            </w: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占地面积</w:t>
            </w:r>
          </w:p>
        </w:tc>
        <w:tc>
          <w:tcPr>
            <w:tcW w:w="3190"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11" w:hRule="atLeast"/>
        </w:trPr>
        <w:tc>
          <w:tcPr>
            <w:tcW w:w="1728" w:type="dxa"/>
            <w:vMerge w:val="continue"/>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职工总数</w:t>
            </w:r>
          </w:p>
        </w:tc>
        <w:tc>
          <w:tcPr>
            <w:tcW w:w="1549" w:type="dxa"/>
          </w:tcPr>
          <w:p>
            <w:pPr>
              <w:spacing w:line="460" w:lineRule="exact"/>
              <w:rPr>
                <w:rFonts w:ascii="宋体" w:hAnsi="宋体" w:cs="宋体"/>
                <w:bCs/>
                <w:color w:val="000000" w:themeColor="text1"/>
              </w:rPr>
            </w:pPr>
            <w:r>
              <w:rPr>
                <w:rFonts w:hint="eastAsia" w:ascii="宋体" w:hAnsi="宋体" w:cs="宋体"/>
                <w:bCs/>
                <w:color w:val="000000" w:themeColor="text1"/>
              </w:rPr>
              <w:t xml:space="preserve">       人</w:t>
            </w:r>
          </w:p>
        </w:tc>
        <w:tc>
          <w:tcPr>
            <w:tcW w:w="1549" w:type="dxa"/>
            <w:gridSpan w:val="2"/>
          </w:tcPr>
          <w:p>
            <w:pPr>
              <w:spacing w:line="460" w:lineRule="exact"/>
              <w:rPr>
                <w:rFonts w:ascii="宋体" w:hAnsi="宋体" w:cs="宋体"/>
                <w:bCs/>
                <w:color w:val="000000" w:themeColor="text1"/>
              </w:rPr>
            </w:pPr>
            <w:r>
              <w:rPr>
                <w:rFonts w:hint="eastAsia" w:ascii="宋体" w:hAnsi="宋体" w:cs="宋体"/>
                <w:bCs/>
                <w:color w:val="000000" w:themeColor="text1"/>
              </w:rPr>
              <w:t>建筑面积</w:t>
            </w:r>
          </w:p>
        </w:tc>
        <w:tc>
          <w:tcPr>
            <w:tcW w:w="3190" w:type="dxa"/>
            <w:gridSpan w:val="2"/>
          </w:tcPr>
          <w:p>
            <w:pPr>
              <w:spacing w:line="460" w:lineRule="exact"/>
              <w:ind w:firstLine="1575" w:firstLineChars="750"/>
              <w:rPr>
                <w:rFonts w:ascii="宋体" w:hAnsi="宋体" w:cs="宋体"/>
                <w:bCs/>
                <w:color w:val="000000" w:themeColor="text1"/>
              </w:rPr>
            </w:pPr>
            <w:r>
              <w:rPr>
                <w:rFonts w:hint="eastAsia" w:ascii="宋体" w:hAnsi="宋体" w:cs="宋体"/>
                <w:bCs/>
                <w:color w:val="000000" w:themeColor="text1"/>
              </w:rPr>
              <w:t>平方米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93" w:hRule="atLeast"/>
        </w:trPr>
        <w:tc>
          <w:tcPr>
            <w:tcW w:w="1728" w:type="dxa"/>
            <w:vMerge w:val="continue"/>
          </w:tcPr>
          <w:p>
            <w:pPr>
              <w:spacing w:line="460" w:lineRule="exact"/>
              <w:rPr>
                <w:rFonts w:ascii="宋体" w:hAnsi="宋体" w:cs="宋体"/>
                <w:bCs/>
                <w:color w:val="000000" w:themeColor="text1"/>
              </w:rPr>
            </w:pPr>
          </w:p>
        </w:tc>
        <w:tc>
          <w:tcPr>
            <w:tcW w:w="1380" w:type="dxa"/>
            <w:vMerge w:val="restart"/>
            <w:vAlign w:val="center"/>
          </w:tcPr>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资产</w:t>
            </w:r>
          </w:p>
          <w:p>
            <w:pPr>
              <w:spacing w:line="460" w:lineRule="exact"/>
              <w:ind w:firstLine="210" w:firstLineChars="100"/>
              <w:rPr>
                <w:rFonts w:ascii="宋体" w:hAnsi="宋体" w:cs="宋体"/>
                <w:bCs/>
                <w:color w:val="000000" w:themeColor="text1"/>
              </w:rPr>
            </w:pPr>
            <w:r>
              <w:rPr>
                <w:rFonts w:hint="eastAsia" w:ascii="宋体" w:hAnsi="宋体" w:cs="宋体"/>
                <w:bCs/>
                <w:color w:val="000000" w:themeColor="text1"/>
              </w:rPr>
              <w:t>情况</w:t>
            </w:r>
          </w:p>
        </w:tc>
        <w:tc>
          <w:tcPr>
            <w:tcW w:w="3098"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净资产：        万元</w:t>
            </w:r>
          </w:p>
        </w:tc>
        <w:tc>
          <w:tcPr>
            <w:tcW w:w="3190" w:type="dxa"/>
            <w:gridSpan w:val="2"/>
            <w:vMerge w:val="restart"/>
          </w:tcPr>
          <w:p>
            <w:pPr>
              <w:spacing w:line="460" w:lineRule="exact"/>
              <w:rPr>
                <w:rFonts w:ascii="宋体" w:hAnsi="宋体" w:cs="宋体"/>
                <w:bCs/>
                <w:color w:val="000000" w:themeColor="text1"/>
              </w:rPr>
            </w:pPr>
            <w:r>
              <w:rPr>
                <w:rFonts w:hint="eastAsia" w:ascii="宋体" w:hAnsi="宋体" w:cs="宋体"/>
                <w:bCs/>
                <w:color w:val="000000" w:themeColor="text1"/>
              </w:rPr>
              <w:t>固定资产原值 ：      万元</w:t>
            </w:r>
          </w:p>
          <w:p>
            <w:pPr>
              <w:spacing w:line="460" w:lineRule="exact"/>
              <w:rPr>
                <w:rFonts w:ascii="宋体" w:hAnsi="宋体" w:cs="宋体"/>
                <w:bCs/>
                <w:color w:val="000000" w:themeColor="text1"/>
              </w:rPr>
            </w:pPr>
            <w:r>
              <w:rPr>
                <w:rFonts w:hint="eastAsia" w:ascii="宋体" w:hAnsi="宋体" w:cs="宋体"/>
                <w:bCs/>
                <w:color w:val="000000" w:themeColor="text1"/>
              </w:rPr>
              <w:t>固定资产净值：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5" w:hRule="atLeast"/>
        </w:trPr>
        <w:tc>
          <w:tcPr>
            <w:tcW w:w="1728" w:type="dxa"/>
            <w:vMerge w:val="continue"/>
          </w:tcPr>
          <w:p>
            <w:pPr>
              <w:spacing w:line="460" w:lineRule="exact"/>
              <w:rPr>
                <w:rFonts w:ascii="宋体" w:hAnsi="宋体" w:cs="宋体"/>
                <w:bCs/>
                <w:color w:val="000000" w:themeColor="text1"/>
              </w:rPr>
            </w:pPr>
          </w:p>
        </w:tc>
        <w:tc>
          <w:tcPr>
            <w:tcW w:w="1380" w:type="dxa"/>
            <w:vMerge w:val="continue"/>
          </w:tcPr>
          <w:p>
            <w:pPr>
              <w:spacing w:line="460" w:lineRule="exact"/>
              <w:rPr>
                <w:rFonts w:ascii="宋体" w:hAnsi="宋体" w:cs="宋体"/>
                <w:bCs/>
                <w:color w:val="000000" w:themeColor="text1"/>
              </w:rPr>
            </w:pPr>
          </w:p>
        </w:tc>
        <w:tc>
          <w:tcPr>
            <w:tcW w:w="3098" w:type="dxa"/>
            <w:gridSpan w:val="3"/>
            <w:vAlign w:val="center"/>
          </w:tcPr>
          <w:p>
            <w:pPr>
              <w:spacing w:line="460" w:lineRule="exact"/>
              <w:rPr>
                <w:rFonts w:ascii="宋体" w:hAnsi="宋体" w:cs="宋体"/>
                <w:bCs/>
                <w:color w:val="000000" w:themeColor="text1"/>
              </w:rPr>
            </w:pPr>
            <w:r>
              <w:rPr>
                <w:rFonts w:hint="eastAsia" w:ascii="宋体" w:hAnsi="宋体" w:cs="宋体"/>
                <w:bCs/>
                <w:color w:val="000000" w:themeColor="text1"/>
              </w:rPr>
              <w:t>负 债：         万元</w:t>
            </w:r>
          </w:p>
        </w:tc>
        <w:tc>
          <w:tcPr>
            <w:tcW w:w="3190" w:type="dxa"/>
            <w:gridSpan w:val="2"/>
            <w:vMerge w:val="continue"/>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1728" w:type="dxa"/>
            <w:vMerge w:val="restart"/>
            <w:vAlign w:val="center"/>
          </w:tcPr>
          <w:p>
            <w:pPr>
              <w:spacing w:line="460" w:lineRule="exact"/>
              <w:ind w:firstLine="105" w:firstLineChars="50"/>
              <w:rPr>
                <w:rFonts w:ascii="宋体" w:hAnsi="宋体" w:cs="宋体"/>
                <w:bCs/>
                <w:color w:val="000000" w:themeColor="text1"/>
              </w:rPr>
            </w:pPr>
            <w:r>
              <w:rPr>
                <w:rFonts w:hint="eastAsia" w:ascii="宋体" w:hAnsi="宋体" w:cs="宋体"/>
                <w:bCs/>
                <w:color w:val="000000" w:themeColor="text1"/>
              </w:rPr>
              <w:t>财务状况</w:t>
            </w:r>
          </w:p>
          <w:p>
            <w:pPr>
              <w:spacing w:line="460" w:lineRule="exact"/>
              <w:rPr>
                <w:rFonts w:ascii="宋体" w:hAnsi="宋体" w:cs="宋体"/>
                <w:bCs/>
                <w:color w:val="000000" w:themeColor="text1"/>
              </w:rPr>
            </w:pPr>
            <w:r>
              <w:rPr>
                <w:rFonts w:hint="eastAsia" w:ascii="宋体" w:hAnsi="宋体" w:cs="宋体"/>
                <w:bCs/>
                <w:color w:val="000000" w:themeColor="text1"/>
              </w:rPr>
              <w:t>（最近两年）</w:t>
            </w:r>
          </w:p>
        </w:tc>
        <w:tc>
          <w:tcPr>
            <w:tcW w:w="1380"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年限</w:t>
            </w:r>
          </w:p>
        </w:tc>
        <w:tc>
          <w:tcPr>
            <w:tcW w:w="1580" w:type="dxa"/>
            <w:gridSpan w:val="2"/>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主营收入</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18"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收人总额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583" w:type="dxa"/>
            <w:vAlign w:val="center"/>
          </w:tcPr>
          <w:p>
            <w:pPr>
              <w:spacing w:line="460" w:lineRule="exact"/>
              <w:jc w:val="center"/>
              <w:rPr>
                <w:rFonts w:ascii="宋体" w:hAnsi="宋体" w:cs="宋体"/>
                <w:bCs/>
                <w:color w:val="000000" w:themeColor="text1"/>
              </w:rPr>
            </w:pPr>
            <w:r>
              <w:rPr>
                <w:rFonts w:hint="eastAsia" w:ascii="宋体" w:hAnsi="宋体" w:cs="宋体"/>
                <w:bCs/>
                <w:color w:val="000000" w:themeColor="text1"/>
              </w:rPr>
              <w:t>利润总额</w:t>
            </w:r>
          </w:p>
          <w:p>
            <w:pPr>
              <w:spacing w:line="460" w:lineRule="exact"/>
              <w:jc w:val="center"/>
              <w:rPr>
                <w:rFonts w:ascii="宋体" w:hAnsi="宋体" w:cs="宋体"/>
                <w:bCs/>
                <w:color w:val="000000" w:themeColor="text1"/>
              </w:rPr>
            </w:pPr>
            <w:r>
              <w:rPr>
                <w:rFonts w:hint="eastAsia" w:ascii="宋体" w:hAnsi="宋体" w:cs="宋体"/>
                <w:bCs/>
                <w:color w:val="000000" w:themeColor="text1"/>
              </w:rPr>
              <w:t>（万元）</w:t>
            </w:r>
          </w:p>
        </w:tc>
        <w:tc>
          <w:tcPr>
            <w:tcW w:w="1607" w:type="dxa"/>
            <w:vAlign w:val="center"/>
          </w:tcPr>
          <w:p>
            <w:pPr>
              <w:spacing w:line="460" w:lineRule="exact"/>
              <w:ind w:firstLine="210" w:firstLineChars="100"/>
              <w:jc w:val="center"/>
              <w:rPr>
                <w:rFonts w:ascii="宋体" w:hAnsi="宋体" w:cs="宋体"/>
                <w:bCs/>
                <w:color w:val="000000" w:themeColor="text1"/>
              </w:rPr>
            </w:pPr>
            <w:r>
              <w:rPr>
                <w:rFonts w:hint="eastAsia" w:ascii="宋体" w:hAnsi="宋体" w:cs="宋体"/>
                <w:bCs/>
                <w:color w:val="000000" w:themeColor="text1"/>
              </w:rPr>
              <w:t>净利润</w:t>
            </w:r>
          </w:p>
          <w:p>
            <w:pPr>
              <w:spacing w:line="460" w:lineRule="exact"/>
              <w:ind w:firstLine="210" w:firstLineChars="100"/>
              <w:jc w:val="center"/>
              <w:rPr>
                <w:rFonts w:ascii="宋体" w:hAnsi="宋体" w:cs="宋体"/>
                <w:bCs/>
                <w:color w:val="000000" w:themeColor="text1"/>
              </w:rPr>
            </w:pPr>
            <w:r>
              <w:rPr>
                <w:rFonts w:hint="eastAsia" w:ascii="宋体" w:hAnsi="宋体" w:cs="宋体"/>
                <w:bCs/>
                <w:color w:val="000000" w:themeColor="text1"/>
              </w:rPr>
              <w:t>（万元）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27" w:hRule="atLeast"/>
        </w:trPr>
        <w:tc>
          <w:tcPr>
            <w:tcW w:w="1728" w:type="dxa"/>
            <w:vMerge w:val="continue"/>
            <w:vAlign w:val="center"/>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vAlign w:val="center"/>
          </w:tcPr>
          <w:p>
            <w:pPr>
              <w:spacing w:line="460" w:lineRule="exact"/>
              <w:rPr>
                <w:rFonts w:ascii="宋体" w:hAnsi="宋体" w:cs="宋体"/>
                <w:bCs/>
                <w:color w:val="000000" w:themeColor="text1"/>
              </w:rPr>
            </w:pPr>
          </w:p>
        </w:tc>
        <w:tc>
          <w:tcPr>
            <w:tcW w:w="1518" w:type="dxa"/>
            <w:vAlign w:val="center"/>
          </w:tcPr>
          <w:p>
            <w:pPr>
              <w:spacing w:line="460" w:lineRule="exact"/>
              <w:rPr>
                <w:rFonts w:ascii="宋体" w:hAnsi="宋体" w:cs="宋体"/>
                <w:bCs/>
                <w:color w:val="000000" w:themeColor="text1"/>
              </w:rPr>
            </w:pPr>
          </w:p>
        </w:tc>
        <w:tc>
          <w:tcPr>
            <w:tcW w:w="1583" w:type="dxa"/>
            <w:vAlign w:val="center"/>
          </w:tcPr>
          <w:p>
            <w:pPr>
              <w:spacing w:line="460" w:lineRule="exact"/>
              <w:rPr>
                <w:rFonts w:ascii="宋体" w:hAnsi="宋体" w:cs="宋体"/>
                <w:bCs/>
                <w:color w:val="000000" w:themeColor="text1"/>
              </w:rPr>
            </w:pPr>
          </w:p>
        </w:tc>
        <w:tc>
          <w:tcPr>
            <w:tcW w:w="1607" w:type="dxa"/>
            <w:vAlign w:val="center"/>
          </w:tcPr>
          <w:p>
            <w:pPr>
              <w:spacing w:line="460" w:lineRule="exact"/>
              <w:rPr>
                <w:rFonts w:ascii="宋体" w:hAnsi="宋体" w:cs="宋体"/>
                <w:bCs/>
                <w:color w:val="000000" w:themeColor="text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58" w:hRule="atLeast"/>
        </w:trPr>
        <w:tc>
          <w:tcPr>
            <w:tcW w:w="1728" w:type="dxa"/>
            <w:vMerge w:val="continue"/>
          </w:tcPr>
          <w:p>
            <w:pPr>
              <w:spacing w:line="460" w:lineRule="exact"/>
              <w:rPr>
                <w:rFonts w:ascii="宋体" w:hAnsi="宋体" w:cs="宋体"/>
                <w:bCs/>
                <w:color w:val="000000" w:themeColor="text1"/>
              </w:rPr>
            </w:pPr>
          </w:p>
        </w:tc>
        <w:tc>
          <w:tcPr>
            <w:tcW w:w="1380" w:type="dxa"/>
            <w:vAlign w:val="center"/>
          </w:tcPr>
          <w:p>
            <w:pPr>
              <w:spacing w:line="460" w:lineRule="exact"/>
              <w:rPr>
                <w:rFonts w:ascii="宋体" w:hAnsi="宋体" w:cs="宋体"/>
                <w:bCs/>
                <w:color w:val="000000" w:themeColor="text1"/>
              </w:rPr>
            </w:pPr>
            <w:r>
              <w:rPr>
                <w:rFonts w:hint="eastAsia" w:ascii="宋体" w:hAnsi="宋体" w:cs="宋体"/>
                <w:bCs/>
                <w:color w:val="000000" w:themeColor="text1"/>
              </w:rPr>
              <w:t xml:space="preserve">      年</w:t>
            </w:r>
          </w:p>
        </w:tc>
        <w:tc>
          <w:tcPr>
            <w:tcW w:w="1580" w:type="dxa"/>
            <w:gridSpan w:val="2"/>
          </w:tcPr>
          <w:p>
            <w:pPr>
              <w:spacing w:line="460" w:lineRule="exact"/>
              <w:rPr>
                <w:rFonts w:ascii="宋体" w:hAnsi="宋体" w:cs="宋体"/>
                <w:bCs/>
                <w:color w:val="000000" w:themeColor="text1"/>
              </w:rPr>
            </w:pPr>
          </w:p>
        </w:tc>
        <w:tc>
          <w:tcPr>
            <w:tcW w:w="1518" w:type="dxa"/>
          </w:tcPr>
          <w:p>
            <w:pPr>
              <w:spacing w:line="460" w:lineRule="exact"/>
              <w:rPr>
                <w:rFonts w:ascii="宋体" w:hAnsi="宋体" w:cs="宋体"/>
                <w:bCs/>
                <w:color w:val="000000" w:themeColor="text1"/>
              </w:rPr>
            </w:pPr>
          </w:p>
        </w:tc>
        <w:tc>
          <w:tcPr>
            <w:tcW w:w="1583" w:type="dxa"/>
          </w:tcPr>
          <w:p>
            <w:pPr>
              <w:spacing w:line="460" w:lineRule="exact"/>
              <w:rPr>
                <w:rFonts w:ascii="宋体" w:hAnsi="宋体" w:cs="宋体"/>
                <w:bCs/>
                <w:color w:val="000000" w:themeColor="text1"/>
              </w:rPr>
            </w:pPr>
          </w:p>
        </w:tc>
        <w:tc>
          <w:tcPr>
            <w:tcW w:w="1607" w:type="dxa"/>
          </w:tcPr>
          <w:p>
            <w:pPr>
              <w:spacing w:line="460" w:lineRule="exact"/>
              <w:rPr>
                <w:rFonts w:ascii="宋体" w:hAnsi="宋体" w:cs="宋体"/>
                <w:bCs/>
                <w:color w:val="000000" w:themeColor="text1"/>
              </w:rPr>
            </w:pPr>
          </w:p>
        </w:tc>
      </w:tr>
    </w:tbl>
    <w:p>
      <w:pPr>
        <w:spacing w:line="460" w:lineRule="exact"/>
        <w:ind w:firstLine="480"/>
        <w:rPr>
          <w:rFonts w:ascii="宋体" w:hAnsi="宋体" w:cs="宋体"/>
          <w:bCs/>
          <w:color w:val="000000" w:themeColor="text1"/>
        </w:rPr>
      </w:pPr>
      <w:r>
        <w:rPr>
          <w:rFonts w:hint="eastAsia" w:ascii="宋体" w:hAnsi="宋体" w:cs="宋体"/>
          <w:bCs/>
          <w:color w:val="000000" w:themeColor="text1"/>
        </w:rPr>
        <w:t>我们保证上述声明中的资料和数据是真实的、正确的，我们同意如贵方要求，可以出示相关证明文件。</w:t>
      </w:r>
    </w:p>
    <w:p>
      <w:pPr>
        <w:spacing w:line="460" w:lineRule="exact"/>
        <w:rPr>
          <w:rFonts w:ascii="宋体" w:hAnsi="宋体" w:cs="宋体"/>
          <w:bCs/>
          <w:color w:val="000000" w:themeColor="text1"/>
        </w:rPr>
      </w:pPr>
      <w:r>
        <w:rPr>
          <w:rFonts w:hint="eastAsia" w:ascii="宋体" w:hAnsi="宋体" w:cs="宋体"/>
          <w:bCs/>
          <w:color w:val="000000" w:themeColor="text1"/>
        </w:rPr>
        <w:t>授权代表（签字）：</w:t>
      </w:r>
    </w:p>
    <w:p>
      <w:pPr>
        <w:spacing w:line="460" w:lineRule="exact"/>
        <w:rPr>
          <w:rFonts w:ascii="宋体" w:hAnsi="宋体" w:cs="宋体"/>
          <w:bCs/>
          <w:color w:val="000000" w:themeColor="text1"/>
        </w:rPr>
      </w:pPr>
      <w:r>
        <w:rPr>
          <w:rFonts w:hint="eastAsia" w:ascii="宋体" w:hAnsi="宋体" w:cs="宋体"/>
          <w:bCs/>
          <w:color w:val="000000" w:themeColor="text1"/>
        </w:rPr>
        <w:t>授权代表的职务：</w:t>
      </w:r>
    </w:p>
    <w:p>
      <w:pPr>
        <w:spacing w:line="460" w:lineRule="exact"/>
        <w:rPr>
          <w:rFonts w:ascii="宋体" w:hAnsi="宋体" w:cs="宋体"/>
          <w:bCs/>
          <w:color w:val="000000" w:themeColor="text1"/>
          <w:u w:val="single"/>
        </w:rPr>
      </w:pPr>
      <w:r>
        <w:rPr>
          <w:rFonts w:hint="eastAsia" w:ascii="宋体" w:hAnsi="宋体" w:cs="宋体"/>
          <w:bCs/>
          <w:color w:val="000000" w:themeColor="text1"/>
        </w:rPr>
        <w:t>电话号和传真号：</w:t>
      </w:r>
    </w:p>
    <w:p>
      <w:pPr>
        <w:spacing w:line="460" w:lineRule="exact"/>
        <w:rPr>
          <w:rFonts w:ascii="宋体" w:hAnsi="宋体" w:cs="宋体"/>
          <w:bCs/>
          <w:color w:val="000000" w:themeColor="text1"/>
        </w:rPr>
      </w:pPr>
      <w:r>
        <w:rPr>
          <w:rFonts w:hint="eastAsia" w:ascii="宋体" w:hAnsi="宋体" w:cs="宋体"/>
          <w:bCs/>
          <w:color w:val="000000" w:themeColor="text1"/>
        </w:rPr>
        <w:t>投标人（公章）：</w:t>
      </w:r>
    </w:p>
    <w:p>
      <w:pPr>
        <w:spacing w:line="460" w:lineRule="exact"/>
        <w:rPr>
          <w:rFonts w:ascii="宋体" w:hAnsi="宋体" w:cs="宋体"/>
          <w:bCs/>
          <w:color w:val="000000" w:themeColor="text1"/>
        </w:rPr>
      </w:pPr>
      <w:r>
        <w:rPr>
          <w:rFonts w:hint="eastAsia" w:ascii="宋体" w:hAnsi="宋体" w:cs="宋体"/>
          <w:color w:val="000000" w:themeColor="text1"/>
        </w:rPr>
        <w:t>法定代表人（签字或盖章）：</w:t>
      </w:r>
    </w:p>
    <w:p>
      <w:pPr>
        <w:spacing w:line="560" w:lineRule="exact"/>
        <w:rPr>
          <w:rFonts w:ascii="宋体" w:hAnsi="宋体" w:cs="宋体"/>
          <w:b/>
          <w:bCs/>
          <w:color w:val="000000" w:themeColor="text1"/>
        </w:rPr>
        <w:sectPr>
          <w:pgSz w:w="11906" w:h="16838"/>
          <w:pgMar w:top="1417" w:right="1587" w:bottom="1417" w:left="1366" w:header="851" w:footer="907" w:gutter="0"/>
          <w:pgNumType w:fmt="numberInDash"/>
          <w:cols w:space="0" w:num="1"/>
          <w:docGrid w:type="lines" w:linePitch="298" w:charSpace="0"/>
        </w:sectPr>
      </w:pPr>
      <w:r>
        <w:rPr>
          <w:rFonts w:hint="eastAsia" w:ascii="宋体" w:hAnsi="宋体" w:cs="宋体"/>
          <w:bCs/>
          <w:color w:val="000000" w:themeColor="text1"/>
        </w:rPr>
        <w:t>日期：年月日</w:t>
      </w:r>
    </w:p>
    <w:p>
      <w:pPr>
        <w:rPr>
          <w:rFonts w:ascii="宋体" w:hAnsi="宋体" w:cs="宋体"/>
          <w:b/>
          <w:bCs/>
          <w:color w:val="000000" w:themeColor="text1"/>
          <w:sz w:val="28"/>
          <w:szCs w:val="28"/>
        </w:rPr>
      </w:pPr>
      <w:r>
        <w:rPr>
          <w:rFonts w:hint="eastAsia" w:ascii="宋体" w:hAnsi="宋体" w:cs="宋体"/>
          <w:b/>
          <w:bCs/>
          <w:color w:val="000000" w:themeColor="text1"/>
        </w:rPr>
        <w:t>附1</w:t>
      </w:r>
    </w:p>
    <w:p>
      <w:pPr>
        <w:spacing w:line="560" w:lineRule="exact"/>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中小企业声明函（货物）</w:t>
      </w:r>
    </w:p>
    <w:p>
      <w:pPr>
        <w:spacing w:line="560" w:lineRule="exact"/>
        <w:jc w:val="center"/>
        <w:rPr>
          <w:rFonts w:ascii="宋体" w:hAnsi="宋体" w:cs="宋体"/>
          <w:b/>
          <w:bCs/>
          <w:color w:val="000000" w:themeColor="text1"/>
          <w:sz w:val="32"/>
          <w:szCs w:val="32"/>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本公司（联合体）郑重声明，根据《政府采购促进中小企业发展管理办法》（财库﹝2020﹞46 号）的规定，本公司（联合体）参加</w:t>
      </w:r>
      <w:r>
        <w:rPr>
          <w:rFonts w:hint="eastAsia" w:ascii="宋体" w:hAnsi="宋体" w:cs="宋体"/>
          <w:color w:val="000000" w:themeColor="text1"/>
          <w:sz w:val="28"/>
          <w:szCs w:val="28"/>
          <w:u w:val="single"/>
        </w:rPr>
        <w:t>（单位名称）</w:t>
      </w:r>
      <w:r>
        <w:rPr>
          <w:rFonts w:hint="eastAsia" w:ascii="宋体" w:hAnsi="宋体" w:cs="宋体"/>
          <w:color w:val="000000" w:themeColor="text1"/>
          <w:sz w:val="28"/>
          <w:szCs w:val="28"/>
        </w:rPr>
        <w:t>的</w:t>
      </w:r>
      <w:r>
        <w:rPr>
          <w:rFonts w:hint="eastAsia" w:ascii="宋体" w:hAnsi="宋体" w:cs="宋体"/>
          <w:color w:val="000000" w:themeColor="text1"/>
          <w:sz w:val="28"/>
          <w:szCs w:val="28"/>
          <w:u w:val="single"/>
        </w:rPr>
        <w:t>（项目名称）</w:t>
      </w:r>
      <w:r>
        <w:rPr>
          <w:rFonts w:hint="eastAsia" w:ascii="宋体" w:hAnsi="宋体" w:cs="宋体"/>
          <w:color w:val="000000" w:themeColor="text1"/>
          <w:sz w:val="28"/>
          <w:szCs w:val="28"/>
        </w:rPr>
        <w:t>采购活动，提供的货物全部由符合政策要求的中小企业制造。相关企业（含联合体中的中小企业、签订分包意向协议的中小企业）的具体情况如下：</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numPr>
          <w:ilvl w:val="0"/>
          <w:numId w:val="7"/>
        </w:num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本企业对上述声明内容的真实性负责。如有虚假，将依法承担相应责任。</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企业名称（盖章）：</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日期：</w:t>
      </w:r>
    </w:p>
    <w:p>
      <w:pPr>
        <w:spacing w:line="560" w:lineRule="exact"/>
        <w:jc w:val="center"/>
        <w:rPr>
          <w:rFonts w:ascii="宋体" w:hAnsi="宋体" w:cs="宋体"/>
          <w:b/>
          <w:bCs/>
          <w:color w:val="000000" w:themeColor="text1"/>
        </w:rPr>
      </w:pPr>
      <w:r>
        <w:rPr>
          <w:rFonts w:hint="eastAsia" w:ascii="宋体" w:hAnsi="宋体" w:cs="宋体"/>
          <w:b/>
          <w:bCs/>
          <w:color w:val="000000" w:themeColor="text1"/>
        </w:rPr>
        <w:t>从业人员、营业收入、资产总额填报上一年度数据，无上一年度数据的新成立企业可不填报。</w:t>
      </w:r>
    </w:p>
    <w:p>
      <w:pPr>
        <w:spacing w:line="560" w:lineRule="exact"/>
        <w:jc w:val="center"/>
        <w:rPr>
          <w:rFonts w:ascii="宋体" w:hAnsi="宋体" w:cs="宋体"/>
          <w:b/>
          <w:bCs/>
          <w:color w:val="000000" w:themeColor="text1"/>
          <w:sz w:val="24"/>
        </w:rPr>
      </w:pPr>
    </w:p>
    <w:p>
      <w:pPr>
        <w:pStyle w:val="22"/>
        <w:ind w:firstLine="0" w:firstLineChars="0"/>
        <w:rPr>
          <w:rFonts w:ascii="宋体" w:hAnsi="宋体" w:cs="宋体"/>
          <w:b/>
          <w:bCs/>
          <w:color w:val="000000" w:themeColor="text1"/>
          <w:sz w:val="24"/>
          <w:szCs w:val="24"/>
        </w:rPr>
      </w:pPr>
    </w:p>
    <w:p>
      <w:pPr>
        <w:spacing w:line="560" w:lineRule="exact"/>
        <w:jc w:val="center"/>
        <w:rPr>
          <w:rFonts w:ascii="宋体" w:hAnsi="宋体" w:cs="宋体"/>
          <w:b/>
          <w:bCs/>
          <w:color w:val="000000" w:themeColor="text1"/>
          <w:sz w:val="32"/>
          <w:szCs w:val="32"/>
        </w:rPr>
      </w:pPr>
      <w:r>
        <w:rPr>
          <w:rFonts w:hint="eastAsia" w:ascii="宋体" w:hAnsi="宋体" w:cs="宋体"/>
          <w:b/>
          <w:bCs/>
          <w:color w:val="000000" w:themeColor="text1"/>
          <w:sz w:val="32"/>
          <w:szCs w:val="32"/>
        </w:rPr>
        <w:t>中小企业声明函（工程、服务）</w:t>
      </w:r>
    </w:p>
    <w:p>
      <w:pPr>
        <w:spacing w:line="560" w:lineRule="exact"/>
        <w:rPr>
          <w:rFonts w:ascii="宋体" w:hAnsi="宋体" w:cs="宋体"/>
          <w:b/>
          <w:bCs/>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1.</w:t>
      </w: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numPr>
          <w:ilvl w:val="0"/>
          <w:numId w:val="7"/>
        </w:num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u w:val="single"/>
        </w:rPr>
        <w:t xml:space="preserve">（标的名称） </w:t>
      </w:r>
      <w:r>
        <w:rPr>
          <w:rFonts w:hint="eastAsia" w:ascii="宋体" w:hAnsi="宋体" w:cs="宋体"/>
          <w:color w:val="000000" w:themeColor="text1"/>
          <w:sz w:val="28"/>
          <w:szCs w:val="28"/>
        </w:rPr>
        <w:t>，属于</w:t>
      </w:r>
      <w:r>
        <w:rPr>
          <w:rFonts w:hint="eastAsia" w:ascii="宋体" w:hAnsi="宋体" w:cs="宋体"/>
          <w:color w:val="000000" w:themeColor="text1"/>
          <w:sz w:val="28"/>
          <w:szCs w:val="28"/>
          <w:u w:val="single"/>
        </w:rPr>
        <w:t>（采购文件中明确的所属行业）</w:t>
      </w:r>
      <w:r>
        <w:rPr>
          <w:rFonts w:hint="eastAsia" w:ascii="宋体" w:hAnsi="宋体" w:cs="宋体"/>
          <w:color w:val="000000" w:themeColor="text1"/>
          <w:sz w:val="28"/>
          <w:szCs w:val="28"/>
        </w:rPr>
        <w:t>行业；制造商为</w:t>
      </w:r>
      <w:r>
        <w:rPr>
          <w:rFonts w:hint="eastAsia" w:ascii="宋体" w:hAnsi="宋体" w:cs="宋体"/>
          <w:color w:val="000000" w:themeColor="text1"/>
          <w:sz w:val="28"/>
          <w:szCs w:val="28"/>
          <w:u w:val="single"/>
        </w:rPr>
        <w:t>（企业名称）</w:t>
      </w:r>
      <w:r>
        <w:rPr>
          <w:rFonts w:hint="eastAsia" w:ascii="宋体" w:hAnsi="宋体" w:cs="宋体"/>
          <w:color w:val="000000" w:themeColor="text1"/>
          <w:sz w:val="28"/>
          <w:szCs w:val="28"/>
        </w:rPr>
        <w:t>，从业人员人，营业收入为万元，资产总额为万元，属于</w:t>
      </w:r>
      <w:r>
        <w:rPr>
          <w:rFonts w:hint="eastAsia" w:ascii="宋体" w:hAnsi="宋体" w:cs="宋体"/>
          <w:color w:val="000000" w:themeColor="text1"/>
          <w:sz w:val="28"/>
          <w:szCs w:val="28"/>
          <w:u w:val="single"/>
        </w:rPr>
        <w:t>（中型企业、小型企业、微型企业）</w:t>
      </w: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以上企业，不属于大企业的分支机构，不存在控股股东为大企业的情形，也不存在与大企业的负责人为同一人的情形。</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本企业对上述声明内容的真实性负责。如有虚假，将依法承担相应责任。</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企业名称（盖章）：</w:t>
      </w:r>
    </w:p>
    <w:p>
      <w:pPr>
        <w:ind w:firstLine="4760" w:firstLineChars="1700"/>
        <w:jc w:val="left"/>
        <w:rPr>
          <w:rFonts w:ascii="宋体" w:hAnsi="宋体" w:cs="宋体"/>
          <w:color w:val="000000" w:themeColor="text1"/>
          <w:sz w:val="28"/>
          <w:szCs w:val="28"/>
        </w:rPr>
      </w:pPr>
      <w:r>
        <w:rPr>
          <w:rFonts w:hint="eastAsia" w:ascii="宋体" w:hAnsi="宋体" w:cs="宋体"/>
          <w:color w:val="000000" w:themeColor="text1"/>
          <w:sz w:val="28"/>
          <w:szCs w:val="28"/>
        </w:rPr>
        <w:t>日期：</w:t>
      </w:r>
    </w:p>
    <w:p>
      <w:pPr>
        <w:spacing w:line="560" w:lineRule="exact"/>
        <w:jc w:val="center"/>
        <w:rPr>
          <w:rFonts w:ascii="宋体" w:hAnsi="宋体" w:cs="宋体"/>
          <w:b/>
          <w:bCs/>
          <w:color w:val="000000" w:themeColor="text1"/>
        </w:rPr>
      </w:pPr>
      <w:r>
        <w:rPr>
          <w:rFonts w:hint="eastAsia" w:ascii="宋体" w:hAnsi="宋体" w:cs="宋体"/>
          <w:b/>
          <w:bCs/>
          <w:color w:val="000000" w:themeColor="text1"/>
        </w:rPr>
        <w:t>从业人员、营业收入、资产总额填报上一年度数据，无上一年度数据的新成立企业可不填报。</w:t>
      </w:r>
    </w:p>
    <w:p>
      <w:pPr>
        <w:spacing w:line="360" w:lineRule="auto"/>
        <w:rPr>
          <w:rFonts w:ascii="宋体" w:hAnsi="宋体" w:cs="宋体"/>
          <w:b/>
          <w:color w:val="000000" w:themeColor="text1"/>
          <w:sz w:val="24"/>
        </w:rPr>
      </w:pPr>
    </w:p>
    <w:p>
      <w:pPr>
        <w:spacing w:line="360" w:lineRule="auto"/>
        <w:rPr>
          <w:rFonts w:ascii="宋体" w:hAnsi="宋体" w:cs="宋体"/>
          <w:b/>
          <w:color w:val="000000" w:themeColor="text1"/>
          <w:sz w:val="24"/>
        </w:rPr>
      </w:pPr>
      <w:r>
        <w:rPr>
          <w:rFonts w:hint="eastAsia" w:ascii="宋体" w:hAnsi="宋体" w:cs="宋体"/>
          <w:b/>
          <w:color w:val="000000" w:themeColor="text1"/>
          <w:sz w:val="24"/>
        </w:rPr>
        <w:t>附件：2残疾人福利性单位声明函</w:t>
      </w:r>
    </w:p>
    <w:p>
      <w:pPr>
        <w:spacing w:line="360" w:lineRule="auto"/>
        <w:rPr>
          <w:rFonts w:ascii="宋体" w:hAnsi="宋体" w:cs="宋体"/>
          <w:b/>
          <w:color w:val="000000" w:themeColor="text1"/>
          <w:sz w:val="24"/>
        </w:rPr>
      </w:pPr>
    </w:p>
    <w:p>
      <w:pPr>
        <w:spacing w:line="360" w:lineRule="auto"/>
        <w:ind w:firstLine="562" w:firstLineChars="200"/>
        <w:jc w:val="center"/>
        <w:rPr>
          <w:rFonts w:ascii="宋体" w:hAnsi="宋体" w:cs="宋体"/>
          <w:b/>
          <w:color w:val="000000" w:themeColor="text1"/>
          <w:sz w:val="28"/>
          <w:szCs w:val="22"/>
        </w:rPr>
      </w:pPr>
      <w:r>
        <w:rPr>
          <w:rFonts w:hint="eastAsia" w:ascii="宋体" w:hAnsi="宋体" w:cs="宋体"/>
          <w:b/>
          <w:color w:val="000000" w:themeColor="text1"/>
          <w:sz w:val="28"/>
          <w:szCs w:val="22"/>
        </w:rPr>
        <w:t>残疾人福利性单位声明函</w:t>
      </w:r>
    </w:p>
    <w:p>
      <w:pPr>
        <w:spacing w:line="360" w:lineRule="auto"/>
        <w:jc w:val="center"/>
        <w:rPr>
          <w:rFonts w:ascii="宋体" w:hAnsi="宋体" w:cs="宋体"/>
          <w:b/>
          <w:color w:val="000000" w:themeColor="text1"/>
          <w:sz w:val="24"/>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本单位对上述声明的真实性负责。如有虚假，将依法承担相应责任。</w:t>
      </w:r>
    </w:p>
    <w:p>
      <w:pPr>
        <w:ind w:firstLine="560" w:firstLineChars="200"/>
        <w:jc w:val="left"/>
        <w:rPr>
          <w:rFonts w:ascii="宋体" w:hAnsi="宋体" w:cs="宋体"/>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残疾人福利性单位名称（盖章）：</w:t>
      </w:r>
    </w:p>
    <w:p>
      <w:pPr>
        <w:ind w:firstLine="560" w:firstLineChars="200"/>
        <w:jc w:val="left"/>
        <w:rPr>
          <w:rFonts w:ascii="宋体" w:hAnsi="宋体" w:cs="宋体"/>
          <w:color w:val="000000" w:themeColor="text1"/>
          <w:sz w:val="28"/>
          <w:szCs w:val="28"/>
        </w:rPr>
      </w:pPr>
    </w:p>
    <w:p>
      <w:pPr>
        <w:ind w:firstLine="560" w:firstLineChars="200"/>
        <w:jc w:val="left"/>
        <w:rPr>
          <w:rFonts w:ascii="宋体" w:hAnsi="宋体" w:cs="宋体"/>
          <w:color w:val="000000" w:themeColor="text1"/>
          <w:sz w:val="28"/>
          <w:szCs w:val="28"/>
        </w:rPr>
      </w:pPr>
      <w:r>
        <w:rPr>
          <w:rFonts w:hint="eastAsia" w:ascii="宋体" w:hAnsi="宋体" w:cs="宋体"/>
          <w:color w:val="000000" w:themeColor="text1"/>
          <w:sz w:val="28"/>
          <w:szCs w:val="28"/>
        </w:rPr>
        <w:t>日  期：</w:t>
      </w: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pStyle w:val="23"/>
        <w:ind w:firstLine="640"/>
        <w:rPr>
          <w:rFonts w:cs="宋体"/>
          <w:color w:val="000000" w:themeColor="text1"/>
          <w:sz w:val="32"/>
          <w:szCs w:val="32"/>
        </w:rPr>
      </w:pPr>
    </w:p>
    <w:p>
      <w:pPr>
        <w:snapToGrid w:val="0"/>
        <w:spacing w:before="50" w:after="50"/>
        <w:jc w:val="center"/>
        <w:outlineLvl w:val="0"/>
        <w:rPr>
          <w:rFonts w:ascii="宋体" w:hAnsi="宋体" w:cs="宋体"/>
          <w:color w:val="000000" w:themeColor="text1"/>
          <w:sz w:val="32"/>
          <w:szCs w:val="32"/>
        </w:rPr>
      </w:pPr>
      <w:bookmarkStart w:id="19" w:name="_Toc8145"/>
      <w:r>
        <w:rPr>
          <w:rFonts w:hint="eastAsia" w:ascii="宋体" w:hAnsi="宋体" w:cs="宋体"/>
          <w:color w:val="000000" w:themeColor="text1"/>
          <w:sz w:val="32"/>
          <w:szCs w:val="32"/>
        </w:rPr>
        <w:t>六、技术参数响应及偏离表</w:t>
      </w:r>
      <w:bookmarkEnd w:id="19"/>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97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4"/>
        <w:gridCol w:w="1216"/>
        <w:gridCol w:w="1860"/>
        <w:gridCol w:w="2356"/>
        <w:gridCol w:w="2115"/>
        <w:gridCol w:w="121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Pr>
        <w:tc>
          <w:tcPr>
            <w:tcW w:w="984"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序号</w:t>
            </w:r>
          </w:p>
        </w:tc>
        <w:tc>
          <w:tcPr>
            <w:tcW w:w="1216"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名称</w:t>
            </w:r>
          </w:p>
        </w:tc>
        <w:tc>
          <w:tcPr>
            <w:tcW w:w="1860"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招标要求</w:t>
            </w:r>
          </w:p>
        </w:tc>
        <w:tc>
          <w:tcPr>
            <w:tcW w:w="2356"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投标响应</w:t>
            </w:r>
          </w:p>
        </w:tc>
        <w:tc>
          <w:tcPr>
            <w:tcW w:w="2115"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rPr>
              <w:t>偏离情况</w:t>
            </w:r>
          </w:p>
        </w:tc>
        <w:tc>
          <w:tcPr>
            <w:tcW w:w="1215" w:type="dxa"/>
            <w:vAlign w:val="center"/>
          </w:tcPr>
          <w:p>
            <w:pPr>
              <w:jc w:val="center"/>
              <w:rPr>
                <w:rFonts w:ascii="宋体" w:hAnsi="宋体" w:cs="宋体"/>
                <w:color w:val="000000" w:themeColor="text1"/>
                <w:sz w:val="24"/>
                <w:szCs w:val="24"/>
              </w:rPr>
            </w:pPr>
            <w:r>
              <w:rPr>
                <w:rFonts w:hint="eastAsia" w:ascii="宋体" w:hAnsi="宋体" w:cs="宋体"/>
                <w:color w:val="000000" w:themeColor="text1"/>
                <w:sz w:val="24"/>
                <w:szCs w:val="24"/>
              </w:rPr>
              <w:t>原因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40" w:hRule="atLeast"/>
        </w:trPr>
        <w:tc>
          <w:tcPr>
            <w:tcW w:w="984" w:type="dxa"/>
          </w:tcPr>
          <w:p>
            <w:pPr>
              <w:jc w:val="center"/>
              <w:rPr>
                <w:rFonts w:ascii="宋体" w:hAnsi="宋体" w:cs="宋体"/>
                <w:color w:val="000000" w:themeColor="text1"/>
                <w:sz w:val="24"/>
                <w:szCs w:val="24"/>
              </w:rPr>
            </w:pPr>
          </w:p>
        </w:tc>
        <w:tc>
          <w:tcPr>
            <w:tcW w:w="1216" w:type="dxa"/>
          </w:tcPr>
          <w:p>
            <w:pPr>
              <w:jc w:val="center"/>
              <w:rPr>
                <w:rFonts w:ascii="宋体" w:hAnsi="宋体" w:cs="宋体"/>
                <w:color w:val="000000" w:themeColor="text1"/>
                <w:sz w:val="24"/>
                <w:szCs w:val="24"/>
              </w:rPr>
            </w:pPr>
          </w:p>
        </w:tc>
        <w:tc>
          <w:tcPr>
            <w:tcW w:w="1860" w:type="dxa"/>
          </w:tcPr>
          <w:p>
            <w:pPr>
              <w:jc w:val="center"/>
              <w:rPr>
                <w:rFonts w:ascii="宋体" w:hAnsi="宋体" w:cs="宋体"/>
                <w:color w:val="000000" w:themeColor="text1"/>
                <w:sz w:val="24"/>
                <w:szCs w:val="24"/>
              </w:rPr>
            </w:pPr>
          </w:p>
        </w:tc>
        <w:tc>
          <w:tcPr>
            <w:tcW w:w="2356" w:type="dxa"/>
          </w:tcPr>
          <w:p>
            <w:pPr>
              <w:jc w:val="center"/>
              <w:rPr>
                <w:rFonts w:ascii="宋体" w:hAnsi="宋体" w:cs="宋体"/>
                <w:color w:val="000000" w:themeColor="text1"/>
                <w:sz w:val="24"/>
                <w:szCs w:val="24"/>
              </w:rPr>
            </w:pPr>
          </w:p>
        </w:tc>
        <w:tc>
          <w:tcPr>
            <w:tcW w:w="2115" w:type="dxa"/>
          </w:tcPr>
          <w:p>
            <w:pPr>
              <w:jc w:val="center"/>
              <w:rPr>
                <w:rFonts w:ascii="宋体" w:hAnsi="宋体" w:cs="宋体"/>
                <w:color w:val="000000" w:themeColor="text1"/>
                <w:sz w:val="24"/>
                <w:szCs w:val="24"/>
              </w:rPr>
            </w:pPr>
          </w:p>
        </w:tc>
        <w:tc>
          <w:tcPr>
            <w:tcW w:w="1215" w:type="dxa"/>
          </w:tcPr>
          <w:p>
            <w:pPr>
              <w:jc w:val="center"/>
              <w:rPr>
                <w:rFonts w:ascii="宋体" w:hAnsi="宋体" w:cs="宋体"/>
                <w:color w:val="000000" w:themeColor="text1"/>
                <w:sz w:val="24"/>
                <w:szCs w:val="24"/>
              </w:rPr>
            </w:pPr>
          </w:p>
        </w:tc>
      </w:tr>
    </w:tbl>
    <w:p>
      <w:pPr>
        <w:spacing w:line="360" w:lineRule="auto"/>
        <w:rPr>
          <w:rFonts w:ascii="宋体" w:hAnsi="宋体" w:cs="宋体"/>
          <w:color w:val="000000" w:themeColor="text1"/>
          <w:sz w:val="24"/>
        </w:rPr>
      </w:pPr>
      <w:r>
        <w:rPr>
          <w:rFonts w:hint="eastAsia" w:ascii="宋体" w:hAnsi="宋体" w:cs="宋体"/>
          <w:color w:val="000000" w:themeColor="text1"/>
          <w:sz w:val="24"/>
        </w:rPr>
        <w:t>1、此表可以根据需要自行增减行数。</w:t>
      </w:r>
    </w:p>
    <w:p>
      <w:pPr>
        <w:snapToGrid w:val="0"/>
        <w:spacing w:line="480" w:lineRule="exact"/>
        <w:jc w:val="left"/>
        <w:rPr>
          <w:rFonts w:ascii="宋体" w:hAnsi="宋体" w:cs="宋体"/>
          <w:b/>
          <w:bCs/>
          <w:color w:val="000000" w:themeColor="text1"/>
          <w:spacing w:val="-2"/>
          <w:sz w:val="24"/>
        </w:rPr>
      </w:pPr>
      <w:r>
        <w:rPr>
          <w:rFonts w:hint="eastAsia" w:ascii="宋体" w:hAnsi="宋体" w:cs="宋体"/>
          <w:color w:val="000000" w:themeColor="text1"/>
          <w:sz w:val="24"/>
        </w:rPr>
        <w:t>2、</w:t>
      </w:r>
      <w:r>
        <w:rPr>
          <w:rFonts w:hint="eastAsia" w:ascii="宋体" w:hAnsi="宋体" w:cs="宋体"/>
          <w:b/>
          <w:bCs/>
          <w:color w:val="000000" w:themeColor="text1"/>
          <w:spacing w:val="-2"/>
          <w:sz w:val="24"/>
        </w:rPr>
        <w:t>投标人应根据投标设备的性能指标、对照招标文件要求在“偏离情况”栏注明“正偏离”、“无偏离”或“负偏离”， 投标人须把所投货物的详细配置等情况根据招标文件要求、偏离情况逐项进行描述。</w:t>
      </w:r>
    </w:p>
    <w:p>
      <w:pPr>
        <w:spacing w:line="500" w:lineRule="exact"/>
        <w:rPr>
          <w:rFonts w:ascii="宋体" w:hAnsi="宋体" w:cs="宋体"/>
          <w:color w:val="000000" w:themeColor="text1"/>
          <w:sz w:val="24"/>
          <w:szCs w:val="24"/>
        </w:rPr>
      </w:pPr>
      <w:r>
        <w:rPr>
          <w:rFonts w:hint="eastAsia" w:ascii="宋体" w:hAnsi="宋体" w:cs="宋体"/>
          <w:b/>
          <w:bCs/>
          <w:color w:val="000000" w:themeColor="text1"/>
          <w:spacing w:val="-2"/>
          <w:sz w:val="24"/>
        </w:rPr>
        <w:t>3、投标人如在投标过程中提供虚假材料谋取中标成交的或采取不正当手段诋毁、排挤其他供应商的,将承担相应法律责任</w:t>
      </w:r>
      <w:r>
        <w:rPr>
          <w:rFonts w:hint="eastAsia" w:ascii="宋体" w:hAnsi="宋体" w:cs="宋体"/>
          <w:b/>
          <w:bCs/>
          <w:color w:val="000000" w:themeColor="text1"/>
          <w:sz w:val="24"/>
        </w:rPr>
        <w:t>。</w:t>
      </w:r>
    </w:p>
    <w:p>
      <w:pPr>
        <w:rPr>
          <w:rFonts w:ascii="宋体" w:hAnsi="宋体" w:cs="宋体"/>
          <w:color w:val="000000" w:themeColor="text1"/>
          <w:sz w:val="24"/>
          <w:szCs w:val="24"/>
        </w:rPr>
      </w:pPr>
    </w:p>
    <w:p>
      <w:pPr>
        <w:snapToGrid w:val="0"/>
        <w:spacing w:before="100" w:beforeAutospacing="1" w:after="100" w:afterAutospacing="1" w:line="440" w:lineRule="exact"/>
        <w:jc w:val="left"/>
        <w:rPr>
          <w:rFonts w:ascii="宋体" w:hAnsi="宋体" w:cs="宋体"/>
          <w:color w:val="000000" w:themeColor="text1"/>
          <w:sz w:val="24"/>
        </w:rPr>
      </w:pPr>
      <w:r>
        <w:rPr>
          <w:rFonts w:hint="eastAsia" w:ascii="宋体" w:hAnsi="宋体" w:cs="宋体"/>
          <w:color w:val="000000" w:themeColor="text1"/>
          <w:sz w:val="24"/>
          <w:shd w:val="clear" w:color="auto" w:fill="FFFFFF"/>
        </w:rPr>
        <w:t>法定代表人/单位负责人</w:t>
      </w:r>
      <w:r>
        <w:rPr>
          <w:rFonts w:hint="eastAsia" w:ascii="宋体" w:hAnsi="宋体" w:cs="宋体"/>
          <w:color w:val="000000" w:themeColor="text1"/>
          <w:sz w:val="24"/>
        </w:rPr>
        <w:t>或委托代理人： （盖章或签字）</w:t>
      </w:r>
    </w:p>
    <w:p>
      <w:pPr>
        <w:spacing w:before="100" w:beforeAutospacing="1" w:after="100" w:afterAutospacing="1" w:line="440" w:lineRule="exact"/>
        <w:rPr>
          <w:rFonts w:ascii="宋体" w:hAnsi="宋体" w:cs="宋体"/>
          <w:color w:val="000000" w:themeColor="text1"/>
          <w:sz w:val="24"/>
        </w:rPr>
      </w:pPr>
      <w:r>
        <w:rPr>
          <w:rFonts w:hint="eastAsia" w:ascii="宋体" w:hAnsi="宋体" w:cs="宋体"/>
          <w:color w:val="000000" w:themeColor="text1"/>
          <w:sz w:val="24"/>
        </w:rPr>
        <w:t xml:space="preserve">投标单位：    （全称并加盖公章）                      </w:t>
      </w:r>
    </w:p>
    <w:p>
      <w:pPr>
        <w:spacing w:before="100" w:beforeAutospacing="1" w:after="100" w:afterAutospacing="1" w:line="440" w:lineRule="exact"/>
        <w:ind w:firstLine="480" w:firstLineChars="200"/>
        <w:jc w:val="right"/>
        <w:rPr>
          <w:rFonts w:ascii="宋体" w:hAnsi="宋体" w:cs="宋体"/>
          <w:color w:val="000000" w:themeColor="text1"/>
          <w:sz w:val="24"/>
        </w:rPr>
      </w:pPr>
      <w:r>
        <w:rPr>
          <w:rFonts w:hint="eastAsia" w:ascii="宋体" w:hAnsi="宋体" w:cs="宋体"/>
          <w:color w:val="000000" w:themeColor="text1"/>
          <w:sz w:val="24"/>
        </w:rPr>
        <w:t xml:space="preserve">                          年    月    日</w:t>
      </w:r>
    </w:p>
    <w:p>
      <w:pPr>
        <w:snapToGrid w:val="0"/>
        <w:spacing w:before="50" w:after="50"/>
        <w:jc w:val="center"/>
        <w:outlineLvl w:val="0"/>
        <w:rPr>
          <w:rFonts w:ascii="宋体" w:hAnsi="宋体" w:cs="宋体"/>
          <w:color w:val="000000" w:themeColor="text1"/>
          <w:sz w:val="32"/>
          <w:szCs w:val="32"/>
        </w:rPr>
      </w:pPr>
      <w:bookmarkStart w:id="20" w:name="_Hlt26955054"/>
      <w:bookmarkEnd w:id="20"/>
      <w:bookmarkStart w:id="21" w:name="_Toc11058"/>
      <w:r>
        <w:rPr>
          <w:rFonts w:hint="eastAsia" w:ascii="宋体" w:hAnsi="宋体" w:cs="宋体"/>
          <w:color w:val="000000" w:themeColor="text1"/>
          <w:sz w:val="32"/>
          <w:szCs w:val="32"/>
        </w:rPr>
        <w:t>七、商务条款响应及偏离表</w:t>
      </w:r>
      <w:bookmarkEnd w:id="21"/>
    </w:p>
    <w:p>
      <w:pPr>
        <w:jc w:val="center"/>
        <w:rPr>
          <w:rFonts w:ascii="宋体" w:hAnsi="宋体" w:cs="宋体"/>
          <w:color w:val="000000" w:themeColor="text1"/>
          <w:sz w:val="24"/>
          <w:szCs w:val="24"/>
        </w:rPr>
      </w:pPr>
    </w:p>
    <w:p>
      <w:pPr>
        <w:rPr>
          <w:rFonts w:ascii="宋体" w:hAnsi="宋体" w:cs="宋体"/>
          <w:color w:val="000000" w:themeColor="text1"/>
          <w:sz w:val="24"/>
          <w:szCs w:val="24"/>
        </w:rPr>
      </w:pPr>
      <w:r>
        <w:rPr>
          <w:rFonts w:hint="eastAsia" w:ascii="宋体" w:hAnsi="宋体" w:cs="宋体"/>
          <w:color w:val="000000" w:themeColor="text1"/>
          <w:sz w:val="24"/>
          <w:szCs w:val="24"/>
        </w:rPr>
        <w:t xml:space="preserve">投标人全称（加盖公章）：        </w:t>
      </w:r>
    </w:p>
    <w:tbl>
      <w:tblPr>
        <w:tblStyle w:val="24"/>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1548"/>
        <w:gridCol w:w="2700"/>
        <w:gridCol w:w="1260"/>
        <w:gridCol w:w="302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PrEx>
        <w:trPr>
          <w:trHeight w:val="642"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项目</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招标文件要求</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是否响应</w:t>
            </w: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投标人的承诺或说明</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质保期</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719"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售后技术服务要求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交货时间</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合同签订后天内</w:t>
            </w: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6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交货地点</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p>
          <w:p>
            <w:pPr>
              <w:snapToGrid w:val="0"/>
              <w:spacing w:beforeLines="50"/>
              <w:rPr>
                <w:rFonts w:ascii="宋体" w:hAnsi="宋体" w:cs="宋体"/>
                <w:color w:val="000000" w:themeColor="text1"/>
                <w:sz w:val="24"/>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ind w:left="43"/>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82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付款方式</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34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szCs w:val="20"/>
              </w:rPr>
              <w:t>投标货币</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400" w:hRule="atLeast"/>
        </w:trPr>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rPr>
            </w:pPr>
            <w:r>
              <w:rPr>
                <w:rFonts w:hint="eastAsia" w:ascii="宋体" w:hAnsi="宋体" w:cs="宋体"/>
                <w:color w:val="000000" w:themeColor="text1"/>
                <w:sz w:val="24"/>
              </w:rPr>
              <w:t>备品备件及耗材等要求</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c>
          <w:tcPr>
            <w:tcW w:w="1548"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r>
              <w:rPr>
                <w:rFonts w:hint="eastAsia" w:ascii="宋体" w:hAnsi="宋体" w:cs="宋体"/>
                <w:color w:val="000000" w:themeColor="text1"/>
                <w:sz w:val="24"/>
              </w:rPr>
              <w:t>其他</w:t>
            </w:r>
          </w:p>
        </w:tc>
        <w:tc>
          <w:tcPr>
            <w:tcW w:w="270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126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c>
          <w:tcPr>
            <w:tcW w:w="3020" w:type="dxa"/>
            <w:tcBorders>
              <w:top w:val="single" w:color="auto" w:sz="4" w:space="0"/>
              <w:left w:val="single" w:color="auto" w:sz="4" w:space="0"/>
              <w:bottom w:val="single" w:color="auto" w:sz="4" w:space="0"/>
              <w:right w:val="single" w:color="auto" w:sz="4" w:space="0"/>
            </w:tcBorders>
          </w:tcPr>
          <w:p>
            <w:pPr>
              <w:snapToGrid w:val="0"/>
              <w:spacing w:beforeLines="50"/>
              <w:rPr>
                <w:rFonts w:ascii="宋体" w:hAnsi="宋体" w:cs="宋体"/>
                <w:color w:val="000000" w:themeColor="text1"/>
                <w:sz w:val="24"/>
                <w:szCs w:val="20"/>
              </w:rPr>
            </w:pPr>
          </w:p>
        </w:tc>
      </w:tr>
    </w:tbl>
    <w:p>
      <w:pPr>
        <w:rPr>
          <w:rFonts w:ascii="宋体" w:hAnsi="宋体" w:cs="宋体"/>
          <w:color w:val="000000" w:themeColor="text1"/>
          <w:sz w:val="24"/>
          <w:szCs w:val="24"/>
        </w:rPr>
      </w:pPr>
      <w:r>
        <w:rPr>
          <w:rFonts w:hint="eastAsia" w:ascii="宋体" w:hAnsi="宋体" w:cs="宋体"/>
          <w:color w:val="000000" w:themeColor="text1"/>
          <w:sz w:val="24"/>
          <w:szCs w:val="24"/>
        </w:rPr>
        <w:t>法定代表人或授权代表签字：</w:t>
      </w:r>
    </w:p>
    <w:p>
      <w:pPr>
        <w:pStyle w:val="6"/>
        <w:rPr>
          <w:rFonts w:ascii="宋体" w:hAnsi="宋体" w:cs="宋体"/>
          <w:color w:val="000000" w:themeColor="text1"/>
        </w:rPr>
      </w:pPr>
    </w:p>
    <w:p>
      <w:pPr>
        <w:pStyle w:val="6"/>
        <w:rPr>
          <w:rFonts w:ascii="宋体" w:hAnsi="宋体" w:cs="宋体"/>
          <w:color w:val="000000" w:themeColor="text1"/>
        </w:rPr>
      </w:pPr>
    </w:p>
    <w:p>
      <w:pPr>
        <w:spacing w:line="480" w:lineRule="auto"/>
        <w:rPr>
          <w:rFonts w:ascii="宋体" w:hAnsi="宋体" w:cs="宋体"/>
          <w:color w:val="000000" w:themeColor="text1"/>
          <w:sz w:val="30"/>
        </w:rPr>
      </w:pPr>
      <w:bookmarkStart w:id="22" w:name="_Hlt26609391"/>
      <w:bookmarkEnd w:id="22"/>
      <w:bookmarkStart w:id="23" w:name="_Hlt26671374"/>
      <w:bookmarkEnd w:id="23"/>
      <w:bookmarkStart w:id="24" w:name="_Hlt26955056"/>
      <w:bookmarkEnd w:id="24"/>
      <w:bookmarkStart w:id="25" w:name="_Hlt26955064"/>
      <w:bookmarkEnd w:id="25"/>
      <w:bookmarkStart w:id="26" w:name="_Hlt26955066"/>
      <w:bookmarkEnd w:id="26"/>
      <w:bookmarkStart w:id="27" w:name="_Hlt26671372"/>
      <w:bookmarkEnd w:id="27"/>
      <w:bookmarkStart w:id="28" w:name="_Hlt26671343"/>
      <w:bookmarkEnd w:id="28"/>
      <w:bookmarkStart w:id="29" w:name="_Hlt26782999"/>
      <w:bookmarkEnd w:id="29"/>
      <w:bookmarkStart w:id="30" w:name="_Hlt26609389"/>
      <w:bookmarkEnd w:id="30"/>
      <w:bookmarkStart w:id="31" w:name="_Hlt24879081"/>
      <w:bookmarkEnd w:id="31"/>
      <w:bookmarkStart w:id="32" w:name="_Hlt26580838"/>
      <w:bookmarkEnd w:id="32"/>
      <w:bookmarkStart w:id="33" w:name="_Toc462564146"/>
    </w:p>
    <w:p>
      <w:pPr>
        <w:pStyle w:val="6"/>
        <w:ind w:firstLine="0"/>
        <w:rPr>
          <w:rFonts w:ascii="宋体" w:hAnsi="宋体" w:cs="宋体"/>
          <w:color w:val="000000" w:themeColor="text1"/>
          <w:sz w:val="24"/>
        </w:rPr>
      </w:pPr>
    </w:p>
    <w:p>
      <w:pPr>
        <w:snapToGrid w:val="0"/>
        <w:spacing w:before="50" w:after="50"/>
        <w:jc w:val="center"/>
        <w:outlineLvl w:val="0"/>
        <w:rPr>
          <w:rFonts w:ascii="宋体" w:hAnsi="宋体" w:cs="宋体"/>
          <w:color w:val="000000" w:themeColor="text1"/>
          <w:sz w:val="32"/>
          <w:szCs w:val="32"/>
        </w:rPr>
      </w:pPr>
      <w:r>
        <w:rPr>
          <w:rFonts w:hint="eastAsia" w:ascii="宋体" w:hAnsi="宋体" w:cs="宋体"/>
          <w:color w:val="000000" w:themeColor="text1"/>
          <w:sz w:val="32"/>
          <w:szCs w:val="32"/>
        </w:rPr>
        <w:br w:type="page"/>
      </w:r>
      <w:bookmarkStart w:id="34" w:name="_Toc6051"/>
      <w:r>
        <w:rPr>
          <w:rFonts w:hint="eastAsia" w:ascii="宋体" w:hAnsi="宋体" w:cs="宋体"/>
          <w:color w:val="000000" w:themeColor="text1"/>
          <w:sz w:val="32"/>
          <w:szCs w:val="32"/>
        </w:rPr>
        <w:t>八、技术方案、服务承诺、培训承诺等</w:t>
      </w:r>
      <w:bookmarkEnd w:id="33"/>
      <w:bookmarkEnd w:id="34"/>
      <w:bookmarkStart w:id="35" w:name="_格式2__法定代表人授权书"/>
      <w:bookmarkEnd w:id="35"/>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137"/>
        <w:jc w:val="both"/>
        <w:rPr>
          <w:rStyle w:val="42"/>
          <w:rFonts w:ascii="宋体" w:hAnsi="宋体" w:cs="宋体"/>
          <w:color w:val="000000" w:themeColor="text1"/>
        </w:rPr>
      </w:pPr>
    </w:p>
    <w:p>
      <w:pPr>
        <w:pStyle w:val="5"/>
        <w:tabs>
          <w:tab w:val="left" w:pos="1275"/>
        </w:tabs>
        <w:jc w:val="center"/>
        <w:outlineLvl w:val="0"/>
        <w:rPr>
          <w:rFonts w:ascii="宋体" w:hAnsi="宋体" w:cs="宋体"/>
          <w:color w:val="000000" w:themeColor="text1"/>
        </w:rPr>
      </w:pPr>
      <w:bookmarkStart w:id="36" w:name="_Toc10307"/>
      <w:r>
        <w:rPr>
          <w:rFonts w:hint="eastAsia" w:ascii="宋体" w:hAnsi="宋体" w:cs="宋体"/>
          <w:color w:val="000000" w:themeColor="text1"/>
        </w:rPr>
        <w:t>九、售后服务承诺书</w:t>
      </w:r>
      <w:bookmarkEnd w:id="36"/>
    </w:p>
    <w:p>
      <w:pPr>
        <w:spacing w:line="480" w:lineRule="exact"/>
        <w:ind w:firstLine="120" w:firstLineChars="50"/>
        <w:rPr>
          <w:rFonts w:ascii="宋体" w:hAnsi="宋体" w:cs="宋体"/>
          <w:color w:val="000000" w:themeColor="text1"/>
          <w:sz w:val="24"/>
        </w:rPr>
      </w:pPr>
    </w:p>
    <w:tbl>
      <w:tblPr>
        <w:tblStyle w:val="2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405"/>
        <w:gridCol w:w="67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1" w:hRule="atLeast"/>
          <w:jc w:val="center"/>
        </w:trPr>
        <w:tc>
          <w:tcPr>
            <w:tcW w:w="2405" w:type="dxa"/>
            <w:vAlign w:val="center"/>
          </w:tcPr>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服      务</w:t>
            </w:r>
          </w:p>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内      容</w:t>
            </w:r>
          </w:p>
        </w:tc>
        <w:tc>
          <w:tcPr>
            <w:tcW w:w="6703" w:type="dxa"/>
          </w:tcPr>
          <w:p>
            <w:pPr>
              <w:tabs>
                <w:tab w:val="left" w:pos="0"/>
              </w:tabs>
              <w:spacing w:line="480" w:lineRule="exact"/>
              <w:rPr>
                <w:rFonts w:ascii="宋体" w:hAnsi="宋体" w:cs="宋体"/>
                <w:color w:val="000000" w:themeColor="text1"/>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7" w:hRule="atLeast"/>
          <w:jc w:val="center"/>
        </w:trPr>
        <w:tc>
          <w:tcPr>
            <w:tcW w:w="2405" w:type="dxa"/>
            <w:vAlign w:val="center"/>
          </w:tcPr>
          <w:p>
            <w:pPr>
              <w:tabs>
                <w:tab w:val="left" w:pos="0"/>
              </w:tabs>
              <w:spacing w:line="480" w:lineRule="exact"/>
              <w:jc w:val="center"/>
              <w:rPr>
                <w:rFonts w:ascii="宋体" w:hAnsi="宋体" w:cs="宋体"/>
                <w:color w:val="000000" w:themeColor="text1"/>
                <w:sz w:val="24"/>
              </w:rPr>
            </w:pPr>
            <w:r>
              <w:rPr>
                <w:rFonts w:hint="eastAsia" w:ascii="宋体" w:hAnsi="宋体" w:cs="宋体"/>
                <w:color w:val="000000" w:themeColor="text1"/>
                <w:sz w:val="24"/>
              </w:rPr>
              <w:t>承      诺</w:t>
            </w:r>
          </w:p>
        </w:tc>
        <w:tc>
          <w:tcPr>
            <w:tcW w:w="6703" w:type="dxa"/>
          </w:tcPr>
          <w:p>
            <w:pPr>
              <w:tabs>
                <w:tab w:val="left" w:pos="0"/>
              </w:tabs>
              <w:spacing w:line="480" w:lineRule="exact"/>
              <w:rPr>
                <w:rFonts w:ascii="宋体" w:hAnsi="宋体" w:cs="宋体"/>
                <w:color w:val="000000" w:themeColor="text1"/>
                <w:sz w:val="24"/>
              </w:rPr>
            </w:pPr>
          </w:p>
        </w:tc>
      </w:tr>
    </w:tbl>
    <w:p>
      <w:pPr>
        <w:tabs>
          <w:tab w:val="left" w:pos="0"/>
        </w:tabs>
        <w:spacing w:line="480" w:lineRule="exac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r>
        <w:rPr>
          <w:rFonts w:hint="eastAsia" w:ascii="宋体" w:hAnsi="宋体" w:cs="宋体"/>
          <w:color w:val="000000" w:themeColor="text1"/>
          <w:sz w:val="24"/>
        </w:rPr>
        <w:t xml:space="preserve">投标单位(盖章)：                            </w:t>
      </w:r>
    </w:p>
    <w:p>
      <w:pPr>
        <w:spacing w:line="480" w:lineRule="exact"/>
        <w:ind w:firstLine="435"/>
        <w:jc w:val="left"/>
        <w:rPr>
          <w:rFonts w:ascii="宋体" w:hAnsi="宋体" w:cs="宋体"/>
          <w:color w:val="000000" w:themeColor="text1"/>
          <w:sz w:val="24"/>
        </w:rPr>
      </w:pPr>
    </w:p>
    <w:p>
      <w:pPr>
        <w:spacing w:line="480" w:lineRule="exact"/>
        <w:ind w:firstLine="435"/>
        <w:jc w:val="left"/>
        <w:rPr>
          <w:rFonts w:ascii="宋体" w:hAnsi="宋体" w:cs="宋体"/>
          <w:color w:val="000000" w:themeColor="text1"/>
          <w:sz w:val="24"/>
        </w:rPr>
      </w:pPr>
      <w:r>
        <w:rPr>
          <w:rFonts w:hint="eastAsia" w:ascii="宋体" w:hAnsi="宋体" w:cs="宋体"/>
          <w:color w:val="000000" w:themeColor="text1"/>
          <w:sz w:val="24"/>
        </w:rPr>
        <w:t xml:space="preserve">法定代表人或委托代理人：(盖章或签字)                 </w:t>
      </w:r>
    </w:p>
    <w:p>
      <w:pPr>
        <w:spacing w:line="480" w:lineRule="exact"/>
        <w:ind w:firstLine="435"/>
        <w:jc w:val="left"/>
        <w:rPr>
          <w:rFonts w:ascii="宋体" w:hAnsi="宋体" w:cs="宋体"/>
          <w:color w:val="000000" w:themeColor="text1"/>
          <w:sz w:val="24"/>
        </w:rPr>
      </w:pPr>
    </w:p>
    <w:p>
      <w:pPr>
        <w:spacing w:line="480" w:lineRule="exact"/>
        <w:ind w:firstLine="435"/>
        <w:jc w:val="right"/>
        <w:rPr>
          <w:rFonts w:ascii="宋体" w:hAnsi="宋体" w:cs="宋体"/>
          <w:color w:val="000000" w:themeColor="text1"/>
          <w:sz w:val="24"/>
        </w:rPr>
      </w:pPr>
      <w:r>
        <w:rPr>
          <w:rFonts w:hint="eastAsia" w:ascii="宋体" w:hAnsi="宋体" w:cs="宋体"/>
          <w:color w:val="000000" w:themeColor="text1"/>
          <w:sz w:val="24"/>
        </w:rPr>
        <w:t>年   月   日</w:t>
      </w:r>
    </w:p>
    <w:p>
      <w:pPr>
        <w:pStyle w:val="137"/>
        <w:jc w:val="center"/>
        <w:outlineLvl w:val="0"/>
        <w:rPr>
          <w:rStyle w:val="42"/>
          <w:rFonts w:ascii="宋体" w:hAnsi="宋体" w:cs="宋体"/>
          <w:color w:val="000000" w:themeColor="text1"/>
          <w:sz w:val="32"/>
          <w:szCs w:val="32"/>
        </w:rPr>
      </w:pPr>
      <w:r>
        <w:rPr>
          <w:rStyle w:val="42"/>
          <w:rFonts w:hint="eastAsia" w:ascii="宋体" w:hAnsi="宋体" w:cs="宋体"/>
          <w:color w:val="000000" w:themeColor="text1"/>
          <w:sz w:val="32"/>
          <w:szCs w:val="32"/>
        </w:rPr>
        <w:br w:type="page"/>
      </w:r>
      <w:bookmarkStart w:id="37" w:name="_Toc12156"/>
      <w:r>
        <w:rPr>
          <w:rStyle w:val="42"/>
          <w:rFonts w:hint="eastAsia" w:ascii="宋体" w:hAnsi="宋体" w:cs="宋体"/>
          <w:color w:val="000000" w:themeColor="text1"/>
          <w:sz w:val="32"/>
          <w:szCs w:val="32"/>
        </w:rPr>
        <w:t>十、盐城市政府采购事前信用承诺书</w:t>
      </w:r>
      <w:bookmarkEnd w:id="37"/>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为营造我市公开、公平、公正、诚实守信的政府采购交易环境，树立诚信守法的投标人形象，本人代表本单位作出以下承诺：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一）本单位对所提交的企（事）业单位基本信息、企（事）业负责人、项目负责人、技术负责人、从业资质和资格、业绩、财务状况、信誉等所有资料，均合法、真实、准确、有效，无任何伪造、修改、虚假成份，并对所提供资料的真实性负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（二）本单位无涉及政府采购活动的违法、违规不良记录，我公司及相关负责人无因存在重大隐患整改不力、发生有重大社会影响生产安全事故或其他严重违法违规行为而被列入失信联合惩戒的不良记录；</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xml:space="preserve">   （三）严格依照国家和省、市关于政府采购的法律、法规、规章、规范性文件，参加政府采购投标活动；积极履行社会责任，促进廉政建设； </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（四）严格遵守即时信息公示规定，及时维护和更新维护和更新江苏省政府采购网中与本单位相关的信息；</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五）自我约束、自我管理，守合同、重信用，自觉维护政府采购交易的良好秩序，与参与本次政府采购活动的其他供应商不存在直接控股或管理关系，不参与围标串标、弄虚作假、骗取中标、干扰评标、违约毁约等行为；</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（六）自觉接受政府、行业组织、社会公众、新闻舆论的监督；</w:t>
      </w:r>
    </w:p>
    <w:p>
      <w:pPr>
        <w:spacing w:line="500" w:lineRule="exact"/>
        <w:ind w:firstLine="480" w:firstLineChars="200"/>
        <w:jc w:val="left"/>
        <w:rPr>
          <w:rStyle w:val="42"/>
          <w:rFonts w:ascii="宋体" w:hAnsi="宋体" w:cs="宋体"/>
          <w:color w:val="000000" w:themeColor="text1"/>
          <w:sz w:val="24"/>
        </w:rPr>
      </w:pPr>
      <w:r>
        <w:rPr>
          <w:rStyle w:val="42"/>
          <w:rFonts w:hint="eastAsia" w:ascii="宋体" w:hAnsi="宋体" w:cs="宋体"/>
          <w:color w:val="000000" w:themeColor="text1"/>
          <w:sz w:val="24"/>
        </w:rPr>
        <w:t>（七）本单位自愿接受政府采购监督管理机构和有关行政监督部门的依法检查。如发生违法违规或不良失信行为，自愿接受政府采购监督管理机构和有关行政监督部门依法给予的行政处罚（处理），并依法承担相应责任；</w:t>
      </w:r>
    </w:p>
    <w:p>
      <w:pPr>
        <w:spacing w:line="500" w:lineRule="exact"/>
        <w:jc w:val="left"/>
        <w:rPr>
          <w:rStyle w:val="42"/>
          <w:rFonts w:ascii="宋体" w:hAnsi="宋体" w:cs="宋体"/>
          <w:color w:val="000000" w:themeColor="text1"/>
          <w:sz w:val="24"/>
        </w:rPr>
      </w:pPr>
      <w:r>
        <w:rPr>
          <w:rStyle w:val="42"/>
          <w:rFonts w:hint="eastAsia" w:ascii="宋体" w:hAnsi="宋体" w:cs="宋体"/>
          <w:color w:val="000000" w:themeColor="text1"/>
          <w:sz w:val="24"/>
        </w:rPr>
        <w:t>   （八）本人已认真阅读了上述承诺，并向本单位员工作了宣传教育。</w:t>
      </w:r>
    </w:p>
    <w:p>
      <w:pPr>
        <w:spacing w:line="500" w:lineRule="exact"/>
        <w:jc w:val="left"/>
        <w:rPr>
          <w:rStyle w:val="42"/>
          <w:rFonts w:ascii="宋体" w:hAnsi="宋体" w:cs="宋体"/>
          <w:color w:val="000000" w:themeColor="text1"/>
          <w:sz w:val="24"/>
        </w:rPr>
      </w:pP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法定代表人签名：</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单位名称（盖章）：</w:t>
      </w:r>
    </w:p>
    <w:p>
      <w:pPr>
        <w:spacing w:line="500" w:lineRule="exact"/>
        <w:jc w:val="center"/>
        <w:rPr>
          <w:rStyle w:val="42"/>
          <w:rFonts w:ascii="宋体" w:hAnsi="宋体" w:cs="宋体"/>
          <w:color w:val="000000" w:themeColor="text1"/>
          <w:sz w:val="24"/>
        </w:rPr>
      </w:pPr>
      <w:r>
        <w:rPr>
          <w:rStyle w:val="42"/>
          <w:rFonts w:hint="eastAsia" w:ascii="宋体" w:hAnsi="宋体" w:cs="宋体"/>
          <w:color w:val="000000" w:themeColor="text1"/>
          <w:sz w:val="24"/>
        </w:rPr>
        <w:t xml:space="preserve">                      年    月    日</w:t>
      </w:r>
    </w:p>
    <w:p>
      <w:pPr>
        <w:pStyle w:val="2"/>
        <w:outlineLvl w:val="0"/>
        <w:rPr>
          <w:rStyle w:val="42"/>
          <w:rFonts w:ascii="宋体" w:hAnsi="宋体" w:eastAsia="宋体" w:cs="宋体"/>
          <w:b w:val="0"/>
          <w:bCs w:val="0"/>
          <w:color w:val="000000" w:themeColor="text1"/>
          <w:sz w:val="32"/>
          <w:szCs w:val="32"/>
        </w:rPr>
      </w:pPr>
      <w:bookmarkStart w:id="38" w:name="_Toc32180"/>
      <w:r>
        <w:rPr>
          <w:rStyle w:val="42"/>
          <w:rFonts w:hint="eastAsia" w:ascii="宋体" w:hAnsi="宋体" w:eastAsia="宋体" w:cs="宋体"/>
          <w:b w:val="0"/>
          <w:bCs w:val="0"/>
          <w:color w:val="000000" w:themeColor="text1"/>
          <w:sz w:val="32"/>
          <w:szCs w:val="32"/>
        </w:rPr>
        <w:t>十一、招标文件中规定要求提供的证明材料和投标人认为需要提供的其他材料</w:t>
      </w:r>
      <w:bookmarkEnd w:id="38"/>
    </w:p>
    <w:p>
      <w:pPr>
        <w:rPr>
          <w:rFonts w:ascii="宋体" w:hAnsi="宋体" w:cs="宋体"/>
          <w:color w:val="000000" w:themeColor="text1"/>
        </w:rPr>
      </w:pPr>
    </w:p>
    <w:p>
      <w:pPr>
        <w:pStyle w:val="137"/>
        <w:jc w:val="both"/>
        <w:rPr>
          <w:rStyle w:val="42"/>
          <w:rFonts w:ascii="宋体" w:hAnsi="宋体" w:cs="宋体"/>
          <w:color w:val="000000" w:themeColor="text1"/>
        </w:rPr>
      </w:pPr>
    </w:p>
    <w:sectPr>
      <w:headerReference r:id="rId6" w:type="default"/>
      <w:footerReference r:id="rId7" w:type="default"/>
      <w:pgSz w:w="11906" w:h="16838"/>
      <w:pgMar w:top="1417" w:right="1587" w:bottom="1417" w:left="1366" w:header="851" w:footer="907" w:gutter="0"/>
      <w:cols w:space="0" w:num="1"/>
      <w:docGrid w:type="lines" w:linePitch="29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script"/>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幼圆">
    <w:panose1 w:val="02010509060101010101"/>
    <w:charset w:val="86"/>
    <w:family w:val="modern"/>
    <w:pitch w:val="default"/>
    <w:sig w:usb0="00000001" w:usb1="080E0000" w:usb2="0000000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Verdana">
    <w:panose1 w:val="020B0604030504040204"/>
    <w:charset w:val="00"/>
    <w:family w:val="swiss"/>
    <w:pitch w:val="default"/>
    <w:sig w:usb0="A00006FF" w:usb1="4000205B" w:usb2="00000010" w:usb3="00000000" w:csb0="2000019F" w:csb1="00000000"/>
  </w:font>
  <w:font w:name="Cambria">
    <w:panose1 w:val="02040503050406030204"/>
    <w:charset w:val="00"/>
    <w:family w:val="roman"/>
    <w:pitch w:val="default"/>
    <w:sig w:usb0="E00006FF" w:usb1="420024FF" w:usb2="02000000" w:usb3="00000000" w:csb0="2000019F" w:csb1="00000000"/>
  </w:font>
  <w:font w:name="monospace">
    <w:altName w:val="微软雅黑"/>
    <w:panose1 w:val="00000000000000000000"/>
    <w:charset w:val="00"/>
    <w:family w:val="auto"/>
    <w:pitch w:val="default"/>
    <w:sig w:usb0="00000000" w:usb1="00000000" w:usb2="00000000"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swiss"/>
    <w:pitch w:val="default"/>
    <w:sig w:usb0="E1002EFF" w:usb1="C000605B" w:usb2="00000029" w:usb3="00000000" w:csb0="200101FF" w:csb1="2028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黑体_GBK">
    <w:altName w:val="微软雅黑"/>
    <w:panose1 w:val="00000000000000000000"/>
    <w:charset w:val="86"/>
    <w:family w:val="script"/>
    <w:pitch w:val="default"/>
    <w:sig w:usb0="00000000" w:usb1="0000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Arial Unicode MS">
    <w:panose1 w:val="020B0604020202020204"/>
    <w:charset w:val="86"/>
    <w:family w:val="roman"/>
    <w:pitch w:val="default"/>
    <w:sig w:usb0="FFFFFFFF" w:usb1="E9FFFFFF" w:usb2="0000003F" w:usb3="00000000" w:csb0="603F01FF" w:csb1="FFFF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8" o:spid="_x0000_s1028" o:spt="202" type="#_x0000_t202" style="position:absolute;left:0pt;margin-top:0pt;height:10.35pt;width:15pt;mso-position-horizontal:center;mso-position-horizontal-relative:margin;mso-wrap-style:none;z-index:251659264;mso-width-relative:page;mso-height-relative:page;" filled="f" stroked="f" coordsize="21600,21600" o:gfxdata="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- 4 -</w:t>
                </w:r>
                <w: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pPr>
    <w:r>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- 42 -</w:t>
                </w:r>
                <w:r>
                  <w:fldChar w:fldCharType="end"/>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jc w:val="center"/>
      <w:rPr>
        <w:rStyle w:val="42"/>
      </w:rPr>
    </w:pPr>
    <w:r>
      <w:pict>
        <v:shape id="_x0000_s1027" o:spid="_x0000_s1027" o:spt="202" type="#_x0000_t202" style="position:absolute;left:0pt;margin-top:0pt;height:10.35pt;width:9.05pt;mso-position-horizontal:center;mso-position-horizontal-relative:margin;mso-wrap-style:none;z-index:251661312;mso-width-relative:page;mso-height-relative:page;" filled="f" stroked="f" coordsize="21600,21600" o:gfxdata="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l3GF10gAAAAMBAAAPAAAAAAAAAAEAIAAAACIAAABkcnMvZG93bnJldi54bWxQSwECFAAU&#10;AAAACACHTuJAeY0S8zACAABTBAAADgAAAAAAAAABACAAAAAhAQAAZHJzL2Uyb0RvYy54bWxQSwUG&#10;AAAAAAYABgBZAQAAwwUAAAAA&#10;">
          <v:path/>
          <v:fill on="f" focussize="0,0"/>
          <v:stroke on="f" weight="0.5pt" joinstyle="miter"/>
          <v:imagedata o:title=""/>
          <o:lock v:ext="edit"/>
          <v:textbox inset="0mm,0mm,0mm,0mm" style="mso-fit-shape-to-text:t;">
            <w:txbxContent>
              <w:p>
                <w:pPr>
                  <w:pStyle w:val="18"/>
                </w:pPr>
                <w:r>
                  <w:fldChar w:fldCharType="begin"/>
                </w:r>
                <w:r>
                  <w:instrText xml:space="preserve"> PAGE  \* MERGEFORMAT </w:instrText>
                </w:r>
                <w:r>
                  <w:fldChar w:fldCharType="separate"/>
                </w:r>
                <w:r>
                  <w:t>49</w:t>
                </w:r>
                <w:r>
                  <w:fldChar w:fldCharType="end"/>
                </w:r>
              </w:p>
            </w:txbxContent>
          </v:textbox>
        </v:shape>
      </w:pict>
    </w:r>
  </w:p>
  <w:p>
    <w:pPr>
      <w:pStyle w:val="18"/>
      <w:rPr>
        <w:rStyle w:val="42"/>
      </w:rP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9"/>
      <w:rPr>
        <w:rFonts w:hint="default" w:eastAsia="宋体"/>
        <w:lang w:val="en-US" w:eastAsia="zh-CN"/>
      </w:rPr>
    </w:pPr>
    <w:r>
      <w:rPr>
        <w:rFonts w:hint="eastAsia"/>
        <w:lang w:val="en-US" w:eastAsia="zh-CN"/>
      </w:rPr>
      <w:t>2021-034W招标文件</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5"/>
      <w:numPr>
        <w:ilvl w:val="0"/>
        <w:numId w:val="4"/>
      </w:numPr>
      <w:pBdr>
        <w:bottom w:val="single" w:color="000000" w:sz="6" w:space="1"/>
      </w:pBdr>
      <w:tabs>
        <w:tab w:val="center" w:pos="4153"/>
        <w:tab w:val="right" w:pos="8306"/>
      </w:tabs>
      <w:snapToGrid w:val="0"/>
      <w:spacing w:before="0" w:after="0"/>
      <w:jc w:val="center"/>
      <w:rPr>
        <w:rStyle w:val="42"/>
        <w:rFonts w:eastAsia="隶书"/>
        <w:color w:val="FF0000"/>
        <w:spacing w:val="40"/>
        <w:sz w:val="21"/>
        <w:szCs w:val="21"/>
      </w:rPr>
    </w:pPr>
    <w:r>
      <w:rPr>
        <w:rStyle w:val="42"/>
        <w:rFonts w:hint="eastAsia" w:ascii="Times New Roman" w:hAnsi="Times New Roman" w:eastAsia="隶书"/>
        <w:color w:val="FF0000"/>
        <w:spacing w:val="40"/>
        <w:kern w:val="2"/>
        <w:sz w:val="21"/>
        <w:szCs w:val="21"/>
      </w:rPr>
      <w:t xml:space="preserve">  W</w:t>
    </w:r>
    <w:r>
      <w:rPr>
        <w:rStyle w:val="42"/>
        <w:rFonts w:ascii="Times New Roman" w:hAnsi="隶书" w:eastAsia="隶书"/>
        <w:color w:val="000000"/>
        <w:spacing w:val="40"/>
        <w:kern w:val="2"/>
        <w:sz w:val="21"/>
        <w:szCs w:val="21"/>
      </w:rPr>
      <w:t>招标文件</w:t>
    </w:r>
  </w:p>
  <w:p>
    <w:pPr>
      <w:pStyle w:val="19"/>
      <w:pBdr>
        <w:bottom w:val="none" w:color="auto" w:sz="0" w:space="0"/>
      </w:pBdr>
      <w:rPr>
        <w:rStyle w:val="4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C813354"/>
    <w:multiLevelType w:val="singleLevel"/>
    <w:tmpl w:val="CC813354"/>
    <w:lvl w:ilvl="0" w:tentative="0">
      <w:start w:val="1"/>
      <w:numFmt w:val="decimal"/>
      <w:suff w:val="nothing"/>
      <w:lvlText w:val="%1、"/>
      <w:lvlJc w:val="left"/>
    </w:lvl>
  </w:abstractNum>
  <w:abstractNum w:abstractNumId="1">
    <w:nsid w:val="06784D56"/>
    <w:multiLevelType w:val="singleLevel"/>
    <w:tmpl w:val="06784D56"/>
    <w:lvl w:ilvl="0" w:tentative="0">
      <w:start w:val="1"/>
      <w:numFmt w:val="upperLetter"/>
      <w:pStyle w:val="80"/>
      <w:lvlText w:val="附录%1."/>
      <w:lvlJc w:val="left"/>
      <w:pPr>
        <w:tabs>
          <w:tab w:val="left" w:pos="907"/>
        </w:tabs>
        <w:ind w:left="907" w:hanging="907"/>
        <w:textAlignment w:val="baseline"/>
      </w:pPr>
    </w:lvl>
  </w:abstractNum>
  <w:abstractNum w:abstractNumId="2">
    <w:nsid w:val="0B5F190E"/>
    <w:multiLevelType w:val="singleLevel"/>
    <w:tmpl w:val="0B5F190E"/>
    <w:lvl w:ilvl="0" w:tentative="0">
      <w:start w:val="2021"/>
      <w:numFmt w:val="decimal"/>
      <w:suff w:val="space"/>
      <w:lvlText w:val="%1-"/>
      <w:lvlJc w:val="left"/>
    </w:lvl>
  </w:abstractNum>
  <w:abstractNum w:abstractNumId="3">
    <w:nsid w:val="23CA3DFE"/>
    <w:multiLevelType w:val="singleLevel"/>
    <w:tmpl w:val="23CA3DFE"/>
    <w:lvl w:ilvl="0" w:tentative="0">
      <w:start w:val="1"/>
      <w:numFmt w:val="decimal"/>
      <w:lvlText w:val="%1、"/>
      <w:lvlJc w:val="left"/>
      <w:pPr>
        <w:tabs>
          <w:tab w:val="left" w:pos="480"/>
        </w:tabs>
        <w:ind w:left="480" w:hanging="480"/>
        <w:textAlignment w:val="baseline"/>
      </w:pPr>
    </w:lvl>
  </w:abstractNum>
  <w:abstractNum w:abstractNumId="4">
    <w:nsid w:val="420C153B"/>
    <w:multiLevelType w:val="multilevel"/>
    <w:tmpl w:val="420C153B"/>
    <w:lvl w:ilvl="0" w:tentative="0">
      <w:start w:val="1"/>
      <w:numFmt w:val="decimal"/>
      <w:pStyle w:val="131"/>
      <w:lvlText w:val="%1."/>
      <w:lvlJc w:val="left"/>
      <w:pPr>
        <w:tabs>
          <w:tab w:val="left" w:pos="709"/>
        </w:tabs>
        <w:ind w:left="709" w:hanging="709"/>
        <w:textAlignment w:val="baseline"/>
      </w:pPr>
    </w:lvl>
    <w:lvl w:ilvl="1" w:tentative="0">
      <w:start w:val="1"/>
      <w:numFmt w:val="decimal"/>
      <w:lvlText w:val="%1.%2"/>
      <w:lvlJc w:val="left"/>
      <w:pPr>
        <w:tabs>
          <w:tab w:val="left" w:pos="709"/>
        </w:tabs>
        <w:ind w:left="709" w:hanging="709"/>
        <w:textAlignment w:val="baseline"/>
      </w:pPr>
    </w:lvl>
    <w:lvl w:ilvl="2" w:tentative="0">
      <w:start w:val="1"/>
      <w:numFmt w:val="decimal"/>
      <w:lvlText w:val="%1.%2.%3."/>
      <w:lvlJc w:val="left"/>
      <w:pPr>
        <w:tabs>
          <w:tab w:val="left" w:pos="425"/>
        </w:tabs>
        <w:ind w:left="425" w:hanging="425"/>
        <w:textAlignment w:val="baseline"/>
      </w:pPr>
    </w:lvl>
    <w:lvl w:ilvl="3" w:tentative="0">
      <w:start w:val="1"/>
      <w:numFmt w:val="decimal"/>
      <w:lvlText w:val="%1.%2.%3.%4."/>
      <w:lvlJc w:val="left"/>
      <w:pPr>
        <w:tabs>
          <w:tab w:val="left" w:pos="851"/>
        </w:tabs>
        <w:ind w:left="851" w:hanging="851"/>
        <w:textAlignment w:val="baseline"/>
      </w:pPr>
    </w:lvl>
    <w:lvl w:ilvl="4" w:tentative="0">
      <w:start w:val="1"/>
      <w:numFmt w:val="decimal"/>
      <w:lvlText w:val="%1.%2.%3.%4.%5."/>
      <w:lvlJc w:val="left"/>
      <w:pPr>
        <w:tabs>
          <w:tab w:val="left" w:pos="992"/>
        </w:tabs>
        <w:ind w:left="992" w:hanging="992"/>
        <w:textAlignment w:val="baseline"/>
      </w:pPr>
    </w:lvl>
    <w:lvl w:ilvl="5" w:tentative="0">
      <w:start w:val="1"/>
      <w:numFmt w:val="decimal"/>
      <w:lvlText w:val="%1.%2.%3.%4.%5.%6."/>
      <w:lvlJc w:val="left"/>
      <w:pPr>
        <w:tabs>
          <w:tab w:val="left" w:pos="1134"/>
        </w:tabs>
        <w:ind w:left="1134" w:hanging="1134"/>
        <w:textAlignment w:val="baseline"/>
      </w:pPr>
    </w:lvl>
    <w:lvl w:ilvl="6" w:tentative="0">
      <w:start w:val="1"/>
      <w:numFmt w:val="decimal"/>
      <w:lvlText w:val="%1.%2.%3.%4.%5.%6.%7."/>
      <w:lvlJc w:val="left"/>
      <w:pPr>
        <w:tabs>
          <w:tab w:val="left" w:pos="1276"/>
        </w:tabs>
        <w:ind w:left="1276" w:hanging="1276"/>
        <w:textAlignment w:val="baseline"/>
      </w:pPr>
    </w:lvl>
    <w:lvl w:ilvl="7" w:tentative="0">
      <w:start w:val="1"/>
      <w:numFmt w:val="decimal"/>
      <w:lvlText w:val="%1.%2.%3.%4.%5.%6.%7.%8."/>
      <w:lvlJc w:val="left"/>
      <w:pPr>
        <w:tabs>
          <w:tab w:val="left" w:pos="1418"/>
        </w:tabs>
        <w:ind w:left="1418" w:hanging="1418"/>
        <w:textAlignment w:val="baseline"/>
      </w:pPr>
    </w:lvl>
    <w:lvl w:ilvl="8" w:tentative="0">
      <w:start w:val="1"/>
      <w:numFmt w:val="decimal"/>
      <w:lvlText w:val="%1.%2.%3.%4.%5.%6.%7.%8.%9."/>
      <w:lvlJc w:val="left"/>
      <w:pPr>
        <w:tabs>
          <w:tab w:val="left" w:pos="1559"/>
        </w:tabs>
        <w:ind w:left="1559" w:hanging="1559"/>
        <w:textAlignment w:val="baseline"/>
      </w:pPr>
    </w:lvl>
  </w:abstractNum>
  <w:abstractNum w:abstractNumId="5">
    <w:nsid w:val="5A2B9532"/>
    <w:multiLevelType w:val="singleLevel"/>
    <w:tmpl w:val="5A2B9532"/>
    <w:lvl w:ilvl="0" w:tentative="0">
      <w:start w:val="2"/>
      <w:numFmt w:val="decimal"/>
      <w:suff w:val="space"/>
      <w:lvlText w:val="%1."/>
      <w:lvlJc w:val="left"/>
    </w:lvl>
  </w:abstractNum>
  <w:abstractNum w:abstractNumId="6">
    <w:nsid w:val="5C7E0EE5"/>
    <w:multiLevelType w:val="multilevel"/>
    <w:tmpl w:val="5C7E0EE5"/>
    <w:lvl w:ilvl="0" w:tentative="0">
      <w:start w:val="1"/>
      <w:numFmt w:val="chineseCountingThousand"/>
      <w:suff w:val="nothing"/>
      <w:lvlText w:val="第%1章 "/>
      <w:lvlJc w:val="left"/>
      <w:pPr>
        <w:ind w:left="0" w:firstLine="0"/>
        <w:textAlignment w:val="baseline"/>
      </w:pPr>
    </w:lvl>
    <w:lvl w:ilvl="1" w:tentative="0">
      <w:start w:val="1"/>
      <w:numFmt w:val="decimal"/>
      <w:suff w:val="nothing"/>
      <w:lvlText w:val="%1、"/>
      <w:lvlJc w:val="left"/>
      <w:pPr>
        <w:ind w:left="0" w:firstLine="0"/>
        <w:textAlignment w:val="baseline"/>
      </w:pPr>
    </w:lvl>
    <w:lvl w:ilvl="2" w:tentative="0">
      <w:start w:val="1"/>
      <w:numFmt w:val="decimal"/>
      <w:suff w:val="nothing"/>
      <w:lvlText w:val="%1.%2 "/>
      <w:lvlJc w:val="left"/>
      <w:pPr>
        <w:ind w:left="0" w:firstLine="0"/>
        <w:textAlignment w:val="baseline"/>
      </w:pPr>
    </w:lvl>
    <w:lvl w:ilvl="3" w:tentative="0">
      <w:start w:val="1"/>
      <w:numFmt w:val="decimal"/>
      <w:suff w:val="nothing"/>
      <w:lvlText w:val="%1.%2.%3 "/>
      <w:lvlJc w:val="left"/>
      <w:pPr>
        <w:ind w:left="0" w:firstLine="0"/>
        <w:textAlignment w:val="baseline"/>
      </w:pPr>
    </w:lvl>
    <w:lvl w:ilvl="4" w:tentative="0">
      <w:start w:val="1"/>
      <w:numFmt w:val="decimal"/>
      <w:suff w:val="nothing"/>
      <w:lvlText w:val="%1.%2.%3.%4 "/>
      <w:lvlJc w:val="left"/>
      <w:pPr>
        <w:ind w:left="0" w:firstLine="0"/>
        <w:textAlignment w:val="baseline"/>
      </w:pPr>
    </w:lvl>
    <w:lvl w:ilvl="5" w:tentative="0">
      <w:start w:val="1"/>
      <w:numFmt w:val="decimal"/>
      <w:pStyle w:val="38"/>
      <w:suff w:val="nothing"/>
      <w:lvlText w:val=""/>
      <w:lvlJc w:val="left"/>
      <w:pPr>
        <w:ind w:left="0" w:firstLine="0"/>
        <w:textAlignment w:val="baseline"/>
      </w:pPr>
    </w:lvl>
    <w:lvl w:ilvl="6" w:tentative="0">
      <w:start w:val="1"/>
      <w:numFmt w:val="decimal"/>
      <w:pStyle w:val="39"/>
      <w:suff w:val="nothing"/>
      <w:lvlText w:val=""/>
      <w:lvlJc w:val="left"/>
      <w:pPr>
        <w:ind w:left="0" w:firstLine="0"/>
        <w:textAlignment w:val="baseline"/>
      </w:pPr>
    </w:lvl>
    <w:lvl w:ilvl="7" w:tentative="0">
      <w:start w:val="1"/>
      <w:numFmt w:val="decimal"/>
      <w:pStyle w:val="40"/>
      <w:suff w:val="nothing"/>
      <w:lvlText w:val=""/>
      <w:lvlJc w:val="left"/>
      <w:pPr>
        <w:ind w:left="0" w:firstLine="0"/>
        <w:textAlignment w:val="baseline"/>
      </w:pPr>
    </w:lvl>
    <w:lvl w:ilvl="8" w:tentative="0">
      <w:start w:val="1"/>
      <w:numFmt w:val="decimal"/>
      <w:pStyle w:val="41"/>
      <w:suff w:val="nothing"/>
      <w:lvlText w:val=""/>
      <w:lvlJc w:val="left"/>
      <w:pPr>
        <w:ind w:left="0" w:firstLine="0"/>
        <w:textAlignment w:val="baseline"/>
      </w:pPr>
    </w:lvl>
  </w:abstractNum>
  <w:num w:numId="1">
    <w:abstractNumId w:val="6"/>
  </w:num>
  <w:num w:numId="2">
    <w:abstractNumId w:val="1"/>
  </w:num>
  <w:num w:numId="3">
    <w:abstractNumId w:val="4"/>
  </w:num>
  <w:num w:numId="4">
    <w:abstractNumId w:val="2"/>
  </w:num>
  <w:num w:numId="5">
    <w:abstractNumId w:val="0"/>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5"/>
  <w:drawingGridVerticalSpacing w:val="149"/>
  <w:doNotUseMarginsForDrawingGridOrigin w:val="1"/>
  <w:drawingGridHorizontalOrigin w:val="1800"/>
  <w:drawingGridVerticalOrigin w:val="1440"/>
  <w:noPunctuationKerning w:val="1"/>
  <w:characterSpacingControl w:val="doNotCompress"/>
  <w:hdrShapeDefaults>
    <o:shapelayout v:ext="edit">
      <o:idmap v:ext="edit" data="1"/>
    </o:shapelayout>
  </w:hdrShapeDefaults>
  <w:compat>
    <w:balanceSingleByteDoubleByteWidth/>
    <w:doNotLeaveBackslashAlone/>
    <w:doNotExpandShiftReturn/>
    <w:adjustLineHeightInTable/>
    <w:useFELayout/>
    <w:compatSetting w:name="compatibilityMode" w:uri="http://schemas.microsoft.com/office/word" w:val="12"/>
  </w:compat>
  <w:rsids>
    <w:rsidRoot w:val="00F868A9"/>
    <w:rsid w:val="0000036F"/>
    <w:rsid w:val="0006669D"/>
    <w:rsid w:val="00084D74"/>
    <w:rsid w:val="00087471"/>
    <w:rsid w:val="000902BE"/>
    <w:rsid w:val="00095361"/>
    <w:rsid w:val="00111AA9"/>
    <w:rsid w:val="00170DF8"/>
    <w:rsid w:val="001C3691"/>
    <w:rsid w:val="00215DE3"/>
    <w:rsid w:val="00223C79"/>
    <w:rsid w:val="0027524F"/>
    <w:rsid w:val="00284479"/>
    <w:rsid w:val="00362BF3"/>
    <w:rsid w:val="0037383D"/>
    <w:rsid w:val="0037477B"/>
    <w:rsid w:val="003A1DBE"/>
    <w:rsid w:val="003A3ACF"/>
    <w:rsid w:val="003F302B"/>
    <w:rsid w:val="003F4282"/>
    <w:rsid w:val="00400C8F"/>
    <w:rsid w:val="00426342"/>
    <w:rsid w:val="00435E56"/>
    <w:rsid w:val="004951A4"/>
    <w:rsid w:val="004C4BCF"/>
    <w:rsid w:val="004D5217"/>
    <w:rsid w:val="004D74B7"/>
    <w:rsid w:val="004F6C96"/>
    <w:rsid w:val="005033E5"/>
    <w:rsid w:val="00516CA8"/>
    <w:rsid w:val="00567902"/>
    <w:rsid w:val="005C2F5B"/>
    <w:rsid w:val="005D1E43"/>
    <w:rsid w:val="005E0829"/>
    <w:rsid w:val="00604194"/>
    <w:rsid w:val="00612343"/>
    <w:rsid w:val="0064287E"/>
    <w:rsid w:val="006E41B1"/>
    <w:rsid w:val="00714CA7"/>
    <w:rsid w:val="00715F8F"/>
    <w:rsid w:val="00736063"/>
    <w:rsid w:val="007571CD"/>
    <w:rsid w:val="00757B9B"/>
    <w:rsid w:val="00781FB2"/>
    <w:rsid w:val="007C46BA"/>
    <w:rsid w:val="00843207"/>
    <w:rsid w:val="00860E15"/>
    <w:rsid w:val="00872BFA"/>
    <w:rsid w:val="00913371"/>
    <w:rsid w:val="0095073E"/>
    <w:rsid w:val="00983357"/>
    <w:rsid w:val="009A0A85"/>
    <w:rsid w:val="00AB5AC7"/>
    <w:rsid w:val="00B65FF5"/>
    <w:rsid w:val="00B719DD"/>
    <w:rsid w:val="00B8533E"/>
    <w:rsid w:val="00B918AD"/>
    <w:rsid w:val="00BC4AF3"/>
    <w:rsid w:val="00BE7E42"/>
    <w:rsid w:val="00C00568"/>
    <w:rsid w:val="00C0298B"/>
    <w:rsid w:val="00C06BE2"/>
    <w:rsid w:val="00C157C0"/>
    <w:rsid w:val="00C24225"/>
    <w:rsid w:val="00C31CC3"/>
    <w:rsid w:val="00C55848"/>
    <w:rsid w:val="00D022A0"/>
    <w:rsid w:val="00D43FFF"/>
    <w:rsid w:val="00D46573"/>
    <w:rsid w:val="00D60AFE"/>
    <w:rsid w:val="00DB5A7D"/>
    <w:rsid w:val="00DC456B"/>
    <w:rsid w:val="00E35F7E"/>
    <w:rsid w:val="00EA5115"/>
    <w:rsid w:val="00EC3A02"/>
    <w:rsid w:val="00EE3E1D"/>
    <w:rsid w:val="00EF36B6"/>
    <w:rsid w:val="00F361C3"/>
    <w:rsid w:val="00F647D7"/>
    <w:rsid w:val="00F868A9"/>
    <w:rsid w:val="00FB60C3"/>
    <w:rsid w:val="00FD7393"/>
    <w:rsid w:val="022D4A0B"/>
    <w:rsid w:val="05C13DD5"/>
    <w:rsid w:val="05DA6038"/>
    <w:rsid w:val="097428EE"/>
    <w:rsid w:val="0BA17C72"/>
    <w:rsid w:val="0BD3774A"/>
    <w:rsid w:val="0D0D1AA0"/>
    <w:rsid w:val="0D7714AD"/>
    <w:rsid w:val="0E261538"/>
    <w:rsid w:val="100F14BE"/>
    <w:rsid w:val="12E3481C"/>
    <w:rsid w:val="153E29BA"/>
    <w:rsid w:val="15B62A94"/>
    <w:rsid w:val="15EE7692"/>
    <w:rsid w:val="19814515"/>
    <w:rsid w:val="19CA7D48"/>
    <w:rsid w:val="1D5F0029"/>
    <w:rsid w:val="1DB60865"/>
    <w:rsid w:val="22801879"/>
    <w:rsid w:val="23414E85"/>
    <w:rsid w:val="241810B5"/>
    <w:rsid w:val="24FA581B"/>
    <w:rsid w:val="25610BF0"/>
    <w:rsid w:val="284E1359"/>
    <w:rsid w:val="2EFB2475"/>
    <w:rsid w:val="2FFC6A6F"/>
    <w:rsid w:val="31B511F9"/>
    <w:rsid w:val="34C87B95"/>
    <w:rsid w:val="38CF3E86"/>
    <w:rsid w:val="3B5326F5"/>
    <w:rsid w:val="3ECB319E"/>
    <w:rsid w:val="3F6971D6"/>
    <w:rsid w:val="40CF49F2"/>
    <w:rsid w:val="47632479"/>
    <w:rsid w:val="4C3842CB"/>
    <w:rsid w:val="4FEA69E5"/>
    <w:rsid w:val="533B3FCD"/>
    <w:rsid w:val="53A05DDF"/>
    <w:rsid w:val="54237D8B"/>
    <w:rsid w:val="575E4048"/>
    <w:rsid w:val="5B817993"/>
    <w:rsid w:val="5CDC7861"/>
    <w:rsid w:val="5E284F41"/>
    <w:rsid w:val="5F985377"/>
    <w:rsid w:val="5FD349D6"/>
    <w:rsid w:val="60CF7081"/>
    <w:rsid w:val="620E4996"/>
    <w:rsid w:val="65155499"/>
    <w:rsid w:val="660D3CCA"/>
    <w:rsid w:val="687674CE"/>
    <w:rsid w:val="69D7063D"/>
    <w:rsid w:val="6B08451F"/>
    <w:rsid w:val="70E5728B"/>
    <w:rsid w:val="74A5063C"/>
    <w:rsid w:val="752F59CE"/>
    <w:rsid w:val="756048F2"/>
    <w:rsid w:val="75F24F4D"/>
    <w:rsid w:val="7A157B5D"/>
    <w:rsid w:val="7AE04C41"/>
    <w:rsid w:val="7BB3305E"/>
    <w:rsid w:val="7E685F0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nhideWhenUsed="0" w:uiPriority="1"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qFormat="1" w:uiPriority="99" w:semiHidden="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qFormat="1" w:unhideWhenUsed="0" w:uiPriority="0" w:semiHidden="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qFormat="1"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qFormat="1" w:unhideWhenUsed="0" w:uiPriority="0" w:semiHidden="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qFormat="1" w:unhideWhenUsed="0" w:uiPriority="99"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qFormat="1" w:unhideWhenUsed="0" w:uiPriority="0" w:semiHidden="0" w:name="Plain Text"/>
    <w:lsdException w:uiPriority="0" w:name="E-mail Signature"/>
    <w:lsdException w:qFormat="1" w:unhideWhenUsed="0"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5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jc w:val="both"/>
      <w:textAlignment w:val="baseline"/>
    </w:pPr>
    <w:rPr>
      <w:rFonts w:ascii="Times New Roman" w:hAnsi="Times New Roman" w:eastAsia="宋体" w:cstheme="minorBidi"/>
      <w:kern w:val="2"/>
      <w:sz w:val="21"/>
      <w:szCs w:val="21"/>
      <w:lang w:val="en-US" w:eastAsia="zh-CN" w:bidi="ar-SA"/>
    </w:rPr>
  </w:style>
  <w:style w:type="paragraph" w:styleId="3">
    <w:name w:val="heading 1"/>
    <w:basedOn w:val="1"/>
    <w:next w:val="1"/>
    <w:qFormat/>
    <w:uiPriority w:val="0"/>
    <w:pPr>
      <w:spacing w:beforeAutospacing="1" w:afterAutospacing="1"/>
      <w:jc w:val="left"/>
      <w:outlineLvl w:val="0"/>
    </w:pPr>
    <w:rPr>
      <w:rFonts w:hint="eastAsia" w:ascii="宋体" w:hAnsi="宋体" w:cs="Times New Roman"/>
      <w:b/>
      <w:bCs/>
      <w:kern w:val="44"/>
      <w:sz w:val="48"/>
      <w:szCs w:val="48"/>
    </w:rPr>
  </w:style>
  <w:style w:type="paragraph" w:styleId="4">
    <w:name w:val="heading 2"/>
    <w:basedOn w:val="1"/>
    <w:next w:val="1"/>
    <w:qFormat/>
    <w:uiPriority w:val="99"/>
    <w:pPr>
      <w:keepNext/>
      <w:keepLines/>
      <w:spacing w:before="260" w:after="260" w:line="416" w:lineRule="auto"/>
      <w:jc w:val="center"/>
      <w:outlineLvl w:val="1"/>
    </w:pPr>
    <w:rPr>
      <w:rFonts w:ascii="Arial" w:hAnsi="Arial" w:eastAsia="幼圆" w:cs="Arial"/>
      <w:b/>
      <w:bCs/>
      <w:sz w:val="44"/>
      <w:szCs w:val="44"/>
    </w:rPr>
  </w:style>
  <w:style w:type="paragraph" w:styleId="5">
    <w:name w:val="heading 3"/>
    <w:basedOn w:val="1"/>
    <w:next w:val="1"/>
    <w:qFormat/>
    <w:uiPriority w:val="1"/>
    <w:pPr>
      <w:spacing w:line="357" w:lineRule="exact"/>
      <w:ind w:left="774"/>
      <w:outlineLvl w:val="2"/>
    </w:pPr>
    <w:rPr>
      <w:b/>
      <w:bCs/>
      <w:sz w:val="28"/>
      <w:szCs w:val="28"/>
    </w:rPr>
  </w:style>
  <w:style w:type="paragraph" w:styleId="2">
    <w:name w:val="heading 4"/>
    <w:basedOn w:val="1"/>
    <w:next w:val="1"/>
    <w:qFormat/>
    <w:uiPriority w:val="0"/>
    <w:pPr>
      <w:keepNext/>
      <w:keepLines/>
      <w:spacing w:before="280" w:after="290" w:line="376" w:lineRule="auto"/>
      <w:outlineLvl w:val="3"/>
    </w:pPr>
    <w:rPr>
      <w:rFonts w:ascii="Arial" w:hAnsi="Arial" w:eastAsia="黑体"/>
      <w:b/>
      <w:bCs/>
      <w:sz w:val="28"/>
      <w:szCs w:val="28"/>
    </w:rPr>
  </w:style>
  <w:style w:type="character" w:default="1" w:styleId="26">
    <w:name w:val="Default Paragraph Font"/>
    <w:semiHidden/>
    <w:unhideWhenUsed/>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6">
    <w:name w:val="Normal Indent"/>
    <w:basedOn w:val="1"/>
    <w:qFormat/>
    <w:uiPriority w:val="0"/>
    <w:pPr>
      <w:ind w:firstLine="420"/>
    </w:pPr>
  </w:style>
  <w:style w:type="paragraph" w:styleId="7">
    <w:name w:val="Body Text"/>
    <w:basedOn w:val="1"/>
    <w:next w:val="8"/>
    <w:qFormat/>
    <w:uiPriority w:val="1"/>
    <w:rPr>
      <w:sz w:val="28"/>
      <w:szCs w:val="28"/>
    </w:rPr>
  </w:style>
  <w:style w:type="paragraph" w:customStyle="1" w:styleId="8">
    <w:name w:val="一级条标题"/>
    <w:basedOn w:val="9"/>
    <w:next w:val="10"/>
    <w:qFormat/>
    <w:uiPriority w:val="0"/>
    <w:pPr>
      <w:tabs>
        <w:tab w:val="left" w:pos="810"/>
        <w:tab w:val="left" w:pos="907"/>
        <w:tab w:val="left" w:pos="1265"/>
      </w:tabs>
      <w:spacing w:before="0" w:after="0"/>
      <w:ind w:left="907" w:hanging="907"/>
      <w:outlineLvl w:val="2"/>
    </w:pPr>
    <w:rPr>
      <w:rFonts w:hAnsi="宋体"/>
      <w:kern w:val="0"/>
      <w:sz w:val="20"/>
      <w:szCs w:val="20"/>
    </w:rPr>
  </w:style>
  <w:style w:type="paragraph" w:customStyle="1" w:styleId="9">
    <w:name w:val="章标题"/>
    <w:next w:val="1"/>
    <w:qFormat/>
    <w:uiPriority w:val="0"/>
    <w:pPr>
      <w:tabs>
        <w:tab w:val="left" w:pos="810"/>
        <w:tab w:val="left" w:pos="1265"/>
      </w:tabs>
      <w:spacing w:before="50" w:after="50"/>
      <w:ind w:left="810" w:hanging="810"/>
      <w:jc w:val="both"/>
      <w:outlineLvl w:val="1"/>
    </w:pPr>
    <w:rPr>
      <w:rFonts w:ascii="黑体" w:hAnsi="Calibri" w:eastAsia="黑体" w:cs="Times New Roman"/>
      <w:kern w:val="2"/>
      <w:sz w:val="21"/>
      <w:szCs w:val="22"/>
      <w:lang w:val="en-US" w:eastAsia="zh-CN" w:bidi="ar-SA"/>
    </w:rPr>
  </w:style>
  <w:style w:type="paragraph" w:customStyle="1" w:styleId="10">
    <w:name w:val="段"/>
    <w:next w:val="11"/>
    <w:qFormat/>
    <w:uiPriority w:val="0"/>
    <w:pPr>
      <w:widowControl w:val="0"/>
      <w:ind w:firstLine="200"/>
      <w:jc w:val="both"/>
    </w:pPr>
    <w:rPr>
      <w:rFonts w:ascii="宋体" w:hAnsi="宋体" w:eastAsia="宋体" w:cs="宋体"/>
      <w:color w:val="000000"/>
      <w:sz w:val="21"/>
      <w:szCs w:val="21"/>
      <w:lang w:val="en-US" w:eastAsia="zh-CN" w:bidi="ar-SA"/>
    </w:rPr>
  </w:style>
  <w:style w:type="paragraph" w:customStyle="1" w:styleId="11">
    <w:name w:val="正文 A"/>
    <w:next w:val="10"/>
    <w:qFormat/>
    <w:uiPriority w:val="0"/>
    <w:pPr>
      <w:widowControl w:val="0"/>
      <w:jc w:val="both"/>
    </w:pPr>
    <w:rPr>
      <w:rFonts w:ascii="Calibri" w:hAnsi="Calibri" w:eastAsia="Calibri" w:cs="Calibri"/>
      <w:color w:val="000000"/>
      <w:kern w:val="2"/>
      <w:sz w:val="21"/>
      <w:szCs w:val="21"/>
      <w:lang w:val="en-US" w:eastAsia="zh-CN" w:bidi="ar-SA"/>
    </w:rPr>
  </w:style>
  <w:style w:type="paragraph" w:styleId="12">
    <w:name w:val="Body Text Indent"/>
    <w:basedOn w:val="1"/>
    <w:next w:val="13"/>
    <w:qFormat/>
    <w:uiPriority w:val="0"/>
    <w:pPr>
      <w:ind w:firstLine="645"/>
    </w:pPr>
    <w:rPr>
      <w:rFonts w:ascii="楷体_GB2312" w:eastAsia="楷体_GB2312"/>
      <w:sz w:val="32"/>
      <w:szCs w:val="32"/>
    </w:rPr>
  </w:style>
  <w:style w:type="paragraph" w:styleId="13">
    <w:name w:val="envelope return"/>
    <w:basedOn w:val="1"/>
    <w:qFormat/>
    <w:uiPriority w:val="0"/>
    <w:pPr>
      <w:snapToGrid w:val="0"/>
    </w:pPr>
    <w:rPr>
      <w:rFonts w:ascii="Arial" w:hAnsi="Arial"/>
    </w:rPr>
  </w:style>
  <w:style w:type="paragraph" w:styleId="14">
    <w:name w:val="Block Text"/>
    <w:basedOn w:val="1"/>
    <w:qFormat/>
    <w:uiPriority w:val="99"/>
    <w:pPr>
      <w:spacing w:after="120"/>
      <w:ind w:left="1440" w:leftChars="700" w:right="1440" w:rightChars="700"/>
    </w:pPr>
  </w:style>
  <w:style w:type="paragraph" w:styleId="15">
    <w:name w:val="index 4"/>
    <w:basedOn w:val="1"/>
    <w:next w:val="1"/>
    <w:unhideWhenUsed/>
    <w:qFormat/>
    <w:uiPriority w:val="99"/>
    <w:pPr>
      <w:ind w:left="600" w:leftChars="600"/>
    </w:pPr>
    <w:rPr>
      <w:rFonts w:ascii="Verdana" w:hAnsi="Verdana"/>
      <w:szCs w:val="20"/>
    </w:rPr>
  </w:style>
  <w:style w:type="paragraph" w:styleId="16">
    <w:name w:val="Plain Text"/>
    <w:basedOn w:val="1"/>
    <w:qFormat/>
    <w:uiPriority w:val="0"/>
    <w:rPr>
      <w:rFonts w:ascii="宋体" w:hAnsi="Courier New"/>
    </w:rPr>
  </w:style>
  <w:style w:type="paragraph" w:styleId="17">
    <w:name w:val="Date"/>
    <w:basedOn w:val="1"/>
    <w:next w:val="1"/>
    <w:qFormat/>
    <w:uiPriority w:val="0"/>
    <w:rPr>
      <w:sz w:val="24"/>
      <w:szCs w:val="24"/>
    </w:rPr>
  </w:style>
  <w:style w:type="paragraph" w:styleId="18">
    <w:name w:val="footer"/>
    <w:basedOn w:val="1"/>
    <w:link w:val="71"/>
    <w:qFormat/>
    <w:uiPriority w:val="0"/>
    <w:pPr>
      <w:tabs>
        <w:tab w:val="center" w:pos="4153"/>
        <w:tab w:val="right" w:pos="8306"/>
      </w:tabs>
      <w:snapToGrid w:val="0"/>
      <w:jc w:val="left"/>
    </w:pPr>
    <w:rPr>
      <w:sz w:val="18"/>
      <w:szCs w:val="18"/>
    </w:rPr>
  </w:style>
  <w:style w:type="paragraph" w:styleId="19">
    <w:name w:val="header"/>
    <w:basedOn w:val="1"/>
    <w:link w:val="72"/>
    <w:qFormat/>
    <w:uiPriority w:val="0"/>
    <w:pPr>
      <w:pBdr>
        <w:bottom w:val="single" w:color="000000" w:sz="6" w:space="1"/>
      </w:pBdr>
      <w:tabs>
        <w:tab w:val="center" w:pos="4153"/>
        <w:tab w:val="right" w:pos="8306"/>
      </w:tabs>
      <w:snapToGrid w:val="0"/>
      <w:jc w:val="center"/>
    </w:pPr>
    <w:rPr>
      <w:sz w:val="18"/>
      <w:szCs w:val="18"/>
    </w:rPr>
  </w:style>
  <w:style w:type="paragraph" w:styleId="20">
    <w:name w:val="List"/>
    <w:basedOn w:val="1"/>
    <w:qFormat/>
    <w:uiPriority w:val="0"/>
    <w:pPr>
      <w:ind w:left="200" w:hanging="200" w:hangingChars="200"/>
    </w:pPr>
  </w:style>
  <w:style w:type="paragraph" w:styleId="21">
    <w:name w:val="Normal (Web)"/>
    <w:basedOn w:val="1"/>
    <w:qFormat/>
    <w:uiPriority w:val="99"/>
    <w:pPr>
      <w:spacing w:before="100" w:beforeAutospacing="1" w:after="100" w:afterAutospacing="1"/>
      <w:jc w:val="left"/>
    </w:pPr>
    <w:rPr>
      <w:rFonts w:ascii="宋体" w:hAnsi="宋体" w:cs="宋体"/>
      <w:kern w:val="0"/>
      <w:sz w:val="24"/>
    </w:rPr>
  </w:style>
  <w:style w:type="paragraph" w:styleId="22">
    <w:name w:val="Body Text First Indent"/>
    <w:basedOn w:val="1"/>
    <w:qFormat/>
    <w:uiPriority w:val="99"/>
    <w:pPr>
      <w:ind w:firstLine="420" w:firstLineChars="100"/>
    </w:pPr>
  </w:style>
  <w:style w:type="paragraph" w:styleId="23">
    <w:name w:val="Body Text First Indent 2"/>
    <w:basedOn w:val="12"/>
    <w:qFormat/>
    <w:uiPriority w:val="0"/>
    <w:pPr>
      <w:spacing w:line="360" w:lineRule="auto"/>
      <w:ind w:firstLine="420" w:firstLineChars="200"/>
    </w:pPr>
    <w:rPr>
      <w:rFonts w:ascii="宋体" w:hAnsi="宋体" w:eastAsia="宋体"/>
      <w:sz w:val="21"/>
      <w:szCs w:val="20"/>
    </w:rPr>
  </w:style>
  <w:style w:type="table" w:styleId="25">
    <w:name w:val="Table Grid"/>
    <w:basedOn w:val="24"/>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7">
    <w:name w:val="Strong"/>
    <w:qFormat/>
    <w:uiPriority w:val="0"/>
    <w:rPr>
      <w:rFonts w:cs="Times New Roman"/>
      <w:b/>
      <w:bCs/>
    </w:rPr>
  </w:style>
  <w:style w:type="character" w:styleId="28">
    <w:name w:val="page number"/>
    <w:basedOn w:val="26"/>
    <w:qFormat/>
    <w:uiPriority w:val="0"/>
  </w:style>
  <w:style w:type="character" w:styleId="29">
    <w:name w:val="FollowedHyperlink"/>
    <w:qFormat/>
    <w:uiPriority w:val="0"/>
    <w:rPr>
      <w:color w:val="800080"/>
    </w:rPr>
  </w:style>
  <w:style w:type="character" w:styleId="30">
    <w:name w:val="Emphasis"/>
    <w:qFormat/>
    <w:uiPriority w:val="0"/>
  </w:style>
  <w:style w:type="character" w:styleId="31">
    <w:name w:val="Hyperlink"/>
    <w:qFormat/>
    <w:uiPriority w:val="0"/>
    <w:rPr>
      <w:color w:val="0000FF"/>
    </w:rPr>
  </w:style>
  <w:style w:type="paragraph" w:customStyle="1" w:styleId="32">
    <w:name w:val="Heading1"/>
    <w:basedOn w:val="1"/>
    <w:next w:val="1"/>
    <w:link w:val="60"/>
    <w:qFormat/>
    <w:uiPriority w:val="0"/>
    <w:pPr>
      <w:keepNext/>
      <w:jc w:val="center"/>
    </w:pPr>
    <w:rPr>
      <w:rFonts w:ascii="楷体_GB2312" w:eastAsia="楷体_GB2312"/>
      <w:sz w:val="28"/>
      <w:szCs w:val="28"/>
    </w:rPr>
  </w:style>
  <w:style w:type="paragraph" w:customStyle="1" w:styleId="33">
    <w:name w:val="Heading2"/>
    <w:basedOn w:val="1"/>
    <w:next w:val="34"/>
    <w:qFormat/>
    <w:uiPriority w:val="0"/>
    <w:pPr>
      <w:keepNext/>
      <w:keepLines/>
      <w:spacing w:before="260" w:after="260" w:line="416" w:lineRule="auto"/>
      <w:jc w:val="center"/>
    </w:pPr>
    <w:rPr>
      <w:rFonts w:ascii="Arial" w:hAnsi="Arial" w:eastAsia="幼圆" w:cs="Arial"/>
      <w:b/>
      <w:bCs/>
      <w:sz w:val="44"/>
      <w:szCs w:val="44"/>
    </w:rPr>
  </w:style>
  <w:style w:type="paragraph" w:customStyle="1" w:styleId="34">
    <w:name w:val="NormalIndent"/>
    <w:basedOn w:val="1"/>
    <w:link w:val="62"/>
    <w:qFormat/>
    <w:uiPriority w:val="0"/>
    <w:pPr>
      <w:ind w:firstLine="420"/>
    </w:pPr>
  </w:style>
  <w:style w:type="paragraph" w:customStyle="1" w:styleId="35">
    <w:name w:val="Heading3"/>
    <w:basedOn w:val="1"/>
    <w:next w:val="34"/>
    <w:link w:val="63"/>
    <w:qFormat/>
    <w:uiPriority w:val="0"/>
    <w:pPr>
      <w:keepNext/>
      <w:keepLines/>
      <w:spacing w:before="260" w:after="260" w:line="416" w:lineRule="auto"/>
    </w:pPr>
    <w:rPr>
      <w:rFonts w:cs="Times New Roman"/>
      <w:b/>
      <w:bCs/>
      <w:sz w:val="32"/>
      <w:szCs w:val="32"/>
    </w:rPr>
  </w:style>
  <w:style w:type="paragraph" w:customStyle="1" w:styleId="36">
    <w:name w:val="Heading4"/>
    <w:basedOn w:val="1"/>
    <w:next w:val="1"/>
    <w:link w:val="64"/>
    <w:qFormat/>
    <w:uiPriority w:val="0"/>
    <w:pPr>
      <w:keepNext/>
      <w:keepLines/>
      <w:spacing w:before="280" w:after="290" w:line="376" w:lineRule="auto"/>
    </w:pPr>
    <w:rPr>
      <w:rFonts w:ascii="Cambria" w:hAnsi="Cambria"/>
      <w:b/>
      <w:sz w:val="28"/>
      <w:szCs w:val="28"/>
    </w:rPr>
  </w:style>
  <w:style w:type="paragraph" w:customStyle="1" w:styleId="37">
    <w:name w:val="Heading5"/>
    <w:basedOn w:val="1"/>
    <w:next w:val="1"/>
    <w:qFormat/>
    <w:uiPriority w:val="0"/>
    <w:pPr>
      <w:keepNext/>
    </w:pPr>
    <w:rPr>
      <w:rFonts w:ascii="宋体"/>
      <w:color w:val="000000"/>
      <w:kern w:val="0"/>
      <w:sz w:val="28"/>
      <w:szCs w:val="28"/>
    </w:rPr>
  </w:style>
  <w:style w:type="paragraph" w:customStyle="1" w:styleId="38">
    <w:name w:val="Heading6"/>
    <w:basedOn w:val="1"/>
    <w:next w:val="1"/>
    <w:qFormat/>
    <w:uiPriority w:val="0"/>
    <w:pPr>
      <w:keepNext/>
      <w:keepLines/>
      <w:numPr>
        <w:ilvl w:val="5"/>
        <w:numId w:val="1"/>
      </w:numPr>
      <w:spacing w:before="240" w:after="64" w:line="320" w:lineRule="auto"/>
    </w:pPr>
    <w:rPr>
      <w:rFonts w:ascii="Arial" w:hAnsi="Arial" w:eastAsia="黑体" w:cs="Times New Roman"/>
      <w:b/>
      <w:bCs/>
      <w:sz w:val="24"/>
      <w:szCs w:val="24"/>
    </w:rPr>
  </w:style>
  <w:style w:type="paragraph" w:customStyle="1" w:styleId="39">
    <w:name w:val="Heading7"/>
    <w:basedOn w:val="1"/>
    <w:next w:val="1"/>
    <w:qFormat/>
    <w:uiPriority w:val="0"/>
    <w:pPr>
      <w:keepNext/>
      <w:keepLines/>
      <w:numPr>
        <w:ilvl w:val="6"/>
        <w:numId w:val="1"/>
      </w:numPr>
      <w:spacing w:before="240" w:after="64" w:line="320" w:lineRule="auto"/>
    </w:pPr>
    <w:rPr>
      <w:rFonts w:cs="Times New Roman"/>
      <w:b/>
      <w:bCs/>
      <w:sz w:val="24"/>
      <w:szCs w:val="24"/>
    </w:rPr>
  </w:style>
  <w:style w:type="paragraph" w:customStyle="1" w:styleId="40">
    <w:name w:val="Heading8"/>
    <w:basedOn w:val="1"/>
    <w:next w:val="1"/>
    <w:qFormat/>
    <w:uiPriority w:val="0"/>
    <w:pPr>
      <w:keepNext/>
      <w:keepLines/>
      <w:numPr>
        <w:ilvl w:val="7"/>
        <w:numId w:val="1"/>
      </w:numPr>
      <w:spacing w:before="240" w:after="64" w:line="320" w:lineRule="auto"/>
    </w:pPr>
    <w:rPr>
      <w:rFonts w:ascii="Arial" w:hAnsi="Arial" w:eastAsia="黑体"/>
      <w:sz w:val="24"/>
      <w:szCs w:val="24"/>
    </w:rPr>
  </w:style>
  <w:style w:type="paragraph" w:customStyle="1" w:styleId="41">
    <w:name w:val="Heading9"/>
    <w:basedOn w:val="1"/>
    <w:next w:val="1"/>
    <w:qFormat/>
    <w:uiPriority w:val="0"/>
    <w:pPr>
      <w:keepNext/>
      <w:keepLines/>
      <w:numPr>
        <w:ilvl w:val="8"/>
        <w:numId w:val="1"/>
      </w:numPr>
      <w:spacing w:before="240" w:after="64" w:line="320" w:lineRule="auto"/>
    </w:pPr>
    <w:rPr>
      <w:rFonts w:ascii="Arial" w:hAnsi="Arial" w:eastAsia="黑体"/>
    </w:rPr>
  </w:style>
  <w:style w:type="character" w:customStyle="1" w:styleId="42">
    <w:name w:val="NormalCharacter"/>
    <w:semiHidden/>
    <w:qFormat/>
    <w:uiPriority w:val="0"/>
  </w:style>
  <w:style w:type="table" w:customStyle="1" w:styleId="43">
    <w:name w:val="TableNormal"/>
    <w:semiHidden/>
    <w:qFormat/>
    <w:uiPriority w:val="0"/>
    <w:tblPr>
      <w:tblCellMar>
        <w:top w:w="0" w:type="dxa"/>
        <w:left w:w="0" w:type="dxa"/>
        <w:bottom w:w="0" w:type="dxa"/>
        <w:right w:w="0" w:type="dxa"/>
      </w:tblCellMar>
    </w:tblPr>
  </w:style>
  <w:style w:type="character" w:customStyle="1" w:styleId="44">
    <w:name w:val="htmlSamp"/>
    <w:qFormat/>
    <w:uiPriority w:val="0"/>
    <w:rPr>
      <w:rFonts w:ascii="monospace" w:hAnsi="monospace" w:eastAsia="monospace"/>
    </w:rPr>
  </w:style>
  <w:style w:type="character" w:customStyle="1" w:styleId="45">
    <w:name w:val="PageNumber"/>
    <w:basedOn w:val="42"/>
    <w:qFormat/>
    <w:uiPriority w:val="0"/>
  </w:style>
  <w:style w:type="character" w:customStyle="1" w:styleId="46">
    <w:name w:val="HtmlVar"/>
    <w:qFormat/>
    <w:uiPriority w:val="0"/>
  </w:style>
  <w:style w:type="character" w:customStyle="1" w:styleId="47">
    <w:name w:val="HtmlKbd"/>
    <w:qFormat/>
    <w:uiPriority w:val="0"/>
    <w:rPr>
      <w:rFonts w:ascii="monospace" w:hAnsi="monospace" w:eastAsia="monospace"/>
      <w:sz w:val="20"/>
    </w:rPr>
  </w:style>
  <w:style w:type="character" w:customStyle="1" w:styleId="48">
    <w:name w:val="HtmlDfn"/>
    <w:qFormat/>
    <w:uiPriority w:val="0"/>
  </w:style>
  <w:style w:type="character" w:customStyle="1" w:styleId="49">
    <w:name w:val="HtmlCite"/>
    <w:qFormat/>
    <w:uiPriority w:val="0"/>
  </w:style>
  <w:style w:type="character" w:customStyle="1" w:styleId="50">
    <w:name w:val="HtmlAcronym"/>
    <w:basedOn w:val="42"/>
    <w:qFormat/>
    <w:uiPriority w:val="0"/>
  </w:style>
  <w:style w:type="character" w:customStyle="1" w:styleId="51">
    <w:name w:val="HtmlTt"/>
    <w:qFormat/>
    <w:uiPriority w:val="0"/>
    <w:rPr>
      <w:rFonts w:ascii="monospace" w:hAnsi="monospace" w:eastAsia="monospace"/>
      <w:sz w:val="20"/>
    </w:rPr>
  </w:style>
  <w:style w:type="character" w:customStyle="1" w:styleId="52">
    <w:name w:val="AnnotationReference"/>
    <w:semiHidden/>
    <w:qFormat/>
    <w:uiPriority w:val="0"/>
    <w:rPr>
      <w:sz w:val="21"/>
      <w:szCs w:val="21"/>
    </w:rPr>
  </w:style>
  <w:style w:type="character" w:customStyle="1" w:styleId="53">
    <w:name w:val="HtmlCode"/>
    <w:qFormat/>
    <w:uiPriority w:val="0"/>
    <w:rPr>
      <w:rFonts w:ascii="monospace" w:hAnsi="monospace" w:eastAsia="monospace"/>
      <w:sz w:val="20"/>
    </w:rPr>
  </w:style>
  <w:style w:type="character" w:customStyle="1" w:styleId="54">
    <w:name w:val="UserStyle_0"/>
    <w:link w:val="55"/>
    <w:qFormat/>
    <w:locked/>
    <w:uiPriority w:val="0"/>
    <w:rPr>
      <w:rFonts w:ascii="Calibri" w:hAnsi="Calibri"/>
      <w:sz w:val="24"/>
      <w:szCs w:val="24"/>
      <w:lang w:eastAsia="en-US" w:bidi="en-US"/>
    </w:rPr>
  </w:style>
  <w:style w:type="paragraph" w:customStyle="1" w:styleId="55">
    <w:name w:val="UserStyle_1"/>
    <w:basedOn w:val="1"/>
    <w:link w:val="54"/>
    <w:qFormat/>
    <w:uiPriority w:val="0"/>
    <w:pPr>
      <w:ind w:left="720"/>
      <w:contextualSpacing/>
      <w:jc w:val="left"/>
    </w:pPr>
    <w:rPr>
      <w:kern w:val="0"/>
      <w:sz w:val="24"/>
      <w:szCs w:val="24"/>
      <w:lang w:eastAsia="en-US" w:bidi="en-US"/>
    </w:rPr>
  </w:style>
  <w:style w:type="character" w:customStyle="1" w:styleId="56">
    <w:name w:val="UserStyle_2"/>
    <w:basedOn w:val="42"/>
    <w:qFormat/>
    <w:uiPriority w:val="0"/>
  </w:style>
  <w:style w:type="character" w:customStyle="1" w:styleId="57">
    <w:name w:val="UserStyle_3"/>
    <w:basedOn w:val="42"/>
    <w:qFormat/>
    <w:uiPriority w:val="0"/>
  </w:style>
  <w:style w:type="character" w:customStyle="1" w:styleId="58">
    <w:name w:val="UserStyle_4"/>
    <w:link w:val="59"/>
    <w:qFormat/>
    <w:uiPriority w:val="0"/>
    <w:rPr>
      <w:rFonts w:eastAsia="宋体"/>
      <w:kern w:val="2"/>
      <w:sz w:val="21"/>
      <w:szCs w:val="21"/>
      <w:lang w:val="en-US" w:eastAsia="zh-CN" w:bidi="ar-SA"/>
    </w:rPr>
  </w:style>
  <w:style w:type="paragraph" w:customStyle="1" w:styleId="59">
    <w:name w:val="NavPane"/>
    <w:basedOn w:val="1"/>
    <w:link w:val="58"/>
    <w:semiHidden/>
    <w:qFormat/>
    <w:uiPriority w:val="0"/>
    <w:pPr>
      <w:shd w:val="clear" w:color="auto" w:fill="000080"/>
    </w:pPr>
  </w:style>
  <w:style w:type="character" w:customStyle="1" w:styleId="60">
    <w:name w:val="UserStyle_5"/>
    <w:link w:val="32"/>
    <w:qFormat/>
    <w:uiPriority w:val="0"/>
    <w:rPr>
      <w:rFonts w:ascii="楷体_GB2312" w:eastAsia="楷体_GB2312"/>
      <w:kern w:val="2"/>
      <w:sz w:val="28"/>
      <w:szCs w:val="28"/>
    </w:rPr>
  </w:style>
  <w:style w:type="character" w:customStyle="1" w:styleId="61">
    <w:name w:val="UserStyle_6"/>
    <w:qFormat/>
    <w:uiPriority w:val="0"/>
    <w:rPr>
      <w:color w:val="999999"/>
    </w:rPr>
  </w:style>
  <w:style w:type="character" w:customStyle="1" w:styleId="62">
    <w:name w:val="UserStyle_7"/>
    <w:link w:val="34"/>
    <w:qFormat/>
    <w:uiPriority w:val="0"/>
    <w:rPr>
      <w:kern w:val="2"/>
      <w:sz w:val="21"/>
      <w:szCs w:val="21"/>
    </w:rPr>
  </w:style>
  <w:style w:type="character" w:customStyle="1" w:styleId="63">
    <w:name w:val="UserStyle_8"/>
    <w:link w:val="35"/>
    <w:qFormat/>
    <w:uiPriority w:val="0"/>
    <w:rPr>
      <w:rFonts w:eastAsia="宋体" w:cs="Times New Roman"/>
      <w:b/>
      <w:bCs/>
      <w:kern w:val="2"/>
      <w:sz w:val="32"/>
      <w:szCs w:val="32"/>
      <w:lang w:val="en-US" w:eastAsia="zh-CN" w:bidi="ar-SA"/>
    </w:rPr>
  </w:style>
  <w:style w:type="character" w:customStyle="1" w:styleId="64">
    <w:name w:val="UserStyle_9"/>
    <w:link w:val="36"/>
    <w:qFormat/>
    <w:uiPriority w:val="0"/>
    <w:rPr>
      <w:rFonts w:ascii="Cambria" w:hAnsi="Cambria" w:eastAsia="宋体"/>
      <w:b/>
      <w:kern w:val="2"/>
      <w:sz w:val="28"/>
      <w:szCs w:val="28"/>
    </w:rPr>
  </w:style>
  <w:style w:type="character" w:customStyle="1" w:styleId="65">
    <w:name w:val="UserStyle_10"/>
    <w:link w:val="66"/>
    <w:semiHidden/>
    <w:qFormat/>
    <w:uiPriority w:val="0"/>
    <w:rPr>
      <w:kern w:val="2"/>
      <w:sz w:val="21"/>
      <w:szCs w:val="21"/>
    </w:rPr>
  </w:style>
  <w:style w:type="paragraph" w:customStyle="1" w:styleId="66">
    <w:name w:val="AnnotationText"/>
    <w:basedOn w:val="1"/>
    <w:link w:val="65"/>
    <w:semiHidden/>
    <w:qFormat/>
    <w:uiPriority w:val="0"/>
    <w:pPr>
      <w:jc w:val="left"/>
    </w:pPr>
  </w:style>
  <w:style w:type="character" w:customStyle="1" w:styleId="67">
    <w:name w:val="UserStyle_11"/>
    <w:link w:val="68"/>
    <w:qFormat/>
    <w:uiPriority w:val="0"/>
    <w:rPr>
      <w:rFonts w:ascii="宋体" w:hAnsi="Courier New"/>
      <w:kern w:val="2"/>
      <w:sz w:val="21"/>
      <w:szCs w:val="21"/>
    </w:rPr>
  </w:style>
  <w:style w:type="paragraph" w:customStyle="1" w:styleId="68">
    <w:name w:val="PlainText"/>
    <w:basedOn w:val="1"/>
    <w:link w:val="67"/>
    <w:qFormat/>
    <w:uiPriority w:val="0"/>
    <w:rPr>
      <w:rFonts w:ascii="宋体" w:hAnsi="Courier New"/>
    </w:rPr>
  </w:style>
  <w:style w:type="character" w:customStyle="1" w:styleId="69">
    <w:name w:val="UserStyle_12"/>
    <w:link w:val="70"/>
    <w:semiHidden/>
    <w:qFormat/>
    <w:uiPriority w:val="0"/>
    <w:rPr>
      <w:kern w:val="2"/>
      <w:sz w:val="18"/>
      <w:szCs w:val="18"/>
    </w:rPr>
  </w:style>
  <w:style w:type="paragraph" w:customStyle="1" w:styleId="70">
    <w:name w:val="Acetate"/>
    <w:basedOn w:val="1"/>
    <w:link w:val="69"/>
    <w:semiHidden/>
    <w:qFormat/>
    <w:uiPriority w:val="0"/>
    <w:rPr>
      <w:sz w:val="18"/>
      <w:szCs w:val="18"/>
    </w:rPr>
  </w:style>
  <w:style w:type="character" w:customStyle="1" w:styleId="71">
    <w:name w:val="页脚 Char"/>
    <w:link w:val="18"/>
    <w:qFormat/>
    <w:uiPriority w:val="0"/>
    <w:rPr>
      <w:kern w:val="2"/>
      <w:sz w:val="18"/>
      <w:szCs w:val="18"/>
    </w:rPr>
  </w:style>
  <w:style w:type="character" w:customStyle="1" w:styleId="72">
    <w:name w:val="页眉 Char"/>
    <w:link w:val="19"/>
    <w:qFormat/>
    <w:uiPriority w:val="0"/>
    <w:rPr>
      <w:kern w:val="2"/>
      <w:sz w:val="18"/>
      <w:szCs w:val="18"/>
    </w:rPr>
  </w:style>
  <w:style w:type="character" w:customStyle="1" w:styleId="73">
    <w:name w:val="UserStyle_15"/>
    <w:qFormat/>
    <w:uiPriority w:val="0"/>
    <w:rPr>
      <w:rFonts w:ascii="宋体" w:hAnsi="宋体" w:eastAsia="宋体"/>
      <w:sz w:val="28"/>
      <w:szCs w:val="28"/>
      <w:lang w:val="en-US" w:eastAsia="zh-CN" w:bidi="ar-SA"/>
    </w:rPr>
  </w:style>
  <w:style w:type="character" w:customStyle="1" w:styleId="74">
    <w:name w:val="UserStyle_16"/>
    <w:basedOn w:val="42"/>
    <w:qFormat/>
    <w:uiPriority w:val="0"/>
    <w:rPr>
      <w:rFonts w:ascii="宋体" w:hAnsi="宋体" w:eastAsia="宋体"/>
      <w:color w:val="000000"/>
      <w:sz w:val="22"/>
      <w:szCs w:val="22"/>
    </w:rPr>
  </w:style>
  <w:style w:type="character" w:customStyle="1" w:styleId="75">
    <w:name w:val="UserStyle_17"/>
    <w:qFormat/>
    <w:uiPriority w:val="0"/>
    <w:rPr>
      <w:shd w:val="clear" w:color="auto" w:fill="EEEEEE"/>
    </w:rPr>
  </w:style>
  <w:style w:type="character" w:customStyle="1" w:styleId="76">
    <w:name w:val="UserStyle_18"/>
    <w:link w:val="77"/>
    <w:qFormat/>
    <w:uiPriority w:val="0"/>
    <w:rPr>
      <w:rFonts w:ascii="Tahoma" w:hAnsi="Tahoma" w:eastAsia="宋体"/>
      <w:kern w:val="2"/>
      <w:sz w:val="24"/>
      <w:szCs w:val="24"/>
      <w:lang w:val="en-US" w:eastAsia="zh-CN" w:bidi="ar-SA"/>
    </w:rPr>
  </w:style>
  <w:style w:type="paragraph" w:customStyle="1" w:styleId="77">
    <w:name w:val="UserStyle_19"/>
    <w:basedOn w:val="59"/>
    <w:link w:val="76"/>
    <w:qFormat/>
    <w:uiPriority w:val="0"/>
    <w:pPr>
      <w:snapToGrid w:val="0"/>
      <w:spacing w:line="360" w:lineRule="auto"/>
    </w:pPr>
    <w:rPr>
      <w:rFonts w:ascii="Tahoma" w:hAnsi="Tahoma"/>
      <w:sz w:val="24"/>
      <w:szCs w:val="24"/>
    </w:rPr>
  </w:style>
  <w:style w:type="character" w:customStyle="1" w:styleId="78">
    <w:name w:val="UserStyle_20"/>
    <w:qFormat/>
    <w:uiPriority w:val="0"/>
    <w:rPr>
      <w:rFonts w:eastAsia="宋体"/>
      <w:b/>
      <w:spacing w:val="-2"/>
      <w:sz w:val="24"/>
      <w:lang w:val="en-US" w:eastAsia="zh-CN" w:bidi="ar-SA"/>
    </w:rPr>
  </w:style>
  <w:style w:type="character" w:customStyle="1" w:styleId="79">
    <w:name w:val="UserStyle_21"/>
    <w:link w:val="80"/>
    <w:qFormat/>
    <w:uiPriority w:val="0"/>
    <w:rPr>
      <w:b/>
      <w:kern w:val="2"/>
      <w:sz w:val="30"/>
      <w:szCs w:val="28"/>
      <w:lang w:val="en-US" w:eastAsia="zh-CN" w:bidi="ar-SA"/>
    </w:rPr>
  </w:style>
  <w:style w:type="paragraph" w:customStyle="1" w:styleId="80">
    <w:name w:val="UserStyle_22"/>
    <w:next w:val="1"/>
    <w:link w:val="79"/>
    <w:qFormat/>
    <w:uiPriority w:val="0"/>
    <w:pPr>
      <w:numPr>
        <w:ilvl w:val="0"/>
        <w:numId w:val="2"/>
      </w:numPr>
      <w:tabs>
        <w:tab w:val="left" w:pos="1145"/>
      </w:tabs>
    </w:pPr>
    <w:rPr>
      <w:rFonts w:ascii="Times New Roman" w:hAnsi="Times New Roman" w:eastAsia="宋体" w:cstheme="minorBidi"/>
      <w:b/>
      <w:kern w:val="2"/>
      <w:sz w:val="30"/>
      <w:szCs w:val="28"/>
      <w:lang w:val="en-US" w:eastAsia="zh-CN" w:bidi="ar-SA"/>
    </w:rPr>
  </w:style>
  <w:style w:type="character" w:customStyle="1" w:styleId="81">
    <w:name w:val="UserStyle_23"/>
    <w:basedOn w:val="42"/>
    <w:qFormat/>
    <w:uiPriority w:val="0"/>
  </w:style>
  <w:style w:type="paragraph" w:customStyle="1" w:styleId="82">
    <w:name w:val="TOC4"/>
    <w:basedOn w:val="1"/>
    <w:next w:val="1"/>
    <w:semiHidden/>
    <w:qFormat/>
    <w:uiPriority w:val="0"/>
    <w:pPr>
      <w:ind w:left="630"/>
      <w:jc w:val="left"/>
    </w:pPr>
  </w:style>
  <w:style w:type="paragraph" w:customStyle="1" w:styleId="83">
    <w:name w:val="TOC1"/>
    <w:basedOn w:val="1"/>
    <w:next w:val="1"/>
    <w:semiHidden/>
    <w:qFormat/>
    <w:uiPriority w:val="0"/>
    <w:pPr>
      <w:tabs>
        <w:tab w:val="right" w:leader="dot" w:pos="8720"/>
      </w:tabs>
      <w:spacing w:before="120" w:after="120" w:line="400" w:lineRule="exact"/>
      <w:jc w:val="left"/>
    </w:pPr>
    <w:rPr>
      <w:rFonts w:ascii="宋体" w:hAnsi="宋体"/>
      <w:caps/>
      <w:sz w:val="24"/>
      <w:szCs w:val="24"/>
    </w:rPr>
  </w:style>
  <w:style w:type="paragraph" w:customStyle="1" w:styleId="84">
    <w:name w:val="BodyTextIndent2"/>
    <w:basedOn w:val="1"/>
    <w:qFormat/>
    <w:uiPriority w:val="0"/>
    <w:pPr>
      <w:ind w:left="630" w:firstLine="645"/>
    </w:pPr>
    <w:rPr>
      <w:rFonts w:ascii="Arial" w:hAnsi="Arial" w:eastAsia="仿宋_GB2312"/>
      <w:sz w:val="32"/>
      <w:szCs w:val="32"/>
    </w:rPr>
  </w:style>
  <w:style w:type="paragraph" w:customStyle="1" w:styleId="85">
    <w:name w:val="HtmlNormal"/>
    <w:basedOn w:val="1"/>
    <w:qFormat/>
    <w:uiPriority w:val="0"/>
    <w:pPr>
      <w:spacing w:before="100" w:beforeAutospacing="1" w:after="100" w:afterAutospacing="1"/>
      <w:jc w:val="left"/>
    </w:pPr>
    <w:rPr>
      <w:rFonts w:ascii="宋体" w:hAnsi="宋体"/>
      <w:kern w:val="0"/>
      <w:sz w:val="24"/>
      <w:szCs w:val="24"/>
    </w:rPr>
  </w:style>
  <w:style w:type="paragraph" w:customStyle="1" w:styleId="86">
    <w:name w:val="EnvelopeReturn"/>
    <w:basedOn w:val="1"/>
    <w:qFormat/>
    <w:uiPriority w:val="0"/>
    <w:pPr>
      <w:snapToGrid w:val="0"/>
    </w:pPr>
    <w:rPr>
      <w:rFonts w:ascii="Arial" w:hAnsi="Arial"/>
    </w:rPr>
  </w:style>
  <w:style w:type="paragraph" w:customStyle="1" w:styleId="87">
    <w:name w:val="BodyTextIndent"/>
    <w:basedOn w:val="1"/>
    <w:next w:val="86"/>
    <w:qFormat/>
    <w:uiPriority w:val="0"/>
    <w:pPr>
      <w:ind w:firstLine="645"/>
    </w:pPr>
    <w:rPr>
      <w:rFonts w:ascii="楷体_GB2312" w:eastAsia="楷体_GB2312"/>
      <w:sz w:val="32"/>
      <w:szCs w:val="32"/>
    </w:rPr>
  </w:style>
  <w:style w:type="paragraph" w:customStyle="1" w:styleId="88">
    <w:name w:val="BodyText3"/>
    <w:basedOn w:val="1"/>
    <w:qFormat/>
    <w:uiPriority w:val="0"/>
    <w:rPr>
      <w:rFonts w:ascii="仿宋_GB2312" w:hAnsi="Arial" w:eastAsia="仿宋_GB2312"/>
      <w:sz w:val="32"/>
      <w:szCs w:val="32"/>
    </w:rPr>
  </w:style>
  <w:style w:type="paragraph" w:customStyle="1" w:styleId="89">
    <w:name w:val="BodyText1I"/>
    <w:basedOn w:val="1"/>
    <w:qFormat/>
    <w:uiPriority w:val="0"/>
    <w:pPr>
      <w:spacing w:line="360" w:lineRule="auto"/>
      <w:ind w:firstLine="200" w:firstLineChars="200"/>
    </w:pPr>
    <w:rPr>
      <w:rFonts w:ascii="仿宋_GB2312" w:eastAsia="仿宋_GB2312"/>
      <w:sz w:val="30"/>
      <w:szCs w:val="30"/>
    </w:rPr>
  </w:style>
  <w:style w:type="paragraph" w:customStyle="1" w:styleId="90">
    <w:name w:val="List2"/>
    <w:basedOn w:val="1"/>
    <w:qFormat/>
    <w:uiPriority w:val="0"/>
    <w:pPr>
      <w:ind w:left="100" w:leftChars="200" w:hanging="200" w:hangingChars="200"/>
    </w:pPr>
  </w:style>
  <w:style w:type="paragraph" w:customStyle="1" w:styleId="91">
    <w:name w:val="List3"/>
    <w:basedOn w:val="1"/>
    <w:qFormat/>
    <w:uiPriority w:val="0"/>
    <w:pPr>
      <w:ind w:left="100" w:leftChars="400" w:hanging="200" w:hangingChars="200"/>
    </w:pPr>
  </w:style>
  <w:style w:type="paragraph" w:customStyle="1" w:styleId="92">
    <w:name w:val="Index1"/>
    <w:basedOn w:val="1"/>
    <w:next w:val="1"/>
    <w:semiHidden/>
    <w:qFormat/>
    <w:uiPriority w:val="0"/>
    <w:pPr>
      <w:spacing w:line="240" w:lineRule="atLeast"/>
    </w:pPr>
    <w:rPr>
      <w:rFonts w:cs="Times New Roman"/>
      <w:b/>
      <w:bCs/>
    </w:rPr>
  </w:style>
  <w:style w:type="paragraph" w:customStyle="1" w:styleId="93">
    <w:name w:val="BodyText2"/>
    <w:basedOn w:val="1"/>
    <w:qFormat/>
    <w:uiPriority w:val="0"/>
    <w:pPr>
      <w:jc w:val="center"/>
    </w:pPr>
    <w:rPr>
      <w:rFonts w:ascii="楷体_GB2312" w:eastAsia="楷体_GB2312"/>
      <w:sz w:val="28"/>
      <w:szCs w:val="28"/>
    </w:rPr>
  </w:style>
  <w:style w:type="paragraph" w:customStyle="1" w:styleId="94">
    <w:name w:val="ToCaption"/>
    <w:basedOn w:val="1"/>
    <w:next w:val="1"/>
    <w:semiHidden/>
    <w:qFormat/>
    <w:uiPriority w:val="0"/>
    <w:pPr>
      <w:ind w:left="840" w:hanging="420"/>
    </w:pPr>
  </w:style>
  <w:style w:type="paragraph" w:customStyle="1" w:styleId="95">
    <w:name w:val="BodyTextIndent3"/>
    <w:basedOn w:val="1"/>
    <w:qFormat/>
    <w:uiPriority w:val="0"/>
    <w:pPr>
      <w:ind w:left="645" w:firstLine="645"/>
    </w:pPr>
    <w:rPr>
      <w:rFonts w:ascii="Arial" w:hAnsi="Arial" w:eastAsia="仿宋_GB2312"/>
      <w:color w:val="FFFF00"/>
      <w:sz w:val="32"/>
      <w:szCs w:val="32"/>
    </w:rPr>
  </w:style>
  <w:style w:type="paragraph" w:customStyle="1" w:styleId="96">
    <w:name w:val="TOC6"/>
    <w:basedOn w:val="1"/>
    <w:next w:val="1"/>
    <w:semiHidden/>
    <w:qFormat/>
    <w:uiPriority w:val="0"/>
    <w:pPr>
      <w:ind w:left="1050"/>
      <w:jc w:val="left"/>
    </w:pPr>
  </w:style>
  <w:style w:type="paragraph" w:customStyle="1" w:styleId="97">
    <w:name w:val="BodyText1I2"/>
    <w:basedOn w:val="87"/>
    <w:qFormat/>
    <w:uiPriority w:val="0"/>
    <w:pPr>
      <w:spacing w:line="360" w:lineRule="auto"/>
      <w:ind w:firstLine="420" w:firstLineChars="200"/>
    </w:pPr>
    <w:rPr>
      <w:rFonts w:ascii="宋体" w:hAnsi="宋体" w:eastAsia="宋体"/>
      <w:sz w:val="21"/>
      <w:szCs w:val="20"/>
    </w:rPr>
  </w:style>
  <w:style w:type="paragraph" w:customStyle="1" w:styleId="98">
    <w:name w:val="AnnotationSubject"/>
    <w:basedOn w:val="66"/>
    <w:next w:val="66"/>
    <w:semiHidden/>
    <w:qFormat/>
    <w:uiPriority w:val="0"/>
    <w:rPr>
      <w:rFonts w:cs="Times New Roman"/>
      <w:b/>
      <w:bCs/>
    </w:rPr>
  </w:style>
  <w:style w:type="paragraph" w:customStyle="1" w:styleId="99">
    <w:name w:val="TOC2"/>
    <w:basedOn w:val="1"/>
    <w:next w:val="1"/>
    <w:semiHidden/>
    <w:qFormat/>
    <w:uiPriority w:val="0"/>
    <w:pPr>
      <w:ind w:left="210"/>
      <w:jc w:val="left"/>
    </w:pPr>
    <w:rPr>
      <w:smallCaps/>
      <w:szCs w:val="24"/>
    </w:rPr>
  </w:style>
  <w:style w:type="paragraph" w:customStyle="1" w:styleId="100">
    <w:name w:val="TOC8"/>
    <w:basedOn w:val="1"/>
    <w:next w:val="1"/>
    <w:semiHidden/>
    <w:qFormat/>
    <w:uiPriority w:val="0"/>
    <w:pPr>
      <w:ind w:left="1470"/>
      <w:jc w:val="left"/>
    </w:pPr>
  </w:style>
  <w:style w:type="paragraph" w:customStyle="1" w:styleId="101">
    <w:name w:val="TOC7"/>
    <w:basedOn w:val="1"/>
    <w:next w:val="1"/>
    <w:semiHidden/>
    <w:qFormat/>
    <w:uiPriority w:val="0"/>
    <w:pPr>
      <w:ind w:left="1260"/>
      <w:jc w:val="left"/>
    </w:pPr>
  </w:style>
  <w:style w:type="paragraph" w:customStyle="1" w:styleId="102">
    <w:name w:val="BodyText"/>
    <w:basedOn w:val="1"/>
    <w:qFormat/>
    <w:uiPriority w:val="0"/>
    <w:rPr>
      <w:rFonts w:ascii="楷体_GB2312" w:hAnsi="Arial" w:eastAsia="楷体_GB2312"/>
      <w:sz w:val="28"/>
      <w:szCs w:val="28"/>
    </w:rPr>
  </w:style>
  <w:style w:type="paragraph" w:customStyle="1" w:styleId="103">
    <w:name w:val="TOC9"/>
    <w:basedOn w:val="1"/>
    <w:next w:val="1"/>
    <w:semiHidden/>
    <w:qFormat/>
    <w:uiPriority w:val="0"/>
    <w:pPr>
      <w:ind w:left="1680"/>
      <w:jc w:val="left"/>
    </w:pPr>
  </w:style>
  <w:style w:type="paragraph" w:customStyle="1" w:styleId="104">
    <w:name w:val="TOC3"/>
    <w:basedOn w:val="1"/>
    <w:next w:val="1"/>
    <w:semiHidden/>
    <w:qFormat/>
    <w:uiPriority w:val="0"/>
    <w:pPr>
      <w:ind w:left="420"/>
      <w:jc w:val="left"/>
    </w:pPr>
    <w:rPr>
      <w:i/>
      <w:iCs/>
      <w:szCs w:val="24"/>
    </w:rPr>
  </w:style>
  <w:style w:type="paragraph" w:customStyle="1" w:styleId="105">
    <w:name w:val="TOC5"/>
    <w:basedOn w:val="1"/>
    <w:next w:val="1"/>
    <w:semiHidden/>
    <w:qFormat/>
    <w:uiPriority w:val="0"/>
    <w:pPr>
      <w:ind w:left="840"/>
      <w:jc w:val="left"/>
    </w:pPr>
  </w:style>
  <w:style w:type="paragraph" w:customStyle="1" w:styleId="106">
    <w:name w:val="BlockQuote"/>
    <w:basedOn w:val="1"/>
    <w:qFormat/>
    <w:uiPriority w:val="0"/>
    <w:pPr>
      <w:spacing w:after="120"/>
      <w:ind w:left="1440" w:leftChars="700" w:right="1440" w:rightChars="700"/>
    </w:pPr>
  </w:style>
  <w:style w:type="paragraph" w:customStyle="1" w:styleId="107">
    <w:name w:val="UserStyle_24"/>
    <w:basedOn w:val="1"/>
    <w:qFormat/>
    <w:uiPriority w:val="0"/>
    <w:pPr>
      <w:spacing w:before="100" w:beforeAutospacing="1" w:after="100" w:afterAutospacing="1"/>
      <w:jc w:val="left"/>
    </w:pPr>
    <w:rPr>
      <w:rFonts w:ascii="宋体" w:hAnsi="宋体"/>
      <w:kern w:val="0"/>
      <w:sz w:val="24"/>
      <w:szCs w:val="24"/>
    </w:rPr>
  </w:style>
  <w:style w:type="paragraph" w:customStyle="1" w:styleId="108">
    <w:name w:val="UserStyle_25"/>
    <w:basedOn w:val="1"/>
    <w:qFormat/>
    <w:uiPriority w:val="0"/>
    <w:pPr>
      <w:spacing w:before="100" w:beforeAutospacing="1" w:after="100" w:afterAutospacing="1"/>
      <w:jc w:val="left"/>
    </w:pPr>
    <w:rPr>
      <w:rFonts w:ascii="宋体" w:hAnsi="宋体"/>
      <w:kern w:val="0"/>
      <w:sz w:val="28"/>
      <w:szCs w:val="28"/>
    </w:rPr>
  </w:style>
  <w:style w:type="paragraph" w:customStyle="1" w:styleId="109">
    <w:name w:val="179"/>
    <w:basedOn w:val="1"/>
    <w:qFormat/>
    <w:uiPriority w:val="0"/>
    <w:pPr>
      <w:ind w:left="720"/>
      <w:contextualSpacing/>
      <w:jc w:val="left"/>
    </w:pPr>
    <w:rPr>
      <w:rFonts w:ascii="Calibri" w:hAnsi="Calibri"/>
      <w:kern w:val="0"/>
      <w:sz w:val="24"/>
      <w:szCs w:val="24"/>
      <w:lang w:eastAsia="en-US" w:bidi="en-US"/>
    </w:rPr>
  </w:style>
  <w:style w:type="paragraph" w:customStyle="1" w:styleId="110">
    <w:name w:val="UserStyle_26"/>
    <w:basedOn w:val="1"/>
    <w:qFormat/>
    <w:uiPriority w:val="0"/>
    <w:pPr>
      <w:tabs>
        <w:tab w:val="left" w:pos="-720"/>
      </w:tabs>
    </w:pPr>
    <w:rPr>
      <w:spacing w:val="-3"/>
      <w:kern w:val="0"/>
      <w:sz w:val="24"/>
      <w:szCs w:val="20"/>
      <w:lang w:val="en-AU" w:eastAsia="en-US"/>
    </w:rPr>
  </w:style>
  <w:style w:type="paragraph" w:customStyle="1" w:styleId="111">
    <w:name w:val="UserStyle_27"/>
    <w:basedOn w:val="1"/>
    <w:next w:val="1"/>
    <w:qFormat/>
    <w:uiPriority w:val="0"/>
    <w:pPr>
      <w:jc w:val="center"/>
    </w:pPr>
    <w:rPr>
      <w:sz w:val="24"/>
    </w:rPr>
  </w:style>
  <w:style w:type="paragraph" w:customStyle="1" w:styleId="112">
    <w:name w:val="UserStyle_28"/>
    <w:basedOn w:val="1"/>
    <w:qFormat/>
    <w:uiPriority w:val="0"/>
    <w:pPr>
      <w:jc w:val="left"/>
    </w:pPr>
    <w:rPr>
      <w:kern w:val="0"/>
      <w:sz w:val="20"/>
      <w:szCs w:val="20"/>
      <w:lang w:val="de-DE" w:eastAsia="de-DE"/>
    </w:rPr>
  </w:style>
  <w:style w:type="paragraph" w:customStyle="1" w:styleId="113">
    <w:name w:val="UserStyle_29"/>
    <w:basedOn w:val="1"/>
    <w:qFormat/>
    <w:uiPriority w:val="0"/>
    <w:pPr>
      <w:tabs>
        <w:tab w:val="left" w:pos="360"/>
      </w:tabs>
      <w:ind w:firstLine="200" w:firstLineChars="200"/>
    </w:pPr>
    <w:rPr>
      <w:sz w:val="28"/>
      <w:szCs w:val="30"/>
    </w:rPr>
  </w:style>
  <w:style w:type="paragraph" w:customStyle="1" w:styleId="114">
    <w:name w:val="UserStyle_30"/>
    <w:basedOn w:val="1"/>
    <w:qFormat/>
    <w:uiPriority w:val="0"/>
    <w:pPr>
      <w:pBdr>
        <w:left w:val="single" w:color="000000" w:sz="4" w:space="0"/>
        <w:bottom w:val="single" w:color="000000" w:sz="4" w:space="0"/>
        <w:right w:val="single" w:color="000000" w:sz="4" w:space="0"/>
      </w:pBdr>
      <w:spacing w:before="100" w:beforeAutospacing="1" w:after="100" w:afterAutospacing="1"/>
      <w:jc w:val="center"/>
    </w:pPr>
    <w:rPr>
      <w:rFonts w:ascii="宋体" w:hAnsi="宋体"/>
      <w:kern w:val="0"/>
      <w:sz w:val="24"/>
      <w:szCs w:val="24"/>
    </w:rPr>
  </w:style>
  <w:style w:type="paragraph" w:customStyle="1" w:styleId="115">
    <w:name w:val="UserStyle_31"/>
    <w:basedOn w:val="1"/>
    <w:next w:val="1"/>
    <w:qFormat/>
    <w:uiPriority w:val="0"/>
    <w:pPr>
      <w:snapToGrid w:val="0"/>
      <w:spacing w:line="590" w:lineRule="atLeast"/>
      <w:ind w:firstLine="624"/>
    </w:pPr>
    <w:rPr>
      <w:rFonts w:ascii="方正黑体_GBK" w:eastAsia="方正黑体_GBK"/>
      <w:kern w:val="0"/>
      <w:sz w:val="32"/>
      <w:szCs w:val="32"/>
    </w:rPr>
  </w:style>
  <w:style w:type="paragraph" w:customStyle="1" w:styleId="116">
    <w:name w:val="UserStyle_32"/>
    <w:basedOn w:val="1"/>
    <w:next w:val="1"/>
    <w:qFormat/>
    <w:uiPriority w:val="0"/>
    <w:pPr>
      <w:tabs>
        <w:tab w:val="left" w:pos="9193"/>
        <w:tab w:val="left" w:pos="9827"/>
      </w:tabs>
      <w:snapToGrid w:val="0"/>
      <w:spacing w:line="700" w:lineRule="atLeast"/>
      <w:jc w:val="center"/>
    </w:pPr>
    <w:rPr>
      <w:rFonts w:ascii="方正小标宋_GBK" w:eastAsia="方正小标宋_GBK"/>
      <w:kern w:val="0"/>
      <w:sz w:val="44"/>
      <w:szCs w:val="20"/>
    </w:rPr>
  </w:style>
  <w:style w:type="paragraph" w:customStyle="1" w:styleId="117">
    <w:name w:val="UserStyle_33"/>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kern w:val="0"/>
      <w:sz w:val="24"/>
      <w:szCs w:val="24"/>
    </w:rPr>
  </w:style>
  <w:style w:type="paragraph" w:customStyle="1" w:styleId="118">
    <w:name w:val="UserStyle_34"/>
    <w:basedOn w:val="1"/>
    <w:qFormat/>
    <w:uiPriority w:val="0"/>
    <w:pPr>
      <w:spacing w:before="100" w:beforeAutospacing="1" w:after="100" w:afterAutospacing="1"/>
      <w:jc w:val="left"/>
    </w:pPr>
    <w:rPr>
      <w:rFonts w:ascii="宋体" w:hAnsi="宋体"/>
      <w:kern w:val="0"/>
      <w:sz w:val="28"/>
      <w:szCs w:val="28"/>
      <w:u w:val="single"/>
    </w:rPr>
  </w:style>
  <w:style w:type="paragraph" w:customStyle="1" w:styleId="119">
    <w:name w:val="UserStyle_35"/>
    <w:basedOn w:val="111"/>
    <w:qFormat/>
    <w:uiPriority w:val="0"/>
    <w:pPr>
      <w:jc w:val="left"/>
    </w:pPr>
  </w:style>
  <w:style w:type="paragraph" w:customStyle="1" w:styleId="120">
    <w:name w:val="UserStyle_36"/>
    <w:basedOn w:val="1"/>
    <w:qFormat/>
    <w:uiPriority w:val="0"/>
    <w:pPr>
      <w:pBdr>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21">
    <w:name w:val="UserStyle_37"/>
    <w:qFormat/>
    <w:uiPriority w:val="0"/>
    <w:pPr>
      <w:tabs>
        <w:tab w:val="left" w:pos="907"/>
      </w:tabs>
      <w:snapToGrid w:val="0"/>
      <w:spacing w:before="240" w:line="600" w:lineRule="atLeast"/>
      <w:ind w:left="907" w:hanging="907"/>
      <w:textAlignment w:val="baseline"/>
    </w:pPr>
    <w:rPr>
      <w:rFonts w:ascii="Times New Roman" w:hAnsi="Times New Roman" w:eastAsia="宋体" w:cstheme="minorBidi"/>
      <w:b/>
      <w:i/>
      <w:sz w:val="28"/>
      <w:lang w:val="en-US" w:eastAsia="zh-CN" w:bidi="ar-SA"/>
    </w:rPr>
  </w:style>
  <w:style w:type="paragraph" w:customStyle="1" w:styleId="122">
    <w:name w:val="UserStyle_38"/>
    <w:basedOn w:val="1"/>
    <w:qFormat/>
    <w:uiPriority w:val="0"/>
    <w:pPr>
      <w:spacing w:before="120"/>
      <w:jc w:val="left"/>
    </w:pPr>
    <w:rPr>
      <w:rFonts w:cs="Times New Roman"/>
      <w:bCs/>
      <w:kern w:val="0"/>
      <w:sz w:val="20"/>
      <w:szCs w:val="20"/>
      <w:lang w:val="de-DE" w:eastAsia="de-DE"/>
    </w:rPr>
  </w:style>
  <w:style w:type="paragraph" w:customStyle="1" w:styleId="123">
    <w:name w:val="UserStyle_39"/>
    <w:basedOn w:val="59"/>
    <w:qFormat/>
    <w:uiPriority w:val="0"/>
    <w:pPr>
      <w:snapToGrid w:val="0"/>
      <w:spacing w:line="360" w:lineRule="auto"/>
    </w:pPr>
    <w:rPr>
      <w:rFonts w:ascii="Tahoma" w:hAnsi="Tahoma"/>
      <w:sz w:val="24"/>
      <w:szCs w:val="24"/>
    </w:rPr>
  </w:style>
  <w:style w:type="paragraph" w:customStyle="1" w:styleId="124">
    <w:name w:val="UserStyle_40"/>
    <w:basedOn w:val="1"/>
    <w:qFormat/>
    <w:uiPriority w:val="0"/>
    <w:pPr>
      <w:spacing w:before="100" w:beforeAutospacing="1" w:after="100" w:afterAutospacing="1"/>
      <w:jc w:val="left"/>
    </w:pPr>
    <w:rPr>
      <w:rFonts w:ascii="宋体" w:hAnsi="宋体"/>
      <w:kern w:val="0"/>
      <w:sz w:val="18"/>
      <w:szCs w:val="18"/>
    </w:rPr>
  </w:style>
  <w:style w:type="paragraph" w:customStyle="1" w:styleId="125">
    <w:name w:val="UserStyle_41"/>
    <w:basedOn w:val="1"/>
    <w:qFormat/>
    <w:uiPriority w:val="0"/>
    <w:pPr>
      <w:pBdr>
        <w:left w:val="single" w:color="000000" w:sz="4" w:space="0"/>
        <w:bottom w:val="single" w:color="000000" w:sz="4" w:space="0"/>
        <w:right w:val="single" w:color="000000" w:sz="4" w:space="0"/>
      </w:pBdr>
      <w:spacing w:before="100" w:beforeAutospacing="1" w:after="100" w:afterAutospacing="1"/>
      <w:jc w:val="center"/>
      <w:textAlignment w:val="bottom"/>
    </w:pPr>
    <w:rPr>
      <w:rFonts w:ascii="宋体" w:hAnsi="宋体"/>
      <w:kern w:val="0"/>
      <w:sz w:val="24"/>
      <w:szCs w:val="24"/>
    </w:rPr>
  </w:style>
  <w:style w:type="paragraph" w:customStyle="1" w:styleId="126">
    <w:name w:val="UserStyle_42"/>
    <w:basedOn w:val="1"/>
    <w:qFormat/>
    <w:uiPriority w:val="0"/>
    <w:pPr>
      <w:snapToGrid w:val="0"/>
      <w:jc w:val="left"/>
    </w:pPr>
    <w:rPr>
      <w:rFonts w:ascii="Arial Unicode MS" w:hAnsi="Arial Unicode MS"/>
      <w:szCs w:val="24"/>
    </w:rPr>
  </w:style>
  <w:style w:type="paragraph" w:customStyle="1" w:styleId="127">
    <w:name w:val="UserStyle_43"/>
    <w:basedOn w:val="1"/>
    <w:next w:val="1"/>
    <w:qFormat/>
    <w:uiPriority w:val="0"/>
    <w:pPr>
      <w:tabs>
        <w:tab w:val="left" w:pos="567"/>
        <w:tab w:val="left" w:pos="840"/>
      </w:tabs>
      <w:snapToGrid w:val="0"/>
      <w:spacing w:before="120" w:after="120" w:line="320" w:lineRule="atLeast"/>
      <w:ind w:left="840" w:hanging="420"/>
      <w:jc w:val="center"/>
    </w:pPr>
    <w:rPr>
      <w:rFonts w:eastAsia="仿宋_GB2312"/>
      <w:kern w:val="0"/>
      <w:sz w:val="24"/>
      <w:szCs w:val="20"/>
    </w:rPr>
  </w:style>
  <w:style w:type="paragraph" w:customStyle="1" w:styleId="128">
    <w:name w:val="UserStyle_44"/>
    <w:basedOn w:val="1"/>
    <w:qFormat/>
    <w:uiPriority w:val="0"/>
    <w:pPr>
      <w:spacing w:before="120" w:after="120" w:line="360" w:lineRule="auto"/>
      <w:ind w:firstLine="480"/>
      <w:jc w:val="left"/>
    </w:pPr>
    <w:rPr>
      <w:rFonts w:ascii="Arial" w:hAnsi="Arial"/>
      <w:kern w:val="0"/>
      <w:sz w:val="24"/>
      <w:szCs w:val="24"/>
    </w:rPr>
  </w:style>
  <w:style w:type="paragraph" w:customStyle="1" w:styleId="129">
    <w:name w:val="UserStyle_45"/>
    <w:basedOn w:val="59"/>
    <w:qFormat/>
    <w:uiPriority w:val="0"/>
    <w:rPr>
      <w:rFonts w:ascii="Tahoma" w:hAnsi="Tahoma"/>
      <w:sz w:val="24"/>
      <w:szCs w:val="24"/>
    </w:rPr>
  </w:style>
  <w:style w:type="paragraph" w:customStyle="1" w:styleId="130">
    <w:name w:val="UserStyle_46"/>
    <w:basedOn w:val="1"/>
    <w:qFormat/>
    <w:uiPriority w:val="0"/>
    <w:pPr>
      <w:spacing w:line="360" w:lineRule="auto"/>
    </w:pPr>
    <w:rPr>
      <w:kern w:val="0"/>
      <w:sz w:val="24"/>
      <w:szCs w:val="20"/>
    </w:rPr>
  </w:style>
  <w:style w:type="paragraph" w:customStyle="1" w:styleId="131">
    <w:name w:val="UserStyle_47"/>
    <w:basedOn w:val="1"/>
    <w:qFormat/>
    <w:uiPriority w:val="0"/>
    <w:pPr>
      <w:numPr>
        <w:ilvl w:val="0"/>
        <w:numId w:val="3"/>
      </w:numPr>
    </w:pPr>
    <w:rPr>
      <w:rFonts w:ascii="宋体" w:hAnsi="宋体"/>
      <w:kern w:val="0"/>
    </w:rPr>
  </w:style>
  <w:style w:type="paragraph" w:customStyle="1" w:styleId="132">
    <w:name w:val="UserStyle_48"/>
    <w:basedOn w:val="1"/>
    <w:qFormat/>
    <w:uiPriority w:val="0"/>
    <w:pPr>
      <w:spacing w:after="160" w:line="240" w:lineRule="exact"/>
      <w:jc w:val="left"/>
    </w:pPr>
    <w:rPr>
      <w:rFonts w:ascii="Verdana" w:hAnsi="Verdana"/>
      <w:kern w:val="0"/>
      <w:sz w:val="20"/>
      <w:szCs w:val="20"/>
      <w:lang w:eastAsia="en-US"/>
    </w:rPr>
  </w:style>
  <w:style w:type="paragraph" w:customStyle="1" w:styleId="133">
    <w:name w:val="UserStyle_49"/>
    <w:basedOn w:val="1"/>
    <w:qFormat/>
    <w:uiPriority w:val="0"/>
    <w:pPr>
      <w:pBdr>
        <w:top w:val="single" w:color="000000" w:sz="4" w:space="0"/>
        <w:left w:val="single" w:color="000000" w:sz="4" w:space="0"/>
        <w:bottom w:val="single" w:color="000000" w:sz="4" w:space="0"/>
      </w:pBdr>
      <w:spacing w:before="100" w:beforeAutospacing="1" w:after="100" w:afterAutospacing="1"/>
      <w:jc w:val="left"/>
    </w:pPr>
    <w:rPr>
      <w:rFonts w:ascii="宋体" w:hAnsi="宋体"/>
      <w:kern w:val="0"/>
      <w:sz w:val="24"/>
      <w:szCs w:val="24"/>
    </w:rPr>
  </w:style>
  <w:style w:type="paragraph" w:customStyle="1" w:styleId="134">
    <w:name w:val="UserStyle_50"/>
    <w:basedOn w:val="1"/>
    <w:qFormat/>
    <w:uiPriority w:val="0"/>
    <w:pPr>
      <w:spacing w:before="100" w:beforeAutospacing="1" w:after="100" w:afterAutospacing="1"/>
      <w:jc w:val="center"/>
    </w:pPr>
    <w:rPr>
      <w:rFonts w:ascii="宋体" w:hAnsi="宋体" w:cs="Times New Roman"/>
      <w:b/>
      <w:bCs/>
      <w:kern w:val="0"/>
      <w:sz w:val="36"/>
      <w:szCs w:val="36"/>
    </w:rPr>
  </w:style>
  <w:style w:type="paragraph" w:customStyle="1" w:styleId="135">
    <w:name w:val="UserStyle_51"/>
    <w:basedOn w:val="1"/>
    <w:qFormat/>
    <w:uiPriority w:val="0"/>
    <w:pPr>
      <w:spacing w:after="160" w:line="240" w:lineRule="exact"/>
      <w:jc w:val="left"/>
    </w:pPr>
    <w:rPr>
      <w:rFonts w:ascii="Verdana" w:hAnsi="Verdana"/>
      <w:kern w:val="0"/>
      <w:sz w:val="20"/>
      <w:szCs w:val="20"/>
      <w:lang w:eastAsia="en-US"/>
    </w:rPr>
  </w:style>
  <w:style w:type="paragraph" w:customStyle="1" w:styleId="136">
    <w:name w:val="UserStyle_52"/>
    <w:basedOn w:val="1"/>
    <w:next w:val="95"/>
    <w:qFormat/>
    <w:uiPriority w:val="0"/>
    <w:pPr>
      <w:spacing w:line="360" w:lineRule="auto"/>
      <w:ind w:firstLine="420"/>
    </w:pPr>
    <w:rPr>
      <w:color w:val="FF0000"/>
      <w:sz w:val="24"/>
      <w:szCs w:val="24"/>
    </w:rPr>
  </w:style>
  <w:style w:type="paragraph" w:customStyle="1" w:styleId="137">
    <w:name w:val="UserStyle_53"/>
    <w:qFormat/>
    <w:uiPriority w:val="0"/>
    <w:pPr>
      <w:textAlignment w:val="baseline"/>
    </w:pPr>
    <w:rPr>
      <w:rFonts w:ascii="Times New Roman" w:hAnsi="Times New Roman" w:eastAsia="宋体" w:cstheme="minorBidi"/>
      <w:color w:val="000000"/>
      <w:sz w:val="24"/>
      <w:szCs w:val="24"/>
      <w:lang w:val="en-US" w:eastAsia="zh-CN" w:bidi="ar-SA"/>
    </w:rPr>
  </w:style>
  <w:style w:type="paragraph" w:customStyle="1" w:styleId="138">
    <w:name w:val="UserStyle_54"/>
    <w:basedOn w:val="1"/>
    <w:next w:val="102"/>
    <w:qFormat/>
    <w:uiPriority w:val="0"/>
    <w:pPr>
      <w:spacing w:after="120"/>
    </w:pPr>
    <w:rPr>
      <w:rFonts w:ascii="宋体" w:hAnsi="Arial" w:cs="Times New Roman"/>
      <w:bCs/>
      <w:iCs/>
      <w:szCs w:val="24"/>
    </w:rPr>
  </w:style>
  <w:style w:type="paragraph" w:customStyle="1" w:styleId="139">
    <w:name w:val="Null"/>
    <w:qFormat/>
    <w:uiPriority w:val="0"/>
    <w:pPr>
      <w:jc w:val="both"/>
      <w:textAlignment w:val="baseline"/>
    </w:pPr>
    <w:rPr>
      <w:rFonts w:ascii="Times New Roman" w:hAnsi="Times New Roman" w:eastAsia="宋体" w:cstheme="minorBidi"/>
      <w:kern w:val="2"/>
      <w:sz w:val="21"/>
      <w:szCs w:val="22"/>
      <w:lang w:val="en-US" w:eastAsia="zh-CN" w:bidi="ar-SA"/>
    </w:rPr>
  </w:style>
  <w:style w:type="paragraph" w:customStyle="1" w:styleId="140">
    <w:name w:val="UserStyle_55"/>
    <w:basedOn w:val="1"/>
    <w:qFormat/>
    <w:uiPriority w:val="0"/>
    <w:pPr>
      <w:spacing w:before="100" w:beforeAutospacing="1" w:after="100" w:afterAutospacing="1"/>
      <w:jc w:val="center"/>
      <w:textAlignment w:val="center"/>
    </w:pPr>
    <w:rPr>
      <w:rFonts w:ascii="Arial Unicode MS" w:hAnsi="Arial Unicode MS" w:eastAsia="Arial Unicode MS"/>
      <w:kern w:val="0"/>
      <w:sz w:val="24"/>
      <w:szCs w:val="24"/>
    </w:rPr>
  </w:style>
  <w:style w:type="table" w:customStyle="1" w:styleId="141">
    <w:name w:val="TableGrid"/>
    <w:basedOn w:val="43"/>
    <w:qFormat/>
    <w:uiPriority w:val="0"/>
    <w:tblPr>
      <w:tblCellMar>
        <w:top w:w="0" w:type="dxa"/>
        <w:left w:w="0" w:type="dxa"/>
        <w:bottom w:w="0" w:type="dxa"/>
        <w:right w:w="0" w:type="dxa"/>
      </w:tblCellMar>
    </w:tblPr>
  </w:style>
  <w:style w:type="paragraph" w:styleId="142">
    <w:name w:val="List Paragraph"/>
    <w:basedOn w:val="1"/>
    <w:qFormat/>
    <w:uiPriority w:val="34"/>
    <w:pPr>
      <w:ind w:left="720"/>
      <w:contextualSpacing/>
      <w:jc w:val="left"/>
    </w:pPr>
    <w:rPr>
      <w:rFonts w:ascii="Calibri" w:hAnsi="Calibri"/>
      <w:kern w:val="0"/>
      <w:sz w:val="24"/>
      <w:lang w:eastAsia="en-US" w:bidi="en-US"/>
    </w:rPr>
  </w:style>
  <w:style w:type="paragraph" w:customStyle="1" w:styleId="143">
    <w:name w:val="Default"/>
    <w:qFormat/>
    <w:uiPriority w:val="99"/>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44">
    <w:name w:val="flName"/>
    <w:basedOn w:val="1"/>
    <w:qFormat/>
    <w:uiPriority w:val="0"/>
    <w:pPr>
      <w:adjustRightInd w:val="0"/>
      <w:spacing w:before="320" w:after="160" w:line="360" w:lineRule="atLeast"/>
      <w:jc w:val="center"/>
    </w:pPr>
    <w:rPr>
      <w:rFonts w:ascii="Arial" w:eastAsia="黑体"/>
      <w:kern w:val="0"/>
      <w:sz w:val="32"/>
      <w:szCs w:val="20"/>
    </w:rPr>
  </w:style>
  <w:style w:type="paragraph" w:customStyle="1" w:styleId="145">
    <w:name w:val="正文1"/>
    <w:basedOn w:val="1"/>
    <w:qFormat/>
    <w:uiPriority w:val="0"/>
    <w:pPr>
      <w:spacing w:line="440" w:lineRule="exact"/>
      <w:ind w:right="-167" w:rightChars="-167"/>
    </w:pPr>
    <w:rPr>
      <w:b/>
    </w:rPr>
  </w:style>
  <w:style w:type="paragraph" w:customStyle="1" w:styleId="146">
    <w:name w:val="纯文本1"/>
    <w:basedOn w:val="1"/>
    <w:qFormat/>
    <w:uiPriority w:val="0"/>
    <w:rPr>
      <w:rFonts w:ascii="宋体" w:hAnsi="Courier New"/>
      <w:sz w:val="28"/>
    </w:rPr>
  </w:style>
  <w:style w:type="paragraph" w:styleId="147">
    <w:name w:val="No Spacing"/>
    <w:qFormat/>
    <w:uiPriority w:val="1"/>
    <w:pPr>
      <w:widowControl w:val="0"/>
      <w:jc w:val="both"/>
    </w:pPr>
    <w:rPr>
      <w:rFonts w:asciiTheme="minorHAnsi" w:hAnsiTheme="minorHAnsi" w:eastAsiaTheme="minorEastAsia" w:cstheme="minorBidi"/>
      <w:kern w:val="2"/>
      <w:sz w:val="21"/>
      <w:szCs w:val="22"/>
      <w:lang w:val="en-US" w:eastAsia="zh-CN" w:bidi="ar-SA"/>
    </w:rPr>
  </w:style>
  <w:style w:type="paragraph" w:customStyle="1" w:styleId="148">
    <w:name w:val="WPSOffice手动目录 1"/>
    <w:uiPriority w:val="0"/>
    <w:pPr>
      <w:ind w:leftChars="0"/>
    </w:pPr>
    <w:rPr>
      <w:sz w:val="20"/>
      <w:szCs w:val="20"/>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8"/>
    <customShpInfo spid="_x0000_s1026"/>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52</Pages>
  <Words>4376</Words>
  <Characters>24945</Characters>
  <Lines>207</Lines>
  <Paragraphs>58</Paragraphs>
  <TotalTime>0</TotalTime>
  <ScaleCrop>false</ScaleCrop>
  <LinksUpToDate>false</LinksUpToDate>
  <CharactersWithSpaces>29263</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2021-11-24T01:23:00Z</dcterms:created>
  <dc:creator>Administrator</dc:creator>
  <cp:lastModifiedBy>赵萌</cp:lastModifiedBy>
  <cp:lastPrinted>2021-10-09T09:36:00Z</cp:lastPrinted>
  <dcterms:modified xsi:type="dcterms:W3CDTF">2021-11-24T08:25:21Z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B8179254EB664963AA52086178829AFC</vt:lpwstr>
  </property>
</Properties>
</file>